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80"/>
          <w:szCs w:val="80"/>
        </w:rPr>
      </w:pPr>
    </w:p>
    <w:p>
      <w:pPr>
        <w:ind w:firstLine="539"/>
        <w:jc w:val="center"/>
        <w:rPr>
          <w:rFonts w:ascii="宋体" w:cs="宋体"/>
          <w:sz w:val="80"/>
          <w:szCs w:val="80"/>
        </w:rPr>
      </w:pPr>
    </w:p>
    <w:p>
      <w:pPr>
        <w:ind w:firstLine="539"/>
        <w:jc w:val="center"/>
        <w:rPr>
          <w:rFonts w:ascii="宋体" w:cs="宋体"/>
          <w:sz w:val="80"/>
          <w:szCs w:val="80"/>
        </w:rPr>
      </w:pPr>
      <w:r>
        <w:rPr>
          <w:rFonts w:hint="eastAsia" w:ascii="宋体" w:hAnsi="宋体" w:cs="宋体"/>
          <w:sz w:val="80"/>
          <w:szCs w:val="80"/>
        </w:rPr>
        <w:t>政府采购电子化</w:t>
      </w:r>
    </w:p>
    <w:p>
      <w:pPr>
        <w:ind w:firstLine="539"/>
        <w:jc w:val="center"/>
        <w:rPr>
          <w:rFonts w:ascii="宋体" w:cs="宋体"/>
          <w:sz w:val="80"/>
          <w:szCs w:val="80"/>
        </w:rPr>
      </w:pPr>
      <w:r>
        <w:rPr>
          <w:rFonts w:hint="eastAsia" w:ascii="宋体" w:hAnsi="宋体" w:cs="宋体"/>
          <w:sz w:val="80"/>
          <w:szCs w:val="80"/>
        </w:rPr>
        <w:t>竞争性磋商文件</w:t>
      </w:r>
    </w:p>
    <w:p>
      <w:pPr>
        <w:ind w:firstLine="1280" w:firstLineChars="400"/>
        <w:rPr>
          <w:rFonts w:ascii="宋体" w:cs="宋体"/>
          <w:sz w:val="32"/>
          <w:szCs w:val="32"/>
        </w:rPr>
      </w:pPr>
    </w:p>
    <w:p>
      <w:pPr>
        <w:jc w:val="center"/>
        <w:rPr>
          <w:rFonts w:ascii="宋体" w:cs="宋体"/>
          <w:b/>
          <w:bCs/>
          <w:sz w:val="36"/>
          <w:szCs w:val="36"/>
        </w:rPr>
      </w:pPr>
      <w:r>
        <w:rPr>
          <w:rFonts w:hint="eastAsia" w:ascii="宋体" w:hAnsi="宋体" w:cs="宋体"/>
          <w:b/>
          <w:bCs/>
          <w:sz w:val="36"/>
          <w:szCs w:val="36"/>
        </w:rPr>
        <w:t>（服务类）</w:t>
      </w:r>
    </w:p>
    <w:p>
      <w:pPr>
        <w:ind w:firstLine="1920" w:firstLineChars="400"/>
        <w:rPr>
          <w:rFonts w:ascii="宋体" w:cs="宋体"/>
          <w:sz w:val="48"/>
          <w:szCs w:val="48"/>
        </w:rPr>
      </w:pPr>
    </w:p>
    <w:p>
      <w:pPr>
        <w:ind w:firstLine="1920" w:firstLineChars="400"/>
        <w:rPr>
          <w:rFonts w:ascii="宋体" w:cs="宋体"/>
          <w:sz w:val="48"/>
          <w:szCs w:val="48"/>
        </w:rPr>
      </w:pPr>
    </w:p>
    <w:p>
      <w:pPr>
        <w:rPr>
          <w:rFonts w:ascii="宋体" w:cs="宋体"/>
          <w:sz w:val="48"/>
          <w:szCs w:val="48"/>
        </w:rPr>
      </w:pPr>
    </w:p>
    <w:p>
      <w:pPr>
        <w:spacing w:line="480" w:lineRule="auto"/>
        <w:ind w:firstLine="1263" w:firstLineChars="393"/>
        <w:rPr>
          <w:rFonts w:ascii="宋体" w:cs="宋体"/>
          <w:b/>
          <w:bCs/>
          <w:sz w:val="32"/>
          <w:szCs w:val="22"/>
        </w:rPr>
      </w:pPr>
      <w:r>
        <w:rPr>
          <w:rFonts w:hint="eastAsia" w:ascii="宋体" w:hAnsi="宋体" w:cs="宋体"/>
          <w:b/>
          <w:bCs/>
          <w:sz w:val="32"/>
          <w:szCs w:val="22"/>
        </w:rPr>
        <w:t>项目名称：全省林业有害生物防治职业技能竞赛服务采购项目</w:t>
      </w:r>
    </w:p>
    <w:p>
      <w:pPr>
        <w:spacing w:line="480" w:lineRule="auto"/>
        <w:ind w:firstLine="1263" w:firstLineChars="393"/>
        <w:rPr>
          <w:rFonts w:ascii="宋体" w:cs="宋体"/>
          <w:b/>
          <w:bCs/>
          <w:sz w:val="32"/>
          <w:szCs w:val="22"/>
        </w:rPr>
      </w:pPr>
      <w:r>
        <w:rPr>
          <w:rFonts w:hint="eastAsia" w:ascii="宋体" w:hAnsi="宋体" w:cs="宋体"/>
          <w:b/>
          <w:bCs/>
          <w:sz w:val="32"/>
          <w:szCs w:val="22"/>
        </w:rPr>
        <w:t>项目编号：</w:t>
      </w:r>
      <w:r>
        <w:rPr>
          <w:rFonts w:ascii="宋体" w:hAnsi="宋体" w:cs="宋体"/>
          <w:b/>
          <w:bCs/>
          <w:sz w:val="32"/>
          <w:szCs w:val="22"/>
        </w:rPr>
        <w:t>JXTC2023200115</w:t>
      </w:r>
    </w:p>
    <w:p>
      <w:pPr>
        <w:spacing w:line="480" w:lineRule="auto"/>
        <w:jc w:val="center"/>
        <w:rPr>
          <w:rFonts w:ascii="宋体" w:cs="宋体"/>
          <w:sz w:val="48"/>
        </w:rPr>
      </w:pPr>
    </w:p>
    <w:p>
      <w:pPr>
        <w:spacing w:line="480" w:lineRule="auto"/>
        <w:jc w:val="center"/>
        <w:rPr>
          <w:rFonts w:ascii="宋体" w:cs="宋体"/>
          <w:sz w:val="48"/>
        </w:rPr>
      </w:pPr>
    </w:p>
    <w:p>
      <w:pPr>
        <w:spacing w:line="480" w:lineRule="auto"/>
        <w:jc w:val="center"/>
        <w:rPr>
          <w:rFonts w:ascii="宋体" w:cs="宋体"/>
          <w:b/>
          <w:sz w:val="36"/>
        </w:rPr>
      </w:pPr>
      <w:r>
        <w:rPr>
          <w:rFonts w:hint="eastAsia" w:ascii="宋体" w:hAnsi="宋体" w:cs="宋体"/>
          <w:b/>
          <w:sz w:val="36"/>
        </w:rPr>
        <w:t>江西省机电设备招标有限公司</w:t>
      </w:r>
    </w:p>
    <w:p>
      <w:pPr>
        <w:spacing w:line="360" w:lineRule="auto"/>
        <w:jc w:val="center"/>
        <w:rPr>
          <w:rFonts w:ascii="宋体" w:cs="宋体"/>
          <w:bCs/>
          <w:sz w:val="52"/>
        </w:rPr>
      </w:pPr>
      <w:r>
        <w:rPr>
          <w:rFonts w:hint="eastAsia" w:ascii="宋体" w:hAnsi="宋体" w:cs="宋体"/>
          <w:b/>
          <w:sz w:val="36"/>
        </w:rPr>
        <w:t>中国</w:t>
      </w:r>
      <w:r>
        <w:rPr>
          <w:rFonts w:hint="eastAsia" w:ascii="宋体" w:hAnsi="Symbol" w:cs="宋体"/>
          <w:b/>
          <w:sz w:val="24"/>
          <w:szCs w:val="24"/>
        </w:rPr>
        <w:sym w:font="Symbol" w:char="F0B7"/>
      </w:r>
      <w:r>
        <w:rPr>
          <w:rFonts w:hint="eastAsia" w:ascii="宋体" w:hAnsi="宋体" w:cs="宋体"/>
          <w:b/>
          <w:sz w:val="36"/>
        </w:rPr>
        <w:t>南昌</w:t>
      </w:r>
      <w:r>
        <w:rPr>
          <w:rFonts w:ascii="宋体" w:cs="宋体"/>
          <w:b/>
          <w:sz w:val="36"/>
        </w:rPr>
        <w:br w:type="page"/>
      </w:r>
      <w:r>
        <w:rPr>
          <w:rFonts w:hint="eastAsia" w:ascii="宋体" w:hAnsi="宋体" w:cs="宋体"/>
          <w:bCs/>
          <w:sz w:val="44"/>
          <w:szCs w:val="16"/>
        </w:rPr>
        <w:t>目录</w:t>
      </w:r>
    </w:p>
    <w:p>
      <w:pPr>
        <w:pStyle w:val="16"/>
        <w:tabs>
          <w:tab w:val="right" w:leader="dot" w:pos="9923"/>
          <w:tab w:val="clear" w:pos="9639"/>
        </w:tabs>
      </w:pPr>
      <w:r>
        <w:rPr>
          <w:rStyle w:val="31"/>
          <w:rFonts w:ascii="宋体" w:hAnsi="宋体" w:cs="宋体"/>
          <w:color w:val="auto"/>
        </w:rPr>
        <w:fldChar w:fldCharType="begin"/>
      </w:r>
      <w:r>
        <w:rPr>
          <w:rStyle w:val="31"/>
          <w:rFonts w:ascii="宋体" w:hAnsi="宋体" w:cs="宋体"/>
          <w:color w:val="auto"/>
        </w:rPr>
        <w:instrText xml:space="preserve"> TOC \o "1-3" \h \z \u </w:instrText>
      </w:r>
      <w:r>
        <w:rPr>
          <w:rStyle w:val="31"/>
          <w:rFonts w:ascii="宋体" w:hAnsi="宋体" w:cs="宋体"/>
          <w:color w:val="auto"/>
        </w:rPr>
        <w:fldChar w:fldCharType="separate"/>
      </w:r>
      <w:r>
        <w:rPr>
          <w:rFonts w:ascii="宋体" w:hAnsi="宋体" w:cs="宋体"/>
          <w:color w:val="auto"/>
        </w:rPr>
        <w:fldChar w:fldCharType="begin"/>
      </w:r>
      <w:r>
        <w:rPr>
          <w:rFonts w:ascii="宋体" w:hAnsi="宋体" w:cs="宋体"/>
        </w:rPr>
        <w:instrText xml:space="preserve"> HYPERLINK \l _Toc10617 </w:instrText>
      </w:r>
      <w:r>
        <w:rPr>
          <w:rFonts w:ascii="宋体" w:hAnsi="宋体" w:cs="宋体"/>
        </w:rPr>
        <w:fldChar w:fldCharType="separate"/>
      </w:r>
      <w:r>
        <w:rPr>
          <w:rFonts w:hint="eastAsia" w:hAnsi="宋体" w:cs="Times New Roman"/>
          <w:bCs/>
        </w:rPr>
        <w:t xml:space="preserve">第一章 </w:t>
      </w:r>
      <w:r>
        <w:rPr>
          <w:rFonts w:hint="eastAsia" w:hAnsi="宋体" w:cs="宋体"/>
          <w:bCs/>
        </w:rPr>
        <w:t>磋商邀请</w:t>
      </w:r>
      <w:r>
        <w:tab/>
      </w:r>
      <w:r>
        <w:fldChar w:fldCharType="begin"/>
      </w:r>
      <w:r>
        <w:instrText xml:space="preserve"> PAGEREF _Toc10617 </w:instrText>
      </w:r>
      <w:r>
        <w:fldChar w:fldCharType="separate"/>
      </w:r>
      <w:r>
        <w:t>2</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_Toc12104 </w:instrText>
      </w:r>
      <w:r>
        <w:rPr>
          <w:rFonts w:ascii="宋体" w:hAnsi="宋体" w:cs="宋体"/>
        </w:rPr>
        <w:fldChar w:fldCharType="separate"/>
      </w:r>
      <w:r>
        <w:rPr>
          <w:rFonts w:hint="eastAsia" w:ascii="宋体" w:hAnsi="宋体" w:eastAsia="宋体" w:cs="宋体"/>
          <w:bCs w:val="0"/>
          <w:kern w:val="2"/>
          <w:szCs w:val="22"/>
          <w:lang w:val="en-US" w:eastAsia="zh-CN" w:bidi="ar-SA"/>
        </w:rPr>
        <w:t>合同履行期限：合同签订之项目服务结束</w:t>
      </w:r>
      <w:r>
        <w:tab/>
      </w:r>
      <w:r>
        <w:fldChar w:fldCharType="begin"/>
      </w:r>
      <w:r>
        <w:instrText xml:space="preserve"> PAGEREF _Toc12104 </w:instrText>
      </w:r>
      <w:r>
        <w:fldChar w:fldCharType="separate"/>
      </w:r>
      <w:r>
        <w:t>2</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_Toc29318 </w:instrText>
      </w:r>
      <w:r>
        <w:rPr>
          <w:rFonts w:ascii="宋体" w:hAnsi="宋体" w:cs="宋体"/>
        </w:rPr>
        <w:fldChar w:fldCharType="separate"/>
      </w:r>
      <w:r>
        <w:rPr>
          <w:rFonts w:hint="eastAsia" w:ascii="宋体" w:hAnsi="宋体" w:eastAsia="宋体" w:cs="宋体"/>
          <w:bCs w:val="0"/>
          <w:kern w:val="2"/>
          <w:szCs w:val="22"/>
          <w:lang w:val="en-US" w:eastAsia="zh-CN" w:bidi="ar-SA"/>
        </w:rPr>
        <w:t>本项目（不）接受联合体。</w:t>
      </w:r>
      <w:r>
        <w:tab/>
      </w:r>
      <w:r>
        <w:fldChar w:fldCharType="begin"/>
      </w:r>
      <w:r>
        <w:instrText xml:space="preserve"> PAGEREF _Toc29318 </w:instrText>
      </w:r>
      <w:r>
        <w:fldChar w:fldCharType="separate"/>
      </w:r>
      <w:r>
        <w:t>2</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_Toc17210 </w:instrText>
      </w:r>
      <w:r>
        <w:rPr>
          <w:rFonts w:ascii="宋体" w:hAnsi="宋体" w:cs="宋体"/>
        </w:rPr>
        <w:fldChar w:fldCharType="separate"/>
      </w:r>
      <w:r>
        <w:rPr>
          <w:rFonts w:hint="default" w:hAnsi="宋体" w:cs="Times New Roman"/>
          <w:bCs/>
        </w:rPr>
        <w:t xml:space="preserve">第二章 </w:t>
      </w:r>
      <w:r>
        <w:rPr>
          <w:rFonts w:hint="eastAsia" w:hAnsi="宋体" w:cs="宋体"/>
          <w:bCs/>
        </w:rPr>
        <w:t>供应商须知</w:t>
      </w:r>
      <w:r>
        <w:tab/>
      </w:r>
      <w:r>
        <w:fldChar w:fldCharType="begin"/>
      </w:r>
      <w:r>
        <w:instrText xml:space="preserve"> PAGEREF _Toc17210 </w:instrText>
      </w:r>
      <w:r>
        <w:fldChar w:fldCharType="separate"/>
      </w:r>
      <w:r>
        <w:t>4</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_Toc30853 </w:instrText>
      </w:r>
      <w:r>
        <w:rPr>
          <w:rFonts w:ascii="宋体" w:hAnsi="宋体" w:cs="宋体"/>
        </w:rPr>
        <w:fldChar w:fldCharType="separate"/>
      </w:r>
      <w:r>
        <w:rPr>
          <w:rFonts w:hint="default" w:ascii="宋体" w:cs="Times New Roman"/>
          <w:szCs w:val="28"/>
        </w:rPr>
        <w:t xml:space="preserve">一、 </w:t>
      </w:r>
      <w:r>
        <w:rPr>
          <w:rFonts w:hint="eastAsia" w:ascii="宋体" w:hAnsi="宋体" w:cs="宋体"/>
          <w:szCs w:val="28"/>
        </w:rPr>
        <w:t>供应商须知前附表</w:t>
      </w:r>
      <w:r>
        <w:tab/>
      </w:r>
      <w:r>
        <w:fldChar w:fldCharType="begin"/>
      </w:r>
      <w:r>
        <w:instrText xml:space="preserve"> PAGEREF _Toc30853 </w:instrText>
      </w:r>
      <w:r>
        <w:fldChar w:fldCharType="separate"/>
      </w:r>
      <w:r>
        <w:t>4</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_Toc15970 </w:instrText>
      </w:r>
      <w:r>
        <w:rPr>
          <w:rFonts w:ascii="宋体" w:hAnsi="宋体" w:cs="宋体"/>
        </w:rPr>
        <w:fldChar w:fldCharType="separate"/>
      </w:r>
      <w:r>
        <w:rPr>
          <w:rFonts w:hint="eastAsia" w:ascii="宋体" w:hAnsi="宋体" w:cs="宋体"/>
          <w:szCs w:val="28"/>
        </w:rPr>
        <w:t>二、说明</w:t>
      </w:r>
      <w:r>
        <w:tab/>
      </w:r>
      <w:r>
        <w:fldChar w:fldCharType="begin"/>
      </w:r>
      <w:r>
        <w:instrText xml:space="preserve"> PAGEREF _Toc15970 </w:instrText>
      </w:r>
      <w:r>
        <w:fldChar w:fldCharType="separate"/>
      </w:r>
      <w:r>
        <w:t>6</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_Toc26563 </w:instrText>
      </w:r>
      <w:r>
        <w:rPr>
          <w:rFonts w:ascii="宋体" w:hAnsi="宋体" w:cs="宋体"/>
        </w:rPr>
        <w:fldChar w:fldCharType="separate"/>
      </w:r>
      <w:r>
        <w:rPr>
          <w:rFonts w:hint="eastAsia" w:asciiTheme="minorEastAsia" w:hAnsiTheme="minorEastAsia" w:eastAsiaTheme="minorEastAsia" w:cstheme="minorEastAsia"/>
          <w:szCs w:val="28"/>
        </w:rPr>
        <w:t>三、 磋商文件</w:t>
      </w:r>
      <w:r>
        <w:tab/>
      </w:r>
      <w:r>
        <w:fldChar w:fldCharType="begin"/>
      </w:r>
      <w:r>
        <w:instrText xml:space="preserve"> PAGEREF _Toc26563 </w:instrText>
      </w:r>
      <w:r>
        <w:fldChar w:fldCharType="separate"/>
      </w:r>
      <w:r>
        <w:t>6</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_Toc13862 </w:instrText>
      </w:r>
      <w:r>
        <w:rPr>
          <w:rFonts w:ascii="宋体" w:hAnsi="宋体" w:cs="宋体"/>
        </w:rPr>
        <w:fldChar w:fldCharType="separate"/>
      </w:r>
      <w:r>
        <w:rPr>
          <w:rFonts w:hint="eastAsia" w:asciiTheme="minorEastAsia" w:hAnsiTheme="minorEastAsia" w:eastAsiaTheme="minorEastAsia" w:cstheme="minorEastAsia"/>
          <w:szCs w:val="28"/>
        </w:rPr>
        <w:t>四、 响应文件的编制</w:t>
      </w:r>
      <w:r>
        <w:tab/>
      </w:r>
      <w:r>
        <w:fldChar w:fldCharType="begin"/>
      </w:r>
      <w:r>
        <w:instrText xml:space="preserve"> PAGEREF _Toc13862 </w:instrText>
      </w:r>
      <w:r>
        <w:fldChar w:fldCharType="separate"/>
      </w:r>
      <w:r>
        <w:t>9</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_Toc31000 </w:instrText>
      </w:r>
      <w:r>
        <w:rPr>
          <w:rFonts w:ascii="宋体" w:hAnsi="宋体" w:cs="宋体"/>
        </w:rPr>
        <w:fldChar w:fldCharType="separate"/>
      </w:r>
      <w:r>
        <w:rPr>
          <w:rFonts w:hint="eastAsia" w:asciiTheme="minorEastAsia" w:hAnsiTheme="minorEastAsia" w:eastAsiaTheme="minorEastAsia" w:cstheme="minorEastAsia"/>
          <w:szCs w:val="28"/>
        </w:rPr>
        <w:t>五、 响应文件的递交</w:t>
      </w:r>
      <w:r>
        <w:tab/>
      </w:r>
      <w:r>
        <w:fldChar w:fldCharType="begin"/>
      </w:r>
      <w:r>
        <w:instrText xml:space="preserve"> PAGEREF _Toc31000 </w:instrText>
      </w:r>
      <w:r>
        <w:fldChar w:fldCharType="separate"/>
      </w:r>
      <w:r>
        <w:t>11</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_Toc15591 </w:instrText>
      </w:r>
      <w:r>
        <w:rPr>
          <w:rFonts w:ascii="宋体" w:hAnsi="宋体" w:cs="宋体"/>
        </w:rPr>
        <w:fldChar w:fldCharType="separate"/>
      </w:r>
      <w:r>
        <w:rPr>
          <w:rFonts w:hint="eastAsia" w:asciiTheme="minorEastAsia" w:hAnsiTheme="minorEastAsia" w:eastAsiaTheme="minorEastAsia" w:cstheme="minorEastAsia"/>
          <w:szCs w:val="28"/>
        </w:rPr>
        <w:t>六、 磋商</w:t>
      </w:r>
      <w:r>
        <w:tab/>
      </w:r>
      <w:r>
        <w:fldChar w:fldCharType="begin"/>
      </w:r>
      <w:r>
        <w:instrText xml:space="preserve"> PAGEREF _Toc15591 </w:instrText>
      </w:r>
      <w:r>
        <w:fldChar w:fldCharType="separate"/>
      </w:r>
      <w:r>
        <w:t>11</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_Toc18106 </w:instrText>
      </w:r>
      <w:r>
        <w:rPr>
          <w:rFonts w:ascii="宋体" w:hAnsi="宋体" w:cs="宋体"/>
        </w:rPr>
        <w:fldChar w:fldCharType="separate"/>
      </w:r>
      <w:r>
        <w:rPr>
          <w:rFonts w:hint="eastAsia" w:asciiTheme="minorEastAsia" w:hAnsiTheme="minorEastAsia" w:eastAsiaTheme="minorEastAsia" w:cstheme="minorEastAsia"/>
          <w:szCs w:val="28"/>
        </w:rPr>
        <w:t>七、推荐成交候选供应商、确定成交供应商</w:t>
      </w:r>
      <w:r>
        <w:tab/>
      </w:r>
      <w:r>
        <w:fldChar w:fldCharType="begin"/>
      </w:r>
      <w:r>
        <w:instrText xml:space="preserve"> PAGEREF _Toc18106 </w:instrText>
      </w:r>
      <w:r>
        <w:fldChar w:fldCharType="separate"/>
      </w:r>
      <w:r>
        <w:t>15</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_Toc30702 </w:instrText>
      </w:r>
      <w:r>
        <w:rPr>
          <w:rFonts w:ascii="宋体" w:hAnsi="宋体" w:cs="宋体"/>
        </w:rPr>
        <w:fldChar w:fldCharType="separate"/>
      </w:r>
      <w:r>
        <w:rPr>
          <w:rFonts w:hint="eastAsia" w:asciiTheme="minorEastAsia" w:hAnsiTheme="minorEastAsia" w:eastAsiaTheme="minorEastAsia" w:cstheme="minorEastAsia"/>
          <w:szCs w:val="28"/>
        </w:rPr>
        <w:t>八、成交结果公告、成交通知书</w:t>
      </w:r>
      <w:r>
        <w:tab/>
      </w:r>
      <w:r>
        <w:fldChar w:fldCharType="begin"/>
      </w:r>
      <w:r>
        <w:instrText xml:space="preserve"> PAGEREF _Toc30702 </w:instrText>
      </w:r>
      <w:r>
        <w:fldChar w:fldCharType="separate"/>
      </w:r>
      <w:r>
        <w:t>15</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_Toc19705 </w:instrText>
      </w:r>
      <w:r>
        <w:rPr>
          <w:rFonts w:ascii="宋体" w:hAnsi="宋体" w:cs="宋体"/>
        </w:rPr>
        <w:fldChar w:fldCharType="separate"/>
      </w:r>
      <w:r>
        <w:rPr>
          <w:rFonts w:hint="eastAsia" w:asciiTheme="minorEastAsia" w:hAnsiTheme="minorEastAsia" w:eastAsiaTheme="minorEastAsia" w:cstheme="minorEastAsia"/>
          <w:szCs w:val="28"/>
        </w:rPr>
        <w:t>九、履约保证金、签订合同</w:t>
      </w:r>
      <w:r>
        <w:tab/>
      </w:r>
      <w:r>
        <w:fldChar w:fldCharType="begin"/>
      </w:r>
      <w:r>
        <w:instrText xml:space="preserve"> PAGEREF _Toc19705 </w:instrText>
      </w:r>
      <w:r>
        <w:fldChar w:fldCharType="separate"/>
      </w:r>
      <w:r>
        <w:t>15</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_Toc7568 </w:instrText>
      </w:r>
      <w:r>
        <w:rPr>
          <w:rFonts w:ascii="宋体" w:hAnsi="宋体" w:cs="宋体"/>
        </w:rPr>
        <w:fldChar w:fldCharType="separate"/>
      </w:r>
      <w:r>
        <w:rPr>
          <w:rFonts w:hint="eastAsia" w:asciiTheme="minorEastAsia" w:hAnsiTheme="minorEastAsia" w:eastAsiaTheme="minorEastAsia" w:cstheme="minorEastAsia"/>
          <w:szCs w:val="28"/>
        </w:rPr>
        <w:t>十、询问和质疑</w:t>
      </w:r>
      <w:r>
        <w:tab/>
      </w:r>
      <w:r>
        <w:fldChar w:fldCharType="begin"/>
      </w:r>
      <w:r>
        <w:instrText xml:space="preserve"> PAGEREF _Toc7568 </w:instrText>
      </w:r>
      <w:r>
        <w:fldChar w:fldCharType="separate"/>
      </w:r>
      <w:r>
        <w:t>16</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_Toc28912 </w:instrText>
      </w:r>
      <w:r>
        <w:rPr>
          <w:rFonts w:ascii="宋体" w:hAnsi="宋体" w:cs="宋体"/>
        </w:rPr>
        <w:fldChar w:fldCharType="separate"/>
      </w:r>
      <w:r>
        <w:rPr>
          <w:rFonts w:hint="eastAsia" w:ascii="宋体" w:hAnsi="宋体" w:eastAsia="宋体" w:cs="Times New Roman"/>
          <w:szCs w:val="24"/>
        </w:rPr>
        <w:t xml:space="preserve">十一、 </w:t>
      </w:r>
      <w:r>
        <w:rPr>
          <w:rFonts w:hint="eastAsia" w:ascii="宋体" w:hAnsi="宋体" w:eastAsia="宋体" w:cs="宋体"/>
          <w:szCs w:val="24"/>
        </w:rPr>
        <w:t>意外情况的情形和处理</w:t>
      </w:r>
      <w:r>
        <w:tab/>
      </w:r>
      <w:r>
        <w:fldChar w:fldCharType="begin"/>
      </w:r>
      <w:r>
        <w:instrText xml:space="preserve"> PAGEREF _Toc28912 </w:instrText>
      </w:r>
      <w:r>
        <w:fldChar w:fldCharType="separate"/>
      </w:r>
      <w:r>
        <w:t>17</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_Toc17060 </w:instrText>
      </w:r>
      <w:r>
        <w:rPr>
          <w:rFonts w:ascii="宋体" w:hAnsi="宋体" w:cs="宋体"/>
        </w:rPr>
        <w:fldChar w:fldCharType="separate"/>
      </w:r>
      <w:r>
        <w:rPr>
          <w:rFonts w:hint="eastAsia" w:asciiTheme="minorEastAsia" w:hAnsiTheme="minorEastAsia" w:eastAsiaTheme="minorEastAsia" w:cstheme="minorEastAsia"/>
          <w:szCs w:val="28"/>
        </w:rPr>
        <w:t>十二、采购代理服务费</w:t>
      </w:r>
      <w:r>
        <w:tab/>
      </w:r>
      <w:r>
        <w:fldChar w:fldCharType="begin"/>
      </w:r>
      <w:r>
        <w:instrText xml:space="preserve"> PAGEREF _Toc17060 </w:instrText>
      </w:r>
      <w:r>
        <w:fldChar w:fldCharType="separate"/>
      </w:r>
      <w:r>
        <w:t>17</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_Toc18176 </w:instrText>
      </w:r>
      <w:r>
        <w:rPr>
          <w:rFonts w:ascii="宋体" w:hAnsi="宋体" w:cs="宋体"/>
        </w:rPr>
        <w:fldChar w:fldCharType="separate"/>
      </w:r>
      <w:r>
        <w:rPr>
          <w:rFonts w:hint="eastAsia" w:asciiTheme="minorEastAsia" w:hAnsiTheme="minorEastAsia" w:eastAsiaTheme="minorEastAsia" w:cstheme="minorEastAsia"/>
          <w:szCs w:val="28"/>
        </w:rPr>
        <w:t>十三、附则</w:t>
      </w:r>
      <w:r>
        <w:tab/>
      </w:r>
      <w:r>
        <w:fldChar w:fldCharType="begin"/>
      </w:r>
      <w:r>
        <w:instrText xml:space="preserve"> PAGEREF _Toc18176 </w:instrText>
      </w:r>
      <w:r>
        <w:fldChar w:fldCharType="separate"/>
      </w:r>
      <w:r>
        <w:t>18</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_Toc30386 </w:instrText>
      </w:r>
      <w:r>
        <w:rPr>
          <w:rFonts w:ascii="宋体" w:hAnsi="宋体" w:cs="宋体"/>
        </w:rPr>
        <w:fldChar w:fldCharType="separate"/>
      </w:r>
      <w:r>
        <w:rPr>
          <w:rFonts w:hint="eastAsia" w:hAnsi="宋体" w:cs="宋体"/>
          <w:szCs w:val="24"/>
        </w:rPr>
        <w:t>※</w:t>
      </w:r>
      <w:r>
        <w:rPr>
          <w:rFonts w:hint="eastAsia" w:hAnsi="宋体" w:cs="宋体"/>
          <w:bCs/>
        </w:rPr>
        <w:t>第三章　</w:t>
      </w:r>
      <w:r>
        <w:rPr>
          <w:rFonts w:hint="eastAsia" w:hAnsi="宋体" w:cs="宋体"/>
          <w:szCs w:val="32"/>
        </w:rPr>
        <w:t>拟签订的合同文本</w:t>
      </w:r>
      <w:r>
        <w:tab/>
      </w:r>
      <w:r>
        <w:fldChar w:fldCharType="begin"/>
      </w:r>
      <w:r>
        <w:instrText xml:space="preserve"> PAGEREF _Toc30386 </w:instrText>
      </w:r>
      <w:r>
        <w:fldChar w:fldCharType="separate"/>
      </w:r>
      <w:r>
        <w:t>18</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_Toc30139 </w:instrText>
      </w:r>
      <w:r>
        <w:rPr>
          <w:rFonts w:ascii="宋体" w:hAnsi="宋体" w:cs="宋体"/>
        </w:rPr>
        <w:fldChar w:fldCharType="separate"/>
      </w:r>
      <w:r>
        <w:rPr>
          <w:rFonts w:hint="eastAsia" w:hAnsi="宋体" w:cs="宋体"/>
          <w:bCs/>
        </w:rPr>
        <w:t>第四章响应文件格式</w:t>
      </w:r>
      <w:r>
        <w:tab/>
      </w:r>
      <w:r>
        <w:fldChar w:fldCharType="begin"/>
      </w:r>
      <w:r>
        <w:instrText xml:space="preserve"> PAGEREF _Toc30139 </w:instrText>
      </w:r>
      <w:r>
        <w:fldChar w:fldCharType="separate"/>
      </w:r>
      <w:r>
        <w:t>22</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_Toc16632 </w:instrText>
      </w:r>
      <w:r>
        <w:rPr>
          <w:rFonts w:ascii="宋体" w:hAnsi="宋体" w:cs="宋体"/>
        </w:rPr>
        <w:fldChar w:fldCharType="separate"/>
      </w:r>
      <w:r>
        <w:rPr>
          <w:rFonts w:hint="eastAsia" w:ascii="宋体" w:hAnsi="宋体" w:cs="宋体"/>
          <w:szCs w:val="30"/>
        </w:rPr>
        <w:t>格式</w:t>
      </w:r>
      <w:r>
        <w:rPr>
          <w:rFonts w:ascii="宋体" w:hAnsi="宋体" w:cs="宋体"/>
          <w:szCs w:val="30"/>
        </w:rPr>
        <w:t xml:space="preserve">1. </w:t>
      </w:r>
      <w:r>
        <w:rPr>
          <w:rFonts w:hint="eastAsia" w:ascii="宋体" w:hAnsi="宋体" w:cs="宋体"/>
          <w:szCs w:val="30"/>
        </w:rPr>
        <w:t>磋商响应书</w:t>
      </w:r>
      <w:r>
        <w:tab/>
      </w:r>
      <w:r>
        <w:fldChar w:fldCharType="begin"/>
      </w:r>
      <w:r>
        <w:instrText xml:space="preserve"> PAGEREF _Toc16632 </w:instrText>
      </w:r>
      <w:r>
        <w:fldChar w:fldCharType="separate"/>
      </w:r>
      <w:r>
        <w:t>23</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_Toc28197 </w:instrText>
      </w:r>
      <w:r>
        <w:rPr>
          <w:rFonts w:ascii="宋体" w:hAnsi="宋体" w:cs="宋体"/>
        </w:rPr>
        <w:fldChar w:fldCharType="separate"/>
      </w:r>
      <w:r>
        <w:rPr>
          <w:rFonts w:hint="eastAsia" w:ascii="宋体" w:hAnsi="宋体" w:cs="仿宋"/>
          <w:szCs w:val="24"/>
        </w:rPr>
        <w:t>格式</w:t>
      </w:r>
      <w:r>
        <w:rPr>
          <w:rFonts w:ascii="宋体" w:hAnsi="宋体" w:cs="仿宋"/>
          <w:szCs w:val="24"/>
        </w:rPr>
        <w:t>2.</w:t>
      </w:r>
      <w:r>
        <w:rPr>
          <w:rFonts w:hint="eastAsia" w:ascii="宋体" w:hAnsi="宋体" w:cs="仿宋"/>
          <w:szCs w:val="24"/>
          <w:lang w:val="en-US" w:eastAsia="zh-CN"/>
        </w:rPr>
        <w:t xml:space="preserve"> </w:t>
      </w:r>
      <w:r>
        <w:rPr>
          <w:rFonts w:hint="eastAsia" w:ascii="宋体" w:hAnsi="宋体" w:cs="仿宋"/>
          <w:szCs w:val="24"/>
        </w:rPr>
        <w:t>开标一览表</w:t>
      </w:r>
      <w:r>
        <w:tab/>
      </w:r>
      <w:r>
        <w:fldChar w:fldCharType="begin"/>
      </w:r>
      <w:r>
        <w:instrText xml:space="preserve"> PAGEREF _Toc28197 </w:instrText>
      </w:r>
      <w:r>
        <w:fldChar w:fldCharType="separate"/>
      </w:r>
      <w:r>
        <w:t>24</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_Toc16928 </w:instrText>
      </w:r>
      <w:r>
        <w:rPr>
          <w:rFonts w:ascii="宋体" w:hAnsi="宋体" w:cs="宋体"/>
        </w:rPr>
        <w:fldChar w:fldCharType="separate"/>
      </w:r>
      <w:r>
        <w:rPr>
          <w:rFonts w:hint="eastAsia" w:ascii="宋体" w:hAnsi="宋体" w:cs="仿宋"/>
          <w:szCs w:val="24"/>
        </w:rPr>
        <w:t>格式</w:t>
      </w:r>
      <w:r>
        <w:rPr>
          <w:rFonts w:ascii="宋体" w:hAnsi="宋体" w:cs="仿宋"/>
          <w:szCs w:val="24"/>
        </w:rPr>
        <w:t>3.</w:t>
      </w:r>
      <w:r>
        <w:rPr>
          <w:rFonts w:hint="eastAsia" w:ascii="宋体" w:hAnsi="宋体" w:cs="仿宋"/>
          <w:szCs w:val="24"/>
          <w:lang w:val="en-US" w:eastAsia="zh-CN"/>
        </w:rPr>
        <w:t xml:space="preserve"> </w:t>
      </w:r>
      <w:r>
        <w:rPr>
          <w:rFonts w:hint="eastAsia" w:ascii="宋体" w:hAnsi="宋体" w:cs="仿宋"/>
          <w:szCs w:val="24"/>
        </w:rPr>
        <w:t>分项报价表</w:t>
      </w:r>
      <w:r>
        <w:tab/>
      </w:r>
      <w:r>
        <w:fldChar w:fldCharType="begin"/>
      </w:r>
      <w:r>
        <w:instrText xml:space="preserve"> PAGEREF _Toc16928 </w:instrText>
      </w:r>
      <w:r>
        <w:fldChar w:fldCharType="separate"/>
      </w:r>
      <w:r>
        <w:t>24</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_Toc23318 </w:instrText>
      </w:r>
      <w:r>
        <w:rPr>
          <w:rFonts w:ascii="宋体" w:hAnsi="宋体" w:cs="宋体"/>
        </w:rPr>
        <w:fldChar w:fldCharType="separate"/>
      </w:r>
      <w:r>
        <w:rPr>
          <w:rFonts w:hint="eastAsia" w:ascii="宋体" w:hAnsi="宋体" w:cs="宋体"/>
          <w:szCs w:val="24"/>
        </w:rPr>
        <w:t>格式</w:t>
      </w:r>
      <w:r>
        <w:rPr>
          <w:rFonts w:ascii="宋体" w:hAnsi="宋体" w:cs="宋体"/>
          <w:szCs w:val="24"/>
        </w:rPr>
        <w:t>4</w:t>
      </w:r>
      <w:r>
        <w:rPr>
          <w:rFonts w:hint="eastAsia" w:ascii="宋体" w:hAnsi="宋体" w:cs="宋体"/>
          <w:szCs w:val="24"/>
        </w:rPr>
        <w:t>．</w:t>
      </w:r>
      <w:r>
        <w:rPr>
          <w:rFonts w:hint="eastAsia" w:ascii="宋体" w:hAnsi="宋体" w:cs="宋体"/>
          <w:szCs w:val="24"/>
          <w:lang w:val="en-US" w:eastAsia="zh-CN"/>
        </w:rPr>
        <w:t xml:space="preserve"> </w:t>
      </w:r>
      <w:r>
        <w:rPr>
          <w:rFonts w:hint="eastAsia" w:ascii="宋体" w:hAnsi="宋体" w:cs="宋体"/>
          <w:szCs w:val="24"/>
        </w:rPr>
        <w:t>开标一览表明细</w:t>
      </w:r>
      <w:r>
        <w:tab/>
      </w:r>
      <w:r>
        <w:fldChar w:fldCharType="begin"/>
      </w:r>
      <w:r>
        <w:instrText xml:space="preserve"> PAGEREF _Toc23318 </w:instrText>
      </w:r>
      <w:r>
        <w:fldChar w:fldCharType="separate"/>
      </w:r>
      <w:r>
        <w:t>25</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_Toc6960 </w:instrText>
      </w:r>
      <w:r>
        <w:rPr>
          <w:rFonts w:ascii="宋体" w:hAnsi="宋体" w:cs="宋体"/>
        </w:rPr>
        <w:fldChar w:fldCharType="separate"/>
      </w:r>
      <w:r>
        <w:rPr>
          <w:rFonts w:hint="eastAsia" w:ascii="宋体" w:hAnsi="宋体" w:cs="宋体"/>
          <w:szCs w:val="30"/>
        </w:rPr>
        <w:t>格式</w:t>
      </w:r>
      <w:r>
        <w:rPr>
          <w:rFonts w:ascii="宋体" w:hAnsi="宋体" w:cs="宋体"/>
          <w:szCs w:val="30"/>
        </w:rPr>
        <w:t xml:space="preserve">5. </w:t>
      </w:r>
      <w:r>
        <w:rPr>
          <w:rFonts w:hint="eastAsia" w:ascii="宋体" w:hAnsi="宋体" w:cs="宋体"/>
          <w:szCs w:val="30"/>
        </w:rPr>
        <w:t>服务要求响应</w:t>
      </w:r>
      <w:r>
        <w:rPr>
          <w:rFonts w:ascii="宋体" w:hAnsi="宋体" w:cs="宋体"/>
          <w:szCs w:val="30"/>
        </w:rPr>
        <w:t>/</w:t>
      </w:r>
      <w:r>
        <w:rPr>
          <w:rFonts w:hint="eastAsia" w:ascii="宋体" w:hAnsi="宋体" w:cs="宋体"/>
          <w:szCs w:val="30"/>
        </w:rPr>
        <w:t>偏离表</w:t>
      </w:r>
      <w:r>
        <w:tab/>
      </w:r>
      <w:r>
        <w:fldChar w:fldCharType="begin"/>
      </w:r>
      <w:r>
        <w:instrText xml:space="preserve"> PAGEREF _Toc6960 </w:instrText>
      </w:r>
      <w:r>
        <w:fldChar w:fldCharType="separate"/>
      </w:r>
      <w:r>
        <w:t>26</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_Toc7392 </w:instrText>
      </w:r>
      <w:r>
        <w:rPr>
          <w:rFonts w:ascii="宋体" w:hAnsi="宋体" w:cs="宋体"/>
        </w:rPr>
        <w:fldChar w:fldCharType="separate"/>
      </w:r>
      <w:r>
        <w:rPr>
          <w:rFonts w:hint="eastAsia" w:ascii="宋体" w:hAnsi="宋体" w:cs="宋体"/>
          <w:szCs w:val="30"/>
        </w:rPr>
        <w:t>格式</w:t>
      </w:r>
      <w:r>
        <w:rPr>
          <w:rFonts w:ascii="宋体" w:hAnsi="宋体" w:cs="宋体"/>
          <w:szCs w:val="30"/>
        </w:rPr>
        <w:t xml:space="preserve">6. </w:t>
      </w:r>
      <w:r>
        <w:rPr>
          <w:rFonts w:hint="eastAsia" w:ascii="宋体" w:hAnsi="宋体" w:cs="宋体"/>
          <w:szCs w:val="30"/>
        </w:rPr>
        <w:t>商务条款响应</w:t>
      </w:r>
      <w:r>
        <w:rPr>
          <w:rFonts w:ascii="宋体" w:hAnsi="宋体" w:cs="宋体"/>
          <w:szCs w:val="30"/>
        </w:rPr>
        <w:t>/</w:t>
      </w:r>
      <w:r>
        <w:rPr>
          <w:rFonts w:hint="eastAsia" w:ascii="宋体" w:hAnsi="宋体" w:cs="宋体"/>
          <w:szCs w:val="30"/>
        </w:rPr>
        <w:t>偏离表</w:t>
      </w:r>
      <w:r>
        <w:tab/>
      </w:r>
      <w:r>
        <w:fldChar w:fldCharType="begin"/>
      </w:r>
      <w:r>
        <w:instrText xml:space="preserve"> PAGEREF _Toc7392 </w:instrText>
      </w:r>
      <w:r>
        <w:fldChar w:fldCharType="separate"/>
      </w:r>
      <w:r>
        <w:t>27</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_Toc26892 </w:instrText>
      </w:r>
      <w:r>
        <w:rPr>
          <w:rFonts w:ascii="宋体" w:hAnsi="宋体" w:cs="宋体"/>
        </w:rPr>
        <w:fldChar w:fldCharType="separate"/>
      </w:r>
      <w:r>
        <w:rPr>
          <w:rFonts w:hAnsi="宋体" w:cs="宋体"/>
        </w:rPr>
        <w:t>7</w:t>
      </w:r>
      <w:r>
        <w:rPr>
          <w:rFonts w:hint="eastAsia" w:hAnsi="宋体" w:cs="宋体"/>
        </w:rPr>
        <w:t>、为落实政府采购政策供应商须提供的证明材料</w:t>
      </w:r>
      <w:r>
        <w:tab/>
      </w:r>
      <w:r>
        <w:fldChar w:fldCharType="begin"/>
      </w:r>
      <w:r>
        <w:instrText xml:space="preserve"> PAGEREF _Toc26892 </w:instrText>
      </w:r>
      <w:r>
        <w:fldChar w:fldCharType="separate"/>
      </w:r>
      <w:r>
        <w:t>28</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_Toc2885 </w:instrText>
      </w:r>
      <w:r>
        <w:rPr>
          <w:rFonts w:ascii="宋体" w:hAnsi="宋体" w:cs="宋体"/>
        </w:rPr>
        <w:fldChar w:fldCharType="separate"/>
      </w:r>
      <w:r>
        <w:rPr>
          <w:rFonts w:hint="eastAsia" w:ascii="宋体" w:hAnsi="宋体" w:cs="宋体"/>
          <w:szCs w:val="28"/>
        </w:rPr>
        <w:t>格式</w:t>
      </w:r>
      <w:r>
        <w:rPr>
          <w:rFonts w:ascii="宋体" w:hAnsi="宋体" w:cs="宋体"/>
          <w:szCs w:val="28"/>
        </w:rPr>
        <w:t xml:space="preserve">7-1. </w:t>
      </w:r>
      <w:r>
        <w:rPr>
          <w:rFonts w:hint="eastAsia" w:ascii="宋体" w:hAnsi="宋体" w:cs="宋体"/>
          <w:szCs w:val="28"/>
        </w:rPr>
        <w:t>中小企业声明</w:t>
      </w:r>
      <w:r>
        <w:tab/>
      </w:r>
      <w:r>
        <w:fldChar w:fldCharType="begin"/>
      </w:r>
      <w:r>
        <w:instrText xml:space="preserve"> PAGEREF _Toc2885 </w:instrText>
      </w:r>
      <w:r>
        <w:fldChar w:fldCharType="separate"/>
      </w:r>
      <w:r>
        <w:t>28</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_Toc24852 </w:instrText>
      </w:r>
      <w:r>
        <w:rPr>
          <w:rFonts w:ascii="宋体" w:hAnsi="宋体" w:cs="宋体"/>
        </w:rPr>
        <w:fldChar w:fldCharType="separate"/>
      </w:r>
      <w:r>
        <w:rPr>
          <w:rFonts w:hint="eastAsia" w:ascii="宋体" w:hAnsi="宋体" w:cs="宋体"/>
          <w:szCs w:val="28"/>
        </w:rPr>
        <w:t>格式</w:t>
      </w:r>
      <w:r>
        <w:rPr>
          <w:rFonts w:ascii="宋体" w:hAnsi="宋体" w:cs="宋体"/>
          <w:szCs w:val="28"/>
        </w:rPr>
        <w:t>7-2.</w:t>
      </w:r>
      <w:r>
        <w:rPr>
          <w:rFonts w:hint="eastAsia" w:ascii="宋体" w:hAnsi="宋体" w:cs="宋体"/>
          <w:szCs w:val="28"/>
          <w:lang w:val="en-US" w:eastAsia="zh-CN"/>
        </w:rPr>
        <w:t xml:space="preserve"> </w:t>
      </w:r>
      <w:r>
        <w:rPr>
          <w:rFonts w:hint="eastAsia" w:ascii="宋体" w:hAnsi="宋体" w:cs="宋体"/>
          <w:szCs w:val="28"/>
        </w:rPr>
        <w:t>省级以上监狱管理局、戒毒管理局（含新疆生产建设兵团）出具的属于监狱企业证明文件</w:t>
      </w:r>
      <w:r>
        <w:tab/>
      </w:r>
      <w:r>
        <w:fldChar w:fldCharType="begin"/>
      </w:r>
      <w:r>
        <w:instrText xml:space="preserve"> PAGEREF _Toc24852 </w:instrText>
      </w:r>
      <w:r>
        <w:fldChar w:fldCharType="separate"/>
      </w:r>
      <w:r>
        <w:t>29</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_Toc30757 </w:instrText>
      </w:r>
      <w:r>
        <w:rPr>
          <w:rFonts w:ascii="宋体" w:hAnsi="宋体" w:cs="宋体"/>
        </w:rPr>
        <w:fldChar w:fldCharType="separate"/>
      </w:r>
      <w:r>
        <w:rPr>
          <w:rFonts w:hint="eastAsia" w:ascii="宋体" w:hAnsi="宋体" w:cs="宋体"/>
          <w:szCs w:val="28"/>
        </w:rPr>
        <w:t>格式</w:t>
      </w:r>
      <w:r>
        <w:rPr>
          <w:rFonts w:ascii="宋体" w:hAnsi="宋体" w:cs="宋体"/>
          <w:szCs w:val="28"/>
        </w:rPr>
        <w:t xml:space="preserve">7-3. </w:t>
      </w:r>
      <w:r>
        <w:rPr>
          <w:rFonts w:hint="eastAsia" w:ascii="宋体" w:hAnsi="宋体" w:cs="宋体"/>
          <w:szCs w:val="28"/>
        </w:rPr>
        <w:t>残疾人福利性单位声明函</w:t>
      </w:r>
      <w:r>
        <w:tab/>
      </w:r>
      <w:r>
        <w:fldChar w:fldCharType="begin"/>
      </w:r>
      <w:r>
        <w:instrText xml:space="preserve"> PAGEREF _Toc30757 </w:instrText>
      </w:r>
      <w:r>
        <w:fldChar w:fldCharType="separate"/>
      </w:r>
      <w:r>
        <w:t>29</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_Toc16291 </w:instrText>
      </w:r>
      <w:r>
        <w:rPr>
          <w:rFonts w:ascii="宋体" w:hAnsi="宋体" w:cs="宋体"/>
        </w:rPr>
        <w:fldChar w:fldCharType="separate"/>
      </w:r>
      <w:r>
        <w:rPr>
          <w:rFonts w:ascii="宋体" w:hAnsi="宋体" w:cs="宋体"/>
          <w:szCs w:val="30"/>
        </w:rPr>
        <w:t>8.</w:t>
      </w:r>
      <w:r>
        <w:rPr>
          <w:rFonts w:hint="eastAsia" w:ascii="宋体" w:hAnsi="宋体" w:cs="宋体"/>
          <w:szCs w:val="30"/>
        </w:rPr>
        <w:t>技术文件</w:t>
      </w:r>
      <w:r>
        <w:tab/>
      </w:r>
      <w:r>
        <w:fldChar w:fldCharType="begin"/>
      </w:r>
      <w:r>
        <w:instrText xml:space="preserve"> PAGEREF _Toc16291 </w:instrText>
      </w:r>
      <w:r>
        <w:fldChar w:fldCharType="separate"/>
      </w:r>
      <w:r>
        <w:t>30</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_Toc135 </w:instrText>
      </w:r>
      <w:r>
        <w:rPr>
          <w:rFonts w:ascii="宋体" w:hAnsi="宋体" w:cs="宋体"/>
        </w:rPr>
        <w:fldChar w:fldCharType="separate"/>
      </w:r>
      <w:r>
        <w:rPr>
          <w:rFonts w:ascii="宋体" w:hAnsi="宋体" w:cs="宋体"/>
          <w:szCs w:val="30"/>
        </w:rPr>
        <w:t>9.</w:t>
      </w:r>
      <w:r>
        <w:rPr>
          <w:rFonts w:hint="eastAsia" w:ascii="宋体" w:hAnsi="宋体" w:cs="宋体"/>
          <w:szCs w:val="30"/>
        </w:rPr>
        <w:t>资格证明文件</w:t>
      </w:r>
      <w:r>
        <w:tab/>
      </w:r>
      <w:r>
        <w:fldChar w:fldCharType="begin"/>
      </w:r>
      <w:r>
        <w:instrText xml:space="preserve"> PAGEREF _Toc135 </w:instrText>
      </w:r>
      <w:r>
        <w:fldChar w:fldCharType="separate"/>
      </w:r>
      <w:r>
        <w:t>31</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_Toc32624 </w:instrText>
      </w:r>
      <w:r>
        <w:rPr>
          <w:rFonts w:ascii="宋体" w:hAnsi="宋体" w:cs="宋体"/>
        </w:rPr>
        <w:fldChar w:fldCharType="separate"/>
      </w:r>
      <w:r>
        <w:rPr>
          <w:rFonts w:ascii="宋体" w:hAnsi="宋体" w:cs="宋体"/>
          <w:szCs w:val="24"/>
        </w:rPr>
        <w:t xml:space="preserve">10. </w:t>
      </w:r>
      <w:r>
        <w:rPr>
          <w:rFonts w:hint="eastAsia" w:ascii="宋体" w:hAnsi="宋体" w:cs="宋体"/>
          <w:szCs w:val="24"/>
        </w:rPr>
        <w:t>其他证明资料</w:t>
      </w:r>
      <w:r>
        <w:tab/>
      </w:r>
      <w:r>
        <w:fldChar w:fldCharType="begin"/>
      </w:r>
      <w:r>
        <w:instrText xml:space="preserve"> PAGEREF _Toc32624 </w:instrText>
      </w:r>
      <w:r>
        <w:fldChar w:fldCharType="separate"/>
      </w:r>
      <w:r>
        <w:t>36</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_Toc26340 </w:instrText>
      </w:r>
      <w:r>
        <w:rPr>
          <w:rFonts w:ascii="宋体" w:hAnsi="宋体" w:cs="宋体"/>
        </w:rPr>
        <w:fldChar w:fldCharType="separate"/>
      </w:r>
      <w:r>
        <w:rPr>
          <w:rFonts w:hint="eastAsia" w:hAnsi="宋体" w:cs="宋体"/>
          <w:szCs w:val="24"/>
        </w:rPr>
        <w:t>※</w:t>
      </w:r>
      <w:r>
        <w:rPr>
          <w:rFonts w:hint="eastAsia" w:hAnsi="宋体" w:cs="宋体"/>
          <w:bCs/>
        </w:rPr>
        <w:t>第五章采购需求一览表及采购要求</w:t>
      </w:r>
      <w:r>
        <w:tab/>
      </w:r>
      <w:r>
        <w:fldChar w:fldCharType="begin"/>
      </w:r>
      <w:r>
        <w:instrText xml:space="preserve"> PAGEREF _Toc26340 </w:instrText>
      </w:r>
      <w:r>
        <w:fldChar w:fldCharType="separate"/>
      </w:r>
      <w:r>
        <w:t>37</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_Toc18731 </w:instrText>
      </w:r>
      <w:r>
        <w:rPr>
          <w:rFonts w:ascii="宋体" w:hAnsi="宋体" w:cs="宋体"/>
        </w:rPr>
        <w:fldChar w:fldCharType="separate"/>
      </w:r>
      <w:r>
        <w:rPr>
          <w:rFonts w:hint="eastAsia" w:ascii="宋体" w:hAnsi="宋体" w:cs="宋体"/>
          <w:szCs w:val="28"/>
        </w:rPr>
        <w:t>一、采购需求一览表</w:t>
      </w:r>
      <w:r>
        <w:tab/>
      </w:r>
      <w:r>
        <w:fldChar w:fldCharType="begin"/>
      </w:r>
      <w:r>
        <w:instrText xml:space="preserve"> PAGEREF _Toc18731 </w:instrText>
      </w:r>
      <w:r>
        <w:fldChar w:fldCharType="separate"/>
      </w:r>
      <w:r>
        <w:t>37</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_Toc18659 </w:instrText>
      </w:r>
      <w:r>
        <w:rPr>
          <w:rFonts w:ascii="宋体" w:hAnsi="宋体" w:cs="宋体"/>
        </w:rPr>
        <w:fldChar w:fldCharType="separate"/>
      </w:r>
      <w:r>
        <w:rPr>
          <w:rFonts w:hint="eastAsia" w:ascii="宋体" w:hAnsi="宋体" w:cs="宋体"/>
          <w:szCs w:val="24"/>
        </w:rPr>
        <w:t>二、采购要求</w:t>
      </w:r>
      <w:r>
        <w:tab/>
      </w:r>
      <w:r>
        <w:fldChar w:fldCharType="begin"/>
      </w:r>
      <w:r>
        <w:instrText xml:space="preserve"> PAGEREF _Toc18659 </w:instrText>
      </w:r>
      <w:r>
        <w:fldChar w:fldCharType="separate"/>
      </w:r>
      <w:r>
        <w:t>38</w:t>
      </w:r>
      <w:r>
        <w:fldChar w:fldCharType="end"/>
      </w:r>
      <w:r>
        <w:rPr>
          <w:rFonts w:ascii="宋体" w:hAnsi="宋体" w:cs="宋体"/>
          <w:color w:val="auto"/>
        </w:rPr>
        <w:fldChar w:fldCharType="end"/>
      </w:r>
    </w:p>
    <w:p>
      <w:pPr>
        <w:pStyle w:val="16"/>
        <w:tabs>
          <w:tab w:val="right" w:leader="dot" w:pos="9923"/>
          <w:tab w:val="clear" w:pos="9639"/>
        </w:tabs>
      </w:pPr>
      <w:r>
        <w:rPr>
          <w:rFonts w:ascii="宋体" w:hAnsi="宋体" w:cs="宋体"/>
          <w:color w:val="auto"/>
        </w:rPr>
        <w:fldChar w:fldCharType="begin"/>
      </w:r>
      <w:r>
        <w:rPr>
          <w:rFonts w:ascii="宋体" w:hAnsi="宋体" w:cs="宋体"/>
        </w:rPr>
        <w:instrText xml:space="preserve"> HYPERLINK \l _Toc17606 </w:instrText>
      </w:r>
      <w:r>
        <w:rPr>
          <w:rFonts w:ascii="宋体" w:hAnsi="宋体" w:cs="宋体"/>
        </w:rPr>
        <w:fldChar w:fldCharType="separate"/>
      </w:r>
      <w:r>
        <w:rPr>
          <w:rFonts w:hint="eastAsia" w:hAnsi="宋体" w:cs="宋体"/>
          <w:bCs/>
        </w:rPr>
        <w:t>第六章评审标准</w:t>
      </w:r>
      <w:r>
        <w:tab/>
      </w:r>
      <w:r>
        <w:fldChar w:fldCharType="begin"/>
      </w:r>
      <w:r>
        <w:instrText xml:space="preserve"> PAGEREF _Toc17606 </w:instrText>
      </w:r>
      <w:r>
        <w:fldChar w:fldCharType="separate"/>
      </w:r>
      <w:r>
        <w:t>47</w:t>
      </w:r>
      <w:r>
        <w:fldChar w:fldCharType="end"/>
      </w:r>
      <w:r>
        <w:rPr>
          <w:rFonts w:ascii="宋体" w:hAnsi="宋体" w:cs="宋体"/>
          <w:color w:val="auto"/>
        </w:rPr>
        <w:fldChar w:fldCharType="end"/>
      </w:r>
    </w:p>
    <w:p>
      <w:pPr>
        <w:pStyle w:val="17"/>
        <w:tabs>
          <w:tab w:val="right" w:leader="dot" w:pos="9923"/>
          <w:tab w:val="clear" w:pos="941"/>
          <w:tab w:val="clear" w:pos="9629"/>
        </w:tabs>
      </w:pPr>
      <w:r>
        <w:rPr>
          <w:rFonts w:ascii="宋体" w:hAnsi="宋体" w:cs="宋体"/>
          <w:color w:val="auto"/>
        </w:rPr>
        <w:fldChar w:fldCharType="begin"/>
      </w:r>
      <w:r>
        <w:rPr>
          <w:rFonts w:ascii="宋体" w:hAnsi="宋体" w:cs="宋体"/>
        </w:rPr>
        <w:instrText xml:space="preserve"> HYPERLINK \l _Toc21481 </w:instrText>
      </w:r>
      <w:r>
        <w:rPr>
          <w:rFonts w:ascii="宋体" w:hAnsi="宋体" w:cs="宋体"/>
        </w:rPr>
        <w:fldChar w:fldCharType="separate"/>
      </w:r>
      <w:r>
        <w:rPr>
          <w:rFonts w:hint="eastAsia" w:ascii="宋体" w:hAnsi="宋体" w:cs="宋体"/>
          <w:bCs w:val="0"/>
          <w:kern w:val="2"/>
          <w:szCs w:val="24"/>
        </w:rPr>
        <w:t>满足磋商文件第五章</w:t>
      </w:r>
      <w:r>
        <w:rPr>
          <w:rFonts w:ascii="宋体" w:hAnsi="宋体" w:cs="宋体"/>
          <w:bCs w:val="0"/>
          <w:kern w:val="2"/>
          <w:szCs w:val="24"/>
        </w:rPr>
        <w:t xml:space="preserve"> </w:t>
      </w:r>
      <w:r>
        <w:rPr>
          <w:rFonts w:hint="eastAsia" w:ascii="宋体" w:hAnsi="宋体" w:cs="宋体"/>
          <w:bCs w:val="0"/>
          <w:kern w:val="2"/>
          <w:szCs w:val="24"/>
        </w:rPr>
        <w:t>采购需求一览表及采购要求</w:t>
      </w:r>
      <w:r>
        <w:rPr>
          <w:rFonts w:ascii="宋体" w:hAnsi="宋体" w:cs="宋体"/>
          <w:bCs w:val="0"/>
          <w:kern w:val="2"/>
          <w:szCs w:val="24"/>
        </w:rPr>
        <w:t>/</w:t>
      </w:r>
      <w:r>
        <w:rPr>
          <w:rFonts w:hint="eastAsia" w:ascii="宋体" w:hAnsi="宋体" w:cs="宋体"/>
          <w:bCs w:val="0"/>
          <w:kern w:val="2"/>
          <w:szCs w:val="24"/>
        </w:rPr>
        <w:t>二、采购要求</w:t>
      </w:r>
      <w:r>
        <w:rPr>
          <w:rFonts w:ascii="宋体" w:hAnsi="宋体" w:cs="宋体"/>
          <w:bCs w:val="0"/>
          <w:kern w:val="2"/>
          <w:szCs w:val="24"/>
        </w:rPr>
        <w:t>/</w:t>
      </w:r>
      <w:r>
        <w:rPr>
          <w:rFonts w:hint="eastAsia" w:ascii="宋体" w:hAnsi="宋体" w:cs="宋体"/>
          <w:bCs w:val="0"/>
          <w:kern w:val="2"/>
          <w:szCs w:val="24"/>
        </w:rPr>
        <w:t>（一）服务要求，否则作无效响应处理。</w:t>
      </w:r>
      <w:r>
        <w:tab/>
      </w:r>
      <w:r>
        <w:fldChar w:fldCharType="begin"/>
      </w:r>
      <w:r>
        <w:instrText xml:space="preserve"> PAGEREF _Toc21481 </w:instrText>
      </w:r>
      <w:r>
        <w:fldChar w:fldCharType="separate"/>
      </w:r>
      <w:r>
        <w:t>48</w:t>
      </w:r>
      <w:r>
        <w:fldChar w:fldCharType="end"/>
      </w:r>
      <w:r>
        <w:rPr>
          <w:rFonts w:ascii="宋体" w:hAnsi="宋体" w:cs="宋体"/>
          <w:color w:val="auto"/>
        </w:rPr>
        <w:fldChar w:fldCharType="end"/>
      </w:r>
    </w:p>
    <w:p>
      <w:pPr>
        <w:pStyle w:val="17"/>
        <w:spacing w:line="360" w:lineRule="exact"/>
        <w:ind w:left="31680"/>
        <w:rPr>
          <w:rFonts w:ascii="宋体" w:cs="宋体"/>
        </w:rPr>
      </w:pPr>
      <w:r>
        <w:rPr>
          <w:rFonts w:ascii="宋体" w:hAnsi="宋体" w:cs="宋体"/>
          <w:color w:val="auto"/>
        </w:rPr>
        <w:fldChar w:fldCharType="end"/>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4"/>
        <w:numPr>
          <w:ilvl w:val="0"/>
          <w:numId w:val="1"/>
        </w:numPr>
        <w:jc w:val="center"/>
        <w:rPr>
          <w:rFonts w:hAnsi="宋体" w:cs="宋体"/>
          <w:b/>
          <w:bCs/>
          <w:sz w:val="32"/>
        </w:rPr>
      </w:pPr>
      <w:bookmarkStart w:id="0" w:name="_Toc10617"/>
      <w:r>
        <w:rPr>
          <w:rFonts w:hint="eastAsia" w:hAnsi="宋体" w:cs="宋体"/>
          <w:b/>
          <w:bCs/>
          <w:sz w:val="32"/>
        </w:rPr>
        <w:t>磋商邀请</w:t>
      </w:r>
      <w:bookmarkEnd w:id="0"/>
    </w:p>
    <w:p>
      <w:pPr>
        <w:rPr>
          <w:rFonts w:ascii="宋体" w:cs="宋体"/>
        </w:rPr>
      </w:pP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sz w:val="24"/>
          <w:szCs w:val="24"/>
        </w:rPr>
      </w:pPr>
      <w:bookmarkStart w:id="167" w:name="_GoBack"/>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本项目的潜在供应商应在江西省公共资源交易网（网址：http://jxsggzy.cn/web/）报名和下载磋商文件及其它资料。并于2023年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r>
        <w:rPr>
          <w:rFonts w:hint="eastAsia" w:ascii="宋体" w:hAnsi="宋体" w:cs="宋体"/>
          <w:sz w:val="24"/>
          <w:szCs w:val="24"/>
          <w:lang w:val="en-US" w:eastAsia="zh-CN"/>
        </w:rPr>
        <w:t>09</w:t>
      </w:r>
      <w:r>
        <w:rPr>
          <w:rFonts w:hint="eastAsia" w:ascii="宋体" w:hAnsi="宋体" w:eastAsia="宋体" w:cs="宋体"/>
          <w:sz w:val="24"/>
          <w:szCs w:val="24"/>
        </w:rPr>
        <w:t>点</w:t>
      </w:r>
      <w:r>
        <w:rPr>
          <w:rFonts w:hint="eastAsia" w:ascii="宋体" w:hAnsi="宋体" w:cs="宋体"/>
          <w:sz w:val="24"/>
          <w:szCs w:val="24"/>
          <w:lang w:val="en-US" w:eastAsia="zh-CN"/>
        </w:rPr>
        <w:t>30</w:t>
      </w:r>
      <w:r>
        <w:rPr>
          <w:rFonts w:hint="eastAsia" w:ascii="宋体" w:hAnsi="宋体" w:eastAsia="宋体" w:cs="宋体"/>
          <w:sz w:val="24"/>
          <w:szCs w:val="24"/>
        </w:rPr>
        <w:t>分（北京时间）前提交响应文件。</w:t>
      </w:r>
    </w:p>
    <w:p>
      <w:pPr>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bookmarkStart w:id="1" w:name="_Toc27129"/>
      <w:bookmarkStart w:id="2" w:name="_Toc28359079"/>
      <w:bookmarkStart w:id="3" w:name="_Toc28359002"/>
      <w:bookmarkStart w:id="4" w:name="_Toc35393621"/>
      <w:bookmarkStart w:id="5" w:name="_Toc35393790"/>
      <w:bookmarkStart w:id="6" w:name="_Hlk24379207"/>
      <w:r>
        <w:rPr>
          <w:rFonts w:hint="eastAsia" w:ascii="宋体" w:hAnsi="宋体" w:eastAsia="宋体" w:cs="宋体"/>
          <w:b/>
          <w:bCs/>
          <w:sz w:val="24"/>
          <w:szCs w:val="22"/>
        </w:rPr>
        <w:t>一、项目基本情况</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项目名称：全省林业有害生物防治职业技能竞赛服务采购项目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项目编号：JXTC2023200115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政府采购计划编号：赣购2023J000837328</w:t>
      </w:r>
    </w:p>
    <w:bookmarkEnd w:id="6"/>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预算金额：60万元人民币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采购需求：</w:t>
      </w:r>
    </w:p>
    <w:tbl>
      <w:tblPr>
        <w:tblStyle w:val="20"/>
        <w:tblW w:w="8119"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27"/>
        <w:gridCol w:w="2418"/>
        <w:gridCol w:w="826"/>
        <w:gridCol w:w="827"/>
        <w:gridCol w:w="1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jc w:val="center"/>
        </w:trPr>
        <w:tc>
          <w:tcPr>
            <w:tcW w:w="2227"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w:t>
            </w:r>
            <w:r>
              <w:rPr>
                <w:rFonts w:hint="eastAsia" w:ascii="宋体" w:hAnsi="宋体" w:eastAsia="宋体" w:cs="宋体"/>
                <w:sz w:val="24"/>
                <w:szCs w:val="24"/>
              </w:rPr>
              <w:t>计划</w:t>
            </w:r>
            <w:r>
              <w:rPr>
                <w:rFonts w:hint="eastAsia" w:ascii="宋体" w:hAnsi="宋体" w:eastAsia="宋体" w:cs="宋体"/>
                <w:kern w:val="0"/>
                <w:sz w:val="24"/>
                <w:szCs w:val="24"/>
              </w:rPr>
              <w:t>编号</w:t>
            </w:r>
          </w:p>
        </w:tc>
        <w:tc>
          <w:tcPr>
            <w:tcW w:w="2418"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采购计划名称</w:t>
            </w:r>
          </w:p>
        </w:tc>
        <w:tc>
          <w:tcPr>
            <w:tcW w:w="826"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数量</w:t>
            </w:r>
          </w:p>
        </w:tc>
        <w:tc>
          <w:tcPr>
            <w:tcW w:w="827"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单位</w:t>
            </w:r>
          </w:p>
        </w:tc>
        <w:tc>
          <w:tcPr>
            <w:tcW w:w="1821"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采购预算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jc w:val="center"/>
        </w:trPr>
        <w:tc>
          <w:tcPr>
            <w:tcW w:w="2227"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赣购2023J000837328</w:t>
            </w:r>
          </w:p>
        </w:tc>
        <w:tc>
          <w:tcPr>
            <w:tcW w:w="2418"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全省林业有害生物防治职业技能竞赛</w:t>
            </w:r>
          </w:p>
        </w:tc>
        <w:tc>
          <w:tcPr>
            <w:tcW w:w="826"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7"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821"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60万元人民币</w:t>
            </w:r>
          </w:p>
        </w:tc>
      </w:tr>
    </w:tbl>
    <w:p>
      <w:pPr>
        <w:pStyle w:val="5"/>
        <w:keepNext w:val="0"/>
        <w:keepLines w:val="0"/>
        <w:spacing w:before="0" w:after="0" w:line="360" w:lineRule="auto"/>
        <w:ind w:firstLine="480" w:firstLineChars="200"/>
        <w:rPr>
          <w:rFonts w:hint="eastAsia" w:ascii="宋体" w:hAnsi="宋体" w:eastAsia="宋体" w:cs="宋体"/>
          <w:b w:val="0"/>
          <w:bCs w:val="0"/>
          <w:kern w:val="2"/>
          <w:sz w:val="24"/>
          <w:szCs w:val="22"/>
          <w:lang w:val="en-US" w:eastAsia="zh-CN" w:bidi="ar-SA"/>
        </w:rPr>
      </w:pPr>
      <w:bookmarkStart w:id="7" w:name="_Toc12104"/>
      <w:bookmarkStart w:id="8" w:name="_Toc28359080"/>
      <w:bookmarkStart w:id="9" w:name="_Toc35393791"/>
      <w:bookmarkStart w:id="10" w:name="_Toc35393622"/>
      <w:bookmarkStart w:id="11" w:name="_Toc28359003"/>
      <w:bookmarkStart w:id="12" w:name="_Toc26529"/>
      <w:r>
        <w:rPr>
          <w:rFonts w:hint="eastAsia" w:ascii="宋体" w:hAnsi="宋体" w:eastAsia="宋体" w:cs="宋体"/>
          <w:b w:val="0"/>
          <w:bCs w:val="0"/>
          <w:kern w:val="2"/>
          <w:sz w:val="24"/>
          <w:szCs w:val="22"/>
          <w:lang w:val="en-US" w:eastAsia="zh-CN" w:bidi="ar-SA"/>
        </w:rPr>
        <w:t>合同履行期限：合同签订之项目服务结束</w:t>
      </w:r>
      <w:bookmarkEnd w:id="7"/>
    </w:p>
    <w:p>
      <w:pPr>
        <w:pStyle w:val="5"/>
        <w:keepNext w:val="0"/>
        <w:keepLines w:val="0"/>
        <w:spacing w:before="0" w:after="0" w:line="360" w:lineRule="auto"/>
        <w:ind w:firstLine="480" w:firstLineChars="200"/>
        <w:rPr>
          <w:rFonts w:hint="eastAsia" w:ascii="宋体" w:hAnsi="宋体" w:eastAsia="宋体" w:cs="宋体"/>
          <w:b w:val="0"/>
          <w:bCs w:val="0"/>
          <w:kern w:val="2"/>
          <w:sz w:val="24"/>
          <w:szCs w:val="22"/>
          <w:lang w:val="en-US" w:eastAsia="zh-CN" w:bidi="ar-SA"/>
        </w:rPr>
      </w:pPr>
      <w:bookmarkStart w:id="13" w:name="_Toc29318"/>
      <w:r>
        <w:rPr>
          <w:rFonts w:hint="eastAsia" w:ascii="宋体" w:hAnsi="宋体" w:eastAsia="宋体" w:cs="宋体"/>
          <w:b w:val="0"/>
          <w:bCs w:val="0"/>
          <w:kern w:val="2"/>
          <w:sz w:val="24"/>
          <w:szCs w:val="22"/>
          <w:lang w:val="en-US" w:eastAsia="zh-CN" w:bidi="ar-SA"/>
        </w:rPr>
        <w:t>本项目（不）接受联合体。</w:t>
      </w:r>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r>
        <w:rPr>
          <w:rFonts w:hint="eastAsia" w:ascii="宋体" w:hAnsi="宋体" w:eastAsia="宋体" w:cs="宋体"/>
          <w:b/>
          <w:bCs/>
          <w:sz w:val="24"/>
          <w:szCs w:val="22"/>
        </w:rPr>
        <w:t>二、申请人的资格要求</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14" w:name="_Toc35393623"/>
      <w:bookmarkStart w:id="15" w:name="_Toc35393792"/>
      <w:bookmarkStart w:id="16" w:name="_Toc28359004"/>
      <w:bookmarkStart w:id="17" w:name="_Toc28359081"/>
      <w:r>
        <w:rPr>
          <w:rFonts w:hint="eastAsia" w:ascii="宋体" w:hAnsi="宋体" w:eastAsia="宋体" w:cs="宋体"/>
          <w:sz w:val="24"/>
          <w:szCs w:val="22"/>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3.为本采购项目提供整体设计、规范编制或者项目管理、监理、检测等服务的，不得参加本项目的政府采购活动。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4.通过“信用中国”和“中国政府采购网”查询相关主体信用记录，被列入失信被执行人、重大税收违法失信主体、政府采购严重违法失信行为记录名单的供应商（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5.落实政府采购政策需满足的资格要求：如本项目采购的产品属于政府强制采购节能产品的，必须提供《节能产品政府采购品目清单》的产品。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6.本项目专门面向中小企业采购,供应商须在中华人民共和国境内依法设立，依据国务院批准的中小企业划分标准确定的中型企业、小型企业和微型企业，但与大企业的负责人为同一人，或者与大企业存在直接控股、管理关系的除外；监狱企业、残疾人福利性单位视同小型、微型企业（响应文件中须提供中小企业声明函或省级以上监狱管理局、戒毒管理局（含新疆生产建设兵团）出具的属于监狱企业的证明文件或残疾人福利性单位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r>
        <w:rPr>
          <w:rFonts w:hint="eastAsia" w:ascii="宋体" w:hAnsi="宋体" w:eastAsia="宋体" w:cs="宋体"/>
          <w:b/>
          <w:bCs/>
          <w:sz w:val="24"/>
          <w:szCs w:val="22"/>
        </w:rPr>
        <w:t>三、获取</w:t>
      </w:r>
      <w:bookmarkEnd w:id="14"/>
      <w:bookmarkEnd w:id="15"/>
      <w:bookmarkEnd w:id="16"/>
      <w:bookmarkEnd w:id="17"/>
      <w:r>
        <w:rPr>
          <w:rFonts w:hint="eastAsia" w:ascii="宋体" w:hAnsi="宋体" w:eastAsia="宋体" w:cs="宋体"/>
          <w:b/>
          <w:bCs/>
          <w:sz w:val="24"/>
          <w:szCs w:val="22"/>
        </w:rPr>
        <w:t>磋商文件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时间：2023年</w:t>
      </w:r>
      <w:r>
        <w:rPr>
          <w:rFonts w:hint="eastAsia" w:ascii="宋体" w:hAnsi="宋体" w:eastAsia="宋体" w:cs="宋体"/>
          <w:sz w:val="24"/>
          <w:szCs w:val="22"/>
          <w:lang w:val="en-US" w:eastAsia="zh-CN"/>
        </w:rPr>
        <w:t>5</w:t>
      </w:r>
      <w:r>
        <w:rPr>
          <w:rFonts w:hint="eastAsia" w:ascii="宋体" w:hAnsi="宋体" w:eastAsia="宋体" w:cs="宋体"/>
          <w:sz w:val="24"/>
          <w:szCs w:val="22"/>
        </w:rPr>
        <w:t>月</w:t>
      </w:r>
      <w:r>
        <w:rPr>
          <w:rFonts w:hint="eastAsia" w:ascii="宋体" w:hAnsi="宋体" w:eastAsia="宋体" w:cs="宋体"/>
          <w:sz w:val="24"/>
          <w:szCs w:val="22"/>
          <w:lang w:val="en-US" w:eastAsia="zh-CN"/>
        </w:rPr>
        <w:t>8</w:t>
      </w:r>
      <w:r>
        <w:rPr>
          <w:rFonts w:hint="eastAsia" w:ascii="宋体" w:hAnsi="宋体" w:eastAsia="宋体" w:cs="宋体"/>
          <w:sz w:val="24"/>
          <w:szCs w:val="22"/>
        </w:rPr>
        <w:t>日至2023年</w:t>
      </w:r>
      <w:r>
        <w:rPr>
          <w:rFonts w:hint="eastAsia" w:ascii="宋体" w:hAnsi="宋体" w:eastAsia="宋体" w:cs="宋体"/>
          <w:sz w:val="24"/>
          <w:szCs w:val="22"/>
          <w:lang w:val="en-US" w:eastAsia="zh-CN"/>
        </w:rPr>
        <w:t>5</w:t>
      </w:r>
      <w:r>
        <w:rPr>
          <w:rFonts w:hint="eastAsia" w:ascii="宋体" w:hAnsi="宋体" w:eastAsia="宋体" w:cs="宋体"/>
          <w:sz w:val="24"/>
          <w:szCs w:val="22"/>
        </w:rPr>
        <w:t>月</w:t>
      </w:r>
      <w:r>
        <w:rPr>
          <w:rFonts w:hint="eastAsia" w:ascii="宋体" w:hAnsi="宋体" w:eastAsia="宋体" w:cs="宋体"/>
          <w:sz w:val="24"/>
          <w:szCs w:val="22"/>
          <w:lang w:val="en-US" w:eastAsia="zh-CN"/>
        </w:rPr>
        <w:t>15</w:t>
      </w:r>
      <w:r>
        <w:rPr>
          <w:rFonts w:hint="eastAsia" w:ascii="宋体" w:hAnsi="宋体" w:eastAsia="宋体" w:cs="宋体"/>
          <w:sz w:val="24"/>
          <w:szCs w:val="2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18" w:name="_Toc28359005"/>
      <w:bookmarkStart w:id="19" w:name="_Toc28359082"/>
      <w:bookmarkStart w:id="20" w:name="_Toc35393793"/>
      <w:bookmarkStart w:id="21" w:name="_Toc35393624"/>
      <w:bookmarkStart w:id="22" w:name="_Toc20720"/>
      <w:r>
        <w:rPr>
          <w:rFonts w:hint="eastAsia" w:ascii="宋体" w:hAnsi="宋体" w:eastAsia="宋体" w:cs="宋体"/>
          <w:sz w:val="24"/>
          <w:szCs w:val="22"/>
        </w:rPr>
        <w:t>地点：江西省公共资源交易网（网址：http://jxsggzy.cn/web/）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方式：网上确认和下载磋商文件。（详见其他补充事宜）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r>
        <w:rPr>
          <w:rFonts w:hint="eastAsia" w:ascii="宋体" w:hAnsi="宋体" w:eastAsia="宋体" w:cs="宋体"/>
          <w:b/>
          <w:bCs/>
          <w:sz w:val="24"/>
          <w:szCs w:val="22"/>
        </w:rPr>
        <w:t>四、提交响应文件</w:t>
      </w:r>
      <w:bookmarkEnd w:id="18"/>
      <w:bookmarkEnd w:id="19"/>
      <w:r>
        <w:rPr>
          <w:rFonts w:hint="eastAsia" w:ascii="宋体" w:hAnsi="宋体" w:eastAsia="宋体" w:cs="宋体"/>
          <w:b/>
          <w:bCs/>
          <w:sz w:val="24"/>
          <w:szCs w:val="22"/>
        </w:rPr>
        <w:t>截止及开启时间和地点</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截止时间：2023年</w:t>
      </w:r>
      <w:r>
        <w:rPr>
          <w:rFonts w:hint="eastAsia" w:ascii="宋体" w:hAnsi="宋体" w:cs="宋体"/>
          <w:sz w:val="24"/>
          <w:szCs w:val="22"/>
          <w:lang w:val="en-US" w:eastAsia="zh-CN"/>
        </w:rPr>
        <w:t>5</w:t>
      </w:r>
      <w:r>
        <w:rPr>
          <w:rFonts w:hint="eastAsia" w:ascii="宋体" w:hAnsi="宋体" w:eastAsia="宋体" w:cs="宋体"/>
          <w:sz w:val="24"/>
          <w:szCs w:val="22"/>
        </w:rPr>
        <w:t>月</w:t>
      </w:r>
      <w:r>
        <w:rPr>
          <w:rFonts w:hint="eastAsia" w:ascii="宋体" w:hAnsi="宋体" w:cs="宋体"/>
          <w:sz w:val="24"/>
          <w:szCs w:val="22"/>
          <w:lang w:val="en-US" w:eastAsia="zh-CN"/>
        </w:rPr>
        <w:t>18</w:t>
      </w:r>
      <w:r>
        <w:rPr>
          <w:rFonts w:hint="eastAsia" w:ascii="宋体" w:hAnsi="宋体" w:eastAsia="宋体" w:cs="宋体"/>
          <w:sz w:val="24"/>
          <w:szCs w:val="22"/>
        </w:rPr>
        <w:t>日</w:t>
      </w:r>
      <w:r>
        <w:rPr>
          <w:rFonts w:hint="eastAsia" w:ascii="宋体" w:hAnsi="宋体" w:cs="宋体"/>
          <w:sz w:val="24"/>
          <w:szCs w:val="22"/>
          <w:lang w:val="en-US" w:eastAsia="zh-CN"/>
        </w:rPr>
        <w:t>09</w:t>
      </w:r>
      <w:r>
        <w:rPr>
          <w:rFonts w:hint="eastAsia" w:ascii="宋体" w:hAnsi="宋体" w:eastAsia="宋体" w:cs="宋体"/>
          <w:sz w:val="24"/>
          <w:szCs w:val="22"/>
        </w:rPr>
        <w:t>点</w:t>
      </w:r>
      <w:r>
        <w:rPr>
          <w:rFonts w:hint="eastAsia" w:ascii="宋体" w:hAnsi="宋体" w:eastAsia="宋体" w:cs="宋体"/>
          <w:sz w:val="24"/>
          <w:szCs w:val="22"/>
          <w:lang w:val="en-US" w:eastAsia="zh-CN"/>
        </w:rPr>
        <w:t>30</w:t>
      </w:r>
      <w:r>
        <w:rPr>
          <w:rFonts w:hint="eastAsia" w:ascii="宋体" w:hAnsi="宋体" w:eastAsia="宋体" w:cs="宋体"/>
          <w:sz w:val="24"/>
          <w:szCs w:val="22"/>
        </w:rPr>
        <w:t>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地点：</w:t>
      </w:r>
      <w:bookmarkStart w:id="23" w:name="_Toc35393802"/>
      <w:bookmarkStart w:id="24" w:name="_Toc28359016"/>
      <w:bookmarkStart w:id="25" w:name="_Toc35393633"/>
      <w:bookmarkStart w:id="26" w:name="_Toc28359093"/>
      <w:bookmarkStart w:id="27" w:name="_Toc12960"/>
      <w:bookmarkStart w:id="28" w:name="_Toc35393794"/>
      <w:bookmarkStart w:id="29" w:name="_Toc28359007"/>
      <w:bookmarkStart w:id="30" w:name="_Toc28359084"/>
      <w:bookmarkStart w:id="31" w:name="_Toc35393625"/>
      <w:r>
        <w:rPr>
          <w:rFonts w:hint="eastAsia" w:ascii="宋体" w:hAnsi="宋体" w:eastAsia="宋体" w:cs="宋体"/>
          <w:sz w:val="24"/>
          <w:szCs w:val="22"/>
        </w:rPr>
        <w:t>江西省南昌市东湖区省府西二路3号发改委综合楼6楼</w:t>
      </w:r>
      <w:r>
        <w:rPr>
          <w:rFonts w:hint="eastAsia" w:ascii="宋体" w:hAnsi="宋体" w:cs="宋体"/>
          <w:sz w:val="24"/>
          <w:szCs w:val="22"/>
          <w:lang w:val="en-US" w:eastAsia="zh-CN"/>
        </w:rPr>
        <w:t>605</w:t>
      </w:r>
      <w:r>
        <w:rPr>
          <w:rFonts w:hint="eastAsia" w:ascii="宋体" w:hAnsi="宋体" w:eastAsia="宋体" w:cs="宋体"/>
          <w:sz w:val="24"/>
          <w:szCs w:val="22"/>
        </w:rPr>
        <w:t>号（</w:t>
      </w:r>
      <w:r>
        <w:rPr>
          <w:rFonts w:hint="eastAsia" w:ascii="宋体" w:hAnsi="宋体" w:cs="宋体"/>
          <w:sz w:val="24"/>
          <w:szCs w:val="22"/>
          <w:lang w:val="en-US" w:eastAsia="zh-CN"/>
        </w:rPr>
        <w:t>5</w:t>
      </w:r>
      <w:r>
        <w:rPr>
          <w:rFonts w:hint="eastAsia" w:ascii="宋体" w:hAnsi="宋体" w:eastAsia="宋体" w:cs="宋体"/>
          <w:sz w:val="24"/>
          <w:szCs w:val="22"/>
        </w:rPr>
        <w:t>号竞谈/磋商室）</w:t>
      </w:r>
    </w:p>
    <w:bookmarkEnd w:id="23"/>
    <w:bookmarkEnd w:id="24"/>
    <w:bookmarkEnd w:id="25"/>
    <w:bookmarkEnd w:id="26"/>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r>
        <w:rPr>
          <w:rFonts w:hint="eastAsia" w:ascii="宋体" w:hAnsi="宋体" w:eastAsia="宋体" w:cs="宋体"/>
          <w:b/>
          <w:bCs/>
          <w:sz w:val="24"/>
          <w:szCs w:val="22"/>
        </w:rPr>
        <w:t>五、公告期限</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bookmarkStart w:id="32" w:name="_Toc35393795"/>
      <w:bookmarkStart w:id="33" w:name="_Toc35393626"/>
      <w:bookmarkStart w:id="34" w:name="_Toc10090"/>
      <w:r>
        <w:rPr>
          <w:rFonts w:hint="eastAsia" w:ascii="宋体" w:hAnsi="宋体" w:cs="宋体"/>
          <w:b/>
          <w:bCs/>
          <w:sz w:val="24"/>
          <w:szCs w:val="22"/>
          <w:lang w:val="en-US" w:eastAsia="zh-CN"/>
        </w:rPr>
        <w:t>六、</w:t>
      </w:r>
      <w:r>
        <w:rPr>
          <w:rFonts w:hint="eastAsia" w:ascii="宋体" w:hAnsi="宋体" w:eastAsia="宋体" w:cs="宋体"/>
          <w:b/>
          <w:bCs/>
          <w:sz w:val="24"/>
          <w:szCs w:val="22"/>
        </w:rPr>
        <w:t>其他补充事宜</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1、潜在供应商必须在江西省公共资源交易网（网址：http://jxsggzy.cn/web/）注册并办理江西省CA数字证书和电子签章。具体要求详见“江西省政府采购网”（网址：</w:t>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"http://www.ccgp-jiangxi.gov.cn/web/）；" </w:instrText>
      </w:r>
      <w:r>
        <w:rPr>
          <w:rFonts w:hint="eastAsia" w:ascii="宋体" w:hAnsi="宋体" w:eastAsia="宋体" w:cs="宋体"/>
          <w:sz w:val="24"/>
          <w:szCs w:val="22"/>
        </w:rPr>
        <w:fldChar w:fldCharType="separate"/>
      </w:r>
      <w:r>
        <w:rPr>
          <w:rFonts w:hint="eastAsia" w:ascii="宋体" w:hAnsi="宋体" w:eastAsia="宋体" w:cs="宋体"/>
          <w:sz w:val="24"/>
          <w:szCs w:val="22"/>
        </w:rPr>
        <w:t>http://www.ccgp-jiangxi.gov.cn/web/）；</w:t>
      </w:r>
      <w:r>
        <w:rPr>
          <w:rFonts w:hint="eastAsia" w:ascii="宋体" w:hAnsi="宋体" w:eastAsia="宋体" w:cs="宋体"/>
          <w:sz w:val="24"/>
          <w:szCs w:val="22"/>
        </w:rPr>
        <w:fldChar w:fldCharType="end"/>
      </w:r>
      <w:r>
        <w:rPr>
          <w:rFonts w:hint="eastAsia" w:ascii="宋体" w:hAnsi="宋体" w:eastAsia="宋体" w:cs="宋体"/>
          <w:sz w:val="24"/>
          <w:szCs w:val="22"/>
        </w:rPr>
        <w:t>潜在供应商未使用CA数字证书在江西省公共资源交易系统下载磋商文件的，视为未报名，不得参加本项目的磋商活动。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35" w:name="_Toc28359085"/>
      <w:bookmarkStart w:id="36" w:name="_Toc28359008"/>
      <w:bookmarkStart w:id="37" w:name="_Toc35393796"/>
      <w:bookmarkStart w:id="38" w:name="_Toc35393627"/>
      <w:bookmarkStart w:id="39" w:name="_Toc25456"/>
      <w:r>
        <w:rPr>
          <w:rFonts w:hint="eastAsia" w:ascii="宋体" w:hAnsi="宋体" w:eastAsia="宋体" w:cs="宋体"/>
          <w:sz w:val="24"/>
          <w:szCs w:val="22"/>
          <w:lang w:val="en-US" w:eastAsia="zh-CN"/>
        </w:rPr>
        <w:t>2</w:t>
      </w:r>
      <w:r>
        <w:rPr>
          <w:rFonts w:hint="eastAsia" w:ascii="宋体" w:hAnsi="宋体" w:eastAsia="宋体" w:cs="宋体"/>
          <w:sz w:val="24"/>
          <w:szCs w:val="22"/>
        </w:rPr>
        <w:t>、本项目采用电子化磋商模式，加盖电子签章的电子版响应文件必须在提交响应文件截止时间前上传到江西省公共资源交易网，CA数字证书必须在提交响应文件截止时间前送达指定的磋商地点；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3</w:t>
      </w:r>
      <w:r>
        <w:rPr>
          <w:rFonts w:hint="eastAsia" w:ascii="宋体" w:hAnsi="宋体" w:eastAsia="宋体" w:cs="宋体"/>
          <w:sz w:val="24"/>
          <w:szCs w:val="22"/>
        </w:rPr>
        <w:t>、本项目采用电子化磋商模式，磋商现场不提供网络环境，请供应商自行搭建网络环境进入系统操作，并提前在笔记本电脑下载安装驱动。因磋商过程中二次报价需要使用电子签章，各供应商需自行携带笔记本电脑和CA主锁到磋商现场报价，二次报价时间为20分钟，20分钟内未完成二次报价的，视为退出磋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rPr>
      </w:pPr>
      <w:r>
        <w:rPr>
          <w:rFonts w:hint="eastAsia" w:ascii="宋体" w:hAnsi="宋体" w:eastAsia="宋体" w:cs="宋体"/>
          <w:b/>
          <w:bCs/>
          <w:sz w:val="24"/>
          <w:szCs w:val="22"/>
        </w:rPr>
        <w:t>七、对本次采购提出询问，请按以下方式联系。</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1.采购人信息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40" w:name="_Toc28359086"/>
      <w:bookmarkStart w:id="41" w:name="_Toc28359009"/>
      <w:r>
        <w:rPr>
          <w:rFonts w:hint="eastAsia" w:ascii="宋体" w:hAnsi="宋体" w:eastAsia="宋体" w:cs="宋体"/>
          <w:sz w:val="24"/>
          <w:szCs w:val="22"/>
        </w:rPr>
        <w:t>名称：江西省林业有害生物防治检疫中心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地址：南昌市红谷滩区赣江南大道2688号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联系人：曾先生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联系方式： 0791-85269581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2.采购代理机构信息</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名称：江西省机电设备招标有限公司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地址：江西省南昌市东湖区省政府大院北二路92号（咨询大厦）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42" w:name="_Toc28359087"/>
      <w:bookmarkStart w:id="43" w:name="_Toc28359010"/>
      <w:r>
        <w:rPr>
          <w:rFonts w:hint="eastAsia" w:ascii="宋体" w:hAnsi="宋体" w:eastAsia="宋体" w:cs="宋体"/>
          <w:sz w:val="24"/>
          <w:szCs w:val="22"/>
        </w:rPr>
        <w:t xml:space="preserve">电子函件：jzzc@jxzxtz.com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3.项目联系方式</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项目联系人：杨坤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电话：0791-86271501</w:t>
      </w:r>
    </w:p>
    <w:bookmarkEnd w:id="167"/>
    <w:p>
      <w:pPr>
        <w:widowControl/>
        <w:spacing w:line="360" w:lineRule="auto"/>
        <w:jc w:val="left"/>
        <w:rPr>
          <w:rFonts w:ascii="宋体" w:cs="宋体"/>
          <w:sz w:val="24"/>
          <w:szCs w:val="24"/>
        </w:rPr>
      </w:pPr>
    </w:p>
    <w:p>
      <w:pPr>
        <w:widowControl/>
        <w:spacing w:line="360" w:lineRule="auto"/>
        <w:jc w:val="left"/>
        <w:rPr>
          <w:rFonts w:ascii="宋体" w:cs="宋体"/>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ind w:firstLine="120" w:firstLineChars="50"/>
        <w:rPr>
          <w:rFonts w:ascii="宋体" w:cs="宋体"/>
          <w:bCs/>
          <w:sz w:val="24"/>
          <w:szCs w:val="24"/>
        </w:rPr>
      </w:pPr>
    </w:p>
    <w:p>
      <w:pPr>
        <w:rPr>
          <w:rFonts w:ascii="宋体" w:cs="宋体"/>
          <w:bCs/>
          <w:sz w:val="24"/>
          <w:szCs w:val="24"/>
        </w:rPr>
      </w:pPr>
    </w:p>
    <w:p>
      <w:pPr>
        <w:rPr>
          <w:rFonts w:ascii="宋体" w:cs="宋体"/>
          <w:bCs/>
          <w:sz w:val="24"/>
          <w:szCs w:val="24"/>
        </w:rPr>
      </w:pPr>
    </w:p>
    <w:p>
      <w:pPr>
        <w:rPr>
          <w:rFonts w:ascii="宋体" w:cs="宋体"/>
          <w:b/>
          <w:bCs/>
          <w:sz w:val="32"/>
        </w:rPr>
      </w:pPr>
    </w:p>
    <w:p>
      <w:pPr>
        <w:pStyle w:val="4"/>
        <w:numPr>
          <w:ilvl w:val="0"/>
          <w:numId w:val="2"/>
        </w:numPr>
        <w:jc w:val="center"/>
        <w:rPr>
          <w:rFonts w:hAnsi="宋体" w:cs="宋体"/>
          <w:b/>
          <w:bCs/>
          <w:sz w:val="32"/>
        </w:rPr>
      </w:pPr>
      <w:bookmarkStart w:id="44" w:name="_Toc17210"/>
      <w:r>
        <w:rPr>
          <w:rFonts w:hint="eastAsia" w:hAnsi="宋体" w:cs="宋体"/>
          <w:b/>
          <w:bCs/>
          <w:sz w:val="32"/>
        </w:rPr>
        <w:br w:type="page"/>
      </w:r>
      <w:r>
        <w:rPr>
          <w:rFonts w:hint="eastAsia" w:hAnsi="宋体" w:cs="宋体"/>
          <w:b/>
          <w:bCs/>
          <w:sz w:val="32"/>
        </w:rPr>
        <w:t>供应商须知</w:t>
      </w:r>
      <w:bookmarkEnd w:id="44"/>
    </w:p>
    <w:p>
      <w:pPr>
        <w:rPr>
          <w:rFonts w:ascii="宋体" w:cs="宋体"/>
        </w:rPr>
      </w:pPr>
    </w:p>
    <w:p>
      <w:pPr>
        <w:pStyle w:val="5"/>
        <w:numPr>
          <w:ilvl w:val="0"/>
          <w:numId w:val="3"/>
        </w:numPr>
        <w:spacing w:before="0" w:after="0" w:line="240" w:lineRule="auto"/>
        <w:rPr>
          <w:rFonts w:ascii="宋体" w:cs="宋体"/>
          <w:sz w:val="28"/>
          <w:szCs w:val="28"/>
        </w:rPr>
      </w:pPr>
      <w:bookmarkStart w:id="45" w:name="_Toc220257383"/>
      <w:bookmarkStart w:id="46" w:name="_Toc220403898"/>
      <w:bookmarkStart w:id="47" w:name="_Toc221335709"/>
      <w:bookmarkStart w:id="48" w:name="_Toc30853"/>
      <w:r>
        <w:rPr>
          <w:rFonts w:hint="eastAsia" w:ascii="宋体" w:hAnsi="宋体" w:cs="宋体"/>
          <w:sz w:val="28"/>
          <w:szCs w:val="28"/>
        </w:rPr>
        <w:t>供应商须知前附表</w:t>
      </w:r>
      <w:bookmarkEnd w:id="45"/>
      <w:bookmarkEnd w:id="46"/>
      <w:bookmarkEnd w:id="47"/>
      <w:bookmarkEnd w:id="48"/>
    </w:p>
    <w:p>
      <w:pPr>
        <w:rPr>
          <w:rFonts w:ascii="宋体" w:cs="宋体"/>
        </w:rPr>
      </w:pPr>
    </w:p>
    <w:tbl>
      <w:tblPr>
        <w:tblStyle w:val="20"/>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55"/>
        <w:gridCol w:w="270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360" w:lineRule="auto"/>
              <w:rPr>
                <w:rFonts w:ascii="宋体" w:cs="宋体"/>
                <w:sz w:val="24"/>
                <w:szCs w:val="24"/>
              </w:rPr>
            </w:pPr>
            <w:r>
              <w:rPr>
                <w:rFonts w:hint="eastAsia" w:ascii="宋体" w:hAnsi="宋体" w:cs="宋体"/>
                <w:sz w:val="24"/>
                <w:szCs w:val="24"/>
              </w:rPr>
              <w:t>序号</w:t>
            </w:r>
          </w:p>
        </w:tc>
        <w:tc>
          <w:tcPr>
            <w:tcW w:w="1155" w:type="dxa"/>
          </w:tcPr>
          <w:p>
            <w:pPr>
              <w:spacing w:line="360" w:lineRule="auto"/>
              <w:jc w:val="center"/>
              <w:rPr>
                <w:rFonts w:ascii="宋体" w:cs="宋体"/>
                <w:sz w:val="24"/>
                <w:szCs w:val="24"/>
              </w:rPr>
            </w:pPr>
            <w:r>
              <w:rPr>
                <w:rFonts w:hint="eastAsia" w:ascii="宋体" w:hAnsi="宋体" w:cs="宋体"/>
                <w:sz w:val="24"/>
                <w:szCs w:val="24"/>
              </w:rPr>
              <w:t>条款号</w:t>
            </w:r>
          </w:p>
        </w:tc>
        <w:tc>
          <w:tcPr>
            <w:tcW w:w="8100" w:type="dxa"/>
            <w:gridSpan w:val="3"/>
          </w:tcPr>
          <w:p>
            <w:pPr>
              <w:spacing w:line="360" w:lineRule="auto"/>
              <w:jc w:val="center"/>
              <w:rPr>
                <w:rFonts w:ascii="宋体" w:cs="宋体"/>
                <w:sz w:val="24"/>
                <w:szCs w:val="24"/>
              </w:rPr>
            </w:pPr>
            <w:r>
              <w:rPr>
                <w:rFonts w:hint="eastAsia" w:ascii="宋体" w:hAnsi="宋体" w:cs="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40" w:type="dxa"/>
            <w:vAlign w:val="center"/>
          </w:tcPr>
          <w:p>
            <w:pPr>
              <w:pStyle w:val="10"/>
              <w:jc w:val="center"/>
              <w:rPr>
                <w:rFonts w:ascii="宋体" w:hAnsi="宋体" w:eastAsia="宋体" w:cs="宋体"/>
                <w:szCs w:val="24"/>
              </w:rPr>
            </w:pPr>
            <w:r>
              <w:rPr>
                <w:rFonts w:ascii="宋体" w:hAnsi="宋体" w:eastAsia="宋体" w:cs="宋体"/>
                <w:szCs w:val="24"/>
              </w:rPr>
              <w:t>1</w:t>
            </w:r>
          </w:p>
        </w:tc>
        <w:tc>
          <w:tcPr>
            <w:tcW w:w="1155" w:type="dxa"/>
            <w:vAlign w:val="center"/>
          </w:tcPr>
          <w:p>
            <w:pPr>
              <w:pStyle w:val="10"/>
              <w:jc w:val="center"/>
              <w:rPr>
                <w:rFonts w:ascii="宋体" w:hAnsi="宋体" w:eastAsia="宋体" w:cs="宋体"/>
                <w:szCs w:val="24"/>
              </w:rPr>
            </w:pPr>
            <w:r>
              <w:rPr>
                <w:rFonts w:ascii="宋体" w:hAnsi="宋体" w:eastAsia="宋体" w:cs="宋体"/>
                <w:szCs w:val="24"/>
              </w:rPr>
              <w:t>2.1</w:t>
            </w:r>
          </w:p>
        </w:tc>
        <w:tc>
          <w:tcPr>
            <w:tcW w:w="8100" w:type="dxa"/>
            <w:gridSpan w:val="3"/>
            <w:vAlign w:val="center"/>
          </w:tcPr>
          <w:p>
            <w:pPr>
              <w:spacing w:line="360" w:lineRule="auto"/>
              <w:rPr>
                <w:rFonts w:ascii="宋体" w:cs="宋体"/>
                <w:sz w:val="24"/>
                <w:szCs w:val="24"/>
              </w:rPr>
            </w:pPr>
            <w:r>
              <w:rPr>
                <w:rFonts w:hint="eastAsia" w:ascii="宋体" w:hAnsi="宋体" w:cs="宋体"/>
                <w:sz w:val="24"/>
                <w:szCs w:val="24"/>
              </w:rPr>
              <w:t>采购人名称：详见“第一章磋商邀请”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2</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2.2</w:t>
            </w:r>
          </w:p>
        </w:tc>
        <w:tc>
          <w:tcPr>
            <w:tcW w:w="8100" w:type="dxa"/>
            <w:gridSpan w:val="3"/>
            <w:vAlign w:val="center"/>
          </w:tcPr>
          <w:p>
            <w:pPr>
              <w:spacing w:line="360" w:lineRule="auto"/>
              <w:rPr>
                <w:rFonts w:ascii="宋体" w:cs="宋体"/>
                <w:sz w:val="24"/>
                <w:szCs w:val="24"/>
              </w:rPr>
            </w:pPr>
            <w:r>
              <w:rPr>
                <w:rFonts w:hint="eastAsia" w:ascii="宋体" w:hAnsi="宋体" w:cs="宋体"/>
                <w:sz w:val="24"/>
                <w:szCs w:val="24"/>
              </w:rPr>
              <w:t>采购代理机构：详见“第一章磋商邀请”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3</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3.1</w:t>
            </w:r>
          </w:p>
        </w:tc>
        <w:tc>
          <w:tcPr>
            <w:tcW w:w="8100" w:type="dxa"/>
            <w:gridSpan w:val="3"/>
            <w:vAlign w:val="center"/>
          </w:tcPr>
          <w:p>
            <w:pPr>
              <w:adjustRightInd w:val="0"/>
              <w:snapToGrid w:val="0"/>
              <w:spacing w:line="360" w:lineRule="auto"/>
              <w:rPr>
                <w:rFonts w:ascii="宋体" w:cs="宋体"/>
                <w:sz w:val="24"/>
                <w:szCs w:val="24"/>
              </w:rPr>
            </w:pPr>
            <w:r>
              <w:rPr>
                <w:rFonts w:hint="eastAsia" w:ascii="宋体" w:hAnsi="宋体" w:cs="宋体"/>
                <w:sz w:val="24"/>
                <w:szCs w:val="24"/>
              </w:rPr>
              <w:t>供应商的资格要求：详见“第一章磋商邀请”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4</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3.2</w:t>
            </w:r>
          </w:p>
        </w:tc>
        <w:tc>
          <w:tcPr>
            <w:tcW w:w="8100" w:type="dxa"/>
            <w:gridSpan w:val="3"/>
            <w:vAlign w:val="center"/>
          </w:tcPr>
          <w:p>
            <w:pPr>
              <w:adjustRightInd w:val="0"/>
              <w:snapToGrid w:val="0"/>
              <w:spacing w:line="360" w:lineRule="auto"/>
              <w:rPr>
                <w:rFonts w:ascii="宋体" w:cs="宋体"/>
                <w:sz w:val="24"/>
                <w:szCs w:val="24"/>
              </w:rPr>
            </w:pPr>
            <w:r>
              <w:rPr>
                <w:rFonts w:hint="eastAsia" w:ascii="宋体" w:hAnsi="宋体" w:cs="宋体"/>
                <w:sz w:val="24"/>
                <w:szCs w:val="24"/>
              </w:rPr>
              <w:t>本项目是否接受联合体参加竞争性磋商：详见“第一章磋商邀请”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5</w:t>
            </w:r>
          </w:p>
        </w:tc>
        <w:tc>
          <w:tcPr>
            <w:tcW w:w="1155" w:type="dxa"/>
            <w:vAlign w:val="center"/>
          </w:tcPr>
          <w:p>
            <w:pPr>
              <w:spacing w:line="360" w:lineRule="auto"/>
              <w:jc w:val="center"/>
              <w:rPr>
                <w:rFonts w:ascii="宋体" w:cs="宋体"/>
                <w:sz w:val="24"/>
                <w:szCs w:val="24"/>
              </w:rPr>
            </w:pPr>
            <w:r>
              <w:rPr>
                <w:rFonts w:ascii="宋体" w:hAnsi="宋体" w:cs="宋体"/>
                <w:sz w:val="24"/>
                <w:szCs w:val="24"/>
              </w:rPr>
              <w:t>8</w:t>
            </w:r>
          </w:p>
        </w:tc>
        <w:tc>
          <w:tcPr>
            <w:tcW w:w="8100" w:type="dxa"/>
            <w:gridSpan w:val="3"/>
            <w:vAlign w:val="center"/>
          </w:tcPr>
          <w:p>
            <w:pPr>
              <w:spacing w:line="360" w:lineRule="auto"/>
              <w:rPr>
                <w:rFonts w:ascii="宋体" w:cs="宋体"/>
                <w:b/>
                <w:sz w:val="24"/>
                <w:szCs w:val="24"/>
              </w:rPr>
            </w:pPr>
            <w:r>
              <w:rPr>
                <w:rFonts w:hint="eastAsia" w:ascii="宋体" w:hAnsi="宋体" w:cs="宋体"/>
                <w:sz w:val="24"/>
                <w:szCs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6</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9</w:t>
            </w:r>
          </w:p>
        </w:tc>
        <w:tc>
          <w:tcPr>
            <w:tcW w:w="8100" w:type="dxa"/>
            <w:gridSpan w:val="3"/>
          </w:tcPr>
          <w:p>
            <w:pPr>
              <w:spacing w:line="360" w:lineRule="auto"/>
              <w:rPr>
                <w:rFonts w:ascii="宋体" w:cs="宋体"/>
                <w:sz w:val="24"/>
                <w:szCs w:val="24"/>
              </w:rPr>
            </w:pPr>
            <w:r>
              <w:rPr>
                <w:rFonts w:hint="eastAsia" w:ascii="宋体" w:hAnsi="宋体" w:cs="宋体"/>
                <w:sz w:val="24"/>
                <w:szCs w:val="24"/>
              </w:rPr>
              <w:t>为落实政府采购政策，参加磋商的供应商需满足的要求及供应商须提供的证明材料</w:t>
            </w:r>
          </w:p>
          <w:p>
            <w:pPr>
              <w:spacing w:line="360" w:lineRule="auto"/>
              <w:rPr>
                <w:rFonts w:ascii="宋体" w:cs="宋体"/>
                <w:b/>
                <w:sz w:val="24"/>
                <w:szCs w:val="24"/>
              </w:rPr>
            </w:pPr>
            <w:r>
              <w:rPr>
                <w:rFonts w:hint="eastAsia" w:ascii="宋体" w:hAnsi="宋体" w:cs="宋体"/>
                <w:sz w:val="24"/>
                <w:szCs w:val="24"/>
              </w:rPr>
              <w:t>本项目采购标的所属中小企业行业为：其他未列明行业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6"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7</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15.1</w:t>
            </w:r>
          </w:p>
        </w:tc>
        <w:tc>
          <w:tcPr>
            <w:tcW w:w="8100" w:type="dxa"/>
            <w:gridSpan w:val="3"/>
            <w:vAlign w:val="center"/>
          </w:tcPr>
          <w:p>
            <w:pPr>
              <w:spacing w:line="360" w:lineRule="auto"/>
              <w:rPr>
                <w:rFonts w:ascii="宋体" w:cs="宋体"/>
                <w:b/>
                <w:sz w:val="24"/>
                <w:szCs w:val="24"/>
              </w:rPr>
            </w:pPr>
            <w:r>
              <w:rPr>
                <w:rFonts w:hint="eastAsia" w:ascii="宋体" w:hAnsi="宋体" w:cs="宋体"/>
                <w:b/>
                <w:sz w:val="24"/>
                <w:szCs w:val="24"/>
              </w:rPr>
              <w:t>磋商保证金：</w:t>
            </w:r>
          </w:p>
          <w:p>
            <w:pPr>
              <w:spacing w:line="360" w:lineRule="auto"/>
              <w:ind w:firstLine="480" w:firstLineChars="200"/>
              <w:rPr>
                <w:rFonts w:ascii="宋体" w:cs="宋体"/>
                <w:b/>
                <w:sz w:val="24"/>
                <w:szCs w:val="24"/>
              </w:rPr>
            </w:pPr>
            <w:r>
              <w:rPr>
                <w:rFonts w:hint="eastAsia" w:ascii="宋体" w:hAnsi="宋体" w:cs="宋体"/>
                <w:sz w:val="24"/>
                <w:szCs w:val="24"/>
              </w:rPr>
              <w:t>磋商保证金金额：人民币</w:t>
            </w:r>
            <w:r>
              <w:rPr>
                <w:rFonts w:ascii="宋体" w:hAnsi="宋体" w:cs="宋体"/>
                <w:sz w:val="24"/>
                <w:szCs w:val="24"/>
              </w:rPr>
              <w:t>12000</w:t>
            </w:r>
            <w:r>
              <w:rPr>
                <w:rFonts w:hint="eastAsia" w:ascii="宋体" w:hAnsi="宋体" w:cs="宋体"/>
                <w:sz w:val="24"/>
                <w:szCs w:val="24"/>
              </w:rPr>
              <w:t>元</w:t>
            </w:r>
            <w:r>
              <w:rPr>
                <w:rFonts w:hint="eastAsia" w:ascii="宋体" w:hAnsi="宋体" w:cs="宋体"/>
                <w:b/>
                <w:sz w:val="24"/>
                <w:szCs w:val="24"/>
              </w:rPr>
              <w:t>；</w:t>
            </w:r>
          </w:p>
          <w:p>
            <w:pPr>
              <w:spacing w:line="360" w:lineRule="auto"/>
              <w:ind w:firstLine="482" w:firstLineChars="200"/>
              <w:rPr>
                <w:rFonts w:ascii="宋体" w:cs="宋体"/>
                <w:b/>
                <w:bCs/>
                <w:sz w:val="24"/>
                <w:szCs w:val="24"/>
              </w:rPr>
            </w:pPr>
            <w:r>
              <w:rPr>
                <w:rFonts w:hint="eastAsia" w:ascii="宋体" w:hAnsi="宋体" w:cs="宋体"/>
                <w:b/>
                <w:bCs/>
                <w:sz w:val="24"/>
                <w:szCs w:val="24"/>
              </w:rPr>
              <w:t>本项目保证金应当采用支票、汇票、本票、网上银行支付或者金融机构、担保机构出具的保函、保险公司出具的保证保险等非现金形式交纳（详见格式</w:t>
            </w:r>
            <w:r>
              <w:rPr>
                <w:rFonts w:ascii="宋体" w:hAnsi="宋体" w:cs="宋体"/>
                <w:b/>
                <w:bCs/>
                <w:sz w:val="24"/>
                <w:szCs w:val="24"/>
              </w:rPr>
              <w:t>9-9</w:t>
            </w:r>
            <w:r>
              <w:rPr>
                <w:rFonts w:hint="eastAsia" w:ascii="宋体" w:hAnsi="宋体" w:cs="宋体"/>
                <w:b/>
                <w:bCs/>
                <w:sz w:val="24"/>
                <w:szCs w:val="24"/>
              </w:rPr>
              <w:t>磋商保证金凭证）。提交磋商保证金的截止时间与响应文件递交截止时间一致。</w:t>
            </w:r>
          </w:p>
          <w:p>
            <w:pPr>
              <w:spacing w:line="360" w:lineRule="auto"/>
              <w:rPr>
                <w:rFonts w:ascii="宋体" w:cs="宋体"/>
                <w:b/>
                <w:kern w:val="0"/>
                <w:sz w:val="24"/>
                <w:szCs w:val="24"/>
              </w:rPr>
            </w:pPr>
            <w:r>
              <w:rPr>
                <w:rFonts w:hint="eastAsia" w:ascii="宋体" w:hAnsi="宋体" w:cs="宋体"/>
                <w:b/>
                <w:sz w:val="24"/>
                <w:szCs w:val="24"/>
              </w:rPr>
              <w:t>磋商保证金银行账户信息：</w:t>
            </w:r>
          </w:p>
          <w:p>
            <w:pPr>
              <w:spacing w:line="360" w:lineRule="auto"/>
              <w:rPr>
                <w:rFonts w:hint="eastAsia" w:ascii="宋体" w:hAnsi="宋体" w:cs="宋体"/>
                <w:sz w:val="24"/>
                <w:szCs w:val="24"/>
              </w:rPr>
            </w:pPr>
            <w:r>
              <w:rPr>
                <w:rFonts w:hint="eastAsia" w:ascii="宋体" w:hAnsi="宋体" w:cs="宋体"/>
                <w:sz w:val="24"/>
                <w:szCs w:val="24"/>
              </w:rPr>
              <w:t>开户银行：江西银行南昌红谷滩支行</w:t>
            </w:r>
          </w:p>
          <w:p>
            <w:pPr>
              <w:spacing w:line="360" w:lineRule="auto"/>
              <w:rPr>
                <w:rFonts w:hint="eastAsia" w:ascii="宋体" w:hAnsi="宋体" w:cs="宋体"/>
                <w:sz w:val="24"/>
                <w:szCs w:val="24"/>
              </w:rPr>
            </w:pPr>
            <w:r>
              <w:rPr>
                <w:rFonts w:hint="eastAsia" w:ascii="宋体" w:hAnsi="宋体" w:cs="宋体"/>
                <w:sz w:val="24"/>
                <w:szCs w:val="24"/>
              </w:rPr>
              <w:t>开户名称：江西省机电设备招标有限公司</w:t>
            </w:r>
          </w:p>
          <w:p>
            <w:pPr>
              <w:spacing w:line="360" w:lineRule="auto"/>
              <w:rPr>
                <w:rFonts w:ascii="宋体" w:cs="宋体"/>
                <w:sz w:val="24"/>
                <w:szCs w:val="24"/>
              </w:rPr>
            </w:pPr>
            <w:r>
              <w:rPr>
                <w:rFonts w:hint="eastAsia" w:ascii="宋体" w:hAnsi="宋体" w:cs="宋体"/>
                <w:sz w:val="24"/>
                <w:szCs w:val="24"/>
              </w:rPr>
              <w:t>开户账户：79190720190600071479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8</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16</w:t>
            </w:r>
          </w:p>
        </w:tc>
        <w:tc>
          <w:tcPr>
            <w:tcW w:w="8100" w:type="dxa"/>
            <w:gridSpan w:val="3"/>
            <w:vAlign w:val="center"/>
          </w:tcPr>
          <w:p>
            <w:pPr>
              <w:adjustRightInd w:val="0"/>
              <w:snapToGrid w:val="0"/>
              <w:spacing w:line="360" w:lineRule="auto"/>
              <w:rPr>
                <w:rFonts w:ascii="宋体" w:cs="宋体"/>
                <w:sz w:val="24"/>
                <w:szCs w:val="24"/>
              </w:rPr>
            </w:pPr>
            <w:r>
              <w:rPr>
                <w:rFonts w:hint="eastAsia" w:ascii="宋体" w:hAnsi="宋体" w:cs="宋体"/>
                <w:sz w:val="24"/>
                <w:szCs w:val="24"/>
              </w:rPr>
              <w:t>磋商有效期：自磋商之日起</w:t>
            </w:r>
            <w:r>
              <w:rPr>
                <w:rFonts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9</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19</w:t>
            </w:r>
          </w:p>
        </w:tc>
        <w:tc>
          <w:tcPr>
            <w:tcW w:w="8100" w:type="dxa"/>
            <w:gridSpan w:val="3"/>
            <w:vAlign w:val="center"/>
          </w:tcPr>
          <w:p>
            <w:pPr>
              <w:spacing w:line="360" w:lineRule="auto"/>
              <w:rPr>
                <w:rFonts w:ascii="宋体" w:cs="宋体"/>
                <w:sz w:val="24"/>
                <w:szCs w:val="24"/>
              </w:rPr>
            </w:pPr>
            <w:r>
              <w:rPr>
                <w:rFonts w:hint="eastAsia" w:ascii="宋体" w:hAnsi="宋体" w:cs="宋体"/>
                <w:sz w:val="24"/>
                <w:szCs w:val="24"/>
              </w:rPr>
              <w:t>响应文件递交截止时间：详见“第一章磋商邀请”</w:t>
            </w:r>
          </w:p>
          <w:p>
            <w:pPr>
              <w:spacing w:line="360" w:lineRule="auto"/>
              <w:rPr>
                <w:rFonts w:ascii="宋体" w:cs="宋体"/>
                <w:sz w:val="24"/>
                <w:szCs w:val="24"/>
              </w:rPr>
            </w:pPr>
            <w:r>
              <w:rPr>
                <w:rFonts w:hint="eastAsia" w:ascii="宋体" w:hAnsi="宋体" w:cs="宋体"/>
                <w:sz w:val="24"/>
                <w:szCs w:val="24"/>
              </w:rPr>
              <w:t>磋商时间：详见“第一章磋商邀请”</w:t>
            </w:r>
          </w:p>
          <w:p>
            <w:pPr>
              <w:spacing w:line="360" w:lineRule="auto"/>
              <w:rPr>
                <w:rFonts w:ascii="宋体" w:cs="宋体"/>
                <w:sz w:val="24"/>
                <w:szCs w:val="24"/>
              </w:rPr>
            </w:pPr>
            <w:r>
              <w:rPr>
                <w:rFonts w:hint="eastAsia" w:ascii="宋体" w:hAnsi="宋体" w:cs="宋体"/>
                <w:sz w:val="24"/>
                <w:szCs w:val="24"/>
              </w:rPr>
              <w:t>磋商地点：详见“第一章磋商邀请”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10</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25.7</w:t>
            </w:r>
          </w:p>
        </w:tc>
        <w:tc>
          <w:tcPr>
            <w:tcW w:w="8100" w:type="dxa"/>
            <w:gridSpan w:val="3"/>
            <w:vAlign w:val="center"/>
          </w:tcPr>
          <w:p>
            <w:pPr>
              <w:spacing w:line="360" w:lineRule="auto"/>
              <w:rPr>
                <w:rFonts w:ascii="宋体" w:cs="宋体"/>
                <w:sz w:val="24"/>
                <w:szCs w:val="24"/>
              </w:rPr>
            </w:pPr>
            <w:r>
              <w:rPr>
                <w:rFonts w:hint="eastAsia" w:ascii="宋体" w:hAnsi="宋体" w:cs="宋体"/>
                <w:sz w:val="24"/>
                <w:szCs w:val="24"/>
              </w:rPr>
              <w:t>评审标准和方法：综合评分法（详见“第六章</w:t>
            </w:r>
            <w:r>
              <w:rPr>
                <w:rFonts w:ascii="宋体" w:hAnsi="宋体" w:cs="宋体"/>
                <w:sz w:val="24"/>
                <w:szCs w:val="24"/>
              </w:rPr>
              <w:t xml:space="preserve"> </w:t>
            </w:r>
            <w:r>
              <w:rPr>
                <w:rFonts w:hint="eastAsia" w:ascii="宋体" w:hAnsi="宋体" w:cs="宋体"/>
                <w:sz w:val="24"/>
                <w:szCs w:val="24"/>
              </w:rPr>
              <w:t>评审办法”）</w:t>
            </w:r>
          </w:p>
          <w:p>
            <w:pPr>
              <w:spacing w:line="360" w:lineRule="auto"/>
              <w:rPr>
                <w:rFonts w:ascii="宋体" w:cs="宋体"/>
                <w:sz w:val="24"/>
                <w:szCs w:val="24"/>
              </w:rPr>
            </w:pPr>
            <w:r>
              <w:rPr>
                <w:rFonts w:hint="eastAsia" w:ascii="宋体" w:hAnsi="宋体" w:cs="宋体"/>
                <w:sz w:val="24"/>
                <w:szCs w:val="24"/>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40"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11</w:t>
            </w:r>
          </w:p>
        </w:tc>
        <w:tc>
          <w:tcPr>
            <w:tcW w:w="1155" w:type="dxa"/>
            <w:vAlign w:val="center"/>
          </w:tcPr>
          <w:p>
            <w:pPr>
              <w:adjustRightInd w:val="0"/>
              <w:snapToGrid w:val="0"/>
              <w:spacing w:line="360" w:lineRule="auto"/>
              <w:jc w:val="center"/>
              <w:rPr>
                <w:rFonts w:ascii="宋体" w:cs="宋体"/>
                <w:sz w:val="24"/>
                <w:szCs w:val="24"/>
              </w:rPr>
            </w:pPr>
            <w:r>
              <w:rPr>
                <w:rFonts w:ascii="宋体" w:hAnsi="宋体" w:cs="宋体"/>
                <w:sz w:val="24"/>
                <w:szCs w:val="24"/>
              </w:rPr>
              <w:t>32</w:t>
            </w:r>
          </w:p>
        </w:tc>
        <w:tc>
          <w:tcPr>
            <w:tcW w:w="8100" w:type="dxa"/>
            <w:gridSpan w:val="3"/>
            <w:vAlign w:val="center"/>
          </w:tcPr>
          <w:p>
            <w:pPr>
              <w:adjustRightInd w:val="0"/>
              <w:snapToGrid w:val="0"/>
              <w:spacing w:line="360" w:lineRule="auto"/>
              <w:rPr>
                <w:rFonts w:ascii="宋体" w:cs="宋体"/>
                <w:sz w:val="24"/>
                <w:szCs w:val="24"/>
              </w:rPr>
            </w:pPr>
            <w:r>
              <w:rPr>
                <w:rFonts w:ascii="宋体" w:hAnsi="宋体" w:cs="宋体"/>
                <w:sz w:val="24"/>
                <w:szCs w:val="24"/>
              </w:rPr>
              <w:t>32.1</w:t>
            </w:r>
            <w:r>
              <w:rPr>
                <w:rFonts w:hint="eastAsia" w:ascii="宋体" w:hAnsi="宋体" w:cs="宋体"/>
                <w:sz w:val="24"/>
                <w:szCs w:val="24"/>
              </w:rPr>
              <w:t>履约保证金金额：合同总价的</w:t>
            </w:r>
            <w:r>
              <w:rPr>
                <w:rFonts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Merge w:val="restart"/>
            <w:vAlign w:val="center"/>
          </w:tcPr>
          <w:p>
            <w:pPr>
              <w:adjustRightInd w:val="0"/>
              <w:snapToGrid w:val="0"/>
              <w:spacing w:line="360" w:lineRule="auto"/>
              <w:jc w:val="center"/>
              <w:rPr>
                <w:rFonts w:ascii="宋体" w:cs="宋体"/>
                <w:sz w:val="24"/>
                <w:szCs w:val="24"/>
              </w:rPr>
            </w:pPr>
            <w:r>
              <w:rPr>
                <w:rFonts w:ascii="宋体" w:hAnsi="宋体" w:cs="宋体"/>
                <w:sz w:val="24"/>
                <w:szCs w:val="24"/>
              </w:rPr>
              <w:t>12</w:t>
            </w:r>
          </w:p>
        </w:tc>
        <w:tc>
          <w:tcPr>
            <w:tcW w:w="1155" w:type="dxa"/>
            <w:vMerge w:val="restart"/>
            <w:vAlign w:val="center"/>
          </w:tcPr>
          <w:p>
            <w:pPr>
              <w:adjustRightInd w:val="0"/>
              <w:snapToGrid w:val="0"/>
              <w:spacing w:line="360" w:lineRule="auto"/>
              <w:jc w:val="center"/>
              <w:rPr>
                <w:rFonts w:ascii="宋体" w:cs="宋体"/>
                <w:sz w:val="24"/>
                <w:szCs w:val="24"/>
              </w:rPr>
            </w:pPr>
            <w:r>
              <w:rPr>
                <w:rFonts w:ascii="宋体" w:hAnsi="宋体" w:cs="宋体"/>
                <w:sz w:val="24"/>
                <w:szCs w:val="24"/>
              </w:rPr>
              <w:t>36</w:t>
            </w:r>
          </w:p>
        </w:tc>
        <w:tc>
          <w:tcPr>
            <w:tcW w:w="8100" w:type="dxa"/>
            <w:gridSpan w:val="3"/>
            <w:vAlign w:val="center"/>
          </w:tcPr>
          <w:p>
            <w:pPr>
              <w:spacing w:line="360" w:lineRule="auto"/>
              <w:rPr>
                <w:rFonts w:ascii="宋体" w:cs="宋体"/>
                <w:sz w:val="24"/>
                <w:szCs w:val="24"/>
              </w:rPr>
            </w:pPr>
            <w:r>
              <w:rPr>
                <w:rFonts w:hint="eastAsia" w:ascii="宋体" w:hAnsi="宋体" w:cs="宋体"/>
                <w:sz w:val="24"/>
                <w:szCs w:val="24"/>
              </w:rPr>
              <w:t>采购代理服务费：向成交供应商收取采购代理服务费，采购代理服务费按差额定率累进法计算收取，收费标准如下表所列：</w:t>
            </w:r>
          </w:p>
          <w:p>
            <w:pPr>
              <w:spacing w:line="360" w:lineRule="auto"/>
              <w:rPr>
                <w:rFonts w:ascii="宋体" w:cs="宋体"/>
                <w:sz w:val="24"/>
                <w:szCs w:val="24"/>
              </w:rPr>
            </w:pPr>
            <w:r>
              <w:rPr>
                <w:rFonts w:hint="eastAsia" w:ascii="宋体" w:hAnsi="宋体" w:cs="宋体"/>
                <w:sz w:val="24"/>
                <w:szCs w:val="24"/>
              </w:rPr>
              <w:t>收费标准＝成交金额×收费费率＋速算增加数</w:t>
            </w:r>
          </w:p>
          <w:p>
            <w:pPr>
              <w:spacing w:line="360" w:lineRule="auto"/>
              <w:rPr>
                <w:rFonts w:ascii="宋体" w:cs="宋体"/>
                <w:sz w:val="24"/>
                <w:szCs w:val="24"/>
              </w:rPr>
            </w:pPr>
            <w:r>
              <w:rPr>
                <w:rFonts w:hint="eastAsia" w:ascii="宋体" w:hAnsi="宋体" w:cs="宋体"/>
                <w:sz w:val="24"/>
                <w:szCs w:val="24"/>
              </w:rPr>
              <w:t>注：成交金额在</w:t>
            </w:r>
            <w:r>
              <w:rPr>
                <w:rFonts w:ascii="宋体" w:hAnsi="宋体" w:cs="宋体"/>
                <w:sz w:val="24"/>
                <w:szCs w:val="24"/>
              </w:rPr>
              <w:t>40</w:t>
            </w:r>
            <w:r>
              <w:rPr>
                <w:rFonts w:hint="eastAsia" w:ascii="宋体" w:hAnsi="宋体" w:cs="宋体"/>
                <w:sz w:val="24"/>
                <w:szCs w:val="24"/>
              </w:rPr>
              <w:t>万元以下的，按照</w:t>
            </w:r>
            <w:r>
              <w:rPr>
                <w:rFonts w:ascii="宋体" w:hAnsi="宋体" w:cs="宋体"/>
                <w:sz w:val="24"/>
                <w:szCs w:val="24"/>
              </w:rPr>
              <w:t>40</w:t>
            </w:r>
            <w:r>
              <w:rPr>
                <w:rFonts w:hint="eastAsia" w:ascii="宋体" w:hAnsi="宋体" w:cs="宋体"/>
                <w:sz w:val="24"/>
                <w:szCs w:val="24"/>
              </w:rPr>
              <w:t>万元计算服务费。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Merge w:val="continue"/>
            <w:vAlign w:val="center"/>
          </w:tcPr>
          <w:p>
            <w:pPr>
              <w:adjustRightInd w:val="0"/>
              <w:snapToGrid w:val="0"/>
              <w:spacing w:line="360" w:lineRule="auto"/>
              <w:jc w:val="center"/>
              <w:rPr>
                <w:rFonts w:ascii="宋体" w:cs="宋体"/>
                <w:sz w:val="24"/>
                <w:szCs w:val="24"/>
              </w:rPr>
            </w:pPr>
          </w:p>
        </w:tc>
        <w:tc>
          <w:tcPr>
            <w:tcW w:w="1155" w:type="dxa"/>
            <w:vMerge w:val="continue"/>
            <w:vAlign w:val="center"/>
          </w:tcPr>
          <w:p>
            <w:pPr>
              <w:adjustRightInd w:val="0"/>
              <w:snapToGrid w:val="0"/>
              <w:spacing w:line="360" w:lineRule="auto"/>
              <w:jc w:val="center"/>
              <w:rPr>
                <w:rFonts w:ascii="宋体" w:cs="宋体"/>
                <w:sz w:val="24"/>
                <w:szCs w:val="24"/>
              </w:rPr>
            </w:pPr>
          </w:p>
        </w:tc>
        <w:tc>
          <w:tcPr>
            <w:tcW w:w="2700" w:type="dxa"/>
            <w:vAlign w:val="center"/>
          </w:tcPr>
          <w:p>
            <w:pPr>
              <w:spacing w:line="360" w:lineRule="auto"/>
              <w:jc w:val="center"/>
              <w:rPr>
                <w:rFonts w:ascii="宋体" w:cs="宋体"/>
                <w:sz w:val="24"/>
                <w:szCs w:val="24"/>
              </w:rPr>
            </w:pPr>
            <w:r>
              <w:rPr>
                <w:rFonts w:hint="eastAsia" w:ascii="宋体" w:hAnsi="宋体" w:cs="宋体"/>
                <w:sz w:val="24"/>
                <w:szCs w:val="24"/>
              </w:rPr>
              <w:t>成交金额（万元）</w:t>
            </w:r>
          </w:p>
        </w:tc>
        <w:tc>
          <w:tcPr>
            <w:tcW w:w="2700" w:type="dxa"/>
            <w:vAlign w:val="center"/>
          </w:tcPr>
          <w:p>
            <w:pPr>
              <w:spacing w:line="360" w:lineRule="auto"/>
              <w:jc w:val="center"/>
              <w:rPr>
                <w:rFonts w:ascii="宋体" w:cs="宋体"/>
                <w:sz w:val="24"/>
                <w:szCs w:val="24"/>
              </w:rPr>
            </w:pPr>
            <w:r>
              <w:rPr>
                <w:rFonts w:hint="eastAsia" w:ascii="宋体" w:hAnsi="宋体" w:cs="宋体"/>
                <w:sz w:val="24"/>
                <w:szCs w:val="24"/>
              </w:rPr>
              <w:t>收费费率</w:t>
            </w:r>
          </w:p>
        </w:tc>
        <w:tc>
          <w:tcPr>
            <w:tcW w:w="2700" w:type="dxa"/>
            <w:vAlign w:val="center"/>
          </w:tcPr>
          <w:p>
            <w:pPr>
              <w:spacing w:line="360" w:lineRule="auto"/>
              <w:jc w:val="center"/>
              <w:rPr>
                <w:rFonts w:ascii="宋体" w:cs="宋体"/>
                <w:sz w:val="24"/>
                <w:szCs w:val="24"/>
              </w:rPr>
            </w:pPr>
            <w:r>
              <w:rPr>
                <w:rFonts w:hint="eastAsia" w:ascii="宋体" w:hAnsi="宋体" w:cs="宋体"/>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Merge w:val="continue"/>
            <w:vAlign w:val="center"/>
          </w:tcPr>
          <w:p>
            <w:pPr>
              <w:adjustRightInd w:val="0"/>
              <w:snapToGrid w:val="0"/>
              <w:spacing w:line="360" w:lineRule="auto"/>
              <w:jc w:val="center"/>
              <w:rPr>
                <w:rFonts w:ascii="宋体" w:cs="宋体"/>
                <w:sz w:val="24"/>
                <w:szCs w:val="24"/>
              </w:rPr>
            </w:pPr>
          </w:p>
        </w:tc>
        <w:tc>
          <w:tcPr>
            <w:tcW w:w="1155" w:type="dxa"/>
            <w:vMerge w:val="continue"/>
            <w:vAlign w:val="center"/>
          </w:tcPr>
          <w:p>
            <w:pPr>
              <w:adjustRightInd w:val="0"/>
              <w:snapToGrid w:val="0"/>
              <w:spacing w:line="360" w:lineRule="auto"/>
              <w:jc w:val="center"/>
              <w:rPr>
                <w:rFonts w:ascii="宋体" w:cs="宋体"/>
                <w:sz w:val="24"/>
                <w:szCs w:val="24"/>
              </w:rPr>
            </w:pPr>
          </w:p>
        </w:tc>
        <w:tc>
          <w:tcPr>
            <w:tcW w:w="2700" w:type="dxa"/>
            <w:vAlign w:val="center"/>
          </w:tcPr>
          <w:p>
            <w:pPr>
              <w:spacing w:line="360" w:lineRule="auto"/>
              <w:jc w:val="center"/>
              <w:rPr>
                <w:rFonts w:ascii="宋体" w:cs="宋体"/>
                <w:sz w:val="24"/>
                <w:szCs w:val="24"/>
              </w:rPr>
            </w:pPr>
            <w:r>
              <w:rPr>
                <w:rFonts w:ascii="宋体" w:hAnsi="宋体" w:cs="宋体"/>
                <w:sz w:val="24"/>
                <w:szCs w:val="24"/>
              </w:rPr>
              <w:t>100</w:t>
            </w:r>
            <w:r>
              <w:rPr>
                <w:rFonts w:hint="eastAsia" w:ascii="宋体" w:hAnsi="宋体" w:cs="宋体"/>
                <w:sz w:val="24"/>
                <w:szCs w:val="24"/>
              </w:rPr>
              <w:t>以下</w:t>
            </w:r>
          </w:p>
        </w:tc>
        <w:tc>
          <w:tcPr>
            <w:tcW w:w="2700" w:type="dxa"/>
            <w:vAlign w:val="center"/>
          </w:tcPr>
          <w:p>
            <w:pPr>
              <w:spacing w:line="360" w:lineRule="auto"/>
              <w:jc w:val="center"/>
              <w:rPr>
                <w:rFonts w:ascii="宋体" w:cs="宋体"/>
                <w:sz w:val="24"/>
                <w:szCs w:val="24"/>
              </w:rPr>
            </w:pPr>
            <w:r>
              <w:rPr>
                <w:rFonts w:ascii="宋体" w:hAnsi="宋体" w:cs="宋体"/>
                <w:sz w:val="24"/>
                <w:szCs w:val="24"/>
              </w:rPr>
              <w:t>1.5%</w:t>
            </w:r>
          </w:p>
        </w:tc>
        <w:tc>
          <w:tcPr>
            <w:tcW w:w="2700" w:type="dxa"/>
            <w:vAlign w:val="center"/>
          </w:tcPr>
          <w:p>
            <w:pPr>
              <w:spacing w:line="360" w:lineRule="auto"/>
              <w:jc w:val="center"/>
              <w:rPr>
                <w:rFonts w:ascii="宋体" w:cs="宋体"/>
                <w:sz w:val="24"/>
                <w:szCs w:val="24"/>
              </w:rPr>
            </w:pPr>
            <w:r>
              <w:rPr>
                <w:rFonts w:asci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Merge w:val="continue"/>
            <w:vAlign w:val="center"/>
          </w:tcPr>
          <w:p>
            <w:pPr>
              <w:adjustRightInd w:val="0"/>
              <w:snapToGrid w:val="0"/>
              <w:spacing w:line="360" w:lineRule="auto"/>
              <w:jc w:val="center"/>
              <w:rPr>
                <w:rFonts w:ascii="宋体" w:cs="宋体"/>
                <w:sz w:val="24"/>
                <w:szCs w:val="24"/>
              </w:rPr>
            </w:pPr>
          </w:p>
        </w:tc>
        <w:tc>
          <w:tcPr>
            <w:tcW w:w="1155" w:type="dxa"/>
            <w:vMerge w:val="continue"/>
            <w:vAlign w:val="center"/>
          </w:tcPr>
          <w:p>
            <w:pPr>
              <w:adjustRightInd w:val="0"/>
              <w:snapToGrid w:val="0"/>
              <w:spacing w:line="360" w:lineRule="auto"/>
              <w:jc w:val="center"/>
              <w:rPr>
                <w:rFonts w:ascii="宋体" w:cs="宋体"/>
                <w:sz w:val="24"/>
                <w:szCs w:val="24"/>
              </w:rPr>
            </w:pPr>
          </w:p>
        </w:tc>
        <w:tc>
          <w:tcPr>
            <w:tcW w:w="2700" w:type="dxa"/>
            <w:vAlign w:val="center"/>
          </w:tcPr>
          <w:p>
            <w:pPr>
              <w:spacing w:line="360" w:lineRule="auto"/>
              <w:jc w:val="center"/>
              <w:rPr>
                <w:rFonts w:ascii="宋体" w:cs="宋体"/>
                <w:sz w:val="24"/>
                <w:szCs w:val="24"/>
              </w:rPr>
            </w:pPr>
            <w:r>
              <w:rPr>
                <w:rFonts w:ascii="宋体" w:hAnsi="宋体" w:cs="宋体"/>
                <w:sz w:val="24"/>
                <w:szCs w:val="24"/>
              </w:rPr>
              <w:t>100-500</w:t>
            </w:r>
          </w:p>
        </w:tc>
        <w:tc>
          <w:tcPr>
            <w:tcW w:w="2700" w:type="dxa"/>
            <w:vAlign w:val="center"/>
          </w:tcPr>
          <w:p>
            <w:pPr>
              <w:spacing w:line="360" w:lineRule="auto"/>
              <w:jc w:val="center"/>
              <w:rPr>
                <w:rFonts w:ascii="宋体" w:cs="宋体"/>
                <w:sz w:val="24"/>
                <w:szCs w:val="24"/>
              </w:rPr>
            </w:pPr>
            <w:r>
              <w:rPr>
                <w:rFonts w:ascii="宋体" w:hAnsi="宋体" w:cs="宋体"/>
                <w:sz w:val="24"/>
                <w:szCs w:val="24"/>
              </w:rPr>
              <w:t>1.1%</w:t>
            </w:r>
          </w:p>
        </w:tc>
        <w:tc>
          <w:tcPr>
            <w:tcW w:w="2700" w:type="dxa"/>
            <w:vAlign w:val="center"/>
          </w:tcPr>
          <w:p>
            <w:pPr>
              <w:spacing w:line="360" w:lineRule="auto"/>
              <w:jc w:val="center"/>
              <w:rPr>
                <w:rFonts w:ascii="宋体" w:cs="宋体"/>
                <w:sz w:val="24"/>
                <w:szCs w:val="24"/>
              </w:rPr>
            </w:pPr>
            <w:r>
              <w:rPr>
                <w:rFonts w:ascii="宋体" w:hAnsi="宋体" w:cs="宋体"/>
                <w:sz w:val="24"/>
                <w:szCs w:val="24"/>
              </w:rPr>
              <w:t>0.4</w:t>
            </w:r>
          </w:p>
        </w:tc>
      </w:tr>
    </w:tbl>
    <w:p>
      <w:pPr>
        <w:pStyle w:val="5"/>
        <w:spacing w:before="0" w:after="0" w:line="460" w:lineRule="exact"/>
        <w:rPr>
          <w:rFonts w:ascii="宋体" w:cs="宋体"/>
          <w:sz w:val="24"/>
        </w:rPr>
      </w:pPr>
    </w:p>
    <w:p>
      <w:pPr>
        <w:pStyle w:val="5"/>
        <w:spacing w:before="0" w:after="0" w:line="460" w:lineRule="exact"/>
        <w:ind w:firstLine="3238" w:firstLineChars="1152"/>
        <w:jc w:val="left"/>
        <w:rPr>
          <w:rFonts w:ascii="宋体" w:cs="宋体"/>
          <w:sz w:val="28"/>
          <w:szCs w:val="28"/>
        </w:rPr>
      </w:pPr>
      <w:bookmarkStart w:id="49" w:name="_Toc15970"/>
      <w:r>
        <w:rPr>
          <w:rFonts w:hint="eastAsia" w:ascii="宋体" w:hAnsi="宋体" w:cs="宋体"/>
          <w:sz w:val="28"/>
          <w:szCs w:val="28"/>
        </w:rPr>
        <w:t>二、说明</w:t>
      </w:r>
      <w:bookmarkEnd w:id="49"/>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适用范围</w:t>
      </w:r>
    </w:p>
    <w:p>
      <w:pPr>
        <w:spacing w:line="4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本磋商文件仅适用于本“磋商邀请”中所述有关服务的采购。</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定义</w:t>
      </w:r>
    </w:p>
    <w:p>
      <w:pPr>
        <w:spacing w:line="460" w:lineRule="exact"/>
        <w:ind w:left="510" w:hanging="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2.1采购人：详见“供应商须知前附表”</w:t>
      </w:r>
    </w:p>
    <w:p>
      <w:pPr>
        <w:spacing w:line="460" w:lineRule="exact"/>
        <w:ind w:left="510" w:hanging="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2.2采购代理机构：江西省机电设备招标有限公司</w:t>
      </w:r>
    </w:p>
    <w:p>
      <w:pPr>
        <w:spacing w:line="460" w:lineRule="exact"/>
        <w:ind w:left="510" w:hanging="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2.3供应商：是指向采购人提供“磋商邀请”中采购内容的法人、其它组织或者自然人。</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合格供应商</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3.1供应商的资格条件： 详见“磋商邀请”</w:t>
      </w:r>
    </w:p>
    <w:p>
      <w:pPr>
        <w:spacing w:line="44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联合体参加磋商</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3.2.1是否接受联合体参加磋商：详见“磋商邀请”</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磋商费用</w:t>
      </w:r>
    </w:p>
    <w:p>
      <w:pPr>
        <w:spacing w:line="460" w:lineRule="exact"/>
        <w:ind w:left="454" w:leftChars="2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不论磋商的结果如何，供应商应自行承担所有与准备和参加磋商有关的全部费用。采购代理机构在任何情况下均无义务和责任承担这些费用。</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供应商代表</w:t>
      </w:r>
    </w:p>
    <w:p>
      <w:pPr>
        <w:spacing w:line="460" w:lineRule="exact"/>
        <w:ind w:left="454" w:leftChars="2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指全权代表供应商参加磋商活动并签署响应文件的人。如果供应商代表不是法定代表人，须持有《法定代表人授权书》（格式详见“第四章 响应文件格式”）。</w:t>
      </w:r>
    </w:p>
    <w:p>
      <w:pPr>
        <w:pStyle w:val="5"/>
        <w:spacing w:before="0" w:after="0" w:line="460" w:lineRule="exact"/>
        <w:rPr>
          <w:rFonts w:asciiTheme="minorEastAsia" w:hAnsiTheme="minorEastAsia" w:eastAsiaTheme="minorEastAsia" w:cstheme="minorEastAsia"/>
          <w:sz w:val="24"/>
        </w:rPr>
      </w:pP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50" w:name="_Toc13069"/>
      <w:bookmarkStart w:id="51" w:name="_Toc26563"/>
      <w:r>
        <w:rPr>
          <w:rFonts w:hint="eastAsia" w:asciiTheme="minorEastAsia" w:hAnsiTheme="minorEastAsia" w:eastAsiaTheme="minorEastAsia" w:cstheme="minorEastAsia"/>
          <w:sz w:val="28"/>
          <w:szCs w:val="28"/>
        </w:rPr>
        <w:t>三、 磋商文件</w:t>
      </w:r>
      <w:bookmarkEnd w:id="50"/>
      <w:bookmarkEnd w:id="51"/>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磋商文件构成</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要求提供的有关服务、磋商过程和合同条款在磋商文件中均有说明。磋商文件共六章，各章的内容如下：</w:t>
      </w:r>
    </w:p>
    <w:p>
      <w:pPr>
        <w:numPr>
          <w:ilvl w:val="0"/>
          <w:numId w:val="4"/>
        </w:numPr>
        <w:spacing w:line="460" w:lineRule="exact"/>
        <w:ind w:left="48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磋商邀请</w:t>
      </w:r>
    </w:p>
    <w:p>
      <w:pPr>
        <w:numPr>
          <w:ilvl w:val="0"/>
          <w:numId w:val="4"/>
        </w:numPr>
        <w:tabs>
          <w:tab w:val="left" w:pos="480"/>
          <w:tab w:val="clear" w:pos="1080"/>
        </w:tabs>
        <w:spacing w:line="460" w:lineRule="exact"/>
        <w:ind w:left="48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供应商须知</w:t>
      </w:r>
    </w:p>
    <w:p>
      <w:pPr>
        <w:numPr>
          <w:ilvl w:val="0"/>
          <w:numId w:val="4"/>
        </w:numPr>
        <w:tabs>
          <w:tab w:val="left" w:pos="480"/>
          <w:tab w:val="clear" w:pos="1080"/>
        </w:tabs>
        <w:spacing w:line="460" w:lineRule="exact"/>
        <w:ind w:left="48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拟签订的合同文本 </w:t>
      </w:r>
    </w:p>
    <w:p>
      <w:pPr>
        <w:numPr>
          <w:ilvl w:val="0"/>
          <w:numId w:val="4"/>
        </w:numPr>
        <w:spacing w:line="460" w:lineRule="exact"/>
        <w:ind w:left="357" w:firstLine="1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p>
      <w:pPr>
        <w:numPr>
          <w:ilvl w:val="0"/>
          <w:numId w:val="4"/>
        </w:numPr>
        <w:spacing w:line="460" w:lineRule="exact"/>
        <w:ind w:left="357" w:firstLine="1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采购需求一览表及采购要求</w:t>
      </w:r>
    </w:p>
    <w:p>
      <w:pPr>
        <w:numPr>
          <w:ilvl w:val="0"/>
          <w:numId w:val="4"/>
        </w:numPr>
        <w:spacing w:line="460" w:lineRule="exact"/>
        <w:ind w:left="357" w:firstLine="1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除非有特殊要求，磋商文件不单独提供磋商所需服务使用地的自然环境、气候条件、公用设施等情况，供应商被视为熟悉上述与履行合同有关的一切情况。</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磋商文件的澄清和修改</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提交首次响应文件截止时间前的任何时候，采购代理机构可以对已发出的磋商文件进行必要的澄清或者修改，澄清或者修改的内容作为磋商文件的组成部分。</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7.2澄清或者修改的内容可能影响响应文件编制的，采购代理机构应当在提交首次响应文件截止时间至少5日前，</w:t>
      </w:r>
      <w:r>
        <w:rPr>
          <w:rFonts w:hint="eastAsia" w:cs="仿宋" w:asciiTheme="minorEastAsia" w:hAnsiTheme="minorEastAsia" w:eastAsiaTheme="minorEastAsia"/>
          <w:sz w:val="24"/>
          <w:szCs w:val="24"/>
        </w:rPr>
        <w:t>在江西政府采购网以及江西省公共资源交易网上发布更正公告，上传答疑澄清文件</w:t>
      </w:r>
      <w:r>
        <w:rPr>
          <w:rFonts w:hint="eastAsia" w:asciiTheme="minorEastAsia" w:hAnsiTheme="minorEastAsia" w:eastAsiaTheme="minorEastAsia" w:cstheme="minorEastAsia"/>
          <w:sz w:val="24"/>
          <w:szCs w:val="24"/>
        </w:rPr>
        <w:t>；不足5日的，应当顺延提交首次响应文件截止时间。</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7.3 </w:t>
      </w:r>
      <w:r>
        <w:rPr>
          <w:rFonts w:hint="eastAsia" w:cs="仿宋" w:asciiTheme="minorEastAsia" w:hAnsiTheme="minorEastAsia" w:eastAsiaTheme="minorEastAsia"/>
          <w:sz w:val="24"/>
          <w:szCs w:val="24"/>
        </w:rPr>
        <w:t>已下载磋商文件的供应商必须在江西省公共资源交易网上下载答疑澄清文件。供应商因未下载答疑澄清文件、由此可能引起的响应文件递交失败、解密失败、内容缺失等相关后果由供应商自行承担。</w:t>
      </w:r>
    </w:p>
    <w:p>
      <w:pPr>
        <w:spacing w:line="460" w:lineRule="exact"/>
        <w:ind w:left="454" w:hanging="454"/>
        <w:rPr>
          <w:rFonts w:asciiTheme="minorEastAsia" w:hAnsiTheme="minorEastAsia" w:eastAsiaTheme="minorEastAsia" w:cstheme="minorEastAsia"/>
          <w:b/>
          <w:sz w:val="24"/>
          <w:szCs w:val="24"/>
        </w:rPr>
      </w:pPr>
      <w:bookmarkStart w:id="52" w:name="_Toc501101639"/>
      <w:bookmarkStart w:id="53" w:name="_Toc495487710"/>
      <w:bookmarkStart w:id="54" w:name="_Toc499477410"/>
      <w:r>
        <w:rPr>
          <w:rFonts w:hint="eastAsia" w:asciiTheme="minorEastAsia" w:hAnsiTheme="minorEastAsia" w:eastAsiaTheme="minorEastAsia" w:cstheme="minorEastAsia"/>
          <w:b/>
          <w:sz w:val="24"/>
          <w:szCs w:val="24"/>
        </w:rPr>
        <w:t>8. 供应商应当提交的资格、资信证明文件</w:t>
      </w:r>
      <w:bookmarkEnd w:id="52"/>
      <w:bookmarkEnd w:id="53"/>
      <w:bookmarkEnd w:id="54"/>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8.1具有独立承担民事责任的能力的资格证明文件</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8.2具有良好的商业信誉和健全的财务会计制度的证明文件 </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8.3 具有履行合同所必须的设备和专业技术能力的证明文件 </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8.4 有依法缴纳税收和社会保障资金的良好记录的证明文件 </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8.5参加政府采购前三年内，在经营活动中没有重大违法记录的证明文件 </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8.6法定代表人授权书 </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8.7供应商的资格声明</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8.8磋商保证金凭证</w:t>
      </w:r>
    </w:p>
    <w:p>
      <w:pPr>
        <w:spacing w:line="44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8.9其他资格证明文件</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9.落实的政府采购政策</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z w:val="24"/>
          <w:szCs w:val="24"/>
        </w:rPr>
        <w:t xml:space="preserve">9.1 </w:t>
      </w:r>
      <w:r>
        <w:rPr>
          <w:rFonts w:hint="eastAsia" w:asciiTheme="minorEastAsia" w:hAnsiTheme="minorEastAsia" w:eastAsiaTheme="minorEastAsia" w:cstheme="minorEastAsia"/>
          <w:sz w:val="24"/>
          <w:szCs w:val="24"/>
        </w:rPr>
        <w:t>中、小、微企业或监狱企业参加竞争性磋商</w:t>
      </w:r>
    </w:p>
    <w:p>
      <w:pPr>
        <w:spacing w:line="460" w:lineRule="exact"/>
        <w:ind w:left="454" w:hanging="454"/>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9.1.1中小企业（含中型、小型、微型企业，下同）参加竞争性磋商</w:t>
      </w:r>
    </w:p>
    <w:p>
      <w:pPr>
        <w:spacing w:line="460" w:lineRule="exact"/>
        <w:rPr>
          <w:rFonts w:ascii="宋体" w:hAnsi="宋体" w:cs="宋体"/>
          <w:sz w:val="24"/>
          <w:szCs w:val="24"/>
        </w:rPr>
      </w:pPr>
      <w:r>
        <w:rPr>
          <w:rFonts w:hint="eastAsia" w:asciiTheme="minorEastAsia" w:hAnsiTheme="minorEastAsia" w:eastAsiaTheme="minorEastAsia" w:cstheme="minorEastAsia"/>
          <w:sz w:val="24"/>
          <w:szCs w:val="24"/>
        </w:rPr>
        <w:t>（1）在中华人民共和国境内依法设立，符合国务院批准的中小企业划分标准（依据国务院批准的中小企业划分标准确定的中型企业、小型企业和微型企业，但与大企业的负责人为同一人，</w:t>
      </w:r>
      <w:r>
        <w:rPr>
          <w:rFonts w:hint="eastAsia" w:ascii="宋体" w:hAnsi="宋体" w:cs="宋体"/>
          <w:sz w:val="24"/>
          <w:szCs w:val="24"/>
        </w:rPr>
        <w:t>或者与大企业存在直接控股、管理关系的除外），符合中小企业划分标准的个体工商户，在政府采购活动中视同中小企业。</w:t>
      </w:r>
    </w:p>
    <w:p>
      <w:pPr>
        <w:spacing w:line="460" w:lineRule="exact"/>
        <w:rPr>
          <w:rFonts w:ascii="宋体" w:hAnsi="宋体" w:cs="宋体"/>
          <w:sz w:val="24"/>
          <w:szCs w:val="24"/>
        </w:rPr>
      </w:pPr>
      <w:r>
        <w:rPr>
          <w:rFonts w:hint="eastAsia" w:ascii="宋体" w:hAnsi="宋体" w:cs="宋体"/>
          <w:sz w:val="24"/>
          <w:szCs w:val="24"/>
        </w:rPr>
        <w:t>（2）小型、微型企业提供中型企业制造的货物的，视同为中型企业。</w:t>
      </w:r>
    </w:p>
    <w:p>
      <w:pPr>
        <w:spacing w:line="460" w:lineRule="exact"/>
        <w:rPr>
          <w:rFonts w:ascii="宋体" w:hAnsi="宋体" w:cs="宋体"/>
          <w:sz w:val="24"/>
          <w:szCs w:val="24"/>
        </w:rPr>
      </w:pPr>
      <w:r>
        <w:rPr>
          <w:rFonts w:hint="eastAsia" w:ascii="宋体" w:hAnsi="宋体" w:cs="宋体"/>
          <w:sz w:val="24"/>
          <w:szCs w:val="24"/>
        </w:rPr>
        <w:t>（3）在服务采购项目中，服务由中小企业承接，即提供服务的人员为中小企业依照《中华人民共和国劳动合同法》订立劳动合同的从业人员。</w:t>
      </w:r>
    </w:p>
    <w:p>
      <w:pPr>
        <w:spacing w:line="460" w:lineRule="exact"/>
        <w:rPr>
          <w:rFonts w:ascii="宋体" w:hAnsi="宋体" w:cs="宋体"/>
          <w:sz w:val="24"/>
          <w:szCs w:val="24"/>
        </w:rPr>
      </w:pPr>
      <w:r>
        <w:rPr>
          <w:rFonts w:hint="eastAsia" w:ascii="宋体" w:hAnsi="宋体" w:cs="宋体"/>
          <w:sz w:val="24"/>
          <w:szCs w:val="24"/>
        </w:rPr>
        <w:t>（4）以联合体形式参加政府采购活动，联合体各方均为中小企业的，联合体视同中小企业。其中，联合体各方均为小微企业的，联合体视同小微企业。（适用于联合体参加磋商）</w:t>
      </w:r>
    </w:p>
    <w:p>
      <w:pPr>
        <w:spacing w:line="460" w:lineRule="exact"/>
        <w:rPr>
          <w:rFonts w:ascii="宋体" w:hAnsi="宋体" w:cs="宋体"/>
          <w:b/>
          <w:bCs/>
          <w:sz w:val="24"/>
          <w:szCs w:val="24"/>
        </w:rPr>
      </w:pPr>
      <w:r>
        <w:rPr>
          <w:rFonts w:hint="eastAsia" w:ascii="宋体" w:hAnsi="宋体" w:cs="宋体"/>
          <w:sz w:val="24"/>
          <w:szCs w:val="24"/>
        </w:rPr>
        <w:t>（5）组成联合体或者接受分包合同的中小企业与联合体内其他企业、分包企业之间不得存在直接控股、管理关系。</w:t>
      </w:r>
      <w:r>
        <w:rPr>
          <w:rFonts w:hint="eastAsia" w:ascii="宋体" w:hAnsi="宋体" w:cs="宋体"/>
          <w:b/>
          <w:bCs/>
          <w:sz w:val="24"/>
          <w:szCs w:val="24"/>
        </w:rPr>
        <w:t>(适用于涉及中小企业的联合体参加磋商或者允许合同分包的采购项目)</w:t>
      </w:r>
    </w:p>
    <w:p>
      <w:pPr>
        <w:spacing w:line="460" w:lineRule="exact"/>
        <w:ind w:left="600" w:hanging="600" w:hangingChars="250"/>
        <w:rPr>
          <w:rFonts w:ascii="仿宋" w:hAnsi="仿宋" w:eastAsia="仿宋" w:cs="仿宋"/>
          <w:sz w:val="24"/>
          <w:szCs w:val="24"/>
        </w:rPr>
      </w:pPr>
      <w:r>
        <w:rPr>
          <w:rFonts w:hint="eastAsia" w:ascii="宋体" w:hAnsi="宋体" w:cs="宋体"/>
          <w:sz w:val="24"/>
          <w:szCs w:val="24"/>
        </w:rPr>
        <w:t>9.1.2供应商提供中小企业服务的, 响应时必须提供制造商的《中小企业声明函》。（格式详见“第四章响应文件格式7-1”）</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b/>
          <w:sz w:val="24"/>
          <w:szCs w:val="24"/>
        </w:rPr>
        <w:t>监狱企业参加磋商</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9.2.1监狱企业应当符合以下条件：</w:t>
      </w:r>
    </w:p>
    <w:p>
      <w:pPr>
        <w:spacing w:line="460" w:lineRule="exact"/>
        <w:ind w:left="525" w:leftChars="2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9.2.2监狱企业参加磋商须提供的证明材料：</w:t>
      </w:r>
    </w:p>
    <w:p>
      <w:pPr>
        <w:spacing w:line="460" w:lineRule="exact"/>
        <w:ind w:left="525" w:left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监狱企业参加政府采购活动时，应当提供由省级以上监狱管理局、戒毒管理局（含新疆生产建设兵团）出具的属于监狱企业的证明文件。（格式详见“第四章响应文件格式7-2”）</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b/>
          <w:sz w:val="24"/>
          <w:szCs w:val="24"/>
        </w:rPr>
        <w:t>残疾人福利性单位参加磋商</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9.3.1享受政府采购支持政策的残疾人福利性单位应当同时满足以下条件：</w:t>
      </w:r>
    </w:p>
    <w:p>
      <w:pPr>
        <w:spacing w:line="460" w:lineRule="exact"/>
        <w:ind w:left="839" w:leftChars="114"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（1）安置的残疾人占本单位在职职工人数的比例不低于25%（含25%），并且安置的残疾人人数不少于10人（含10人）；</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（2）依法与安置的每位残疾人签订了一年以上（含一年）的劳动合同或服务协议；</w:t>
      </w:r>
    </w:p>
    <w:p>
      <w:pPr>
        <w:spacing w:line="460" w:lineRule="exact"/>
        <w:ind w:left="840" w:hanging="840" w:hanging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（3）为安置的每位残疾人按月足额缴纳了基本养老保险、基本医疗保险、失业保险、工伤保险和生育保险等社会保险费；</w:t>
      </w:r>
    </w:p>
    <w:p>
      <w:pPr>
        <w:spacing w:line="460" w:lineRule="exact"/>
        <w:ind w:left="840" w:hanging="840" w:hanging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pPr>
        <w:spacing w:line="460" w:lineRule="exact"/>
        <w:ind w:left="840" w:hanging="840" w:hanging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9.3.2残疾人福利性单位参加磋商须提供的证明材料：</w:t>
      </w:r>
    </w:p>
    <w:p>
      <w:pPr>
        <w:spacing w:line="460" w:lineRule="exact"/>
        <w:ind w:left="705" w:leftChars="50" w:hanging="600" w:hangingChars="2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（1）符合条件的残疾人福利性单位在参加政府采购活动时，应当提供《残疾人福利性单位声明函》（格式详见“第四章响应文件格式7-3”），并对声明的真实性负责。</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（2）供应商提供的《残疾人福利性单位声明函》与事实不符的，依照《政府采购法》第七十七条第一款的规定追究法律责任。</w:t>
      </w:r>
    </w:p>
    <w:p>
      <w:pPr>
        <w:spacing w:line="460" w:lineRule="exact"/>
        <w:ind w:left="602" w:hanging="602" w:hangingChars="250"/>
        <w:rPr>
          <w:rFonts w:asciiTheme="minorEastAsia" w:hAnsiTheme="minorEastAsia" w:eastAsiaTheme="minorEastAsia" w:cstheme="minorEastAsia"/>
          <w:b/>
          <w:sz w:val="24"/>
          <w:szCs w:val="24"/>
        </w:rPr>
      </w:pPr>
      <w:bookmarkStart w:id="55" w:name="_Toc498090051"/>
      <w:bookmarkStart w:id="56" w:name="_Toc498090129"/>
      <w:r>
        <w:rPr>
          <w:rFonts w:hint="eastAsia" w:asciiTheme="minorEastAsia" w:hAnsiTheme="minorEastAsia" w:eastAsiaTheme="minorEastAsia" w:cstheme="minorEastAsia"/>
          <w:b/>
          <w:sz w:val="24"/>
          <w:szCs w:val="24"/>
        </w:rPr>
        <w:t>9.4对小型和微型企业、监狱企业、残疾人福利性单位产品参加磋商享受的政策</w:t>
      </w:r>
      <w:bookmarkEnd w:id="55"/>
      <w:bookmarkEnd w:id="56"/>
    </w:p>
    <w:p>
      <w:pPr>
        <w:spacing w:line="460" w:lineRule="exact"/>
        <w:rPr>
          <w:rFonts w:ascii="宋体" w:hAnsi="宋体" w:eastAsia="宋体" w:cs="宋体"/>
          <w:b w:val="0"/>
          <w:bCs w:val="0"/>
          <w:color w:val="0D0D0D"/>
          <w:sz w:val="24"/>
          <w:szCs w:val="24"/>
        </w:rPr>
      </w:pPr>
      <w:r>
        <w:rPr>
          <w:rFonts w:ascii="宋体" w:hAnsi="宋体" w:eastAsia="宋体" w:cs="宋体"/>
          <w:b w:val="0"/>
          <w:bCs w:val="0"/>
          <w:color w:val="0D0D0D"/>
          <w:sz w:val="24"/>
          <w:szCs w:val="24"/>
        </w:rPr>
        <w:t>9.4.1</w:t>
      </w:r>
      <w:r>
        <w:rPr>
          <w:rFonts w:hint="eastAsia" w:ascii="宋体" w:hAnsi="宋体" w:eastAsia="宋体" w:cs="宋体"/>
          <w:b w:val="0"/>
          <w:bCs w:val="0"/>
          <w:color w:val="0D0D0D"/>
          <w:sz w:val="24"/>
          <w:szCs w:val="24"/>
        </w:rPr>
        <w:t>本项目专门面向中小企业</w:t>
      </w:r>
      <w:r>
        <w:rPr>
          <w:rFonts w:hint="eastAsia" w:ascii="宋体" w:hAnsi="宋体" w:eastAsia="宋体" w:cs="宋体"/>
          <w:b w:val="0"/>
          <w:bCs w:val="0"/>
          <w:color w:val="0D0D0D"/>
          <w:sz w:val="24"/>
          <w:szCs w:val="24"/>
          <w:lang w:val="en-US" w:eastAsia="zh-CN"/>
        </w:rPr>
        <w:t>采购，供应商不再享受政府采购的价格扣除优惠政策。</w:t>
      </w:r>
    </w:p>
    <w:p>
      <w:pPr>
        <w:spacing w:line="460" w:lineRule="exact"/>
        <w:rPr>
          <w:rFonts w:ascii="宋体" w:hAnsi="宋体" w:eastAsia="宋体" w:cs="宋体"/>
          <w:b w:val="0"/>
          <w:bCs w:val="0"/>
          <w:color w:val="0D0D0D"/>
          <w:sz w:val="24"/>
          <w:szCs w:val="24"/>
        </w:rPr>
      </w:pPr>
      <w:r>
        <w:rPr>
          <w:rFonts w:ascii="宋体" w:hAnsi="宋体" w:eastAsia="宋体" w:cs="宋体"/>
          <w:b w:val="0"/>
          <w:bCs w:val="0"/>
          <w:color w:val="0D0D0D"/>
          <w:sz w:val="24"/>
          <w:szCs w:val="24"/>
        </w:rPr>
        <w:t>9.4.2</w:t>
      </w:r>
      <w:r>
        <w:rPr>
          <w:rFonts w:hint="eastAsia" w:ascii="宋体" w:hAnsi="宋体" w:eastAsia="宋体" w:cs="宋体"/>
          <w:b w:val="0"/>
          <w:bCs w:val="0"/>
          <w:color w:val="0D0D0D"/>
          <w:sz w:val="24"/>
          <w:szCs w:val="24"/>
        </w:rPr>
        <w:t>监狱企业视同小型、微型企业。</w:t>
      </w:r>
    </w:p>
    <w:p>
      <w:pPr>
        <w:spacing w:line="460" w:lineRule="exact"/>
        <w:rPr>
          <w:rFonts w:ascii="宋体" w:hAnsi="宋体" w:eastAsia="宋体" w:cs="宋体"/>
          <w:b w:val="0"/>
          <w:bCs w:val="0"/>
          <w:color w:val="0D0D0D"/>
          <w:sz w:val="24"/>
          <w:szCs w:val="24"/>
        </w:rPr>
      </w:pPr>
      <w:r>
        <w:rPr>
          <w:rFonts w:ascii="宋体" w:hAnsi="宋体" w:eastAsia="宋体" w:cs="宋体"/>
          <w:b w:val="0"/>
          <w:bCs w:val="0"/>
          <w:color w:val="0D0D0D"/>
          <w:sz w:val="24"/>
          <w:szCs w:val="24"/>
        </w:rPr>
        <w:t>9.4.3</w:t>
      </w:r>
      <w:r>
        <w:rPr>
          <w:rFonts w:hint="eastAsia" w:ascii="宋体" w:hAnsi="宋体" w:eastAsia="宋体" w:cs="宋体"/>
          <w:b w:val="0"/>
          <w:bCs w:val="0"/>
          <w:color w:val="0D0D0D"/>
          <w:sz w:val="24"/>
          <w:szCs w:val="24"/>
        </w:rPr>
        <w:t>残疾人福利性单位视同小型、微型企业。</w:t>
      </w:r>
    </w:p>
    <w:p>
      <w:pPr>
        <w:spacing w:line="460" w:lineRule="exact"/>
        <w:rPr>
          <w:rFonts w:ascii="宋体" w:hAnsi="宋体" w:eastAsia="宋体" w:cs="宋体"/>
          <w:b w:val="0"/>
          <w:bCs w:val="0"/>
          <w:color w:val="0D0D0D"/>
          <w:sz w:val="24"/>
          <w:szCs w:val="24"/>
        </w:rPr>
      </w:pPr>
      <w:bookmarkStart w:id="57" w:name="_Toc505020155"/>
      <w:r>
        <w:rPr>
          <w:rFonts w:ascii="宋体" w:hAnsi="宋体" w:eastAsia="宋体" w:cs="宋体"/>
          <w:b w:val="0"/>
          <w:bCs w:val="0"/>
          <w:color w:val="0D0D0D"/>
          <w:sz w:val="24"/>
          <w:szCs w:val="24"/>
        </w:rPr>
        <w:t xml:space="preserve">9.4.4 </w:t>
      </w:r>
      <w:r>
        <w:rPr>
          <w:rFonts w:hint="eastAsia" w:ascii="宋体" w:hAnsi="宋体" w:eastAsia="宋体" w:cs="宋体"/>
          <w:b w:val="0"/>
          <w:bCs w:val="0"/>
          <w:color w:val="0D0D0D"/>
          <w:sz w:val="24"/>
          <w:szCs w:val="24"/>
        </w:rPr>
        <w:t>以上所称货物或产品在本项目中指最终的服务成果。</w:t>
      </w:r>
      <w:bookmarkEnd w:id="57"/>
    </w:p>
    <w:p>
      <w:pPr>
        <w:rPr>
          <w:rFonts w:asciiTheme="minorEastAsia" w:hAnsiTheme="minorEastAsia" w:eastAsiaTheme="minorEastAsia" w:cstheme="minorEastAsia"/>
        </w:rPr>
      </w:pP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58" w:name="_Toc1858"/>
      <w:bookmarkStart w:id="59" w:name="_Toc13862"/>
      <w:r>
        <w:rPr>
          <w:rFonts w:hint="eastAsia" w:asciiTheme="minorEastAsia" w:hAnsiTheme="minorEastAsia" w:eastAsiaTheme="minorEastAsia" w:cstheme="minorEastAsia"/>
          <w:sz w:val="28"/>
          <w:szCs w:val="28"/>
        </w:rPr>
        <w:t>四、 响应文件的编制</w:t>
      </w:r>
      <w:bookmarkEnd w:id="58"/>
      <w:bookmarkEnd w:id="59"/>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10.提示</w:t>
      </w:r>
    </w:p>
    <w:p>
      <w:pPr>
        <w:spacing w:line="460" w:lineRule="exact"/>
        <w:ind w:left="454" w:hanging="45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供应商应认真阅读磋商文件的全部内容，按照磋商文件要求提供响应文件和资料。</w:t>
      </w:r>
    </w:p>
    <w:p>
      <w:pPr>
        <w:spacing w:line="400" w:lineRule="exact"/>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10.2供应商提交的响应文件以及供应商与采购代理结机构所有来往书面文件均须使用中文。响应文件中如附有外文资料，必须逐一对应翻译成中文</w:t>
      </w:r>
      <w:r>
        <w:rPr>
          <w:rFonts w:hint="eastAsia" w:asciiTheme="minorEastAsia" w:hAnsiTheme="minorEastAsia" w:eastAsiaTheme="minorEastAsia" w:cstheme="minorEastAsia"/>
          <w:sz w:val="24"/>
        </w:rPr>
        <w:t>。</w:t>
      </w:r>
    </w:p>
    <w:p>
      <w:pPr>
        <w:spacing w:line="40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10.3翻译的中文资料与外文资料如果出现差异和矛盾时，以中文为准。</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11.计量单位</w:t>
      </w:r>
    </w:p>
    <w:p>
      <w:pPr>
        <w:spacing w:line="40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11.1响应文件中所使用的计量单位, 除磋商文件中有特殊要求外，应采用国家法定计量单位。</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响应文件的构成</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磋商响应书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567" w:hanging="87"/>
        <w:rPr>
          <w:rFonts w:ascii="宋体" w:hAnsi="宋体" w:cs="宋体"/>
          <w:sz w:val="24"/>
          <w:szCs w:val="24"/>
        </w:rPr>
      </w:pPr>
      <w:r>
        <w:rPr>
          <w:rFonts w:hint="eastAsia" w:ascii="宋体" w:hAnsi="宋体" w:cs="宋体"/>
          <w:sz w:val="24"/>
          <w:szCs w:val="24"/>
        </w:rPr>
        <w:t>(4) 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(8) 为落实政府采购政策供应商须提供的证明材料</w:t>
      </w:r>
    </w:p>
    <w:p>
      <w:pPr>
        <w:spacing w:line="460" w:lineRule="exact"/>
        <w:ind w:left="567" w:hanging="87"/>
        <w:rPr>
          <w:rFonts w:ascii="宋体" w:hAnsi="宋体" w:cs="宋体"/>
          <w:sz w:val="24"/>
          <w:szCs w:val="24"/>
        </w:rPr>
      </w:pPr>
      <w:r>
        <w:rPr>
          <w:rFonts w:hint="eastAsia" w:ascii="宋体" w:hAnsi="宋体" w:cs="宋体"/>
          <w:sz w:val="24"/>
          <w:szCs w:val="24"/>
        </w:rPr>
        <w:t>(9) 技术文件</w:t>
      </w:r>
    </w:p>
    <w:p>
      <w:pPr>
        <w:spacing w:line="460" w:lineRule="exact"/>
        <w:ind w:left="567" w:hanging="87"/>
        <w:rPr>
          <w:rFonts w:ascii="宋体" w:hAnsi="宋体" w:cs="宋体"/>
          <w:sz w:val="24"/>
          <w:szCs w:val="24"/>
        </w:rPr>
      </w:pPr>
      <w:r>
        <w:rPr>
          <w:rFonts w:hint="eastAsia" w:ascii="宋体" w:hAnsi="宋体" w:cs="宋体"/>
          <w:sz w:val="24"/>
          <w:szCs w:val="24"/>
        </w:rPr>
        <w:t>(10) 供应商应当提交的资格、资信证明文件</w:t>
      </w:r>
    </w:p>
    <w:p>
      <w:pPr>
        <w:spacing w:line="460" w:lineRule="exact"/>
        <w:ind w:left="567" w:hanging="87"/>
        <w:rPr>
          <w:rFonts w:ascii="宋体" w:hAnsi="宋体" w:cs="宋体"/>
          <w:sz w:val="24"/>
          <w:szCs w:val="24"/>
        </w:rPr>
      </w:pPr>
      <w:r>
        <w:rPr>
          <w:rFonts w:hint="eastAsia" w:ascii="宋体" w:hAnsi="宋体" w:cs="宋体"/>
          <w:sz w:val="24"/>
          <w:szCs w:val="24"/>
        </w:rPr>
        <w:t>(11) 磋商保证金</w:t>
      </w:r>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12.2</w:t>
      </w:r>
      <w:r>
        <w:rPr>
          <w:rFonts w:hint="eastAsia" w:asciiTheme="minorEastAsia" w:hAnsiTheme="minorEastAsia" w:eastAsiaTheme="minorEastAsia" w:cstheme="minorEastAsia"/>
          <w:b/>
          <w:bCs/>
          <w:sz w:val="24"/>
          <w:szCs w:val="24"/>
        </w:rPr>
        <w:t>供应商应将响应文件编写目录及页码。</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 证明服务符合磋商文件规定的文件</w:t>
      </w:r>
    </w:p>
    <w:p>
      <w:pPr>
        <w:spacing w:line="460" w:lineRule="exact"/>
        <w:ind w:left="624" w:hanging="6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供应商应提交其提供的有关服务符合磋商文件规定的证明，作为响应文件的一部分。</w:t>
      </w:r>
    </w:p>
    <w:p>
      <w:pPr>
        <w:spacing w:line="460" w:lineRule="exact"/>
        <w:ind w:left="624" w:hanging="6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13.2有关服务与磋商文件的要求相一致的证明，可以是文字资料、图纸和数据，包括：</w:t>
      </w:r>
    </w:p>
    <w:p>
      <w:pPr>
        <w:spacing w:line="460" w:lineRule="exact"/>
        <w:ind w:left="567" w:hanging="2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1)服务主要技术指标和详细说明。</w:t>
      </w:r>
    </w:p>
    <w:p>
      <w:pPr>
        <w:spacing w:line="460" w:lineRule="exact"/>
        <w:ind w:left="794" w:hanging="22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2)对照磋商文件服务要求，逐条说明所提供相关服务已对磋商文件的服务要求做出了实质性响应，或申明与服务要求的偏差和例外。</w:t>
      </w:r>
    </w:p>
    <w:p>
      <w:pPr>
        <w:spacing w:line="460" w:lineRule="exact"/>
        <w:ind w:left="794" w:hanging="22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3)商务条款的偏差和例外。</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 磋商报价</w:t>
      </w:r>
    </w:p>
    <w:p>
      <w:pPr>
        <w:spacing w:line="46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14.1磋商报价均以人民币报价，报价内容包含磋商文件规定的完成相关服务所需的设备、人员、培训、技术支持、税费等一切相关费用。</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14.2供应商要按报价表（统一格式）和分项报价表（统一格式）的内容填写报价及其他事项。</w:t>
      </w:r>
    </w:p>
    <w:p>
      <w:pPr>
        <w:spacing w:line="46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14.3磋商报价中不得缺漏磋商文件所要求的内容，缺漏部分成交后须按磋商文件要求提供，且成交价以磋商报价为准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若供应商不同意，将被视为响应无效。</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磋商保证金</w:t>
      </w:r>
    </w:p>
    <w:p>
      <w:pPr>
        <w:spacing w:line="460" w:lineRule="exact"/>
        <w:ind w:left="600" w:hanging="600" w:hangingChars="2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15.1供应商须在响应文件递交截止时间之前向采购代理机构提交“供应商须知前附表”规定的磋商保证金，并作为其响应文件的一部分。</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任何未按“供应商须知“第15.1条要求提交磋商保证金的响应文件</w:t>
      </w:r>
      <w:r>
        <w:rPr>
          <w:rFonts w:hint="eastAsia" w:asciiTheme="minorEastAsia" w:hAnsiTheme="minorEastAsia" w:eastAsiaTheme="minorEastAsia" w:cstheme="minorEastAsia"/>
          <w:b/>
          <w:sz w:val="24"/>
          <w:szCs w:val="24"/>
        </w:rPr>
        <w:t>被视为无效。</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成交供应商的磋商保证金，在采购合同签订后5个工作日内退还。</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15.4未成交供应商的磋商保证金，在成交通知书发出后5个工作日内退还。</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15.5有下列情形之一的，保证金不予退还：</w:t>
      </w:r>
    </w:p>
    <w:p>
      <w:pPr>
        <w:spacing w:line="460" w:lineRule="exact"/>
        <w:ind w:left="598" w:leftChars="2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供应商在提交响应文件截止时间后撤回响应文件的；</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 供应商在响应文件中提供虚假材料的；</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（3）除因不可抗力或磋商文件认可的情形以外，成交供应商不与采购人签订合同的；</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（4）供应商与采购人、其他供应商或者采购代理机构恶意串通的；</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（5）成交供应商未按规定缴付采购代理服务费；</w:t>
      </w:r>
    </w:p>
    <w:p>
      <w:pPr>
        <w:spacing w:line="460" w:lineRule="exact"/>
        <w:ind w:left="598" w:leftChars="2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成交供应商未按规定提交履约保证金；</w:t>
      </w:r>
    </w:p>
    <w:p>
      <w:pPr>
        <w:spacing w:line="460" w:lineRule="exact"/>
        <w:ind w:left="598" w:leftChars="2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采购文件规定的其他情形。</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 磋商有效期</w:t>
      </w:r>
    </w:p>
    <w:p>
      <w:pPr>
        <w:spacing w:line="460" w:lineRule="exact"/>
        <w:ind w:left="563" w:leftChars="26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磋商有效期为自磋商之日起不少于“供应商须知前附表”规定的时间保持有效。磋商有效期不足的响应文件</w:t>
      </w:r>
      <w:r>
        <w:rPr>
          <w:rFonts w:hint="eastAsia" w:asciiTheme="minorEastAsia" w:hAnsiTheme="minorEastAsia" w:eastAsiaTheme="minorEastAsia" w:cstheme="minorEastAsia"/>
          <w:b/>
          <w:sz w:val="24"/>
          <w:szCs w:val="24"/>
        </w:rPr>
        <w:t>被视为无效。</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 响应文件的签署及规定</w:t>
      </w:r>
    </w:p>
    <w:p>
      <w:pPr>
        <w:spacing w:line="460" w:lineRule="exact"/>
        <w:ind w:left="567" w:hanging="567"/>
        <w:rPr>
          <w:rFonts w:ascii="宋体" w:hAnsi="宋体" w:cs="宋体"/>
          <w:sz w:val="24"/>
          <w:szCs w:val="24"/>
        </w:rPr>
      </w:pPr>
      <w:r>
        <w:rPr>
          <w:rFonts w:hint="eastAsia" w:asciiTheme="minorEastAsia" w:hAnsiTheme="minorEastAsia" w:eastAsiaTheme="minorEastAsia" w:cstheme="minorEastAsia"/>
          <w:sz w:val="24"/>
          <w:szCs w:val="24"/>
        </w:rPr>
        <w:t>17.1 响应文件不得涂改和增删，如有修改，</w:t>
      </w:r>
      <w:r>
        <w:rPr>
          <w:rFonts w:hint="eastAsia" w:ascii="宋体" w:hAnsi="宋体" w:cs="宋体"/>
          <w:sz w:val="24"/>
          <w:szCs w:val="24"/>
        </w:rPr>
        <w:t>必须由授权代表人（或法定代表人）签字或盖章。</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17.2响应文件因字迹潦草或表达不清所引起的后果由供应商负责。</w:t>
      </w:r>
    </w:p>
    <w:p>
      <w:pPr>
        <w:pStyle w:val="5"/>
        <w:spacing w:before="0" w:after="0" w:line="460" w:lineRule="exact"/>
        <w:rPr>
          <w:rFonts w:asciiTheme="minorEastAsia" w:hAnsiTheme="minorEastAsia" w:eastAsiaTheme="minorEastAsia" w:cstheme="minorEastAsia"/>
          <w:sz w:val="24"/>
        </w:rPr>
      </w:pP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60" w:name="_Toc21969"/>
      <w:bookmarkStart w:id="61" w:name="_Toc31000"/>
      <w:r>
        <w:rPr>
          <w:rFonts w:hint="eastAsia" w:asciiTheme="minorEastAsia" w:hAnsiTheme="minorEastAsia" w:eastAsiaTheme="minorEastAsia" w:cstheme="minorEastAsia"/>
          <w:sz w:val="28"/>
          <w:szCs w:val="28"/>
        </w:rPr>
        <w:t>五、 响应文件的递交</w:t>
      </w:r>
      <w:bookmarkEnd w:id="60"/>
      <w:bookmarkEnd w:id="61"/>
    </w:p>
    <w:p>
      <w:pPr>
        <w:spacing w:line="460" w:lineRule="exact"/>
        <w:rPr>
          <w:rFonts w:ascii="宋体" w:hAnsi="宋体" w:cs="宋体"/>
          <w:b/>
          <w:color w:val="000000" w:themeColor="text1"/>
          <w:sz w:val="24"/>
          <w:szCs w:val="24"/>
        </w:rPr>
      </w:pPr>
      <w:r>
        <w:rPr>
          <w:rFonts w:hint="eastAsia" w:asciiTheme="minorEastAsia" w:hAnsiTheme="minorEastAsia" w:eastAsiaTheme="minorEastAsia" w:cstheme="minorEastAsia"/>
          <w:b/>
          <w:sz w:val="24"/>
          <w:szCs w:val="24"/>
        </w:rPr>
        <w:t>18. 响应文件的</w:t>
      </w:r>
      <w:r>
        <w:rPr>
          <w:rFonts w:hint="eastAsia" w:ascii="宋体" w:hAnsi="宋体" w:cs="宋体"/>
          <w:b/>
          <w:color w:val="000000" w:themeColor="text1"/>
          <w:sz w:val="24"/>
          <w:szCs w:val="24"/>
        </w:rPr>
        <w:t>递交</w:t>
      </w:r>
    </w:p>
    <w:p>
      <w:pPr>
        <w:spacing w:line="460" w:lineRule="exact"/>
        <w:ind w:left="567" w:hanging="567"/>
        <w:rPr>
          <w:rFonts w:asciiTheme="minorEastAsia" w:hAnsiTheme="minorEastAsia" w:eastAsiaTheme="minorEastAsia" w:cstheme="minorEastAsia"/>
          <w:sz w:val="24"/>
          <w:szCs w:val="24"/>
        </w:rPr>
      </w:pPr>
      <w:r>
        <w:rPr>
          <w:rFonts w:hint="eastAsia" w:ascii="宋体" w:hAnsi="宋体" w:cs="宋体"/>
          <w:color w:val="000000" w:themeColor="text1"/>
          <w:sz w:val="24"/>
          <w:szCs w:val="24"/>
        </w:rPr>
        <w:t xml:space="preserve">18.1 </w:t>
      </w:r>
      <w:r>
        <w:rPr>
          <w:rFonts w:hint="eastAsia" w:cs="仿宋" w:asciiTheme="minorEastAsia" w:hAnsiTheme="minorEastAsia" w:eastAsiaTheme="minorEastAsia"/>
          <w:sz w:val="24"/>
          <w:szCs w:val="24"/>
        </w:rPr>
        <w:t>本项目采用电子化磋商模式，</w:t>
      </w:r>
      <w:r>
        <w:rPr>
          <w:rFonts w:hint="eastAsia" w:cs="仿宋" w:asciiTheme="minorEastAsia" w:hAnsiTheme="minorEastAsia" w:eastAsiaTheme="minorEastAsia"/>
          <w:color w:val="0D0D0D"/>
          <w:sz w:val="24"/>
          <w:szCs w:val="24"/>
        </w:rPr>
        <w:t>加盖电子签章的电子版响应文件必须在磋商截止时间前上传到江西省公共资源交易网；CA数字证书必须在</w:t>
      </w:r>
      <w:r>
        <w:rPr>
          <w:rFonts w:hint="eastAsia" w:cs="仿宋" w:asciiTheme="minorEastAsia" w:hAnsiTheme="minorEastAsia" w:eastAsiaTheme="minorEastAsia"/>
          <w:sz w:val="24"/>
          <w:szCs w:val="24"/>
        </w:rPr>
        <w:t>磋商</w:t>
      </w:r>
      <w:r>
        <w:rPr>
          <w:rFonts w:hint="eastAsia" w:cs="仿宋" w:asciiTheme="minorEastAsia" w:hAnsiTheme="minorEastAsia" w:eastAsiaTheme="minorEastAsia"/>
          <w:color w:val="0D0D0D"/>
          <w:sz w:val="24"/>
          <w:szCs w:val="24"/>
        </w:rPr>
        <w:t>截止时间前送达指定的磋商地点，</w:t>
      </w:r>
      <w:r>
        <w:rPr>
          <w:rFonts w:hint="eastAsia" w:cs="仿宋" w:asciiTheme="minorEastAsia" w:hAnsiTheme="minorEastAsia" w:eastAsiaTheme="minorEastAsia"/>
          <w:b/>
          <w:bCs/>
          <w:color w:val="0D0D0D"/>
          <w:sz w:val="24"/>
          <w:szCs w:val="24"/>
        </w:rPr>
        <w:t>否则响应无效。</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 磋商截止时间</w:t>
      </w:r>
    </w:p>
    <w:p>
      <w:pPr>
        <w:spacing w:line="460" w:lineRule="exact"/>
        <w:ind w:left="563" w:leftChars="228" w:hanging="84" w:hangingChars="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宋体" w:hAnsi="宋体" w:cs="宋体"/>
          <w:color w:val="000000" w:themeColor="text1"/>
          <w:sz w:val="24"/>
          <w:szCs w:val="24"/>
        </w:rPr>
        <w:t>磋商截止时间详见“第一章 磋商邀请”。</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 迟交的响应文件</w:t>
      </w:r>
    </w:p>
    <w:p>
      <w:pPr>
        <w:spacing w:line="460" w:lineRule="exact"/>
        <w:ind w:left="599" w:leftChars="228"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在响应文件递交截止时间以后递交的CA数字证书，采购代理机构将拒收。 </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 响应文件的补充、修改或撤回</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供应商在提交响应文件截止时间前，可以对所提交的响应文件进行补充、修改或者撤回，</w:t>
      </w:r>
      <w:r>
        <w:rPr>
          <w:rFonts w:hint="eastAsia" w:cs="仿宋" w:asciiTheme="minorEastAsia" w:hAnsiTheme="minorEastAsia" w:eastAsiaTheme="minorEastAsia"/>
          <w:sz w:val="24"/>
          <w:szCs w:val="24"/>
        </w:rPr>
        <w:t>供应商可以在江西省公共资源交易网上重新上传修改后响应文件或撤回其投标。</w:t>
      </w:r>
    </w:p>
    <w:p>
      <w:pPr>
        <w:spacing w:line="460" w:lineRule="exact"/>
        <w:ind w:left="600" w:hanging="600" w:hangingChars="250"/>
        <w:rPr>
          <w:rFonts w:ascii="宋体" w:hAnsi="宋体" w:cs="宋体"/>
          <w:sz w:val="24"/>
          <w:szCs w:val="24"/>
        </w:rPr>
      </w:pPr>
      <w:r>
        <w:rPr>
          <w:rFonts w:hint="eastAsia" w:asciiTheme="minorEastAsia" w:hAnsiTheme="minorEastAsia" w:eastAsiaTheme="minorEastAsia" w:cstheme="minorEastAsia"/>
          <w:sz w:val="24"/>
          <w:szCs w:val="24"/>
        </w:rPr>
        <w:t>21.2 从响应文件递交截止期至磋商有效期期满这段时间内，供应商不得撤回其响应文件，否则不予退还其交纳的磋商保证金。</w:t>
      </w:r>
    </w:p>
    <w:p>
      <w:pPr>
        <w:pStyle w:val="5"/>
        <w:spacing w:before="0" w:after="0" w:line="460" w:lineRule="exact"/>
        <w:jc w:val="left"/>
        <w:rPr>
          <w:rFonts w:asciiTheme="minorEastAsia" w:hAnsiTheme="minorEastAsia" w:eastAsiaTheme="minorEastAsia" w:cstheme="minorEastAsia"/>
          <w:sz w:val="28"/>
          <w:szCs w:val="28"/>
        </w:rPr>
      </w:pP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62" w:name="_Toc28975"/>
      <w:bookmarkStart w:id="63" w:name="_Toc15591"/>
      <w:r>
        <w:rPr>
          <w:rFonts w:hint="eastAsia" w:asciiTheme="minorEastAsia" w:hAnsiTheme="minorEastAsia" w:eastAsiaTheme="minorEastAsia" w:cstheme="minorEastAsia"/>
          <w:sz w:val="28"/>
          <w:szCs w:val="28"/>
        </w:rPr>
        <w:t>六、 磋商</w:t>
      </w:r>
      <w:bookmarkEnd w:id="62"/>
      <w:bookmarkEnd w:id="63"/>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 磋商组织</w:t>
      </w:r>
    </w:p>
    <w:p>
      <w:pPr>
        <w:spacing w:line="460" w:lineRule="exact"/>
        <w:ind w:left="563" w:leftChars="26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采购代理机构在“磋商邀请”中规定的时间、地点组织磋商活动。参加磋商的代表应签名报到以证明其出席。</w:t>
      </w:r>
    </w:p>
    <w:p>
      <w:pPr>
        <w:autoSpaceDE w:val="0"/>
        <w:autoSpaceDN w:val="0"/>
        <w:adjustRightInd w:val="0"/>
        <w:spacing w:line="460" w:lineRule="exact"/>
        <w:ind w:left="602" w:hanging="602" w:hanging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23. </w:t>
      </w:r>
      <w:r>
        <w:rPr>
          <w:rFonts w:hint="eastAsia" w:asciiTheme="minorEastAsia" w:hAnsiTheme="minorEastAsia" w:eastAsiaTheme="minorEastAsia" w:cstheme="minorEastAsia"/>
          <w:sz w:val="24"/>
          <w:szCs w:val="24"/>
        </w:rPr>
        <w:t>采购代理机构将在磋商期间查询供应商的信用记录并告知磋商小组，经磋商小组评审</w:t>
      </w:r>
    </w:p>
    <w:p>
      <w:pPr>
        <w:autoSpaceDE w:val="0"/>
        <w:autoSpaceDN w:val="0"/>
        <w:adjustRightInd w:val="0"/>
        <w:spacing w:line="460" w:lineRule="exact"/>
        <w:ind w:left="599" w:leftChars="228" w:hanging="120" w:hanging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确定投供应商存在不良信用记录的，其</w:t>
      </w:r>
      <w:r>
        <w:rPr>
          <w:rFonts w:hint="eastAsia" w:asciiTheme="minorEastAsia" w:hAnsiTheme="minorEastAsia" w:eastAsiaTheme="minorEastAsia" w:cstheme="minorEastAsia"/>
          <w:b/>
          <w:sz w:val="24"/>
          <w:szCs w:val="24"/>
        </w:rPr>
        <w:t>响应无效</w:t>
      </w:r>
      <w:r>
        <w:rPr>
          <w:rFonts w:hint="eastAsia" w:asciiTheme="minorEastAsia" w:hAnsiTheme="minorEastAsia" w:eastAsiaTheme="minorEastAsia" w:cstheme="minorEastAsia"/>
          <w:sz w:val="24"/>
          <w:szCs w:val="24"/>
        </w:rPr>
        <w:t>；查询到的不良信用记录随采购文件存档。</w:t>
      </w:r>
    </w:p>
    <w:p>
      <w:pPr>
        <w:autoSpaceDE w:val="0"/>
        <w:autoSpaceDN w:val="0"/>
        <w:adjustRightInd w:val="0"/>
        <w:spacing w:line="460" w:lineRule="exact"/>
        <w:jc w:val="left"/>
        <w:rPr>
          <w:rFonts w:cs="仿宋" w:asciiTheme="minorEastAsia" w:hAnsiTheme="minorEastAsia" w:eastAsiaTheme="minorEastAsia"/>
          <w:sz w:val="24"/>
          <w:szCs w:val="24"/>
        </w:rPr>
      </w:pPr>
      <w:r>
        <w:rPr>
          <w:rFonts w:hint="eastAsia" w:ascii="宋体" w:hAnsi="宋体" w:cs="宋体"/>
          <w:sz w:val="24"/>
          <w:szCs w:val="24"/>
        </w:rPr>
        <w:t>（1）磋商期间通过“信用中国”和“中国政府采购网”查询相关主体信用记录，被列入失信被执行人、重大税收违法失信主体、政府采购严重违法失信行为记录名单的供应商（处罚期限尚未届满的）的，其</w:t>
      </w:r>
      <w:r>
        <w:rPr>
          <w:rFonts w:hint="eastAsia" w:ascii="宋体" w:hAnsi="宋体" w:cs="宋体"/>
          <w:b/>
          <w:sz w:val="24"/>
          <w:szCs w:val="24"/>
        </w:rPr>
        <w:t>响应无效</w:t>
      </w:r>
      <w:r>
        <w:rPr>
          <w:rFonts w:hint="eastAsia" w:ascii="宋体" w:hAnsi="宋体" w:cs="宋体"/>
          <w:sz w:val="24"/>
          <w:szCs w:val="24"/>
        </w:rPr>
        <w:t>；查询的记录随采购文件存档。</w:t>
      </w:r>
    </w:p>
    <w:p>
      <w:pPr>
        <w:autoSpaceDE w:val="0"/>
        <w:autoSpaceDN w:val="0"/>
        <w:adjustRightInd w:val="0"/>
        <w:spacing w:line="460" w:lineRule="exact"/>
        <w:ind w:left="600" w:hanging="600" w:hanging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（2）联合体参加竞争性磋商的，联合体成员存在以上不良信用记录的，视同联合体存在不良信用记录（本项目是否允许联合体参加竞争性磋商，详见“供应商须知前附表”）。</w:t>
      </w:r>
    </w:p>
    <w:p>
      <w:pPr>
        <w:autoSpaceDE w:val="0"/>
        <w:autoSpaceDN w:val="0"/>
        <w:adjustRightInd w:val="0"/>
        <w:spacing w:line="460" w:lineRule="exact"/>
        <w:ind w:left="600" w:hanging="600" w:hangingChars="250"/>
        <w:jc w:val="lef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（3）供应商不良信用记录以采购代理机构查询结果为准，采购代理机构查询之后，网站信息发生的任何变更均不再作为评审依据，供应商自行提供的与网站信息不一致的其他证明材料亦不作为评审依据。</w:t>
      </w:r>
    </w:p>
    <w:p>
      <w:pPr>
        <w:autoSpaceDE w:val="0"/>
        <w:autoSpaceDN w:val="0"/>
        <w:adjustRightInd w:val="0"/>
        <w:spacing w:line="460" w:lineRule="exact"/>
        <w:ind w:left="602" w:hanging="602" w:hangingChars="25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24.磋商小组</w:t>
      </w:r>
    </w:p>
    <w:p>
      <w:pPr>
        <w:spacing w:line="460" w:lineRule="exact"/>
        <w:ind w:left="479" w:leftChars="228"/>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 在相关的政府采购评审专家库中随机抽取评审专家，依法成立磋商小组。评审工作由磋商小组负责。</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25. 磋商程序</w:t>
      </w:r>
    </w:p>
    <w:p>
      <w:pPr>
        <w:spacing w:line="500" w:lineRule="atLeast"/>
        <w:ind w:left="480" w:hanging="480" w:hangingChars="200"/>
        <w:rPr>
          <w:rFonts w:cs="仿宋" w:asciiTheme="minorEastAsia" w:hAnsiTheme="minorEastAsia" w:eastAsiaTheme="minorEastAsia"/>
          <w:bCs/>
          <w:color w:val="FF0000"/>
          <w:kern w:val="0"/>
          <w:sz w:val="24"/>
          <w:szCs w:val="24"/>
        </w:rPr>
      </w:pPr>
      <w:r>
        <w:rPr>
          <w:rFonts w:hint="eastAsia" w:cs="仿宋" w:asciiTheme="minorEastAsia" w:hAnsiTheme="minorEastAsia" w:eastAsiaTheme="minorEastAsia"/>
          <w:bCs/>
          <w:sz w:val="24"/>
          <w:szCs w:val="24"/>
          <w:lang w:val="en-GB"/>
        </w:rPr>
        <w:t>2</w:t>
      </w:r>
      <w:r>
        <w:rPr>
          <w:rFonts w:hint="eastAsia" w:cs="仿宋" w:asciiTheme="minorEastAsia" w:hAnsiTheme="minorEastAsia" w:eastAsiaTheme="minorEastAsia"/>
          <w:bCs/>
          <w:sz w:val="24"/>
          <w:szCs w:val="24"/>
        </w:rPr>
        <w:t>5</w:t>
      </w:r>
      <w:r>
        <w:rPr>
          <w:rFonts w:hint="eastAsia" w:cs="仿宋" w:asciiTheme="minorEastAsia" w:hAnsiTheme="minorEastAsia" w:eastAsiaTheme="minorEastAsia"/>
          <w:bCs/>
          <w:sz w:val="24"/>
          <w:szCs w:val="24"/>
          <w:lang w:val="en-GB"/>
        </w:rPr>
        <w:t>.1</w:t>
      </w:r>
      <w:r>
        <w:rPr>
          <w:rFonts w:hint="eastAsia" w:cs="仿宋" w:asciiTheme="minorEastAsia" w:hAnsiTheme="minorEastAsia" w:eastAsiaTheme="minorEastAsia"/>
          <w:bCs/>
          <w:sz w:val="24"/>
          <w:szCs w:val="24"/>
        </w:rPr>
        <w:t>采购代理机构在“第一章 磋商邀请”中规定的时间和地点组织磋商。磋商时所有供应商代表须携带CA数字证书参加，并应签名和递交CA数字证书以证明其出席。签到时间以递交CA证书时间为准。</w:t>
      </w:r>
    </w:p>
    <w:p>
      <w:pPr>
        <w:spacing w:line="500" w:lineRule="atLeast"/>
        <w:ind w:left="480" w:hanging="480" w:hangingChars="200"/>
        <w:rPr>
          <w:rFonts w:cs="仿宋" w:asciiTheme="minorEastAsia" w:hAnsiTheme="minorEastAsia" w:eastAsiaTheme="minorEastAsia"/>
          <w:bCs/>
          <w:color w:val="FF0000"/>
          <w:sz w:val="24"/>
          <w:szCs w:val="24"/>
        </w:rPr>
      </w:pPr>
      <w:r>
        <w:rPr>
          <w:rFonts w:hint="eastAsia" w:cs="仿宋" w:asciiTheme="minorEastAsia" w:hAnsiTheme="minorEastAsia" w:eastAsiaTheme="minorEastAsia"/>
          <w:bCs/>
          <w:sz w:val="24"/>
          <w:szCs w:val="24"/>
        </w:rPr>
        <w:t>25.2磋商由采购人或者采购代理机构主持，邀请供应商参加。</w:t>
      </w:r>
    </w:p>
    <w:p>
      <w:pPr>
        <w:spacing w:line="460" w:lineRule="exact"/>
        <w:ind w:left="600" w:hanging="600" w:hangingChars="250"/>
        <w:rPr>
          <w:rFonts w:ascii="宋体" w:hAnsi="宋体" w:cs="宋体"/>
          <w:sz w:val="24"/>
          <w:szCs w:val="24"/>
        </w:rPr>
      </w:pPr>
      <w:r>
        <w:rPr>
          <w:rFonts w:hint="eastAsia" w:cs="仿宋" w:asciiTheme="minorEastAsia" w:hAnsiTheme="minorEastAsia" w:eastAsiaTheme="minorEastAsia"/>
          <w:bCs/>
          <w:sz w:val="24"/>
          <w:szCs w:val="24"/>
        </w:rPr>
        <w:t>25.3磋商截止时间前供应商未递交CA数字证书或CA数字证书无法解密响应文件的，</w:t>
      </w:r>
      <w:r>
        <w:rPr>
          <w:rFonts w:hint="eastAsia" w:ascii="宋体" w:hAnsi="宋体" w:cs="仿宋"/>
          <w:b/>
          <w:bCs/>
          <w:sz w:val="24"/>
          <w:szCs w:val="24"/>
        </w:rPr>
        <w:t>视为无效响应。</w:t>
      </w:r>
    </w:p>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25.2 响应文件的审查 </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spacing w:line="460" w:lineRule="exact"/>
        <w:ind w:left="720" w:hanging="720" w:hangingChars="300"/>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hint="eastAsia" w:asciiTheme="minorEastAsia" w:hAnsiTheme="minorEastAsia" w:eastAsiaTheme="minorEastAsia" w:cstheme="minorEastAsia"/>
          <w:sz w:val="24"/>
          <w:szCs w:val="24"/>
          <w:lang w:val="en-GB"/>
        </w:rPr>
        <w:t>代表人授权书。供应商为自然人的，应当由本人签字并附身份证明。</w:t>
      </w:r>
    </w:p>
    <w:p>
      <w:pPr>
        <w:spacing w:line="460" w:lineRule="exact"/>
        <w:ind w:left="600" w:hanging="600" w:hangingChars="250"/>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4"/>
          <w:szCs w:val="24"/>
        </w:rPr>
        <w:t>25.3</w:t>
      </w:r>
      <w:r>
        <w:rPr>
          <w:rFonts w:hint="eastAsia" w:asciiTheme="minorEastAsia" w:hAnsiTheme="minorEastAsia" w:eastAsiaTheme="minorEastAsia" w:cstheme="minorEastAsia"/>
          <w:sz w:val="24"/>
          <w:szCs w:val="24"/>
          <w:lang w:val="en-GB"/>
        </w:rPr>
        <w:t>磋商小组对各供应商的响应文件进行审查，并确定磋商内容。在有效性审查中出现下列情况者，响应文件被视为无效：</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未提交磋商响应书；</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未提交报价表；</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未提供磋商保证金或金额不足，磋商保证金形式不符合磋商文件要求的；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未按竞争性磋商文件“第四章 响应文件格式”的规定提供资格证明文件的；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未按磋商文件要求签字、签章的，或签字（签章）人无法定代表人有效委托的；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磋商有效期响应不足的；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文件响应内容与事实不符或虚假响应的；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超过了采购项目预算的；</w:t>
      </w:r>
    </w:p>
    <w:p>
      <w:pPr>
        <w:numPr>
          <w:ilvl w:val="1"/>
          <w:numId w:val="4"/>
        </w:numPr>
        <w:spacing w:line="460" w:lineRule="exact"/>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磋商文件规定的其他响应无效条款。</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25.4磋商小组所有成员按照递交响应文件时间的顺序，集中与单一供应商分别进行磋商，并给予所有参加磋商的供应商平等的磋商机会。 </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25.5在磋商过程中，磋商小组可以根据磋商文件和磋商情况实质性变动标注</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 xml:space="preserve">号的条款，但不得变动磋商文件中的其他内容。实质性变动的内容，须经采购人代表确认。 </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（1）对磋商文件作出的实质性变动是磋商文件的有效组成部分，磋商小组应当及时以书面形式同时通知所有参加磋商的供应商。 </w:t>
      </w:r>
    </w:p>
    <w:p>
      <w:pPr>
        <w:spacing w:line="460" w:lineRule="exact"/>
        <w:ind w:left="600"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当按照磋商采购文件的变动情况和磋商采购小组的要求重新提交磋商采购响应文件，并由其法定代表人或授权代表签字或者加盖公章。由授权代表签字的，应当附法定代表人授权书。供应商为自然人的，应当由本人签字并附身份证明。</w:t>
      </w:r>
    </w:p>
    <w:p>
      <w:pPr>
        <w:spacing w:line="46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25.6 最后报价</w:t>
      </w:r>
    </w:p>
    <w:p>
      <w:pPr>
        <w:spacing w:line="460" w:lineRule="exact"/>
        <w:ind w:left="460" w:hanging="460" w:hanging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3"/>
          <w:szCs w:val="23"/>
        </w:rPr>
        <w:t>（</w:t>
      </w:r>
      <w:r>
        <w:rPr>
          <w:rFonts w:hint="eastAsia" w:asciiTheme="minorEastAsia" w:hAnsiTheme="minorEastAsia" w:eastAsiaTheme="minorEastAsia" w:cstheme="minorEastAsia"/>
          <w:sz w:val="24"/>
          <w:szCs w:val="24"/>
        </w:rPr>
        <w:t>1）磋商文件能够详细列明采购标的技术、服务要求的，磋商结束后，磋商小组应当要求所有实质性响应的供应商在规定时间内提交最后报价，提交最后报价的供应商不得少于3家；</w:t>
      </w:r>
      <w:r>
        <w:rPr>
          <w:rFonts w:hint="eastAsia" w:asciiTheme="minorEastAsia" w:hAnsiTheme="minorEastAsia" w:eastAsiaTheme="minorEastAsia" w:cstheme="minorEastAsia"/>
          <w:b/>
          <w:sz w:val="24"/>
          <w:szCs w:val="24"/>
        </w:rPr>
        <w:t>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46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60" w:lineRule="exact"/>
        <w:ind w:left="480" w:hanging="480" w:hanging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 最后报价是供应商响应文件的有效组成部分。最后报价即为合同成交价，在合同履行过程中不得更改，并作为评审依据。</w:t>
      </w:r>
      <w:r>
        <w:rPr>
          <w:rFonts w:hint="eastAsia" w:asciiTheme="minorEastAsia" w:hAnsiTheme="minorEastAsia" w:eastAsiaTheme="minorEastAsia" w:cstheme="minorEastAsia"/>
          <w:b/>
          <w:sz w:val="24"/>
          <w:szCs w:val="24"/>
        </w:rPr>
        <w:t>市场竞争不充分的科研项目，以及需要扶持的科研成果转化项目，政府购买服务项目（含政府和社会资本合作项目），提交最后报价的供应商可以为2家。</w:t>
      </w:r>
    </w:p>
    <w:p>
      <w:pPr>
        <w:spacing w:line="460" w:lineRule="exact"/>
        <w:ind w:left="480" w:hanging="480" w:hangingChars="200"/>
        <w:rPr>
          <w:rFonts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rPr>
        <w:t>（4）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hint="eastAsia" w:asciiTheme="minorEastAsia" w:hAnsiTheme="minorEastAsia" w:eastAsiaTheme="minorEastAsia" w:cstheme="minorEastAsia"/>
          <w:b/>
          <w:sz w:val="24"/>
          <w:szCs w:val="24"/>
          <w:lang w:val="en-GB"/>
        </w:rPr>
        <w:t>视为无效响应。</w:t>
      </w:r>
    </w:p>
    <w:p>
      <w:pPr>
        <w:spacing w:line="440" w:lineRule="atLeas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（5）未在规定时间内提交最后报价或最后报价不符合磋商文件要求的；</w:t>
      </w:r>
      <w:r>
        <w:rPr>
          <w:rFonts w:hint="eastAsia" w:asciiTheme="minorEastAsia" w:hAnsiTheme="minorEastAsia" w:eastAsiaTheme="minorEastAsia" w:cstheme="minorEastAsia"/>
          <w:b/>
          <w:sz w:val="24"/>
          <w:szCs w:val="24"/>
        </w:rPr>
        <w:t>视为无效响应</w:t>
      </w:r>
      <w:r>
        <w:rPr>
          <w:rFonts w:hint="eastAsia" w:asciiTheme="minorEastAsia" w:hAnsiTheme="minorEastAsia" w:eastAsiaTheme="minorEastAsia" w:cstheme="minorEastAsia"/>
          <w:sz w:val="24"/>
          <w:szCs w:val="24"/>
        </w:rPr>
        <w:t>。</w:t>
      </w:r>
    </w:p>
    <w:p>
      <w:pPr>
        <w:spacing w:line="46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（6）最后报价未作分项报价的，其分项报价则按总报价的降价比例计算。</w:t>
      </w:r>
    </w:p>
    <w:p>
      <w:pPr>
        <w:spacing w:line="44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（7）已提交响应文件的供应商，在提交最后报价之前，可以根据磋商情况退出磋商（</w:t>
      </w:r>
      <w:r>
        <w:rPr>
          <w:rFonts w:hint="eastAsia" w:asciiTheme="minorEastAsia" w:hAnsiTheme="minorEastAsia" w:eastAsiaTheme="minorEastAsia" w:cstheme="minorEastAsia"/>
          <w:sz w:val="24"/>
          <w:szCs w:val="24"/>
          <w:lang w:val="en-GB"/>
        </w:rPr>
        <w:t>未提交最后报价视为退出磋商；最后报价不符合磋商文件要求的，视为无效响应</w:t>
      </w:r>
      <w:r>
        <w:rPr>
          <w:rFonts w:hint="eastAsia" w:asciiTheme="minorEastAsia" w:hAnsiTheme="minorEastAsia" w:eastAsiaTheme="minorEastAsia" w:cstheme="minorEastAsia"/>
          <w:sz w:val="24"/>
          <w:szCs w:val="24"/>
        </w:rPr>
        <w:t>）。采购人、采购代理机构应当退还退出磋商的供应商的保证金。</w:t>
      </w:r>
    </w:p>
    <w:p>
      <w:pPr>
        <w:spacing w:line="440" w:lineRule="exact"/>
        <w:ind w:left="482" w:hanging="482" w:hanging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25.7本项目采用电子化磋商模式，如磋商过程中二次报价需要使用电子签章，各供应商需自行携带笔记本电脑和CA主锁到磋商现场报价，二次报价时间为20分钟，20分钟内未完成二次报价的，视为退出磋商。</w:t>
      </w:r>
    </w:p>
    <w:p>
      <w:pPr>
        <w:spacing w:line="440" w:lineRule="exact"/>
        <w:ind w:left="482" w:hanging="482"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25.8评审方法</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（1）评审采取综合评分法（详见第六章 评审办法）</w:t>
      </w:r>
    </w:p>
    <w:p>
      <w:pPr>
        <w:spacing w:line="46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sz w:val="24"/>
          <w:szCs w:val="24"/>
        </w:rPr>
        <w:t>综合评分法，是指响应文件满足磋商文件全部实质性要求且按评审因素的量化指标评审得分最高的供应商为成交候选供应商的评审方法。</w:t>
      </w:r>
    </w:p>
    <w:p>
      <w:pPr>
        <w:spacing w:line="460" w:lineRule="exact"/>
        <w:ind w:left="480" w:hanging="480" w:hangingChars="200"/>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4"/>
          <w:szCs w:val="24"/>
        </w:rPr>
        <w:t>（3）经磋商确定最终采购需求和提交最后报价的供应商后，由磋商小组采用综合评分法对提交最后报价的供应商的响应文件和最后报价进行综合评分</w:t>
      </w:r>
      <w:r>
        <w:rPr>
          <w:rFonts w:hint="eastAsia" w:asciiTheme="minorEastAsia" w:hAnsiTheme="minorEastAsia" w:eastAsiaTheme="minorEastAsia" w:cstheme="minorEastAsia"/>
          <w:sz w:val="23"/>
          <w:szCs w:val="23"/>
        </w:rPr>
        <w:t>。</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 与磋商小组的接触</w:t>
      </w:r>
    </w:p>
    <w:p>
      <w:pPr>
        <w:spacing w:line="460" w:lineRule="exact"/>
        <w:ind w:left="480" w:hanging="480" w:hangingChars="200"/>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（1）除按本须知“第25条”规定外，从磋商之日起至授予合同期间，供应商不得就其磋商有关事项与磋商小组私下接触。</w:t>
      </w:r>
    </w:p>
    <w:p>
      <w:pPr>
        <w:spacing w:line="460" w:lineRule="exact"/>
        <w:ind w:left="480" w:hanging="480" w:hangingChars="200"/>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（2）供应商试图对磋商小组的评审施加任何影响，都可能导致其响应文件作无效处理。</w:t>
      </w:r>
    </w:p>
    <w:p>
      <w:pPr>
        <w:spacing w:line="460" w:lineRule="exact"/>
        <w:rPr>
          <w:rFonts w:asciiTheme="minorEastAsia" w:hAnsiTheme="minorEastAsia" w:eastAsiaTheme="minorEastAsia" w:cstheme="minorEastAsia"/>
          <w:b/>
          <w:sz w:val="24"/>
          <w:szCs w:val="24"/>
        </w:rPr>
      </w:pPr>
      <w:bookmarkStart w:id="64" w:name="_Toc376848253"/>
      <w:r>
        <w:rPr>
          <w:rFonts w:hint="eastAsia" w:asciiTheme="minorEastAsia" w:hAnsiTheme="minorEastAsia" w:eastAsiaTheme="minorEastAsia" w:cstheme="minorEastAsia"/>
          <w:b/>
          <w:sz w:val="24"/>
          <w:szCs w:val="24"/>
        </w:rPr>
        <w:t>27. 终止磋商活动的情形</w:t>
      </w:r>
    </w:p>
    <w:p>
      <w:pPr>
        <w:spacing w:line="460" w:lineRule="exact"/>
        <w:ind w:firstLine="360" w:firstLineChars="150"/>
        <w:rPr>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出现下列情形之一的，终止磋商采购活动：</w:t>
      </w:r>
    </w:p>
    <w:p>
      <w:pPr>
        <w:spacing w:line="46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（1）因情况变化，不再符合规定的竞争性磋商采购方式适用情形的；</w:t>
      </w:r>
    </w:p>
    <w:p>
      <w:pPr>
        <w:spacing w:line="46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pPr>
        <w:spacing w:line="440" w:lineRule="exact"/>
        <w:ind w:left="462" w:leftChars="22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（3）除市场竞争不充分的科研项目，以及需要扶持的科技成果转化项目，政府购买服务项目（含政府和社会资本合作项目）外，在采购过程中符合竞争要求的供应商或者报价未超过采购预算的供应商不足3家的。</w:t>
      </w:r>
    </w:p>
    <w:p>
      <w:pPr>
        <w:pStyle w:val="5"/>
        <w:spacing w:before="0" w:after="0" w:line="460" w:lineRule="exact"/>
        <w:jc w:val="left"/>
        <w:rPr>
          <w:rFonts w:asciiTheme="minorEastAsia" w:hAnsiTheme="minorEastAsia" w:eastAsiaTheme="minorEastAsia" w:cstheme="minorEastAsia"/>
          <w:sz w:val="24"/>
          <w:szCs w:val="24"/>
        </w:rPr>
      </w:pPr>
      <w:bookmarkStart w:id="65" w:name="_Toc377297026"/>
    </w:p>
    <w:p>
      <w:pPr>
        <w:pStyle w:val="5"/>
        <w:spacing w:before="0" w:after="0" w:line="460" w:lineRule="exact"/>
        <w:ind w:firstLine="2389" w:firstLineChars="850"/>
        <w:jc w:val="left"/>
        <w:rPr>
          <w:rFonts w:asciiTheme="minorEastAsia" w:hAnsiTheme="minorEastAsia" w:eastAsiaTheme="minorEastAsia" w:cstheme="minorEastAsia"/>
          <w:sz w:val="28"/>
          <w:szCs w:val="28"/>
        </w:rPr>
      </w:pPr>
      <w:bookmarkStart w:id="66" w:name="_Toc463859524"/>
      <w:bookmarkStart w:id="67" w:name="_Toc6817"/>
      <w:bookmarkStart w:id="68" w:name="_Toc18106"/>
      <w:r>
        <w:rPr>
          <w:rFonts w:hint="eastAsia" w:asciiTheme="minorEastAsia" w:hAnsiTheme="minorEastAsia" w:eastAsiaTheme="minorEastAsia" w:cstheme="minorEastAsia"/>
          <w:sz w:val="28"/>
          <w:szCs w:val="28"/>
        </w:rPr>
        <w:t>七、推荐成交候选供应商、确定成交供应商</w:t>
      </w:r>
      <w:bookmarkEnd w:id="66"/>
      <w:bookmarkEnd w:id="67"/>
      <w:bookmarkEnd w:id="68"/>
    </w:p>
    <w:p>
      <w:pPr>
        <w:spacing w:line="460" w:lineRule="exact"/>
        <w:ind w:left="482" w:hanging="482" w:hanging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28. 推荐成交候选供应商方法</w:t>
      </w:r>
    </w:p>
    <w:p>
      <w:pPr>
        <w:spacing w:line="460" w:lineRule="exact"/>
        <w:ind w:left="480" w:hanging="480" w:hanging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（1）磋商小组根据综合评分情况，按照评审得分由高到低顺序推荐3名以上成交候选供应商，并编写评审报告。</w:t>
      </w:r>
      <w:r>
        <w:rPr>
          <w:rFonts w:hint="eastAsia" w:asciiTheme="minorEastAsia" w:hAnsiTheme="minorEastAsia" w:eastAsiaTheme="minorEastAsia" w:cstheme="minorEastAsia"/>
          <w:b/>
          <w:sz w:val="24"/>
          <w:szCs w:val="24"/>
        </w:rPr>
        <w:t>市场竞争不充分的科研项目，以及需要扶持的科研成果转化项目，政府购买服务项目（含政府和社会资本合作项目），提交最后报价的供应商可以为2家。</w:t>
      </w:r>
    </w:p>
    <w:p>
      <w:pPr>
        <w:spacing w:line="440" w:lineRule="exact"/>
        <w:ind w:left="600" w:hanging="600" w:hangingChars="2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（2）评审得分相同的，按照最后报价由低到高的顺序推荐。评审得分且最后报价相同的，按照服务要求响应的优劣排序，最后报价相同且服务要求响应的优劣相同的由磋商小组随机抽取确定排序</w:t>
      </w:r>
      <w:r>
        <w:rPr>
          <w:rFonts w:hint="eastAsia" w:asciiTheme="minorEastAsia" w:hAnsiTheme="minorEastAsia" w:eastAsiaTheme="minorEastAsia" w:cstheme="minorEastAsia"/>
          <w:b/>
          <w:bCs/>
          <w:sz w:val="24"/>
          <w:szCs w:val="24"/>
        </w:rPr>
        <w:t>。</w:t>
      </w:r>
    </w:p>
    <w:p>
      <w:pPr>
        <w:spacing w:line="460" w:lineRule="exact"/>
        <w:ind w:left="482" w:hanging="482" w:hanging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29. 确定成交供应商</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（1）采购代理机构在磋商结束后将评审报告送采购人。 </w:t>
      </w:r>
    </w:p>
    <w:p>
      <w:pPr>
        <w:spacing w:line="44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（2）采购人收到评审报告后，按照评审报告推荐的成交候选人顺序确定成交供应商，也可以事先授权磋商小组直接确定成交供应商。</w:t>
      </w:r>
    </w:p>
    <w:p>
      <w:pPr>
        <w:spacing w:line="440" w:lineRule="exact"/>
        <w:ind w:left="460" w:hanging="460" w:hangingChars="200"/>
        <w:rPr>
          <w:rFonts w:asciiTheme="minorEastAsia" w:hAnsiTheme="minorEastAsia" w:eastAsiaTheme="minorEastAsia" w:cstheme="minorEastAsia"/>
          <w:sz w:val="23"/>
          <w:szCs w:val="23"/>
        </w:rPr>
      </w:pP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69" w:name="_Toc14747"/>
      <w:bookmarkStart w:id="70" w:name="_Toc30702"/>
      <w:r>
        <w:rPr>
          <w:rFonts w:hint="eastAsia" w:asciiTheme="minorEastAsia" w:hAnsiTheme="minorEastAsia" w:eastAsiaTheme="minorEastAsia" w:cstheme="minorEastAsia"/>
          <w:sz w:val="28"/>
          <w:szCs w:val="28"/>
        </w:rPr>
        <w:t>八、</w:t>
      </w:r>
      <w:bookmarkEnd w:id="64"/>
      <w:bookmarkEnd w:id="65"/>
      <w:bookmarkStart w:id="71" w:name="_Toc376848254"/>
      <w:bookmarkStart w:id="72" w:name="_Toc286758340"/>
      <w:r>
        <w:rPr>
          <w:rFonts w:hint="eastAsia" w:asciiTheme="minorEastAsia" w:hAnsiTheme="minorEastAsia" w:eastAsiaTheme="minorEastAsia" w:cstheme="minorEastAsia"/>
          <w:sz w:val="28"/>
          <w:szCs w:val="28"/>
        </w:rPr>
        <w:t>成交结果公告、</w:t>
      </w:r>
      <w:bookmarkEnd w:id="71"/>
      <w:r>
        <w:rPr>
          <w:rFonts w:hint="eastAsia" w:asciiTheme="minorEastAsia" w:hAnsiTheme="minorEastAsia" w:eastAsiaTheme="minorEastAsia" w:cstheme="minorEastAsia"/>
          <w:sz w:val="28"/>
          <w:szCs w:val="28"/>
        </w:rPr>
        <w:t>成交通知书</w:t>
      </w:r>
      <w:bookmarkEnd w:id="69"/>
      <w:bookmarkEnd w:id="70"/>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30. </w:t>
      </w:r>
      <w:bookmarkEnd w:id="72"/>
      <w:r>
        <w:rPr>
          <w:rFonts w:hint="eastAsia" w:asciiTheme="minorEastAsia" w:hAnsiTheme="minorEastAsia" w:eastAsiaTheme="minorEastAsia" w:cstheme="minorEastAsia"/>
          <w:b/>
          <w:bCs/>
          <w:sz w:val="24"/>
          <w:szCs w:val="24"/>
        </w:rPr>
        <w:t>成交公告</w:t>
      </w:r>
    </w:p>
    <w:p>
      <w:pPr>
        <w:spacing w:line="440" w:lineRule="exact"/>
        <w:ind w:left="563" w:leftChars="228" w:hanging="84" w:hangingChars="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成交供应商确定后，采购代理机构在江西省公共资源交易网（网址：http://jxsggzy.cn/web/）和江西省政府采购网（网址：http://ggzy.jiangxi.gov.cn/jxzbw/zfcg/）公告成交结果，公示期为1个工作日。</w:t>
      </w:r>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31.成交通知书</w:t>
      </w:r>
    </w:p>
    <w:p>
      <w:pPr>
        <w:spacing w:line="440" w:lineRule="exact"/>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31.1采购代理机构公告成交结果，向成交供应商发出成交通知书，并通知所有未成交的供应商。</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31.2成交通知书是合同的一个组成部分。</w:t>
      </w:r>
    </w:p>
    <w:p>
      <w:pPr>
        <w:tabs>
          <w:tab w:val="left" w:pos="3654"/>
        </w:tabs>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73" w:name="_Toc463859526"/>
      <w:bookmarkStart w:id="74" w:name="_Toc8431"/>
      <w:bookmarkStart w:id="75" w:name="_Toc19705"/>
      <w:r>
        <w:rPr>
          <w:rFonts w:hint="eastAsia" w:asciiTheme="minorEastAsia" w:hAnsiTheme="minorEastAsia" w:eastAsiaTheme="minorEastAsia" w:cstheme="minorEastAsia"/>
          <w:sz w:val="28"/>
          <w:szCs w:val="28"/>
        </w:rPr>
        <w:t>九、</w:t>
      </w:r>
      <w:bookmarkEnd w:id="73"/>
      <w:r>
        <w:rPr>
          <w:rFonts w:hint="eastAsia" w:asciiTheme="minorEastAsia" w:hAnsiTheme="minorEastAsia" w:eastAsiaTheme="minorEastAsia" w:cstheme="minorEastAsia"/>
          <w:sz w:val="28"/>
          <w:szCs w:val="28"/>
        </w:rPr>
        <w:t>履约保证金、签订合同</w:t>
      </w:r>
      <w:bookmarkEnd w:id="74"/>
      <w:bookmarkEnd w:id="75"/>
    </w:p>
    <w:p>
      <w:pPr>
        <w:spacing w:line="440" w:lineRule="exact"/>
        <w:ind w:left="357" w:hanging="357"/>
        <w:jc w:val="left"/>
        <w:rPr>
          <w:rFonts w:asciiTheme="minorEastAsia" w:hAnsiTheme="minorEastAsia" w:eastAsiaTheme="minorEastAsia" w:cstheme="minorEastAsia"/>
          <w:b/>
          <w:bCs/>
          <w:sz w:val="24"/>
          <w:szCs w:val="24"/>
        </w:rPr>
      </w:pPr>
      <w:bookmarkStart w:id="76" w:name="_Toc286758341"/>
      <w:bookmarkStart w:id="77" w:name="_Toc376848255"/>
      <w:r>
        <w:rPr>
          <w:rFonts w:hint="eastAsia" w:asciiTheme="minorEastAsia" w:hAnsiTheme="minorEastAsia" w:eastAsiaTheme="minorEastAsia" w:cstheme="minorEastAsia"/>
          <w:b/>
          <w:bCs/>
          <w:sz w:val="24"/>
          <w:szCs w:val="24"/>
        </w:rPr>
        <w:t>32. 履约保证金</w:t>
      </w:r>
    </w:p>
    <w:p>
      <w:pPr>
        <w:spacing w:line="44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32.1</w:t>
      </w:r>
      <w:r>
        <w:rPr>
          <w:rFonts w:hint="eastAsia" w:cs="仿宋" w:asciiTheme="minorEastAsia" w:hAnsiTheme="minorEastAsia" w:eastAsiaTheme="minorEastAsia"/>
          <w:sz w:val="24"/>
          <w:szCs w:val="24"/>
        </w:rPr>
        <w:t>中标人在与采购人签订采购合同时</w:t>
      </w:r>
      <w:r>
        <w:rPr>
          <w:rFonts w:hint="eastAsia" w:asciiTheme="minorEastAsia" w:hAnsiTheme="minorEastAsia" w:eastAsiaTheme="minorEastAsia" w:cstheme="minorEastAsia"/>
          <w:sz w:val="24"/>
          <w:szCs w:val="24"/>
        </w:rPr>
        <w:t>，应</w:t>
      </w:r>
      <w:r>
        <w:rPr>
          <w:rFonts w:hint="eastAsia" w:asciiTheme="minorEastAsia" w:hAnsiTheme="minorEastAsia" w:eastAsiaTheme="minorEastAsia" w:cstheme="minorEastAsia"/>
          <w:spacing w:val="-12"/>
          <w:sz w:val="24"/>
          <w:szCs w:val="24"/>
        </w:rPr>
        <w:t>向采购人提交“供应商须知前附表”规定的履约保证金。</w:t>
      </w:r>
      <w:r>
        <w:rPr>
          <w:rFonts w:hint="eastAsia" w:asciiTheme="minorEastAsia" w:hAnsiTheme="minorEastAsia" w:eastAsiaTheme="minorEastAsia" w:cstheme="minorEastAsia"/>
          <w:sz w:val="24"/>
          <w:szCs w:val="24"/>
        </w:rPr>
        <w:t>履约保证金按采购人的要求汇入采购人指定账户。</w:t>
      </w:r>
    </w:p>
    <w:p>
      <w:pPr>
        <w:spacing w:line="44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履约保证金用于补偿因成交供应商不能完成其合同义务而使采购人蒙受的损失。</w:t>
      </w:r>
    </w:p>
    <w:p>
      <w:pPr>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33. 签订合同</w:t>
      </w:r>
    </w:p>
    <w:p>
      <w:pPr>
        <w:spacing w:line="42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成交供应商应按成交通知书规定的时间、地点与采购人签订合同，否则按磋商文件“15.5”条处理。</w:t>
      </w:r>
    </w:p>
    <w:p>
      <w:pPr>
        <w:spacing w:line="44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磋商文件、成交供应商的响应文件及磋商过程中有关澄清文件均为签订合同的依据。</w:t>
      </w:r>
    </w:p>
    <w:p>
      <w:pPr>
        <w:spacing w:line="44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33.3合同履行中，采购人需追加与合同标的相同的服务的，在不改变合同其他条款的前提下，可以与供应商协商签订补充合同，但所有补充合同的采购金额不得超过原合同采购金额的百分之十。</w:t>
      </w:r>
    </w:p>
    <w:p>
      <w:pPr>
        <w:spacing w:line="44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成交供应商拒绝签订政府采购合同的，采购人可以按本须知“第29条”规定的原则确定下一个候选人为成交供应商，也可以重新开展政府采购活动。拒绝签订政府采购合同的成交供应商不得参加该项目重新开展的采购活动，并不予退还其交纳的磋商保证金，同时上报省财政监管部门依法处理。</w:t>
      </w:r>
    </w:p>
    <w:p>
      <w:pPr>
        <w:pStyle w:val="5"/>
        <w:spacing w:before="0" w:after="0" w:line="420" w:lineRule="exact"/>
        <w:jc w:val="center"/>
        <w:rPr>
          <w:rFonts w:asciiTheme="minorEastAsia" w:hAnsiTheme="minorEastAsia" w:eastAsiaTheme="minorEastAsia" w:cstheme="minorEastAsia"/>
          <w:sz w:val="28"/>
          <w:szCs w:val="28"/>
        </w:rPr>
      </w:pPr>
      <w:bookmarkStart w:id="78" w:name="_Toc498611426"/>
      <w:bookmarkStart w:id="79" w:name="_Toc7072"/>
      <w:bookmarkStart w:id="80" w:name="_Toc7568"/>
      <w:r>
        <w:rPr>
          <w:rFonts w:hint="eastAsia" w:asciiTheme="minorEastAsia" w:hAnsiTheme="minorEastAsia" w:eastAsiaTheme="minorEastAsia" w:cstheme="minorEastAsia"/>
          <w:sz w:val="28"/>
          <w:szCs w:val="28"/>
        </w:rPr>
        <w:t>十、询问和质疑</w:t>
      </w:r>
      <w:bookmarkEnd w:id="78"/>
      <w:bookmarkEnd w:id="79"/>
      <w:bookmarkEnd w:id="80"/>
    </w:p>
    <w:p>
      <w:pPr>
        <w:spacing w:line="4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34.</w:t>
      </w:r>
      <w:r>
        <w:rPr>
          <w:rFonts w:hint="eastAsia" w:asciiTheme="minorEastAsia" w:hAnsiTheme="minorEastAsia" w:eastAsiaTheme="minorEastAsia" w:cstheme="minorEastAsia"/>
          <w:b/>
          <w:bCs/>
          <w:sz w:val="24"/>
          <w:szCs w:val="24"/>
        </w:rPr>
        <w:t>询问</w:t>
      </w:r>
    </w:p>
    <w:p>
      <w:pPr>
        <w:spacing w:line="460" w:lineRule="exact"/>
        <w:ind w:left="454" w:leftChars="216"/>
        <w:rPr>
          <w:rFonts w:asciiTheme="minorEastAsia" w:hAnsiTheme="minorEastAsia" w:eastAsiaTheme="minorEastAsia" w:cstheme="minorEastAsia"/>
          <w:sz w:val="24"/>
          <w:szCs w:val="24"/>
          <w:bdr w:val="single" w:color="auto" w:sz="4" w:space="0"/>
        </w:rPr>
      </w:pPr>
      <w:r>
        <w:rPr>
          <w:rFonts w:hint="eastAsia" w:asciiTheme="minorEastAsia" w:hAnsiTheme="minorEastAsia" w:eastAsiaTheme="minorEastAsia" w:cstheme="minorEastAsia"/>
          <w:bCs/>
          <w:sz w:val="24"/>
          <w:szCs w:val="24"/>
        </w:rPr>
        <w:t>供应商对政府采购活动事项有疑问的，可以向采购人或者采购代理机构提出询问，</w:t>
      </w:r>
      <w:r>
        <w:rPr>
          <w:rFonts w:hint="eastAsia" w:asciiTheme="minorEastAsia" w:hAnsiTheme="minorEastAsia" w:eastAsiaTheme="minorEastAsia" w:cstheme="minorEastAsia"/>
          <w:sz w:val="24"/>
          <w:szCs w:val="24"/>
        </w:rPr>
        <w:t xml:space="preserve">采购代理机构应当在3个工作日内对供应商依法提出的询问作出答复。 </w:t>
      </w:r>
    </w:p>
    <w:p>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35.质疑</w:t>
      </w:r>
    </w:p>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35.1 供应商认为磋商文件、磋商过程、成交结果使自己的权益受到损害的，可以在知道或者应知其权益受到损害之日起7个工作日内，以书面形式向采购人、采购代理机构提出质疑。</w:t>
      </w:r>
    </w:p>
    <w:p>
      <w:pPr>
        <w:spacing w:line="360" w:lineRule="auto"/>
        <w:ind w:left="147" w:leftChars="7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1）对可以质疑的磋商文件提出质疑的，为收到磋商文件之日或者磋商文件公告期限届满之日起7个工作日内；</w:t>
      </w:r>
    </w:p>
    <w:p>
      <w:pPr>
        <w:spacing w:line="360" w:lineRule="auto"/>
        <w:ind w:firstLine="120" w:firstLine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2）对磋商过程提出质疑的，为各磋商程序环节结束之日起7个工作日内；</w:t>
      </w:r>
    </w:p>
    <w:p>
      <w:pPr>
        <w:spacing w:line="360" w:lineRule="auto"/>
        <w:ind w:firstLine="120" w:firstLine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3）对成交结果提出质疑的，为成交结果公告期限届满之日起7个工作日内。</w:t>
      </w:r>
    </w:p>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35.2 供应商应在法定质疑期内一次性提出针对同一采购程序环节的质疑。</w:t>
      </w:r>
    </w:p>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35.3 提出质疑的供应商应当是参与所质疑项目采购活动的供应商。</w:t>
      </w:r>
    </w:p>
    <w:p>
      <w:pPr>
        <w:spacing w:line="360" w:lineRule="auto"/>
        <w:ind w:left="600" w:hanging="600" w:hanging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35.4潜在供应商已依法获取其可质疑的磋商文件的，可以对该文件提出质疑。</w:t>
      </w:r>
    </w:p>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Style w:val="31"/>
          <w:rFonts w:hint="eastAsia" w:asciiTheme="minorEastAsia" w:hAnsiTheme="minorEastAsia" w:eastAsiaTheme="minorEastAsia" w:cstheme="minorEastAsia"/>
          <w:bCs/>
          <w:color w:val="auto"/>
          <w:sz w:val="24"/>
          <w:szCs w:val="24"/>
        </w:rPr>
        <w:t>http://www.ccgp.gov.cn/</w:t>
      </w:r>
      <w:r>
        <w:rPr>
          <w:rStyle w:val="31"/>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b/>
          <w:bCs/>
          <w:sz w:val="24"/>
          <w:szCs w:val="24"/>
        </w:rPr>
        <w:t>下载专区</w:t>
      </w:r>
      <w:r>
        <w:rPr>
          <w:rFonts w:hint="eastAsia" w:asciiTheme="minorEastAsia" w:hAnsiTheme="minorEastAsia" w:eastAsiaTheme="minorEastAsia" w:cstheme="minorEastAsia"/>
          <w:bCs/>
          <w:sz w:val="24"/>
          <w:szCs w:val="24"/>
        </w:rPr>
        <w:t>的《政府采购供应商质疑函范本》）。</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（一）供应商的姓名或者名称、地址、邮编、联系人及联系电话；</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（二）质疑项目的名称、编号；</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（三）具体、明确的质疑事项和与质疑事项相关的请求；</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（四）事实依据；</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（五）必要的法律依据；</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（六）提出质疑的日期。</w:t>
      </w:r>
    </w:p>
    <w:p>
      <w:pPr>
        <w:widowControl/>
        <w:spacing w:line="360" w:lineRule="auto"/>
        <w:ind w:firstLine="489"/>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对磋商文件质疑的，须同时提供下载磋商文件的凭证。</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35.6质疑函接收方式</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35.6.1对磋商文件质疑</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接收部门：</w:t>
      </w:r>
      <w:r>
        <w:rPr>
          <w:rFonts w:hint="eastAsia" w:asciiTheme="minorEastAsia" w:hAnsiTheme="minorEastAsia" w:eastAsiaTheme="minorEastAsia" w:cstheme="minorEastAsia"/>
          <w:kern w:val="0"/>
          <w:sz w:val="24"/>
        </w:rPr>
        <w:t>江西省机电设备招标有限公司</w:t>
      </w:r>
      <w:r>
        <w:rPr>
          <w:rFonts w:hint="eastAsia" w:ascii="宋体" w:hAnsi="宋体"/>
          <w:kern w:val="0"/>
          <w:sz w:val="24"/>
        </w:rPr>
        <w:t>政府采购部</w:t>
      </w:r>
    </w:p>
    <w:p>
      <w:pPr>
        <w:widowControl/>
        <w:spacing w:line="360" w:lineRule="auto"/>
        <w:jc w:val="left"/>
        <w:rPr>
          <w:rFonts w:asciiTheme="minorEastAsia" w:hAnsiTheme="minorEastAsia" w:cstheme="minorEastAsia"/>
          <w:bCs/>
          <w:sz w:val="24"/>
          <w:szCs w:val="24"/>
        </w:rPr>
      </w:pPr>
      <w:r>
        <w:rPr>
          <w:rFonts w:hint="eastAsia" w:asciiTheme="minorEastAsia" w:hAnsiTheme="minorEastAsia" w:eastAsiaTheme="minorEastAsia" w:cstheme="minorEastAsia"/>
          <w:bCs/>
          <w:sz w:val="24"/>
          <w:szCs w:val="24"/>
        </w:rPr>
        <w:t xml:space="preserve">      联系电话：</w:t>
      </w:r>
      <w:r>
        <w:rPr>
          <w:rFonts w:hint="eastAsia" w:ascii="宋体" w:hAnsi="宋体"/>
          <w:bCs/>
          <w:sz w:val="24"/>
          <w:szCs w:val="24"/>
        </w:rPr>
        <w:t>0791-86271501</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通讯地址：江西省南昌市东湖区省政府大院北二路92号咨询大厦</w:t>
      </w:r>
      <w:r>
        <w:rPr>
          <w:rFonts w:hint="eastAsia" w:asciiTheme="minorEastAsia" w:hAnsiTheme="minorEastAsia" w:eastAsiaTheme="minorEastAsia" w:cstheme="minorEastAsia"/>
          <w:kern w:val="0"/>
          <w:sz w:val="24"/>
        </w:rPr>
        <w:t>306室</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邮编：330046</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35.6.2对磋商过程、成交结果质疑</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接收部门：</w:t>
      </w:r>
      <w:r>
        <w:rPr>
          <w:rFonts w:hint="eastAsia" w:asciiTheme="minorEastAsia" w:hAnsiTheme="minorEastAsia" w:eastAsiaTheme="minorEastAsia" w:cstheme="minorEastAsia"/>
          <w:kern w:val="0"/>
          <w:sz w:val="24"/>
        </w:rPr>
        <w:t>江西省机电设备招标有限公司</w:t>
      </w:r>
      <w:r>
        <w:rPr>
          <w:rFonts w:hint="eastAsia" w:asciiTheme="minorEastAsia" w:hAnsiTheme="minorEastAsia" w:eastAsiaTheme="minorEastAsia" w:cstheme="minorEastAsia"/>
          <w:bCs/>
          <w:sz w:val="24"/>
          <w:szCs w:val="24"/>
        </w:rPr>
        <w:t>质疑室</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联系电话：0791-86274941</w:t>
      </w:r>
    </w:p>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通讯地址：江西省南昌市东湖区省政府大院北二路92号咨询大厦402室</w:t>
      </w:r>
    </w:p>
    <w:p>
      <w:pPr>
        <w:spacing w:line="360" w:lineRule="auto"/>
        <w:ind w:left="480" w:hanging="480" w:hanging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邮编：330046</w:t>
      </w:r>
    </w:p>
    <w:p>
      <w:pPr>
        <w:pStyle w:val="5"/>
        <w:numPr>
          <w:ilvl w:val="0"/>
          <w:numId w:val="5"/>
        </w:numPr>
        <w:spacing w:before="0" w:after="0" w:line="500" w:lineRule="atLeast"/>
        <w:jc w:val="center"/>
        <w:rPr>
          <w:rFonts w:ascii="宋体" w:hAnsi="宋体" w:eastAsia="宋体" w:cs="宋体"/>
          <w:sz w:val="24"/>
          <w:szCs w:val="24"/>
        </w:rPr>
      </w:pPr>
      <w:bookmarkStart w:id="81" w:name="_Toc24880"/>
      <w:bookmarkStart w:id="82" w:name="_Toc28912"/>
      <w:r>
        <w:rPr>
          <w:rFonts w:hint="eastAsia" w:ascii="宋体" w:hAnsi="宋体" w:eastAsia="宋体" w:cs="宋体"/>
          <w:sz w:val="24"/>
          <w:szCs w:val="24"/>
        </w:rPr>
        <w:t>意外情况的情形和处理</w:t>
      </w:r>
      <w:bookmarkEnd w:id="81"/>
      <w:bookmarkEnd w:id="82"/>
      <w:bookmarkStart w:id="83" w:name="_Toc4578610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84" w:name="_Toc22656"/>
      <w:r>
        <w:rPr>
          <w:rFonts w:hint="eastAsia" w:ascii="宋体" w:hAnsi="宋体" w:eastAsia="宋体" w:cs="宋体"/>
          <w:sz w:val="24"/>
          <w:szCs w:val="22"/>
        </w:rPr>
        <w:t>36. 意外情况的情形</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36.1因客观原因造成电子化政府采购系统无法正常运行、或者无法保证采购活动信息安全，应采取意外情况的处理措施。意外情况包括以下情形：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（1）网络系统及其他设备发生故障，导致无法访问网站或无法使用电子化政府采购系统的；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（2）电子化政府采购系统的软件或网络数据库出现错误，导致无法正常操作的；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（3）电子化政府采购系统发现有安全漏洞，有潜在泄密危险的；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（4）其他无法保证采购活动正常进行的。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bookmarkStart w:id="85" w:name="_Toc45786110"/>
      <w:bookmarkStart w:id="86" w:name="_Toc8131"/>
      <w:r>
        <w:rPr>
          <w:rFonts w:hint="eastAsia" w:ascii="宋体" w:hAnsi="宋体" w:eastAsia="宋体" w:cs="宋体"/>
          <w:sz w:val="24"/>
          <w:szCs w:val="22"/>
        </w:rPr>
        <w:t>37. 意外情况的处理</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37.1 出现上述情况，故障当日（工作时间内）可排除的，电子化政府采购恢复进行；如故障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当日无法排除的，采购活动终止，重新组织采购活动。</w:t>
      </w:r>
    </w:p>
    <w:p>
      <w:pPr>
        <w:spacing w:line="460" w:lineRule="exact"/>
        <w:ind w:left="479" w:leftChars="228" w:firstLine="480" w:firstLineChars="200"/>
        <w:rPr>
          <w:rFonts w:asciiTheme="minorEastAsia" w:hAnsiTheme="minorEastAsia" w:eastAsiaTheme="minorEastAsia" w:cstheme="minorEastAsia"/>
          <w:bCs/>
          <w:sz w:val="24"/>
          <w:szCs w:val="24"/>
        </w:rPr>
      </w:pPr>
    </w:p>
    <w:p>
      <w:pPr>
        <w:pStyle w:val="5"/>
        <w:spacing w:before="0" w:after="0" w:line="420" w:lineRule="exact"/>
        <w:jc w:val="center"/>
        <w:rPr>
          <w:rFonts w:asciiTheme="minorEastAsia" w:hAnsiTheme="minorEastAsia" w:eastAsiaTheme="minorEastAsia" w:cstheme="minorEastAsia"/>
          <w:sz w:val="28"/>
          <w:szCs w:val="28"/>
        </w:rPr>
      </w:pPr>
      <w:bookmarkStart w:id="87" w:name="_Toc29398"/>
      <w:bookmarkStart w:id="88" w:name="_Toc17060"/>
      <w:r>
        <w:rPr>
          <w:rFonts w:hint="eastAsia" w:asciiTheme="minorEastAsia" w:hAnsiTheme="minorEastAsia" w:eastAsiaTheme="minorEastAsia" w:cstheme="minorEastAsia"/>
          <w:sz w:val="28"/>
          <w:szCs w:val="28"/>
        </w:rPr>
        <w:t>十二、采购代理服务费</w:t>
      </w:r>
      <w:bookmarkEnd w:id="87"/>
      <w:bookmarkEnd w:id="88"/>
    </w:p>
    <w:p>
      <w:pPr>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38. 采购代理服务费</w:t>
      </w:r>
    </w:p>
    <w:p>
      <w:pPr>
        <w:spacing w:line="42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38.1成交供应商在领取成交通知书时须按“供应商须知前附表”规定的收费标准</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向采购代理机构缴纳采购代理服务费。</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38.2 采购代理服务费采用银行转账、支票、汇票、本票等非现金形式交纳</w:t>
      </w:r>
      <w:r>
        <w:rPr>
          <w:rFonts w:hint="eastAsia" w:asciiTheme="minorEastAsia" w:hAnsiTheme="minorEastAsia" w:eastAsiaTheme="minorEastAsia" w:cstheme="minorEastAsia"/>
          <w:kern w:val="0"/>
          <w:sz w:val="28"/>
          <w:szCs w:val="28"/>
        </w:rPr>
        <w:t>。</w:t>
      </w:r>
    </w:p>
    <w:p>
      <w:pPr>
        <w:spacing w:line="420" w:lineRule="exact"/>
        <w:ind w:left="567" w:hanging="5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38.3 成交供应商如未按本须知“第38.1条”规定办理，采购代理机构将按本须知“第15.5条”规定不予退还其磋商保证金。</w:t>
      </w:r>
      <w:bookmarkEnd w:id="76"/>
      <w:bookmarkEnd w:id="77"/>
    </w:p>
    <w:p>
      <w:pPr>
        <w:pStyle w:val="5"/>
        <w:spacing w:before="0" w:after="0" w:line="460" w:lineRule="exact"/>
        <w:ind w:firstLine="3238" w:firstLineChars="1152"/>
        <w:jc w:val="left"/>
        <w:rPr>
          <w:rFonts w:asciiTheme="minorEastAsia" w:hAnsiTheme="minorEastAsia" w:eastAsiaTheme="minorEastAsia" w:cstheme="minorEastAsia"/>
          <w:sz w:val="28"/>
          <w:szCs w:val="28"/>
        </w:rPr>
      </w:pPr>
      <w:bookmarkStart w:id="89" w:name="_Toc376848257"/>
      <w:bookmarkStart w:id="90" w:name="_Toc11704"/>
      <w:bookmarkStart w:id="91" w:name="_Toc18176"/>
      <w:bookmarkStart w:id="92" w:name="_Toc245611283"/>
      <w:r>
        <w:rPr>
          <w:rFonts w:hint="eastAsia" w:asciiTheme="minorEastAsia" w:hAnsiTheme="minorEastAsia" w:eastAsiaTheme="minorEastAsia" w:cstheme="minorEastAsia"/>
          <w:sz w:val="28"/>
          <w:szCs w:val="28"/>
        </w:rPr>
        <w:t>十三、附则</w:t>
      </w:r>
      <w:bookmarkEnd w:id="89"/>
      <w:bookmarkEnd w:id="90"/>
      <w:bookmarkEnd w:id="91"/>
    </w:p>
    <w:p>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39. 解释权</w:t>
      </w:r>
      <w:bookmarkEnd w:id="92"/>
    </w:p>
    <w:p>
      <w:pPr>
        <w:spacing w:line="440" w:lineRule="exact"/>
        <w:ind w:left="599" w:leftChars="228"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本磋商文件是根据国家有关法律、法规以及政府采购管理有关规定编制，解释权属江西省机电设备招标有限公司。</w:t>
      </w: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spacing w:line="440" w:lineRule="exact"/>
        <w:ind w:left="599" w:leftChars="228" w:hanging="120" w:hangingChars="50"/>
        <w:rPr>
          <w:rFonts w:ascii="宋体" w:cs="宋体"/>
          <w:sz w:val="24"/>
          <w:szCs w:val="24"/>
        </w:rPr>
      </w:pPr>
    </w:p>
    <w:p>
      <w:pPr>
        <w:pStyle w:val="4"/>
        <w:jc w:val="center"/>
        <w:rPr>
          <w:rFonts w:hAnsi="宋体" w:cs="宋体"/>
          <w:b/>
          <w:sz w:val="32"/>
          <w:szCs w:val="32"/>
        </w:rPr>
      </w:pPr>
      <w:bookmarkStart w:id="93" w:name="_Toc498611429"/>
      <w:bookmarkStart w:id="94" w:name="_Toc30386"/>
      <w:r>
        <w:rPr>
          <w:rFonts w:hint="eastAsia" w:hAnsi="宋体" w:cs="宋体"/>
          <w:b/>
          <w:sz w:val="24"/>
          <w:szCs w:val="24"/>
        </w:rPr>
        <w:t>※</w:t>
      </w:r>
      <w:r>
        <w:rPr>
          <w:rFonts w:hint="eastAsia" w:hAnsi="宋体" w:cs="宋体"/>
          <w:b/>
          <w:bCs/>
          <w:sz w:val="32"/>
        </w:rPr>
        <w:t>第三章　</w:t>
      </w:r>
      <w:bookmarkStart w:id="95" w:name="_Toc225565935"/>
      <w:bookmarkStart w:id="96" w:name="_Toc387418052"/>
      <w:r>
        <w:rPr>
          <w:rFonts w:hint="eastAsia" w:hAnsi="宋体" w:cs="宋体"/>
          <w:b/>
          <w:sz w:val="32"/>
          <w:szCs w:val="32"/>
        </w:rPr>
        <w:t>拟签订的合同文本</w:t>
      </w:r>
      <w:bookmarkEnd w:id="93"/>
      <w:bookmarkEnd w:id="94"/>
    </w:p>
    <w:p>
      <w:pPr>
        <w:pStyle w:val="5"/>
        <w:spacing w:before="0" w:after="0" w:line="460" w:lineRule="exact"/>
        <w:jc w:val="center"/>
        <w:rPr>
          <w:rFonts w:ascii="宋体" w:cs="宋体"/>
        </w:rPr>
      </w:pPr>
    </w:p>
    <w:p>
      <w:pPr>
        <w:spacing w:line="420" w:lineRule="exact"/>
        <w:rPr>
          <w:rFonts w:ascii="宋体" w:cs="宋体"/>
          <w:kern w:val="0"/>
          <w:sz w:val="32"/>
          <w:szCs w:val="32"/>
        </w:rPr>
      </w:pPr>
    </w:p>
    <w:p>
      <w:pPr>
        <w:spacing w:line="580" w:lineRule="exact"/>
        <w:rPr>
          <w:rFonts w:ascii="宋体" w:cs="宋体"/>
          <w:kern w:val="0"/>
          <w:sz w:val="24"/>
          <w:szCs w:val="24"/>
        </w:rPr>
      </w:pPr>
      <w:r>
        <w:rPr>
          <w:rFonts w:hint="eastAsia" w:ascii="宋体" w:hAnsi="宋体" w:cs="宋体"/>
          <w:kern w:val="0"/>
          <w:sz w:val="24"/>
          <w:szCs w:val="24"/>
        </w:rPr>
        <w:t>甲方（采购单位）：</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乙方（服务单位）：</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签订时间：</w:t>
      </w:r>
      <w:r>
        <w:rPr>
          <w:rFonts w:ascii="宋体" w:hAnsi="宋体" w:cs="宋体"/>
          <w:kern w:val="0"/>
          <w:sz w:val="24"/>
          <w:szCs w:val="24"/>
        </w:rPr>
        <w:t>________</w:t>
      </w:r>
      <w:r>
        <w:rPr>
          <w:rFonts w:hint="eastAsia" w:ascii="宋体" w:hAnsi="宋体" w:cs="宋体"/>
          <w:kern w:val="0"/>
          <w:sz w:val="24"/>
          <w:szCs w:val="24"/>
        </w:rPr>
        <w:t>年</w:t>
      </w:r>
      <w:r>
        <w:rPr>
          <w:rFonts w:ascii="宋体" w:hAnsi="宋体" w:cs="宋体"/>
          <w:kern w:val="0"/>
          <w:sz w:val="24"/>
          <w:szCs w:val="24"/>
        </w:rPr>
        <w:t>____</w:t>
      </w:r>
      <w:r>
        <w:rPr>
          <w:rFonts w:hint="eastAsia" w:ascii="宋体" w:hAnsi="宋体" w:cs="宋体"/>
          <w:kern w:val="0"/>
          <w:sz w:val="24"/>
          <w:szCs w:val="24"/>
        </w:rPr>
        <w:t>月</w:t>
      </w:r>
      <w:r>
        <w:rPr>
          <w:rFonts w:ascii="宋体" w:hAnsi="宋体" w:cs="宋体"/>
          <w:kern w:val="0"/>
          <w:sz w:val="24"/>
          <w:szCs w:val="24"/>
        </w:rPr>
        <w:t>____</w:t>
      </w:r>
      <w:r>
        <w:rPr>
          <w:rFonts w:hint="eastAsia" w:ascii="宋体" w:hAnsi="宋体" w:cs="宋体"/>
          <w:kern w:val="0"/>
          <w:sz w:val="24"/>
          <w:szCs w:val="24"/>
        </w:rPr>
        <w:t>日</w:t>
      </w:r>
      <w:r>
        <w:rPr>
          <w:rFonts w:ascii="宋体" w:cs="宋体"/>
          <w:kern w:val="0"/>
          <w:sz w:val="24"/>
          <w:szCs w:val="24"/>
        </w:rPr>
        <w:br w:type="textWrapping"/>
      </w:r>
      <w:r>
        <w:rPr>
          <w:rFonts w:hint="eastAsia" w:ascii="宋体" w:hAnsi="宋体" w:cs="宋体"/>
          <w:kern w:val="0"/>
          <w:sz w:val="24"/>
          <w:szCs w:val="24"/>
        </w:rPr>
        <w:t>签订地点：</w:t>
      </w:r>
      <w:r>
        <w:rPr>
          <w:rFonts w:ascii="宋体" w:cs="宋体"/>
          <w:kern w:val="0"/>
          <w:sz w:val="24"/>
          <w:szCs w:val="24"/>
        </w:rPr>
        <w:br w:type="textWrapping"/>
      </w:r>
    </w:p>
    <w:p>
      <w:pPr>
        <w:spacing w:line="380" w:lineRule="exact"/>
        <w:rPr>
          <w:rFonts w:ascii="宋体" w:cs="宋体"/>
          <w:b/>
          <w:bCs/>
          <w:sz w:val="24"/>
          <w:szCs w:val="24"/>
        </w:rPr>
      </w:pPr>
      <w:r>
        <w:rPr>
          <w:rFonts w:hint="eastAsia" w:ascii="宋体" w:hAnsi="宋体" w:cs="宋体"/>
          <w:kern w:val="0"/>
          <w:sz w:val="24"/>
          <w:szCs w:val="24"/>
        </w:rPr>
        <w:t>根据《中华人民共和国民法典》及</w:t>
      </w:r>
      <w:r>
        <w:rPr>
          <w:rFonts w:ascii="宋体" w:hAnsi="宋体" w:cs="宋体"/>
          <w:kern w:val="0"/>
          <w:sz w:val="24"/>
          <w:szCs w:val="24"/>
        </w:rPr>
        <w:t>________</w:t>
      </w:r>
      <w:r>
        <w:rPr>
          <w:rFonts w:hint="eastAsia" w:ascii="宋体" w:hAnsi="宋体" w:cs="宋体"/>
          <w:kern w:val="0"/>
          <w:sz w:val="24"/>
          <w:szCs w:val="24"/>
        </w:rPr>
        <w:t>年</w:t>
      </w:r>
      <w:r>
        <w:rPr>
          <w:rFonts w:ascii="宋体" w:hAnsi="宋体" w:cs="宋体"/>
          <w:kern w:val="0"/>
          <w:sz w:val="24"/>
          <w:szCs w:val="24"/>
        </w:rPr>
        <w:t>____</w:t>
      </w:r>
      <w:r>
        <w:rPr>
          <w:rFonts w:hint="eastAsia" w:ascii="宋体" w:hAnsi="宋体" w:cs="宋体"/>
          <w:kern w:val="0"/>
          <w:sz w:val="24"/>
          <w:szCs w:val="24"/>
        </w:rPr>
        <w:t>月</w:t>
      </w:r>
      <w:r>
        <w:rPr>
          <w:rFonts w:ascii="宋体" w:hAnsi="宋体" w:cs="宋体"/>
          <w:kern w:val="0"/>
          <w:sz w:val="24"/>
          <w:szCs w:val="24"/>
        </w:rPr>
        <w:t>____</w:t>
      </w:r>
      <w:r>
        <w:rPr>
          <w:rFonts w:hint="eastAsia" w:ascii="宋体" w:hAnsi="宋体" w:cs="宋体"/>
          <w:kern w:val="0"/>
          <w:sz w:val="24"/>
          <w:szCs w:val="24"/>
        </w:rPr>
        <w:t>日（采购代理机构名称）关于</w:t>
      </w:r>
      <w:r>
        <w:rPr>
          <w:rFonts w:ascii="宋体" w:hAnsi="宋体" w:cs="宋体"/>
          <w:kern w:val="0"/>
          <w:sz w:val="24"/>
          <w:szCs w:val="24"/>
        </w:rPr>
        <w:t>________</w:t>
      </w:r>
      <w:r>
        <w:rPr>
          <w:rFonts w:hint="eastAsia" w:ascii="宋体" w:hAnsi="宋体" w:cs="宋体"/>
          <w:kern w:val="0"/>
          <w:sz w:val="24"/>
          <w:szCs w:val="24"/>
        </w:rPr>
        <w:t>项目的磋商结果和磋商文件（项目编号：</w:t>
      </w:r>
      <w:r>
        <w:rPr>
          <w:rFonts w:ascii="宋体" w:hAnsi="宋体" w:cs="宋体"/>
          <w:kern w:val="0"/>
          <w:sz w:val="24"/>
          <w:szCs w:val="24"/>
        </w:rPr>
        <w:t>________</w:t>
      </w:r>
      <w:r>
        <w:rPr>
          <w:rFonts w:hint="eastAsia" w:ascii="宋体" w:hAnsi="宋体" w:cs="宋体"/>
          <w:kern w:val="0"/>
          <w:sz w:val="24"/>
          <w:szCs w:val="24"/>
        </w:rPr>
        <w:t>）的要求，经双方协商一致，签订本合同。详细价格、服务和技术说明、及其他有关合同标的的特定信息由合同附件予以说明，所有附件及本项目的磋商及响应文件、会议纪要、协议等均为本合同不可分割之一部分。</w:t>
      </w:r>
      <w:r>
        <w:rPr>
          <w:rFonts w:ascii="宋体" w:cs="宋体"/>
          <w:kern w:val="0"/>
          <w:sz w:val="24"/>
          <w:szCs w:val="24"/>
        </w:rPr>
        <w:br w:type="textWrapping"/>
      </w:r>
      <w:r>
        <w:rPr>
          <w:rFonts w:hint="eastAsia" w:ascii="宋体" w:hAnsi="宋体" w:cs="宋体"/>
          <w:kern w:val="0"/>
          <w:sz w:val="24"/>
          <w:szCs w:val="24"/>
        </w:rPr>
        <w:t>　</w:t>
      </w:r>
      <w:bookmarkStart w:id="97" w:name="_Toc286758345"/>
      <w:r>
        <w:rPr>
          <w:rFonts w:ascii="宋体" w:hAnsi="宋体" w:cs="宋体"/>
          <w:b/>
          <w:bCs/>
          <w:sz w:val="24"/>
          <w:szCs w:val="24"/>
        </w:rPr>
        <w:t xml:space="preserve">1. </w:t>
      </w:r>
      <w:r>
        <w:rPr>
          <w:rFonts w:hint="eastAsia" w:ascii="宋体" w:hAnsi="宋体" w:cs="宋体"/>
          <w:b/>
          <w:bCs/>
          <w:sz w:val="24"/>
          <w:szCs w:val="24"/>
        </w:rPr>
        <w:t>定义</w:t>
      </w:r>
      <w:bookmarkEnd w:id="97"/>
    </w:p>
    <w:p>
      <w:pPr>
        <w:spacing w:line="380" w:lineRule="exact"/>
        <w:ind w:left="1168" w:hanging="688"/>
        <w:rPr>
          <w:rFonts w:ascii="宋体" w:cs="宋体"/>
          <w:sz w:val="24"/>
          <w:szCs w:val="24"/>
        </w:rPr>
      </w:pPr>
      <w:r>
        <w:rPr>
          <w:rFonts w:hint="eastAsia" w:ascii="宋体" w:hAnsi="宋体" w:cs="宋体"/>
          <w:sz w:val="24"/>
          <w:szCs w:val="24"/>
        </w:rPr>
        <w:t>本合同下列术语应解释为：</w:t>
      </w:r>
    </w:p>
    <w:p>
      <w:pPr>
        <w:spacing w:line="380" w:lineRule="exact"/>
        <w:ind w:left="1167" w:leftChars="286" w:hanging="566" w:hangingChars="236"/>
        <w:rPr>
          <w:rFonts w:ascii="宋体" w:cs="宋体"/>
          <w:sz w:val="24"/>
          <w:szCs w:val="24"/>
        </w:rPr>
      </w:pPr>
      <w:r>
        <w:rPr>
          <w:rFonts w:ascii="宋体" w:hAnsi="宋体" w:cs="宋体"/>
          <w:sz w:val="24"/>
          <w:szCs w:val="24"/>
        </w:rPr>
        <w:t>1</w:t>
      </w:r>
      <w:r>
        <w:rPr>
          <w:rFonts w:hint="eastAsia" w:ascii="宋体" w:hAnsi="宋体" w:cs="宋体"/>
          <w:sz w:val="24"/>
          <w:szCs w:val="24"/>
        </w:rPr>
        <w:t>）“合同”是指买卖双方签署的、合同格式中载明的买卖双方所达成的协议，包括所有的附件、附录和构成合同的其它文件。</w:t>
      </w:r>
    </w:p>
    <w:p>
      <w:pPr>
        <w:spacing w:line="380" w:lineRule="exact"/>
        <w:ind w:left="1200" w:hanging="600"/>
        <w:rPr>
          <w:rFonts w:ascii="宋体" w:cs="宋体"/>
          <w:sz w:val="24"/>
          <w:szCs w:val="24"/>
        </w:rPr>
      </w:pPr>
      <w:r>
        <w:rPr>
          <w:rFonts w:ascii="宋体" w:hAnsi="宋体" w:cs="宋体"/>
          <w:sz w:val="24"/>
          <w:szCs w:val="24"/>
        </w:rPr>
        <w:t>2</w:t>
      </w:r>
      <w:r>
        <w:rPr>
          <w:rFonts w:hint="eastAsia" w:ascii="宋体" w:hAnsi="宋体" w:cs="宋体"/>
          <w:sz w:val="24"/>
          <w:szCs w:val="24"/>
        </w:rPr>
        <w:t>）“合同价”是指根据本合同规定供方在正确地完全履行合同义务后买方应支付给供方的价款。</w:t>
      </w:r>
    </w:p>
    <w:p>
      <w:pPr>
        <w:spacing w:line="380" w:lineRule="exact"/>
        <w:ind w:left="1202" w:hanging="600"/>
        <w:rPr>
          <w:rFonts w:ascii="宋体" w:cs="宋体"/>
          <w:sz w:val="24"/>
          <w:szCs w:val="24"/>
        </w:rPr>
      </w:pPr>
      <w:r>
        <w:rPr>
          <w:rFonts w:ascii="宋体" w:hAnsi="宋体" w:cs="宋体"/>
          <w:sz w:val="24"/>
          <w:szCs w:val="24"/>
        </w:rPr>
        <w:t>3</w:t>
      </w:r>
      <w:r>
        <w:rPr>
          <w:rFonts w:hint="eastAsia" w:ascii="宋体" w:hAnsi="宋体" w:cs="宋体"/>
          <w:sz w:val="24"/>
          <w:szCs w:val="24"/>
        </w:rPr>
        <w:t>）“买方”是指购买相关服务的采购人。</w:t>
      </w:r>
    </w:p>
    <w:p>
      <w:pPr>
        <w:spacing w:line="380" w:lineRule="exact"/>
        <w:ind w:left="1202" w:hanging="600"/>
        <w:rPr>
          <w:rFonts w:ascii="宋体" w:cs="宋体"/>
          <w:sz w:val="24"/>
          <w:szCs w:val="24"/>
        </w:rPr>
      </w:pPr>
      <w:r>
        <w:rPr>
          <w:rFonts w:ascii="宋体" w:hAnsi="宋体" w:cs="宋体"/>
          <w:sz w:val="24"/>
          <w:szCs w:val="24"/>
        </w:rPr>
        <w:t>4</w:t>
      </w:r>
      <w:r>
        <w:rPr>
          <w:rFonts w:hint="eastAsia" w:ascii="宋体" w:hAnsi="宋体" w:cs="宋体"/>
          <w:sz w:val="24"/>
          <w:szCs w:val="24"/>
        </w:rPr>
        <w:t>）“供方”是指根据合同规定提供相关服务的成交供应商。</w:t>
      </w:r>
    </w:p>
    <w:p>
      <w:pPr>
        <w:spacing w:line="380" w:lineRule="exact"/>
        <w:ind w:left="1202" w:hanging="600"/>
        <w:rPr>
          <w:rFonts w:ascii="宋体" w:cs="宋体"/>
          <w:sz w:val="24"/>
          <w:szCs w:val="24"/>
        </w:rPr>
      </w:pPr>
      <w:r>
        <w:rPr>
          <w:rFonts w:ascii="宋体" w:hAnsi="宋体" w:cs="宋体"/>
          <w:sz w:val="24"/>
          <w:szCs w:val="24"/>
        </w:rPr>
        <w:t>5</w:t>
      </w:r>
      <w:r>
        <w:rPr>
          <w:rFonts w:hint="eastAsia" w:ascii="宋体" w:hAnsi="宋体" w:cs="宋体"/>
          <w:sz w:val="24"/>
          <w:szCs w:val="24"/>
        </w:rPr>
        <w:t>）“现场”系指合同项下服务提供地点。</w:t>
      </w:r>
    </w:p>
    <w:p>
      <w:pPr>
        <w:spacing w:line="380" w:lineRule="exact"/>
        <w:ind w:left="958" w:leftChars="285" w:hanging="360" w:hangingChars="150"/>
        <w:rPr>
          <w:rFonts w:ascii="宋体" w:cs="宋体"/>
          <w:sz w:val="24"/>
          <w:szCs w:val="24"/>
        </w:rPr>
      </w:pPr>
      <w:r>
        <w:rPr>
          <w:rFonts w:ascii="宋体" w:hAnsi="宋体" w:cs="宋体"/>
          <w:sz w:val="24"/>
          <w:szCs w:val="24"/>
        </w:rPr>
        <w:t>6</w:t>
      </w:r>
      <w:r>
        <w:rPr>
          <w:rFonts w:hint="eastAsia" w:ascii="宋体" w:hAnsi="宋体" w:cs="宋体"/>
          <w:sz w:val="24"/>
          <w:szCs w:val="24"/>
        </w:rPr>
        <w:t>）“验收”系指合同双方依据规定的程序和条件确认合同项下的服务符合规范要求的活动。</w:t>
      </w:r>
    </w:p>
    <w:p>
      <w:pPr>
        <w:spacing w:line="380" w:lineRule="exact"/>
        <w:rPr>
          <w:rFonts w:ascii="宋体" w:cs="宋体"/>
          <w:b/>
          <w:bCs/>
          <w:sz w:val="24"/>
          <w:szCs w:val="24"/>
        </w:rPr>
      </w:pPr>
      <w:bookmarkStart w:id="98" w:name="_Toc286758346"/>
      <w:r>
        <w:rPr>
          <w:rFonts w:ascii="宋体" w:hAnsi="宋体" w:cs="宋体"/>
          <w:b/>
          <w:bCs/>
          <w:sz w:val="24"/>
          <w:szCs w:val="24"/>
        </w:rPr>
        <w:t>2.</w:t>
      </w:r>
      <w:r>
        <w:rPr>
          <w:rFonts w:hint="eastAsia" w:ascii="宋体" w:hAnsi="宋体" w:cs="宋体"/>
          <w:b/>
          <w:bCs/>
          <w:sz w:val="24"/>
          <w:szCs w:val="24"/>
        </w:rPr>
        <w:t>规范</w:t>
      </w:r>
      <w:bookmarkEnd w:id="98"/>
      <w:r>
        <w:rPr>
          <w:rFonts w:hint="eastAsia" w:ascii="宋体" w:hAnsi="宋体" w:cs="宋体"/>
          <w:b/>
          <w:bCs/>
          <w:sz w:val="24"/>
          <w:szCs w:val="24"/>
        </w:rPr>
        <w:t>要求</w:t>
      </w:r>
    </w:p>
    <w:p>
      <w:pPr>
        <w:spacing w:line="380" w:lineRule="exact"/>
        <w:ind w:left="425" w:hanging="425"/>
        <w:rPr>
          <w:rFonts w:ascii="宋体" w:cs="宋体"/>
          <w:sz w:val="24"/>
          <w:szCs w:val="24"/>
        </w:rPr>
      </w:pPr>
      <w:r>
        <w:rPr>
          <w:rFonts w:ascii="宋体" w:hAnsi="宋体" w:cs="宋体"/>
          <w:sz w:val="24"/>
          <w:szCs w:val="24"/>
        </w:rPr>
        <w:t>2.1</w:t>
      </w:r>
      <w:r>
        <w:rPr>
          <w:rFonts w:hint="eastAsia" w:ascii="宋体" w:hAnsi="宋体" w:cs="宋体"/>
          <w:sz w:val="24"/>
          <w:szCs w:val="24"/>
        </w:rPr>
        <w:t>提供相关服务的规范应与磋商文件规定的规范和规范附件（如果有的话）及其响应文件的服务要求偏离表（如果被买方接受的话）相一致。</w:t>
      </w:r>
    </w:p>
    <w:p>
      <w:pPr>
        <w:spacing w:line="380" w:lineRule="exact"/>
        <w:ind w:left="425" w:hanging="425"/>
        <w:rPr>
          <w:rFonts w:ascii="宋体" w:cs="宋体"/>
          <w:sz w:val="24"/>
          <w:szCs w:val="24"/>
        </w:rPr>
      </w:pPr>
      <w:r>
        <w:rPr>
          <w:rFonts w:ascii="宋体" w:hAnsi="宋体" w:cs="宋体"/>
          <w:sz w:val="24"/>
          <w:szCs w:val="24"/>
        </w:rPr>
        <w:t>2.2</w:t>
      </w:r>
      <w:r>
        <w:rPr>
          <w:rFonts w:hint="eastAsia" w:ascii="宋体" w:hAnsi="宋体" w:cs="宋体"/>
          <w:sz w:val="24"/>
          <w:szCs w:val="24"/>
        </w:rPr>
        <w:t>若规范要求中无相应说明，则以国家有关部门最新颁布的相应标准及规范为准。</w:t>
      </w:r>
    </w:p>
    <w:p>
      <w:pPr>
        <w:spacing w:line="380" w:lineRule="exact"/>
        <w:rPr>
          <w:rFonts w:ascii="宋体" w:cs="宋体"/>
          <w:b/>
          <w:bCs/>
          <w:sz w:val="24"/>
          <w:szCs w:val="24"/>
        </w:rPr>
      </w:pPr>
      <w:bookmarkStart w:id="99" w:name="_Toc286758347"/>
      <w:r>
        <w:rPr>
          <w:rFonts w:ascii="宋体" w:hAnsi="宋体" w:cs="宋体"/>
          <w:b/>
          <w:bCs/>
          <w:sz w:val="24"/>
          <w:szCs w:val="24"/>
        </w:rPr>
        <w:t xml:space="preserve">3. </w:t>
      </w:r>
      <w:r>
        <w:rPr>
          <w:rFonts w:hint="eastAsia" w:ascii="宋体" w:hAnsi="宋体" w:cs="宋体"/>
          <w:b/>
          <w:bCs/>
          <w:sz w:val="24"/>
          <w:szCs w:val="24"/>
        </w:rPr>
        <w:t>专利权</w:t>
      </w:r>
      <w:bookmarkEnd w:id="99"/>
    </w:p>
    <w:p>
      <w:pPr>
        <w:spacing w:line="380" w:lineRule="exact"/>
        <w:ind w:left="425" w:hanging="425"/>
        <w:rPr>
          <w:rFonts w:ascii="宋体" w:cs="宋体"/>
          <w:sz w:val="24"/>
          <w:szCs w:val="24"/>
        </w:rPr>
      </w:pPr>
      <w:r>
        <w:rPr>
          <w:rFonts w:ascii="宋体" w:hAnsi="宋体" w:cs="宋体"/>
          <w:sz w:val="24"/>
          <w:szCs w:val="24"/>
        </w:rPr>
        <w:t>3.1</w:t>
      </w:r>
      <w:r>
        <w:rPr>
          <w:rFonts w:hint="eastAsia" w:ascii="宋体" w:hAnsi="宋体" w:cs="宋体"/>
          <w:sz w:val="24"/>
          <w:szCs w:val="24"/>
        </w:rPr>
        <w:t>供方应保护买方在使用供方提供的服务时不受第三方提出侵犯专利权、商标权、著作权或其它知识产权起诉的指控。如果任何第三方提出侵权指控，供方须与第三方交涉并承担可能发生的一切法律责任和费用。</w:t>
      </w:r>
    </w:p>
    <w:p>
      <w:pPr>
        <w:spacing w:line="380" w:lineRule="exact"/>
        <w:ind w:left="425" w:hanging="425"/>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服务期限和服务地点</w:t>
      </w:r>
    </w:p>
    <w:p>
      <w:pPr>
        <w:spacing w:line="380" w:lineRule="exact"/>
        <w:ind w:left="425" w:hanging="425"/>
        <w:rPr>
          <w:rFonts w:ascii="宋体" w:cs="宋体"/>
          <w:sz w:val="24"/>
          <w:szCs w:val="24"/>
        </w:rPr>
      </w:pPr>
      <w:r>
        <w:rPr>
          <w:rFonts w:ascii="宋体" w:hAnsi="宋体" w:cs="宋体"/>
          <w:sz w:val="24"/>
          <w:szCs w:val="24"/>
        </w:rPr>
        <w:t>4.1</w:t>
      </w:r>
      <w:r>
        <w:rPr>
          <w:rFonts w:hint="eastAsia" w:ascii="宋体" w:hAnsi="宋体" w:cs="宋体"/>
          <w:sz w:val="24"/>
          <w:szCs w:val="24"/>
        </w:rPr>
        <w:t>服务期限和服务地点详见采购需求一览表。</w:t>
      </w:r>
    </w:p>
    <w:p>
      <w:pPr>
        <w:spacing w:line="380" w:lineRule="exact"/>
        <w:rPr>
          <w:rFonts w:ascii="宋体" w:cs="宋体"/>
          <w:b/>
          <w:sz w:val="24"/>
          <w:szCs w:val="24"/>
        </w:rPr>
      </w:pPr>
      <w:bookmarkStart w:id="100" w:name="_Toc286758353"/>
      <w:r>
        <w:rPr>
          <w:rFonts w:ascii="宋体" w:hAnsi="宋体" w:cs="宋体"/>
          <w:b/>
          <w:sz w:val="24"/>
          <w:szCs w:val="24"/>
        </w:rPr>
        <w:t xml:space="preserve">5. </w:t>
      </w:r>
      <w:r>
        <w:rPr>
          <w:rFonts w:hint="eastAsia" w:ascii="宋体" w:hAnsi="宋体" w:cs="宋体"/>
          <w:b/>
          <w:sz w:val="24"/>
          <w:szCs w:val="24"/>
        </w:rPr>
        <w:t>付款方式</w:t>
      </w:r>
      <w:bookmarkEnd w:id="100"/>
    </w:p>
    <w:p>
      <w:pPr>
        <w:spacing w:line="380" w:lineRule="exact"/>
        <w:ind w:left="31680" w:hanging="360" w:hangingChars="150"/>
        <w:rPr>
          <w:rFonts w:ascii="宋体" w:cs="宋体"/>
          <w:sz w:val="24"/>
          <w:szCs w:val="24"/>
        </w:rPr>
      </w:pPr>
      <w:r>
        <w:rPr>
          <w:rFonts w:ascii="宋体" w:hAnsi="宋体" w:cs="宋体"/>
          <w:sz w:val="24"/>
          <w:szCs w:val="24"/>
        </w:rPr>
        <w:t xml:space="preserve">5.1 </w:t>
      </w:r>
      <w:r>
        <w:rPr>
          <w:rFonts w:hint="eastAsia" w:ascii="宋体" w:hAnsi="宋体" w:cs="宋体"/>
          <w:sz w:val="24"/>
          <w:szCs w:val="24"/>
        </w:rPr>
        <w:t>付款方式按磋商文件第五章中“商务条款”中的规定。</w:t>
      </w:r>
    </w:p>
    <w:p>
      <w:pPr>
        <w:spacing w:line="440" w:lineRule="exact"/>
        <w:rPr>
          <w:rFonts w:ascii="仿宋" w:hAnsi="仿宋" w:eastAsia="仿宋" w:cs="仿宋"/>
          <w:kern w:val="0"/>
          <w:sz w:val="24"/>
          <w:szCs w:val="24"/>
        </w:rPr>
      </w:pPr>
      <w:r>
        <w:rPr>
          <w:rFonts w:hint="eastAsia" w:ascii="仿宋" w:hAnsi="仿宋" w:eastAsia="仿宋" w:cs="仿宋"/>
          <w:kern w:val="0"/>
          <w:sz w:val="24"/>
          <w:szCs w:val="24"/>
        </w:rPr>
        <w:t>本合同供应商指定的收款账户：</w:t>
      </w:r>
    </w:p>
    <w:p>
      <w:pPr>
        <w:spacing w:line="440" w:lineRule="exact"/>
        <w:rPr>
          <w:rFonts w:ascii="仿宋" w:hAnsi="仿宋" w:eastAsia="仿宋" w:cs="仿宋"/>
          <w:kern w:val="0"/>
          <w:sz w:val="24"/>
          <w:szCs w:val="24"/>
        </w:rPr>
      </w:pPr>
      <w:r>
        <w:rPr>
          <w:rFonts w:hint="eastAsia" w:ascii="仿宋" w:hAnsi="仿宋" w:eastAsia="仿宋" w:cs="仿宋"/>
          <w:kern w:val="0"/>
          <w:sz w:val="24"/>
          <w:szCs w:val="24"/>
        </w:rPr>
        <w:t>户名：</w:t>
      </w:r>
      <w:r>
        <w:rPr>
          <w:rFonts w:ascii="仿宋" w:hAnsi="仿宋" w:eastAsia="仿宋" w:cs="仿宋"/>
          <w:kern w:val="0"/>
          <w:sz w:val="24"/>
          <w:szCs w:val="24"/>
        </w:rPr>
        <w:t>_____________________</w:t>
      </w:r>
    </w:p>
    <w:p>
      <w:pPr>
        <w:spacing w:line="440" w:lineRule="exact"/>
        <w:rPr>
          <w:rFonts w:ascii="仿宋" w:hAnsi="仿宋" w:eastAsia="仿宋" w:cs="仿宋"/>
          <w:kern w:val="0"/>
          <w:sz w:val="24"/>
          <w:szCs w:val="24"/>
        </w:rPr>
      </w:pPr>
      <w:r>
        <w:rPr>
          <w:rFonts w:hint="eastAsia" w:ascii="仿宋" w:hAnsi="仿宋" w:eastAsia="仿宋" w:cs="仿宋"/>
          <w:kern w:val="0"/>
          <w:sz w:val="24"/>
          <w:szCs w:val="24"/>
        </w:rPr>
        <w:t>开户行：</w:t>
      </w:r>
      <w:r>
        <w:rPr>
          <w:rFonts w:ascii="仿宋" w:hAnsi="仿宋" w:eastAsia="仿宋" w:cs="仿宋"/>
          <w:kern w:val="0"/>
          <w:sz w:val="24"/>
          <w:szCs w:val="24"/>
        </w:rPr>
        <w:t>___________________</w:t>
      </w:r>
    </w:p>
    <w:p>
      <w:pPr>
        <w:pStyle w:val="2"/>
      </w:pPr>
      <w:r>
        <w:rPr>
          <w:rFonts w:hint="eastAsia" w:ascii="仿宋" w:hAnsi="仿宋" w:eastAsia="仿宋" w:cs="仿宋"/>
          <w:sz w:val="24"/>
          <w:szCs w:val="24"/>
        </w:rPr>
        <w:t>账号：</w:t>
      </w:r>
      <w:r>
        <w:rPr>
          <w:rFonts w:ascii="仿宋" w:hAnsi="仿宋" w:eastAsia="仿宋" w:cs="仿宋"/>
          <w:sz w:val="24"/>
          <w:szCs w:val="24"/>
        </w:rPr>
        <w:t>_____________________</w:t>
      </w:r>
    </w:p>
    <w:p>
      <w:pPr>
        <w:spacing w:line="380" w:lineRule="exact"/>
        <w:rPr>
          <w:rFonts w:ascii="宋体" w:cs="宋体"/>
          <w:b/>
          <w:bCs/>
          <w:sz w:val="24"/>
          <w:szCs w:val="24"/>
        </w:rPr>
      </w:pPr>
      <w:bookmarkStart w:id="101" w:name="_Toc286758354"/>
      <w:r>
        <w:rPr>
          <w:rFonts w:ascii="宋体" w:hAnsi="宋体" w:cs="宋体"/>
          <w:b/>
          <w:bCs/>
          <w:sz w:val="24"/>
          <w:szCs w:val="24"/>
        </w:rPr>
        <w:t xml:space="preserve">6. </w:t>
      </w:r>
      <w:r>
        <w:rPr>
          <w:rFonts w:hint="eastAsia" w:ascii="宋体" w:hAnsi="宋体" w:cs="宋体"/>
          <w:b/>
          <w:bCs/>
          <w:sz w:val="24"/>
          <w:szCs w:val="24"/>
        </w:rPr>
        <w:t>相关资料</w:t>
      </w:r>
      <w:bookmarkEnd w:id="101"/>
    </w:p>
    <w:p>
      <w:pPr>
        <w:spacing w:line="380" w:lineRule="exact"/>
        <w:rPr>
          <w:rFonts w:ascii="宋体" w:cs="宋体"/>
          <w:sz w:val="24"/>
          <w:szCs w:val="24"/>
        </w:rPr>
      </w:pPr>
      <w:r>
        <w:rPr>
          <w:rFonts w:ascii="宋体" w:hAnsi="宋体" w:cs="宋体"/>
          <w:sz w:val="24"/>
          <w:szCs w:val="24"/>
        </w:rPr>
        <w:t>6.1</w:t>
      </w:r>
      <w:r>
        <w:rPr>
          <w:rFonts w:hint="eastAsia" w:ascii="宋体" w:hAnsi="宋体" w:cs="宋体"/>
          <w:sz w:val="24"/>
          <w:szCs w:val="24"/>
        </w:rPr>
        <w:t>合同项下提供服务的相关技术资料按采购人要求提供。</w:t>
      </w:r>
    </w:p>
    <w:p>
      <w:pPr>
        <w:spacing w:line="380" w:lineRule="exact"/>
        <w:rPr>
          <w:rFonts w:ascii="宋体" w:cs="宋体"/>
          <w:b/>
          <w:bCs/>
          <w:sz w:val="24"/>
          <w:szCs w:val="24"/>
        </w:rPr>
      </w:pPr>
      <w:bookmarkStart w:id="102" w:name="_Toc286758355"/>
      <w:r>
        <w:rPr>
          <w:rFonts w:ascii="宋体" w:hAnsi="宋体" w:cs="宋体"/>
          <w:b/>
          <w:bCs/>
          <w:sz w:val="24"/>
          <w:szCs w:val="24"/>
        </w:rPr>
        <w:t xml:space="preserve">7. </w:t>
      </w:r>
      <w:r>
        <w:rPr>
          <w:rFonts w:hint="eastAsia" w:ascii="宋体" w:hAnsi="宋体" w:cs="宋体"/>
          <w:b/>
          <w:bCs/>
          <w:sz w:val="24"/>
          <w:szCs w:val="24"/>
        </w:rPr>
        <w:t>质量保证</w:t>
      </w:r>
      <w:bookmarkEnd w:id="102"/>
      <w:r>
        <w:rPr>
          <w:rFonts w:hint="eastAsia" w:ascii="宋体" w:hAnsi="宋体" w:cs="宋体"/>
          <w:b/>
          <w:bCs/>
          <w:sz w:val="24"/>
          <w:szCs w:val="24"/>
        </w:rPr>
        <w:t>期</w:t>
      </w:r>
    </w:p>
    <w:p>
      <w:pPr>
        <w:spacing w:line="380" w:lineRule="exact"/>
        <w:ind w:left="624" w:hanging="624"/>
        <w:rPr>
          <w:rFonts w:ascii="宋体" w:cs="宋体"/>
          <w:sz w:val="24"/>
          <w:szCs w:val="24"/>
        </w:rPr>
      </w:pPr>
      <w:r>
        <w:rPr>
          <w:rFonts w:ascii="宋体" w:hAnsi="宋体" w:cs="宋体"/>
          <w:bCs/>
          <w:sz w:val="24"/>
          <w:szCs w:val="24"/>
        </w:rPr>
        <w:t xml:space="preserve">7.1 </w:t>
      </w:r>
      <w:r>
        <w:rPr>
          <w:rFonts w:hint="eastAsia" w:ascii="宋体" w:hAnsi="宋体" w:cs="宋体"/>
          <w:bCs/>
          <w:sz w:val="24"/>
          <w:szCs w:val="24"/>
        </w:rPr>
        <w:t>服务成果的质量保证期</w:t>
      </w:r>
      <w:bookmarkStart w:id="103" w:name="_Toc286758358"/>
      <w:r>
        <w:rPr>
          <w:rFonts w:hint="eastAsia" w:ascii="宋体" w:hAnsi="宋体" w:cs="宋体"/>
          <w:sz w:val="24"/>
          <w:szCs w:val="24"/>
        </w:rPr>
        <w:t>按磋商文件第五章中“商务条款”中的规定。如供应商承诺的</w:t>
      </w:r>
    </w:p>
    <w:p>
      <w:pPr>
        <w:spacing w:line="380" w:lineRule="exact"/>
        <w:ind w:left="623" w:leftChars="171" w:hanging="264" w:hangingChars="110"/>
        <w:rPr>
          <w:rFonts w:ascii="宋体" w:cs="宋体"/>
          <w:sz w:val="24"/>
          <w:szCs w:val="24"/>
        </w:rPr>
      </w:pPr>
      <w:r>
        <w:rPr>
          <w:rFonts w:hint="eastAsia" w:ascii="宋体" w:hAnsi="宋体" w:cs="宋体"/>
          <w:sz w:val="24"/>
          <w:szCs w:val="24"/>
        </w:rPr>
        <w:t>质保期优于磋商文件规定的，按优于的执行。</w:t>
      </w:r>
    </w:p>
    <w:p>
      <w:pPr>
        <w:spacing w:line="380" w:lineRule="exact"/>
        <w:ind w:left="624" w:hanging="624"/>
        <w:rPr>
          <w:rFonts w:ascii="宋体" w:cs="宋体"/>
          <w:b/>
          <w:bCs/>
          <w:sz w:val="24"/>
          <w:szCs w:val="24"/>
        </w:rPr>
      </w:pPr>
      <w:r>
        <w:rPr>
          <w:rFonts w:ascii="宋体" w:hAnsi="宋体" w:cs="宋体"/>
          <w:b/>
          <w:bCs/>
          <w:sz w:val="24"/>
          <w:szCs w:val="24"/>
        </w:rPr>
        <w:t xml:space="preserve">8. </w:t>
      </w:r>
      <w:r>
        <w:rPr>
          <w:rFonts w:hint="eastAsia" w:ascii="宋体" w:hAnsi="宋体" w:cs="宋体"/>
          <w:b/>
          <w:bCs/>
          <w:sz w:val="24"/>
          <w:szCs w:val="24"/>
        </w:rPr>
        <w:t>延期</w:t>
      </w:r>
      <w:bookmarkEnd w:id="103"/>
      <w:r>
        <w:rPr>
          <w:rFonts w:hint="eastAsia" w:ascii="宋体" w:hAnsi="宋体" w:cs="宋体"/>
          <w:b/>
          <w:bCs/>
          <w:sz w:val="24"/>
          <w:szCs w:val="24"/>
        </w:rPr>
        <w:t>提供服务</w:t>
      </w:r>
    </w:p>
    <w:p>
      <w:pPr>
        <w:spacing w:line="380" w:lineRule="exact"/>
        <w:ind w:left="567" w:hanging="567"/>
        <w:rPr>
          <w:rFonts w:ascii="宋体" w:cs="宋体"/>
          <w:sz w:val="24"/>
          <w:szCs w:val="24"/>
        </w:rPr>
      </w:pPr>
      <w:r>
        <w:rPr>
          <w:rFonts w:ascii="宋体" w:hAnsi="宋体" w:cs="宋体"/>
          <w:sz w:val="24"/>
          <w:szCs w:val="24"/>
        </w:rPr>
        <w:t xml:space="preserve">8.1 </w:t>
      </w:r>
      <w:r>
        <w:rPr>
          <w:rFonts w:hint="eastAsia" w:ascii="宋体" w:hAnsi="宋体" w:cs="宋体"/>
          <w:sz w:val="24"/>
          <w:szCs w:val="24"/>
        </w:rPr>
        <w:t>供方应按照“采购需求一览表”中买方规定的时间表提供服务。</w:t>
      </w:r>
    </w:p>
    <w:p>
      <w:pPr>
        <w:spacing w:line="380" w:lineRule="exact"/>
        <w:ind w:left="567" w:hanging="567"/>
        <w:rPr>
          <w:rFonts w:ascii="宋体" w:cs="宋体"/>
          <w:sz w:val="24"/>
          <w:szCs w:val="24"/>
        </w:rPr>
      </w:pPr>
      <w:r>
        <w:rPr>
          <w:rFonts w:ascii="宋体" w:hAnsi="宋体" w:cs="宋体"/>
          <w:sz w:val="24"/>
          <w:szCs w:val="24"/>
        </w:rPr>
        <w:t xml:space="preserve">8.2 </w:t>
      </w:r>
      <w:r>
        <w:rPr>
          <w:rFonts w:hint="eastAsia" w:ascii="宋体" w:hAnsi="宋体" w:cs="宋体"/>
          <w:sz w:val="24"/>
          <w:szCs w:val="24"/>
        </w:rPr>
        <w:t>在履行合同过程中，如果供方遇到不能按时提供服务的情况，应及时以书面形式将不能按时提供服务的理由、延误时间通知买方。买方在收到供方通知后，应进行分析，如果同意，可通过修改合同，酌情延长时间。</w:t>
      </w:r>
    </w:p>
    <w:p>
      <w:pPr>
        <w:spacing w:line="380" w:lineRule="exact"/>
        <w:ind w:left="567" w:hanging="567"/>
        <w:rPr>
          <w:rFonts w:ascii="宋体" w:cs="宋体"/>
          <w:sz w:val="24"/>
          <w:szCs w:val="24"/>
        </w:rPr>
      </w:pPr>
      <w:r>
        <w:rPr>
          <w:rFonts w:ascii="宋体" w:hAnsi="宋体" w:cs="宋体"/>
          <w:sz w:val="24"/>
          <w:szCs w:val="24"/>
        </w:rPr>
        <w:t xml:space="preserve">8.3 </w:t>
      </w:r>
      <w:r>
        <w:rPr>
          <w:rFonts w:hint="eastAsia" w:ascii="宋体" w:hAnsi="宋体" w:cs="宋体"/>
          <w:sz w:val="24"/>
          <w:szCs w:val="24"/>
        </w:rPr>
        <w:t>如果供方毫无理由地拖延提供服务，将受到以下制裁：没收履约保证金，加收违约损失赔偿和</w:t>
      </w:r>
      <w:r>
        <w:rPr>
          <w:rFonts w:ascii="宋体" w:hAnsi="宋体" w:cs="宋体"/>
          <w:sz w:val="24"/>
          <w:szCs w:val="24"/>
        </w:rPr>
        <w:t>/</w:t>
      </w:r>
      <w:r>
        <w:rPr>
          <w:rFonts w:hint="eastAsia" w:ascii="宋体" w:hAnsi="宋体" w:cs="宋体"/>
          <w:sz w:val="24"/>
          <w:szCs w:val="24"/>
        </w:rPr>
        <w:t>或终止合同。</w:t>
      </w:r>
    </w:p>
    <w:p>
      <w:pPr>
        <w:spacing w:line="380" w:lineRule="exact"/>
        <w:rPr>
          <w:rFonts w:ascii="宋体" w:cs="宋体"/>
          <w:b/>
          <w:bCs/>
          <w:sz w:val="24"/>
          <w:szCs w:val="24"/>
        </w:rPr>
      </w:pPr>
      <w:bookmarkStart w:id="104" w:name="_Toc286758359"/>
      <w:r>
        <w:rPr>
          <w:rFonts w:ascii="宋体" w:hAnsi="宋体" w:cs="宋体"/>
          <w:b/>
          <w:bCs/>
          <w:sz w:val="24"/>
          <w:szCs w:val="24"/>
        </w:rPr>
        <w:t xml:space="preserve">9. </w:t>
      </w:r>
      <w:r>
        <w:rPr>
          <w:rFonts w:hint="eastAsia" w:ascii="宋体" w:hAnsi="宋体" w:cs="宋体"/>
          <w:b/>
          <w:bCs/>
          <w:sz w:val="24"/>
          <w:szCs w:val="24"/>
        </w:rPr>
        <w:t>违约赔偿</w:t>
      </w:r>
      <w:bookmarkEnd w:id="104"/>
    </w:p>
    <w:p>
      <w:pPr>
        <w:spacing w:line="380" w:lineRule="exact"/>
        <w:ind w:left="510" w:hanging="510"/>
        <w:rPr>
          <w:rFonts w:ascii="宋体" w:cs="宋体"/>
          <w:sz w:val="24"/>
          <w:szCs w:val="24"/>
        </w:rPr>
      </w:pPr>
      <w:r>
        <w:rPr>
          <w:rFonts w:ascii="宋体" w:hAnsi="宋体" w:cs="宋体"/>
          <w:sz w:val="24"/>
          <w:szCs w:val="24"/>
        </w:rPr>
        <w:t>9.1</w:t>
      </w:r>
      <w:r>
        <w:rPr>
          <w:rFonts w:hint="eastAsia" w:ascii="宋体" w:hAnsi="宋体" w:cs="宋体"/>
          <w:sz w:val="24"/>
          <w:szCs w:val="24"/>
        </w:rPr>
        <w:t>除合同第</w:t>
      </w:r>
      <w:r>
        <w:rPr>
          <w:rFonts w:ascii="宋体" w:hAnsi="宋体" w:cs="宋体"/>
          <w:sz w:val="24"/>
          <w:szCs w:val="24"/>
        </w:rPr>
        <w:t>10</w:t>
      </w:r>
      <w:r>
        <w:rPr>
          <w:rFonts w:hint="eastAsia" w:ascii="宋体" w:hAnsi="宋体" w:cs="宋体"/>
          <w:sz w:val="24"/>
          <w:szCs w:val="24"/>
        </w:rPr>
        <w:t>条规定外，如果供方没有按照合同规定的时间提供服务，买方可从合同款中扣除违约赔偿费，赔偿费应按每延迟一周，按合同总价的</w:t>
      </w:r>
      <w:r>
        <w:rPr>
          <w:rFonts w:ascii="宋体" w:hAnsi="宋体" w:cs="宋体"/>
          <w:sz w:val="24"/>
          <w:szCs w:val="24"/>
        </w:rPr>
        <w:t>1%</w:t>
      </w:r>
      <w:r>
        <w:rPr>
          <w:rFonts w:hint="eastAsia" w:ascii="宋体" w:hAnsi="宋体" w:cs="宋体"/>
          <w:sz w:val="24"/>
          <w:szCs w:val="24"/>
        </w:rPr>
        <w:t>计收。但违约赔偿费的最高限额为合同总价的</w:t>
      </w:r>
      <w:r>
        <w:rPr>
          <w:rFonts w:ascii="宋体" w:hAnsi="宋体" w:cs="宋体"/>
          <w:sz w:val="24"/>
          <w:szCs w:val="24"/>
        </w:rPr>
        <w:t>10%</w:t>
      </w:r>
      <w:r>
        <w:rPr>
          <w:rFonts w:hint="eastAsia" w:ascii="宋体" w:hAnsi="宋体" w:cs="宋体"/>
          <w:sz w:val="24"/>
          <w:szCs w:val="24"/>
        </w:rPr>
        <w:t>。一周按</w:t>
      </w:r>
      <w:r>
        <w:rPr>
          <w:rFonts w:ascii="宋体" w:hAnsi="宋体" w:cs="宋体"/>
          <w:sz w:val="24"/>
          <w:szCs w:val="24"/>
        </w:rPr>
        <w:t>7</w:t>
      </w:r>
      <w:r>
        <w:rPr>
          <w:rFonts w:hint="eastAsia" w:ascii="宋体" w:hAnsi="宋体" w:cs="宋体"/>
          <w:sz w:val="24"/>
          <w:szCs w:val="24"/>
        </w:rPr>
        <w:t>天计算，不足</w:t>
      </w:r>
      <w:r>
        <w:rPr>
          <w:rFonts w:ascii="宋体" w:hAnsi="宋体" w:cs="宋体"/>
          <w:sz w:val="24"/>
          <w:szCs w:val="24"/>
        </w:rPr>
        <w:t>7</w:t>
      </w:r>
      <w:r>
        <w:rPr>
          <w:rFonts w:hint="eastAsia" w:ascii="宋体" w:hAnsi="宋体" w:cs="宋体"/>
          <w:sz w:val="24"/>
          <w:szCs w:val="24"/>
        </w:rPr>
        <w:t>天按一周计算。如果供方在达到最高限额后仍不能履行提供服务的义务，买方可考虑终止合同。</w:t>
      </w:r>
    </w:p>
    <w:p>
      <w:pPr>
        <w:spacing w:line="380" w:lineRule="exact"/>
        <w:rPr>
          <w:rFonts w:ascii="宋体" w:cs="宋体"/>
          <w:b/>
          <w:bCs/>
          <w:sz w:val="24"/>
          <w:szCs w:val="24"/>
        </w:rPr>
      </w:pPr>
      <w:bookmarkStart w:id="105" w:name="_Toc286758360"/>
      <w:r>
        <w:rPr>
          <w:rFonts w:ascii="宋体" w:hAnsi="宋体" w:cs="宋体"/>
          <w:b/>
          <w:bCs/>
          <w:sz w:val="24"/>
          <w:szCs w:val="24"/>
        </w:rPr>
        <w:t xml:space="preserve">10. </w:t>
      </w:r>
      <w:r>
        <w:rPr>
          <w:rFonts w:hint="eastAsia" w:ascii="宋体" w:hAnsi="宋体" w:cs="宋体"/>
          <w:b/>
          <w:bCs/>
          <w:sz w:val="24"/>
          <w:szCs w:val="24"/>
        </w:rPr>
        <w:t>不可抗力</w:t>
      </w:r>
      <w:bookmarkEnd w:id="105"/>
    </w:p>
    <w:p>
      <w:pPr>
        <w:spacing w:line="380" w:lineRule="exact"/>
        <w:ind w:left="567" w:hanging="567"/>
        <w:rPr>
          <w:rFonts w:ascii="宋体" w:cs="宋体"/>
          <w:sz w:val="24"/>
          <w:szCs w:val="24"/>
        </w:rPr>
      </w:pPr>
      <w:r>
        <w:rPr>
          <w:rFonts w:ascii="宋体" w:hAnsi="宋体" w:cs="宋体"/>
          <w:sz w:val="24"/>
          <w:szCs w:val="24"/>
        </w:rPr>
        <w:t xml:space="preserve">10.1 </w:t>
      </w:r>
      <w:r>
        <w:rPr>
          <w:rFonts w:hint="eastAsia" w:ascii="宋体" w:hAnsi="宋体" w:cs="宋体"/>
          <w:sz w:val="24"/>
          <w:szCs w:val="24"/>
        </w:rPr>
        <w:t>如果双方中任何一方由于战争、严重火灾、水灾、台风和地震以及其它经双方同意属于不可抗力的事故，致使合同履行受阻时，履行合同的期限应予延长，延长的期限应相当于事故所影响的时间。</w:t>
      </w:r>
    </w:p>
    <w:p>
      <w:pPr>
        <w:spacing w:line="380" w:lineRule="exact"/>
        <w:ind w:left="540" w:hanging="540"/>
        <w:rPr>
          <w:rFonts w:ascii="宋体" w:cs="宋体"/>
          <w:sz w:val="24"/>
          <w:szCs w:val="24"/>
        </w:rPr>
      </w:pPr>
      <w:r>
        <w:rPr>
          <w:rFonts w:ascii="宋体" w:hAnsi="宋体" w:cs="宋体"/>
          <w:sz w:val="24"/>
          <w:szCs w:val="24"/>
        </w:rPr>
        <w:t xml:space="preserve">10.2 </w:t>
      </w:r>
      <w:r>
        <w:rPr>
          <w:rFonts w:hint="eastAsia" w:ascii="宋体" w:hAnsi="宋体" w:cs="宋体"/>
          <w:sz w:val="24"/>
          <w:szCs w:val="24"/>
        </w:rPr>
        <w:t>受事故影响的一方应在不可抗力的事故发生后尽快以书面形式通知另一方，并在事故发生后</w:t>
      </w:r>
      <w:r>
        <w:rPr>
          <w:rFonts w:ascii="宋体" w:hAnsi="宋体" w:cs="宋体"/>
          <w:sz w:val="24"/>
          <w:szCs w:val="24"/>
        </w:rPr>
        <w:t>14</w:t>
      </w:r>
      <w:r>
        <w:rPr>
          <w:rFonts w:hint="eastAsia" w:ascii="宋体" w:hAnsi="宋体" w:cs="宋体"/>
          <w:sz w:val="24"/>
          <w:szCs w:val="24"/>
        </w:rPr>
        <w:t>天内，将有关部门出具的有效证明文件寄给或送给另一方。如果不可抗力影响时间持延续</w:t>
      </w:r>
      <w:r>
        <w:rPr>
          <w:rFonts w:ascii="宋体" w:hAnsi="宋体" w:cs="宋体"/>
          <w:sz w:val="24"/>
          <w:szCs w:val="24"/>
        </w:rPr>
        <w:t>120</w:t>
      </w:r>
      <w:r>
        <w:rPr>
          <w:rFonts w:hint="eastAsia" w:ascii="宋体" w:hAnsi="宋体" w:cs="宋体"/>
          <w:sz w:val="24"/>
          <w:szCs w:val="24"/>
        </w:rPr>
        <w:t>天以上，双方应通过友好协商在合理的时间内达成进一步履行合同的协议。</w:t>
      </w:r>
    </w:p>
    <w:p>
      <w:pPr>
        <w:spacing w:line="380" w:lineRule="exact"/>
        <w:rPr>
          <w:rFonts w:ascii="宋体" w:cs="宋体"/>
          <w:b/>
          <w:bCs/>
          <w:sz w:val="24"/>
          <w:szCs w:val="24"/>
        </w:rPr>
      </w:pPr>
      <w:bookmarkStart w:id="106" w:name="_Toc286758361"/>
      <w:r>
        <w:rPr>
          <w:rFonts w:ascii="宋体" w:hAnsi="宋体" w:cs="宋体"/>
          <w:b/>
          <w:bCs/>
          <w:sz w:val="24"/>
          <w:szCs w:val="24"/>
        </w:rPr>
        <w:t xml:space="preserve">11. </w:t>
      </w:r>
      <w:r>
        <w:rPr>
          <w:rFonts w:hint="eastAsia" w:ascii="宋体" w:hAnsi="宋体" w:cs="宋体"/>
          <w:b/>
          <w:bCs/>
          <w:sz w:val="24"/>
          <w:szCs w:val="24"/>
        </w:rPr>
        <w:t>税费</w:t>
      </w:r>
      <w:bookmarkEnd w:id="106"/>
    </w:p>
    <w:p>
      <w:pPr>
        <w:spacing w:line="380" w:lineRule="exact"/>
        <w:ind w:left="567" w:hanging="567"/>
        <w:rPr>
          <w:rFonts w:ascii="宋体" w:cs="宋体"/>
          <w:sz w:val="24"/>
          <w:szCs w:val="24"/>
        </w:rPr>
      </w:pPr>
      <w:r>
        <w:rPr>
          <w:rFonts w:ascii="宋体" w:hAnsi="宋体" w:cs="宋体"/>
          <w:sz w:val="24"/>
          <w:szCs w:val="24"/>
        </w:rPr>
        <w:t xml:space="preserve">11.1 </w:t>
      </w:r>
      <w:r>
        <w:rPr>
          <w:rFonts w:hint="eastAsia" w:ascii="宋体" w:hAnsi="宋体" w:cs="宋体"/>
          <w:sz w:val="24"/>
          <w:szCs w:val="24"/>
        </w:rPr>
        <w:t>根据国家现行税法对买方征收的与本合同有关的一切税费均由买方负担。</w:t>
      </w:r>
    </w:p>
    <w:p>
      <w:pPr>
        <w:spacing w:line="380" w:lineRule="exact"/>
        <w:ind w:left="567" w:hanging="567"/>
        <w:rPr>
          <w:rFonts w:ascii="宋体" w:cs="宋体"/>
          <w:sz w:val="24"/>
          <w:szCs w:val="24"/>
        </w:rPr>
      </w:pPr>
      <w:r>
        <w:rPr>
          <w:rFonts w:ascii="宋体" w:hAnsi="宋体" w:cs="宋体"/>
          <w:sz w:val="24"/>
          <w:szCs w:val="24"/>
        </w:rPr>
        <w:t xml:space="preserve">11.2 </w:t>
      </w:r>
      <w:r>
        <w:rPr>
          <w:rFonts w:hint="eastAsia" w:ascii="宋体" w:hAnsi="宋体" w:cs="宋体"/>
          <w:sz w:val="24"/>
          <w:szCs w:val="24"/>
        </w:rPr>
        <w:t>根据国家现行税法对供方征收的与本合同有关的一切税费均由供方负担。</w:t>
      </w:r>
    </w:p>
    <w:p>
      <w:pPr>
        <w:spacing w:line="380" w:lineRule="exact"/>
        <w:ind w:left="567" w:hanging="567"/>
        <w:rPr>
          <w:rFonts w:ascii="宋体" w:cs="宋体"/>
          <w:sz w:val="24"/>
          <w:szCs w:val="24"/>
        </w:rPr>
      </w:pPr>
      <w:r>
        <w:rPr>
          <w:rFonts w:ascii="宋体" w:hAnsi="宋体" w:cs="宋体"/>
          <w:sz w:val="24"/>
          <w:szCs w:val="24"/>
        </w:rPr>
        <w:t xml:space="preserve">11.3 </w:t>
      </w:r>
      <w:r>
        <w:rPr>
          <w:rFonts w:hint="eastAsia" w:ascii="宋体" w:hAnsi="宋体" w:cs="宋体"/>
          <w:sz w:val="24"/>
          <w:szCs w:val="24"/>
        </w:rPr>
        <w:t>在中国境外发生的与本合同执行有关的一切税费均由供方负担。</w:t>
      </w:r>
    </w:p>
    <w:p>
      <w:pPr>
        <w:spacing w:line="380" w:lineRule="exact"/>
        <w:rPr>
          <w:rFonts w:ascii="宋体" w:cs="宋体"/>
          <w:b/>
          <w:bCs/>
          <w:sz w:val="24"/>
          <w:szCs w:val="24"/>
        </w:rPr>
      </w:pPr>
      <w:bookmarkStart w:id="107" w:name="_Toc286758363"/>
      <w:r>
        <w:rPr>
          <w:rFonts w:ascii="宋体" w:hAnsi="宋体" w:cs="宋体"/>
          <w:b/>
          <w:bCs/>
          <w:sz w:val="24"/>
          <w:szCs w:val="24"/>
        </w:rPr>
        <w:t xml:space="preserve">12. </w:t>
      </w:r>
      <w:r>
        <w:rPr>
          <w:rFonts w:hint="eastAsia" w:ascii="宋体" w:hAnsi="宋体" w:cs="宋体"/>
          <w:b/>
          <w:bCs/>
          <w:sz w:val="24"/>
          <w:szCs w:val="24"/>
        </w:rPr>
        <w:t>仲裁</w:t>
      </w:r>
      <w:bookmarkEnd w:id="107"/>
    </w:p>
    <w:p>
      <w:pPr>
        <w:spacing w:line="380" w:lineRule="exact"/>
        <w:ind w:left="567" w:hanging="567"/>
        <w:rPr>
          <w:rFonts w:ascii="宋体" w:cs="宋体"/>
          <w:sz w:val="24"/>
          <w:szCs w:val="24"/>
        </w:rPr>
      </w:pPr>
      <w:r>
        <w:rPr>
          <w:rFonts w:ascii="宋体" w:hAnsi="宋体" w:cs="宋体"/>
          <w:sz w:val="24"/>
          <w:szCs w:val="24"/>
        </w:rPr>
        <w:t xml:space="preserve">12.1 </w:t>
      </w:r>
      <w:r>
        <w:rPr>
          <w:rFonts w:hint="eastAsia" w:ascii="宋体" w:hAnsi="宋体" w:cs="宋体"/>
          <w:sz w:val="24"/>
          <w:szCs w:val="24"/>
        </w:rPr>
        <w:t>买卖双方应通过友好协商，解决在执行本合同中所发生的或与本合同有关的一切争端，如果协商仍得不到解决，任何一方均可按“中华人民共和国民法典”规定提交调解和仲裁。</w:t>
      </w:r>
    </w:p>
    <w:p>
      <w:pPr>
        <w:spacing w:line="380" w:lineRule="exact"/>
        <w:ind w:left="567" w:hanging="567"/>
        <w:rPr>
          <w:rFonts w:ascii="宋体" w:cs="宋体"/>
          <w:sz w:val="24"/>
          <w:szCs w:val="24"/>
        </w:rPr>
      </w:pPr>
      <w:r>
        <w:rPr>
          <w:rFonts w:ascii="宋体" w:hAnsi="宋体" w:cs="宋体"/>
          <w:sz w:val="24"/>
          <w:szCs w:val="24"/>
        </w:rPr>
        <w:t xml:space="preserve">12.2 </w:t>
      </w:r>
      <w:r>
        <w:rPr>
          <w:rFonts w:hint="eastAsia" w:ascii="宋体" w:hAnsi="宋体" w:cs="宋体"/>
          <w:sz w:val="24"/>
          <w:szCs w:val="24"/>
        </w:rPr>
        <w:t>仲裁裁决应为终局裁决，对双方均具有约束力。</w:t>
      </w:r>
    </w:p>
    <w:p>
      <w:pPr>
        <w:spacing w:line="380" w:lineRule="exact"/>
        <w:ind w:left="567" w:hanging="567"/>
        <w:rPr>
          <w:rFonts w:ascii="宋体" w:cs="宋体"/>
          <w:sz w:val="24"/>
          <w:szCs w:val="24"/>
        </w:rPr>
      </w:pPr>
      <w:r>
        <w:rPr>
          <w:rFonts w:ascii="宋体" w:hAnsi="宋体" w:cs="宋体"/>
          <w:sz w:val="24"/>
          <w:szCs w:val="24"/>
        </w:rPr>
        <w:t xml:space="preserve">12.3 </w:t>
      </w:r>
      <w:r>
        <w:rPr>
          <w:rFonts w:hint="eastAsia" w:ascii="宋体" w:hAnsi="宋体" w:cs="宋体"/>
          <w:sz w:val="24"/>
          <w:szCs w:val="24"/>
        </w:rPr>
        <w:t>仲裁费除仲裁机构另有裁决外应由败诉方负担。</w:t>
      </w:r>
    </w:p>
    <w:p>
      <w:pPr>
        <w:spacing w:line="380" w:lineRule="exact"/>
        <w:ind w:left="567" w:hanging="567"/>
        <w:rPr>
          <w:rFonts w:ascii="宋体" w:cs="宋体"/>
          <w:sz w:val="24"/>
          <w:szCs w:val="24"/>
        </w:rPr>
      </w:pPr>
      <w:r>
        <w:rPr>
          <w:rFonts w:ascii="宋体" w:hAnsi="宋体" w:cs="宋体"/>
          <w:sz w:val="24"/>
          <w:szCs w:val="24"/>
        </w:rPr>
        <w:t xml:space="preserve">12.4 </w:t>
      </w:r>
      <w:r>
        <w:rPr>
          <w:rFonts w:hint="eastAsia" w:ascii="宋体" w:hAnsi="宋体" w:cs="宋体"/>
          <w:sz w:val="24"/>
          <w:szCs w:val="24"/>
        </w:rPr>
        <w:t>仲裁机构为合同履行地经济仲裁机构。</w:t>
      </w:r>
    </w:p>
    <w:p>
      <w:pPr>
        <w:spacing w:line="380" w:lineRule="exact"/>
        <w:ind w:left="567" w:hanging="567"/>
        <w:rPr>
          <w:rFonts w:ascii="宋体" w:cs="宋体"/>
          <w:sz w:val="24"/>
          <w:szCs w:val="24"/>
        </w:rPr>
      </w:pPr>
      <w:r>
        <w:rPr>
          <w:rFonts w:ascii="宋体" w:hAnsi="宋体" w:cs="宋体"/>
          <w:sz w:val="24"/>
          <w:szCs w:val="24"/>
        </w:rPr>
        <w:t xml:space="preserve">12.5 </w:t>
      </w:r>
      <w:r>
        <w:rPr>
          <w:rFonts w:hint="eastAsia" w:ascii="宋体" w:hAnsi="宋体" w:cs="宋体"/>
          <w:sz w:val="24"/>
          <w:szCs w:val="24"/>
        </w:rPr>
        <w:t>在仲裁期间，除正在进行仲裁的部分外，本合同其它部分应继续执行。</w:t>
      </w:r>
    </w:p>
    <w:p>
      <w:pPr>
        <w:spacing w:line="380" w:lineRule="exact"/>
        <w:rPr>
          <w:rFonts w:ascii="宋体" w:cs="宋体"/>
          <w:b/>
          <w:bCs/>
          <w:sz w:val="24"/>
          <w:szCs w:val="24"/>
        </w:rPr>
      </w:pPr>
      <w:bookmarkStart w:id="108" w:name="_Toc286758364"/>
      <w:r>
        <w:rPr>
          <w:rFonts w:ascii="宋体" w:hAnsi="宋体" w:cs="宋体"/>
          <w:b/>
          <w:bCs/>
          <w:sz w:val="24"/>
          <w:szCs w:val="24"/>
        </w:rPr>
        <w:t xml:space="preserve">13. </w:t>
      </w:r>
      <w:r>
        <w:rPr>
          <w:rFonts w:hint="eastAsia" w:ascii="宋体" w:hAnsi="宋体" w:cs="宋体"/>
          <w:b/>
          <w:bCs/>
          <w:sz w:val="24"/>
          <w:szCs w:val="24"/>
        </w:rPr>
        <w:t>违约终止合同</w:t>
      </w:r>
      <w:bookmarkEnd w:id="108"/>
    </w:p>
    <w:p>
      <w:pPr>
        <w:spacing w:line="380" w:lineRule="exact"/>
        <w:rPr>
          <w:rFonts w:ascii="宋体" w:cs="宋体"/>
          <w:sz w:val="24"/>
          <w:szCs w:val="24"/>
        </w:rPr>
      </w:pPr>
      <w:r>
        <w:rPr>
          <w:rFonts w:ascii="宋体" w:hAnsi="宋体" w:cs="宋体"/>
          <w:sz w:val="24"/>
          <w:szCs w:val="24"/>
        </w:rPr>
        <w:t xml:space="preserve">13.1 </w:t>
      </w:r>
      <w:r>
        <w:rPr>
          <w:rFonts w:hint="eastAsia" w:ascii="宋体" w:hAnsi="宋体" w:cs="宋体"/>
          <w:sz w:val="24"/>
          <w:szCs w:val="24"/>
        </w:rPr>
        <w:t>买方在供方违约的情况下，如果：</w:t>
      </w:r>
    </w:p>
    <w:p>
      <w:pPr>
        <w:spacing w:line="380" w:lineRule="exact"/>
        <w:ind w:left="907" w:hanging="567"/>
        <w:rPr>
          <w:rFonts w:ascii="宋体" w:cs="宋体"/>
          <w:sz w:val="24"/>
          <w:szCs w:val="24"/>
        </w:rPr>
      </w:pPr>
      <w:r>
        <w:rPr>
          <w:rFonts w:ascii="宋体" w:hAnsi="宋体" w:cs="宋体"/>
          <w:sz w:val="24"/>
          <w:szCs w:val="24"/>
        </w:rPr>
        <w:t xml:space="preserve">  1</w:t>
      </w:r>
      <w:r>
        <w:rPr>
          <w:rFonts w:hint="eastAsia" w:ascii="宋体" w:hAnsi="宋体" w:cs="宋体"/>
          <w:sz w:val="24"/>
          <w:szCs w:val="24"/>
        </w:rPr>
        <w:t>）供方未能在合同规定的期限或买方同意延长的期限内提供全部服务；</w:t>
      </w:r>
    </w:p>
    <w:p>
      <w:pPr>
        <w:spacing w:line="380" w:lineRule="exact"/>
        <w:ind w:left="907" w:hanging="567"/>
        <w:rPr>
          <w:rFonts w:ascii="宋体" w:cs="宋体"/>
          <w:sz w:val="24"/>
          <w:szCs w:val="24"/>
        </w:rPr>
      </w:pPr>
      <w:r>
        <w:rPr>
          <w:rFonts w:ascii="宋体" w:hAnsi="宋体" w:cs="宋体"/>
          <w:sz w:val="24"/>
          <w:szCs w:val="24"/>
        </w:rPr>
        <w:t xml:space="preserve">  2</w:t>
      </w:r>
      <w:r>
        <w:rPr>
          <w:rFonts w:hint="eastAsia" w:ascii="宋体" w:hAnsi="宋体" w:cs="宋体"/>
          <w:sz w:val="24"/>
          <w:szCs w:val="24"/>
        </w:rPr>
        <w:t>）如果供方未能履行合同规定的其它义务，供方在收到买方发出的违约通知后</w:t>
      </w:r>
      <w:r>
        <w:rPr>
          <w:rFonts w:ascii="宋体" w:hAnsi="宋体" w:cs="宋体"/>
          <w:sz w:val="24"/>
          <w:szCs w:val="24"/>
        </w:rPr>
        <w:t xml:space="preserve">30 </w:t>
      </w:r>
      <w:r>
        <w:rPr>
          <w:rFonts w:hint="eastAsia" w:ascii="宋体" w:hAnsi="宋体" w:cs="宋体"/>
          <w:sz w:val="24"/>
          <w:szCs w:val="24"/>
        </w:rPr>
        <w:t>天内，或经买方书面认可延长的时间内未能纠正其过失。买方可向供方发出书面通知，终止部分或全部合同。在这种情况下，并不影响买方向供方提出的索赔。</w:t>
      </w:r>
    </w:p>
    <w:p>
      <w:pPr>
        <w:spacing w:line="380" w:lineRule="exact"/>
        <w:ind w:left="510" w:hanging="510"/>
        <w:rPr>
          <w:rFonts w:ascii="宋体" w:cs="宋体"/>
          <w:sz w:val="24"/>
          <w:szCs w:val="24"/>
        </w:rPr>
      </w:pPr>
      <w:r>
        <w:rPr>
          <w:rFonts w:ascii="宋体" w:hAnsi="宋体" w:cs="宋体"/>
          <w:sz w:val="24"/>
          <w:szCs w:val="24"/>
        </w:rPr>
        <w:t xml:space="preserve">13.2 </w:t>
      </w:r>
      <w:r>
        <w:rPr>
          <w:rFonts w:hint="eastAsia" w:ascii="宋体" w:hAnsi="宋体" w:cs="宋体"/>
          <w:sz w:val="24"/>
          <w:szCs w:val="24"/>
        </w:rPr>
        <w:t>在买方根据上述第</w:t>
      </w:r>
      <w:r>
        <w:rPr>
          <w:rFonts w:ascii="宋体" w:hAnsi="宋体" w:cs="宋体"/>
          <w:sz w:val="24"/>
          <w:szCs w:val="24"/>
        </w:rPr>
        <w:t>13.1</w:t>
      </w:r>
      <w:r>
        <w:rPr>
          <w:rFonts w:hint="eastAsia" w:ascii="宋体" w:hAnsi="宋体" w:cs="宋体"/>
          <w:sz w:val="24"/>
          <w:szCs w:val="24"/>
        </w:rPr>
        <w:t>条规定，终止了全部或部分合同，买方可以依其认为适当的条件和方法购买未完成的类似服务，供方应对购买类似服务所超出的费用负责。而且供方还应继续执行合同中未终止的部分。</w:t>
      </w:r>
    </w:p>
    <w:p>
      <w:pPr>
        <w:spacing w:line="380" w:lineRule="exact"/>
        <w:rPr>
          <w:rFonts w:ascii="宋体" w:cs="宋体"/>
          <w:b/>
          <w:bCs/>
          <w:sz w:val="24"/>
          <w:szCs w:val="24"/>
        </w:rPr>
      </w:pPr>
      <w:bookmarkStart w:id="109" w:name="_Toc286758365"/>
      <w:r>
        <w:rPr>
          <w:rFonts w:ascii="宋体" w:hAnsi="宋体" w:cs="宋体"/>
          <w:b/>
          <w:bCs/>
          <w:sz w:val="24"/>
          <w:szCs w:val="24"/>
        </w:rPr>
        <w:t xml:space="preserve">14. </w:t>
      </w:r>
      <w:r>
        <w:rPr>
          <w:rFonts w:hint="eastAsia" w:ascii="宋体" w:hAnsi="宋体" w:cs="宋体"/>
          <w:b/>
          <w:bCs/>
          <w:sz w:val="24"/>
          <w:szCs w:val="24"/>
        </w:rPr>
        <w:t>破产终止合同</w:t>
      </w:r>
      <w:bookmarkEnd w:id="109"/>
    </w:p>
    <w:p>
      <w:pPr>
        <w:spacing w:line="380" w:lineRule="exact"/>
        <w:ind w:left="567" w:hanging="567"/>
        <w:rPr>
          <w:rFonts w:ascii="宋体" w:cs="宋体"/>
          <w:sz w:val="24"/>
          <w:szCs w:val="24"/>
        </w:rPr>
      </w:pPr>
      <w:r>
        <w:rPr>
          <w:rFonts w:ascii="宋体" w:hAnsi="宋体" w:cs="宋体"/>
          <w:sz w:val="24"/>
          <w:szCs w:val="24"/>
        </w:rPr>
        <w:t xml:space="preserve">14.1 </w:t>
      </w:r>
      <w:r>
        <w:rPr>
          <w:rFonts w:hint="eastAsia" w:ascii="宋体" w:hAnsi="宋体" w:cs="宋体"/>
          <w:sz w:val="24"/>
          <w:szCs w:val="24"/>
        </w:rPr>
        <w:t>如果供方破产或无清偿能力时，买方可在任何时候以书面通知供方终止合同。该终止合同将不损害或影响买方已经采取或将要采取的补救措施的权利。</w:t>
      </w:r>
    </w:p>
    <w:p>
      <w:pPr>
        <w:spacing w:line="380" w:lineRule="exact"/>
        <w:rPr>
          <w:rFonts w:ascii="宋体" w:cs="宋体"/>
          <w:b/>
          <w:bCs/>
          <w:sz w:val="24"/>
          <w:szCs w:val="24"/>
        </w:rPr>
      </w:pPr>
      <w:bookmarkStart w:id="110" w:name="_Toc286758367"/>
      <w:r>
        <w:rPr>
          <w:rFonts w:ascii="宋体" w:hAnsi="宋体" w:cs="宋体"/>
          <w:b/>
          <w:bCs/>
          <w:sz w:val="24"/>
          <w:szCs w:val="24"/>
        </w:rPr>
        <w:t xml:space="preserve">15. </w:t>
      </w:r>
      <w:r>
        <w:rPr>
          <w:rFonts w:hint="eastAsia" w:ascii="宋体" w:hAnsi="宋体" w:cs="宋体"/>
          <w:b/>
          <w:bCs/>
          <w:sz w:val="24"/>
          <w:szCs w:val="24"/>
        </w:rPr>
        <w:t>合同修改</w:t>
      </w:r>
      <w:bookmarkEnd w:id="110"/>
    </w:p>
    <w:p>
      <w:pPr>
        <w:spacing w:line="380" w:lineRule="exact"/>
        <w:rPr>
          <w:rFonts w:ascii="宋体" w:cs="宋体"/>
          <w:sz w:val="24"/>
          <w:szCs w:val="24"/>
        </w:rPr>
      </w:pPr>
      <w:r>
        <w:rPr>
          <w:rFonts w:ascii="宋体" w:hAnsi="宋体" w:cs="宋体"/>
          <w:sz w:val="24"/>
          <w:szCs w:val="24"/>
        </w:rPr>
        <w:t xml:space="preserve">15.1 </w:t>
      </w:r>
      <w:r>
        <w:rPr>
          <w:rFonts w:hint="eastAsia" w:ascii="宋体" w:hAnsi="宋体" w:cs="宋体"/>
          <w:sz w:val="24"/>
          <w:szCs w:val="24"/>
        </w:rPr>
        <w:t>欲对合同条款进行任何改动，均须由买卖双方签署书面的合同修改书。</w:t>
      </w:r>
    </w:p>
    <w:p>
      <w:pPr>
        <w:spacing w:line="380" w:lineRule="exact"/>
        <w:rPr>
          <w:rFonts w:ascii="宋体" w:cs="宋体"/>
          <w:b/>
          <w:bCs/>
          <w:sz w:val="24"/>
          <w:szCs w:val="24"/>
        </w:rPr>
      </w:pPr>
      <w:bookmarkStart w:id="111" w:name="_Toc286758368"/>
      <w:r>
        <w:rPr>
          <w:rFonts w:ascii="宋体" w:hAnsi="宋体" w:cs="宋体"/>
          <w:b/>
          <w:bCs/>
          <w:sz w:val="24"/>
          <w:szCs w:val="24"/>
        </w:rPr>
        <w:t xml:space="preserve">16. </w:t>
      </w:r>
      <w:r>
        <w:rPr>
          <w:rFonts w:hint="eastAsia" w:ascii="宋体" w:hAnsi="宋体" w:cs="宋体"/>
          <w:b/>
          <w:bCs/>
          <w:sz w:val="24"/>
          <w:szCs w:val="24"/>
        </w:rPr>
        <w:t>通知</w:t>
      </w:r>
      <w:bookmarkEnd w:id="111"/>
    </w:p>
    <w:p>
      <w:pPr>
        <w:spacing w:line="380" w:lineRule="exact"/>
        <w:ind w:left="567" w:hanging="567"/>
        <w:rPr>
          <w:rFonts w:ascii="宋体" w:cs="宋体"/>
          <w:sz w:val="24"/>
          <w:szCs w:val="24"/>
        </w:rPr>
      </w:pPr>
      <w:r>
        <w:rPr>
          <w:rFonts w:ascii="宋体" w:hAnsi="宋体" w:cs="宋体"/>
          <w:sz w:val="24"/>
          <w:szCs w:val="24"/>
        </w:rPr>
        <w:t xml:space="preserve">16.1 </w:t>
      </w:r>
      <w:r>
        <w:rPr>
          <w:rFonts w:hint="eastAsia" w:ascii="宋体" w:hAnsi="宋体" w:cs="宋体"/>
          <w:sz w:val="24"/>
          <w:szCs w:val="24"/>
        </w:rPr>
        <w:t>本合同任何一方给另一方的通知，都应以书面形式发送，而另一方应以书面形式确认并发送到对方明确的地址。</w:t>
      </w:r>
    </w:p>
    <w:p>
      <w:pPr>
        <w:spacing w:line="380" w:lineRule="exact"/>
        <w:rPr>
          <w:rFonts w:ascii="宋体" w:cs="宋体"/>
          <w:b/>
          <w:bCs/>
          <w:sz w:val="24"/>
          <w:szCs w:val="24"/>
        </w:rPr>
      </w:pPr>
      <w:bookmarkStart w:id="112" w:name="_Toc286758369"/>
      <w:r>
        <w:rPr>
          <w:rFonts w:ascii="宋体" w:hAnsi="宋体" w:cs="宋体"/>
          <w:b/>
          <w:bCs/>
          <w:sz w:val="24"/>
          <w:szCs w:val="24"/>
        </w:rPr>
        <w:t xml:space="preserve">17. </w:t>
      </w:r>
      <w:r>
        <w:rPr>
          <w:rFonts w:hint="eastAsia" w:ascii="宋体" w:hAnsi="宋体" w:cs="宋体"/>
          <w:b/>
          <w:bCs/>
          <w:sz w:val="24"/>
          <w:szCs w:val="24"/>
        </w:rPr>
        <w:t>计量单位</w:t>
      </w:r>
      <w:bookmarkEnd w:id="112"/>
    </w:p>
    <w:p>
      <w:pPr>
        <w:spacing w:line="380" w:lineRule="exact"/>
        <w:rPr>
          <w:rFonts w:ascii="宋体" w:cs="宋体"/>
          <w:sz w:val="24"/>
          <w:szCs w:val="24"/>
        </w:rPr>
      </w:pPr>
      <w:r>
        <w:rPr>
          <w:rFonts w:ascii="宋体" w:hAnsi="宋体" w:cs="宋体"/>
          <w:sz w:val="24"/>
          <w:szCs w:val="24"/>
        </w:rPr>
        <w:t xml:space="preserve">17.1 </w:t>
      </w:r>
      <w:r>
        <w:rPr>
          <w:rFonts w:hint="eastAsia" w:ascii="宋体" w:hAnsi="宋体" w:cs="宋体"/>
          <w:sz w:val="24"/>
          <w:szCs w:val="24"/>
        </w:rPr>
        <w:t>除规范要求中另有规定外，计量单位均使用国家法定计量单位。</w:t>
      </w:r>
    </w:p>
    <w:p>
      <w:pPr>
        <w:spacing w:line="380" w:lineRule="exact"/>
        <w:rPr>
          <w:rFonts w:ascii="宋体" w:cs="宋体"/>
          <w:b/>
          <w:bCs/>
          <w:sz w:val="24"/>
          <w:szCs w:val="24"/>
        </w:rPr>
      </w:pPr>
      <w:bookmarkStart w:id="113" w:name="_Toc286758370"/>
      <w:r>
        <w:rPr>
          <w:rFonts w:ascii="宋体" w:hAnsi="宋体" w:cs="宋体"/>
          <w:b/>
          <w:bCs/>
          <w:sz w:val="24"/>
          <w:szCs w:val="24"/>
        </w:rPr>
        <w:t xml:space="preserve">18. </w:t>
      </w:r>
      <w:r>
        <w:rPr>
          <w:rFonts w:hint="eastAsia" w:ascii="宋体" w:hAnsi="宋体" w:cs="宋体"/>
          <w:b/>
          <w:bCs/>
          <w:sz w:val="24"/>
          <w:szCs w:val="24"/>
        </w:rPr>
        <w:t>适用法律</w:t>
      </w:r>
      <w:bookmarkEnd w:id="113"/>
    </w:p>
    <w:p>
      <w:pPr>
        <w:spacing w:line="380" w:lineRule="exact"/>
        <w:rPr>
          <w:rFonts w:ascii="宋体" w:cs="宋体"/>
          <w:sz w:val="24"/>
          <w:szCs w:val="24"/>
        </w:rPr>
      </w:pPr>
      <w:r>
        <w:rPr>
          <w:rFonts w:ascii="宋体" w:hAnsi="宋体" w:cs="宋体"/>
          <w:sz w:val="24"/>
          <w:szCs w:val="24"/>
        </w:rPr>
        <w:t xml:space="preserve">18.1 </w:t>
      </w:r>
      <w:r>
        <w:rPr>
          <w:rFonts w:hint="eastAsia" w:ascii="宋体" w:hAnsi="宋体" w:cs="宋体"/>
          <w:sz w:val="24"/>
          <w:szCs w:val="24"/>
        </w:rPr>
        <w:t>本合同应按照中华人民共和国的法律进行解释。</w:t>
      </w:r>
    </w:p>
    <w:p>
      <w:pPr>
        <w:spacing w:line="380" w:lineRule="exact"/>
        <w:rPr>
          <w:rFonts w:ascii="宋体" w:cs="宋体"/>
          <w:b/>
          <w:bCs/>
          <w:sz w:val="24"/>
          <w:szCs w:val="24"/>
        </w:rPr>
      </w:pPr>
      <w:bookmarkStart w:id="114" w:name="_Toc286758372"/>
      <w:r>
        <w:rPr>
          <w:rFonts w:ascii="宋体" w:hAnsi="宋体" w:cs="宋体"/>
          <w:b/>
          <w:bCs/>
          <w:sz w:val="24"/>
          <w:szCs w:val="24"/>
        </w:rPr>
        <w:t xml:space="preserve">19. </w:t>
      </w:r>
      <w:r>
        <w:rPr>
          <w:rFonts w:hint="eastAsia" w:ascii="宋体" w:hAnsi="宋体" w:cs="宋体"/>
          <w:b/>
          <w:bCs/>
          <w:sz w:val="24"/>
          <w:szCs w:val="24"/>
        </w:rPr>
        <w:t>合同生效及其他</w:t>
      </w:r>
      <w:bookmarkEnd w:id="114"/>
    </w:p>
    <w:p>
      <w:pPr>
        <w:spacing w:line="380" w:lineRule="exact"/>
        <w:rPr>
          <w:rFonts w:ascii="宋体" w:cs="宋体"/>
          <w:sz w:val="24"/>
          <w:szCs w:val="24"/>
        </w:rPr>
      </w:pPr>
      <w:r>
        <w:rPr>
          <w:rFonts w:ascii="宋体" w:hAnsi="宋体" w:cs="宋体"/>
          <w:sz w:val="24"/>
          <w:szCs w:val="24"/>
        </w:rPr>
        <w:t xml:space="preserve">19.1 </w:t>
      </w:r>
      <w:r>
        <w:rPr>
          <w:rFonts w:hint="eastAsia" w:ascii="宋体" w:hAnsi="宋体" w:cs="宋体"/>
          <w:sz w:val="24"/>
          <w:szCs w:val="24"/>
        </w:rPr>
        <w:t>合同应在双方签字盖章后开始生效。</w:t>
      </w:r>
    </w:p>
    <w:p>
      <w:pPr>
        <w:spacing w:line="380" w:lineRule="exact"/>
        <w:ind w:left="31680" w:hanging="480" w:hangingChars="200"/>
        <w:rPr>
          <w:rFonts w:ascii="宋体" w:cs="宋体"/>
        </w:rPr>
      </w:pPr>
      <w:r>
        <w:rPr>
          <w:rFonts w:ascii="宋体" w:hAnsi="宋体" w:cs="宋体"/>
          <w:sz w:val="24"/>
          <w:szCs w:val="24"/>
        </w:rPr>
        <w:t xml:space="preserve">19.2 </w:t>
      </w:r>
      <w:r>
        <w:rPr>
          <w:rFonts w:hint="eastAsia" w:ascii="宋体" w:hAnsi="宋体" w:cs="宋体"/>
          <w:sz w:val="24"/>
          <w:szCs w:val="24"/>
        </w:rPr>
        <w:t>本合同一式三份，以中文书写，双方各执一份，采购代理机构一份。</w:t>
      </w:r>
    </w:p>
    <w:p>
      <w:pPr>
        <w:adjustRightInd w:val="0"/>
        <w:snapToGrid w:val="0"/>
        <w:spacing w:line="380" w:lineRule="exact"/>
        <w:ind w:left="567" w:hanging="567"/>
        <w:rPr>
          <w:rFonts w:ascii="宋体" w:cs="宋体"/>
          <w:sz w:val="24"/>
          <w:szCs w:val="24"/>
        </w:rPr>
      </w:pPr>
      <w:r>
        <w:rPr>
          <w:rFonts w:ascii="宋体" w:hAnsi="宋体" w:cs="宋体"/>
          <w:sz w:val="24"/>
          <w:szCs w:val="24"/>
        </w:rPr>
        <w:t xml:space="preserve">19.3 </w:t>
      </w:r>
      <w:r>
        <w:rPr>
          <w:rFonts w:hint="eastAsia" w:ascii="宋体" w:hAnsi="宋体" w:cs="宋体"/>
          <w:sz w:val="24"/>
          <w:szCs w:val="24"/>
        </w:rPr>
        <w:t>如需修改或补充合同内容，经协商，双方应签署书面修改或补充协议，该协议将作为本合同的一个组成部分。</w:t>
      </w:r>
    </w:p>
    <w:p>
      <w:pPr>
        <w:spacing w:line="440" w:lineRule="exact"/>
        <w:ind w:firstLine="420"/>
        <w:rPr>
          <w:rFonts w:ascii="宋体" w:cs="宋体"/>
          <w:sz w:val="24"/>
          <w:szCs w:val="24"/>
        </w:rPr>
      </w:pPr>
      <w:r>
        <w:rPr>
          <w:rFonts w:hint="eastAsia" w:ascii="宋体" w:hAnsi="宋体" w:cs="宋体"/>
          <w:kern w:val="0"/>
          <w:sz w:val="24"/>
          <w:szCs w:val="24"/>
        </w:rPr>
        <w:t>甲方（盖章）：</w:t>
      </w:r>
      <w:r>
        <w:rPr>
          <w:rFonts w:ascii="宋体" w:hAnsi="宋体" w:cs="宋体"/>
          <w:kern w:val="0"/>
          <w:sz w:val="24"/>
          <w:szCs w:val="24"/>
        </w:rPr>
        <w:t>________</w:t>
      </w:r>
      <w:r>
        <w:rPr>
          <w:rFonts w:hint="eastAsia" w:ascii="宋体" w:hAnsi="宋体" w:cs="宋体"/>
          <w:kern w:val="0"/>
          <w:sz w:val="24"/>
          <w:szCs w:val="24"/>
        </w:rPr>
        <w:t>　　　乙方（盖章）：</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　　签约代表（签字）：</w:t>
      </w:r>
      <w:r>
        <w:rPr>
          <w:rFonts w:ascii="宋体" w:hAnsi="宋体" w:cs="宋体"/>
          <w:kern w:val="0"/>
          <w:sz w:val="24"/>
          <w:szCs w:val="24"/>
        </w:rPr>
        <w:t>________</w:t>
      </w:r>
      <w:r>
        <w:rPr>
          <w:rFonts w:hint="eastAsia" w:ascii="宋体" w:hAnsi="宋体" w:cs="宋体"/>
          <w:kern w:val="0"/>
          <w:sz w:val="24"/>
          <w:szCs w:val="24"/>
        </w:rPr>
        <w:t>　　签约代表（签字）：</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　　地址：</w:t>
      </w:r>
      <w:r>
        <w:rPr>
          <w:rFonts w:ascii="宋体" w:hAnsi="宋体" w:cs="宋体"/>
          <w:kern w:val="0"/>
          <w:sz w:val="24"/>
          <w:szCs w:val="24"/>
        </w:rPr>
        <w:t>________</w:t>
      </w:r>
      <w:r>
        <w:rPr>
          <w:rFonts w:hint="eastAsia" w:ascii="宋体" w:hAnsi="宋体" w:cs="宋体"/>
          <w:kern w:val="0"/>
          <w:sz w:val="24"/>
          <w:szCs w:val="24"/>
        </w:rPr>
        <w:t>　　　　　　　地址：</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　　电话：</w:t>
      </w:r>
      <w:r>
        <w:rPr>
          <w:rFonts w:ascii="宋体" w:hAnsi="宋体" w:cs="宋体"/>
          <w:kern w:val="0"/>
          <w:sz w:val="24"/>
          <w:szCs w:val="24"/>
        </w:rPr>
        <w:t>________</w:t>
      </w:r>
      <w:r>
        <w:rPr>
          <w:rFonts w:hint="eastAsia" w:ascii="宋体" w:hAnsi="宋体" w:cs="宋体"/>
          <w:kern w:val="0"/>
          <w:sz w:val="24"/>
          <w:szCs w:val="24"/>
        </w:rPr>
        <w:t>　　　　　　　电话：</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　　传真：</w:t>
      </w:r>
      <w:r>
        <w:rPr>
          <w:rFonts w:ascii="宋体" w:hAnsi="宋体" w:cs="宋体"/>
          <w:kern w:val="0"/>
          <w:sz w:val="24"/>
          <w:szCs w:val="24"/>
        </w:rPr>
        <w:t>________</w:t>
      </w:r>
      <w:r>
        <w:rPr>
          <w:rFonts w:hint="eastAsia" w:ascii="宋体" w:hAnsi="宋体" w:cs="宋体"/>
          <w:kern w:val="0"/>
          <w:sz w:val="24"/>
          <w:szCs w:val="24"/>
        </w:rPr>
        <w:t>　　　　　　　传真：</w:t>
      </w:r>
      <w:r>
        <w:rPr>
          <w:rFonts w:ascii="宋体" w:hAnsi="宋体" w:cs="宋体"/>
          <w:kern w:val="0"/>
          <w:sz w:val="24"/>
          <w:szCs w:val="24"/>
        </w:rPr>
        <w:t>________</w:t>
      </w:r>
      <w:r>
        <w:rPr>
          <w:rFonts w:ascii="宋体" w:hAnsi="宋体" w:cs="宋体"/>
          <w:kern w:val="0"/>
          <w:sz w:val="24"/>
          <w:szCs w:val="24"/>
        </w:rPr>
        <w:br w:type="textWrapping"/>
      </w:r>
      <w:r>
        <w:rPr>
          <w:rFonts w:hint="eastAsia" w:ascii="宋体" w:hAnsi="宋体" w:cs="宋体"/>
          <w:kern w:val="0"/>
          <w:sz w:val="24"/>
          <w:szCs w:val="24"/>
        </w:rPr>
        <w:t>　　</w:t>
      </w:r>
      <w:r>
        <w:rPr>
          <w:rFonts w:ascii="宋体" w:hAnsi="宋体" w:cs="宋体"/>
          <w:kern w:val="0"/>
          <w:sz w:val="24"/>
          <w:szCs w:val="24"/>
        </w:rPr>
        <w:t>________</w:t>
      </w:r>
      <w:r>
        <w:rPr>
          <w:rFonts w:hint="eastAsia" w:ascii="宋体" w:hAnsi="宋体" w:cs="宋体"/>
          <w:kern w:val="0"/>
          <w:sz w:val="24"/>
          <w:szCs w:val="24"/>
        </w:rPr>
        <w:t>年</w:t>
      </w:r>
      <w:r>
        <w:rPr>
          <w:rFonts w:ascii="宋体" w:hAnsi="宋体" w:cs="宋体"/>
          <w:kern w:val="0"/>
          <w:sz w:val="24"/>
          <w:szCs w:val="24"/>
        </w:rPr>
        <w:t>____</w:t>
      </w:r>
      <w:r>
        <w:rPr>
          <w:rFonts w:hint="eastAsia" w:ascii="宋体" w:hAnsi="宋体" w:cs="宋体"/>
          <w:kern w:val="0"/>
          <w:sz w:val="24"/>
          <w:szCs w:val="24"/>
        </w:rPr>
        <w:t>月</w:t>
      </w:r>
      <w:r>
        <w:rPr>
          <w:rFonts w:ascii="宋体" w:hAnsi="宋体" w:cs="宋体"/>
          <w:kern w:val="0"/>
          <w:sz w:val="24"/>
          <w:szCs w:val="24"/>
        </w:rPr>
        <w:t>____</w:t>
      </w:r>
      <w:r>
        <w:rPr>
          <w:rFonts w:hint="eastAsia" w:ascii="宋体" w:hAnsi="宋体" w:cs="宋体"/>
          <w:kern w:val="0"/>
          <w:sz w:val="24"/>
          <w:szCs w:val="24"/>
        </w:rPr>
        <w:t>日　　　</w:t>
      </w:r>
      <w:r>
        <w:rPr>
          <w:rFonts w:ascii="宋体" w:hAnsi="宋体" w:cs="宋体"/>
          <w:kern w:val="0"/>
          <w:sz w:val="24"/>
          <w:szCs w:val="24"/>
        </w:rPr>
        <w:t xml:space="preserve">     ________</w:t>
      </w:r>
      <w:r>
        <w:rPr>
          <w:rFonts w:hint="eastAsia" w:ascii="宋体" w:hAnsi="宋体" w:cs="宋体"/>
          <w:kern w:val="0"/>
          <w:sz w:val="24"/>
          <w:szCs w:val="24"/>
        </w:rPr>
        <w:t>年</w:t>
      </w:r>
      <w:r>
        <w:rPr>
          <w:rFonts w:ascii="宋体" w:hAnsi="宋体" w:cs="宋体"/>
          <w:kern w:val="0"/>
          <w:sz w:val="24"/>
          <w:szCs w:val="24"/>
        </w:rPr>
        <w:t>____</w:t>
      </w:r>
      <w:r>
        <w:rPr>
          <w:rFonts w:hint="eastAsia" w:ascii="宋体" w:hAnsi="宋体" w:cs="宋体"/>
          <w:kern w:val="0"/>
          <w:sz w:val="24"/>
          <w:szCs w:val="24"/>
        </w:rPr>
        <w:t>月</w:t>
      </w:r>
      <w:r>
        <w:rPr>
          <w:rFonts w:ascii="宋体" w:hAnsi="宋体" w:cs="宋体"/>
          <w:kern w:val="0"/>
          <w:sz w:val="24"/>
          <w:szCs w:val="24"/>
        </w:rPr>
        <w:t>____</w:t>
      </w:r>
      <w:r>
        <w:rPr>
          <w:rFonts w:hint="eastAsia" w:ascii="宋体" w:hAnsi="宋体" w:cs="宋体"/>
          <w:kern w:val="0"/>
          <w:sz w:val="24"/>
          <w:szCs w:val="24"/>
        </w:rPr>
        <w:t>日</w:t>
      </w:r>
    </w:p>
    <w:p>
      <w:pPr>
        <w:rPr>
          <w:rFonts w:ascii="宋体" w:cs="宋体"/>
          <w:b/>
          <w:sz w:val="24"/>
          <w:szCs w:val="24"/>
        </w:rPr>
      </w:pPr>
    </w:p>
    <w:p>
      <w:pPr>
        <w:rPr>
          <w:rFonts w:ascii="宋体" w:cs="宋体"/>
          <w:b/>
          <w:sz w:val="24"/>
          <w:szCs w:val="24"/>
        </w:rPr>
      </w:pPr>
    </w:p>
    <w:p>
      <w:pPr>
        <w:pStyle w:val="4"/>
        <w:jc w:val="center"/>
        <w:rPr>
          <w:rFonts w:hAnsi="宋体" w:cs="宋体"/>
          <w:kern w:val="0"/>
          <w:sz w:val="32"/>
          <w:szCs w:val="32"/>
        </w:rPr>
      </w:pPr>
    </w:p>
    <w:p>
      <w:pPr>
        <w:pStyle w:val="4"/>
        <w:jc w:val="center"/>
        <w:rPr>
          <w:rFonts w:hAnsi="宋体" w:cs="宋体"/>
          <w:kern w:val="0"/>
          <w:sz w:val="32"/>
          <w:szCs w:val="32"/>
        </w:rPr>
      </w:pPr>
    </w:p>
    <w:p>
      <w:pPr>
        <w:pStyle w:val="4"/>
        <w:jc w:val="center"/>
        <w:rPr>
          <w:rFonts w:hAnsi="宋体" w:cs="宋体"/>
          <w:b/>
          <w:bCs/>
          <w:sz w:val="32"/>
        </w:rPr>
      </w:pPr>
      <w:r>
        <w:rPr>
          <w:rFonts w:hAnsi="宋体" w:cs="宋体"/>
          <w:kern w:val="0"/>
          <w:sz w:val="32"/>
          <w:szCs w:val="32"/>
        </w:rPr>
        <w:br w:type="page"/>
      </w:r>
      <w:bookmarkStart w:id="115" w:name="_Toc498611430"/>
      <w:bookmarkStart w:id="116" w:name="_Toc30139"/>
      <w:r>
        <w:rPr>
          <w:rFonts w:hint="eastAsia" w:hAnsi="宋体" w:cs="宋体"/>
          <w:b/>
          <w:bCs/>
          <w:sz w:val="32"/>
        </w:rPr>
        <w:t>第四章响应文件格式</w:t>
      </w:r>
      <w:bookmarkEnd w:id="95"/>
      <w:bookmarkEnd w:id="96"/>
      <w:bookmarkEnd w:id="115"/>
      <w:bookmarkEnd w:id="116"/>
    </w:p>
    <w:p>
      <w:pPr>
        <w:pStyle w:val="4"/>
        <w:jc w:val="center"/>
        <w:rPr>
          <w:rFonts w:hAnsi="宋体" w:cs="宋体"/>
          <w:b/>
          <w:sz w:val="32"/>
          <w:szCs w:val="32"/>
        </w:rPr>
      </w:pPr>
    </w:p>
    <w:p>
      <w:pPr>
        <w:pStyle w:val="4"/>
        <w:jc w:val="center"/>
        <w:rPr>
          <w:rFonts w:hAnsi="宋体" w:cs="宋体"/>
          <w:b/>
          <w:sz w:val="32"/>
          <w:szCs w:val="32"/>
        </w:rPr>
      </w:pPr>
    </w:p>
    <w:p>
      <w:pPr>
        <w:pStyle w:val="4"/>
        <w:jc w:val="center"/>
        <w:rPr>
          <w:rFonts w:hAnsi="宋体" w:cs="宋体"/>
          <w:b/>
          <w:sz w:val="32"/>
          <w:szCs w:val="32"/>
        </w:rPr>
      </w:pPr>
    </w:p>
    <w:p>
      <w:pPr>
        <w:pStyle w:val="4"/>
        <w:rPr>
          <w:rFonts w:hAnsi="宋体" w:cs="宋体"/>
          <w:b/>
          <w:sz w:val="32"/>
          <w:szCs w:val="32"/>
        </w:rPr>
      </w:pPr>
    </w:p>
    <w:p>
      <w:pPr>
        <w:jc w:val="center"/>
        <w:rPr>
          <w:rFonts w:ascii="宋体" w:cs="宋体"/>
          <w:sz w:val="84"/>
          <w:szCs w:val="84"/>
        </w:rPr>
      </w:pPr>
      <w:r>
        <w:rPr>
          <w:rFonts w:hint="eastAsia" w:ascii="宋体" w:hAnsi="宋体" w:cs="宋体"/>
          <w:sz w:val="84"/>
          <w:szCs w:val="84"/>
        </w:rPr>
        <w:t>磋商响应文件</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8"/>
          <w:u w:val="single"/>
        </w:rPr>
      </w:pPr>
      <w:r>
        <w:rPr>
          <w:rFonts w:hint="eastAsia" w:ascii="宋体" w:hAnsi="宋体" w:cs="宋体"/>
          <w:sz w:val="28"/>
        </w:rPr>
        <w:t>项目名称：</w:t>
      </w:r>
    </w:p>
    <w:p>
      <w:pPr>
        <w:rPr>
          <w:rFonts w:ascii="宋体" w:cs="宋体"/>
          <w:sz w:val="28"/>
          <w:u w:val="single"/>
        </w:rPr>
      </w:pPr>
    </w:p>
    <w:p>
      <w:pPr>
        <w:rPr>
          <w:rFonts w:ascii="宋体" w:cs="宋体"/>
          <w:sz w:val="28"/>
          <w:u w:val="single"/>
        </w:rPr>
      </w:pPr>
    </w:p>
    <w:p>
      <w:pPr>
        <w:rPr>
          <w:rFonts w:ascii="宋体" w:cs="宋体"/>
          <w:sz w:val="28"/>
          <w:u w:val="single"/>
        </w:rPr>
      </w:pPr>
      <w:r>
        <w:rPr>
          <w:rFonts w:hint="eastAsia" w:ascii="宋体" w:hAnsi="宋体" w:cs="宋体"/>
          <w:sz w:val="28"/>
        </w:rPr>
        <w:t>项目编号：</w:t>
      </w: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rPr>
          <w:rFonts w:ascii="宋体" w:cs="宋体"/>
          <w:sz w:val="28"/>
          <w:u w:val="single"/>
        </w:rPr>
      </w:pPr>
    </w:p>
    <w:p>
      <w:pPr>
        <w:jc w:val="center"/>
        <w:rPr>
          <w:rFonts w:ascii="宋体" w:cs="宋体"/>
          <w:sz w:val="28"/>
        </w:rPr>
      </w:pPr>
    </w:p>
    <w:p>
      <w:pPr>
        <w:jc w:val="center"/>
        <w:rPr>
          <w:rFonts w:asci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cs="宋体"/>
          <w:sz w:val="28"/>
        </w:rPr>
      </w:pPr>
    </w:p>
    <w:p>
      <w:pPr>
        <w:jc w:val="center"/>
        <w:rPr>
          <w:rFonts w:asci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年月日</w:t>
      </w:r>
    </w:p>
    <w:p>
      <w:pPr>
        <w:pStyle w:val="5"/>
        <w:spacing w:before="0" w:after="0" w:line="460" w:lineRule="exact"/>
        <w:jc w:val="center"/>
        <w:rPr>
          <w:rFonts w:ascii="宋体" w:cs="宋体"/>
          <w:sz w:val="30"/>
          <w:szCs w:val="30"/>
        </w:rPr>
      </w:pPr>
      <w:bookmarkStart w:id="117" w:name="_Toc498611431"/>
      <w:bookmarkStart w:id="118" w:name="_Toc16632"/>
      <w:r>
        <w:rPr>
          <w:rFonts w:hint="eastAsia" w:ascii="宋体" w:hAnsi="宋体" w:cs="宋体"/>
          <w:sz w:val="30"/>
          <w:szCs w:val="30"/>
        </w:rPr>
        <w:t>格式</w:t>
      </w:r>
      <w:r>
        <w:rPr>
          <w:rFonts w:ascii="宋体" w:hAnsi="宋体" w:cs="宋体"/>
          <w:sz w:val="30"/>
          <w:szCs w:val="30"/>
        </w:rPr>
        <w:t xml:space="preserve">1. </w:t>
      </w:r>
      <w:r>
        <w:rPr>
          <w:rFonts w:hint="eastAsia" w:ascii="宋体" w:hAnsi="宋体" w:cs="宋体"/>
          <w:sz w:val="30"/>
          <w:szCs w:val="30"/>
        </w:rPr>
        <w:t>磋商响应书</w:t>
      </w:r>
      <w:bookmarkEnd w:id="117"/>
      <w:bookmarkEnd w:id="118"/>
    </w:p>
    <w:p>
      <w:pPr>
        <w:spacing w:line="400" w:lineRule="exact"/>
        <w:rPr>
          <w:rFonts w:ascii="宋体" w:cs="宋体"/>
          <w:sz w:val="24"/>
        </w:rPr>
      </w:pPr>
      <w:r>
        <w:rPr>
          <w:rFonts w:hint="eastAsia" w:ascii="宋体" w:hAnsi="宋体" w:cs="宋体"/>
          <w:sz w:val="24"/>
        </w:rPr>
        <w:t>致：江西省机电设备招标有限公司</w:t>
      </w:r>
    </w:p>
    <w:p>
      <w:pPr>
        <w:spacing w:line="400" w:lineRule="exact"/>
        <w:ind w:firstLine="480"/>
        <w:rPr>
          <w:rFonts w:ascii="宋体" w:cs="宋体"/>
          <w:sz w:val="24"/>
        </w:rPr>
      </w:pPr>
      <w:r>
        <w:rPr>
          <w:rFonts w:hint="eastAsia" w:ascii="宋体" w:hAnsi="宋体" w:cs="宋体"/>
          <w:sz w:val="24"/>
        </w:rPr>
        <w:t>根据贵方为</w:t>
      </w:r>
      <w:r>
        <w:rPr>
          <w:rFonts w:ascii="宋体" w:hAnsi="宋体" w:cs="宋体"/>
          <w:sz w:val="24"/>
        </w:rPr>
        <w:t>(</w:t>
      </w:r>
      <w:r>
        <w:rPr>
          <w:rFonts w:hint="eastAsia" w:ascii="宋体" w:hAnsi="宋体" w:cs="宋体"/>
          <w:sz w:val="24"/>
          <w:u w:val="single"/>
        </w:rPr>
        <w:t>项目名称</w:t>
      </w:r>
      <w:r>
        <w:rPr>
          <w:rFonts w:ascii="宋体" w:hAnsi="宋体" w:cs="宋体"/>
          <w:sz w:val="24"/>
        </w:rPr>
        <w:t>)</w:t>
      </w:r>
      <w:r>
        <w:rPr>
          <w:rFonts w:hint="eastAsia" w:ascii="宋体" w:hAnsi="宋体" w:cs="宋体"/>
          <w:sz w:val="24"/>
        </w:rPr>
        <w:t>项目竞争性磋商采购相关服务的磋商邀请</w:t>
      </w:r>
      <w:r>
        <w:rPr>
          <w:rFonts w:ascii="宋体" w:hAnsi="宋体" w:cs="宋体"/>
          <w:sz w:val="24"/>
          <w:u w:val="single"/>
        </w:rPr>
        <w:t>(</w:t>
      </w:r>
      <w:r>
        <w:rPr>
          <w:rFonts w:hint="eastAsia" w:ascii="宋体" w:hAnsi="宋体" w:cs="宋体"/>
          <w:sz w:val="24"/>
          <w:u w:val="single"/>
        </w:rPr>
        <w:t>项目编号</w:t>
      </w:r>
      <w:r>
        <w:rPr>
          <w:rFonts w:ascii="宋体" w:hAnsi="宋体" w:cs="宋体"/>
          <w:sz w:val="24"/>
          <w:u w:val="single"/>
        </w:rPr>
        <w:t>)</w:t>
      </w:r>
      <w:r>
        <w:rPr>
          <w:rFonts w:hint="eastAsia" w:ascii="宋体" w:hAnsi="宋体" w:cs="宋体"/>
          <w:sz w:val="24"/>
        </w:rPr>
        <w:t>，签字代表</w:t>
      </w:r>
      <w:r>
        <w:rPr>
          <w:rFonts w:ascii="宋体" w:hAnsi="宋体" w:cs="宋体"/>
          <w:sz w:val="24"/>
        </w:rPr>
        <w:t>(</w:t>
      </w:r>
      <w:r>
        <w:rPr>
          <w:rFonts w:hint="eastAsia" w:ascii="宋体" w:hAnsi="宋体" w:cs="宋体"/>
          <w:sz w:val="24"/>
          <w:u w:val="single"/>
        </w:rPr>
        <w:t>姓名、职务</w:t>
      </w:r>
      <w:r>
        <w:rPr>
          <w:rFonts w:ascii="宋体" w:hAnsi="宋体" w:cs="宋体"/>
          <w:sz w:val="24"/>
        </w:rPr>
        <w:t>)</w:t>
      </w:r>
      <w:r>
        <w:rPr>
          <w:rFonts w:hint="eastAsia" w:ascii="宋体" w:hAnsi="宋体" w:cs="宋体"/>
          <w:sz w:val="24"/>
        </w:rPr>
        <w:t>经正式授权并代表我方</w:t>
      </w:r>
      <w:r>
        <w:rPr>
          <w:rFonts w:ascii="宋体" w:hAnsi="宋体" w:cs="宋体"/>
          <w:sz w:val="24"/>
          <w:u w:val="single"/>
        </w:rPr>
        <w:t>(</w:t>
      </w:r>
      <w:r>
        <w:rPr>
          <w:rFonts w:hint="eastAsia" w:ascii="宋体" w:hAnsi="宋体" w:cs="宋体"/>
          <w:sz w:val="24"/>
          <w:u w:val="single"/>
        </w:rPr>
        <w:t>单位名称、地址</w:t>
      </w:r>
      <w:r>
        <w:rPr>
          <w:rFonts w:ascii="宋体" w:hAnsi="宋体" w:cs="宋体"/>
          <w:sz w:val="24"/>
          <w:u w:val="single"/>
        </w:rPr>
        <w:t>)</w:t>
      </w:r>
      <w:r>
        <w:rPr>
          <w:rFonts w:hint="eastAsia" w:ascii="宋体" w:hAnsi="宋体" w:cs="宋体"/>
          <w:sz w:val="24"/>
        </w:rPr>
        <w:t>提交下述文件</w:t>
      </w:r>
      <w:r>
        <w:rPr>
          <w:rFonts w:ascii="宋体" w:hAnsi="宋体" w:cs="宋体"/>
          <w:sz w:val="24"/>
        </w:rPr>
        <w:t>:</w:t>
      </w:r>
    </w:p>
    <w:p>
      <w:pPr>
        <w:spacing w:line="380" w:lineRule="exact"/>
        <w:ind w:left="707" w:hanging="283"/>
        <w:rPr>
          <w:rFonts w:ascii="宋体" w:cs="仿宋"/>
          <w:sz w:val="24"/>
          <w:szCs w:val="24"/>
        </w:rPr>
      </w:pPr>
      <w:r>
        <w:rPr>
          <w:rFonts w:ascii="宋体" w:hAnsi="宋体" w:cs="仿宋"/>
          <w:sz w:val="24"/>
          <w:szCs w:val="24"/>
        </w:rPr>
        <w:t>1</w:t>
      </w:r>
      <w:r>
        <w:rPr>
          <w:rFonts w:hint="eastAsia" w:ascii="宋体" w:hAnsi="宋体" w:cs="仿宋"/>
          <w:sz w:val="24"/>
          <w:szCs w:val="24"/>
        </w:rPr>
        <w:t>、响应书</w:t>
      </w:r>
    </w:p>
    <w:p>
      <w:pPr>
        <w:spacing w:line="380" w:lineRule="exact"/>
        <w:ind w:left="707" w:hanging="283"/>
        <w:rPr>
          <w:rFonts w:ascii="宋体" w:cs="仿宋"/>
          <w:sz w:val="24"/>
          <w:szCs w:val="24"/>
        </w:rPr>
      </w:pPr>
      <w:r>
        <w:rPr>
          <w:rFonts w:ascii="宋体" w:hAnsi="宋体" w:cs="仿宋"/>
          <w:sz w:val="24"/>
          <w:szCs w:val="24"/>
        </w:rPr>
        <w:t>2</w:t>
      </w:r>
      <w:r>
        <w:rPr>
          <w:rFonts w:hint="eastAsia" w:ascii="宋体" w:hAnsi="宋体" w:cs="仿宋"/>
          <w:sz w:val="24"/>
          <w:szCs w:val="24"/>
        </w:rPr>
        <w:t>、开标一览表</w:t>
      </w:r>
    </w:p>
    <w:p>
      <w:pPr>
        <w:spacing w:line="380" w:lineRule="exact"/>
        <w:ind w:left="707" w:hanging="283"/>
        <w:rPr>
          <w:rFonts w:ascii="宋体" w:cs="仿宋"/>
          <w:sz w:val="24"/>
          <w:szCs w:val="24"/>
        </w:rPr>
      </w:pPr>
      <w:r>
        <w:rPr>
          <w:rFonts w:ascii="宋体" w:hAnsi="宋体" w:cs="仿宋"/>
          <w:sz w:val="24"/>
          <w:szCs w:val="24"/>
        </w:rPr>
        <w:t>3</w:t>
      </w:r>
      <w:r>
        <w:rPr>
          <w:rFonts w:hint="eastAsia" w:ascii="宋体" w:hAnsi="宋体" w:cs="仿宋"/>
          <w:sz w:val="24"/>
          <w:szCs w:val="24"/>
        </w:rPr>
        <w:t>、分项报价表</w:t>
      </w:r>
    </w:p>
    <w:p>
      <w:pPr>
        <w:spacing w:line="380" w:lineRule="exact"/>
        <w:ind w:left="707" w:hanging="283"/>
        <w:rPr>
          <w:rFonts w:ascii="宋体" w:cs="仿宋"/>
          <w:sz w:val="24"/>
          <w:szCs w:val="24"/>
        </w:rPr>
      </w:pPr>
      <w:r>
        <w:rPr>
          <w:rFonts w:ascii="宋体" w:hAnsi="宋体" w:cs="仿宋"/>
          <w:sz w:val="24"/>
          <w:szCs w:val="24"/>
        </w:rPr>
        <w:t>4</w:t>
      </w:r>
      <w:r>
        <w:rPr>
          <w:rFonts w:hint="eastAsia" w:ascii="宋体" w:hAnsi="宋体" w:cs="仿宋"/>
          <w:sz w:val="24"/>
          <w:szCs w:val="24"/>
        </w:rPr>
        <w:t>、开标一览明细表</w:t>
      </w:r>
    </w:p>
    <w:p>
      <w:pPr>
        <w:spacing w:line="380" w:lineRule="exact"/>
        <w:ind w:left="707" w:hanging="283"/>
        <w:rPr>
          <w:rFonts w:ascii="宋体" w:cs="仿宋"/>
          <w:sz w:val="24"/>
          <w:szCs w:val="24"/>
        </w:rPr>
      </w:pPr>
      <w:r>
        <w:rPr>
          <w:rFonts w:ascii="宋体" w:hAnsi="宋体" w:cs="仿宋"/>
          <w:sz w:val="24"/>
          <w:szCs w:val="24"/>
        </w:rPr>
        <w:t>5</w:t>
      </w:r>
      <w:r>
        <w:rPr>
          <w:rFonts w:hint="eastAsia" w:ascii="宋体" w:hAnsi="宋体" w:cs="仿宋"/>
          <w:sz w:val="24"/>
          <w:szCs w:val="24"/>
        </w:rPr>
        <w:t>、技术需求响应</w:t>
      </w:r>
      <w:r>
        <w:rPr>
          <w:rFonts w:ascii="宋体" w:hAnsi="宋体" w:cs="仿宋"/>
          <w:sz w:val="24"/>
          <w:szCs w:val="24"/>
        </w:rPr>
        <w:t>/</w:t>
      </w:r>
      <w:r>
        <w:rPr>
          <w:rFonts w:hint="eastAsia" w:ascii="宋体" w:hAnsi="宋体" w:cs="仿宋"/>
          <w:sz w:val="24"/>
          <w:szCs w:val="24"/>
        </w:rPr>
        <w:t>偏离表</w:t>
      </w:r>
    </w:p>
    <w:p>
      <w:pPr>
        <w:spacing w:line="380" w:lineRule="exact"/>
        <w:ind w:left="707" w:hanging="283"/>
        <w:rPr>
          <w:rFonts w:ascii="宋体" w:cs="仿宋"/>
          <w:sz w:val="24"/>
          <w:szCs w:val="24"/>
        </w:rPr>
      </w:pPr>
      <w:r>
        <w:rPr>
          <w:rFonts w:ascii="宋体" w:hAnsi="宋体" w:cs="仿宋"/>
          <w:sz w:val="24"/>
          <w:szCs w:val="24"/>
        </w:rPr>
        <w:t>6</w:t>
      </w:r>
      <w:r>
        <w:rPr>
          <w:rFonts w:hint="eastAsia" w:ascii="宋体" w:hAnsi="宋体" w:cs="仿宋"/>
          <w:sz w:val="24"/>
          <w:szCs w:val="24"/>
        </w:rPr>
        <w:t>、商务条件响应</w:t>
      </w:r>
      <w:r>
        <w:rPr>
          <w:rFonts w:ascii="宋体" w:hAnsi="宋体" w:cs="仿宋"/>
          <w:sz w:val="24"/>
          <w:szCs w:val="24"/>
        </w:rPr>
        <w:t>/</w:t>
      </w:r>
      <w:r>
        <w:rPr>
          <w:rFonts w:hint="eastAsia" w:ascii="宋体" w:hAnsi="宋体" w:cs="仿宋"/>
          <w:sz w:val="24"/>
          <w:szCs w:val="24"/>
        </w:rPr>
        <w:t>偏离表</w:t>
      </w:r>
    </w:p>
    <w:p>
      <w:pPr>
        <w:spacing w:line="380" w:lineRule="exact"/>
        <w:ind w:left="707" w:hanging="283"/>
        <w:rPr>
          <w:rFonts w:ascii="宋体" w:cs="仿宋"/>
          <w:sz w:val="24"/>
          <w:szCs w:val="24"/>
        </w:rPr>
      </w:pPr>
      <w:r>
        <w:rPr>
          <w:rFonts w:ascii="宋体" w:hAnsi="宋体" w:cs="仿宋"/>
          <w:sz w:val="24"/>
          <w:szCs w:val="24"/>
        </w:rPr>
        <w:t>7</w:t>
      </w:r>
      <w:r>
        <w:rPr>
          <w:rFonts w:hint="eastAsia" w:ascii="宋体" w:hAnsi="宋体" w:cs="仿宋"/>
          <w:sz w:val="24"/>
          <w:szCs w:val="24"/>
        </w:rPr>
        <w:t>、为落实政府采购政策供应商须提供的证明材料</w:t>
      </w:r>
    </w:p>
    <w:p>
      <w:pPr>
        <w:spacing w:line="380" w:lineRule="exact"/>
        <w:ind w:left="707" w:hanging="283"/>
        <w:rPr>
          <w:rFonts w:ascii="宋体" w:cs="仿宋"/>
          <w:sz w:val="24"/>
          <w:szCs w:val="24"/>
        </w:rPr>
      </w:pPr>
      <w:r>
        <w:rPr>
          <w:rFonts w:ascii="宋体" w:hAnsi="宋体" w:cs="仿宋"/>
          <w:sz w:val="24"/>
          <w:szCs w:val="24"/>
        </w:rPr>
        <w:t>8</w:t>
      </w:r>
      <w:r>
        <w:rPr>
          <w:rFonts w:hint="eastAsia" w:ascii="宋体" w:hAnsi="宋体" w:cs="仿宋"/>
          <w:sz w:val="24"/>
          <w:szCs w:val="24"/>
        </w:rPr>
        <w:t>、技术文件</w:t>
      </w:r>
    </w:p>
    <w:p>
      <w:pPr>
        <w:spacing w:line="380" w:lineRule="exact"/>
        <w:ind w:left="707" w:hanging="283"/>
        <w:rPr>
          <w:rFonts w:ascii="宋体" w:cs="仿宋"/>
          <w:sz w:val="24"/>
          <w:szCs w:val="24"/>
        </w:rPr>
      </w:pPr>
      <w:r>
        <w:rPr>
          <w:rFonts w:ascii="宋体" w:hAnsi="宋体" w:cs="仿宋"/>
          <w:sz w:val="24"/>
          <w:szCs w:val="24"/>
        </w:rPr>
        <w:t>9</w:t>
      </w:r>
      <w:r>
        <w:rPr>
          <w:rFonts w:hint="eastAsia" w:ascii="宋体" w:hAnsi="宋体" w:cs="仿宋"/>
          <w:sz w:val="24"/>
          <w:szCs w:val="24"/>
        </w:rPr>
        <w:t>、供应商应当提交的资格、资信证明文件</w:t>
      </w:r>
    </w:p>
    <w:p>
      <w:pPr>
        <w:spacing w:line="380" w:lineRule="exact"/>
        <w:ind w:left="707" w:hanging="283"/>
        <w:rPr>
          <w:rFonts w:ascii="宋体" w:cs="仿宋"/>
          <w:sz w:val="24"/>
          <w:szCs w:val="24"/>
        </w:rPr>
      </w:pPr>
      <w:r>
        <w:rPr>
          <w:rFonts w:ascii="宋体" w:hAnsi="宋体" w:cs="仿宋"/>
          <w:sz w:val="24"/>
          <w:szCs w:val="24"/>
        </w:rPr>
        <w:t>10</w:t>
      </w:r>
      <w:r>
        <w:rPr>
          <w:rFonts w:hint="eastAsia" w:ascii="宋体" w:hAnsi="宋体" w:cs="仿宋"/>
          <w:sz w:val="24"/>
          <w:szCs w:val="24"/>
        </w:rPr>
        <w:t>、其他证明资料</w:t>
      </w:r>
    </w:p>
    <w:p>
      <w:pPr>
        <w:spacing w:line="400" w:lineRule="exact"/>
        <w:ind w:left="707" w:hanging="283"/>
        <w:rPr>
          <w:rFonts w:ascii="宋体" w:cs="宋体"/>
          <w:sz w:val="24"/>
          <w:szCs w:val="24"/>
        </w:rPr>
      </w:pPr>
      <w:r>
        <w:rPr>
          <w:rFonts w:ascii="宋体" w:hAnsi="宋体" w:cs="宋体"/>
          <w:sz w:val="24"/>
          <w:szCs w:val="24"/>
        </w:rPr>
        <w:t>11</w:t>
      </w:r>
      <w:r>
        <w:rPr>
          <w:rFonts w:hint="eastAsia" w:ascii="宋体" w:hAnsi="宋体" w:cs="宋体"/>
          <w:sz w:val="24"/>
          <w:szCs w:val="24"/>
        </w:rPr>
        <w:t>、提交的磋商保证金，金额为。</w:t>
      </w:r>
    </w:p>
    <w:p>
      <w:pPr>
        <w:spacing w:line="400" w:lineRule="exact"/>
        <w:ind w:left="707" w:hanging="283"/>
        <w:rPr>
          <w:rFonts w:ascii="宋体" w:cs="宋体"/>
          <w:sz w:val="24"/>
          <w:highlight w:val="yellow"/>
        </w:rPr>
      </w:pPr>
    </w:p>
    <w:p>
      <w:pPr>
        <w:spacing w:line="400" w:lineRule="exact"/>
        <w:ind w:left="707" w:hanging="283"/>
        <w:rPr>
          <w:rFonts w:ascii="宋体" w:cs="宋体"/>
          <w:sz w:val="24"/>
        </w:rPr>
      </w:pPr>
      <w:r>
        <w:rPr>
          <w:rFonts w:hint="eastAsia" w:ascii="宋体" w:hAnsi="宋体" w:cs="宋体"/>
          <w:sz w:val="24"/>
        </w:rPr>
        <w:t>据此函</w:t>
      </w:r>
      <w:r>
        <w:rPr>
          <w:rFonts w:ascii="宋体" w:cs="宋体"/>
          <w:sz w:val="24"/>
        </w:rPr>
        <w:t>,</w:t>
      </w:r>
      <w:r>
        <w:rPr>
          <w:rFonts w:hint="eastAsia" w:ascii="宋体" w:hAnsi="宋体" w:cs="宋体"/>
          <w:sz w:val="24"/>
        </w:rPr>
        <w:t>签字代表宣布同意如下</w:t>
      </w:r>
      <w:r>
        <w:rPr>
          <w:rFonts w:ascii="宋体" w:hAnsi="宋体" w:cs="宋体"/>
          <w:sz w:val="24"/>
        </w:rPr>
        <w:t>:</w:t>
      </w:r>
    </w:p>
    <w:p>
      <w:pPr>
        <w:spacing w:line="400" w:lineRule="exact"/>
        <w:ind w:left="707" w:hanging="283"/>
        <w:rPr>
          <w:rFonts w:ascii="宋体" w:cs="宋体"/>
          <w:sz w:val="24"/>
        </w:rPr>
      </w:pPr>
      <w:r>
        <w:rPr>
          <w:rFonts w:ascii="宋体" w:hAnsi="宋体" w:cs="宋体"/>
          <w:sz w:val="24"/>
        </w:rPr>
        <w:t xml:space="preserve">1. </w:t>
      </w:r>
      <w:r>
        <w:rPr>
          <w:rFonts w:hint="eastAsia" w:ascii="宋体" w:hAnsi="宋体" w:cs="宋体"/>
          <w:sz w:val="24"/>
        </w:rPr>
        <w:t>所附报价表中规定的应提供的服务总报价为（用文字和数字表示的总价）。</w:t>
      </w:r>
    </w:p>
    <w:p>
      <w:pPr>
        <w:spacing w:line="400" w:lineRule="exact"/>
        <w:ind w:left="707" w:hanging="283"/>
        <w:rPr>
          <w:rFonts w:ascii="宋体" w:cs="宋体"/>
          <w:sz w:val="24"/>
        </w:rPr>
      </w:pPr>
      <w:r>
        <w:rPr>
          <w:rFonts w:ascii="宋体" w:hAnsi="宋体" w:cs="宋体"/>
          <w:sz w:val="24"/>
        </w:rPr>
        <w:t xml:space="preserve">2. </w:t>
      </w:r>
      <w:r>
        <w:rPr>
          <w:rFonts w:hint="eastAsia" w:ascii="宋体" w:hAnsi="宋体" w:cs="宋体"/>
          <w:sz w:val="24"/>
        </w:rPr>
        <w:t>我方将按磋商文件的规定履行合同责任和义务。</w:t>
      </w:r>
    </w:p>
    <w:p>
      <w:pPr>
        <w:spacing w:line="400" w:lineRule="exact"/>
        <w:ind w:left="707" w:hanging="283"/>
        <w:rPr>
          <w:rFonts w:ascii="宋体" w:cs="宋体"/>
          <w:sz w:val="24"/>
        </w:rPr>
      </w:pPr>
      <w:r>
        <w:rPr>
          <w:rFonts w:ascii="宋体" w:hAnsi="宋体" w:cs="宋体"/>
          <w:sz w:val="24"/>
        </w:rPr>
        <w:t xml:space="preserve">3. </w:t>
      </w:r>
      <w:r>
        <w:rPr>
          <w:rFonts w:hint="eastAsia" w:ascii="宋体" w:hAnsi="宋体" w:cs="宋体"/>
          <w:sz w:val="24"/>
        </w:rPr>
        <w:t>我方已详细审查全部磋商文件，包括第</w:t>
      </w:r>
      <w:r>
        <w:rPr>
          <w:rFonts w:ascii="宋体" w:hAnsi="宋体" w:cs="宋体"/>
          <w:sz w:val="24"/>
          <w:u w:val="single"/>
        </w:rPr>
        <w:t>(</w:t>
      </w:r>
      <w:r>
        <w:rPr>
          <w:rFonts w:hint="eastAsia" w:ascii="宋体" w:hAnsi="宋体" w:cs="宋体"/>
          <w:sz w:val="24"/>
          <w:u w:val="single"/>
        </w:rPr>
        <w:t>编号、补遗函</w:t>
      </w:r>
      <w:r>
        <w:rPr>
          <w:rFonts w:ascii="宋体" w:hAnsi="宋体" w:cs="宋体"/>
          <w:sz w:val="24"/>
          <w:u w:val="single"/>
        </w:rPr>
        <w:t>)(</w:t>
      </w:r>
      <w:r>
        <w:rPr>
          <w:rFonts w:hint="eastAsia" w:ascii="宋体" w:hAnsi="宋体" w:cs="宋体"/>
          <w:sz w:val="24"/>
          <w:u w:val="single"/>
        </w:rPr>
        <w:t>如果有的话</w:t>
      </w:r>
      <w:r>
        <w:rPr>
          <w:rFonts w:ascii="宋体" w:hAnsi="宋体" w:cs="宋体"/>
          <w:sz w:val="24"/>
          <w:u w:val="single"/>
        </w:rPr>
        <w:t>)</w:t>
      </w:r>
      <w:r>
        <w:rPr>
          <w:rFonts w:hint="eastAsia" w:ascii="宋体" w:hAnsi="宋体" w:cs="宋体"/>
          <w:sz w:val="24"/>
          <w:u w:val="single"/>
        </w:rPr>
        <w:t>。</w:t>
      </w:r>
      <w:r>
        <w:rPr>
          <w:rFonts w:hint="eastAsia" w:ascii="宋体" w:hAnsi="宋体" w:cs="宋体"/>
          <w:sz w:val="24"/>
        </w:rPr>
        <w:t>我们完全理解并同意放弃对这方面有不明及误解的权力。</w:t>
      </w:r>
    </w:p>
    <w:p>
      <w:pPr>
        <w:spacing w:line="400" w:lineRule="exact"/>
        <w:ind w:left="707" w:hanging="283"/>
        <w:rPr>
          <w:rFonts w:ascii="宋体" w:cs="宋体"/>
          <w:sz w:val="24"/>
        </w:rPr>
      </w:pPr>
      <w:r>
        <w:rPr>
          <w:rFonts w:ascii="宋体" w:hAnsi="宋体" w:cs="宋体"/>
          <w:sz w:val="24"/>
        </w:rPr>
        <w:t xml:space="preserve">4. </w:t>
      </w:r>
      <w:r>
        <w:rPr>
          <w:rFonts w:hint="eastAsia" w:ascii="宋体" w:hAnsi="宋体" w:cs="宋体"/>
          <w:sz w:val="24"/>
        </w:rPr>
        <w:t>本磋商有效期为自磋商之日起</w:t>
      </w:r>
      <w:r>
        <w:rPr>
          <w:rFonts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cs="宋体"/>
          <w:sz w:val="24"/>
        </w:rPr>
      </w:pPr>
      <w:r>
        <w:rPr>
          <w:rFonts w:ascii="宋体" w:hAnsi="宋体" w:cs="宋体"/>
          <w:sz w:val="24"/>
        </w:rPr>
        <w:t xml:space="preserve">5. </w:t>
      </w:r>
      <w:r>
        <w:rPr>
          <w:rFonts w:hint="eastAsia" w:ascii="宋体" w:hAnsi="宋体" w:cs="宋体"/>
          <w:sz w:val="24"/>
        </w:rPr>
        <w:t>如果在规定的磋商时间后，我方在磋商有效期内撤回响应文件，磋商保证金不予退还。</w:t>
      </w:r>
    </w:p>
    <w:p>
      <w:pPr>
        <w:spacing w:line="400" w:lineRule="exact"/>
        <w:ind w:left="707" w:hanging="283"/>
        <w:rPr>
          <w:rFonts w:ascii="宋体" w:cs="宋体"/>
          <w:sz w:val="24"/>
        </w:rPr>
      </w:pPr>
      <w:r>
        <w:rPr>
          <w:rFonts w:ascii="宋体" w:hAnsi="宋体" w:cs="宋体"/>
          <w:sz w:val="24"/>
        </w:rPr>
        <w:t xml:space="preserve">6. </w:t>
      </w:r>
      <w:r>
        <w:rPr>
          <w:rFonts w:hint="eastAsia" w:ascii="宋体" w:hAnsi="宋体" w:cs="宋体"/>
          <w:sz w:val="24"/>
        </w:rPr>
        <w:t>我方同意提供按照贵方可能要求的与其磋商有关的一切数据或资料。</w:t>
      </w:r>
    </w:p>
    <w:p>
      <w:pPr>
        <w:spacing w:line="400" w:lineRule="exact"/>
        <w:ind w:left="707" w:hanging="283"/>
        <w:rPr>
          <w:rFonts w:ascii="宋体" w:cs="宋体"/>
          <w:sz w:val="24"/>
        </w:rPr>
      </w:pPr>
      <w:r>
        <w:rPr>
          <w:rFonts w:ascii="宋体" w:hAnsi="宋体" w:cs="宋体"/>
          <w:sz w:val="24"/>
        </w:rPr>
        <w:t xml:space="preserve">7. </w:t>
      </w:r>
      <w:r>
        <w:rPr>
          <w:rFonts w:hint="eastAsia" w:ascii="宋体" w:hAnsi="宋体" w:cs="宋体"/>
          <w:sz w:val="24"/>
        </w:rPr>
        <w:t>与本磋商有关的一切正式往来信函请寄</w:t>
      </w:r>
      <w:r>
        <w:rPr>
          <w:rFonts w:ascii="宋体" w:hAnsi="宋体" w:cs="宋体"/>
          <w:sz w:val="24"/>
        </w:rPr>
        <w:t>:</w:t>
      </w:r>
    </w:p>
    <w:p>
      <w:pPr>
        <w:spacing w:line="400" w:lineRule="exact"/>
        <w:ind w:left="707" w:hanging="283"/>
        <w:rPr>
          <w:rFonts w:ascii="宋体" w:cs="宋体"/>
          <w:sz w:val="24"/>
        </w:rPr>
      </w:pPr>
    </w:p>
    <w:p>
      <w:pPr>
        <w:spacing w:line="432" w:lineRule="auto"/>
        <w:rPr>
          <w:rFonts w:ascii="宋体" w:cs="宋体"/>
          <w:sz w:val="24"/>
          <w:u w:val="single"/>
        </w:rPr>
      </w:pPr>
      <w:r>
        <w:rPr>
          <w:rFonts w:hint="eastAsia" w:ascii="宋体" w:hAnsi="宋体" w:cs="宋体"/>
          <w:sz w:val="24"/>
        </w:rPr>
        <w:t>地址传真</w:t>
      </w:r>
    </w:p>
    <w:p>
      <w:pPr>
        <w:spacing w:line="432" w:lineRule="auto"/>
        <w:rPr>
          <w:rFonts w:ascii="宋体" w:cs="宋体"/>
          <w:sz w:val="24"/>
          <w:u w:val="single"/>
        </w:rPr>
      </w:pPr>
      <w:r>
        <w:rPr>
          <w:rFonts w:hint="eastAsia" w:ascii="宋体" w:hAnsi="宋体" w:cs="宋体"/>
          <w:sz w:val="24"/>
        </w:rPr>
        <w:t>电话电子邮件</w:t>
      </w:r>
    </w:p>
    <w:p>
      <w:pPr>
        <w:spacing w:line="432" w:lineRule="auto"/>
        <w:rPr>
          <w:rFonts w:ascii="宋体" w:cs="宋体"/>
          <w:sz w:val="24"/>
        </w:rPr>
      </w:pPr>
    </w:p>
    <w:p>
      <w:pPr>
        <w:spacing w:line="432" w:lineRule="auto"/>
        <w:rPr>
          <w:rFonts w:ascii="宋体" w:cs="宋体"/>
          <w:sz w:val="24"/>
        </w:rPr>
      </w:pPr>
      <w:r>
        <w:rPr>
          <w:rFonts w:hint="eastAsia" w:ascii="宋体" w:hAnsi="宋体" w:cs="宋体"/>
          <w:sz w:val="24"/>
        </w:rPr>
        <w:t>供应商代表签字或签章</w:t>
      </w:r>
    </w:p>
    <w:p>
      <w:pPr>
        <w:spacing w:line="432" w:lineRule="auto"/>
        <w:rPr>
          <w:rFonts w:ascii="宋体" w:cs="宋体"/>
          <w:sz w:val="24"/>
          <w:u w:val="single"/>
        </w:rPr>
      </w:pPr>
      <w:r>
        <w:rPr>
          <w:rFonts w:hint="eastAsia" w:ascii="宋体" w:hAnsi="宋体" w:cs="宋体"/>
          <w:sz w:val="24"/>
        </w:rPr>
        <w:t>供应商盖章</w:t>
      </w:r>
    </w:p>
    <w:p>
      <w:pPr>
        <w:spacing w:line="432" w:lineRule="auto"/>
        <w:rPr>
          <w:rFonts w:ascii="宋体" w:cs="宋体"/>
          <w:sz w:val="24"/>
          <w:u w:val="single"/>
        </w:rPr>
      </w:pPr>
      <w:r>
        <w:rPr>
          <w:rFonts w:hint="eastAsia" w:ascii="宋体" w:hAnsi="宋体" w:cs="宋体"/>
          <w:sz w:val="24"/>
        </w:rPr>
        <w:t>日期</w:t>
      </w:r>
    </w:p>
    <w:p>
      <w:pPr>
        <w:spacing w:line="432" w:lineRule="auto"/>
        <w:jc w:val="center"/>
        <w:rPr>
          <w:rFonts w:ascii="宋体" w:cs="宋体"/>
          <w:sz w:val="28"/>
        </w:rPr>
        <w:sectPr>
          <w:footerReference r:id="rId6" w:type="default"/>
          <w:pgSz w:w="11907" w:h="16840"/>
          <w:pgMar w:top="1474" w:right="1134" w:bottom="1474" w:left="1134" w:header="720" w:footer="720" w:gutter="0"/>
          <w:cols w:space="720" w:num="1"/>
          <w:docGrid w:linePitch="285" w:charSpace="0"/>
        </w:sectPr>
      </w:pPr>
    </w:p>
    <w:p>
      <w:pPr>
        <w:pStyle w:val="5"/>
        <w:jc w:val="center"/>
        <w:rPr>
          <w:rFonts w:ascii="宋体" w:cs="仿宋"/>
          <w:sz w:val="24"/>
          <w:szCs w:val="24"/>
        </w:rPr>
      </w:pPr>
      <w:bookmarkStart w:id="119" w:name="_Toc23552"/>
      <w:bookmarkStart w:id="120" w:name="_Toc474492110"/>
      <w:bookmarkStart w:id="121" w:name="_Toc28197"/>
      <w:r>
        <w:rPr>
          <w:rFonts w:hint="eastAsia" w:ascii="宋体" w:hAnsi="宋体" w:cs="仿宋"/>
          <w:sz w:val="24"/>
          <w:szCs w:val="24"/>
        </w:rPr>
        <w:t>格式</w:t>
      </w:r>
      <w:r>
        <w:rPr>
          <w:rFonts w:ascii="宋体" w:hAnsi="宋体" w:cs="仿宋"/>
          <w:sz w:val="24"/>
          <w:szCs w:val="24"/>
        </w:rPr>
        <w:t>2.</w:t>
      </w:r>
      <w:r>
        <w:rPr>
          <w:rFonts w:hint="eastAsia" w:ascii="宋体" w:hAnsi="宋体" w:cs="仿宋"/>
          <w:sz w:val="24"/>
          <w:szCs w:val="24"/>
          <w:lang w:val="en-US" w:eastAsia="zh-CN"/>
        </w:rPr>
        <w:t xml:space="preserve"> </w:t>
      </w:r>
      <w:r>
        <w:rPr>
          <w:rFonts w:hint="eastAsia" w:ascii="宋体" w:hAnsi="宋体" w:cs="仿宋"/>
          <w:sz w:val="24"/>
          <w:szCs w:val="24"/>
        </w:rPr>
        <w:t>开标一览表</w:t>
      </w:r>
      <w:bookmarkEnd w:id="119"/>
      <w:bookmarkEnd w:id="120"/>
      <w:bookmarkEnd w:id="121"/>
    </w:p>
    <w:p>
      <w:pPr>
        <w:spacing w:line="400" w:lineRule="exact"/>
        <w:rPr>
          <w:rFonts w:ascii="宋体" w:cs="仿宋"/>
          <w:sz w:val="24"/>
          <w:szCs w:val="24"/>
        </w:rPr>
      </w:pPr>
    </w:p>
    <w:p>
      <w:pPr>
        <w:spacing w:line="400" w:lineRule="exact"/>
        <w:jc w:val="center"/>
        <w:rPr>
          <w:rFonts w:ascii="宋体" w:cs="仿宋"/>
          <w:b/>
          <w:sz w:val="24"/>
          <w:szCs w:val="24"/>
        </w:rPr>
      </w:pPr>
      <w:r>
        <w:rPr>
          <w:rFonts w:hint="eastAsia" w:ascii="宋体" w:hAnsi="宋体" w:cs="仿宋"/>
          <w:b/>
          <w:sz w:val="24"/>
          <w:szCs w:val="24"/>
        </w:rPr>
        <w:t>投标人按照电子化政府采购磋商要求填写</w:t>
      </w:r>
    </w:p>
    <w:p>
      <w:pPr>
        <w:spacing w:line="432" w:lineRule="auto"/>
        <w:rPr>
          <w:rFonts w:ascii="宋体" w:cs="仿宋"/>
          <w:sz w:val="24"/>
          <w:szCs w:val="24"/>
        </w:rPr>
      </w:pPr>
    </w:p>
    <w:p>
      <w:pPr>
        <w:spacing w:line="432" w:lineRule="auto"/>
        <w:rPr>
          <w:rFonts w:ascii="宋体" w:cs="仿宋"/>
          <w:sz w:val="24"/>
          <w:szCs w:val="24"/>
          <w:u w:val="single"/>
        </w:rPr>
      </w:pPr>
    </w:p>
    <w:p>
      <w:pPr>
        <w:spacing w:line="460" w:lineRule="exact"/>
        <w:rPr>
          <w:rFonts w:ascii="宋体" w:cs="仿宋"/>
          <w:b/>
          <w:bCs/>
          <w:sz w:val="24"/>
          <w:szCs w:val="24"/>
        </w:rPr>
      </w:pPr>
    </w:p>
    <w:p>
      <w:pPr>
        <w:spacing w:line="460" w:lineRule="exact"/>
        <w:rPr>
          <w:rFonts w:ascii="宋体" w:cs="仿宋"/>
          <w:b/>
          <w:bCs/>
          <w:sz w:val="24"/>
          <w:szCs w:val="24"/>
        </w:rPr>
      </w:pPr>
    </w:p>
    <w:p>
      <w:pPr>
        <w:spacing w:line="460" w:lineRule="exact"/>
        <w:rPr>
          <w:rFonts w:ascii="宋体" w:cs="仿宋"/>
          <w:b/>
          <w:bCs/>
          <w:sz w:val="24"/>
          <w:szCs w:val="24"/>
        </w:rPr>
      </w:pPr>
    </w:p>
    <w:p>
      <w:pPr>
        <w:spacing w:line="460" w:lineRule="exact"/>
        <w:rPr>
          <w:rFonts w:ascii="宋体" w:cs="仿宋"/>
          <w:b/>
          <w:bCs/>
          <w:sz w:val="24"/>
          <w:szCs w:val="24"/>
        </w:rPr>
      </w:pPr>
    </w:p>
    <w:p>
      <w:pPr>
        <w:spacing w:line="460" w:lineRule="exact"/>
        <w:rPr>
          <w:rFonts w:ascii="宋体" w:cs="仿宋"/>
          <w:b/>
          <w:bCs/>
          <w:sz w:val="24"/>
          <w:szCs w:val="24"/>
        </w:rPr>
      </w:pPr>
    </w:p>
    <w:p>
      <w:pPr>
        <w:spacing w:line="460" w:lineRule="exact"/>
        <w:rPr>
          <w:rFonts w:ascii="宋体" w:cs="仿宋"/>
          <w:b/>
          <w:bCs/>
          <w:sz w:val="24"/>
          <w:szCs w:val="24"/>
        </w:rPr>
      </w:pPr>
    </w:p>
    <w:p>
      <w:pPr>
        <w:pStyle w:val="5"/>
        <w:jc w:val="center"/>
        <w:rPr>
          <w:rFonts w:ascii="宋体" w:cs="仿宋"/>
          <w:sz w:val="24"/>
          <w:szCs w:val="24"/>
        </w:rPr>
      </w:pPr>
      <w:bookmarkStart w:id="122" w:name="_Toc8385"/>
      <w:bookmarkStart w:id="123" w:name="_Toc474492111"/>
      <w:bookmarkStart w:id="124" w:name="_Toc16928"/>
      <w:r>
        <w:rPr>
          <w:rFonts w:hint="eastAsia" w:ascii="宋体" w:hAnsi="宋体" w:cs="仿宋"/>
          <w:sz w:val="24"/>
          <w:szCs w:val="24"/>
        </w:rPr>
        <w:t>格式</w:t>
      </w:r>
      <w:r>
        <w:rPr>
          <w:rFonts w:ascii="宋体" w:hAnsi="宋体" w:cs="仿宋"/>
          <w:sz w:val="24"/>
          <w:szCs w:val="24"/>
        </w:rPr>
        <w:t>3.</w:t>
      </w:r>
      <w:r>
        <w:rPr>
          <w:rFonts w:hint="eastAsia" w:ascii="宋体" w:hAnsi="宋体" w:cs="仿宋"/>
          <w:sz w:val="24"/>
          <w:szCs w:val="24"/>
          <w:lang w:val="en-US" w:eastAsia="zh-CN"/>
        </w:rPr>
        <w:t xml:space="preserve"> </w:t>
      </w:r>
      <w:r>
        <w:rPr>
          <w:rFonts w:hint="eastAsia" w:ascii="宋体" w:hAnsi="宋体" w:cs="仿宋"/>
          <w:sz w:val="24"/>
          <w:szCs w:val="24"/>
        </w:rPr>
        <w:t>分项报价表</w:t>
      </w:r>
      <w:bookmarkEnd w:id="122"/>
      <w:bookmarkEnd w:id="123"/>
      <w:bookmarkEnd w:id="124"/>
    </w:p>
    <w:p>
      <w:pPr>
        <w:spacing w:line="400" w:lineRule="exact"/>
        <w:jc w:val="center"/>
        <w:rPr>
          <w:rFonts w:ascii="宋体" w:cs="仿宋"/>
          <w:b/>
          <w:sz w:val="24"/>
          <w:szCs w:val="24"/>
        </w:rPr>
      </w:pPr>
      <w:r>
        <w:rPr>
          <w:rFonts w:hint="eastAsia" w:ascii="宋体" w:hAnsi="宋体" w:cs="仿宋"/>
          <w:b/>
          <w:sz w:val="24"/>
          <w:szCs w:val="24"/>
        </w:rPr>
        <w:t>投标人按照电子化政府采购磋商要求填写</w:t>
      </w:r>
    </w:p>
    <w:p>
      <w:pPr>
        <w:spacing w:line="432" w:lineRule="auto"/>
        <w:rPr>
          <w:rFonts w:ascii="宋体" w:cs="宋体"/>
          <w:sz w:val="24"/>
          <w:u w:val="single"/>
        </w:rPr>
      </w:pPr>
    </w:p>
    <w:p>
      <w:pPr>
        <w:pStyle w:val="5"/>
        <w:spacing w:before="0" w:after="0" w:line="460" w:lineRule="exact"/>
        <w:jc w:val="center"/>
        <w:rPr>
          <w:rFonts w:ascii="宋体" w:cs="宋体"/>
          <w:sz w:val="24"/>
        </w:rPr>
        <w:sectPr>
          <w:footerReference r:id="rId7" w:type="default"/>
          <w:footerReference r:id="rId8" w:type="even"/>
          <w:pgSz w:w="11907" w:h="16840"/>
          <w:pgMar w:top="1474" w:right="1814" w:bottom="1474" w:left="1134" w:header="720" w:footer="720" w:gutter="0"/>
          <w:cols w:space="720" w:num="1"/>
          <w:docGrid w:linePitch="285" w:charSpace="0"/>
        </w:sectPr>
      </w:pPr>
    </w:p>
    <w:p>
      <w:pPr>
        <w:pStyle w:val="5"/>
        <w:spacing w:before="0" w:after="0" w:line="460" w:lineRule="exact"/>
        <w:jc w:val="center"/>
        <w:rPr>
          <w:rFonts w:ascii="宋体" w:cs="宋体"/>
          <w:sz w:val="24"/>
          <w:szCs w:val="24"/>
        </w:rPr>
      </w:pPr>
      <w:bookmarkStart w:id="125" w:name="_Toc23318"/>
      <w:r>
        <w:rPr>
          <w:rFonts w:hint="eastAsia" w:ascii="宋体" w:hAnsi="宋体" w:cs="宋体"/>
          <w:sz w:val="24"/>
          <w:szCs w:val="24"/>
        </w:rPr>
        <w:t>格式</w:t>
      </w:r>
      <w:r>
        <w:rPr>
          <w:rFonts w:ascii="宋体" w:hAnsi="宋体" w:cs="宋体"/>
          <w:sz w:val="24"/>
          <w:szCs w:val="24"/>
        </w:rPr>
        <w:t>4</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开标一览表明细</w:t>
      </w:r>
      <w:bookmarkEnd w:id="125"/>
    </w:p>
    <w:p>
      <w:pPr>
        <w:rPr>
          <w:rFonts w:ascii="宋体" w:cs="宋体"/>
        </w:rPr>
      </w:pPr>
    </w:p>
    <w:p>
      <w:pPr>
        <w:rPr>
          <w:rFonts w:ascii="宋体" w:cs="宋体"/>
        </w:rPr>
      </w:pPr>
      <w:r>
        <w:rPr>
          <w:rFonts w:hint="eastAsia" w:ascii="宋体" w:hAnsi="宋体" w:cs="宋体"/>
          <w:sz w:val="24"/>
        </w:rPr>
        <w:t>供应商名称：</w:t>
      </w:r>
    </w:p>
    <w:tbl>
      <w:tblPr>
        <w:tblStyle w:val="20"/>
        <w:tblW w:w="91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2"/>
        <w:gridCol w:w="1641"/>
        <w:gridCol w:w="738"/>
        <w:gridCol w:w="871"/>
        <w:gridCol w:w="1135"/>
        <w:gridCol w:w="2133"/>
        <w:gridCol w:w="2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1" w:hRule="exact"/>
        </w:trPr>
        <w:tc>
          <w:tcPr>
            <w:tcW w:w="532" w:type="dxa"/>
            <w:tcBorders>
              <w:top w:val="single" w:color="auto" w:sz="12"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序号</w:t>
            </w:r>
          </w:p>
        </w:tc>
        <w:tc>
          <w:tcPr>
            <w:tcW w:w="1641" w:type="dxa"/>
            <w:tcBorders>
              <w:top w:val="single" w:color="auto" w:sz="12" w:space="0"/>
              <w:left w:val="single" w:color="auto" w:sz="4"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费用名称</w:t>
            </w:r>
          </w:p>
        </w:tc>
        <w:tc>
          <w:tcPr>
            <w:tcW w:w="738" w:type="dxa"/>
            <w:tcBorders>
              <w:top w:val="single" w:color="auto" w:sz="12"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数量</w:t>
            </w:r>
          </w:p>
        </w:tc>
        <w:tc>
          <w:tcPr>
            <w:tcW w:w="871" w:type="dxa"/>
            <w:tcBorders>
              <w:top w:val="single" w:color="auto" w:sz="12" w:space="0"/>
              <w:left w:val="single" w:color="auto" w:sz="4"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单价（元）</w:t>
            </w:r>
          </w:p>
        </w:tc>
        <w:tc>
          <w:tcPr>
            <w:tcW w:w="1135" w:type="dxa"/>
            <w:tcBorders>
              <w:top w:val="single" w:color="auto" w:sz="12" w:space="0"/>
              <w:left w:val="single" w:color="auto" w:sz="4"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总价（元）</w:t>
            </w:r>
          </w:p>
        </w:tc>
        <w:tc>
          <w:tcPr>
            <w:tcW w:w="2133" w:type="dxa"/>
            <w:tcBorders>
              <w:top w:val="single" w:color="auto" w:sz="12" w:space="0"/>
              <w:left w:val="single" w:color="auto" w:sz="4"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是否属于中、小、微企业或监狱企业或残疾人福利性单位</w:t>
            </w:r>
          </w:p>
        </w:tc>
        <w:tc>
          <w:tcPr>
            <w:tcW w:w="2121" w:type="dxa"/>
            <w:tcBorders>
              <w:top w:val="single" w:color="auto" w:sz="12" w:space="0"/>
              <w:left w:val="single" w:color="auto" w:sz="4" w:space="0"/>
              <w:right w:val="single" w:color="auto" w:sz="4" w:space="0"/>
            </w:tcBorders>
            <w:vAlign w:val="center"/>
          </w:tcPr>
          <w:p>
            <w:pPr>
              <w:spacing w:line="400" w:lineRule="exact"/>
              <w:jc w:val="center"/>
              <w:rPr>
                <w:rFonts w:asci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532" w:type="dxa"/>
            <w:tcBorders>
              <w:right w:val="single" w:color="auto" w:sz="4" w:space="0"/>
            </w:tcBorders>
            <w:vAlign w:val="center"/>
          </w:tcPr>
          <w:p>
            <w:pPr>
              <w:spacing w:line="400" w:lineRule="exact"/>
              <w:jc w:val="center"/>
              <w:rPr>
                <w:rFonts w:ascii="宋体" w:cs="宋体"/>
                <w:sz w:val="24"/>
              </w:rPr>
            </w:pPr>
            <w:r>
              <w:rPr>
                <w:rFonts w:ascii="宋体" w:hAnsi="宋体" w:cs="宋体"/>
                <w:sz w:val="24"/>
              </w:rPr>
              <w:t>1</w:t>
            </w:r>
          </w:p>
        </w:tc>
        <w:tc>
          <w:tcPr>
            <w:tcW w:w="1641" w:type="dxa"/>
            <w:tcBorders>
              <w:left w:val="single" w:color="auto" w:sz="4" w:space="0"/>
              <w:right w:val="single" w:color="auto" w:sz="4" w:space="0"/>
            </w:tcBorders>
            <w:vAlign w:val="center"/>
          </w:tcPr>
          <w:p>
            <w:pPr>
              <w:spacing w:line="400" w:lineRule="exact"/>
              <w:jc w:val="center"/>
              <w:rPr>
                <w:rFonts w:ascii="宋体" w:cs="宋体"/>
                <w:sz w:val="24"/>
              </w:rPr>
            </w:pPr>
          </w:p>
        </w:tc>
        <w:tc>
          <w:tcPr>
            <w:tcW w:w="738" w:type="dxa"/>
            <w:tcBorders>
              <w:right w:val="single" w:color="auto" w:sz="4" w:space="0"/>
            </w:tcBorders>
            <w:vAlign w:val="center"/>
          </w:tcPr>
          <w:p>
            <w:pPr>
              <w:spacing w:line="400" w:lineRule="exact"/>
              <w:jc w:val="center"/>
              <w:rPr>
                <w:rFonts w:ascii="宋体" w:cs="宋体"/>
                <w:sz w:val="24"/>
              </w:rPr>
            </w:pPr>
          </w:p>
        </w:tc>
        <w:tc>
          <w:tcPr>
            <w:tcW w:w="871" w:type="dxa"/>
            <w:tcBorders>
              <w:left w:val="single" w:color="auto" w:sz="4" w:space="0"/>
              <w:right w:val="single" w:color="auto" w:sz="4" w:space="0"/>
            </w:tcBorders>
            <w:vAlign w:val="center"/>
          </w:tcPr>
          <w:p>
            <w:pPr>
              <w:spacing w:line="400" w:lineRule="exact"/>
              <w:jc w:val="center"/>
              <w:rPr>
                <w:rFonts w:ascii="宋体" w:cs="宋体"/>
                <w:sz w:val="24"/>
              </w:rPr>
            </w:pPr>
          </w:p>
        </w:tc>
        <w:tc>
          <w:tcPr>
            <w:tcW w:w="1135" w:type="dxa"/>
            <w:tcBorders>
              <w:left w:val="single" w:color="auto" w:sz="4" w:space="0"/>
              <w:right w:val="single" w:color="auto" w:sz="4" w:space="0"/>
            </w:tcBorders>
            <w:vAlign w:val="center"/>
          </w:tcPr>
          <w:p>
            <w:pPr>
              <w:spacing w:line="400" w:lineRule="exact"/>
              <w:jc w:val="center"/>
              <w:rPr>
                <w:rFonts w:ascii="宋体" w:cs="宋体"/>
                <w:sz w:val="24"/>
              </w:rPr>
            </w:pPr>
          </w:p>
        </w:tc>
        <w:tc>
          <w:tcPr>
            <w:tcW w:w="2133" w:type="dxa"/>
            <w:vMerge w:val="restart"/>
            <w:tcBorders>
              <w:left w:val="single" w:color="auto" w:sz="4" w:space="0"/>
              <w:right w:val="single" w:color="auto" w:sz="4" w:space="0"/>
            </w:tcBorders>
            <w:vAlign w:val="center"/>
          </w:tcPr>
          <w:p>
            <w:pPr>
              <w:spacing w:line="400" w:lineRule="exact"/>
              <w:jc w:val="center"/>
              <w:rPr>
                <w:rFonts w:ascii="宋体" w:cs="宋体"/>
                <w:sz w:val="24"/>
              </w:rPr>
            </w:pPr>
          </w:p>
        </w:tc>
        <w:tc>
          <w:tcPr>
            <w:tcW w:w="2121" w:type="dxa"/>
            <w:tcBorders>
              <w:left w:val="single" w:color="auto" w:sz="4" w:space="0"/>
              <w:right w:val="single" w:color="auto" w:sz="4" w:space="0"/>
            </w:tcBorders>
            <w:vAlign w:val="center"/>
          </w:tcPr>
          <w:p>
            <w:pPr>
              <w:spacing w:line="400" w:lineRule="exact"/>
              <w:jc w:val="center"/>
              <w:rPr>
                <w:rFonts w:asci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532" w:type="dxa"/>
            <w:tcBorders>
              <w:right w:val="single" w:color="auto" w:sz="4" w:space="0"/>
            </w:tcBorders>
            <w:vAlign w:val="center"/>
          </w:tcPr>
          <w:p>
            <w:pPr>
              <w:spacing w:line="400" w:lineRule="exact"/>
              <w:jc w:val="center"/>
              <w:rPr>
                <w:rFonts w:ascii="宋体" w:cs="宋体"/>
                <w:sz w:val="24"/>
              </w:rPr>
            </w:pPr>
            <w:r>
              <w:rPr>
                <w:rFonts w:ascii="宋体" w:hAnsi="宋体" w:cs="宋体"/>
                <w:sz w:val="24"/>
              </w:rPr>
              <w:t>2</w:t>
            </w:r>
          </w:p>
        </w:tc>
        <w:tc>
          <w:tcPr>
            <w:tcW w:w="1641" w:type="dxa"/>
            <w:tcBorders>
              <w:left w:val="single" w:color="auto" w:sz="4" w:space="0"/>
              <w:right w:val="single" w:color="auto" w:sz="4" w:space="0"/>
            </w:tcBorders>
            <w:vAlign w:val="center"/>
          </w:tcPr>
          <w:p>
            <w:pPr>
              <w:spacing w:line="400" w:lineRule="exact"/>
              <w:jc w:val="center"/>
              <w:rPr>
                <w:rFonts w:ascii="宋体" w:cs="宋体"/>
                <w:sz w:val="24"/>
              </w:rPr>
            </w:pPr>
          </w:p>
        </w:tc>
        <w:tc>
          <w:tcPr>
            <w:tcW w:w="738" w:type="dxa"/>
            <w:tcBorders>
              <w:right w:val="single" w:color="auto" w:sz="4" w:space="0"/>
            </w:tcBorders>
            <w:vAlign w:val="center"/>
          </w:tcPr>
          <w:p>
            <w:pPr>
              <w:spacing w:line="400" w:lineRule="exact"/>
              <w:jc w:val="center"/>
              <w:rPr>
                <w:rFonts w:ascii="宋体" w:cs="宋体"/>
                <w:sz w:val="24"/>
              </w:rPr>
            </w:pPr>
          </w:p>
        </w:tc>
        <w:tc>
          <w:tcPr>
            <w:tcW w:w="871" w:type="dxa"/>
            <w:tcBorders>
              <w:left w:val="single" w:color="auto" w:sz="4" w:space="0"/>
              <w:right w:val="single" w:color="auto" w:sz="4" w:space="0"/>
            </w:tcBorders>
            <w:vAlign w:val="center"/>
          </w:tcPr>
          <w:p>
            <w:pPr>
              <w:spacing w:line="400" w:lineRule="exact"/>
              <w:jc w:val="center"/>
              <w:rPr>
                <w:rFonts w:ascii="宋体" w:cs="宋体"/>
                <w:sz w:val="24"/>
              </w:rPr>
            </w:pPr>
          </w:p>
        </w:tc>
        <w:tc>
          <w:tcPr>
            <w:tcW w:w="1135" w:type="dxa"/>
            <w:tcBorders>
              <w:left w:val="single" w:color="auto" w:sz="4" w:space="0"/>
              <w:right w:val="single" w:color="auto" w:sz="4" w:space="0"/>
            </w:tcBorders>
            <w:vAlign w:val="center"/>
          </w:tcPr>
          <w:p>
            <w:pPr>
              <w:spacing w:line="400" w:lineRule="exact"/>
              <w:jc w:val="center"/>
              <w:rPr>
                <w:rFonts w:ascii="宋体" w:cs="宋体"/>
                <w:sz w:val="24"/>
              </w:rPr>
            </w:pPr>
          </w:p>
        </w:tc>
        <w:tc>
          <w:tcPr>
            <w:tcW w:w="2133" w:type="dxa"/>
            <w:vMerge w:val="continue"/>
            <w:tcBorders>
              <w:left w:val="single" w:color="auto" w:sz="4" w:space="0"/>
              <w:right w:val="single" w:color="auto" w:sz="4" w:space="0"/>
            </w:tcBorders>
            <w:vAlign w:val="center"/>
          </w:tcPr>
          <w:p>
            <w:pPr>
              <w:spacing w:line="400" w:lineRule="exact"/>
              <w:jc w:val="center"/>
              <w:rPr>
                <w:rFonts w:ascii="宋体" w:cs="宋体"/>
                <w:sz w:val="24"/>
              </w:rPr>
            </w:pPr>
          </w:p>
        </w:tc>
        <w:tc>
          <w:tcPr>
            <w:tcW w:w="2121" w:type="dxa"/>
            <w:tcBorders>
              <w:left w:val="single" w:color="auto" w:sz="4" w:space="0"/>
              <w:right w:val="single" w:color="auto" w:sz="4" w:space="0"/>
            </w:tcBorders>
            <w:vAlign w:val="center"/>
          </w:tcPr>
          <w:p>
            <w:pPr>
              <w:spacing w:line="400" w:lineRule="exact"/>
              <w:jc w:val="center"/>
              <w:rPr>
                <w:rFonts w:asci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532" w:type="dxa"/>
            <w:tcBorders>
              <w:right w:val="single" w:color="auto" w:sz="4" w:space="0"/>
            </w:tcBorders>
            <w:vAlign w:val="center"/>
          </w:tcPr>
          <w:p>
            <w:pPr>
              <w:spacing w:line="400" w:lineRule="exact"/>
              <w:jc w:val="center"/>
              <w:rPr>
                <w:rFonts w:ascii="宋体" w:cs="宋体"/>
                <w:sz w:val="24"/>
              </w:rPr>
            </w:pPr>
          </w:p>
        </w:tc>
        <w:tc>
          <w:tcPr>
            <w:tcW w:w="1641" w:type="dxa"/>
            <w:tcBorders>
              <w:left w:val="single" w:color="auto" w:sz="4" w:space="0"/>
              <w:right w:val="single" w:color="auto" w:sz="4" w:space="0"/>
            </w:tcBorders>
            <w:vAlign w:val="center"/>
          </w:tcPr>
          <w:p>
            <w:pPr>
              <w:spacing w:line="400" w:lineRule="exact"/>
              <w:jc w:val="center"/>
              <w:rPr>
                <w:rFonts w:ascii="宋体" w:cs="宋体"/>
                <w:sz w:val="24"/>
              </w:rPr>
            </w:pPr>
          </w:p>
        </w:tc>
        <w:tc>
          <w:tcPr>
            <w:tcW w:w="738" w:type="dxa"/>
            <w:tcBorders>
              <w:right w:val="single" w:color="auto" w:sz="4" w:space="0"/>
            </w:tcBorders>
            <w:vAlign w:val="center"/>
          </w:tcPr>
          <w:p>
            <w:pPr>
              <w:spacing w:line="400" w:lineRule="exact"/>
              <w:jc w:val="center"/>
              <w:rPr>
                <w:rFonts w:ascii="宋体" w:cs="宋体"/>
                <w:sz w:val="24"/>
              </w:rPr>
            </w:pPr>
          </w:p>
        </w:tc>
        <w:tc>
          <w:tcPr>
            <w:tcW w:w="871" w:type="dxa"/>
            <w:tcBorders>
              <w:left w:val="single" w:color="auto" w:sz="4" w:space="0"/>
              <w:right w:val="single" w:color="auto" w:sz="4" w:space="0"/>
            </w:tcBorders>
            <w:vAlign w:val="center"/>
          </w:tcPr>
          <w:p>
            <w:pPr>
              <w:spacing w:line="400" w:lineRule="exact"/>
              <w:jc w:val="center"/>
              <w:rPr>
                <w:rFonts w:ascii="宋体" w:cs="宋体"/>
                <w:sz w:val="24"/>
              </w:rPr>
            </w:pPr>
          </w:p>
        </w:tc>
        <w:tc>
          <w:tcPr>
            <w:tcW w:w="1135" w:type="dxa"/>
            <w:tcBorders>
              <w:left w:val="single" w:color="auto" w:sz="4" w:space="0"/>
              <w:right w:val="single" w:color="auto" w:sz="4" w:space="0"/>
            </w:tcBorders>
            <w:vAlign w:val="center"/>
          </w:tcPr>
          <w:p>
            <w:pPr>
              <w:spacing w:line="400" w:lineRule="exact"/>
              <w:jc w:val="center"/>
              <w:rPr>
                <w:rFonts w:ascii="宋体" w:cs="宋体"/>
                <w:sz w:val="24"/>
              </w:rPr>
            </w:pPr>
          </w:p>
        </w:tc>
        <w:tc>
          <w:tcPr>
            <w:tcW w:w="2133" w:type="dxa"/>
            <w:vMerge w:val="continue"/>
            <w:tcBorders>
              <w:left w:val="single" w:color="auto" w:sz="4" w:space="0"/>
              <w:right w:val="single" w:color="auto" w:sz="4" w:space="0"/>
            </w:tcBorders>
            <w:vAlign w:val="center"/>
          </w:tcPr>
          <w:p>
            <w:pPr>
              <w:spacing w:line="400" w:lineRule="exact"/>
              <w:jc w:val="center"/>
              <w:rPr>
                <w:rFonts w:ascii="宋体" w:cs="宋体"/>
                <w:sz w:val="24"/>
              </w:rPr>
            </w:pPr>
          </w:p>
        </w:tc>
        <w:tc>
          <w:tcPr>
            <w:tcW w:w="2121" w:type="dxa"/>
            <w:tcBorders>
              <w:left w:val="single" w:color="auto" w:sz="4" w:space="0"/>
              <w:right w:val="single" w:color="auto" w:sz="4" w:space="0"/>
            </w:tcBorders>
            <w:vAlign w:val="center"/>
          </w:tcPr>
          <w:p>
            <w:pPr>
              <w:spacing w:line="400" w:lineRule="exact"/>
              <w:jc w:val="center"/>
              <w:rPr>
                <w:rFonts w:asci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532" w:type="dxa"/>
            <w:tcBorders>
              <w:right w:val="single" w:color="auto" w:sz="4" w:space="0"/>
            </w:tcBorders>
            <w:vAlign w:val="center"/>
          </w:tcPr>
          <w:p>
            <w:pPr>
              <w:spacing w:line="400" w:lineRule="exact"/>
              <w:jc w:val="center"/>
              <w:rPr>
                <w:rFonts w:ascii="宋体" w:cs="宋体"/>
                <w:sz w:val="24"/>
              </w:rPr>
            </w:pPr>
          </w:p>
        </w:tc>
        <w:tc>
          <w:tcPr>
            <w:tcW w:w="1641" w:type="dxa"/>
            <w:tcBorders>
              <w:left w:val="single" w:color="auto" w:sz="4" w:space="0"/>
              <w:right w:val="single" w:color="auto" w:sz="4" w:space="0"/>
            </w:tcBorders>
            <w:vAlign w:val="center"/>
          </w:tcPr>
          <w:p>
            <w:pPr>
              <w:spacing w:line="400" w:lineRule="exact"/>
              <w:jc w:val="center"/>
              <w:rPr>
                <w:rFonts w:ascii="宋体" w:cs="宋体"/>
                <w:sz w:val="24"/>
              </w:rPr>
            </w:pPr>
          </w:p>
        </w:tc>
        <w:tc>
          <w:tcPr>
            <w:tcW w:w="738" w:type="dxa"/>
            <w:tcBorders>
              <w:right w:val="single" w:color="auto" w:sz="4" w:space="0"/>
            </w:tcBorders>
            <w:vAlign w:val="center"/>
          </w:tcPr>
          <w:p>
            <w:pPr>
              <w:spacing w:line="400" w:lineRule="exact"/>
              <w:jc w:val="center"/>
              <w:rPr>
                <w:rFonts w:ascii="宋体" w:cs="宋体"/>
                <w:sz w:val="24"/>
              </w:rPr>
            </w:pPr>
          </w:p>
        </w:tc>
        <w:tc>
          <w:tcPr>
            <w:tcW w:w="871" w:type="dxa"/>
            <w:tcBorders>
              <w:left w:val="single" w:color="auto" w:sz="4" w:space="0"/>
              <w:right w:val="single" w:color="auto" w:sz="4" w:space="0"/>
            </w:tcBorders>
            <w:vAlign w:val="center"/>
          </w:tcPr>
          <w:p>
            <w:pPr>
              <w:spacing w:line="400" w:lineRule="exact"/>
              <w:jc w:val="center"/>
              <w:rPr>
                <w:rFonts w:ascii="宋体" w:cs="宋体"/>
                <w:sz w:val="24"/>
              </w:rPr>
            </w:pPr>
          </w:p>
        </w:tc>
        <w:tc>
          <w:tcPr>
            <w:tcW w:w="1135" w:type="dxa"/>
            <w:tcBorders>
              <w:left w:val="single" w:color="auto" w:sz="4" w:space="0"/>
              <w:right w:val="single" w:color="auto" w:sz="4" w:space="0"/>
            </w:tcBorders>
            <w:vAlign w:val="center"/>
          </w:tcPr>
          <w:p>
            <w:pPr>
              <w:spacing w:line="400" w:lineRule="exact"/>
              <w:jc w:val="center"/>
              <w:rPr>
                <w:rFonts w:ascii="宋体" w:cs="宋体"/>
                <w:sz w:val="24"/>
              </w:rPr>
            </w:pPr>
          </w:p>
        </w:tc>
        <w:tc>
          <w:tcPr>
            <w:tcW w:w="2133" w:type="dxa"/>
            <w:vMerge w:val="continue"/>
            <w:tcBorders>
              <w:left w:val="single" w:color="auto" w:sz="4" w:space="0"/>
              <w:right w:val="single" w:color="auto" w:sz="4" w:space="0"/>
            </w:tcBorders>
            <w:vAlign w:val="center"/>
          </w:tcPr>
          <w:p>
            <w:pPr>
              <w:spacing w:line="400" w:lineRule="exact"/>
              <w:jc w:val="center"/>
              <w:rPr>
                <w:rFonts w:ascii="宋体" w:cs="宋体"/>
                <w:sz w:val="24"/>
              </w:rPr>
            </w:pPr>
          </w:p>
        </w:tc>
        <w:tc>
          <w:tcPr>
            <w:tcW w:w="2121" w:type="dxa"/>
            <w:tcBorders>
              <w:left w:val="single" w:color="auto" w:sz="4" w:space="0"/>
              <w:right w:val="single" w:color="auto" w:sz="4" w:space="0"/>
            </w:tcBorders>
            <w:vAlign w:val="center"/>
          </w:tcPr>
          <w:p>
            <w:pPr>
              <w:spacing w:line="400" w:lineRule="exact"/>
              <w:jc w:val="center"/>
              <w:rPr>
                <w:rFonts w:asci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050" w:type="dxa"/>
            <w:gridSpan w:val="6"/>
            <w:tcBorders>
              <w:bottom w:val="single" w:color="auto" w:sz="12" w:space="0"/>
              <w:right w:val="single" w:color="auto" w:sz="4" w:space="0"/>
            </w:tcBorders>
            <w:vAlign w:val="center"/>
          </w:tcPr>
          <w:p>
            <w:pPr>
              <w:spacing w:line="400" w:lineRule="exact"/>
              <w:rPr>
                <w:rFonts w:ascii="宋体" w:cs="宋体"/>
                <w:sz w:val="24"/>
              </w:rPr>
            </w:pPr>
            <w:r>
              <w:rPr>
                <w:rFonts w:hint="eastAsia" w:ascii="宋体" w:hAnsi="宋体" w:cs="宋体"/>
                <w:sz w:val="24"/>
              </w:rPr>
              <w:t>合计（大写）：</w:t>
            </w:r>
          </w:p>
        </w:tc>
        <w:tc>
          <w:tcPr>
            <w:tcW w:w="2121" w:type="dxa"/>
            <w:tcBorders>
              <w:bottom w:val="single" w:color="auto" w:sz="12" w:space="0"/>
              <w:right w:val="single" w:color="auto" w:sz="4" w:space="0"/>
            </w:tcBorders>
            <w:vAlign w:val="center"/>
          </w:tcPr>
          <w:p>
            <w:pPr>
              <w:spacing w:line="400" w:lineRule="exact"/>
              <w:rPr>
                <w:rFonts w:ascii="宋体" w:cs="宋体"/>
                <w:sz w:val="24"/>
              </w:rPr>
            </w:pPr>
          </w:p>
        </w:tc>
      </w:tr>
    </w:tbl>
    <w:p>
      <w:pPr>
        <w:spacing w:line="380" w:lineRule="exact"/>
        <w:rPr>
          <w:rFonts w:ascii="宋体" w:cs="宋体"/>
        </w:rPr>
      </w:pPr>
      <w:r>
        <w:rPr>
          <w:rFonts w:hint="eastAsia" w:ascii="宋体" w:hAnsi="宋体" w:cs="宋体"/>
          <w:sz w:val="24"/>
        </w:rPr>
        <w:t>注：供应商必须填写各分项费用，以证明响应报价的合理性，否则视为无效响应。</w:t>
      </w:r>
    </w:p>
    <w:p>
      <w:pPr>
        <w:spacing w:line="380" w:lineRule="exact"/>
        <w:rPr>
          <w:rFonts w:ascii="宋体" w:cs="宋体"/>
        </w:rPr>
      </w:pPr>
    </w:p>
    <w:p>
      <w:pPr>
        <w:spacing w:line="380" w:lineRule="exact"/>
        <w:rPr>
          <w:rFonts w:ascii="宋体" w:cs="宋体"/>
        </w:rPr>
      </w:pPr>
    </w:p>
    <w:p>
      <w:pPr>
        <w:spacing w:line="432" w:lineRule="auto"/>
        <w:rPr>
          <w:rFonts w:ascii="宋体" w:cs="宋体"/>
          <w:sz w:val="24"/>
        </w:rPr>
        <w:sectPr>
          <w:pgSz w:w="11907" w:h="16840"/>
          <w:pgMar w:top="1474" w:right="1134" w:bottom="1474" w:left="1814" w:header="720" w:footer="720" w:gutter="0"/>
          <w:cols w:space="720" w:num="1"/>
          <w:docGrid w:linePitch="285" w:charSpace="0"/>
        </w:sectPr>
      </w:pPr>
      <w:r>
        <w:rPr>
          <w:rFonts w:hint="eastAsia" w:ascii="宋体" w:hAnsi="宋体" w:cs="宋体"/>
          <w:sz w:val="24"/>
          <w:szCs w:val="24"/>
        </w:rPr>
        <w:t>供应商盖章：</w:t>
      </w:r>
    </w:p>
    <w:p>
      <w:pPr>
        <w:pStyle w:val="5"/>
        <w:spacing w:before="0" w:after="0" w:line="460" w:lineRule="exact"/>
        <w:jc w:val="center"/>
        <w:rPr>
          <w:rFonts w:ascii="宋体" w:cs="宋体"/>
          <w:sz w:val="30"/>
          <w:szCs w:val="30"/>
        </w:rPr>
      </w:pPr>
      <w:bookmarkStart w:id="126" w:name="_Toc498611434"/>
      <w:bookmarkStart w:id="127" w:name="_Toc6960"/>
      <w:r>
        <w:rPr>
          <w:rFonts w:hint="eastAsia" w:ascii="宋体" w:hAnsi="宋体" w:cs="宋体"/>
          <w:sz w:val="30"/>
          <w:szCs w:val="30"/>
        </w:rPr>
        <w:t>格式</w:t>
      </w:r>
      <w:r>
        <w:rPr>
          <w:rFonts w:ascii="宋体" w:hAnsi="宋体" w:cs="宋体"/>
          <w:sz w:val="30"/>
          <w:szCs w:val="30"/>
        </w:rPr>
        <w:t xml:space="preserve">5. </w:t>
      </w:r>
      <w:r>
        <w:rPr>
          <w:rFonts w:hint="eastAsia" w:ascii="宋体" w:hAnsi="宋体" w:cs="宋体"/>
          <w:sz w:val="30"/>
          <w:szCs w:val="30"/>
        </w:rPr>
        <w:t>服务要求响应</w:t>
      </w:r>
      <w:r>
        <w:rPr>
          <w:rFonts w:ascii="宋体" w:hAnsi="宋体" w:cs="宋体"/>
          <w:sz w:val="30"/>
          <w:szCs w:val="30"/>
        </w:rPr>
        <w:t>/</w:t>
      </w:r>
      <w:r>
        <w:rPr>
          <w:rFonts w:hint="eastAsia" w:ascii="宋体" w:hAnsi="宋体" w:cs="宋体"/>
          <w:sz w:val="30"/>
          <w:szCs w:val="30"/>
        </w:rPr>
        <w:t>偏离表</w:t>
      </w:r>
      <w:bookmarkEnd w:id="126"/>
      <w:bookmarkEnd w:id="127"/>
    </w:p>
    <w:p>
      <w:pPr>
        <w:rPr>
          <w:rFonts w:ascii="宋体" w:cs="宋体"/>
          <w:sz w:val="24"/>
          <w:szCs w:val="24"/>
        </w:rPr>
      </w:pPr>
    </w:p>
    <w:p>
      <w:pPr>
        <w:rPr>
          <w:rFonts w:ascii="宋体" w:cs="宋体"/>
          <w:sz w:val="24"/>
          <w:szCs w:val="24"/>
        </w:rPr>
      </w:pPr>
      <w:r>
        <w:rPr>
          <w:rFonts w:hint="eastAsia" w:ascii="宋体" w:hAnsi="宋体" w:cs="宋体"/>
          <w:sz w:val="24"/>
          <w:szCs w:val="24"/>
        </w:rPr>
        <w:t>项目编号：</w:t>
      </w:r>
    </w:p>
    <w:tbl>
      <w:tblPr>
        <w:tblStyle w:val="2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738" w:type="dxa"/>
            <w:vAlign w:val="center"/>
          </w:tcPr>
          <w:p>
            <w:pPr>
              <w:spacing w:line="432" w:lineRule="auto"/>
              <w:jc w:val="center"/>
              <w:rPr>
                <w:rFonts w:ascii="宋体" w:cs="宋体"/>
                <w:sz w:val="24"/>
              </w:rPr>
            </w:pPr>
            <w:r>
              <w:rPr>
                <w:rFonts w:hint="eastAsia" w:ascii="宋体" w:hAnsi="宋体" w:cs="宋体"/>
                <w:sz w:val="24"/>
              </w:rPr>
              <w:t>序号</w:t>
            </w:r>
          </w:p>
        </w:tc>
        <w:tc>
          <w:tcPr>
            <w:tcW w:w="1704" w:type="dxa"/>
            <w:vAlign w:val="center"/>
          </w:tcPr>
          <w:p>
            <w:pPr>
              <w:spacing w:line="432" w:lineRule="auto"/>
              <w:jc w:val="center"/>
              <w:rPr>
                <w:rFonts w:ascii="宋体" w:cs="宋体"/>
                <w:sz w:val="24"/>
              </w:rPr>
            </w:pPr>
            <w:r>
              <w:rPr>
                <w:rFonts w:hint="eastAsia" w:ascii="宋体" w:hAnsi="宋体" w:cs="宋体"/>
                <w:sz w:val="24"/>
              </w:rPr>
              <w:t>磋商文件条目号</w:t>
            </w:r>
          </w:p>
        </w:tc>
        <w:tc>
          <w:tcPr>
            <w:tcW w:w="2346" w:type="dxa"/>
            <w:vAlign w:val="center"/>
          </w:tcPr>
          <w:p>
            <w:pPr>
              <w:spacing w:line="432" w:lineRule="auto"/>
              <w:jc w:val="center"/>
              <w:rPr>
                <w:rFonts w:ascii="宋体" w:cs="宋体"/>
                <w:sz w:val="24"/>
              </w:rPr>
            </w:pPr>
            <w:r>
              <w:rPr>
                <w:rFonts w:hint="eastAsia" w:ascii="宋体" w:hAnsi="宋体" w:cs="宋体"/>
                <w:sz w:val="24"/>
              </w:rPr>
              <w:t>磋商文件服务要求</w:t>
            </w:r>
          </w:p>
        </w:tc>
        <w:tc>
          <w:tcPr>
            <w:tcW w:w="1620" w:type="dxa"/>
            <w:vAlign w:val="center"/>
          </w:tcPr>
          <w:p>
            <w:pPr>
              <w:spacing w:line="432" w:lineRule="auto"/>
              <w:jc w:val="center"/>
              <w:rPr>
                <w:rFonts w:ascii="宋体" w:cs="宋体"/>
                <w:sz w:val="24"/>
              </w:rPr>
            </w:pPr>
            <w:r>
              <w:rPr>
                <w:rFonts w:hint="eastAsia" w:ascii="宋体" w:hAnsi="宋体" w:cs="宋体"/>
                <w:sz w:val="24"/>
              </w:rPr>
              <w:t>服务要求响应内容</w:t>
            </w:r>
          </w:p>
        </w:tc>
        <w:tc>
          <w:tcPr>
            <w:tcW w:w="920" w:type="dxa"/>
            <w:vAlign w:val="center"/>
          </w:tcPr>
          <w:p>
            <w:pPr>
              <w:spacing w:line="432" w:lineRule="auto"/>
              <w:jc w:val="center"/>
              <w:rPr>
                <w:rFonts w:ascii="宋体" w:cs="宋体"/>
                <w:sz w:val="24"/>
              </w:rPr>
            </w:pPr>
            <w:r>
              <w:rPr>
                <w:rFonts w:hint="eastAsia" w:ascii="宋体" w:hAnsi="宋体" w:cs="宋体"/>
                <w:sz w:val="24"/>
              </w:rPr>
              <w:t>响应</w:t>
            </w:r>
            <w:r>
              <w:rPr>
                <w:rFonts w:ascii="宋体" w:hAnsi="宋体" w:cs="宋体"/>
                <w:sz w:val="24"/>
              </w:rPr>
              <w:t>/</w:t>
            </w:r>
            <w:r>
              <w:rPr>
                <w:rFonts w:hint="eastAsia" w:ascii="宋体" w:hAnsi="宋体" w:cs="宋体"/>
                <w:sz w:val="24"/>
              </w:rPr>
              <w:t>偏离</w:t>
            </w:r>
          </w:p>
        </w:tc>
        <w:tc>
          <w:tcPr>
            <w:tcW w:w="1222" w:type="dxa"/>
            <w:vAlign w:val="center"/>
          </w:tcPr>
          <w:p>
            <w:pPr>
              <w:spacing w:line="432" w:lineRule="auto"/>
              <w:jc w:val="center"/>
              <w:rPr>
                <w:rFonts w:asci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trPr>
        <w:tc>
          <w:tcPr>
            <w:tcW w:w="738" w:type="dxa"/>
          </w:tcPr>
          <w:p>
            <w:pPr>
              <w:spacing w:line="432" w:lineRule="auto"/>
              <w:rPr>
                <w:rFonts w:ascii="宋体" w:cs="宋体"/>
                <w:sz w:val="24"/>
              </w:rPr>
            </w:pPr>
          </w:p>
        </w:tc>
        <w:tc>
          <w:tcPr>
            <w:tcW w:w="1704" w:type="dxa"/>
          </w:tcPr>
          <w:p>
            <w:pPr>
              <w:spacing w:line="432" w:lineRule="auto"/>
              <w:rPr>
                <w:rFonts w:ascii="宋体" w:cs="宋体"/>
                <w:sz w:val="24"/>
              </w:rPr>
            </w:pPr>
          </w:p>
        </w:tc>
        <w:tc>
          <w:tcPr>
            <w:tcW w:w="2346" w:type="dxa"/>
          </w:tcPr>
          <w:p>
            <w:pPr>
              <w:spacing w:line="432" w:lineRule="auto"/>
              <w:rPr>
                <w:rFonts w:ascii="宋体" w:cs="宋体"/>
                <w:sz w:val="24"/>
              </w:rPr>
            </w:pPr>
          </w:p>
        </w:tc>
        <w:tc>
          <w:tcPr>
            <w:tcW w:w="1620" w:type="dxa"/>
          </w:tcPr>
          <w:p>
            <w:pPr>
              <w:spacing w:line="432" w:lineRule="auto"/>
              <w:rPr>
                <w:rFonts w:ascii="宋体" w:cs="宋体"/>
                <w:sz w:val="24"/>
              </w:rPr>
            </w:pPr>
          </w:p>
        </w:tc>
        <w:tc>
          <w:tcPr>
            <w:tcW w:w="920" w:type="dxa"/>
          </w:tcPr>
          <w:p>
            <w:pPr>
              <w:spacing w:line="432" w:lineRule="auto"/>
              <w:rPr>
                <w:rFonts w:ascii="宋体" w:cs="宋体"/>
                <w:sz w:val="24"/>
              </w:rPr>
            </w:pPr>
          </w:p>
        </w:tc>
        <w:tc>
          <w:tcPr>
            <w:tcW w:w="1222" w:type="dxa"/>
          </w:tcPr>
          <w:p>
            <w:pPr>
              <w:spacing w:line="432" w:lineRule="auto"/>
              <w:rPr>
                <w:rFonts w:ascii="宋体" w:cs="宋体"/>
                <w:sz w:val="24"/>
              </w:rPr>
            </w:pPr>
          </w:p>
        </w:tc>
      </w:tr>
    </w:tbl>
    <w:p>
      <w:pPr>
        <w:spacing w:line="432" w:lineRule="auto"/>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、响应</w:t>
      </w:r>
      <w:r>
        <w:rPr>
          <w:rFonts w:ascii="宋体" w:hAnsi="宋体" w:cs="宋体"/>
          <w:sz w:val="24"/>
        </w:rPr>
        <w:t>/</w:t>
      </w:r>
      <w:r>
        <w:rPr>
          <w:rFonts w:hint="eastAsia" w:ascii="宋体" w:hAnsi="宋体" w:cs="宋体"/>
          <w:sz w:val="24"/>
        </w:rPr>
        <w:t>偏离内容应在说明栏中说明该条款在响应文件中（或页码）的依据；</w:t>
      </w:r>
    </w:p>
    <w:p>
      <w:pPr>
        <w:spacing w:line="432" w:lineRule="auto"/>
        <w:ind w:firstLine="480" w:firstLineChars="200"/>
        <w:rPr>
          <w:rFonts w:ascii="宋体" w:cs="宋体"/>
          <w:sz w:val="24"/>
        </w:rPr>
      </w:pPr>
      <w:r>
        <w:rPr>
          <w:rFonts w:ascii="宋体" w:hAnsi="宋体" w:cs="宋体"/>
          <w:sz w:val="24"/>
        </w:rPr>
        <w:t>2</w:t>
      </w:r>
      <w:r>
        <w:rPr>
          <w:rFonts w:hint="eastAsia" w:ascii="宋体" w:hAnsi="宋体" w:cs="宋体"/>
          <w:sz w:val="24"/>
        </w:rPr>
        <w:t>、</w:t>
      </w:r>
      <w:r>
        <w:rPr>
          <w:rFonts w:hint="eastAsia" w:ascii="宋体" w:hAnsi="宋体" w:cs="仿宋"/>
          <w:sz w:val="24"/>
          <w:szCs w:val="24"/>
        </w:rPr>
        <w:t>响应</w:t>
      </w:r>
      <w:r>
        <w:rPr>
          <w:rFonts w:ascii="宋体" w:hAnsi="宋体" w:cs="仿宋"/>
          <w:sz w:val="24"/>
          <w:szCs w:val="24"/>
        </w:rPr>
        <w:t>/</w:t>
      </w:r>
      <w:r>
        <w:rPr>
          <w:rFonts w:hint="eastAsia" w:ascii="宋体" w:hAnsi="宋体" w:cs="仿宋"/>
          <w:sz w:val="24"/>
          <w:szCs w:val="24"/>
        </w:rPr>
        <w:t>偏离表内容如未填写，视为完全响应。</w:t>
      </w:r>
    </w:p>
    <w:p>
      <w:pPr>
        <w:spacing w:line="432" w:lineRule="auto"/>
        <w:ind w:firstLine="480" w:firstLineChars="200"/>
        <w:rPr>
          <w:rFonts w:ascii="宋体" w:cs="宋体"/>
          <w:sz w:val="24"/>
        </w:rPr>
      </w:pPr>
      <w:r>
        <w:rPr>
          <w:rFonts w:ascii="宋体" w:hAnsi="宋体" w:cs="宋体"/>
          <w:sz w:val="24"/>
        </w:rPr>
        <w:t>3</w:t>
      </w:r>
      <w:r>
        <w:rPr>
          <w:rFonts w:hint="eastAsia" w:ascii="宋体" w:hAnsi="宋体" w:cs="宋体"/>
          <w:sz w:val="24"/>
        </w:rPr>
        <w:t>、供应商不按上述表格填写，所产生的一切后果由供应商承担。</w:t>
      </w:r>
    </w:p>
    <w:p>
      <w:pPr>
        <w:spacing w:line="432" w:lineRule="auto"/>
        <w:rPr>
          <w:rFonts w:ascii="宋体" w:cs="宋体"/>
          <w:sz w:val="24"/>
        </w:rPr>
      </w:pPr>
    </w:p>
    <w:p>
      <w:pPr>
        <w:spacing w:line="432" w:lineRule="auto"/>
        <w:rPr>
          <w:rFonts w:ascii="宋体" w:cs="宋体"/>
          <w:sz w:val="24"/>
          <w:u w:val="single"/>
        </w:rPr>
      </w:pPr>
      <w:r>
        <w:rPr>
          <w:rFonts w:hint="eastAsia" w:ascii="宋体" w:hAnsi="宋体" w:cs="宋体"/>
          <w:sz w:val="24"/>
        </w:rPr>
        <w:t>供应商盖章：</w:t>
      </w:r>
    </w:p>
    <w:p>
      <w:pPr>
        <w:spacing w:line="432" w:lineRule="auto"/>
        <w:rPr>
          <w:rFonts w:ascii="宋体" w:cs="宋体"/>
          <w:sz w:val="24"/>
          <w:u w:val="single"/>
        </w:rPr>
      </w:pPr>
    </w:p>
    <w:p>
      <w:pPr>
        <w:spacing w:line="432" w:lineRule="auto"/>
        <w:rPr>
          <w:rFonts w:ascii="宋体" w:cs="宋体"/>
          <w:sz w:val="24"/>
          <w:u w:val="single"/>
        </w:rPr>
      </w:pPr>
    </w:p>
    <w:p>
      <w:pPr>
        <w:spacing w:line="432" w:lineRule="auto"/>
        <w:rPr>
          <w:rFonts w:ascii="宋体" w:cs="宋体"/>
          <w:sz w:val="24"/>
          <w:u w:val="single"/>
        </w:rPr>
      </w:pPr>
    </w:p>
    <w:p>
      <w:pPr>
        <w:pStyle w:val="5"/>
        <w:spacing w:before="0" w:after="0" w:line="460" w:lineRule="exact"/>
        <w:jc w:val="center"/>
        <w:rPr>
          <w:rFonts w:ascii="宋体" w:cs="宋体"/>
          <w:sz w:val="30"/>
          <w:szCs w:val="30"/>
        </w:rPr>
      </w:pPr>
      <w:bookmarkStart w:id="128" w:name="_Toc498611435"/>
      <w:bookmarkStart w:id="129" w:name="_Toc7392"/>
      <w:r>
        <w:rPr>
          <w:rFonts w:hint="eastAsia" w:ascii="宋体" w:hAnsi="宋体" w:cs="宋体"/>
          <w:sz w:val="30"/>
          <w:szCs w:val="30"/>
        </w:rPr>
        <w:t>格式</w:t>
      </w:r>
      <w:r>
        <w:rPr>
          <w:rFonts w:ascii="宋体" w:hAnsi="宋体" w:cs="宋体"/>
          <w:sz w:val="30"/>
          <w:szCs w:val="30"/>
        </w:rPr>
        <w:t xml:space="preserve">6. </w:t>
      </w:r>
      <w:r>
        <w:rPr>
          <w:rFonts w:hint="eastAsia" w:ascii="宋体" w:hAnsi="宋体" w:cs="宋体"/>
          <w:sz w:val="30"/>
          <w:szCs w:val="30"/>
        </w:rPr>
        <w:t>商务条款响应</w:t>
      </w:r>
      <w:r>
        <w:rPr>
          <w:rFonts w:ascii="宋体" w:hAnsi="宋体" w:cs="宋体"/>
          <w:sz w:val="30"/>
          <w:szCs w:val="30"/>
        </w:rPr>
        <w:t>/</w:t>
      </w:r>
      <w:r>
        <w:rPr>
          <w:rFonts w:hint="eastAsia" w:ascii="宋体" w:hAnsi="宋体" w:cs="宋体"/>
          <w:sz w:val="30"/>
          <w:szCs w:val="30"/>
        </w:rPr>
        <w:t>偏离表</w:t>
      </w:r>
      <w:bookmarkEnd w:id="128"/>
      <w:bookmarkEnd w:id="129"/>
    </w:p>
    <w:p>
      <w:pPr>
        <w:rPr>
          <w:rFonts w:ascii="宋体" w:cs="宋体"/>
        </w:rPr>
      </w:pPr>
    </w:p>
    <w:p>
      <w:pPr>
        <w:rPr>
          <w:rFonts w:ascii="宋体" w:cs="宋体"/>
          <w:sz w:val="24"/>
        </w:rPr>
      </w:pPr>
      <w:r>
        <w:rPr>
          <w:rFonts w:hint="eastAsia" w:ascii="宋体" w:hAnsi="宋体" w:cs="宋体"/>
          <w:sz w:val="24"/>
          <w:szCs w:val="24"/>
        </w:rPr>
        <w:t>项目编号：</w:t>
      </w:r>
      <w:bookmarkStart w:id="130" w:name="_Toc498611436"/>
    </w:p>
    <w:tbl>
      <w:tblPr>
        <w:tblStyle w:val="2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984"/>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70" w:type="dxa"/>
            <w:vAlign w:val="center"/>
          </w:tcPr>
          <w:p>
            <w:pPr>
              <w:spacing w:line="432" w:lineRule="auto"/>
              <w:jc w:val="center"/>
              <w:rPr>
                <w:rFonts w:ascii="宋体" w:cs="宋体"/>
                <w:sz w:val="24"/>
              </w:rPr>
            </w:pPr>
            <w:r>
              <w:rPr>
                <w:rFonts w:hint="eastAsia" w:ascii="宋体" w:hAnsi="宋体" w:cs="宋体"/>
                <w:sz w:val="24"/>
              </w:rPr>
              <w:t>序号</w:t>
            </w:r>
          </w:p>
        </w:tc>
        <w:tc>
          <w:tcPr>
            <w:tcW w:w="1471" w:type="dxa"/>
            <w:vAlign w:val="center"/>
          </w:tcPr>
          <w:p>
            <w:pPr>
              <w:spacing w:line="432" w:lineRule="auto"/>
              <w:jc w:val="center"/>
              <w:rPr>
                <w:rFonts w:ascii="宋体" w:cs="宋体"/>
                <w:sz w:val="24"/>
              </w:rPr>
            </w:pPr>
            <w:r>
              <w:rPr>
                <w:rFonts w:hint="eastAsia" w:ascii="宋体" w:hAnsi="宋体" w:cs="宋体"/>
                <w:sz w:val="24"/>
              </w:rPr>
              <w:t>磋商文件条目号</w:t>
            </w:r>
          </w:p>
        </w:tc>
        <w:tc>
          <w:tcPr>
            <w:tcW w:w="1470" w:type="dxa"/>
            <w:vAlign w:val="center"/>
          </w:tcPr>
          <w:p>
            <w:pPr>
              <w:spacing w:line="432" w:lineRule="auto"/>
              <w:jc w:val="center"/>
              <w:rPr>
                <w:rFonts w:ascii="宋体" w:cs="宋体"/>
                <w:sz w:val="24"/>
              </w:rPr>
            </w:pPr>
            <w:r>
              <w:rPr>
                <w:rFonts w:hint="eastAsia" w:ascii="宋体" w:hAnsi="宋体" w:cs="宋体"/>
                <w:sz w:val="24"/>
              </w:rPr>
              <w:t>磋商文件的商务条款</w:t>
            </w:r>
          </w:p>
        </w:tc>
        <w:tc>
          <w:tcPr>
            <w:tcW w:w="1817" w:type="dxa"/>
            <w:vAlign w:val="center"/>
          </w:tcPr>
          <w:p>
            <w:pPr>
              <w:spacing w:line="432" w:lineRule="auto"/>
              <w:jc w:val="center"/>
              <w:rPr>
                <w:rFonts w:ascii="宋体" w:cs="宋体"/>
                <w:sz w:val="24"/>
              </w:rPr>
            </w:pPr>
            <w:r>
              <w:rPr>
                <w:rFonts w:hint="eastAsia" w:ascii="宋体" w:hAnsi="宋体" w:cs="宋体"/>
                <w:sz w:val="24"/>
              </w:rPr>
              <w:t>响应文件的商务条款</w:t>
            </w:r>
          </w:p>
        </w:tc>
        <w:tc>
          <w:tcPr>
            <w:tcW w:w="984" w:type="dxa"/>
            <w:vAlign w:val="center"/>
          </w:tcPr>
          <w:p>
            <w:pPr>
              <w:spacing w:line="432" w:lineRule="auto"/>
              <w:jc w:val="center"/>
              <w:rPr>
                <w:rFonts w:ascii="宋体" w:cs="宋体"/>
                <w:sz w:val="24"/>
              </w:rPr>
            </w:pPr>
            <w:r>
              <w:rPr>
                <w:rFonts w:hint="eastAsia" w:ascii="宋体" w:hAnsi="宋体" w:cs="宋体"/>
                <w:sz w:val="24"/>
              </w:rPr>
              <w:t>响应</w:t>
            </w:r>
            <w:r>
              <w:rPr>
                <w:rFonts w:ascii="宋体" w:hAnsi="宋体" w:cs="宋体"/>
                <w:sz w:val="24"/>
              </w:rPr>
              <w:t>/</w:t>
            </w:r>
            <w:r>
              <w:rPr>
                <w:rFonts w:hint="eastAsia" w:ascii="宋体" w:hAnsi="宋体" w:cs="宋体"/>
                <w:sz w:val="24"/>
              </w:rPr>
              <w:t>偏离</w:t>
            </w:r>
          </w:p>
        </w:tc>
        <w:tc>
          <w:tcPr>
            <w:tcW w:w="1611" w:type="dxa"/>
            <w:vAlign w:val="center"/>
          </w:tcPr>
          <w:p>
            <w:pPr>
              <w:spacing w:line="432" w:lineRule="auto"/>
              <w:jc w:val="center"/>
              <w:rPr>
                <w:rFonts w:asci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70" w:type="dxa"/>
          </w:tcPr>
          <w:p>
            <w:pPr>
              <w:spacing w:line="432" w:lineRule="auto"/>
              <w:rPr>
                <w:rFonts w:ascii="宋体" w:cs="宋体"/>
                <w:sz w:val="24"/>
              </w:rPr>
            </w:pPr>
          </w:p>
        </w:tc>
        <w:tc>
          <w:tcPr>
            <w:tcW w:w="1471" w:type="dxa"/>
          </w:tcPr>
          <w:p>
            <w:pPr>
              <w:spacing w:line="432" w:lineRule="auto"/>
              <w:rPr>
                <w:rFonts w:ascii="宋体" w:cs="宋体"/>
                <w:sz w:val="24"/>
              </w:rPr>
            </w:pPr>
          </w:p>
        </w:tc>
        <w:tc>
          <w:tcPr>
            <w:tcW w:w="1470" w:type="dxa"/>
          </w:tcPr>
          <w:p>
            <w:pPr>
              <w:spacing w:line="432" w:lineRule="auto"/>
              <w:rPr>
                <w:rFonts w:ascii="宋体" w:cs="宋体"/>
                <w:sz w:val="24"/>
              </w:rPr>
            </w:pPr>
          </w:p>
        </w:tc>
        <w:tc>
          <w:tcPr>
            <w:tcW w:w="1817" w:type="dxa"/>
          </w:tcPr>
          <w:p>
            <w:pPr>
              <w:spacing w:line="432" w:lineRule="auto"/>
              <w:rPr>
                <w:rFonts w:ascii="宋体" w:cs="宋体"/>
                <w:sz w:val="24"/>
              </w:rPr>
            </w:pPr>
          </w:p>
        </w:tc>
        <w:tc>
          <w:tcPr>
            <w:tcW w:w="984" w:type="dxa"/>
          </w:tcPr>
          <w:p>
            <w:pPr>
              <w:spacing w:line="432" w:lineRule="auto"/>
              <w:rPr>
                <w:rFonts w:ascii="宋体" w:cs="宋体"/>
                <w:sz w:val="24"/>
              </w:rPr>
            </w:pPr>
          </w:p>
        </w:tc>
        <w:tc>
          <w:tcPr>
            <w:tcW w:w="1611" w:type="dxa"/>
          </w:tcPr>
          <w:p>
            <w:pPr>
              <w:spacing w:line="432" w:lineRule="auto"/>
              <w:rPr>
                <w:rFonts w:ascii="宋体" w:cs="宋体"/>
                <w:sz w:val="24"/>
              </w:rPr>
            </w:pPr>
          </w:p>
        </w:tc>
      </w:tr>
    </w:tbl>
    <w:p>
      <w:pPr>
        <w:spacing w:line="360" w:lineRule="auto"/>
        <w:rPr>
          <w:rFonts w:ascii="宋体" w:cs="宋体"/>
          <w:sz w:val="24"/>
          <w:szCs w:val="22"/>
        </w:rPr>
      </w:pPr>
      <w:r>
        <w:rPr>
          <w:rFonts w:hint="eastAsia" w:ascii="宋体" w:hAnsi="宋体" w:cs="宋体"/>
          <w:sz w:val="24"/>
          <w:szCs w:val="22"/>
        </w:rPr>
        <w:t>注：</w:t>
      </w:r>
      <w:r>
        <w:rPr>
          <w:rFonts w:ascii="宋体" w:hAnsi="宋体" w:cs="宋体"/>
          <w:sz w:val="24"/>
          <w:szCs w:val="22"/>
        </w:rPr>
        <w:t xml:space="preserve"> 1</w:t>
      </w:r>
      <w:r>
        <w:rPr>
          <w:rFonts w:hint="eastAsia" w:ascii="宋体" w:hAnsi="宋体" w:cs="宋体"/>
          <w:sz w:val="24"/>
          <w:szCs w:val="22"/>
        </w:rPr>
        <w:t>、响应</w:t>
      </w:r>
      <w:r>
        <w:rPr>
          <w:rFonts w:ascii="宋体" w:hAnsi="宋体" w:cs="宋体"/>
          <w:sz w:val="24"/>
          <w:szCs w:val="22"/>
        </w:rPr>
        <w:t>/</w:t>
      </w:r>
      <w:r>
        <w:rPr>
          <w:rFonts w:hint="eastAsia" w:ascii="宋体" w:hAnsi="宋体" w:cs="宋体"/>
          <w:sz w:val="24"/>
          <w:szCs w:val="22"/>
        </w:rPr>
        <w:t>偏离内容应在说明栏中说明该条款在投标文件中（或页码）的依据；</w:t>
      </w:r>
    </w:p>
    <w:p>
      <w:pPr>
        <w:spacing w:line="360" w:lineRule="auto"/>
        <w:ind w:firstLine="480" w:firstLineChars="200"/>
        <w:rPr>
          <w:rFonts w:ascii="宋体" w:cs="宋体"/>
          <w:sz w:val="24"/>
          <w:szCs w:val="22"/>
        </w:rPr>
      </w:pPr>
      <w:r>
        <w:rPr>
          <w:rFonts w:ascii="宋体" w:hAnsi="宋体" w:cs="宋体"/>
          <w:sz w:val="24"/>
          <w:szCs w:val="22"/>
        </w:rPr>
        <w:t xml:space="preserve"> 2</w:t>
      </w:r>
      <w:r>
        <w:rPr>
          <w:rFonts w:hint="eastAsia" w:ascii="宋体" w:hAnsi="宋体" w:cs="宋体"/>
          <w:sz w:val="24"/>
          <w:szCs w:val="22"/>
        </w:rPr>
        <w:t>、响应</w:t>
      </w:r>
      <w:r>
        <w:rPr>
          <w:rFonts w:ascii="宋体" w:hAnsi="宋体" w:cs="宋体"/>
          <w:sz w:val="24"/>
          <w:szCs w:val="22"/>
        </w:rPr>
        <w:t>/</w:t>
      </w:r>
      <w:r>
        <w:rPr>
          <w:rFonts w:hint="eastAsia" w:ascii="宋体" w:hAnsi="宋体" w:cs="宋体"/>
          <w:sz w:val="24"/>
          <w:szCs w:val="22"/>
        </w:rPr>
        <w:t>偏离表内容如未填写，视为完全响应。</w:t>
      </w:r>
    </w:p>
    <w:p>
      <w:pPr>
        <w:spacing w:line="360" w:lineRule="auto"/>
        <w:ind w:firstLine="480" w:firstLineChars="200"/>
        <w:rPr>
          <w:rFonts w:ascii="宋体" w:cs="宋体"/>
          <w:sz w:val="24"/>
          <w:szCs w:val="22"/>
        </w:rPr>
      </w:pPr>
      <w:r>
        <w:rPr>
          <w:rFonts w:ascii="宋体" w:hAnsi="宋体" w:cs="宋体"/>
          <w:sz w:val="24"/>
          <w:szCs w:val="22"/>
        </w:rPr>
        <w:t>3</w:t>
      </w:r>
      <w:r>
        <w:rPr>
          <w:rFonts w:hint="eastAsia" w:ascii="宋体" w:hAnsi="宋体" w:cs="宋体"/>
          <w:sz w:val="24"/>
          <w:szCs w:val="22"/>
        </w:rPr>
        <w:t>、投标人不按上述表格填写，所产生的一切后果由投标人承担。</w:t>
      </w:r>
    </w:p>
    <w:p>
      <w:pPr>
        <w:spacing w:line="432" w:lineRule="auto"/>
        <w:rPr>
          <w:rFonts w:ascii="宋体" w:cs="宋体"/>
          <w:sz w:val="24"/>
        </w:rPr>
      </w:pPr>
    </w:p>
    <w:p>
      <w:pPr>
        <w:spacing w:line="432" w:lineRule="auto"/>
        <w:rPr>
          <w:rFonts w:ascii="宋体" w:cs="宋体"/>
          <w:sz w:val="24"/>
          <w:u w:val="single"/>
        </w:rPr>
      </w:pPr>
      <w:r>
        <w:rPr>
          <w:rFonts w:hint="eastAsia" w:ascii="宋体" w:hAnsi="宋体" w:cs="宋体"/>
          <w:sz w:val="24"/>
        </w:rPr>
        <w:t>供应商盖章：</w:t>
      </w:r>
    </w:p>
    <w:p>
      <w:pPr>
        <w:spacing w:line="432" w:lineRule="auto"/>
        <w:rPr>
          <w:rFonts w:ascii="宋体" w:cs="宋体"/>
          <w:sz w:val="24"/>
          <w:u w:val="single"/>
        </w:rPr>
      </w:pPr>
    </w:p>
    <w:bookmarkEnd w:id="130"/>
    <w:p>
      <w:pPr>
        <w:pStyle w:val="4"/>
        <w:jc w:val="center"/>
        <w:rPr>
          <w:rFonts w:hAnsi="宋体" w:cs="宋体"/>
        </w:rPr>
      </w:pPr>
      <w:bookmarkStart w:id="131" w:name="_Toc498611437"/>
      <w:bookmarkStart w:id="132" w:name="_Toc26892"/>
      <w:r>
        <w:rPr>
          <w:rFonts w:hAnsi="宋体" w:cs="宋体"/>
          <w:b/>
        </w:rPr>
        <w:t>7</w:t>
      </w:r>
      <w:r>
        <w:rPr>
          <w:rFonts w:hint="eastAsia" w:hAnsi="宋体" w:cs="宋体"/>
          <w:b/>
        </w:rPr>
        <w:t>、为落实政府采购政策供应商须提供的证明材料</w:t>
      </w:r>
      <w:bookmarkEnd w:id="131"/>
      <w:bookmarkEnd w:id="132"/>
    </w:p>
    <w:p>
      <w:pPr>
        <w:pStyle w:val="5"/>
        <w:jc w:val="center"/>
        <w:rPr>
          <w:rFonts w:ascii="宋体" w:cs="宋体"/>
          <w:sz w:val="28"/>
          <w:szCs w:val="28"/>
        </w:rPr>
      </w:pPr>
      <w:bookmarkStart w:id="133" w:name="_Toc499818228"/>
      <w:bookmarkStart w:id="134" w:name="_Toc498611438"/>
      <w:bookmarkStart w:id="135" w:name="_Toc504641983"/>
      <w:bookmarkStart w:id="136" w:name="_Toc500258548"/>
      <w:bookmarkStart w:id="137" w:name="_Toc505020174"/>
      <w:bookmarkStart w:id="138" w:name="_Toc2885"/>
      <w:r>
        <w:rPr>
          <w:rFonts w:hint="eastAsia" w:ascii="宋体" w:hAnsi="宋体" w:cs="宋体"/>
          <w:sz w:val="28"/>
          <w:szCs w:val="28"/>
        </w:rPr>
        <w:t>格式</w:t>
      </w:r>
      <w:r>
        <w:rPr>
          <w:rFonts w:ascii="宋体" w:hAnsi="宋体" w:cs="宋体"/>
          <w:sz w:val="28"/>
          <w:szCs w:val="28"/>
        </w:rPr>
        <w:t xml:space="preserve">7-1. </w:t>
      </w:r>
      <w:r>
        <w:rPr>
          <w:rFonts w:hint="eastAsia" w:ascii="宋体" w:hAnsi="宋体" w:cs="宋体"/>
          <w:sz w:val="28"/>
          <w:szCs w:val="28"/>
        </w:rPr>
        <w:t>中小企业声明</w:t>
      </w:r>
      <w:bookmarkEnd w:id="133"/>
      <w:bookmarkEnd w:id="134"/>
      <w:bookmarkEnd w:id="135"/>
      <w:bookmarkEnd w:id="136"/>
      <w:bookmarkEnd w:id="137"/>
      <w:bookmarkEnd w:id="138"/>
    </w:p>
    <w:p>
      <w:pPr>
        <w:rPr>
          <w:rFonts w:ascii="宋体" w:cs="宋体"/>
        </w:rPr>
      </w:pPr>
    </w:p>
    <w:p>
      <w:pPr>
        <w:spacing w:line="432" w:lineRule="auto"/>
        <w:ind w:firstLine="720" w:firstLineChars="300"/>
        <w:rPr>
          <w:rFonts w:ascii="宋体" w:cs="宋体"/>
          <w:sz w:val="24"/>
          <w:szCs w:val="22"/>
        </w:rPr>
      </w:pPr>
      <w:r>
        <w:rPr>
          <w:rFonts w:hint="eastAsia" w:ascii="宋体" w:hAnsi="宋体" w:cs="宋体"/>
          <w:sz w:val="24"/>
          <w:szCs w:val="22"/>
        </w:rPr>
        <w:t>本公司（联合体）郑重声明，根据《政府采购促进中小企业发展管理办法》（财库﹝</w:t>
      </w:r>
      <w:r>
        <w:rPr>
          <w:rFonts w:ascii="宋体" w:hAnsi="宋体" w:cs="宋体"/>
          <w:sz w:val="24"/>
          <w:szCs w:val="22"/>
        </w:rPr>
        <w:t>2020</w:t>
      </w:r>
      <w:r>
        <w:rPr>
          <w:rFonts w:hint="eastAsia" w:ascii="宋体" w:hAnsi="宋体" w:cs="宋体"/>
          <w:sz w:val="24"/>
          <w:szCs w:val="22"/>
        </w:rPr>
        <w:t>﹞</w:t>
      </w:r>
      <w:r>
        <w:rPr>
          <w:rFonts w:ascii="宋体" w:hAnsi="宋体" w:cs="宋体"/>
          <w:sz w:val="24"/>
          <w:szCs w:val="22"/>
        </w:rPr>
        <w:t xml:space="preserve">46 </w:t>
      </w:r>
      <w:r>
        <w:rPr>
          <w:rFonts w:hint="eastAsia" w:ascii="宋体" w:hAnsi="宋体" w:cs="宋体"/>
          <w:sz w:val="24"/>
          <w:szCs w:val="22"/>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32" w:lineRule="auto"/>
        <w:ind w:firstLine="480" w:firstLineChars="200"/>
        <w:rPr>
          <w:rFonts w:ascii="宋体" w:cs="宋体"/>
          <w:sz w:val="24"/>
          <w:szCs w:val="22"/>
        </w:rPr>
      </w:pPr>
      <w:r>
        <w:rPr>
          <w:rFonts w:hint="eastAsia" w:ascii="宋体" w:hAnsi="宋体" w:cs="宋体"/>
          <w:color w:val="0000FF"/>
          <w:sz w:val="24"/>
          <w:szCs w:val="24"/>
          <w:u w:val="single"/>
        </w:rPr>
        <w:t>全省林业有害生物防治职业技能竞赛服务</w:t>
      </w:r>
      <w:r>
        <w:rPr>
          <w:rFonts w:hint="eastAsia" w:ascii="宋体" w:hAnsi="宋体" w:cs="宋体"/>
          <w:sz w:val="24"/>
          <w:szCs w:val="22"/>
        </w:rPr>
        <w:t>，属于</w:t>
      </w:r>
      <w:r>
        <w:rPr>
          <w:rFonts w:hint="eastAsia" w:ascii="宋体" w:hAnsi="宋体" w:cs="宋体"/>
          <w:color w:val="0000FF"/>
          <w:sz w:val="24"/>
          <w:szCs w:val="22"/>
          <w:u w:val="single"/>
        </w:rPr>
        <w:t>其他未列明行业</w:t>
      </w:r>
      <w:r>
        <w:rPr>
          <w:rFonts w:hint="eastAsia" w:ascii="宋体" w:hAnsi="宋体" w:cs="宋体"/>
          <w:sz w:val="24"/>
          <w:szCs w:val="22"/>
        </w:rPr>
        <w:t>；承接企业为</w:t>
      </w:r>
      <w:r>
        <w:rPr>
          <w:rFonts w:hint="eastAsia" w:ascii="宋体" w:hAnsi="宋体" w:cs="宋体"/>
          <w:sz w:val="24"/>
          <w:szCs w:val="22"/>
          <w:u w:val="single"/>
        </w:rPr>
        <w:t>（企业名称）</w:t>
      </w:r>
      <w:r>
        <w:rPr>
          <w:rFonts w:hint="eastAsia" w:ascii="宋体" w:hAnsi="宋体" w:cs="宋体"/>
          <w:sz w:val="24"/>
          <w:szCs w:val="22"/>
        </w:rPr>
        <w:t>，从业人员</w:t>
      </w:r>
      <w:r>
        <w:rPr>
          <w:rFonts w:ascii="宋体" w:cs="宋体"/>
          <w:sz w:val="24"/>
          <w:szCs w:val="22"/>
          <w:u w:val="single"/>
        </w:rPr>
        <w:tab/>
      </w:r>
      <w:r>
        <w:rPr>
          <w:rFonts w:hint="eastAsia" w:ascii="宋体" w:hAnsi="宋体" w:cs="宋体"/>
          <w:sz w:val="24"/>
          <w:szCs w:val="22"/>
        </w:rPr>
        <w:t>人，营业收入为</w:t>
      </w:r>
      <w:r>
        <w:rPr>
          <w:rFonts w:ascii="宋体" w:cs="宋体"/>
          <w:sz w:val="24"/>
          <w:szCs w:val="22"/>
          <w:u w:val="single"/>
        </w:rPr>
        <w:tab/>
      </w:r>
      <w:r>
        <w:rPr>
          <w:rFonts w:hint="eastAsia" w:ascii="宋体" w:hAnsi="宋体" w:cs="宋体"/>
          <w:sz w:val="24"/>
          <w:szCs w:val="22"/>
        </w:rPr>
        <w:t>万元，资产总额为</w:t>
      </w:r>
      <w:r>
        <w:rPr>
          <w:rFonts w:ascii="宋体" w:cs="宋体"/>
          <w:sz w:val="24"/>
          <w:szCs w:val="22"/>
          <w:u w:val="single"/>
        </w:rPr>
        <w:tab/>
      </w:r>
      <w:r>
        <w:rPr>
          <w:rFonts w:hint="eastAsia" w:ascii="宋体" w:hAnsi="宋体" w:cs="宋体"/>
          <w:sz w:val="24"/>
          <w:szCs w:val="22"/>
        </w:rPr>
        <w:t>万元，属于（</w:t>
      </w:r>
      <w:r>
        <w:rPr>
          <w:rFonts w:hint="eastAsia" w:ascii="宋体" w:hAnsi="Wingdings 2" w:cs="宋体"/>
          <w:sz w:val="24"/>
          <w:szCs w:val="24"/>
        </w:rPr>
        <w:sym w:font="Wingdings 2" w:char="F0A3"/>
      </w:r>
      <w:r>
        <w:rPr>
          <w:rFonts w:hint="eastAsia" w:ascii="宋体" w:hAnsi="宋体" w:cs="宋体"/>
          <w:sz w:val="24"/>
          <w:szCs w:val="22"/>
        </w:rPr>
        <w:t>中型企业、□小型企业、□微型企业）；</w:t>
      </w:r>
    </w:p>
    <w:p>
      <w:pPr>
        <w:spacing w:line="432" w:lineRule="auto"/>
        <w:ind w:firstLine="480" w:firstLineChars="200"/>
        <w:rPr>
          <w:rFonts w:ascii="宋体" w:cs="宋体"/>
          <w:sz w:val="24"/>
          <w:szCs w:val="22"/>
        </w:rPr>
      </w:pPr>
      <w:r>
        <w:rPr>
          <w:rFonts w:hint="eastAsia" w:ascii="宋体" w:hAnsi="宋体" w:cs="宋体"/>
          <w:sz w:val="24"/>
          <w:szCs w:val="22"/>
        </w:rPr>
        <w:t>以上企业，不属于大企业的分支机构，不存在控股股东为大企业的情形，也不存在与大企业的负责人为同一人的情形。</w:t>
      </w:r>
    </w:p>
    <w:p>
      <w:pPr>
        <w:spacing w:line="432" w:lineRule="auto"/>
        <w:ind w:firstLine="480" w:firstLineChars="200"/>
        <w:rPr>
          <w:rFonts w:ascii="宋体" w:cs="宋体"/>
          <w:sz w:val="24"/>
          <w:szCs w:val="22"/>
        </w:rPr>
      </w:pPr>
      <w:r>
        <w:rPr>
          <w:rFonts w:hint="eastAsia" w:ascii="宋体" w:hAnsi="宋体" w:cs="宋体"/>
          <w:sz w:val="24"/>
          <w:szCs w:val="22"/>
        </w:rPr>
        <w:t>本企业对上述声明内容的真实性负责。如有虚假，将依法承担相应责任。</w:t>
      </w:r>
    </w:p>
    <w:p>
      <w:pPr>
        <w:spacing w:line="432" w:lineRule="auto"/>
        <w:jc w:val="center"/>
        <w:rPr>
          <w:rFonts w:ascii="宋体" w:cs="宋体"/>
          <w:sz w:val="24"/>
          <w:szCs w:val="22"/>
        </w:rPr>
      </w:pPr>
    </w:p>
    <w:p>
      <w:pPr>
        <w:spacing w:line="432" w:lineRule="auto"/>
        <w:jc w:val="center"/>
        <w:rPr>
          <w:rFonts w:ascii="宋体" w:cs="宋体"/>
          <w:sz w:val="24"/>
          <w:szCs w:val="22"/>
        </w:rPr>
      </w:pPr>
    </w:p>
    <w:p>
      <w:pPr>
        <w:spacing w:line="432" w:lineRule="auto"/>
        <w:jc w:val="center"/>
        <w:rPr>
          <w:rFonts w:ascii="宋体" w:cs="宋体"/>
          <w:sz w:val="24"/>
          <w:szCs w:val="22"/>
        </w:rPr>
      </w:pPr>
      <w:r>
        <w:rPr>
          <w:rFonts w:ascii="宋体" w:hAnsi="宋体" w:cs="宋体"/>
          <w:sz w:val="24"/>
          <w:szCs w:val="22"/>
        </w:rPr>
        <w:t xml:space="preserve">           </w:t>
      </w:r>
      <w:r>
        <w:rPr>
          <w:rFonts w:hint="eastAsia" w:ascii="宋体" w:hAnsi="宋体" w:cs="宋体"/>
          <w:sz w:val="24"/>
          <w:szCs w:val="22"/>
        </w:rPr>
        <w:t>企业名称（盖章）：</w:t>
      </w:r>
    </w:p>
    <w:p>
      <w:pPr>
        <w:spacing w:line="432" w:lineRule="auto"/>
        <w:jc w:val="center"/>
        <w:rPr>
          <w:rFonts w:ascii="宋体" w:cs="宋体"/>
          <w:sz w:val="24"/>
        </w:rPr>
      </w:pPr>
      <w:r>
        <w:rPr>
          <w:rFonts w:hint="eastAsia" w:ascii="宋体" w:hAnsi="宋体" w:cs="宋体"/>
          <w:sz w:val="24"/>
        </w:rPr>
        <w:t>日期：</w:t>
      </w:r>
    </w:p>
    <w:p>
      <w:pPr>
        <w:spacing w:line="432" w:lineRule="auto"/>
        <w:ind w:firstLine="480" w:firstLineChars="200"/>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、从业人员、营业收入、资产总额填报上一年度数据，无上一年度数据的新成立企业可不填报。</w:t>
      </w:r>
    </w:p>
    <w:p>
      <w:pPr>
        <w:rPr>
          <w:rFonts w:ascii="宋体" w:cs="宋体"/>
          <w:sz w:val="28"/>
          <w:szCs w:val="28"/>
        </w:rPr>
      </w:pPr>
      <w:r>
        <w:rPr>
          <w:rFonts w:ascii="宋体" w:cs="宋体"/>
          <w:sz w:val="28"/>
          <w:szCs w:val="28"/>
        </w:rPr>
        <w:br w:type="page"/>
      </w:r>
    </w:p>
    <w:p>
      <w:pPr>
        <w:pStyle w:val="5"/>
        <w:jc w:val="center"/>
        <w:rPr>
          <w:rFonts w:ascii="宋体" w:cs="宋体"/>
          <w:sz w:val="28"/>
          <w:szCs w:val="28"/>
        </w:rPr>
      </w:pPr>
      <w:bookmarkStart w:id="139" w:name="_Toc24852"/>
      <w:r>
        <w:rPr>
          <w:rFonts w:hint="eastAsia" w:ascii="宋体" w:hAnsi="宋体" w:cs="宋体"/>
          <w:sz w:val="28"/>
          <w:szCs w:val="28"/>
        </w:rPr>
        <w:t>格式</w:t>
      </w:r>
      <w:r>
        <w:rPr>
          <w:rFonts w:ascii="宋体" w:hAnsi="宋体" w:cs="宋体"/>
          <w:sz w:val="28"/>
          <w:szCs w:val="28"/>
        </w:rPr>
        <w:t>7-2.</w:t>
      </w:r>
      <w:r>
        <w:rPr>
          <w:rFonts w:hint="eastAsia" w:ascii="宋体" w:hAnsi="宋体" w:cs="宋体"/>
          <w:sz w:val="28"/>
          <w:szCs w:val="28"/>
          <w:lang w:val="en-US" w:eastAsia="zh-CN"/>
        </w:rPr>
        <w:t xml:space="preserve"> </w:t>
      </w:r>
      <w:r>
        <w:rPr>
          <w:rFonts w:hint="eastAsia" w:ascii="宋体" w:hAnsi="宋体" w:cs="宋体"/>
          <w:sz w:val="28"/>
          <w:szCs w:val="28"/>
        </w:rPr>
        <w:t>省级以上监狱管理局、戒毒管理局（含新疆生产建设兵团）出具的属于监狱企业证明文件</w:t>
      </w:r>
      <w:bookmarkEnd w:id="139"/>
    </w:p>
    <w:p>
      <w:pPr>
        <w:rPr>
          <w:rFonts w:ascii="宋体" w:cs="宋体"/>
        </w:rPr>
      </w:pPr>
    </w:p>
    <w:p>
      <w:pPr>
        <w:spacing w:line="360" w:lineRule="auto"/>
        <w:ind w:left="31680" w:hanging="843" w:hangingChars="350"/>
        <w:rPr>
          <w:rFonts w:ascii="宋体" w:cs="宋体"/>
          <w:b/>
          <w:sz w:val="24"/>
        </w:rPr>
      </w:pPr>
      <w:r>
        <w:rPr>
          <w:rFonts w:hint="eastAsia" w:ascii="宋体" w:hAnsi="宋体" w:cs="宋体"/>
          <w:b/>
          <w:sz w:val="24"/>
        </w:rPr>
        <w:t>注：</w:t>
      </w:r>
      <w:r>
        <w:rPr>
          <w:rFonts w:ascii="宋体" w:hAnsi="宋体" w:cs="宋体"/>
          <w:b/>
          <w:sz w:val="24"/>
        </w:rPr>
        <w:t>1</w:t>
      </w:r>
      <w:r>
        <w:rPr>
          <w:rFonts w:hint="eastAsia" w:ascii="宋体" w:hAnsi="宋体" w:cs="宋体"/>
          <w:b/>
          <w:sz w:val="24"/>
        </w:rPr>
        <w:t>、省级以上监狱管理局、戒毒管理局（含新疆生产建设兵团）出具的属于监狱企业证明文件格式由出具单位提供；</w:t>
      </w:r>
    </w:p>
    <w:p>
      <w:pPr>
        <w:spacing w:line="360" w:lineRule="auto"/>
        <w:ind w:firstLine="482" w:firstLineChars="200"/>
        <w:rPr>
          <w:rFonts w:ascii="宋体" w:cs="宋体"/>
          <w:b/>
          <w:sz w:val="24"/>
        </w:rPr>
      </w:pPr>
      <w:r>
        <w:rPr>
          <w:rFonts w:ascii="宋体" w:hAnsi="宋体" w:cs="宋体"/>
          <w:b/>
          <w:sz w:val="24"/>
        </w:rPr>
        <w:t>2</w:t>
      </w:r>
      <w:r>
        <w:rPr>
          <w:rFonts w:hint="eastAsia" w:ascii="宋体" w:hAnsi="宋体" w:cs="宋体"/>
          <w:b/>
          <w:sz w:val="24"/>
        </w:rPr>
        <w:t>、</w:t>
      </w:r>
      <w:r>
        <w:rPr>
          <w:rFonts w:hint="eastAsia" w:ascii="宋体" w:hAnsi="宋体" w:cs="宋体"/>
          <w:b/>
          <w:sz w:val="24"/>
          <w:szCs w:val="24"/>
        </w:rPr>
        <w:t>不属于监狱企业的不需提供</w:t>
      </w:r>
      <w:r>
        <w:rPr>
          <w:rFonts w:hint="eastAsia" w:ascii="宋体" w:hAnsi="宋体" w:cs="宋体"/>
          <w:b/>
          <w:sz w:val="24"/>
        </w:rPr>
        <w:t>。</w:t>
      </w:r>
    </w:p>
    <w:p>
      <w:pPr>
        <w:pStyle w:val="5"/>
        <w:ind w:left="31680" w:hanging="1124" w:hangingChars="400"/>
        <w:jc w:val="center"/>
        <w:rPr>
          <w:rFonts w:ascii="宋体" w:cs="宋体"/>
          <w:sz w:val="28"/>
          <w:szCs w:val="28"/>
        </w:rPr>
      </w:pPr>
      <w:bookmarkStart w:id="140" w:name="_Toc504641985"/>
      <w:bookmarkStart w:id="141" w:name="_Toc498611440"/>
      <w:bookmarkStart w:id="142" w:name="_Toc505020176"/>
      <w:bookmarkStart w:id="143" w:name="_Toc499818230"/>
      <w:bookmarkStart w:id="144" w:name="_Toc500258550"/>
      <w:bookmarkStart w:id="145" w:name="_Toc30757"/>
      <w:r>
        <w:rPr>
          <w:rFonts w:hint="eastAsia" w:ascii="宋体" w:hAnsi="宋体" w:cs="宋体"/>
          <w:sz w:val="28"/>
          <w:szCs w:val="28"/>
        </w:rPr>
        <w:t>格式</w:t>
      </w:r>
      <w:r>
        <w:rPr>
          <w:rFonts w:ascii="宋体" w:hAnsi="宋体" w:cs="宋体"/>
          <w:sz w:val="28"/>
          <w:szCs w:val="28"/>
        </w:rPr>
        <w:t xml:space="preserve">7-3. </w:t>
      </w:r>
      <w:r>
        <w:rPr>
          <w:rFonts w:hint="eastAsia" w:ascii="宋体" w:hAnsi="宋体" w:cs="宋体"/>
          <w:sz w:val="28"/>
          <w:szCs w:val="28"/>
        </w:rPr>
        <w:t>残疾人福利性单位声明函</w:t>
      </w:r>
      <w:bookmarkEnd w:id="140"/>
      <w:bookmarkEnd w:id="141"/>
      <w:bookmarkEnd w:id="142"/>
      <w:bookmarkEnd w:id="143"/>
      <w:bookmarkEnd w:id="144"/>
      <w:bookmarkEnd w:id="145"/>
    </w:p>
    <w:p>
      <w:pPr>
        <w:spacing w:line="588" w:lineRule="exact"/>
        <w:jc w:val="center"/>
        <w:rPr>
          <w:rFonts w:asci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cs="宋体"/>
          <w:b/>
          <w:spacing w:val="6"/>
          <w:sz w:val="24"/>
          <w:szCs w:val="24"/>
        </w:rPr>
      </w:pP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本单位郑重声明，根据《财政部民政部中国残疾人联合会关于促进残疾人就业政府采购政策的通知》（财库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504" w:firstLineChars="200"/>
        <w:jc w:val="center"/>
        <w:rPr>
          <w:rFonts w:asci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cs="宋体"/>
          <w:spacing w:val="6"/>
          <w:sz w:val="24"/>
          <w:szCs w:val="24"/>
        </w:rPr>
      </w:pPr>
      <w:r>
        <w:rPr>
          <w:rFonts w:hint="eastAsia" w:ascii="宋体" w:hAnsi="宋体" w:cs="宋体"/>
          <w:spacing w:val="6"/>
          <w:sz w:val="24"/>
          <w:szCs w:val="24"/>
        </w:rPr>
        <w:t>日期：</w:t>
      </w:r>
    </w:p>
    <w:p>
      <w:pPr>
        <w:ind w:firstLine="482" w:firstLineChars="200"/>
        <w:rPr>
          <w:rFonts w:ascii="宋体" w:cs="宋体"/>
          <w:b/>
          <w:sz w:val="24"/>
        </w:rPr>
      </w:pPr>
    </w:p>
    <w:p>
      <w:pPr>
        <w:pStyle w:val="5"/>
        <w:ind w:left="31680" w:hanging="1285" w:hangingChars="400"/>
        <w:jc w:val="center"/>
        <w:rPr>
          <w:rFonts w:ascii="宋体" w:cs="宋体"/>
          <w:sz w:val="30"/>
          <w:szCs w:val="30"/>
        </w:rPr>
      </w:pPr>
      <w:r>
        <w:rPr>
          <w:rFonts w:ascii="宋体" w:cs="宋体"/>
        </w:rPr>
        <w:br w:type="page"/>
      </w:r>
      <w:bookmarkStart w:id="146" w:name="_Toc498611442"/>
      <w:bookmarkStart w:id="147" w:name="_Toc16291"/>
      <w:r>
        <w:rPr>
          <w:rFonts w:ascii="宋体" w:hAnsi="宋体" w:cs="宋体"/>
          <w:sz w:val="30"/>
          <w:szCs w:val="30"/>
        </w:rPr>
        <w:t>8.</w:t>
      </w:r>
      <w:r>
        <w:rPr>
          <w:rFonts w:hint="eastAsia" w:ascii="宋体" w:hAnsi="宋体" w:cs="宋体"/>
          <w:sz w:val="30"/>
          <w:szCs w:val="30"/>
        </w:rPr>
        <w:t>技术文件</w:t>
      </w:r>
      <w:bookmarkEnd w:id="146"/>
      <w:bookmarkEnd w:id="147"/>
    </w:p>
    <w:p>
      <w:pPr>
        <w:spacing w:line="432" w:lineRule="auto"/>
        <w:rPr>
          <w:rFonts w:ascii="宋体" w:cs="宋体"/>
          <w:sz w:val="24"/>
        </w:rPr>
      </w:pPr>
      <w:r>
        <w:rPr>
          <w:rFonts w:hint="eastAsia" w:ascii="宋体" w:hAnsi="宋体" w:cs="宋体"/>
          <w:sz w:val="24"/>
        </w:rPr>
        <w:t>内容包括：</w:t>
      </w:r>
    </w:p>
    <w:p>
      <w:pPr>
        <w:spacing w:line="432" w:lineRule="auto"/>
        <w:rPr>
          <w:rFonts w:ascii="宋体" w:cs="宋体"/>
          <w:sz w:val="24"/>
        </w:rPr>
      </w:pPr>
      <w:r>
        <w:rPr>
          <w:rFonts w:ascii="宋体" w:hAnsi="宋体" w:cs="宋体"/>
          <w:sz w:val="24"/>
        </w:rPr>
        <w:t>1</w:t>
      </w:r>
      <w:r>
        <w:rPr>
          <w:rFonts w:hint="eastAsia" w:ascii="宋体" w:hAnsi="宋体" w:cs="宋体"/>
          <w:sz w:val="24"/>
        </w:rPr>
        <w:t>、服务内容的详细说明</w:t>
      </w:r>
    </w:p>
    <w:p>
      <w:pPr>
        <w:spacing w:line="432" w:lineRule="auto"/>
        <w:rPr>
          <w:rFonts w:ascii="宋体" w:cs="宋体"/>
          <w:sz w:val="24"/>
        </w:rPr>
      </w:pPr>
      <w:r>
        <w:rPr>
          <w:rFonts w:ascii="宋体" w:hAnsi="宋体" w:cs="宋体"/>
          <w:sz w:val="24"/>
        </w:rPr>
        <w:t>2</w:t>
      </w:r>
      <w:r>
        <w:rPr>
          <w:rFonts w:hint="eastAsia" w:ascii="宋体" w:hAnsi="宋体" w:cs="宋体"/>
          <w:sz w:val="24"/>
        </w:rPr>
        <w:t>、供应商认为需要说明的其他内容（供应商视需要自行编写）</w:t>
      </w:r>
    </w:p>
    <w:p>
      <w:pPr>
        <w:spacing w:line="400" w:lineRule="exact"/>
        <w:rPr>
          <w:rFonts w:ascii="宋体" w:cs="宋体"/>
          <w:sz w:val="24"/>
          <w:u w:val="single"/>
        </w:rPr>
      </w:pPr>
    </w:p>
    <w:p>
      <w:pPr>
        <w:spacing w:line="432" w:lineRule="auto"/>
        <w:rPr>
          <w:rFonts w:ascii="宋体" w:cs="宋体"/>
          <w:sz w:val="24"/>
        </w:rPr>
        <w:sectPr>
          <w:footerReference r:id="rId9" w:type="default"/>
          <w:footerReference r:id="rId10" w:type="even"/>
          <w:pgSz w:w="11906" w:h="16838"/>
          <w:pgMar w:top="1418" w:right="1247" w:bottom="1418" w:left="1814" w:header="851" w:footer="992" w:gutter="0"/>
          <w:cols w:space="720" w:num="1"/>
          <w:docGrid w:type="lines" w:linePitch="312" w:charSpace="0"/>
        </w:sectPr>
      </w:pPr>
    </w:p>
    <w:p>
      <w:pPr>
        <w:pStyle w:val="5"/>
        <w:spacing w:before="0" w:after="0" w:line="460" w:lineRule="exact"/>
        <w:jc w:val="center"/>
        <w:rPr>
          <w:rFonts w:ascii="宋体" w:cs="宋体"/>
          <w:sz w:val="30"/>
          <w:szCs w:val="30"/>
        </w:rPr>
      </w:pPr>
      <w:bookmarkStart w:id="148" w:name="_Toc498611443"/>
      <w:bookmarkStart w:id="149" w:name="_Toc293934829"/>
      <w:bookmarkStart w:id="150" w:name="_Toc135"/>
      <w:r>
        <w:rPr>
          <w:rFonts w:ascii="宋体" w:hAnsi="宋体" w:cs="宋体"/>
          <w:sz w:val="30"/>
          <w:szCs w:val="30"/>
        </w:rPr>
        <w:t>9.</w:t>
      </w:r>
      <w:r>
        <w:rPr>
          <w:rFonts w:hint="eastAsia" w:ascii="宋体" w:hAnsi="宋体" w:cs="宋体"/>
          <w:sz w:val="30"/>
          <w:szCs w:val="30"/>
        </w:rPr>
        <w:t>资格证明文件</w:t>
      </w:r>
      <w:bookmarkEnd w:id="148"/>
      <w:bookmarkEnd w:id="149"/>
      <w:bookmarkEnd w:id="150"/>
    </w:p>
    <w:p>
      <w:pPr>
        <w:spacing w:line="432" w:lineRule="auto"/>
        <w:rPr>
          <w:rFonts w:ascii="宋体" w:cs="宋体"/>
          <w:sz w:val="24"/>
        </w:rPr>
      </w:pPr>
    </w:p>
    <w:p>
      <w:pPr>
        <w:spacing w:line="400" w:lineRule="exact"/>
        <w:rPr>
          <w:rFonts w:ascii="宋体" w:cs="宋体"/>
          <w:sz w:val="24"/>
        </w:rPr>
      </w:pPr>
      <w:r>
        <w:rPr>
          <w:rFonts w:hint="eastAsia" w:ascii="宋体" w:hAnsi="宋体" w:cs="宋体"/>
          <w:sz w:val="24"/>
        </w:rPr>
        <w:t>填写须知</w:t>
      </w:r>
    </w:p>
    <w:p>
      <w:pPr>
        <w:numPr>
          <w:ilvl w:val="0"/>
          <w:numId w:val="6"/>
        </w:numPr>
        <w:spacing w:line="400" w:lineRule="exact"/>
        <w:rPr>
          <w:rFonts w:ascii="宋体" w:cs="宋体"/>
          <w:sz w:val="24"/>
        </w:rPr>
      </w:pPr>
      <w:r>
        <w:rPr>
          <w:rFonts w:hint="eastAsia" w:ascii="宋体" w:hAnsi="宋体" w:cs="宋体"/>
          <w:sz w:val="24"/>
        </w:rPr>
        <w:t>供应商应填写和提交下述规定的资格证明文件。扫描件均须加盖公章；</w:t>
      </w:r>
    </w:p>
    <w:p>
      <w:pPr>
        <w:numPr>
          <w:ilvl w:val="0"/>
          <w:numId w:val="6"/>
        </w:numPr>
        <w:spacing w:line="400" w:lineRule="exact"/>
        <w:rPr>
          <w:rFonts w:ascii="宋体" w:cs="宋体"/>
          <w:sz w:val="24"/>
        </w:rPr>
      </w:pPr>
      <w:r>
        <w:rPr>
          <w:rFonts w:hint="eastAsia" w:ascii="宋体" w:hAnsi="宋体" w:cs="宋体"/>
          <w:sz w:val="24"/>
        </w:rPr>
        <w:t>所附格式中要求填写的全部内容都必须如实填写；</w:t>
      </w:r>
    </w:p>
    <w:p>
      <w:pPr>
        <w:numPr>
          <w:ilvl w:val="0"/>
          <w:numId w:val="6"/>
        </w:numPr>
        <w:spacing w:line="400" w:lineRule="exact"/>
        <w:rPr>
          <w:rFonts w:ascii="宋体" w:cs="宋体"/>
          <w:sz w:val="24"/>
        </w:rPr>
      </w:pPr>
      <w:r>
        <w:rPr>
          <w:rFonts w:hint="eastAsia" w:ascii="宋体" w:hAnsi="宋体" w:cs="宋体"/>
          <w:sz w:val="24"/>
        </w:rPr>
        <w:t>本资格声明的签字人应保证全部声明和填写的内容是真实的和正确的；</w:t>
      </w:r>
    </w:p>
    <w:p>
      <w:pPr>
        <w:numPr>
          <w:ilvl w:val="0"/>
          <w:numId w:val="6"/>
        </w:numPr>
        <w:spacing w:line="400" w:lineRule="exact"/>
        <w:rPr>
          <w:rFonts w:ascii="宋体" w:cs="宋体"/>
          <w:sz w:val="24"/>
        </w:rPr>
      </w:pPr>
      <w:r>
        <w:rPr>
          <w:rFonts w:hint="eastAsia" w:ascii="宋体" w:hAnsi="宋体" w:cs="宋体"/>
          <w:sz w:val="24"/>
        </w:rPr>
        <w:t>磋商小组将应用供应商提交的资料，根据自己的判断和考虑决定供应商履行合同的合格性及能力。</w:t>
      </w:r>
    </w:p>
    <w:p>
      <w:pPr>
        <w:spacing w:line="400" w:lineRule="exact"/>
        <w:rPr>
          <w:rFonts w:ascii="宋体" w:cs="宋体"/>
          <w:b/>
          <w:sz w:val="24"/>
        </w:rPr>
      </w:pPr>
      <w:r>
        <w:rPr>
          <w:rFonts w:ascii="宋体" w:hAnsi="宋体" w:cs="宋体"/>
          <w:b/>
          <w:sz w:val="24"/>
        </w:rPr>
        <w:t>1</w:t>
      </w:r>
      <w:r>
        <w:rPr>
          <w:rFonts w:hint="eastAsia" w:ascii="宋体" w:hAnsi="宋体" w:cs="宋体"/>
          <w:b/>
          <w:sz w:val="24"/>
        </w:rPr>
        <w:t>、</w:t>
      </w:r>
      <w:r>
        <w:rPr>
          <w:rFonts w:hint="eastAsia" w:ascii="宋体" w:hAnsi="宋体" w:cs="宋体"/>
          <w:b/>
          <w:bCs/>
          <w:sz w:val="24"/>
        </w:rPr>
        <w:t>具有独立承担民事责任的能力的资格证明文件</w:t>
      </w:r>
    </w:p>
    <w:p>
      <w:pPr>
        <w:spacing w:line="400" w:lineRule="exact"/>
        <w:ind w:firstLine="360" w:firstLineChars="150"/>
        <w:rPr>
          <w:rFonts w:ascii="宋体" w:cs="宋体"/>
          <w:sz w:val="24"/>
          <w:szCs w:val="24"/>
        </w:rPr>
      </w:pPr>
      <w:r>
        <w:rPr>
          <w:rFonts w:ascii="宋体" w:hAnsi="宋体" w:cs="宋体"/>
          <w:sz w:val="24"/>
          <w:szCs w:val="24"/>
        </w:rPr>
        <w:t xml:space="preserve">9-1. </w:t>
      </w:r>
      <w:r>
        <w:rPr>
          <w:rFonts w:hint="eastAsia" w:ascii="宋体" w:hAnsi="宋体" w:cs="宋体"/>
          <w:sz w:val="24"/>
          <w:szCs w:val="24"/>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w:t>
      </w:r>
      <w:r>
        <w:rPr>
          <w:rFonts w:ascii="宋体" w:hAnsi="宋体" w:cs="宋体"/>
          <w:sz w:val="24"/>
          <w:szCs w:val="24"/>
        </w:rPr>
        <w:t>(</w:t>
      </w:r>
      <w:r>
        <w:rPr>
          <w:rFonts w:hint="eastAsia" w:ascii="宋体" w:hAnsi="宋体" w:cs="宋体"/>
          <w:sz w:val="24"/>
          <w:szCs w:val="24"/>
        </w:rPr>
        <w:t>中国公民</w:t>
      </w:r>
      <w:r>
        <w:rPr>
          <w:rFonts w:ascii="宋体" w:hAnsi="宋体" w:cs="宋体"/>
          <w:sz w:val="24"/>
          <w:szCs w:val="24"/>
        </w:rPr>
        <w:t>)</w:t>
      </w:r>
      <w:r>
        <w:rPr>
          <w:rFonts w:hint="eastAsia" w:ascii="宋体" w:hAnsi="宋体" w:cs="宋体"/>
          <w:sz w:val="24"/>
          <w:szCs w:val="24"/>
        </w:rPr>
        <w:t>。</w:t>
      </w:r>
    </w:p>
    <w:p>
      <w:pPr>
        <w:spacing w:line="400" w:lineRule="exact"/>
        <w:rPr>
          <w:rFonts w:ascii="宋体" w:cs="宋体"/>
          <w:b/>
          <w:sz w:val="24"/>
          <w:szCs w:val="24"/>
        </w:rPr>
      </w:pPr>
      <w:r>
        <w:rPr>
          <w:rFonts w:ascii="宋体" w:hAnsi="宋体" w:cs="宋体"/>
          <w:b/>
          <w:sz w:val="24"/>
          <w:szCs w:val="24"/>
        </w:rPr>
        <w:t>2</w:t>
      </w:r>
      <w:r>
        <w:rPr>
          <w:rFonts w:hint="eastAsia" w:ascii="宋体" w:hAnsi="宋体" w:cs="宋体"/>
          <w:b/>
          <w:sz w:val="24"/>
          <w:szCs w:val="24"/>
        </w:rPr>
        <w:t>、具有良好的商业信誉和健全的财务会计制度的证明文件</w:t>
      </w:r>
    </w:p>
    <w:p>
      <w:pPr>
        <w:spacing w:line="400" w:lineRule="exact"/>
        <w:ind w:left="420" w:leftChars="200"/>
        <w:rPr>
          <w:rFonts w:ascii="宋体" w:cs="宋体"/>
          <w:sz w:val="24"/>
          <w:szCs w:val="24"/>
        </w:rPr>
      </w:pPr>
      <w:r>
        <w:rPr>
          <w:rFonts w:ascii="宋体" w:hAnsi="宋体" w:cs="宋体"/>
          <w:sz w:val="24"/>
          <w:szCs w:val="24"/>
        </w:rPr>
        <w:t>9-2</w:t>
      </w:r>
      <w:r>
        <w:rPr>
          <w:rFonts w:hint="eastAsia" w:ascii="宋体" w:hAnsi="宋体" w:cs="宋体"/>
          <w:sz w:val="24"/>
          <w:szCs w:val="24"/>
        </w:rPr>
        <w:t>供应商是法人的，提供磋商前</w:t>
      </w:r>
      <w:r>
        <w:rPr>
          <w:rFonts w:hint="eastAsia" w:ascii="宋体" w:hAnsi="宋体" w:cs="宋体"/>
          <w:sz w:val="24"/>
        </w:rPr>
        <w:t>二</w:t>
      </w:r>
      <w:r>
        <w:rPr>
          <w:rFonts w:hint="eastAsia" w:ascii="宋体" w:hAnsi="宋体" w:cs="宋体"/>
          <w:sz w:val="24"/>
          <w:szCs w:val="24"/>
        </w:rPr>
        <w:t>个年度内任一年度经审计的财务状况报告，或在磋商前</w:t>
      </w:r>
      <w:r>
        <w:rPr>
          <w:rFonts w:hint="eastAsia" w:ascii="宋体" w:hAnsi="宋体" w:cs="宋体"/>
          <w:sz w:val="24"/>
        </w:rPr>
        <w:t>三</w:t>
      </w:r>
      <w:r>
        <w:rPr>
          <w:rFonts w:hint="eastAsia" w:ascii="宋体" w:hAnsi="宋体" w:cs="宋体"/>
          <w:sz w:val="24"/>
          <w:szCs w:val="24"/>
        </w:rPr>
        <w:t>个月内其开户银行出具的资信证明；其他组织和自然人，没有经审计的财务报告，可以提供在磋商前</w:t>
      </w:r>
      <w:r>
        <w:rPr>
          <w:rFonts w:hint="eastAsia" w:ascii="宋体" w:hAnsi="宋体" w:cs="宋体"/>
          <w:sz w:val="24"/>
        </w:rPr>
        <w:t>三</w:t>
      </w:r>
      <w:r>
        <w:rPr>
          <w:rFonts w:hint="eastAsia" w:ascii="宋体" w:hAnsi="宋体" w:cs="宋体"/>
          <w:sz w:val="24"/>
          <w:szCs w:val="24"/>
        </w:rPr>
        <w:t>个月内银行出具的资信证明；个体工商户提供磋商前</w:t>
      </w:r>
      <w:r>
        <w:rPr>
          <w:rFonts w:hint="eastAsia" w:ascii="宋体" w:hAnsi="宋体" w:cs="宋体"/>
          <w:sz w:val="24"/>
        </w:rPr>
        <w:t>三</w:t>
      </w:r>
      <w:r>
        <w:rPr>
          <w:rFonts w:hint="eastAsia" w:ascii="宋体" w:hAnsi="宋体" w:cs="宋体"/>
          <w:sz w:val="24"/>
          <w:szCs w:val="24"/>
        </w:rPr>
        <w:t>个月内中国人民银行征信中心开具个人信用报告。</w:t>
      </w:r>
    </w:p>
    <w:p>
      <w:pPr>
        <w:spacing w:line="400" w:lineRule="exact"/>
        <w:rPr>
          <w:rFonts w:ascii="宋体" w:cs="宋体"/>
          <w:b/>
          <w:sz w:val="24"/>
          <w:szCs w:val="24"/>
        </w:rPr>
      </w:pPr>
      <w:r>
        <w:rPr>
          <w:rFonts w:ascii="宋体" w:hAnsi="宋体" w:cs="宋体"/>
          <w:b/>
          <w:sz w:val="24"/>
          <w:szCs w:val="24"/>
        </w:rPr>
        <w:t>3</w:t>
      </w:r>
      <w:r>
        <w:rPr>
          <w:rFonts w:hint="eastAsia" w:ascii="宋体" w:hAnsi="宋体" w:cs="宋体"/>
          <w:b/>
          <w:sz w:val="24"/>
          <w:szCs w:val="24"/>
        </w:rPr>
        <w:t>、具有履行合同所必须的设备和专业技术能力的证明文件</w:t>
      </w:r>
    </w:p>
    <w:p>
      <w:pPr>
        <w:spacing w:line="400" w:lineRule="exact"/>
        <w:ind w:firstLine="480" w:firstLineChars="200"/>
        <w:rPr>
          <w:rFonts w:ascii="宋体" w:cs="宋体"/>
          <w:sz w:val="24"/>
          <w:szCs w:val="24"/>
        </w:rPr>
      </w:pPr>
      <w:r>
        <w:rPr>
          <w:rFonts w:ascii="宋体" w:hAnsi="宋体" w:cs="宋体"/>
          <w:sz w:val="24"/>
          <w:szCs w:val="24"/>
        </w:rPr>
        <w:t>9-3</w:t>
      </w:r>
      <w:r>
        <w:rPr>
          <w:rFonts w:hint="eastAsia" w:ascii="宋体" w:hAnsi="宋体" w:cs="宋体"/>
          <w:sz w:val="24"/>
          <w:szCs w:val="24"/>
        </w:rPr>
        <w:t>供应商提供具有履行合同所必须的设备和专业技术能力的承诺函；</w:t>
      </w:r>
      <w:r>
        <w:rPr>
          <w:rFonts w:hint="eastAsia" w:ascii="宋体" w:hAnsi="宋体" w:cs="宋体"/>
          <w:kern w:val="0"/>
          <w:sz w:val="24"/>
          <w:szCs w:val="24"/>
        </w:rPr>
        <w:t>（格式自拟）</w:t>
      </w:r>
    </w:p>
    <w:p>
      <w:pPr>
        <w:spacing w:line="400" w:lineRule="exact"/>
        <w:rPr>
          <w:rFonts w:ascii="宋体" w:cs="宋体"/>
          <w:sz w:val="24"/>
          <w:szCs w:val="24"/>
        </w:rPr>
      </w:pPr>
      <w:r>
        <w:rPr>
          <w:rFonts w:ascii="宋体" w:hAnsi="宋体" w:cs="宋体"/>
          <w:b/>
          <w:sz w:val="24"/>
          <w:szCs w:val="24"/>
        </w:rPr>
        <w:t>4</w:t>
      </w:r>
      <w:r>
        <w:rPr>
          <w:rFonts w:hint="eastAsia" w:ascii="宋体" w:hAnsi="宋体" w:cs="宋体"/>
          <w:b/>
          <w:sz w:val="24"/>
          <w:szCs w:val="24"/>
        </w:rPr>
        <w:t>、有依法缴纳税收和社会保障资金的良好记录的证明文件</w:t>
      </w:r>
    </w:p>
    <w:p>
      <w:pPr>
        <w:spacing w:line="400" w:lineRule="exact"/>
        <w:ind w:firstLine="480" w:firstLineChars="200"/>
        <w:rPr>
          <w:rFonts w:ascii="宋体" w:cs="宋体"/>
          <w:sz w:val="24"/>
          <w:szCs w:val="24"/>
        </w:rPr>
      </w:pPr>
      <w:r>
        <w:rPr>
          <w:rFonts w:ascii="宋体" w:hAnsi="宋体" w:cs="宋体"/>
          <w:sz w:val="24"/>
          <w:szCs w:val="24"/>
        </w:rPr>
        <w:t>9-4</w:t>
      </w:r>
      <w:r>
        <w:rPr>
          <w:rFonts w:hint="eastAsia" w:ascii="宋体" w:hAnsi="宋体" w:cs="宋体"/>
          <w:sz w:val="24"/>
          <w:szCs w:val="24"/>
        </w:rPr>
        <w:t>税务登记证（实行“统一社会信用代码”的不需单独提供）和磋商前</w:t>
      </w:r>
      <w:r>
        <w:rPr>
          <w:rFonts w:hint="eastAsia" w:ascii="宋体" w:hAnsi="宋体" w:cs="宋体"/>
          <w:sz w:val="24"/>
        </w:rPr>
        <w:t>六</w:t>
      </w:r>
      <w:r>
        <w:rPr>
          <w:rFonts w:hint="eastAsia" w:ascii="宋体" w:hAnsi="宋体" w:cs="宋体"/>
          <w:sz w:val="24"/>
          <w:szCs w:val="24"/>
        </w:rPr>
        <w:t>个月内任意一个月的企业缴税凭证或证明；</w:t>
      </w:r>
    </w:p>
    <w:p>
      <w:pPr>
        <w:spacing w:line="400" w:lineRule="exact"/>
        <w:ind w:firstLine="480" w:firstLineChars="200"/>
        <w:rPr>
          <w:rFonts w:ascii="宋体" w:cs="宋体"/>
          <w:sz w:val="24"/>
          <w:szCs w:val="24"/>
        </w:rPr>
      </w:pPr>
      <w:r>
        <w:rPr>
          <w:rFonts w:ascii="宋体" w:hAnsi="宋体" w:cs="宋体"/>
          <w:sz w:val="24"/>
          <w:szCs w:val="24"/>
        </w:rPr>
        <w:t>9-5</w:t>
      </w:r>
      <w:r>
        <w:rPr>
          <w:rFonts w:hint="eastAsia" w:ascii="宋体" w:hAnsi="宋体" w:cs="宋体"/>
          <w:sz w:val="24"/>
          <w:szCs w:val="24"/>
        </w:rPr>
        <w:t>磋商前</w:t>
      </w:r>
      <w:r>
        <w:rPr>
          <w:rFonts w:hint="eastAsia" w:ascii="宋体" w:hAnsi="宋体" w:cs="宋体"/>
          <w:sz w:val="24"/>
        </w:rPr>
        <w:t>六</w:t>
      </w:r>
      <w:r>
        <w:rPr>
          <w:rFonts w:hint="eastAsia" w:ascii="宋体" w:hAnsi="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宋体" w:cs="宋体"/>
          <w:sz w:val="24"/>
          <w:szCs w:val="24"/>
        </w:rPr>
      </w:pPr>
      <w:r>
        <w:rPr>
          <w:rFonts w:ascii="宋体" w:hAnsi="宋体" w:cs="宋体"/>
          <w:b/>
          <w:sz w:val="24"/>
          <w:szCs w:val="24"/>
        </w:rPr>
        <w:t>5</w:t>
      </w:r>
      <w:r>
        <w:rPr>
          <w:rFonts w:hint="eastAsia" w:ascii="宋体" w:hAnsi="宋体" w:cs="宋体"/>
          <w:b/>
          <w:sz w:val="24"/>
          <w:szCs w:val="24"/>
        </w:rPr>
        <w:t>、参加政府采购前三年内</w:t>
      </w:r>
      <w:r>
        <w:rPr>
          <w:rFonts w:ascii="宋体" w:cs="宋体"/>
          <w:b/>
          <w:sz w:val="24"/>
          <w:szCs w:val="24"/>
        </w:rPr>
        <w:t>,</w:t>
      </w:r>
      <w:r>
        <w:rPr>
          <w:rFonts w:hint="eastAsia" w:ascii="宋体" w:hAnsi="宋体" w:cs="宋体"/>
          <w:b/>
          <w:sz w:val="24"/>
          <w:szCs w:val="24"/>
        </w:rPr>
        <w:t>在经营活动中没有重大违法记录的证明文件</w:t>
      </w:r>
    </w:p>
    <w:p>
      <w:pPr>
        <w:spacing w:line="400" w:lineRule="exact"/>
        <w:ind w:firstLine="480" w:firstLineChars="200"/>
        <w:rPr>
          <w:rFonts w:ascii="宋体" w:cs="宋体"/>
          <w:sz w:val="24"/>
          <w:szCs w:val="24"/>
        </w:rPr>
      </w:pPr>
      <w:r>
        <w:rPr>
          <w:rFonts w:ascii="宋体" w:hAnsi="宋体" w:cs="宋体"/>
          <w:sz w:val="24"/>
          <w:szCs w:val="24"/>
        </w:rPr>
        <w:t>9-6</w:t>
      </w:r>
      <w:r>
        <w:rPr>
          <w:rFonts w:hint="eastAsia" w:ascii="宋体" w:hAnsi="宋体" w:cs="宋体"/>
          <w:sz w:val="24"/>
          <w:szCs w:val="24"/>
        </w:rPr>
        <w:t>参加政府采购前三年内</w:t>
      </w:r>
      <w:r>
        <w:rPr>
          <w:rFonts w:ascii="宋体" w:cs="宋体"/>
          <w:sz w:val="24"/>
          <w:szCs w:val="24"/>
        </w:rPr>
        <w:t>,</w:t>
      </w:r>
      <w:r>
        <w:rPr>
          <w:rFonts w:hint="eastAsia" w:ascii="宋体" w:hAnsi="宋体" w:cs="宋体"/>
          <w:sz w:val="24"/>
          <w:szCs w:val="24"/>
        </w:rPr>
        <w:t>在经营活动中没有重大违法记录承诺函；</w:t>
      </w:r>
      <w:r>
        <w:rPr>
          <w:rFonts w:hint="eastAsia" w:ascii="宋体" w:hAnsi="宋体" w:cs="宋体"/>
          <w:kern w:val="0"/>
          <w:sz w:val="24"/>
          <w:szCs w:val="24"/>
        </w:rPr>
        <w:t>（格式自拟）</w:t>
      </w:r>
    </w:p>
    <w:p>
      <w:pPr>
        <w:spacing w:line="400" w:lineRule="exact"/>
        <w:ind w:firstLine="480" w:firstLineChars="200"/>
        <w:rPr>
          <w:rFonts w:ascii="宋体" w:cs="宋体"/>
          <w:sz w:val="24"/>
          <w:szCs w:val="24"/>
        </w:rPr>
      </w:pPr>
      <w:r>
        <w:rPr>
          <w:rFonts w:hint="eastAsia" w:ascii="宋体" w:hAnsi="宋体" w:cs="宋体"/>
          <w:sz w:val="24"/>
          <w:szCs w:val="24"/>
        </w:rPr>
        <w:t>重大违法记录，是指供应商因违法经营受到刑事处罚或者责令停产停业、吊销许可证或者执照、较大罚款等行政处罚。</w:t>
      </w:r>
    </w:p>
    <w:p>
      <w:pPr>
        <w:spacing w:line="400" w:lineRule="exact"/>
        <w:rPr>
          <w:rFonts w:ascii="宋体" w:cs="宋体"/>
          <w:b/>
          <w:sz w:val="24"/>
          <w:szCs w:val="24"/>
        </w:rPr>
      </w:pPr>
      <w:r>
        <w:rPr>
          <w:rFonts w:ascii="宋体" w:hAnsi="宋体" w:cs="宋体"/>
          <w:b/>
          <w:sz w:val="24"/>
          <w:szCs w:val="24"/>
        </w:rPr>
        <w:t>6</w:t>
      </w:r>
      <w:r>
        <w:rPr>
          <w:rFonts w:hint="eastAsia" w:ascii="宋体" w:hAnsi="宋体" w:cs="宋体"/>
          <w:b/>
          <w:sz w:val="24"/>
          <w:szCs w:val="24"/>
        </w:rPr>
        <w:t>、其他资格证明材料；</w:t>
      </w:r>
    </w:p>
    <w:p>
      <w:pPr>
        <w:spacing w:line="400" w:lineRule="exact"/>
        <w:ind w:firstLine="480" w:firstLineChars="200"/>
        <w:rPr>
          <w:rFonts w:ascii="宋体" w:cs="宋体"/>
          <w:sz w:val="24"/>
          <w:szCs w:val="24"/>
        </w:rPr>
      </w:pPr>
      <w:r>
        <w:rPr>
          <w:rFonts w:ascii="宋体" w:hAnsi="宋体" w:cs="宋体"/>
          <w:sz w:val="24"/>
          <w:szCs w:val="24"/>
        </w:rPr>
        <w:t>9-7.</w:t>
      </w:r>
      <w:r>
        <w:rPr>
          <w:rFonts w:hint="eastAsia" w:ascii="宋体" w:hAnsi="宋体" w:cs="宋体"/>
          <w:sz w:val="24"/>
          <w:szCs w:val="24"/>
        </w:rPr>
        <w:t>法定代表人授权书（见格式）</w:t>
      </w:r>
    </w:p>
    <w:p>
      <w:pPr>
        <w:spacing w:line="400" w:lineRule="exact"/>
        <w:ind w:firstLine="480" w:firstLineChars="200"/>
        <w:rPr>
          <w:rFonts w:ascii="宋体" w:cs="宋体"/>
          <w:sz w:val="24"/>
          <w:szCs w:val="24"/>
        </w:rPr>
      </w:pPr>
      <w:r>
        <w:rPr>
          <w:rFonts w:ascii="宋体" w:hAnsi="宋体" w:cs="宋体"/>
          <w:sz w:val="24"/>
          <w:szCs w:val="24"/>
        </w:rPr>
        <w:t>9-8.</w:t>
      </w:r>
      <w:r>
        <w:rPr>
          <w:rFonts w:hint="eastAsia" w:ascii="宋体" w:hAnsi="宋体" w:cs="宋体"/>
          <w:sz w:val="24"/>
          <w:szCs w:val="24"/>
        </w:rPr>
        <w:t>供应商的资格声明（见格式）</w:t>
      </w:r>
    </w:p>
    <w:p>
      <w:pPr>
        <w:spacing w:line="400" w:lineRule="exact"/>
        <w:ind w:firstLine="480" w:firstLineChars="200"/>
        <w:rPr>
          <w:rFonts w:ascii="宋体" w:cs="宋体"/>
          <w:sz w:val="24"/>
          <w:szCs w:val="24"/>
        </w:rPr>
      </w:pPr>
      <w:r>
        <w:rPr>
          <w:rFonts w:ascii="宋体" w:hAnsi="宋体" w:cs="宋体"/>
          <w:sz w:val="24"/>
          <w:szCs w:val="24"/>
        </w:rPr>
        <w:t xml:space="preserve">9-9. </w:t>
      </w:r>
      <w:r>
        <w:rPr>
          <w:rFonts w:hint="eastAsia" w:ascii="宋体" w:hAnsi="宋体" w:cs="宋体"/>
          <w:sz w:val="24"/>
          <w:szCs w:val="24"/>
        </w:rPr>
        <w:t>磋商保证金凭证</w:t>
      </w: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spacing w:line="432" w:lineRule="auto"/>
        <w:rPr>
          <w:rFonts w:ascii="宋体" w:cs="宋体"/>
          <w:sz w:val="28"/>
        </w:rPr>
      </w:pPr>
    </w:p>
    <w:p>
      <w:pPr>
        <w:jc w:val="center"/>
        <w:rPr>
          <w:rFonts w:ascii="宋体" w:cs="宋体"/>
          <w:b/>
          <w:bCs/>
          <w:sz w:val="24"/>
          <w:szCs w:val="24"/>
        </w:rPr>
      </w:pPr>
      <w:r>
        <w:rPr>
          <w:rFonts w:hint="eastAsia" w:ascii="宋体" w:hAnsi="宋体" w:cs="宋体"/>
          <w:b/>
          <w:bCs/>
          <w:sz w:val="24"/>
          <w:szCs w:val="24"/>
        </w:rPr>
        <w:t>格式</w:t>
      </w:r>
      <w:r>
        <w:rPr>
          <w:rFonts w:ascii="宋体" w:hAnsi="宋体" w:cs="宋体"/>
          <w:b/>
          <w:bCs/>
          <w:sz w:val="24"/>
          <w:szCs w:val="24"/>
        </w:rPr>
        <w:t xml:space="preserve">9-7.  </w:t>
      </w:r>
      <w:r>
        <w:rPr>
          <w:rFonts w:hint="eastAsia" w:ascii="宋体" w:hAnsi="宋体" w:cs="宋体"/>
          <w:b/>
          <w:bCs/>
          <w:sz w:val="24"/>
          <w:szCs w:val="24"/>
        </w:rPr>
        <w:t>法定代表人授权书</w:t>
      </w:r>
    </w:p>
    <w:p>
      <w:pPr>
        <w:spacing w:line="432" w:lineRule="auto"/>
        <w:rPr>
          <w:rFonts w:ascii="宋体" w:cs="宋体"/>
          <w:sz w:val="24"/>
        </w:rPr>
      </w:pPr>
    </w:p>
    <w:p>
      <w:pPr>
        <w:spacing w:line="440" w:lineRule="exact"/>
        <w:rPr>
          <w:rFonts w:ascii="宋体" w:cs="宋体"/>
          <w:sz w:val="28"/>
          <w:szCs w:val="28"/>
        </w:rPr>
      </w:pPr>
      <w:r>
        <w:rPr>
          <w:rFonts w:hint="eastAsia" w:ascii="宋体" w:hAnsi="宋体" w:cs="宋体"/>
          <w:sz w:val="28"/>
          <w:szCs w:val="28"/>
        </w:rPr>
        <w:t>致：江西省机电设备招标有限公司</w:t>
      </w:r>
    </w:p>
    <w:p>
      <w:pPr>
        <w:spacing w:line="440" w:lineRule="exact"/>
        <w:rPr>
          <w:rFonts w:ascii="宋体" w:cs="宋体"/>
          <w:sz w:val="24"/>
        </w:rPr>
      </w:pPr>
    </w:p>
    <w:p>
      <w:pPr>
        <w:spacing w:line="440" w:lineRule="exact"/>
        <w:rPr>
          <w:rFonts w:ascii="宋体" w:cs="宋体"/>
          <w:sz w:val="24"/>
        </w:rPr>
      </w:pPr>
      <w:r>
        <w:rPr>
          <w:rFonts w:hint="eastAsia" w:ascii="宋体" w:hAnsi="宋体" w:cs="宋体"/>
          <w:sz w:val="24"/>
        </w:rPr>
        <w:t>（供应商全称）法定代表人授权（全权代表姓名）为全权代表</w:t>
      </w:r>
      <w:r>
        <w:rPr>
          <w:rFonts w:ascii="宋体" w:cs="宋体"/>
          <w:sz w:val="24"/>
        </w:rPr>
        <w:t>,</w:t>
      </w:r>
      <w:r>
        <w:rPr>
          <w:rFonts w:hint="eastAsia" w:ascii="宋体" w:hAnsi="宋体" w:cs="宋体"/>
          <w:sz w:val="24"/>
        </w:rPr>
        <w:t>参加贵处组织的（项目编号）项目磋商活动，全权代表我方处理磋商活动中的一切事宜。</w:t>
      </w:r>
    </w:p>
    <w:p>
      <w:pPr>
        <w:spacing w:line="440" w:lineRule="exact"/>
        <w:rPr>
          <w:rFonts w:ascii="宋体" w:cs="宋体"/>
          <w:sz w:val="24"/>
        </w:rPr>
      </w:pPr>
    </w:p>
    <w:p>
      <w:pPr>
        <w:spacing w:line="440" w:lineRule="exact"/>
        <w:rPr>
          <w:rFonts w:ascii="宋体" w:cs="宋体"/>
          <w:sz w:val="24"/>
        </w:rPr>
      </w:pPr>
    </w:p>
    <w:p>
      <w:pPr>
        <w:spacing w:line="440" w:lineRule="exact"/>
        <w:rPr>
          <w:rFonts w:ascii="宋体" w:cs="宋体"/>
          <w:sz w:val="24"/>
        </w:rPr>
      </w:pPr>
    </w:p>
    <w:p>
      <w:pPr>
        <w:spacing w:line="440" w:lineRule="exact"/>
        <w:rPr>
          <w:rFonts w:ascii="宋体" w:cs="宋体"/>
          <w:sz w:val="24"/>
        </w:rPr>
      </w:pPr>
      <w:r>
        <w:rPr>
          <w:rFonts w:hint="eastAsia" w:ascii="宋体" w:hAnsi="宋体" w:cs="宋体"/>
          <w:sz w:val="24"/>
        </w:rPr>
        <w:t>法定代表人签字或签章：</w:t>
      </w:r>
    </w:p>
    <w:p>
      <w:pPr>
        <w:spacing w:line="440" w:lineRule="exact"/>
        <w:rPr>
          <w:rFonts w:ascii="宋体" w:cs="宋体"/>
          <w:sz w:val="24"/>
        </w:rPr>
      </w:pPr>
    </w:p>
    <w:p>
      <w:pPr>
        <w:spacing w:line="440" w:lineRule="exact"/>
        <w:rPr>
          <w:rFonts w:ascii="宋体" w:cs="宋体"/>
          <w:sz w:val="24"/>
        </w:rPr>
      </w:pPr>
      <w:r>
        <w:rPr>
          <w:rFonts w:hint="eastAsia" w:ascii="宋体" w:hAnsi="宋体" w:cs="宋体"/>
          <w:sz w:val="24"/>
        </w:rPr>
        <w:t>供应商盖章：</w:t>
      </w:r>
    </w:p>
    <w:p>
      <w:pPr>
        <w:spacing w:line="440" w:lineRule="exact"/>
        <w:rPr>
          <w:rFonts w:ascii="宋体" w:cs="宋体"/>
          <w:sz w:val="24"/>
        </w:rPr>
      </w:pPr>
    </w:p>
    <w:p>
      <w:pPr>
        <w:spacing w:line="440" w:lineRule="exact"/>
        <w:rPr>
          <w:rFonts w:ascii="宋体" w:cs="宋体"/>
          <w:sz w:val="24"/>
        </w:rPr>
      </w:pPr>
      <w:r>
        <w:rPr>
          <w:rFonts w:hint="eastAsia" w:ascii="宋体" w:hAnsi="宋体" w:cs="宋体"/>
          <w:sz w:val="24"/>
        </w:rPr>
        <w:t>日期：</w:t>
      </w:r>
    </w:p>
    <w:p>
      <w:pPr>
        <w:spacing w:line="440" w:lineRule="exact"/>
        <w:rPr>
          <w:rFonts w:ascii="宋体" w:cs="宋体"/>
          <w:sz w:val="24"/>
        </w:rPr>
      </w:pPr>
    </w:p>
    <w:p>
      <w:pPr>
        <w:spacing w:line="440" w:lineRule="exact"/>
        <w:rPr>
          <w:rFonts w:ascii="宋体" w:cs="宋体"/>
          <w:sz w:val="24"/>
        </w:rPr>
      </w:pPr>
    </w:p>
    <w:p>
      <w:pPr>
        <w:spacing w:line="440" w:lineRule="exact"/>
        <w:rPr>
          <w:rFonts w:ascii="宋体" w:cs="宋体"/>
          <w:sz w:val="24"/>
        </w:rPr>
      </w:pPr>
      <w:r>
        <w:rPr>
          <w:rFonts w:hint="eastAsia" w:ascii="宋体" w:hAnsi="宋体" w:cs="宋体"/>
          <w:sz w:val="24"/>
        </w:rPr>
        <w:t>附：</w:t>
      </w:r>
    </w:p>
    <w:p>
      <w:pPr>
        <w:spacing w:line="440" w:lineRule="exact"/>
        <w:rPr>
          <w:rFonts w:ascii="宋体" w:cs="宋体"/>
          <w:sz w:val="24"/>
          <w:u w:val="single"/>
        </w:rPr>
      </w:pPr>
      <w:r>
        <w:rPr>
          <w:rFonts w:hint="eastAsia" w:ascii="宋体" w:hAnsi="宋体" w:cs="宋体"/>
          <w:sz w:val="24"/>
        </w:rPr>
        <w:t>全权代表姓名：</w:t>
      </w:r>
    </w:p>
    <w:p>
      <w:pPr>
        <w:spacing w:line="440" w:lineRule="exact"/>
        <w:rPr>
          <w:rFonts w:ascii="宋体" w:cs="宋体"/>
          <w:sz w:val="24"/>
        </w:rPr>
      </w:pPr>
      <w:r>
        <w:rPr>
          <w:rFonts w:hint="eastAsia" w:ascii="宋体" w:hAnsi="宋体" w:cs="宋体"/>
          <w:sz w:val="24"/>
        </w:rPr>
        <w:t>职务：</w:t>
      </w:r>
    </w:p>
    <w:p>
      <w:pPr>
        <w:spacing w:line="440" w:lineRule="exact"/>
        <w:rPr>
          <w:rFonts w:ascii="宋体" w:cs="宋体"/>
          <w:sz w:val="24"/>
        </w:rPr>
      </w:pPr>
      <w:r>
        <w:rPr>
          <w:rFonts w:hint="eastAsia" w:ascii="宋体" w:hAnsi="宋体" w:cs="宋体"/>
          <w:sz w:val="24"/>
        </w:rPr>
        <w:t>电话：</w:t>
      </w:r>
    </w:p>
    <w:p>
      <w:pPr>
        <w:spacing w:line="440" w:lineRule="exact"/>
        <w:rPr>
          <w:rFonts w:ascii="宋体" w:cs="宋体"/>
          <w:sz w:val="24"/>
        </w:rPr>
      </w:pPr>
      <w:r>
        <w:rPr>
          <w:rFonts w:hint="eastAsia" w:ascii="宋体" w:hAnsi="宋体" w:cs="宋体"/>
          <w:sz w:val="24"/>
        </w:rPr>
        <w:t>详细通讯地址：</w:t>
      </w:r>
    </w:p>
    <w:p>
      <w:pPr>
        <w:spacing w:line="440" w:lineRule="exact"/>
        <w:rPr>
          <w:rFonts w:ascii="宋体" w:cs="宋体"/>
          <w:sz w:val="24"/>
        </w:rPr>
      </w:pPr>
      <w:r>
        <w:rPr>
          <w:rFonts w:hint="eastAsia" w:ascii="宋体" w:hAnsi="宋体" w:cs="宋体"/>
          <w:sz w:val="24"/>
        </w:rPr>
        <w:t>邮政编码：</w:t>
      </w:r>
    </w:p>
    <w:p>
      <w:pPr>
        <w:rPr>
          <w:rFonts w:ascii="宋体" w:cs="宋体"/>
        </w:rPr>
      </w:pPr>
    </w:p>
    <w:p>
      <w:pPr>
        <w:spacing w:line="440" w:lineRule="exact"/>
        <w:rPr>
          <w:rFonts w:ascii="宋体" w:cs="宋体"/>
        </w:rPr>
      </w:pPr>
    </w:p>
    <w:p>
      <w:pPr>
        <w:tabs>
          <w:tab w:val="left" w:pos="1470"/>
        </w:tabs>
        <w:spacing w:line="432" w:lineRule="auto"/>
        <w:rPr>
          <w:rFonts w:ascii="宋体" w:cs="宋体"/>
          <w:b/>
          <w:sz w:val="24"/>
        </w:rPr>
      </w:pPr>
    </w:p>
    <w:p>
      <w:pPr>
        <w:tabs>
          <w:tab w:val="left" w:pos="1470"/>
        </w:tabs>
        <w:spacing w:line="432" w:lineRule="auto"/>
        <w:rPr>
          <w:rFonts w:ascii="宋体" w:cs="宋体"/>
          <w:b/>
          <w:sz w:val="24"/>
        </w:rPr>
      </w:pPr>
      <w:r>
        <w:rPr>
          <w:rFonts w:hint="eastAsia" w:ascii="宋体" w:hAnsi="宋体" w:cs="宋体"/>
          <w:b/>
          <w:sz w:val="24"/>
        </w:rPr>
        <w:t>附：全权代表身份证扫描件（正、反面）</w:t>
      </w:r>
    </w:p>
    <w:p>
      <w:pPr>
        <w:tabs>
          <w:tab w:val="left" w:pos="1470"/>
        </w:tabs>
        <w:spacing w:line="432" w:lineRule="auto"/>
        <w:rPr>
          <w:rFonts w:ascii="宋体" w:cs="宋体"/>
          <w:b/>
          <w:sz w:val="24"/>
          <w:szCs w:val="24"/>
        </w:rPr>
      </w:pPr>
      <w:r>
        <w:rPr>
          <w:rFonts w:hint="eastAsia" w:ascii="宋体" w:hAnsi="宋体" w:cs="宋体"/>
          <w:b/>
          <w:sz w:val="24"/>
          <w:szCs w:val="24"/>
        </w:rPr>
        <w:t>说明：法定代表人参加采购，不用提供委托（授权）书</w:t>
      </w:r>
    </w:p>
    <w:p>
      <w:pPr>
        <w:tabs>
          <w:tab w:val="left" w:pos="1470"/>
        </w:tabs>
        <w:spacing w:line="432" w:lineRule="auto"/>
        <w:rPr>
          <w:rFonts w:ascii="宋体" w:cs="宋体"/>
          <w:b/>
          <w:sz w:val="24"/>
        </w:rPr>
        <w:sectPr>
          <w:footerReference r:id="rId11" w:type="default"/>
          <w:footerReference r:id="rId12" w:type="even"/>
          <w:pgSz w:w="11906" w:h="16838"/>
          <w:pgMar w:top="1418" w:right="1247" w:bottom="1418" w:left="1814" w:header="851" w:footer="992" w:gutter="0"/>
          <w:cols w:space="720" w:num="1"/>
          <w:docGrid w:linePitch="312" w:charSpace="0"/>
        </w:sectPr>
      </w:pPr>
    </w:p>
    <w:p>
      <w:pPr>
        <w:spacing w:afterLines="100"/>
        <w:jc w:val="center"/>
        <w:rPr>
          <w:rFonts w:ascii="宋体" w:cs="宋体"/>
          <w:b/>
          <w:bCs/>
          <w:sz w:val="24"/>
          <w:szCs w:val="24"/>
        </w:rPr>
      </w:pPr>
      <w:bookmarkStart w:id="151" w:name="_Toc262628298"/>
      <w:bookmarkStart w:id="152" w:name="_Toc262628299"/>
      <w:r>
        <w:rPr>
          <w:rFonts w:hint="eastAsia" w:ascii="宋体" w:hAnsi="宋体" w:cs="宋体"/>
          <w:b/>
          <w:bCs/>
          <w:sz w:val="24"/>
          <w:szCs w:val="24"/>
        </w:rPr>
        <w:t>格式</w:t>
      </w:r>
      <w:r>
        <w:rPr>
          <w:rFonts w:ascii="宋体" w:hAnsi="宋体" w:cs="宋体"/>
          <w:b/>
          <w:bCs/>
          <w:sz w:val="24"/>
          <w:szCs w:val="24"/>
        </w:rPr>
        <w:t>9-8</w:t>
      </w:r>
      <w:r>
        <w:rPr>
          <w:rFonts w:hint="eastAsia" w:ascii="宋体" w:hAnsi="宋体" w:cs="宋体"/>
          <w:b/>
          <w:bCs/>
          <w:sz w:val="24"/>
          <w:szCs w:val="24"/>
        </w:rPr>
        <w:t>．供应商的资格声明</w:t>
      </w:r>
      <w:bookmarkEnd w:id="151"/>
    </w:p>
    <w:p>
      <w:pPr>
        <w:spacing w:line="440" w:lineRule="exact"/>
        <w:rPr>
          <w:rFonts w:ascii="宋体" w:cs="宋体"/>
          <w:sz w:val="28"/>
          <w:szCs w:val="28"/>
        </w:rPr>
      </w:pPr>
    </w:p>
    <w:p>
      <w:pPr>
        <w:spacing w:line="440" w:lineRule="exact"/>
        <w:rPr>
          <w:rFonts w:asci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cs="宋体"/>
          <w:spacing w:val="-2"/>
          <w:sz w:val="24"/>
        </w:rPr>
      </w:pPr>
    </w:p>
    <w:p>
      <w:pPr>
        <w:spacing w:line="560" w:lineRule="exact"/>
        <w:ind w:left="2" w:firstLine="476" w:firstLineChars="202"/>
        <w:rPr>
          <w:rFonts w:ascii="宋体" w:cs="宋体"/>
          <w:sz w:val="24"/>
        </w:rPr>
      </w:pPr>
      <w:r>
        <w:rPr>
          <w:rFonts w:hint="eastAsia" w:ascii="宋体" w:hAnsi="宋体" w:cs="宋体"/>
          <w:spacing w:val="-2"/>
          <w:sz w:val="24"/>
        </w:rPr>
        <w:t>为响应贵方</w:t>
      </w:r>
      <w:r>
        <w:rPr>
          <w:rFonts w:hint="eastAsia" w:ascii="宋体" w:hAnsi="宋体" w:cs="宋体"/>
          <w:spacing w:val="-2"/>
          <w:sz w:val="24"/>
          <w:u w:val="single"/>
        </w:rPr>
        <w:t>（项目名称、项目编号）</w:t>
      </w:r>
      <w:r>
        <w:rPr>
          <w:rFonts w:hint="eastAsia" w:ascii="宋体" w:hAnsi="宋体" w:cs="宋体"/>
          <w:spacing w:val="-2"/>
          <w:sz w:val="24"/>
        </w:rPr>
        <w:t>磋商邀请，下述签字人愿参与磋商，提供采购需求一览表和采购要求</w:t>
      </w:r>
      <w:r>
        <w:rPr>
          <w:rFonts w:hint="eastAsia" w:ascii="宋体" w:hAnsi="宋体" w:cs="宋体"/>
          <w:sz w:val="24"/>
          <w:szCs w:val="24"/>
        </w:rPr>
        <w:t>规定的有关服务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spacing w:line="560" w:lineRule="exact"/>
        <w:rPr>
          <w:rFonts w:ascii="宋体" w:cs="宋体"/>
          <w:sz w:val="24"/>
          <w:szCs w:val="24"/>
        </w:rPr>
      </w:pPr>
      <w:r>
        <w:rPr>
          <w:rFonts w:ascii="宋体" w:hAnsi="宋体" w:cs="宋体"/>
          <w:sz w:val="24"/>
          <w:szCs w:val="24"/>
        </w:rPr>
        <w:t>1</w:t>
      </w:r>
      <w:r>
        <w:rPr>
          <w:rFonts w:hint="eastAsia" w:ascii="宋体" w:hAnsi="宋体" w:cs="宋体"/>
          <w:sz w:val="24"/>
          <w:szCs w:val="24"/>
        </w:rPr>
        <w:t>、我方具有履行合同所必须的设备和专业技术能力。</w:t>
      </w:r>
    </w:p>
    <w:p>
      <w:pPr>
        <w:spacing w:line="560" w:lineRule="exact"/>
        <w:rPr>
          <w:rFonts w:ascii="宋体" w:cs="宋体"/>
          <w:sz w:val="24"/>
          <w:szCs w:val="24"/>
        </w:rPr>
      </w:pPr>
      <w:r>
        <w:rPr>
          <w:rFonts w:ascii="宋体" w:hAnsi="宋体" w:cs="宋体"/>
          <w:sz w:val="24"/>
          <w:szCs w:val="24"/>
        </w:rPr>
        <w:t>2</w:t>
      </w:r>
      <w:r>
        <w:rPr>
          <w:rFonts w:hint="eastAsia" w:ascii="宋体" w:hAnsi="宋体" w:cs="宋体"/>
          <w:sz w:val="24"/>
          <w:szCs w:val="24"/>
        </w:rPr>
        <w:t>、我方在参加政府采购前三年内</w:t>
      </w:r>
      <w:r>
        <w:rPr>
          <w:rFonts w:ascii="宋体" w:cs="宋体"/>
          <w:sz w:val="24"/>
          <w:szCs w:val="24"/>
        </w:rPr>
        <w:t>,</w:t>
      </w:r>
      <w:r>
        <w:rPr>
          <w:rFonts w:hint="eastAsia" w:ascii="宋体" w:hAnsi="宋体" w:cs="宋体"/>
          <w:sz w:val="24"/>
          <w:szCs w:val="24"/>
        </w:rPr>
        <w:t>在经营活动中没有重大违法记录。</w:t>
      </w:r>
    </w:p>
    <w:p>
      <w:pPr>
        <w:spacing w:line="560" w:lineRule="exact"/>
        <w:rPr>
          <w:rFonts w:ascii="宋体" w:cs="宋体"/>
          <w:sz w:val="24"/>
          <w:szCs w:val="24"/>
        </w:rPr>
      </w:pPr>
      <w:r>
        <w:rPr>
          <w:rFonts w:ascii="宋体" w:hAnsi="宋体" w:cs="宋体"/>
          <w:sz w:val="24"/>
          <w:szCs w:val="24"/>
        </w:rPr>
        <w:t>3</w:t>
      </w:r>
      <w:r>
        <w:rPr>
          <w:rFonts w:hint="eastAsia" w:ascii="宋体" w:hAnsi="宋体" w:cs="宋体"/>
          <w:sz w:val="24"/>
          <w:szCs w:val="24"/>
        </w:rPr>
        <w:t>、下述签字人在证书中证明本资格文件中的内容是真实的和正确的。</w:t>
      </w:r>
    </w:p>
    <w:p>
      <w:pPr>
        <w:spacing w:line="560" w:lineRule="exact"/>
        <w:rPr>
          <w:rFonts w:ascii="宋体" w:cs="宋体"/>
          <w:sz w:val="24"/>
          <w:szCs w:val="24"/>
        </w:rPr>
      </w:pPr>
      <w:r>
        <w:rPr>
          <w:rFonts w:ascii="宋体" w:hAnsi="宋体" w:cs="宋体"/>
          <w:sz w:val="24"/>
          <w:szCs w:val="24"/>
        </w:rPr>
        <w:t>4</w:t>
      </w:r>
      <w:r>
        <w:rPr>
          <w:rFonts w:hint="eastAsia" w:ascii="宋体" w:hAnsi="宋体" w:cs="宋体"/>
          <w:sz w:val="24"/>
          <w:szCs w:val="24"/>
        </w:rPr>
        <w:t>、我方没有单位负责人为同一人或者存在直接控股、管理关系的不同供应商，参加本项目采购活动的情形；</w:t>
      </w:r>
    </w:p>
    <w:p>
      <w:pPr>
        <w:spacing w:line="560" w:lineRule="exact"/>
        <w:rPr>
          <w:rFonts w:ascii="宋体" w:cs="宋体"/>
          <w:sz w:val="24"/>
          <w:szCs w:val="24"/>
        </w:rPr>
      </w:pPr>
      <w:r>
        <w:rPr>
          <w:rFonts w:ascii="宋体" w:hAnsi="宋体" w:cs="宋体"/>
          <w:sz w:val="24"/>
          <w:szCs w:val="24"/>
        </w:rPr>
        <w:t>5</w:t>
      </w:r>
      <w:r>
        <w:rPr>
          <w:rFonts w:hint="eastAsia" w:ascii="宋体" w:hAnsi="宋体" w:cs="宋体"/>
          <w:sz w:val="24"/>
          <w:szCs w:val="24"/>
        </w:rPr>
        <w:t>、我方没有为本项目提供整体设计、规范编制或者项目管理、监理、检测等服务。</w:t>
      </w:r>
    </w:p>
    <w:p>
      <w:pPr>
        <w:spacing w:line="432" w:lineRule="auto"/>
        <w:rPr>
          <w:rFonts w:ascii="宋体" w:cs="宋体"/>
          <w:sz w:val="24"/>
        </w:rPr>
      </w:pPr>
    </w:p>
    <w:p>
      <w:pPr>
        <w:spacing w:line="432" w:lineRule="auto"/>
        <w:rPr>
          <w:rFonts w:ascii="宋体" w:cs="宋体"/>
          <w:sz w:val="24"/>
        </w:rPr>
      </w:pPr>
    </w:p>
    <w:p>
      <w:pPr>
        <w:spacing w:line="432" w:lineRule="auto"/>
        <w:rPr>
          <w:rFonts w:ascii="宋体" w:cs="宋体"/>
          <w:sz w:val="24"/>
        </w:rPr>
      </w:pPr>
      <w:r>
        <w:rPr>
          <w:rFonts w:hint="eastAsia" w:ascii="宋体" w:hAnsi="宋体" w:cs="宋体"/>
          <w:sz w:val="24"/>
        </w:rPr>
        <w:t>供应商代表签字或签章</w:t>
      </w:r>
    </w:p>
    <w:p>
      <w:pPr>
        <w:spacing w:line="432" w:lineRule="auto"/>
        <w:rPr>
          <w:rFonts w:ascii="宋体" w:cs="宋体"/>
          <w:sz w:val="24"/>
          <w:u w:val="single"/>
        </w:rPr>
      </w:pPr>
      <w:r>
        <w:rPr>
          <w:rFonts w:hint="eastAsia" w:ascii="宋体" w:hAnsi="宋体" w:cs="宋体"/>
          <w:sz w:val="24"/>
        </w:rPr>
        <w:t>供应商盖章</w:t>
      </w:r>
    </w:p>
    <w:p>
      <w:pPr>
        <w:spacing w:line="432" w:lineRule="auto"/>
        <w:rPr>
          <w:rFonts w:ascii="宋体" w:cs="宋体"/>
          <w:sz w:val="24"/>
          <w:u w:val="single"/>
        </w:rPr>
      </w:pPr>
      <w:r>
        <w:rPr>
          <w:rFonts w:hint="eastAsia" w:ascii="宋体" w:hAnsi="宋体" w:cs="宋体"/>
          <w:sz w:val="24"/>
        </w:rPr>
        <w:t>日期</w:t>
      </w:r>
    </w:p>
    <w:bookmarkEnd w:id="152"/>
    <w:p>
      <w:pPr>
        <w:tabs>
          <w:tab w:val="left" w:pos="1470"/>
        </w:tabs>
        <w:spacing w:line="432" w:lineRule="auto"/>
        <w:rPr>
          <w:rFonts w:ascii="宋体" w:cs="宋体"/>
          <w:sz w:val="24"/>
          <w:u w:val="single"/>
        </w:rPr>
      </w:pPr>
    </w:p>
    <w:p>
      <w:pPr>
        <w:tabs>
          <w:tab w:val="left" w:pos="1470"/>
        </w:tabs>
        <w:spacing w:line="432" w:lineRule="auto"/>
        <w:rPr>
          <w:rFonts w:ascii="宋体" w:cs="宋体"/>
          <w:sz w:val="24"/>
          <w:u w:val="single"/>
        </w:rPr>
        <w:sectPr>
          <w:pgSz w:w="11906" w:h="16838"/>
          <w:pgMar w:top="1418" w:right="1247" w:bottom="1418" w:left="1814" w:header="851" w:footer="992" w:gutter="0"/>
          <w:cols w:space="720" w:num="1"/>
          <w:docGrid w:type="lines" w:linePitch="312" w:charSpace="0"/>
        </w:sectPr>
      </w:pPr>
    </w:p>
    <w:p>
      <w:pPr>
        <w:spacing w:line="440" w:lineRule="exact"/>
        <w:jc w:val="center"/>
        <w:rPr>
          <w:rFonts w:ascii="宋体" w:cs="宋体"/>
          <w:b/>
          <w:sz w:val="24"/>
          <w:szCs w:val="24"/>
        </w:rPr>
      </w:pPr>
      <w:bookmarkStart w:id="153" w:name="_Toc464033498"/>
      <w:r>
        <w:rPr>
          <w:rFonts w:hint="eastAsia" w:ascii="宋体" w:hAnsi="宋体" w:cs="宋体"/>
          <w:b/>
          <w:sz w:val="24"/>
          <w:szCs w:val="24"/>
        </w:rPr>
        <w:t>格式</w:t>
      </w:r>
      <w:r>
        <w:rPr>
          <w:rFonts w:ascii="宋体" w:hAnsi="宋体" w:cs="宋体"/>
          <w:b/>
          <w:sz w:val="24"/>
          <w:szCs w:val="24"/>
        </w:rPr>
        <w:t xml:space="preserve">9-9. </w:t>
      </w:r>
      <w:bookmarkEnd w:id="153"/>
      <w:r>
        <w:rPr>
          <w:rFonts w:hint="eastAsia" w:ascii="宋体" w:hAnsi="宋体" w:cs="宋体"/>
          <w:b/>
          <w:sz w:val="24"/>
          <w:szCs w:val="24"/>
        </w:rPr>
        <w:t>磋商保证金凭证及退还保证金的信息</w:t>
      </w:r>
    </w:p>
    <w:p>
      <w:pPr>
        <w:ind w:firstLine="964" w:firstLineChars="400"/>
        <w:rPr>
          <w:rFonts w:ascii="宋体" w:cs="宋体"/>
          <w:b/>
          <w:sz w:val="24"/>
          <w:szCs w:val="24"/>
        </w:rPr>
      </w:pPr>
    </w:p>
    <w:p>
      <w:pPr>
        <w:spacing w:line="440" w:lineRule="exact"/>
        <w:rPr>
          <w:rFonts w:ascii="宋体" w:cs="宋体"/>
          <w:b/>
          <w:sz w:val="24"/>
          <w:szCs w:val="24"/>
        </w:rPr>
      </w:pPr>
    </w:p>
    <w:p>
      <w:pPr>
        <w:spacing w:line="500" w:lineRule="exact"/>
        <w:ind w:firstLine="480" w:firstLineChars="200"/>
        <w:rPr>
          <w:rFonts w:ascii="宋体" w:cs="仿宋"/>
          <w:sz w:val="24"/>
          <w:szCs w:val="24"/>
        </w:rPr>
      </w:pPr>
      <w:r>
        <w:rPr>
          <w:rFonts w:hint="eastAsia" w:ascii="宋体" w:hAnsi="宋体" w:cs="仿宋"/>
          <w:sz w:val="24"/>
          <w:szCs w:val="24"/>
        </w:rPr>
        <w:t>附：投标人盖章的保证金凭证复印件或截图</w:t>
      </w:r>
    </w:p>
    <w:p>
      <w:pPr>
        <w:spacing w:line="500" w:lineRule="exact"/>
        <w:ind w:firstLine="480" w:firstLineChars="200"/>
        <w:rPr>
          <w:rFonts w:ascii="宋体" w:cs="仿宋"/>
          <w:sz w:val="24"/>
          <w:szCs w:val="24"/>
        </w:rPr>
      </w:pPr>
      <w:r>
        <w:rPr>
          <w:rFonts w:hint="eastAsia" w:ascii="宋体" w:hAnsi="宋体" w:cs="仿宋"/>
          <w:sz w:val="24"/>
          <w:szCs w:val="24"/>
        </w:rPr>
        <w:t>本项目保证金应当采用支票、汇票、本票、网上银行支付或者金融机构、担保机构出具的保函、保险公司出具的保证保险等非现金形式交纳。</w:t>
      </w:r>
    </w:p>
    <w:p>
      <w:pPr>
        <w:spacing w:line="500" w:lineRule="exact"/>
        <w:ind w:firstLine="480" w:firstLineChars="200"/>
        <w:rPr>
          <w:rFonts w:ascii="宋体" w:cs="仿宋"/>
          <w:sz w:val="24"/>
          <w:szCs w:val="24"/>
        </w:rPr>
      </w:pPr>
      <w:r>
        <w:rPr>
          <w:rFonts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采用银行电汇、转账、网上银行形式：</w:t>
      </w:r>
      <w:r>
        <w:rPr>
          <w:rFonts w:ascii="宋体" w:cs="仿宋"/>
          <w:sz w:val="24"/>
          <w:szCs w:val="24"/>
        </w:rPr>
        <w:br w:type="textWrapping"/>
      </w:r>
      <w:r>
        <w:rPr>
          <w:rFonts w:hint="eastAsia" w:ascii="宋体" w:hAnsi="宋体" w:cs="仿宋"/>
          <w:sz w:val="24"/>
          <w:szCs w:val="24"/>
        </w:rPr>
        <w:t>保证金交至以下账户，并在投标文件中提供交纳保证金凭证复印件或截图：</w:t>
      </w:r>
    </w:p>
    <w:p>
      <w:pPr>
        <w:spacing w:line="500" w:lineRule="exact"/>
        <w:ind w:firstLine="480" w:firstLineChars="200"/>
        <w:rPr>
          <w:rFonts w:ascii="宋体" w:cs="仿宋"/>
          <w:sz w:val="24"/>
          <w:szCs w:val="24"/>
        </w:rPr>
      </w:pPr>
      <w:r>
        <w:rPr>
          <w:rFonts w:ascii="宋体" w:hAnsi="宋体" w:cs="仿宋"/>
          <w:sz w:val="24"/>
          <w:szCs w:val="24"/>
        </w:rPr>
        <w:t>2</w:t>
      </w:r>
      <w:r>
        <w:rPr>
          <w:rFonts w:hint="eastAsia" w:ascii="宋体" w:hAnsi="宋体" w:cs="仿宋"/>
          <w:sz w:val="24"/>
          <w:szCs w:val="24"/>
        </w:rPr>
        <w:t>、采用保函形式：</w:t>
      </w:r>
    </w:p>
    <w:p>
      <w:pPr>
        <w:spacing w:line="500" w:lineRule="exact"/>
        <w:ind w:firstLine="480" w:firstLineChars="200"/>
        <w:rPr>
          <w:rFonts w:ascii="宋体" w:cs="仿宋"/>
          <w:sz w:val="24"/>
          <w:szCs w:val="24"/>
        </w:rPr>
      </w:pPr>
      <w:r>
        <w:rPr>
          <w:rFonts w:ascii="宋体" w:hAnsi="宋体" w:cs="仿宋"/>
          <w:sz w:val="24"/>
          <w:szCs w:val="24"/>
        </w:rPr>
        <w:t>2.1</w:t>
      </w:r>
      <w:r>
        <w:rPr>
          <w:rFonts w:hint="eastAsia" w:ascii="宋体" w:hAnsi="宋体" w:cs="仿宋"/>
          <w:sz w:val="24"/>
          <w:szCs w:val="24"/>
        </w:rPr>
        <w:t>、采用银行保函的，须为供应商基本账户（响应文件中提供开户许可复印件）或江西省辖区内商业银行营业网点出具的不可撤销、见索即付的独立保函；采用专业担保机构出具保函的，须为担保机构出具的不可撤销、见索即付的独立保函；以上保函可通过</w:t>
      </w:r>
      <w:r>
        <w:rPr>
          <w:rFonts w:ascii="宋体" w:hAnsi="宋体" w:cs="仿宋"/>
          <w:sz w:val="24"/>
          <w:szCs w:val="24"/>
        </w:rPr>
        <w:t>http://www.jxjzjf.com</w:t>
      </w:r>
      <w:r>
        <w:rPr>
          <w:rFonts w:hint="eastAsia" w:ascii="宋体" w:hAnsi="宋体" w:cs="仿宋"/>
          <w:sz w:val="24"/>
          <w:szCs w:val="24"/>
        </w:rPr>
        <w:t>网站申请。</w:t>
      </w:r>
    </w:p>
    <w:p>
      <w:pPr>
        <w:spacing w:line="500" w:lineRule="exact"/>
        <w:ind w:firstLine="480" w:firstLineChars="200"/>
        <w:rPr>
          <w:rFonts w:ascii="宋体" w:cs="仿宋"/>
          <w:sz w:val="24"/>
          <w:szCs w:val="24"/>
        </w:rPr>
      </w:pPr>
      <w:r>
        <w:rPr>
          <w:rFonts w:ascii="宋体" w:hAnsi="宋体" w:cs="仿宋"/>
          <w:sz w:val="24"/>
          <w:szCs w:val="24"/>
        </w:rPr>
        <w:t>2.2</w:t>
      </w:r>
      <w:r>
        <w:rPr>
          <w:rFonts w:hint="eastAsia" w:ascii="宋体" w:hAnsi="宋体" w:cs="仿宋"/>
          <w:sz w:val="24"/>
          <w:szCs w:val="24"/>
        </w:rPr>
        <w:t>、采用银行、保证保险的电子保单的形式需通过银行、保险公司官方网站（无需授权）验证查询；采用专业担保机构出具的保函需通过</w:t>
      </w:r>
      <w:r>
        <w:rPr>
          <w:rFonts w:ascii="宋体" w:hAnsi="宋体" w:cs="仿宋"/>
          <w:sz w:val="24"/>
          <w:szCs w:val="24"/>
        </w:rPr>
        <w:t>http://www.jxjzjf.com</w:t>
      </w:r>
      <w:r>
        <w:rPr>
          <w:rFonts w:hint="eastAsia" w:ascii="宋体" w:hAnsi="宋体" w:cs="仿宋"/>
          <w:sz w:val="24"/>
          <w:szCs w:val="24"/>
        </w:rPr>
        <w:t>网站验证查询，如以上渠道未能验证查询到的，视为无效保函。</w:t>
      </w:r>
    </w:p>
    <w:p>
      <w:pPr>
        <w:spacing w:line="500" w:lineRule="exact"/>
        <w:ind w:firstLine="480" w:firstLineChars="200"/>
        <w:rPr>
          <w:rFonts w:ascii="宋体" w:cs="仿宋"/>
          <w:sz w:val="24"/>
          <w:szCs w:val="24"/>
        </w:rPr>
      </w:pPr>
      <w:r>
        <w:rPr>
          <w:rFonts w:ascii="宋体" w:hAnsi="宋体" w:cs="仿宋"/>
          <w:sz w:val="24"/>
          <w:szCs w:val="24"/>
        </w:rPr>
        <w:t>2.3</w:t>
      </w:r>
      <w:r>
        <w:rPr>
          <w:rFonts w:hint="eastAsia" w:ascii="宋体" w:hAnsi="宋体" w:cs="仿宋"/>
          <w:sz w:val="24"/>
          <w:szCs w:val="24"/>
        </w:rPr>
        <w:t>、保函有效期须不少于投标有效期，否则视为不满足要求。</w:t>
      </w:r>
    </w:p>
    <w:p>
      <w:pPr>
        <w:spacing w:line="500" w:lineRule="exact"/>
        <w:ind w:firstLine="480" w:firstLineChars="200"/>
        <w:rPr>
          <w:rFonts w:ascii="宋体" w:cs="仿宋"/>
          <w:sz w:val="24"/>
          <w:szCs w:val="24"/>
        </w:rPr>
      </w:pPr>
      <w:r>
        <w:rPr>
          <w:rFonts w:ascii="宋体" w:hAnsi="宋体" w:cs="仿宋"/>
          <w:sz w:val="24"/>
          <w:szCs w:val="24"/>
        </w:rPr>
        <w:t>2.4</w:t>
      </w:r>
      <w:r>
        <w:rPr>
          <w:rFonts w:hint="eastAsia" w:ascii="宋体" w:hAnsi="宋体" w:cs="仿宋"/>
          <w:sz w:val="24"/>
          <w:szCs w:val="24"/>
        </w:rPr>
        <w:t>、保函保证担保范围须包含采购文件约定的不予退还投标保证金的情形，否则视为不满足要求。</w:t>
      </w:r>
    </w:p>
    <w:p>
      <w:pPr>
        <w:spacing w:line="500" w:lineRule="exact"/>
        <w:ind w:firstLine="480" w:firstLineChars="200"/>
        <w:rPr>
          <w:rFonts w:ascii="宋体" w:cs="仿宋"/>
          <w:sz w:val="24"/>
          <w:szCs w:val="24"/>
        </w:rPr>
      </w:pPr>
      <w:r>
        <w:rPr>
          <w:rFonts w:ascii="宋体" w:hAnsi="宋体" w:cs="仿宋"/>
          <w:sz w:val="24"/>
          <w:szCs w:val="24"/>
        </w:rPr>
        <w:t>3</w:t>
      </w:r>
      <w:r>
        <w:rPr>
          <w:rFonts w:hint="eastAsia" w:ascii="宋体" w:hAnsi="宋体" w:cs="仿宋"/>
          <w:sz w:val="24"/>
          <w:szCs w:val="24"/>
        </w:rPr>
        <w:t>、采用其他形式缴纳保证金的，需提供符合国家规定的相应凭证。</w:t>
      </w:r>
    </w:p>
    <w:p>
      <w:pPr>
        <w:spacing w:line="500" w:lineRule="exact"/>
        <w:ind w:firstLine="480" w:firstLineChars="200"/>
        <w:rPr>
          <w:rFonts w:ascii="宋体" w:cs="仿宋"/>
          <w:sz w:val="24"/>
          <w:szCs w:val="24"/>
        </w:rPr>
      </w:pPr>
      <w:r>
        <w:rPr>
          <w:rFonts w:hint="eastAsia" w:ascii="宋体" w:hAnsi="宋体" w:cs="仿宋"/>
          <w:sz w:val="24"/>
          <w:szCs w:val="24"/>
        </w:rPr>
        <w:t>未提供保证金凭证、或提供的保证金凭证及资料不满足上述要求的，视为未缴纳保证金。</w:t>
      </w:r>
    </w:p>
    <w:p>
      <w:pPr>
        <w:pStyle w:val="5"/>
        <w:spacing w:before="0" w:after="0" w:line="460" w:lineRule="exact"/>
        <w:jc w:val="center"/>
        <w:rPr>
          <w:rFonts w:ascii="宋体" w:cs="宋体"/>
          <w:sz w:val="24"/>
          <w:szCs w:val="24"/>
        </w:rPr>
      </w:pPr>
      <w:r>
        <w:rPr>
          <w:rFonts w:ascii="宋体" w:cs="宋体"/>
        </w:rPr>
        <w:br w:type="page"/>
      </w:r>
      <w:bookmarkStart w:id="154" w:name="_Toc505955283"/>
      <w:bookmarkStart w:id="155" w:name="_Toc32624"/>
      <w:r>
        <w:rPr>
          <w:rFonts w:ascii="宋体" w:hAnsi="宋体" w:cs="宋体"/>
          <w:sz w:val="24"/>
          <w:szCs w:val="24"/>
        </w:rPr>
        <w:t xml:space="preserve">10. </w:t>
      </w:r>
      <w:r>
        <w:rPr>
          <w:rFonts w:hint="eastAsia" w:ascii="宋体" w:hAnsi="宋体" w:cs="宋体"/>
          <w:sz w:val="24"/>
          <w:szCs w:val="24"/>
        </w:rPr>
        <w:t>其他证明资料</w:t>
      </w:r>
      <w:bookmarkEnd w:id="154"/>
      <w:bookmarkEnd w:id="155"/>
    </w:p>
    <w:p>
      <w:pPr>
        <w:pStyle w:val="5"/>
        <w:spacing w:before="0" w:after="0" w:line="460" w:lineRule="exact"/>
        <w:jc w:val="center"/>
        <w:rPr>
          <w:rFonts w:ascii="宋体" w:cs="宋体"/>
          <w:sz w:val="24"/>
          <w:szCs w:val="24"/>
        </w:rPr>
      </w:pPr>
    </w:p>
    <w:p>
      <w:pPr>
        <w:spacing w:line="440" w:lineRule="exact"/>
        <w:jc w:val="center"/>
        <w:rPr>
          <w:rFonts w:ascii="宋体" w:cs="宋体"/>
          <w:b/>
          <w:sz w:val="24"/>
          <w:szCs w:val="24"/>
        </w:rPr>
      </w:pPr>
      <w:bookmarkStart w:id="156" w:name="_Toc475970091"/>
      <w:r>
        <w:rPr>
          <w:rFonts w:hint="eastAsia" w:ascii="宋体" w:hAnsi="宋体" w:cs="宋体"/>
          <w:b/>
          <w:sz w:val="24"/>
          <w:szCs w:val="24"/>
        </w:rPr>
        <w:t>格式</w:t>
      </w:r>
      <w:r>
        <w:rPr>
          <w:rFonts w:ascii="宋体" w:hAnsi="宋体" w:cs="宋体"/>
          <w:b/>
          <w:sz w:val="24"/>
          <w:szCs w:val="24"/>
        </w:rPr>
        <w:t xml:space="preserve">10-1. </w:t>
      </w:r>
      <w:r>
        <w:rPr>
          <w:rFonts w:hint="eastAsia" w:ascii="宋体" w:hAnsi="宋体" w:cs="宋体"/>
          <w:b/>
          <w:sz w:val="24"/>
          <w:szCs w:val="24"/>
        </w:rPr>
        <w:t>供应商情况一览表</w:t>
      </w:r>
      <w:bookmarkEnd w:id="156"/>
    </w:p>
    <w:p>
      <w:pPr>
        <w:spacing w:line="320" w:lineRule="exact"/>
        <w:jc w:val="center"/>
        <w:rPr>
          <w:rFonts w:ascii="宋体" w:cs="宋体"/>
          <w:sz w:val="24"/>
          <w:szCs w:val="24"/>
        </w:rPr>
      </w:pPr>
    </w:p>
    <w:tbl>
      <w:tblPr>
        <w:tblStyle w:val="20"/>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567" w:hRule="atLeast"/>
        </w:trPr>
        <w:tc>
          <w:tcPr>
            <w:tcW w:w="2235" w:type="dxa"/>
            <w:tcBorders>
              <w:top w:val="double" w:color="auto" w:sz="4" w:space="0"/>
            </w:tcBorders>
            <w:vAlign w:val="center"/>
          </w:tcPr>
          <w:p>
            <w:pPr>
              <w:jc w:val="center"/>
              <w:rPr>
                <w:rFonts w:ascii="宋体" w:cs="宋体"/>
                <w:sz w:val="24"/>
                <w:szCs w:val="24"/>
              </w:rPr>
            </w:pPr>
            <w:r>
              <w:rPr>
                <w:rFonts w:hint="eastAsia" w:ascii="宋体" w:hAnsi="宋体" w:cs="宋体"/>
                <w:sz w:val="24"/>
                <w:szCs w:val="24"/>
              </w:rPr>
              <w:t>供应商名称</w:t>
            </w:r>
          </w:p>
        </w:tc>
        <w:tc>
          <w:tcPr>
            <w:tcW w:w="7485" w:type="dxa"/>
            <w:gridSpan w:val="6"/>
            <w:tcBorders>
              <w:top w:val="double" w:color="auto" w:sz="4" w:space="0"/>
            </w:tcBorders>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jc w:val="center"/>
              <w:rPr>
                <w:rFonts w:ascii="宋体" w:cs="宋体"/>
                <w:sz w:val="24"/>
                <w:szCs w:val="24"/>
              </w:rPr>
            </w:pPr>
            <w:r>
              <w:rPr>
                <w:rFonts w:hint="eastAsia" w:ascii="宋体" w:hAnsi="宋体" w:cs="宋体"/>
                <w:sz w:val="24"/>
                <w:szCs w:val="24"/>
              </w:rPr>
              <w:t>注册地址</w:t>
            </w:r>
          </w:p>
        </w:tc>
        <w:tc>
          <w:tcPr>
            <w:tcW w:w="3929" w:type="dxa"/>
            <w:gridSpan w:val="3"/>
            <w:vAlign w:val="center"/>
          </w:tcPr>
          <w:p>
            <w:pPr>
              <w:jc w:val="center"/>
              <w:rPr>
                <w:rFonts w:ascii="宋体" w:cs="宋体"/>
                <w:sz w:val="24"/>
                <w:szCs w:val="24"/>
              </w:rPr>
            </w:pPr>
          </w:p>
        </w:tc>
        <w:tc>
          <w:tcPr>
            <w:tcW w:w="1356" w:type="dxa"/>
            <w:vAlign w:val="center"/>
          </w:tcPr>
          <w:p>
            <w:pPr>
              <w:jc w:val="center"/>
              <w:rPr>
                <w:rFonts w:ascii="宋体" w:cs="宋体"/>
                <w:sz w:val="24"/>
                <w:szCs w:val="24"/>
              </w:rPr>
            </w:pPr>
            <w:r>
              <w:rPr>
                <w:rFonts w:hint="eastAsia" w:ascii="宋体" w:hAnsi="宋体" w:cs="宋体"/>
                <w:sz w:val="24"/>
                <w:szCs w:val="24"/>
              </w:rPr>
              <w:t>邮政编码</w:t>
            </w:r>
          </w:p>
        </w:tc>
        <w:tc>
          <w:tcPr>
            <w:tcW w:w="2200" w:type="dxa"/>
            <w:gridSpan w:val="2"/>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jc w:val="center"/>
              <w:rPr>
                <w:rFonts w:ascii="宋体" w:cs="宋体"/>
                <w:sz w:val="24"/>
                <w:szCs w:val="24"/>
              </w:rPr>
            </w:pPr>
            <w:r>
              <w:rPr>
                <w:rFonts w:hint="eastAsia" w:ascii="宋体" w:hAnsi="宋体" w:cs="宋体"/>
                <w:sz w:val="24"/>
                <w:szCs w:val="24"/>
              </w:rPr>
              <w:t>联系方式</w:t>
            </w:r>
          </w:p>
        </w:tc>
        <w:tc>
          <w:tcPr>
            <w:tcW w:w="1035" w:type="dxa"/>
            <w:vAlign w:val="center"/>
          </w:tcPr>
          <w:p>
            <w:pPr>
              <w:jc w:val="center"/>
              <w:rPr>
                <w:rFonts w:ascii="宋体" w:cs="宋体"/>
                <w:sz w:val="24"/>
                <w:szCs w:val="24"/>
              </w:rPr>
            </w:pPr>
            <w:r>
              <w:rPr>
                <w:rFonts w:hint="eastAsia" w:ascii="宋体" w:hAnsi="宋体" w:cs="宋体"/>
                <w:sz w:val="24"/>
                <w:szCs w:val="24"/>
              </w:rPr>
              <w:t>联系人</w:t>
            </w:r>
          </w:p>
        </w:tc>
        <w:tc>
          <w:tcPr>
            <w:tcW w:w="2894" w:type="dxa"/>
            <w:gridSpan w:val="2"/>
            <w:vAlign w:val="center"/>
          </w:tcPr>
          <w:p>
            <w:pPr>
              <w:jc w:val="center"/>
              <w:rPr>
                <w:rFonts w:ascii="宋体" w:cs="宋体"/>
                <w:sz w:val="24"/>
                <w:szCs w:val="24"/>
              </w:rPr>
            </w:pPr>
          </w:p>
        </w:tc>
        <w:tc>
          <w:tcPr>
            <w:tcW w:w="1356" w:type="dxa"/>
            <w:vAlign w:val="center"/>
          </w:tcPr>
          <w:p>
            <w:pPr>
              <w:jc w:val="center"/>
              <w:rPr>
                <w:rFonts w:ascii="宋体" w:cs="宋体"/>
                <w:sz w:val="24"/>
                <w:szCs w:val="24"/>
              </w:rPr>
            </w:pPr>
            <w:r>
              <w:rPr>
                <w:rFonts w:hint="eastAsia" w:ascii="宋体" w:hAnsi="宋体" w:cs="宋体"/>
                <w:sz w:val="24"/>
                <w:szCs w:val="24"/>
              </w:rPr>
              <w:t>联系电话</w:t>
            </w:r>
          </w:p>
        </w:tc>
        <w:tc>
          <w:tcPr>
            <w:tcW w:w="2200" w:type="dxa"/>
            <w:gridSpan w:val="2"/>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jc w:val="center"/>
              <w:rPr>
                <w:rFonts w:ascii="宋体" w:cs="宋体"/>
                <w:sz w:val="24"/>
                <w:szCs w:val="24"/>
              </w:rPr>
            </w:pPr>
          </w:p>
        </w:tc>
        <w:tc>
          <w:tcPr>
            <w:tcW w:w="1035" w:type="dxa"/>
            <w:vAlign w:val="center"/>
          </w:tcPr>
          <w:p>
            <w:pPr>
              <w:jc w:val="center"/>
              <w:rPr>
                <w:rFonts w:ascii="宋体" w:cs="宋体"/>
                <w:sz w:val="24"/>
                <w:szCs w:val="24"/>
              </w:rPr>
            </w:pPr>
            <w:r>
              <w:rPr>
                <w:rFonts w:hint="eastAsia" w:ascii="宋体" w:hAnsi="宋体" w:cs="宋体"/>
                <w:sz w:val="24"/>
                <w:szCs w:val="24"/>
              </w:rPr>
              <w:t>传真</w:t>
            </w:r>
          </w:p>
        </w:tc>
        <w:tc>
          <w:tcPr>
            <w:tcW w:w="2894" w:type="dxa"/>
            <w:gridSpan w:val="2"/>
            <w:vAlign w:val="center"/>
          </w:tcPr>
          <w:p>
            <w:pPr>
              <w:jc w:val="center"/>
              <w:rPr>
                <w:rFonts w:ascii="宋体" w:cs="宋体"/>
                <w:sz w:val="24"/>
                <w:szCs w:val="24"/>
              </w:rPr>
            </w:pPr>
          </w:p>
        </w:tc>
        <w:tc>
          <w:tcPr>
            <w:tcW w:w="1356" w:type="dxa"/>
            <w:vAlign w:val="center"/>
          </w:tcPr>
          <w:p>
            <w:pPr>
              <w:jc w:val="center"/>
              <w:rPr>
                <w:rFonts w:ascii="宋体" w:cs="宋体"/>
                <w:sz w:val="24"/>
                <w:szCs w:val="24"/>
              </w:rPr>
            </w:pPr>
            <w:r>
              <w:rPr>
                <w:rFonts w:hint="eastAsia" w:ascii="宋体" w:hAnsi="宋体" w:cs="宋体"/>
                <w:sz w:val="24"/>
                <w:szCs w:val="24"/>
              </w:rPr>
              <w:t>网址</w:t>
            </w:r>
            <w:r>
              <w:rPr>
                <w:rFonts w:ascii="宋体" w:hAnsi="宋体" w:cs="宋体"/>
                <w:sz w:val="24"/>
                <w:szCs w:val="24"/>
              </w:rPr>
              <w:t>/</w:t>
            </w:r>
            <w:r>
              <w:rPr>
                <w:rFonts w:hint="eastAsia" w:ascii="宋体" w:hAnsi="宋体" w:cs="宋体"/>
                <w:sz w:val="24"/>
                <w:szCs w:val="24"/>
              </w:rPr>
              <w:t>邮箱</w:t>
            </w:r>
          </w:p>
        </w:tc>
        <w:tc>
          <w:tcPr>
            <w:tcW w:w="2200" w:type="dxa"/>
            <w:gridSpan w:val="2"/>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jc w:val="center"/>
              <w:rPr>
                <w:rFonts w:ascii="宋体" w:cs="宋体"/>
                <w:sz w:val="24"/>
                <w:szCs w:val="24"/>
              </w:rPr>
            </w:pPr>
            <w:r>
              <w:rPr>
                <w:rFonts w:hint="eastAsia" w:ascii="宋体" w:hAnsi="宋体" w:cs="宋体"/>
                <w:sz w:val="24"/>
                <w:szCs w:val="24"/>
              </w:rPr>
              <w:t>企业性质</w:t>
            </w:r>
          </w:p>
        </w:tc>
        <w:tc>
          <w:tcPr>
            <w:tcW w:w="7485" w:type="dxa"/>
            <w:gridSpan w:val="6"/>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jc w:val="center"/>
              <w:rPr>
                <w:rFonts w:ascii="宋体" w:cs="宋体"/>
                <w:sz w:val="24"/>
                <w:szCs w:val="24"/>
              </w:rPr>
            </w:pPr>
            <w:r>
              <w:rPr>
                <w:rFonts w:hint="eastAsia" w:ascii="宋体" w:hAnsi="宋体" w:cs="宋体"/>
                <w:sz w:val="24"/>
                <w:szCs w:val="24"/>
              </w:rPr>
              <w:t>法定代表人</w:t>
            </w:r>
          </w:p>
        </w:tc>
        <w:tc>
          <w:tcPr>
            <w:tcW w:w="1035" w:type="dxa"/>
            <w:vAlign w:val="center"/>
          </w:tcPr>
          <w:p>
            <w:pPr>
              <w:jc w:val="center"/>
              <w:rPr>
                <w:rFonts w:ascii="宋体" w:cs="宋体"/>
                <w:sz w:val="24"/>
                <w:szCs w:val="24"/>
              </w:rPr>
            </w:pPr>
            <w:r>
              <w:rPr>
                <w:rFonts w:hint="eastAsia" w:ascii="宋体" w:hAnsi="宋体" w:cs="宋体"/>
                <w:sz w:val="24"/>
                <w:szCs w:val="24"/>
              </w:rPr>
              <w:t>姓名</w:t>
            </w:r>
          </w:p>
        </w:tc>
        <w:tc>
          <w:tcPr>
            <w:tcW w:w="1696" w:type="dxa"/>
            <w:vAlign w:val="center"/>
          </w:tcPr>
          <w:p>
            <w:pPr>
              <w:jc w:val="center"/>
              <w:rPr>
                <w:rFonts w:ascii="宋体" w:cs="宋体"/>
                <w:sz w:val="24"/>
                <w:szCs w:val="24"/>
              </w:rPr>
            </w:pPr>
          </w:p>
        </w:tc>
        <w:tc>
          <w:tcPr>
            <w:tcW w:w="1198" w:type="dxa"/>
            <w:vAlign w:val="center"/>
          </w:tcPr>
          <w:p>
            <w:pPr>
              <w:jc w:val="center"/>
              <w:rPr>
                <w:rFonts w:ascii="宋体" w:cs="宋体"/>
                <w:sz w:val="24"/>
                <w:szCs w:val="24"/>
              </w:rPr>
            </w:pPr>
            <w:r>
              <w:rPr>
                <w:rFonts w:hint="eastAsia" w:ascii="宋体" w:hAnsi="宋体" w:cs="宋体"/>
                <w:sz w:val="24"/>
                <w:szCs w:val="24"/>
              </w:rPr>
              <w:t>技术职称</w:t>
            </w:r>
          </w:p>
        </w:tc>
        <w:tc>
          <w:tcPr>
            <w:tcW w:w="1356" w:type="dxa"/>
            <w:vAlign w:val="center"/>
          </w:tcPr>
          <w:p>
            <w:pPr>
              <w:jc w:val="center"/>
              <w:rPr>
                <w:rFonts w:ascii="宋体" w:cs="宋体"/>
                <w:sz w:val="24"/>
                <w:szCs w:val="24"/>
              </w:rPr>
            </w:pPr>
          </w:p>
        </w:tc>
        <w:tc>
          <w:tcPr>
            <w:tcW w:w="876" w:type="dxa"/>
            <w:vAlign w:val="center"/>
          </w:tcPr>
          <w:p>
            <w:pPr>
              <w:jc w:val="center"/>
              <w:rPr>
                <w:rFonts w:ascii="宋体" w:cs="宋体"/>
                <w:sz w:val="24"/>
                <w:szCs w:val="24"/>
              </w:rPr>
            </w:pPr>
            <w:r>
              <w:rPr>
                <w:rFonts w:hint="eastAsia" w:ascii="宋体" w:hAnsi="宋体" w:cs="宋体"/>
                <w:sz w:val="24"/>
                <w:szCs w:val="24"/>
              </w:rPr>
              <w:t>电话</w:t>
            </w:r>
          </w:p>
        </w:tc>
        <w:tc>
          <w:tcPr>
            <w:tcW w:w="1324" w:type="dxa"/>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jc w:val="center"/>
              <w:rPr>
                <w:rFonts w:ascii="宋体" w:cs="宋体"/>
                <w:sz w:val="24"/>
                <w:szCs w:val="24"/>
              </w:rPr>
            </w:pPr>
            <w:r>
              <w:rPr>
                <w:rFonts w:hint="eastAsia" w:ascii="宋体" w:hAnsi="宋体" w:cs="宋体"/>
                <w:sz w:val="24"/>
                <w:szCs w:val="24"/>
              </w:rPr>
              <w:t>技术负责人</w:t>
            </w:r>
          </w:p>
        </w:tc>
        <w:tc>
          <w:tcPr>
            <w:tcW w:w="1035" w:type="dxa"/>
            <w:vAlign w:val="center"/>
          </w:tcPr>
          <w:p>
            <w:pPr>
              <w:jc w:val="center"/>
              <w:rPr>
                <w:rFonts w:ascii="宋体" w:cs="宋体"/>
                <w:sz w:val="24"/>
                <w:szCs w:val="24"/>
              </w:rPr>
            </w:pPr>
            <w:r>
              <w:rPr>
                <w:rFonts w:hint="eastAsia" w:ascii="宋体" w:hAnsi="宋体" w:cs="宋体"/>
                <w:sz w:val="24"/>
                <w:szCs w:val="24"/>
              </w:rPr>
              <w:t>姓名</w:t>
            </w:r>
          </w:p>
        </w:tc>
        <w:tc>
          <w:tcPr>
            <w:tcW w:w="1696" w:type="dxa"/>
            <w:vAlign w:val="center"/>
          </w:tcPr>
          <w:p>
            <w:pPr>
              <w:jc w:val="center"/>
              <w:rPr>
                <w:rFonts w:ascii="宋体" w:cs="宋体"/>
                <w:sz w:val="24"/>
                <w:szCs w:val="24"/>
              </w:rPr>
            </w:pPr>
          </w:p>
        </w:tc>
        <w:tc>
          <w:tcPr>
            <w:tcW w:w="1198" w:type="dxa"/>
            <w:vAlign w:val="center"/>
          </w:tcPr>
          <w:p>
            <w:pPr>
              <w:jc w:val="center"/>
              <w:rPr>
                <w:rFonts w:ascii="宋体" w:cs="宋体"/>
                <w:sz w:val="24"/>
                <w:szCs w:val="24"/>
              </w:rPr>
            </w:pPr>
            <w:r>
              <w:rPr>
                <w:rFonts w:hint="eastAsia" w:ascii="宋体" w:hAnsi="宋体" w:cs="宋体"/>
                <w:sz w:val="24"/>
                <w:szCs w:val="24"/>
              </w:rPr>
              <w:t>技术职称</w:t>
            </w:r>
          </w:p>
        </w:tc>
        <w:tc>
          <w:tcPr>
            <w:tcW w:w="1356" w:type="dxa"/>
            <w:vAlign w:val="center"/>
          </w:tcPr>
          <w:p>
            <w:pPr>
              <w:jc w:val="center"/>
              <w:rPr>
                <w:rFonts w:ascii="宋体" w:cs="宋体"/>
                <w:sz w:val="24"/>
                <w:szCs w:val="24"/>
              </w:rPr>
            </w:pPr>
          </w:p>
        </w:tc>
        <w:tc>
          <w:tcPr>
            <w:tcW w:w="876" w:type="dxa"/>
            <w:vAlign w:val="center"/>
          </w:tcPr>
          <w:p>
            <w:pPr>
              <w:jc w:val="center"/>
              <w:rPr>
                <w:rFonts w:ascii="宋体" w:cs="宋体"/>
                <w:sz w:val="24"/>
                <w:szCs w:val="24"/>
              </w:rPr>
            </w:pPr>
            <w:r>
              <w:rPr>
                <w:rFonts w:hint="eastAsia" w:ascii="宋体" w:hAnsi="宋体" w:cs="宋体"/>
                <w:sz w:val="24"/>
                <w:szCs w:val="24"/>
              </w:rPr>
              <w:t>电话</w:t>
            </w:r>
          </w:p>
        </w:tc>
        <w:tc>
          <w:tcPr>
            <w:tcW w:w="1324" w:type="dxa"/>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jc w:val="center"/>
              <w:rPr>
                <w:rFonts w:ascii="宋体" w:cs="宋体"/>
                <w:sz w:val="24"/>
                <w:szCs w:val="24"/>
              </w:rPr>
            </w:pPr>
            <w:r>
              <w:rPr>
                <w:rFonts w:hint="eastAsia" w:ascii="宋体" w:hAnsi="宋体" w:cs="宋体"/>
                <w:sz w:val="24"/>
                <w:szCs w:val="24"/>
              </w:rPr>
              <w:t>成立时间</w:t>
            </w:r>
          </w:p>
        </w:tc>
        <w:tc>
          <w:tcPr>
            <w:tcW w:w="2731" w:type="dxa"/>
            <w:gridSpan w:val="2"/>
            <w:vAlign w:val="center"/>
          </w:tcPr>
          <w:p>
            <w:pPr>
              <w:jc w:val="center"/>
              <w:rPr>
                <w:rFonts w:ascii="宋体" w:cs="宋体"/>
                <w:sz w:val="24"/>
                <w:szCs w:val="24"/>
              </w:rPr>
            </w:pPr>
          </w:p>
        </w:tc>
        <w:tc>
          <w:tcPr>
            <w:tcW w:w="4754" w:type="dxa"/>
            <w:gridSpan w:val="4"/>
            <w:vAlign w:val="center"/>
          </w:tcPr>
          <w:p>
            <w:pPr>
              <w:rPr>
                <w:rFonts w:asci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jc w:val="center"/>
              <w:rPr>
                <w:rFonts w:asci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jc w:val="center"/>
              <w:rPr>
                <w:rFonts w:asci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jc w:val="center"/>
              <w:rPr>
                <w:rFonts w:asci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jc w:val="center"/>
              <w:rPr>
                <w:rFonts w:asci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vAlign w:val="center"/>
          </w:tcPr>
          <w:p>
            <w:pPr>
              <w:jc w:val="center"/>
              <w:rPr>
                <w:rFonts w:asci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02" w:hRule="atLeast"/>
        </w:trPr>
        <w:tc>
          <w:tcPr>
            <w:tcW w:w="2235" w:type="dxa"/>
            <w:tcBorders>
              <w:bottom w:val="double" w:color="auto" w:sz="4" w:space="0"/>
            </w:tcBorders>
            <w:vAlign w:val="center"/>
          </w:tcPr>
          <w:p>
            <w:pPr>
              <w:jc w:val="center"/>
              <w:rPr>
                <w:rFonts w:ascii="宋体" w:cs="宋体"/>
                <w:sz w:val="24"/>
                <w:szCs w:val="24"/>
              </w:rPr>
            </w:pPr>
            <w:r>
              <w:rPr>
                <w:rFonts w:hint="eastAsia" w:ascii="宋体" w:hAnsi="宋体" w:cs="宋体"/>
                <w:sz w:val="24"/>
                <w:szCs w:val="24"/>
              </w:rPr>
              <w:t>经营范围备注</w:t>
            </w:r>
          </w:p>
        </w:tc>
        <w:tc>
          <w:tcPr>
            <w:tcW w:w="7485" w:type="dxa"/>
            <w:gridSpan w:val="6"/>
            <w:tcBorders>
              <w:bottom w:val="double" w:color="auto" w:sz="4" w:space="0"/>
            </w:tcBorders>
            <w:vAlign w:val="center"/>
          </w:tcPr>
          <w:p>
            <w:pPr>
              <w:jc w:val="center"/>
              <w:rPr>
                <w:rFonts w:ascii="宋体" w:cs="宋体"/>
                <w:sz w:val="24"/>
                <w:szCs w:val="24"/>
              </w:rPr>
            </w:pPr>
          </w:p>
        </w:tc>
      </w:tr>
    </w:tbl>
    <w:p>
      <w:pPr>
        <w:widowControl/>
        <w:ind w:firstLine="420" w:firstLineChars="200"/>
        <w:jc w:val="left"/>
        <w:rPr>
          <w:rFonts w:ascii="宋体" w:cs="宋体"/>
        </w:rPr>
      </w:pPr>
    </w:p>
    <w:p>
      <w:pPr>
        <w:pStyle w:val="4"/>
        <w:rPr>
          <w:rFonts w:hAnsi="宋体" w:cs="宋体"/>
          <w:b/>
          <w:bCs/>
          <w:sz w:val="32"/>
        </w:rPr>
      </w:pPr>
    </w:p>
    <w:p>
      <w:pPr>
        <w:pStyle w:val="4"/>
        <w:jc w:val="center"/>
        <w:rPr>
          <w:rFonts w:hAnsi="宋体" w:cs="宋体"/>
          <w:b/>
          <w:bCs/>
          <w:sz w:val="32"/>
        </w:rPr>
      </w:pPr>
      <w:bookmarkStart w:id="157" w:name="_Toc26340"/>
      <w:r>
        <w:rPr>
          <w:rFonts w:hint="eastAsia" w:hAnsi="宋体" w:cs="宋体"/>
          <w:b/>
          <w:sz w:val="24"/>
          <w:szCs w:val="24"/>
        </w:rPr>
        <w:t>※</w:t>
      </w:r>
      <w:r>
        <w:rPr>
          <w:rFonts w:hint="eastAsia" w:hAnsi="宋体" w:cs="宋体"/>
          <w:b/>
          <w:bCs/>
          <w:sz w:val="32"/>
        </w:rPr>
        <w:t>第五章采购需求一览表及采购要求</w:t>
      </w:r>
      <w:bookmarkEnd w:id="157"/>
    </w:p>
    <w:p>
      <w:pPr>
        <w:rPr>
          <w:rFonts w:ascii="宋体" w:cs="宋体"/>
          <w:spacing w:val="-6"/>
          <w:sz w:val="52"/>
        </w:rPr>
      </w:pPr>
    </w:p>
    <w:p>
      <w:pPr>
        <w:pStyle w:val="5"/>
        <w:spacing w:before="0" w:after="0" w:line="460" w:lineRule="exact"/>
        <w:jc w:val="center"/>
        <w:rPr>
          <w:rFonts w:ascii="宋体" w:cs="宋体"/>
          <w:sz w:val="28"/>
          <w:szCs w:val="28"/>
        </w:rPr>
      </w:pPr>
      <w:bookmarkStart w:id="158" w:name="_Toc18731"/>
      <w:r>
        <w:rPr>
          <w:rFonts w:hint="eastAsia" w:ascii="宋体" w:hAnsi="宋体" w:cs="宋体"/>
          <w:sz w:val="28"/>
          <w:szCs w:val="28"/>
        </w:rPr>
        <w:t>一、采购需求一览表</w:t>
      </w:r>
      <w:bookmarkEnd w:id="158"/>
    </w:p>
    <w:p>
      <w:pPr>
        <w:adjustRightInd w:val="0"/>
        <w:snapToGrid w:val="0"/>
        <w:spacing w:line="432" w:lineRule="auto"/>
        <w:ind w:left="-8" w:leftChars="-4" w:firstLine="7" w:firstLineChars="3"/>
        <w:rPr>
          <w:rFonts w:ascii="宋体" w:cs="宋体"/>
          <w:b/>
          <w:sz w:val="24"/>
        </w:rPr>
      </w:pPr>
    </w:p>
    <w:tbl>
      <w:tblPr>
        <w:tblStyle w:val="20"/>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trPr>
        <w:tc>
          <w:tcPr>
            <w:tcW w:w="2835" w:type="dxa"/>
            <w:tcBorders>
              <w:top w:val="single" w:color="auto" w:sz="12" w:space="0"/>
              <w:left w:val="single" w:color="auto" w:sz="12" w:space="0"/>
            </w:tcBorders>
          </w:tcPr>
          <w:p>
            <w:pPr>
              <w:spacing w:line="360" w:lineRule="auto"/>
              <w:rPr>
                <w:rFonts w:ascii="宋体"/>
                <w:sz w:val="24"/>
              </w:rPr>
            </w:pPr>
            <w:r>
              <w:pict>
                <v:group id="__TH_G12小四185" o:spid="_x0000_s1026" o:spt="203" style="position:absolute;left:0pt;margin-left:-4.65pt;margin-top:0pt;height:92.5pt;width:140.25pt;z-index:251659264;mso-width-relative:page;mso-height-relative:page;" coordsize="0,214748">
                  <o:lock v:ext="edit"/>
                  <v:line id="__TH_L178" o:spid="_x0000_s1027" o:spt="20" style="position:absolute;left:0;top:0;height:0;width:0;" o:connectortype="straight" coordsize="21600,21600">
                    <v:path arrowok="t"/>
                    <v:fill focussize="0,0"/>
                    <v:stroke weight="0.5pt"/>
                    <v:imagedata o:title=""/>
                    <o:lock v:ext="edit"/>
                  </v:line>
                  <v:shape id="__TH_B11179" o:spid="_x0000_s1028"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采</w:t>
                          </w:r>
                        </w:p>
                      </w:txbxContent>
                    </v:textbox>
                  </v:shape>
                  <v:shape id="__TH_B12180" o:spid="_x0000_s1029"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购</w:t>
                          </w:r>
                        </w:p>
                      </w:txbxContent>
                    </v:textbox>
                  </v:shape>
                  <v:shape id="__TH_B13181" o:spid="_x0000_s1030"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名</w:t>
                          </w:r>
                        </w:p>
                      </w:txbxContent>
                    </v:textbox>
                  </v:shape>
                  <v:shape id="__TH_B14182" o:spid="_x0000_s1031"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称</w:t>
                          </w:r>
                        </w:p>
                      </w:txbxContent>
                    </v:textbox>
                  </v:shape>
                  <v:shape id="__TH_B21183" o:spid="_x0000_s1032"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内</w:t>
                          </w:r>
                        </w:p>
                      </w:txbxContent>
                    </v:textbox>
                  </v:shape>
                  <v:shape id="__TH_B22184" o:spid="_x0000_s1033" o:spt="202" type="#_x0000_t202" style="position:absolute;left:0;top:0;height:0;width:0;" filled="f" stroked="f" coordsize="21600,21600">
                    <v:path/>
                    <v:fill on="f" focussize="0,0"/>
                    <v:stroke on="f" joinstyle="miter"/>
                    <v:imagedata o:title=""/>
                    <o:lock v:ext="edit"/>
                    <v:textbox inset="0mm,0mm,0mm,0mm">
                      <w:txbxContent>
                        <w:p>
                          <w:pPr>
                            <w:snapToGrid w:val="0"/>
                            <w:rPr>
                              <w:sz w:val="24"/>
                            </w:rPr>
                          </w:pPr>
                          <w:r>
                            <w:rPr>
                              <w:rFonts w:hint="eastAsia"/>
                              <w:sz w:val="24"/>
                            </w:rPr>
                            <w:t>容</w:t>
                          </w:r>
                        </w:p>
                      </w:txbxContent>
                    </v:textbox>
                  </v:shape>
                </v:group>
              </w:pict>
            </w:r>
          </w:p>
        </w:tc>
        <w:tc>
          <w:tcPr>
            <w:tcW w:w="5625" w:type="dxa"/>
            <w:tcBorders>
              <w:top w:val="single" w:color="auto" w:sz="12" w:space="0"/>
              <w:right w:val="single" w:color="auto" w:sz="12" w:space="0"/>
            </w:tcBorders>
            <w:vAlign w:val="center"/>
          </w:tcPr>
          <w:p>
            <w:pPr>
              <w:spacing w:line="900" w:lineRule="exact"/>
              <w:ind w:firstLine="1200" w:firstLineChars="500"/>
              <w:rPr>
                <w:rFonts w:ascii="宋体"/>
                <w:sz w:val="24"/>
              </w:rPr>
            </w:pPr>
            <w:r>
              <w:rPr>
                <w:rFonts w:hint="eastAsia" w:ascii="宋体"/>
                <w:sz w:val="24"/>
              </w:rPr>
              <w:t>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sz w:val="24"/>
              </w:rPr>
            </w:pPr>
            <w:r>
              <w:rPr>
                <w:rFonts w:hint="eastAsia" w:ascii="宋体" w:hAnsi="宋体"/>
                <w:sz w:val="24"/>
              </w:rPr>
              <w:t>数量</w:t>
            </w:r>
          </w:p>
        </w:tc>
        <w:tc>
          <w:tcPr>
            <w:tcW w:w="5625" w:type="dxa"/>
            <w:tcBorders>
              <w:right w:val="single" w:color="auto" w:sz="12" w:space="0"/>
            </w:tcBorders>
            <w:vAlign w:val="center"/>
          </w:tcPr>
          <w:p>
            <w:pPr>
              <w:spacing w:line="900" w:lineRule="exact"/>
              <w:jc w:val="center"/>
              <w:rPr>
                <w:sz w:val="24"/>
              </w:rPr>
            </w:pPr>
            <w:r>
              <w:rPr>
                <w:rFonts w:hint="eastAsia"/>
                <w:sz w:val="24"/>
              </w:rPr>
              <w:t>详见第五章中的“采购要求”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sz w:val="24"/>
              </w:rPr>
            </w:pPr>
            <w:r>
              <w:rPr>
                <w:rFonts w:hint="eastAsia" w:ascii="宋体" w:hAnsi="宋体"/>
                <w:sz w:val="24"/>
              </w:rPr>
              <w:t>交货期</w:t>
            </w:r>
          </w:p>
        </w:tc>
        <w:tc>
          <w:tcPr>
            <w:tcW w:w="5625" w:type="dxa"/>
            <w:tcBorders>
              <w:right w:val="single" w:color="auto" w:sz="12" w:space="0"/>
            </w:tcBorders>
            <w:vAlign w:val="center"/>
          </w:tcPr>
          <w:p>
            <w:pPr>
              <w:spacing w:line="900" w:lineRule="exact"/>
              <w:jc w:val="center"/>
              <w:rPr>
                <w:sz w:val="24"/>
              </w:rPr>
            </w:pPr>
            <w:r>
              <w:rPr>
                <w:rFonts w:hint="eastAsia"/>
                <w:sz w:val="24"/>
              </w:rPr>
              <w:t>详见第五章中的“商务条款”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sz w:val="24"/>
              </w:rPr>
            </w:pPr>
            <w:r>
              <w:rPr>
                <w:rFonts w:hint="eastAsia" w:ascii="宋体" w:hAnsi="宋体"/>
                <w:sz w:val="24"/>
              </w:rPr>
              <w:t>交货地点</w:t>
            </w:r>
          </w:p>
        </w:tc>
        <w:tc>
          <w:tcPr>
            <w:tcW w:w="5625" w:type="dxa"/>
            <w:tcBorders>
              <w:right w:val="single" w:color="auto" w:sz="12" w:space="0"/>
            </w:tcBorders>
            <w:vAlign w:val="center"/>
          </w:tcPr>
          <w:p>
            <w:pPr>
              <w:spacing w:line="440" w:lineRule="exact"/>
              <w:ind w:left="31680" w:hanging="480" w:hangingChars="200"/>
              <w:jc w:val="center"/>
              <w:rPr>
                <w:rFonts w:ascii="宋体"/>
                <w:bCs/>
                <w:sz w:val="24"/>
                <w:szCs w:val="24"/>
              </w:rPr>
            </w:pPr>
            <w:r>
              <w:rPr>
                <w:rFonts w:hint="eastAsia"/>
                <w:sz w:val="24"/>
              </w:rPr>
              <w:t>详见第五章中的“商务条款”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sz w:val="24"/>
              </w:rPr>
            </w:pPr>
            <w:r>
              <w:rPr>
                <w:rFonts w:hint="eastAsia" w:ascii="宋体" w:hAnsi="宋体"/>
                <w:sz w:val="24"/>
              </w:rPr>
              <w:t>备注</w:t>
            </w:r>
          </w:p>
        </w:tc>
        <w:tc>
          <w:tcPr>
            <w:tcW w:w="5625" w:type="dxa"/>
            <w:tcBorders>
              <w:right w:val="single" w:color="auto" w:sz="12" w:space="0"/>
            </w:tcBorders>
            <w:vAlign w:val="center"/>
          </w:tcPr>
          <w:p>
            <w:pPr>
              <w:spacing w:line="460" w:lineRule="exact"/>
              <w:ind w:left="-107" w:leftChars="-51" w:firstLine="422" w:firstLineChars="176"/>
              <w:jc w:val="left"/>
              <w:rPr>
                <w:rFonts w:ascii="宋体"/>
                <w:sz w:val="24"/>
                <w:szCs w:val="24"/>
              </w:rPr>
            </w:pPr>
            <w:r>
              <w:rPr>
                <w:rFonts w:hint="eastAsia" w:ascii="宋体"/>
                <w:bCs/>
                <w:sz w:val="24"/>
                <w:szCs w:val="24"/>
              </w:rPr>
              <w:t>本项目为交钥匙项目，</w:t>
            </w:r>
            <w:r>
              <w:rPr>
                <w:rFonts w:hint="eastAsia" w:ascii="宋体" w:hAnsi="宋体"/>
                <w:sz w:val="24"/>
                <w:szCs w:val="24"/>
              </w:rPr>
              <w:t>报价内容完成本项目所需的一切相关费用。</w:t>
            </w:r>
          </w:p>
        </w:tc>
      </w:tr>
    </w:tbl>
    <w:p>
      <w:pPr>
        <w:jc w:val="center"/>
        <w:rPr>
          <w:rFonts w:ascii="宋体" w:cs="宋体"/>
          <w:spacing w:val="-6"/>
          <w:sz w:val="52"/>
        </w:rPr>
      </w:pPr>
      <w:r>
        <w:rPr>
          <w:rFonts w:ascii="宋体" w:cs="宋体"/>
          <w:spacing w:val="-6"/>
          <w:sz w:val="52"/>
        </w:rPr>
        <w:br w:type="textWrapping" w:clear="all"/>
      </w:r>
    </w:p>
    <w:p>
      <w:pPr>
        <w:jc w:val="center"/>
        <w:rPr>
          <w:rFonts w:ascii="宋体" w:cs="宋体"/>
          <w:spacing w:val="-6"/>
          <w:sz w:val="52"/>
        </w:rPr>
        <w:sectPr>
          <w:footerReference r:id="rId13" w:type="default"/>
          <w:pgSz w:w="11906" w:h="16838"/>
          <w:pgMar w:top="1440" w:right="1028" w:bottom="1440" w:left="1418" w:header="851" w:footer="851" w:gutter="0"/>
          <w:cols w:space="720" w:num="1"/>
          <w:docGrid w:linePitch="312" w:charSpace="0"/>
        </w:sectPr>
      </w:pPr>
    </w:p>
    <w:p>
      <w:pPr>
        <w:pStyle w:val="5"/>
        <w:spacing w:before="0" w:after="0" w:line="360" w:lineRule="auto"/>
        <w:jc w:val="center"/>
        <w:rPr>
          <w:rFonts w:ascii="宋体" w:cs="宋体"/>
          <w:sz w:val="24"/>
          <w:szCs w:val="24"/>
        </w:rPr>
      </w:pPr>
      <w:bookmarkStart w:id="159" w:name="_Toc18659"/>
      <w:r>
        <w:rPr>
          <w:rFonts w:hint="eastAsia" w:ascii="宋体" w:hAnsi="宋体" w:cs="宋体"/>
          <w:sz w:val="24"/>
          <w:szCs w:val="24"/>
        </w:rPr>
        <w:t>二、采购要求</w:t>
      </w:r>
      <w:bookmarkEnd w:id="159"/>
    </w:p>
    <w:p>
      <w:pPr>
        <w:numPr>
          <w:ilvl w:val="0"/>
          <w:numId w:val="7"/>
        </w:numPr>
        <w:adjustRightInd w:val="0"/>
        <w:spacing w:line="360" w:lineRule="auto"/>
        <w:rPr>
          <w:rFonts w:ascii="宋体" w:cs="宋体"/>
          <w:sz w:val="24"/>
          <w:szCs w:val="24"/>
        </w:rPr>
      </w:pPr>
      <w:r>
        <w:rPr>
          <w:rFonts w:hint="eastAsia" w:ascii="宋体" w:hAnsi="宋体" w:cs="宋体"/>
          <w:sz w:val="24"/>
          <w:szCs w:val="24"/>
        </w:rPr>
        <w:t>服务要求</w:t>
      </w:r>
    </w:p>
    <w:p>
      <w:pPr>
        <w:widowControl/>
        <w:numPr>
          <w:ilvl w:val="0"/>
          <w:numId w:val="8"/>
        </w:numPr>
        <w:spacing w:line="360" w:lineRule="auto"/>
        <w:jc w:val="left"/>
        <w:rPr>
          <w:rFonts w:ascii="宋体" w:cs="宋体"/>
          <w:bCs/>
          <w:sz w:val="24"/>
          <w:szCs w:val="24"/>
        </w:rPr>
      </w:pPr>
      <w:r>
        <w:rPr>
          <w:rFonts w:hint="eastAsia" w:ascii="宋体" w:hAnsi="宋体" w:cs="宋体"/>
          <w:bCs/>
          <w:sz w:val="24"/>
          <w:szCs w:val="24"/>
        </w:rPr>
        <w:t>项目概况</w:t>
      </w:r>
    </w:p>
    <w:p>
      <w:pPr>
        <w:widowControl/>
        <w:spacing w:line="360" w:lineRule="auto"/>
        <w:ind w:firstLine="480" w:firstLineChars="200"/>
        <w:jc w:val="left"/>
        <w:rPr>
          <w:rFonts w:ascii="宋体" w:cs="宋体"/>
          <w:sz w:val="24"/>
          <w:szCs w:val="24"/>
        </w:rPr>
      </w:pPr>
      <w:r>
        <w:rPr>
          <w:rFonts w:hint="eastAsia" w:ascii="宋体" w:hAnsi="宋体" w:cs="宋体"/>
          <w:sz w:val="24"/>
          <w:szCs w:val="24"/>
        </w:rPr>
        <w:t>为推动全省林业有害生物防治行业技能人才队伍建设，提高林业有害生物防治职业人员业务水平、技术能力和职业素养，</w:t>
      </w:r>
      <w:r>
        <w:rPr>
          <w:rFonts w:hint="eastAsia" w:ascii="宋体" w:hAnsi="宋体" w:cs="宋体"/>
          <w:kern w:val="0"/>
          <w:sz w:val="24"/>
          <w:szCs w:val="24"/>
        </w:rPr>
        <w:t>规范从业人员管理，达到“以赛促学、以赛促练、以赛促用”的目的，</w:t>
      </w:r>
      <w:r>
        <w:rPr>
          <w:rFonts w:hint="eastAsia" w:ascii="宋体" w:hAnsi="宋体" w:cs="宋体"/>
          <w:sz w:val="24"/>
          <w:szCs w:val="24"/>
        </w:rPr>
        <w:t>拟于</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月底</w:t>
      </w:r>
      <w:r>
        <w:rPr>
          <w:rFonts w:ascii="宋体" w:hAnsi="宋体" w:cs="宋体"/>
          <w:sz w:val="24"/>
          <w:szCs w:val="24"/>
        </w:rPr>
        <w:t>7</w:t>
      </w:r>
      <w:r>
        <w:rPr>
          <w:rFonts w:hint="eastAsia" w:ascii="宋体" w:hAnsi="宋体" w:cs="宋体"/>
          <w:sz w:val="24"/>
          <w:szCs w:val="24"/>
        </w:rPr>
        <w:t>月初举办江西省首届林业有害生物防治职业技能竞赛。</w:t>
      </w:r>
    </w:p>
    <w:p>
      <w:pPr>
        <w:spacing w:line="360" w:lineRule="auto"/>
        <w:rPr>
          <w:rFonts w:ascii="宋体" w:cs="宋体"/>
          <w:b/>
          <w:sz w:val="24"/>
          <w:szCs w:val="24"/>
        </w:rPr>
      </w:pPr>
      <w:r>
        <w:rPr>
          <w:rFonts w:ascii="宋体" w:hAnsi="宋体" w:cs="宋体"/>
          <w:b/>
          <w:sz w:val="24"/>
          <w:szCs w:val="24"/>
        </w:rPr>
        <w:t>2</w:t>
      </w:r>
      <w:r>
        <w:rPr>
          <w:rFonts w:hint="eastAsia" w:ascii="宋体" w:hAnsi="宋体" w:cs="宋体"/>
          <w:b/>
          <w:sz w:val="24"/>
          <w:szCs w:val="24"/>
        </w:rPr>
        <w:t>、服务要求</w:t>
      </w:r>
    </w:p>
    <w:p>
      <w:pPr>
        <w:spacing w:line="360" w:lineRule="auto"/>
        <w:rPr>
          <w:rFonts w:ascii="宋体" w:cs="宋体"/>
          <w:b/>
          <w:sz w:val="24"/>
          <w:szCs w:val="24"/>
        </w:rPr>
      </w:pPr>
      <w:r>
        <w:rPr>
          <w:rFonts w:ascii="宋体" w:hAnsi="宋体" w:cs="宋体"/>
          <w:b/>
          <w:sz w:val="24"/>
          <w:szCs w:val="24"/>
        </w:rPr>
        <w:t>2.1</w:t>
      </w:r>
      <w:r>
        <w:rPr>
          <w:rFonts w:hint="eastAsia" w:ascii="宋体" w:hAnsi="宋体" w:cs="宋体"/>
          <w:b/>
          <w:sz w:val="24"/>
          <w:szCs w:val="24"/>
        </w:rPr>
        <w:t>、会务服务</w:t>
      </w:r>
    </w:p>
    <w:p>
      <w:pPr>
        <w:spacing w:line="360" w:lineRule="auto"/>
        <w:rPr>
          <w:rFonts w:ascii="宋体" w:cs="宋体"/>
          <w:sz w:val="24"/>
          <w:szCs w:val="24"/>
        </w:rPr>
      </w:pPr>
      <w:r>
        <w:rPr>
          <w:rFonts w:ascii="宋体" w:hAnsi="宋体" w:cs="宋体"/>
          <w:sz w:val="24"/>
          <w:szCs w:val="24"/>
        </w:rPr>
        <w:t>2.1.1</w:t>
      </w:r>
      <w:r>
        <w:rPr>
          <w:rFonts w:hint="eastAsia" w:ascii="宋体" w:hAnsi="宋体" w:cs="宋体"/>
          <w:sz w:val="24"/>
          <w:szCs w:val="24"/>
        </w:rPr>
        <w:t>、承担所有参赛人员的食宿费用，总人数：≤</w:t>
      </w:r>
      <w:r>
        <w:rPr>
          <w:rFonts w:ascii="宋体" w:hAnsi="宋体" w:cs="宋体"/>
          <w:sz w:val="24"/>
          <w:szCs w:val="24"/>
        </w:rPr>
        <w:t>13</w:t>
      </w:r>
      <w:r>
        <w:rPr>
          <w:rFonts w:ascii="宋体" w:cs="宋体"/>
          <w:sz w:val="24"/>
          <w:szCs w:val="24"/>
        </w:rPr>
        <w:t>0</w:t>
      </w:r>
      <w:r>
        <w:rPr>
          <w:rFonts w:hint="eastAsia" w:ascii="宋体" w:hAnsi="宋体" w:cs="宋体"/>
          <w:sz w:val="24"/>
          <w:szCs w:val="24"/>
        </w:rPr>
        <w:t>人。</w:t>
      </w:r>
    </w:p>
    <w:p>
      <w:pPr>
        <w:spacing w:line="360" w:lineRule="auto"/>
        <w:rPr>
          <w:rFonts w:ascii="宋体" w:cs="宋体"/>
          <w:sz w:val="24"/>
          <w:szCs w:val="24"/>
        </w:rPr>
      </w:pPr>
      <w:r>
        <w:rPr>
          <w:rFonts w:ascii="宋体" w:hAnsi="宋体" w:cs="宋体"/>
          <w:sz w:val="24"/>
          <w:szCs w:val="24"/>
        </w:rPr>
        <w:t>2.1.2</w:t>
      </w:r>
      <w:r>
        <w:rPr>
          <w:rFonts w:hint="eastAsia" w:ascii="宋体" w:hAnsi="宋体" w:cs="宋体"/>
          <w:sz w:val="24"/>
          <w:szCs w:val="24"/>
        </w:rPr>
        <w:t>、天数：</w:t>
      </w:r>
      <w:r>
        <w:rPr>
          <w:rFonts w:ascii="宋体" w:hAnsi="宋体" w:cs="宋体"/>
          <w:sz w:val="24"/>
          <w:szCs w:val="24"/>
        </w:rPr>
        <w:t>3</w:t>
      </w:r>
      <w:r>
        <w:rPr>
          <w:rFonts w:hint="eastAsia" w:ascii="宋体" w:hAnsi="宋体" w:cs="宋体"/>
          <w:sz w:val="24"/>
          <w:szCs w:val="24"/>
        </w:rPr>
        <w:t>天</w:t>
      </w:r>
      <w:r>
        <w:rPr>
          <w:rFonts w:ascii="宋体" w:hAnsi="宋体" w:cs="宋体"/>
          <w:sz w:val="24"/>
          <w:szCs w:val="24"/>
        </w:rPr>
        <w:t>2</w:t>
      </w:r>
      <w:r>
        <w:rPr>
          <w:rFonts w:hint="eastAsia" w:ascii="宋体" w:hAnsi="宋体" w:cs="宋体"/>
          <w:sz w:val="24"/>
          <w:szCs w:val="24"/>
        </w:rPr>
        <w:t>晚。</w:t>
      </w:r>
    </w:p>
    <w:p>
      <w:pPr>
        <w:spacing w:line="360" w:lineRule="auto"/>
        <w:rPr>
          <w:rFonts w:ascii="宋体" w:cs="宋体"/>
          <w:sz w:val="24"/>
          <w:szCs w:val="24"/>
        </w:rPr>
      </w:pPr>
      <w:r>
        <w:rPr>
          <w:rFonts w:ascii="宋体" w:hAnsi="宋体" w:cs="宋体"/>
          <w:sz w:val="24"/>
          <w:szCs w:val="24"/>
        </w:rPr>
        <w:t>2.1.3</w:t>
      </w:r>
      <w:r>
        <w:rPr>
          <w:rFonts w:hint="eastAsia" w:ascii="宋体" w:hAnsi="宋体" w:cs="宋体"/>
          <w:sz w:val="24"/>
          <w:szCs w:val="24"/>
        </w:rPr>
        <w:t>、食宿标准：酒店为准</w:t>
      </w:r>
      <w:r>
        <w:rPr>
          <w:rFonts w:ascii="宋体" w:hAnsi="宋体" w:cs="宋体"/>
          <w:sz w:val="24"/>
          <w:szCs w:val="24"/>
        </w:rPr>
        <w:t>4</w:t>
      </w:r>
      <w:r>
        <w:rPr>
          <w:rFonts w:hint="eastAsia" w:ascii="宋体" w:hAnsi="宋体" w:cs="宋体"/>
          <w:sz w:val="24"/>
          <w:szCs w:val="24"/>
        </w:rPr>
        <w:t>星级或以上，交通方便。若酒店离竞赛场地行程超过</w:t>
      </w:r>
      <w:r>
        <w:rPr>
          <w:rFonts w:ascii="宋体" w:hAnsi="宋体" w:cs="宋体"/>
          <w:sz w:val="24"/>
          <w:szCs w:val="24"/>
        </w:rPr>
        <w:t>1</w:t>
      </w:r>
      <w:r>
        <w:rPr>
          <w:rFonts w:hint="eastAsia" w:ascii="宋体" w:hAnsi="宋体" w:cs="宋体"/>
          <w:sz w:val="24"/>
          <w:szCs w:val="24"/>
        </w:rPr>
        <w:t>公里，比赛期间需提供</w:t>
      </w:r>
      <w:r>
        <w:rPr>
          <w:rFonts w:ascii="宋体" w:hAnsi="宋体" w:cs="宋体"/>
          <w:sz w:val="24"/>
          <w:szCs w:val="24"/>
        </w:rPr>
        <w:t>2</w:t>
      </w:r>
      <w:r>
        <w:rPr>
          <w:rFonts w:hint="eastAsia" w:ascii="宋体" w:hAnsi="宋体" w:cs="宋体"/>
          <w:sz w:val="24"/>
          <w:szCs w:val="24"/>
        </w:rPr>
        <w:t>辆</w:t>
      </w:r>
      <w:r>
        <w:rPr>
          <w:rFonts w:ascii="宋体" w:hAnsi="宋体" w:cs="宋体"/>
          <w:sz w:val="24"/>
          <w:szCs w:val="24"/>
        </w:rPr>
        <w:t>60</w:t>
      </w:r>
      <w:r>
        <w:rPr>
          <w:rFonts w:hint="eastAsia" w:ascii="宋体" w:hAnsi="宋体" w:cs="宋体"/>
          <w:sz w:val="24"/>
          <w:szCs w:val="24"/>
        </w:rPr>
        <w:t>座摆渡车。</w:t>
      </w:r>
    </w:p>
    <w:p>
      <w:pPr>
        <w:spacing w:line="360" w:lineRule="auto"/>
        <w:rPr>
          <w:rFonts w:ascii="宋体" w:cs="宋体"/>
          <w:sz w:val="24"/>
          <w:szCs w:val="24"/>
        </w:rPr>
      </w:pPr>
      <w:r>
        <w:rPr>
          <w:rFonts w:ascii="宋体" w:hAnsi="宋体" w:cs="宋体"/>
          <w:sz w:val="24"/>
          <w:szCs w:val="24"/>
        </w:rPr>
        <w:t>2.1.4</w:t>
      </w:r>
      <w:r>
        <w:rPr>
          <w:rFonts w:hint="eastAsia" w:ascii="宋体" w:hAnsi="宋体" w:cs="宋体"/>
          <w:sz w:val="24"/>
          <w:szCs w:val="24"/>
        </w:rPr>
        <w:t>、报到材料</w:t>
      </w:r>
    </w:p>
    <w:p>
      <w:pPr>
        <w:spacing w:line="360" w:lineRule="auto"/>
        <w:rPr>
          <w:rFonts w:ascii="宋体" w:cs="宋体"/>
          <w:sz w:val="24"/>
          <w:szCs w:val="24"/>
        </w:rPr>
      </w:pPr>
      <w:r>
        <w:rPr>
          <w:rFonts w:ascii="宋体" w:hAnsi="宋体" w:cs="宋体"/>
          <w:sz w:val="24"/>
          <w:szCs w:val="24"/>
        </w:rPr>
        <w:t>2.1.4.1</w:t>
      </w:r>
      <w:r>
        <w:rPr>
          <w:rFonts w:hint="eastAsia" w:ascii="宋体" w:hAnsi="宋体" w:cs="宋体"/>
          <w:sz w:val="24"/>
          <w:szCs w:val="24"/>
        </w:rPr>
        <w:t>、手册：编制和印刷竞赛所需的赛会指南、裁判员手册、参赛选手手册等各</w:t>
      </w:r>
      <w:r>
        <w:rPr>
          <w:rFonts w:ascii="宋体" w:hAnsi="宋体" w:cs="宋体"/>
          <w:sz w:val="24"/>
          <w:szCs w:val="24"/>
        </w:rPr>
        <w:t>13</w:t>
      </w:r>
      <w:r>
        <w:rPr>
          <w:rFonts w:ascii="宋体" w:cs="宋体"/>
          <w:sz w:val="24"/>
          <w:szCs w:val="24"/>
        </w:rPr>
        <w:t>0</w:t>
      </w:r>
      <w:r>
        <w:rPr>
          <w:rFonts w:hint="eastAsia" w:ascii="宋体" w:hAnsi="宋体" w:cs="宋体"/>
          <w:sz w:val="24"/>
          <w:szCs w:val="24"/>
        </w:rPr>
        <w:t>份（</w:t>
      </w:r>
      <w:r>
        <w:rPr>
          <w:rFonts w:ascii="宋体" w:hAnsi="宋体" w:cs="宋体"/>
          <w:sz w:val="24"/>
          <w:szCs w:val="24"/>
        </w:rPr>
        <w:t>13</w:t>
      </w:r>
      <w:r>
        <w:rPr>
          <w:rFonts w:ascii="宋体" w:cs="宋体"/>
          <w:sz w:val="24"/>
          <w:szCs w:val="24"/>
        </w:rPr>
        <w:t>0</w:t>
      </w:r>
      <w:r>
        <w:rPr>
          <w:rFonts w:hint="eastAsia" w:ascii="宋体" w:hAnsi="宋体" w:cs="宋体"/>
          <w:sz w:val="24"/>
          <w:szCs w:val="24"/>
        </w:rPr>
        <w:t>份以内，以实际发生为准），要求有封面、</w:t>
      </w:r>
      <w:r>
        <w:rPr>
          <w:rFonts w:ascii="宋体" w:hAnsi="宋体" w:cs="宋体"/>
          <w:sz w:val="24"/>
          <w:szCs w:val="24"/>
        </w:rPr>
        <w:t>A4</w:t>
      </w:r>
      <w:r>
        <w:rPr>
          <w:rFonts w:hint="eastAsia" w:ascii="宋体" w:hAnsi="宋体" w:cs="宋体"/>
          <w:sz w:val="24"/>
          <w:szCs w:val="24"/>
        </w:rPr>
        <w:t>大小，彩色打印，手册页码一般≤</w:t>
      </w:r>
      <w:r>
        <w:rPr>
          <w:rFonts w:ascii="宋体" w:hAnsi="宋体" w:cs="宋体"/>
          <w:sz w:val="24"/>
          <w:szCs w:val="24"/>
        </w:rPr>
        <w:t>50</w:t>
      </w:r>
      <w:r>
        <w:rPr>
          <w:rFonts w:hint="eastAsia" w:ascii="宋体" w:hAnsi="宋体" w:cs="宋体"/>
          <w:sz w:val="24"/>
          <w:szCs w:val="24"/>
        </w:rPr>
        <w:t>页；</w:t>
      </w:r>
    </w:p>
    <w:p>
      <w:pPr>
        <w:spacing w:line="360" w:lineRule="auto"/>
        <w:rPr>
          <w:rFonts w:ascii="宋体" w:cs="宋体"/>
          <w:sz w:val="24"/>
          <w:szCs w:val="24"/>
        </w:rPr>
      </w:pPr>
      <w:r>
        <w:rPr>
          <w:rFonts w:ascii="宋体" w:hAnsi="宋体" w:cs="宋体"/>
          <w:sz w:val="24"/>
          <w:szCs w:val="24"/>
        </w:rPr>
        <w:t>2.1.4.2</w:t>
      </w:r>
      <w:r>
        <w:rPr>
          <w:rFonts w:hint="eastAsia" w:ascii="宋体" w:hAnsi="宋体" w:cs="宋体"/>
          <w:sz w:val="24"/>
          <w:szCs w:val="24"/>
        </w:rPr>
        <w:t>、资料袋、中性笔等各</w:t>
      </w:r>
      <w:r>
        <w:rPr>
          <w:rFonts w:ascii="宋体" w:hAnsi="宋体" w:cs="宋体"/>
          <w:sz w:val="24"/>
          <w:szCs w:val="24"/>
        </w:rPr>
        <w:t>13</w:t>
      </w:r>
      <w:r>
        <w:rPr>
          <w:rFonts w:ascii="宋体" w:cs="宋体"/>
          <w:sz w:val="24"/>
          <w:szCs w:val="24"/>
        </w:rPr>
        <w:t>0</w:t>
      </w:r>
      <w:r>
        <w:rPr>
          <w:rFonts w:hint="eastAsia" w:ascii="宋体" w:hAnsi="宋体" w:cs="宋体"/>
          <w:sz w:val="24"/>
          <w:szCs w:val="24"/>
        </w:rPr>
        <w:t>套（</w:t>
      </w:r>
      <w:r>
        <w:rPr>
          <w:rFonts w:ascii="宋体" w:hAnsi="宋体" w:cs="宋体"/>
          <w:sz w:val="24"/>
          <w:szCs w:val="24"/>
        </w:rPr>
        <w:t>13</w:t>
      </w:r>
      <w:r>
        <w:rPr>
          <w:rFonts w:ascii="宋体" w:cs="宋体"/>
          <w:sz w:val="24"/>
          <w:szCs w:val="24"/>
        </w:rPr>
        <w:t>0</w:t>
      </w:r>
      <w:r>
        <w:rPr>
          <w:rFonts w:hint="eastAsia" w:ascii="宋体" w:hAnsi="宋体" w:cs="宋体"/>
          <w:sz w:val="24"/>
          <w:szCs w:val="24"/>
        </w:rPr>
        <w:t>套以内，以实际发生为准）。</w:t>
      </w:r>
    </w:p>
    <w:p>
      <w:pPr>
        <w:spacing w:line="360" w:lineRule="auto"/>
        <w:rPr>
          <w:rFonts w:ascii="宋体" w:cs="宋体"/>
          <w:sz w:val="24"/>
          <w:szCs w:val="24"/>
        </w:rPr>
      </w:pPr>
      <w:r>
        <w:rPr>
          <w:rFonts w:ascii="宋体" w:hAnsi="宋体" w:cs="宋体"/>
          <w:sz w:val="24"/>
          <w:szCs w:val="24"/>
        </w:rPr>
        <w:t>2.1.5</w:t>
      </w:r>
      <w:r>
        <w:rPr>
          <w:rFonts w:hint="eastAsia" w:ascii="宋体" w:hAnsi="宋体" w:cs="宋体"/>
          <w:sz w:val="24"/>
          <w:szCs w:val="24"/>
        </w:rPr>
        <w:t>、竞赛时间：</w:t>
      </w:r>
      <w:r>
        <w:rPr>
          <w:rFonts w:ascii="宋体" w:hAnsi="宋体" w:cs="宋体"/>
          <w:sz w:val="24"/>
          <w:szCs w:val="24"/>
        </w:rPr>
        <w:t>6</w:t>
      </w:r>
      <w:r>
        <w:rPr>
          <w:rFonts w:hint="eastAsia" w:ascii="宋体" w:hAnsi="宋体" w:cs="宋体"/>
          <w:sz w:val="24"/>
          <w:szCs w:val="24"/>
        </w:rPr>
        <w:t>月底</w:t>
      </w:r>
      <w:r>
        <w:rPr>
          <w:rFonts w:ascii="宋体" w:hAnsi="宋体" w:cs="宋体"/>
          <w:sz w:val="24"/>
          <w:szCs w:val="24"/>
        </w:rPr>
        <w:t>7</w:t>
      </w:r>
      <w:r>
        <w:rPr>
          <w:rFonts w:hint="eastAsia" w:ascii="宋体" w:hAnsi="宋体" w:cs="宋体"/>
          <w:sz w:val="24"/>
          <w:szCs w:val="24"/>
        </w:rPr>
        <w:t>月初，具体时间以采购人通知为准。</w:t>
      </w:r>
    </w:p>
    <w:p>
      <w:pPr>
        <w:spacing w:line="360" w:lineRule="auto"/>
        <w:rPr>
          <w:rFonts w:ascii="宋体" w:cs="宋体"/>
          <w:sz w:val="24"/>
          <w:szCs w:val="24"/>
        </w:rPr>
      </w:pPr>
      <w:r>
        <w:rPr>
          <w:rFonts w:ascii="宋体" w:hAnsi="宋体" w:cs="宋体"/>
          <w:sz w:val="24"/>
          <w:szCs w:val="24"/>
        </w:rPr>
        <w:t>2.1.6</w:t>
      </w:r>
      <w:r>
        <w:rPr>
          <w:rFonts w:hint="eastAsia" w:ascii="宋体" w:hAnsi="宋体" w:cs="宋体"/>
          <w:sz w:val="24"/>
          <w:szCs w:val="24"/>
        </w:rPr>
        <w:t>、竞赛地点：南昌。</w:t>
      </w:r>
    </w:p>
    <w:p>
      <w:pPr>
        <w:spacing w:line="360" w:lineRule="auto"/>
        <w:rPr>
          <w:rFonts w:ascii="宋体" w:cs="宋体"/>
          <w:b/>
          <w:sz w:val="24"/>
          <w:szCs w:val="24"/>
        </w:rPr>
      </w:pPr>
      <w:r>
        <w:rPr>
          <w:rFonts w:ascii="宋体" w:hAnsi="宋体" w:cs="宋体"/>
          <w:b/>
          <w:sz w:val="24"/>
          <w:szCs w:val="24"/>
        </w:rPr>
        <w:t>2.2</w:t>
      </w:r>
      <w:r>
        <w:rPr>
          <w:rFonts w:hint="eastAsia" w:ascii="宋体" w:hAnsi="宋体" w:cs="宋体"/>
          <w:b/>
          <w:sz w:val="24"/>
          <w:szCs w:val="24"/>
        </w:rPr>
        <w:t>、赛务服务</w:t>
      </w:r>
    </w:p>
    <w:p>
      <w:pPr>
        <w:spacing w:line="360" w:lineRule="auto"/>
        <w:rPr>
          <w:rFonts w:ascii="宋体" w:cs="宋体"/>
          <w:sz w:val="24"/>
          <w:szCs w:val="24"/>
        </w:rPr>
      </w:pPr>
      <w:r>
        <w:rPr>
          <w:rFonts w:ascii="宋体" w:hAnsi="宋体" w:cs="宋体"/>
          <w:b/>
          <w:sz w:val="24"/>
          <w:szCs w:val="24"/>
        </w:rPr>
        <w:t>2.2.1</w:t>
      </w:r>
      <w:r>
        <w:rPr>
          <w:rFonts w:hint="eastAsia" w:ascii="宋体" w:hAnsi="宋体" w:cs="宋体"/>
          <w:b/>
          <w:sz w:val="24"/>
          <w:szCs w:val="24"/>
        </w:rPr>
        <w:t>、理论考试场地：</w:t>
      </w:r>
      <w:r>
        <w:rPr>
          <w:rFonts w:hint="eastAsia" w:ascii="宋体" w:hAnsi="宋体" w:cs="宋体"/>
          <w:sz w:val="24"/>
          <w:szCs w:val="24"/>
        </w:rPr>
        <w:t>能容纳不少于</w:t>
      </w:r>
      <w:r>
        <w:rPr>
          <w:rFonts w:ascii="宋体" w:hAnsi="宋体" w:cs="宋体"/>
          <w:sz w:val="24"/>
          <w:szCs w:val="24"/>
        </w:rPr>
        <w:t>65</w:t>
      </w:r>
      <w:r>
        <w:rPr>
          <w:rFonts w:hint="eastAsia" w:ascii="宋体" w:hAnsi="宋体" w:cs="宋体"/>
          <w:sz w:val="24"/>
          <w:szCs w:val="24"/>
        </w:rPr>
        <w:t>人考试的室内场所，考试参照高考标准、单人单桌。</w:t>
      </w:r>
    </w:p>
    <w:p>
      <w:pPr>
        <w:spacing w:line="360" w:lineRule="auto"/>
        <w:rPr>
          <w:rFonts w:ascii="宋体" w:cs="宋体"/>
          <w:b/>
          <w:sz w:val="24"/>
          <w:szCs w:val="24"/>
        </w:rPr>
      </w:pPr>
      <w:r>
        <w:rPr>
          <w:rFonts w:ascii="宋体" w:hAnsi="宋体" w:cs="宋体"/>
          <w:b/>
          <w:sz w:val="24"/>
          <w:szCs w:val="24"/>
        </w:rPr>
        <w:t>2.2.2</w:t>
      </w:r>
      <w:r>
        <w:rPr>
          <w:rFonts w:hint="eastAsia" w:ascii="宋体" w:hAnsi="宋体" w:cs="宋体"/>
          <w:b/>
          <w:sz w:val="24"/>
          <w:szCs w:val="24"/>
        </w:rPr>
        <w:t>、技能操作考核场地</w:t>
      </w:r>
    </w:p>
    <w:p>
      <w:pPr>
        <w:spacing w:line="360" w:lineRule="auto"/>
        <w:rPr>
          <w:rFonts w:ascii="宋体" w:cs="宋体"/>
          <w:sz w:val="24"/>
          <w:szCs w:val="24"/>
        </w:rPr>
      </w:pPr>
      <w:r>
        <w:rPr>
          <w:rFonts w:ascii="宋体" w:hAnsi="宋体" w:cs="宋体"/>
          <w:sz w:val="24"/>
          <w:szCs w:val="24"/>
        </w:rPr>
        <w:t>2.2.2.1</w:t>
      </w:r>
      <w:r>
        <w:rPr>
          <w:rFonts w:hint="eastAsia" w:ascii="宋体" w:hAnsi="宋体" w:cs="宋体"/>
          <w:sz w:val="24"/>
          <w:szCs w:val="24"/>
        </w:rPr>
        <w:t>、“</w:t>
      </w:r>
      <w:r>
        <w:rPr>
          <w:rFonts w:hint="eastAsia" w:ascii="宋体" w:hAnsi="宋体" w:cs="宋体"/>
          <w:bCs/>
          <w:sz w:val="24"/>
          <w:szCs w:val="24"/>
        </w:rPr>
        <w:t>林业有害生物识别与标本采集制作项目、林业有害生物防治项目</w:t>
      </w:r>
      <w:r>
        <w:rPr>
          <w:rFonts w:hint="eastAsia" w:ascii="宋体" w:hAnsi="宋体" w:cs="宋体"/>
          <w:sz w:val="24"/>
          <w:szCs w:val="24"/>
        </w:rPr>
        <w:t>”场地要求：室内，赛场面积不少于</w:t>
      </w:r>
      <w:r>
        <w:rPr>
          <w:rFonts w:ascii="宋体" w:hAnsi="宋体" w:cs="宋体"/>
          <w:sz w:val="24"/>
          <w:szCs w:val="24"/>
        </w:rPr>
        <w:t>2000</w:t>
      </w:r>
      <w:r>
        <w:rPr>
          <w:rFonts w:hint="eastAsia" w:ascii="宋体" w:hAnsi="宋体" w:cs="宋体"/>
          <w:sz w:val="24"/>
          <w:szCs w:val="24"/>
        </w:rPr>
        <w:t>平方米。</w:t>
      </w:r>
    </w:p>
    <w:p>
      <w:pPr>
        <w:spacing w:line="360" w:lineRule="auto"/>
        <w:rPr>
          <w:rFonts w:ascii="宋体" w:cs="宋体"/>
          <w:sz w:val="24"/>
          <w:szCs w:val="24"/>
        </w:rPr>
      </w:pPr>
      <w:r>
        <w:rPr>
          <w:rFonts w:ascii="宋体" w:hAnsi="宋体" w:cs="宋体"/>
          <w:sz w:val="24"/>
          <w:szCs w:val="24"/>
        </w:rPr>
        <w:t>2.2.2.2</w:t>
      </w:r>
      <w:r>
        <w:rPr>
          <w:rFonts w:hint="eastAsia" w:ascii="宋体" w:hAnsi="宋体" w:cs="宋体"/>
          <w:sz w:val="24"/>
          <w:szCs w:val="24"/>
        </w:rPr>
        <w:t>、松材线虫分离鉴定项目实验室要求：能进行松材线虫分离鉴定项目实验，且能容纳不少于</w:t>
      </w:r>
      <w:r>
        <w:rPr>
          <w:rFonts w:ascii="宋体" w:hAnsi="宋体" w:cs="宋体"/>
          <w:sz w:val="24"/>
          <w:szCs w:val="24"/>
        </w:rPr>
        <w:t>12</w:t>
      </w:r>
      <w:r>
        <w:rPr>
          <w:rFonts w:hint="eastAsia" w:ascii="宋体" w:hAnsi="宋体" w:cs="宋体"/>
          <w:sz w:val="24"/>
          <w:szCs w:val="24"/>
        </w:rPr>
        <w:t>人同时操作。</w:t>
      </w:r>
    </w:p>
    <w:p>
      <w:pPr>
        <w:spacing w:line="360" w:lineRule="auto"/>
        <w:rPr>
          <w:rFonts w:ascii="宋体" w:cs="宋体"/>
          <w:sz w:val="24"/>
          <w:szCs w:val="24"/>
        </w:rPr>
      </w:pPr>
      <w:r>
        <w:rPr>
          <w:rFonts w:ascii="宋体" w:hAnsi="宋体" w:cs="宋体"/>
          <w:sz w:val="24"/>
          <w:szCs w:val="24"/>
        </w:rPr>
        <w:t>2.2.2.3</w:t>
      </w:r>
      <w:r>
        <w:rPr>
          <w:rFonts w:hint="eastAsia" w:ascii="宋体" w:hAnsi="宋体" w:cs="宋体"/>
          <w:sz w:val="24"/>
          <w:szCs w:val="24"/>
        </w:rPr>
        <w:t>、林业有害生物无人机监测项目场地要求：室外，能同时容纳</w:t>
      </w:r>
      <w:r>
        <w:rPr>
          <w:rFonts w:ascii="宋体" w:hAnsi="宋体" w:cs="宋体"/>
          <w:sz w:val="24"/>
          <w:szCs w:val="24"/>
        </w:rPr>
        <w:t>4</w:t>
      </w:r>
      <w:r>
        <w:rPr>
          <w:rFonts w:hint="eastAsia" w:ascii="宋体" w:hAnsi="宋体" w:cs="宋体"/>
          <w:sz w:val="24"/>
          <w:szCs w:val="24"/>
        </w:rPr>
        <w:t>人同时操作，</w:t>
      </w:r>
      <w:r>
        <w:rPr>
          <w:rFonts w:hint="eastAsia" w:ascii="宋体" w:cs="宋体"/>
          <w:sz w:val="24"/>
          <w:szCs w:val="24"/>
        </w:rPr>
        <w:t>操作场地面积不低于</w:t>
      </w:r>
      <w:r>
        <w:rPr>
          <w:rFonts w:ascii="宋体" w:cs="宋体"/>
          <w:sz w:val="24"/>
          <w:szCs w:val="24"/>
        </w:rPr>
        <w:t>6500</w:t>
      </w:r>
      <w:r>
        <w:rPr>
          <w:rFonts w:hint="eastAsia" w:ascii="宋体" w:cs="宋体"/>
          <w:sz w:val="24"/>
          <w:szCs w:val="24"/>
        </w:rPr>
        <w:t>平方米。</w:t>
      </w:r>
    </w:p>
    <w:p>
      <w:pPr>
        <w:spacing w:line="360" w:lineRule="auto"/>
        <w:rPr>
          <w:rFonts w:ascii="宋体" w:cs="宋体"/>
          <w:b/>
          <w:bCs/>
          <w:sz w:val="24"/>
          <w:szCs w:val="24"/>
        </w:rPr>
      </w:pPr>
      <w:r>
        <w:rPr>
          <w:rFonts w:ascii="宋体" w:hAnsi="宋体" w:cs="宋体"/>
          <w:b/>
          <w:bCs/>
          <w:sz w:val="24"/>
          <w:szCs w:val="24"/>
        </w:rPr>
        <w:t>2.2.3</w:t>
      </w:r>
      <w:r>
        <w:rPr>
          <w:rFonts w:hint="eastAsia" w:ascii="宋体" w:hAnsi="宋体" w:cs="宋体"/>
          <w:b/>
          <w:bCs/>
          <w:sz w:val="24"/>
          <w:szCs w:val="24"/>
        </w:rPr>
        <w:t>、会务场地</w:t>
      </w:r>
    </w:p>
    <w:tbl>
      <w:tblPr>
        <w:tblStyle w:val="20"/>
        <w:tblW w:w="7828" w:type="dxa"/>
        <w:jc w:val="center"/>
        <w:tblInd w:w="0" w:type="dxa"/>
        <w:tblLayout w:type="fixed"/>
        <w:tblCellMar>
          <w:top w:w="0" w:type="dxa"/>
          <w:left w:w="108" w:type="dxa"/>
          <w:bottom w:w="0" w:type="dxa"/>
          <w:right w:w="108" w:type="dxa"/>
        </w:tblCellMar>
      </w:tblPr>
      <w:tblGrid>
        <w:gridCol w:w="2523"/>
        <w:gridCol w:w="3000"/>
        <w:gridCol w:w="1098"/>
        <w:gridCol w:w="1207"/>
      </w:tblGrid>
      <w:tr>
        <w:tblPrEx>
          <w:tblLayout w:type="fixed"/>
          <w:tblCellMar>
            <w:top w:w="0" w:type="dxa"/>
            <w:left w:w="108" w:type="dxa"/>
            <w:bottom w:w="0" w:type="dxa"/>
            <w:right w:w="108" w:type="dxa"/>
          </w:tblCellMar>
        </w:tblPrEx>
        <w:trPr>
          <w:trHeight w:val="877" w:hRule="atLeast"/>
          <w:jc w:val="center"/>
        </w:trPr>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项目</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项目明细</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天数</w:t>
            </w:r>
          </w:p>
        </w:tc>
      </w:tr>
      <w:tr>
        <w:tblPrEx>
          <w:tblLayout w:type="fixed"/>
          <w:tblCellMar>
            <w:top w:w="0" w:type="dxa"/>
            <w:left w:w="108" w:type="dxa"/>
            <w:bottom w:w="0" w:type="dxa"/>
            <w:right w:w="108" w:type="dxa"/>
          </w:tblCellMar>
        </w:tblPrEx>
        <w:trPr>
          <w:trHeight w:val="90" w:hRule="atLeast"/>
          <w:jc w:val="center"/>
        </w:trPr>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赛前调度会</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室内，容纳不少于</w:t>
            </w:r>
            <w:r>
              <w:rPr>
                <w:rFonts w:ascii="宋体" w:hAnsi="宋体" w:cs="宋体"/>
                <w:color w:val="000000"/>
                <w:kern w:val="0"/>
                <w:sz w:val="22"/>
                <w:szCs w:val="22"/>
              </w:rPr>
              <w:t>30</w:t>
            </w:r>
            <w:r>
              <w:rPr>
                <w:rFonts w:hint="eastAsia" w:ascii="宋体" w:hAnsi="宋体" w:cs="宋体"/>
                <w:color w:val="000000"/>
                <w:kern w:val="0"/>
                <w:sz w:val="22"/>
                <w:szCs w:val="22"/>
              </w:rPr>
              <w:t>人</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0.5</w:t>
            </w:r>
          </w:p>
        </w:tc>
      </w:tr>
      <w:tr>
        <w:tblPrEx>
          <w:tblLayout w:type="fixed"/>
          <w:tblCellMar>
            <w:top w:w="0" w:type="dxa"/>
            <w:left w:w="108" w:type="dxa"/>
            <w:bottom w:w="0" w:type="dxa"/>
            <w:right w:w="108" w:type="dxa"/>
          </w:tblCellMar>
        </w:tblPrEx>
        <w:trPr>
          <w:trHeight w:val="90" w:hRule="atLeast"/>
          <w:jc w:val="center"/>
        </w:trPr>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工作人员培训场地</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室内，容纳不少于</w:t>
            </w:r>
            <w:r>
              <w:rPr>
                <w:rFonts w:ascii="宋体" w:hAnsi="宋体" w:cs="宋体"/>
                <w:color w:val="000000"/>
                <w:kern w:val="0"/>
                <w:sz w:val="22"/>
                <w:szCs w:val="22"/>
              </w:rPr>
              <w:t>60</w:t>
            </w:r>
            <w:r>
              <w:rPr>
                <w:rFonts w:hint="eastAsia" w:ascii="宋体" w:hAnsi="宋体" w:cs="宋体"/>
                <w:color w:val="000000"/>
                <w:kern w:val="0"/>
                <w:sz w:val="22"/>
                <w:szCs w:val="22"/>
              </w:rPr>
              <w:t>人</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0.5</w:t>
            </w:r>
          </w:p>
        </w:tc>
      </w:tr>
      <w:tr>
        <w:tblPrEx>
          <w:tblLayout w:type="fixed"/>
          <w:tblCellMar>
            <w:top w:w="0" w:type="dxa"/>
            <w:left w:w="108" w:type="dxa"/>
            <w:bottom w:w="0" w:type="dxa"/>
            <w:right w:w="108" w:type="dxa"/>
          </w:tblCellMar>
        </w:tblPrEx>
        <w:trPr>
          <w:trHeight w:val="90" w:hRule="atLeast"/>
          <w:jc w:val="center"/>
        </w:trPr>
        <w:tc>
          <w:tcPr>
            <w:tcW w:w="2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裁判培训场地</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室内，容纳不少于</w:t>
            </w:r>
            <w:r>
              <w:rPr>
                <w:rFonts w:ascii="宋体" w:hAnsi="宋体" w:cs="宋体"/>
                <w:color w:val="000000"/>
                <w:kern w:val="0"/>
                <w:sz w:val="22"/>
                <w:szCs w:val="22"/>
              </w:rPr>
              <w:t>20</w:t>
            </w:r>
            <w:r>
              <w:rPr>
                <w:rFonts w:hint="eastAsia" w:ascii="宋体" w:hAnsi="宋体" w:cs="宋体"/>
                <w:color w:val="000000"/>
                <w:kern w:val="0"/>
                <w:sz w:val="22"/>
                <w:szCs w:val="22"/>
              </w:rPr>
              <w:t>人</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0.5</w:t>
            </w:r>
          </w:p>
        </w:tc>
      </w:tr>
    </w:tbl>
    <w:p>
      <w:pPr>
        <w:spacing w:line="360" w:lineRule="auto"/>
        <w:rPr>
          <w:rFonts w:ascii="宋体" w:cs="宋体"/>
          <w:b/>
          <w:sz w:val="24"/>
          <w:szCs w:val="24"/>
        </w:rPr>
      </w:pPr>
      <w:r>
        <w:rPr>
          <w:rFonts w:ascii="宋体" w:hAnsi="宋体" w:cs="宋体"/>
          <w:b/>
          <w:sz w:val="24"/>
          <w:szCs w:val="24"/>
        </w:rPr>
        <w:t>2.2.4</w:t>
      </w:r>
      <w:r>
        <w:rPr>
          <w:rFonts w:hint="eastAsia" w:ascii="宋体" w:hAnsi="宋体" w:cs="宋体"/>
          <w:b/>
          <w:sz w:val="24"/>
          <w:szCs w:val="24"/>
        </w:rPr>
        <w:t>、赛场环境</w:t>
      </w:r>
    </w:p>
    <w:p>
      <w:pPr>
        <w:spacing w:line="360" w:lineRule="auto"/>
        <w:rPr>
          <w:rFonts w:ascii="宋体" w:cs="宋体"/>
          <w:sz w:val="24"/>
          <w:szCs w:val="24"/>
        </w:rPr>
      </w:pPr>
      <w:r>
        <w:rPr>
          <w:rFonts w:ascii="宋体" w:hAnsi="宋体" w:cs="宋体"/>
          <w:sz w:val="24"/>
          <w:szCs w:val="24"/>
        </w:rPr>
        <w:t>2.2.4.1</w:t>
      </w:r>
      <w:r>
        <w:rPr>
          <w:rFonts w:hint="eastAsia" w:ascii="宋体" w:hAnsi="宋体" w:cs="宋体"/>
          <w:sz w:val="24"/>
          <w:szCs w:val="24"/>
        </w:rPr>
        <w:t>、赛场设有安保、消防、电力抢险等人员待命，并设置安全应急通道，以防突发事件。</w:t>
      </w:r>
    </w:p>
    <w:p>
      <w:pPr>
        <w:spacing w:line="360" w:lineRule="auto"/>
        <w:rPr>
          <w:rFonts w:ascii="宋体" w:cs="宋体"/>
          <w:sz w:val="24"/>
          <w:szCs w:val="24"/>
          <w:highlight w:val="none"/>
        </w:rPr>
      </w:pPr>
      <w:r>
        <w:rPr>
          <w:rFonts w:ascii="宋体" w:hAnsi="宋体" w:cs="宋体"/>
          <w:sz w:val="24"/>
          <w:szCs w:val="24"/>
        </w:rPr>
        <w:t>2.2.4.2</w:t>
      </w:r>
      <w:r>
        <w:rPr>
          <w:rFonts w:hint="eastAsia" w:ascii="宋体" w:hAnsi="宋体" w:cs="宋体"/>
          <w:sz w:val="24"/>
          <w:szCs w:val="24"/>
        </w:rPr>
        <w:t>、赛场配备维修服务、医疗、生活补给站等公共服务设施，为选手和赛</w:t>
      </w:r>
      <w:r>
        <w:rPr>
          <w:rFonts w:hint="eastAsia" w:ascii="宋体" w:hAnsi="宋体" w:cs="宋体"/>
          <w:sz w:val="24"/>
          <w:szCs w:val="24"/>
          <w:highlight w:val="none"/>
        </w:rPr>
        <w:t>场人员提供服务。</w:t>
      </w:r>
    </w:p>
    <w:p>
      <w:pPr>
        <w:spacing w:line="360" w:lineRule="auto"/>
        <w:rPr>
          <w:rFonts w:ascii="宋体" w:cs="宋体"/>
          <w:b/>
          <w:color w:val="000000"/>
          <w:sz w:val="24"/>
          <w:szCs w:val="24"/>
          <w:highlight w:val="none"/>
        </w:rPr>
      </w:pPr>
      <w:r>
        <w:rPr>
          <w:rFonts w:ascii="宋体" w:hAnsi="宋体" w:cs="宋体"/>
          <w:sz w:val="24"/>
          <w:szCs w:val="24"/>
          <w:highlight w:val="none"/>
        </w:rPr>
        <w:t>2.2.4.3</w:t>
      </w:r>
      <w:r>
        <w:rPr>
          <w:rFonts w:hint="eastAsia" w:ascii="宋体" w:hAnsi="宋体" w:cs="宋体"/>
          <w:sz w:val="24"/>
          <w:szCs w:val="24"/>
          <w:highlight w:val="none"/>
        </w:rPr>
        <w:t>、竞赛场地设置隔离带，非裁判员、参赛选手、工作人员不得进入比赛场地。竞赛场地划分为检录区、竞赛操作区、现场服务与技术支持区、休息区、观摩通道等区域，区域之间有明显标志或警示带。提供的比赛区、观赛区、选手候场区及其他区域不可预见物料，包含但不限于：湿纸巾、矿泉水及其他特殊物料，须满足比赛所有参赛人员、工作人员及嘉宾数量的需要。</w:t>
      </w:r>
    </w:p>
    <w:p>
      <w:pPr>
        <w:spacing w:line="360" w:lineRule="auto"/>
        <w:rPr>
          <w:rFonts w:ascii="宋体" w:cs="宋体"/>
          <w:sz w:val="24"/>
          <w:szCs w:val="24"/>
        </w:rPr>
      </w:pPr>
    </w:p>
    <w:p>
      <w:pPr>
        <w:spacing w:line="360" w:lineRule="auto"/>
        <w:rPr>
          <w:rFonts w:ascii="宋体" w:cs="宋体"/>
          <w:sz w:val="24"/>
          <w:szCs w:val="24"/>
        </w:rPr>
      </w:pPr>
      <w:r>
        <w:rPr>
          <w:rFonts w:ascii="宋体" w:hAnsi="宋体" w:cs="宋体"/>
          <w:sz w:val="24"/>
          <w:szCs w:val="24"/>
        </w:rPr>
        <w:t>2.2.4.4</w:t>
      </w:r>
      <w:r>
        <w:rPr>
          <w:rFonts w:hint="eastAsia" w:ascii="宋体" w:hAnsi="宋体" w:cs="宋体"/>
          <w:sz w:val="24"/>
          <w:szCs w:val="24"/>
        </w:rPr>
        <w:t>、赛场设置安全通道和警戒线，确保进入赛场的拍照、视察人员限定在安全区域内活动，以保证大赛安全有序进行。</w:t>
      </w:r>
    </w:p>
    <w:p>
      <w:pPr>
        <w:spacing w:line="360" w:lineRule="auto"/>
        <w:rPr>
          <w:rFonts w:ascii="宋体" w:cs="宋体"/>
          <w:sz w:val="24"/>
          <w:szCs w:val="24"/>
        </w:rPr>
      </w:pPr>
      <w:r>
        <w:rPr>
          <w:rFonts w:ascii="宋体" w:hAnsi="宋体" w:cs="宋体"/>
          <w:sz w:val="24"/>
          <w:szCs w:val="24"/>
        </w:rPr>
        <w:t>2.2.5</w:t>
      </w:r>
      <w:r>
        <w:rPr>
          <w:rFonts w:hint="eastAsia" w:ascii="宋体" w:hAnsi="宋体" w:cs="宋体"/>
          <w:sz w:val="24"/>
          <w:szCs w:val="24"/>
        </w:rPr>
        <w:t>、人员要求</w:t>
      </w: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17"/>
        <w:gridCol w:w="132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8" w:type="dxa"/>
            <w:gridSpan w:val="2"/>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岗位</w:t>
            </w:r>
          </w:p>
        </w:tc>
        <w:tc>
          <w:tcPr>
            <w:tcW w:w="1320" w:type="dxa"/>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人数要求</w:t>
            </w:r>
          </w:p>
        </w:tc>
        <w:tc>
          <w:tcPr>
            <w:tcW w:w="3870" w:type="dxa"/>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3338" w:type="dxa"/>
            <w:gridSpan w:val="2"/>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裁判长</w:t>
            </w:r>
          </w:p>
        </w:tc>
        <w:tc>
          <w:tcPr>
            <w:tcW w:w="1320" w:type="dxa"/>
            <w:vAlign w:val="center"/>
          </w:tcPr>
          <w:p>
            <w:pPr>
              <w:pStyle w:val="3"/>
              <w:spacing w:after="0" w:line="360" w:lineRule="auto"/>
              <w:ind w:firstLine="0" w:firstLineChars="0"/>
              <w:jc w:val="center"/>
              <w:rPr>
                <w:rFonts w:ascii="宋体" w:cs="宋体"/>
                <w:kern w:val="2"/>
                <w:sz w:val="24"/>
                <w:szCs w:val="24"/>
              </w:rPr>
            </w:pPr>
            <w:r>
              <w:rPr>
                <w:rFonts w:ascii="宋体" w:hAnsi="宋体" w:cs="宋体"/>
                <w:kern w:val="2"/>
                <w:sz w:val="24"/>
                <w:szCs w:val="24"/>
              </w:rPr>
              <w:t>1</w:t>
            </w:r>
            <w:r>
              <w:rPr>
                <w:rFonts w:hint="eastAsia" w:ascii="宋体" w:hAnsi="宋体" w:cs="宋体"/>
                <w:kern w:val="2"/>
                <w:sz w:val="24"/>
                <w:szCs w:val="24"/>
              </w:rPr>
              <w:t>人</w:t>
            </w:r>
          </w:p>
        </w:tc>
        <w:tc>
          <w:tcPr>
            <w:tcW w:w="3870" w:type="dxa"/>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需为林业有害生物防治领域内副教授或教授级高工及以上担任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8" w:type="dxa"/>
            <w:gridSpan w:val="2"/>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裁判员</w:t>
            </w:r>
          </w:p>
        </w:tc>
        <w:tc>
          <w:tcPr>
            <w:tcW w:w="1320" w:type="dxa"/>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w:t>
            </w:r>
            <w:r>
              <w:rPr>
                <w:rFonts w:ascii="宋体" w:hAnsi="宋体" w:cs="宋体"/>
                <w:kern w:val="2"/>
                <w:sz w:val="24"/>
                <w:szCs w:val="24"/>
              </w:rPr>
              <w:t>12</w:t>
            </w:r>
            <w:r>
              <w:rPr>
                <w:rFonts w:hint="eastAsia" w:ascii="宋体" w:hAnsi="宋体" w:cs="宋体"/>
                <w:kern w:val="2"/>
                <w:sz w:val="24"/>
                <w:szCs w:val="24"/>
              </w:rPr>
              <w:t>人</w:t>
            </w:r>
          </w:p>
        </w:tc>
        <w:tc>
          <w:tcPr>
            <w:tcW w:w="3870" w:type="dxa"/>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需为从事林业有害生物防治领域工作中级职称以上（或相当于）的学校、省级机构从业人员担任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8" w:type="dxa"/>
            <w:gridSpan w:val="2"/>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助理裁判员</w:t>
            </w:r>
          </w:p>
        </w:tc>
        <w:tc>
          <w:tcPr>
            <w:tcW w:w="1320" w:type="dxa"/>
            <w:vMerge w:val="restart"/>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w:t>
            </w:r>
            <w:r>
              <w:rPr>
                <w:rFonts w:ascii="宋体" w:hAnsi="宋体" w:cs="宋体"/>
                <w:kern w:val="2"/>
                <w:sz w:val="24"/>
                <w:szCs w:val="24"/>
              </w:rPr>
              <w:t>12</w:t>
            </w:r>
            <w:r>
              <w:rPr>
                <w:rFonts w:hint="eastAsia" w:ascii="宋体" w:hAnsi="宋体" w:cs="宋体"/>
                <w:kern w:val="2"/>
                <w:sz w:val="24"/>
                <w:szCs w:val="24"/>
              </w:rPr>
              <w:t>名</w:t>
            </w:r>
          </w:p>
        </w:tc>
        <w:tc>
          <w:tcPr>
            <w:tcW w:w="3870" w:type="dxa"/>
            <w:vMerge w:val="restart"/>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年轻，身体健康，男女不限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8" w:type="dxa"/>
            <w:gridSpan w:val="2"/>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计时员</w:t>
            </w:r>
          </w:p>
        </w:tc>
        <w:tc>
          <w:tcPr>
            <w:tcW w:w="1320" w:type="dxa"/>
            <w:vMerge w:val="continue"/>
            <w:vAlign w:val="center"/>
          </w:tcPr>
          <w:p>
            <w:pPr>
              <w:pStyle w:val="3"/>
              <w:spacing w:after="0" w:line="360" w:lineRule="auto"/>
              <w:ind w:firstLine="31680"/>
              <w:jc w:val="center"/>
              <w:rPr>
                <w:rFonts w:ascii="宋体" w:cs="宋体"/>
                <w:kern w:val="2"/>
                <w:sz w:val="24"/>
                <w:szCs w:val="24"/>
              </w:rPr>
            </w:pP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38" w:type="dxa"/>
            <w:gridSpan w:val="2"/>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发令员</w:t>
            </w:r>
          </w:p>
        </w:tc>
        <w:tc>
          <w:tcPr>
            <w:tcW w:w="1320" w:type="dxa"/>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w:t>
            </w:r>
            <w:r>
              <w:rPr>
                <w:rFonts w:ascii="宋体" w:hAnsi="宋体" w:cs="宋体"/>
                <w:kern w:val="2"/>
                <w:sz w:val="24"/>
                <w:szCs w:val="24"/>
              </w:rPr>
              <w:t>2</w:t>
            </w:r>
            <w:r>
              <w:rPr>
                <w:rFonts w:hint="eastAsia" w:ascii="宋体" w:hAnsi="宋体" w:cs="宋体"/>
                <w:kern w:val="2"/>
                <w:sz w:val="24"/>
                <w:szCs w:val="24"/>
              </w:rPr>
              <w:t>人</w:t>
            </w: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21" w:type="dxa"/>
            <w:vMerge w:val="restart"/>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其它工作人员</w:t>
            </w:r>
          </w:p>
        </w:tc>
        <w:tc>
          <w:tcPr>
            <w:tcW w:w="1917" w:type="dxa"/>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检录员</w:t>
            </w:r>
          </w:p>
        </w:tc>
        <w:tc>
          <w:tcPr>
            <w:tcW w:w="1320" w:type="dxa"/>
            <w:vMerge w:val="restart"/>
            <w:vAlign w:val="center"/>
          </w:tcPr>
          <w:p>
            <w:pPr>
              <w:pStyle w:val="3"/>
              <w:spacing w:after="0" w:line="360" w:lineRule="auto"/>
              <w:ind w:firstLine="0" w:firstLineChars="0"/>
              <w:jc w:val="center"/>
              <w:rPr>
                <w:rFonts w:ascii="宋体" w:cs="宋体"/>
                <w:kern w:val="2"/>
                <w:sz w:val="24"/>
                <w:szCs w:val="24"/>
              </w:rPr>
            </w:pPr>
            <w:r>
              <w:rPr>
                <w:rFonts w:hint="eastAsia" w:ascii="宋体" w:hAnsi="宋体" w:cs="宋体"/>
                <w:kern w:val="2"/>
                <w:sz w:val="24"/>
                <w:szCs w:val="24"/>
              </w:rPr>
              <w:t>≤</w:t>
            </w:r>
            <w:r>
              <w:rPr>
                <w:rFonts w:ascii="宋体" w:hAnsi="宋体" w:cs="宋体"/>
                <w:kern w:val="2"/>
                <w:sz w:val="24"/>
                <w:szCs w:val="24"/>
              </w:rPr>
              <w:t>1</w:t>
            </w:r>
            <w:r>
              <w:rPr>
                <w:rFonts w:ascii="宋体" w:cs="宋体"/>
                <w:kern w:val="2"/>
                <w:sz w:val="24"/>
                <w:szCs w:val="24"/>
              </w:rPr>
              <w:t>0</w:t>
            </w:r>
            <w:r>
              <w:rPr>
                <w:rFonts w:hint="eastAsia" w:ascii="宋体" w:hAnsi="宋体" w:cs="宋体"/>
                <w:kern w:val="2"/>
                <w:sz w:val="24"/>
                <w:szCs w:val="24"/>
              </w:rPr>
              <w:t>名</w:t>
            </w: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21" w:type="dxa"/>
            <w:vMerge w:val="continue"/>
            <w:vAlign w:val="center"/>
          </w:tcPr>
          <w:p>
            <w:pPr>
              <w:pStyle w:val="3"/>
              <w:spacing w:after="0" w:line="360" w:lineRule="auto"/>
              <w:ind w:firstLine="31680"/>
              <w:jc w:val="center"/>
              <w:rPr>
                <w:rFonts w:ascii="宋体" w:cs="宋体"/>
                <w:kern w:val="2"/>
                <w:sz w:val="24"/>
                <w:szCs w:val="24"/>
              </w:rPr>
            </w:pPr>
          </w:p>
        </w:tc>
        <w:tc>
          <w:tcPr>
            <w:tcW w:w="1917" w:type="dxa"/>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引导员</w:t>
            </w:r>
          </w:p>
        </w:tc>
        <w:tc>
          <w:tcPr>
            <w:tcW w:w="1320" w:type="dxa"/>
            <w:vMerge w:val="continue"/>
            <w:vAlign w:val="center"/>
          </w:tcPr>
          <w:p>
            <w:pPr>
              <w:pStyle w:val="3"/>
              <w:spacing w:after="0" w:line="360" w:lineRule="auto"/>
              <w:ind w:firstLine="31680"/>
              <w:jc w:val="center"/>
              <w:rPr>
                <w:rFonts w:ascii="宋体" w:cs="宋体"/>
                <w:kern w:val="2"/>
                <w:sz w:val="24"/>
                <w:szCs w:val="24"/>
              </w:rPr>
            </w:pP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21" w:type="dxa"/>
            <w:vMerge w:val="continue"/>
            <w:vAlign w:val="center"/>
          </w:tcPr>
          <w:p>
            <w:pPr>
              <w:pStyle w:val="3"/>
              <w:spacing w:after="0" w:line="360" w:lineRule="auto"/>
              <w:ind w:firstLine="31680"/>
              <w:jc w:val="center"/>
              <w:rPr>
                <w:rFonts w:ascii="宋体" w:cs="宋体"/>
                <w:kern w:val="2"/>
                <w:sz w:val="24"/>
                <w:szCs w:val="24"/>
              </w:rPr>
            </w:pPr>
          </w:p>
        </w:tc>
        <w:tc>
          <w:tcPr>
            <w:tcW w:w="1917" w:type="dxa"/>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计分员</w:t>
            </w:r>
          </w:p>
        </w:tc>
        <w:tc>
          <w:tcPr>
            <w:tcW w:w="1320" w:type="dxa"/>
            <w:vMerge w:val="continue"/>
            <w:vAlign w:val="center"/>
          </w:tcPr>
          <w:p>
            <w:pPr>
              <w:pStyle w:val="3"/>
              <w:spacing w:after="0" w:line="360" w:lineRule="auto"/>
              <w:ind w:firstLine="31680"/>
              <w:jc w:val="center"/>
              <w:rPr>
                <w:rFonts w:ascii="宋体" w:cs="宋体"/>
                <w:kern w:val="2"/>
                <w:sz w:val="24"/>
                <w:szCs w:val="24"/>
              </w:rPr>
            </w:pP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21" w:type="dxa"/>
            <w:vMerge w:val="continue"/>
            <w:vAlign w:val="center"/>
          </w:tcPr>
          <w:p>
            <w:pPr>
              <w:pStyle w:val="3"/>
              <w:spacing w:after="0" w:line="360" w:lineRule="auto"/>
              <w:ind w:firstLine="31680"/>
              <w:jc w:val="center"/>
              <w:rPr>
                <w:rFonts w:ascii="宋体" w:cs="宋体"/>
                <w:kern w:val="2"/>
                <w:sz w:val="24"/>
                <w:szCs w:val="24"/>
              </w:rPr>
            </w:pPr>
          </w:p>
        </w:tc>
        <w:tc>
          <w:tcPr>
            <w:tcW w:w="1917" w:type="dxa"/>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收表员</w:t>
            </w:r>
          </w:p>
        </w:tc>
        <w:tc>
          <w:tcPr>
            <w:tcW w:w="1320" w:type="dxa"/>
            <w:vMerge w:val="continue"/>
            <w:vAlign w:val="center"/>
          </w:tcPr>
          <w:p>
            <w:pPr>
              <w:pStyle w:val="3"/>
              <w:spacing w:after="0" w:line="360" w:lineRule="auto"/>
              <w:ind w:firstLine="31680"/>
              <w:jc w:val="center"/>
              <w:rPr>
                <w:rFonts w:ascii="宋体" w:cs="宋体"/>
                <w:kern w:val="2"/>
                <w:sz w:val="24"/>
                <w:szCs w:val="24"/>
              </w:rPr>
            </w:pPr>
          </w:p>
        </w:tc>
        <w:tc>
          <w:tcPr>
            <w:tcW w:w="3870" w:type="dxa"/>
            <w:vMerge w:val="continue"/>
            <w:vAlign w:val="center"/>
          </w:tcPr>
          <w:p>
            <w:pPr>
              <w:pStyle w:val="3"/>
              <w:spacing w:after="0" w:line="360" w:lineRule="auto"/>
              <w:ind w:firstLine="31680"/>
              <w:jc w:val="center"/>
              <w:rPr>
                <w:rFonts w:asci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21" w:type="dxa"/>
            <w:vMerge w:val="continue"/>
            <w:vAlign w:val="center"/>
          </w:tcPr>
          <w:p>
            <w:pPr>
              <w:pStyle w:val="3"/>
              <w:spacing w:after="0" w:line="360" w:lineRule="auto"/>
              <w:ind w:firstLine="31680"/>
              <w:jc w:val="center"/>
              <w:rPr>
                <w:rFonts w:ascii="宋体" w:cs="宋体"/>
                <w:kern w:val="2"/>
                <w:sz w:val="24"/>
                <w:szCs w:val="24"/>
              </w:rPr>
            </w:pPr>
          </w:p>
        </w:tc>
        <w:tc>
          <w:tcPr>
            <w:tcW w:w="1917" w:type="dxa"/>
            <w:vAlign w:val="center"/>
          </w:tcPr>
          <w:p>
            <w:pPr>
              <w:pStyle w:val="3"/>
              <w:spacing w:after="0" w:line="360" w:lineRule="auto"/>
              <w:ind w:firstLine="31680"/>
              <w:jc w:val="center"/>
              <w:rPr>
                <w:rFonts w:ascii="宋体" w:cs="宋体"/>
                <w:kern w:val="2"/>
                <w:sz w:val="24"/>
                <w:szCs w:val="24"/>
              </w:rPr>
            </w:pPr>
            <w:r>
              <w:rPr>
                <w:rFonts w:hint="eastAsia" w:ascii="宋体" w:hAnsi="宋体" w:cs="宋体"/>
                <w:kern w:val="2"/>
                <w:sz w:val="24"/>
                <w:szCs w:val="24"/>
              </w:rPr>
              <w:t>送表员</w:t>
            </w:r>
          </w:p>
        </w:tc>
        <w:tc>
          <w:tcPr>
            <w:tcW w:w="1320" w:type="dxa"/>
            <w:vMerge w:val="continue"/>
            <w:vAlign w:val="center"/>
          </w:tcPr>
          <w:p>
            <w:pPr>
              <w:pStyle w:val="3"/>
              <w:spacing w:after="0" w:line="360" w:lineRule="auto"/>
              <w:ind w:firstLine="31680"/>
              <w:jc w:val="center"/>
              <w:rPr>
                <w:rFonts w:ascii="宋体" w:cs="宋体"/>
                <w:kern w:val="2"/>
                <w:sz w:val="24"/>
                <w:szCs w:val="24"/>
              </w:rPr>
            </w:pPr>
          </w:p>
        </w:tc>
        <w:tc>
          <w:tcPr>
            <w:tcW w:w="3870" w:type="dxa"/>
            <w:vMerge w:val="continue"/>
            <w:vAlign w:val="center"/>
          </w:tcPr>
          <w:p>
            <w:pPr>
              <w:pStyle w:val="3"/>
              <w:spacing w:after="0" w:line="360" w:lineRule="auto"/>
              <w:ind w:firstLine="31680"/>
              <w:jc w:val="center"/>
              <w:rPr>
                <w:rFonts w:ascii="宋体" w:cs="宋体"/>
                <w:kern w:val="2"/>
                <w:sz w:val="24"/>
                <w:szCs w:val="24"/>
              </w:rPr>
            </w:pPr>
          </w:p>
        </w:tc>
      </w:tr>
    </w:tbl>
    <w:p>
      <w:pPr>
        <w:spacing w:line="360" w:lineRule="auto"/>
        <w:rPr>
          <w:rFonts w:ascii="宋体" w:cs="宋体"/>
          <w:sz w:val="24"/>
          <w:szCs w:val="24"/>
        </w:rPr>
      </w:pPr>
      <w:r>
        <w:rPr>
          <w:rFonts w:ascii="宋体" w:hAnsi="宋体" w:cs="宋体"/>
          <w:b/>
          <w:sz w:val="24"/>
          <w:szCs w:val="24"/>
        </w:rPr>
        <w:t>2.2.6</w:t>
      </w:r>
      <w:r>
        <w:rPr>
          <w:rFonts w:hint="eastAsia" w:ascii="宋体" w:hAnsi="宋体" w:cs="宋体"/>
          <w:b/>
          <w:sz w:val="24"/>
          <w:szCs w:val="24"/>
        </w:rPr>
        <w:t>、个人奖项设置：</w:t>
      </w:r>
      <w:r>
        <w:rPr>
          <w:rFonts w:hint="eastAsia" w:ascii="宋体" w:hAnsi="宋体" w:cs="宋体"/>
          <w:sz w:val="24"/>
          <w:szCs w:val="24"/>
        </w:rPr>
        <w:t>设置一等奖</w:t>
      </w:r>
      <w:r>
        <w:rPr>
          <w:rFonts w:ascii="宋体" w:hAnsi="宋体" w:cs="宋体"/>
          <w:sz w:val="24"/>
          <w:szCs w:val="24"/>
        </w:rPr>
        <w:t>3</w:t>
      </w:r>
      <w:r>
        <w:rPr>
          <w:rFonts w:hint="eastAsia" w:ascii="宋体" w:hAnsi="宋体" w:cs="宋体"/>
          <w:sz w:val="24"/>
          <w:szCs w:val="24"/>
        </w:rPr>
        <w:t>名，二等奖</w:t>
      </w:r>
      <w:r>
        <w:rPr>
          <w:rFonts w:ascii="宋体" w:hAnsi="宋体" w:cs="宋体"/>
          <w:sz w:val="24"/>
          <w:szCs w:val="24"/>
        </w:rPr>
        <w:t>6</w:t>
      </w:r>
      <w:r>
        <w:rPr>
          <w:rFonts w:hint="eastAsia" w:ascii="宋体" w:hAnsi="宋体" w:cs="宋体"/>
          <w:sz w:val="24"/>
          <w:szCs w:val="24"/>
        </w:rPr>
        <w:t>名，三等奖</w:t>
      </w:r>
      <w:r>
        <w:rPr>
          <w:rFonts w:ascii="宋体" w:hAnsi="宋体" w:cs="宋体"/>
          <w:sz w:val="24"/>
          <w:szCs w:val="24"/>
        </w:rPr>
        <w:t>9</w:t>
      </w:r>
      <w:r>
        <w:rPr>
          <w:rFonts w:hint="eastAsia" w:ascii="宋体" w:hAnsi="宋体" w:cs="宋体"/>
          <w:sz w:val="24"/>
          <w:szCs w:val="24"/>
        </w:rPr>
        <w:t>名。获一等奖的选手，颁发证书并发放奖励</w:t>
      </w:r>
      <w:r>
        <w:rPr>
          <w:rFonts w:ascii="宋体" w:hAnsi="宋体" w:cs="宋体"/>
          <w:sz w:val="24"/>
          <w:szCs w:val="24"/>
        </w:rPr>
        <w:t>3000</w:t>
      </w:r>
      <w:r>
        <w:rPr>
          <w:rFonts w:hint="eastAsia" w:ascii="宋体" w:hAnsi="宋体" w:cs="宋体"/>
          <w:sz w:val="24"/>
          <w:szCs w:val="24"/>
        </w:rPr>
        <w:t>元。获二等奖的选手，颁发证书并发放奖励</w:t>
      </w:r>
      <w:r>
        <w:rPr>
          <w:rFonts w:ascii="宋体" w:hAnsi="宋体" w:cs="宋体"/>
          <w:sz w:val="24"/>
          <w:szCs w:val="24"/>
        </w:rPr>
        <w:t>2000</w:t>
      </w:r>
      <w:r>
        <w:rPr>
          <w:rFonts w:hint="eastAsia" w:ascii="宋体" w:hAnsi="宋体" w:cs="宋体"/>
          <w:sz w:val="24"/>
          <w:szCs w:val="24"/>
        </w:rPr>
        <w:t>元。获三等奖的选手，颁发证书并发放奖励</w:t>
      </w:r>
      <w:r>
        <w:rPr>
          <w:rFonts w:ascii="宋体" w:hAnsi="宋体" w:cs="宋体"/>
          <w:sz w:val="24"/>
          <w:szCs w:val="24"/>
        </w:rPr>
        <w:t>1000</w:t>
      </w:r>
      <w:r>
        <w:rPr>
          <w:rFonts w:hint="eastAsia" w:ascii="宋体" w:hAnsi="宋体" w:cs="宋体"/>
          <w:sz w:val="24"/>
          <w:szCs w:val="24"/>
        </w:rPr>
        <w:t>元。其它未获奖参赛选手颁发参赛证书，获奖选手的奖励及所有证书费用由供应商支付。（竞赛人个奖励为税后价）</w:t>
      </w:r>
    </w:p>
    <w:p>
      <w:pPr>
        <w:spacing w:line="360" w:lineRule="auto"/>
        <w:rPr>
          <w:rFonts w:ascii="宋体" w:cs="宋体"/>
          <w:sz w:val="24"/>
          <w:szCs w:val="24"/>
        </w:rPr>
      </w:pPr>
      <w:r>
        <w:rPr>
          <w:rFonts w:ascii="宋体" w:hAnsi="宋体" w:cs="宋体"/>
          <w:b/>
          <w:sz w:val="24"/>
          <w:szCs w:val="24"/>
        </w:rPr>
        <w:t>2.2.7</w:t>
      </w:r>
      <w:r>
        <w:rPr>
          <w:rFonts w:hint="eastAsia" w:ascii="宋体" w:hAnsi="宋体" w:cs="宋体"/>
          <w:b/>
          <w:sz w:val="24"/>
          <w:szCs w:val="24"/>
        </w:rPr>
        <w:t>、团体奖项设置：</w:t>
      </w:r>
      <w:r>
        <w:rPr>
          <w:rFonts w:hint="eastAsia" w:ascii="宋体" w:hAnsi="宋体" w:cs="宋体"/>
          <w:sz w:val="24"/>
          <w:szCs w:val="24"/>
        </w:rPr>
        <w:t>设团体一等奖</w:t>
      </w:r>
      <w:r>
        <w:rPr>
          <w:rFonts w:ascii="宋体" w:hAnsi="宋体" w:cs="宋体"/>
          <w:sz w:val="24"/>
          <w:szCs w:val="24"/>
        </w:rPr>
        <w:t>1</w:t>
      </w:r>
      <w:r>
        <w:rPr>
          <w:rFonts w:hint="eastAsia" w:ascii="宋体" w:hAnsi="宋体" w:cs="宋体"/>
          <w:sz w:val="24"/>
          <w:szCs w:val="24"/>
        </w:rPr>
        <w:t>个、二等奖</w:t>
      </w:r>
      <w:r>
        <w:rPr>
          <w:rFonts w:ascii="宋体" w:hAnsi="宋体" w:cs="宋体"/>
          <w:sz w:val="24"/>
          <w:szCs w:val="24"/>
        </w:rPr>
        <w:t xml:space="preserve"> 2</w:t>
      </w:r>
      <w:r>
        <w:rPr>
          <w:rFonts w:hint="eastAsia" w:ascii="宋体" w:hAnsi="宋体" w:cs="宋体"/>
          <w:sz w:val="24"/>
          <w:szCs w:val="24"/>
        </w:rPr>
        <w:t>个、三等奖</w:t>
      </w:r>
      <w:r>
        <w:rPr>
          <w:rFonts w:ascii="宋体" w:hAnsi="宋体" w:cs="宋体"/>
          <w:sz w:val="24"/>
          <w:szCs w:val="24"/>
        </w:rPr>
        <w:t>3</w:t>
      </w:r>
      <w:r>
        <w:rPr>
          <w:rFonts w:hint="eastAsia" w:ascii="宋体" w:hAnsi="宋体" w:cs="宋体"/>
          <w:sz w:val="24"/>
          <w:szCs w:val="24"/>
        </w:rPr>
        <w:t>个和优秀组织奖</w:t>
      </w:r>
      <w:r>
        <w:rPr>
          <w:rFonts w:ascii="宋体" w:hAnsi="宋体" w:cs="宋体"/>
          <w:sz w:val="24"/>
          <w:szCs w:val="24"/>
        </w:rPr>
        <w:t>4</w:t>
      </w:r>
      <w:r>
        <w:rPr>
          <w:rFonts w:hint="eastAsia" w:ascii="宋体" w:hAnsi="宋体" w:cs="宋体"/>
          <w:sz w:val="24"/>
          <w:szCs w:val="24"/>
        </w:rPr>
        <w:t>个、精神风尚奖</w:t>
      </w:r>
      <w:r>
        <w:rPr>
          <w:rFonts w:ascii="宋体" w:hAnsi="宋体" w:cs="宋体"/>
          <w:sz w:val="24"/>
          <w:szCs w:val="24"/>
        </w:rPr>
        <w:t>2</w:t>
      </w:r>
      <w:r>
        <w:rPr>
          <w:rFonts w:hint="eastAsia" w:ascii="宋体" w:hAnsi="宋体" w:cs="宋体"/>
          <w:sz w:val="24"/>
          <w:szCs w:val="24"/>
        </w:rPr>
        <w:t>个。对获得奖项的代表队颁发奖牌。奖牌尺寸为</w:t>
      </w:r>
      <w:r>
        <w:rPr>
          <w:rFonts w:ascii="宋体" w:hAnsi="宋体" w:cs="宋体"/>
          <w:sz w:val="24"/>
          <w:szCs w:val="24"/>
        </w:rPr>
        <w:t>40</w:t>
      </w:r>
      <w:r>
        <w:rPr>
          <w:rFonts w:hint="eastAsia" w:ascii="宋体" w:hAnsi="宋体" w:cs="宋体"/>
          <w:sz w:val="24"/>
          <w:szCs w:val="24"/>
        </w:rPr>
        <w:t>厘米</w:t>
      </w:r>
      <w:r>
        <w:rPr>
          <w:rFonts w:ascii="宋体" w:hAnsi="宋体" w:cs="宋体"/>
          <w:sz w:val="24"/>
          <w:szCs w:val="24"/>
        </w:rPr>
        <w:t>*60</w:t>
      </w:r>
      <w:r>
        <w:rPr>
          <w:rFonts w:hint="eastAsia" w:ascii="宋体" w:hAnsi="宋体" w:cs="宋体"/>
          <w:sz w:val="24"/>
          <w:szCs w:val="24"/>
        </w:rPr>
        <w:t>厘米横版，棕红色实木纹底座</w:t>
      </w:r>
      <w:r>
        <w:rPr>
          <w:rFonts w:ascii="宋体" w:hAnsi="宋体" w:cs="宋体"/>
          <w:sz w:val="24"/>
          <w:szCs w:val="24"/>
        </w:rPr>
        <w:t>+</w:t>
      </w:r>
      <w:r>
        <w:rPr>
          <w:rFonts w:hint="eastAsia" w:ascii="宋体" w:hAnsi="宋体" w:cs="宋体"/>
          <w:sz w:val="24"/>
          <w:szCs w:val="24"/>
        </w:rPr>
        <w:t>沙金板，文字使用高清技术刻制，色彩艳丽，光泽度好，耐腐蚀，精美花边。</w:t>
      </w:r>
    </w:p>
    <w:p>
      <w:pPr>
        <w:spacing w:line="360" w:lineRule="auto"/>
        <w:rPr>
          <w:rFonts w:ascii="宋体" w:cs="宋体"/>
          <w:b/>
          <w:sz w:val="24"/>
          <w:szCs w:val="24"/>
        </w:rPr>
      </w:pPr>
      <w:r>
        <w:rPr>
          <w:rFonts w:ascii="宋体" w:hAnsi="宋体" w:cs="宋体"/>
          <w:b/>
          <w:sz w:val="24"/>
          <w:szCs w:val="24"/>
        </w:rPr>
        <w:t>2.2.8</w:t>
      </w:r>
      <w:r>
        <w:rPr>
          <w:rFonts w:hint="eastAsia" w:ascii="宋体" w:hAnsi="宋体" w:cs="宋体"/>
          <w:b/>
          <w:sz w:val="24"/>
          <w:szCs w:val="24"/>
        </w:rPr>
        <w:t>、比赛用材料、设备要求</w:t>
      </w:r>
    </w:p>
    <w:p>
      <w:pPr>
        <w:spacing w:line="360" w:lineRule="auto"/>
        <w:rPr>
          <w:rFonts w:ascii="宋体" w:cs="宋体"/>
          <w:bCs/>
          <w:sz w:val="24"/>
          <w:szCs w:val="24"/>
        </w:rPr>
      </w:pPr>
      <w:r>
        <w:rPr>
          <w:rFonts w:ascii="宋体" w:hAnsi="宋体" w:cs="宋体"/>
          <w:bCs/>
          <w:sz w:val="24"/>
          <w:szCs w:val="24"/>
        </w:rPr>
        <w:t>2.2.8.1</w:t>
      </w:r>
      <w:r>
        <w:rPr>
          <w:rFonts w:hint="eastAsia" w:ascii="宋体" w:hAnsi="宋体" w:cs="宋体"/>
          <w:bCs/>
          <w:sz w:val="24"/>
          <w:szCs w:val="24"/>
        </w:rPr>
        <w:t>、笔试：包括理论考试试卷（≤</w:t>
      </w:r>
      <w:r>
        <w:rPr>
          <w:rFonts w:ascii="宋体" w:hAnsi="宋体" w:cs="宋体"/>
          <w:bCs/>
          <w:sz w:val="24"/>
          <w:szCs w:val="24"/>
        </w:rPr>
        <w:t>65</w:t>
      </w:r>
      <w:r>
        <w:rPr>
          <w:rFonts w:hint="eastAsia" w:ascii="宋体" w:hAnsi="宋体" w:cs="宋体"/>
          <w:bCs/>
          <w:sz w:val="24"/>
          <w:szCs w:val="24"/>
        </w:rPr>
        <w:t>套）、答题纸（≤</w:t>
      </w:r>
      <w:r>
        <w:rPr>
          <w:rFonts w:ascii="宋体" w:hAnsi="宋体" w:cs="宋体"/>
          <w:bCs/>
          <w:sz w:val="24"/>
          <w:szCs w:val="24"/>
        </w:rPr>
        <w:t>65</w:t>
      </w:r>
      <w:r>
        <w:rPr>
          <w:rFonts w:hint="eastAsia" w:ascii="宋体" w:hAnsi="宋体" w:cs="宋体"/>
          <w:bCs/>
          <w:sz w:val="24"/>
          <w:szCs w:val="24"/>
        </w:rPr>
        <w:t>张）、中性笔（≤</w:t>
      </w:r>
      <w:r>
        <w:rPr>
          <w:rFonts w:ascii="宋体" w:hAnsi="宋体" w:cs="宋体"/>
          <w:bCs/>
          <w:sz w:val="24"/>
          <w:szCs w:val="24"/>
        </w:rPr>
        <w:t>65</w:t>
      </w:r>
      <w:r>
        <w:rPr>
          <w:rFonts w:hint="eastAsia" w:ascii="宋体" w:hAnsi="宋体" w:cs="宋体"/>
          <w:bCs/>
          <w:sz w:val="24"/>
          <w:szCs w:val="24"/>
        </w:rPr>
        <w:t>支）。</w:t>
      </w:r>
    </w:p>
    <w:p>
      <w:pPr>
        <w:spacing w:line="360" w:lineRule="auto"/>
        <w:rPr>
          <w:rFonts w:ascii="宋体" w:cs="宋体"/>
          <w:bCs/>
          <w:sz w:val="24"/>
          <w:szCs w:val="24"/>
        </w:rPr>
      </w:pPr>
      <w:r>
        <w:rPr>
          <w:rFonts w:ascii="宋体" w:hAnsi="宋体" w:cs="宋体"/>
          <w:bCs/>
          <w:sz w:val="24"/>
          <w:szCs w:val="24"/>
        </w:rPr>
        <w:t>2.2.8.2</w:t>
      </w:r>
      <w:r>
        <w:rPr>
          <w:rFonts w:hint="eastAsia" w:ascii="宋体" w:hAnsi="宋体" w:cs="宋体"/>
          <w:bCs/>
          <w:sz w:val="24"/>
          <w:szCs w:val="24"/>
        </w:rPr>
        <w:t>、技能操作考核（林业有害生物识别与标本采集制作项目、林业有害生物防治项目、松材线虫分离鉴定项目）：按下列设备名称各配备</w:t>
      </w:r>
      <w:r>
        <w:rPr>
          <w:rFonts w:ascii="宋体" w:hAnsi="宋体" w:cs="宋体"/>
          <w:bCs/>
          <w:sz w:val="24"/>
          <w:szCs w:val="24"/>
        </w:rPr>
        <w:t>14</w:t>
      </w:r>
      <w:r>
        <w:rPr>
          <w:rFonts w:hint="eastAsia" w:ascii="宋体" w:hAnsi="宋体" w:cs="宋体"/>
          <w:bCs/>
          <w:sz w:val="24"/>
          <w:szCs w:val="24"/>
        </w:rPr>
        <w:t>套，</w:t>
      </w:r>
      <w:r>
        <w:rPr>
          <w:rFonts w:hint="eastAsia" w:ascii="宋体" w:hAnsi="宋体" w:cs="宋体"/>
          <w:sz w:val="24"/>
          <w:szCs w:val="24"/>
        </w:rPr>
        <w:t>其中标有“</w:t>
      </w:r>
      <w:r>
        <w:rPr>
          <w:rFonts w:ascii="宋体" w:hAnsi="宋体" w:cs="宋体"/>
          <w:sz w:val="24"/>
          <w:szCs w:val="24"/>
        </w:rPr>
        <w:t>*</w:t>
      </w:r>
      <w:r>
        <w:rPr>
          <w:rFonts w:hint="eastAsia" w:ascii="宋体" w:hAnsi="宋体" w:cs="宋体"/>
          <w:sz w:val="24"/>
          <w:szCs w:val="24"/>
        </w:rPr>
        <w:t>”的损耗品各配备</w:t>
      </w:r>
      <w:r>
        <w:rPr>
          <w:rFonts w:ascii="宋体" w:hAnsi="宋体" w:cs="宋体"/>
          <w:sz w:val="24"/>
          <w:szCs w:val="24"/>
        </w:rPr>
        <w:t>65</w:t>
      </w:r>
      <w:r>
        <w:rPr>
          <w:rFonts w:hint="eastAsia" w:ascii="宋体" w:hAnsi="宋体" w:cs="宋体"/>
          <w:sz w:val="24"/>
          <w:szCs w:val="24"/>
        </w:rPr>
        <w:t>套，每套所需的个数如表格所列，三个项目间相同的设备可重复利用。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4"/>
        <w:gridCol w:w="815"/>
        <w:gridCol w:w="1119"/>
        <w:gridCol w:w="3195"/>
        <w:gridCol w:w="109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2" w:type="dxa"/>
            <w:gridSpan w:val="7"/>
            <w:noWrap/>
            <w:vAlign w:val="center"/>
          </w:tcPr>
          <w:p>
            <w:pPr>
              <w:widowControl/>
              <w:jc w:val="center"/>
              <w:rPr>
                <w:rFonts w:ascii="宋体" w:cs="宋体"/>
                <w:kern w:val="0"/>
                <w:sz w:val="24"/>
                <w:szCs w:val="24"/>
              </w:rPr>
            </w:pPr>
            <w:r>
              <w:rPr>
                <w:rFonts w:hint="eastAsia" w:ascii="宋体" w:hAnsi="宋体" w:cs="宋体"/>
                <w:kern w:val="0"/>
                <w:sz w:val="24"/>
                <w:szCs w:val="24"/>
              </w:rPr>
              <w:t>技能操作考核每条赛道每人所需竞赛设备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hint="eastAsia" w:ascii="宋体" w:hAnsi="宋体" w:cs="宋体"/>
                <w:kern w:val="0"/>
                <w:sz w:val="24"/>
                <w:szCs w:val="24"/>
              </w:rPr>
              <w:t>序号</w:t>
            </w:r>
          </w:p>
        </w:tc>
        <w:tc>
          <w:tcPr>
            <w:tcW w:w="814" w:type="dxa"/>
            <w:vAlign w:val="center"/>
          </w:tcPr>
          <w:p>
            <w:pPr>
              <w:widowControl/>
              <w:jc w:val="center"/>
              <w:rPr>
                <w:rFonts w:ascii="宋体" w:cs="宋体"/>
                <w:kern w:val="0"/>
                <w:sz w:val="24"/>
                <w:szCs w:val="24"/>
              </w:rPr>
            </w:pPr>
            <w:r>
              <w:rPr>
                <w:rFonts w:hint="eastAsia" w:ascii="宋体" w:hAnsi="宋体" w:cs="宋体"/>
                <w:kern w:val="0"/>
                <w:sz w:val="24"/>
                <w:szCs w:val="24"/>
              </w:rPr>
              <w:t>项目名称</w:t>
            </w:r>
          </w:p>
        </w:tc>
        <w:tc>
          <w:tcPr>
            <w:tcW w:w="815" w:type="dxa"/>
            <w:vAlign w:val="center"/>
          </w:tcPr>
          <w:p>
            <w:pPr>
              <w:widowControl/>
              <w:jc w:val="center"/>
              <w:rPr>
                <w:rFonts w:ascii="宋体" w:cs="宋体"/>
                <w:kern w:val="0"/>
                <w:sz w:val="24"/>
                <w:szCs w:val="24"/>
              </w:rPr>
            </w:pPr>
            <w:r>
              <w:rPr>
                <w:rFonts w:hint="eastAsia" w:ascii="宋体" w:hAnsi="宋体" w:cs="宋体"/>
                <w:kern w:val="0"/>
                <w:sz w:val="24"/>
                <w:szCs w:val="24"/>
              </w:rPr>
              <w:t>子项目</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器材名称</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具体参数</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r>
              <w:rPr>
                <w:rFonts w:ascii="宋体" w:hAnsi="宋体" w:cs="宋体"/>
                <w:kern w:val="0"/>
                <w:sz w:val="24"/>
                <w:szCs w:val="24"/>
              </w:rPr>
              <w:t>/</w:t>
            </w: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hint="eastAsia" w:ascii="宋体" w:hAnsi="宋体" w:cs="宋体"/>
                <w:kern w:val="0"/>
                <w:sz w:val="24"/>
                <w:szCs w:val="24"/>
              </w:rPr>
              <w:t>每套所需</w:t>
            </w:r>
          </w:p>
          <w:p>
            <w:pPr>
              <w:widowControl/>
              <w:jc w:val="center"/>
              <w:rPr>
                <w:rFonts w:ascii="宋体" w:cs="宋体"/>
                <w:kern w:val="0"/>
                <w:sz w:val="24"/>
                <w:szCs w:val="24"/>
              </w:rPr>
            </w:pPr>
            <w:r>
              <w:rPr>
                <w:rFonts w:hint="eastAsia" w:ascii="宋体" w:hAnsi="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w:t>
            </w:r>
          </w:p>
        </w:tc>
        <w:tc>
          <w:tcPr>
            <w:tcW w:w="814"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林业有害生物识别与标本采集制作项目</w:t>
            </w: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林业有害生物识别</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昆虫、病害照片</w:t>
            </w:r>
          </w:p>
        </w:tc>
        <w:tc>
          <w:tcPr>
            <w:tcW w:w="3195" w:type="dxa"/>
            <w:vAlign w:val="center"/>
          </w:tcPr>
          <w:p>
            <w:pPr>
              <w:widowControl/>
              <w:jc w:val="center"/>
              <w:rPr>
                <w:rFonts w:ascii="宋体" w:cs="宋体"/>
                <w:kern w:val="0"/>
                <w:sz w:val="24"/>
                <w:szCs w:val="24"/>
              </w:rPr>
            </w:pP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由采购人提供</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答题纸</w:t>
            </w:r>
          </w:p>
        </w:tc>
        <w:tc>
          <w:tcPr>
            <w:tcW w:w="3195" w:type="dxa"/>
            <w:vAlign w:val="center"/>
          </w:tcPr>
          <w:p>
            <w:pPr>
              <w:widowControl/>
              <w:jc w:val="center"/>
              <w:rPr>
                <w:rFonts w:ascii="宋体" w:cs="宋体"/>
                <w:kern w:val="0"/>
                <w:sz w:val="24"/>
                <w:szCs w:val="24"/>
              </w:rPr>
            </w:pPr>
            <w:r>
              <w:rPr>
                <w:rFonts w:ascii="宋体" w:hAnsi="宋体" w:cs="宋体"/>
                <w:kern w:val="0"/>
                <w:sz w:val="24"/>
                <w:szCs w:val="24"/>
              </w:rPr>
              <w:t>A4</w:t>
            </w:r>
            <w:r>
              <w:rPr>
                <w:rFonts w:hint="eastAsia" w:ascii="宋体" w:hAnsi="宋体" w:cs="宋体"/>
                <w:kern w:val="0"/>
                <w:sz w:val="24"/>
                <w:szCs w:val="24"/>
              </w:rPr>
              <w:t>纸</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笔</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中性笔</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实验桌</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1200mm</w:t>
            </w:r>
            <w:r>
              <w:rPr>
                <w:rFonts w:hint="eastAsia" w:ascii="宋体" w:hAnsi="宋体" w:cs="宋体"/>
                <w:kern w:val="0"/>
                <w:sz w:val="24"/>
                <w:szCs w:val="24"/>
              </w:rPr>
              <w:t>，宽</w:t>
            </w:r>
            <w:r>
              <w:rPr>
                <w:rFonts w:hint="eastAsia" w:ascii="宋体" w:hAnsi="宋体" w:cs="宋体"/>
                <w:sz w:val="24"/>
                <w:szCs w:val="24"/>
                <w:shd w:val="clear" w:color="auto" w:fill="FFFFFF"/>
              </w:rPr>
              <w:t>≥</w:t>
            </w:r>
            <w:r>
              <w:rPr>
                <w:rFonts w:ascii="宋体" w:hAnsi="宋体" w:cs="宋体"/>
                <w:kern w:val="0"/>
                <w:sz w:val="24"/>
                <w:szCs w:val="24"/>
              </w:rPr>
              <w:t>350mm</w:t>
            </w:r>
            <w:r>
              <w:rPr>
                <w:rFonts w:hint="eastAsia" w:ascii="宋体" w:hAnsi="宋体" w:cs="宋体"/>
                <w:kern w:val="0"/>
                <w:sz w:val="24"/>
                <w:szCs w:val="24"/>
              </w:rPr>
              <w:t>，高</w:t>
            </w:r>
            <w:r>
              <w:rPr>
                <w:rFonts w:hint="eastAsia" w:ascii="宋体" w:hAnsi="宋体" w:cs="宋体"/>
                <w:sz w:val="24"/>
                <w:szCs w:val="24"/>
                <w:shd w:val="clear" w:color="auto" w:fill="FFFFFF"/>
              </w:rPr>
              <w:t>≥</w:t>
            </w:r>
            <w:r>
              <w:rPr>
                <w:rFonts w:ascii="宋体" w:hAnsi="宋体" w:cs="宋体"/>
                <w:kern w:val="0"/>
                <w:sz w:val="24"/>
                <w:szCs w:val="24"/>
              </w:rPr>
              <w:t xml:space="preserve">1000mm </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w:t>
            </w:r>
          </w:p>
        </w:tc>
        <w:tc>
          <w:tcPr>
            <w:tcW w:w="814" w:type="dxa"/>
            <w:vMerge w:val="continue"/>
            <w:vAlign w:val="center"/>
          </w:tcPr>
          <w:p>
            <w:pPr>
              <w:widowControl/>
              <w:jc w:val="left"/>
              <w:rPr>
                <w:rFonts w:ascii="宋体" w:cs="宋体"/>
                <w:kern w:val="0"/>
                <w:sz w:val="24"/>
                <w:szCs w:val="24"/>
              </w:rPr>
            </w:pP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病害标本制作</w:t>
            </w: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植物标本夹全套</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带吸水纸瓦楞纸腊叶标本台纸标签，</w:t>
            </w:r>
            <w:r>
              <w:rPr>
                <w:rFonts w:hint="eastAsia" w:ascii="宋体" w:hAnsi="宋体" w:cs="宋体"/>
                <w:sz w:val="24"/>
                <w:szCs w:val="24"/>
                <w:shd w:val="clear" w:color="auto" w:fill="FFFFFF"/>
              </w:rPr>
              <w:t>≥</w:t>
            </w:r>
            <w:r>
              <w:rPr>
                <w:rFonts w:ascii="宋体" w:hAnsi="宋体" w:cs="宋体"/>
                <w:kern w:val="0"/>
                <w:sz w:val="24"/>
                <w:szCs w:val="24"/>
              </w:rPr>
              <w:t>40x30cm</w:t>
            </w:r>
            <w:r>
              <w:rPr>
                <w:rFonts w:hint="eastAsia" w:ascii="宋体" w:hAnsi="宋体" w:cs="宋体"/>
                <w:kern w:val="0"/>
                <w:sz w:val="24"/>
                <w:szCs w:val="24"/>
              </w:rPr>
              <w:t>，含绳</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高枝剪</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含高空剪</w:t>
            </w:r>
            <w:r>
              <w:rPr>
                <w:rFonts w:ascii="宋体" w:hAnsi="宋体" w:cs="宋体"/>
                <w:kern w:val="0"/>
                <w:sz w:val="24"/>
                <w:szCs w:val="24"/>
              </w:rPr>
              <w:t>1</w:t>
            </w:r>
            <w:r>
              <w:rPr>
                <w:rFonts w:hint="eastAsia" w:ascii="宋体" w:hAnsi="宋体" w:cs="宋体"/>
                <w:kern w:val="0"/>
                <w:sz w:val="24"/>
                <w:szCs w:val="24"/>
              </w:rPr>
              <w:t>个，</w:t>
            </w:r>
            <w:r>
              <w:rPr>
                <w:rFonts w:hint="eastAsia" w:ascii="宋体" w:hAnsi="宋体" w:cs="宋体"/>
                <w:sz w:val="24"/>
                <w:szCs w:val="24"/>
                <w:shd w:val="clear" w:color="auto" w:fill="FFFFFF"/>
              </w:rPr>
              <w:t>≥</w:t>
            </w:r>
            <w:r>
              <w:rPr>
                <w:rFonts w:ascii="宋体" w:hAnsi="宋体" w:cs="宋体"/>
                <w:kern w:val="0"/>
                <w:sz w:val="24"/>
                <w:szCs w:val="24"/>
              </w:rPr>
              <w:t>2</w:t>
            </w:r>
            <w:r>
              <w:rPr>
                <w:rFonts w:hint="eastAsia" w:ascii="宋体" w:hAnsi="宋体" w:cs="宋体"/>
                <w:kern w:val="0"/>
                <w:sz w:val="24"/>
                <w:szCs w:val="24"/>
              </w:rPr>
              <w:t>米不锈钢杆</w:t>
            </w:r>
            <w:r>
              <w:rPr>
                <w:rFonts w:ascii="宋体" w:hAnsi="宋体" w:cs="宋体"/>
                <w:kern w:val="0"/>
                <w:sz w:val="24"/>
                <w:szCs w:val="24"/>
              </w:rPr>
              <w:t>1</w:t>
            </w:r>
            <w:r>
              <w:rPr>
                <w:rFonts w:hint="eastAsia" w:ascii="宋体" w:hAnsi="宋体" w:cs="宋体"/>
                <w:kern w:val="0"/>
                <w:sz w:val="24"/>
                <w:szCs w:val="24"/>
              </w:rPr>
              <w:t>个</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模拟树</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杆高</w:t>
            </w:r>
            <w:r>
              <w:rPr>
                <w:rFonts w:hint="eastAsia" w:ascii="宋体" w:hAnsi="宋体" w:cs="宋体"/>
                <w:sz w:val="24"/>
                <w:szCs w:val="24"/>
                <w:shd w:val="clear" w:color="auto" w:fill="FFFFFF"/>
              </w:rPr>
              <w:t>≥</w:t>
            </w:r>
            <w:r>
              <w:rPr>
                <w:rFonts w:ascii="宋体" w:hAnsi="宋体" w:cs="宋体"/>
                <w:kern w:val="0"/>
                <w:sz w:val="24"/>
                <w:szCs w:val="24"/>
              </w:rPr>
              <w:t>3m</w:t>
            </w:r>
            <w:r>
              <w:rPr>
                <w:rFonts w:hint="eastAsia" w:ascii="宋体" w:hAnsi="宋体" w:cs="宋体"/>
                <w:kern w:val="0"/>
                <w:sz w:val="24"/>
                <w:szCs w:val="24"/>
              </w:rPr>
              <w:t>，基部直径</w:t>
            </w:r>
            <w:r>
              <w:rPr>
                <w:rFonts w:hint="eastAsia" w:ascii="宋体" w:hAnsi="宋体" w:cs="宋体"/>
                <w:sz w:val="24"/>
                <w:szCs w:val="24"/>
                <w:shd w:val="clear" w:color="auto" w:fill="FFFFFF"/>
              </w:rPr>
              <w:t>≥</w:t>
            </w:r>
            <w:r>
              <w:rPr>
                <w:rFonts w:ascii="宋体" w:hAnsi="宋体" w:cs="宋体"/>
                <w:kern w:val="0"/>
                <w:sz w:val="24"/>
                <w:szCs w:val="24"/>
              </w:rPr>
              <w:t>20cm</w:t>
            </w:r>
            <w:r>
              <w:rPr>
                <w:rFonts w:hint="eastAsia" w:ascii="宋体" w:hAnsi="宋体" w:cs="宋体"/>
                <w:kern w:val="0"/>
                <w:sz w:val="24"/>
                <w:szCs w:val="24"/>
              </w:rPr>
              <w:t>以上，在杆上设置一个横杆，横杆长</w:t>
            </w:r>
            <w:r>
              <w:rPr>
                <w:rFonts w:hint="eastAsia" w:ascii="宋体" w:hAnsi="宋体" w:cs="宋体"/>
                <w:sz w:val="24"/>
                <w:szCs w:val="24"/>
                <w:shd w:val="clear" w:color="auto" w:fill="FFFFFF"/>
              </w:rPr>
              <w:t>≥</w:t>
            </w:r>
            <w:r>
              <w:rPr>
                <w:rFonts w:ascii="宋体" w:hAnsi="宋体" w:cs="宋体"/>
                <w:kern w:val="0"/>
                <w:sz w:val="24"/>
                <w:szCs w:val="24"/>
              </w:rPr>
              <w:t>1.1m</w:t>
            </w:r>
            <w:r>
              <w:rPr>
                <w:rFonts w:hint="eastAsia" w:ascii="宋体" w:hAnsi="宋体" w:cs="宋体"/>
                <w:kern w:val="0"/>
                <w:sz w:val="24"/>
                <w:szCs w:val="24"/>
              </w:rPr>
              <w:t>，横杆中间插上树枝。下同。</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小矮桌</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800mm</w:t>
            </w:r>
            <w:r>
              <w:rPr>
                <w:rFonts w:hint="eastAsia" w:ascii="宋体" w:hAnsi="宋体" w:cs="宋体"/>
                <w:kern w:val="0"/>
                <w:sz w:val="24"/>
                <w:szCs w:val="24"/>
              </w:rPr>
              <w:t>，宽</w:t>
            </w:r>
            <w:r>
              <w:rPr>
                <w:rFonts w:hint="eastAsia" w:ascii="宋体" w:hAnsi="宋体" w:cs="宋体"/>
                <w:sz w:val="24"/>
                <w:szCs w:val="24"/>
                <w:shd w:val="clear" w:color="auto" w:fill="FFFFFF"/>
              </w:rPr>
              <w:t>≥</w:t>
            </w:r>
            <w:r>
              <w:rPr>
                <w:rFonts w:ascii="宋体" w:hAnsi="宋体" w:cs="宋体"/>
                <w:kern w:val="0"/>
                <w:sz w:val="24"/>
                <w:szCs w:val="24"/>
              </w:rPr>
              <w:t>400mm</w:t>
            </w:r>
            <w:r>
              <w:rPr>
                <w:rFonts w:hint="eastAsia" w:ascii="宋体" w:hAnsi="宋体" w:cs="宋体"/>
                <w:kern w:val="0"/>
                <w:sz w:val="24"/>
                <w:szCs w:val="24"/>
              </w:rPr>
              <w:t>，高</w:t>
            </w:r>
            <w:r>
              <w:rPr>
                <w:rFonts w:hint="eastAsia" w:ascii="宋体" w:hAnsi="宋体" w:cs="宋体"/>
                <w:sz w:val="24"/>
                <w:szCs w:val="24"/>
                <w:shd w:val="clear" w:color="auto" w:fill="FFFFFF"/>
              </w:rPr>
              <w:t>≥</w:t>
            </w:r>
            <w:r>
              <w:rPr>
                <w:rFonts w:ascii="宋体" w:hAnsi="宋体" w:cs="宋体"/>
                <w:kern w:val="0"/>
                <w:sz w:val="24"/>
                <w:szCs w:val="24"/>
              </w:rPr>
              <w:t>300mm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抹布</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25*25cm,</w:t>
            </w:r>
            <w:r>
              <w:rPr>
                <w:rFonts w:hint="eastAsia" w:ascii="宋体" w:hAnsi="宋体" w:cs="宋体"/>
                <w:kern w:val="0"/>
                <w:sz w:val="24"/>
                <w:szCs w:val="24"/>
              </w:rPr>
              <w:t>锁边</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10</w:t>
            </w:r>
          </w:p>
        </w:tc>
        <w:tc>
          <w:tcPr>
            <w:tcW w:w="814" w:type="dxa"/>
            <w:vMerge w:val="continue"/>
            <w:vAlign w:val="center"/>
          </w:tcPr>
          <w:p>
            <w:pPr>
              <w:widowControl/>
              <w:jc w:val="left"/>
              <w:rPr>
                <w:rFonts w:ascii="宋体" w:cs="宋体"/>
                <w:kern w:val="0"/>
                <w:sz w:val="24"/>
                <w:szCs w:val="24"/>
              </w:rPr>
            </w:pP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昆虫标本制作</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实验桌</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800mm</w:t>
            </w:r>
            <w:r>
              <w:rPr>
                <w:rFonts w:hint="eastAsia" w:ascii="宋体" w:hAnsi="宋体" w:cs="宋体"/>
                <w:kern w:val="0"/>
                <w:sz w:val="24"/>
                <w:szCs w:val="24"/>
              </w:rPr>
              <w:t>，宽</w:t>
            </w:r>
            <w:r>
              <w:rPr>
                <w:rFonts w:hint="eastAsia" w:ascii="宋体" w:hAnsi="宋体" w:cs="宋体"/>
                <w:sz w:val="24"/>
                <w:szCs w:val="24"/>
                <w:shd w:val="clear" w:color="auto" w:fill="FFFFFF"/>
              </w:rPr>
              <w:t>≥</w:t>
            </w:r>
            <w:r>
              <w:rPr>
                <w:rFonts w:ascii="宋体" w:hAnsi="宋体" w:cs="宋体"/>
                <w:kern w:val="0"/>
                <w:sz w:val="24"/>
                <w:szCs w:val="24"/>
              </w:rPr>
              <w:t>400mm</w:t>
            </w:r>
            <w:r>
              <w:rPr>
                <w:rFonts w:hint="eastAsia" w:ascii="宋体" w:hAnsi="宋体" w:cs="宋体"/>
                <w:kern w:val="0"/>
                <w:sz w:val="24"/>
                <w:szCs w:val="24"/>
              </w:rPr>
              <w:t>，高</w:t>
            </w:r>
            <w:r>
              <w:rPr>
                <w:rFonts w:hint="eastAsia" w:ascii="宋体" w:hAnsi="宋体" w:cs="宋体"/>
                <w:sz w:val="24"/>
                <w:szCs w:val="24"/>
                <w:shd w:val="clear" w:color="auto" w:fill="FFFFFF"/>
              </w:rPr>
              <w:t>≥</w:t>
            </w:r>
            <w:r>
              <w:rPr>
                <w:rFonts w:ascii="宋体" w:hAnsi="宋体" w:cs="宋体"/>
                <w:kern w:val="0"/>
                <w:sz w:val="24"/>
                <w:szCs w:val="24"/>
              </w:rPr>
              <w:t>800mm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凳子</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高</w:t>
            </w:r>
            <w:r>
              <w:rPr>
                <w:rFonts w:hint="eastAsia" w:ascii="宋体" w:hAnsi="宋体" w:cs="宋体"/>
                <w:sz w:val="24"/>
                <w:szCs w:val="24"/>
                <w:shd w:val="clear" w:color="auto" w:fill="FFFFFF"/>
              </w:rPr>
              <w:t>≥</w:t>
            </w:r>
            <w:r>
              <w:rPr>
                <w:rFonts w:ascii="宋体" w:hAnsi="宋体" w:cs="宋体"/>
                <w:kern w:val="0"/>
                <w:sz w:val="24"/>
                <w:szCs w:val="24"/>
              </w:rPr>
              <w:t>450mm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cs="宋体"/>
                <w:kern w:val="0"/>
                <w:sz w:val="24"/>
                <w:szCs w:val="24"/>
              </w:rPr>
              <w:t>1</w:t>
            </w:r>
            <w:r>
              <w:rPr>
                <w:rFonts w:hint="eastAsia" w:asci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三级台</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70mm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展姿板</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20*12cm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昆虫标本</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蝴蝶、松褐天牛成虫</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hint="eastAsia" w:ascii="宋体" w:hAnsi="宋体" w:cs="宋体"/>
                <w:kern w:val="0"/>
                <w:sz w:val="24"/>
                <w:szCs w:val="24"/>
              </w:rPr>
              <w:t>各</w:t>
            </w:r>
            <w:r>
              <w:rPr>
                <w:rFonts w:ascii="宋体" w:hAnsi="宋体" w:cs="宋体"/>
                <w:kern w:val="0"/>
                <w:sz w:val="24"/>
                <w:szCs w:val="24"/>
              </w:rPr>
              <w:t>1</w:t>
            </w:r>
            <w:r>
              <w:rPr>
                <w:rFonts w:hint="eastAsia" w:ascii="宋体" w:hAnsi="宋体" w:cs="宋体"/>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昆虫针</w:t>
            </w:r>
          </w:p>
        </w:tc>
        <w:tc>
          <w:tcPr>
            <w:tcW w:w="3195" w:type="dxa"/>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号、</w:t>
            </w:r>
            <w:r>
              <w:rPr>
                <w:rFonts w:ascii="宋体" w:hAnsi="宋体" w:cs="宋体"/>
                <w:color w:val="auto"/>
                <w:kern w:val="0"/>
                <w:sz w:val="24"/>
                <w:szCs w:val="24"/>
              </w:rPr>
              <w:t>4</w:t>
            </w:r>
            <w:r>
              <w:rPr>
                <w:rFonts w:hint="eastAsia" w:ascii="宋体" w:hAnsi="宋体" w:cs="宋体"/>
                <w:color w:val="auto"/>
                <w:kern w:val="0"/>
                <w:sz w:val="24"/>
                <w:szCs w:val="24"/>
              </w:rPr>
              <w:t>号、</w:t>
            </w:r>
            <w:r>
              <w:rPr>
                <w:rFonts w:ascii="宋体" w:hAnsi="宋体" w:cs="宋体"/>
                <w:color w:val="auto"/>
                <w:kern w:val="0"/>
                <w:sz w:val="24"/>
                <w:szCs w:val="24"/>
              </w:rPr>
              <w:t>5</w:t>
            </w:r>
            <w:r>
              <w:rPr>
                <w:rFonts w:hint="eastAsia" w:ascii="宋体" w:hAnsi="宋体" w:cs="宋体"/>
                <w:color w:val="auto"/>
                <w:kern w:val="0"/>
                <w:sz w:val="24"/>
                <w:szCs w:val="24"/>
              </w:rPr>
              <w:t>号</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hint="eastAsia" w:ascii="宋体" w:hAnsi="宋体" w:cs="宋体"/>
                <w:kern w:val="0"/>
                <w:sz w:val="24"/>
                <w:szCs w:val="24"/>
              </w:rPr>
              <w:t>各</w:t>
            </w:r>
            <w:r>
              <w:rPr>
                <w:rFonts w:ascii="宋体" w:hAnsi="宋体" w:cs="宋体"/>
                <w:kern w:val="0"/>
                <w:sz w:val="24"/>
                <w:szCs w:val="24"/>
              </w:rPr>
              <w:t>1</w:t>
            </w:r>
            <w:r>
              <w:rPr>
                <w:rFonts w:hint="eastAsia" w:ascii="宋体" w:hAnsi="宋体" w:cs="宋体"/>
                <w:kern w:val="0"/>
                <w:sz w:val="24"/>
                <w:szCs w:val="24"/>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展翅板</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sz w:val="24"/>
                <w:szCs w:val="24"/>
                <w:shd w:val="clear" w:color="auto" w:fill="FFFFFF"/>
              </w:rPr>
              <w:t>≥</w:t>
            </w:r>
            <w:r>
              <w:rPr>
                <w:rFonts w:ascii="宋体" w:hAnsi="宋体" w:cs="宋体"/>
                <w:color w:val="auto"/>
                <w:kern w:val="0"/>
                <w:sz w:val="24"/>
                <w:szCs w:val="24"/>
              </w:rPr>
              <w:t>30*17cm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昆虫展翅镊</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阔头</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硫酸纸</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sz w:val="24"/>
                <w:szCs w:val="24"/>
                <w:shd w:val="clear" w:color="auto" w:fill="FFFFFF"/>
              </w:rPr>
              <w:t>≥</w:t>
            </w:r>
            <w:r>
              <w:rPr>
                <w:rFonts w:ascii="宋体" w:hAnsi="宋体" w:cs="宋体"/>
                <w:color w:val="auto"/>
                <w:kern w:val="0"/>
                <w:sz w:val="24"/>
                <w:szCs w:val="24"/>
              </w:rPr>
              <w:t>148*210mm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19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大头针</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长度</w:t>
            </w:r>
            <w:r>
              <w:rPr>
                <w:rFonts w:hint="eastAsia" w:ascii="宋体" w:hAnsi="宋体" w:cs="宋体"/>
                <w:color w:val="auto"/>
                <w:sz w:val="24"/>
                <w:szCs w:val="24"/>
                <w:shd w:val="clear" w:color="auto" w:fill="FFFFFF"/>
              </w:rPr>
              <w:t>≥</w:t>
            </w:r>
            <w:r>
              <w:rPr>
                <w:rFonts w:ascii="宋体" w:hAnsi="宋体" w:cs="宋体"/>
                <w:color w:val="auto"/>
                <w:kern w:val="0"/>
                <w:sz w:val="24"/>
                <w:szCs w:val="24"/>
              </w:rPr>
              <w:t>24mm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一次性手套</w:t>
            </w:r>
          </w:p>
        </w:tc>
        <w:tc>
          <w:tcPr>
            <w:tcW w:w="3195" w:type="dxa"/>
            <w:vAlign w:val="center"/>
          </w:tcPr>
          <w:p>
            <w:pPr>
              <w:widowControl/>
              <w:jc w:val="center"/>
              <w:rPr>
                <w:rFonts w:ascii="宋体" w:cs="宋体"/>
                <w:color w:val="auto"/>
                <w:kern w:val="0"/>
                <w:sz w:val="24"/>
                <w:szCs w:val="24"/>
              </w:rPr>
            </w:pP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21</w:t>
            </w:r>
          </w:p>
        </w:tc>
        <w:tc>
          <w:tcPr>
            <w:tcW w:w="814"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林业有害生物无人机监测项目</w:t>
            </w: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林业有害生物无人机监测项目</w:t>
            </w:r>
          </w:p>
        </w:tc>
        <w:tc>
          <w:tcPr>
            <w:tcW w:w="1119"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无人机</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大疆精灵</w:t>
            </w:r>
            <w:r>
              <w:rPr>
                <w:rFonts w:ascii="宋体" w:hAnsi="宋体" w:cs="宋体"/>
                <w:color w:val="auto"/>
                <w:kern w:val="0"/>
                <w:sz w:val="24"/>
                <w:szCs w:val="24"/>
              </w:rPr>
              <w:t>4RTK</w:t>
            </w:r>
          </w:p>
        </w:tc>
        <w:tc>
          <w:tcPr>
            <w:tcW w:w="1095" w:type="dxa"/>
            <w:vAlign w:val="center"/>
          </w:tcPr>
          <w:p>
            <w:pPr>
              <w:widowControl/>
              <w:jc w:val="center"/>
              <w:rPr>
                <w:rFonts w:ascii="宋体" w:cs="宋体"/>
                <w:color w:val="FF0000"/>
                <w:kern w:val="0"/>
                <w:sz w:val="24"/>
                <w:szCs w:val="24"/>
              </w:rPr>
            </w:pPr>
            <w:r>
              <w:rPr>
                <w:rFonts w:hint="eastAsia" w:ascii="宋体" w:hAnsi="宋体" w:cs="宋体"/>
                <w:kern w:val="0"/>
                <w:sz w:val="24"/>
                <w:szCs w:val="24"/>
              </w:rPr>
              <w:t>由采购人提供</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停车锥桶</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橡胶，高≥</w:t>
            </w:r>
            <w:r>
              <w:rPr>
                <w:rFonts w:ascii="宋体" w:hAnsi="宋体" w:cs="宋体"/>
                <w:color w:val="auto"/>
                <w:kern w:val="0"/>
                <w:sz w:val="24"/>
                <w:szCs w:val="24"/>
              </w:rPr>
              <w:t>50cm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停机坪</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长≥</w:t>
            </w:r>
            <w:r>
              <w:rPr>
                <w:rFonts w:ascii="宋体" w:hAnsi="宋体" w:cs="宋体"/>
                <w:color w:val="auto"/>
                <w:kern w:val="0"/>
                <w:sz w:val="24"/>
                <w:szCs w:val="24"/>
              </w:rPr>
              <w:t>6</w:t>
            </w:r>
            <w:r>
              <w:rPr>
                <w:rFonts w:hint="eastAsia" w:ascii="宋体" w:hAnsi="宋体" w:cs="宋体"/>
                <w:color w:val="auto"/>
                <w:kern w:val="0"/>
                <w:sz w:val="24"/>
                <w:szCs w:val="24"/>
              </w:rPr>
              <w:t>米，宽≥</w:t>
            </w:r>
            <w:r>
              <w:rPr>
                <w:rFonts w:ascii="宋体" w:hAnsi="宋体" w:cs="宋体"/>
                <w:color w:val="auto"/>
                <w:kern w:val="0"/>
                <w:sz w:val="24"/>
                <w:szCs w:val="24"/>
              </w:rPr>
              <w:t>2</w:t>
            </w:r>
            <w:r>
              <w:rPr>
                <w:rFonts w:hint="eastAsia" w:ascii="宋体" w:hAnsi="宋体" w:cs="宋体"/>
                <w:color w:val="auto"/>
                <w:kern w:val="0"/>
                <w:sz w:val="24"/>
                <w:szCs w:val="24"/>
              </w:rPr>
              <w:t>米</w:t>
            </w:r>
          </w:p>
        </w:tc>
        <w:tc>
          <w:tcPr>
            <w:tcW w:w="1095" w:type="dxa"/>
            <w:vAlign w:val="center"/>
          </w:tcPr>
          <w:p>
            <w:pPr>
              <w:widowControl/>
              <w:jc w:val="center"/>
              <w:rPr>
                <w:rFonts w:ascii="宋体" w:cs="宋体"/>
                <w:kern w:val="0"/>
                <w:sz w:val="24"/>
                <w:szCs w:val="24"/>
              </w:rPr>
            </w:pP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24</w:t>
            </w:r>
          </w:p>
        </w:tc>
        <w:tc>
          <w:tcPr>
            <w:tcW w:w="814"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林业有害生物防治项目</w:t>
            </w: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美国白蛾诱捕器安装</w:t>
            </w:r>
          </w:p>
        </w:tc>
        <w:tc>
          <w:tcPr>
            <w:tcW w:w="1119"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实验桌</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长</w:t>
            </w:r>
            <w:r>
              <w:rPr>
                <w:rFonts w:hint="eastAsia" w:ascii="宋体" w:hAnsi="宋体" w:cs="宋体"/>
                <w:color w:val="auto"/>
                <w:sz w:val="24"/>
                <w:szCs w:val="24"/>
                <w:shd w:val="clear" w:color="auto" w:fill="FFFFFF"/>
              </w:rPr>
              <w:t>≥</w:t>
            </w:r>
            <w:r>
              <w:rPr>
                <w:rFonts w:ascii="宋体" w:hAnsi="宋体" w:cs="宋体"/>
                <w:color w:val="auto"/>
                <w:kern w:val="0"/>
                <w:sz w:val="24"/>
                <w:szCs w:val="24"/>
              </w:rPr>
              <w:t>1200mm</w:t>
            </w:r>
            <w:r>
              <w:rPr>
                <w:rFonts w:hint="eastAsia" w:ascii="宋体" w:hAnsi="宋体" w:cs="宋体"/>
                <w:color w:val="auto"/>
                <w:kern w:val="0"/>
                <w:sz w:val="24"/>
                <w:szCs w:val="24"/>
              </w:rPr>
              <w:t>，宽</w:t>
            </w:r>
            <w:r>
              <w:rPr>
                <w:rFonts w:hint="eastAsia" w:ascii="宋体" w:hAnsi="宋体" w:cs="宋体"/>
                <w:color w:val="auto"/>
                <w:sz w:val="24"/>
                <w:szCs w:val="24"/>
                <w:shd w:val="clear" w:color="auto" w:fill="FFFFFF"/>
              </w:rPr>
              <w:t>≥</w:t>
            </w:r>
            <w:r>
              <w:rPr>
                <w:rFonts w:ascii="宋体" w:hAnsi="宋体" w:cs="宋体"/>
                <w:color w:val="auto"/>
                <w:kern w:val="0"/>
                <w:sz w:val="24"/>
                <w:szCs w:val="24"/>
              </w:rPr>
              <w:t>350mm</w:t>
            </w:r>
            <w:r>
              <w:rPr>
                <w:rFonts w:hint="eastAsia" w:ascii="宋体" w:hAnsi="宋体" w:cs="宋体"/>
                <w:color w:val="auto"/>
                <w:kern w:val="0"/>
                <w:sz w:val="24"/>
                <w:szCs w:val="24"/>
              </w:rPr>
              <w:t>，高</w:t>
            </w:r>
            <w:r>
              <w:rPr>
                <w:rFonts w:hint="eastAsia" w:ascii="宋体" w:hAnsi="宋体" w:cs="宋体"/>
                <w:color w:val="auto"/>
                <w:sz w:val="24"/>
                <w:szCs w:val="24"/>
                <w:shd w:val="clear" w:color="auto" w:fill="FFFFFF"/>
              </w:rPr>
              <w:t>≥</w:t>
            </w:r>
            <w:r>
              <w:rPr>
                <w:rFonts w:ascii="宋体" w:hAnsi="宋体" w:cs="宋体"/>
                <w:color w:val="auto"/>
                <w:kern w:val="0"/>
                <w:sz w:val="24"/>
                <w:szCs w:val="24"/>
              </w:rPr>
              <w:t xml:space="preserve">1000mm </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color w:val="auto"/>
                <w:kern w:val="0"/>
                <w:sz w:val="24"/>
                <w:szCs w:val="24"/>
              </w:rPr>
            </w:pPr>
            <w:r>
              <w:rPr>
                <w:rFonts w:ascii="宋体" w:hAnsi="宋体" w:cs="宋体"/>
                <w:color w:val="auto"/>
                <w:sz w:val="24"/>
                <w:szCs w:val="24"/>
              </w:rPr>
              <w:t>*</w:t>
            </w:r>
            <w:r>
              <w:rPr>
                <w:rFonts w:hint="eastAsia" w:ascii="宋体" w:hAnsi="宋体" w:cs="宋体"/>
                <w:color w:val="auto"/>
                <w:kern w:val="0"/>
                <w:sz w:val="24"/>
                <w:szCs w:val="24"/>
              </w:rPr>
              <w:t>诱捕器</w:t>
            </w:r>
          </w:p>
        </w:tc>
        <w:tc>
          <w:tcPr>
            <w:tcW w:w="3195" w:type="dxa"/>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含</w:t>
            </w:r>
            <w:r>
              <w:rPr>
                <w:rFonts w:ascii="宋体" w:hAnsi="宋体" w:cs="宋体"/>
                <w:color w:val="auto"/>
                <w:kern w:val="0"/>
                <w:sz w:val="24"/>
                <w:szCs w:val="24"/>
              </w:rPr>
              <w:t>T</w:t>
            </w:r>
            <w:r>
              <w:rPr>
                <w:rFonts w:hint="eastAsia" w:ascii="宋体" w:hAnsi="宋体" w:cs="宋体"/>
                <w:color w:val="auto"/>
                <w:kern w:val="0"/>
                <w:sz w:val="24"/>
                <w:szCs w:val="24"/>
              </w:rPr>
              <w:t>型台、遮雨盖、火锅式连接件、集虫桶各</w:t>
            </w:r>
            <w:r>
              <w:rPr>
                <w:rFonts w:ascii="宋体" w:hAnsi="宋体" w:cs="宋体"/>
                <w:color w:val="auto"/>
                <w:kern w:val="0"/>
                <w:sz w:val="24"/>
                <w:szCs w:val="24"/>
              </w:rPr>
              <w:t>1</w:t>
            </w:r>
            <w:r>
              <w:rPr>
                <w:rFonts w:hint="eastAsia" w:ascii="宋体" w:hAnsi="宋体" w:cs="宋体"/>
                <w:color w:val="auto"/>
                <w:kern w:val="0"/>
                <w:sz w:val="24"/>
                <w:szCs w:val="24"/>
              </w:rPr>
              <w:t>个</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诱芯</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含双面胶</w:t>
            </w:r>
            <w:r>
              <w:rPr>
                <w:rFonts w:ascii="宋体" w:hAnsi="宋体" w:cs="宋体"/>
                <w:kern w:val="0"/>
                <w:sz w:val="24"/>
                <w:szCs w:val="24"/>
              </w:rPr>
              <w:t>1</w:t>
            </w:r>
            <w:r>
              <w:rPr>
                <w:rFonts w:hint="eastAsia" w:ascii="宋体" w:hAnsi="宋体" w:cs="宋体"/>
                <w:kern w:val="0"/>
                <w:sz w:val="24"/>
                <w:szCs w:val="24"/>
              </w:rPr>
              <w:t>个、诱芯</w:t>
            </w:r>
            <w:r>
              <w:rPr>
                <w:rFonts w:ascii="宋体" w:hAnsi="宋体" w:cs="宋体"/>
                <w:kern w:val="0"/>
                <w:sz w:val="24"/>
                <w:szCs w:val="24"/>
              </w:rPr>
              <w:t>1</w:t>
            </w:r>
            <w:r>
              <w:rPr>
                <w:rFonts w:hint="eastAsia" w:ascii="宋体" w:hAnsi="宋体" w:cs="宋体"/>
                <w:kern w:val="0"/>
                <w:sz w:val="24"/>
                <w:szCs w:val="24"/>
              </w:rPr>
              <w:t>个</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铁丝</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30cm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垃圾桶</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5L</w:t>
            </w:r>
            <w:r>
              <w:rPr>
                <w:rFonts w:hint="eastAsia" w:ascii="宋体" w:hAnsi="宋体" w:cs="宋体"/>
                <w:kern w:val="0"/>
                <w:sz w:val="24"/>
                <w:szCs w:val="24"/>
              </w:rPr>
              <w:t>无盖</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29</w:t>
            </w:r>
          </w:p>
        </w:tc>
        <w:tc>
          <w:tcPr>
            <w:tcW w:w="814" w:type="dxa"/>
            <w:vMerge w:val="continue"/>
            <w:vAlign w:val="center"/>
          </w:tcPr>
          <w:p>
            <w:pPr>
              <w:widowControl/>
              <w:jc w:val="left"/>
              <w:rPr>
                <w:rFonts w:ascii="宋体" w:cs="宋体"/>
                <w:kern w:val="0"/>
                <w:sz w:val="24"/>
                <w:szCs w:val="24"/>
              </w:rPr>
            </w:pP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打孔注药</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模拟树</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同上</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打孔注药机</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背负式，螺尾钻头直径</w:t>
            </w:r>
            <w:r>
              <w:rPr>
                <w:rFonts w:hint="eastAsia" w:ascii="宋体" w:hAnsi="宋体" w:cs="宋体"/>
                <w:sz w:val="24"/>
                <w:szCs w:val="24"/>
                <w:shd w:val="clear" w:color="auto" w:fill="FFFFFF"/>
              </w:rPr>
              <w:t>≥</w:t>
            </w:r>
            <w:r>
              <w:rPr>
                <w:rFonts w:ascii="宋体" w:hAnsi="宋体" w:cs="宋体"/>
                <w:kern w:val="0"/>
                <w:sz w:val="24"/>
                <w:szCs w:val="24"/>
              </w:rPr>
              <w:t>6mm</w:t>
            </w:r>
            <w:r>
              <w:rPr>
                <w:rFonts w:hint="eastAsia" w:ascii="宋体" w:hAnsi="宋体" w:cs="宋体"/>
                <w:kern w:val="0"/>
                <w:sz w:val="24"/>
                <w:szCs w:val="24"/>
              </w:rPr>
              <w:t>，钻孔深度≥</w:t>
            </w:r>
            <w:r>
              <w:rPr>
                <w:rFonts w:ascii="宋体" w:hAnsi="宋体" w:cs="宋体"/>
                <w:kern w:val="0"/>
                <w:sz w:val="24"/>
                <w:szCs w:val="24"/>
              </w:rPr>
              <w:t>10cm</w:t>
            </w:r>
            <w:r>
              <w:rPr>
                <w:rFonts w:hint="eastAsia" w:ascii="宋体" w:hAnsi="宋体" w:cs="宋体"/>
                <w:kern w:val="0"/>
                <w:sz w:val="24"/>
                <w:szCs w:val="24"/>
              </w:rPr>
              <w:t>，功率</w:t>
            </w:r>
            <w:r>
              <w:rPr>
                <w:rFonts w:hint="eastAsia" w:ascii="宋体" w:hAnsi="宋体" w:cs="宋体"/>
                <w:sz w:val="24"/>
                <w:szCs w:val="24"/>
                <w:shd w:val="clear" w:color="auto" w:fill="FFFFFF"/>
              </w:rPr>
              <w:t>≥</w:t>
            </w:r>
            <w:r>
              <w:rPr>
                <w:rFonts w:ascii="宋体" w:hAnsi="宋体" w:cs="宋体"/>
                <w:kern w:val="0"/>
                <w:sz w:val="24"/>
                <w:szCs w:val="24"/>
              </w:rPr>
              <w:t>0.81/6000kw/r/min</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注药瓶（空瓶子）</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塑料</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靶环</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需制作</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汽油</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用于打孔注药机</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hint="eastAsia" w:ascii="宋体" w:hAnsi="宋体" w:cs="宋体"/>
                <w:kern w:val="0"/>
                <w:sz w:val="24"/>
                <w:szCs w:val="24"/>
              </w:rPr>
              <w:t>满足竞赛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34</w:t>
            </w:r>
          </w:p>
        </w:tc>
        <w:tc>
          <w:tcPr>
            <w:tcW w:w="814" w:type="dxa"/>
            <w:vMerge w:val="continue"/>
            <w:vAlign w:val="center"/>
          </w:tcPr>
          <w:p>
            <w:pPr>
              <w:widowControl/>
              <w:jc w:val="left"/>
              <w:rPr>
                <w:rFonts w:ascii="宋体" w:cs="宋体"/>
                <w:kern w:val="0"/>
                <w:sz w:val="24"/>
                <w:szCs w:val="24"/>
              </w:rPr>
            </w:pP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喷雾施药</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实验桌</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hint="eastAsia" w:ascii="宋体" w:hAnsi="宋体" w:cs="宋体"/>
                <w:sz w:val="24"/>
                <w:szCs w:val="24"/>
                <w:shd w:val="clear" w:color="auto" w:fill="FFFFFF"/>
              </w:rPr>
              <w:t>≥</w:t>
            </w:r>
            <w:r>
              <w:rPr>
                <w:rFonts w:ascii="宋体" w:hAnsi="宋体" w:cs="宋体"/>
                <w:kern w:val="0"/>
                <w:sz w:val="24"/>
                <w:szCs w:val="24"/>
              </w:rPr>
              <w:t>800mm</w:t>
            </w:r>
            <w:r>
              <w:rPr>
                <w:rFonts w:hint="eastAsia" w:ascii="宋体" w:hAnsi="宋体" w:cs="宋体"/>
                <w:kern w:val="0"/>
                <w:sz w:val="24"/>
                <w:szCs w:val="24"/>
              </w:rPr>
              <w:t>，宽</w:t>
            </w:r>
            <w:r>
              <w:rPr>
                <w:rFonts w:hint="eastAsia" w:ascii="宋体" w:hAnsi="宋体" w:cs="宋体"/>
                <w:sz w:val="24"/>
                <w:szCs w:val="24"/>
                <w:shd w:val="clear" w:color="auto" w:fill="FFFFFF"/>
              </w:rPr>
              <w:t>≥</w:t>
            </w:r>
            <w:r>
              <w:rPr>
                <w:rFonts w:ascii="宋体" w:hAnsi="宋体" w:cs="宋体"/>
                <w:kern w:val="0"/>
                <w:sz w:val="24"/>
                <w:szCs w:val="24"/>
              </w:rPr>
              <w:t>400mm</w:t>
            </w:r>
            <w:r>
              <w:rPr>
                <w:rFonts w:hint="eastAsia" w:ascii="宋体" w:hAnsi="宋体" w:cs="宋体"/>
                <w:kern w:val="0"/>
                <w:sz w:val="24"/>
                <w:szCs w:val="24"/>
              </w:rPr>
              <w:t>，高</w:t>
            </w:r>
            <w:r>
              <w:rPr>
                <w:rFonts w:hint="eastAsia" w:ascii="宋体" w:hAnsi="宋体" w:cs="宋体"/>
                <w:sz w:val="24"/>
                <w:szCs w:val="24"/>
                <w:shd w:val="clear" w:color="auto" w:fill="FFFFFF"/>
              </w:rPr>
              <w:t>≥</w:t>
            </w:r>
            <w:r>
              <w:rPr>
                <w:rFonts w:ascii="宋体" w:hAnsi="宋体" w:cs="宋体"/>
                <w:kern w:val="0"/>
                <w:sz w:val="24"/>
                <w:szCs w:val="24"/>
              </w:rPr>
              <w:t>800mm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量杯</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 xml:space="preserve">500ml </w:t>
            </w:r>
            <w:r>
              <w:rPr>
                <w:rFonts w:hint="eastAsia" w:ascii="宋体" w:hAnsi="宋体" w:cs="宋体"/>
                <w:kern w:val="0"/>
                <w:sz w:val="24"/>
                <w:szCs w:val="24"/>
              </w:rPr>
              <w:t>塑料材质</w:t>
            </w:r>
            <w:r>
              <w:rPr>
                <w:rFonts w:ascii="宋体" w:hAnsi="宋体" w:cs="宋体"/>
                <w:kern w:val="0"/>
                <w:sz w:val="24"/>
                <w:szCs w:val="24"/>
              </w:rPr>
              <w:t>1</w:t>
            </w:r>
            <w:r>
              <w:rPr>
                <w:rFonts w:hint="eastAsia" w:ascii="宋体" w:hAnsi="宋体" w:cs="宋体"/>
                <w:kern w:val="0"/>
                <w:sz w:val="24"/>
                <w:szCs w:val="24"/>
              </w:rPr>
              <w:t>个，玻璃材质</w:t>
            </w:r>
            <w:r>
              <w:rPr>
                <w:rFonts w:ascii="宋体" w:hAnsi="宋体" w:cs="宋体"/>
                <w:kern w:val="0"/>
                <w:sz w:val="24"/>
                <w:szCs w:val="24"/>
              </w:rPr>
              <w:t>2</w:t>
            </w:r>
            <w:r>
              <w:rPr>
                <w:rFonts w:hint="eastAsia" w:ascii="宋体" w:hAnsi="宋体" w:cs="宋体"/>
                <w:kern w:val="0"/>
                <w:sz w:val="24"/>
                <w:szCs w:val="24"/>
              </w:rPr>
              <w:t>个</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量杯</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 xml:space="preserve">1000ml  </w:t>
            </w:r>
            <w:r>
              <w:rPr>
                <w:rFonts w:hint="eastAsia" w:ascii="宋体" w:hAnsi="宋体" w:cs="宋体"/>
                <w:kern w:val="0"/>
                <w:sz w:val="24"/>
                <w:szCs w:val="24"/>
              </w:rPr>
              <w:t>塑料材质</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塑料桶</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4L</w:t>
            </w:r>
            <w:r>
              <w:rPr>
                <w:rFonts w:hint="eastAsia" w:ascii="宋体" w:hAnsi="宋体" w:cs="宋体"/>
                <w:kern w:val="0"/>
                <w:sz w:val="24"/>
                <w:szCs w:val="24"/>
              </w:rPr>
              <w:t>无盖</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药剂</w:t>
            </w:r>
            <w:r>
              <w:rPr>
                <w:rFonts w:ascii="宋体" w:hAnsi="宋体" w:cs="宋体"/>
                <w:kern w:val="0"/>
                <w:sz w:val="24"/>
                <w:szCs w:val="24"/>
              </w:rPr>
              <w:t>A</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用食盐代替≥</w:t>
            </w:r>
            <w:r>
              <w:rPr>
                <w:rFonts w:ascii="宋体" w:hAnsi="宋体" w:cs="宋体"/>
                <w:kern w:val="0"/>
                <w:sz w:val="24"/>
                <w:szCs w:val="24"/>
              </w:rPr>
              <w:t>400g</w:t>
            </w:r>
            <w:r>
              <w:rPr>
                <w:rFonts w:hint="eastAsia" w:ascii="宋体" w:hAnsi="宋体" w:cs="宋体"/>
                <w:kern w:val="0"/>
                <w:sz w:val="24"/>
                <w:szCs w:val="24"/>
              </w:rPr>
              <w:t>，瓶装</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39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药剂</w:t>
            </w:r>
            <w:r>
              <w:rPr>
                <w:rFonts w:ascii="宋体" w:hAnsi="宋体" w:cs="宋体"/>
                <w:kern w:val="0"/>
                <w:sz w:val="24"/>
                <w:szCs w:val="24"/>
              </w:rPr>
              <w:t>B</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无水硫酸铜≥</w:t>
            </w:r>
            <w:r>
              <w:rPr>
                <w:rFonts w:ascii="宋体" w:hAnsi="宋体" w:cs="宋体"/>
                <w:kern w:val="0"/>
                <w:sz w:val="24"/>
                <w:szCs w:val="24"/>
              </w:rPr>
              <w:t>500g</w:t>
            </w:r>
            <w:r>
              <w:rPr>
                <w:rFonts w:hint="eastAsia" w:ascii="宋体" w:hAnsi="宋体" w:cs="宋体"/>
                <w:kern w:val="0"/>
                <w:sz w:val="24"/>
                <w:szCs w:val="24"/>
              </w:rPr>
              <w:t>，瓶装，晶体</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电子天平</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充电插电两用，方盘</w:t>
            </w:r>
            <w:r>
              <w:rPr>
                <w:rFonts w:hint="eastAsia" w:ascii="宋体" w:hAnsi="宋体" w:cs="宋体"/>
                <w:sz w:val="24"/>
                <w:szCs w:val="24"/>
                <w:shd w:val="clear" w:color="auto" w:fill="FFFFFF"/>
              </w:rPr>
              <w:t>≥</w:t>
            </w:r>
            <w:r>
              <w:rPr>
                <w:rFonts w:ascii="宋体" w:hAnsi="宋体" w:cs="宋体"/>
                <w:kern w:val="0"/>
                <w:sz w:val="24"/>
                <w:szCs w:val="24"/>
              </w:rPr>
              <w:t>300g</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玻璃棒</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25cm</w:t>
            </w:r>
            <w:r>
              <w:rPr>
                <w:rFonts w:hint="eastAsia" w:ascii="宋体" w:hAnsi="宋体" w:cs="宋体"/>
                <w:kern w:val="0"/>
                <w:sz w:val="24"/>
                <w:szCs w:val="24"/>
              </w:rPr>
              <w:t>玻璃棒</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角匙</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16cm</w:t>
            </w:r>
            <w:r>
              <w:rPr>
                <w:rFonts w:hint="eastAsia" w:ascii="宋体" w:hAnsi="宋体" w:cs="宋体"/>
                <w:kern w:val="0"/>
                <w:sz w:val="24"/>
                <w:szCs w:val="24"/>
              </w:rPr>
              <w:t>单头药勺</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滤纸</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定性滤纸直径</w:t>
            </w:r>
            <w:r>
              <w:rPr>
                <w:rFonts w:hint="eastAsia" w:ascii="宋体" w:hAnsi="宋体" w:cs="宋体"/>
                <w:sz w:val="24"/>
                <w:szCs w:val="24"/>
                <w:shd w:val="clear" w:color="auto" w:fill="FFFFFF"/>
              </w:rPr>
              <w:t>≥</w:t>
            </w:r>
            <w:r>
              <w:rPr>
                <w:rFonts w:ascii="宋体" w:hAnsi="宋体" w:cs="宋体"/>
                <w:kern w:val="0"/>
                <w:sz w:val="24"/>
                <w:szCs w:val="24"/>
              </w:rPr>
              <w:t>15cm</w:t>
            </w:r>
            <w:r>
              <w:rPr>
                <w:rFonts w:hint="eastAsia" w:ascii="宋体" w:hAnsi="宋体" w:cs="宋体"/>
                <w:kern w:val="0"/>
                <w:sz w:val="24"/>
                <w:szCs w:val="24"/>
              </w:rPr>
              <w:t>慢速</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培养皿</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塑料，</w:t>
            </w:r>
            <w:r>
              <w:rPr>
                <w:rFonts w:hint="eastAsia" w:ascii="宋体" w:hAnsi="宋体" w:cs="宋体"/>
                <w:sz w:val="24"/>
                <w:szCs w:val="24"/>
                <w:shd w:val="clear" w:color="auto" w:fill="FFFFFF"/>
              </w:rPr>
              <w:t>≥</w:t>
            </w:r>
            <w:r>
              <w:rPr>
                <w:rFonts w:ascii="宋体" w:hAnsi="宋体" w:cs="宋体"/>
                <w:kern w:val="0"/>
                <w:sz w:val="24"/>
                <w:szCs w:val="24"/>
              </w:rPr>
              <w:t>90mm</w:t>
            </w:r>
            <w:r>
              <w:rPr>
                <w:rFonts w:hint="eastAsia" w:ascii="宋体" w:hAnsi="宋体" w:cs="宋体"/>
                <w:kern w:val="0"/>
                <w:sz w:val="24"/>
                <w:szCs w:val="24"/>
              </w:rPr>
              <w:t>，圆形</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储水桶</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25L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凳子</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木质或塑料材质</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垃圾桶</w:t>
            </w:r>
          </w:p>
        </w:tc>
        <w:tc>
          <w:tcPr>
            <w:tcW w:w="3195" w:type="dxa"/>
            <w:vAlign w:val="center"/>
          </w:tcPr>
          <w:p>
            <w:pPr>
              <w:widowControl/>
              <w:jc w:val="center"/>
              <w:rPr>
                <w:rFonts w:ascii="宋体" w:cs="宋体"/>
                <w:kern w:val="0"/>
                <w:sz w:val="24"/>
                <w:szCs w:val="24"/>
              </w:rPr>
            </w:pPr>
            <w:r>
              <w:rPr>
                <w:rFonts w:hint="eastAsia" w:ascii="宋体" w:hAnsi="宋体" w:cs="宋体"/>
                <w:sz w:val="24"/>
                <w:szCs w:val="24"/>
                <w:shd w:val="clear" w:color="auto" w:fill="FFFFFF"/>
              </w:rPr>
              <w:t>≥</w:t>
            </w:r>
            <w:r>
              <w:rPr>
                <w:rFonts w:ascii="宋体" w:hAnsi="宋体" w:cs="宋体"/>
                <w:kern w:val="0"/>
                <w:sz w:val="24"/>
                <w:szCs w:val="24"/>
              </w:rPr>
              <w:t>5L</w:t>
            </w:r>
            <w:r>
              <w:rPr>
                <w:rFonts w:hint="eastAsia" w:ascii="宋体" w:hAnsi="宋体" w:cs="宋体"/>
                <w:kern w:val="0"/>
                <w:sz w:val="24"/>
                <w:szCs w:val="24"/>
              </w:rPr>
              <w:t>无盖</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背负式机动喷雾器</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药箱容量≥</w:t>
            </w:r>
            <w:r>
              <w:rPr>
                <w:rFonts w:ascii="宋体" w:hAnsi="宋体" w:cs="宋体"/>
                <w:kern w:val="0"/>
                <w:sz w:val="24"/>
                <w:szCs w:val="24"/>
              </w:rPr>
              <w:t>20L</w:t>
            </w:r>
            <w:r>
              <w:rPr>
                <w:rFonts w:hint="eastAsia" w:ascii="宋体" w:hAnsi="宋体" w:cs="宋体"/>
                <w:kern w:val="0"/>
                <w:sz w:val="24"/>
                <w:szCs w:val="24"/>
              </w:rPr>
              <w:t>；水平射程≥</w:t>
            </w:r>
            <w:r>
              <w:rPr>
                <w:rFonts w:ascii="宋体" w:hAnsi="宋体" w:cs="宋体"/>
                <w:kern w:val="0"/>
                <w:sz w:val="24"/>
                <w:szCs w:val="24"/>
              </w:rPr>
              <w:t>21</w:t>
            </w:r>
            <w:r>
              <w:rPr>
                <w:rFonts w:hint="eastAsia" w:ascii="宋体" w:hAnsi="宋体" w:cs="宋体"/>
                <w:kern w:val="0"/>
                <w:sz w:val="24"/>
                <w:szCs w:val="24"/>
              </w:rPr>
              <w:t>米；喷雾量≥</w:t>
            </w:r>
            <w:r>
              <w:rPr>
                <w:rFonts w:ascii="宋体" w:hAnsi="宋体" w:cs="宋体"/>
                <w:kern w:val="0"/>
                <w:sz w:val="24"/>
                <w:szCs w:val="24"/>
              </w:rPr>
              <w:t>0-5.5L/min</w:t>
            </w:r>
            <w:r>
              <w:rPr>
                <w:rFonts w:hint="eastAsia" w:ascii="宋体" w:hAnsi="宋体" w:cs="宋体"/>
                <w:kern w:val="0"/>
                <w:sz w:val="24"/>
                <w:szCs w:val="24"/>
              </w:rPr>
              <w:t>；喷粉量</w:t>
            </w:r>
            <w:r>
              <w:rPr>
                <w:rFonts w:hint="eastAsia" w:ascii="宋体" w:hAnsi="宋体" w:cs="宋体"/>
                <w:sz w:val="24"/>
                <w:szCs w:val="24"/>
                <w:shd w:val="clear" w:color="auto" w:fill="FFFFFF"/>
              </w:rPr>
              <w:t>≥</w:t>
            </w:r>
            <w:r>
              <w:rPr>
                <w:rFonts w:ascii="宋体" w:hAnsi="宋体" w:cs="宋体"/>
                <w:kern w:val="0"/>
                <w:sz w:val="24"/>
                <w:szCs w:val="24"/>
              </w:rPr>
              <w:t>0-3.5kg/min</w:t>
            </w:r>
            <w:r>
              <w:rPr>
                <w:rFonts w:hint="eastAsia" w:ascii="宋体" w:hAnsi="宋体" w:cs="宋体"/>
                <w:kern w:val="0"/>
                <w:sz w:val="24"/>
                <w:szCs w:val="24"/>
              </w:rPr>
              <w:t>；标定功率</w:t>
            </w:r>
            <w:r>
              <w:rPr>
                <w:rFonts w:hint="eastAsia" w:ascii="宋体" w:hAnsi="宋体" w:cs="宋体"/>
                <w:sz w:val="24"/>
                <w:szCs w:val="24"/>
                <w:shd w:val="clear" w:color="auto" w:fill="FFFFFF"/>
              </w:rPr>
              <w:t>≥</w:t>
            </w:r>
            <w:r>
              <w:rPr>
                <w:rFonts w:ascii="宋体" w:hAnsi="宋体" w:cs="宋体"/>
                <w:kern w:val="0"/>
                <w:sz w:val="24"/>
                <w:szCs w:val="24"/>
              </w:rPr>
              <w:t>4.0/7000kw/r/min</w:t>
            </w:r>
            <w:r>
              <w:rPr>
                <w:rFonts w:hint="eastAsia" w:ascii="宋体" w:hAnsi="宋体" w:cs="宋体"/>
                <w:kern w:val="0"/>
                <w:sz w:val="24"/>
                <w:szCs w:val="24"/>
              </w:rPr>
              <w:t>；燃油消耗率≤</w:t>
            </w:r>
            <w:r>
              <w:rPr>
                <w:rFonts w:ascii="宋体" w:hAnsi="宋体" w:cs="宋体"/>
                <w:kern w:val="0"/>
                <w:sz w:val="24"/>
                <w:szCs w:val="24"/>
              </w:rPr>
              <w:t>544g/kw.h</w:t>
            </w:r>
            <w:r>
              <w:rPr>
                <w:rFonts w:hint="eastAsia" w:ascii="宋体" w:hAnsi="宋体" w:cs="宋体"/>
                <w:kern w:val="0"/>
                <w:sz w:val="24"/>
                <w:szCs w:val="24"/>
              </w:rPr>
              <w:t>；净重≥</w:t>
            </w:r>
            <w:r>
              <w:rPr>
                <w:rFonts w:ascii="宋体" w:hAnsi="宋体" w:cs="宋体"/>
                <w:kern w:val="0"/>
                <w:sz w:val="24"/>
                <w:szCs w:val="24"/>
              </w:rPr>
              <w:t>12kg</w:t>
            </w:r>
            <w:r>
              <w:rPr>
                <w:rFonts w:hint="eastAsia" w:ascii="宋体" w:hAnsi="宋体" w:cs="宋体"/>
                <w:kern w:val="0"/>
                <w:sz w:val="24"/>
                <w:szCs w:val="24"/>
              </w:rPr>
              <w:t>；外形尺寸≤</w:t>
            </w:r>
            <w:r>
              <w:rPr>
                <w:rFonts w:ascii="宋体" w:hAnsi="宋体" w:cs="宋体"/>
                <w:kern w:val="0"/>
                <w:sz w:val="24"/>
                <w:szCs w:val="24"/>
              </w:rPr>
              <w:t>520*428*707mm</w:t>
            </w:r>
            <w:r>
              <w:rPr>
                <w:rFonts w:hint="eastAsia" w:ascii="宋体" w:hAnsi="宋体" w:cs="宋体"/>
                <w:kern w:val="0"/>
                <w:sz w:val="24"/>
                <w:szCs w:val="24"/>
              </w:rPr>
              <w:t>；动力型式为单缸二冲程汽油机；燃油标准为</w:t>
            </w:r>
            <w:r>
              <w:rPr>
                <w:rFonts w:ascii="宋体" w:hAnsi="宋体" w:cs="宋体"/>
                <w:kern w:val="0"/>
                <w:sz w:val="24"/>
                <w:szCs w:val="24"/>
              </w:rPr>
              <w:t>92</w:t>
            </w:r>
            <w:r>
              <w:rPr>
                <w:rFonts w:hint="eastAsia" w:ascii="宋体" w:hAnsi="宋体" w:cs="宋体"/>
                <w:kern w:val="0"/>
                <w:sz w:val="24"/>
                <w:szCs w:val="24"/>
              </w:rPr>
              <w:t>号及以上标号的汽油与二冲程专用机油混合；启动方式为手拉自回绳启动</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49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模拟树</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同上</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手套</w:t>
            </w:r>
          </w:p>
        </w:tc>
        <w:tc>
          <w:tcPr>
            <w:tcW w:w="3195" w:type="dxa"/>
            <w:vAlign w:val="center"/>
          </w:tcPr>
          <w:p>
            <w:pPr>
              <w:widowControl/>
              <w:jc w:val="center"/>
              <w:rPr>
                <w:rFonts w:ascii="宋体" w:cs="宋体"/>
                <w:kern w:val="0"/>
                <w:sz w:val="24"/>
                <w:szCs w:val="24"/>
              </w:rPr>
            </w:pP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ascii="宋体" w:hAnsi="宋体" w:cs="宋体"/>
                <w:sz w:val="24"/>
                <w:szCs w:val="24"/>
              </w:rPr>
              <w:t>*</w:t>
            </w:r>
            <w:r>
              <w:rPr>
                <w:rFonts w:hint="eastAsia" w:ascii="宋体" w:hAnsi="宋体" w:cs="宋体"/>
                <w:kern w:val="0"/>
                <w:sz w:val="24"/>
                <w:szCs w:val="24"/>
              </w:rPr>
              <w:t>口罩</w:t>
            </w:r>
          </w:p>
        </w:tc>
        <w:tc>
          <w:tcPr>
            <w:tcW w:w="3195" w:type="dxa"/>
            <w:vAlign w:val="center"/>
          </w:tcPr>
          <w:p>
            <w:pPr>
              <w:widowControl/>
              <w:jc w:val="center"/>
              <w:rPr>
                <w:rFonts w:ascii="宋体" w:cs="宋体"/>
                <w:kern w:val="0"/>
                <w:sz w:val="24"/>
                <w:szCs w:val="24"/>
              </w:rPr>
            </w:pP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抹布</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同上</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残夜桶</w:t>
            </w:r>
          </w:p>
        </w:tc>
        <w:tc>
          <w:tcPr>
            <w:tcW w:w="3195" w:type="dxa"/>
            <w:vAlign w:val="center"/>
          </w:tcPr>
          <w:p>
            <w:pPr>
              <w:widowControl/>
              <w:jc w:val="center"/>
              <w:rPr>
                <w:rFonts w:ascii="宋体" w:cs="宋体"/>
                <w:kern w:val="0"/>
                <w:sz w:val="24"/>
                <w:szCs w:val="24"/>
              </w:rPr>
            </w:pPr>
            <w:r>
              <w:rPr>
                <w:rFonts w:ascii="宋体" w:hAnsi="宋体" w:cs="宋体"/>
                <w:kern w:val="0"/>
                <w:sz w:val="24"/>
                <w:szCs w:val="24"/>
              </w:rPr>
              <w:t>10L</w:t>
            </w:r>
            <w:r>
              <w:rPr>
                <w:rFonts w:hint="eastAsia" w:ascii="宋体" w:hAnsi="宋体" w:cs="宋体"/>
                <w:kern w:val="0"/>
                <w:sz w:val="24"/>
                <w:szCs w:val="24"/>
              </w:rPr>
              <w:t>无盖</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储水桶</w:t>
            </w:r>
          </w:p>
        </w:tc>
        <w:tc>
          <w:tcPr>
            <w:tcW w:w="3195" w:type="dxa"/>
            <w:vAlign w:val="center"/>
          </w:tcPr>
          <w:p>
            <w:pPr>
              <w:widowControl/>
              <w:jc w:val="center"/>
              <w:rPr>
                <w:rFonts w:ascii="宋体" w:cs="宋体"/>
                <w:kern w:val="0"/>
                <w:sz w:val="24"/>
                <w:szCs w:val="24"/>
              </w:rPr>
            </w:pPr>
            <w:r>
              <w:rPr>
                <w:rFonts w:ascii="宋体" w:hAnsi="宋体" w:cs="宋体"/>
                <w:kern w:val="0"/>
                <w:sz w:val="24"/>
                <w:szCs w:val="24"/>
              </w:rPr>
              <w:t>5L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55</w:t>
            </w:r>
          </w:p>
        </w:tc>
        <w:tc>
          <w:tcPr>
            <w:tcW w:w="814"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松材线虫分离鉴定项目</w:t>
            </w: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贝尔曼漏斗法分离线虫</w:t>
            </w: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实验桌</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长≥</w:t>
            </w:r>
            <w:r>
              <w:rPr>
                <w:rFonts w:ascii="宋体" w:hAnsi="宋体" w:cs="宋体"/>
                <w:kern w:val="0"/>
                <w:sz w:val="24"/>
                <w:szCs w:val="24"/>
              </w:rPr>
              <w:t>1200mm</w:t>
            </w:r>
            <w:r>
              <w:rPr>
                <w:rFonts w:hint="eastAsia" w:ascii="宋体" w:hAnsi="宋体" w:cs="宋体"/>
                <w:kern w:val="0"/>
                <w:sz w:val="24"/>
                <w:szCs w:val="24"/>
              </w:rPr>
              <w:t>，宽≥</w:t>
            </w:r>
            <w:r>
              <w:rPr>
                <w:rFonts w:ascii="宋体" w:hAnsi="宋体" w:cs="宋体"/>
                <w:kern w:val="0"/>
                <w:sz w:val="24"/>
                <w:szCs w:val="24"/>
              </w:rPr>
              <w:t>350mm</w:t>
            </w:r>
            <w:r>
              <w:rPr>
                <w:rFonts w:hint="eastAsia" w:ascii="宋体" w:hAnsi="宋体" w:cs="宋体"/>
                <w:kern w:val="0"/>
                <w:sz w:val="24"/>
                <w:szCs w:val="24"/>
              </w:rPr>
              <w:t>，高≥</w:t>
            </w:r>
            <w:r>
              <w:rPr>
                <w:rFonts w:ascii="宋体" w:hAnsi="宋体" w:cs="宋体"/>
                <w:kern w:val="0"/>
                <w:sz w:val="24"/>
                <w:szCs w:val="24"/>
              </w:rPr>
              <w:t xml:space="preserve">1000mm </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漏斗</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12cm</w:t>
            </w:r>
            <w:r>
              <w:rPr>
                <w:rFonts w:hint="eastAsia" w:ascii="宋体" w:hAnsi="宋体" w:cs="宋体"/>
                <w:kern w:val="0"/>
                <w:sz w:val="24"/>
                <w:szCs w:val="24"/>
              </w:rPr>
              <w:t>内径</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乳胶管</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内径≥</w:t>
            </w:r>
            <w:r>
              <w:rPr>
                <w:rFonts w:ascii="宋体" w:hAnsi="宋体" w:cs="宋体"/>
                <w:kern w:val="0"/>
                <w:sz w:val="24"/>
                <w:szCs w:val="24"/>
              </w:rPr>
              <w:t>6</w:t>
            </w:r>
            <w:r>
              <w:rPr>
                <w:rFonts w:hint="eastAsia" w:ascii="宋体" w:hAnsi="宋体" w:cs="宋体"/>
                <w:kern w:val="0"/>
                <w:sz w:val="24"/>
                <w:szCs w:val="24"/>
              </w:rPr>
              <w:t>毫米，外径≥</w:t>
            </w:r>
            <w:r>
              <w:rPr>
                <w:rFonts w:ascii="宋体" w:hAnsi="宋体" w:cs="宋体"/>
                <w:kern w:val="0"/>
                <w:sz w:val="24"/>
                <w:szCs w:val="24"/>
              </w:rPr>
              <w:t>9</w:t>
            </w:r>
            <w:r>
              <w:rPr>
                <w:rFonts w:hint="eastAsia" w:ascii="宋体" w:hAnsi="宋体" w:cs="宋体"/>
                <w:kern w:val="0"/>
                <w:sz w:val="24"/>
                <w:szCs w:val="24"/>
              </w:rPr>
              <w:t>毫米</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58</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止水夹</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弹簧镀锌止水夹</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59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手帕纸</w:t>
            </w:r>
          </w:p>
        </w:tc>
        <w:tc>
          <w:tcPr>
            <w:tcW w:w="3195" w:type="dxa"/>
            <w:vAlign w:val="center"/>
          </w:tcPr>
          <w:p>
            <w:pPr>
              <w:widowControl/>
              <w:jc w:val="center"/>
              <w:rPr>
                <w:rFonts w:ascii="宋体" w:cs="宋体"/>
                <w:kern w:val="0"/>
                <w:sz w:val="24"/>
                <w:szCs w:val="24"/>
              </w:rPr>
            </w:pPr>
            <w:r>
              <w:rPr>
                <w:rFonts w:ascii="宋体" w:hAnsi="宋体" w:cs="宋体"/>
                <w:kern w:val="0"/>
                <w:sz w:val="24"/>
                <w:szCs w:val="24"/>
              </w:rPr>
              <w:t>190MM*210MM</w:t>
            </w:r>
            <w:r>
              <w:rPr>
                <w:rFonts w:hint="eastAsia" w:ascii="宋体" w:hAnsi="宋体" w:cs="宋体"/>
                <w:kern w:val="0"/>
                <w:sz w:val="24"/>
                <w:szCs w:val="24"/>
              </w:rPr>
              <w:t>两层</w:t>
            </w:r>
            <w:r>
              <w:rPr>
                <w:rFonts w:ascii="宋体" w:hAnsi="宋体" w:cs="宋体"/>
                <w:kern w:val="0"/>
                <w:sz w:val="24"/>
                <w:szCs w:val="24"/>
              </w:rPr>
              <w:t>200</w:t>
            </w:r>
            <w:r>
              <w:rPr>
                <w:rFonts w:hint="eastAsia" w:ascii="宋体" w:hAnsi="宋体" w:cs="宋体"/>
                <w:kern w:val="0"/>
                <w:sz w:val="24"/>
                <w:szCs w:val="24"/>
              </w:rPr>
              <w:t>抽抽纸</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烧杯</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500ml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枝剪</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太空铝手柄枝剪</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松木片</w:t>
            </w:r>
          </w:p>
        </w:tc>
        <w:tc>
          <w:tcPr>
            <w:tcW w:w="3195"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份，每份</w:t>
            </w:r>
            <w:r>
              <w:rPr>
                <w:rFonts w:ascii="宋体" w:hAnsi="宋体" w:cs="宋体"/>
                <w:kern w:val="0"/>
                <w:sz w:val="24"/>
                <w:szCs w:val="24"/>
              </w:rPr>
              <w:t>200g</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由甲方提供</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凹面皿</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直径</w:t>
            </w:r>
            <w:r>
              <w:rPr>
                <w:rFonts w:ascii="宋体" w:hAnsi="宋体" w:cs="宋体"/>
                <w:kern w:val="0"/>
                <w:sz w:val="24"/>
                <w:szCs w:val="24"/>
              </w:rPr>
              <w:t>80mm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漏斗架</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孔</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凳子</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木质或塑料材质</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66</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蒸馏水桶</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25L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67</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vAlign w:val="center"/>
          </w:tcPr>
          <w:p>
            <w:pPr>
              <w:widowControl/>
              <w:jc w:val="center"/>
              <w:rPr>
                <w:rFonts w:ascii="宋体" w:cs="宋体"/>
                <w:kern w:val="0"/>
                <w:sz w:val="24"/>
                <w:szCs w:val="24"/>
              </w:rPr>
            </w:pPr>
            <w:r>
              <w:rPr>
                <w:rFonts w:hint="eastAsia" w:ascii="宋体" w:hAnsi="宋体" w:cs="宋体"/>
                <w:kern w:val="0"/>
                <w:sz w:val="24"/>
                <w:szCs w:val="24"/>
              </w:rPr>
              <w:t>垃圾桶</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5L</w:t>
            </w:r>
            <w:r>
              <w:rPr>
                <w:rFonts w:hint="eastAsia" w:ascii="宋体" w:hAnsi="宋体" w:cs="宋体"/>
                <w:kern w:val="0"/>
                <w:sz w:val="24"/>
                <w:szCs w:val="24"/>
              </w:rPr>
              <w:t>无盖</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68</w:t>
            </w:r>
          </w:p>
        </w:tc>
        <w:tc>
          <w:tcPr>
            <w:tcW w:w="814" w:type="dxa"/>
            <w:vMerge w:val="continue"/>
            <w:vAlign w:val="center"/>
          </w:tcPr>
          <w:p>
            <w:pPr>
              <w:widowControl/>
              <w:jc w:val="left"/>
              <w:rPr>
                <w:rFonts w:ascii="宋体" w:cs="宋体"/>
                <w:kern w:val="0"/>
                <w:sz w:val="24"/>
                <w:szCs w:val="24"/>
              </w:rPr>
            </w:pPr>
          </w:p>
        </w:tc>
        <w:tc>
          <w:tcPr>
            <w:tcW w:w="815"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松材线虫鉴定</w:t>
            </w: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显微镜</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放大≥</w:t>
            </w:r>
            <w:r>
              <w:rPr>
                <w:rFonts w:ascii="宋体" w:hAnsi="宋体" w:cs="宋体"/>
                <w:kern w:val="0"/>
                <w:sz w:val="24"/>
                <w:szCs w:val="24"/>
              </w:rPr>
              <w:t>40</w:t>
            </w:r>
          </w:p>
        </w:tc>
        <w:tc>
          <w:tcPr>
            <w:tcW w:w="1095" w:type="dxa"/>
            <w:noWrap/>
            <w:vAlign w:val="center"/>
          </w:tcPr>
          <w:p>
            <w:pPr>
              <w:widowControl/>
              <w:jc w:val="center"/>
              <w:rPr>
                <w:rFonts w:ascii="宋体" w:cs="宋体"/>
                <w:kern w:val="0"/>
                <w:sz w:val="24"/>
                <w:szCs w:val="24"/>
              </w:rPr>
            </w:pPr>
            <w:r>
              <w:rPr>
                <w:rFonts w:hint="eastAsia" w:ascii="宋体" w:hAnsi="宋体" w:cs="宋体"/>
                <w:kern w:val="0"/>
                <w:sz w:val="24"/>
                <w:szCs w:val="24"/>
              </w:rPr>
              <w:t>可租赁</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69</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线虫悬液</w:t>
            </w:r>
          </w:p>
        </w:tc>
        <w:tc>
          <w:tcPr>
            <w:tcW w:w="3195" w:type="dxa"/>
            <w:vAlign w:val="center"/>
          </w:tcPr>
          <w:p>
            <w:pPr>
              <w:widowControl/>
              <w:jc w:val="center"/>
              <w:rPr>
                <w:rFonts w:ascii="宋体" w:cs="宋体"/>
                <w:kern w:val="0"/>
                <w:sz w:val="24"/>
                <w:szCs w:val="24"/>
              </w:rPr>
            </w:pPr>
          </w:p>
        </w:tc>
        <w:tc>
          <w:tcPr>
            <w:tcW w:w="1095" w:type="dxa"/>
            <w:noWrap/>
            <w:vAlign w:val="center"/>
          </w:tcPr>
          <w:p>
            <w:pPr>
              <w:widowControl/>
              <w:jc w:val="center"/>
              <w:rPr>
                <w:rFonts w:ascii="宋体" w:cs="宋体"/>
                <w:kern w:val="0"/>
                <w:sz w:val="24"/>
                <w:szCs w:val="24"/>
              </w:rPr>
            </w:pPr>
            <w:r>
              <w:rPr>
                <w:rFonts w:hint="eastAsia" w:ascii="宋体" w:hAnsi="宋体" w:cs="宋体"/>
                <w:kern w:val="0"/>
                <w:sz w:val="24"/>
                <w:szCs w:val="24"/>
              </w:rPr>
              <w:t>由甲方提供</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70</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滴管</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10ml</w:t>
            </w:r>
            <w:r>
              <w:rPr>
                <w:rFonts w:hint="eastAsia" w:ascii="宋体" w:hAnsi="宋体" w:cs="宋体"/>
                <w:kern w:val="0"/>
                <w:sz w:val="24"/>
                <w:szCs w:val="24"/>
              </w:rPr>
              <w:t>，主体玻璃，头部为软胶</w:t>
            </w:r>
          </w:p>
        </w:tc>
        <w:tc>
          <w:tcPr>
            <w:tcW w:w="1095" w:type="dxa"/>
            <w:noWrap/>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71</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载玻片</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24mmx24mm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72</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盖玻片</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22*22mm</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73</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酒精灯</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250ml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74</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打火机</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普通</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13" w:type="dxa"/>
            <w:vAlign w:val="center"/>
          </w:tcPr>
          <w:p>
            <w:pPr>
              <w:widowControl/>
              <w:jc w:val="center"/>
              <w:rPr>
                <w:rFonts w:ascii="宋体" w:cs="宋体"/>
                <w:kern w:val="0"/>
                <w:sz w:val="24"/>
                <w:szCs w:val="24"/>
              </w:rPr>
            </w:pPr>
            <w:r>
              <w:rPr>
                <w:rFonts w:ascii="宋体" w:hAnsi="宋体" w:cs="宋体"/>
                <w:kern w:val="0"/>
                <w:sz w:val="24"/>
                <w:szCs w:val="24"/>
              </w:rPr>
              <w:t>75</w:t>
            </w:r>
          </w:p>
        </w:tc>
        <w:tc>
          <w:tcPr>
            <w:tcW w:w="814" w:type="dxa"/>
            <w:vMerge w:val="continue"/>
            <w:vAlign w:val="center"/>
          </w:tcPr>
          <w:p>
            <w:pPr>
              <w:widowControl/>
              <w:jc w:val="left"/>
              <w:rPr>
                <w:rFonts w:ascii="宋体" w:cs="宋体"/>
                <w:kern w:val="0"/>
                <w:sz w:val="24"/>
                <w:szCs w:val="24"/>
              </w:rPr>
            </w:pPr>
          </w:p>
        </w:tc>
        <w:tc>
          <w:tcPr>
            <w:tcW w:w="815" w:type="dxa"/>
            <w:vMerge w:val="continue"/>
            <w:vAlign w:val="center"/>
          </w:tcPr>
          <w:p>
            <w:pPr>
              <w:widowControl/>
              <w:jc w:val="left"/>
              <w:rPr>
                <w:rFonts w:ascii="宋体" w:cs="宋体"/>
                <w:kern w:val="0"/>
                <w:sz w:val="24"/>
                <w:szCs w:val="24"/>
              </w:rPr>
            </w:pPr>
          </w:p>
        </w:tc>
        <w:tc>
          <w:tcPr>
            <w:tcW w:w="1119" w:type="dxa"/>
            <w:noWrap/>
            <w:vAlign w:val="center"/>
          </w:tcPr>
          <w:p>
            <w:pPr>
              <w:widowControl/>
              <w:jc w:val="center"/>
              <w:rPr>
                <w:rFonts w:ascii="宋体" w:cs="宋体"/>
                <w:kern w:val="0"/>
                <w:sz w:val="24"/>
                <w:szCs w:val="24"/>
              </w:rPr>
            </w:pPr>
            <w:r>
              <w:rPr>
                <w:rFonts w:hint="eastAsia" w:ascii="宋体" w:hAnsi="宋体" w:cs="宋体"/>
                <w:kern w:val="0"/>
                <w:sz w:val="24"/>
                <w:szCs w:val="24"/>
              </w:rPr>
              <w:t>废液桶</w:t>
            </w:r>
          </w:p>
        </w:tc>
        <w:tc>
          <w:tcPr>
            <w:tcW w:w="3195" w:type="dxa"/>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10L</w:t>
            </w:r>
          </w:p>
        </w:tc>
        <w:tc>
          <w:tcPr>
            <w:tcW w:w="1095" w:type="dxa"/>
            <w:vAlign w:val="center"/>
          </w:tcPr>
          <w:p>
            <w:pPr>
              <w:widowControl/>
              <w:jc w:val="center"/>
              <w:rPr>
                <w:rFonts w:ascii="宋体" w:cs="宋体"/>
                <w:kern w:val="0"/>
                <w:sz w:val="24"/>
                <w:szCs w:val="24"/>
              </w:rPr>
            </w:pPr>
            <w:r>
              <w:rPr>
                <w:rFonts w:hint="eastAsia" w:ascii="宋体" w:hAnsi="宋体" w:cs="宋体"/>
                <w:kern w:val="0"/>
                <w:sz w:val="24"/>
                <w:szCs w:val="24"/>
              </w:rPr>
              <w:t>全新</w:t>
            </w:r>
          </w:p>
        </w:tc>
        <w:tc>
          <w:tcPr>
            <w:tcW w:w="871" w:type="dxa"/>
            <w:noWrap/>
            <w:vAlign w:val="center"/>
          </w:tcPr>
          <w:p>
            <w:pPr>
              <w:widowControl/>
              <w:jc w:val="center"/>
              <w:rPr>
                <w:rFonts w:ascii="宋体" w:cs="宋体"/>
                <w:kern w:val="0"/>
                <w:sz w:val="24"/>
                <w:szCs w:val="24"/>
              </w:rPr>
            </w:pPr>
            <w:r>
              <w:rPr>
                <w:rFonts w:ascii="宋体" w:cs="宋体"/>
                <w:kern w:val="0"/>
                <w:sz w:val="24"/>
                <w:szCs w:val="24"/>
              </w:rPr>
              <w:t>1</w:t>
            </w:r>
            <w:r>
              <w:rPr>
                <w:rFonts w:hint="eastAsia" w:ascii="宋体" w:cs="宋体"/>
                <w:kern w:val="0"/>
                <w:sz w:val="24"/>
                <w:szCs w:val="24"/>
              </w:rPr>
              <w:t>个</w:t>
            </w:r>
          </w:p>
        </w:tc>
      </w:tr>
    </w:tbl>
    <w:p>
      <w:pPr>
        <w:spacing w:line="360" w:lineRule="auto"/>
        <w:rPr>
          <w:rFonts w:ascii="宋体" w:cs="宋体"/>
          <w:sz w:val="24"/>
          <w:szCs w:val="24"/>
        </w:rPr>
      </w:pPr>
      <w:r>
        <w:rPr>
          <w:rFonts w:ascii="宋体" w:hAnsi="宋体" w:cs="宋体"/>
          <w:sz w:val="24"/>
          <w:szCs w:val="24"/>
        </w:rPr>
        <w:t>2.2.8.3</w:t>
      </w:r>
      <w:r>
        <w:rPr>
          <w:rFonts w:hint="eastAsia" w:ascii="宋体" w:hAnsi="宋体" w:cs="宋体"/>
          <w:sz w:val="24"/>
          <w:szCs w:val="24"/>
        </w:rPr>
        <w:t>、所有设备及物品除租赁器械外，其余均要求全新。</w:t>
      </w:r>
    </w:p>
    <w:p>
      <w:pPr>
        <w:spacing w:line="360" w:lineRule="auto"/>
        <w:rPr>
          <w:rFonts w:ascii="宋体" w:cs="宋体"/>
          <w:sz w:val="24"/>
          <w:szCs w:val="24"/>
        </w:rPr>
      </w:pPr>
      <w:r>
        <w:rPr>
          <w:rFonts w:ascii="宋体" w:hAnsi="宋体" w:cs="宋体"/>
          <w:sz w:val="24"/>
          <w:szCs w:val="24"/>
        </w:rPr>
        <w:t>2.2.8.4</w:t>
      </w:r>
      <w:r>
        <w:rPr>
          <w:rFonts w:hint="eastAsia" w:ascii="宋体" w:hAnsi="宋体" w:cs="宋体"/>
          <w:sz w:val="24"/>
          <w:szCs w:val="24"/>
        </w:rPr>
        <w:t>、为保证竞赛正常进行，供应商在比赛前一星期将所需设备购买、租赁到位，并接受采购人核对。正式比赛前</w:t>
      </w:r>
      <w:r>
        <w:rPr>
          <w:rFonts w:ascii="宋体" w:hAnsi="宋体" w:cs="宋体"/>
          <w:sz w:val="24"/>
          <w:szCs w:val="24"/>
        </w:rPr>
        <w:t>2</w:t>
      </w:r>
      <w:r>
        <w:rPr>
          <w:rFonts w:hint="eastAsia" w:ascii="宋体" w:hAnsi="宋体" w:cs="宋体"/>
          <w:sz w:val="24"/>
          <w:szCs w:val="24"/>
        </w:rPr>
        <w:t>个小时需将设备及时摆放到位，每一个项目比赛完后需及时更换下一项目所需设备，确保比赛及时有序进行。</w:t>
      </w:r>
    </w:p>
    <w:p>
      <w:pPr>
        <w:spacing w:line="360" w:lineRule="auto"/>
        <w:rPr>
          <w:rFonts w:ascii="宋体" w:cs="宋体"/>
          <w:sz w:val="24"/>
          <w:szCs w:val="24"/>
        </w:rPr>
      </w:pPr>
      <w:r>
        <w:rPr>
          <w:rFonts w:ascii="宋体" w:hAnsi="宋体" w:cs="宋体"/>
          <w:b/>
          <w:sz w:val="24"/>
          <w:szCs w:val="24"/>
        </w:rPr>
        <w:t>2.2.9</w:t>
      </w:r>
      <w:r>
        <w:rPr>
          <w:rFonts w:hint="eastAsia" w:ascii="宋体" w:hAnsi="宋体" w:cs="宋体"/>
          <w:b/>
          <w:sz w:val="24"/>
          <w:szCs w:val="24"/>
        </w:rPr>
        <w:t>、比赛办公设备：</w:t>
      </w:r>
      <w:r>
        <w:rPr>
          <w:rFonts w:hint="eastAsia" w:ascii="宋体" w:hAnsi="宋体" w:cs="宋体"/>
          <w:sz w:val="24"/>
          <w:szCs w:val="24"/>
        </w:rPr>
        <w:t>包括抽签球、发令枪（口哨）、训练喇叭、电脑、打印机、打分表、整理箱、记录仪、号码牌、工作证、裁判证等，具体数量如下：</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75"/>
        <w:gridCol w:w="3000"/>
        <w:gridCol w:w="168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2" w:type="dxa"/>
            <w:gridSpan w:val="5"/>
            <w:noWrap/>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竞赛所需办公设备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3"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序号</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器材名称</w:t>
            </w:r>
          </w:p>
        </w:tc>
        <w:tc>
          <w:tcPr>
            <w:tcW w:w="300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具体参数或要求</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r>
              <w:rPr>
                <w:rFonts w:ascii="宋体" w:hAnsi="宋体" w:cs="宋体"/>
                <w:kern w:val="0"/>
                <w:sz w:val="24"/>
                <w:szCs w:val="24"/>
              </w:rPr>
              <w:t>/</w:t>
            </w: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所需数量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抽签球</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发令枪</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3</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训练喇叭</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w:t>
            </w:r>
            <w:r>
              <w:rPr>
                <w:rFonts w:hint="eastAsia" w:ascii="宋体" w:hAnsi="宋体" w:cs="宋体"/>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4</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电脑</w:t>
            </w:r>
          </w:p>
        </w:tc>
        <w:tc>
          <w:tcPr>
            <w:tcW w:w="3000" w:type="dxa"/>
            <w:vAlign w:val="center"/>
          </w:tcPr>
          <w:p>
            <w:pPr>
              <w:spacing w:line="360" w:lineRule="auto"/>
              <w:jc w:val="center"/>
              <w:rPr>
                <w:rFonts w:ascii="宋体" w:cs="宋体"/>
                <w:sz w:val="24"/>
                <w:szCs w:val="24"/>
              </w:rPr>
            </w:pPr>
            <w:r>
              <w:rPr>
                <w:rFonts w:hint="eastAsia" w:ascii="宋体" w:hAnsi="宋体" w:cs="宋体"/>
                <w:sz w:val="24"/>
                <w:szCs w:val="24"/>
              </w:rPr>
              <w:t>能流畅运行</w:t>
            </w:r>
            <w:r>
              <w:rPr>
                <w:rFonts w:ascii="宋体" w:hAnsi="宋体" w:cs="宋体"/>
                <w:sz w:val="24"/>
                <w:szCs w:val="24"/>
              </w:rPr>
              <w:t>office</w:t>
            </w:r>
            <w:r>
              <w:rPr>
                <w:rFonts w:hint="eastAsia" w:ascii="宋体" w:hAnsi="宋体" w:cs="宋体"/>
                <w:sz w:val="24"/>
                <w:szCs w:val="24"/>
              </w:rPr>
              <w:t>或</w:t>
            </w:r>
            <w:r>
              <w:rPr>
                <w:rFonts w:ascii="宋体" w:hAnsi="宋体" w:cs="宋体"/>
                <w:sz w:val="24"/>
                <w:szCs w:val="24"/>
              </w:rPr>
              <w:t>WPS</w:t>
            </w:r>
            <w:r>
              <w:rPr>
                <w:rFonts w:hint="eastAsia" w:ascii="宋体" w:hAnsi="宋体" w:cs="宋体"/>
                <w:sz w:val="24"/>
                <w:szCs w:val="24"/>
              </w:rPr>
              <w:t>，保证赛事正常使用运行</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3</w:t>
            </w:r>
            <w:r>
              <w:rPr>
                <w:rFonts w:hint="eastAsia" w:ascii="宋体" w:hAnsi="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5</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打印机</w:t>
            </w:r>
          </w:p>
        </w:tc>
        <w:tc>
          <w:tcPr>
            <w:tcW w:w="300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激光打印</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w:t>
            </w:r>
            <w:r>
              <w:rPr>
                <w:rFonts w:hint="eastAsia" w:ascii="宋体" w:hAnsi="宋体" w:cs="宋体"/>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6</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打分表</w:t>
            </w:r>
          </w:p>
        </w:tc>
        <w:tc>
          <w:tcPr>
            <w:tcW w:w="3000"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A4</w:t>
            </w:r>
            <w:r>
              <w:rPr>
                <w:rFonts w:hint="eastAsia" w:ascii="宋体" w:hAnsi="宋体" w:cs="宋体"/>
                <w:kern w:val="0"/>
                <w:sz w:val="24"/>
                <w:szCs w:val="24"/>
              </w:rPr>
              <w:t>纸</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240</w:t>
            </w:r>
            <w:r>
              <w:rPr>
                <w:rFonts w:hint="eastAsia" w:ascii="宋体" w:hAnsi="宋体" w:cs="宋体"/>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7</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文件夹</w:t>
            </w:r>
          </w:p>
        </w:tc>
        <w:tc>
          <w:tcPr>
            <w:tcW w:w="3000"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A4</w:t>
            </w:r>
            <w:r>
              <w:rPr>
                <w:rFonts w:hint="eastAsia" w:ascii="宋体" w:hAnsi="宋体" w:cs="宋体"/>
                <w:kern w:val="0"/>
                <w:sz w:val="24"/>
                <w:szCs w:val="24"/>
              </w:rPr>
              <w:t>纸文件夹</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240</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8</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整理箱</w:t>
            </w:r>
          </w:p>
        </w:tc>
        <w:tc>
          <w:tcPr>
            <w:tcW w:w="300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长≥</w:t>
            </w:r>
            <w:r>
              <w:rPr>
                <w:rFonts w:ascii="宋体" w:hAnsi="宋体" w:cs="宋体"/>
                <w:kern w:val="0"/>
                <w:sz w:val="24"/>
                <w:szCs w:val="24"/>
              </w:rPr>
              <w:t>73</w:t>
            </w:r>
            <w:r>
              <w:rPr>
                <w:rFonts w:hint="eastAsia" w:ascii="宋体" w:hAnsi="宋体" w:cs="宋体"/>
                <w:kern w:val="0"/>
                <w:sz w:val="24"/>
                <w:szCs w:val="24"/>
              </w:rPr>
              <w:t>宽≥</w:t>
            </w:r>
            <w:r>
              <w:rPr>
                <w:rFonts w:ascii="宋体" w:hAnsi="宋体" w:cs="宋体"/>
                <w:kern w:val="0"/>
                <w:sz w:val="24"/>
                <w:szCs w:val="24"/>
              </w:rPr>
              <w:t>54</w:t>
            </w:r>
            <w:r>
              <w:rPr>
                <w:rFonts w:hint="eastAsia" w:ascii="宋体" w:hAnsi="宋体" w:cs="宋体"/>
                <w:kern w:val="0"/>
                <w:sz w:val="24"/>
                <w:szCs w:val="24"/>
              </w:rPr>
              <w:t>高≥</w:t>
            </w:r>
            <w:r>
              <w:rPr>
                <w:rFonts w:ascii="宋体" w:hAnsi="宋体" w:cs="宋体"/>
                <w:kern w:val="0"/>
                <w:sz w:val="24"/>
                <w:szCs w:val="24"/>
              </w:rPr>
              <w:t>44cm</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48</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9</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记录仪</w:t>
            </w:r>
          </w:p>
        </w:tc>
        <w:tc>
          <w:tcPr>
            <w:tcW w:w="300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能对选手技能操作考核全过程进行录制，录制时长不低于</w:t>
            </w:r>
            <w:r>
              <w:rPr>
                <w:rFonts w:ascii="宋体" w:hAnsi="宋体" w:cs="宋体"/>
                <w:kern w:val="0"/>
                <w:sz w:val="24"/>
                <w:szCs w:val="24"/>
              </w:rPr>
              <w:t>120</w:t>
            </w:r>
            <w:r>
              <w:rPr>
                <w:rFonts w:hint="eastAsia" w:ascii="宋体" w:hAnsi="宋体" w:cs="宋体"/>
                <w:kern w:val="0"/>
                <w:sz w:val="24"/>
                <w:szCs w:val="24"/>
              </w:rPr>
              <w:t>分钟，佩戴方便</w:t>
            </w: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10</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裁判证</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13</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11</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助理裁判证</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12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12</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工作证</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26</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13</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领队证</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12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14</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教练证</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12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sz w:val="24"/>
                <w:szCs w:val="24"/>
              </w:rPr>
            </w:pPr>
            <w:r>
              <w:rPr>
                <w:rFonts w:ascii="宋体" w:hAnsi="宋体" w:cs="宋体"/>
                <w:kern w:val="0"/>
                <w:sz w:val="24"/>
                <w:szCs w:val="24"/>
              </w:rPr>
              <w:t>15</w:t>
            </w:r>
          </w:p>
        </w:tc>
        <w:tc>
          <w:tcPr>
            <w:tcW w:w="1575"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号码牌</w:t>
            </w:r>
          </w:p>
        </w:tc>
        <w:tc>
          <w:tcPr>
            <w:tcW w:w="3000" w:type="dxa"/>
            <w:vAlign w:val="center"/>
          </w:tcPr>
          <w:p>
            <w:pPr>
              <w:spacing w:line="360" w:lineRule="auto"/>
              <w:jc w:val="center"/>
              <w:rPr>
                <w:rFonts w:ascii="宋体" w:cs="宋体"/>
                <w:sz w:val="24"/>
                <w:szCs w:val="24"/>
              </w:rPr>
            </w:pPr>
          </w:p>
        </w:tc>
        <w:tc>
          <w:tcPr>
            <w:tcW w:w="1680" w:type="dxa"/>
            <w:vAlign w:val="center"/>
          </w:tcPr>
          <w:p>
            <w:pPr>
              <w:widowControl/>
              <w:spacing w:line="360" w:lineRule="auto"/>
              <w:jc w:val="center"/>
              <w:textAlignment w:val="center"/>
              <w:rPr>
                <w:rFonts w:ascii="宋体" w:cs="宋体"/>
                <w:sz w:val="24"/>
                <w:szCs w:val="24"/>
              </w:rPr>
            </w:pPr>
            <w:r>
              <w:rPr>
                <w:rFonts w:hint="eastAsia" w:ascii="宋体" w:hAnsi="宋体" w:cs="宋体"/>
                <w:kern w:val="0"/>
                <w:sz w:val="24"/>
                <w:szCs w:val="24"/>
              </w:rPr>
              <w:t>全新</w:t>
            </w:r>
          </w:p>
        </w:tc>
        <w:tc>
          <w:tcPr>
            <w:tcW w:w="1404" w:type="dxa"/>
            <w:vAlign w:val="center"/>
          </w:tcPr>
          <w:p>
            <w:pPr>
              <w:widowControl/>
              <w:spacing w:line="360" w:lineRule="auto"/>
              <w:jc w:val="center"/>
              <w:textAlignment w:val="center"/>
              <w:rPr>
                <w:rFonts w:ascii="宋体" w:cs="宋体"/>
                <w:sz w:val="24"/>
                <w:szCs w:val="24"/>
              </w:rPr>
            </w:pPr>
            <w:r>
              <w:rPr>
                <w:rFonts w:hint="eastAsia" w:ascii="宋体" w:hAnsi="宋体" w:cs="宋体"/>
                <w:sz w:val="24"/>
              </w:rPr>
              <w:t>≤</w:t>
            </w:r>
            <w:r>
              <w:rPr>
                <w:rFonts w:ascii="宋体" w:hAnsi="宋体" w:cs="宋体"/>
                <w:kern w:val="0"/>
                <w:sz w:val="24"/>
                <w:szCs w:val="24"/>
              </w:rPr>
              <w:t>60</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3" w:type="dxa"/>
            <w:vAlign w:val="center"/>
          </w:tcPr>
          <w:p>
            <w:pPr>
              <w:widowControl/>
              <w:spacing w:line="360" w:lineRule="auto"/>
              <w:jc w:val="center"/>
              <w:textAlignment w:val="center"/>
              <w:rPr>
                <w:rFonts w:ascii="宋体" w:cs="宋体"/>
                <w:kern w:val="0"/>
                <w:sz w:val="24"/>
                <w:szCs w:val="24"/>
              </w:rPr>
            </w:pPr>
            <w:r>
              <w:rPr>
                <w:rFonts w:ascii="宋体" w:hAnsi="宋体" w:cs="宋体"/>
                <w:kern w:val="0"/>
                <w:sz w:val="24"/>
                <w:szCs w:val="24"/>
              </w:rPr>
              <w:t>16</w:t>
            </w:r>
          </w:p>
        </w:tc>
        <w:tc>
          <w:tcPr>
            <w:tcW w:w="1575" w:type="dxa"/>
            <w:vAlign w:val="center"/>
          </w:tcPr>
          <w:p>
            <w:pPr>
              <w:widowControl/>
              <w:spacing w:line="360" w:lineRule="auto"/>
              <w:jc w:val="center"/>
              <w:textAlignment w:val="center"/>
              <w:rPr>
                <w:rFonts w:ascii="宋体" w:cs="宋体"/>
                <w:kern w:val="0"/>
                <w:sz w:val="24"/>
                <w:szCs w:val="24"/>
              </w:rPr>
            </w:pPr>
            <w:r>
              <w:rPr>
                <w:rFonts w:hint="eastAsia" w:ascii="宋体" w:hAnsi="宋体" w:cs="宋体"/>
                <w:kern w:val="0"/>
                <w:sz w:val="24"/>
                <w:szCs w:val="24"/>
              </w:rPr>
              <w:t>秒表</w:t>
            </w:r>
          </w:p>
        </w:tc>
        <w:tc>
          <w:tcPr>
            <w:tcW w:w="3000" w:type="dxa"/>
            <w:vAlign w:val="center"/>
          </w:tcPr>
          <w:p>
            <w:pPr>
              <w:spacing w:line="360" w:lineRule="auto"/>
              <w:jc w:val="center"/>
              <w:rPr>
                <w:rFonts w:ascii="宋体" w:cs="宋体"/>
                <w:sz w:val="24"/>
                <w:szCs w:val="24"/>
              </w:rPr>
            </w:pPr>
            <w:r>
              <w:rPr>
                <w:rFonts w:hint="eastAsia" w:ascii="宋体" w:hAnsi="宋体" w:cs="宋体"/>
                <w:sz w:val="24"/>
                <w:szCs w:val="24"/>
              </w:rPr>
              <w:t>手动按钮，能清楚计时</w:t>
            </w:r>
          </w:p>
        </w:tc>
        <w:tc>
          <w:tcPr>
            <w:tcW w:w="1680" w:type="dxa"/>
            <w:vAlign w:val="center"/>
          </w:tcPr>
          <w:p>
            <w:pPr>
              <w:widowControl/>
              <w:spacing w:line="360" w:lineRule="auto"/>
              <w:jc w:val="center"/>
              <w:textAlignment w:val="center"/>
              <w:rPr>
                <w:rFonts w:ascii="宋体" w:cs="宋体"/>
                <w:kern w:val="0"/>
                <w:sz w:val="24"/>
                <w:szCs w:val="24"/>
              </w:rPr>
            </w:pPr>
            <w:r>
              <w:rPr>
                <w:rFonts w:hint="eastAsia" w:ascii="宋体" w:hAnsi="宋体" w:cs="宋体"/>
                <w:kern w:val="0"/>
                <w:sz w:val="24"/>
                <w:szCs w:val="24"/>
              </w:rPr>
              <w:t>可租赁</w:t>
            </w:r>
          </w:p>
        </w:tc>
        <w:tc>
          <w:tcPr>
            <w:tcW w:w="1404" w:type="dxa"/>
            <w:vAlign w:val="center"/>
          </w:tcPr>
          <w:p>
            <w:pPr>
              <w:widowControl/>
              <w:spacing w:line="360" w:lineRule="auto"/>
              <w:jc w:val="center"/>
              <w:textAlignment w:val="cente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个</w:t>
            </w:r>
          </w:p>
        </w:tc>
      </w:tr>
    </w:tbl>
    <w:p>
      <w:pPr>
        <w:spacing w:line="360" w:lineRule="auto"/>
        <w:rPr>
          <w:rFonts w:ascii="宋体" w:cs="宋体"/>
          <w:b/>
          <w:sz w:val="24"/>
          <w:szCs w:val="24"/>
        </w:rPr>
      </w:pPr>
    </w:p>
    <w:p>
      <w:pPr>
        <w:spacing w:line="360" w:lineRule="auto"/>
        <w:rPr>
          <w:rFonts w:ascii="宋体" w:cs="宋体"/>
          <w:b/>
          <w:sz w:val="24"/>
          <w:szCs w:val="24"/>
        </w:rPr>
      </w:pPr>
      <w:r>
        <w:rPr>
          <w:rFonts w:ascii="宋体" w:hAnsi="宋体" w:cs="宋体"/>
          <w:b/>
          <w:sz w:val="24"/>
          <w:szCs w:val="24"/>
        </w:rPr>
        <w:t>3</w:t>
      </w:r>
      <w:r>
        <w:rPr>
          <w:rFonts w:hint="eastAsia" w:ascii="宋体" w:hAnsi="宋体" w:cs="宋体"/>
          <w:b/>
          <w:sz w:val="24"/>
          <w:szCs w:val="24"/>
        </w:rPr>
        <w:t>、宣传服务</w:t>
      </w:r>
    </w:p>
    <w:p>
      <w:pPr>
        <w:spacing w:line="360" w:lineRule="auto"/>
        <w:ind w:firstLine="480" w:firstLineChars="200"/>
        <w:rPr>
          <w:rFonts w:ascii="宋体" w:cs="宋体"/>
          <w:sz w:val="24"/>
          <w:szCs w:val="24"/>
        </w:rPr>
      </w:pPr>
      <w:r>
        <w:rPr>
          <w:rFonts w:hint="eastAsia" w:ascii="宋体" w:hAnsi="宋体" w:cs="宋体"/>
          <w:sz w:val="24"/>
          <w:szCs w:val="24"/>
        </w:rPr>
        <w:t>为确保活动顺利举行并取得预期宣传效果，比赛活动的程序、运作、策划和宣传，须考虑到场馆周边环境、地形、交通、人数、天气等各方面因素。包括但不限于</w:t>
      </w:r>
      <w:r>
        <w:rPr>
          <w:rFonts w:ascii="宋体" w:hAnsi="宋体" w:cs="宋体"/>
          <w:sz w:val="24"/>
          <w:szCs w:val="24"/>
        </w:rPr>
        <w:t>:</w:t>
      </w:r>
      <w:r>
        <w:rPr>
          <w:rFonts w:hint="eastAsia" w:ascii="宋体" w:hAnsi="宋体" w:cs="宋体"/>
          <w:sz w:val="24"/>
          <w:szCs w:val="24"/>
        </w:rPr>
        <w:t>场地宣传布置；开、闭幕式；功能区；活动文创周边及活动平面宣传资料设计制作；比赛活动工作人员配备；摄影制作；媒体报道。</w:t>
      </w:r>
    </w:p>
    <w:tbl>
      <w:tblPr>
        <w:tblStyle w:val="20"/>
        <w:tblW w:w="8657" w:type="dxa"/>
        <w:jc w:val="center"/>
        <w:tblInd w:w="0" w:type="dxa"/>
        <w:shd w:val="clear" w:color="auto" w:fill="auto"/>
        <w:tblLayout w:type="fixed"/>
        <w:tblCellMar>
          <w:top w:w="0" w:type="dxa"/>
          <w:left w:w="108" w:type="dxa"/>
          <w:bottom w:w="0" w:type="dxa"/>
          <w:right w:w="108" w:type="dxa"/>
        </w:tblCellMar>
      </w:tblPr>
      <w:tblGrid>
        <w:gridCol w:w="738"/>
        <w:gridCol w:w="1210"/>
        <w:gridCol w:w="1170"/>
        <w:gridCol w:w="3214"/>
        <w:gridCol w:w="872"/>
        <w:gridCol w:w="557"/>
        <w:gridCol w:w="896"/>
      </w:tblGrid>
      <w:tr>
        <w:tblPrEx>
          <w:tblLayout w:type="fixed"/>
          <w:tblCellMar>
            <w:top w:w="0" w:type="dxa"/>
            <w:left w:w="108" w:type="dxa"/>
            <w:bottom w:w="0" w:type="dxa"/>
            <w:right w:w="108" w:type="dxa"/>
          </w:tblCellMar>
        </w:tblPrEx>
        <w:trPr>
          <w:trHeight w:val="877" w:hRule="atLeast"/>
          <w:jc w:val="center"/>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项目</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项目明细</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天数</w:t>
            </w:r>
          </w:p>
        </w:tc>
      </w:tr>
      <w:tr>
        <w:tblPrEx>
          <w:tblLayout w:type="fixed"/>
          <w:tblCellMar>
            <w:top w:w="0" w:type="dxa"/>
            <w:left w:w="108" w:type="dxa"/>
            <w:bottom w:w="0" w:type="dxa"/>
            <w:right w:w="108" w:type="dxa"/>
          </w:tblCellMar>
        </w:tblPrEx>
        <w:trPr>
          <w:trHeight w:val="560" w:hRule="atLeast"/>
          <w:jc w:val="center"/>
        </w:trPr>
        <w:tc>
          <w:tcPr>
            <w:tcW w:w="738" w:type="dxa"/>
            <w:vMerge w:val="restart"/>
            <w:tcBorders>
              <w:top w:val="nil"/>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开幕式及报到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报到处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签到背景</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10m*3m桁架喷绘</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0" w:hRule="atLeast"/>
          <w:jc w:val="center"/>
        </w:trPr>
        <w:tc>
          <w:tcPr>
            <w:tcW w:w="7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210"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主舞台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主背景</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≤20m*5m桁架喷绘户外</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0" w:hRule="atLeast"/>
          <w:jc w:val="center"/>
        </w:trPr>
        <w:tc>
          <w:tcPr>
            <w:tcW w:w="7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2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音响</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线阵音响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r>
      <w:tr>
        <w:tblPrEx>
          <w:tblLayout w:type="fixed"/>
          <w:tblCellMar>
            <w:top w:w="0" w:type="dxa"/>
            <w:left w:w="108" w:type="dxa"/>
            <w:bottom w:w="0" w:type="dxa"/>
            <w:right w:w="108" w:type="dxa"/>
          </w:tblCellMar>
        </w:tblPrEx>
        <w:trPr>
          <w:trHeight w:val="560" w:hRule="atLeast"/>
          <w:jc w:val="center"/>
        </w:trPr>
        <w:tc>
          <w:tcPr>
            <w:tcW w:w="7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21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人员</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主持人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市及以上电视台主持人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人</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0.5</w:t>
            </w:r>
          </w:p>
        </w:tc>
      </w:tr>
      <w:tr>
        <w:tblPrEx>
          <w:shd w:val="clear" w:color="auto" w:fill="auto"/>
          <w:tblLayout w:type="fixed"/>
          <w:tblCellMar>
            <w:top w:w="0" w:type="dxa"/>
            <w:left w:w="108" w:type="dxa"/>
            <w:bottom w:w="0" w:type="dxa"/>
            <w:right w:w="108" w:type="dxa"/>
          </w:tblCellMar>
        </w:tblPrEx>
        <w:trPr>
          <w:trHeight w:val="570" w:hRule="atLeast"/>
          <w:jc w:val="center"/>
        </w:trPr>
        <w:tc>
          <w:tcPr>
            <w:tcW w:w="73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21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礼仪</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含彩排.身高1.70以上</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108" w:type="dxa"/>
            <w:bottom w:w="0" w:type="dxa"/>
            <w:right w:w="108" w:type="dxa"/>
          </w:tblCellMar>
        </w:tblPrEx>
        <w:trPr>
          <w:trHeight w:val="570" w:hRule="atLeast"/>
          <w:jc w:val="center"/>
        </w:trPr>
        <w:tc>
          <w:tcPr>
            <w:tcW w:w="7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2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trike/>
                <w:color w:val="FF0000"/>
                <w:kern w:val="0"/>
                <w:sz w:val="24"/>
                <w:szCs w:val="24"/>
                <w:highlight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trike/>
                <w:color w:val="auto"/>
                <w:kern w:val="0"/>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trike/>
                <w:color w:val="auto"/>
                <w:kern w:val="0"/>
                <w:sz w:val="24"/>
                <w:szCs w:val="24"/>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trike/>
                <w:color w:val="auto"/>
                <w:kern w:val="0"/>
                <w:sz w:val="24"/>
                <w:szCs w:val="24"/>
                <w:highlight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trike/>
                <w:color w:val="auto"/>
                <w:kern w:val="0"/>
                <w:sz w:val="24"/>
                <w:szCs w:val="24"/>
                <w:highlight w:val="none"/>
              </w:rPr>
            </w:pPr>
          </w:p>
        </w:tc>
      </w:tr>
    </w:tbl>
    <w:p>
      <w:pPr>
        <w:spacing w:line="360" w:lineRule="auto"/>
        <w:rPr>
          <w:rFonts w:ascii="宋体" w:cs="宋体"/>
          <w:sz w:val="24"/>
          <w:szCs w:val="24"/>
        </w:rPr>
      </w:pPr>
      <w:r>
        <w:rPr>
          <w:rFonts w:ascii="宋体" w:hAnsi="宋体" w:cs="宋体"/>
          <w:b/>
          <w:sz w:val="24"/>
          <w:szCs w:val="24"/>
        </w:rPr>
        <w:t>3.1</w:t>
      </w:r>
      <w:r>
        <w:rPr>
          <w:rFonts w:hint="eastAsia" w:ascii="宋体" w:hAnsi="宋体" w:cs="宋体"/>
          <w:b/>
          <w:sz w:val="24"/>
          <w:szCs w:val="24"/>
        </w:rPr>
        <w:t>、</w:t>
      </w:r>
      <w:r>
        <w:rPr>
          <w:rFonts w:hint="eastAsia" w:ascii="宋体" w:hAnsi="宋体" w:cs="宋体"/>
          <w:b/>
          <w:color w:val="000000"/>
          <w:sz w:val="24"/>
          <w:szCs w:val="24"/>
        </w:rPr>
        <w:t>场地宣传布置。</w:t>
      </w:r>
      <w:r>
        <w:rPr>
          <w:rFonts w:hint="eastAsia" w:ascii="宋体" w:hAnsi="宋体" w:cs="宋体"/>
          <w:sz w:val="24"/>
          <w:szCs w:val="24"/>
        </w:rPr>
        <w:t>供应商须根据活动情况明确划分各功能区，场地宣传布置</w:t>
      </w:r>
      <w:r>
        <w:rPr>
          <w:rFonts w:hint="eastAsia" w:ascii="宋体" w:hAnsi="宋体" w:cs="宋体"/>
          <w:color w:val="auto"/>
          <w:sz w:val="24"/>
          <w:szCs w:val="24"/>
        </w:rPr>
        <w:t>到位。要求：背景搭建布置须贴合大赛主旨，内容须符合大赛风格，包含背景墙、签到墙、横幅。背景墙、签到墙</w:t>
      </w:r>
      <w:r>
        <w:rPr>
          <w:rFonts w:hint="eastAsia" w:ascii="宋体" w:hAnsi="宋体" w:cs="宋体"/>
          <w:sz w:val="24"/>
          <w:szCs w:val="24"/>
        </w:rPr>
        <w:t>、横幅要按照室外场地大小合理设计尺寸。</w:t>
      </w:r>
    </w:p>
    <w:p>
      <w:pPr>
        <w:spacing w:line="360" w:lineRule="auto"/>
        <w:rPr>
          <w:rFonts w:ascii="宋体" w:cs="宋体"/>
          <w:b/>
          <w:sz w:val="24"/>
          <w:szCs w:val="24"/>
        </w:rPr>
      </w:pPr>
      <w:r>
        <w:rPr>
          <w:rFonts w:ascii="宋体" w:hAnsi="宋体" w:cs="宋体"/>
          <w:b/>
          <w:sz w:val="24"/>
          <w:szCs w:val="24"/>
        </w:rPr>
        <w:t>3.2</w:t>
      </w:r>
      <w:r>
        <w:rPr>
          <w:rFonts w:hint="eastAsia" w:ascii="宋体" w:hAnsi="宋体" w:cs="宋体"/>
          <w:b/>
          <w:sz w:val="24"/>
          <w:szCs w:val="24"/>
        </w:rPr>
        <w:t>、开、闭幕式</w:t>
      </w:r>
    </w:p>
    <w:p>
      <w:pPr>
        <w:spacing w:line="360" w:lineRule="auto"/>
        <w:rPr>
          <w:rFonts w:ascii="宋体" w:cs="宋体"/>
          <w:sz w:val="24"/>
          <w:szCs w:val="24"/>
        </w:rPr>
      </w:pPr>
      <w:r>
        <w:rPr>
          <w:rFonts w:ascii="宋体" w:hAnsi="宋体" w:cs="宋体"/>
          <w:b/>
          <w:sz w:val="24"/>
          <w:szCs w:val="24"/>
        </w:rPr>
        <w:t>3.2.1</w:t>
      </w:r>
      <w:r>
        <w:rPr>
          <w:rFonts w:hint="eastAsia" w:ascii="宋体" w:hAnsi="宋体" w:cs="宋体"/>
          <w:b/>
          <w:sz w:val="24"/>
          <w:szCs w:val="24"/>
        </w:rPr>
        <w:t>、开、闭幕式现场。</w:t>
      </w:r>
      <w:r>
        <w:rPr>
          <w:rFonts w:hint="eastAsia" w:ascii="宋体" w:hAnsi="宋体" w:cs="宋体"/>
          <w:sz w:val="24"/>
          <w:szCs w:val="24"/>
        </w:rPr>
        <w:t>供应商需提供包含但不限于开幕式现场音乐、视频背景，由采购人审定后在比赛中使用。</w:t>
      </w:r>
    </w:p>
    <w:p>
      <w:pPr>
        <w:spacing w:line="360" w:lineRule="auto"/>
        <w:rPr>
          <w:rFonts w:ascii="宋体" w:cs="宋体"/>
          <w:sz w:val="24"/>
          <w:szCs w:val="24"/>
        </w:rPr>
      </w:pPr>
      <w:r>
        <w:rPr>
          <w:rFonts w:ascii="宋体" w:hAnsi="宋体" w:cs="宋体"/>
          <w:b/>
          <w:sz w:val="24"/>
          <w:szCs w:val="24"/>
        </w:rPr>
        <w:t>3.2.2</w:t>
      </w:r>
      <w:r>
        <w:rPr>
          <w:rFonts w:hint="eastAsia" w:ascii="宋体" w:hAnsi="宋体" w:cs="宋体"/>
          <w:b/>
          <w:sz w:val="24"/>
          <w:szCs w:val="24"/>
        </w:rPr>
        <w:t>、开幕式议程。</w:t>
      </w:r>
      <w:r>
        <w:rPr>
          <w:rFonts w:hint="eastAsia" w:ascii="宋体" w:hAnsi="宋体" w:cs="宋体"/>
          <w:sz w:val="24"/>
          <w:szCs w:val="24"/>
        </w:rPr>
        <w:t>供应商需根据采购方具体要求做好安排，包括领导讲话、比赛选手入场仪式、宣誓仪式环节，负责安排话筒音响、现场音乐、配备发言台及协调升旗仪式。</w:t>
      </w:r>
    </w:p>
    <w:p>
      <w:pPr>
        <w:spacing w:line="360" w:lineRule="auto"/>
        <w:rPr>
          <w:rFonts w:ascii="宋体" w:cs="宋体"/>
          <w:b/>
          <w:sz w:val="24"/>
          <w:szCs w:val="24"/>
        </w:rPr>
      </w:pPr>
      <w:r>
        <w:rPr>
          <w:rFonts w:ascii="宋体" w:hAnsi="宋体" w:cs="宋体"/>
          <w:b/>
          <w:sz w:val="24"/>
          <w:szCs w:val="24"/>
        </w:rPr>
        <w:t>3.2.3</w:t>
      </w:r>
      <w:r>
        <w:rPr>
          <w:rFonts w:hint="eastAsia" w:ascii="宋体" w:hAnsi="宋体" w:cs="宋体"/>
          <w:b/>
          <w:sz w:val="24"/>
          <w:szCs w:val="24"/>
        </w:rPr>
        <w:t>、闭幕式议程。</w:t>
      </w:r>
      <w:r>
        <w:rPr>
          <w:rFonts w:hint="eastAsia" w:ascii="宋体" w:hAnsi="宋体" w:cs="宋体"/>
          <w:sz w:val="24"/>
          <w:szCs w:val="24"/>
        </w:rPr>
        <w:t>供应商须根据采购方要求做好活动安排，包括负责提供领奖台、现场颁奖音乐，安排颁奖仪式、话筒音响及领导与选手合影留念。</w:t>
      </w:r>
    </w:p>
    <w:p>
      <w:pPr>
        <w:spacing w:line="360" w:lineRule="auto"/>
        <w:rPr>
          <w:rFonts w:ascii="宋体" w:cs="宋体"/>
          <w:sz w:val="24"/>
          <w:szCs w:val="24"/>
        </w:rPr>
      </w:pPr>
      <w:r>
        <w:rPr>
          <w:rFonts w:ascii="宋体" w:hAnsi="宋体" w:cs="宋体"/>
          <w:b/>
          <w:sz w:val="24"/>
          <w:szCs w:val="24"/>
        </w:rPr>
        <w:t>3.3</w:t>
      </w:r>
      <w:r>
        <w:rPr>
          <w:rFonts w:hint="eastAsia" w:ascii="宋体" w:hAnsi="宋体" w:cs="宋体"/>
          <w:b/>
          <w:sz w:val="24"/>
          <w:szCs w:val="24"/>
        </w:rPr>
        <w:t>、活动文创周边及比赛平面宣传资料设计制作。</w:t>
      </w:r>
      <w:r>
        <w:rPr>
          <w:rFonts w:hint="eastAsia" w:ascii="宋体" w:hAnsi="宋体" w:cs="宋体"/>
          <w:sz w:val="24"/>
          <w:szCs w:val="24"/>
        </w:rPr>
        <w:t>文创周边产品及比赛平面宣传资料的设计主题要紧紧围绕“</w:t>
      </w:r>
      <w:r>
        <w:rPr>
          <w:rFonts w:hint="eastAsia" w:ascii="宋体" w:hAnsi="宋体" w:cs="宋体"/>
          <w:bCs/>
          <w:color w:val="000000"/>
          <w:sz w:val="24"/>
          <w:szCs w:val="24"/>
        </w:rPr>
        <w:t>技兴林检、创新未来”比赛</w:t>
      </w:r>
      <w:r>
        <w:rPr>
          <w:rFonts w:hint="eastAsia" w:ascii="宋体" w:hAnsi="宋体" w:cs="宋体"/>
          <w:sz w:val="24"/>
          <w:szCs w:val="24"/>
        </w:rPr>
        <w:t>精神，设计方案必须做到清晰、完整，格式统一。</w:t>
      </w:r>
    </w:p>
    <w:p>
      <w:pPr>
        <w:spacing w:line="360" w:lineRule="auto"/>
        <w:rPr>
          <w:rFonts w:ascii="宋体" w:cs="宋体"/>
          <w:sz w:val="24"/>
          <w:szCs w:val="24"/>
        </w:rPr>
      </w:pPr>
      <w:r>
        <w:rPr>
          <w:rFonts w:ascii="宋体" w:hAnsi="宋体" w:cs="宋体"/>
          <w:b/>
          <w:sz w:val="24"/>
          <w:szCs w:val="24"/>
        </w:rPr>
        <w:t>3.3.1</w:t>
      </w:r>
      <w:r>
        <w:rPr>
          <w:rFonts w:hint="eastAsia" w:ascii="宋体" w:hAnsi="宋体" w:cs="宋体"/>
          <w:b/>
          <w:sz w:val="24"/>
          <w:szCs w:val="24"/>
        </w:rPr>
        <w:t>、设计、制作大赛吉祥物，制作比赛活动周边产品，≤</w:t>
      </w:r>
      <w:r>
        <w:rPr>
          <w:rFonts w:ascii="宋体" w:hAnsi="宋体" w:cs="宋体"/>
          <w:b/>
          <w:sz w:val="24"/>
          <w:szCs w:val="24"/>
        </w:rPr>
        <w:t>200</w:t>
      </w:r>
      <w:r>
        <w:rPr>
          <w:rFonts w:hint="eastAsia" w:ascii="宋体" w:hAnsi="宋体" w:cs="宋体"/>
          <w:b/>
          <w:sz w:val="24"/>
          <w:szCs w:val="24"/>
        </w:rPr>
        <w:t>套（含吉祥物），每套≤</w:t>
      </w:r>
      <w:r>
        <w:rPr>
          <w:rFonts w:ascii="宋体" w:hAnsi="宋体" w:cs="宋体"/>
          <w:b/>
          <w:sz w:val="24"/>
          <w:szCs w:val="24"/>
        </w:rPr>
        <w:t>300</w:t>
      </w:r>
      <w:r>
        <w:rPr>
          <w:rFonts w:hint="eastAsia" w:ascii="宋体" w:hAnsi="宋体" w:cs="宋体"/>
          <w:b/>
          <w:sz w:val="24"/>
          <w:szCs w:val="24"/>
        </w:rPr>
        <w:t>元。吉祥物</w:t>
      </w:r>
      <w:r>
        <w:rPr>
          <w:rFonts w:hint="eastAsia" w:ascii="宋体" w:hAnsi="宋体" w:cs="宋体"/>
          <w:sz w:val="24"/>
          <w:szCs w:val="24"/>
        </w:rPr>
        <w:t>材质为弹力棉内充布质玩偶，要求有林检元素。文创周边产品详细配置由采购人根据实际在赛前确定后提交给中标方。</w:t>
      </w:r>
    </w:p>
    <w:p>
      <w:pPr>
        <w:spacing w:line="360" w:lineRule="auto"/>
        <w:rPr>
          <w:rFonts w:ascii="宋体" w:cs="宋体"/>
          <w:sz w:val="24"/>
          <w:szCs w:val="24"/>
        </w:rPr>
      </w:pPr>
      <w:r>
        <w:rPr>
          <w:rFonts w:ascii="宋体" w:hAnsi="宋体" w:cs="宋体"/>
          <w:sz w:val="24"/>
          <w:szCs w:val="24"/>
        </w:rPr>
        <w:t>3.3.2</w:t>
      </w:r>
      <w:r>
        <w:rPr>
          <w:rFonts w:hint="eastAsia" w:ascii="宋体" w:hAnsi="宋体" w:cs="宋体"/>
          <w:sz w:val="24"/>
          <w:szCs w:val="24"/>
        </w:rPr>
        <w:t>、设计制作比赛平面宣传资料。供应商必须结合比赛活动主题、特色，设计比赛平面宣传资料的统一格式版本，制作活动邀请函（包括电子邀请函）、奖牌（≤</w:t>
      </w:r>
      <w:r>
        <w:rPr>
          <w:rFonts w:ascii="宋体" w:hAnsi="宋体" w:cs="宋体"/>
          <w:sz w:val="24"/>
          <w:szCs w:val="24"/>
        </w:rPr>
        <w:t>12</w:t>
      </w:r>
      <w:r>
        <w:rPr>
          <w:rFonts w:hint="eastAsia" w:ascii="宋体" w:hAnsi="宋体" w:cs="宋体"/>
          <w:sz w:val="24"/>
          <w:szCs w:val="24"/>
        </w:rPr>
        <w:t>个）、证书（≤</w:t>
      </w:r>
      <w:r>
        <w:rPr>
          <w:rFonts w:ascii="宋体" w:hAnsi="宋体" w:cs="宋体"/>
          <w:sz w:val="24"/>
          <w:szCs w:val="24"/>
        </w:rPr>
        <w:t>60</w:t>
      </w:r>
      <w:r>
        <w:rPr>
          <w:rFonts w:hint="eastAsia" w:ascii="宋体" w:hAnsi="宋体" w:cs="宋体"/>
          <w:sz w:val="24"/>
          <w:szCs w:val="24"/>
        </w:rPr>
        <w:t>本）、工作证（</w:t>
      </w:r>
      <w:r>
        <w:rPr>
          <w:rFonts w:ascii="宋体" w:hAnsi="宋体" w:cs="宋体"/>
          <w:sz w:val="24"/>
          <w:szCs w:val="24"/>
        </w:rPr>
        <w:t>PVC</w:t>
      </w:r>
      <w:r>
        <w:rPr>
          <w:rFonts w:hint="eastAsia" w:ascii="宋体" w:hAnsi="宋体" w:cs="宋体"/>
          <w:sz w:val="24"/>
          <w:szCs w:val="24"/>
        </w:rPr>
        <w:t>双面，</w:t>
      </w:r>
      <w:r>
        <w:rPr>
          <w:rFonts w:ascii="宋体" w:hAnsi="宋体" w:cs="宋体"/>
          <w:sz w:val="24"/>
          <w:szCs w:val="24"/>
        </w:rPr>
        <w:t>50</w:t>
      </w:r>
      <w:r>
        <w:rPr>
          <w:rFonts w:hint="eastAsia" w:ascii="宋体" w:hAnsi="宋体" w:cs="宋体"/>
          <w:sz w:val="24"/>
          <w:szCs w:val="24"/>
        </w:rPr>
        <w:t>个）、引导牌（门展</w:t>
      </w:r>
      <w:r>
        <w:rPr>
          <w:rFonts w:ascii="宋体" w:hAnsi="宋体" w:cs="宋体"/>
          <w:sz w:val="24"/>
          <w:szCs w:val="24"/>
        </w:rPr>
        <w:t>80*180mm</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个）、号码牌（</w:t>
      </w:r>
      <w:r>
        <w:rPr>
          <w:rFonts w:ascii="宋体" w:hAnsi="宋体" w:cs="宋体"/>
          <w:sz w:val="24"/>
          <w:szCs w:val="24"/>
        </w:rPr>
        <w:t>60</w:t>
      </w:r>
      <w:r>
        <w:rPr>
          <w:rFonts w:hint="eastAsia" w:ascii="宋体" w:hAnsi="宋体" w:cs="宋体"/>
          <w:sz w:val="24"/>
          <w:szCs w:val="24"/>
        </w:rPr>
        <w:t>个）、裁判证（</w:t>
      </w:r>
      <w:r>
        <w:rPr>
          <w:rFonts w:ascii="宋体" w:hAnsi="宋体" w:cs="宋体"/>
          <w:sz w:val="24"/>
          <w:szCs w:val="24"/>
        </w:rPr>
        <w:t>PVC</w:t>
      </w:r>
      <w:r>
        <w:rPr>
          <w:rFonts w:hint="eastAsia" w:ascii="宋体" w:hAnsi="宋体" w:cs="宋体"/>
          <w:sz w:val="24"/>
          <w:szCs w:val="24"/>
        </w:rPr>
        <w:t>双面，</w:t>
      </w:r>
      <w:r>
        <w:rPr>
          <w:rFonts w:ascii="宋体" w:hAnsi="宋体" w:cs="宋体"/>
          <w:sz w:val="24"/>
          <w:szCs w:val="24"/>
        </w:rPr>
        <w:t>13</w:t>
      </w:r>
      <w:r>
        <w:rPr>
          <w:rFonts w:hint="eastAsia" w:ascii="宋体" w:hAnsi="宋体" w:cs="宋体"/>
          <w:sz w:val="24"/>
          <w:szCs w:val="24"/>
        </w:rPr>
        <w:t>个）、助理裁判证（</w:t>
      </w:r>
      <w:r>
        <w:rPr>
          <w:rFonts w:ascii="宋体" w:hAnsi="宋体" w:cs="宋体"/>
          <w:sz w:val="24"/>
          <w:szCs w:val="24"/>
        </w:rPr>
        <w:t>PVC</w:t>
      </w:r>
      <w:r>
        <w:rPr>
          <w:rFonts w:hint="eastAsia" w:ascii="宋体" w:hAnsi="宋体" w:cs="宋体"/>
          <w:sz w:val="24"/>
          <w:szCs w:val="24"/>
        </w:rPr>
        <w:t>双面，</w:t>
      </w:r>
      <w:r>
        <w:rPr>
          <w:rFonts w:ascii="宋体" w:hAnsi="宋体" w:cs="宋体"/>
          <w:sz w:val="24"/>
          <w:szCs w:val="24"/>
        </w:rPr>
        <w:t>12</w:t>
      </w:r>
      <w:r>
        <w:rPr>
          <w:rFonts w:hint="eastAsia" w:ascii="宋体" w:hAnsi="宋体" w:cs="宋体"/>
          <w:sz w:val="24"/>
          <w:szCs w:val="24"/>
        </w:rPr>
        <w:t>个）等，具体要求和数量由采购人根据需要进行确定。</w:t>
      </w:r>
    </w:p>
    <w:p>
      <w:pPr>
        <w:spacing w:line="360" w:lineRule="auto"/>
        <w:rPr>
          <w:rFonts w:ascii="宋体" w:cs="宋体"/>
          <w:b/>
          <w:sz w:val="24"/>
          <w:szCs w:val="24"/>
        </w:rPr>
      </w:pPr>
      <w:r>
        <w:rPr>
          <w:rFonts w:ascii="宋体" w:hAnsi="宋体" w:cs="宋体"/>
          <w:b/>
          <w:sz w:val="24"/>
          <w:szCs w:val="24"/>
        </w:rPr>
        <w:t>3.4</w:t>
      </w:r>
      <w:r>
        <w:rPr>
          <w:rFonts w:hint="eastAsia" w:ascii="宋体" w:hAnsi="宋体" w:cs="宋体"/>
          <w:b/>
          <w:sz w:val="24"/>
          <w:szCs w:val="24"/>
        </w:rPr>
        <w:t>、比赛活动工作人员配备</w:t>
      </w:r>
    </w:p>
    <w:p>
      <w:pPr>
        <w:spacing w:line="360" w:lineRule="auto"/>
        <w:rPr>
          <w:rFonts w:ascii="宋体" w:cs="宋体"/>
          <w:sz w:val="24"/>
          <w:szCs w:val="24"/>
        </w:rPr>
      </w:pPr>
      <w:r>
        <w:rPr>
          <w:rFonts w:ascii="宋体" w:hAnsi="宋体" w:cs="宋体"/>
          <w:sz w:val="24"/>
          <w:szCs w:val="24"/>
        </w:rPr>
        <w:t>3.4.1</w:t>
      </w:r>
      <w:r>
        <w:rPr>
          <w:rFonts w:hint="eastAsia" w:ascii="宋体" w:hAnsi="宋体" w:cs="宋体"/>
          <w:sz w:val="24"/>
          <w:szCs w:val="24"/>
        </w:rPr>
        <w:t>、供应商须在开幕式配备主持人一名。要求市电视台及以上专业主持人，男女不限。配备礼仪</w:t>
      </w:r>
      <w:r>
        <w:rPr>
          <w:rFonts w:ascii="宋体" w:hAnsi="宋体" w:cs="宋体"/>
          <w:sz w:val="24"/>
          <w:szCs w:val="24"/>
        </w:rPr>
        <w:t>4</w:t>
      </w:r>
      <w:r>
        <w:rPr>
          <w:rFonts w:hint="eastAsia" w:ascii="宋体" w:hAnsi="宋体" w:cs="宋体"/>
          <w:sz w:val="24"/>
          <w:szCs w:val="24"/>
        </w:rPr>
        <w:t>人、举牌员</w:t>
      </w:r>
      <w:r>
        <w:rPr>
          <w:rFonts w:ascii="宋体" w:hAnsi="宋体" w:cs="宋体"/>
          <w:sz w:val="24"/>
          <w:szCs w:val="24"/>
        </w:rPr>
        <w:t>12</w:t>
      </w:r>
      <w:r>
        <w:rPr>
          <w:rFonts w:hint="eastAsia" w:ascii="宋体" w:hAnsi="宋体" w:cs="宋体"/>
          <w:sz w:val="24"/>
          <w:szCs w:val="24"/>
        </w:rPr>
        <w:t>人，要求女性，年龄在</w:t>
      </w:r>
      <w:r>
        <w:rPr>
          <w:rFonts w:ascii="宋体" w:hAnsi="宋体" w:cs="宋体"/>
          <w:sz w:val="24"/>
          <w:szCs w:val="24"/>
        </w:rPr>
        <w:t>30</w:t>
      </w:r>
      <w:r>
        <w:rPr>
          <w:rFonts w:hint="eastAsia" w:ascii="宋体" w:hAnsi="宋体" w:cs="宋体"/>
          <w:sz w:val="24"/>
          <w:szCs w:val="24"/>
        </w:rPr>
        <w:t>岁以下，身体健康，仪表端庄、身高</w:t>
      </w:r>
      <w:r>
        <w:rPr>
          <w:rFonts w:ascii="宋体" w:hAnsi="宋体" w:cs="宋体"/>
          <w:sz w:val="24"/>
          <w:szCs w:val="24"/>
        </w:rPr>
        <w:t>1.60</w:t>
      </w:r>
      <w:r>
        <w:rPr>
          <w:rFonts w:hint="eastAsia" w:ascii="宋体" w:hAnsi="宋体" w:cs="宋体"/>
          <w:sz w:val="24"/>
          <w:szCs w:val="24"/>
        </w:rPr>
        <w:t>米以上（含），有大赛活动经验。</w:t>
      </w:r>
    </w:p>
    <w:p>
      <w:pPr>
        <w:spacing w:line="360" w:lineRule="auto"/>
        <w:rPr>
          <w:rFonts w:ascii="宋体" w:cs="宋体"/>
          <w:sz w:val="24"/>
          <w:szCs w:val="24"/>
        </w:rPr>
      </w:pPr>
      <w:r>
        <w:rPr>
          <w:rFonts w:ascii="宋体" w:hAnsi="宋体" w:cs="宋体"/>
          <w:sz w:val="24"/>
          <w:szCs w:val="24"/>
        </w:rPr>
        <w:t>3.4.2</w:t>
      </w:r>
      <w:r>
        <w:rPr>
          <w:rFonts w:hint="eastAsia" w:ascii="宋体" w:hAnsi="宋体" w:cs="宋体"/>
          <w:sz w:val="24"/>
          <w:szCs w:val="24"/>
        </w:rPr>
        <w:t>、供应商须在比赛现场及闭幕式需配备播音员一名。全程跟赛，直至闭幕式结束，普通话标准，有播音经验，男女不限。</w:t>
      </w:r>
    </w:p>
    <w:p>
      <w:pPr>
        <w:spacing w:line="360" w:lineRule="auto"/>
        <w:rPr>
          <w:rFonts w:ascii="宋体" w:cs="宋体"/>
          <w:sz w:val="24"/>
          <w:szCs w:val="24"/>
        </w:rPr>
      </w:pPr>
      <w:r>
        <w:rPr>
          <w:rFonts w:ascii="宋体" w:hAnsi="宋体" w:cs="宋体"/>
          <w:sz w:val="24"/>
          <w:szCs w:val="24"/>
        </w:rPr>
        <w:t>3.4.3</w:t>
      </w:r>
      <w:r>
        <w:rPr>
          <w:rFonts w:hint="eastAsia" w:ascii="宋体" w:hAnsi="宋体" w:cs="宋体"/>
          <w:sz w:val="24"/>
          <w:szCs w:val="24"/>
        </w:rPr>
        <w:t>、比赛活动参赛工作人员着装，≤</w:t>
      </w:r>
      <w:r>
        <w:rPr>
          <w:rFonts w:ascii="宋体" w:hAnsi="宋体" w:cs="宋体"/>
          <w:sz w:val="24"/>
          <w:szCs w:val="24"/>
        </w:rPr>
        <w:t>100</w:t>
      </w:r>
      <w:r>
        <w:rPr>
          <w:rFonts w:hint="eastAsia" w:ascii="宋体" w:hAnsi="宋体" w:cs="宋体"/>
          <w:sz w:val="24"/>
          <w:szCs w:val="24"/>
        </w:rPr>
        <w:t>套，每套≤</w:t>
      </w:r>
      <w:r>
        <w:rPr>
          <w:rFonts w:ascii="宋体" w:hAnsi="宋体" w:cs="宋体"/>
          <w:sz w:val="24"/>
          <w:szCs w:val="24"/>
        </w:rPr>
        <w:t>300</w:t>
      </w:r>
      <w:r>
        <w:rPr>
          <w:rFonts w:hint="eastAsia" w:ascii="宋体" w:hAnsi="宋体" w:cs="宋体"/>
          <w:sz w:val="24"/>
          <w:szCs w:val="24"/>
        </w:rPr>
        <w:t>元。工作人员根据需要进行统一着装，运动</w:t>
      </w:r>
      <w:r>
        <w:rPr>
          <w:rFonts w:ascii="宋体" w:hAnsi="宋体" w:cs="宋体"/>
          <w:sz w:val="24"/>
          <w:szCs w:val="24"/>
        </w:rPr>
        <w:t>T</w:t>
      </w:r>
      <w:r>
        <w:rPr>
          <w:rFonts w:hint="eastAsia" w:ascii="宋体" w:hAnsi="宋体" w:cs="宋体"/>
          <w:sz w:val="24"/>
          <w:szCs w:val="24"/>
        </w:rPr>
        <w:t>恤及运动长裤各一件，要求速干面料，含</w:t>
      </w:r>
      <w:r>
        <w:rPr>
          <w:rFonts w:ascii="宋体" w:hAnsi="宋体" w:cs="宋体"/>
          <w:sz w:val="24"/>
          <w:szCs w:val="24"/>
        </w:rPr>
        <w:t>80%</w:t>
      </w:r>
      <w:r>
        <w:rPr>
          <w:rFonts w:hint="eastAsia" w:ascii="宋体" w:hAnsi="宋体" w:cs="宋体"/>
          <w:sz w:val="24"/>
          <w:szCs w:val="24"/>
        </w:rPr>
        <w:t>聚酯纤维</w:t>
      </w:r>
      <w:r>
        <w:rPr>
          <w:rFonts w:ascii="宋体" w:hAnsi="宋体" w:cs="宋体"/>
          <w:sz w:val="24"/>
          <w:szCs w:val="24"/>
        </w:rPr>
        <w:t>+20%</w:t>
      </w:r>
      <w:r>
        <w:rPr>
          <w:rFonts w:hint="eastAsia" w:ascii="宋体" w:hAnsi="宋体" w:cs="宋体"/>
          <w:sz w:val="24"/>
          <w:szCs w:val="24"/>
        </w:rPr>
        <w:t>氨纶或含</w:t>
      </w:r>
      <w:r>
        <w:rPr>
          <w:rFonts w:ascii="宋体" w:hAnsi="宋体" w:cs="宋体"/>
          <w:sz w:val="24"/>
          <w:szCs w:val="24"/>
        </w:rPr>
        <w:t>Coolmax active</w:t>
      </w:r>
      <w:r>
        <w:rPr>
          <w:rFonts w:hint="eastAsia" w:ascii="宋体" w:hAnsi="宋体" w:cs="宋体"/>
          <w:sz w:val="24"/>
          <w:szCs w:val="24"/>
        </w:rPr>
        <w:t>，服装吸湿及快干能力的性能指标需达到国标</w:t>
      </w:r>
      <w:r>
        <w:rPr>
          <w:rFonts w:ascii="宋体" w:hAnsi="宋体" w:cs="宋体"/>
          <w:bCs/>
          <w:sz w:val="24"/>
          <w:szCs w:val="24"/>
        </w:rPr>
        <w:t>GB/T 21655.2-2019</w:t>
      </w:r>
      <w:r>
        <w:rPr>
          <w:rFonts w:hint="eastAsia" w:ascii="宋体" w:hAnsi="宋体" w:cs="宋体"/>
          <w:sz w:val="24"/>
          <w:szCs w:val="24"/>
        </w:rPr>
        <w:t>《纺织品</w:t>
      </w:r>
      <w:r>
        <w:rPr>
          <w:rFonts w:ascii="宋体" w:hAnsi="宋体" w:cs="宋体"/>
          <w:sz w:val="24"/>
          <w:szCs w:val="24"/>
        </w:rPr>
        <w:t xml:space="preserve"> </w:t>
      </w:r>
      <w:r>
        <w:rPr>
          <w:rFonts w:hint="eastAsia" w:ascii="宋体" w:hAnsi="宋体" w:cs="宋体"/>
          <w:sz w:val="24"/>
          <w:szCs w:val="24"/>
        </w:rPr>
        <w:t>吸湿速干性的评定》标准。</w:t>
      </w:r>
    </w:p>
    <w:p>
      <w:pPr>
        <w:spacing w:line="360" w:lineRule="auto"/>
        <w:ind w:firstLine="480" w:firstLineChars="200"/>
        <w:rPr>
          <w:rFonts w:ascii="宋体" w:cs="宋体"/>
          <w:sz w:val="24"/>
          <w:szCs w:val="24"/>
        </w:rPr>
      </w:pPr>
      <w:r>
        <w:rPr>
          <w:rFonts w:hint="eastAsia" w:ascii="宋体" w:hAnsi="宋体" w:cs="宋体"/>
          <w:sz w:val="24"/>
          <w:szCs w:val="24"/>
        </w:rPr>
        <w:t>举牌员、礼仪小姐、助理裁判员、发令员、计时员、检录员、引导员、计分员、收表员、送表员等工作人员要求统一着装</w:t>
      </w:r>
      <w:r>
        <w:rPr>
          <w:rFonts w:hint="eastAsia" w:ascii="宋体" w:hAnsi="宋体" w:cs="宋体"/>
          <w:b/>
          <w:sz w:val="24"/>
          <w:szCs w:val="24"/>
        </w:rPr>
        <w:t>，</w:t>
      </w:r>
      <w:r>
        <w:rPr>
          <w:rFonts w:hint="eastAsia" w:ascii="宋体" w:hAnsi="宋体" w:cs="宋体"/>
          <w:sz w:val="24"/>
          <w:szCs w:val="24"/>
        </w:rPr>
        <w:t>其详细配置由成交供应商根据实际情况决定。</w:t>
      </w:r>
    </w:p>
    <w:p>
      <w:pPr>
        <w:spacing w:line="360" w:lineRule="auto"/>
        <w:rPr>
          <w:rFonts w:ascii="宋体" w:cs="宋体"/>
          <w:sz w:val="24"/>
          <w:szCs w:val="24"/>
        </w:rPr>
      </w:pPr>
      <w:r>
        <w:rPr>
          <w:rFonts w:ascii="宋体" w:hAnsi="宋体" w:cs="宋体"/>
          <w:b/>
          <w:sz w:val="24"/>
          <w:szCs w:val="24"/>
        </w:rPr>
        <w:t>3.5</w:t>
      </w:r>
      <w:r>
        <w:rPr>
          <w:rFonts w:hint="eastAsia" w:ascii="宋体" w:hAnsi="宋体" w:cs="宋体"/>
          <w:b/>
          <w:sz w:val="24"/>
          <w:szCs w:val="24"/>
        </w:rPr>
        <w:t>、摄影制作。</w:t>
      </w:r>
      <w:r>
        <w:rPr>
          <w:rFonts w:hint="eastAsia" w:ascii="宋体" w:hAnsi="宋体" w:cs="宋体"/>
          <w:sz w:val="24"/>
          <w:szCs w:val="24"/>
        </w:rPr>
        <w:t>提交从报道开始到闭幕式结束包含各个过程、内容，不同人员的照片。制作提交包含各个过程、内容，不同人员的视频及光盘，视频时间≥</w:t>
      </w:r>
      <w:r>
        <w:rPr>
          <w:rFonts w:ascii="宋体" w:hAnsi="宋体" w:cs="宋体"/>
          <w:sz w:val="24"/>
          <w:szCs w:val="24"/>
        </w:rPr>
        <w:t>5</w:t>
      </w:r>
      <w:r>
        <w:rPr>
          <w:rFonts w:hint="eastAsia" w:ascii="宋体" w:hAnsi="宋体" w:cs="宋体"/>
          <w:sz w:val="24"/>
          <w:szCs w:val="24"/>
        </w:rPr>
        <w:t>分钟。要求：提供高清</w:t>
      </w:r>
      <w:r>
        <w:rPr>
          <w:rFonts w:ascii="宋体" w:hAnsi="宋体" w:cs="宋体"/>
          <w:sz w:val="24"/>
          <w:szCs w:val="24"/>
        </w:rPr>
        <w:t>HD</w:t>
      </w:r>
      <w:r>
        <w:rPr>
          <w:rFonts w:hint="eastAsia" w:ascii="宋体" w:hAnsi="宋体" w:cs="宋体"/>
          <w:sz w:val="24"/>
          <w:szCs w:val="24"/>
        </w:rPr>
        <w:t>（分辨率为</w:t>
      </w:r>
      <w:r>
        <w:rPr>
          <w:rFonts w:ascii="宋体" w:hAnsi="宋体" w:cs="宋体"/>
          <w:sz w:val="24"/>
          <w:szCs w:val="24"/>
        </w:rPr>
        <w:t>1920</w:t>
      </w:r>
      <w:r>
        <w:rPr>
          <w:rFonts w:hint="eastAsia" w:ascii="宋体" w:hAnsi="宋体" w:cs="宋体"/>
          <w:sz w:val="24"/>
          <w:szCs w:val="24"/>
        </w:rPr>
        <w:t>×</w:t>
      </w:r>
      <w:r>
        <w:rPr>
          <w:rFonts w:ascii="宋体" w:hAnsi="宋体" w:cs="宋体"/>
          <w:sz w:val="24"/>
          <w:szCs w:val="24"/>
        </w:rPr>
        <w:t>1080</w:t>
      </w:r>
      <w:r>
        <w:rPr>
          <w:rFonts w:hint="eastAsia" w:ascii="宋体" w:hAnsi="宋体" w:cs="宋体"/>
          <w:sz w:val="24"/>
          <w:szCs w:val="24"/>
        </w:rPr>
        <w:t>）格式视频（同步字幕）以及比赛高清图片</w:t>
      </w:r>
      <w:r>
        <w:rPr>
          <w:rFonts w:ascii="宋体" w:hAnsi="宋体" w:cs="宋体"/>
          <w:sz w:val="24"/>
          <w:szCs w:val="24"/>
        </w:rPr>
        <w:t>(</w:t>
      </w:r>
      <w:r>
        <w:rPr>
          <w:rFonts w:hint="eastAsia" w:ascii="宋体" w:hAnsi="宋体" w:cs="宋体"/>
          <w:kern w:val="0"/>
          <w:sz w:val="24"/>
          <w:szCs w:val="24"/>
        </w:rPr>
        <w:t>≥</w:t>
      </w:r>
      <w:r>
        <w:rPr>
          <w:rFonts w:ascii="宋体" w:hAnsi="宋体" w:cs="宋体"/>
          <w:sz w:val="24"/>
          <w:szCs w:val="24"/>
        </w:rPr>
        <w:t>200</w:t>
      </w:r>
      <w:r>
        <w:rPr>
          <w:rFonts w:hint="eastAsia" w:ascii="宋体" w:hAnsi="宋体" w:cs="宋体"/>
          <w:sz w:val="24"/>
          <w:szCs w:val="24"/>
        </w:rPr>
        <w:t>万像素</w:t>
      </w:r>
      <w:r>
        <w:rPr>
          <w:rFonts w:ascii="宋体" w:hAnsi="宋体" w:cs="宋体"/>
          <w:sz w:val="24"/>
          <w:szCs w:val="24"/>
        </w:rPr>
        <w:t>)</w:t>
      </w:r>
      <w:r>
        <w:rPr>
          <w:rFonts w:hint="eastAsia" w:ascii="宋体" w:hAnsi="宋体" w:cs="宋体"/>
          <w:sz w:val="24"/>
          <w:szCs w:val="24"/>
        </w:rPr>
        <w:t>。</w:t>
      </w:r>
    </w:p>
    <w:p>
      <w:pPr>
        <w:spacing w:line="360" w:lineRule="auto"/>
        <w:rPr>
          <w:rFonts w:ascii="宋体" w:cs="宋体"/>
          <w:sz w:val="24"/>
          <w:szCs w:val="24"/>
        </w:rPr>
      </w:pPr>
      <w:r>
        <w:rPr>
          <w:rFonts w:ascii="宋体" w:hAnsi="宋体" w:cs="宋体"/>
          <w:b/>
          <w:sz w:val="24"/>
          <w:szCs w:val="24"/>
        </w:rPr>
        <w:t>3.6</w:t>
      </w:r>
      <w:r>
        <w:rPr>
          <w:rFonts w:hint="eastAsia" w:ascii="宋体" w:hAnsi="宋体" w:cs="宋体"/>
          <w:b/>
          <w:sz w:val="24"/>
          <w:szCs w:val="24"/>
        </w:rPr>
        <w:t>、媒体报道。</w:t>
      </w:r>
      <w:r>
        <w:rPr>
          <w:rFonts w:hint="eastAsia" w:ascii="宋体" w:hAnsi="宋体" w:cs="宋体"/>
          <w:sz w:val="24"/>
          <w:szCs w:val="24"/>
        </w:rPr>
        <w:t>省、市或以上</w:t>
      </w:r>
      <w:r>
        <w:rPr>
          <w:rFonts w:ascii="宋体" w:hAnsi="宋体" w:cs="宋体"/>
          <w:sz w:val="24"/>
          <w:szCs w:val="24"/>
        </w:rPr>
        <w:t>5</w:t>
      </w:r>
      <w:r>
        <w:rPr>
          <w:rFonts w:hint="eastAsia" w:ascii="宋体" w:hAnsi="宋体" w:cs="宋体"/>
          <w:sz w:val="24"/>
          <w:szCs w:val="24"/>
        </w:rPr>
        <w:t>家主流媒体报道</w:t>
      </w:r>
      <w:r>
        <w:rPr>
          <w:rFonts w:ascii="宋体" w:hAnsi="宋体" w:cs="宋体"/>
          <w:sz w:val="24"/>
          <w:szCs w:val="24"/>
        </w:rPr>
        <w:t>(</w:t>
      </w:r>
      <w:r>
        <w:rPr>
          <w:rFonts w:hint="eastAsia" w:ascii="宋体" w:hAnsi="宋体" w:cs="宋体"/>
          <w:sz w:val="24"/>
          <w:szCs w:val="24"/>
        </w:rPr>
        <w:t>不含电视媒体</w:t>
      </w:r>
      <w:r>
        <w:rPr>
          <w:rFonts w:ascii="宋体" w:hAnsi="宋体" w:cs="宋体"/>
          <w:sz w:val="24"/>
          <w:szCs w:val="24"/>
        </w:rPr>
        <w:t>)</w:t>
      </w:r>
      <w:r>
        <w:rPr>
          <w:rFonts w:hint="eastAsia" w:ascii="宋体" w:hAnsi="宋体" w:cs="宋体"/>
          <w:sz w:val="24"/>
          <w:szCs w:val="24"/>
        </w:rPr>
        <w:t>。</w:t>
      </w:r>
    </w:p>
    <w:p>
      <w:pPr>
        <w:pStyle w:val="10"/>
        <w:rPr>
          <w:rFonts w:ascii="宋体" w:hAnsi="宋体" w:eastAsia="宋体" w:cs="宋体"/>
          <w:szCs w:val="24"/>
        </w:rPr>
      </w:pPr>
      <w:r>
        <w:rPr>
          <w:rFonts w:ascii="宋体" w:hAnsi="宋体" w:eastAsia="宋体" w:cs="宋体"/>
          <w:szCs w:val="24"/>
        </w:rPr>
        <w:t>3.7</w:t>
      </w:r>
      <w:r>
        <w:rPr>
          <w:rFonts w:hint="eastAsia" w:ascii="宋体" w:hAnsi="宋体" w:eastAsia="宋体" w:cs="宋体"/>
          <w:szCs w:val="24"/>
        </w:rPr>
        <w:t>、供应商“未组织完成技能竞赛的理论考试”或“未组织完成技能竞赛的技能操作考核”或“其他任意两个项目未达到服务要求（任意一个未达到服务要求的，扣合同金额</w:t>
      </w:r>
      <w:r>
        <w:rPr>
          <w:rFonts w:ascii="宋体" w:hAnsi="宋体" w:eastAsia="宋体" w:cs="宋体"/>
          <w:szCs w:val="24"/>
        </w:rPr>
        <w:t>5%</w:t>
      </w:r>
      <w:r>
        <w:rPr>
          <w:rFonts w:hint="eastAsia" w:ascii="宋体" w:hAnsi="宋体" w:eastAsia="宋体" w:cs="宋体"/>
          <w:szCs w:val="24"/>
        </w:rPr>
        <w:t>）”，视为未实质性履行合同，不支付任何费用。在组织比赛过程中环节失误对比赛造成影响的，每次扣合同金额</w:t>
      </w:r>
      <w:r>
        <w:rPr>
          <w:rFonts w:ascii="宋体" w:hAnsi="宋体" w:eastAsia="宋体" w:cs="宋体"/>
          <w:szCs w:val="24"/>
        </w:rPr>
        <w:t>5%</w:t>
      </w:r>
      <w:r>
        <w:rPr>
          <w:rFonts w:hint="eastAsia" w:ascii="宋体" w:hAnsi="宋体" w:eastAsia="宋体" w:cs="宋体"/>
          <w:szCs w:val="24"/>
        </w:rPr>
        <w:t>，两次以上视为未实质性履行合同，不支付任何费用。</w:t>
      </w:r>
    </w:p>
    <w:p>
      <w:pPr>
        <w:spacing w:line="360" w:lineRule="auto"/>
        <w:rPr>
          <w:rFonts w:ascii="宋体" w:cs="宋体"/>
          <w:b/>
          <w:sz w:val="24"/>
          <w:szCs w:val="24"/>
        </w:rPr>
      </w:pPr>
      <w:r>
        <w:rPr>
          <w:rFonts w:hint="eastAsia" w:ascii="宋体" w:hAnsi="宋体" w:cs="宋体"/>
          <w:b/>
          <w:sz w:val="24"/>
          <w:szCs w:val="24"/>
        </w:rPr>
        <w:t>注</w:t>
      </w:r>
      <w:r>
        <w:rPr>
          <w:rFonts w:ascii="宋体" w:hAnsi="宋体" w:cs="宋体"/>
          <w:b/>
          <w:sz w:val="24"/>
          <w:szCs w:val="24"/>
        </w:rPr>
        <w:t xml:space="preserve"> : </w:t>
      </w:r>
      <w:r>
        <w:rPr>
          <w:rFonts w:hint="eastAsia" w:ascii="宋体" w:hAnsi="宋体" w:cs="宋体"/>
          <w:b/>
          <w:sz w:val="24"/>
          <w:szCs w:val="24"/>
        </w:rPr>
        <w:t>以上所有服务要求条款，供应商必须完全响应，否则视为无效响应。</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（二）商务条款</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、付款方式：验收合格后一次性付清</w:t>
      </w:r>
    </w:p>
    <w:p>
      <w:pPr>
        <w:spacing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、服务期：</w:t>
      </w:r>
      <w:r>
        <w:rPr>
          <w:rFonts w:hint="eastAsia" w:ascii="宋体" w:hAnsi="宋体" w:cs="宋体"/>
          <w:sz w:val="24"/>
          <w:szCs w:val="24"/>
        </w:rPr>
        <w:t>合同签订后至项目结束</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、服务地点：采购人指定地点</w:t>
      </w:r>
    </w:p>
    <w:p>
      <w:pPr>
        <w:spacing w:line="360" w:lineRule="auto"/>
        <w:rPr>
          <w:rFonts w:ascii="宋体" w:cs="宋体"/>
          <w:color w:val="000000"/>
          <w:sz w:val="24"/>
          <w:szCs w:val="24"/>
        </w:rPr>
      </w:pPr>
    </w:p>
    <w:p>
      <w:pPr>
        <w:spacing w:line="360" w:lineRule="auto"/>
        <w:rPr>
          <w:rFonts w:ascii="宋体" w:cs="宋体"/>
          <w:color w:val="000000"/>
          <w:sz w:val="24"/>
          <w:szCs w:val="24"/>
        </w:rPr>
      </w:pPr>
    </w:p>
    <w:p>
      <w:pPr>
        <w:rPr>
          <w:rFonts w:ascii="宋体" w:cs="宋体"/>
          <w:b/>
          <w:bCs/>
          <w:sz w:val="32"/>
        </w:rPr>
      </w:pPr>
      <w:bookmarkStart w:id="160" w:name="_Toc446946782"/>
      <w:r>
        <w:rPr>
          <w:rFonts w:ascii="宋体" w:cs="宋体"/>
          <w:b/>
          <w:bCs/>
          <w:sz w:val="32"/>
        </w:rPr>
        <w:br w:type="page"/>
      </w:r>
    </w:p>
    <w:p>
      <w:pPr>
        <w:pStyle w:val="4"/>
        <w:ind w:left="240"/>
        <w:jc w:val="center"/>
        <w:rPr>
          <w:rFonts w:hAnsi="宋体" w:cs="宋体"/>
          <w:b/>
          <w:bCs/>
          <w:sz w:val="32"/>
        </w:rPr>
      </w:pPr>
      <w:bookmarkStart w:id="161" w:name="_Toc17606"/>
      <w:r>
        <w:rPr>
          <w:rFonts w:hint="eastAsia" w:hAnsi="宋体" w:cs="宋体"/>
          <w:b/>
          <w:bCs/>
          <w:sz w:val="32"/>
        </w:rPr>
        <w:t>第六章评审标准</w:t>
      </w:r>
      <w:bookmarkEnd w:id="161"/>
    </w:p>
    <w:bookmarkEnd w:id="160"/>
    <w:p>
      <w:pPr>
        <w:spacing w:line="400" w:lineRule="exact"/>
        <w:rPr>
          <w:rFonts w:ascii="宋体" w:cs="宋体"/>
          <w:b/>
          <w:sz w:val="28"/>
          <w:szCs w:val="28"/>
        </w:rPr>
      </w:pPr>
      <w:r>
        <w:rPr>
          <w:rFonts w:hint="eastAsia" w:ascii="宋体" w:hAnsi="宋体" w:cs="宋体"/>
          <w:b/>
          <w:sz w:val="28"/>
          <w:szCs w:val="28"/>
        </w:rPr>
        <w:t>一、符合性审查</w:t>
      </w:r>
    </w:p>
    <w:p>
      <w:pPr>
        <w:spacing w:line="400" w:lineRule="exact"/>
        <w:rPr>
          <w:rFonts w:ascii="宋体" w:cs="宋体"/>
          <w:b/>
          <w:sz w:val="24"/>
          <w:szCs w:val="24"/>
        </w:rPr>
      </w:pPr>
      <w:r>
        <w:rPr>
          <w:rFonts w:hint="eastAsia" w:ascii="宋体" w:hAnsi="宋体" w:cs="宋体"/>
          <w:b/>
          <w:sz w:val="24"/>
          <w:szCs w:val="24"/>
        </w:rPr>
        <w:t>出现下列情况之一的，其响应文件将作无效响应处理：</w:t>
      </w:r>
    </w:p>
    <w:p>
      <w:pPr>
        <w:spacing w:line="400" w:lineRule="exact"/>
        <w:rPr>
          <w:rFonts w:ascii="宋体" w:cs="宋体"/>
          <w:sz w:val="24"/>
          <w:szCs w:val="24"/>
        </w:rPr>
      </w:pPr>
      <w:r>
        <w:rPr>
          <w:rFonts w:ascii="宋体" w:hAnsi="宋体" w:cs="宋体"/>
          <w:sz w:val="24"/>
          <w:szCs w:val="24"/>
        </w:rPr>
        <w:t xml:space="preserve">1) </w:t>
      </w:r>
      <w:r>
        <w:rPr>
          <w:rFonts w:hint="eastAsia" w:ascii="宋体" w:hAnsi="宋体" w:cs="宋体"/>
          <w:sz w:val="24"/>
          <w:szCs w:val="24"/>
        </w:rPr>
        <w:t>通过电子化政府采购系统提交的响应文件未正常打开；</w:t>
      </w:r>
    </w:p>
    <w:p>
      <w:pPr>
        <w:spacing w:line="400" w:lineRule="exact"/>
        <w:rPr>
          <w:rFonts w:ascii="宋体" w:cs="宋体"/>
          <w:sz w:val="24"/>
          <w:szCs w:val="24"/>
        </w:rPr>
      </w:pPr>
      <w:r>
        <w:rPr>
          <w:rFonts w:ascii="宋体" w:hAnsi="宋体" w:cs="宋体"/>
          <w:sz w:val="24"/>
          <w:szCs w:val="24"/>
        </w:rPr>
        <w:t xml:space="preserve">2) </w:t>
      </w:r>
      <w:r>
        <w:rPr>
          <w:rFonts w:hint="eastAsia" w:ascii="宋体" w:hAnsi="宋体" w:cs="宋体"/>
          <w:sz w:val="24"/>
          <w:szCs w:val="24"/>
        </w:rPr>
        <w:t>未提交开标一览表、分项报价表、开标一览明细表，开标一览明细表中应列出分项报价；</w:t>
      </w:r>
    </w:p>
    <w:p>
      <w:pPr>
        <w:spacing w:line="400" w:lineRule="exact"/>
        <w:rPr>
          <w:rFonts w:ascii="宋体" w:cs="宋体"/>
          <w:sz w:val="24"/>
          <w:szCs w:val="24"/>
          <w:lang w:val="en-GB"/>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val="en-GB"/>
        </w:rPr>
        <w:t>未提供磋商保证金或金额不足，磋商保证金形式不符合磋商文件要求的；</w:t>
      </w:r>
    </w:p>
    <w:p>
      <w:pPr>
        <w:spacing w:line="400" w:lineRule="exact"/>
        <w:rPr>
          <w:rFonts w:ascii="宋体" w:cs="宋体"/>
          <w:sz w:val="24"/>
          <w:szCs w:val="24"/>
          <w:lang w:val="en-GB"/>
        </w:rPr>
      </w:pPr>
      <w:r>
        <w:rPr>
          <w:rFonts w:ascii="宋体" w:hAnsi="宋体" w:cs="宋体"/>
          <w:sz w:val="24"/>
          <w:szCs w:val="24"/>
        </w:rPr>
        <w:t>4</w:t>
      </w:r>
      <w:r>
        <w:rPr>
          <w:rFonts w:hint="eastAsia" w:ascii="宋体" w:hAnsi="宋体" w:cs="宋体"/>
          <w:sz w:val="24"/>
          <w:szCs w:val="24"/>
        </w:rPr>
        <w:t>）</w:t>
      </w:r>
      <w:r>
        <w:rPr>
          <w:rFonts w:hint="eastAsia" w:ascii="宋体" w:hAnsi="宋体" w:cs="宋体"/>
          <w:sz w:val="24"/>
          <w:szCs w:val="24"/>
          <w:lang w:val="en-GB"/>
        </w:rPr>
        <w:t>未按磋商</w:t>
      </w:r>
      <w:r>
        <w:rPr>
          <w:rFonts w:hint="eastAsia" w:ascii="宋体" w:hAnsi="宋体" w:cs="宋体"/>
          <w:sz w:val="24"/>
          <w:szCs w:val="24"/>
        </w:rPr>
        <w:t>文件“第四章响应文件格式”的规定提供</w:t>
      </w:r>
      <w:r>
        <w:rPr>
          <w:rFonts w:hint="eastAsia" w:ascii="宋体" w:hAnsi="宋体" w:cs="宋体"/>
          <w:sz w:val="24"/>
          <w:szCs w:val="24"/>
          <w:lang w:val="en-GB"/>
        </w:rPr>
        <w:t>资格、资信证明文件的；</w:t>
      </w:r>
    </w:p>
    <w:p>
      <w:pPr>
        <w:spacing w:line="400" w:lineRule="exact"/>
        <w:rPr>
          <w:rFonts w:ascii="宋体" w:cs="宋体"/>
          <w:sz w:val="24"/>
          <w:szCs w:val="24"/>
        </w:rPr>
      </w:pPr>
      <w:r>
        <w:rPr>
          <w:rFonts w:ascii="宋体" w:hAnsi="宋体" w:cs="宋体"/>
          <w:sz w:val="24"/>
          <w:szCs w:val="24"/>
        </w:rPr>
        <w:t>5</w:t>
      </w:r>
      <w:r>
        <w:rPr>
          <w:rFonts w:hint="eastAsia" w:ascii="宋体" w:hAnsi="宋体" w:cs="宋体"/>
          <w:sz w:val="24"/>
          <w:szCs w:val="24"/>
        </w:rPr>
        <w:t>）未按磋商文件要求签字、签章的，或签字（签章）人无法定代表人有效委托的；</w:t>
      </w:r>
    </w:p>
    <w:p>
      <w:pPr>
        <w:spacing w:line="400" w:lineRule="exact"/>
        <w:rPr>
          <w:rFonts w:ascii="宋体" w:cs="宋体"/>
          <w:sz w:val="24"/>
          <w:szCs w:val="24"/>
          <w:lang w:val="en-GB"/>
        </w:rPr>
      </w:pPr>
      <w:r>
        <w:rPr>
          <w:rFonts w:ascii="宋体" w:hAnsi="宋体" w:cs="宋体"/>
          <w:sz w:val="24"/>
          <w:szCs w:val="24"/>
        </w:rPr>
        <w:t>6</w:t>
      </w:r>
      <w:r>
        <w:rPr>
          <w:rFonts w:hint="eastAsia" w:ascii="宋体" w:hAnsi="宋体" w:cs="宋体"/>
          <w:sz w:val="24"/>
          <w:szCs w:val="24"/>
        </w:rPr>
        <w:t>）</w:t>
      </w:r>
      <w:r>
        <w:rPr>
          <w:rFonts w:hint="eastAsia" w:ascii="宋体" w:hAnsi="宋体" w:cs="宋体"/>
          <w:sz w:val="24"/>
          <w:szCs w:val="24"/>
          <w:lang w:val="en-GB"/>
        </w:rPr>
        <w:t>磋商有效期响应不足的；</w:t>
      </w:r>
    </w:p>
    <w:p>
      <w:pPr>
        <w:spacing w:line="400" w:lineRule="exact"/>
        <w:rPr>
          <w:rFonts w:ascii="宋体" w:cs="宋体"/>
          <w:sz w:val="24"/>
          <w:szCs w:val="24"/>
          <w:lang w:val="en-GB"/>
        </w:rPr>
      </w:pPr>
      <w:r>
        <w:rPr>
          <w:rFonts w:ascii="宋体" w:hAnsi="宋体" w:cs="宋体"/>
          <w:sz w:val="24"/>
          <w:szCs w:val="24"/>
        </w:rPr>
        <w:t>7</w:t>
      </w:r>
      <w:r>
        <w:rPr>
          <w:rFonts w:hint="eastAsia" w:ascii="宋体" w:hAnsi="宋体" w:cs="宋体"/>
          <w:sz w:val="24"/>
          <w:szCs w:val="24"/>
        </w:rPr>
        <w:t>）</w:t>
      </w:r>
      <w:r>
        <w:rPr>
          <w:rFonts w:hint="eastAsia" w:ascii="宋体" w:hAnsi="宋体" w:cs="宋体"/>
          <w:sz w:val="24"/>
          <w:szCs w:val="24"/>
          <w:lang w:val="en-GB"/>
        </w:rPr>
        <w:t>技术文件技术规格中的响应与事实不符或虚假响应的；</w:t>
      </w:r>
    </w:p>
    <w:p>
      <w:pPr>
        <w:spacing w:line="400" w:lineRule="exact"/>
        <w:rPr>
          <w:rFonts w:ascii="宋体" w:cs="宋体"/>
          <w:sz w:val="24"/>
          <w:szCs w:val="24"/>
        </w:rPr>
      </w:pPr>
      <w:r>
        <w:rPr>
          <w:rFonts w:ascii="宋体" w:hAnsi="宋体" w:cs="宋体"/>
          <w:sz w:val="24"/>
          <w:szCs w:val="24"/>
        </w:rPr>
        <w:t>8</w:t>
      </w:r>
      <w:r>
        <w:rPr>
          <w:rFonts w:hint="eastAsia" w:ascii="宋体" w:hAnsi="宋体" w:cs="宋体"/>
          <w:sz w:val="24"/>
          <w:szCs w:val="24"/>
        </w:rPr>
        <w:t>）超过了采购项目预算或最高限价的；</w:t>
      </w:r>
    </w:p>
    <w:p>
      <w:pPr>
        <w:spacing w:line="400" w:lineRule="exact"/>
        <w:rPr>
          <w:rFonts w:ascii="宋体" w:cs="宋体"/>
          <w:b/>
          <w:sz w:val="24"/>
          <w:szCs w:val="24"/>
          <w:lang w:val="en-GB"/>
        </w:rPr>
      </w:pPr>
      <w:r>
        <w:rPr>
          <w:rFonts w:ascii="宋体" w:hAnsi="宋体" w:cs="宋体"/>
          <w:sz w:val="24"/>
          <w:szCs w:val="24"/>
        </w:rPr>
        <w:t>9</w:t>
      </w:r>
      <w:r>
        <w:rPr>
          <w:rFonts w:hint="eastAsia" w:ascii="宋体" w:hAnsi="宋体" w:cs="宋体"/>
          <w:sz w:val="24"/>
          <w:szCs w:val="24"/>
        </w:rPr>
        <w:t>）磋商文件规定的其他响应无效条款。</w:t>
      </w:r>
    </w:p>
    <w:p>
      <w:pPr>
        <w:spacing w:line="400" w:lineRule="exact"/>
        <w:ind w:left="31680" w:hanging="361" w:hangingChars="150"/>
        <w:rPr>
          <w:rFonts w:ascii="宋体" w:cs="宋体"/>
          <w:b/>
          <w:sz w:val="24"/>
          <w:szCs w:val="24"/>
        </w:rPr>
      </w:pPr>
    </w:p>
    <w:p>
      <w:pPr>
        <w:spacing w:line="360" w:lineRule="exact"/>
        <w:rPr>
          <w:rFonts w:ascii="宋体" w:cs="宋体"/>
          <w:b/>
          <w:sz w:val="32"/>
          <w:szCs w:val="32"/>
        </w:rPr>
      </w:pPr>
    </w:p>
    <w:p>
      <w:pPr>
        <w:rPr>
          <w:rFonts w:ascii="宋体" w:cs="宋体"/>
        </w:rPr>
      </w:pPr>
    </w:p>
    <w:p>
      <w:pPr>
        <w:spacing w:line="400" w:lineRule="exact"/>
        <w:rPr>
          <w:rFonts w:ascii="宋体" w:cs="宋体"/>
          <w:b/>
          <w:sz w:val="24"/>
          <w:szCs w:val="24"/>
        </w:rPr>
      </w:pPr>
      <w:r>
        <w:rPr>
          <w:rFonts w:hint="eastAsia" w:ascii="宋体" w:hAnsi="宋体" w:cs="宋体"/>
          <w:b/>
          <w:sz w:val="24"/>
          <w:szCs w:val="24"/>
        </w:rPr>
        <w:t>废标情形</w:t>
      </w:r>
    </w:p>
    <w:p>
      <w:pPr>
        <w:spacing w:line="440" w:lineRule="exact"/>
        <w:rPr>
          <w:rFonts w:ascii="宋体" w:cs="宋体"/>
          <w:sz w:val="24"/>
          <w:szCs w:val="24"/>
        </w:rPr>
      </w:pPr>
      <w:r>
        <w:rPr>
          <w:rFonts w:hint="eastAsia" w:ascii="宋体" w:hAnsi="宋体" w:cs="宋体"/>
          <w:sz w:val="24"/>
          <w:szCs w:val="24"/>
        </w:rPr>
        <w:t>在磋商采购中，出现下列情形之一的，应予终止采购活动：</w:t>
      </w:r>
    </w:p>
    <w:p>
      <w:pPr>
        <w:spacing w:line="440" w:lineRule="exact"/>
        <w:ind w:firstLine="240" w:firstLineChars="100"/>
        <w:rPr>
          <w:rFonts w:ascii="宋体" w:cs="宋体"/>
          <w:sz w:val="24"/>
          <w:szCs w:val="24"/>
        </w:rPr>
      </w:pPr>
      <w:r>
        <w:rPr>
          <w:rFonts w:ascii="宋体" w:hAnsi="宋体" w:cs="宋体"/>
          <w:sz w:val="24"/>
          <w:szCs w:val="24"/>
        </w:rPr>
        <w:t>1</w:t>
      </w:r>
      <w:r>
        <w:rPr>
          <w:rFonts w:hint="eastAsia" w:ascii="宋体" w:hAnsi="宋体" w:cs="宋体"/>
          <w:sz w:val="24"/>
          <w:szCs w:val="24"/>
        </w:rPr>
        <w:t>）符合专业条件的供应商或者对磋商文件作实质响应的供应商不足三家的；</w:t>
      </w:r>
    </w:p>
    <w:p>
      <w:pPr>
        <w:spacing w:line="440" w:lineRule="exact"/>
        <w:ind w:firstLine="240" w:firstLineChars="100"/>
        <w:rPr>
          <w:rFonts w:ascii="宋体" w:cs="宋体"/>
          <w:sz w:val="24"/>
          <w:szCs w:val="24"/>
        </w:rPr>
      </w:pPr>
      <w:r>
        <w:rPr>
          <w:rFonts w:ascii="宋体" w:hAnsi="宋体" w:cs="宋体"/>
          <w:sz w:val="24"/>
          <w:szCs w:val="24"/>
        </w:rPr>
        <w:t>2</w:t>
      </w:r>
      <w:r>
        <w:rPr>
          <w:rFonts w:hint="eastAsia" w:ascii="宋体" w:hAnsi="宋体" w:cs="宋体"/>
          <w:sz w:val="24"/>
          <w:szCs w:val="24"/>
        </w:rPr>
        <w:t>）出现影响采购公正的违法、违规行为的；</w:t>
      </w:r>
    </w:p>
    <w:p>
      <w:pPr>
        <w:spacing w:line="440" w:lineRule="exact"/>
        <w:ind w:firstLine="240" w:firstLineChars="100"/>
        <w:rPr>
          <w:rFonts w:ascii="宋体" w:cs="宋体"/>
          <w:sz w:val="24"/>
          <w:szCs w:val="24"/>
        </w:rPr>
      </w:pPr>
      <w:r>
        <w:rPr>
          <w:rFonts w:ascii="宋体" w:hAnsi="宋体" w:cs="宋体"/>
          <w:sz w:val="24"/>
          <w:szCs w:val="24"/>
        </w:rPr>
        <w:t>3</w:t>
      </w:r>
      <w:r>
        <w:rPr>
          <w:rFonts w:hint="eastAsia" w:ascii="宋体" w:hAnsi="宋体" w:cs="宋体"/>
          <w:sz w:val="24"/>
          <w:szCs w:val="24"/>
        </w:rPr>
        <w:t>）供应商的报价均超过了采购预算，采购人不能支付的；</w:t>
      </w:r>
    </w:p>
    <w:p>
      <w:pPr>
        <w:spacing w:line="440" w:lineRule="exact"/>
        <w:ind w:firstLine="240" w:firstLineChars="100"/>
        <w:rPr>
          <w:rFonts w:ascii="宋体" w:cs="仿宋"/>
          <w:b/>
          <w:sz w:val="24"/>
          <w:szCs w:val="24"/>
        </w:rPr>
      </w:pPr>
      <w:r>
        <w:rPr>
          <w:rFonts w:ascii="宋体" w:hAnsi="宋体" w:cs="宋体"/>
          <w:sz w:val="24"/>
          <w:szCs w:val="24"/>
        </w:rPr>
        <w:t>4</w:t>
      </w:r>
      <w:r>
        <w:rPr>
          <w:rFonts w:hint="eastAsia" w:ascii="宋体" w:hAnsi="宋体" w:cs="宋体"/>
          <w:sz w:val="24"/>
          <w:szCs w:val="24"/>
        </w:rPr>
        <w:t>）因重大变故，采购任务取消。</w:t>
      </w:r>
    </w:p>
    <w:p>
      <w:pPr>
        <w:spacing w:line="460" w:lineRule="exact"/>
        <w:ind w:left="31680" w:hanging="744" w:hangingChars="309"/>
        <w:rPr>
          <w:rFonts w:ascii="宋体" w:cs="宋体"/>
          <w:b/>
          <w:bCs/>
          <w:sz w:val="24"/>
          <w:lang w:val="en-GB"/>
        </w:rPr>
      </w:pPr>
    </w:p>
    <w:p>
      <w:pPr>
        <w:bidi w:val="0"/>
        <w:spacing w:line="360" w:lineRule="auto"/>
        <w:rPr>
          <w:sz w:val="24"/>
          <w:szCs w:val="22"/>
          <w:lang w:val="en-GB"/>
        </w:rPr>
      </w:pPr>
    </w:p>
    <w:p>
      <w:pPr>
        <w:bidi w:val="0"/>
        <w:spacing w:line="360" w:lineRule="auto"/>
        <w:rPr>
          <w:sz w:val="24"/>
          <w:szCs w:val="22"/>
        </w:rPr>
      </w:pPr>
      <w:bookmarkStart w:id="162" w:name="_Toc504641993"/>
      <w:bookmarkStart w:id="163" w:name="_Toc499818239"/>
      <w:bookmarkStart w:id="164" w:name="_Toc505020183"/>
      <w:bookmarkStart w:id="165" w:name="_Toc500258558"/>
      <w:r>
        <w:rPr>
          <w:rFonts w:hint="eastAsia"/>
          <w:sz w:val="24"/>
          <w:szCs w:val="22"/>
        </w:rPr>
        <w:t>按照磋商文件中规定的评审方法和标准，磋商小组采用综合评分法对符合性审查合格且提交了最后报价的供应商的响应文件和最后报价进行综合评分。</w:t>
      </w:r>
      <w:bookmarkEnd w:id="162"/>
      <w:bookmarkEnd w:id="163"/>
      <w:bookmarkEnd w:id="164"/>
      <w:bookmarkEnd w:id="165"/>
    </w:p>
    <w:p>
      <w:pPr>
        <w:spacing w:line="360" w:lineRule="auto"/>
        <w:ind w:firstLine="120" w:firstLineChars="50"/>
        <w:rPr>
          <w:rFonts w:ascii="宋体" w:cs="宋体"/>
          <w:sz w:val="24"/>
          <w:szCs w:val="24"/>
        </w:rPr>
      </w:pPr>
      <w:r>
        <w:rPr>
          <w:rFonts w:hint="eastAsia" w:ascii="宋体" w:hAnsi="宋体" w:cs="宋体"/>
          <w:b/>
          <w:bCs/>
          <w:sz w:val="24"/>
          <w:szCs w:val="24"/>
        </w:rPr>
        <w:t>（一）价格评分</w:t>
      </w:r>
      <w:r>
        <w:rPr>
          <w:rFonts w:ascii="宋体" w:hAnsi="宋体" w:cs="宋体"/>
          <w:sz w:val="24"/>
          <w:szCs w:val="24"/>
        </w:rPr>
        <w:t>20</w:t>
      </w:r>
      <w:r>
        <w:rPr>
          <w:rFonts w:hint="eastAsia" w:ascii="宋体" w:hAnsi="宋体" w:cs="宋体"/>
          <w:b/>
          <w:bCs/>
          <w:sz w:val="24"/>
          <w:szCs w:val="24"/>
        </w:rPr>
        <w:t>分</w:t>
      </w:r>
    </w:p>
    <w:tbl>
      <w:tblPr>
        <w:tblStyle w:val="20"/>
        <w:tblW w:w="933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205" w:type="dxa"/>
            <w:vAlign w:val="center"/>
          </w:tcPr>
          <w:p>
            <w:pPr>
              <w:spacing w:line="360" w:lineRule="auto"/>
              <w:jc w:val="center"/>
              <w:rPr>
                <w:rFonts w:ascii="宋体" w:cs="宋体"/>
                <w:bCs/>
                <w:sz w:val="24"/>
                <w:szCs w:val="24"/>
              </w:rPr>
            </w:pPr>
            <w:r>
              <w:rPr>
                <w:rFonts w:hint="eastAsia" w:ascii="宋体" w:hAnsi="宋体" w:cs="宋体"/>
                <w:b/>
                <w:bCs/>
                <w:sz w:val="24"/>
                <w:szCs w:val="24"/>
              </w:rPr>
              <w:t>评审内容</w:t>
            </w:r>
          </w:p>
        </w:tc>
        <w:tc>
          <w:tcPr>
            <w:tcW w:w="1125" w:type="dxa"/>
            <w:vAlign w:val="center"/>
          </w:tcPr>
          <w:p>
            <w:pPr>
              <w:spacing w:line="360" w:lineRule="auto"/>
              <w:jc w:val="center"/>
              <w:rPr>
                <w:rFonts w:ascii="宋体" w:cs="宋体"/>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8205" w:type="dxa"/>
            <w:vAlign w:val="center"/>
          </w:tcPr>
          <w:p>
            <w:pPr>
              <w:widowControl/>
              <w:spacing w:line="360" w:lineRule="auto"/>
              <w:ind w:firstLine="480" w:firstLineChars="200"/>
              <w:jc w:val="left"/>
              <w:rPr>
                <w:rFonts w:ascii="宋体" w:cs="宋体"/>
                <w:sz w:val="24"/>
                <w:szCs w:val="24"/>
              </w:rPr>
            </w:pPr>
            <w:r>
              <w:rPr>
                <w:rFonts w:hint="eastAsia" w:ascii="宋体" w:hAnsi="宋体" w:cs="宋体"/>
                <w:sz w:val="24"/>
                <w:szCs w:val="24"/>
              </w:rPr>
              <w:t>价格分采用低价优先法计算，即满足磋商文件要求且最后报价最低的磋商报价为评标基准价，其价格分为满分。其他供应商的价格分统一按下列公式计算：</w:t>
            </w:r>
          </w:p>
          <w:p>
            <w:pPr>
              <w:widowControl/>
              <w:spacing w:line="360" w:lineRule="auto"/>
              <w:jc w:val="left"/>
              <w:rPr>
                <w:rFonts w:ascii="宋体" w:cs="宋体"/>
                <w:sz w:val="24"/>
                <w:szCs w:val="24"/>
              </w:rPr>
            </w:pPr>
            <w:r>
              <w:rPr>
                <w:rFonts w:hint="eastAsia" w:ascii="宋体" w:hAnsi="宋体" w:cs="宋体"/>
                <w:sz w:val="24"/>
                <w:szCs w:val="24"/>
              </w:rPr>
              <w:t>磋商报价得分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磋商报价）×</w:t>
            </w:r>
            <w:r>
              <w:rPr>
                <w:rFonts w:ascii="宋体" w:hAnsi="宋体" w:cs="宋体"/>
                <w:sz w:val="24"/>
                <w:szCs w:val="24"/>
              </w:rPr>
              <w:t>20</w:t>
            </w:r>
            <w:r>
              <w:rPr>
                <w:rFonts w:hint="eastAsia" w:ascii="宋体" w:hAnsi="宋体" w:cs="宋体"/>
                <w:sz w:val="24"/>
                <w:szCs w:val="24"/>
              </w:rPr>
              <w:t>分</w:t>
            </w:r>
          </w:p>
          <w:p>
            <w:pPr>
              <w:spacing w:line="360" w:lineRule="auto"/>
              <w:ind w:left="31680" w:hanging="840" w:hangingChars="350"/>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）监狱企业、残疾人福利性单位视同小型、微型企业。</w:t>
            </w:r>
          </w:p>
        </w:tc>
        <w:tc>
          <w:tcPr>
            <w:tcW w:w="1125" w:type="dxa"/>
            <w:vAlign w:val="center"/>
          </w:tcPr>
          <w:p>
            <w:pPr>
              <w:spacing w:line="360" w:lineRule="auto"/>
              <w:jc w:val="center"/>
              <w:rPr>
                <w:rFonts w:ascii="宋体" w:cs="宋体"/>
                <w:sz w:val="24"/>
                <w:szCs w:val="24"/>
              </w:rPr>
            </w:pPr>
            <w:r>
              <w:rPr>
                <w:rFonts w:ascii="宋体" w:hAnsi="宋体" w:cs="宋体"/>
                <w:sz w:val="24"/>
                <w:szCs w:val="24"/>
              </w:rPr>
              <w:t>20</w:t>
            </w:r>
            <w:r>
              <w:rPr>
                <w:rFonts w:hint="eastAsia" w:ascii="宋体" w:hAnsi="宋体" w:cs="宋体"/>
                <w:bCs/>
                <w:sz w:val="24"/>
                <w:szCs w:val="24"/>
              </w:rPr>
              <w:t>分</w:t>
            </w:r>
          </w:p>
        </w:tc>
      </w:tr>
    </w:tbl>
    <w:p>
      <w:pPr>
        <w:spacing w:line="360" w:lineRule="auto"/>
        <w:jc w:val="left"/>
        <w:outlineLvl w:val="0"/>
        <w:rPr>
          <w:rFonts w:ascii="宋体" w:cs="宋体"/>
          <w:sz w:val="24"/>
          <w:szCs w:val="24"/>
        </w:rPr>
      </w:pPr>
    </w:p>
    <w:p>
      <w:pPr>
        <w:spacing w:line="360" w:lineRule="auto"/>
        <w:ind w:firstLine="120" w:firstLineChars="50"/>
        <w:rPr>
          <w:rFonts w:ascii="宋体" w:cs="宋体"/>
          <w:sz w:val="24"/>
          <w:szCs w:val="24"/>
        </w:rPr>
      </w:pPr>
      <w:r>
        <w:rPr>
          <w:rFonts w:hint="eastAsia" w:ascii="宋体" w:hAnsi="宋体" w:cs="宋体"/>
          <w:b/>
          <w:sz w:val="24"/>
          <w:szCs w:val="24"/>
        </w:rPr>
        <w:t>（二）</w:t>
      </w:r>
      <w:r>
        <w:rPr>
          <w:rFonts w:hint="eastAsia" w:ascii="宋体" w:hAnsi="宋体" w:cs="宋体"/>
          <w:b/>
          <w:bCs/>
          <w:sz w:val="24"/>
          <w:szCs w:val="24"/>
        </w:rPr>
        <w:t>技术评审（</w:t>
      </w:r>
      <w:r>
        <w:rPr>
          <w:rFonts w:ascii="宋体" w:hAnsi="宋体" w:cs="宋体"/>
          <w:b/>
          <w:bCs/>
          <w:sz w:val="24"/>
          <w:szCs w:val="24"/>
        </w:rPr>
        <w:t>68</w:t>
      </w:r>
      <w:r>
        <w:rPr>
          <w:rFonts w:hint="eastAsia" w:ascii="宋体" w:hAnsi="宋体" w:cs="宋体"/>
          <w:b/>
          <w:bCs/>
          <w:sz w:val="24"/>
          <w:szCs w:val="24"/>
        </w:rPr>
        <w:t>分）</w:t>
      </w:r>
    </w:p>
    <w:tbl>
      <w:tblPr>
        <w:tblStyle w:val="20"/>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63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b/>
                <w:bCs/>
                <w:sz w:val="24"/>
                <w:szCs w:val="24"/>
              </w:rPr>
            </w:pPr>
            <w:r>
              <w:rPr>
                <w:rFonts w:hint="eastAsia" w:ascii="宋体" w:hAnsi="宋体" w:cs="宋体"/>
                <w:b/>
                <w:bCs/>
                <w:sz w:val="24"/>
                <w:szCs w:val="24"/>
              </w:rPr>
              <w:t>评分点</w:t>
            </w:r>
          </w:p>
        </w:tc>
        <w:tc>
          <w:tcPr>
            <w:tcW w:w="6307" w:type="dxa"/>
            <w:vAlign w:val="center"/>
          </w:tcPr>
          <w:p>
            <w:pPr>
              <w:spacing w:line="360" w:lineRule="auto"/>
              <w:jc w:val="center"/>
              <w:rPr>
                <w:rFonts w:ascii="宋体" w:cs="宋体"/>
                <w:b/>
                <w:bCs/>
                <w:sz w:val="24"/>
                <w:szCs w:val="24"/>
              </w:rPr>
            </w:pPr>
            <w:r>
              <w:rPr>
                <w:rFonts w:hint="eastAsia" w:ascii="宋体" w:hAnsi="宋体" w:cs="宋体"/>
                <w:b/>
                <w:bCs/>
                <w:sz w:val="24"/>
                <w:szCs w:val="24"/>
              </w:rPr>
              <w:t>评审内容</w:t>
            </w:r>
          </w:p>
        </w:tc>
        <w:tc>
          <w:tcPr>
            <w:tcW w:w="1172" w:type="dxa"/>
            <w:vAlign w:val="center"/>
          </w:tcPr>
          <w:p>
            <w:pPr>
              <w:spacing w:line="360" w:lineRule="auto"/>
              <w:jc w:val="center"/>
              <w:rPr>
                <w:rFonts w:ascii="宋体" w:cs="宋体"/>
                <w:b/>
                <w:bCs/>
                <w:sz w:val="24"/>
                <w:szCs w:val="24"/>
              </w:rPr>
            </w:pPr>
            <w:r>
              <w:rPr>
                <w:rFonts w:hint="eastAsia" w:ascii="宋体" w:hAnsi="宋体" w:cs="宋体"/>
                <w:b/>
                <w:bCs/>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、服务符合性</w:t>
            </w:r>
          </w:p>
        </w:tc>
        <w:tc>
          <w:tcPr>
            <w:tcW w:w="6307" w:type="dxa"/>
            <w:vAlign w:val="center"/>
          </w:tcPr>
          <w:p>
            <w:pPr>
              <w:pStyle w:val="5"/>
              <w:adjustRightInd w:val="0"/>
              <w:snapToGrid w:val="0"/>
              <w:spacing w:before="0" w:after="0" w:line="360" w:lineRule="auto"/>
              <w:jc w:val="left"/>
              <w:rPr>
                <w:rFonts w:ascii="宋体" w:cs="宋体"/>
                <w:bCs w:val="0"/>
                <w:kern w:val="2"/>
                <w:sz w:val="24"/>
                <w:szCs w:val="24"/>
              </w:rPr>
            </w:pPr>
            <w:bookmarkStart w:id="166" w:name="_Toc21481"/>
            <w:r>
              <w:rPr>
                <w:rFonts w:hint="eastAsia" w:ascii="宋体" w:hAnsi="宋体" w:cs="宋体"/>
                <w:b w:val="0"/>
                <w:bCs w:val="0"/>
                <w:kern w:val="2"/>
                <w:sz w:val="24"/>
                <w:szCs w:val="24"/>
              </w:rPr>
              <w:t>满足磋商文件第五章</w:t>
            </w:r>
            <w:r>
              <w:rPr>
                <w:rFonts w:ascii="宋体" w:hAnsi="宋体" w:cs="宋体"/>
                <w:b w:val="0"/>
                <w:bCs w:val="0"/>
                <w:kern w:val="2"/>
                <w:sz w:val="24"/>
                <w:szCs w:val="24"/>
              </w:rPr>
              <w:t xml:space="preserve"> </w:t>
            </w:r>
            <w:r>
              <w:rPr>
                <w:rFonts w:hint="eastAsia" w:ascii="宋体" w:hAnsi="宋体" w:cs="宋体"/>
                <w:b w:val="0"/>
                <w:bCs w:val="0"/>
                <w:kern w:val="2"/>
                <w:sz w:val="24"/>
                <w:szCs w:val="24"/>
              </w:rPr>
              <w:t>采购需求一览表及采购要求</w:t>
            </w:r>
            <w:r>
              <w:rPr>
                <w:rFonts w:ascii="宋体" w:hAnsi="宋体" w:cs="宋体"/>
                <w:b w:val="0"/>
                <w:bCs w:val="0"/>
                <w:kern w:val="2"/>
                <w:sz w:val="24"/>
                <w:szCs w:val="24"/>
              </w:rPr>
              <w:t>/</w:t>
            </w:r>
            <w:r>
              <w:rPr>
                <w:rFonts w:hint="eastAsia" w:ascii="宋体" w:hAnsi="宋体" w:cs="宋体"/>
                <w:b w:val="0"/>
                <w:bCs w:val="0"/>
                <w:kern w:val="2"/>
                <w:sz w:val="24"/>
                <w:szCs w:val="24"/>
              </w:rPr>
              <w:t>二、采购要求</w:t>
            </w:r>
            <w:r>
              <w:rPr>
                <w:rFonts w:ascii="宋体" w:hAnsi="宋体" w:cs="宋体"/>
                <w:b w:val="0"/>
                <w:bCs w:val="0"/>
                <w:kern w:val="2"/>
                <w:sz w:val="24"/>
                <w:szCs w:val="24"/>
              </w:rPr>
              <w:t>/</w:t>
            </w:r>
            <w:r>
              <w:rPr>
                <w:rFonts w:hint="eastAsia" w:ascii="宋体" w:hAnsi="宋体" w:cs="宋体"/>
                <w:b w:val="0"/>
                <w:bCs w:val="0"/>
                <w:kern w:val="2"/>
                <w:sz w:val="24"/>
                <w:szCs w:val="24"/>
              </w:rPr>
              <w:t>（一）服务要求，否则作无效响应处理。</w:t>
            </w:r>
            <w:bookmarkEnd w:id="166"/>
          </w:p>
          <w:p>
            <w:pPr>
              <w:spacing w:line="360" w:lineRule="auto"/>
              <w:jc w:val="left"/>
              <w:rPr>
                <w:rFonts w:ascii="宋体" w:cs="宋体"/>
                <w:b/>
                <w:bCs/>
                <w:sz w:val="24"/>
                <w:szCs w:val="24"/>
              </w:rPr>
            </w:pPr>
            <w:r>
              <w:rPr>
                <w:rFonts w:hint="eastAsia" w:ascii="宋体" w:hAnsi="宋体" w:cs="宋体"/>
                <w:b/>
                <w:bCs/>
                <w:sz w:val="24"/>
                <w:szCs w:val="24"/>
              </w:rPr>
              <w:t>评审依据：响应文件中提供的服务响应</w:t>
            </w:r>
            <w:r>
              <w:rPr>
                <w:rFonts w:ascii="宋体" w:hAnsi="宋体" w:cs="宋体"/>
                <w:b/>
                <w:bCs/>
                <w:sz w:val="24"/>
                <w:szCs w:val="24"/>
              </w:rPr>
              <w:t>/</w:t>
            </w:r>
            <w:r>
              <w:rPr>
                <w:rFonts w:hint="eastAsia" w:ascii="宋体" w:hAnsi="宋体" w:cs="宋体"/>
                <w:b/>
                <w:bCs/>
                <w:sz w:val="24"/>
                <w:szCs w:val="24"/>
              </w:rPr>
              <w:t>偏离表，文件另有约定的从其约定。</w:t>
            </w:r>
          </w:p>
        </w:tc>
        <w:tc>
          <w:tcPr>
            <w:tcW w:w="1172" w:type="dxa"/>
            <w:vAlign w:val="center"/>
          </w:tcPr>
          <w:p>
            <w:pPr>
              <w:spacing w:line="360" w:lineRule="auto"/>
              <w:jc w:val="center"/>
              <w:rPr>
                <w:rFonts w:ascii="宋体" w:cs="宋体"/>
                <w:b/>
                <w:bCs/>
                <w:sz w:val="24"/>
                <w:szCs w:val="24"/>
              </w:rPr>
            </w:pPr>
            <w:r>
              <w:rPr>
                <w:rFonts w:hint="eastAsia" w:ascii="宋体" w:hAnsi="宋体" w:cs="宋体"/>
                <w:b/>
                <w:bCs/>
                <w:sz w:val="24"/>
                <w:szCs w:val="24"/>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pStyle w:val="57"/>
              <w:adjustRightInd w:val="0"/>
              <w:snapToGrid w:val="0"/>
              <w:spacing w:line="360" w:lineRule="auto"/>
              <w:jc w:val="center"/>
              <w:rPr>
                <w:rFonts w:ascii="宋体" w:cs="宋体"/>
                <w:b/>
                <w:bCs/>
                <w:sz w:val="24"/>
                <w:szCs w:val="24"/>
              </w:rPr>
            </w:pPr>
            <w:r>
              <w:rPr>
                <w:rFonts w:hint="eastAsia" w:ascii="宋体" w:hAnsi="宋体" w:cs="宋体"/>
                <w:sz w:val="24"/>
                <w:szCs w:val="24"/>
                <w:lang w:val="en-US" w:eastAsia="zh-CN"/>
              </w:rPr>
              <w:t>2</w:t>
            </w:r>
            <w:r>
              <w:rPr>
                <w:rFonts w:hint="eastAsia" w:ascii="宋体" w:hAnsi="宋体" w:cs="宋体"/>
                <w:sz w:val="24"/>
                <w:szCs w:val="24"/>
              </w:rPr>
              <w:t>、服务方案</w:t>
            </w:r>
          </w:p>
        </w:tc>
        <w:tc>
          <w:tcPr>
            <w:tcW w:w="6307" w:type="dxa"/>
            <w:vAlign w:val="center"/>
          </w:tcPr>
          <w:p>
            <w:pPr>
              <w:spacing w:line="360" w:lineRule="auto"/>
              <w:ind w:left="31680" w:hanging="240" w:hangingChars="1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、针对本项目提供服务方案，方案至少须包含：</w:t>
            </w:r>
            <w:r>
              <w:rPr>
                <w:rFonts w:ascii="宋体" w:hAnsi="宋体" w:cs="宋体"/>
                <w:color w:val="000000"/>
                <w:sz w:val="24"/>
                <w:szCs w:val="24"/>
              </w:rPr>
              <w:t>1</w:t>
            </w:r>
            <w:r>
              <w:rPr>
                <w:rFonts w:hint="eastAsia" w:ascii="宋体" w:hAnsi="宋体" w:cs="宋体"/>
                <w:color w:val="000000"/>
                <w:sz w:val="24"/>
                <w:szCs w:val="24"/>
              </w:rPr>
              <w:t>）人员配备；</w:t>
            </w:r>
            <w:r>
              <w:rPr>
                <w:rFonts w:ascii="宋体" w:hAnsi="宋体" w:cs="宋体"/>
                <w:color w:val="000000"/>
                <w:sz w:val="24"/>
                <w:szCs w:val="24"/>
              </w:rPr>
              <w:t>2</w:t>
            </w:r>
            <w:r>
              <w:rPr>
                <w:rFonts w:hint="eastAsia" w:ascii="宋体" w:hAnsi="宋体" w:cs="宋体"/>
                <w:color w:val="000000"/>
                <w:sz w:val="24"/>
                <w:szCs w:val="24"/>
              </w:rPr>
              <w:t>）进度计划安排；</w:t>
            </w:r>
            <w:r>
              <w:rPr>
                <w:rFonts w:ascii="宋体" w:hAnsi="宋体" w:cs="宋体"/>
                <w:color w:val="000000"/>
                <w:sz w:val="24"/>
                <w:szCs w:val="24"/>
              </w:rPr>
              <w:t>3</w:t>
            </w:r>
            <w:r>
              <w:rPr>
                <w:rFonts w:hint="eastAsia" w:ascii="宋体" w:hAnsi="宋体" w:cs="宋体"/>
                <w:color w:val="000000"/>
                <w:sz w:val="24"/>
                <w:szCs w:val="24"/>
              </w:rPr>
              <w:t>）质量保障措施；</w:t>
            </w:r>
            <w:r>
              <w:rPr>
                <w:rFonts w:ascii="宋体" w:hAnsi="宋体" w:cs="宋体"/>
                <w:color w:val="000000"/>
                <w:sz w:val="24"/>
                <w:szCs w:val="24"/>
              </w:rPr>
              <w:t>4</w:t>
            </w:r>
            <w:r>
              <w:rPr>
                <w:rFonts w:hint="eastAsia" w:ascii="宋体" w:hAnsi="宋体" w:cs="宋体"/>
                <w:color w:val="000000"/>
                <w:sz w:val="24"/>
                <w:szCs w:val="24"/>
              </w:rPr>
              <w:t>）安保措施；</w:t>
            </w:r>
            <w:r>
              <w:rPr>
                <w:rFonts w:ascii="宋体" w:hAnsi="宋体" w:cs="宋体"/>
                <w:color w:val="000000"/>
                <w:sz w:val="24"/>
                <w:szCs w:val="24"/>
              </w:rPr>
              <w:t>5</w:t>
            </w:r>
            <w:r>
              <w:rPr>
                <w:rFonts w:hint="eastAsia" w:ascii="宋体" w:hAnsi="宋体" w:cs="宋体"/>
                <w:color w:val="000000"/>
                <w:sz w:val="24"/>
                <w:szCs w:val="24"/>
              </w:rPr>
              <w:t>）技术方案。每提供一项加</w:t>
            </w:r>
            <w:r>
              <w:rPr>
                <w:rFonts w:ascii="宋体" w:hAnsi="宋体" w:cs="宋体"/>
                <w:color w:val="000000"/>
                <w:sz w:val="24"/>
                <w:szCs w:val="24"/>
              </w:rPr>
              <w:t>5</w:t>
            </w:r>
            <w:r>
              <w:rPr>
                <w:rFonts w:hint="eastAsia" w:ascii="宋体" w:hAnsi="宋体" w:cs="宋体"/>
                <w:color w:val="000000"/>
                <w:sz w:val="24"/>
                <w:szCs w:val="24"/>
              </w:rPr>
              <w:t>分，共</w:t>
            </w:r>
            <w:r>
              <w:rPr>
                <w:rFonts w:ascii="宋体" w:hAnsi="宋体" w:cs="宋体"/>
                <w:color w:val="000000"/>
                <w:sz w:val="24"/>
                <w:szCs w:val="24"/>
              </w:rPr>
              <w:t>25</w:t>
            </w:r>
            <w:r>
              <w:rPr>
                <w:rFonts w:hint="eastAsia" w:ascii="宋体" w:hAnsi="宋体" w:cs="宋体"/>
                <w:color w:val="000000"/>
                <w:sz w:val="24"/>
                <w:szCs w:val="24"/>
              </w:rPr>
              <w:t>分。</w:t>
            </w:r>
          </w:p>
          <w:p>
            <w:pPr>
              <w:spacing w:line="360" w:lineRule="auto"/>
              <w:jc w:val="left"/>
              <w:rPr>
                <w:rFonts w:ascii="宋体" w:cs="宋体"/>
                <w:b/>
                <w:bCs/>
                <w:color w:val="95B3D7"/>
                <w:sz w:val="24"/>
                <w:szCs w:val="24"/>
              </w:rPr>
            </w:pPr>
            <w:r>
              <w:rPr>
                <w:rFonts w:hint="eastAsia" w:ascii="宋体" w:hAnsi="宋体" w:cs="宋体"/>
                <w:b/>
                <w:bCs/>
                <w:color w:val="000000"/>
                <w:sz w:val="24"/>
                <w:szCs w:val="24"/>
              </w:rPr>
              <w:t>评审依据：响应文件中提供</w:t>
            </w:r>
            <w:r>
              <w:rPr>
                <w:rFonts w:hint="eastAsia" w:ascii="宋体" w:hAnsi="宋体" w:cs="宋体"/>
                <w:b/>
                <w:color w:val="000000"/>
                <w:sz w:val="24"/>
                <w:szCs w:val="24"/>
              </w:rPr>
              <w:t>竞赛</w:t>
            </w:r>
            <w:r>
              <w:rPr>
                <w:rFonts w:hint="eastAsia" w:ascii="宋体" w:hAnsi="宋体" w:cs="宋体"/>
                <w:b/>
                <w:bCs/>
                <w:color w:val="000000"/>
                <w:sz w:val="24"/>
                <w:szCs w:val="24"/>
              </w:rPr>
              <w:t>服务方案。</w:t>
            </w:r>
          </w:p>
        </w:tc>
        <w:tc>
          <w:tcPr>
            <w:tcW w:w="1172" w:type="dxa"/>
            <w:vAlign w:val="center"/>
          </w:tcPr>
          <w:p>
            <w:pPr>
              <w:spacing w:line="360" w:lineRule="auto"/>
              <w:jc w:val="center"/>
              <w:rPr>
                <w:rFonts w:ascii="宋体" w:cs="宋体"/>
                <w:sz w:val="24"/>
                <w:szCs w:val="24"/>
              </w:rPr>
            </w:pPr>
            <w:r>
              <w:rPr>
                <w:rFonts w:ascii="宋体" w:hAnsi="宋体" w:cs="宋体"/>
                <w:sz w:val="24"/>
                <w:szCs w:val="24"/>
              </w:rPr>
              <w:t>25</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、开闭幕式方案</w:t>
            </w:r>
          </w:p>
        </w:tc>
        <w:tc>
          <w:tcPr>
            <w:tcW w:w="6307" w:type="dxa"/>
            <w:vAlign w:val="center"/>
          </w:tcPr>
          <w:p>
            <w:pPr>
              <w:spacing w:line="360" w:lineRule="auto"/>
              <w:jc w:val="left"/>
              <w:rPr>
                <w:rFonts w:ascii="宋体" w:cs="宋体"/>
                <w:sz w:val="24"/>
                <w:szCs w:val="24"/>
              </w:rPr>
            </w:pPr>
            <w:r>
              <w:rPr>
                <w:rFonts w:hint="eastAsia" w:ascii="宋体" w:hAnsi="宋体" w:cs="宋体"/>
                <w:sz w:val="24"/>
                <w:szCs w:val="24"/>
              </w:rPr>
              <w:t>供应商针对本项目开闭幕式提供编排方案：内容有创意、形式多样、充分展现比赛活动主题思想，各项工作详细且可执行的加</w:t>
            </w:r>
            <w:r>
              <w:rPr>
                <w:rFonts w:ascii="宋体" w:hAnsi="宋体" w:cs="宋体"/>
                <w:sz w:val="24"/>
                <w:szCs w:val="24"/>
              </w:rPr>
              <w:t>5</w:t>
            </w:r>
            <w:r>
              <w:rPr>
                <w:rFonts w:hint="eastAsia" w:ascii="宋体" w:hAnsi="宋体" w:cs="宋体"/>
                <w:sz w:val="24"/>
                <w:szCs w:val="24"/>
              </w:rPr>
              <w:t>分；内容一般或形式单一、能展现比赛活动主题思想，各项工作可执行的加</w:t>
            </w:r>
            <w:r>
              <w:rPr>
                <w:rFonts w:ascii="宋体" w:hAnsi="宋体" w:cs="宋体"/>
                <w:sz w:val="24"/>
                <w:szCs w:val="24"/>
              </w:rPr>
              <w:t>3</w:t>
            </w:r>
            <w:r>
              <w:rPr>
                <w:rFonts w:hint="eastAsia" w:ascii="宋体" w:hAnsi="宋体" w:cs="宋体"/>
                <w:sz w:val="24"/>
                <w:szCs w:val="24"/>
              </w:rPr>
              <w:t>分；方案笼统的</w:t>
            </w:r>
            <w:r>
              <w:rPr>
                <w:rFonts w:hint="eastAsia" w:ascii="宋体" w:hAnsi="宋体" w:cs="宋体"/>
                <w:sz w:val="24"/>
                <w:szCs w:val="24"/>
                <w:lang w:val="en-US" w:eastAsia="zh-CN"/>
              </w:rPr>
              <w:t>加1分</w:t>
            </w:r>
            <w:r>
              <w:rPr>
                <w:rFonts w:hint="eastAsia" w:ascii="宋体" w:hAnsi="宋体" w:cs="宋体"/>
                <w:sz w:val="24"/>
                <w:szCs w:val="24"/>
              </w:rPr>
              <w:t>。</w:t>
            </w:r>
          </w:p>
          <w:p>
            <w:pPr>
              <w:pStyle w:val="3"/>
              <w:spacing w:after="0" w:line="360" w:lineRule="auto"/>
              <w:ind w:firstLine="0" w:firstLineChars="0"/>
              <w:jc w:val="left"/>
              <w:rPr>
                <w:rFonts w:ascii="宋体" w:cs="宋体"/>
                <w:sz w:val="24"/>
                <w:szCs w:val="24"/>
              </w:rPr>
            </w:pPr>
            <w:r>
              <w:rPr>
                <w:rFonts w:hint="eastAsia" w:ascii="宋体" w:hAnsi="宋体" w:cs="宋体"/>
                <w:b/>
                <w:bCs/>
                <w:sz w:val="24"/>
                <w:szCs w:val="24"/>
              </w:rPr>
              <w:t>评审依据：响应文件中提供的开闭幕式方案。</w:t>
            </w:r>
          </w:p>
        </w:tc>
        <w:tc>
          <w:tcPr>
            <w:tcW w:w="1172" w:type="dxa"/>
            <w:vAlign w:val="center"/>
          </w:tcPr>
          <w:p>
            <w:pPr>
              <w:spacing w:line="360" w:lineRule="auto"/>
              <w:jc w:val="center"/>
              <w:rPr>
                <w:rFonts w:ascii="宋体" w:cs="宋体"/>
                <w:sz w:val="24"/>
                <w:szCs w:val="24"/>
              </w:rPr>
            </w:pPr>
            <w:r>
              <w:rPr>
                <w:rFonts w:ascii="宋体" w:hAnsi="宋体" w:cs="宋体"/>
                <w:sz w:val="24"/>
                <w:szCs w:val="24"/>
              </w:rPr>
              <w:t>5</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比赛场地</w:t>
            </w:r>
          </w:p>
        </w:tc>
        <w:tc>
          <w:tcPr>
            <w:tcW w:w="6307" w:type="dxa"/>
            <w:vAlign w:val="center"/>
          </w:tcPr>
          <w:p>
            <w:pPr>
              <w:spacing w:line="360" w:lineRule="auto"/>
              <w:jc w:val="left"/>
              <w:rPr>
                <w:rFonts w:hint="eastAsia" w:ascii="宋体" w:hAnsi="宋体" w:cs="宋体"/>
                <w:color w:val="000000"/>
                <w:sz w:val="24"/>
                <w:szCs w:val="24"/>
                <w:highlight w:val="none"/>
              </w:rPr>
            </w:pPr>
            <w:r>
              <w:rPr>
                <w:rFonts w:hint="eastAsia" w:ascii="宋体" w:hAnsi="宋体" w:cs="宋体"/>
                <w:sz w:val="24"/>
                <w:szCs w:val="24"/>
                <w:highlight w:val="none"/>
              </w:rPr>
              <w:t>“</w:t>
            </w:r>
            <w:r>
              <w:rPr>
                <w:rFonts w:hint="eastAsia" w:ascii="宋体" w:hAnsi="宋体" w:cs="宋体"/>
                <w:bCs/>
                <w:sz w:val="24"/>
                <w:szCs w:val="24"/>
                <w:highlight w:val="none"/>
              </w:rPr>
              <w:t>林业有害生物识别与标本采集制作项目、林业有害生物防治项目</w:t>
            </w:r>
            <w:r>
              <w:rPr>
                <w:rFonts w:hint="eastAsia" w:ascii="宋体" w:hAnsi="宋体" w:cs="宋体"/>
                <w:sz w:val="24"/>
                <w:szCs w:val="24"/>
                <w:highlight w:val="none"/>
              </w:rPr>
              <w:t>”</w:t>
            </w:r>
            <w:r>
              <w:rPr>
                <w:rFonts w:hint="eastAsia" w:ascii="宋体" w:hAnsi="宋体" w:cs="宋体"/>
                <w:color w:val="000000"/>
                <w:sz w:val="24"/>
                <w:szCs w:val="24"/>
                <w:highlight w:val="none"/>
              </w:rPr>
              <w:t>比赛场地每增加</w:t>
            </w:r>
            <w:r>
              <w:rPr>
                <w:rFonts w:ascii="宋体" w:hAnsi="宋体" w:cs="宋体"/>
                <w:color w:val="000000"/>
                <w:sz w:val="24"/>
                <w:szCs w:val="24"/>
                <w:highlight w:val="none"/>
              </w:rPr>
              <w:t>100</w:t>
            </w:r>
            <w:r>
              <w:rPr>
                <w:rFonts w:hint="eastAsia" w:ascii="宋体" w:hAnsi="宋体" w:cs="宋体"/>
                <w:color w:val="000000"/>
                <w:sz w:val="24"/>
                <w:szCs w:val="24"/>
                <w:highlight w:val="none"/>
              </w:rPr>
              <w:t>平方米加</w:t>
            </w:r>
            <w:r>
              <w:rPr>
                <w:rFonts w:ascii="宋体" w:hAnsi="宋体" w:cs="宋体"/>
                <w:color w:val="000000"/>
                <w:sz w:val="24"/>
                <w:szCs w:val="24"/>
                <w:highlight w:val="none"/>
              </w:rPr>
              <w:t>1</w:t>
            </w:r>
            <w:r>
              <w:rPr>
                <w:rFonts w:hint="eastAsia" w:ascii="宋体" w:hAnsi="宋体" w:cs="宋体"/>
                <w:color w:val="000000"/>
                <w:sz w:val="24"/>
                <w:szCs w:val="24"/>
                <w:highlight w:val="none"/>
              </w:rPr>
              <w:t>分，最多加</w:t>
            </w:r>
            <w:r>
              <w:rPr>
                <w:rFonts w:ascii="宋体" w:hAnsi="宋体" w:cs="宋体"/>
                <w:color w:val="000000"/>
                <w:sz w:val="24"/>
                <w:szCs w:val="24"/>
                <w:highlight w:val="none"/>
              </w:rPr>
              <w:t>4</w:t>
            </w:r>
            <w:r>
              <w:rPr>
                <w:rFonts w:hint="eastAsia" w:ascii="宋体" w:hAnsi="宋体" w:cs="宋体"/>
                <w:color w:val="000000"/>
                <w:sz w:val="24"/>
                <w:szCs w:val="24"/>
                <w:highlight w:val="none"/>
              </w:rPr>
              <w:t>分。</w:t>
            </w:r>
          </w:p>
          <w:p>
            <w:pPr>
              <w:spacing w:line="360" w:lineRule="auto"/>
              <w:jc w:val="left"/>
              <w:rPr>
                <w:rFonts w:ascii="宋体" w:cs="宋体"/>
                <w:sz w:val="24"/>
                <w:szCs w:val="24"/>
                <w:highlight w:val="none"/>
              </w:rPr>
            </w:pPr>
            <w:r>
              <w:rPr>
                <w:rFonts w:hint="eastAsia" w:ascii="宋体" w:hAnsi="宋体" w:cs="宋体"/>
                <w:b/>
                <w:bCs/>
                <w:sz w:val="24"/>
                <w:szCs w:val="24"/>
              </w:rPr>
              <w:t>评审依据：响应文件中提供的</w:t>
            </w:r>
            <w:r>
              <w:rPr>
                <w:rFonts w:hint="eastAsia" w:ascii="宋体" w:hAnsi="宋体" w:cs="宋体"/>
                <w:b/>
                <w:bCs/>
                <w:sz w:val="24"/>
                <w:szCs w:val="24"/>
                <w:lang w:val="en-US" w:eastAsia="zh-CN"/>
              </w:rPr>
              <w:t>承诺函</w:t>
            </w:r>
            <w:r>
              <w:rPr>
                <w:rFonts w:hint="eastAsia" w:ascii="宋体" w:hAnsi="宋体" w:cs="宋体"/>
                <w:b/>
                <w:bCs/>
                <w:sz w:val="24"/>
                <w:szCs w:val="24"/>
              </w:rPr>
              <w:t>。</w:t>
            </w:r>
          </w:p>
        </w:tc>
        <w:tc>
          <w:tcPr>
            <w:tcW w:w="1172" w:type="dxa"/>
            <w:vAlign w:val="center"/>
          </w:tcPr>
          <w:p>
            <w:pPr>
              <w:spacing w:line="360" w:lineRule="auto"/>
              <w:jc w:val="center"/>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color w:val="000000"/>
                <w:sz w:val="24"/>
                <w:szCs w:val="24"/>
              </w:rPr>
              <w:t>比赛影像资料</w:t>
            </w:r>
          </w:p>
        </w:tc>
        <w:tc>
          <w:tcPr>
            <w:tcW w:w="6307" w:type="dxa"/>
            <w:vAlign w:val="center"/>
          </w:tcPr>
          <w:p>
            <w:pPr>
              <w:spacing w:line="360" w:lineRule="auto"/>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、投标人承诺提供</w:t>
            </w:r>
            <w:r>
              <w:rPr>
                <w:rFonts w:ascii="宋体" w:hAnsi="宋体" w:cs="宋体"/>
                <w:color w:val="000000"/>
                <w:sz w:val="24"/>
                <w:szCs w:val="24"/>
              </w:rPr>
              <w:t>4K</w:t>
            </w:r>
            <w:r>
              <w:rPr>
                <w:rFonts w:hint="eastAsia" w:ascii="宋体" w:hAnsi="宋体" w:cs="宋体"/>
                <w:color w:val="000000"/>
                <w:sz w:val="24"/>
                <w:szCs w:val="24"/>
              </w:rPr>
              <w:t>（分辨率</w:t>
            </w:r>
            <w:r>
              <w:rPr>
                <w:rFonts w:ascii="宋体" w:hAnsi="宋体" w:cs="宋体"/>
                <w:color w:val="000000"/>
                <w:sz w:val="24"/>
                <w:szCs w:val="24"/>
              </w:rPr>
              <w:t>4096*2160</w:t>
            </w:r>
            <w:r>
              <w:rPr>
                <w:rFonts w:hint="eastAsia" w:ascii="宋体" w:hAnsi="宋体" w:cs="宋体"/>
                <w:color w:val="000000"/>
                <w:sz w:val="24"/>
                <w:szCs w:val="24"/>
              </w:rPr>
              <w:t>）比赛影像资料的多角度多画面的加</w:t>
            </w:r>
            <w:r>
              <w:rPr>
                <w:rFonts w:ascii="宋体" w:hAnsi="宋体" w:cs="宋体"/>
                <w:color w:val="000000"/>
                <w:sz w:val="24"/>
                <w:szCs w:val="24"/>
              </w:rPr>
              <w:t>3</w:t>
            </w:r>
            <w:r>
              <w:rPr>
                <w:rFonts w:hint="eastAsia" w:ascii="宋体" w:hAnsi="宋体" w:cs="宋体"/>
                <w:color w:val="000000"/>
                <w:sz w:val="24"/>
                <w:szCs w:val="24"/>
              </w:rPr>
              <w:t>分；</w:t>
            </w:r>
          </w:p>
          <w:p>
            <w:pPr>
              <w:spacing w:line="360" w:lineRule="auto"/>
              <w:jc w:val="left"/>
              <w:rPr>
                <w:color w:val="000000"/>
              </w:rPr>
            </w:pPr>
            <w:r>
              <w:rPr>
                <w:rFonts w:ascii="宋体" w:hAnsi="宋体" w:cs="宋体"/>
                <w:color w:val="000000"/>
                <w:sz w:val="24"/>
                <w:szCs w:val="24"/>
              </w:rPr>
              <w:t>2</w:t>
            </w:r>
            <w:r>
              <w:rPr>
                <w:rFonts w:hint="eastAsia" w:ascii="宋体" w:hAnsi="宋体" w:cs="宋体"/>
                <w:color w:val="000000"/>
                <w:sz w:val="24"/>
                <w:szCs w:val="24"/>
              </w:rPr>
              <w:t>、提供影像资料时长</w:t>
            </w:r>
            <w:r>
              <w:rPr>
                <w:rFonts w:hint="eastAsia" w:ascii="宋体" w:hAnsi="宋体" w:cs="宋体"/>
                <w:color w:val="000000"/>
                <w:kern w:val="0"/>
                <w:sz w:val="24"/>
                <w:szCs w:val="24"/>
              </w:rPr>
              <w:t>≥</w:t>
            </w:r>
            <w:r>
              <w:rPr>
                <w:rFonts w:ascii="宋体" w:hAnsi="宋体" w:cs="宋体"/>
                <w:color w:val="000000"/>
                <w:sz w:val="24"/>
                <w:szCs w:val="24"/>
              </w:rPr>
              <w:t>5</w:t>
            </w:r>
            <w:r>
              <w:rPr>
                <w:rFonts w:hint="eastAsia" w:ascii="宋体" w:hAnsi="宋体" w:cs="宋体"/>
                <w:color w:val="000000"/>
                <w:sz w:val="24"/>
                <w:szCs w:val="24"/>
              </w:rPr>
              <w:t>分钟的，每增加一分钟的加</w:t>
            </w:r>
            <w:r>
              <w:rPr>
                <w:rFonts w:ascii="宋体" w:hAnsi="宋体" w:cs="宋体"/>
                <w:color w:val="000000"/>
                <w:sz w:val="24"/>
                <w:szCs w:val="24"/>
              </w:rPr>
              <w:t>1</w:t>
            </w:r>
            <w:r>
              <w:rPr>
                <w:rFonts w:hint="eastAsia" w:ascii="宋体" w:hAnsi="宋体" w:cs="宋体"/>
                <w:color w:val="000000"/>
                <w:sz w:val="24"/>
                <w:szCs w:val="24"/>
              </w:rPr>
              <w:t>分，最多加</w:t>
            </w:r>
            <w:r>
              <w:rPr>
                <w:rFonts w:ascii="宋体" w:hAnsi="宋体" w:cs="宋体"/>
                <w:color w:val="000000"/>
                <w:sz w:val="24"/>
                <w:szCs w:val="24"/>
              </w:rPr>
              <w:t>3</w:t>
            </w:r>
            <w:r>
              <w:rPr>
                <w:rFonts w:hint="eastAsia" w:ascii="宋体" w:hAnsi="宋体" w:cs="宋体"/>
                <w:color w:val="000000"/>
                <w:sz w:val="24"/>
                <w:szCs w:val="24"/>
              </w:rPr>
              <w:t>分；</w:t>
            </w:r>
          </w:p>
          <w:p>
            <w:pPr>
              <w:spacing w:line="360" w:lineRule="auto"/>
              <w:jc w:val="left"/>
              <w:rPr>
                <w:color w:val="000000"/>
              </w:rPr>
            </w:pPr>
            <w:r>
              <w:rPr>
                <w:rFonts w:ascii="宋体" w:hAnsi="宋体" w:cs="宋体"/>
                <w:color w:val="000000"/>
                <w:kern w:val="0"/>
                <w:sz w:val="24"/>
                <w:szCs w:val="24"/>
              </w:rPr>
              <w:t>3</w:t>
            </w:r>
            <w:r>
              <w:rPr>
                <w:rFonts w:hint="eastAsia" w:ascii="宋体" w:hAnsi="宋体" w:cs="宋体"/>
                <w:color w:val="000000"/>
                <w:kern w:val="0"/>
                <w:sz w:val="24"/>
                <w:szCs w:val="24"/>
              </w:rPr>
              <w:t>、承诺提供≥</w:t>
            </w:r>
            <w:r>
              <w:rPr>
                <w:rFonts w:ascii="宋体" w:hAnsi="宋体" w:cs="宋体"/>
                <w:color w:val="000000"/>
                <w:kern w:val="0"/>
                <w:sz w:val="24"/>
                <w:szCs w:val="24"/>
              </w:rPr>
              <w:t>200</w:t>
            </w:r>
            <w:r>
              <w:rPr>
                <w:rFonts w:hint="eastAsia" w:ascii="宋体" w:hAnsi="宋体" w:cs="宋体"/>
                <w:color w:val="000000"/>
                <w:kern w:val="0"/>
                <w:sz w:val="24"/>
                <w:szCs w:val="24"/>
              </w:rPr>
              <w:t>像素照片的，像素每增加</w:t>
            </w:r>
            <w:r>
              <w:rPr>
                <w:rFonts w:ascii="宋体" w:hAnsi="宋体" w:cs="宋体"/>
                <w:color w:val="000000"/>
                <w:kern w:val="0"/>
                <w:sz w:val="24"/>
                <w:szCs w:val="24"/>
              </w:rPr>
              <w:t>1</w:t>
            </w:r>
            <w:r>
              <w:rPr>
                <w:rFonts w:ascii="宋体" w:cs="宋体"/>
                <w:color w:val="000000"/>
                <w:kern w:val="0"/>
                <w:sz w:val="24"/>
                <w:szCs w:val="24"/>
              </w:rPr>
              <w:t>00</w:t>
            </w:r>
            <w:r>
              <w:rPr>
                <w:rFonts w:hint="eastAsia" w:ascii="宋体" w:hAnsi="宋体" w:cs="宋体"/>
                <w:color w:val="000000"/>
                <w:kern w:val="0"/>
                <w:sz w:val="24"/>
                <w:szCs w:val="24"/>
              </w:rPr>
              <w:t>万的加</w:t>
            </w:r>
            <w:r>
              <w:rPr>
                <w:rFonts w:ascii="宋体" w:hAnsi="宋体" w:cs="宋体"/>
                <w:color w:val="000000"/>
                <w:kern w:val="0"/>
                <w:sz w:val="24"/>
                <w:szCs w:val="24"/>
              </w:rPr>
              <w:t>0.5</w:t>
            </w:r>
            <w:r>
              <w:rPr>
                <w:rFonts w:hint="eastAsia" w:ascii="宋体" w:hAnsi="宋体" w:cs="宋体"/>
                <w:color w:val="000000"/>
                <w:kern w:val="0"/>
                <w:sz w:val="24"/>
                <w:szCs w:val="24"/>
              </w:rPr>
              <w:t>分，最高加</w:t>
            </w:r>
            <w:r>
              <w:rPr>
                <w:rFonts w:ascii="宋体" w:hAnsi="宋体" w:cs="宋体"/>
                <w:color w:val="000000"/>
                <w:kern w:val="0"/>
                <w:sz w:val="24"/>
                <w:szCs w:val="24"/>
              </w:rPr>
              <w:t>2</w:t>
            </w:r>
            <w:r>
              <w:rPr>
                <w:rFonts w:hint="eastAsia" w:ascii="宋体" w:hAnsi="宋体" w:cs="宋体"/>
                <w:color w:val="000000"/>
                <w:kern w:val="0"/>
                <w:sz w:val="24"/>
                <w:szCs w:val="24"/>
              </w:rPr>
              <w:t>分。</w:t>
            </w:r>
          </w:p>
          <w:p>
            <w:pPr>
              <w:spacing w:line="360" w:lineRule="auto"/>
              <w:jc w:val="left"/>
              <w:rPr>
                <w:rFonts w:ascii="宋体" w:cs="宋体"/>
                <w:b/>
                <w:bCs/>
                <w:color w:val="000000"/>
                <w:sz w:val="24"/>
                <w:szCs w:val="24"/>
              </w:rPr>
            </w:pPr>
            <w:r>
              <w:rPr>
                <w:rFonts w:hint="eastAsia" w:ascii="宋体" w:hAnsi="宋体" w:cs="宋体"/>
                <w:b/>
                <w:bCs/>
                <w:color w:val="000000"/>
                <w:sz w:val="24"/>
                <w:szCs w:val="24"/>
                <w:lang w:val="en-US" w:eastAsia="zh-CN"/>
              </w:rPr>
              <w:t>1至3项</w:t>
            </w:r>
            <w:r>
              <w:rPr>
                <w:rFonts w:hint="eastAsia" w:ascii="宋体" w:hAnsi="宋体" w:cs="宋体"/>
                <w:b/>
                <w:bCs/>
                <w:color w:val="000000"/>
                <w:sz w:val="24"/>
                <w:szCs w:val="24"/>
              </w:rPr>
              <w:t>评审依据：响应文件中提供承诺函。</w:t>
            </w:r>
          </w:p>
        </w:tc>
        <w:tc>
          <w:tcPr>
            <w:tcW w:w="1172" w:type="dxa"/>
            <w:vAlign w:val="center"/>
          </w:tcPr>
          <w:p>
            <w:pPr>
              <w:spacing w:line="360" w:lineRule="auto"/>
              <w:jc w:val="center"/>
              <w:rPr>
                <w:rFonts w:ascii="宋体" w:cs="宋体"/>
                <w:sz w:val="24"/>
                <w:szCs w:val="24"/>
              </w:rPr>
            </w:pPr>
            <w:r>
              <w:rPr>
                <w:rFonts w:ascii="宋体" w:hAnsi="宋体" w:cs="宋体"/>
                <w:sz w:val="24"/>
                <w:szCs w:val="24"/>
              </w:rPr>
              <w:t>8</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color w:val="000000"/>
                <w:sz w:val="24"/>
                <w:szCs w:val="24"/>
              </w:rPr>
              <w:t>航拍影像资料</w:t>
            </w:r>
          </w:p>
        </w:tc>
        <w:tc>
          <w:tcPr>
            <w:tcW w:w="6307" w:type="dxa"/>
            <w:vAlign w:val="center"/>
          </w:tcPr>
          <w:p>
            <w:pPr>
              <w:spacing w:line="360" w:lineRule="auto"/>
              <w:jc w:val="left"/>
              <w:rPr>
                <w:rFonts w:ascii="宋体" w:cs="宋体"/>
                <w:sz w:val="24"/>
                <w:szCs w:val="24"/>
              </w:rPr>
            </w:pPr>
            <w:r>
              <w:rPr>
                <w:rFonts w:hint="eastAsia" w:ascii="宋体" w:hAnsi="宋体" w:cs="宋体"/>
                <w:sz w:val="24"/>
                <w:szCs w:val="24"/>
              </w:rPr>
              <w:t>投标人承诺提供比赛航拍影像资料且清晰度达到</w:t>
            </w:r>
            <w:r>
              <w:rPr>
                <w:rFonts w:ascii="宋体" w:hAnsi="宋体" w:cs="宋体"/>
                <w:sz w:val="24"/>
                <w:szCs w:val="24"/>
              </w:rPr>
              <w:t>4K</w:t>
            </w:r>
            <w:r>
              <w:rPr>
                <w:rFonts w:hint="eastAsia" w:ascii="宋体" w:hAnsi="宋体" w:cs="宋体"/>
                <w:sz w:val="24"/>
                <w:szCs w:val="24"/>
              </w:rPr>
              <w:t>（分辨率</w:t>
            </w:r>
            <w:r>
              <w:rPr>
                <w:rFonts w:ascii="宋体" w:hAnsi="宋体" w:cs="宋体"/>
                <w:sz w:val="24"/>
                <w:szCs w:val="24"/>
              </w:rPr>
              <w:t>4096*2160</w:t>
            </w:r>
            <w:r>
              <w:rPr>
                <w:rFonts w:hint="eastAsia" w:ascii="宋体" w:hAnsi="宋体" w:cs="宋体"/>
                <w:sz w:val="24"/>
                <w:szCs w:val="24"/>
              </w:rPr>
              <w:t>）的多角度多画面</w:t>
            </w:r>
            <w:r>
              <w:rPr>
                <w:rFonts w:hint="eastAsia" w:ascii="宋体" w:hAnsi="宋体" w:cs="宋体"/>
                <w:color w:val="000000"/>
                <w:kern w:val="0"/>
                <w:sz w:val="24"/>
                <w:szCs w:val="24"/>
              </w:rPr>
              <w:t>≥</w:t>
            </w:r>
            <w:r>
              <w:rPr>
                <w:rFonts w:ascii="宋体" w:hAnsi="宋体" w:cs="宋体"/>
                <w:sz w:val="24"/>
                <w:szCs w:val="24"/>
              </w:rPr>
              <w:t>1</w:t>
            </w:r>
            <w:r>
              <w:rPr>
                <w:rFonts w:hint="eastAsia" w:ascii="宋体" w:hAnsi="宋体" w:cs="宋体"/>
                <w:sz w:val="24"/>
                <w:szCs w:val="24"/>
              </w:rPr>
              <w:t>分钟的影像，加</w:t>
            </w:r>
            <w:r>
              <w:rPr>
                <w:rFonts w:ascii="宋体" w:hAnsi="宋体" w:cs="宋体"/>
                <w:sz w:val="24"/>
                <w:szCs w:val="24"/>
              </w:rPr>
              <w:t>6</w:t>
            </w:r>
            <w:r>
              <w:rPr>
                <w:rFonts w:hint="eastAsia" w:ascii="宋体" w:hAnsi="宋体" w:cs="宋体"/>
                <w:sz w:val="24"/>
                <w:szCs w:val="24"/>
              </w:rPr>
              <w:t>分</w:t>
            </w:r>
          </w:p>
          <w:p>
            <w:pPr>
              <w:pStyle w:val="3"/>
              <w:spacing w:after="0" w:line="360" w:lineRule="auto"/>
              <w:ind w:firstLine="0" w:firstLineChars="0"/>
              <w:rPr>
                <w:rFonts w:ascii="宋体" w:cs="宋体"/>
                <w:sz w:val="24"/>
                <w:szCs w:val="24"/>
              </w:rPr>
            </w:pPr>
            <w:r>
              <w:rPr>
                <w:rFonts w:hint="eastAsia" w:ascii="宋体" w:hAnsi="宋体" w:cs="宋体"/>
                <w:b/>
                <w:bCs/>
                <w:color w:val="000000"/>
                <w:sz w:val="24"/>
                <w:szCs w:val="24"/>
              </w:rPr>
              <w:t>评审依据：响应文件中提供承诺函。</w:t>
            </w:r>
          </w:p>
        </w:tc>
        <w:tc>
          <w:tcPr>
            <w:tcW w:w="1172" w:type="dxa"/>
            <w:vAlign w:val="center"/>
          </w:tcPr>
          <w:p>
            <w:pPr>
              <w:spacing w:line="360" w:lineRule="auto"/>
              <w:jc w:val="center"/>
              <w:rPr>
                <w:rFonts w:ascii="宋体" w:cs="宋体"/>
                <w:sz w:val="24"/>
                <w:szCs w:val="24"/>
              </w:rPr>
            </w:pPr>
            <w:r>
              <w:rPr>
                <w:rFonts w:ascii="宋体" w:hAnsi="宋体" w:cs="宋体"/>
                <w:sz w:val="24"/>
                <w:szCs w:val="24"/>
              </w:rPr>
              <w:t>6</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、开幕式主持人</w:t>
            </w:r>
          </w:p>
        </w:tc>
        <w:tc>
          <w:tcPr>
            <w:tcW w:w="6307" w:type="dxa"/>
            <w:vAlign w:val="center"/>
          </w:tcPr>
          <w:p>
            <w:pPr>
              <w:spacing w:line="360" w:lineRule="auto"/>
              <w:jc w:val="left"/>
              <w:rPr>
                <w:rFonts w:ascii="宋体" w:cs="宋体"/>
                <w:sz w:val="24"/>
                <w:szCs w:val="24"/>
              </w:rPr>
            </w:pPr>
            <w:r>
              <w:rPr>
                <w:rFonts w:ascii="宋体" w:hAnsi="宋体" w:cs="宋体"/>
                <w:sz w:val="24"/>
                <w:szCs w:val="24"/>
              </w:rPr>
              <w:t>1</w:t>
            </w:r>
            <w:r>
              <w:rPr>
                <w:rFonts w:hint="eastAsia" w:ascii="宋体" w:hAnsi="宋体" w:cs="宋体"/>
                <w:sz w:val="24"/>
                <w:szCs w:val="24"/>
              </w:rPr>
              <w:t>、开幕式配备专业主持人为省级电视台专业主持人加</w:t>
            </w:r>
            <w:r>
              <w:rPr>
                <w:rFonts w:ascii="宋体" w:hAnsi="宋体" w:cs="宋体"/>
                <w:sz w:val="24"/>
                <w:szCs w:val="24"/>
              </w:rPr>
              <w:t>4</w:t>
            </w:r>
            <w:r>
              <w:rPr>
                <w:rFonts w:hint="eastAsia" w:ascii="宋体" w:hAnsi="宋体" w:cs="宋体"/>
                <w:sz w:val="24"/>
                <w:szCs w:val="24"/>
              </w:rPr>
              <w:t>分</w:t>
            </w:r>
            <w:r>
              <w:rPr>
                <w:rFonts w:ascii="宋体" w:cs="宋体"/>
                <w:sz w:val="24"/>
                <w:szCs w:val="24"/>
              </w:rPr>
              <w:t>.</w:t>
            </w:r>
          </w:p>
          <w:p>
            <w:pPr>
              <w:pStyle w:val="3"/>
              <w:spacing w:after="0" w:line="360" w:lineRule="auto"/>
              <w:ind w:firstLine="0"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、开幕式专业主持人有全国普通话考试等级二级甲等的加</w:t>
            </w:r>
            <w:r>
              <w:rPr>
                <w:rFonts w:ascii="宋体" w:hAnsi="宋体" w:cs="宋体"/>
                <w:color w:val="000000"/>
                <w:sz w:val="24"/>
                <w:szCs w:val="24"/>
              </w:rPr>
              <w:t>1</w:t>
            </w:r>
            <w:r>
              <w:rPr>
                <w:rFonts w:hint="eastAsia" w:ascii="宋体" w:hAnsi="宋体" w:cs="宋体"/>
                <w:color w:val="000000"/>
                <w:sz w:val="24"/>
                <w:szCs w:val="24"/>
              </w:rPr>
              <w:t>分，一级乙等加</w:t>
            </w:r>
            <w:r>
              <w:rPr>
                <w:rFonts w:ascii="宋体" w:hAnsi="宋体" w:cs="宋体"/>
                <w:color w:val="000000"/>
                <w:sz w:val="24"/>
                <w:szCs w:val="24"/>
              </w:rPr>
              <w:t>3</w:t>
            </w:r>
            <w:r>
              <w:rPr>
                <w:rFonts w:hint="eastAsia" w:ascii="宋体" w:hAnsi="宋体" w:cs="宋体"/>
                <w:color w:val="000000"/>
                <w:sz w:val="24"/>
                <w:szCs w:val="24"/>
              </w:rPr>
              <w:t>分，一级甲等加</w:t>
            </w:r>
            <w:r>
              <w:rPr>
                <w:rFonts w:ascii="宋体" w:hAnsi="宋体" w:cs="宋体"/>
                <w:color w:val="000000"/>
                <w:sz w:val="24"/>
                <w:szCs w:val="24"/>
              </w:rPr>
              <w:t>5</w:t>
            </w:r>
            <w:r>
              <w:rPr>
                <w:rFonts w:hint="eastAsia" w:ascii="宋体" w:hAnsi="宋体" w:cs="宋体"/>
                <w:color w:val="000000"/>
                <w:sz w:val="24"/>
                <w:szCs w:val="24"/>
              </w:rPr>
              <w:t>分；</w:t>
            </w:r>
          </w:p>
          <w:p>
            <w:pPr>
              <w:pStyle w:val="3"/>
              <w:spacing w:after="0" w:line="360" w:lineRule="auto"/>
              <w:ind w:firstLine="0" w:firstLineChars="0"/>
              <w:jc w:val="left"/>
              <w:rPr>
                <w:rFonts w:ascii="宋体" w:cs="宋体"/>
                <w:color w:val="000000"/>
                <w:sz w:val="24"/>
                <w:szCs w:val="24"/>
              </w:rPr>
            </w:pPr>
            <w:r>
              <w:rPr>
                <w:rFonts w:hint="eastAsia" w:ascii="宋体" w:hAnsi="宋体" w:cs="宋体"/>
                <w:b/>
                <w:bCs/>
                <w:color w:val="000000"/>
                <w:sz w:val="24"/>
                <w:szCs w:val="24"/>
              </w:rPr>
              <w:t>评审依据：响应文件中提供：</w:t>
            </w:r>
            <w:r>
              <w:rPr>
                <w:rFonts w:ascii="宋体" w:hAnsi="宋体" w:cs="宋体"/>
                <w:b/>
                <w:bCs/>
                <w:color w:val="000000"/>
                <w:sz w:val="24"/>
                <w:szCs w:val="24"/>
              </w:rPr>
              <w:t>1</w:t>
            </w:r>
            <w:r>
              <w:rPr>
                <w:rFonts w:hint="eastAsia" w:ascii="宋体" w:hAnsi="宋体" w:cs="宋体"/>
                <w:b/>
                <w:bCs/>
                <w:color w:val="000000"/>
                <w:sz w:val="24"/>
                <w:szCs w:val="24"/>
              </w:rPr>
              <w:t>）主持人的姓名及所属单位；</w:t>
            </w:r>
            <w:r>
              <w:rPr>
                <w:rFonts w:ascii="宋体" w:hAnsi="宋体" w:cs="宋体"/>
                <w:b/>
                <w:bCs/>
                <w:color w:val="000000"/>
                <w:sz w:val="24"/>
                <w:szCs w:val="24"/>
              </w:rPr>
              <w:t>2</w:t>
            </w:r>
            <w:r>
              <w:rPr>
                <w:rFonts w:hint="eastAsia" w:ascii="宋体" w:hAnsi="宋体" w:cs="宋体"/>
                <w:b/>
                <w:bCs/>
                <w:color w:val="000000"/>
                <w:sz w:val="24"/>
                <w:szCs w:val="24"/>
              </w:rPr>
              <w:t>）普通话等级证书扫描件。</w:t>
            </w:r>
          </w:p>
        </w:tc>
        <w:tc>
          <w:tcPr>
            <w:tcW w:w="1172" w:type="dxa"/>
            <w:vAlign w:val="center"/>
          </w:tcPr>
          <w:p>
            <w:pPr>
              <w:spacing w:line="360" w:lineRule="auto"/>
              <w:jc w:val="center"/>
              <w:rPr>
                <w:rFonts w:ascii="宋体" w:cs="宋体"/>
                <w:sz w:val="24"/>
                <w:szCs w:val="24"/>
              </w:rPr>
            </w:pPr>
            <w:r>
              <w:rPr>
                <w:rFonts w:ascii="宋体" w:hAnsi="宋体" w:cs="宋体"/>
                <w:sz w:val="24"/>
                <w:szCs w:val="24"/>
              </w:rPr>
              <w:t>9</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、食宿标准</w:t>
            </w:r>
          </w:p>
        </w:tc>
        <w:tc>
          <w:tcPr>
            <w:tcW w:w="6307" w:type="dxa"/>
            <w:vAlign w:val="center"/>
          </w:tcPr>
          <w:p>
            <w:pPr>
              <w:spacing w:line="360" w:lineRule="auto"/>
              <w:jc w:val="left"/>
              <w:rPr>
                <w:rFonts w:hint="eastAsia" w:ascii="宋体" w:eastAsia="宋体" w:cs="宋体"/>
                <w:color w:val="000000"/>
                <w:sz w:val="24"/>
                <w:szCs w:val="24"/>
                <w:lang w:eastAsia="zh-CN"/>
              </w:rPr>
            </w:pPr>
            <w:r>
              <w:rPr>
                <w:rFonts w:hint="eastAsia" w:ascii="宋体" w:hAnsi="宋体" w:cs="宋体"/>
                <w:color w:val="000000"/>
                <w:sz w:val="24"/>
                <w:szCs w:val="24"/>
              </w:rPr>
              <w:t>食宿标准超过准</w:t>
            </w:r>
            <w:r>
              <w:rPr>
                <w:rFonts w:ascii="宋体" w:hAnsi="宋体" w:cs="宋体"/>
                <w:color w:val="000000"/>
                <w:sz w:val="24"/>
                <w:szCs w:val="24"/>
              </w:rPr>
              <w:t>4</w:t>
            </w:r>
            <w:r>
              <w:rPr>
                <w:rFonts w:hint="eastAsia" w:ascii="宋体" w:hAnsi="宋体" w:cs="宋体"/>
                <w:color w:val="000000"/>
                <w:sz w:val="24"/>
                <w:szCs w:val="24"/>
              </w:rPr>
              <w:t>星级的加</w:t>
            </w:r>
            <w:r>
              <w:rPr>
                <w:rFonts w:ascii="宋体" w:hAnsi="宋体" w:cs="宋体"/>
                <w:color w:val="000000"/>
                <w:sz w:val="24"/>
                <w:szCs w:val="24"/>
              </w:rPr>
              <w:t>5</w:t>
            </w:r>
            <w:r>
              <w:rPr>
                <w:rFonts w:hint="eastAsia" w:ascii="宋体" w:hAnsi="宋体" w:cs="宋体"/>
                <w:color w:val="000000"/>
                <w:sz w:val="24"/>
                <w:szCs w:val="24"/>
              </w:rPr>
              <w:t>分</w:t>
            </w:r>
            <w:r>
              <w:rPr>
                <w:rFonts w:hint="eastAsia" w:ascii="宋体" w:hAnsi="宋体" w:cs="宋体"/>
                <w:color w:val="000000"/>
                <w:sz w:val="24"/>
                <w:szCs w:val="24"/>
                <w:lang w:eastAsia="zh-CN"/>
              </w:rPr>
              <w:t>。</w:t>
            </w:r>
          </w:p>
          <w:p>
            <w:pPr>
              <w:spacing w:line="360" w:lineRule="auto"/>
              <w:jc w:val="left"/>
              <w:rPr>
                <w:rFonts w:ascii="宋体" w:cs="宋体"/>
                <w:color w:val="000000"/>
                <w:sz w:val="24"/>
                <w:szCs w:val="24"/>
              </w:rPr>
            </w:pPr>
            <w:r>
              <w:rPr>
                <w:rFonts w:hint="eastAsia" w:ascii="宋体" w:hAnsi="宋体" w:cs="宋体"/>
                <w:b/>
                <w:bCs/>
                <w:color w:val="000000"/>
                <w:sz w:val="24"/>
                <w:szCs w:val="24"/>
              </w:rPr>
              <w:t>评审依据：响应文件中提供承诺函，且须列明食宿标准。</w:t>
            </w:r>
          </w:p>
        </w:tc>
        <w:tc>
          <w:tcPr>
            <w:tcW w:w="1172" w:type="dxa"/>
            <w:vAlign w:val="center"/>
          </w:tcPr>
          <w:p>
            <w:pPr>
              <w:spacing w:line="360" w:lineRule="auto"/>
              <w:jc w:val="center"/>
              <w:rPr>
                <w:rFonts w:ascii="宋体" w:cs="宋体"/>
                <w:sz w:val="24"/>
                <w:szCs w:val="24"/>
              </w:rPr>
            </w:pPr>
            <w:r>
              <w:rPr>
                <w:rFonts w:ascii="宋体" w:hAnsi="宋体" w:cs="宋体"/>
                <w:sz w:val="24"/>
                <w:szCs w:val="24"/>
              </w:rPr>
              <w:t>5</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806" w:type="dxa"/>
            <w:vAlign w:val="center"/>
          </w:tcPr>
          <w:p>
            <w:pPr>
              <w:spacing w:line="360" w:lineRule="auto"/>
              <w:jc w:val="center"/>
              <w:rPr>
                <w:rFonts w:asci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、闭幕式主持人</w:t>
            </w:r>
          </w:p>
        </w:tc>
        <w:tc>
          <w:tcPr>
            <w:tcW w:w="6307" w:type="dxa"/>
            <w:vAlign w:val="center"/>
          </w:tcPr>
          <w:p>
            <w:pPr>
              <w:spacing w:line="360" w:lineRule="auto"/>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、闭幕式提供市级或以上电视台主持人加</w:t>
            </w:r>
            <w:r>
              <w:rPr>
                <w:rFonts w:ascii="宋体" w:hAnsi="宋体" w:cs="宋体"/>
                <w:color w:val="000000"/>
                <w:sz w:val="24"/>
                <w:szCs w:val="24"/>
              </w:rPr>
              <w:t>3</w:t>
            </w:r>
            <w:r>
              <w:rPr>
                <w:rFonts w:hint="eastAsia" w:ascii="宋体" w:hAnsi="宋体" w:cs="宋体"/>
                <w:color w:val="000000"/>
                <w:sz w:val="24"/>
                <w:szCs w:val="24"/>
              </w:rPr>
              <w:t>分。</w:t>
            </w:r>
          </w:p>
          <w:p>
            <w:pPr>
              <w:spacing w:line="360" w:lineRule="auto"/>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、闭幕式提供的播音主持人有全国普通话考试等级二级甲等的加</w:t>
            </w:r>
            <w:r>
              <w:rPr>
                <w:rFonts w:ascii="宋体" w:hAnsi="宋体" w:cs="宋体"/>
                <w:color w:val="000000"/>
                <w:sz w:val="24"/>
                <w:szCs w:val="24"/>
              </w:rPr>
              <w:t>1</w:t>
            </w:r>
            <w:r>
              <w:rPr>
                <w:rFonts w:hint="eastAsia" w:ascii="宋体" w:hAnsi="宋体" w:cs="宋体"/>
                <w:color w:val="000000"/>
                <w:sz w:val="24"/>
                <w:szCs w:val="24"/>
              </w:rPr>
              <w:t>分，一级乙等加</w:t>
            </w:r>
            <w:r>
              <w:rPr>
                <w:rFonts w:ascii="宋体" w:hAnsi="宋体" w:cs="宋体"/>
                <w:color w:val="000000"/>
                <w:sz w:val="24"/>
                <w:szCs w:val="24"/>
              </w:rPr>
              <w:t>2</w:t>
            </w:r>
            <w:r>
              <w:rPr>
                <w:rFonts w:hint="eastAsia" w:ascii="宋体" w:hAnsi="宋体" w:cs="宋体"/>
                <w:color w:val="000000"/>
                <w:sz w:val="24"/>
                <w:szCs w:val="24"/>
              </w:rPr>
              <w:t>分，一级甲等加</w:t>
            </w:r>
            <w:r>
              <w:rPr>
                <w:rFonts w:ascii="宋体" w:hAnsi="宋体" w:cs="宋体"/>
                <w:color w:val="000000"/>
                <w:sz w:val="24"/>
                <w:szCs w:val="24"/>
              </w:rPr>
              <w:t>3</w:t>
            </w:r>
            <w:r>
              <w:rPr>
                <w:rFonts w:hint="eastAsia" w:ascii="宋体" w:hAnsi="宋体" w:cs="宋体"/>
                <w:color w:val="000000"/>
                <w:sz w:val="24"/>
                <w:szCs w:val="24"/>
              </w:rPr>
              <w:t>分；</w:t>
            </w:r>
          </w:p>
          <w:p>
            <w:pPr>
              <w:spacing w:line="360" w:lineRule="auto"/>
              <w:jc w:val="left"/>
              <w:rPr>
                <w:rFonts w:ascii="宋体" w:cs="宋体"/>
                <w:color w:val="000000"/>
                <w:sz w:val="24"/>
                <w:szCs w:val="24"/>
              </w:rPr>
            </w:pPr>
            <w:r>
              <w:rPr>
                <w:rFonts w:hint="eastAsia" w:ascii="宋体" w:hAnsi="宋体" w:cs="宋体"/>
                <w:b/>
                <w:bCs/>
                <w:color w:val="000000"/>
                <w:sz w:val="24"/>
                <w:szCs w:val="24"/>
              </w:rPr>
              <w:t>评审依据：响应文件中提供：</w:t>
            </w:r>
            <w:r>
              <w:rPr>
                <w:rFonts w:ascii="宋体" w:hAnsi="宋体" w:cs="宋体"/>
                <w:b/>
                <w:bCs/>
                <w:color w:val="000000"/>
                <w:sz w:val="24"/>
                <w:szCs w:val="24"/>
              </w:rPr>
              <w:t>1</w:t>
            </w:r>
            <w:r>
              <w:rPr>
                <w:rFonts w:hint="eastAsia" w:ascii="宋体" w:hAnsi="宋体" w:cs="宋体"/>
                <w:b/>
                <w:bCs/>
                <w:color w:val="000000"/>
                <w:sz w:val="24"/>
                <w:szCs w:val="24"/>
              </w:rPr>
              <w:t>）主持人的姓名及所属单位；</w:t>
            </w:r>
            <w:r>
              <w:rPr>
                <w:rFonts w:ascii="宋体" w:hAnsi="宋体" w:cs="宋体"/>
                <w:b/>
                <w:bCs/>
                <w:color w:val="000000"/>
                <w:sz w:val="24"/>
                <w:szCs w:val="24"/>
              </w:rPr>
              <w:t>2</w:t>
            </w:r>
            <w:r>
              <w:rPr>
                <w:rFonts w:hint="eastAsia" w:ascii="宋体" w:hAnsi="宋体" w:cs="宋体"/>
                <w:b/>
                <w:bCs/>
                <w:color w:val="000000"/>
                <w:sz w:val="24"/>
                <w:szCs w:val="24"/>
              </w:rPr>
              <w:t>）普通话等级证书扫描件。</w:t>
            </w:r>
          </w:p>
        </w:tc>
        <w:tc>
          <w:tcPr>
            <w:tcW w:w="1172" w:type="dxa"/>
            <w:vAlign w:val="center"/>
          </w:tcPr>
          <w:p>
            <w:pPr>
              <w:spacing w:line="360" w:lineRule="auto"/>
              <w:jc w:val="center"/>
              <w:rPr>
                <w:rFonts w:ascii="宋体" w:cs="宋体"/>
                <w:sz w:val="24"/>
                <w:szCs w:val="24"/>
              </w:rPr>
            </w:pPr>
            <w:r>
              <w:rPr>
                <w:rFonts w:ascii="宋体" w:hAnsi="宋体" w:cs="宋体"/>
                <w:sz w:val="24"/>
                <w:szCs w:val="24"/>
              </w:rPr>
              <w:t>6</w:t>
            </w:r>
            <w:r>
              <w:rPr>
                <w:rFonts w:hint="eastAsia" w:ascii="宋体" w:hAnsi="宋体" w:cs="宋体"/>
                <w:sz w:val="24"/>
                <w:szCs w:val="24"/>
              </w:rPr>
              <w:t>分</w:t>
            </w:r>
          </w:p>
        </w:tc>
      </w:tr>
    </w:tbl>
    <w:p>
      <w:pPr>
        <w:spacing w:line="360" w:lineRule="auto"/>
        <w:ind w:firstLine="120" w:firstLineChars="50"/>
        <w:rPr>
          <w:rFonts w:ascii="宋体" w:cs="宋体"/>
          <w:sz w:val="24"/>
          <w:szCs w:val="24"/>
        </w:rPr>
      </w:pPr>
      <w:r>
        <w:rPr>
          <w:rFonts w:hint="eastAsia" w:ascii="宋体" w:hAnsi="宋体" w:cs="宋体"/>
          <w:b/>
          <w:sz w:val="24"/>
          <w:szCs w:val="24"/>
        </w:rPr>
        <w:t>（三）</w:t>
      </w:r>
      <w:r>
        <w:rPr>
          <w:rFonts w:hint="eastAsia" w:ascii="宋体" w:hAnsi="宋体" w:cs="宋体"/>
          <w:b/>
          <w:bCs/>
          <w:sz w:val="24"/>
          <w:szCs w:val="24"/>
        </w:rPr>
        <w:t>商务评审（</w:t>
      </w:r>
      <w:r>
        <w:rPr>
          <w:rFonts w:ascii="宋体" w:hAnsi="宋体" w:cs="宋体"/>
          <w:b/>
          <w:bCs/>
          <w:sz w:val="24"/>
          <w:szCs w:val="24"/>
        </w:rPr>
        <w:t>12</w:t>
      </w:r>
      <w:r>
        <w:rPr>
          <w:rFonts w:hint="eastAsia" w:ascii="宋体" w:hAnsi="宋体" w:cs="宋体"/>
          <w:b/>
          <w:bCs/>
          <w:sz w:val="24"/>
          <w:szCs w:val="24"/>
        </w:rPr>
        <w:t>分）</w:t>
      </w:r>
    </w:p>
    <w:tbl>
      <w:tblPr>
        <w:tblStyle w:val="20"/>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8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83" w:type="dxa"/>
            <w:vAlign w:val="center"/>
          </w:tcPr>
          <w:p>
            <w:pPr>
              <w:spacing w:line="360" w:lineRule="auto"/>
              <w:jc w:val="center"/>
              <w:rPr>
                <w:rFonts w:ascii="宋体" w:cs="宋体"/>
                <w:b/>
                <w:bCs/>
                <w:sz w:val="24"/>
                <w:szCs w:val="24"/>
              </w:rPr>
            </w:pPr>
            <w:r>
              <w:rPr>
                <w:rFonts w:hint="eastAsia" w:ascii="宋体" w:hAnsi="宋体" w:cs="宋体"/>
                <w:b/>
                <w:bCs/>
                <w:sz w:val="24"/>
                <w:szCs w:val="24"/>
              </w:rPr>
              <w:t>评分点</w:t>
            </w:r>
          </w:p>
        </w:tc>
        <w:tc>
          <w:tcPr>
            <w:tcW w:w="6825" w:type="dxa"/>
            <w:vAlign w:val="center"/>
          </w:tcPr>
          <w:p>
            <w:pPr>
              <w:spacing w:line="360" w:lineRule="auto"/>
              <w:jc w:val="center"/>
              <w:rPr>
                <w:rFonts w:ascii="宋体" w:cs="宋体"/>
                <w:b/>
                <w:bCs/>
                <w:sz w:val="24"/>
                <w:szCs w:val="24"/>
              </w:rPr>
            </w:pPr>
            <w:r>
              <w:rPr>
                <w:rFonts w:hint="eastAsia" w:ascii="宋体" w:hAnsi="宋体" w:cs="宋体"/>
                <w:b/>
                <w:bCs/>
                <w:sz w:val="24"/>
                <w:szCs w:val="24"/>
              </w:rPr>
              <w:t>评审内容</w:t>
            </w:r>
          </w:p>
        </w:tc>
        <w:tc>
          <w:tcPr>
            <w:tcW w:w="977" w:type="dxa"/>
            <w:vAlign w:val="center"/>
          </w:tcPr>
          <w:p>
            <w:pPr>
              <w:spacing w:line="360" w:lineRule="auto"/>
              <w:jc w:val="center"/>
              <w:rPr>
                <w:rFonts w:ascii="宋体" w:cs="宋体"/>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83" w:type="dxa"/>
            <w:vAlign w:val="center"/>
          </w:tcPr>
          <w:p>
            <w:pPr>
              <w:spacing w:line="360" w:lineRule="auto"/>
              <w:jc w:val="center"/>
              <w:rPr>
                <w:rFonts w:ascii="宋体" w:cs="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、商务符合性</w:t>
            </w:r>
          </w:p>
        </w:tc>
        <w:tc>
          <w:tcPr>
            <w:tcW w:w="6825" w:type="dxa"/>
            <w:vAlign w:val="center"/>
          </w:tcPr>
          <w:p>
            <w:pPr>
              <w:spacing w:line="360" w:lineRule="auto"/>
              <w:ind w:firstLine="480" w:firstLineChars="200"/>
              <w:rPr>
                <w:rFonts w:ascii="宋体" w:cs="宋体"/>
                <w:sz w:val="24"/>
                <w:szCs w:val="24"/>
              </w:rPr>
            </w:pPr>
            <w:r>
              <w:rPr>
                <w:rFonts w:hint="eastAsia" w:ascii="宋体" w:hAnsi="宋体" w:cs="宋体"/>
                <w:sz w:val="24"/>
                <w:szCs w:val="24"/>
              </w:rPr>
              <w:t>满足磋商文件</w:t>
            </w:r>
            <w:r>
              <w:rPr>
                <w:rFonts w:ascii="宋体" w:hAnsi="宋体" w:cs="宋体"/>
                <w:sz w:val="24"/>
                <w:szCs w:val="24"/>
              </w:rPr>
              <w:t xml:space="preserve"> </w:t>
            </w:r>
            <w:r>
              <w:rPr>
                <w:rFonts w:hint="eastAsia" w:ascii="宋体" w:hAnsi="宋体" w:cs="宋体"/>
                <w:sz w:val="24"/>
                <w:szCs w:val="24"/>
              </w:rPr>
              <w:t>第五章</w:t>
            </w:r>
            <w:r>
              <w:rPr>
                <w:rFonts w:ascii="宋体" w:hAnsi="宋体" w:cs="宋体"/>
                <w:sz w:val="24"/>
                <w:szCs w:val="24"/>
              </w:rPr>
              <w:t xml:space="preserve"> </w:t>
            </w:r>
            <w:r>
              <w:rPr>
                <w:rFonts w:hint="eastAsia" w:ascii="宋体" w:hAnsi="宋体" w:cs="宋体"/>
                <w:sz w:val="24"/>
                <w:szCs w:val="24"/>
              </w:rPr>
              <w:t>采购需求一览表及采购要求</w:t>
            </w:r>
            <w:r>
              <w:rPr>
                <w:rFonts w:ascii="宋体" w:hAnsi="宋体" w:cs="宋体"/>
                <w:sz w:val="24"/>
                <w:szCs w:val="24"/>
              </w:rPr>
              <w:t>/</w:t>
            </w:r>
            <w:r>
              <w:rPr>
                <w:rFonts w:hint="eastAsia" w:ascii="宋体" w:hAnsi="宋体" w:cs="宋体"/>
                <w:sz w:val="24"/>
                <w:szCs w:val="24"/>
              </w:rPr>
              <w:t>二、采购要求</w:t>
            </w:r>
            <w:r>
              <w:rPr>
                <w:rFonts w:ascii="宋体" w:hAnsi="宋体" w:cs="宋体"/>
                <w:sz w:val="24"/>
                <w:szCs w:val="24"/>
              </w:rPr>
              <w:t>/</w:t>
            </w:r>
            <w:r>
              <w:rPr>
                <w:rFonts w:hint="eastAsia" w:ascii="宋体" w:hAnsi="宋体" w:cs="宋体"/>
                <w:sz w:val="24"/>
                <w:szCs w:val="24"/>
              </w:rPr>
              <w:t>（二）商务条款，否则作无效响应处理。</w:t>
            </w:r>
          </w:p>
          <w:p>
            <w:pPr>
              <w:pStyle w:val="10"/>
              <w:rPr>
                <w:rFonts w:ascii="宋体" w:hAnsi="宋体" w:eastAsia="宋体" w:cs="宋体"/>
                <w:b/>
                <w:bCs/>
                <w:szCs w:val="24"/>
              </w:rPr>
            </w:pPr>
            <w:r>
              <w:rPr>
                <w:rFonts w:hint="eastAsia" w:ascii="宋体" w:hAnsi="宋体" w:eastAsia="宋体" w:cs="宋体"/>
                <w:b/>
                <w:szCs w:val="24"/>
              </w:rPr>
              <w:t>评审依据：响应文件中提供的商务响应</w:t>
            </w:r>
            <w:r>
              <w:rPr>
                <w:rFonts w:ascii="宋体" w:hAnsi="宋体" w:eastAsia="宋体" w:cs="宋体"/>
                <w:b/>
                <w:szCs w:val="24"/>
              </w:rPr>
              <w:t>/</w:t>
            </w:r>
            <w:r>
              <w:rPr>
                <w:rFonts w:hint="eastAsia" w:ascii="宋体" w:hAnsi="宋体" w:eastAsia="宋体" w:cs="宋体"/>
                <w:b/>
                <w:szCs w:val="24"/>
              </w:rPr>
              <w:t>偏离表，文件另有约定的从其约定。</w:t>
            </w:r>
          </w:p>
        </w:tc>
        <w:tc>
          <w:tcPr>
            <w:tcW w:w="977" w:type="dxa"/>
            <w:vAlign w:val="center"/>
          </w:tcPr>
          <w:p>
            <w:pPr>
              <w:spacing w:line="360" w:lineRule="auto"/>
              <w:jc w:val="center"/>
              <w:rPr>
                <w:rFonts w:hint="eastAsia" w:ascii="宋体" w:eastAsia="宋体" w:cs="宋体"/>
                <w:b/>
                <w:bCs/>
                <w:sz w:val="24"/>
                <w:szCs w:val="24"/>
                <w:lang w:val="en-US" w:eastAsia="zh-CN"/>
              </w:rPr>
            </w:pPr>
            <w:r>
              <w:rPr>
                <w:rFonts w:hint="eastAsia" w:ascii="宋体" w:hAnsi="宋体" w:cs="宋体"/>
                <w:b w:val="0"/>
                <w:bCs w:val="0"/>
                <w:sz w:val="24"/>
                <w:szCs w:val="24"/>
              </w:rPr>
              <w:t>符合性</w:t>
            </w:r>
            <w:r>
              <w:rPr>
                <w:rFonts w:hint="eastAsia" w:ascii="宋体" w:hAnsi="宋体" w:cs="宋体"/>
                <w:b w:val="0"/>
                <w:bCs w:val="0"/>
                <w:sz w:val="24"/>
                <w:szCs w:val="24"/>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83" w:type="dxa"/>
            <w:vAlign w:val="center"/>
          </w:tcPr>
          <w:p>
            <w:pPr>
              <w:adjustRightInd w:val="0"/>
              <w:snapToGrid w:val="0"/>
              <w:spacing w:line="360" w:lineRule="auto"/>
              <w:jc w:val="center"/>
              <w:rPr>
                <w:rFonts w:ascii="宋体" w:cs="宋体"/>
                <w:b w:val="0"/>
                <w:bCs w:val="0"/>
                <w:sz w:val="24"/>
                <w:szCs w:val="24"/>
              </w:rPr>
            </w:pPr>
            <w:r>
              <w:rPr>
                <w:rFonts w:ascii="宋体" w:hAnsi="宋体" w:cs="宋体"/>
                <w:b w:val="0"/>
                <w:bCs w:val="0"/>
                <w:sz w:val="24"/>
                <w:szCs w:val="24"/>
                <w:lang w:bidi="mr-IN"/>
              </w:rPr>
              <w:t>2</w:t>
            </w:r>
            <w:r>
              <w:rPr>
                <w:rFonts w:hint="eastAsia" w:ascii="宋体" w:hAnsi="宋体" w:cs="宋体"/>
                <w:b w:val="0"/>
                <w:bCs w:val="0"/>
                <w:sz w:val="24"/>
                <w:szCs w:val="24"/>
                <w:lang w:bidi="mr-IN"/>
              </w:rPr>
              <w:t>、业绩</w:t>
            </w:r>
          </w:p>
        </w:tc>
        <w:tc>
          <w:tcPr>
            <w:tcW w:w="6825" w:type="dxa"/>
            <w:vAlign w:val="center"/>
          </w:tcPr>
          <w:p>
            <w:pPr>
              <w:spacing w:line="360" w:lineRule="auto"/>
              <w:rPr>
                <w:rFonts w:ascii="宋体" w:cs="宋体"/>
                <w:sz w:val="24"/>
                <w:szCs w:val="24"/>
              </w:rPr>
            </w:pPr>
            <w:r>
              <w:rPr>
                <w:rFonts w:hint="eastAsia" w:ascii="宋体" w:hAnsi="宋体" w:cs="宋体"/>
                <w:sz w:val="24"/>
                <w:szCs w:val="24"/>
              </w:rPr>
              <w:t>供应商自</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日以来</w:t>
            </w:r>
            <w:r>
              <w:rPr>
                <w:rFonts w:hint="eastAsia" w:ascii="宋体" w:hAnsi="宋体" w:cs="宋体"/>
                <w:sz w:val="24"/>
                <w:szCs w:val="24"/>
                <w:lang w:eastAsia="zh-CN"/>
              </w:rPr>
              <w:t>（</w:t>
            </w:r>
            <w:r>
              <w:rPr>
                <w:rFonts w:hint="eastAsia" w:ascii="宋体" w:hAnsi="宋体" w:cs="宋体"/>
                <w:sz w:val="24"/>
                <w:szCs w:val="24"/>
                <w:lang w:val="en-US" w:eastAsia="zh-CN"/>
              </w:rPr>
              <w:t>以签订合同时间为准</w:t>
            </w:r>
            <w:r>
              <w:rPr>
                <w:rFonts w:hint="eastAsia" w:ascii="宋体" w:hAnsi="宋体" w:cs="宋体"/>
                <w:sz w:val="24"/>
                <w:szCs w:val="24"/>
                <w:lang w:eastAsia="zh-CN"/>
              </w:rPr>
              <w:t>）</w:t>
            </w:r>
            <w:r>
              <w:rPr>
                <w:rFonts w:hint="eastAsia" w:ascii="宋体" w:hAnsi="宋体" w:cs="宋体"/>
                <w:sz w:val="24"/>
                <w:szCs w:val="24"/>
              </w:rPr>
              <w:t>，承担过类似项目的，</w:t>
            </w:r>
            <w:r>
              <w:rPr>
                <w:rFonts w:hint="eastAsia" w:ascii="宋体" w:hAnsi="宋体" w:cs="宋体"/>
                <w:color w:val="000000"/>
                <w:sz w:val="24"/>
                <w:szCs w:val="24"/>
              </w:rPr>
              <w:t>每提供一项加</w:t>
            </w:r>
            <w:r>
              <w:rPr>
                <w:rFonts w:ascii="宋体" w:hAnsi="宋体" w:cs="宋体"/>
                <w:color w:val="000000"/>
                <w:sz w:val="24"/>
                <w:szCs w:val="24"/>
              </w:rPr>
              <w:t>2</w:t>
            </w:r>
            <w:r>
              <w:rPr>
                <w:rFonts w:hint="eastAsia" w:ascii="宋体" w:hAnsi="宋体" w:cs="宋体"/>
                <w:color w:val="000000"/>
                <w:sz w:val="24"/>
                <w:szCs w:val="24"/>
              </w:rPr>
              <w:t>分</w:t>
            </w:r>
            <w:r>
              <w:rPr>
                <w:rFonts w:hint="eastAsia" w:ascii="宋体" w:hAnsi="宋体" w:cs="宋体"/>
                <w:sz w:val="24"/>
                <w:szCs w:val="24"/>
              </w:rPr>
              <w:t>，共</w:t>
            </w:r>
            <w:r>
              <w:rPr>
                <w:rFonts w:ascii="宋体" w:hAnsi="宋体" w:cs="宋体"/>
                <w:sz w:val="24"/>
                <w:szCs w:val="24"/>
              </w:rPr>
              <w:t>8</w:t>
            </w:r>
            <w:r>
              <w:rPr>
                <w:rFonts w:hint="eastAsia" w:ascii="宋体" w:hAnsi="宋体" w:cs="宋体"/>
                <w:sz w:val="24"/>
                <w:szCs w:val="24"/>
              </w:rPr>
              <w:t>分。</w:t>
            </w:r>
          </w:p>
          <w:p>
            <w:pPr>
              <w:spacing w:line="360" w:lineRule="auto"/>
              <w:rPr>
                <w:rFonts w:ascii="宋体" w:cs="宋体"/>
                <w:bCs/>
                <w:sz w:val="24"/>
                <w:szCs w:val="24"/>
              </w:rPr>
            </w:pPr>
            <w:r>
              <w:rPr>
                <w:rFonts w:hint="eastAsia" w:ascii="宋体" w:hAnsi="宋体" w:cs="宋体"/>
                <w:b/>
                <w:bCs/>
                <w:sz w:val="24"/>
                <w:szCs w:val="24"/>
              </w:rPr>
              <w:t>评审依据：响应文件中提供业绩合同扫描件。</w:t>
            </w:r>
          </w:p>
        </w:tc>
        <w:tc>
          <w:tcPr>
            <w:tcW w:w="977" w:type="dxa"/>
            <w:vAlign w:val="center"/>
          </w:tcPr>
          <w:p>
            <w:pPr>
              <w:adjustRightInd w:val="0"/>
              <w:snapToGrid w:val="0"/>
              <w:spacing w:line="360" w:lineRule="auto"/>
              <w:jc w:val="center"/>
              <w:rPr>
                <w:rFonts w:ascii="宋体" w:cs="宋体"/>
                <w:bCs/>
                <w:sz w:val="24"/>
                <w:szCs w:val="24"/>
              </w:rPr>
            </w:pPr>
            <w:r>
              <w:rPr>
                <w:rFonts w:ascii="宋体" w:hAnsi="宋体" w:cs="宋体"/>
                <w:sz w:val="24"/>
                <w:szCs w:val="24"/>
                <w:lang w:bidi="mr-IN"/>
              </w:rPr>
              <w:t>8</w:t>
            </w:r>
            <w:r>
              <w:rPr>
                <w:rFonts w:hint="eastAsia" w:ascii="宋体" w:hAnsi="宋体" w:cs="宋体"/>
                <w:sz w:val="24"/>
                <w:szCs w:val="24"/>
                <w:lang w:bidi="mr-I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83" w:type="dxa"/>
            <w:vAlign w:val="center"/>
          </w:tcPr>
          <w:p>
            <w:pPr>
              <w:adjustRightInd w:val="0"/>
              <w:snapToGrid w:val="0"/>
              <w:spacing w:line="360" w:lineRule="auto"/>
              <w:jc w:val="center"/>
              <w:rPr>
                <w:rFonts w:ascii="宋体" w:cs="宋体"/>
                <w:b w:val="0"/>
                <w:bCs w:val="0"/>
                <w:sz w:val="24"/>
                <w:szCs w:val="24"/>
              </w:rPr>
            </w:pPr>
            <w:r>
              <w:rPr>
                <w:rFonts w:ascii="宋体" w:hAnsi="宋体" w:cs="宋体"/>
                <w:b w:val="0"/>
                <w:bCs w:val="0"/>
                <w:color w:val="000000"/>
                <w:sz w:val="24"/>
                <w:szCs w:val="24"/>
              </w:rPr>
              <w:t>3</w:t>
            </w:r>
            <w:r>
              <w:rPr>
                <w:rFonts w:hint="eastAsia" w:ascii="宋体" w:hAnsi="宋体" w:cs="宋体"/>
                <w:b w:val="0"/>
                <w:bCs w:val="0"/>
                <w:color w:val="000000"/>
                <w:sz w:val="24"/>
                <w:szCs w:val="24"/>
              </w:rPr>
              <w:t>、媒体宣传</w:t>
            </w:r>
          </w:p>
        </w:tc>
        <w:tc>
          <w:tcPr>
            <w:tcW w:w="6825" w:type="dxa"/>
            <w:vAlign w:val="center"/>
          </w:tcPr>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、在满足基本要求的前提下（</w:t>
            </w:r>
            <w:r>
              <w:rPr>
                <w:rFonts w:hint="eastAsia" w:ascii="宋体" w:hAnsi="宋体" w:cs="宋体"/>
                <w:sz w:val="24"/>
                <w:szCs w:val="24"/>
              </w:rPr>
              <w:t>省、市或以上</w:t>
            </w:r>
            <w:r>
              <w:rPr>
                <w:rFonts w:ascii="宋体" w:hAnsi="宋体" w:cs="宋体"/>
                <w:sz w:val="24"/>
                <w:szCs w:val="24"/>
              </w:rPr>
              <w:t>5</w:t>
            </w:r>
            <w:r>
              <w:rPr>
                <w:rFonts w:hint="eastAsia" w:ascii="宋体" w:hAnsi="宋体" w:cs="宋体"/>
                <w:sz w:val="24"/>
                <w:szCs w:val="24"/>
              </w:rPr>
              <w:t>家主流媒体报道</w:t>
            </w:r>
            <w:r>
              <w:rPr>
                <w:rFonts w:ascii="宋体" w:hAnsi="宋体" w:cs="宋体"/>
                <w:sz w:val="24"/>
                <w:szCs w:val="24"/>
              </w:rPr>
              <w:t>(</w:t>
            </w:r>
            <w:r>
              <w:rPr>
                <w:rFonts w:hint="eastAsia" w:ascii="宋体" w:hAnsi="宋体" w:cs="宋体"/>
                <w:sz w:val="24"/>
                <w:szCs w:val="24"/>
              </w:rPr>
              <w:t>不含电视媒体</w:t>
            </w:r>
            <w:r>
              <w:rPr>
                <w:rFonts w:ascii="宋体" w:hAnsi="宋体" w:cs="宋体"/>
                <w:sz w:val="24"/>
                <w:szCs w:val="24"/>
              </w:rPr>
              <w:t>)</w:t>
            </w:r>
            <w:r>
              <w:rPr>
                <w:rFonts w:hint="eastAsia" w:ascii="宋体" w:hAnsi="宋体" w:cs="宋体"/>
                <w:color w:val="000000"/>
                <w:sz w:val="24"/>
                <w:szCs w:val="24"/>
              </w:rPr>
              <w:t>），在省、市（或以上）主流媒体对比赛活动进行宣传报道每增加一篇加</w:t>
            </w:r>
            <w:r>
              <w:rPr>
                <w:rFonts w:ascii="宋体" w:hAnsi="宋体" w:cs="宋体"/>
                <w:color w:val="000000"/>
                <w:sz w:val="24"/>
                <w:szCs w:val="24"/>
              </w:rPr>
              <w:t>1</w:t>
            </w:r>
            <w:r>
              <w:rPr>
                <w:rFonts w:hint="eastAsia" w:ascii="宋体" w:hAnsi="宋体" w:cs="宋体"/>
                <w:color w:val="000000"/>
                <w:sz w:val="24"/>
                <w:szCs w:val="24"/>
              </w:rPr>
              <w:t>分，共</w:t>
            </w:r>
            <w:r>
              <w:rPr>
                <w:rFonts w:ascii="宋体" w:hAnsi="宋体" w:cs="宋体"/>
                <w:color w:val="000000"/>
                <w:sz w:val="24"/>
                <w:szCs w:val="24"/>
              </w:rPr>
              <w:t>4</w:t>
            </w:r>
            <w:r>
              <w:rPr>
                <w:rFonts w:hint="eastAsia" w:ascii="宋体" w:hAnsi="宋体" w:cs="宋体"/>
                <w:color w:val="000000"/>
                <w:sz w:val="24"/>
                <w:szCs w:val="24"/>
              </w:rPr>
              <w:t>分。</w:t>
            </w:r>
            <w:r>
              <w:rPr>
                <w:rFonts w:ascii="宋体" w:hAnsi="宋体" w:cs="宋体"/>
                <w:color w:val="000000"/>
                <w:sz w:val="24"/>
                <w:szCs w:val="24"/>
              </w:rPr>
              <w:t xml:space="preserve"> </w:t>
            </w:r>
          </w:p>
          <w:p>
            <w:pPr>
              <w:pStyle w:val="3"/>
              <w:spacing w:after="0" w:line="360" w:lineRule="auto"/>
              <w:ind w:firstLine="0" w:firstLineChars="0"/>
              <w:rPr>
                <w:rFonts w:ascii="宋体" w:cs="宋体"/>
                <w:bCs/>
                <w:sz w:val="24"/>
                <w:szCs w:val="24"/>
              </w:rPr>
            </w:pPr>
            <w:r>
              <w:rPr>
                <w:rFonts w:hint="eastAsia" w:ascii="宋体" w:hAnsi="宋体" w:cs="宋体"/>
                <w:b/>
                <w:bCs/>
                <w:color w:val="000000"/>
                <w:sz w:val="24"/>
                <w:szCs w:val="24"/>
              </w:rPr>
              <w:t>评审依据：响应文件中提供承诺函。</w:t>
            </w:r>
          </w:p>
        </w:tc>
        <w:tc>
          <w:tcPr>
            <w:tcW w:w="977" w:type="dxa"/>
            <w:vAlign w:val="center"/>
          </w:tcPr>
          <w:p>
            <w:pPr>
              <w:adjustRightInd w:val="0"/>
              <w:snapToGrid w:val="0"/>
              <w:spacing w:line="360" w:lineRule="auto"/>
              <w:jc w:val="center"/>
              <w:rPr>
                <w:rFonts w:ascii="宋体" w:cs="宋体"/>
                <w:bCs/>
                <w:sz w:val="24"/>
                <w:szCs w:val="24"/>
              </w:rPr>
            </w:pPr>
            <w:r>
              <w:rPr>
                <w:rFonts w:ascii="宋体" w:hAnsi="宋体" w:cs="宋体"/>
                <w:color w:val="000000"/>
                <w:sz w:val="24"/>
                <w:szCs w:val="24"/>
              </w:rPr>
              <w:t>4</w:t>
            </w:r>
            <w:r>
              <w:rPr>
                <w:rFonts w:hint="eastAsia" w:ascii="宋体" w:hAnsi="宋体" w:cs="宋体"/>
                <w:color w:val="000000"/>
                <w:sz w:val="24"/>
                <w:szCs w:val="24"/>
              </w:rPr>
              <w:t>分</w:t>
            </w:r>
          </w:p>
        </w:tc>
      </w:tr>
    </w:tbl>
    <w:p>
      <w:pPr>
        <w:spacing w:line="360" w:lineRule="auto"/>
        <w:rPr>
          <w:rFonts w:ascii="宋体" w:cs="宋体"/>
          <w:sz w:val="24"/>
          <w:szCs w:val="24"/>
        </w:rPr>
      </w:pPr>
    </w:p>
    <w:p>
      <w:pPr>
        <w:spacing w:line="360" w:lineRule="auto"/>
        <w:rPr>
          <w:rFonts w:ascii="宋体" w:cs="宋体"/>
          <w:sz w:val="24"/>
          <w:szCs w:val="24"/>
        </w:rPr>
      </w:pPr>
    </w:p>
    <w:p>
      <w:pPr>
        <w:spacing w:line="360" w:lineRule="auto"/>
        <w:jc w:val="left"/>
        <w:outlineLvl w:val="0"/>
        <w:rPr>
          <w:rFonts w:ascii="宋体" w:cs="宋体"/>
          <w:sz w:val="24"/>
          <w:szCs w:val="24"/>
        </w:rPr>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ctionIcon ! important">
    <w:altName w:val="Segoe Print"/>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17</w:t>
    </w:r>
    <w:r>
      <w:rPr>
        <w:rStyle w:val="24"/>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39</w:t>
    </w:r>
    <w:r>
      <w:rPr>
        <w:rStyle w:val="24"/>
      </w:rPr>
      <w:fldChar w:fldCharType="end"/>
    </w:r>
  </w:p>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51</w:t>
    </w:r>
    <w:r>
      <w:rPr>
        <w:rStyle w:val="24"/>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25</w:t>
    </w:r>
    <w:r>
      <w:rPr>
        <w:rStyle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27</w:t>
    </w:r>
    <w:r>
      <w:rPr>
        <w:rStyle w:val="24"/>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32</w:t>
    </w:r>
    <w:r>
      <w:rPr>
        <w:rStyle w:val="24"/>
      </w:rPr>
      <w:fldChar w:fldCharType="end"/>
    </w:r>
  </w:p>
  <w:p>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36</w:t>
    </w:r>
    <w:r>
      <w:rPr>
        <w:rStyle w:val="24"/>
      </w:rPr>
      <w:fldChar w:fldCharType="end"/>
    </w:r>
  </w:p>
  <w:p>
    <w:pPr>
      <w:pStyle w:val="14"/>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4BB7D"/>
    <w:multiLevelType w:val="singleLevel"/>
    <w:tmpl w:val="8024BB7D"/>
    <w:lvl w:ilvl="0" w:tentative="0">
      <w:start w:val="11"/>
      <w:numFmt w:val="chineseCounting"/>
      <w:suff w:val="nothing"/>
      <w:lvlText w:val="%1、"/>
      <w:lvlJc w:val="left"/>
      <w:rPr>
        <w:rFonts w:hint="eastAsia" w:cs="Times New Roman"/>
      </w:rPr>
    </w:lvl>
  </w:abstractNum>
  <w:abstractNum w:abstractNumId="1">
    <w:nsid w:val="D84B5AA6"/>
    <w:multiLevelType w:val="singleLevel"/>
    <w:tmpl w:val="D84B5AA6"/>
    <w:lvl w:ilvl="0" w:tentative="0">
      <w:start w:val="1"/>
      <w:numFmt w:val="decimal"/>
      <w:suff w:val="nothing"/>
      <w:lvlText w:val="%1、"/>
      <w:lvlJc w:val="left"/>
      <w:rPr>
        <w:rFonts w:cs="Times New Roman"/>
      </w:rPr>
    </w:lvl>
  </w:abstractNum>
  <w:abstractNum w:abstractNumId="2">
    <w:nsid w:val="0420A761"/>
    <w:multiLevelType w:val="singleLevel"/>
    <w:tmpl w:val="0420A761"/>
    <w:lvl w:ilvl="0" w:tentative="0">
      <w:start w:val="1"/>
      <w:numFmt w:val="chineseCounting"/>
      <w:suff w:val="nothing"/>
      <w:lvlText w:val="（%1）"/>
      <w:lvlJc w:val="left"/>
      <w:rPr>
        <w:rFonts w:hint="eastAsia" w:cs="Times New Roman"/>
      </w:rPr>
    </w:lvl>
  </w:abstractNum>
  <w:abstractNum w:abstractNumId="3">
    <w:nsid w:val="2C3F2FF7"/>
    <w:multiLevelType w:val="multilevel"/>
    <w:tmpl w:val="2C3F2FF7"/>
    <w:lvl w:ilvl="0" w:tentative="0">
      <w:start w:val="2"/>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cs="Times New Roman"/>
      </w:rPr>
    </w:lvl>
  </w:abstractNum>
  <w:abstractNum w:abstractNumId="5">
    <w:nsid w:val="5520F093"/>
    <w:multiLevelType w:val="singleLevel"/>
    <w:tmpl w:val="5520F093"/>
    <w:lvl w:ilvl="0" w:tentative="0">
      <w:start w:val="1"/>
      <w:numFmt w:val="chineseCounting"/>
      <w:suff w:val="nothing"/>
      <w:lvlText w:val="第%1章　"/>
      <w:lvlJc w:val="left"/>
      <w:rPr>
        <w:rFonts w:hint="eastAsia" w:cs="Times New Roman"/>
      </w:rPr>
    </w:lvl>
  </w:abstractNum>
  <w:abstractNum w:abstractNumId="6">
    <w:nsid w:val="5E10485D"/>
    <w:multiLevelType w:val="multilevel"/>
    <w:tmpl w:val="5E10485D"/>
    <w:lvl w:ilvl="0" w:tentative="0">
      <w:start w:val="1"/>
      <w:numFmt w:val="japaneseCounting"/>
      <w:lvlText w:val="第%1章"/>
      <w:lvlJc w:val="left"/>
      <w:pPr>
        <w:tabs>
          <w:tab w:val="left" w:pos="1080"/>
        </w:tabs>
        <w:ind w:left="1080" w:hanging="840"/>
      </w:pPr>
      <w:rPr>
        <w:rFonts w:hint="eastAsia" w:cs="Times New Roman"/>
      </w:rPr>
    </w:lvl>
    <w:lvl w:ilvl="1" w:tentative="0">
      <w:start w:val="1"/>
      <w:numFmt w:val="decimal"/>
      <w:lvlText w:val="%2）"/>
      <w:lvlJc w:val="left"/>
      <w:pPr>
        <w:tabs>
          <w:tab w:val="left" w:pos="1020"/>
        </w:tabs>
        <w:ind w:left="1020" w:hanging="360"/>
      </w:pPr>
      <w:rPr>
        <w:rFonts w:hint="eastAsia"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7">
    <w:nsid w:val="7B176B8E"/>
    <w:multiLevelType w:val="multilevel"/>
    <w:tmpl w:val="7B176B8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5"/>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s>
  <w:rsids>
    <w:rsidRoot w:val="009C34C4"/>
    <w:rsid w:val="00000DFF"/>
    <w:rsid w:val="00003426"/>
    <w:rsid w:val="000039AE"/>
    <w:rsid w:val="000052FF"/>
    <w:rsid w:val="000101E0"/>
    <w:rsid w:val="000103E8"/>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61A4"/>
    <w:rsid w:val="0004775C"/>
    <w:rsid w:val="0005321D"/>
    <w:rsid w:val="000533FC"/>
    <w:rsid w:val="00054535"/>
    <w:rsid w:val="00056066"/>
    <w:rsid w:val="00057499"/>
    <w:rsid w:val="00057830"/>
    <w:rsid w:val="00060F52"/>
    <w:rsid w:val="0006169B"/>
    <w:rsid w:val="00063A2F"/>
    <w:rsid w:val="0006570D"/>
    <w:rsid w:val="0006580B"/>
    <w:rsid w:val="00065EA9"/>
    <w:rsid w:val="00066E55"/>
    <w:rsid w:val="000718ED"/>
    <w:rsid w:val="00071954"/>
    <w:rsid w:val="00071A18"/>
    <w:rsid w:val="00071C14"/>
    <w:rsid w:val="00074CDE"/>
    <w:rsid w:val="000753B8"/>
    <w:rsid w:val="00075B24"/>
    <w:rsid w:val="00075BBA"/>
    <w:rsid w:val="00080062"/>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440A"/>
    <w:rsid w:val="000A5145"/>
    <w:rsid w:val="000A71A5"/>
    <w:rsid w:val="000A71CA"/>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4636"/>
    <w:rsid w:val="000D490A"/>
    <w:rsid w:val="000D5BF8"/>
    <w:rsid w:val="000D73EA"/>
    <w:rsid w:val="000D79C5"/>
    <w:rsid w:val="000E07B1"/>
    <w:rsid w:val="000E35D7"/>
    <w:rsid w:val="000E4823"/>
    <w:rsid w:val="000E6431"/>
    <w:rsid w:val="000E64FC"/>
    <w:rsid w:val="000E676F"/>
    <w:rsid w:val="000E6D59"/>
    <w:rsid w:val="000F0AE6"/>
    <w:rsid w:val="000F181D"/>
    <w:rsid w:val="000F19EB"/>
    <w:rsid w:val="000F1E87"/>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646F"/>
    <w:rsid w:val="00107066"/>
    <w:rsid w:val="00110C75"/>
    <w:rsid w:val="001115A1"/>
    <w:rsid w:val="00112F87"/>
    <w:rsid w:val="0011356D"/>
    <w:rsid w:val="001148C1"/>
    <w:rsid w:val="001160B4"/>
    <w:rsid w:val="00116190"/>
    <w:rsid w:val="001173DD"/>
    <w:rsid w:val="001200ED"/>
    <w:rsid w:val="00123745"/>
    <w:rsid w:val="0012388A"/>
    <w:rsid w:val="001239AB"/>
    <w:rsid w:val="001241C4"/>
    <w:rsid w:val="00124B0C"/>
    <w:rsid w:val="001264AF"/>
    <w:rsid w:val="001272D7"/>
    <w:rsid w:val="00127D0E"/>
    <w:rsid w:val="00132543"/>
    <w:rsid w:val="00132E6B"/>
    <w:rsid w:val="00136331"/>
    <w:rsid w:val="00136CD0"/>
    <w:rsid w:val="00137AE2"/>
    <w:rsid w:val="00137BF1"/>
    <w:rsid w:val="0014060C"/>
    <w:rsid w:val="001414DC"/>
    <w:rsid w:val="00141AD4"/>
    <w:rsid w:val="00142242"/>
    <w:rsid w:val="0014267C"/>
    <w:rsid w:val="0014285C"/>
    <w:rsid w:val="0014580C"/>
    <w:rsid w:val="00152358"/>
    <w:rsid w:val="00152A24"/>
    <w:rsid w:val="00154338"/>
    <w:rsid w:val="001559B2"/>
    <w:rsid w:val="00157484"/>
    <w:rsid w:val="00157717"/>
    <w:rsid w:val="001614FE"/>
    <w:rsid w:val="00161BFE"/>
    <w:rsid w:val="00162DA0"/>
    <w:rsid w:val="00163C17"/>
    <w:rsid w:val="00165A43"/>
    <w:rsid w:val="001678AD"/>
    <w:rsid w:val="00167C3F"/>
    <w:rsid w:val="001743DB"/>
    <w:rsid w:val="00175112"/>
    <w:rsid w:val="0017529C"/>
    <w:rsid w:val="00176347"/>
    <w:rsid w:val="0017794C"/>
    <w:rsid w:val="00181367"/>
    <w:rsid w:val="00182443"/>
    <w:rsid w:val="00182E8F"/>
    <w:rsid w:val="00186E9E"/>
    <w:rsid w:val="00190E2C"/>
    <w:rsid w:val="00191770"/>
    <w:rsid w:val="00191C5D"/>
    <w:rsid w:val="001931D4"/>
    <w:rsid w:val="001936DF"/>
    <w:rsid w:val="0019458C"/>
    <w:rsid w:val="001954C1"/>
    <w:rsid w:val="001A1051"/>
    <w:rsid w:val="001A1F82"/>
    <w:rsid w:val="001A2182"/>
    <w:rsid w:val="001A2F3C"/>
    <w:rsid w:val="001A3F92"/>
    <w:rsid w:val="001A40F2"/>
    <w:rsid w:val="001A4E73"/>
    <w:rsid w:val="001A6BF6"/>
    <w:rsid w:val="001B2ECD"/>
    <w:rsid w:val="001B5561"/>
    <w:rsid w:val="001B7523"/>
    <w:rsid w:val="001B765B"/>
    <w:rsid w:val="001B7B75"/>
    <w:rsid w:val="001C0832"/>
    <w:rsid w:val="001C0BE2"/>
    <w:rsid w:val="001C1659"/>
    <w:rsid w:val="001C356F"/>
    <w:rsid w:val="001C35CD"/>
    <w:rsid w:val="001C41CD"/>
    <w:rsid w:val="001D156F"/>
    <w:rsid w:val="001D1DD1"/>
    <w:rsid w:val="001D21AC"/>
    <w:rsid w:val="001D3C5E"/>
    <w:rsid w:val="001D4A87"/>
    <w:rsid w:val="001D4C6E"/>
    <w:rsid w:val="001D5CCE"/>
    <w:rsid w:val="001D63B6"/>
    <w:rsid w:val="001D797F"/>
    <w:rsid w:val="001D7DC0"/>
    <w:rsid w:val="001E0266"/>
    <w:rsid w:val="001E0BD2"/>
    <w:rsid w:val="001E17AE"/>
    <w:rsid w:val="001E1A2C"/>
    <w:rsid w:val="001E2701"/>
    <w:rsid w:val="001E3B5E"/>
    <w:rsid w:val="001E60A1"/>
    <w:rsid w:val="001E6B0C"/>
    <w:rsid w:val="001E6C8D"/>
    <w:rsid w:val="001F1600"/>
    <w:rsid w:val="001F24FB"/>
    <w:rsid w:val="001F2C24"/>
    <w:rsid w:val="001F2FE0"/>
    <w:rsid w:val="001F30A0"/>
    <w:rsid w:val="001F4B64"/>
    <w:rsid w:val="001F4C82"/>
    <w:rsid w:val="002010F7"/>
    <w:rsid w:val="00201E70"/>
    <w:rsid w:val="00202382"/>
    <w:rsid w:val="00202971"/>
    <w:rsid w:val="0020332B"/>
    <w:rsid w:val="00203D0E"/>
    <w:rsid w:val="002045AC"/>
    <w:rsid w:val="00204C0C"/>
    <w:rsid w:val="00206E8C"/>
    <w:rsid w:val="002071F3"/>
    <w:rsid w:val="0021312D"/>
    <w:rsid w:val="0021340C"/>
    <w:rsid w:val="00213823"/>
    <w:rsid w:val="002139B3"/>
    <w:rsid w:val="00214422"/>
    <w:rsid w:val="002159A5"/>
    <w:rsid w:val="002160BE"/>
    <w:rsid w:val="0021646E"/>
    <w:rsid w:val="0022125A"/>
    <w:rsid w:val="00224AB6"/>
    <w:rsid w:val="002263AB"/>
    <w:rsid w:val="00226C45"/>
    <w:rsid w:val="00227396"/>
    <w:rsid w:val="00231DAD"/>
    <w:rsid w:val="00232309"/>
    <w:rsid w:val="00240111"/>
    <w:rsid w:val="002416CF"/>
    <w:rsid w:val="002419D6"/>
    <w:rsid w:val="002456FA"/>
    <w:rsid w:val="00245F57"/>
    <w:rsid w:val="00246FF0"/>
    <w:rsid w:val="0024747E"/>
    <w:rsid w:val="00247538"/>
    <w:rsid w:val="00247AC3"/>
    <w:rsid w:val="00247CFD"/>
    <w:rsid w:val="0025042B"/>
    <w:rsid w:val="00250622"/>
    <w:rsid w:val="00252704"/>
    <w:rsid w:val="002536FC"/>
    <w:rsid w:val="002539B0"/>
    <w:rsid w:val="0025459C"/>
    <w:rsid w:val="00254EFE"/>
    <w:rsid w:val="00256B41"/>
    <w:rsid w:val="00257760"/>
    <w:rsid w:val="002600CA"/>
    <w:rsid w:val="00261E7C"/>
    <w:rsid w:val="00263B9E"/>
    <w:rsid w:val="00264161"/>
    <w:rsid w:val="002649BA"/>
    <w:rsid w:val="00264D84"/>
    <w:rsid w:val="00265143"/>
    <w:rsid w:val="00266030"/>
    <w:rsid w:val="00266BD8"/>
    <w:rsid w:val="00266DA8"/>
    <w:rsid w:val="00270507"/>
    <w:rsid w:val="002711A7"/>
    <w:rsid w:val="00271656"/>
    <w:rsid w:val="002717E9"/>
    <w:rsid w:val="00271D84"/>
    <w:rsid w:val="00273035"/>
    <w:rsid w:val="0027378A"/>
    <w:rsid w:val="00275463"/>
    <w:rsid w:val="00276BEE"/>
    <w:rsid w:val="00276CEE"/>
    <w:rsid w:val="00282443"/>
    <w:rsid w:val="00284A5F"/>
    <w:rsid w:val="00285C89"/>
    <w:rsid w:val="002861E6"/>
    <w:rsid w:val="00291BC7"/>
    <w:rsid w:val="0029378D"/>
    <w:rsid w:val="002949FA"/>
    <w:rsid w:val="00295AB6"/>
    <w:rsid w:val="00297684"/>
    <w:rsid w:val="002A03C2"/>
    <w:rsid w:val="002A1163"/>
    <w:rsid w:val="002A323E"/>
    <w:rsid w:val="002A36E3"/>
    <w:rsid w:val="002A3DCC"/>
    <w:rsid w:val="002A46D4"/>
    <w:rsid w:val="002A7E69"/>
    <w:rsid w:val="002B00A6"/>
    <w:rsid w:val="002B2ACF"/>
    <w:rsid w:val="002B4A8C"/>
    <w:rsid w:val="002C19A0"/>
    <w:rsid w:val="002C1D51"/>
    <w:rsid w:val="002C2055"/>
    <w:rsid w:val="002C2944"/>
    <w:rsid w:val="002C29CF"/>
    <w:rsid w:val="002C4F6D"/>
    <w:rsid w:val="002C7A96"/>
    <w:rsid w:val="002D046E"/>
    <w:rsid w:val="002D05A7"/>
    <w:rsid w:val="002D09D1"/>
    <w:rsid w:val="002D0DDA"/>
    <w:rsid w:val="002D1F10"/>
    <w:rsid w:val="002D3391"/>
    <w:rsid w:val="002D49EB"/>
    <w:rsid w:val="002D4B28"/>
    <w:rsid w:val="002D4CBC"/>
    <w:rsid w:val="002D5FE6"/>
    <w:rsid w:val="002D71C4"/>
    <w:rsid w:val="002D7BC3"/>
    <w:rsid w:val="002E0E01"/>
    <w:rsid w:val="002E10E6"/>
    <w:rsid w:val="002E536E"/>
    <w:rsid w:val="002E58E9"/>
    <w:rsid w:val="002E6178"/>
    <w:rsid w:val="002E74EE"/>
    <w:rsid w:val="002E7825"/>
    <w:rsid w:val="002F158E"/>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1137B"/>
    <w:rsid w:val="00312BCD"/>
    <w:rsid w:val="003137DC"/>
    <w:rsid w:val="003140A5"/>
    <w:rsid w:val="00314F85"/>
    <w:rsid w:val="003157CE"/>
    <w:rsid w:val="003162F5"/>
    <w:rsid w:val="003211E6"/>
    <w:rsid w:val="00322E09"/>
    <w:rsid w:val="003232B6"/>
    <w:rsid w:val="00323552"/>
    <w:rsid w:val="00324021"/>
    <w:rsid w:val="0032447B"/>
    <w:rsid w:val="003275A1"/>
    <w:rsid w:val="00327831"/>
    <w:rsid w:val="00330F5C"/>
    <w:rsid w:val="003325C2"/>
    <w:rsid w:val="003353C9"/>
    <w:rsid w:val="00336940"/>
    <w:rsid w:val="0033773E"/>
    <w:rsid w:val="0034221F"/>
    <w:rsid w:val="003447B2"/>
    <w:rsid w:val="00346632"/>
    <w:rsid w:val="00347D1A"/>
    <w:rsid w:val="003503BA"/>
    <w:rsid w:val="00351D4E"/>
    <w:rsid w:val="003533DD"/>
    <w:rsid w:val="003534DA"/>
    <w:rsid w:val="0035408E"/>
    <w:rsid w:val="0035625A"/>
    <w:rsid w:val="003562E5"/>
    <w:rsid w:val="00356A24"/>
    <w:rsid w:val="00356ECA"/>
    <w:rsid w:val="00357EEB"/>
    <w:rsid w:val="003616F2"/>
    <w:rsid w:val="00363239"/>
    <w:rsid w:val="00363C1B"/>
    <w:rsid w:val="003670BE"/>
    <w:rsid w:val="0036798D"/>
    <w:rsid w:val="003700B6"/>
    <w:rsid w:val="00371EF0"/>
    <w:rsid w:val="00372568"/>
    <w:rsid w:val="003728EF"/>
    <w:rsid w:val="003740F9"/>
    <w:rsid w:val="00374D71"/>
    <w:rsid w:val="00380D77"/>
    <w:rsid w:val="00381D28"/>
    <w:rsid w:val="00384906"/>
    <w:rsid w:val="00384DDF"/>
    <w:rsid w:val="00385AC2"/>
    <w:rsid w:val="00386CF4"/>
    <w:rsid w:val="003901AC"/>
    <w:rsid w:val="00390325"/>
    <w:rsid w:val="0039040A"/>
    <w:rsid w:val="00390CE8"/>
    <w:rsid w:val="003932A9"/>
    <w:rsid w:val="00393432"/>
    <w:rsid w:val="003943E1"/>
    <w:rsid w:val="003956E4"/>
    <w:rsid w:val="0039630A"/>
    <w:rsid w:val="00397775"/>
    <w:rsid w:val="003A0D25"/>
    <w:rsid w:val="003A4135"/>
    <w:rsid w:val="003A5588"/>
    <w:rsid w:val="003A5C77"/>
    <w:rsid w:val="003A63B3"/>
    <w:rsid w:val="003B01B7"/>
    <w:rsid w:val="003B3E77"/>
    <w:rsid w:val="003B4294"/>
    <w:rsid w:val="003B6220"/>
    <w:rsid w:val="003B7921"/>
    <w:rsid w:val="003B7943"/>
    <w:rsid w:val="003C0421"/>
    <w:rsid w:val="003C0FF9"/>
    <w:rsid w:val="003C345C"/>
    <w:rsid w:val="003C44A6"/>
    <w:rsid w:val="003D022C"/>
    <w:rsid w:val="003D19EA"/>
    <w:rsid w:val="003D1C5C"/>
    <w:rsid w:val="003D28E5"/>
    <w:rsid w:val="003D2C9A"/>
    <w:rsid w:val="003D3AA9"/>
    <w:rsid w:val="003D5351"/>
    <w:rsid w:val="003D6FE6"/>
    <w:rsid w:val="003E00B6"/>
    <w:rsid w:val="003E294B"/>
    <w:rsid w:val="003E471E"/>
    <w:rsid w:val="003E535C"/>
    <w:rsid w:val="003E6FBC"/>
    <w:rsid w:val="003E712E"/>
    <w:rsid w:val="003E7C2F"/>
    <w:rsid w:val="003E7CDD"/>
    <w:rsid w:val="003F10A3"/>
    <w:rsid w:val="003F1926"/>
    <w:rsid w:val="003F2A7B"/>
    <w:rsid w:val="003F5074"/>
    <w:rsid w:val="003F6B4B"/>
    <w:rsid w:val="003F6BDB"/>
    <w:rsid w:val="003F78FC"/>
    <w:rsid w:val="0040077C"/>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546B"/>
    <w:rsid w:val="00415986"/>
    <w:rsid w:val="004162CC"/>
    <w:rsid w:val="00416472"/>
    <w:rsid w:val="0041750B"/>
    <w:rsid w:val="00417C87"/>
    <w:rsid w:val="004236D4"/>
    <w:rsid w:val="00423CBD"/>
    <w:rsid w:val="004261C7"/>
    <w:rsid w:val="00430088"/>
    <w:rsid w:val="00432936"/>
    <w:rsid w:val="00434293"/>
    <w:rsid w:val="00434CBB"/>
    <w:rsid w:val="0043701A"/>
    <w:rsid w:val="00437182"/>
    <w:rsid w:val="00437531"/>
    <w:rsid w:val="004376F0"/>
    <w:rsid w:val="00437A6C"/>
    <w:rsid w:val="004401D8"/>
    <w:rsid w:val="0044065F"/>
    <w:rsid w:val="00440B41"/>
    <w:rsid w:val="00441FE2"/>
    <w:rsid w:val="00443380"/>
    <w:rsid w:val="004446CE"/>
    <w:rsid w:val="00444F26"/>
    <w:rsid w:val="00446D81"/>
    <w:rsid w:val="004503CD"/>
    <w:rsid w:val="00450F36"/>
    <w:rsid w:val="00451DD9"/>
    <w:rsid w:val="00452832"/>
    <w:rsid w:val="00452D1C"/>
    <w:rsid w:val="00457330"/>
    <w:rsid w:val="00460756"/>
    <w:rsid w:val="0046097F"/>
    <w:rsid w:val="00461E9C"/>
    <w:rsid w:val="00462084"/>
    <w:rsid w:val="004644FE"/>
    <w:rsid w:val="00465D81"/>
    <w:rsid w:val="004678E4"/>
    <w:rsid w:val="004703E5"/>
    <w:rsid w:val="00470DB5"/>
    <w:rsid w:val="00471226"/>
    <w:rsid w:val="00471F0A"/>
    <w:rsid w:val="00474107"/>
    <w:rsid w:val="00474A6E"/>
    <w:rsid w:val="00475EDC"/>
    <w:rsid w:val="00476620"/>
    <w:rsid w:val="00477712"/>
    <w:rsid w:val="00477962"/>
    <w:rsid w:val="00477ABF"/>
    <w:rsid w:val="004805FB"/>
    <w:rsid w:val="00481FB3"/>
    <w:rsid w:val="0048370B"/>
    <w:rsid w:val="00485152"/>
    <w:rsid w:val="00487E6D"/>
    <w:rsid w:val="00487FA5"/>
    <w:rsid w:val="00491CB0"/>
    <w:rsid w:val="004920D1"/>
    <w:rsid w:val="0049267D"/>
    <w:rsid w:val="00492A3E"/>
    <w:rsid w:val="00493B2C"/>
    <w:rsid w:val="00493BB0"/>
    <w:rsid w:val="004949AA"/>
    <w:rsid w:val="00494BC0"/>
    <w:rsid w:val="00494BC2"/>
    <w:rsid w:val="00494BFB"/>
    <w:rsid w:val="004A27E6"/>
    <w:rsid w:val="004A2D4A"/>
    <w:rsid w:val="004A4282"/>
    <w:rsid w:val="004A4E64"/>
    <w:rsid w:val="004A75F5"/>
    <w:rsid w:val="004A7785"/>
    <w:rsid w:val="004B1467"/>
    <w:rsid w:val="004B41B1"/>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5556"/>
    <w:rsid w:val="004D66C0"/>
    <w:rsid w:val="004D7462"/>
    <w:rsid w:val="004D7863"/>
    <w:rsid w:val="004D7BD7"/>
    <w:rsid w:val="004E06BE"/>
    <w:rsid w:val="004E09AD"/>
    <w:rsid w:val="004E0DCD"/>
    <w:rsid w:val="004E25E1"/>
    <w:rsid w:val="004E4DA6"/>
    <w:rsid w:val="004E7CC0"/>
    <w:rsid w:val="004F07A7"/>
    <w:rsid w:val="004F28BE"/>
    <w:rsid w:val="004F2C46"/>
    <w:rsid w:val="004F4A31"/>
    <w:rsid w:val="00500AFF"/>
    <w:rsid w:val="00501D60"/>
    <w:rsid w:val="00502119"/>
    <w:rsid w:val="00502B13"/>
    <w:rsid w:val="00506923"/>
    <w:rsid w:val="00507143"/>
    <w:rsid w:val="0050727C"/>
    <w:rsid w:val="00510AFA"/>
    <w:rsid w:val="0051164A"/>
    <w:rsid w:val="005124BB"/>
    <w:rsid w:val="005125FA"/>
    <w:rsid w:val="005132D6"/>
    <w:rsid w:val="00514C33"/>
    <w:rsid w:val="005159AD"/>
    <w:rsid w:val="00516702"/>
    <w:rsid w:val="005202F1"/>
    <w:rsid w:val="0052031C"/>
    <w:rsid w:val="00520387"/>
    <w:rsid w:val="00521445"/>
    <w:rsid w:val="00521A08"/>
    <w:rsid w:val="00521F85"/>
    <w:rsid w:val="00522B69"/>
    <w:rsid w:val="005239FD"/>
    <w:rsid w:val="0052640D"/>
    <w:rsid w:val="00526D1A"/>
    <w:rsid w:val="00526DD5"/>
    <w:rsid w:val="00527ECB"/>
    <w:rsid w:val="00531326"/>
    <w:rsid w:val="005321C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56609"/>
    <w:rsid w:val="00556686"/>
    <w:rsid w:val="00561675"/>
    <w:rsid w:val="0056251F"/>
    <w:rsid w:val="00562DD4"/>
    <w:rsid w:val="00564A80"/>
    <w:rsid w:val="00564DA1"/>
    <w:rsid w:val="00565680"/>
    <w:rsid w:val="00565DF4"/>
    <w:rsid w:val="0056630E"/>
    <w:rsid w:val="00566E41"/>
    <w:rsid w:val="0057690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6CFB"/>
    <w:rsid w:val="005A7EF0"/>
    <w:rsid w:val="005B06C5"/>
    <w:rsid w:val="005B37E5"/>
    <w:rsid w:val="005B3FED"/>
    <w:rsid w:val="005B400A"/>
    <w:rsid w:val="005B4026"/>
    <w:rsid w:val="005B464A"/>
    <w:rsid w:val="005B50D5"/>
    <w:rsid w:val="005B7DFD"/>
    <w:rsid w:val="005C00BB"/>
    <w:rsid w:val="005C1993"/>
    <w:rsid w:val="005C4FDF"/>
    <w:rsid w:val="005C6687"/>
    <w:rsid w:val="005D1419"/>
    <w:rsid w:val="005D25DA"/>
    <w:rsid w:val="005D293A"/>
    <w:rsid w:val="005D5972"/>
    <w:rsid w:val="005D66C7"/>
    <w:rsid w:val="005D748A"/>
    <w:rsid w:val="005D76A9"/>
    <w:rsid w:val="005E0767"/>
    <w:rsid w:val="005E2908"/>
    <w:rsid w:val="005E2B00"/>
    <w:rsid w:val="005E38FA"/>
    <w:rsid w:val="005E3942"/>
    <w:rsid w:val="005E42C2"/>
    <w:rsid w:val="005E4EEF"/>
    <w:rsid w:val="005E6A1C"/>
    <w:rsid w:val="005E7709"/>
    <w:rsid w:val="005E7D95"/>
    <w:rsid w:val="005F74B4"/>
    <w:rsid w:val="00601C4A"/>
    <w:rsid w:val="006034C5"/>
    <w:rsid w:val="00603AC5"/>
    <w:rsid w:val="00604C16"/>
    <w:rsid w:val="006055BF"/>
    <w:rsid w:val="00605D33"/>
    <w:rsid w:val="0060626D"/>
    <w:rsid w:val="00607167"/>
    <w:rsid w:val="00607E78"/>
    <w:rsid w:val="00610450"/>
    <w:rsid w:val="006104E8"/>
    <w:rsid w:val="00612097"/>
    <w:rsid w:val="0061229E"/>
    <w:rsid w:val="00613048"/>
    <w:rsid w:val="0061476B"/>
    <w:rsid w:val="006165F1"/>
    <w:rsid w:val="00617B88"/>
    <w:rsid w:val="006203D4"/>
    <w:rsid w:val="006207D9"/>
    <w:rsid w:val="00622A07"/>
    <w:rsid w:val="006244B5"/>
    <w:rsid w:val="00625D91"/>
    <w:rsid w:val="006266B1"/>
    <w:rsid w:val="00626BA5"/>
    <w:rsid w:val="00627AC4"/>
    <w:rsid w:val="00627EBD"/>
    <w:rsid w:val="00630E2D"/>
    <w:rsid w:val="006328F0"/>
    <w:rsid w:val="0063408B"/>
    <w:rsid w:val="006341EC"/>
    <w:rsid w:val="006357D4"/>
    <w:rsid w:val="00636B4C"/>
    <w:rsid w:val="00636E1B"/>
    <w:rsid w:val="00637F53"/>
    <w:rsid w:val="00637F96"/>
    <w:rsid w:val="006408ED"/>
    <w:rsid w:val="00640AD4"/>
    <w:rsid w:val="006416BF"/>
    <w:rsid w:val="00641D5E"/>
    <w:rsid w:val="00644792"/>
    <w:rsid w:val="00645E83"/>
    <w:rsid w:val="00646304"/>
    <w:rsid w:val="00646948"/>
    <w:rsid w:val="00650886"/>
    <w:rsid w:val="00650F62"/>
    <w:rsid w:val="00651B1D"/>
    <w:rsid w:val="006536D1"/>
    <w:rsid w:val="00656B75"/>
    <w:rsid w:val="00660D9B"/>
    <w:rsid w:val="006639A2"/>
    <w:rsid w:val="0066604C"/>
    <w:rsid w:val="00666A25"/>
    <w:rsid w:val="00667161"/>
    <w:rsid w:val="00671377"/>
    <w:rsid w:val="006722DA"/>
    <w:rsid w:val="0067269D"/>
    <w:rsid w:val="00672B8B"/>
    <w:rsid w:val="00674009"/>
    <w:rsid w:val="00674CDD"/>
    <w:rsid w:val="00680939"/>
    <w:rsid w:val="006830B0"/>
    <w:rsid w:val="00683E7B"/>
    <w:rsid w:val="00684A36"/>
    <w:rsid w:val="006866F4"/>
    <w:rsid w:val="00686BC2"/>
    <w:rsid w:val="00687939"/>
    <w:rsid w:val="00687A41"/>
    <w:rsid w:val="00687E26"/>
    <w:rsid w:val="0069078B"/>
    <w:rsid w:val="00690F46"/>
    <w:rsid w:val="00693A09"/>
    <w:rsid w:val="00693BED"/>
    <w:rsid w:val="006944E0"/>
    <w:rsid w:val="00695551"/>
    <w:rsid w:val="0069689A"/>
    <w:rsid w:val="00697F35"/>
    <w:rsid w:val="006A0B32"/>
    <w:rsid w:val="006A108D"/>
    <w:rsid w:val="006A1DE8"/>
    <w:rsid w:val="006A24CA"/>
    <w:rsid w:val="006A3102"/>
    <w:rsid w:val="006A4AD9"/>
    <w:rsid w:val="006A4CC7"/>
    <w:rsid w:val="006A4DC0"/>
    <w:rsid w:val="006A5660"/>
    <w:rsid w:val="006A5FEC"/>
    <w:rsid w:val="006A64B8"/>
    <w:rsid w:val="006A7483"/>
    <w:rsid w:val="006A77B6"/>
    <w:rsid w:val="006A7BFA"/>
    <w:rsid w:val="006B1438"/>
    <w:rsid w:val="006B3776"/>
    <w:rsid w:val="006B4309"/>
    <w:rsid w:val="006B71C8"/>
    <w:rsid w:val="006B72E7"/>
    <w:rsid w:val="006C2E39"/>
    <w:rsid w:val="006C365C"/>
    <w:rsid w:val="006C45A4"/>
    <w:rsid w:val="006C4C9F"/>
    <w:rsid w:val="006C7291"/>
    <w:rsid w:val="006D4609"/>
    <w:rsid w:val="006D58A3"/>
    <w:rsid w:val="006D7BC8"/>
    <w:rsid w:val="006E1199"/>
    <w:rsid w:val="006E1313"/>
    <w:rsid w:val="006E2A48"/>
    <w:rsid w:val="006E45B0"/>
    <w:rsid w:val="006E4A13"/>
    <w:rsid w:val="006E4E00"/>
    <w:rsid w:val="006E558D"/>
    <w:rsid w:val="006E5E4B"/>
    <w:rsid w:val="006E6BA9"/>
    <w:rsid w:val="006E6BE3"/>
    <w:rsid w:val="006E6D77"/>
    <w:rsid w:val="006E73DF"/>
    <w:rsid w:val="006F063C"/>
    <w:rsid w:val="006F0C85"/>
    <w:rsid w:val="006F107E"/>
    <w:rsid w:val="006F178E"/>
    <w:rsid w:val="006F35E7"/>
    <w:rsid w:val="006F3867"/>
    <w:rsid w:val="006F5368"/>
    <w:rsid w:val="0070076B"/>
    <w:rsid w:val="00701882"/>
    <w:rsid w:val="00703FE5"/>
    <w:rsid w:val="00705FDC"/>
    <w:rsid w:val="00710B97"/>
    <w:rsid w:val="0071188F"/>
    <w:rsid w:val="00712BD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21A2"/>
    <w:rsid w:val="00736DB5"/>
    <w:rsid w:val="00741E4B"/>
    <w:rsid w:val="007421A9"/>
    <w:rsid w:val="0074312E"/>
    <w:rsid w:val="00743424"/>
    <w:rsid w:val="0074342B"/>
    <w:rsid w:val="00744F69"/>
    <w:rsid w:val="00745902"/>
    <w:rsid w:val="00745AFE"/>
    <w:rsid w:val="0075040C"/>
    <w:rsid w:val="00751868"/>
    <w:rsid w:val="00752A54"/>
    <w:rsid w:val="007534B8"/>
    <w:rsid w:val="00755D06"/>
    <w:rsid w:val="00755F22"/>
    <w:rsid w:val="00757C13"/>
    <w:rsid w:val="00760349"/>
    <w:rsid w:val="0076330C"/>
    <w:rsid w:val="0076498D"/>
    <w:rsid w:val="00764CBD"/>
    <w:rsid w:val="00765DF1"/>
    <w:rsid w:val="00766FA7"/>
    <w:rsid w:val="00767695"/>
    <w:rsid w:val="00776780"/>
    <w:rsid w:val="00777906"/>
    <w:rsid w:val="007808C6"/>
    <w:rsid w:val="0078222D"/>
    <w:rsid w:val="00786C7B"/>
    <w:rsid w:val="00787279"/>
    <w:rsid w:val="00787BBA"/>
    <w:rsid w:val="007902D9"/>
    <w:rsid w:val="00790F79"/>
    <w:rsid w:val="00790F90"/>
    <w:rsid w:val="00792DF0"/>
    <w:rsid w:val="007935C6"/>
    <w:rsid w:val="00795E9B"/>
    <w:rsid w:val="00797325"/>
    <w:rsid w:val="007976CE"/>
    <w:rsid w:val="007A0230"/>
    <w:rsid w:val="007A0648"/>
    <w:rsid w:val="007A0675"/>
    <w:rsid w:val="007A379A"/>
    <w:rsid w:val="007B2C2F"/>
    <w:rsid w:val="007B41A0"/>
    <w:rsid w:val="007B4D6C"/>
    <w:rsid w:val="007B4E57"/>
    <w:rsid w:val="007B6D2F"/>
    <w:rsid w:val="007B6DE8"/>
    <w:rsid w:val="007B6DF7"/>
    <w:rsid w:val="007B7464"/>
    <w:rsid w:val="007C0ADB"/>
    <w:rsid w:val="007C0E69"/>
    <w:rsid w:val="007C1555"/>
    <w:rsid w:val="007C1820"/>
    <w:rsid w:val="007C1B60"/>
    <w:rsid w:val="007C2E7A"/>
    <w:rsid w:val="007C3B3A"/>
    <w:rsid w:val="007C3C93"/>
    <w:rsid w:val="007C42A3"/>
    <w:rsid w:val="007C5974"/>
    <w:rsid w:val="007C7E98"/>
    <w:rsid w:val="007D0476"/>
    <w:rsid w:val="007D0729"/>
    <w:rsid w:val="007D0AC4"/>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F02A8"/>
    <w:rsid w:val="007F1509"/>
    <w:rsid w:val="007F3A28"/>
    <w:rsid w:val="007F56C2"/>
    <w:rsid w:val="007F5996"/>
    <w:rsid w:val="007F6600"/>
    <w:rsid w:val="00801F3F"/>
    <w:rsid w:val="00806CFA"/>
    <w:rsid w:val="00807254"/>
    <w:rsid w:val="008108D5"/>
    <w:rsid w:val="00810E57"/>
    <w:rsid w:val="00811D2E"/>
    <w:rsid w:val="008121E5"/>
    <w:rsid w:val="00813DC0"/>
    <w:rsid w:val="00814E6E"/>
    <w:rsid w:val="00815399"/>
    <w:rsid w:val="0081547C"/>
    <w:rsid w:val="008178F6"/>
    <w:rsid w:val="0082095C"/>
    <w:rsid w:val="00822AA0"/>
    <w:rsid w:val="00823AF0"/>
    <w:rsid w:val="00823EFD"/>
    <w:rsid w:val="00827AE5"/>
    <w:rsid w:val="0083082B"/>
    <w:rsid w:val="00830D21"/>
    <w:rsid w:val="008314D4"/>
    <w:rsid w:val="00831914"/>
    <w:rsid w:val="008334D2"/>
    <w:rsid w:val="00833848"/>
    <w:rsid w:val="0083486E"/>
    <w:rsid w:val="00834BEF"/>
    <w:rsid w:val="0083603F"/>
    <w:rsid w:val="00837E11"/>
    <w:rsid w:val="008408F4"/>
    <w:rsid w:val="00841624"/>
    <w:rsid w:val="0084368D"/>
    <w:rsid w:val="00844333"/>
    <w:rsid w:val="00845D0E"/>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313B"/>
    <w:rsid w:val="008638AC"/>
    <w:rsid w:val="008661EA"/>
    <w:rsid w:val="008665A1"/>
    <w:rsid w:val="00866E63"/>
    <w:rsid w:val="00867493"/>
    <w:rsid w:val="008706AD"/>
    <w:rsid w:val="00870819"/>
    <w:rsid w:val="00871A8E"/>
    <w:rsid w:val="00873503"/>
    <w:rsid w:val="00873C71"/>
    <w:rsid w:val="0087572A"/>
    <w:rsid w:val="008758AF"/>
    <w:rsid w:val="0087595B"/>
    <w:rsid w:val="00875B7A"/>
    <w:rsid w:val="00876A7E"/>
    <w:rsid w:val="00876D91"/>
    <w:rsid w:val="00877C62"/>
    <w:rsid w:val="008804AF"/>
    <w:rsid w:val="0088248A"/>
    <w:rsid w:val="00882D54"/>
    <w:rsid w:val="0088321C"/>
    <w:rsid w:val="008858FD"/>
    <w:rsid w:val="00886743"/>
    <w:rsid w:val="008869AF"/>
    <w:rsid w:val="008870B7"/>
    <w:rsid w:val="0088761E"/>
    <w:rsid w:val="00887988"/>
    <w:rsid w:val="00890058"/>
    <w:rsid w:val="0089133B"/>
    <w:rsid w:val="008915DD"/>
    <w:rsid w:val="008926B5"/>
    <w:rsid w:val="0089337C"/>
    <w:rsid w:val="00894755"/>
    <w:rsid w:val="0089574E"/>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5EFB"/>
    <w:rsid w:val="008B7839"/>
    <w:rsid w:val="008C28DE"/>
    <w:rsid w:val="008C2B0F"/>
    <w:rsid w:val="008C2EC3"/>
    <w:rsid w:val="008C306C"/>
    <w:rsid w:val="008C5017"/>
    <w:rsid w:val="008C514D"/>
    <w:rsid w:val="008C56D8"/>
    <w:rsid w:val="008C686A"/>
    <w:rsid w:val="008C7A73"/>
    <w:rsid w:val="008C7C1C"/>
    <w:rsid w:val="008C7FFA"/>
    <w:rsid w:val="008D0A8A"/>
    <w:rsid w:val="008D1C2E"/>
    <w:rsid w:val="008E0379"/>
    <w:rsid w:val="008E0FF2"/>
    <w:rsid w:val="008E32A4"/>
    <w:rsid w:val="008E42E4"/>
    <w:rsid w:val="008E528F"/>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D82"/>
    <w:rsid w:val="00904277"/>
    <w:rsid w:val="00904BC1"/>
    <w:rsid w:val="00905DAD"/>
    <w:rsid w:val="009073CC"/>
    <w:rsid w:val="00911268"/>
    <w:rsid w:val="00911D24"/>
    <w:rsid w:val="0091235B"/>
    <w:rsid w:val="00913B62"/>
    <w:rsid w:val="00914472"/>
    <w:rsid w:val="0091756D"/>
    <w:rsid w:val="00921725"/>
    <w:rsid w:val="0092194E"/>
    <w:rsid w:val="00921AD1"/>
    <w:rsid w:val="00922AEC"/>
    <w:rsid w:val="0093356B"/>
    <w:rsid w:val="009336F2"/>
    <w:rsid w:val="00933CB5"/>
    <w:rsid w:val="009362F2"/>
    <w:rsid w:val="00936AAD"/>
    <w:rsid w:val="00936FA2"/>
    <w:rsid w:val="00937FB3"/>
    <w:rsid w:val="00940E1A"/>
    <w:rsid w:val="009427AA"/>
    <w:rsid w:val="009431B6"/>
    <w:rsid w:val="00944703"/>
    <w:rsid w:val="00945D87"/>
    <w:rsid w:val="0094770F"/>
    <w:rsid w:val="00947919"/>
    <w:rsid w:val="00951091"/>
    <w:rsid w:val="009521C7"/>
    <w:rsid w:val="00954A41"/>
    <w:rsid w:val="00954B7A"/>
    <w:rsid w:val="00954D57"/>
    <w:rsid w:val="00956476"/>
    <w:rsid w:val="0095689E"/>
    <w:rsid w:val="00957918"/>
    <w:rsid w:val="00960B83"/>
    <w:rsid w:val="00960E3F"/>
    <w:rsid w:val="00962075"/>
    <w:rsid w:val="00963FE7"/>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59EA"/>
    <w:rsid w:val="0098674F"/>
    <w:rsid w:val="00995F18"/>
    <w:rsid w:val="0099693C"/>
    <w:rsid w:val="009A1142"/>
    <w:rsid w:val="009A4F70"/>
    <w:rsid w:val="009A5101"/>
    <w:rsid w:val="009A6AF4"/>
    <w:rsid w:val="009A6CC1"/>
    <w:rsid w:val="009B04C5"/>
    <w:rsid w:val="009B0A5F"/>
    <w:rsid w:val="009B2112"/>
    <w:rsid w:val="009B24AC"/>
    <w:rsid w:val="009B2820"/>
    <w:rsid w:val="009B31F3"/>
    <w:rsid w:val="009B4103"/>
    <w:rsid w:val="009B559B"/>
    <w:rsid w:val="009B76B6"/>
    <w:rsid w:val="009B79A0"/>
    <w:rsid w:val="009C0268"/>
    <w:rsid w:val="009C0D38"/>
    <w:rsid w:val="009C131A"/>
    <w:rsid w:val="009C26D4"/>
    <w:rsid w:val="009C34C4"/>
    <w:rsid w:val="009C5C4E"/>
    <w:rsid w:val="009D090E"/>
    <w:rsid w:val="009D0BB0"/>
    <w:rsid w:val="009D32FD"/>
    <w:rsid w:val="009D3FAC"/>
    <w:rsid w:val="009D4B04"/>
    <w:rsid w:val="009D659D"/>
    <w:rsid w:val="009D667E"/>
    <w:rsid w:val="009D7E0C"/>
    <w:rsid w:val="009E1320"/>
    <w:rsid w:val="009E16D6"/>
    <w:rsid w:val="009E19EA"/>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9F49D6"/>
    <w:rsid w:val="00A03875"/>
    <w:rsid w:val="00A03879"/>
    <w:rsid w:val="00A03C15"/>
    <w:rsid w:val="00A03F24"/>
    <w:rsid w:val="00A04E85"/>
    <w:rsid w:val="00A052B3"/>
    <w:rsid w:val="00A06E22"/>
    <w:rsid w:val="00A111DB"/>
    <w:rsid w:val="00A12235"/>
    <w:rsid w:val="00A12C77"/>
    <w:rsid w:val="00A12D74"/>
    <w:rsid w:val="00A137BF"/>
    <w:rsid w:val="00A14C56"/>
    <w:rsid w:val="00A15399"/>
    <w:rsid w:val="00A168C1"/>
    <w:rsid w:val="00A1740A"/>
    <w:rsid w:val="00A20CCB"/>
    <w:rsid w:val="00A21CBD"/>
    <w:rsid w:val="00A2224C"/>
    <w:rsid w:val="00A2249E"/>
    <w:rsid w:val="00A25576"/>
    <w:rsid w:val="00A26BBD"/>
    <w:rsid w:val="00A27FFB"/>
    <w:rsid w:val="00A3043D"/>
    <w:rsid w:val="00A340F5"/>
    <w:rsid w:val="00A34714"/>
    <w:rsid w:val="00A34E49"/>
    <w:rsid w:val="00A35E6C"/>
    <w:rsid w:val="00A43203"/>
    <w:rsid w:val="00A4436C"/>
    <w:rsid w:val="00A45F08"/>
    <w:rsid w:val="00A4637D"/>
    <w:rsid w:val="00A5011E"/>
    <w:rsid w:val="00A512D8"/>
    <w:rsid w:val="00A51314"/>
    <w:rsid w:val="00A52302"/>
    <w:rsid w:val="00A536D9"/>
    <w:rsid w:val="00A5379D"/>
    <w:rsid w:val="00A538B6"/>
    <w:rsid w:val="00A5727D"/>
    <w:rsid w:val="00A57B1D"/>
    <w:rsid w:val="00A624BF"/>
    <w:rsid w:val="00A62BD1"/>
    <w:rsid w:val="00A65326"/>
    <w:rsid w:val="00A6599E"/>
    <w:rsid w:val="00A65CDD"/>
    <w:rsid w:val="00A65E27"/>
    <w:rsid w:val="00A67344"/>
    <w:rsid w:val="00A705D8"/>
    <w:rsid w:val="00A709A8"/>
    <w:rsid w:val="00A729EC"/>
    <w:rsid w:val="00A740FB"/>
    <w:rsid w:val="00A740FD"/>
    <w:rsid w:val="00A749F2"/>
    <w:rsid w:val="00A763C6"/>
    <w:rsid w:val="00A765B2"/>
    <w:rsid w:val="00A830FA"/>
    <w:rsid w:val="00A83229"/>
    <w:rsid w:val="00A83DB4"/>
    <w:rsid w:val="00A83E9C"/>
    <w:rsid w:val="00A85E2C"/>
    <w:rsid w:val="00A87BFD"/>
    <w:rsid w:val="00A90C90"/>
    <w:rsid w:val="00A93309"/>
    <w:rsid w:val="00A935FF"/>
    <w:rsid w:val="00A94440"/>
    <w:rsid w:val="00A95757"/>
    <w:rsid w:val="00A95D5E"/>
    <w:rsid w:val="00A9697F"/>
    <w:rsid w:val="00A970FA"/>
    <w:rsid w:val="00A977F3"/>
    <w:rsid w:val="00AA3386"/>
    <w:rsid w:val="00AA382B"/>
    <w:rsid w:val="00AB0223"/>
    <w:rsid w:val="00AB05FB"/>
    <w:rsid w:val="00AB15E8"/>
    <w:rsid w:val="00AB20F0"/>
    <w:rsid w:val="00AB275C"/>
    <w:rsid w:val="00AB2BD0"/>
    <w:rsid w:val="00AB3AE7"/>
    <w:rsid w:val="00AB6FFD"/>
    <w:rsid w:val="00AB79C4"/>
    <w:rsid w:val="00AC0C2C"/>
    <w:rsid w:val="00AC135F"/>
    <w:rsid w:val="00AC2AE8"/>
    <w:rsid w:val="00AC3143"/>
    <w:rsid w:val="00AC3768"/>
    <w:rsid w:val="00AC3D02"/>
    <w:rsid w:val="00AC435A"/>
    <w:rsid w:val="00AC4EFD"/>
    <w:rsid w:val="00AC5F99"/>
    <w:rsid w:val="00AC7757"/>
    <w:rsid w:val="00AD0040"/>
    <w:rsid w:val="00AD4627"/>
    <w:rsid w:val="00AD5F71"/>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DA4"/>
    <w:rsid w:val="00B04337"/>
    <w:rsid w:val="00B0570C"/>
    <w:rsid w:val="00B076D0"/>
    <w:rsid w:val="00B07C15"/>
    <w:rsid w:val="00B106E5"/>
    <w:rsid w:val="00B10A02"/>
    <w:rsid w:val="00B13699"/>
    <w:rsid w:val="00B13C2F"/>
    <w:rsid w:val="00B149CF"/>
    <w:rsid w:val="00B14A17"/>
    <w:rsid w:val="00B15C63"/>
    <w:rsid w:val="00B207A8"/>
    <w:rsid w:val="00B22327"/>
    <w:rsid w:val="00B2322C"/>
    <w:rsid w:val="00B242F0"/>
    <w:rsid w:val="00B247AD"/>
    <w:rsid w:val="00B24842"/>
    <w:rsid w:val="00B26178"/>
    <w:rsid w:val="00B26625"/>
    <w:rsid w:val="00B267F4"/>
    <w:rsid w:val="00B269C5"/>
    <w:rsid w:val="00B26EA5"/>
    <w:rsid w:val="00B2773D"/>
    <w:rsid w:val="00B30ACD"/>
    <w:rsid w:val="00B31D73"/>
    <w:rsid w:val="00B34053"/>
    <w:rsid w:val="00B3453E"/>
    <w:rsid w:val="00B35892"/>
    <w:rsid w:val="00B3752C"/>
    <w:rsid w:val="00B42691"/>
    <w:rsid w:val="00B436D6"/>
    <w:rsid w:val="00B43812"/>
    <w:rsid w:val="00B444A1"/>
    <w:rsid w:val="00B50433"/>
    <w:rsid w:val="00B504F4"/>
    <w:rsid w:val="00B50EBA"/>
    <w:rsid w:val="00B51A20"/>
    <w:rsid w:val="00B52757"/>
    <w:rsid w:val="00B53FE6"/>
    <w:rsid w:val="00B56DD4"/>
    <w:rsid w:val="00B60E52"/>
    <w:rsid w:val="00B61ADB"/>
    <w:rsid w:val="00B62139"/>
    <w:rsid w:val="00B62C9C"/>
    <w:rsid w:val="00B63093"/>
    <w:rsid w:val="00B639D2"/>
    <w:rsid w:val="00B645CB"/>
    <w:rsid w:val="00B65639"/>
    <w:rsid w:val="00B667CC"/>
    <w:rsid w:val="00B67558"/>
    <w:rsid w:val="00B67A78"/>
    <w:rsid w:val="00B70022"/>
    <w:rsid w:val="00B70142"/>
    <w:rsid w:val="00B725C0"/>
    <w:rsid w:val="00B72975"/>
    <w:rsid w:val="00B72AA0"/>
    <w:rsid w:val="00B7346C"/>
    <w:rsid w:val="00B741F4"/>
    <w:rsid w:val="00B74664"/>
    <w:rsid w:val="00B74933"/>
    <w:rsid w:val="00B74B77"/>
    <w:rsid w:val="00B7534C"/>
    <w:rsid w:val="00B758AB"/>
    <w:rsid w:val="00B75D40"/>
    <w:rsid w:val="00B80A17"/>
    <w:rsid w:val="00B82462"/>
    <w:rsid w:val="00B8487D"/>
    <w:rsid w:val="00B849C8"/>
    <w:rsid w:val="00B85649"/>
    <w:rsid w:val="00B85E83"/>
    <w:rsid w:val="00B8771F"/>
    <w:rsid w:val="00B90FF8"/>
    <w:rsid w:val="00B94835"/>
    <w:rsid w:val="00B94928"/>
    <w:rsid w:val="00BA154A"/>
    <w:rsid w:val="00BA1D5E"/>
    <w:rsid w:val="00BA1D63"/>
    <w:rsid w:val="00BA211C"/>
    <w:rsid w:val="00BA226F"/>
    <w:rsid w:val="00BA2888"/>
    <w:rsid w:val="00BA52C9"/>
    <w:rsid w:val="00BA7F16"/>
    <w:rsid w:val="00BB13E2"/>
    <w:rsid w:val="00BB51B9"/>
    <w:rsid w:val="00BB59AE"/>
    <w:rsid w:val="00BB5BE3"/>
    <w:rsid w:val="00BB6B9A"/>
    <w:rsid w:val="00BB6DE1"/>
    <w:rsid w:val="00BB7609"/>
    <w:rsid w:val="00BB783C"/>
    <w:rsid w:val="00BB7998"/>
    <w:rsid w:val="00BC09DA"/>
    <w:rsid w:val="00BC28AB"/>
    <w:rsid w:val="00BC50BF"/>
    <w:rsid w:val="00BC6C90"/>
    <w:rsid w:val="00BD2A35"/>
    <w:rsid w:val="00BD48D1"/>
    <w:rsid w:val="00BD5F36"/>
    <w:rsid w:val="00BD7038"/>
    <w:rsid w:val="00BD76D3"/>
    <w:rsid w:val="00BE05B7"/>
    <w:rsid w:val="00BE14F1"/>
    <w:rsid w:val="00BE15B5"/>
    <w:rsid w:val="00BE2633"/>
    <w:rsid w:val="00BE422C"/>
    <w:rsid w:val="00BE44F6"/>
    <w:rsid w:val="00BE5AEE"/>
    <w:rsid w:val="00BE5DFC"/>
    <w:rsid w:val="00BE5FB7"/>
    <w:rsid w:val="00BE632D"/>
    <w:rsid w:val="00BF0EFA"/>
    <w:rsid w:val="00BF147B"/>
    <w:rsid w:val="00BF23B1"/>
    <w:rsid w:val="00BF373F"/>
    <w:rsid w:val="00BF393A"/>
    <w:rsid w:val="00BF4D31"/>
    <w:rsid w:val="00C00822"/>
    <w:rsid w:val="00C00F35"/>
    <w:rsid w:val="00C013CC"/>
    <w:rsid w:val="00C02A37"/>
    <w:rsid w:val="00C0374D"/>
    <w:rsid w:val="00C0425D"/>
    <w:rsid w:val="00C043E3"/>
    <w:rsid w:val="00C04654"/>
    <w:rsid w:val="00C049D9"/>
    <w:rsid w:val="00C054B9"/>
    <w:rsid w:val="00C07D3C"/>
    <w:rsid w:val="00C10C9B"/>
    <w:rsid w:val="00C113C0"/>
    <w:rsid w:val="00C141AB"/>
    <w:rsid w:val="00C17455"/>
    <w:rsid w:val="00C222BD"/>
    <w:rsid w:val="00C27574"/>
    <w:rsid w:val="00C3112F"/>
    <w:rsid w:val="00C323C3"/>
    <w:rsid w:val="00C37CEC"/>
    <w:rsid w:val="00C409C2"/>
    <w:rsid w:val="00C40A42"/>
    <w:rsid w:val="00C411F7"/>
    <w:rsid w:val="00C41969"/>
    <w:rsid w:val="00C42C81"/>
    <w:rsid w:val="00C43335"/>
    <w:rsid w:val="00C438B1"/>
    <w:rsid w:val="00C43ACB"/>
    <w:rsid w:val="00C43E5E"/>
    <w:rsid w:val="00C44E90"/>
    <w:rsid w:val="00C4535C"/>
    <w:rsid w:val="00C45D26"/>
    <w:rsid w:val="00C478F6"/>
    <w:rsid w:val="00C52A33"/>
    <w:rsid w:val="00C52C61"/>
    <w:rsid w:val="00C54FEB"/>
    <w:rsid w:val="00C56283"/>
    <w:rsid w:val="00C572CA"/>
    <w:rsid w:val="00C61E96"/>
    <w:rsid w:val="00C62FFA"/>
    <w:rsid w:val="00C659EF"/>
    <w:rsid w:val="00C67337"/>
    <w:rsid w:val="00C67763"/>
    <w:rsid w:val="00C67D07"/>
    <w:rsid w:val="00C67E20"/>
    <w:rsid w:val="00C70978"/>
    <w:rsid w:val="00C713FD"/>
    <w:rsid w:val="00C73103"/>
    <w:rsid w:val="00C73C3E"/>
    <w:rsid w:val="00C74DD3"/>
    <w:rsid w:val="00C74E69"/>
    <w:rsid w:val="00C7754E"/>
    <w:rsid w:val="00C805D7"/>
    <w:rsid w:val="00C809F5"/>
    <w:rsid w:val="00C83D59"/>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B0605"/>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B8F"/>
    <w:rsid w:val="00CD0CED"/>
    <w:rsid w:val="00CD1367"/>
    <w:rsid w:val="00CD34DC"/>
    <w:rsid w:val="00CD5EB5"/>
    <w:rsid w:val="00CD6FE3"/>
    <w:rsid w:val="00CD7287"/>
    <w:rsid w:val="00CE020B"/>
    <w:rsid w:val="00CE0706"/>
    <w:rsid w:val="00CE0F56"/>
    <w:rsid w:val="00CE4F0F"/>
    <w:rsid w:val="00CE59DD"/>
    <w:rsid w:val="00CE7C66"/>
    <w:rsid w:val="00CE7EC6"/>
    <w:rsid w:val="00CE7F5C"/>
    <w:rsid w:val="00CF00E3"/>
    <w:rsid w:val="00CF2E46"/>
    <w:rsid w:val="00CF45B8"/>
    <w:rsid w:val="00CF4C04"/>
    <w:rsid w:val="00CF4C7C"/>
    <w:rsid w:val="00CF7AC0"/>
    <w:rsid w:val="00D00A6F"/>
    <w:rsid w:val="00D0113F"/>
    <w:rsid w:val="00D020FB"/>
    <w:rsid w:val="00D028AB"/>
    <w:rsid w:val="00D050AC"/>
    <w:rsid w:val="00D0550D"/>
    <w:rsid w:val="00D056A3"/>
    <w:rsid w:val="00D0720A"/>
    <w:rsid w:val="00D0746D"/>
    <w:rsid w:val="00D07609"/>
    <w:rsid w:val="00D10FB3"/>
    <w:rsid w:val="00D12C59"/>
    <w:rsid w:val="00D135AC"/>
    <w:rsid w:val="00D1653E"/>
    <w:rsid w:val="00D17C08"/>
    <w:rsid w:val="00D216E7"/>
    <w:rsid w:val="00D22C07"/>
    <w:rsid w:val="00D2309B"/>
    <w:rsid w:val="00D24B72"/>
    <w:rsid w:val="00D24F43"/>
    <w:rsid w:val="00D257D1"/>
    <w:rsid w:val="00D26642"/>
    <w:rsid w:val="00D27F04"/>
    <w:rsid w:val="00D32CD6"/>
    <w:rsid w:val="00D332B5"/>
    <w:rsid w:val="00D3361E"/>
    <w:rsid w:val="00D33771"/>
    <w:rsid w:val="00D33DDF"/>
    <w:rsid w:val="00D34748"/>
    <w:rsid w:val="00D34E4B"/>
    <w:rsid w:val="00D3792E"/>
    <w:rsid w:val="00D37A0B"/>
    <w:rsid w:val="00D37C88"/>
    <w:rsid w:val="00D43443"/>
    <w:rsid w:val="00D43AE0"/>
    <w:rsid w:val="00D51AB0"/>
    <w:rsid w:val="00D51D4D"/>
    <w:rsid w:val="00D51F50"/>
    <w:rsid w:val="00D52CB5"/>
    <w:rsid w:val="00D5335F"/>
    <w:rsid w:val="00D537C4"/>
    <w:rsid w:val="00D5548A"/>
    <w:rsid w:val="00D60A0D"/>
    <w:rsid w:val="00D63930"/>
    <w:rsid w:val="00D64A6A"/>
    <w:rsid w:val="00D659C0"/>
    <w:rsid w:val="00D66777"/>
    <w:rsid w:val="00D701E3"/>
    <w:rsid w:val="00D70316"/>
    <w:rsid w:val="00D708A9"/>
    <w:rsid w:val="00D70F9D"/>
    <w:rsid w:val="00D7285D"/>
    <w:rsid w:val="00D75DCF"/>
    <w:rsid w:val="00D762D4"/>
    <w:rsid w:val="00D762DD"/>
    <w:rsid w:val="00D76669"/>
    <w:rsid w:val="00D80F3F"/>
    <w:rsid w:val="00D8148E"/>
    <w:rsid w:val="00D82D78"/>
    <w:rsid w:val="00D83E9B"/>
    <w:rsid w:val="00D841A0"/>
    <w:rsid w:val="00D84881"/>
    <w:rsid w:val="00D854AE"/>
    <w:rsid w:val="00D9042D"/>
    <w:rsid w:val="00D9054F"/>
    <w:rsid w:val="00D9109E"/>
    <w:rsid w:val="00D9372C"/>
    <w:rsid w:val="00D945E1"/>
    <w:rsid w:val="00D96385"/>
    <w:rsid w:val="00DA0397"/>
    <w:rsid w:val="00DA0642"/>
    <w:rsid w:val="00DA31CB"/>
    <w:rsid w:val="00DA37FB"/>
    <w:rsid w:val="00DA4BEF"/>
    <w:rsid w:val="00DA5853"/>
    <w:rsid w:val="00DA594C"/>
    <w:rsid w:val="00DA5994"/>
    <w:rsid w:val="00DA7835"/>
    <w:rsid w:val="00DA78B6"/>
    <w:rsid w:val="00DB043A"/>
    <w:rsid w:val="00DB2C42"/>
    <w:rsid w:val="00DB2DA9"/>
    <w:rsid w:val="00DB2FDB"/>
    <w:rsid w:val="00DB3A96"/>
    <w:rsid w:val="00DB6CB3"/>
    <w:rsid w:val="00DB7570"/>
    <w:rsid w:val="00DB79B4"/>
    <w:rsid w:val="00DC03C4"/>
    <w:rsid w:val="00DC081B"/>
    <w:rsid w:val="00DC202F"/>
    <w:rsid w:val="00DC494A"/>
    <w:rsid w:val="00DC63EF"/>
    <w:rsid w:val="00DC7633"/>
    <w:rsid w:val="00DC7B37"/>
    <w:rsid w:val="00DD24AC"/>
    <w:rsid w:val="00DD2680"/>
    <w:rsid w:val="00DD334F"/>
    <w:rsid w:val="00DD3F1B"/>
    <w:rsid w:val="00DD3FC9"/>
    <w:rsid w:val="00DE26EB"/>
    <w:rsid w:val="00DE2C2B"/>
    <w:rsid w:val="00DE3D54"/>
    <w:rsid w:val="00DE401D"/>
    <w:rsid w:val="00DE5A07"/>
    <w:rsid w:val="00DE5C42"/>
    <w:rsid w:val="00DE6306"/>
    <w:rsid w:val="00DE788B"/>
    <w:rsid w:val="00DF1149"/>
    <w:rsid w:val="00DF1BD8"/>
    <w:rsid w:val="00DF6B6A"/>
    <w:rsid w:val="00DF7BEC"/>
    <w:rsid w:val="00E00C75"/>
    <w:rsid w:val="00E02CF9"/>
    <w:rsid w:val="00E02E7B"/>
    <w:rsid w:val="00E02F83"/>
    <w:rsid w:val="00E03338"/>
    <w:rsid w:val="00E06813"/>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70301"/>
    <w:rsid w:val="00E70E86"/>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62BD"/>
    <w:rsid w:val="00E96368"/>
    <w:rsid w:val="00E96C8A"/>
    <w:rsid w:val="00E96F98"/>
    <w:rsid w:val="00EA0CD7"/>
    <w:rsid w:val="00EA1DD4"/>
    <w:rsid w:val="00EA3AFA"/>
    <w:rsid w:val="00EA3CEB"/>
    <w:rsid w:val="00EA4A2C"/>
    <w:rsid w:val="00EA58A0"/>
    <w:rsid w:val="00EA6170"/>
    <w:rsid w:val="00EA6AE9"/>
    <w:rsid w:val="00EA72CD"/>
    <w:rsid w:val="00EB0152"/>
    <w:rsid w:val="00EB07E3"/>
    <w:rsid w:val="00EB0E0D"/>
    <w:rsid w:val="00EB269E"/>
    <w:rsid w:val="00EB2A93"/>
    <w:rsid w:val="00EB4426"/>
    <w:rsid w:val="00EB68A9"/>
    <w:rsid w:val="00EB7D25"/>
    <w:rsid w:val="00EC1765"/>
    <w:rsid w:val="00EC1FA0"/>
    <w:rsid w:val="00EC2D02"/>
    <w:rsid w:val="00EC2D9D"/>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F00370"/>
    <w:rsid w:val="00F04D60"/>
    <w:rsid w:val="00F04D69"/>
    <w:rsid w:val="00F07BE0"/>
    <w:rsid w:val="00F101D2"/>
    <w:rsid w:val="00F10AEF"/>
    <w:rsid w:val="00F1499F"/>
    <w:rsid w:val="00F15F8D"/>
    <w:rsid w:val="00F16D2A"/>
    <w:rsid w:val="00F20A31"/>
    <w:rsid w:val="00F21924"/>
    <w:rsid w:val="00F2274F"/>
    <w:rsid w:val="00F255CD"/>
    <w:rsid w:val="00F25DF7"/>
    <w:rsid w:val="00F264FD"/>
    <w:rsid w:val="00F279B4"/>
    <w:rsid w:val="00F30CFE"/>
    <w:rsid w:val="00F31A89"/>
    <w:rsid w:val="00F34993"/>
    <w:rsid w:val="00F37A6D"/>
    <w:rsid w:val="00F442F4"/>
    <w:rsid w:val="00F45A77"/>
    <w:rsid w:val="00F5396A"/>
    <w:rsid w:val="00F5428C"/>
    <w:rsid w:val="00F550C9"/>
    <w:rsid w:val="00F5761D"/>
    <w:rsid w:val="00F601D5"/>
    <w:rsid w:val="00F607B5"/>
    <w:rsid w:val="00F60F05"/>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30EC"/>
    <w:rsid w:val="00F77BF6"/>
    <w:rsid w:val="00F77EDC"/>
    <w:rsid w:val="00F81A97"/>
    <w:rsid w:val="00F81EAA"/>
    <w:rsid w:val="00F844E4"/>
    <w:rsid w:val="00F9168F"/>
    <w:rsid w:val="00F91C90"/>
    <w:rsid w:val="00F9319D"/>
    <w:rsid w:val="00F946D4"/>
    <w:rsid w:val="00F947D0"/>
    <w:rsid w:val="00F94D62"/>
    <w:rsid w:val="00F951FD"/>
    <w:rsid w:val="00F95329"/>
    <w:rsid w:val="00F963CC"/>
    <w:rsid w:val="00F96CF8"/>
    <w:rsid w:val="00F97120"/>
    <w:rsid w:val="00FA0444"/>
    <w:rsid w:val="00FA19E2"/>
    <w:rsid w:val="00FA1E7B"/>
    <w:rsid w:val="00FA2843"/>
    <w:rsid w:val="00FA6936"/>
    <w:rsid w:val="00FB0A8C"/>
    <w:rsid w:val="00FB1372"/>
    <w:rsid w:val="00FB14DB"/>
    <w:rsid w:val="00FB2BD6"/>
    <w:rsid w:val="00FB5250"/>
    <w:rsid w:val="00FB6D2F"/>
    <w:rsid w:val="00FB6F0E"/>
    <w:rsid w:val="00FC5E05"/>
    <w:rsid w:val="00FC7384"/>
    <w:rsid w:val="00FC757B"/>
    <w:rsid w:val="00FC7B8D"/>
    <w:rsid w:val="00FD01E2"/>
    <w:rsid w:val="00FD0544"/>
    <w:rsid w:val="00FD371B"/>
    <w:rsid w:val="00FD633E"/>
    <w:rsid w:val="00FE223E"/>
    <w:rsid w:val="00FE389F"/>
    <w:rsid w:val="00FE432F"/>
    <w:rsid w:val="00FE4F04"/>
    <w:rsid w:val="00FE551B"/>
    <w:rsid w:val="00FE6098"/>
    <w:rsid w:val="00FE6709"/>
    <w:rsid w:val="00FE7A38"/>
    <w:rsid w:val="00FE7D3F"/>
    <w:rsid w:val="00FF1E65"/>
    <w:rsid w:val="00FF2133"/>
    <w:rsid w:val="00FF3267"/>
    <w:rsid w:val="00FF3486"/>
    <w:rsid w:val="00FF3AB8"/>
    <w:rsid w:val="00FF4220"/>
    <w:rsid w:val="00FF7597"/>
    <w:rsid w:val="054E0ACB"/>
    <w:rsid w:val="062867AF"/>
    <w:rsid w:val="08310F84"/>
    <w:rsid w:val="08FD2031"/>
    <w:rsid w:val="09631139"/>
    <w:rsid w:val="0B6B22E1"/>
    <w:rsid w:val="0BD10EC7"/>
    <w:rsid w:val="0D0759B3"/>
    <w:rsid w:val="0E160053"/>
    <w:rsid w:val="0EF158A9"/>
    <w:rsid w:val="0F035FF7"/>
    <w:rsid w:val="0FC43131"/>
    <w:rsid w:val="100833DB"/>
    <w:rsid w:val="107C6856"/>
    <w:rsid w:val="12347665"/>
    <w:rsid w:val="14C520A6"/>
    <w:rsid w:val="17323CE6"/>
    <w:rsid w:val="173504B7"/>
    <w:rsid w:val="1AB50795"/>
    <w:rsid w:val="1AD73970"/>
    <w:rsid w:val="1AE36CBB"/>
    <w:rsid w:val="1BE433E2"/>
    <w:rsid w:val="1C355AC3"/>
    <w:rsid w:val="1D681F85"/>
    <w:rsid w:val="1D6A753E"/>
    <w:rsid w:val="1E4A4441"/>
    <w:rsid w:val="1E834112"/>
    <w:rsid w:val="1F142340"/>
    <w:rsid w:val="20284475"/>
    <w:rsid w:val="21491599"/>
    <w:rsid w:val="21BB7B90"/>
    <w:rsid w:val="220C2DE7"/>
    <w:rsid w:val="22B660C8"/>
    <w:rsid w:val="25CE1AD0"/>
    <w:rsid w:val="25E75324"/>
    <w:rsid w:val="297918E7"/>
    <w:rsid w:val="2A0F177F"/>
    <w:rsid w:val="2AC51C10"/>
    <w:rsid w:val="2C3308D3"/>
    <w:rsid w:val="2C882FBF"/>
    <w:rsid w:val="2CBD2C97"/>
    <w:rsid w:val="2E3704E1"/>
    <w:rsid w:val="2EF85D15"/>
    <w:rsid w:val="302D0544"/>
    <w:rsid w:val="30826B8F"/>
    <w:rsid w:val="30AC18DC"/>
    <w:rsid w:val="312645B9"/>
    <w:rsid w:val="3254751A"/>
    <w:rsid w:val="325F1FC6"/>
    <w:rsid w:val="32F83E40"/>
    <w:rsid w:val="34EC74B2"/>
    <w:rsid w:val="35343D7A"/>
    <w:rsid w:val="353C440B"/>
    <w:rsid w:val="35B132C2"/>
    <w:rsid w:val="360E2065"/>
    <w:rsid w:val="362C31AD"/>
    <w:rsid w:val="387A4F82"/>
    <w:rsid w:val="38D7570B"/>
    <w:rsid w:val="39CA3214"/>
    <w:rsid w:val="3AE013ED"/>
    <w:rsid w:val="3B525E24"/>
    <w:rsid w:val="3E33693E"/>
    <w:rsid w:val="3E376ED0"/>
    <w:rsid w:val="3FFB79A1"/>
    <w:rsid w:val="401E5CC2"/>
    <w:rsid w:val="40B2690A"/>
    <w:rsid w:val="40DA5CC0"/>
    <w:rsid w:val="41EA3A90"/>
    <w:rsid w:val="427778F9"/>
    <w:rsid w:val="42D06D92"/>
    <w:rsid w:val="42DA6F24"/>
    <w:rsid w:val="438409C5"/>
    <w:rsid w:val="46685486"/>
    <w:rsid w:val="46B2786C"/>
    <w:rsid w:val="46EC3528"/>
    <w:rsid w:val="48E97673"/>
    <w:rsid w:val="4AB401B4"/>
    <w:rsid w:val="4AD72594"/>
    <w:rsid w:val="4BF8441E"/>
    <w:rsid w:val="4CDD4E53"/>
    <w:rsid w:val="4E4E39E9"/>
    <w:rsid w:val="4EF6602B"/>
    <w:rsid w:val="4F706945"/>
    <w:rsid w:val="50C913CF"/>
    <w:rsid w:val="51461B2E"/>
    <w:rsid w:val="545F7CFD"/>
    <w:rsid w:val="54A4153A"/>
    <w:rsid w:val="55004D8B"/>
    <w:rsid w:val="57F3024F"/>
    <w:rsid w:val="58B05A19"/>
    <w:rsid w:val="58F97B95"/>
    <w:rsid w:val="58FE39E9"/>
    <w:rsid w:val="5A0A10C7"/>
    <w:rsid w:val="5ADF5555"/>
    <w:rsid w:val="5AEF1347"/>
    <w:rsid w:val="5B7653B5"/>
    <w:rsid w:val="5BCB50E3"/>
    <w:rsid w:val="5BF57328"/>
    <w:rsid w:val="5C310190"/>
    <w:rsid w:val="5CBE6997"/>
    <w:rsid w:val="5DE86341"/>
    <w:rsid w:val="5DEC2DF2"/>
    <w:rsid w:val="5E6A76E4"/>
    <w:rsid w:val="5E6C5262"/>
    <w:rsid w:val="5FB61C05"/>
    <w:rsid w:val="611D2D9E"/>
    <w:rsid w:val="61AF769C"/>
    <w:rsid w:val="62C460BE"/>
    <w:rsid w:val="636A4566"/>
    <w:rsid w:val="638521F4"/>
    <w:rsid w:val="638A2160"/>
    <w:rsid w:val="65DA2C2B"/>
    <w:rsid w:val="65F83D46"/>
    <w:rsid w:val="66C634EB"/>
    <w:rsid w:val="67030EE1"/>
    <w:rsid w:val="67B211EB"/>
    <w:rsid w:val="67E63624"/>
    <w:rsid w:val="68363CD6"/>
    <w:rsid w:val="687D1F94"/>
    <w:rsid w:val="688B5EAF"/>
    <w:rsid w:val="68DA0216"/>
    <w:rsid w:val="6A9C691D"/>
    <w:rsid w:val="6B9621D9"/>
    <w:rsid w:val="6C441591"/>
    <w:rsid w:val="6D677C8F"/>
    <w:rsid w:val="6E317EDB"/>
    <w:rsid w:val="6EAD5AE2"/>
    <w:rsid w:val="6F3D127C"/>
    <w:rsid w:val="709E44E2"/>
    <w:rsid w:val="71B3655A"/>
    <w:rsid w:val="733B443A"/>
    <w:rsid w:val="735F111F"/>
    <w:rsid w:val="736576C6"/>
    <w:rsid w:val="74E44F2F"/>
    <w:rsid w:val="75393A88"/>
    <w:rsid w:val="764B6831"/>
    <w:rsid w:val="76D45254"/>
    <w:rsid w:val="79EB6B7E"/>
    <w:rsid w:val="7A7C18A7"/>
    <w:rsid w:val="7AB977A5"/>
    <w:rsid w:val="7E5E52FD"/>
    <w:rsid w:val="7EFB52B9"/>
    <w:rsid w:val="7F4B61A1"/>
    <w:rsid w:val="7F7A0C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37"/>
    <w:qFormat/>
    <w:uiPriority w:val="99"/>
    <w:pPr>
      <w:keepNext/>
      <w:outlineLvl w:val="0"/>
    </w:pPr>
    <w:rPr>
      <w:rFonts w:ascii="宋体"/>
      <w:sz w:val="28"/>
    </w:rPr>
  </w:style>
  <w:style w:type="paragraph" w:styleId="5">
    <w:name w:val="heading 2"/>
    <w:basedOn w:val="1"/>
    <w:next w:val="1"/>
    <w:link w:val="38"/>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9"/>
    <w:qFormat/>
    <w:uiPriority w:val="99"/>
    <w:pPr>
      <w:keepNext/>
      <w:keepLines/>
      <w:spacing w:before="260" w:after="260" w:line="416" w:lineRule="auto"/>
      <w:outlineLvl w:val="2"/>
    </w:pPr>
    <w:rPr>
      <w:b/>
      <w:bCs/>
      <w:kern w:val="0"/>
      <w:sz w:val="32"/>
      <w:szCs w:val="32"/>
    </w:rPr>
  </w:style>
  <w:style w:type="character" w:default="1" w:styleId="22">
    <w:name w:val="Default Paragraph Font"/>
    <w:semiHidden/>
    <w:qFormat/>
    <w:uiPriority w:val="99"/>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link w:val="41"/>
    <w:uiPriority w:val="99"/>
    <w:pPr>
      <w:ind w:firstLine="100" w:firstLineChars="100"/>
    </w:pPr>
  </w:style>
  <w:style w:type="paragraph" w:styleId="7">
    <w:name w:val="Document Map"/>
    <w:basedOn w:val="1"/>
    <w:link w:val="42"/>
    <w:semiHidden/>
    <w:qFormat/>
    <w:uiPriority w:val="99"/>
    <w:pPr>
      <w:shd w:val="clear" w:color="auto" w:fill="000080"/>
    </w:pPr>
    <w:rPr>
      <w:kern w:val="0"/>
      <w:sz w:val="2"/>
    </w:rPr>
  </w:style>
  <w:style w:type="paragraph" w:styleId="8">
    <w:name w:val="annotation text"/>
    <w:basedOn w:val="1"/>
    <w:link w:val="43"/>
    <w:semiHidden/>
    <w:uiPriority w:val="99"/>
    <w:pPr>
      <w:jc w:val="left"/>
    </w:pPr>
  </w:style>
  <w:style w:type="paragraph" w:styleId="9">
    <w:name w:val="toc 3"/>
    <w:basedOn w:val="1"/>
    <w:next w:val="1"/>
    <w:qFormat/>
    <w:uiPriority w:val="99"/>
    <w:pPr>
      <w:ind w:left="840" w:leftChars="400"/>
    </w:pPr>
  </w:style>
  <w:style w:type="paragraph" w:styleId="10">
    <w:name w:val="Plain Text"/>
    <w:basedOn w:val="1"/>
    <w:link w:val="44"/>
    <w:qFormat/>
    <w:uiPriority w:val="99"/>
    <w:pPr>
      <w:spacing w:line="360" w:lineRule="auto"/>
    </w:pPr>
    <w:rPr>
      <w:rFonts w:ascii="楷体_GB2312" w:hAnsi="Courier New" w:eastAsia="楷体_GB2312"/>
      <w:sz w:val="24"/>
    </w:rPr>
  </w:style>
  <w:style w:type="paragraph" w:styleId="11">
    <w:name w:val="Date"/>
    <w:basedOn w:val="1"/>
    <w:next w:val="1"/>
    <w:link w:val="45"/>
    <w:qFormat/>
    <w:uiPriority w:val="99"/>
    <w:rPr>
      <w:sz w:val="28"/>
    </w:rPr>
  </w:style>
  <w:style w:type="paragraph" w:styleId="12">
    <w:name w:val="Body Text Indent 2"/>
    <w:basedOn w:val="1"/>
    <w:link w:val="46"/>
    <w:qFormat/>
    <w:uiPriority w:val="99"/>
    <w:pPr>
      <w:spacing w:line="312" w:lineRule="auto"/>
      <w:ind w:firstLine="480" w:firstLineChars="200"/>
    </w:pPr>
    <w:rPr>
      <w:kern w:val="0"/>
      <w:sz w:val="20"/>
    </w:rPr>
  </w:style>
  <w:style w:type="paragraph" w:styleId="13">
    <w:name w:val="Balloon Text"/>
    <w:basedOn w:val="1"/>
    <w:link w:val="47"/>
    <w:semiHidden/>
    <w:qFormat/>
    <w:uiPriority w:val="99"/>
    <w:rPr>
      <w:kern w:val="0"/>
      <w:sz w:val="2"/>
    </w:rPr>
  </w:style>
  <w:style w:type="paragraph" w:styleId="14">
    <w:name w:val="footer"/>
    <w:basedOn w:val="1"/>
    <w:link w:val="48"/>
    <w:qFormat/>
    <w:uiPriority w:val="99"/>
    <w:pPr>
      <w:tabs>
        <w:tab w:val="center" w:pos="4153"/>
        <w:tab w:val="right" w:pos="8306"/>
      </w:tabs>
      <w:snapToGrid w:val="0"/>
      <w:jc w:val="left"/>
    </w:pPr>
    <w:rPr>
      <w:kern w:val="0"/>
      <w:sz w:val="18"/>
      <w:szCs w:val="18"/>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99"/>
    <w:pPr>
      <w:tabs>
        <w:tab w:val="right" w:leader="dot" w:pos="9639"/>
      </w:tabs>
      <w:ind w:firstLine="425" w:firstLineChars="177"/>
    </w:pPr>
  </w:style>
  <w:style w:type="paragraph" w:styleId="17">
    <w:name w:val="toc 2"/>
    <w:basedOn w:val="1"/>
    <w:next w:val="1"/>
    <w:qFormat/>
    <w:uiPriority w:val="99"/>
    <w:pPr>
      <w:tabs>
        <w:tab w:val="left" w:pos="941"/>
        <w:tab w:val="right" w:leader="dot" w:pos="9629"/>
      </w:tabs>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8"/>
    <w:next w:val="8"/>
    <w:link w:val="50"/>
    <w:semiHidden/>
    <w:qFormat/>
    <w:uiPriority w:val="99"/>
    <w:rPr>
      <w:b/>
      <w:bCs/>
      <w:sz w:val="20"/>
    </w:rPr>
  </w:style>
  <w:style w:type="table" w:styleId="21">
    <w:name w:val="Table Grid"/>
    <w:basedOn w:val="2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99"/>
    <w:rPr>
      <w:rFonts w:ascii="ActionIcon ! important" w:hAnsi="ActionIcon ! important" w:cs="Times New Roman"/>
      <w:b/>
      <w:color w:val="3D4B62"/>
      <w:sz w:val="24"/>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800080"/>
      <w:u w:val="none"/>
    </w:rPr>
  </w:style>
  <w:style w:type="character" w:styleId="26">
    <w:name w:val="Emphasis"/>
    <w:basedOn w:val="22"/>
    <w:qFormat/>
    <w:uiPriority w:val="99"/>
    <w:rPr>
      <w:rFonts w:cs="Times New Roman"/>
      <w:b/>
    </w:rPr>
  </w:style>
  <w:style w:type="character" w:styleId="27">
    <w:name w:val="HTML Definition"/>
    <w:basedOn w:val="22"/>
    <w:qFormat/>
    <w:uiPriority w:val="99"/>
    <w:rPr>
      <w:rFonts w:cs="Times New Roman"/>
    </w:rPr>
  </w:style>
  <w:style w:type="character" w:styleId="28">
    <w:name w:val="HTML Typewriter"/>
    <w:basedOn w:val="22"/>
    <w:qFormat/>
    <w:uiPriority w:val="99"/>
    <w:rPr>
      <w:rFonts w:ascii="monospace" w:hAnsi="monospace" w:cs="Times New Roman"/>
      <w:sz w:val="20"/>
    </w:rPr>
  </w:style>
  <w:style w:type="character" w:styleId="29">
    <w:name w:val="HTML Acronym"/>
    <w:basedOn w:val="22"/>
    <w:qFormat/>
    <w:uiPriority w:val="99"/>
    <w:rPr>
      <w:rFonts w:cs="Times New Roman"/>
    </w:rPr>
  </w:style>
  <w:style w:type="character" w:styleId="30">
    <w:name w:val="HTML Variable"/>
    <w:basedOn w:val="22"/>
    <w:qFormat/>
    <w:uiPriority w:val="99"/>
    <w:rPr>
      <w:rFonts w:cs="Times New Roman"/>
    </w:rPr>
  </w:style>
  <w:style w:type="character" w:styleId="31">
    <w:name w:val="Hyperlink"/>
    <w:basedOn w:val="22"/>
    <w:qFormat/>
    <w:uiPriority w:val="99"/>
    <w:rPr>
      <w:rFonts w:cs="Times New Roman"/>
      <w:color w:val="0000FF"/>
      <w:u w:val="none"/>
    </w:rPr>
  </w:style>
  <w:style w:type="character" w:styleId="32">
    <w:name w:val="HTML Code"/>
    <w:basedOn w:val="22"/>
    <w:qFormat/>
    <w:uiPriority w:val="99"/>
    <w:rPr>
      <w:rFonts w:ascii="monospace" w:hAnsi="monospace" w:cs="Times New Roman"/>
      <w:sz w:val="20"/>
    </w:rPr>
  </w:style>
  <w:style w:type="character" w:styleId="33">
    <w:name w:val="annotation reference"/>
    <w:basedOn w:val="22"/>
    <w:semiHidden/>
    <w:qFormat/>
    <w:uiPriority w:val="99"/>
    <w:rPr>
      <w:rFonts w:cs="Times New Roman"/>
      <w:sz w:val="21"/>
    </w:rPr>
  </w:style>
  <w:style w:type="character" w:styleId="34">
    <w:name w:val="HTML Cite"/>
    <w:basedOn w:val="22"/>
    <w:qFormat/>
    <w:uiPriority w:val="99"/>
    <w:rPr>
      <w:rFonts w:cs="Times New Roman"/>
    </w:rPr>
  </w:style>
  <w:style w:type="character" w:styleId="35">
    <w:name w:val="HTML Keyboard"/>
    <w:basedOn w:val="22"/>
    <w:qFormat/>
    <w:uiPriority w:val="99"/>
    <w:rPr>
      <w:rFonts w:ascii="monospace" w:hAnsi="monospace" w:cs="Times New Roman"/>
      <w:sz w:val="20"/>
    </w:rPr>
  </w:style>
  <w:style w:type="character" w:styleId="36">
    <w:name w:val="HTML Sample"/>
    <w:basedOn w:val="22"/>
    <w:qFormat/>
    <w:uiPriority w:val="99"/>
    <w:rPr>
      <w:rFonts w:ascii="monospace" w:hAnsi="monospace" w:cs="Times New Roman"/>
    </w:rPr>
  </w:style>
  <w:style w:type="character" w:customStyle="1" w:styleId="37">
    <w:name w:val="Heading 1 Char"/>
    <w:basedOn w:val="22"/>
    <w:link w:val="4"/>
    <w:qFormat/>
    <w:locked/>
    <w:uiPriority w:val="99"/>
    <w:rPr>
      <w:rFonts w:ascii="宋体" w:cs="Times New Roman"/>
      <w:kern w:val="2"/>
      <w:sz w:val="28"/>
    </w:rPr>
  </w:style>
  <w:style w:type="character" w:customStyle="1" w:styleId="38">
    <w:name w:val="Heading 2 Char"/>
    <w:basedOn w:val="22"/>
    <w:link w:val="5"/>
    <w:semiHidden/>
    <w:qFormat/>
    <w:locked/>
    <w:uiPriority w:val="99"/>
    <w:rPr>
      <w:rFonts w:ascii="Cambria" w:hAnsi="Cambria" w:eastAsia="宋体" w:cs="Times New Roman"/>
      <w:b/>
      <w:sz w:val="32"/>
    </w:rPr>
  </w:style>
  <w:style w:type="character" w:customStyle="1" w:styleId="39">
    <w:name w:val="Heading 3 Char"/>
    <w:basedOn w:val="22"/>
    <w:link w:val="6"/>
    <w:semiHidden/>
    <w:qFormat/>
    <w:locked/>
    <w:uiPriority w:val="99"/>
    <w:rPr>
      <w:rFonts w:cs="Times New Roman"/>
      <w:b/>
      <w:sz w:val="32"/>
    </w:rPr>
  </w:style>
  <w:style w:type="character" w:customStyle="1" w:styleId="40">
    <w:name w:val="Body Text Char"/>
    <w:basedOn w:val="22"/>
    <w:link w:val="2"/>
    <w:semiHidden/>
    <w:qFormat/>
    <w:locked/>
    <w:uiPriority w:val="99"/>
    <w:rPr>
      <w:rFonts w:cs="Times New Roman"/>
      <w:sz w:val="20"/>
    </w:rPr>
  </w:style>
  <w:style w:type="character" w:customStyle="1" w:styleId="41">
    <w:name w:val="Body Text First Indent Char"/>
    <w:basedOn w:val="40"/>
    <w:link w:val="3"/>
    <w:semiHidden/>
    <w:qFormat/>
    <w:locked/>
    <w:uiPriority w:val="99"/>
  </w:style>
  <w:style w:type="character" w:customStyle="1" w:styleId="42">
    <w:name w:val="Document Map Char"/>
    <w:basedOn w:val="22"/>
    <w:link w:val="7"/>
    <w:semiHidden/>
    <w:qFormat/>
    <w:locked/>
    <w:uiPriority w:val="99"/>
    <w:rPr>
      <w:rFonts w:cs="Times New Roman"/>
      <w:sz w:val="2"/>
    </w:rPr>
  </w:style>
  <w:style w:type="character" w:customStyle="1" w:styleId="43">
    <w:name w:val="Comment Text Char"/>
    <w:basedOn w:val="22"/>
    <w:link w:val="8"/>
    <w:semiHidden/>
    <w:qFormat/>
    <w:locked/>
    <w:uiPriority w:val="99"/>
    <w:rPr>
      <w:rFonts w:eastAsia="宋体" w:cs="Times New Roman"/>
      <w:kern w:val="2"/>
      <w:sz w:val="21"/>
      <w:lang w:val="en-US" w:eastAsia="zh-CN"/>
    </w:rPr>
  </w:style>
  <w:style w:type="character" w:customStyle="1" w:styleId="44">
    <w:name w:val="Plain Text Char"/>
    <w:basedOn w:val="22"/>
    <w:link w:val="10"/>
    <w:qFormat/>
    <w:locked/>
    <w:uiPriority w:val="99"/>
    <w:rPr>
      <w:rFonts w:ascii="楷体_GB2312" w:hAnsi="Courier New" w:eastAsia="楷体_GB2312" w:cs="Times New Roman"/>
      <w:kern w:val="2"/>
      <w:sz w:val="24"/>
    </w:rPr>
  </w:style>
  <w:style w:type="character" w:customStyle="1" w:styleId="45">
    <w:name w:val="Date Char"/>
    <w:basedOn w:val="22"/>
    <w:link w:val="11"/>
    <w:qFormat/>
    <w:locked/>
    <w:uiPriority w:val="99"/>
    <w:rPr>
      <w:rFonts w:cs="Times New Roman"/>
      <w:kern w:val="2"/>
      <w:sz w:val="28"/>
    </w:rPr>
  </w:style>
  <w:style w:type="character" w:customStyle="1" w:styleId="46">
    <w:name w:val="Body Text Indent 2 Char"/>
    <w:basedOn w:val="22"/>
    <w:link w:val="12"/>
    <w:semiHidden/>
    <w:qFormat/>
    <w:locked/>
    <w:uiPriority w:val="99"/>
    <w:rPr>
      <w:rFonts w:cs="Times New Roman"/>
      <w:sz w:val="20"/>
    </w:rPr>
  </w:style>
  <w:style w:type="character" w:customStyle="1" w:styleId="47">
    <w:name w:val="Balloon Text Char"/>
    <w:basedOn w:val="22"/>
    <w:link w:val="13"/>
    <w:semiHidden/>
    <w:qFormat/>
    <w:locked/>
    <w:uiPriority w:val="99"/>
    <w:rPr>
      <w:rFonts w:cs="Times New Roman"/>
      <w:sz w:val="2"/>
    </w:rPr>
  </w:style>
  <w:style w:type="character" w:customStyle="1" w:styleId="48">
    <w:name w:val="Footer Char"/>
    <w:basedOn w:val="22"/>
    <w:link w:val="14"/>
    <w:semiHidden/>
    <w:qFormat/>
    <w:locked/>
    <w:uiPriority w:val="99"/>
    <w:rPr>
      <w:rFonts w:cs="Times New Roman"/>
      <w:sz w:val="18"/>
    </w:rPr>
  </w:style>
  <w:style w:type="character" w:customStyle="1" w:styleId="49">
    <w:name w:val="Header Char"/>
    <w:basedOn w:val="22"/>
    <w:link w:val="15"/>
    <w:semiHidden/>
    <w:qFormat/>
    <w:locked/>
    <w:uiPriority w:val="99"/>
    <w:rPr>
      <w:rFonts w:cs="Times New Roman"/>
      <w:sz w:val="18"/>
    </w:rPr>
  </w:style>
  <w:style w:type="character" w:customStyle="1" w:styleId="50">
    <w:name w:val="Comment Subject Char"/>
    <w:basedOn w:val="43"/>
    <w:link w:val="19"/>
    <w:semiHidden/>
    <w:qFormat/>
    <w:locked/>
    <w:uiPriority w:val="99"/>
    <w:rPr>
      <w:b/>
      <w:sz w:val="20"/>
    </w:rPr>
  </w:style>
  <w:style w:type="paragraph" w:customStyle="1" w:styleId="51">
    <w:name w:val="Char2"/>
    <w:basedOn w:val="1"/>
    <w:qFormat/>
    <w:uiPriority w:val="99"/>
    <w:pPr>
      <w:ind w:left="432" w:hanging="432"/>
    </w:pPr>
    <w:rPr>
      <w:sz w:val="24"/>
      <w:szCs w:val="24"/>
    </w:rPr>
  </w:style>
  <w:style w:type="paragraph" w:customStyle="1" w:styleId="52">
    <w:name w:val="正文1"/>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styleId="53">
    <w:name w:val="List Paragraph"/>
    <w:basedOn w:val="1"/>
    <w:qFormat/>
    <w:uiPriority w:val="99"/>
    <w:pPr>
      <w:ind w:firstLine="420" w:firstLineChars="200"/>
    </w:pPr>
    <w:rPr>
      <w:szCs w:val="24"/>
    </w:rPr>
  </w:style>
  <w:style w:type="paragraph" w:customStyle="1" w:styleId="54">
    <w:name w:val="样式3"/>
    <w:basedOn w:val="10"/>
    <w:qFormat/>
    <w:uiPriority w:val="99"/>
    <w:pPr>
      <w:spacing w:line="240" w:lineRule="atLeast"/>
      <w:outlineLvl w:val="0"/>
    </w:pPr>
    <w:rPr>
      <w:rFonts w:ascii="宋体" w:eastAsia="宋体"/>
      <w:sz w:val="28"/>
    </w:rPr>
  </w:style>
  <w:style w:type="paragraph" w:customStyle="1" w:styleId="5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56">
    <w:name w:val="Table Normal1"/>
    <w:qFormat/>
    <w:uiPriority w:val="99"/>
    <w:rPr>
      <w:kern w:val="0"/>
      <w:sz w:val="20"/>
      <w:szCs w:val="20"/>
    </w:rPr>
    <w:tblPr>
      <w:tblLayout w:type="fixed"/>
      <w:tblCellMar>
        <w:top w:w="0" w:type="dxa"/>
        <w:left w:w="0" w:type="dxa"/>
        <w:bottom w:w="0" w:type="dxa"/>
        <w:right w:w="0" w:type="dxa"/>
      </w:tblCellMar>
    </w:tblPr>
  </w:style>
  <w:style w:type="paragraph" w:customStyle="1" w:styleId="57">
    <w:name w:val="Table Paragraph"/>
    <w:basedOn w:val="1"/>
    <w:qFormat/>
    <w:uiPriority w:val="99"/>
  </w:style>
  <w:style w:type="character" w:customStyle="1" w:styleId="58">
    <w:name w:val="mini-outputtext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江西省机电设备招标公司</Company>
  <Pages>53</Pages>
  <Words>4734</Words>
  <Characters>26990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2023-05-04T01:42:00Z</dcterms:created>
  <dc:creator>hxw</dc:creator>
  <cp:lastModifiedBy>杨坤</cp:lastModifiedBy>
  <cp:lastPrinted>2015-03-09T01:41:00Z</cp:lastPrinted>
  <dcterms:modified xsi:type="dcterms:W3CDTF">2023-05-05T03:10:05Z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807D35E6D5F042119147FD5F0F41F780</vt:lpwstr>
  </property>
</Properties>
</file>