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75" w:beforeAutospacing="0" w:after="75" w:afterAutospacing="0"/>
        <w:jc w:val="both"/>
        <w:rPr>
          <w:rStyle w:val="5"/>
          <w:rFonts w:hint="eastAsia" w:ascii="仿宋_GB2312" w:hAnsi="仿宋_GB2312" w:eastAsia="仿宋_GB2312" w:cs="仿宋_GB2312"/>
          <w:b w:val="0"/>
          <w:bCs/>
          <w:sz w:val="32"/>
          <w:szCs w:val="32"/>
          <w:lang w:val="en-US" w:eastAsia="zh-CN"/>
        </w:rPr>
      </w:pPr>
      <w:r>
        <w:rPr>
          <w:rStyle w:val="5"/>
          <w:rFonts w:hint="eastAsia" w:ascii="仿宋_GB2312" w:hAnsi="仿宋_GB2312" w:eastAsia="仿宋_GB2312" w:cs="仿宋_GB2312"/>
          <w:b w:val="0"/>
          <w:bCs/>
          <w:sz w:val="32"/>
          <w:szCs w:val="32"/>
          <w:lang w:val="en-US" w:eastAsia="zh-CN"/>
        </w:rPr>
        <w:t>附件1</w:t>
      </w:r>
    </w:p>
    <w:p>
      <w:pPr>
        <w:pStyle w:val="2"/>
        <w:widowControl/>
        <w:spacing w:before="75" w:beforeAutospacing="0" w:after="75" w:afterAutospacing="0"/>
        <w:jc w:val="center"/>
      </w:pPr>
      <w:r>
        <w:rPr>
          <w:rStyle w:val="5"/>
          <w:rFonts w:hint="eastAsia" w:ascii="宋体" w:hAnsi="宋体" w:cs="宋体"/>
          <w:sz w:val="36"/>
          <w:szCs w:val="36"/>
        </w:rPr>
        <w:t>采购内容及要求</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一、项目概况</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30"/>
        <w:textAlignment w:val="auto"/>
        <w:rPr>
          <w:rFonts w:hint="eastAsia" w:ascii="宋体" w:hAnsi="宋体" w:eastAsia="宋体" w:cs="宋体"/>
          <w:lang w:eastAsia="zh-CN"/>
        </w:rPr>
      </w:pPr>
      <w:r>
        <w:rPr>
          <w:rFonts w:hint="eastAsia" w:ascii="宋体" w:hAnsi="宋体" w:cs="宋体"/>
        </w:rPr>
        <w:t>本次招标采购的产品和服务主要用于</w:t>
      </w:r>
      <w:r>
        <w:rPr>
          <w:rFonts w:hint="eastAsia" w:ascii="宋体" w:hAnsi="宋体" w:cs="宋体"/>
          <w:u w:val="single"/>
          <w:lang w:val="en-US" w:eastAsia="zh-CN"/>
        </w:rPr>
        <w:t>2023-2024年</w:t>
      </w:r>
      <w:r>
        <w:rPr>
          <w:rFonts w:hint="eastAsia" w:ascii="宋体" w:hAnsi="宋体" w:cs="宋体"/>
          <w:u w:val="single"/>
        </w:rPr>
        <w:fldChar w:fldCharType="begin"/>
      </w:r>
      <w:r>
        <w:rPr>
          <w:rFonts w:hint="eastAsia" w:ascii="宋体" w:hAnsi="宋体" w:cs="宋体"/>
          <w:u w:val="single"/>
        </w:rPr>
        <w:instrText xml:space="preserve"> HYPERLINK "http://zfcg.czj.ningde.gov.cn/gpms/webPages" </w:instrText>
      </w:r>
      <w:r>
        <w:rPr>
          <w:rFonts w:hint="eastAsia" w:ascii="宋体" w:hAnsi="宋体" w:cs="宋体"/>
          <w:u w:val="single"/>
        </w:rPr>
        <w:fldChar w:fldCharType="separate"/>
      </w:r>
      <w:r>
        <w:rPr>
          <w:rStyle w:val="6"/>
          <w:rFonts w:hint="eastAsia" w:ascii="宋体" w:hAnsi="宋体" w:cs="宋体"/>
          <w:color w:val="auto"/>
          <w:u w:val="single"/>
        </w:rPr>
        <w:t>宁德师范学院校园</w:t>
      </w:r>
      <w:r>
        <w:rPr>
          <w:rStyle w:val="6"/>
          <w:rFonts w:hint="eastAsia" w:ascii="宋体" w:hAnsi="宋体" w:cs="宋体"/>
          <w:color w:val="auto"/>
          <w:u w:val="single"/>
          <w:lang w:eastAsia="zh-CN"/>
        </w:rPr>
        <w:t>四害及</w:t>
      </w:r>
      <w:r>
        <w:rPr>
          <w:rStyle w:val="6"/>
          <w:rFonts w:hint="eastAsia" w:ascii="宋体" w:hAnsi="宋体" w:cs="宋体"/>
          <w:color w:val="auto"/>
          <w:u w:val="single"/>
        </w:rPr>
        <w:t>红火蚁</w:t>
      </w:r>
      <w:r>
        <w:rPr>
          <w:rStyle w:val="6"/>
          <w:rFonts w:hint="eastAsia" w:ascii="宋体" w:hAnsi="宋体" w:cs="宋体"/>
          <w:color w:val="auto"/>
          <w:u w:val="single"/>
          <w:lang w:eastAsia="zh-CN"/>
        </w:rPr>
        <w:t>防治服务</w:t>
      </w:r>
      <w:r>
        <w:rPr>
          <w:rStyle w:val="6"/>
          <w:rFonts w:hint="eastAsia" w:ascii="宋体" w:hAnsi="宋体" w:cs="宋体"/>
          <w:color w:val="auto"/>
          <w:u w:val="single"/>
        </w:rPr>
        <w:t>项目</w:t>
      </w:r>
      <w:r>
        <w:rPr>
          <w:rFonts w:hint="eastAsia" w:ascii="宋体" w:hAnsi="宋体" w:cs="宋体"/>
          <w:u w:val="single"/>
        </w:rPr>
        <w:fldChar w:fldCharType="end"/>
      </w:r>
      <w:r>
        <w:rPr>
          <w:rFonts w:hint="eastAsia" w:ascii="宋体" w:hAnsi="宋体" w:cs="宋体"/>
        </w:rPr>
        <w:t>采购使用。本次服务旨在有效遏制</w:t>
      </w:r>
      <w:r>
        <w:rPr>
          <w:rFonts w:hint="eastAsia" w:ascii="宋体" w:hAnsi="宋体" w:cs="宋体"/>
          <w:lang w:eastAsia="zh-CN"/>
        </w:rPr>
        <w:t>物业范畴之外红火蚁和四害疫情</w:t>
      </w:r>
      <w:r>
        <w:rPr>
          <w:rFonts w:hint="eastAsia" w:ascii="宋体" w:hAnsi="宋体" w:cs="宋体"/>
        </w:rPr>
        <w:t>，落实关于</w:t>
      </w:r>
      <w:r>
        <w:rPr>
          <w:rFonts w:hint="eastAsia" w:ascii="宋体" w:hAnsi="宋体" w:cs="宋体"/>
          <w:lang w:eastAsia="zh-CN"/>
        </w:rPr>
        <w:t>四害及红火蚁</w:t>
      </w:r>
      <w:r>
        <w:rPr>
          <w:rFonts w:hint="eastAsia" w:ascii="宋体" w:hAnsi="宋体" w:cs="宋体"/>
        </w:rPr>
        <w:t>防治工作的相关要求。</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二、技术要求</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30"/>
        <w:textAlignment w:val="auto"/>
        <w:rPr>
          <w:rFonts w:hint="eastAsia" w:ascii="宋体" w:hAnsi="宋体" w:cs="宋体"/>
        </w:rPr>
      </w:pPr>
      <w:r>
        <w:rPr>
          <w:rFonts w:hint="eastAsia" w:ascii="宋体" w:hAnsi="宋体" w:cs="宋体"/>
        </w:rPr>
        <w:t>（一）基本情况</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30"/>
        <w:textAlignment w:val="auto"/>
        <w:rPr>
          <w:rFonts w:hint="eastAsia" w:ascii="宋体" w:hAnsi="宋体" w:eastAsia="宋体" w:cs="宋体"/>
          <w:lang w:eastAsia="zh-CN"/>
        </w:rPr>
      </w:pPr>
      <w:r>
        <w:rPr>
          <w:rFonts w:hint="eastAsia" w:ascii="宋体" w:hAnsi="宋体" w:cs="宋体"/>
          <w:lang w:eastAsia="zh-CN"/>
        </w:rPr>
        <w:t>本次招标的红火蚁防治范围</w:t>
      </w:r>
      <w:r>
        <w:rPr>
          <w:rFonts w:hint="eastAsia" w:ascii="宋体" w:hAnsi="宋体" w:eastAsia="宋体" w:cs="宋体"/>
          <w:lang w:val="en-US" w:eastAsia="zh-CN"/>
        </w:rPr>
        <w:t>约为东侨校区371.7942亩，蕉城校区约为71.585亩，合计约443.38亩。四害防治主要采用建筑物散水周边撒药处理。按扣除物业服务区域的建筑轮廓外延散水0.6米测算，新校区总计散水面积约1823.4平方米，蕉城校区总计散水面积约2078.4平方米，合计3901.8平方米。</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30"/>
        <w:textAlignment w:val="auto"/>
      </w:pPr>
      <w:r>
        <w:rPr>
          <w:rFonts w:hint="eastAsia" w:ascii="宋体" w:hAnsi="宋体" w:cs="宋体"/>
        </w:rPr>
        <w:t>红火蚁繁殖快，虫害密度大，范围广，对人和植物危害极大，且我校属于人员密集区，红火蚁虫害对我校师生安全存在严重安全隐患，需进一步做好相关防治工作。鉴于红火蚁是外来物种，消杀技术要求较高，要求消杀公司通过配置专业消杀技术人员、采用对症消杀药品、增加消杀次数等做好校园</w:t>
      </w:r>
      <w:r>
        <w:rPr>
          <w:rFonts w:hint="eastAsia" w:ascii="宋体" w:hAnsi="宋体" w:cs="宋体"/>
          <w:lang w:eastAsia="zh-CN"/>
        </w:rPr>
        <w:t>四害及</w:t>
      </w:r>
      <w:r>
        <w:rPr>
          <w:rFonts w:hint="eastAsia" w:ascii="宋体" w:hAnsi="宋体" w:cs="宋体"/>
        </w:rPr>
        <w:t>红火蚁防治工作。</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30"/>
        <w:textAlignment w:val="auto"/>
      </w:pPr>
      <w:r>
        <w:rPr>
          <w:rFonts w:hint="eastAsia" w:ascii="宋体" w:hAnsi="宋体" w:cs="宋体"/>
        </w:rPr>
        <w:t>（二）校园消杀、红火蚁、白蚂蚁防治总体要求</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30"/>
        <w:textAlignment w:val="auto"/>
      </w:pPr>
      <w:r>
        <w:rPr>
          <w:rFonts w:hint="eastAsia" w:ascii="宋体" w:hAnsi="宋体" w:cs="宋体"/>
        </w:rPr>
        <w:t>1.全面做好校园蚊子、老鼠、苍蝇、蟑螂等校园消杀，要求每周一次并做好记录</w:t>
      </w:r>
      <w:r>
        <w:rPr>
          <w:rFonts w:hint="eastAsia" w:ascii="宋体" w:hAnsi="宋体" w:cs="宋体"/>
          <w:lang w:eastAsia="zh-CN"/>
        </w:rPr>
        <w:t>及影像记录。</w:t>
      </w:r>
      <w:r>
        <w:rPr>
          <w:rFonts w:hint="eastAsia" w:ascii="宋体" w:hAnsi="宋体" w:cs="宋体"/>
        </w:rPr>
        <w:t>同时做好红火蚁防治，合同期内有效控制区域内的红火蚁疫情，红火蚁发生程度控制在不危害水平。在服务范围内，全面普查防治，采用专业化防治，使蚁巢发生密度明显降低，防除效果达95%以上，验收</w:t>
      </w:r>
      <w:r>
        <w:rPr>
          <w:rFonts w:hint="eastAsia" w:ascii="宋体" w:hAnsi="宋体" w:cs="宋体"/>
          <w:lang w:eastAsia="zh-CN"/>
        </w:rPr>
        <w:t>时红火蚁单位面积的活蚁巢数量达到第一级标准，同时诱集工蚁数量达到第一级标准</w:t>
      </w:r>
      <w:r>
        <w:rPr>
          <w:rFonts w:hint="eastAsia" w:ascii="宋体" w:hAnsi="宋体" w:cs="宋体"/>
        </w:rPr>
        <w:t>。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30"/>
        <w:textAlignment w:val="auto"/>
      </w:pPr>
      <w:r>
        <w:rPr>
          <w:rFonts w:hint="eastAsia" w:ascii="宋体" w:hAnsi="宋体" w:cs="宋体"/>
        </w:rPr>
        <w:t>具体分级标准如下：</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30"/>
        <w:textAlignment w:val="auto"/>
      </w:pPr>
      <w:r>
        <w:rPr>
          <w:rFonts w:hint="eastAsia" w:ascii="宋体" w:hAnsi="宋体" w:cs="宋体"/>
        </w:rPr>
        <w:t>①按单位面积的活蚁巢数量作为分级标准，分为以下5级：</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30"/>
        <w:textAlignment w:val="auto"/>
      </w:pPr>
      <w:r>
        <w:rPr>
          <w:rFonts w:hint="eastAsia" w:ascii="宋体" w:hAnsi="宋体" w:cs="宋体"/>
        </w:rPr>
        <w:t>第一级：轻度发生区，平均每100㎡活蚁巢数为0-0.1个；</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30"/>
        <w:textAlignment w:val="auto"/>
      </w:pPr>
      <w:r>
        <w:rPr>
          <w:rFonts w:hint="eastAsia" w:ascii="宋体" w:hAnsi="宋体" w:cs="宋体"/>
        </w:rPr>
        <w:t>第二级：中度发生区，平均每100㎡活蚁巢数为0.11—0.5个；</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30"/>
        <w:textAlignment w:val="auto"/>
      </w:pPr>
      <w:r>
        <w:rPr>
          <w:rFonts w:hint="eastAsia" w:ascii="宋体" w:hAnsi="宋体" w:cs="宋体"/>
        </w:rPr>
        <w:t>第三级：中偏重发生区，平均每100㎡活蚁巢数为0.51—1个；</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30"/>
        <w:textAlignment w:val="auto"/>
      </w:pPr>
      <w:r>
        <w:rPr>
          <w:rFonts w:hint="eastAsia" w:ascii="宋体" w:hAnsi="宋体" w:cs="宋体"/>
        </w:rPr>
        <w:t>第四级：重发生区，平均每100㎡活蚁巢数为1.1—10个；</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30"/>
        <w:textAlignment w:val="auto"/>
      </w:pPr>
      <w:r>
        <w:rPr>
          <w:rFonts w:hint="eastAsia" w:ascii="宋体" w:hAnsi="宋体" w:cs="宋体"/>
        </w:rPr>
        <w:t>第五级：严重发生区，平均每100㎡活蚁巢数大于10个</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30"/>
        <w:textAlignment w:val="auto"/>
      </w:pPr>
      <w:r>
        <w:rPr>
          <w:rFonts w:hint="eastAsia" w:ascii="宋体" w:hAnsi="宋体" w:cs="宋体"/>
        </w:rPr>
        <w:t>②按诱集工蚁数量作为分级标准，分为以下5级：</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30"/>
        <w:textAlignment w:val="auto"/>
      </w:pPr>
      <w:r>
        <w:rPr>
          <w:rFonts w:hint="eastAsia" w:ascii="宋体" w:hAnsi="宋体" w:cs="宋体"/>
        </w:rPr>
        <w:t>第一级：轻度发生区，平均每诱瓶红火蚁数为20头以下.</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30"/>
        <w:textAlignment w:val="auto"/>
      </w:pPr>
      <w:r>
        <w:rPr>
          <w:rFonts w:hint="eastAsia" w:ascii="宋体" w:hAnsi="宋体" w:cs="宋体"/>
        </w:rPr>
        <w:t>第二级：中度发生区，平均每诱瓶红火蚁数为20.1-100头以下.</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30"/>
        <w:textAlignment w:val="auto"/>
      </w:pPr>
      <w:r>
        <w:rPr>
          <w:rFonts w:hint="eastAsia" w:ascii="宋体" w:hAnsi="宋体" w:cs="宋体"/>
        </w:rPr>
        <w:t>第三级：中偏重度发生区，平均每诱瓶红火蚁数为100.1-150头。</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30"/>
        <w:textAlignment w:val="auto"/>
      </w:pPr>
      <w:r>
        <w:rPr>
          <w:rFonts w:hint="eastAsia" w:ascii="宋体" w:hAnsi="宋体" w:cs="宋体"/>
        </w:rPr>
        <w:t>第四级：重发生区，平均每诱瓶红火蚁数为150.1-300头。</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30"/>
        <w:textAlignment w:val="auto"/>
      </w:pPr>
      <w:r>
        <w:rPr>
          <w:rFonts w:hint="eastAsia" w:ascii="宋体" w:hAnsi="宋体" w:cs="宋体"/>
        </w:rPr>
        <w:t>第五级：严重发生区，平均每诱瓶红火蚁数为300头以上。</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30"/>
        <w:textAlignment w:val="auto"/>
      </w:pPr>
      <w:r>
        <w:rPr>
          <w:rFonts w:hint="eastAsia" w:ascii="宋体" w:hAnsi="宋体" w:cs="宋体"/>
        </w:rPr>
        <w:t>注：按以上方法进行调查监测时如单位面积活蚁巢数量级别和诱集工蚁数量级别不一致时以发生较重的级别为准。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30"/>
        <w:textAlignment w:val="auto"/>
      </w:pPr>
      <w:r>
        <w:rPr>
          <w:rFonts w:hint="eastAsia" w:ascii="宋体" w:hAnsi="宋体" w:cs="宋体"/>
        </w:rPr>
        <w:t>2.建立防治效果检查与追踪监测机制， 采用药剂防治后，应在施药后1-4周后随机挖开数个蚁巢进行检查，如发现巢内仍有红火蚁活动应进行药剂处理，反复施药。2-4周后，在防治区域内选择多个监测点，注意要覆盖整个防治区。每点选择50平方米面积，随机设置5个诱捕器进行监测，每次连续诱捕3天，每月一次。如果发现未达到防治要求应及时补施药。</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30"/>
        <w:textAlignment w:val="auto"/>
      </w:pPr>
      <w:r>
        <w:rPr>
          <w:rFonts w:hint="eastAsia" w:ascii="宋体" w:hAnsi="宋体" w:cs="宋体"/>
        </w:rPr>
        <w:t>3.建立定期巡查制度。在全面覆盖投药的基础上，每</w:t>
      </w:r>
      <w:r>
        <w:rPr>
          <w:rFonts w:hint="eastAsia" w:ascii="宋体" w:hAnsi="宋体" w:cs="宋体"/>
          <w:lang w:eastAsia="zh-CN"/>
        </w:rPr>
        <w:t>半个</w:t>
      </w:r>
      <w:r>
        <w:rPr>
          <w:rFonts w:hint="eastAsia" w:ascii="宋体" w:hAnsi="宋体" w:cs="宋体"/>
        </w:rPr>
        <w:t>月对防治区域巡查一遍，查遗补漏，及时灭治。一个工作年度需对防治区域进行</w:t>
      </w:r>
      <w:r>
        <w:rPr>
          <w:rFonts w:hint="eastAsia" w:ascii="宋体" w:hAnsi="宋体" w:cs="宋体"/>
          <w:lang w:val="en-US" w:eastAsia="zh-CN"/>
        </w:rPr>
        <w:t>24</w:t>
      </w:r>
      <w:r>
        <w:rPr>
          <w:rFonts w:hint="eastAsia" w:ascii="宋体" w:hAnsi="宋体" w:cs="宋体"/>
        </w:rPr>
        <w:t>次以上巡查防控以确保防治效果。</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30"/>
        <w:textAlignment w:val="auto"/>
      </w:pPr>
      <w:r>
        <w:rPr>
          <w:rFonts w:hint="eastAsia" w:ascii="宋体" w:hAnsi="宋体" w:cs="宋体"/>
        </w:rPr>
        <w:t>4. </w:t>
      </w:r>
      <w:r>
        <w:t>供应商</w:t>
      </w:r>
      <w:r>
        <w:rPr>
          <w:rFonts w:hint="eastAsia" w:ascii="宋体" w:hAnsi="宋体" w:cs="宋体"/>
        </w:rPr>
        <w:t>成交后应履约及时到场防治承诺，发现虫害应在24小时之内到现场进行消杀、防治。</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30"/>
        <w:textAlignment w:val="auto"/>
      </w:pPr>
      <w:r>
        <w:rPr>
          <w:rFonts w:hint="eastAsia" w:ascii="宋体" w:hAnsi="宋体" w:cs="宋体"/>
        </w:rPr>
        <w:t>（三）人员配备要求</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30"/>
        <w:textAlignment w:val="auto"/>
      </w:pPr>
      <w:r>
        <w:rPr>
          <w:rFonts w:hint="eastAsia" w:ascii="宋体" w:hAnsi="宋体" w:cs="宋体"/>
        </w:rPr>
        <w:t>1.为保证综合防治质量，供应商需针对本项目成立项目组，并配备项目负责人1名及不少于1名的技术负责人</w:t>
      </w:r>
      <w:r>
        <w:rPr>
          <w:rFonts w:hint="eastAsia" w:ascii="宋体" w:hAnsi="宋体" w:cs="宋体"/>
          <w:b/>
          <w:bCs/>
        </w:rPr>
        <w:t>（须提供技术负责人农林有害生物防治或相关专业证书）</w:t>
      </w:r>
      <w:r>
        <w:rPr>
          <w:rFonts w:hint="eastAsia" w:ascii="宋体" w:hAnsi="宋体" w:cs="宋体"/>
        </w:rPr>
        <w:t>。所有防治人员应确认到位，项目负责人在承包期间不得更换。</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30"/>
        <w:textAlignment w:val="auto"/>
      </w:pPr>
      <w:r>
        <w:rPr>
          <w:rFonts w:hint="eastAsia" w:ascii="宋体" w:hAnsi="宋体" w:cs="宋体"/>
        </w:rPr>
        <w:t>2.</w:t>
      </w:r>
      <w:r>
        <w:t>供应商</w:t>
      </w:r>
      <w:r>
        <w:rPr>
          <w:rFonts w:hint="eastAsia" w:ascii="宋体" w:hAnsi="宋体" w:cs="宋体"/>
        </w:rPr>
        <w:t>需配备具有农林有害生物防治或农业病虫害防治技术人员，</w:t>
      </w:r>
      <w:r>
        <w:rPr>
          <w:rFonts w:hint="eastAsia" w:ascii="宋体" w:hAnsi="宋体" w:cs="宋体"/>
          <w:b/>
          <w:bCs/>
        </w:rPr>
        <w:t>并提供技术人员的劳动合同</w:t>
      </w:r>
      <w:r>
        <w:rPr>
          <w:rFonts w:hint="eastAsia" w:ascii="宋体" w:hAnsi="宋体" w:cs="宋体"/>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30"/>
        <w:textAlignment w:val="auto"/>
      </w:pPr>
      <w:r>
        <w:rPr>
          <w:rFonts w:hint="eastAsia" w:ascii="宋体" w:hAnsi="宋体" w:cs="宋体"/>
        </w:rPr>
        <w:t>3.承包期间若采购人根据项目需要召开会议，项目负责人必须准时参加。</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30"/>
        <w:textAlignment w:val="auto"/>
      </w:pPr>
      <w:r>
        <w:rPr>
          <w:rFonts w:hint="eastAsia" w:ascii="宋体" w:hAnsi="宋体" w:cs="宋体"/>
        </w:rPr>
        <w:t>（四）药剂样品及施药要求</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30"/>
        <w:textAlignment w:val="auto"/>
      </w:pPr>
      <w:r>
        <w:rPr>
          <w:rFonts w:hint="eastAsia" w:ascii="宋体" w:hAnsi="宋体" w:cs="宋体"/>
        </w:rPr>
        <w:t>1.防治药剂:剂型为饵剂，登记防治对象为红火蚁，药剂必须是高效低毒，对人畜、水体、土壤及周边环境无害，符合环境要求，且非PFOS类药剂，药剂必须取得农药登记证、生产许可证或生产批准证书、农药企业标准，能在中国农药信息网进行有效查询。</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30"/>
        <w:textAlignment w:val="auto"/>
      </w:pPr>
      <w:r>
        <w:rPr>
          <w:rFonts w:hint="eastAsia" w:ascii="宋体" w:hAnsi="宋体" w:cs="宋体"/>
        </w:rPr>
        <w:t>2.防治人员在防治过程中要服从采购人的管理，接受采购人的监督。注意施工安全，防止发生火灾和人身意外事故。同时不得对水源保护区造成污染，遵守有关安全保护规程，如有违反规定发生安全事故由成交供应商负全责。</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三、商务条件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eastAsia="宋体"/>
          <w:lang w:eastAsia="zh-CN"/>
        </w:rPr>
      </w:pPr>
      <w:r>
        <w:t>1、交付地点：福建省宁德市</w:t>
      </w:r>
      <w:r>
        <w:rPr>
          <w:rFonts w:hint="eastAsia"/>
          <w:lang w:eastAsia="zh-CN"/>
        </w:rPr>
        <w:t>东侨</w:t>
      </w:r>
      <w:r>
        <w:t>校区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eastAsia="宋体"/>
          <w:lang w:eastAsia="zh-CN"/>
        </w:rPr>
      </w:pPr>
      <w:r>
        <w:t>2、交付时间：按合同规定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eastAsia="宋体"/>
          <w:lang w:eastAsia="zh-CN"/>
        </w:rPr>
      </w:pPr>
      <w:r>
        <w:t>3、交付条件：按合同规定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pPr>
      <w:r>
        <w:rPr>
          <w:rFonts w:hint="eastAsia"/>
          <w:lang w:val="en-US" w:eastAsia="zh-CN"/>
        </w:rPr>
        <w:t>4</w:t>
      </w:r>
      <w:r>
        <w:t>、验收方式数据表格</w:t>
      </w:r>
    </w:p>
    <w:tbl>
      <w:tblPr>
        <w:tblStyle w:val="3"/>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00" w:lineRule="exact"/>
              <w:jc w:val="left"/>
              <w:textAlignment w:val="auto"/>
            </w:pPr>
            <w:r>
              <w:rPr>
                <w:rFonts w:ascii="宋体" w:hAnsi="宋体" w:cs="宋体"/>
                <w:kern w:val="0"/>
                <w:sz w:val="24"/>
                <w:lang w:bidi="ar"/>
              </w:rPr>
              <w:t>验收期次</w:t>
            </w:r>
          </w:p>
        </w:tc>
        <w:tc>
          <w:tcPr>
            <w:tcW w:w="666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00" w:lineRule="exact"/>
              <w:jc w:val="left"/>
              <w:textAlignment w:val="auto"/>
            </w:pPr>
            <w:r>
              <w:rPr>
                <w:rFonts w:ascii="宋体" w:hAnsi="宋体" w:cs="宋体"/>
                <w:kern w:val="0"/>
                <w:sz w:val="24"/>
                <w:lang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00" w:lineRule="exact"/>
              <w:jc w:val="left"/>
              <w:textAlignment w:val="auto"/>
            </w:pPr>
            <w:r>
              <w:rPr>
                <w:rFonts w:ascii="宋体" w:hAnsi="宋体" w:cs="宋体"/>
                <w:kern w:val="0"/>
                <w:sz w:val="24"/>
                <w:lang w:bidi="ar"/>
              </w:rPr>
              <w:t>1</w:t>
            </w:r>
          </w:p>
        </w:tc>
        <w:tc>
          <w:tcPr>
            <w:tcW w:w="6669"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00" w:lineRule="exact"/>
              <w:jc w:val="left"/>
              <w:textAlignment w:val="auto"/>
            </w:pPr>
            <w:r>
              <w:rPr>
                <w:rFonts w:ascii="宋体" w:hAnsi="宋体" w:cs="宋体"/>
                <w:kern w:val="0"/>
                <w:sz w:val="24"/>
                <w:lang w:bidi="ar"/>
              </w:rPr>
              <w:t>根据合同规定</w:t>
            </w:r>
          </w:p>
        </w:tc>
      </w:tr>
    </w:tbl>
    <w:p>
      <w:pPr>
        <w:keepNext w:val="0"/>
        <w:keepLines w:val="0"/>
        <w:pageBreakBefore w:val="0"/>
        <w:widowControl/>
        <w:kinsoku/>
        <w:wordWrap/>
        <w:overflowPunct/>
        <w:topLinePunct w:val="0"/>
        <w:autoSpaceDE/>
        <w:autoSpaceDN/>
        <w:bidi w:val="0"/>
        <w:adjustRightInd/>
        <w:snapToGrid/>
        <w:spacing w:afterAutospacing="0" w:line="500" w:lineRule="exact"/>
        <w:jc w:val="left"/>
        <w:textAlignment w:val="auto"/>
      </w:pPr>
      <w:r>
        <w:rPr>
          <w:rFonts w:hint="eastAsia" w:ascii="宋体" w:hAnsi="宋体" w:cs="宋体"/>
          <w:kern w:val="0"/>
          <w:sz w:val="24"/>
          <w:lang w:val="en-US" w:eastAsia="zh-CN" w:bidi="ar"/>
        </w:rPr>
        <w:t>5</w:t>
      </w:r>
      <w:r>
        <w:rPr>
          <w:rFonts w:ascii="宋体" w:hAnsi="宋体" w:cs="宋体"/>
          <w:kern w:val="0"/>
          <w:sz w:val="24"/>
          <w:lang w:bidi="ar"/>
        </w:rPr>
        <w:t>、支付方式数据表格</w:t>
      </w:r>
    </w:p>
    <w:tbl>
      <w:tblPr>
        <w:tblStyle w:val="3"/>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00" w:lineRule="exact"/>
              <w:jc w:val="left"/>
              <w:textAlignment w:val="auto"/>
            </w:pPr>
            <w:r>
              <w:rPr>
                <w:rFonts w:ascii="宋体" w:hAnsi="宋体" w:cs="宋体"/>
                <w:kern w:val="0"/>
                <w:sz w:val="24"/>
                <w:lang w:bidi="ar"/>
              </w:rPr>
              <w:t>支付期次</w:t>
            </w:r>
          </w:p>
        </w:tc>
        <w:tc>
          <w:tcPr>
            <w:tcW w:w="16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00" w:lineRule="exact"/>
              <w:jc w:val="left"/>
              <w:textAlignment w:val="auto"/>
            </w:pPr>
            <w:r>
              <w:rPr>
                <w:rFonts w:ascii="宋体" w:hAnsi="宋体" w:cs="宋体"/>
                <w:kern w:val="0"/>
                <w:sz w:val="24"/>
                <w:lang w:bidi="ar"/>
              </w:rPr>
              <w:t>支付比例(%)</w:t>
            </w:r>
          </w:p>
        </w:tc>
        <w:tc>
          <w:tcPr>
            <w:tcW w:w="500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00" w:lineRule="exact"/>
              <w:jc w:val="left"/>
              <w:textAlignment w:val="auto"/>
            </w:pPr>
            <w:r>
              <w:rPr>
                <w:rFonts w:ascii="宋体" w:hAnsi="宋体" w:cs="宋体"/>
                <w:kern w:val="0"/>
                <w:sz w:val="24"/>
                <w:lang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00" w:lineRule="exact"/>
              <w:jc w:val="left"/>
              <w:textAlignment w:val="auto"/>
            </w:pPr>
            <w:r>
              <w:rPr>
                <w:rFonts w:ascii="宋体" w:hAnsi="宋体" w:cs="宋体"/>
                <w:kern w:val="0"/>
                <w:sz w:val="24"/>
                <w:lang w:bidi="ar"/>
              </w:rPr>
              <w:t>1</w:t>
            </w:r>
          </w:p>
        </w:tc>
        <w:tc>
          <w:tcPr>
            <w:tcW w:w="16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00" w:lineRule="exact"/>
              <w:jc w:val="left"/>
              <w:textAlignment w:val="auto"/>
            </w:pPr>
            <w:r>
              <w:rPr>
                <w:rFonts w:ascii="宋体" w:hAnsi="宋体" w:cs="宋体"/>
                <w:kern w:val="0"/>
                <w:sz w:val="24"/>
                <w:lang w:bidi="ar"/>
              </w:rPr>
              <w:t>60</w:t>
            </w:r>
          </w:p>
        </w:tc>
        <w:tc>
          <w:tcPr>
            <w:tcW w:w="500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00" w:lineRule="exact"/>
              <w:jc w:val="left"/>
              <w:textAlignment w:val="auto"/>
              <w:rPr>
                <w:rFonts w:ascii="宋体" w:hAnsi="宋体" w:cs="宋体"/>
                <w:kern w:val="0"/>
                <w:sz w:val="24"/>
                <w:lang w:bidi="ar"/>
              </w:rPr>
            </w:pPr>
            <w:r>
              <w:rPr>
                <w:rFonts w:ascii="宋体" w:hAnsi="宋体" w:cs="宋体"/>
                <w:kern w:val="0"/>
                <w:sz w:val="24"/>
                <w:lang w:bidi="ar"/>
              </w:rPr>
              <w:t>合同签订后，成交人应在一个月内全面普查，采用专业化防治，使蚁巢发生密度明显降低，</w:t>
            </w:r>
            <w:r>
              <w:rPr>
                <w:rFonts w:hint="eastAsia" w:ascii="宋体" w:hAnsi="宋体" w:cs="宋体"/>
                <w:kern w:val="0"/>
                <w:sz w:val="24"/>
                <w:lang w:eastAsia="zh-CN" w:bidi="ar"/>
              </w:rPr>
              <w:t>经采购人</w:t>
            </w:r>
            <w:r>
              <w:rPr>
                <w:rFonts w:ascii="宋体" w:hAnsi="宋体" w:cs="宋体"/>
                <w:kern w:val="0"/>
                <w:sz w:val="24"/>
                <w:lang w:bidi="ar"/>
              </w:rPr>
              <w:t>验收合格后向成交人支付合同总价的60%；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00" w:lineRule="exact"/>
              <w:jc w:val="left"/>
              <w:textAlignment w:val="auto"/>
            </w:pPr>
            <w:r>
              <w:rPr>
                <w:rFonts w:ascii="宋体" w:hAnsi="宋体" w:cs="宋体"/>
                <w:kern w:val="0"/>
                <w:sz w:val="24"/>
                <w:lang w:bidi="ar"/>
              </w:rPr>
              <w:t>2</w:t>
            </w:r>
          </w:p>
        </w:tc>
        <w:tc>
          <w:tcPr>
            <w:tcW w:w="166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00" w:lineRule="exact"/>
              <w:jc w:val="left"/>
              <w:textAlignment w:val="auto"/>
              <w:rPr>
                <w:rFonts w:hint="default" w:eastAsia="宋体"/>
                <w:lang w:val="en-US" w:eastAsia="zh-CN"/>
              </w:rPr>
            </w:pPr>
            <w:r>
              <w:rPr>
                <w:rFonts w:hint="eastAsia"/>
                <w:lang w:val="en-US" w:eastAsia="zh-CN"/>
              </w:rPr>
              <w:t>40</w:t>
            </w:r>
          </w:p>
        </w:tc>
        <w:tc>
          <w:tcPr>
            <w:tcW w:w="500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00" w:lineRule="exact"/>
              <w:jc w:val="left"/>
              <w:textAlignment w:val="auto"/>
              <w:rPr>
                <w:rFonts w:hint="eastAsia" w:ascii="宋体" w:hAnsi="宋体" w:cs="宋体"/>
                <w:kern w:val="0"/>
                <w:sz w:val="24"/>
                <w:lang w:eastAsia="zh-CN" w:bidi="ar"/>
              </w:rPr>
            </w:pPr>
            <w:r>
              <w:rPr>
                <w:rFonts w:ascii="宋体" w:hAnsi="宋体" w:cs="宋体"/>
                <w:kern w:val="0"/>
                <w:sz w:val="24"/>
                <w:lang w:bidi="ar"/>
              </w:rPr>
              <w:t>合同签订满</w:t>
            </w:r>
            <w:r>
              <w:rPr>
                <w:rFonts w:hint="eastAsia" w:ascii="宋体" w:hAnsi="宋体" w:cs="宋体"/>
                <w:kern w:val="0"/>
                <w:sz w:val="24"/>
                <w:lang w:eastAsia="zh-CN" w:bidi="ar"/>
              </w:rPr>
              <w:t>一</w:t>
            </w:r>
            <w:r>
              <w:rPr>
                <w:rFonts w:ascii="宋体" w:hAnsi="宋体" w:cs="宋体"/>
                <w:kern w:val="0"/>
                <w:sz w:val="24"/>
                <w:lang w:bidi="ar"/>
              </w:rPr>
              <w:t>年</w:t>
            </w:r>
            <w:r>
              <w:rPr>
                <w:rFonts w:hint="eastAsia" w:ascii="宋体" w:hAnsi="宋体" w:cs="宋体"/>
                <w:kern w:val="0"/>
                <w:sz w:val="24"/>
                <w:lang w:eastAsia="zh-CN" w:bidi="ar"/>
              </w:rPr>
              <w:t>并经</w:t>
            </w:r>
            <w:r>
              <w:rPr>
                <w:rFonts w:ascii="宋体" w:hAnsi="宋体" w:cs="宋体"/>
                <w:kern w:val="0"/>
                <w:sz w:val="24"/>
                <w:lang w:bidi="ar"/>
              </w:rPr>
              <w:t>采购人</w:t>
            </w:r>
            <w:r>
              <w:rPr>
                <w:rFonts w:hint="eastAsia" w:ascii="宋体" w:hAnsi="宋体" w:cs="宋体"/>
                <w:kern w:val="0"/>
                <w:sz w:val="24"/>
                <w:lang w:eastAsia="zh-CN" w:bidi="ar"/>
              </w:rPr>
              <w:t>验收合格后</w:t>
            </w:r>
            <w:r>
              <w:rPr>
                <w:rFonts w:ascii="宋体" w:hAnsi="宋体" w:cs="宋体"/>
                <w:kern w:val="0"/>
                <w:sz w:val="24"/>
                <w:lang w:bidi="ar"/>
              </w:rPr>
              <w:t>向成交人支付合同总价的</w:t>
            </w:r>
            <w:r>
              <w:rPr>
                <w:rFonts w:hint="eastAsia" w:ascii="宋体" w:hAnsi="宋体" w:cs="宋体"/>
                <w:kern w:val="0"/>
                <w:sz w:val="24"/>
                <w:lang w:val="en-US" w:eastAsia="zh-CN" w:bidi="ar"/>
              </w:rPr>
              <w:t>40</w:t>
            </w:r>
            <w:r>
              <w:rPr>
                <w:rFonts w:ascii="宋体" w:hAnsi="宋体" w:cs="宋体"/>
                <w:kern w:val="0"/>
                <w:sz w:val="24"/>
                <w:lang w:bidi="ar"/>
              </w:rPr>
              <w:t>%；</w:t>
            </w:r>
          </w:p>
        </w:tc>
      </w:tr>
    </w:tbl>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pPr>
      <w:r>
        <w:t>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四、其他事项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textAlignment w:val="auto"/>
      </w:pPr>
      <w:r>
        <w:rPr>
          <w:rFonts w:hint="eastAsia" w:ascii="宋体" w:hAnsi="宋体" w:cs="宋体"/>
        </w:rPr>
        <w:t>1.违约责任</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textAlignment w:val="auto"/>
      </w:pPr>
      <w:r>
        <w:rPr>
          <w:rFonts w:hint="eastAsia" w:ascii="宋体" w:hAnsi="宋体" w:cs="宋体"/>
        </w:rPr>
        <w:t>1.1因中标人原因造成采购供货合同无法按时签订，视为中标人违约；中标人无故放弃中标资格的。视为中标人违约；在签定采购供货合同之后，中标人要求解除合同或不履行招标文件及合同规定的内容的，视为中标人违约。</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textAlignment w:val="auto"/>
      </w:pPr>
      <w:r>
        <w:rPr>
          <w:rFonts w:hint="eastAsia" w:ascii="宋体" w:hAnsi="宋体" w:cs="宋体"/>
        </w:rPr>
        <w:t>1.2因中标人原因发生重大质量事故，除依约承担赔偿责任外，还将按有关质量管理办法规定执行。同时，采购人有权保留更换中标人的权利，并报相关行政主管部门处罚。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textAlignment w:val="auto"/>
      </w:pPr>
      <w:r>
        <w:rPr>
          <w:rFonts w:hint="eastAsia" w:ascii="宋体" w:hAnsi="宋体" w:cs="宋体"/>
        </w:rPr>
        <w:t>1.3在明确违约责任后，中标人应在接到书面通知书起七天内支付违约金、赔偿金等。</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textAlignment w:val="auto"/>
      </w:pPr>
      <w:r>
        <w:rPr>
          <w:rFonts w:hint="eastAsia" w:ascii="宋体" w:hAnsi="宋体" w:cs="宋体"/>
        </w:rPr>
        <w:t>2.其它要求</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textAlignment w:val="auto"/>
      </w:pPr>
      <w:r>
        <w:rPr>
          <w:rFonts w:hint="eastAsia" w:ascii="宋体" w:hAnsi="宋体" w:cs="宋体"/>
        </w:rPr>
        <w:t>2.1本项目不允许中标人以任何名义和理由进行转包，如有发现，采购人有权单方终止合同，视为中标人违约。</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textAlignment w:val="auto"/>
      </w:pPr>
      <w:r>
        <w:rPr>
          <w:rFonts w:hint="eastAsia" w:ascii="宋体" w:hAnsi="宋体" w:cs="宋体"/>
        </w:rPr>
        <w:t>2.2本文所述技术要求，应视为保证服务所需的最低要求，如有遗漏，投标人应予以补充，否则，一旦中标将认为投标人认同遗漏部分并免费提供。投标人的报价应为完成本项目全部内容所发生的所有费用（计入报价），并承担一切风险责任。要求投标人结合本项目特点，市场行情及投标人自身的管理水平，竞争能力，确定最终报价。最终报价即完成本次采购项目所发生的一切费用。投标人应列入而未列入其中的费用，均视为已包含在内，风险由中标人承担。</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textAlignment w:val="auto"/>
      </w:pPr>
      <w:r>
        <w:rPr>
          <w:rFonts w:hint="eastAsia" w:ascii="宋体" w:hAnsi="宋体" w:cs="宋体"/>
        </w:rPr>
        <w:t>2.3本招标文件未明确的其它约定事项或条款，待采购人与中标人签订合同时，由双方协商订立。</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MjM5NjIwZTYwMjU4MDM4YTkzMGIxNzkyMzVhZjQifQ=="/>
  </w:docVars>
  <w:rsids>
    <w:rsidRoot w:val="440419D8"/>
    <w:rsid w:val="0EBF4C5C"/>
    <w:rsid w:val="1B282061"/>
    <w:rsid w:val="1CDB6B83"/>
    <w:rsid w:val="32EB1476"/>
    <w:rsid w:val="440419D8"/>
    <w:rsid w:val="47970F76"/>
    <w:rsid w:val="6E207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qFormat/>
    <w:uiPriority w:val="0"/>
    <w:rPr>
      <w:b/>
    </w:rPr>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2363</Words>
  <Characters>2500</Characters>
  <Lines>0</Lines>
  <Paragraphs>0</Paragraphs>
  <TotalTime>6</TotalTime>
  <ScaleCrop>false</ScaleCrop>
  <LinksUpToDate>false</LinksUpToDate>
  <CharactersWithSpaces>2505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2023-04-19T07:53:00Z</dcterms:created>
  <dc:creator>NDNU-HONORU</dc:creator>
  <cp:lastModifiedBy>胤</cp:lastModifiedBy>
  <dcterms:modified xsi:type="dcterms:W3CDTF">2023-04-20T08:02:13Z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8763872A1D8A4D69B030DE9779FFAD6A_13</vt:lpwstr>
  </property>
</Properties>
</file>