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Arial Unicode MS" w:hAnsi="Arial Unicode MS" w:eastAsia="Arial Unicode MS" w:cs="Arial Unicode MS"/>
          <w:color w:val="auto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  <w:t>衢州市第三医院四害防制服务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项目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  <w:t>的询价文件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黑体" w:hAnsi="黑体" w:eastAsia="黑体" w:cs="黑体"/>
          <w:bCs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bidi="ar"/>
        </w:rPr>
        <w:t>一、项目内容</w:t>
      </w:r>
    </w:p>
    <w:p>
      <w:pPr>
        <w:pStyle w:val="3"/>
        <w:ind w:firstLine="56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四害防制服务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黑体" w:hAnsi="黑体" w:eastAsia="黑体" w:cs="黑体"/>
          <w:bCs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bidi="ar"/>
        </w:rPr>
        <w:t>二、项目时间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黑体" w:hAnsi="黑体" w:eastAsia="黑体" w:cs="黑体"/>
          <w:bCs/>
          <w:strike w:val="0"/>
          <w:dstrike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8"/>
          <w:szCs w:val="28"/>
          <w:lang w:bidi="ar"/>
        </w:rPr>
        <w:t>202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8"/>
          <w:szCs w:val="28"/>
          <w:lang w:bidi="ar"/>
        </w:rPr>
        <w:t>年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8"/>
          <w:szCs w:val="28"/>
          <w:lang w:bidi="ar"/>
        </w:rPr>
        <w:t>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8"/>
          <w:szCs w:val="28"/>
          <w:lang w:bidi="ar"/>
        </w:rPr>
        <w:t>日至202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8"/>
          <w:szCs w:val="28"/>
          <w:lang w:bidi="ar"/>
        </w:rPr>
        <w:t>年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8"/>
          <w:szCs w:val="28"/>
          <w:lang w:bidi="ar"/>
        </w:rPr>
        <w:t>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8"/>
          <w:szCs w:val="28"/>
          <w:lang w:bidi="ar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Cs/>
          <w:color w:val="7030A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 w:bidi="ar"/>
        </w:rPr>
        <w:t>三、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bidi="ar"/>
        </w:rPr>
        <w:t>项目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 w:bidi="ar"/>
        </w:rPr>
        <w:t>要求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有效控制四害造成的危害，常规服务5-10月，每月4次，其他月份每月2次，全年36次服务，特殊情况另行安排，确保12小时到达现场处理。</w:t>
      </w:r>
    </w:p>
    <w:p>
      <w:pPr>
        <w:widowControl/>
        <w:numPr>
          <w:ilvl w:val="0"/>
          <w:numId w:val="0"/>
        </w:numPr>
        <w:spacing w:line="500" w:lineRule="exact"/>
        <w:ind w:firstLine="560" w:firstLineChars="200"/>
        <w:jc w:val="left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四害防制标准须达到国家病媒生物密度控制标准(GB/T 27770-2011 鼠类、GB/T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27771-2011 蚊虫、GB/T 27772-2011蝇类、GB/T 27773--2011蜚蠊)C级要求以及浙江省、衢州市卫生主管部门有关要求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  <w:t>四、投标人须知</w:t>
      </w:r>
    </w:p>
    <w:tbl>
      <w:tblPr>
        <w:tblStyle w:val="8"/>
        <w:tblW w:w="9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"/>
        <w:gridCol w:w="2163"/>
        <w:gridCol w:w="6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5" w:hRule="atLeast"/>
          <w:jc w:val="center"/>
        </w:trPr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内  容</w:t>
            </w:r>
          </w:p>
        </w:tc>
        <w:tc>
          <w:tcPr>
            <w:tcW w:w="6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说明与要求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四害防制服务项目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采购单位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衢州市第三医院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项目时间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2023年6月6日至2024年6月5日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项目预算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  <w:t>30000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highlight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投标截止时间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及投标地点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时间：202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日17:00（北京时间）</w:t>
            </w:r>
          </w:p>
          <w:p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地点：衢州市第三医院 招投标管理办公室</w:t>
            </w:r>
          </w:p>
          <w:p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联系人：陈玲    联系电话：13567008157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开标地点</w:t>
            </w:r>
          </w:p>
        </w:tc>
        <w:tc>
          <w:tcPr>
            <w:tcW w:w="60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衢州市第三医院门诊楼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103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会议室。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签订合同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218" w:firstLineChars="78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中标通知书发出后10日内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投标有效期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218" w:firstLineChars="78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60天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  <w:t>五、商务要求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1.本项目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lang w:bidi="ar"/>
        </w:rPr>
        <w:t>最高限价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lang w:val="en-US" w:eastAsia="zh-CN" w:bidi="ar"/>
        </w:rPr>
        <w:t>30000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lang w:bidi="ar"/>
        </w:rPr>
        <w:t>元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。询价文件报价应按询价文件中相关要求填写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需注明单价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，并加盖公章后密封。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特别提示：开标前询价文件密封加盖公章后，可直接或以挂号信的方式送达，投标人无需到现场。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kern w:val="0"/>
          <w:sz w:val="28"/>
          <w:szCs w:val="28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kern w:val="0"/>
          <w:sz w:val="28"/>
          <w:szCs w:val="28"/>
          <w:highlight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strike w:val="0"/>
          <w:dstrike w:val="0"/>
          <w:kern w:val="0"/>
          <w:sz w:val="28"/>
          <w:szCs w:val="28"/>
          <w:highlight w:val="none"/>
          <w:lang w:bidi="ar"/>
        </w:rPr>
        <w:t>付款方式</w:t>
      </w:r>
    </w:p>
    <w:p>
      <w:pPr>
        <w:widowControl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合同签订后每六个月支付一次，每次支付当年合同款的一半金额。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bidi="ar"/>
        </w:rPr>
        <w:t>六、询价办法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bidi="ar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参加询价供应商三家及以上可以开标。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2.符合第二章采购要求为基础，以报价最低的供应商为最终承接该项目的供应商。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3.采购方将根据本次询价的特点组建由三人组成的评标小组进行评标。</w:t>
      </w:r>
    </w:p>
    <w:p>
      <w:pPr>
        <w:pStyle w:val="3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七、定标办法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1.本次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由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小组推荐1名中标候选人。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2.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小组依据法律、法规及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文件有关规定，对通过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响应文件评审的，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价格最低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的为第一中标候选人。如出现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价格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相同时，则现场抽签确定。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3.如第一中标候选人放弃中标；因不可抗力提出不能履行合同；或未能在规定时间内与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人签订合同的；或者经质疑，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人审查后，确因第一中标候选人在本次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活动中存在违法违规行为或其他原因使质疑成立的；或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人可视具体情况确定是否由第二中标候选人为中标人，也可以重新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。</w:t>
      </w:r>
    </w:p>
    <w:p>
      <w:pPr>
        <w:pStyle w:val="3"/>
        <w:rPr>
          <w:rFonts w:hint="eastAsia" w:ascii="宋体" w:hAnsi="宋体" w:cs="宋体"/>
          <w:color w:val="333333"/>
          <w:kern w:val="0"/>
          <w:sz w:val="28"/>
          <w:szCs w:val="28"/>
          <w:lang w:bidi="ar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宋体" w:hAnsi="宋体" w:cs="宋体"/>
          <w:color w:val="333333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 w:bidi="ar"/>
        </w:rPr>
        <w:t xml:space="preserve">                                    </w:t>
      </w:r>
      <w:r>
        <w:rPr>
          <w:rFonts w:hint="eastAsia" w:ascii="宋体" w:hAnsi="宋体" w:cs="宋体"/>
          <w:color w:val="353535"/>
          <w:kern w:val="0"/>
          <w:sz w:val="28"/>
          <w:szCs w:val="28"/>
          <w:lang w:bidi="ar"/>
        </w:rPr>
        <w:t>衢州市第三医院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 w:bidi="ar"/>
        </w:rPr>
        <w:t xml:space="preserve">    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日</w:t>
      </w:r>
    </w:p>
    <w:p>
      <w:pPr>
        <w:widowControl/>
        <w:spacing w:line="400" w:lineRule="exact"/>
        <w:jc w:val="right"/>
        <w:rPr>
          <w:rFonts w:ascii="宋体" w:hAnsi="宋体" w:cs="宋体"/>
          <w:color w:val="333333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>
      <w:pPr>
        <w:spacing w:line="360" w:lineRule="auto"/>
        <w:ind w:right="1120"/>
        <w:rPr>
          <w:rFonts w:ascii="宋体" w:hAnsi="宋体"/>
          <w:color w:val="000000"/>
          <w:sz w:val="28"/>
          <w:szCs w:val="28"/>
        </w:rPr>
        <w:sectPr>
          <w:footerReference r:id="rId3" w:type="default"/>
          <w:pgSz w:w="11906" w:h="16838"/>
          <w:pgMar w:top="1247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line="312" w:lineRule="auto"/>
        <w:jc w:val="left"/>
        <w:rPr>
          <w:rFonts w:ascii="方正小标宋_GBK" w:hAnsi="方正小标宋_GBK" w:eastAsia="方正小标宋_GBK" w:cs="方正小标宋_GBK"/>
          <w:b/>
          <w:szCs w:val="21"/>
        </w:rPr>
      </w:pPr>
      <w:r>
        <w:rPr>
          <w:rFonts w:hint="eastAsia" w:ascii="方正小标宋_GBK" w:hAnsi="方正小标宋_GBK" w:eastAsia="方正小标宋_GBK" w:cs="方正小标宋_GBK"/>
          <w:b/>
          <w:szCs w:val="21"/>
        </w:rPr>
        <w:t>附件</w:t>
      </w:r>
    </w:p>
    <w:p>
      <w:pPr>
        <w:spacing w:line="312" w:lineRule="auto"/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1．法定代表人授权书</w:t>
      </w:r>
    </w:p>
    <w:p>
      <w:pPr>
        <w:spacing w:line="312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衢州市第三医院：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（供应商全称）法定代表人授权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（全权代表姓名）为全权代表，参加贵方组织的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项目（项目编号：），并全权处理采购活动中的一切事宜。</w:t>
      </w:r>
    </w:p>
    <w:p>
      <w:pPr>
        <w:spacing w:before="120" w:beforeLines="50" w:after="120" w:afterLines="50"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法定代表人签字或盖章：</w:t>
      </w:r>
    </w:p>
    <w:p>
      <w:pPr>
        <w:spacing w:before="120" w:beforeLines="50" w:after="120" w:afterLines="50" w:line="360" w:lineRule="auto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供应商全称（公章）：</w:t>
      </w:r>
    </w:p>
    <w:p>
      <w:pPr>
        <w:spacing w:before="120" w:beforeLines="50" w:after="120" w:afterLines="50" w:line="360" w:lineRule="auto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日  期：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授权代表人姓名：           性别：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职务：                     职称：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详细通讯地址：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电话：                     传真：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移动电话：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邮政编码：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  <w:sectPr>
          <w:headerReference r:id="rId5" w:type="first"/>
          <w:footerReference r:id="rId7" w:type="first"/>
          <w:headerReference r:id="rId4" w:type="even"/>
          <w:footerReference r:id="rId6" w:type="even"/>
          <w:pgSz w:w="11906" w:h="16838"/>
          <w:pgMar w:top="1389" w:right="1247" w:bottom="1389" w:left="1247" w:header="851" w:footer="992" w:gutter="567"/>
          <w:cols w:space="720" w:num="1"/>
          <w:docGrid w:linePitch="312" w:charSpace="0"/>
        </w:sectPr>
      </w:pPr>
    </w:p>
    <w:p>
      <w:pPr>
        <w:tabs>
          <w:tab w:val="center" w:pos="4592"/>
          <w:tab w:val="left" w:pos="7665"/>
        </w:tabs>
        <w:snapToGrid w:val="0"/>
        <w:spacing w:line="312" w:lineRule="auto"/>
        <w:jc w:val="center"/>
        <w:outlineLvl w:val="0"/>
        <w:rPr>
          <w:rFonts w:ascii="方正小标宋_GBK" w:hAnsi="方正小标宋_GBK" w:eastAsia="方正小标宋_GBK" w:cs="方正小标宋_GBK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2.开标一览表</w:t>
      </w:r>
    </w:p>
    <w:p>
      <w:pPr>
        <w:spacing w:line="312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项目编号：</w:t>
      </w:r>
    </w:p>
    <w:tbl>
      <w:tblPr>
        <w:tblStyle w:val="8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138"/>
        <w:gridCol w:w="4342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6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480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 目 名 称</w:t>
            </w:r>
          </w:p>
        </w:tc>
        <w:tc>
          <w:tcPr>
            <w:tcW w:w="1068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</w:trPr>
        <w:tc>
          <w:tcPr>
            <w:tcW w:w="796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</w:t>
            </w:r>
          </w:p>
        </w:tc>
        <w:tc>
          <w:tcPr>
            <w:tcW w:w="7480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34" w:type="dxa"/>
            <w:gridSpan w:val="2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投标报价（元）</w:t>
            </w:r>
          </w:p>
        </w:tc>
        <w:tc>
          <w:tcPr>
            <w:tcW w:w="5410" w:type="dxa"/>
            <w:gridSpan w:val="2"/>
            <w:vAlign w:val="center"/>
          </w:tcPr>
          <w:p>
            <w:pPr>
              <w:spacing w:line="312" w:lineRule="auto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34" w:type="dxa"/>
            <w:gridSpan w:val="2"/>
            <w:vMerge w:val="continue"/>
            <w:vAlign w:val="center"/>
          </w:tcPr>
          <w:p>
            <w:pPr>
              <w:spacing w:line="312" w:lineRule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410" w:type="dxa"/>
            <w:gridSpan w:val="2"/>
            <w:vAlign w:val="center"/>
          </w:tcPr>
          <w:p>
            <w:pPr>
              <w:spacing w:line="312" w:lineRule="auto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（大写）</w:t>
            </w:r>
          </w:p>
        </w:tc>
      </w:tr>
    </w:tbl>
    <w:p>
      <w:pPr>
        <w:spacing w:line="312" w:lineRule="auto"/>
        <w:ind w:left="826" w:hanging="826" w:hangingChars="294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</w:t>
      </w:r>
    </w:p>
    <w:p>
      <w:pPr>
        <w:numPr>
          <w:ilvl w:val="0"/>
          <w:numId w:val="1"/>
        </w:numPr>
        <w:spacing w:line="312" w:lineRule="auto"/>
        <w:ind w:left="274" w:hanging="274" w:hangingChars="98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报价表中标明的价格在合同执行过程中是固定不变的，不得以任何理由予以变更。只允许有一个报价，任何有选择的报价将不予接受。投标人应根据项目要求进行报价。报价单中不得漏填项目。</w:t>
      </w:r>
    </w:p>
    <w:p>
      <w:pPr>
        <w:spacing w:line="312" w:lineRule="auto"/>
        <w:ind w:left="274" w:hanging="274" w:hangingChars="98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2.如果投标人提出优惠条款，请在备注栏内注明。</w:t>
      </w:r>
    </w:p>
    <w:p>
      <w:pPr>
        <w:spacing w:line="312" w:lineRule="auto"/>
        <w:ind w:left="274" w:hanging="274" w:hangingChars="98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3.此报价一览表中投标报价应与附件三“分项报价一览表”中“合计”相一致。</w:t>
      </w:r>
    </w:p>
    <w:p>
      <w:pPr>
        <w:spacing w:line="312" w:lineRule="auto"/>
        <w:ind w:left="274" w:hanging="274" w:hangingChars="98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4.此表不得自行增减内容，不提供此表格将被视为没有明确相应采购文件,其投标文件将被拒绝。</w:t>
      </w:r>
    </w:p>
    <w:p>
      <w:pPr>
        <w:spacing w:line="312" w:lineRule="auto"/>
        <w:ind w:left="275" w:hanging="275" w:hangingChars="98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widowControl/>
        <w:spacing w:line="48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投标人名称（盖章）：</w:t>
      </w:r>
    </w:p>
    <w:p>
      <w:pPr>
        <w:widowControl/>
        <w:spacing w:line="48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法定代表人或授权委托人（签字）：</w:t>
      </w:r>
    </w:p>
    <w:p>
      <w:pPr>
        <w:widowControl/>
        <w:spacing w:line="48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>
      <w:pPr>
        <w:tabs>
          <w:tab w:val="left" w:pos="360"/>
          <w:tab w:val="left" w:pos="840"/>
        </w:tabs>
        <w:spacing w:line="312" w:lineRule="auto"/>
        <w:rPr>
          <w:rFonts w:ascii="仿宋" w:hAnsi="仿宋" w:eastAsia="仿宋" w:cs="仿宋"/>
          <w:b/>
          <w:szCs w:val="21"/>
        </w:rPr>
      </w:pPr>
    </w:p>
    <w:p>
      <w:pPr>
        <w:spacing w:line="312" w:lineRule="auto"/>
        <w:rPr>
          <w:rFonts w:ascii="仿宋" w:hAnsi="仿宋" w:eastAsia="仿宋" w:cs="仿宋"/>
          <w:b/>
          <w:sz w:val="28"/>
          <w:szCs w:val="28"/>
        </w:rPr>
      </w:pPr>
    </w:p>
    <w:p/>
    <w:p>
      <w:pPr>
        <w:tabs>
          <w:tab w:val="center" w:pos="4592"/>
          <w:tab w:val="left" w:pos="7665"/>
        </w:tabs>
        <w:snapToGrid w:val="0"/>
        <w:spacing w:line="312" w:lineRule="auto"/>
        <w:jc w:val="center"/>
        <w:outlineLvl w:val="0"/>
        <w:rPr>
          <w:rFonts w:ascii="方正小标宋_GBK" w:hAnsi="方正小标宋_GBK" w:eastAsia="方正小标宋_GBK" w:cs="方正小标宋_GBK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3.分项</w:t>
      </w:r>
      <w:bookmarkStart w:id="0" w:name="_Toc11631_WPSOffice_Level1"/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报价一览表</w:t>
      </w:r>
    </w:p>
    <w:p>
      <w:pPr>
        <w:spacing w:line="312" w:lineRule="auto"/>
        <w:rPr>
          <w:szCs w:val="21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项目名称：      </w:t>
      </w:r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项目编号：                    价格单位：元</w:t>
      </w:r>
    </w:p>
    <w:tbl>
      <w:tblPr>
        <w:tblStyle w:val="8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613"/>
        <w:gridCol w:w="1455"/>
        <w:gridCol w:w="1124"/>
        <w:gridCol w:w="1380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报价</w:t>
            </w: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6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6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6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6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6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36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36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36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36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36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55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312" w:lineRule="auto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312" w:lineRule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注：1. 合计应与附件二“开标一览表”中合计相一致。</w:t>
      </w:r>
    </w:p>
    <w:p>
      <w:pPr>
        <w:spacing w:line="312" w:lineRule="auto"/>
        <w:ind w:left="834" w:leftChars="203" w:hanging="408" w:hangingChars="146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 各项费用如已包含在产品价格中请注明“含”，若免费请注明“免”, 若没有请注明“无”。</w:t>
      </w:r>
    </w:p>
    <w:p>
      <w:pPr>
        <w:spacing w:line="312" w:lineRule="auto"/>
        <w:ind w:left="834" w:leftChars="203" w:hanging="408" w:hangingChars="146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 不提供分项报价一览表将视为没有明确相应采购文件。</w:t>
      </w:r>
    </w:p>
    <w:p>
      <w:pPr>
        <w:spacing w:line="312" w:lineRule="auto"/>
        <w:ind w:left="834" w:leftChars="203" w:hanging="408" w:hangingChars="146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4. 以上材料单价包含税费、安装费等相关费用。材料质量合格，提供相应有效期内的检测报告。</w:t>
      </w:r>
    </w:p>
    <w:p>
      <w:pPr>
        <w:spacing w:line="312" w:lineRule="auto"/>
        <w:ind w:left="834" w:leftChars="203" w:hanging="408" w:hangingChars="146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5．本表可在不改变格式的情况下根据具体需要自行增减。</w:t>
      </w:r>
    </w:p>
    <w:p>
      <w:pPr>
        <w:spacing w:line="312" w:lineRule="auto"/>
        <w:ind w:left="743" w:leftChars="354" w:firstLine="5006" w:firstLineChars="2086"/>
        <w:rPr>
          <w:rFonts w:ascii="仿宋_GB2312" w:hAnsi="仿宋_GB2312" w:eastAsia="仿宋_GB2312" w:cs="仿宋_GB2312"/>
          <w:sz w:val="24"/>
        </w:rPr>
      </w:pPr>
    </w:p>
    <w:p>
      <w:pPr>
        <w:widowControl/>
        <w:spacing w:line="480" w:lineRule="auto"/>
        <w:ind w:firstLine="3920" w:firstLineChars="1400"/>
        <w:rPr>
          <w:rFonts w:ascii="仿宋_GB2312" w:hAnsi="仿宋_GB2312" w:eastAsia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投标人名称（盖章）：</w:t>
      </w:r>
    </w:p>
    <w:p>
      <w:pPr>
        <w:widowControl/>
        <w:spacing w:line="480" w:lineRule="auto"/>
        <w:ind w:firstLine="3920" w:firstLineChars="14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法定代表人或授权委托人（签字）：</w:t>
      </w:r>
    </w:p>
    <w:p>
      <w:pPr>
        <w:pStyle w:val="4"/>
        <w:spacing w:line="480" w:lineRule="auto"/>
        <w:ind w:firstLine="3920" w:firstLineChars="1400"/>
        <w:rPr>
          <w:rFonts w:hAnsi="宋体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/>
    <w:sectPr>
      <w:pgSz w:w="11906" w:h="16838"/>
      <w:pgMar w:top="1247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939E8F-AF27-484D-9302-1AB6C1AD75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F6B93563-44F3-46BC-9143-0F467079F0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C661455-B36F-4E45-B5EE-AD52507DA54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E2DC6D1-D625-4D2F-88F9-DF00882420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7CEB404-C94C-424A-83A3-6BDB0330E3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2678F"/>
    <w:multiLevelType w:val="singleLevel"/>
    <w:tmpl w:val="5952678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TliZGJmNjU4YjQ2YzRjNDFkNzM1MzQ1Zjk1ZWIifQ=="/>
  </w:docVars>
  <w:rsids>
    <w:rsidRoot w:val="79E732FB"/>
    <w:rsid w:val="00044A2C"/>
    <w:rsid w:val="0072043F"/>
    <w:rsid w:val="00A97335"/>
    <w:rsid w:val="00FD2298"/>
    <w:rsid w:val="01D92CEB"/>
    <w:rsid w:val="02783976"/>
    <w:rsid w:val="03E33071"/>
    <w:rsid w:val="04897AC8"/>
    <w:rsid w:val="065748E1"/>
    <w:rsid w:val="06DB727A"/>
    <w:rsid w:val="09857786"/>
    <w:rsid w:val="09A10943"/>
    <w:rsid w:val="0AD7622E"/>
    <w:rsid w:val="0D8C6DA9"/>
    <w:rsid w:val="0D972364"/>
    <w:rsid w:val="0DAF425A"/>
    <w:rsid w:val="0E103136"/>
    <w:rsid w:val="0EA2320A"/>
    <w:rsid w:val="11353E52"/>
    <w:rsid w:val="118243C3"/>
    <w:rsid w:val="12D40FF4"/>
    <w:rsid w:val="13534344"/>
    <w:rsid w:val="1547131F"/>
    <w:rsid w:val="170008B5"/>
    <w:rsid w:val="17BC67BE"/>
    <w:rsid w:val="19540442"/>
    <w:rsid w:val="1B0B72D0"/>
    <w:rsid w:val="1CFF1AAE"/>
    <w:rsid w:val="1DBA6CCE"/>
    <w:rsid w:val="20124A3D"/>
    <w:rsid w:val="2141704F"/>
    <w:rsid w:val="237806BF"/>
    <w:rsid w:val="23F4075C"/>
    <w:rsid w:val="24962924"/>
    <w:rsid w:val="24A70B6C"/>
    <w:rsid w:val="25C227BF"/>
    <w:rsid w:val="28153A74"/>
    <w:rsid w:val="295B5509"/>
    <w:rsid w:val="2C250A37"/>
    <w:rsid w:val="2DEB6504"/>
    <w:rsid w:val="2E44397B"/>
    <w:rsid w:val="2E594F24"/>
    <w:rsid w:val="31A208C0"/>
    <w:rsid w:val="31F8560B"/>
    <w:rsid w:val="324E1E79"/>
    <w:rsid w:val="32DC0A1B"/>
    <w:rsid w:val="32E83B08"/>
    <w:rsid w:val="33536C3A"/>
    <w:rsid w:val="34E0230B"/>
    <w:rsid w:val="357B093A"/>
    <w:rsid w:val="36284813"/>
    <w:rsid w:val="36EA13CC"/>
    <w:rsid w:val="374905FB"/>
    <w:rsid w:val="387E2D8D"/>
    <w:rsid w:val="396D11FA"/>
    <w:rsid w:val="39D04046"/>
    <w:rsid w:val="3A4E7235"/>
    <w:rsid w:val="3C645E1E"/>
    <w:rsid w:val="3C746C00"/>
    <w:rsid w:val="3E3563DD"/>
    <w:rsid w:val="3E980419"/>
    <w:rsid w:val="3F325D1E"/>
    <w:rsid w:val="3F797EDE"/>
    <w:rsid w:val="3FCF4061"/>
    <w:rsid w:val="407B3876"/>
    <w:rsid w:val="40DF62E6"/>
    <w:rsid w:val="416652A8"/>
    <w:rsid w:val="426F0751"/>
    <w:rsid w:val="42E37EB1"/>
    <w:rsid w:val="43052736"/>
    <w:rsid w:val="44DC595E"/>
    <w:rsid w:val="472E58EF"/>
    <w:rsid w:val="4783170C"/>
    <w:rsid w:val="478506C0"/>
    <w:rsid w:val="47B67F4F"/>
    <w:rsid w:val="48716B71"/>
    <w:rsid w:val="4B5217BF"/>
    <w:rsid w:val="4C765A27"/>
    <w:rsid w:val="4CD600F4"/>
    <w:rsid w:val="4E113271"/>
    <w:rsid w:val="4E155F00"/>
    <w:rsid w:val="4F457D08"/>
    <w:rsid w:val="501F2FB8"/>
    <w:rsid w:val="50642410"/>
    <w:rsid w:val="50C44A1F"/>
    <w:rsid w:val="510541F4"/>
    <w:rsid w:val="51927EF7"/>
    <w:rsid w:val="51B22EA7"/>
    <w:rsid w:val="51B77ABC"/>
    <w:rsid w:val="534A0EDF"/>
    <w:rsid w:val="535074CC"/>
    <w:rsid w:val="53D20392"/>
    <w:rsid w:val="547B3F6D"/>
    <w:rsid w:val="558C1C57"/>
    <w:rsid w:val="583859CC"/>
    <w:rsid w:val="5B064BF9"/>
    <w:rsid w:val="5C21729C"/>
    <w:rsid w:val="5F280BED"/>
    <w:rsid w:val="631433FA"/>
    <w:rsid w:val="64A26F72"/>
    <w:rsid w:val="67263EEC"/>
    <w:rsid w:val="6ACA343F"/>
    <w:rsid w:val="6DC85AD7"/>
    <w:rsid w:val="6E2349B3"/>
    <w:rsid w:val="6E3E4682"/>
    <w:rsid w:val="6F3D7EAD"/>
    <w:rsid w:val="6F927264"/>
    <w:rsid w:val="72DA5F7A"/>
    <w:rsid w:val="73165394"/>
    <w:rsid w:val="740D12F4"/>
    <w:rsid w:val="74495A07"/>
    <w:rsid w:val="744A6221"/>
    <w:rsid w:val="74B91EB5"/>
    <w:rsid w:val="751E4ECA"/>
    <w:rsid w:val="75A41C94"/>
    <w:rsid w:val="79E732FB"/>
    <w:rsid w:val="7BBB4217"/>
    <w:rsid w:val="7DB2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next w:val="1"/>
    <w:qFormat/>
    <w:uiPriority w:val="0"/>
    <w:pPr>
      <w:widowControl w:val="0"/>
      <w:adjustRightInd w:val="0"/>
      <w:spacing w:before="0" w:beforeLines="0" w:after="120" w:afterLines="0" w:line="360" w:lineRule="auto"/>
      <w:ind w:left="0" w:right="0" w:firstLine="420"/>
      <w:jc w:val="both"/>
    </w:pPr>
    <w:rPr>
      <w:rFonts w:eastAsia="楷体_GB2312"/>
      <w:spacing w:val="0"/>
      <w:kern w:val="0"/>
      <w:sz w:val="24"/>
      <w:szCs w:val="20"/>
      <w:lang w:eastAsia="en-US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9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1454</Words>
  <Characters>1575</Characters>
  <Lines>15</Lines>
  <Paragraphs>4</Paragraphs>
  <TotalTime>1</TotalTime>
  <ScaleCrop>false</ScaleCrop>
  <LinksUpToDate>false</LinksUpToDate>
  <CharactersWithSpaces>1854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2022-03-28T09:53:00Z</dcterms:created>
  <dc:creator>陈玲</dc:creator>
  <cp:lastModifiedBy>陈玲</cp:lastModifiedBy>
  <cp:lastPrinted>2022-07-06T01:30:00Z</cp:lastPrinted>
  <dcterms:modified xsi:type="dcterms:W3CDTF">2023-04-07T06:16:51Z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C8AD8BFC479D4E398281DD99AFF4CC72</vt:lpwstr>
  </property>
</Properties>
</file>