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
      <w:r>
        <w:br/>
      </w:r>
      <w:r>
        <w:br/>
      </w:r>
      <w:r>
        <w:br/>
      </w:r>
      <w:r>
        <w:br/>
      </w:r>
      <w:r>
        <w:br/>
      </w:r>
    </w:p>
    <w:p>
      <w:pPr>
        <w:jc w:val="center"/>
      </w:pPr>
      <w:r>
        <w:rPr>
          <w:b/>
          <w:sz w:val="48"/>
        </w:rPr>
        <w:t>广东省政府采购</w:t>
      </w:r>
    </w:p>
    <w:p/>
    <w:p>
      <w:pPr>
        <w:jc w:val="center"/>
      </w:pPr>
      <w:r>
        <w:rPr>
          <w:b/>
          <w:sz w:val="48"/>
        </w:rPr>
        <w:t>公开招标文件</w:t>
      </w:r>
      <w:r>
        <w:br/>
      </w:r>
      <w:r>
        <w:br/>
      </w:r>
      <w:r>
        <w:br/>
      </w:r>
      <w:r>
        <w:br/>
      </w:r>
      <w:r>
        <w:br/>
      </w:r>
      <w:r>
        <w:br/>
      </w:r>
      <w:r>
        <w:br/>
      </w:r>
      <w:r>
        <w:br/>
      </w:r>
      <w:r>
        <w:br/>
      </w:r>
      <w:r>
        <w:br/>
      </w:r>
      <w:r>
        <w:br/>
      </w:r>
      <w:r>
        <w:br/>
      </w:r>
      <w:r>
        <w:br/>
      </w:r>
      <w:r>
        <w:br/>
      </w:r>
      <w:r>
        <w:br/>
      </w:r>
      <w:r>
        <w:br/>
      </w:r>
      <w:r>
        <w:br/>
      </w:r>
      <w:r>
        <w:br/>
      </w:r>
      <w:r>
        <w:br/>
      </w:r>
      <w:r>
        <w:br/>
      </w:r>
      <w:r>
        <w:br/>
      </w:r>
    </w:p>
    <w:p>
      <w:pPr>
        <w:jc w:val="center"/>
      </w:pPr>
      <w:r>
        <w:rPr>
          <w:b/>
          <w:sz w:val="24"/>
        </w:rPr>
        <w:t>采购计划编号：</w:t>
      </w:r>
      <w:r>
        <w:rPr>
          <w:b/>
          <w:sz w:val="24"/>
        </w:rPr>
        <w:t>440204-2023-00214</w:t>
      </w:r>
    </w:p>
    <w:p>
      <w:pPr>
        <w:jc w:val="center"/>
      </w:pPr>
      <w:r>
        <w:rPr>
          <w:b/>
          <w:sz w:val="24"/>
        </w:rPr>
        <w:t>采购项目编号：</w:t>
      </w:r>
      <w:r>
        <w:rPr>
          <w:b/>
          <w:sz w:val="24"/>
        </w:rPr>
        <w:t>SZQJSG-2023-04-01</w:t>
      </w:r>
    </w:p>
    <w:p>
      <w:pPr>
        <w:jc w:val="center"/>
      </w:pPr>
      <w:r>
        <w:rPr>
          <w:b/>
          <w:sz w:val="24"/>
        </w:rPr>
        <w:t>项目名称：</w:t>
      </w:r>
      <w:r>
        <w:rPr>
          <w:b/>
          <w:sz w:val="24"/>
        </w:rPr>
        <w:t>2023年浈江区松材线虫病等林业有害生物防治与除治项目</w:t>
      </w:r>
    </w:p>
    <w:p>
      <w:pPr>
        <w:jc w:val="center"/>
      </w:pPr>
      <w:r>
        <w:rPr>
          <w:b/>
          <w:sz w:val="24"/>
        </w:rPr>
        <w:t>采购人：</w:t>
      </w:r>
      <w:r>
        <w:rPr>
          <w:b/>
          <w:sz w:val="24"/>
        </w:rPr>
        <w:t>韶关市浈江区自然资源局</w:t>
      </w:r>
    </w:p>
    <w:p>
      <w:pPr>
        <w:jc w:val="center"/>
      </w:pPr>
      <w:r>
        <w:rPr>
          <w:b/>
          <w:sz w:val="24"/>
        </w:rPr>
        <w:t>采购代理机构：</w:t>
      </w:r>
      <w:r>
        <w:rPr>
          <w:b/>
          <w:sz w:val="24"/>
        </w:rPr>
        <w:t>深圳市祺骏建设工程顾问有限公司韶关分公司</w:t>
      </w:r>
    </w:p>
    <w:p>
      <w:pPr>
        <w:ind w:firstLine="480"/>
      </w:pPr>
    </w:p>
    <w:p>
      <w:r>
        <w:rPr/>
        <w:t xml:space="preserve"> </w:t>
      </w:r>
    </w:p>
    <w:p/>
    <w:p>
      <w:pPr>
        <w:jc w:val="center"/>
      </w:pPr>
      <w:r>
        <w:rPr>
          <w:b/>
          <w:sz w:val="36"/>
        </w:rPr>
        <w:t>第一章投标邀请</w:t>
      </w:r>
    </w:p>
    <w:p>
      <w:pPr>
        <w:ind w:firstLine="480"/>
      </w:pPr>
      <w:r>
        <w:rPr/>
        <w:t>深圳市祺骏建设工程顾问有限公司韶关分公司</w:t>
      </w:r>
      <w:r>
        <w:rPr/>
        <w:t>受</w:t>
      </w:r>
      <w:r>
        <w:rPr/>
        <w:t>韶关市浈江区自然资源局</w:t>
      </w:r>
      <w:r>
        <w:rPr/>
        <w:t>的委托，采用</w:t>
      </w:r>
      <w:r>
        <w:rPr/>
        <w:t>公开招标</w:t>
      </w:r>
      <w:r>
        <w:rPr/>
        <w:t>方式组织采购</w:t>
      </w:r>
      <w:r>
        <w:rPr/>
        <w:t>2023年浈江区松材线虫病等林业有害生物防治与除治项目</w:t>
      </w:r>
      <w:r>
        <w:rPr/>
        <w:t>。欢迎符合资格条件的国内供应商参加投标。</w:t>
      </w:r>
    </w:p>
    <w:p>
      <w:r>
        <w:rPr>
          <w:b/>
          <w:sz w:val="28"/>
        </w:rPr>
        <w:t>一.项目概述</w:t>
      </w:r>
    </w:p>
    <w:p>
      <w:r>
        <w:rPr>
          <w:b/>
          <w:sz w:val="24"/>
        </w:rPr>
        <w:t>1.名称与编号</w:t>
      </w:r>
    </w:p>
    <w:p>
      <w:pPr>
        <w:ind w:firstLine="480"/>
      </w:pPr>
      <w:r>
        <w:rPr/>
        <w:t>项目名称：</w:t>
      </w:r>
      <w:r>
        <w:rPr/>
        <w:t>2023年浈江区松材线虫病等林业有害生物防治与除治项目</w:t>
      </w:r>
    </w:p>
    <w:p>
      <w:pPr>
        <w:ind w:firstLine="480"/>
      </w:pPr>
      <w:r>
        <w:rPr/>
        <w:t>采购计划编号：</w:t>
      </w:r>
      <w:r>
        <w:rPr/>
        <w:t>440204-2023-00214</w:t>
      </w:r>
    </w:p>
    <w:p>
      <w:pPr>
        <w:ind w:firstLine="480"/>
      </w:pPr>
      <w:r>
        <w:rPr/>
        <w:t>采购项目编号：</w:t>
      </w:r>
      <w:r>
        <w:rPr/>
        <w:t>SZQJSG-2023-04-01</w:t>
      </w:r>
    </w:p>
    <w:p>
      <w:pPr>
        <w:ind w:firstLine="480"/>
      </w:pPr>
      <w:r>
        <w:rPr/>
        <w:t>采购方式：</w:t>
      </w:r>
      <w:r>
        <w:rPr/>
        <w:t>公开招标</w:t>
      </w:r>
    </w:p>
    <w:p>
      <w:pPr>
        <w:ind w:firstLine="480"/>
      </w:pPr>
      <w:r>
        <w:rPr/>
        <w:t>预算金额：</w:t>
      </w:r>
      <w:r>
        <w:rPr/>
        <w:t>3,580,000.00</w:t>
      </w:r>
      <w:r>
        <w:rPr/>
        <w:t>元</w:t>
      </w:r>
    </w:p>
    <w:p>
      <w:r>
        <w:rPr>
          <w:b/>
          <w:sz w:val="24"/>
        </w:rPr>
        <w:t>2.项目内容及需求情况（采购项目技术规格、参数及要求）</w:t>
      </w:r>
    </w:p>
    <w:p>
      <w:pPr>
        <w:ind w:firstLine="480"/>
      </w:pPr>
    </w:p>
    <w:p/>
    <w:p>
      <w:r>
        <w:rPr/>
        <w:t>采购包1(2023年浈江区松材线虫病等林业有害生物防治与除治项目):</w:t>
      </w:r>
    </w:p>
    <w:p>
      <w:r>
        <w:rPr/>
        <w:t>采购包预算金额：3,580,000.00元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r>
              <w:rPr/>
              <w:t>品目号</w:t>
            </w:r>
          </w:p>
        </w:tc>
        <w:tc>
          <w:tcPr>
            <w:tcW w:type="dxa" w:w="1424"/>
          </w:tcPr>
          <w:p>
            <w:r>
              <w:rPr/>
              <w:t>品目名称</w:t>
            </w:r>
          </w:p>
        </w:tc>
        <w:tc>
          <w:tcPr>
            <w:tcW w:type="dxa" w:w="2136"/>
          </w:tcPr>
          <w:p>
            <w:r>
              <w:rPr/>
              <w:t>采购标的</w:t>
            </w:r>
          </w:p>
        </w:tc>
        <w:tc>
          <w:tcPr>
            <w:tcW w:type="dxa" w:w="1187"/>
          </w:tcPr>
          <w:p>
            <w:r>
              <w:rPr/>
              <w:t>数量（单位）</w:t>
            </w:r>
          </w:p>
        </w:tc>
        <w:tc>
          <w:tcPr>
            <w:tcW w:type="dxa" w:w="1187"/>
          </w:tcPr>
          <w:p>
            <w:r>
              <w:rPr/>
              <w:t>技术规格、参数及要求</w:t>
            </w:r>
          </w:p>
        </w:tc>
        <w:tc>
          <w:tcPr>
            <w:tcW w:type="dxa" w:w="1187"/>
          </w:tcPr>
          <w:p>
            <w:r>
              <w:rPr/>
              <w:t>是否允许进口产品</w:t>
            </w:r>
          </w:p>
        </w:tc>
      </w:tr>
      <w:tr>
        <w:tc>
          <w:tcPr>
            <w:tcW w:type="dxa" w:w="1187"/>
          </w:tcPr>
          <w:p>
            <w:r>
              <w:rPr/>
              <w:t>1-1</w:t>
            </w:r>
          </w:p>
        </w:tc>
        <w:tc>
          <w:tcPr>
            <w:tcW w:type="dxa" w:w="1424"/>
          </w:tcPr>
          <w:p>
            <w:r>
              <w:rPr/>
              <w:t>林业有害生物防治服务</w:t>
            </w:r>
          </w:p>
        </w:tc>
        <w:tc>
          <w:tcPr>
            <w:tcW w:type="dxa" w:w="2136"/>
          </w:tcPr>
          <w:p>
            <w:r>
              <w:rPr/>
              <w:t>2023年浈江区松材线虫病等林业有害生物防治与除治项目</w:t>
            </w:r>
          </w:p>
        </w:tc>
        <w:tc>
          <w:tcPr>
            <w:tcW w:type="dxa" w:w="1187"/>
          </w:tcPr>
          <w:p>
            <w:r>
              <w:rPr/>
              <w:t>1.0000(项)</w:t>
            </w:r>
          </w:p>
        </w:tc>
        <w:tc>
          <w:tcPr>
            <w:tcW w:type="dxa" w:w="1187"/>
          </w:tcPr>
          <w:p>
            <w:r>
              <w:rPr/>
              <w:t>详见第二章</w:t>
            </w:r>
          </w:p>
        </w:tc>
        <w:tc>
          <w:tcPr>
            <w:tcW w:type="dxa" w:w="1187"/>
          </w:tcPr>
          <w:p>
            <w:r>
              <w:rPr/>
              <w:t>否</w:t>
            </w:r>
          </w:p>
        </w:tc>
      </w:tr>
    </w:tbl>
    <w:p/>
    <w:p>
      <w:r>
        <w:rPr/>
        <w:t>本采购包不接受联合体投标</w:t>
      </w:r>
    </w:p>
    <w:p/>
    <w:p>
      <w:r>
        <w:rPr/>
        <w:t>合同履行期限：合同签订之日起至2024年4月。</w:t>
      </w:r>
    </w:p>
    <w:p/>
    <w:p>
      <w:r>
        <w:rPr>
          <w:b/>
          <w:sz w:val="28"/>
        </w:rPr>
        <w:t>二.投标人的资格要求</w:t>
      </w:r>
    </w:p>
    <w:p>
      <w:r>
        <w:rPr>
          <w:b/>
          <w:sz w:val="24"/>
        </w:rPr>
        <w:t>1.投标人应具备《中华人民共和国政府采购法》第二十二条规定的条件，提供下列材料：</w:t>
      </w:r>
    </w:p>
    <w:p>
      <w:pPr>
        <w:ind w:firstLine="480"/>
      </w:pPr>
    </w:p>
    <w:p/>
    <w:p>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
      <w:r>
        <w:rPr/>
        <w:t>2）有依法缴纳税收和社会保障资金的良好记录：提供投标截止日前6个月内任意1个月依法缴纳税收和社会保障资金的相关材料。 如依法免税或不需要缴纳社会保障资金的，提供相应证明材料。或在投标文件中提供《资格条件承诺函》（格式自拟）。</w:t>
      </w:r>
    </w:p>
    <w:p/>
    <w:p>
      <w:r>
        <w:rPr/>
        <w:t>3）具有良好的商业信誉和健全的财务会计制度：提供2021或2022年度财务状况报告或投标文件提交截止时间前6个月内任意1个月的财务报表（资产负债表、利润表或损益表）或供应商基本开户行出具的资信证明。或在投标文件中提供《资格条件承诺函》（格式自拟）。</w:t>
      </w:r>
    </w:p>
    <w:p/>
    <w:p>
      <w:r>
        <w:rPr/>
        <w:t>4）履行合同所必需的设备和专业技术能力：在投标文件中提供《资格条件承诺函》（格式自拟）。</w:t>
      </w:r>
    </w:p>
    <w:p/>
    <w:p>
      <w:r>
        <w:rPr/>
        <w:t>5）参加采购活动前3年内，在经营活动中没有重大违法记录：参照投标（报价）函相关承诺格式内容。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
      <w:r>
        <w:rPr>
          <w:b/>
          <w:sz w:val="24"/>
        </w:rPr>
        <w:t>2.落实政府采购政策需满足的资格要求：</w:t>
      </w:r>
    </w:p>
    <w:p>
      <w:pPr>
        <w:ind w:firstLine="480"/>
      </w:pPr>
    </w:p>
    <w:p>
      <w:pPr>
        <w:jc w:val="left"/>
      </w:pPr>
    </w:p>
    <w:p>
      <w:r>
        <w:rPr/>
        <w:t>采购包1（2023年浈江区松材线虫病等林业有害生物防治与除治项目）：</w:t>
      </w:r>
      <w:r>
        <w:rPr/>
        <w:t>本项目属于专门面向中小企业采购的项目。</w:t>
      </w:r>
    </w:p>
    <w:p/>
    <w:p>
      <w:r>
        <w:rPr>
          <w:b/>
          <w:sz w:val="24"/>
        </w:rPr>
        <w:t>3.本项目特定的资格要求：</w:t>
      </w:r>
    </w:p>
    <w:p>
      <w:pPr>
        <w:ind w:firstLine="480"/>
      </w:pPr>
    </w:p>
    <w:p/>
    <w:p>
      <w:r>
        <w:rPr/>
        <w:t>采购包1（2023年浈江区松材线虫病等林业有害生物防治与除治项目）：</w:t>
      </w:r>
    </w:p>
    <w:p/>
    <w:p>
      <w:r>
        <w:rPr/>
        <w:t>1)供应商必须具有有效期内的林业有害生物防治组织资质丙级或以上资质。</w:t>
      </w:r>
    </w:p>
    <w:p/>
    <w:p>
      <w:r>
        <w:rPr/>
        <w:t>2)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
      <w:r>
        <w:rPr/>
        <w:t>3)单位负责人为同一人或者存在直接控股、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p/>
    <w:p>
      <w:r>
        <w:rPr/>
        <w:t>4)本项目不接受联合体投标。</w:t>
      </w:r>
    </w:p>
    <w:p/>
    <w:p>
      <w:r>
        <w:rPr>
          <w:b/>
          <w:sz w:val="28"/>
        </w:rPr>
        <w:t>三.获取招标文件</w:t>
      </w:r>
    </w:p>
    <w:p>
      <w:pPr>
        <w:ind w:firstLine="480"/>
      </w:pPr>
      <w:r>
        <w:rPr/>
        <w:t>时间：详见招标公告及其变更公告（如有）</w:t>
      </w:r>
    </w:p>
    <w:p>
      <w:pPr>
        <w:ind w:firstLine="480"/>
      </w:pPr>
      <w:r>
        <w:rPr/>
        <w:t>地点：详见招标公告及其变更公告（如有）</w:t>
      </w:r>
    </w:p>
    <w:p>
      <w:pPr>
        <w:ind w:firstLine="480"/>
      </w:pPr>
      <w:r>
        <w:rPr/>
        <w:t>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ind w:firstLine="480"/>
      </w:pPr>
      <w:r>
        <w:rPr/>
        <w:t>售价：免费</w:t>
      </w:r>
    </w:p>
    <w:p>
      <w:r>
        <w:rPr>
          <w:b/>
          <w:sz w:val="28"/>
        </w:rPr>
        <w:t>四.提交投标文件截止时间、开标时间和地点：</w:t>
      </w:r>
    </w:p>
    <w:p>
      <w:pPr>
        <w:ind w:firstLine="480"/>
      </w:pPr>
      <w:r>
        <w:rPr/>
        <w:t>提交投标文件截止时间和开标时间：详见招标公告及其变更公告（如有）</w:t>
      </w:r>
    </w:p>
    <w:p>
      <w:pPr>
        <w:ind w:firstLine="480"/>
      </w:pPr>
      <w:r>
        <w:rPr/>
        <w:t>（自招标文件开始发出之日起至投标人提交投标文件截止之日止，不得少于20日）</w:t>
      </w:r>
    </w:p>
    <w:p>
      <w:pPr>
        <w:ind w:firstLine="480"/>
      </w:pPr>
      <w:r>
        <w:rPr/>
        <w:t>地点：详见招标公告及其变更公告（如有）</w:t>
      </w:r>
    </w:p>
    <w:p>
      <w:r>
        <w:rPr>
          <w:b/>
          <w:sz w:val="28"/>
        </w:rPr>
        <w:t>五.公告期限、发布公告的媒介：</w:t>
      </w:r>
    </w:p>
    <w:p>
      <w:pPr>
        <w:ind w:firstLine="480"/>
      </w:pPr>
      <w:r>
        <w:rPr/>
        <w:t>1、公告期限：自本公告发布之日起不得少于5个工作日。</w:t>
      </w:r>
    </w:p>
    <w:p>
      <w:pPr>
        <w:ind w:firstLine="480"/>
      </w:pPr>
      <w:r>
        <w:rPr/>
        <w:t>2、发布公告的媒介：中国政府采购网(www.ccgp.gov.cn)、广东省政府采购网(https://gdgpo.czt.gd.gov.cn/)；</w:t>
      </w:r>
    </w:p>
    <w:p>
      <w:r>
        <w:rPr>
          <w:b/>
          <w:sz w:val="28"/>
        </w:rPr>
        <w:t>六.本项目联系方式：</w:t>
      </w:r>
    </w:p>
    <w:p>
      <w:r>
        <w:rPr>
          <w:b/>
          <w:sz w:val="24"/>
        </w:rPr>
        <w:t>1.采购人信息</w:t>
      </w:r>
    </w:p>
    <w:p>
      <w:pPr>
        <w:ind w:firstLine="480"/>
      </w:pPr>
      <w:r>
        <w:rPr/>
        <w:t>名称：</w:t>
      </w:r>
      <w:r>
        <w:rPr/>
        <w:t>韶关市浈江区自然资源局</w:t>
      </w:r>
    </w:p>
    <w:p>
      <w:pPr>
        <w:ind w:firstLine="480"/>
      </w:pPr>
      <w:r>
        <w:rPr/>
        <w:t>地址：</w:t>
      </w:r>
      <w:r>
        <w:rPr/>
        <w:t>韶关市浈江区席前路1号</w:t>
      </w:r>
    </w:p>
    <w:p>
      <w:pPr>
        <w:ind w:firstLine="480"/>
      </w:pPr>
      <w:r>
        <w:rPr/>
        <w:t>联系方式：</w:t>
      </w:r>
      <w:r>
        <w:rPr/>
        <w:t>0751-8932621</w:t>
      </w:r>
    </w:p>
    <w:p>
      <w:r>
        <w:rPr>
          <w:b/>
          <w:sz w:val="24"/>
        </w:rPr>
        <w:t>2.采购代理机构信息</w:t>
      </w:r>
    </w:p>
    <w:p>
      <w:pPr>
        <w:ind w:firstLine="480"/>
      </w:pPr>
      <w:r>
        <w:rPr/>
        <w:t>名称：</w:t>
      </w:r>
      <w:r>
        <w:rPr/>
        <w:t>深圳市祺骏建设工程顾问有限公司韶关分公司</w:t>
      </w:r>
    </w:p>
    <w:p>
      <w:pPr>
        <w:ind w:firstLine="480"/>
      </w:pPr>
      <w:r>
        <w:rPr/>
        <w:t>地址：</w:t>
      </w:r>
      <w:r>
        <w:rPr/>
        <w:t>韶关市武江区芙阳路芙蓉新村八街5栋D</w:t>
      </w:r>
    </w:p>
    <w:p>
      <w:pPr>
        <w:ind w:firstLine="480"/>
      </w:pPr>
      <w:r>
        <w:rPr/>
        <w:t>联系方式：</w:t>
      </w:r>
      <w:r>
        <w:rPr/>
        <w:t>0751-8288690</w:t>
      </w:r>
    </w:p>
    <w:p>
      <w:r>
        <w:rPr>
          <w:b/>
          <w:sz w:val="24"/>
        </w:rPr>
        <w:t>3.项目联系方式</w:t>
      </w:r>
    </w:p>
    <w:p>
      <w:pPr>
        <w:ind w:firstLine="480"/>
      </w:pPr>
      <w:r>
        <w:rPr/>
        <w:t>项目联系人：</w:t>
      </w:r>
      <w:r>
        <w:rPr/>
        <w:t>刘工</w:t>
      </w:r>
    </w:p>
    <w:p>
      <w:pPr>
        <w:ind w:firstLine="480"/>
      </w:pPr>
      <w:r>
        <w:rPr/>
        <w:t>电话：</w:t>
      </w:r>
      <w:r>
        <w:rPr/>
        <w:t>0751-8288690</w:t>
      </w:r>
    </w:p>
    <w:p>
      <w:r>
        <w:rPr>
          <w:b/>
          <w:sz w:val="24"/>
        </w:rPr>
        <w:t>4.技术支持联系方式</w:t>
      </w:r>
    </w:p>
    <w:p>
      <w:pPr>
        <w:ind w:firstLine="480"/>
      </w:pPr>
      <w:r>
        <w:rPr/>
        <w:t>云平台联系方式：020-88696588</w:t>
      </w:r>
    </w:p>
    <w:p>
      <w:r>
        <w:rPr/>
        <w:t>采购代理机构：</w:t>
      </w:r>
      <w:r>
        <w:rPr/>
        <w:t>深圳市祺骏建设工程顾问有限公司韶关分公司</w:t>
      </w:r>
    </w:p>
    <w:p>
      <w:pPr>
        <w:ind w:firstLine="480"/>
      </w:pPr>
    </w:p>
    <w:p>
      <w:r>
        <w:rPr/>
        <w:t xml:space="preserve"> </w:t>
      </w:r>
    </w:p>
    <w:p/>
    <w:p>
      <w:pPr>
        <w:jc w:val="center"/>
      </w:pPr>
      <w:r>
        <w:rPr>
          <w:b/>
          <w:sz w:val="36"/>
        </w:rPr>
        <w:t>第二章 采购需求</w:t>
      </w:r>
    </w:p>
    <w:p>
      <w:r>
        <w:rPr>
          <w:b/>
          <w:sz w:val="28"/>
        </w:rPr>
        <w:t>一、项目概况：</w:t>
      </w:r>
    </w:p>
    <w:p>
      <w:pPr>
        <w:ind w:firstLine="480"/>
      </w:pPr>
    </w:p>
    <w:p/>
    <w:p>
      <w:pPr>
        <w:jc w:val="both"/>
      </w:pPr>
      <w:r>
        <w:rPr/>
        <w:t xml:space="preserve"> </w:t>
      </w:r>
    </w:p>
    <w:p>
      <w:pPr>
        <w:ind w:firstLine="420"/>
        <w:jc w:val="both"/>
      </w:pPr>
      <w:r>
        <w:rPr>
          <w:sz w:val="21"/>
        </w:rPr>
        <w:t>韶关市浈江区经</w:t>
      </w:r>
      <w:r>
        <w:rPr>
          <w:sz w:val="21"/>
        </w:rPr>
        <w:t>2022 年秋季普查，发现当年秋季松材线虫病枯死松树疫木 4998株， 范围涉及花坪、犁市、十里亭、新韶4镇11个村7个林班117个小班，疫情面积15680亩。与 2021年秋季普查结果相比，经过两年来的除治与防控，疫情防控形势正在逐步好转。</w:t>
      </w:r>
    </w:p>
    <w:p>
      <w:pPr>
        <w:ind w:firstLine="420"/>
        <w:jc w:val="both"/>
      </w:pPr>
      <w:r>
        <w:rPr>
          <w:sz w:val="21"/>
        </w:rPr>
        <w:t>为打好浈江区</w:t>
      </w:r>
      <w:r>
        <w:rPr>
          <w:sz w:val="21"/>
        </w:rPr>
        <w:t>“十四五”期间松材线虫病疫情防控五年攻坚战，全面有效遏制松材线虫病对松树林木的危害，结合浈江区2022年秋季松材线虫病疫情普查结果，在实地调查分析基础上，设计综合防控措施为松材线虫病疫木除治、人工施药防治、挂设诱捕器诱捕、松林疫情日常监测、专项普查等。</w:t>
      </w:r>
    </w:p>
    <w:p>
      <w:pPr>
        <w:jc w:val="both"/>
      </w:pPr>
    </w:p>
    <w:p>
      <w:pPr>
        <w:jc w:val="both"/>
      </w:pPr>
      <w:r>
        <w:rPr>
          <w:b/>
          <w:sz w:val="24"/>
        </w:rPr>
        <w:t>二、</w:t>
      </w:r>
      <w:r>
        <w:rPr>
          <w:b/>
          <w:sz w:val="24"/>
        </w:rPr>
        <w:t>采购项目需求一览表</w:t>
      </w:r>
    </w:p>
    <w:tbl>
      <w:tblPr>
        <w:tblW w:w="0" w:type="auto"/>
        <w:tblBorders>
          <w:top w:val="none" w:color="000000" w:sz="4"/>
          <w:left w:val="none" w:color="000000" w:sz="4"/>
          <w:bottom w:val="none" w:color="000000" w:sz="4"/>
          <w:right w:val="none" w:color="000000" w:sz="4"/>
          <w:insideH w:val="none"/>
          <w:insideV w:val="none"/>
        </w:tblBorders>
      </w:tblPr>
      <w:tblGrid>
        <w:gridCol w:w="863"/>
        <w:gridCol w:w="1110"/>
        <w:gridCol w:w="2110"/>
        <w:gridCol w:w="1041"/>
        <w:gridCol w:w="1603"/>
        <w:gridCol w:w="1548"/>
      </w:tblGrid>
      <w:tr>
        <w:tc>
          <w:tcPr>
            <w:tcW w:type="dxa" w:w="863"/>
            <w:tcBorders>
              <w:top w:val="single" w:color="000000" w:sz="4"/>
              <w:left w:val="single" w:color="000000" w:sz="4"/>
              <w:bottom w:val="single" w:color="000000" w:sz="4"/>
              <w:right w:val="single" w:color="000000" w:sz="4"/>
            </w:tcBorders>
            <w:vAlign w:val="top"/>
          </w:tcPr>
          <w:p>
            <w:pPr>
              <w:jc w:val="center"/>
            </w:pPr>
            <w:r>
              <w:rPr>
                <w:b/>
                <w:sz w:val="21"/>
              </w:rPr>
              <w:t>品目号</w:t>
            </w:r>
          </w:p>
        </w:tc>
        <w:tc>
          <w:tcPr>
            <w:tcW w:type="dxa" w:w="1110"/>
            <w:tcBorders>
              <w:top w:val="single" w:color="000000" w:sz="4"/>
              <w:left w:val="none" w:color="000000" w:sz="4"/>
              <w:bottom w:val="single" w:color="000000" w:sz="4"/>
              <w:right w:val="single" w:color="000000" w:sz="4"/>
            </w:tcBorders>
            <w:vAlign w:val="top"/>
          </w:tcPr>
          <w:p>
            <w:pPr>
              <w:jc w:val="center"/>
            </w:pPr>
            <w:r>
              <w:rPr>
                <w:b/>
                <w:sz w:val="21"/>
              </w:rPr>
              <w:t>品目名称</w:t>
            </w:r>
          </w:p>
        </w:tc>
        <w:tc>
          <w:tcPr>
            <w:tcW w:type="dxa" w:w="2110"/>
            <w:tcBorders>
              <w:top w:val="single" w:color="000000" w:sz="4"/>
              <w:left w:val="none" w:color="000000" w:sz="4"/>
              <w:bottom w:val="single" w:color="000000" w:sz="4"/>
              <w:right w:val="single" w:color="000000" w:sz="4"/>
            </w:tcBorders>
            <w:vAlign w:val="top"/>
          </w:tcPr>
          <w:p>
            <w:pPr>
              <w:jc w:val="center"/>
            </w:pPr>
            <w:r>
              <w:rPr>
                <w:b/>
                <w:sz w:val="21"/>
              </w:rPr>
              <w:t>采购标的</w:t>
            </w:r>
          </w:p>
        </w:tc>
        <w:tc>
          <w:tcPr>
            <w:tcW w:type="dxa" w:w="1041"/>
            <w:tcBorders>
              <w:top w:val="single" w:color="000000" w:sz="4"/>
              <w:left w:val="none" w:color="000000" w:sz="4"/>
              <w:bottom w:val="single" w:color="000000" w:sz="4"/>
              <w:right w:val="single" w:color="000000" w:sz="4"/>
            </w:tcBorders>
            <w:vAlign w:val="top"/>
          </w:tcPr>
          <w:p>
            <w:pPr>
              <w:jc w:val="center"/>
            </w:pPr>
            <w:r>
              <w:rPr>
                <w:b/>
                <w:sz w:val="21"/>
              </w:rPr>
              <w:t>数量</w:t>
            </w:r>
          </w:p>
          <w:p>
            <w:pPr>
              <w:jc w:val="center"/>
            </w:pPr>
            <w:r>
              <w:rPr>
                <w:b/>
                <w:sz w:val="21"/>
              </w:rPr>
              <w:t>(单位）</w:t>
            </w:r>
          </w:p>
        </w:tc>
        <w:tc>
          <w:tcPr>
            <w:tcW w:type="dxa" w:w="1603"/>
            <w:tcBorders>
              <w:top w:val="single" w:color="000000" w:sz="4"/>
              <w:left w:val="none" w:color="000000" w:sz="4"/>
              <w:bottom w:val="single" w:color="000000" w:sz="4"/>
              <w:right w:val="single" w:color="000000" w:sz="4"/>
            </w:tcBorders>
            <w:vAlign w:val="top"/>
          </w:tcPr>
          <w:p>
            <w:pPr>
              <w:jc w:val="center"/>
            </w:pPr>
            <w:r>
              <w:rPr>
                <w:b/>
                <w:sz w:val="21"/>
              </w:rPr>
              <w:t>技术规格、参数及要求</w:t>
            </w:r>
          </w:p>
        </w:tc>
        <w:tc>
          <w:tcPr>
            <w:tcW w:type="dxa" w:w="1548"/>
            <w:tcBorders>
              <w:top w:val="single" w:color="000000" w:sz="4"/>
              <w:left w:val="none" w:color="000000" w:sz="4"/>
              <w:bottom w:val="single" w:color="000000" w:sz="4"/>
              <w:right w:val="single" w:color="000000" w:sz="4"/>
            </w:tcBorders>
            <w:vAlign w:val="top"/>
          </w:tcPr>
          <w:p>
            <w:pPr>
              <w:jc w:val="center"/>
            </w:pPr>
            <w:r>
              <w:rPr>
                <w:b/>
                <w:sz w:val="21"/>
              </w:rPr>
              <w:t>品目预算</w:t>
            </w:r>
            <w:r>
              <w:rPr>
                <w:b/>
                <w:sz w:val="21"/>
              </w:rPr>
              <w:t>(元)</w:t>
            </w:r>
          </w:p>
        </w:tc>
      </w:tr>
      <w:tr>
        <w:tc>
          <w:tcPr>
            <w:tcW w:type="dxa" w:w="863"/>
            <w:tcBorders>
              <w:top w:val="none" w:color="000000" w:sz="4"/>
              <w:left w:val="single" w:color="000000" w:sz="4"/>
              <w:bottom w:val="single" w:color="000000" w:sz="4"/>
              <w:right w:val="single" w:color="000000" w:sz="4"/>
            </w:tcBorders>
            <w:vAlign w:val="top"/>
          </w:tcPr>
          <w:p>
            <w:pPr>
              <w:ind w:firstLine="240"/>
              <w:jc w:val="center"/>
            </w:pPr>
            <w:r>
              <w:rPr>
                <w:sz w:val="21"/>
              </w:rPr>
              <w:t>1-1</w:t>
            </w:r>
          </w:p>
        </w:tc>
        <w:tc>
          <w:tcPr>
            <w:tcW w:type="dxa" w:w="1110"/>
            <w:tcBorders>
              <w:top w:val="none" w:color="000000" w:sz="4"/>
              <w:left w:val="none" w:color="000000" w:sz="4"/>
              <w:bottom w:val="single" w:color="000000" w:sz="4"/>
              <w:right w:val="single" w:color="000000" w:sz="4"/>
            </w:tcBorders>
            <w:vAlign w:val="top"/>
          </w:tcPr>
          <w:p>
            <w:pPr>
              <w:jc w:val="center"/>
            </w:pPr>
            <w:r>
              <w:rPr>
                <w:sz w:val="21"/>
              </w:rPr>
              <w:t>林业有害生物防治服务</w:t>
            </w:r>
          </w:p>
        </w:tc>
        <w:tc>
          <w:tcPr>
            <w:tcW w:type="dxa" w:w="2110"/>
            <w:tcBorders>
              <w:top w:val="none" w:color="000000" w:sz="4"/>
              <w:left w:val="none" w:color="000000" w:sz="4"/>
              <w:bottom w:val="single" w:color="000000" w:sz="4"/>
              <w:right w:val="single" w:color="000000" w:sz="4"/>
            </w:tcBorders>
            <w:vAlign w:val="top"/>
          </w:tcPr>
          <w:p>
            <w:pPr>
              <w:jc w:val="center"/>
            </w:pPr>
            <w:r>
              <w:rPr>
                <w:sz w:val="21"/>
              </w:rPr>
              <w:t>2023年浈江区松材线虫病等林业有害生物防治与除治项目</w:t>
            </w:r>
          </w:p>
        </w:tc>
        <w:tc>
          <w:tcPr>
            <w:tcW w:type="dxa" w:w="1041"/>
            <w:tcBorders>
              <w:top w:val="none" w:color="000000" w:sz="4"/>
              <w:left w:val="none" w:color="000000" w:sz="4"/>
              <w:bottom w:val="single" w:color="000000" w:sz="4"/>
              <w:right w:val="single" w:color="000000" w:sz="4"/>
            </w:tcBorders>
            <w:vAlign w:val="top"/>
          </w:tcPr>
          <w:p>
            <w:pPr>
              <w:jc w:val="center"/>
            </w:pPr>
            <w:r>
              <w:rPr>
                <w:sz w:val="21"/>
              </w:rPr>
              <w:t>1项</w:t>
            </w:r>
          </w:p>
        </w:tc>
        <w:tc>
          <w:tcPr>
            <w:tcW w:type="dxa" w:w="1603"/>
            <w:tcBorders>
              <w:top w:val="none" w:color="000000" w:sz="4"/>
              <w:left w:val="none" w:color="000000" w:sz="4"/>
              <w:bottom w:val="single" w:color="000000" w:sz="4"/>
              <w:right w:val="single" w:color="000000" w:sz="4"/>
            </w:tcBorders>
            <w:vAlign w:val="top"/>
          </w:tcPr>
          <w:p>
            <w:pPr>
              <w:jc w:val="center"/>
            </w:pPr>
            <w:r>
              <w:rPr>
                <w:sz w:val="21"/>
              </w:rPr>
              <w:t>详见采购文件</w:t>
            </w:r>
          </w:p>
        </w:tc>
        <w:tc>
          <w:tcPr>
            <w:tcW w:type="dxa" w:w="1548"/>
            <w:tcBorders>
              <w:top w:val="none" w:color="000000" w:sz="4"/>
              <w:left w:val="none" w:color="000000" w:sz="4"/>
              <w:bottom w:val="single" w:color="000000" w:sz="4"/>
              <w:right w:val="single" w:color="000000" w:sz="4"/>
            </w:tcBorders>
            <w:vAlign w:val="top"/>
          </w:tcPr>
          <w:p>
            <w:pPr>
              <w:jc w:val="center"/>
            </w:pPr>
            <w:r>
              <w:rPr>
                <w:color w:val="000000"/>
                <w:sz w:val="21"/>
              </w:rPr>
              <w:t>3,580,000.00</w:t>
            </w:r>
            <w:r>
              <w:rPr>
                <w:sz w:val="21"/>
              </w:rPr>
              <w:t xml:space="preserve">   </w:t>
            </w:r>
          </w:p>
        </w:tc>
      </w:tr>
    </w:tbl>
    <w:p>
      <w:pPr>
        <w:jc w:val="left"/>
      </w:pPr>
      <w:r>
        <w:rPr>
          <w:b/>
          <w:sz w:val="21"/>
        </w:rPr>
        <w:t>注：（</w:t>
      </w:r>
      <w:r>
        <w:rPr>
          <w:b/>
          <w:sz w:val="21"/>
        </w:rPr>
        <w:t>1）报价超出预算金额的列为无效投标处理。</w:t>
      </w:r>
    </w:p>
    <w:p>
      <w:pPr>
        <w:ind w:firstLine="422"/>
        <w:jc w:val="left"/>
      </w:pPr>
      <w:r>
        <w:rPr>
          <w:b/>
          <w:sz w:val="21"/>
        </w:rPr>
        <w:t>（</w:t>
      </w:r>
      <w:r>
        <w:rPr>
          <w:b/>
          <w:sz w:val="21"/>
        </w:rPr>
        <w:t>2）投标人必须对本项目的全部内容进行投标报价，如有缺漏，将导致投标无效。</w:t>
      </w:r>
    </w:p>
    <w:p>
      <w:pPr>
        <w:jc w:val="both"/>
      </w:pPr>
    </w:p>
    <w:p>
      <w:pPr>
        <w:jc w:val="both"/>
      </w:pPr>
      <w:r>
        <w:rPr>
          <w:b/>
          <w:sz w:val="24"/>
        </w:rPr>
        <w:t>三、设计依据</w:t>
      </w:r>
    </w:p>
    <w:p>
      <w:pPr>
        <w:ind w:firstLine="420"/>
        <w:jc w:val="both"/>
      </w:pPr>
      <w:r>
        <w:rPr>
          <w:sz w:val="21"/>
        </w:rPr>
        <w:t>1.韶关市浈江区财政局《关于下达 2023 年省级涉农统筹整合转移支付资金的通知》（韶浈财〔2023〕13 号）；</w:t>
      </w:r>
    </w:p>
    <w:p>
      <w:pPr>
        <w:ind w:firstLine="420"/>
        <w:jc w:val="both"/>
      </w:pPr>
      <w:r>
        <w:rPr>
          <w:sz w:val="21"/>
        </w:rPr>
        <w:t>2.韶关市林业局关于印发《韶关市 2023 年林业有害生物防治工作要点》的通知（韶林函〔2023〕18 号）；</w:t>
      </w:r>
    </w:p>
    <w:p>
      <w:pPr>
        <w:ind w:firstLine="420"/>
        <w:jc w:val="both"/>
      </w:pPr>
      <w:r>
        <w:rPr>
          <w:sz w:val="21"/>
        </w:rPr>
        <w:t>3.国家林业和草原局关于印发《松材线虫病疫区和疫木管理办法》的通知（林生发〔</w:t>
      </w:r>
      <w:r>
        <w:rPr>
          <w:sz w:val="21"/>
        </w:rPr>
        <w:t>2018〕117 号）；</w:t>
      </w:r>
    </w:p>
    <w:p>
      <w:pPr>
        <w:ind w:firstLine="420"/>
        <w:jc w:val="both"/>
      </w:pPr>
      <w:r>
        <w:rPr>
          <w:sz w:val="21"/>
        </w:rPr>
        <w:t>4.国家林业和草原局关于印发《全国松材线虫病疫情防控五年攻坚行动计划</w:t>
      </w:r>
      <w:r>
        <w:rPr>
          <w:sz w:val="21"/>
        </w:rPr>
        <w:t>(2021-2025)》的通知（林生发〔2021〕56 号）；</w:t>
      </w:r>
    </w:p>
    <w:p>
      <w:pPr>
        <w:ind w:firstLine="420"/>
        <w:jc w:val="both"/>
      </w:pPr>
      <w:r>
        <w:rPr>
          <w:sz w:val="21"/>
        </w:rPr>
        <w:t>5.国家林业和草原局关于印发《全国松材线虫病防治方案(2022 年版)》的</w:t>
      </w:r>
      <w:r>
        <w:rPr>
          <w:sz w:val="21"/>
        </w:rPr>
        <w:t>通知（林生发〔</w:t>
      </w:r>
      <w:r>
        <w:rPr>
          <w:sz w:val="21"/>
        </w:rPr>
        <w:t>2022〕94 号）；</w:t>
      </w:r>
    </w:p>
    <w:p>
      <w:pPr>
        <w:ind w:firstLine="420"/>
        <w:jc w:val="both"/>
      </w:pPr>
      <w:r>
        <w:rPr>
          <w:sz w:val="21"/>
        </w:rPr>
        <w:t>6.《广东省林业局办公室关于印发广东省松材线虫病疫木除治技术等工作指</w:t>
      </w:r>
      <w:r>
        <w:rPr>
          <w:sz w:val="21"/>
        </w:rPr>
        <w:t>引（试行）的通知》（粤林办函〔</w:t>
      </w:r>
      <w:r>
        <w:rPr>
          <w:sz w:val="21"/>
        </w:rPr>
        <w:t>2020〕54 号）；</w:t>
      </w:r>
    </w:p>
    <w:p>
      <w:pPr>
        <w:ind w:firstLine="420"/>
        <w:jc w:val="both"/>
      </w:pPr>
      <w:r>
        <w:rPr>
          <w:sz w:val="21"/>
        </w:rPr>
        <w:t>7.《广东省林业局关于松材线虫病疫区和疫木的管理办法》（粤林规〔2020〕3 号）；</w:t>
      </w:r>
    </w:p>
    <w:p>
      <w:pPr>
        <w:ind w:firstLine="420"/>
        <w:jc w:val="both"/>
      </w:pPr>
      <w:r>
        <w:rPr>
          <w:sz w:val="21"/>
        </w:rPr>
        <w:t>8.《广东省松材线虫病疫情防控五年攻坚行动实施方案 2021-2025 年）》；</w:t>
      </w:r>
    </w:p>
    <w:p>
      <w:pPr>
        <w:ind w:firstLine="420"/>
        <w:jc w:val="both"/>
      </w:pPr>
      <w:r>
        <w:rPr>
          <w:sz w:val="21"/>
        </w:rPr>
        <w:t>9.《松材线虫病疫木处理技术规范》GB/T 23477-2009;</w:t>
      </w:r>
    </w:p>
    <w:p>
      <w:pPr>
        <w:ind w:firstLine="420"/>
        <w:jc w:val="both"/>
      </w:pPr>
      <w:r>
        <w:rPr>
          <w:sz w:val="21"/>
        </w:rPr>
        <w:t>10.《韶关市浈江区松材线虫病疫情防控五年攻坚行动实施方案（2021-2025年）》；</w:t>
      </w:r>
    </w:p>
    <w:p>
      <w:pPr>
        <w:ind w:firstLine="420"/>
        <w:jc w:val="both"/>
      </w:pPr>
      <w:r>
        <w:rPr>
          <w:sz w:val="21"/>
        </w:rPr>
        <w:t>11.《韶关市林业局关于下达 2023 年度重大林业有害生物防治任务的通知》 (韶林函〔2023〕37 号)</w:t>
      </w:r>
    </w:p>
    <w:p>
      <w:pPr>
        <w:ind w:firstLine="420"/>
        <w:jc w:val="both"/>
      </w:pPr>
      <w:r>
        <w:rPr>
          <w:sz w:val="21"/>
        </w:rPr>
        <w:t>12.《韶关市浈江区 2022 年秋季松材线虫病疫情普查技术报告》。</w:t>
      </w:r>
    </w:p>
    <w:p>
      <w:pPr>
        <w:jc w:val="both"/>
      </w:pPr>
    </w:p>
    <w:p>
      <w:pPr>
        <w:jc w:val="both"/>
      </w:pPr>
      <w:r>
        <w:rPr>
          <w:b/>
          <w:sz w:val="24"/>
        </w:rPr>
        <w:t>四、防治区划</w:t>
      </w:r>
    </w:p>
    <w:p>
      <w:pPr>
        <w:ind w:firstLine="420"/>
        <w:jc w:val="both"/>
      </w:pPr>
      <w:r>
        <w:rPr>
          <w:sz w:val="21"/>
        </w:rPr>
        <w:t>浈江区现有松林面积</w:t>
      </w:r>
      <w:r>
        <w:rPr>
          <w:sz w:val="21"/>
        </w:rPr>
        <w:t>163952 亩，其中十里亭镇、新韶镇、犁市镇、花坪镇 4 个疫点镇，共有松林面积 160627 亩，乐园 1 个非疫点镇松林面积 3325 亩。根据松林面积分布、松材线虫病发生现状、扩散特点和防治技术要求，划分防治区、预防区两大区域，实行分区治理，精准施策，高效开展防控工作。</w:t>
      </w:r>
    </w:p>
    <w:p/>
    <w:p>
      <w:pPr>
        <w:jc w:val="both"/>
      </w:pPr>
      <w:r>
        <w:rPr>
          <w:b/>
          <w:sz w:val="24"/>
        </w:rPr>
        <w:t>五、防治目标和任务</w:t>
      </w:r>
    </w:p>
    <w:p>
      <w:pPr>
        <w:ind w:firstLine="422"/>
        <w:jc w:val="both"/>
      </w:pPr>
      <w:r>
        <w:rPr>
          <w:b/>
          <w:sz w:val="21"/>
        </w:rPr>
        <w:t>（一）防治目标</w:t>
      </w:r>
    </w:p>
    <w:p>
      <w:pPr>
        <w:ind w:firstLine="420"/>
        <w:jc w:val="both"/>
      </w:pPr>
      <w:r>
        <w:rPr>
          <w:sz w:val="21"/>
        </w:rPr>
        <w:t>1.采取即死即清的原则清除病（枯）死松树，验收时全区无病（枯）死松树。</w:t>
      </w:r>
    </w:p>
    <w:p>
      <w:pPr>
        <w:ind w:firstLine="420"/>
        <w:jc w:val="both"/>
      </w:pPr>
      <w:r>
        <w:rPr>
          <w:sz w:val="21"/>
        </w:rPr>
        <w:t>2.病（枯）死松树伐除和除害处理率 100%，伐桩高度不超过 5 厘米、伐桩 处理率 100%，病（枯）死松树主干和直径 1 厘米以上的枝桠除害率 100%。</w:t>
      </w:r>
    </w:p>
    <w:p>
      <w:pPr>
        <w:ind w:firstLine="422"/>
        <w:jc w:val="both"/>
      </w:pPr>
      <w:r>
        <w:rPr>
          <w:b/>
          <w:sz w:val="21"/>
        </w:rPr>
        <w:t>（二）防治任务</w:t>
      </w:r>
    </w:p>
    <w:p>
      <w:pPr>
        <w:ind w:firstLine="420"/>
        <w:jc w:val="both"/>
      </w:pPr>
      <w:r>
        <w:rPr>
          <w:sz w:val="21"/>
        </w:rPr>
        <w:t>1.疫木除治：除治松材线虫病疫木松林面积 15680 亩。位于高山陡坡、林密或林下草灌丰富、通行困难，且使用粉碎（削片）、烧毁措施难度较大区域的病死树，采取套袋消杀的方法。在交通条件较好的地方，将枯死木伐倒截段后，转运到就近有松材线虫病疫木处理条件的定点加工厂进行疫木变性利用，生物发电及烧毁等处理。</w:t>
      </w:r>
    </w:p>
    <w:p>
      <w:pPr>
        <w:ind w:firstLine="420"/>
        <w:jc w:val="both"/>
      </w:pPr>
      <w:r>
        <w:rPr>
          <w:sz w:val="21"/>
        </w:rPr>
        <w:t>2.传播媒介昆虫防治：挂设诱捕器 30 个；人工施药防治松类纯林面积 7385亩，共施药 2 次，累计施药防治面积 14770 亩次。</w:t>
      </w:r>
    </w:p>
    <w:p>
      <w:pPr>
        <w:ind w:firstLine="420"/>
        <w:jc w:val="both"/>
      </w:pPr>
      <w:r>
        <w:rPr>
          <w:sz w:val="21"/>
        </w:rPr>
        <w:t>3.日常监测：日常监测松林面积 163952 亩，全年监测 5 次，总共监测松林面积 819760 亩次。</w:t>
      </w:r>
    </w:p>
    <w:p>
      <w:pPr>
        <w:ind w:firstLine="420"/>
        <w:jc w:val="both"/>
      </w:pPr>
      <w:r>
        <w:rPr>
          <w:sz w:val="21"/>
        </w:rPr>
        <w:t>4.专项普查：普查松林面积 163952 亩；专项普查中，在预防区及未发生疫情小班一旦发现病株，即迅速取样送检鉴定。</w:t>
      </w:r>
    </w:p>
    <w:p>
      <w:pPr>
        <w:ind w:firstLine="420"/>
        <w:jc w:val="both"/>
      </w:pPr>
      <w:r>
        <w:rPr>
          <w:sz w:val="21"/>
        </w:rPr>
        <w:t>5.检疫、监管及培训：加强检疫封锁、疫木监管和宣传培训。</w:t>
      </w:r>
    </w:p>
    <w:p>
      <w:pPr>
        <w:jc w:val="both"/>
      </w:pPr>
    </w:p>
    <w:p>
      <w:pPr>
        <w:jc w:val="both"/>
      </w:pPr>
      <w:r>
        <w:rPr>
          <w:b/>
          <w:sz w:val="24"/>
        </w:rPr>
        <w:t>六、主要防治措施</w:t>
      </w:r>
    </w:p>
    <w:p>
      <w:pPr>
        <w:ind w:firstLine="442"/>
        <w:jc w:val="both"/>
      </w:pPr>
      <w:r>
        <w:rPr>
          <w:b/>
          <w:sz w:val="22"/>
        </w:rPr>
        <w:t>6.1疫情监测</w:t>
      </w:r>
      <w:r>
        <w:rPr>
          <w:b/>
          <w:sz w:val="21"/>
        </w:rPr>
        <w:t xml:space="preserve"> </w:t>
      </w:r>
    </w:p>
    <w:p>
      <w:pPr>
        <w:ind w:firstLine="422"/>
        <w:jc w:val="both"/>
      </w:pPr>
      <w:r>
        <w:rPr>
          <w:b/>
          <w:sz w:val="21"/>
        </w:rPr>
        <w:t>（一）日常监测</w:t>
      </w:r>
    </w:p>
    <w:p>
      <w:pPr>
        <w:ind w:firstLine="420"/>
        <w:jc w:val="both"/>
      </w:pPr>
      <w:r>
        <w:rPr>
          <w:sz w:val="21"/>
        </w:rPr>
        <w:t>1.监测任务：主要任务是及时发现、准确鉴定、及时报告疫情。</w:t>
      </w:r>
    </w:p>
    <w:p>
      <w:pPr>
        <w:ind w:firstLine="420"/>
        <w:jc w:val="both"/>
      </w:pPr>
      <w:r>
        <w:rPr>
          <w:sz w:val="21"/>
        </w:rPr>
        <w:t>2.监测范围：全区松林巡查，重点监测未发生疫情的松林（小班松林、散生松树），同时监测 2022 年除治后的松林（小班松林、散生松树）。</w:t>
      </w:r>
    </w:p>
    <w:p>
      <w:pPr>
        <w:ind w:firstLine="420"/>
        <w:jc w:val="both"/>
      </w:pPr>
      <w:r>
        <w:rPr>
          <w:sz w:val="21"/>
        </w:rPr>
        <w:t>3.监测时间：常态化巡查，按 5-6 月、7-8 月、11-12 月、次年 1-2 月、3-4月各巡查 1 次，全年巡查 5 次。其中，视情况对重点区域可加大巡查频次。</w:t>
      </w:r>
    </w:p>
    <w:p>
      <w:pPr>
        <w:ind w:firstLine="420"/>
        <w:jc w:val="both"/>
      </w:pPr>
      <w:r>
        <w:rPr>
          <w:sz w:val="21"/>
        </w:rPr>
        <w:t>4.监测内容：调查是否出现松树枯死、松针变色等异常情况。</w:t>
      </w:r>
    </w:p>
    <w:p>
      <w:pPr>
        <w:ind w:firstLine="420"/>
        <w:jc w:val="both"/>
      </w:pPr>
      <w:r>
        <w:rPr>
          <w:sz w:val="21"/>
        </w:rPr>
        <w:t>5.监测方法</w:t>
      </w:r>
    </w:p>
    <w:p>
      <w:pPr>
        <w:ind w:firstLine="420"/>
        <w:jc w:val="both"/>
      </w:pPr>
      <w:r>
        <w:rPr>
          <w:sz w:val="21"/>
        </w:rPr>
        <w:t>（</w:t>
      </w:r>
      <w:r>
        <w:rPr>
          <w:sz w:val="21"/>
        </w:rPr>
        <w:t>1）踏查。根据松林分布状况，设计出可观察全部林分的踏查路线。采取目测方法，结合使用望远镜和无人机等设备，沿踏查路线调查有无枯死松树，或是否出现针叶褪色、黄化、枯萎、呈红褐色等症状的松树。非疫点镇发现松树枯死、松针变色等异常情况，应当立即取样鉴定，确认是否感染松材线虫病。已是疫点镇的松林中出现松树枯死、松针变色等异常情况，可以不用再取样鉴定。</w:t>
      </w:r>
    </w:p>
    <w:p>
      <w:pPr>
        <w:ind w:firstLine="420"/>
        <w:jc w:val="both"/>
      </w:pPr>
      <w:r>
        <w:rPr>
          <w:sz w:val="21"/>
        </w:rPr>
        <w:t>（</w:t>
      </w:r>
      <w:r>
        <w:rPr>
          <w:sz w:val="21"/>
        </w:rPr>
        <w:t>2）详查。对确认发生松材线虫病疫情的松林，详细调查疫情发生地点、寄主种类、发生面积（以小班为单位统计，不能以小班统计发生面积的以实际发生面积统计，四旁松树的发生面积按 100 株松树折算为 1 亩统计）、病死松树数量、林分状况以及发生原因等，绘制疫情分布示意图和疫情小班详图。调查病死树数量时，要将疫情发生小班内的枯死松树、濒死松树一并纳入病死松树进行调查和统计。</w:t>
      </w:r>
    </w:p>
    <w:p>
      <w:pPr>
        <w:ind w:firstLine="422"/>
        <w:jc w:val="both"/>
      </w:pPr>
      <w:r>
        <w:rPr>
          <w:b/>
          <w:sz w:val="21"/>
        </w:rPr>
        <w:t>（二）专项普查</w:t>
      </w:r>
      <w:r>
        <w:rPr>
          <w:sz w:val="21"/>
        </w:rPr>
        <w:t xml:space="preserve"> </w:t>
      </w:r>
    </w:p>
    <w:p>
      <w:pPr>
        <w:ind w:firstLine="420"/>
        <w:jc w:val="both"/>
      </w:pPr>
      <w:r>
        <w:rPr>
          <w:sz w:val="21"/>
        </w:rPr>
        <w:t>1.普查任务：主要任务是全面掌握疫情发生情况和防控成效，为科学决策和制定下一年度防控工作方案提供支撑。</w:t>
      </w:r>
    </w:p>
    <w:p>
      <w:pPr>
        <w:ind w:firstLine="420"/>
        <w:jc w:val="both"/>
      </w:pPr>
      <w:r>
        <w:rPr>
          <w:sz w:val="21"/>
        </w:rPr>
        <w:t>2.普查范围：所有松树分布区域。</w:t>
      </w:r>
    </w:p>
    <w:p>
      <w:pPr>
        <w:ind w:firstLine="420"/>
        <w:jc w:val="both"/>
      </w:pPr>
      <w:r>
        <w:rPr>
          <w:sz w:val="21"/>
        </w:rPr>
        <w:t>3.普查时间：于 2023 年秋季 9～10 月对全区松树进行专项普查。</w:t>
      </w:r>
    </w:p>
    <w:p>
      <w:pPr>
        <w:ind w:firstLine="420"/>
        <w:jc w:val="both"/>
      </w:pPr>
      <w:r>
        <w:rPr>
          <w:sz w:val="21"/>
        </w:rPr>
        <w:t>4.普查内容：结合日常监测，查清本辖区内病死（濒死、枯死、因致灾死）松树数量和疫情发生面积等疫情信息。</w:t>
      </w:r>
    </w:p>
    <w:p>
      <w:pPr>
        <w:ind w:firstLine="420"/>
        <w:jc w:val="both"/>
      </w:pPr>
      <w:r>
        <w:rPr>
          <w:sz w:val="21"/>
        </w:rPr>
        <w:t>5.普查方法：同日常监测。</w:t>
      </w:r>
    </w:p>
    <w:p>
      <w:pPr>
        <w:ind w:firstLine="422"/>
        <w:jc w:val="both"/>
      </w:pPr>
      <w:r>
        <w:rPr>
          <w:b/>
          <w:sz w:val="21"/>
        </w:rPr>
        <w:t>（三）取样</w:t>
      </w:r>
    </w:p>
    <w:p>
      <w:pPr>
        <w:ind w:firstLine="420"/>
        <w:jc w:val="both"/>
      </w:pPr>
      <w:r>
        <w:rPr>
          <w:sz w:val="21"/>
        </w:rPr>
        <w:t>1.取样对象：未发生疫情松林（小班、散生松林）内的尚未完全枯死或刚枯死的松树。不应抽取针叶已全部脱落、材质已腐朽的枯死松树。取样对象参考特征为：针叶呈现红褐色、黄褐色的松树；整株萎蔫、枯死或部分枝条萎蔫、枯死，但针叶下垂、不脱落的松树；树干部有松墨天牛等媒介昆虫的产卵刻槽、侵入孔的松树；树干部松脂渗出少或无松脂渗出的松树。</w:t>
      </w:r>
    </w:p>
    <w:p>
      <w:pPr>
        <w:ind w:firstLine="420"/>
        <w:jc w:val="both"/>
      </w:pPr>
      <w:r>
        <w:rPr>
          <w:sz w:val="21"/>
        </w:rPr>
        <w:t>2.取样部位：一般在树干下部（胸高处）、上部（主干与主侧枝交界处）、中部（上、下部之间）3 个部位取样。其中,对于仅部分枝条表现症状的,在树干上部和死亡枝条上取样。对于树干内发现媒介昆虫蛹的,优先在蛹室周围取样。</w:t>
      </w:r>
    </w:p>
    <w:p>
      <w:pPr>
        <w:ind w:firstLine="420"/>
        <w:jc w:val="both"/>
      </w:pPr>
      <w:r>
        <w:rPr>
          <w:sz w:val="21"/>
        </w:rPr>
        <w:t>3.取样方法：在取样部位剥净树皮,用砍刀或者斧头直接砍取 100-200 克木片;或者剥净树皮,从木质部表面至髓心钻取 100-200 克木屑;或者将枯死松树伐倒,在取样部位分别截取 2 厘米厚的圆盘。所取样品应当及时贴上标签,标明样品号、取样地点(需标明地理坐标)、树种、树龄、取样部位、取样时间和取样人等信息，及时送省林业局指定的广东省生态学院进行鉴定。</w:t>
      </w:r>
    </w:p>
    <w:p>
      <w:pPr>
        <w:ind w:firstLine="482"/>
        <w:jc w:val="both"/>
      </w:pPr>
      <w:r>
        <w:rPr>
          <w:b/>
          <w:sz w:val="24"/>
        </w:rPr>
        <w:t>6.2疫木除治</w:t>
      </w:r>
      <w:r>
        <w:rPr>
          <w:sz w:val="21"/>
        </w:rPr>
        <w:t xml:space="preserve"> </w:t>
      </w:r>
    </w:p>
    <w:p>
      <w:pPr>
        <w:ind w:firstLine="422"/>
        <w:jc w:val="both"/>
      </w:pPr>
      <w:r>
        <w:rPr>
          <w:b/>
          <w:sz w:val="21"/>
        </w:rPr>
        <w:t>（一）除治基本原则</w:t>
      </w:r>
    </w:p>
    <w:p>
      <w:pPr>
        <w:ind w:firstLine="420"/>
        <w:jc w:val="both"/>
      </w:pPr>
      <w:r>
        <w:rPr>
          <w:sz w:val="21"/>
        </w:rPr>
        <w:t>1、坚持政府主导、属地管理的原则</w:t>
      </w:r>
    </w:p>
    <w:p>
      <w:pPr>
        <w:ind w:firstLine="420"/>
        <w:jc w:val="both"/>
      </w:pPr>
      <w:r>
        <w:rPr>
          <w:sz w:val="21"/>
        </w:rPr>
        <w:t>开展松材线虫病疫情防控</w:t>
      </w:r>
      <w:r>
        <w:rPr>
          <w:sz w:val="21"/>
        </w:rPr>
        <w:t>“五查五降一保一增”行动，加大防治、检疫、监测、监管、监督力度，切实打好松材线虫病疫情防控攻坚战，全面做好松材线虫病等重大林业有害生物防治工作。</w:t>
      </w:r>
    </w:p>
    <w:p>
      <w:pPr>
        <w:ind w:firstLine="420"/>
        <w:jc w:val="both"/>
      </w:pPr>
      <w:r>
        <w:rPr>
          <w:sz w:val="21"/>
        </w:rPr>
        <w:t>2、坚持以清理病（枯）死松树为核心措施，综合防控的原则在全面监测浈江区松材线虫病疫情动态，明确分布情况、发生范围的前提下，采取以松材线虫病病（枯）死树“即死即清”为核心、以媒介昆虫防治为辅助、以地面化学防治为补充的综合防控措施。</w:t>
      </w:r>
    </w:p>
    <w:p>
      <w:pPr>
        <w:ind w:firstLine="422"/>
        <w:jc w:val="both"/>
      </w:pPr>
      <w:r>
        <w:rPr>
          <w:b/>
          <w:sz w:val="21"/>
        </w:rPr>
        <w:t>（二）择伐清理</w:t>
      </w:r>
    </w:p>
    <w:p>
      <w:pPr>
        <w:ind w:firstLine="420"/>
        <w:jc w:val="both"/>
      </w:pPr>
      <w:r>
        <w:rPr>
          <w:sz w:val="21"/>
        </w:rPr>
        <w:t>1.伐倒：使用油锯等伐倒病死树，对病死树的采伐做到从外向内逐一伐倒，注意伐倒方向，尽量选择林间空隙处倒伏。可先从树干低部将树伐倒，再用油锯等贴地截短伐桩，伐桩要求不超过 5 厘米。伐倒的病死树主干及直径 1 厘米以上910枝桠要按照“当日采伐当日除害处理完毕”的要求进行除害处理。</w:t>
      </w:r>
    </w:p>
    <w:p>
      <w:pPr>
        <w:ind w:firstLine="420"/>
        <w:jc w:val="both"/>
      </w:pPr>
      <w:r>
        <w:rPr>
          <w:sz w:val="21"/>
        </w:rPr>
        <w:t>2.伐桩处理：采取覆膜处理方式。疫木伐除后，在伐桩上放置磷化铝片 1～2 粒，用 0.1 毫米以上厚度的塑料薄膜覆盖,四周用土压实。</w:t>
      </w:r>
    </w:p>
    <w:p>
      <w:pPr>
        <w:ind w:firstLine="422"/>
        <w:jc w:val="both"/>
      </w:pPr>
      <w:r>
        <w:rPr>
          <w:b/>
          <w:sz w:val="21"/>
        </w:rPr>
        <w:t>（三）疫木处理</w:t>
      </w:r>
    </w:p>
    <w:p>
      <w:pPr>
        <w:ind w:firstLine="420"/>
        <w:jc w:val="both"/>
      </w:pPr>
      <w:r>
        <w:rPr>
          <w:sz w:val="21"/>
        </w:rPr>
        <w:t>设计全部采用套袋消杀处理方式。其中：对位于高山陡坡、林密或林下草灌丰富、通行困难，且使用粉碎（削片）、烧毁措施难度较大区域的病死树，采取套袋消杀的方法。在交通条件较好的地方，将枯死木伐倒截段后，转运到就近有松材线虫病疫木处理条件的定点加工厂进行疫木变性利用，生物发电及烧毁等处理。</w:t>
      </w:r>
      <w:r>
        <w:rPr>
          <w:sz w:val="21"/>
        </w:rPr>
        <w:t>套袋消杀处理材料及要求如下：</w:t>
      </w:r>
    </w:p>
    <w:p>
      <w:pPr>
        <w:ind w:firstLine="420"/>
        <w:jc w:val="both"/>
      </w:pPr>
      <w:r>
        <w:rPr>
          <w:sz w:val="21"/>
        </w:rPr>
        <w:t>1.消杀处理材料</w:t>
      </w:r>
    </w:p>
    <w:p>
      <w:pPr>
        <w:ind w:firstLine="420"/>
        <w:jc w:val="both"/>
      </w:pPr>
      <w:r>
        <w:rPr>
          <w:sz w:val="21"/>
        </w:rPr>
        <w:t>（</w:t>
      </w:r>
      <w:r>
        <w:rPr>
          <w:sz w:val="21"/>
        </w:rPr>
        <w:t>1）消杀药剂。56%磷化铝片剂等。</w:t>
      </w:r>
    </w:p>
    <w:p>
      <w:pPr>
        <w:ind w:firstLine="420"/>
        <w:jc w:val="both"/>
      </w:pPr>
      <w:r>
        <w:rPr>
          <w:sz w:val="21"/>
        </w:rPr>
        <w:t>（</w:t>
      </w:r>
      <w:r>
        <w:rPr>
          <w:sz w:val="21"/>
        </w:rPr>
        <w:t>2）消杀袋。总体要求：密封性好不透气、韧性好不易破、较环保能降解。质量要</w:t>
      </w:r>
      <w:r>
        <w:rPr>
          <w:sz w:val="21"/>
        </w:rPr>
        <w:t>求：牢固度</w:t>
      </w:r>
      <w:r>
        <w:rPr>
          <w:sz w:val="21"/>
        </w:rPr>
        <w:t>≥6个月。样式：桶形或长方体型。尺寸要求：长度≤180 厘米、宽度≤150 厘米、高度≤100 厘米。材质：聚乙烯、聚丙烯（可内覆薄膜）等。参考样式如下：</w:t>
      </w:r>
    </w:p>
    <w:p>
      <w:pPr>
        <w:ind w:firstLine="420"/>
        <w:jc w:val="both"/>
      </w:pPr>
      <w:r>
        <w:rPr>
          <w:sz w:val="21"/>
        </w:rPr>
        <w:t>A.桶形消杀袋。样式：桶形，卷状连续缠绕包装，用时可用剪刀剪成适当长度。尺寸：宽度 100～150 厘米，最后成包的长度≤180 厘米。膜厚度≥0.08 毫米（8 丝）。</w:t>
      </w:r>
      <w:r>
        <w:rPr>
          <w:sz w:val="21"/>
        </w:rPr>
        <w:t>颜色：白色、透明色或黑色等。</w:t>
      </w:r>
    </w:p>
    <w:p>
      <w:pPr>
        <w:ind w:firstLine="420"/>
        <w:jc w:val="both"/>
      </w:pPr>
      <w:r>
        <w:rPr>
          <w:sz w:val="21"/>
        </w:rPr>
        <w:t>B.长方形消杀袋。样式：长方体型，顶面开口。长、宽、高为100×80×60厘米。</w:t>
      </w:r>
      <w:r>
        <w:rPr>
          <w:sz w:val="21"/>
        </w:rPr>
        <w:t>颜色：白色、透明色或黑色等。其它要求：表面印记</w:t>
      </w:r>
      <w:r>
        <w:rPr>
          <w:sz w:val="21"/>
        </w:rPr>
        <w:t>“除害疫木”、“有毒有害”、“套袋消杀日期及联系人”等警示标识。</w:t>
      </w:r>
    </w:p>
    <w:p>
      <w:pPr>
        <w:ind w:firstLine="420"/>
        <w:jc w:val="both"/>
      </w:pPr>
      <w:r>
        <w:rPr>
          <w:sz w:val="21"/>
        </w:rPr>
        <w:t>（</w:t>
      </w:r>
      <w:r>
        <w:rPr>
          <w:sz w:val="21"/>
        </w:rPr>
        <w:t>3）封口材料。尼龙扎带（要求：耐腐蚀、耐高温、不易老化等）、封口胶带（要求：防水、不易老化、耐高温、耐腐蚀等）等。</w:t>
      </w:r>
    </w:p>
    <w:p>
      <w:pPr>
        <w:ind w:firstLine="420"/>
        <w:jc w:val="both"/>
      </w:pPr>
      <w:r>
        <w:rPr>
          <w:sz w:val="21"/>
        </w:rPr>
        <w:t>（</w:t>
      </w:r>
      <w:r>
        <w:rPr>
          <w:sz w:val="21"/>
        </w:rPr>
        <w:t>4）消杀处理工具。油锯、砍刀、剪刀、裁纸刀等，有毒有害警示标贴（要求：粘性</w:t>
      </w:r>
      <w:r>
        <w:rPr>
          <w:sz w:val="21"/>
        </w:rPr>
        <w:t>好、耐腐蚀、耐高温等）。</w:t>
      </w:r>
    </w:p>
    <w:p>
      <w:pPr>
        <w:ind w:firstLine="420"/>
        <w:jc w:val="both"/>
      </w:pPr>
      <w:r>
        <w:rPr>
          <w:sz w:val="21"/>
        </w:rPr>
        <w:t>2.消杀处理温度要求。作业时，当地日平均气温要高于10℃。</w:t>
      </w:r>
    </w:p>
    <w:p>
      <w:pPr>
        <w:ind w:firstLine="420"/>
        <w:jc w:val="both"/>
      </w:pPr>
      <w:r>
        <w:rPr>
          <w:sz w:val="21"/>
        </w:rPr>
        <w:t>3.消杀作业步骤</w:t>
      </w:r>
    </w:p>
    <w:p>
      <w:pPr>
        <w:ind w:firstLine="420"/>
        <w:jc w:val="both"/>
      </w:pPr>
      <w:r>
        <w:rPr>
          <w:sz w:val="21"/>
        </w:rPr>
        <w:t>（</w:t>
      </w:r>
      <w:r>
        <w:rPr>
          <w:sz w:val="21"/>
        </w:rPr>
        <w:t>1）整理:使用油锯、砍刀等清理病死树主干和枝桠，截成小于60厘米的木</w:t>
      </w:r>
      <w:r>
        <w:rPr>
          <w:sz w:val="21"/>
        </w:rPr>
        <w:t>段。收集整理直径</w:t>
      </w:r>
      <w:r>
        <w:rPr>
          <w:sz w:val="21"/>
        </w:rPr>
        <w:t>1厘米以上的枝桠和木段，做好装袋准备。</w:t>
      </w:r>
    </w:p>
    <w:p>
      <w:pPr>
        <w:ind w:firstLine="420"/>
        <w:jc w:val="both"/>
      </w:pPr>
      <w:r>
        <w:rPr>
          <w:sz w:val="21"/>
        </w:rPr>
        <w:t>（</w:t>
      </w:r>
      <w:r>
        <w:rPr>
          <w:sz w:val="21"/>
        </w:rPr>
        <w:t>2）装袋:判断树干和枝桠体积，选择（或裁剪成）合适的消杀袋和选择 （或清理出）地势较平、地下没有尖锐物的区域作为堆放区，将消杀袋平铺放置，依次将木段、枝桠放入袋中。装袋过程中要小心轻放，防止消杀袋弄破漏气。</w:t>
      </w:r>
    </w:p>
    <w:p>
      <w:pPr>
        <w:ind w:firstLine="420"/>
        <w:jc w:val="both"/>
      </w:pPr>
      <w:r>
        <w:rPr>
          <w:sz w:val="21"/>
        </w:rPr>
        <w:t>（</w:t>
      </w:r>
      <w:r>
        <w:rPr>
          <w:sz w:val="21"/>
        </w:rPr>
        <w:t>3）检查密封性:木段和枝桠装好后要仔细检查消杀袋密封性，发现有孔洞， 要用胶带或其它粘合剂补好。桶形消杀袋用尼龙带双扎封两端口后检查密封性（或先封闭一端后扭紧另一端封口检查密封性），长方体形消杀袋扭紧上端封口后检查密封性。发现不密封或密封性较差的，要查明原因，堵塞孔洞。</w:t>
      </w:r>
    </w:p>
    <w:p>
      <w:pPr>
        <w:ind w:firstLine="420"/>
        <w:jc w:val="both"/>
      </w:pPr>
      <w:r>
        <w:rPr>
          <w:sz w:val="21"/>
        </w:rPr>
        <w:t>（</w:t>
      </w:r>
      <w:r>
        <w:rPr>
          <w:sz w:val="21"/>
        </w:rPr>
        <w:t>4）投药。①桶形消杀袋可采用2种投药方式。一是封口前投药，先扎紧消杀袋一侧，确定消杀袋密封后，从另一侧迅速放入足量的消杀药剂后迅速双扎紧口。</w:t>
      </w:r>
      <w:r>
        <w:rPr>
          <w:sz w:val="21"/>
        </w:rPr>
        <w:t>二是封口后投药，确定密封后，在桶形消杀袋顶端用裁纸刀割</w:t>
      </w:r>
      <w:r>
        <w:rPr>
          <w:sz w:val="21"/>
        </w:rPr>
        <w:t>10～15 厘米封隙，迅速放入足量的消杀药剂（磷化铝按照 20～30克/立方米投放，下同） 后立即用胶带密封，并用警示标识覆盖在胶带封口处再次密封。②长方体形消杀袋从顶面投入消杀药剂后迅速扭紧并用尼龙扎带双扎封口。</w:t>
      </w:r>
    </w:p>
    <w:p>
      <w:pPr>
        <w:ind w:firstLine="420"/>
        <w:jc w:val="both"/>
      </w:pPr>
      <w:r>
        <w:rPr>
          <w:sz w:val="21"/>
        </w:rPr>
        <w:t>（</w:t>
      </w:r>
      <w:r>
        <w:rPr>
          <w:sz w:val="21"/>
        </w:rPr>
        <w:t>5）收尾:检查防治现场是否有遗漏枝桠或木段，再次检查消杀袋密封性，如有不符合要求的要重新进行处理。同时，使用记号笔标明相关信息，包括清理时间、作业公司等；对伐桩、消杀袋等进行拍照（建议使用手机的“水印相机 APP”，要在照片上显示时间、天气、地点、海拔、经纬度等信息）。</w:t>
      </w:r>
    </w:p>
    <w:p>
      <w:pPr>
        <w:ind w:firstLine="442"/>
        <w:jc w:val="both"/>
      </w:pPr>
      <w:r>
        <w:rPr>
          <w:b/>
          <w:sz w:val="22"/>
        </w:rPr>
        <w:t>6.3媒介昆虫防治</w:t>
      </w:r>
    </w:p>
    <w:p>
      <w:pPr>
        <w:ind w:firstLine="422"/>
        <w:jc w:val="both"/>
      </w:pPr>
      <w:r>
        <w:rPr>
          <w:b/>
          <w:sz w:val="21"/>
        </w:rPr>
        <w:t>（一）诱捕器诱杀防治</w:t>
      </w:r>
    </w:p>
    <w:p>
      <w:pPr>
        <w:ind w:firstLine="420"/>
        <w:jc w:val="both"/>
      </w:pPr>
      <w:r>
        <w:rPr>
          <w:sz w:val="21"/>
        </w:rPr>
        <w:t>1.松墨天牛传播活动规律：松墨天牛以老熟幼虫在木质部坑道中越冬。次年3 月下旬，越冬幼虫开始在虫道末端蛹室中化蛹。4 月中旬即有成虫开始羽化，成虫羽化后经 6～8 天才从木质部内咬一圆形直径 8～10 毫米羽化孔外出，时间多在傍晚和夜间，雌雄性比约 1:1。成虫是传播松材线虫的媒介，5 月为成虫活动盛期。成虫从木质部中外出后，体表即有线虫附着，但大部分线虫在体内，并以头、胸部最多，可分布在整个气管系统内，1 头成虫保持线虫数最高可达 289000条，一般在成虫羽化外出后 2～3 周，线虫脱离虫体，脱出率约 43%～70%，脱离的线虫能侵入树干危害。</w:t>
      </w:r>
    </w:p>
    <w:p>
      <w:pPr>
        <w:ind w:firstLine="420"/>
        <w:jc w:val="both"/>
      </w:pPr>
      <w:r>
        <w:rPr>
          <w:sz w:val="21"/>
        </w:rPr>
        <w:t>2.诱捕器挂设：松墨天牛越冬代成虫羽化始期至当年松墨天牛末代羽化末期为 4 月中旬至 11 月，设计于 4 月中旬，选择松墨天牛虫口密度较高，地势开阔、通风条件好、便于作业的林道边或山脊处，用塑料绳将诱捕器悬挂于树枝或捆绑12于树干上，悬挂高度以集虫罐基部距地面 1.3 米为宜。每个诱捕器诱捕范围 15～30 亩，诱捕器间隔距离≥150 米，于 4 月中旬全部完成挂设安放，如遇下雨天，时间可适当顺延，但下雨停止后须立即完成挂设。于 4 月中旬～11 月，每隔 1 个月左右清理诱集到的昆虫，更换新诱芯，并核实登记松墨天牛诱集数量。登记数量可参考下表 1。</w:t>
      </w:r>
    </w:p>
    <w:p>
      <w:pPr>
        <w:ind w:firstLine="420"/>
      </w:pPr>
      <w:r>
        <w:rPr>
          <w:sz w:val="21"/>
        </w:rPr>
        <w:t xml:space="preserve">        表</w:t>
      </w:r>
      <w:r>
        <w:rPr/>
        <w:t xml:space="preserve"> </w:t>
      </w:r>
      <w:r>
        <w:rPr>
          <w:sz w:val="21"/>
        </w:rPr>
        <w:t>1：诱捕器诱捕天牛成虫数量登记</w:t>
      </w:r>
      <w:r>
        <w:rPr>
          <w:sz w:val="21"/>
        </w:rPr>
        <w:t>表</w:t>
      </w:r>
    </w:p>
    <w:tbl>
      <w:tblPr>
        <w:tblW w:w="0" w:type="auto"/>
        <w:tblInd w:type="dxa" w:w="135"/>
        <w:tblBorders>
          <w:top w:val="none" w:color="000000" w:sz="4"/>
          <w:left w:val="none" w:color="000000" w:sz="4"/>
          <w:bottom w:val="none" w:color="000000" w:sz="4"/>
          <w:right w:val="none" w:color="000000" w:sz="4"/>
          <w:insideH w:val="none"/>
          <w:insideV w:val="none"/>
        </w:tblBorders>
      </w:tblPr>
      <w:tblGrid>
        <w:gridCol w:w="675"/>
        <w:gridCol w:w="765"/>
        <w:gridCol w:w="675"/>
        <w:gridCol w:w="780"/>
        <w:gridCol w:w="720"/>
        <w:gridCol w:w="990"/>
        <w:gridCol w:w="870"/>
        <w:gridCol w:w="1155"/>
        <w:gridCol w:w="1545"/>
      </w:tblGrid>
      <w:tr>
        <w:tc>
          <w:tcPr>
            <w:tcW w:type="dxa" w:w="675"/>
            <w:vMerge w:val="restart"/>
            <w:tcBorders>
              <w:top w:val="single" w:color="000000" w:sz="4"/>
              <w:left w:val="single" w:color="000000" w:sz="4"/>
              <w:bottom w:val="none" w:color="000000" w:sz="4"/>
              <w:right w:val="single" w:color="000000" w:sz="4"/>
            </w:tcBorders>
            <w:vAlign w:val="top"/>
          </w:tcPr>
          <w:p>
            <w:pPr>
              <w:jc w:val="both"/>
            </w:pPr>
            <w:r>
              <w:rPr>
                <w:sz w:val="21"/>
              </w:rPr>
              <w:t>诱</w:t>
            </w:r>
            <w:r>
              <w:rPr>
                <w:sz w:val="21"/>
              </w:rPr>
              <w:t>捕</w:t>
            </w:r>
          </w:p>
          <w:p>
            <w:pPr>
              <w:jc w:val="both"/>
            </w:pPr>
            <w:r>
              <w:rPr>
                <w:sz w:val="21"/>
              </w:rPr>
              <w:t>器号</w:t>
            </w:r>
          </w:p>
        </w:tc>
        <w:tc>
          <w:tcPr>
            <w:tcW w:type="dxa" w:w="3930"/>
            <w:gridSpan w:val="5"/>
            <w:tcBorders>
              <w:top w:val="single" w:color="000000" w:sz="4"/>
              <w:left w:val="single" w:color="000000" w:sz="4"/>
              <w:bottom w:val="single" w:color="000000" w:sz="4"/>
              <w:right w:val="single" w:color="000000" w:sz="4"/>
            </w:tcBorders>
            <w:vAlign w:val="top"/>
          </w:tcPr>
          <w:p>
            <w:pPr>
              <w:jc w:val="both"/>
            </w:pPr>
            <w:r>
              <w:rPr>
                <w:sz w:val="21"/>
              </w:rPr>
              <w:t>诱捕器挂放位置</w:t>
            </w:r>
          </w:p>
        </w:tc>
        <w:tc>
          <w:tcPr>
            <w:tcW w:type="dxa" w:w="870"/>
            <w:vMerge w:val="restart"/>
            <w:tcBorders>
              <w:top w:val="single" w:color="000000" w:sz="4"/>
              <w:left w:val="single" w:color="000000" w:sz="4"/>
              <w:bottom w:val="none" w:color="000000" w:sz="4"/>
              <w:right w:val="single" w:color="000000" w:sz="4"/>
            </w:tcBorders>
            <w:vAlign w:val="top"/>
          </w:tcPr>
          <w:p>
            <w:pPr>
              <w:jc w:val="both"/>
            </w:pPr>
            <w:r>
              <w:rPr>
                <w:sz w:val="21"/>
              </w:rPr>
              <w:t>调查</w:t>
            </w:r>
          </w:p>
          <w:p>
            <w:pPr>
              <w:jc w:val="both"/>
            </w:pPr>
            <w:r>
              <w:rPr>
                <w:sz w:val="21"/>
              </w:rPr>
              <w:t>时</w:t>
            </w:r>
            <w:r>
              <w:rPr>
                <w:sz w:val="21"/>
              </w:rPr>
              <w:t>间</w:t>
            </w:r>
          </w:p>
        </w:tc>
        <w:tc>
          <w:tcPr>
            <w:tcW w:type="dxa" w:w="1155"/>
            <w:vMerge w:val="restart"/>
            <w:tcBorders>
              <w:top w:val="single" w:color="000000" w:sz="4"/>
              <w:left w:val="single" w:color="000000" w:sz="4"/>
              <w:bottom w:val="none" w:color="000000" w:sz="4"/>
              <w:right w:val="single" w:color="000000" w:sz="4"/>
            </w:tcBorders>
            <w:vAlign w:val="top"/>
          </w:tcPr>
          <w:p>
            <w:pPr>
              <w:jc w:val="both"/>
            </w:pPr>
            <w:r>
              <w:rPr>
                <w:sz w:val="21"/>
              </w:rPr>
              <w:t>诱</w:t>
            </w:r>
            <w:r>
              <w:rPr>
                <w:sz w:val="21"/>
              </w:rPr>
              <w:t>捕数量</w:t>
            </w:r>
          </w:p>
          <w:p>
            <w:pPr>
              <w:jc w:val="both"/>
            </w:pPr>
            <w:r>
              <w:rPr>
                <w:sz w:val="21"/>
              </w:rPr>
              <w:t>(头)</w:t>
            </w:r>
          </w:p>
        </w:tc>
        <w:tc>
          <w:tcPr>
            <w:tcW w:type="dxa" w:w="1545"/>
            <w:vMerge w:val="restart"/>
            <w:tcBorders>
              <w:top w:val="single" w:color="000000" w:sz="4"/>
              <w:left w:val="single" w:color="000000" w:sz="4"/>
              <w:bottom w:val="none" w:color="000000" w:sz="4"/>
              <w:right w:val="single" w:color="000000" w:sz="4"/>
            </w:tcBorders>
            <w:vAlign w:val="top"/>
          </w:tcPr>
          <w:p>
            <w:pPr>
              <w:jc w:val="both"/>
            </w:pPr>
          </w:p>
          <w:p>
            <w:pPr>
              <w:jc w:val="both"/>
            </w:pPr>
            <w:r>
              <w:rPr>
                <w:sz w:val="21"/>
              </w:rPr>
              <w:t>备注</w:t>
            </w:r>
          </w:p>
        </w:tc>
      </w:tr>
      <w:tr>
        <w:tc>
          <w:tcPr>
            <w:tcW w:type="dxa" w:w="675"/>
            <w:vMerge/>
            <w:tcBorders>
              <w:top w:val="single" w:color="000000" w:sz="4"/>
              <w:left w:val="single" w:color="000000" w:sz="4"/>
              <w:bottom w:val="none" w:color="000000" w:sz="4"/>
              <w:right w:val="single" w:color="000000" w:sz="4"/>
            </w:tcBorders>
          </w:tcPr>
          <w:p/>
        </w:tc>
        <w:tc>
          <w:tcPr>
            <w:tcW w:type="dxa" w:w="765"/>
            <w:tcBorders>
              <w:top w:val="none" w:color="000000" w:sz="4"/>
              <w:left w:val="single" w:color="000000" w:sz="4"/>
              <w:bottom w:val="single" w:color="000000" w:sz="4"/>
              <w:right w:val="single" w:color="000000" w:sz="4"/>
            </w:tcBorders>
            <w:vAlign w:val="top"/>
          </w:tcPr>
          <w:p>
            <w:pPr>
              <w:jc w:val="both"/>
            </w:pPr>
            <w:r>
              <w:rPr>
                <w:sz w:val="21"/>
              </w:rPr>
              <w:t>镇</w:t>
            </w:r>
          </w:p>
        </w:tc>
        <w:tc>
          <w:tcPr>
            <w:tcW w:type="dxa" w:w="675"/>
            <w:tcBorders>
              <w:top w:val="single" w:color="000000" w:sz="4"/>
              <w:left w:val="single" w:color="000000" w:sz="4"/>
              <w:bottom w:val="single" w:color="000000" w:sz="4"/>
              <w:right w:val="single" w:color="000000" w:sz="4"/>
            </w:tcBorders>
            <w:vAlign w:val="top"/>
          </w:tcPr>
          <w:p>
            <w:pPr>
              <w:jc w:val="both"/>
            </w:pPr>
            <w:r>
              <w:rPr>
                <w:sz w:val="21"/>
              </w:rPr>
              <w:t>村</w:t>
            </w:r>
          </w:p>
        </w:tc>
        <w:tc>
          <w:tcPr>
            <w:tcW w:type="dxa" w:w="780"/>
            <w:tcBorders>
              <w:top w:val="single" w:color="000000" w:sz="4"/>
              <w:left w:val="single" w:color="000000" w:sz="4"/>
              <w:bottom w:val="single" w:color="000000" w:sz="4"/>
              <w:right w:val="single" w:color="000000" w:sz="4"/>
            </w:tcBorders>
            <w:vAlign w:val="top"/>
          </w:tcPr>
          <w:p>
            <w:pPr>
              <w:jc w:val="both"/>
            </w:pPr>
            <w:r>
              <w:rPr>
                <w:sz w:val="21"/>
              </w:rPr>
              <w:t>林班</w:t>
            </w:r>
          </w:p>
        </w:tc>
        <w:tc>
          <w:tcPr>
            <w:tcW w:type="dxa" w:w="720"/>
            <w:tcBorders>
              <w:top w:val="single" w:color="000000" w:sz="4"/>
              <w:left w:val="single" w:color="000000" w:sz="4"/>
              <w:bottom w:val="single" w:color="000000" w:sz="4"/>
              <w:right w:val="single" w:color="000000" w:sz="4"/>
            </w:tcBorders>
            <w:vAlign w:val="top"/>
          </w:tcPr>
          <w:p>
            <w:pPr>
              <w:jc w:val="both"/>
            </w:pPr>
            <w:r>
              <w:rPr>
                <w:sz w:val="21"/>
              </w:rPr>
              <w:t>小班</w:t>
            </w:r>
          </w:p>
        </w:tc>
        <w:tc>
          <w:tcPr>
            <w:tcW w:type="dxa" w:w="990"/>
            <w:tcBorders>
              <w:top w:val="single" w:color="000000" w:sz="4"/>
              <w:left w:val="single" w:color="000000" w:sz="4"/>
              <w:bottom w:val="single" w:color="000000" w:sz="4"/>
              <w:right w:val="single" w:color="000000" w:sz="4"/>
            </w:tcBorders>
            <w:vAlign w:val="top"/>
          </w:tcPr>
          <w:p>
            <w:pPr>
              <w:jc w:val="both"/>
            </w:pPr>
            <w:r>
              <w:rPr>
                <w:sz w:val="21"/>
              </w:rPr>
              <w:t>小地名</w:t>
            </w:r>
          </w:p>
        </w:tc>
      </w:tr>
      <w:tr>
        <w:tc>
          <w:tcPr>
            <w:tcW w:type="dxa" w:w="675"/>
            <w:tcBorders>
              <w:top w:val="none" w:color="000000" w:sz="4"/>
              <w:left w:val="single" w:color="000000" w:sz="4"/>
              <w:bottom w:val="single" w:color="000000" w:sz="4"/>
              <w:right w:val="single" w:color="000000" w:sz="4"/>
            </w:tcBorders>
            <w:vAlign w:val="top"/>
          </w:tcPr>
          <w:p>
            <w:pPr>
              <w:jc w:val="both"/>
            </w:pPr>
          </w:p>
        </w:tc>
        <w:tc>
          <w:tcPr>
            <w:tcW w:type="dxa" w:w="765"/>
            <w:tcBorders>
              <w:top w:val="none" w:color="000000" w:sz="4"/>
              <w:left w:val="single" w:color="000000" w:sz="4"/>
              <w:bottom w:val="single" w:color="000000" w:sz="4"/>
              <w:right w:val="single" w:color="000000" w:sz="4"/>
            </w:tcBorders>
            <w:vAlign w:val="top"/>
          </w:tcPr>
          <w:p>
            <w:pPr>
              <w:jc w:val="both"/>
            </w:pPr>
          </w:p>
        </w:tc>
        <w:tc>
          <w:tcPr>
            <w:tcW w:type="dxa" w:w="675"/>
            <w:tcBorders>
              <w:top w:val="none" w:color="000000" w:sz="4"/>
              <w:left w:val="single" w:color="000000" w:sz="4"/>
              <w:bottom w:val="single" w:color="000000" w:sz="4"/>
              <w:right w:val="single" w:color="000000" w:sz="4"/>
            </w:tcBorders>
            <w:vAlign w:val="top"/>
          </w:tcPr>
          <w:p>
            <w:pPr>
              <w:jc w:val="both"/>
            </w:pPr>
          </w:p>
        </w:tc>
        <w:tc>
          <w:tcPr>
            <w:tcW w:type="dxa" w:w="780"/>
            <w:tcBorders>
              <w:top w:val="none" w:color="000000" w:sz="4"/>
              <w:left w:val="single" w:color="000000" w:sz="4"/>
              <w:bottom w:val="single" w:color="000000" w:sz="4"/>
              <w:right w:val="single" w:color="000000" w:sz="4"/>
            </w:tcBorders>
            <w:vAlign w:val="top"/>
          </w:tcPr>
          <w:p>
            <w:pPr>
              <w:jc w:val="both"/>
            </w:pPr>
          </w:p>
        </w:tc>
        <w:tc>
          <w:tcPr>
            <w:tcW w:type="dxa" w:w="720"/>
            <w:tcBorders>
              <w:top w:val="none" w:color="000000" w:sz="4"/>
              <w:left w:val="single" w:color="000000" w:sz="4"/>
              <w:bottom w:val="single" w:color="000000" w:sz="4"/>
              <w:right w:val="single" w:color="000000" w:sz="4"/>
            </w:tcBorders>
            <w:vAlign w:val="top"/>
          </w:tcPr>
          <w:p>
            <w:pPr>
              <w:jc w:val="both"/>
            </w:pPr>
          </w:p>
        </w:tc>
        <w:tc>
          <w:tcPr>
            <w:tcW w:type="dxa" w:w="990"/>
            <w:tcBorders>
              <w:top w:val="none" w:color="000000" w:sz="4"/>
              <w:left w:val="single" w:color="000000" w:sz="4"/>
              <w:bottom w:val="single" w:color="000000" w:sz="4"/>
              <w:right w:val="single" w:color="000000" w:sz="4"/>
            </w:tcBorders>
            <w:vAlign w:val="top"/>
          </w:tcPr>
          <w:p>
            <w:pPr>
              <w:jc w:val="both"/>
            </w:pPr>
          </w:p>
        </w:tc>
        <w:tc>
          <w:tcPr>
            <w:tcW w:type="dxa" w:w="870"/>
            <w:tcBorders>
              <w:top w:val="none" w:color="000000" w:sz="4"/>
              <w:left w:val="single" w:color="000000" w:sz="4"/>
              <w:bottom w:val="single" w:color="000000" w:sz="4"/>
              <w:right w:val="single" w:color="000000" w:sz="4"/>
            </w:tcBorders>
            <w:vAlign w:val="top"/>
          </w:tcPr>
          <w:p>
            <w:pPr>
              <w:jc w:val="both"/>
            </w:pPr>
          </w:p>
        </w:tc>
        <w:tc>
          <w:tcPr>
            <w:tcW w:type="dxa" w:w="1155"/>
            <w:tcBorders>
              <w:top w:val="none" w:color="000000" w:sz="4"/>
              <w:left w:val="single" w:color="000000" w:sz="4"/>
              <w:bottom w:val="single" w:color="000000" w:sz="4"/>
              <w:right w:val="single" w:color="000000" w:sz="4"/>
            </w:tcBorders>
            <w:vAlign w:val="top"/>
          </w:tcPr>
          <w:p>
            <w:pPr>
              <w:jc w:val="both"/>
            </w:pPr>
          </w:p>
        </w:tc>
        <w:tc>
          <w:tcPr>
            <w:tcW w:type="dxa" w:w="1545"/>
            <w:tcBorders>
              <w:top w:val="none" w:color="000000" w:sz="4"/>
              <w:left w:val="single" w:color="000000" w:sz="4"/>
              <w:bottom w:val="single" w:color="000000" w:sz="4"/>
              <w:right w:val="single" w:color="000000" w:sz="4"/>
            </w:tcBorders>
            <w:vAlign w:val="top"/>
          </w:tcPr>
          <w:p>
            <w:pPr>
              <w:jc w:val="both"/>
            </w:pPr>
          </w:p>
        </w:tc>
      </w:tr>
      <w:tr>
        <w:tc>
          <w:tcPr>
            <w:tcW w:type="dxa" w:w="675"/>
            <w:tcBorders>
              <w:top w:val="none" w:color="000000" w:sz="4"/>
              <w:left w:val="single" w:color="000000" w:sz="4"/>
              <w:bottom w:val="single" w:color="000000" w:sz="4"/>
              <w:right w:val="single" w:color="000000" w:sz="4"/>
            </w:tcBorders>
            <w:vAlign w:val="top"/>
          </w:tcPr>
          <w:p>
            <w:pPr>
              <w:jc w:val="both"/>
            </w:pPr>
          </w:p>
        </w:tc>
        <w:tc>
          <w:tcPr>
            <w:tcW w:type="dxa" w:w="765"/>
            <w:tcBorders>
              <w:top w:val="none" w:color="000000" w:sz="4"/>
              <w:left w:val="single" w:color="000000" w:sz="4"/>
              <w:bottom w:val="single" w:color="000000" w:sz="4"/>
              <w:right w:val="single" w:color="000000" w:sz="4"/>
            </w:tcBorders>
            <w:vAlign w:val="top"/>
          </w:tcPr>
          <w:p>
            <w:pPr>
              <w:jc w:val="both"/>
            </w:pPr>
          </w:p>
        </w:tc>
        <w:tc>
          <w:tcPr>
            <w:tcW w:type="dxa" w:w="675"/>
            <w:tcBorders>
              <w:top w:val="none" w:color="000000" w:sz="4"/>
              <w:left w:val="single" w:color="000000" w:sz="4"/>
              <w:bottom w:val="single" w:color="000000" w:sz="4"/>
              <w:right w:val="single" w:color="000000" w:sz="4"/>
            </w:tcBorders>
            <w:vAlign w:val="top"/>
          </w:tcPr>
          <w:p>
            <w:pPr>
              <w:jc w:val="both"/>
            </w:pPr>
          </w:p>
        </w:tc>
        <w:tc>
          <w:tcPr>
            <w:tcW w:type="dxa" w:w="780"/>
            <w:tcBorders>
              <w:top w:val="none" w:color="000000" w:sz="4"/>
              <w:left w:val="single" w:color="000000" w:sz="4"/>
              <w:bottom w:val="single" w:color="000000" w:sz="4"/>
              <w:right w:val="single" w:color="000000" w:sz="4"/>
            </w:tcBorders>
            <w:vAlign w:val="top"/>
          </w:tcPr>
          <w:p>
            <w:pPr>
              <w:jc w:val="both"/>
            </w:pPr>
          </w:p>
        </w:tc>
        <w:tc>
          <w:tcPr>
            <w:tcW w:type="dxa" w:w="720"/>
            <w:tcBorders>
              <w:top w:val="none" w:color="000000" w:sz="4"/>
              <w:left w:val="single" w:color="000000" w:sz="4"/>
              <w:bottom w:val="single" w:color="000000" w:sz="4"/>
              <w:right w:val="single" w:color="000000" w:sz="4"/>
            </w:tcBorders>
            <w:vAlign w:val="top"/>
          </w:tcPr>
          <w:p>
            <w:pPr>
              <w:jc w:val="both"/>
            </w:pPr>
          </w:p>
        </w:tc>
        <w:tc>
          <w:tcPr>
            <w:tcW w:type="dxa" w:w="990"/>
            <w:tcBorders>
              <w:top w:val="none" w:color="000000" w:sz="4"/>
              <w:left w:val="single" w:color="000000" w:sz="4"/>
              <w:bottom w:val="single" w:color="000000" w:sz="4"/>
              <w:right w:val="single" w:color="000000" w:sz="4"/>
            </w:tcBorders>
            <w:vAlign w:val="top"/>
          </w:tcPr>
          <w:p>
            <w:pPr>
              <w:jc w:val="both"/>
            </w:pPr>
          </w:p>
        </w:tc>
        <w:tc>
          <w:tcPr>
            <w:tcW w:type="dxa" w:w="870"/>
            <w:tcBorders>
              <w:top w:val="none" w:color="000000" w:sz="4"/>
              <w:left w:val="single" w:color="000000" w:sz="4"/>
              <w:bottom w:val="single" w:color="000000" w:sz="4"/>
              <w:right w:val="single" w:color="000000" w:sz="4"/>
            </w:tcBorders>
            <w:vAlign w:val="top"/>
          </w:tcPr>
          <w:p>
            <w:pPr>
              <w:jc w:val="both"/>
            </w:pPr>
          </w:p>
        </w:tc>
        <w:tc>
          <w:tcPr>
            <w:tcW w:type="dxa" w:w="1155"/>
            <w:tcBorders>
              <w:top w:val="none" w:color="000000" w:sz="4"/>
              <w:left w:val="single" w:color="000000" w:sz="4"/>
              <w:bottom w:val="single" w:color="000000" w:sz="4"/>
              <w:right w:val="single" w:color="000000" w:sz="4"/>
            </w:tcBorders>
            <w:vAlign w:val="top"/>
          </w:tcPr>
          <w:p>
            <w:pPr>
              <w:jc w:val="both"/>
            </w:pPr>
          </w:p>
        </w:tc>
        <w:tc>
          <w:tcPr>
            <w:tcW w:type="dxa" w:w="1545"/>
            <w:tcBorders>
              <w:top w:val="none" w:color="000000" w:sz="4"/>
              <w:left w:val="single" w:color="000000" w:sz="4"/>
              <w:bottom w:val="single" w:color="000000" w:sz="4"/>
              <w:right w:val="single" w:color="000000" w:sz="4"/>
            </w:tcBorders>
            <w:vAlign w:val="top"/>
          </w:tcPr>
          <w:p>
            <w:pPr>
              <w:jc w:val="both"/>
            </w:pPr>
          </w:p>
        </w:tc>
      </w:tr>
    </w:tbl>
    <w:p/>
    <w:p>
      <w:pPr>
        <w:ind w:firstLine="420"/>
        <w:jc w:val="both"/>
      </w:pPr>
      <w:r>
        <w:rPr>
          <w:sz w:val="21"/>
        </w:rPr>
        <w:t>3.诱捕器设置数量：设计在新韶镇悬挂诱捕器 30 个，其中在石山村虫口密度较大的 5 个小班中共悬挂诱捕器 16 个，在黄浪水虫口密度较大的 5 个小班中共悬挂诱捕器 14 个。详见附表3。</w:t>
      </w:r>
    </w:p>
    <w:p>
      <w:pPr>
        <w:ind w:firstLine="422"/>
        <w:jc w:val="both"/>
      </w:pPr>
      <w:r>
        <w:rPr>
          <w:b/>
          <w:sz w:val="21"/>
        </w:rPr>
        <w:t>（二）人工施药防治</w:t>
      </w:r>
    </w:p>
    <w:p>
      <w:pPr>
        <w:ind w:firstLine="420"/>
        <w:jc w:val="both"/>
      </w:pPr>
      <w:r>
        <w:rPr>
          <w:sz w:val="21"/>
        </w:rPr>
        <w:t>1.防治对象：浈江区城镇周边具有一定森林景观观赏价值，优势树种为马尾松、湿地松的林分。</w:t>
      </w:r>
    </w:p>
    <w:p>
      <w:pPr>
        <w:ind w:firstLine="420"/>
        <w:jc w:val="both"/>
      </w:pPr>
      <w:r>
        <w:rPr>
          <w:sz w:val="21"/>
        </w:rPr>
        <w:t>2.施药范围及面积：施药范围为 2 镇 7 村 53 个小班，施药面积 7385 亩。其中：十里亭镇 2 个村 20 个小班，施药面积 2597 亩；新韶镇 5 个村 33 个小班，施药面积 4788 亩。详见附表 3。</w:t>
      </w:r>
    </w:p>
    <w:p>
      <w:pPr>
        <w:ind w:firstLine="420"/>
        <w:jc w:val="both"/>
      </w:pPr>
      <w:r>
        <w:rPr>
          <w:sz w:val="21"/>
        </w:rPr>
        <w:t>3.防治方法：在松墨天牛第 1 代羽化初期（4 月底或 5 月上旬）和越冬代羽化初期（</w:t>
      </w:r>
      <w:r>
        <w:rPr>
          <w:sz w:val="21"/>
        </w:rPr>
        <w:t>7 月中上旬），使用背负式或担架式喷药器具，在这两个时段各喷药 1 次，施用 1％噻虫啉微胶囊粉剂，用药量 500 克/亩次，如遇下雨天，喷药时间可适当顺延。</w:t>
      </w:r>
    </w:p>
    <w:p>
      <w:pPr>
        <w:ind w:firstLine="420"/>
        <w:jc w:val="both"/>
      </w:pPr>
      <w:r>
        <w:rPr>
          <w:sz w:val="21"/>
        </w:rPr>
        <w:t>4.注意事项</w:t>
      </w:r>
    </w:p>
    <w:p>
      <w:pPr>
        <w:ind w:firstLine="420"/>
        <w:jc w:val="both"/>
      </w:pPr>
      <w:r>
        <w:rPr>
          <w:sz w:val="21"/>
        </w:rPr>
        <w:t>（</w:t>
      </w:r>
      <w:r>
        <w:rPr>
          <w:sz w:val="21"/>
        </w:rPr>
        <w:t>1）由于施用噻虫啉粉剂技术性较强，施药人员需要购买人身保险。保险和劳保用品均由承包方购置。</w:t>
      </w:r>
    </w:p>
    <w:p>
      <w:pPr>
        <w:ind w:firstLine="420"/>
        <w:jc w:val="both"/>
      </w:pPr>
      <w:r>
        <w:rPr>
          <w:sz w:val="21"/>
        </w:rPr>
        <w:t>（</w:t>
      </w:r>
      <w:r>
        <w:rPr>
          <w:sz w:val="21"/>
        </w:rPr>
        <w:t>2）在郁闭度较高的林区可适当加大药剂用量。喷粉时要注意风向，以顺风为宜。喷粉选择清晨林间露水较多时为最佳，以便药剂更好地黏附在树枝和树干上。</w:t>
      </w:r>
    </w:p>
    <w:p/>
    <w:p>
      <w:pPr>
        <w:ind w:firstLine="482"/>
        <w:jc w:val="both"/>
      </w:pPr>
      <w:r>
        <w:rPr>
          <w:b/>
          <w:sz w:val="21"/>
        </w:rPr>
        <w:t>6.4检疫封锁、疫木监管和宣传培训</w:t>
      </w:r>
    </w:p>
    <w:p>
      <w:pPr>
        <w:ind w:firstLine="422"/>
        <w:jc w:val="both"/>
      </w:pPr>
      <w:r>
        <w:rPr>
          <w:b/>
          <w:sz w:val="21"/>
        </w:rPr>
        <w:t>（一）检疫封锁</w:t>
      </w:r>
    </w:p>
    <w:p>
      <w:pPr>
        <w:ind w:firstLine="420"/>
        <w:jc w:val="both"/>
      </w:pPr>
      <w:r>
        <w:rPr>
          <w:sz w:val="21"/>
        </w:rPr>
        <w:t>1.加强对全区涉木企业及个人的监管，实行涉木企业及个人登记备案制度，建立《生产使用经营松木单位和个人档案》。</w:t>
      </w:r>
    </w:p>
    <w:p>
      <w:pPr>
        <w:ind w:firstLine="420"/>
        <w:jc w:val="both"/>
      </w:pPr>
      <w:r>
        <w:rPr>
          <w:sz w:val="21"/>
        </w:rPr>
        <w:t>2.定期对全区松木经营加工企业进行检疫检查，严厉打击各类违法违规经营加工使用疫木的行为，严防松材线虫病疫木流失。</w:t>
      </w:r>
    </w:p>
    <w:p>
      <w:pPr>
        <w:ind w:firstLine="420"/>
        <w:jc w:val="both"/>
      </w:pPr>
      <w:r>
        <w:rPr>
          <w:sz w:val="21"/>
        </w:rPr>
        <w:t>3.加强对货物运输进入本区的电缆盘、光缆盘、木质包装材料等松木及其制品的复检，严防松材线虫病疫情传入。</w:t>
      </w:r>
    </w:p>
    <w:p>
      <w:pPr>
        <w:ind w:firstLine="422"/>
        <w:jc w:val="both"/>
      </w:pPr>
      <w:r>
        <w:rPr>
          <w:b/>
          <w:sz w:val="21"/>
        </w:rPr>
        <w:t>（二）疫木监管</w:t>
      </w:r>
    </w:p>
    <w:p>
      <w:pPr>
        <w:ind w:firstLine="420"/>
        <w:jc w:val="both"/>
      </w:pPr>
      <w:r>
        <w:rPr>
          <w:sz w:val="21"/>
        </w:rPr>
        <w:t>1.全面实施检疫，掌握木材来源和去向。检查调运的木材有没有《植物检疫证书》，严禁外地疫木非法流入，严禁当地疫木流通和加工利用；开展对松属植物苗木繁育场的疫情调查，禁止带疫苗木入圃种植或出圃外运。</w:t>
      </w:r>
    </w:p>
    <w:p>
      <w:pPr>
        <w:ind w:firstLine="420"/>
        <w:jc w:val="both"/>
      </w:pPr>
      <w:r>
        <w:rPr>
          <w:sz w:val="21"/>
        </w:rPr>
        <w:t>2.加强疫区和疫木采伐管理。对已经发生松材线虫病的镇不进行松木商品材采伐，只实施除治性采伐，采伐的疫木木材就地除害处理。其他镇需要进行松木商品材采伐的，要严格按程序报批。凡未按上述要求，擅自进行松木采伐和松木放行的要追究有关人员责任。</w:t>
      </w:r>
    </w:p>
    <w:p>
      <w:pPr>
        <w:ind w:firstLine="420"/>
        <w:jc w:val="both"/>
      </w:pPr>
      <w:r>
        <w:rPr>
          <w:sz w:val="21"/>
        </w:rPr>
        <w:t>3.加强对疫木处理的监管。在所有病枯死木零星分布的疫点，清理的病枯死木除害处理后一律不下山，就地进行除害处理；在病枯死木较多且集中的疫点，清理的病枯死木同样就地进行除害处理，不得下山。</w:t>
      </w:r>
    </w:p>
    <w:p>
      <w:pPr>
        <w:ind w:firstLine="422"/>
        <w:jc w:val="both"/>
      </w:pPr>
      <w:r>
        <w:rPr>
          <w:b/>
          <w:sz w:val="21"/>
        </w:rPr>
        <w:t>（三）宣传培训</w:t>
      </w:r>
    </w:p>
    <w:p>
      <w:pPr>
        <w:ind w:firstLine="420"/>
        <w:jc w:val="both"/>
      </w:pPr>
      <w:r>
        <w:rPr>
          <w:sz w:val="21"/>
        </w:rPr>
        <w:t>加强松材线虫病防治新技术开发与推广应用，对区镇政府、村委会主要负责人、林业部门管理人员、技术人员、松材线虫防治员及防治专业公司从业人员进行松材线虫病防治新技术培训，印发松材线虫病防治宣传手册，加强科普宣传，形成防治合力。</w:t>
      </w:r>
    </w:p>
    <w:p/>
    <w:p>
      <w:pPr>
        <w:jc w:val="both"/>
      </w:pPr>
      <w:r>
        <w:rPr>
          <w:b/>
          <w:sz w:val="24"/>
        </w:rPr>
        <w:t>七、实施进度和工程量</w:t>
      </w:r>
    </w:p>
    <w:p>
      <w:pPr>
        <w:ind w:firstLine="422"/>
        <w:jc w:val="both"/>
      </w:pPr>
      <w:r>
        <w:rPr>
          <w:b/>
          <w:sz w:val="21"/>
        </w:rPr>
        <w:t>7.1、疫情防治实施进度</w:t>
      </w:r>
    </w:p>
    <w:p>
      <w:pPr>
        <w:ind w:firstLine="422"/>
        <w:jc w:val="both"/>
      </w:pPr>
      <w:r>
        <w:rPr>
          <w:b/>
          <w:sz w:val="21"/>
        </w:rPr>
        <w:t>(一) 日常监测</w:t>
      </w:r>
    </w:p>
    <w:p>
      <w:pPr>
        <w:ind w:firstLine="420"/>
        <w:jc w:val="both"/>
      </w:pPr>
      <w:r>
        <w:rPr>
          <w:sz w:val="21"/>
        </w:rPr>
        <w:t>1.2023 年 5~6 月，完成第 1 次巡查监测。</w:t>
      </w:r>
    </w:p>
    <w:p>
      <w:pPr>
        <w:ind w:firstLine="420"/>
        <w:jc w:val="both"/>
      </w:pPr>
      <w:r>
        <w:rPr>
          <w:sz w:val="21"/>
        </w:rPr>
        <w:t>2.2023 年 7~8 月，完成第 2 次巡查监测。</w:t>
      </w:r>
    </w:p>
    <w:p>
      <w:pPr>
        <w:ind w:firstLine="420"/>
        <w:jc w:val="both"/>
      </w:pPr>
      <w:r>
        <w:rPr>
          <w:sz w:val="21"/>
        </w:rPr>
        <w:t>3.2023 年 11~12 月，完成第 3 次巡查监测。</w:t>
      </w:r>
    </w:p>
    <w:p>
      <w:pPr>
        <w:ind w:firstLine="420"/>
        <w:jc w:val="both"/>
      </w:pPr>
      <w:r>
        <w:rPr>
          <w:sz w:val="21"/>
        </w:rPr>
        <w:t>4.2024 年 1~2 月，完成第 4 次巡查监测。</w:t>
      </w:r>
    </w:p>
    <w:p>
      <w:pPr>
        <w:ind w:firstLine="420"/>
        <w:jc w:val="both"/>
      </w:pPr>
      <w:r>
        <w:rPr>
          <w:sz w:val="21"/>
        </w:rPr>
        <w:t>5.2024 年 3~4 月，完成第 5 次巡查监测。</w:t>
      </w:r>
    </w:p>
    <w:p>
      <w:pPr>
        <w:ind w:firstLine="422"/>
        <w:jc w:val="both"/>
      </w:pPr>
      <w:r>
        <w:rPr>
          <w:b/>
          <w:sz w:val="21"/>
        </w:rPr>
        <w:t>(二) 专项普查</w:t>
      </w:r>
    </w:p>
    <w:p>
      <w:pPr>
        <w:ind w:firstLine="420"/>
        <w:jc w:val="both"/>
      </w:pPr>
      <w:r>
        <w:rPr>
          <w:sz w:val="21"/>
        </w:rPr>
        <w:t>于</w:t>
      </w:r>
      <w:r>
        <w:rPr>
          <w:sz w:val="21"/>
        </w:rPr>
        <w:t>2023 年 9~10 月，完成 2023 年秋季专项普查任务。</w:t>
      </w:r>
    </w:p>
    <w:p>
      <w:pPr>
        <w:ind w:firstLine="422"/>
        <w:jc w:val="both"/>
      </w:pPr>
      <w:r>
        <w:rPr>
          <w:b/>
          <w:sz w:val="21"/>
        </w:rPr>
        <w:t>（三）疫木除治</w:t>
      </w:r>
    </w:p>
    <w:p>
      <w:pPr>
        <w:ind w:firstLine="420"/>
        <w:jc w:val="both"/>
      </w:pPr>
      <w:r>
        <w:rPr>
          <w:sz w:val="21"/>
        </w:rPr>
        <w:t>1.2023 年 5~12 月 中旬，完成 2023 年松材线虫病疫木除治任务。</w:t>
      </w:r>
    </w:p>
    <w:p>
      <w:pPr>
        <w:ind w:firstLine="420"/>
        <w:jc w:val="both"/>
      </w:pPr>
      <w:r>
        <w:rPr>
          <w:sz w:val="21"/>
        </w:rPr>
        <w:t>2.2023 年 12 月 中下旬，完成 2023 年松材线虫病疫木除治项目验收。</w:t>
      </w:r>
    </w:p>
    <w:p>
      <w:pPr>
        <w:ind w:firstLine="420"/>
        <w:jc w:val="both"/>
      </w:pPr>
      <w:r>
        <w:rPr>
          <w:sz w:val="21"/>
        </w:rPr>
        <w:t>3.2024 年 1 月~2024 年 4 月,为疫木除治保质期，在此期间发现松材线虫病(枯) 死的松树疫木立即除治。</w:t>
      </w:r>
    </w:p>
    <w:p>
      <w:pPr>
        <w:ind w:firstLine="422"/>
        <w:jc w:val="both"/>
      </w:pPr>
      <w:r>
        <w:rPr>
          <w:b/>
          <w:sz w:val="21"/>
        </w:rPr>
        <w:t>（四）诱捕器诱杀</w:t>
      </w:r>
    </w:p>
    <w:p>
      <w:pPr>
        <w:ind w:firstLine="420"/>
        <w:jc w:val="both"/>
      </w:pPr>
      <w:r>
        <w:rPr>
          <w:sz w:val="21"/>
        </w:rPr>
        <w:t>1.2023年4 月底前全部完成诱捕器的悬挂放置。但由于松墨天牛成虫下雨天躲藏在松树皮夹缝中或树干、树枝的背风面以及蔸部隐蔽处，基本上不飞翔，因此在悬挂诱捕器时若遇下雨天，可顺延至雨停后即时悬挂。</w:t>
      </w:r>
    </w:p>
    <w:p>
      <w:pPr>
        <w:ind w:firstLine="420"/>
        <w:jc w:val="both"/>
      </w:pPr>
      <w:r>
        <w:rPr>
          <w:sz w:val="21"/>
        </w:rPr>
        <w:t>2.2023年4月底至 11 月底，每间隔 1个月左右更换诱芯 1 次 (装芯及更换共 8 次) ，统计诱集昆虫数量，更换诱捕器诱芯。</w:t>
      </w:r>
    </w:p>
    <w:p>
      <w:pPr>
        <w:ind w:firstLine="422"/>
        <w:jc w:val="both"/>
      </w:pPr>
      <w:r>
        <w:rPr>
          <w:b/>
          <w:sz w:val="21"/>
        </w:rPr>
        <w:t>(五）人工施药防治</w:t>
      </w:r>
    </w:p>
    <w:p>
      <w:pPr>
        <w:ind w:firstLine="420"/>
        <w:jc w:val="both"/>
      </w:pPr>
      <w:r>
        <w:rPr>
          <w:sz w:val="21"/>
        </w:rPr>
        <w:t>1.2023 年 4 月底或 5 月上旬，完成防疫松林的第 1 次喷药。</w:t>
      </w:r>
    </w:p>
    <w:p>
      <w:pPr>
        <w:ind w:firstLine="420"/>
        <w:jc w:val="both"/>
      </w:pPr>
      <w:r>
        <w:rPr>
          <w:sz w:val="21"/>
        </w:rPr>
        <w:t>2.2023 年 7 月上旬，完成防疫松林的第 2 次喷药。</w:t>
      </w:r>
    </w:p>
    <w:p/>
    <w:p>
      <w:pPr>
        <w:ind w:firstLine="422"/>
        <w:jc w:val="both"/>
      </w:pPr>
      <w:r>
        <w:rPr>
          <w:b/>
          <w:sz w:val="21"/>
        </w:rPr>
        <w:t>7.2疫情防治工程量</w:t>
      </w:r>
    </w:p>
    <w:p>
      <w:pPr>
        <w:ind w:firstLine="422"/>
        <w:jc w:val="both"/>
      </w:pPr>
      <w:r>
        <w:rPr>
          <w:b/>
          <w:sz w:val="21"/>
        </w:rPr>
        <w:t>(一) 监测普查</w:t>
      </w:r>
    </w:p>
    <w:p>
      <w:pPr>
        <w:ind w:firstLine="420"/>
        <w:jc w:val="both"/>
      </w:pPr>
      <w:r>
        <w:rPr>
          <w:sz w:val="21"/>
        </w:rPr>
        <w:t>1.日常监测：监测松类林分面积 163952 亩，全年监测 5 次，共监测 819761 亩次。</w:t>
      </w:r>
    </w:p>
    <w:p>
      <w:pPr>
        <w:ind w:firstLine="420"/>
        <w:jc w:val="both"/>
      </w:pPr>
      <w:r>
        <w:rPr>
          <w:sz w:val="21"/>
        </w:rPr>
        <w:t>2.专项普查：普查松类林分面积 163952 亩，全年普查 1 次。</w:t>
      </w:r>
    </w:p>
    <w:p>
      <w:pPr>
        <w:ind w:firstLine="422"/>
        <w:jc w:val="both"/>
      </w:pPr>
      <w:r>
        <w:rPr>
          <w:b/>
          <w:sz w:val="21"/>
        </w:rPr>
        <w:t>(二) 疫木除治</w:t>
      </w:r>
    </w:p>
    <w:p>
      <w:pPr>
        <w:ind w:firstLine="420"/>
        <w:jc w:val="both"/>
      </w:pPr>
      <w:r>
        <w:rPr>
          <w:sz w:val="21"/>
        </w:rPr>
        <w:t>疫木除治面积</w:t>
      </w:r>
      <w:r>
        <w:rPr>
          <w:sz w:val="21"/>
        </w:rPr>
        <w:t>15680 亩，实际绩效承包防治面积为 15680 亩，采取全域清理。 清理方式：位于高山陡坡、林密或林下草灌丰富、通行困难，且使用粉碎(削片)、 烧毁措施难度较大区域的病死树，采取套袋消杀的方法。在交通条件较好的地方，将枯死木伐倒截段后，转运到就近有松材线虫病疫木处理条件的定点加工厂进行疫木变性利用，生物发电及烧毁等处理。</w:t>
      </w:r>
    </w:p>
    <w:p>
      <w:pPr>
        <w:ind w:firstLine="422"/>
        <w:jc w:val="both"/>
      </w:pPr>
      <w:r>
        <w:rPr>
          <w:b/>
          <w:sz w:val="21"/>
        </w:rPr>
        <w:t>(三） 人工施药防治</w:t>
      </w:r>
    </w:p>
    <w:p>
      <w:pPr>
        <w:ind w:firstLine="420"/>
        <w:jc w:val="both"/>
      </w:pPr>
      <w:r>
        <w:rPr>
          <w:sz w:val="21"/>
        </w:rPr>
        <w:t>1.防治面积：地面化学防治面积 7385 亩，施药 2 次，累计防治面积 14770 亩次。</w:t>
      </w:r>
    </w:p>
    <w:p>
      <w:pPr>
        <w:ind w:firstLine="420"/>
        <w:jc w:val="both"/>
      </w:pPr>
      <w:r>
        <w:rPr>
          <w:sz w:val="21"/>
        </w:rPr>
        <w:t>2.施药量：共需 1%噻虫啉微胶囊粉剂 7385 千克 (平均每亩每次施药量 500</w:t>
      </w:r>
      <w:r>
        <w:br/>
      </w:r>
      <w:r>
        <w:rPr>
          <w:sz w:val="21"/>
        </w:rPr>
        <w:t>克）。</w:t>
      </w:r>
    </w:p>
    <w:p>
      <w:pPr>
        <w:ind w:firstLine="422"/>
        <w:jc w:val="both"/>
      </w:pPr>
      <w:r>
        <w:rPr>
          <w:b/>
          <w:sz w:val="21"/>
        </w:rPr>
        <w:t>(四) 诱捕器诱杀</w:t>
      </w:r>
    </w:p>
    <w:p>
      <w:pPr>
        <w:ind w:firstLine="420"/>
        <w:jc w:val="both"/>
      </w:pPr>
      <w:r>
        <w:rPr>
          <w:sz w:val="21"/>
        </w:rPr>
        <w:t>1.悬挂诱捕器 30 个 (悬挂时安装诱芯) 。</w:t>
      </w:r>
    </w:p>
    <w:p>
      <w:pPr>
        <w:ind w:firstLine="420"/>
        <w:jc w:val="both"/>
      </w:pPr>
      <w:r>
        <w:rPr>
          <w:sz w:val="21"/>
        </w:rPr>
        <w:t>2.安装诱芯悬挂诱捕器后，每间隔 1 个月更换诱芯 1 次，装芯及更换共 8 次。</w:t>
      </w:r>
    </w:p>
    <w:p>
      <w:pPr>
        <w:ind w:firstLine="420"/>
        <w:jc w:val="both"/>
      </w:pPr>
      <w:r>
        <w:rPr>
          <w:sz w:val="21"/>
        </w:rPr>
        <w:t>3.共收集诱集昆虫 8 次 (悬挂后每隔 1 个月左右收集诱集到的昆虫 1 次，同时更换诱芯) 。</w:t>
      </w:r>
    </w:p>
    <w:p>
      <w:pPr>
        <w:jc w:val="both"/>
      </w:pPr>
    </w:p>
    <w:p/>
    <w:p>
      <w:r>
        <w:rPr/>
        <w:t xml:space="preserve"> </w:t>
      </w:r>
    </w:p>
    <w:p/>
    <w:p>
      <w:pPr>
        <w:ind w:firstLine="480"/>
      </w:pPr>
    </w:p>
    <w:p/>
    <w:p>
      <w:r>
        <w:rPr/>
        <w:t>采购包1（2023年浈江区松材线虫病等林业有害生物防治与除治项目）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标的提供的时间</w:t>
            </w:r>
          </w:p>
        </w:tc>
        <w:tc>
          <w:tcPr>
            <w:tcW w:type="dxa" w:w="4153"/>
          </w:tcPr>
          <w:p/>
          <w:p>
            <w:r>
              <w:rPr/>
              <w:t>1.2023 年 5～12 月中旬，完成 2023 年松材线虫病防治与除治任务。  2.2023 年 12 月下旬，完成 2023 年松材线虫病防治与除治项目验收。  3.2024 年 1 月～2024 年 4 月,为疫木除治保质期，在此期间发现松材线虫病（枯）死的松树疫木立即除治。</w:t>
            </w:r>
          </w:p>
        </w:tc>
      </w:tr>
      <w:tr>
        <w:tc>
          <w:tcPr>
            <w:tcW w:type="dxa" w:w="4153"/>
          </w:tcPr>
          <w:p>
            <w:r>
              <w:rPr/>
              <w:t>标的提供的地点</w:t>
            </w:r>
          </w:p>
        </w:tc>
        <w:tc>
          <w:tcPr>
            <w:tcW w:type="dxa" w:w="4153"/>
          </w:tcPr>
          <w:p/>
          <w:p>
            <w:r>
              <w:rPr/>
              <w:t>采购人指定地点。</w:t>
            </w:r>
          </w:p>
        </w:tc>
      </w:tr>
      <w:tr>
        <w:tc>
          <w:tcPr>
            <w:tcW w:type="dxa" w:w="4153"/>
          </w:tcPr>
          <w:p>
            <w:r>
              <w:rPr/>
              <w:t>付款方式</w:t>
            </w:r>
          </w:p>
        </w:tc>
        <w:tc>
          <w:tcPr>
            <w:tcW w:type="dxa" w:w="4153"/>
          </w:tcPr>
          <w:p/>
          <w:p/>
          <w:p>
            <w:r>
              <w:rPr/>
              <w:t>1期：支付比例30%,中标供应商与采购人签订合同后，采购人向中标人支付合同金额30%，作为中标人前期工作的药剂药械购置、施工人工等费用。</w:t>
            </w:r>
          </w:p>
          <w:p/>
          <w:p>
            <w:r>
              <w:rPr/>
              <w:t>2期：支付比例30%,2023年6月底，按要求完成病（枯）死松树消杀清理、诱捕器挂设及二个月诱捕器正常维护（更换诱芯、加水、收集诱捕害虫）、地面喷洒化学药剂噻虫啉防治等任务，经阶段性初验合格支付合同款的30%。</w:t>
            </w:r>
          </w:p>
          <w:p/>
          <w:p>
            <w:r>
              <w:rPr/>
              <w:t>3期：支付比例30%,2023年10月底，完成秋季普查、病（枯）死松树消杀清理、四个月诱捕器正常维护（更换诱芯、加水、收集诱捕害虫）等，经中期初验合格支付合同款的30%。</w:t>
            </w:r>
          </w:p>
          <w:p/>
          <w:p>
            <w:r>
              <w:rPr/>
              <w:t>4期：支付比例10%,2023年12月底，完成所有工作，外业验收、内业验收合格，并承诺质保期至2024年4月期间发现松材线虫病(枯) 死的松树疫木立即除治，采购人根据验收报告对中标人完成工作情况作结算审核意见，将项目尾款10%一次性付给中标人。 注： 因采购人使用的是财政资金，采购人在前款规定的付款时间为向政府采购支付部门提出办理财政支付申请手续的时间（不含政府财政支付部门审核的时间），在规定时间内提出支付申请手续后即视为采购人已经按期支付。</w:t>
            </w:r>
          </w:p>
        </w:tc>
      </w:tr>
      <w:tr>
        <w:tc>
          <w:tcPr>
            <w:tcW w:type="dxa" w:w="4153"/>
          </w:tcPr>
          <w:p>
            <w:r>
              <w:rPr/>
              <w:t>验收要求</w:t>
            </w:r>
          </w:p>
        </w:tc>
        <w:tc>
          <w:tcPr>
            <w:tcW w:type="dxa" w:w="4153"/>
          </w:tcPr>
          <w:p/>
          <w:p/>
          <w:p/>
          <w:p>
            <w:r>
              <w:rPr/>
              <w:t>1期：由韶关市浈江区自然资源局组织相关单位及专业技术人员在2023年12月底前完成自查验收。自查验收内容包括 2023 年度除治任务完成情况，除治作业区病死（濒死、枯死）松树情况,疫木清理和除害处理情况，除治迹地周边居民房前屋后薪材、木材存放情况，疫木除治监管情况，检疫封锁及宣传培训情况等。  （一）验收依据和方式  1.验收依据：省、市、区相关文件；松材线虫病防治和疫木处理相关技术规范；作业设计文件（包括作业设计文字说明、作业设计表、作业设计图）。  2.验收方式:采取常规检查、竣工验收相结合的方式，包括外业和内业验收。  （二）外业质量检查验收  2023 年 12 月底前，由项目建设单位、设计单位、监理单位、防治单位组成检查验收小组，按防治小班数的 20%～40%比例抽检。外业检查验收合格要求如下：  1.疫木清理验收：病枯死松树清除率 100%；清理迹地不残留直径 1 厘米以上的病枯死松树枝桠。  2.疫木处理验收：所有被砍伐的病枯死松树木段及直径 1 厘米以上的病枯死松树枝桠全部在山场就地套袋消杀处理；所有伐桩高度均低于 5 厘米，并规范施药覆膜处理。  3.诱捕器悬挂地点、悬挂位置及悬挂数量：全部符合相关技术规范和设计要求。  （三）内业质量检查验收  1.检查验收内容：内业验收包括中标通知书、开工报告、技术交底记录、材料进场记录、材料质量合格证明（农药等）、防治日记（提供原始记录、所有小班需有对应的防治记录）、防治情况统计表、防治前中后对比照片（标准为像素在 1200 万以上，规格大小为 6 寸照片，且有拍摄时间、明显参照物、防治前后照片位置对应一致，按每个作业小班提供一套照片）、防治全过程影像、疫木监管责任书、报验申请表、项目验收表、防治总结等。上述资料一式五份，两份给建设单位，监理单位、设计单位、防治单位各留一份存档。  2.检查验收合格要求：以上资料齐全，内容填写真实、规范。对于未达到验收标准的要求进行整改，达标后再次进行验收，直到合格。</w:t>
            </w:r>
          </w:p>
        </w:tc>
      </w:tr>
      <w:tr>
        <w:tc>
          <w:tcPr>
            <w:tcW w:type="dxa" w:w="4153"/>
          </w:tcPr>
          <w:p>
            <w:r>
              <w:rPr/>
              <w:t>履约保证金</w:t>
            </w:r>
          </w:p>
        </w:tc>
        <w:tc>
          <w:tcPr>
            <w:tcW w:type="dxa" w:w="4153"/>
          </w:tcPr>
          <w:p/>
          <w:p/>
          <w:p>
            <w:r>
              <w:rPr/>
              <w:t>不收取</w:t>
            </w:r>
          </w:p>
        </w:tc>
      </w:tr>
      <w:tr>
        <w:tc>
          <w:tcPr>
            <w:tcW w:type="dxa" w:w="4153"/>
          </w:tcPr>
          <w:p>
            <w:r>
              <w:rPr/>
              <w:t>其他</w:t>
            </w:r>
          </w:p>
        </w:tc>
        <w:tc>
          <w:tcPr>
            <w:tcW w:type="dxa" w:w="4153"/>
          </w:tcPr>
          <w:p/>
        </w:tc>
      </w:tr>
    </w:tbl>
    <w:p/>
    <w:p>
      <w:r>
        <w:rPr/>
        <w:t>其他商务需求</w:t>
      </w:r>
    </w:p>
    <w:p/>
    <w:p/>
    <w:p/>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jc w:val="center"/>
            </w:pPr>
            <w:r>
              <w:rPr/>
              <w:t>参数性质</w:t>
            </w:r>
          </w:p>
        </w:tc>
        <w:tc>
          <w:tcPr>
            <w:tcW w:type="dxa" w:w="2076"/>
          </w:tcPr>
          <w:p>
            <w:pPr>
              <w:jc w:val="center"/>
            </w:pPr>
            <w:r>
              <w:rPr/>
              <w:t>编号</w:t>
            </w:r>
          </w:p>
        </w:tc>
        <w:tc>
          <w:tcPr>
            <w:tcW w:type="dxa" w:w="2076"/>
          </w:tcPr>
          <w:p>
            <w:pPr>
              <w:jc w:val="center"/>
            </w:pPr>
            <w:r>
              <w:rPr/>
              <w:t>内容明细</w:t>
            </w:r>
          </w:p>
        </w:tc>
        <w:tc>
          <w:tcPr>
            <w:tcW w:type="dxa" w:w="2076"/>
          </w:tcPr>
          <w:p>
            <w:pPr>
              <w:jc w:val="center"/>
            </w:pPr>
            <w:r>
              <w:rPr/>
              <w:t>内容说明</w:t>
            </w:r>
          </w:p>
        </w:tc>
      </w:tr>
      <w:tr>
        <w:tc>
          <w:tcPr>
            <w:tcW w:type="dxa" w:w="2076"/>
          </w:tcPr>
          <w:p>
            <w:pPr>
              <w:jc w:val="center"/>
            </w:pPr>
          </w:p>
        </w:tc>
        <w:tc>
          <w:tcPr>
            <w:tcW w:type="dxa" w:w="2076"/>
          </w:tcPr>
          <w:p>
            <w:pPr>
              <w:jc w:val="center"/>
            </w:pPr>
            <w:r>
              <w:rPr/>
              <w:t>1</w:t>
            </w:r>
          </w:p>
        </w:tc>
        <w:tc>
          <w:tcPr>
            <w:tcW w:type="dxa" w:w="2076"/>
          </w:tcPr>
          <w:p>
            <w:pPr>
              <w:jc w:val="left"/>
            </w:pPr>
            <w:r>
              <w:rPr/>
              <w:t>投标报价要求</w:t>
            </w:r>
          </w:p>
        </w:tc>
        <w:tc>
          <w:tcPr>
            <w:tcW w:type="dxa" w:w="2076"/>
          </w:tcPr>
          <w:p>
            <w:pPr>
              <w:jc w:val="left"/>
            </w:pPr>
            <w:r>
              <w:rPr/>
              <w:t>投标报价应为投标人完成本项目全部内容所需费用的含税价，包括但不限于人工费、管理费、验收、检测、利润、保险等各类税费及采购合同包含的所有风险、责任等在合同实施过程中应预见或不可预见费用等。</w:t>
            </w:r>
          </w:p>
        </w:tc>
      </w:tr>
      <w:tr>
        <w:tc>
          <w:tcPr>
            <w:tcW w:type="dxa" w:w="2076"/>
          </w:tcPr>
          <w:p>
            <w:pPr>
              <w:jc w:val="center"/>
            </w:pPr>
          </w:p>
        </w:tc>
        <w:tc>
          <w:tcPr>
            <w:tcW w:type="dxa" w:w="2076"/>
          </w:tcPr>
          <w:p>
            <w:pPr>
              <w:jc w:val="center"/>
            </w:pPr>
            <w:r>
              <w:rPr/>
              <w:t>2</w:t>
            </w:r>
          </w:p>
        </w:tc>
        <w:tc>
          <w:tcPr>
            <w:tcW w:type="dxa" w:w="2076"/>
          </w:tcPr>
          <w:p>
            <w:pPr>
              <w:jc w:val="left"/>
            </w:pPr>
            <w:r>
              <w:rPr/>
              <w:t>安全生产保障项目作业过程中，要确保安全文明施工，须注意如下事项</w:t>
            </w:r>
          </w:p>
        </w:tc>
        <w:tc>
          <w:tcPr>
            <w:tcW w:type="dxa" w:w="2076"/>
          </w:tcPr>
          <w:p>
            <w:pPr>
              <w:jc w:val="left"/>
            </w:pPr>
            <w:r>
              <w:rPr/>
              <w:t>安全生产保障项目作业过程中，要确保安全文明施工，须注意如下事项： 1.告示施工范围、技术、措施。施工前应告知当地林业站、林场、采购人等，施工过程中如遇阻挠，中标人应及时与当地政府职能部门沟通，并按管理部门意见作出相应调整；因强行施工造成赔偿纠纷的，后果由中标人负责。 2.在松材线虫病等林业有害生物防治作业中，所有用到的药剂必须严格按照农 药使用说明书和对应的操作规定使用；对药剂的购买、保管、使用按照相关部门 的要求办理手续，严格管控，安全使用。 3.作业过程中采伐放倒病 (枯) 死疫木时，要注意安全，对于旁边有房屋、 电线的病 (枯) 死树，要求套绳分段截取，防止压到房屋、 电线或其他树木。 4.施工过程中必须做好防护措施，做到防伤、防毒、防蛇咬、防蜂和红火蚁蜇，不吃毒磨菇，确保无各类人员伤亡事故发生。 5.不准在防火区域抽烟，不准在喷药时抽烟。 6.为确保做到安全文明施工，避免纠纷，中标人要与采购人签订安全生产责任书；如果中标人没有遵守责任书或安全文明施工的规定，一切后果由中标人负责。 7.为确保做到安全文明施工，中标人进场前必须为现场全部作业工人购买人身意外保险。</w:t>
            </w:r>
          </w:p>
        </w:tc>
      </w:tr>
      <w:tr>
        <w:tc>
          <w:tcPr>
            <w:tcW w:type="dxa" w:w="2076"/>
          </w:tcPr>
          <w:p>
            <w:pPr>
              <w:jc w:val="center"/>
            </w:pPr>
          </w:p>
        </w:tc>
        <w:tc>
          <w:tcPr>
            <w:tcW w:type="dxa" w:w="2076"/>
          </w:tcPr>
          <w:p>
            <w:pPr>
              <w:jc w:val="center"/>
            </w:pPr>
            <w:r>
              <w:rPr/>
              <w:t>3</w:t>
            </w:r>
          </w:p>
        </w:tc>
        <w:tc>
          <w:tcPr>
            <w:tcW w:type="dxa" w:w="2076"/>
          </w:tcPr>
          <w:p>
            <w:pPr>
              <w:jc w:val="left"/>
            </w:pPr>
            <w:r>
              <w:rPr/>
              <w:t>现场踏勘</w:t>
            </w:r>
          </w:p>
        </w:tc>
        <w:tc>
          <w:tcPr>
            <w:tcW w:type="dxa" w:w="2076"/>
          </w:tcPr>
          <w:p>
            <w:pPr>
              <w:jc w:val="left"/>
            </w:pPr>
            <w:r>
              <w:rPr/>
              <w:t>1.投标前，采购人不组织现场踏勘。为确保投标的准确性和措施的可行性，投标人可自行对工程现场及周围环境进行踏勘，以便投标人获取有关编制投标文件和签署合同所需的所有资料。采购人对投标人做出的推论、理解和结论概不负责。 2.投标人在现场勘察过程中，投标人应注意自身安全，如发生意外、财物或其他损失，不论任何原因所造成，采购人均不负责。 3.现场勘察期间的交通、食宿由投标人自行安排，费用自理。</w:t>
            </w:r>
          </w:p>
        </w:tc>
      </w:tr>
      <w:tr>
        <w:tc>
          <w:tcPr>
            <w:tcW w:type="dxa" w:w="2076"/>
          </w:tcPr>
          <w:p>
            <w:pPr>
              <w:jc w:val="center"/>
            </w:pPr>
          </w:p>
        </w:tc>
        <w:tc>
          <w:tcPr>
            <w:tcW w:type="dxa" w:w="2076"/>
          </w:tcPr>
          <w:p>
            <w:pPr>
              <w:jc w:val="center"/>
            </w:pPr>
            <w:r>
              <w:rPr/>
              <w:t>4</w:t>
            </w:r>
          </w:p>
        </w:tc>
        <w:tc>
          <w:tcPr>
            <w:tcW w:type="dxa" w:w="2076"/>
          </w:tcPr>
          <w:p>
            <w:pPr>
              <w:jc w:val="left"/>
            </w:pPr>
            <w:r>
              <w:rPr/>
              <w:t>未尽事项</w:t>
            </w:r>
          </w:p>
        </w:tc>
        <w:tc>
          <w:tcPr>
            <w:tcW w:type="dxa" w:w="2076"/>
          </w:tcPr>
          <w:p>
            <w:pPr>
              <w:jc w:val="left"/>
            </w:pPr>
            <w:r>
              <w:rPr/>
              <w:t>其余未尽事项由采购人和中标人在签订合同时商定补充。</w:t>
            </w:r>
          </w:p>
        </w:tc>
      </w:tr>
    </w:tbl>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r>
              <w:rPr/>
              <w:t>说明</w:t>
            </w:r>
          </w:p>
        </w:tc>
        <w:tc>
          <w:tcPr>
            <w:tcW w:type="dxa" w:w="5538"/>
            <w:gridSpan w:val="2"/>
          </w:tcPr>
          <w:p>
            <w:pPr>
              <w:jc w:val="left"/>
            </w:pPr>
            <w:r>
              <w:rPr/>
              <w:t>打“★”号条款为实质性条款，若有任何一条负偏离或不满足则导致投标（响应）无效。</w:t>
            </w:r>
            <w:r>
              <w:br/>
            </w:r>
            <w:r>
              <w:rPr/>
              <w:t>打“▲”号条款为重要参数（如有），若有部分“▲”条款未响应或不满足，将根据评审要求影响其得分，但不作为无效投标（响应）条款。</w:t>
            </w:r>
          </w:p>
        </w:tc>
      </w:tr>
    </w:tbl>
    <w:p>
      <w:r>
        <w:rPr>
          <w:b/>
        </w:rPr>
        <w:t>2.技术标准与要求</w:t>
      </w:r>
    </w:p>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jc w:val="center"/>
            </w:pPr>
            <w:r>
              <w:rPr/>
              <w:t>序号</w:t>
            </w:r>
          </w:p>
        </w:tc>
        <w:tc>
          <w:tcPr>
            <w:tcW w:type="dxa" w:w="933"/>
          </w:tcPr>
          <w:p>
            <w:pPr>
              <w:jc w:val="center"/>
            </w:pPr>
            <w:r>
              <w:rPr/>
              <w:t>品目名称</w:t>
            </w:r>
          </w:p>
        </w:tc>
        <w:tc>
          <w:tcPr>
            <w:tcW w:type="dxa" w:w="933"/>
          </w:tcPr>
          <w:p>
            <w:pPr>
              <w:jc w:val="center"/>
            </w:pPr>
            <w:r>
              <w:rPr/>
              <w:t>标的名称</w:t>
            </w:r>
          </w:p>
        </w:tc>
        <w:tc>
          <w:tcPr>
            <w:tcW w:type="dxa" w:w="933"/>
          </w:tcPr>
          <w:p>
            <w:pPr>
              <w:jc w:val="center"/>
            </w:pPr>
            <w:r>
              <w:rPr/>
              <w:t>单位</w:t>
            </w:r>
          </w:p>
        </w:tc>
        <w:tc>
          <w:tcPr>
            <w:tcW w:type="dxa" w:w="933"/>
          </w:tcPr>
          <w:p>
            <w:pPr>
              <w:jc w:val="center"/>
            </w:pPr>
            <w:r>
              <w:rPr/>
              <w:t>数量</w:t>
            </w:r>
          </w:p>
        </w:tc>
        <w:tc>
          <w:tcPr>
            <w:tcW w:type="dxa" w:w="933"/>
          </w:tcPr>
          <w:p>
            <w:pPr>
              <w:jc w:val="center"/>
            </w:pPr>
            <w:r>
              <w:rPr/>
              <w:t>分项预算单价（元）</w:t>
            </w:r>
          </w:p>
        </w:tc>
        <w:tc>
          <w:tcPr>
            <w:tcW w:type="dxa" w:w="933"/>
          </w:tcPr>
          <w:p>
            <w:pPr>
              <w:jc w:val="center"/>
            </w:pPr>
            <w:r>
              <w:rPr/>
              <w:t>分项预算总价（元）</w:t>
            </w:r>
          </w:p>
        </w:tc>
        <w:tc>
          <w:tcPr>
            <w:tcW w:type="dxa" w:w="840"/>
          </w:tcPr>
          <w:p>
            <w:r>
              <w:rPr/>
              <w:t>所属行业</w:t>
            </w:r>
          </w:p>
        </w:tc>
        <w:tc>
          <w:tcPr>
            <w:tcW w:type="dxa" w:w="933"/>
          </w:tcPr>
          <w:p>
            <w:pPr>
              <w:jc w:val="center"/>
            </w:pPr>
            <w:r>
              <w:rPr/>
              <w:t>技术要求</w:t>
            </w:r>
          </w:p>
        </w:tc>
      </w:tr>
      <w:tr>
        <w:tc>
          <w:tcPr>
            <w:tcW w:type="dxa" w:w="933"/>
          </w:tcPr>
          <w:p>
            <w:pPr>
              <w:jc w:val="center"/>
            </w:pPr>
            <w:r>
              <w:rPr/>
              <w:t>1</w:t>
            </w:r>
          </w:p>
        </w:tc>
        <w:tc>
          <w:tcPr>
            <w:tcW w:type="dxa" w:w="933"/>
          </w:tcPr>
          <w:p>
            <w:pPr>
              <w:jc w:val="left"/>
            </w:pPr>
            <w:r>
              <w:rPr/>
              <w:t>林业有害生物防治服务</w:t>
            </w:r>
          </w:p>
        </w:tc>
        <w:tc>
          <w:tcPr>
            <w:tcW w:type="dxa" w:w="933"/>
          </w:tcPr>
          <w:p>
            <w:pPr>
              <w:jc w:val="left"/>
            </w:pPr>
            <w:r>
              <w:rPr/>
              <w:t>2023年浈江区松材线虫病等林业有害生物防治与除治项目</w:t>
            </w:r>
          </w:p>
        </w:tc>
        <w:tc>
          <w:tcPr>
            <w:tcW w:type="dxa" w:w="933"/>
          </w:tcPr>
          <w:p>
            <w:pPr>
              <w:jc w:val="left"/>
            </w:pPr>
            <w:r>
              <w:rPr/>
              <w:t>项</w:t>
            </w:r>
          </w:p>
        </w:tc>
        <w:tc>
          <w:tcPr>
            <w:tcW w:type="dxa" w:w="933"/>
          </w:tcPr>
          <w:p>
            <w:pPr>
              <w:jc w:val="right"/>
            </w:pPr>
            <w:r>
              <w:rPr/>
              <w:t>1.00</w:t>
            </w:r>
          </w:p>
        </w:tc>
        <w:tc>
          <w:tcPr>
            <w:tcW w:type="dxa" w:w="933"/>
          </w:tcPr>
          <w:p>
            <w:pPr>
              <w:jc w:val="right"/>
            </w:pPr>
            <w:r>
              <w:rPr/>
              <w:t>3,580,000.00</w:t>
            </w:r>
          </w:p>
        </w:tc>
        <w:tc>
          <w:tcPr>
            <w:tcW w:type="dxa" w:w="933"/>
          </w:tcPr>
          <w:p>
            <w:pPr>
              <w:jc w:val="right"/>
            </w:pPr>
            <w:r>
              <w:rPr/>
              <w:t>3,580,000.00</w:t>
            </w:r>
          </w:p>
        </w:tc>
        <w:tc>
          <w:tcPr>
            <w:tcW w:type="dxa" w:w="840"/>
          </w:tcPr>
          <w:p>
            <w:r>
              <w:rPr/>
              <w:t>农、林、牧、渔业</w:t>
            </w:r>
          </w:p>
        </w:tc>
        <w:tc>
          <w:tcPr>
            <w:tcW w:type="dxa" w:w="933"/>
          </w:tcPr>
          <w:p>
            <w:r>
              <w:rPr/>
              <w:t>详见附表一</w:t>
            </w:r>
          </w:p>
        </w:tc>
      </w:tr>
    </w:tbl>
    <w:p/>
    <w:p>
      <w:r>
        <w:rPr>
          <w:b/>
        </w:rPr>
        <w:t>附表</w:t>
      </w:r>
      <w:r>
        <w:rPr>
          <w:b/>
        </w:rPr>
        <w:t>一</w:t>
      </w:r>
      <w:r>
        <w:rPr>
          <w:b/>
        </w:rPr>
        <w:t>：</w:t>
      </w:r>
      <w:r>
        <w:rPr>
          <w:b/>
        </w:rPr>
        <w:t>2023年浈江区松材线虫病等林业有害生物防治与除治项目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tc>
        <w:tc>
          <w:tcPr>
            <w:tcW w:type="dxa" w:w="415"/>
          </w:tcPr>
          <w:p>
            <w:r>
              <w:rPr/>
              <w:t>1</w:t>
            </w:r>
          </w:p>
        </w:tc>
        <w:tc>
          <w:tcPr>
            <w:tcW w:type="dxa" w:w="5814"/>
          </w:tcPr>
          <w:p>
            <w:pPr>
              <w:jc w:val="both"/>
            </w:pPr>
            <w:r>
              <w:rPr>
                <w:b/>
                <w:sz w:val="21"/>
              </w:rPr>
              <w:t>详见项目采购需求</w:t>
            </w:r>
          </w:p>
        </w:tc>
      </w:tr>
      <w:tr>
        <w:tc>
          <w:tcPr>
            <w:tcW w:type="dxa" w:w="2076"/>
          </w:tcPr>
          <w:p>
            <w:r>
              <w:rPr/>
              <w:t>说明</w:t>
            </w:r>
          </w:p>
        </w:tc>
        <w:tc>
          <w:tcPr>
            <w:tcW w:type="dxa" w:w="6229"/>
            <w:gridSpan w:val="2"/>
          </w:tcPr>
          <w:p>
            <w:pPr>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p>
      <w:pPr>
        <w:ind w:firstLine="480"/>
      </w:pPr>
    </w:p>
    <w:p>
      <w:r>
        <w:rPr/>
        <w:t xml:space="preserve"> </w:t>
      </w:r>
    </w:p>
    <w:p/>
    <w:p>
      <w:pPr>
        <w:jc w:val="center"/>
      </w:pPr>
      <w:r>
        <w:rPr>
          <w:b/>
          <w:sz w:val="36"/>
        </w:rPr>
        <w:t>第三章 投标人须知</w:t>
      </w:r>
    </w:p>
    <w:p>
      <w:pPr>
        <w:ind w:firstLine="480"/>
      </w:pPr>
      <w:r>
        <w:rPr/>
        <w:t>投标人必须认真阅读招标文件中所有的事项、格式、条款和采购需求等。投标人没有按照招标文件要求提交全部资料，或者投标文件没有对招标文件在各方面都做出实质性响应的可能导致其投标无效或被拒绝。</w:t>
      </w:r>
    </w:p>
    <w:p>
      <w:pPr>
        <w:ind w:firstLine="480"/>
      </w:pPr>
      <w:r>
        <w:rPr/>
        <w:t>请注意：供应商需在投标文件截止时间前，将加密投标文件上传至云平台项目采购系统中并取得回执，逾期上传或错误方式投递送达将导致投标无效。</w:t>
      </w:r>
    </w:p>
    <w:p>
      <w:r>
        <w:rPr>
          <w:b/>
          <w:sz w:val="24"/>
        </w:rPr>
        <w:t>一、名词解释</w:t>
      </w:r>
    </w:p>
    <w:p>
      <w:pPr>
        <w:ind w:firstLine="480"/>
      </w:pPr>
      <w:r>
        <w:rPr/>
        <w:t>1.采购代理机构：本项目是指深圳市祺骏建设工程顾问有限公司韶关分公司，负责整个采购活动的组织，依法负责编制和发布招标文件，对招标文件拥有最终的解释权，不以任何身份出任评标委员会成员。</w:t>
      </w:r>
    </w:p>
    <w:p>
      <w:pPr>
        <w:ind w:firstLine="480"/>
      </w:pPr>
      <w:r>
        <w:rPr/>
        <w:t>2.采购人：本项目是指</w:t>
      </w:r>
      <w:r>
        <w:rPr/>
        <w:t>韶关市浈江区自然资源局</w:t>
      </w:r>
      <w:r>
        <w:rPr/>
        <w:t>，是采购活动当事人之一，负责项目的整体规划、技术方案可行性设计论证与实施，作为合同采购方（用户）的主体承担质疑回复、履行合同、验收与评价等义务。</w:t>
      </w:r>
    </w:p>
    <w:p>
      <w:pPr>
        <w:ind w:firstLine="480"/>
      </w:pPr>
      <w:r>
        <w:rPr/>
        <w:t>3.投标人：是指在云平台项目采购系统完成本项目投标登记并提交电子投标文件的供应商。</w:t>
      </w:r>
    </w:p>
    <w:p>
      <w:pPr>
        <w:ind w:firstLine="480"/>
      </w:pPr>
      <w:r>
        <w:rPr/>
        <w:t>4.“评标委员会”是指根据《中华人民共和国政府采购法》等法律法规规定，由采购人代表和有关专家组成以确定中标供应商或者推荐中标候选人的临时组织。</w:t>
      </w:r>
    </w:p>
    <w:p>
      <w:pPr>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ind w:firstLine="480"/>
      </w:pPr>
      <w:r>
        <w:rPr/>
        <w:t>6.招标文件：是指包括招标公告和招标文件及其补充、变更和澄清等一系列文件。</w:t>
      </w:r>
    </w:p>
    <w:p>
      <w:pPr>
        <w:ind w:firstLine="480"/>
      </w:pPr>
      <w:r>
        <w:rPr/>
        <w:t>7.电子投标文件：是指使用云平台提供的投标客户端制作加密并上传到系统的投标文件。（投标客户端制作投标文件时，生成的后缀为“.标书”的文件）</w:t>
      </w:r>
    </w:p>
    <w:p>
      <w:pPr>
        <w:ind w:firstLine="480"/>
      </w:pPr>
      <w:r>
        <w:rPr/>
        <w:t>8.备用电子投标文件：是指使用云平台提供的投标客户端制作电子投标文件时，同时生成的同一版本的备用投标文件。（投标客户端制作投标文件时，生成的后缀为“.备用标书”的文件）</w:t>
      </w:r>
    </w:p>
    <w:p>
      <w:pPr>
        <w:ind w:firstLine="480"/>
      </w:pPr>
      <w:r>
        <w:rPr/>
        <w:t>9.电子签名和电子印章：是指获得国家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ind w:firstLine="480"/>
      </w:pPr>
      <w:r>
        <w:rPr/>
        <w:t>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ind w:firstLine="480"/>
      </w:pPr>
      <w:r>
        <w:rPr/>
        <w:t>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ind w:firstLine="480"/>
      </w:pPr>
      <w:r>
        <w:rPr/>
        <w:t>12.“法定代表人”：在电子投标（响应）文件及相关的其他电子资料中，涉及“法定代表人”应在纸质投标（响应）文件上进行手写签名，或通过投标客户端使用电子签名完成。</w:t>
      </w:r>
    </w:p>
    <w:p>
      <w:pPr>
        <w:ind w:firstLine="480"/>
      </w:pPr>
      <w:r>
        <w:rPr/>
        <w:t>13.日期、天数、时间：未有特别说明时，均为公历日（天）及北京时间。</w:t>
      </w:r>
    </w:p>
    <w:p>
      <w:pPr>
        <w:ind w:firstLine="480"/>
      </w:pPr>
    </w:p>
    <w:p>
      <w:r>
        <w:rPr>
          <w:b/>
          <w:sz w:val="28"/>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r>
              <w:rPr/>
              <w:t>本表与招标文件对应章节的内容若不一致，以本表为准。</w:t>
            </w:r>
          </w:p>
        </w:tc>
      </w:tr>
      <w:tr>
        <w:tc>
          <w:tcPr>
            <w:tcW w:type="dxa" w:w="1051"/>
          </w:tcPr>
          <w:p>
            <w:r>
              <w:rPr/>
              <w:t>序号</w:t>
            </w:r>
          </w:p>
        </w:tc>
        <w:tc>
          <w:tcPr>
            <w:tcW w:type="dxa" w:w="2252"/>
          </w:tcPr>
          <w:p>
            <w:r>
              <w:rPr/>
              <w:t>条款名称</w:t>
            </w:r>
          </w:p>
        </w:tc>
        <w:tc>
          <w:tcPr>
            <w:tcW w:type="dxa" w:w="5004"/>
          </w:tcPr>
          <w:p>
            <w:r>
              <w:rPr/>
              <w:t>内容及要求</w:t>
            </w:r>
          </w:p>
        </w:tc>
      </w:tr>
      <w:tr>
        <w:tc>
          <w:tcPr>
            <w:tcW w:type="dxa" w:w="1051"/>
          </w:tcPr>
          <w:p>
            <w:r>
              <w:rPr/>
              <w:t>1</w:t>
            </w:r>
          </w:p>
        </w:tc>
        <w:tc>
          <w:tcPr>
            <w:tcW w:type="dxa" w:w="2252"/>
          </w:tcPr>
          <w:p>
            <w:r>
              <w:rPr/>
              <w:t>采购包情况</w:t>
            </w:r>
          </w:p>
        </w:tc>
        <w:tc>
          <w:tcPr>
            <w:tcW w:type="dxa" w:w="5004"/>
          </w:tcPr>
          <w:p>
            <w:r>
              <w:rPr/>
              <w:t>本项目共</w:t>
            </w:r>
            <w:r>
              <w:rPr/>
              <w:t>1</w:t>
            </w:r>
            <w:r>
              <w:rPr/>
              <w:t>个采购包</w:t>
            </w:r>
          </w:p>
        </w:tc>
      </w:tr>
      <w:tr>
        <w:tc>
          <w:tcPr>
            <w:tcW w:type="dxa" w:w="1051"/>
          </w:tcPr>
          <w:p>
            <w:r>
              <w:rPr/>
              <w:t>2</w:t>
            </w:r>
          </w:p>
        </w:tc>
        <w:tc>
          <w:tcPr>
            <w:tcW w:type="dxa" w:w="2252"/>
          </w:tcPr>
          <w:p>
            <w:r>
              <w:rPr/>
              <w:t>开标方式</w:t>
            </w:r>
          </w:p>
        </w:tc>
        <w:tc>
          <w:tcPr>
            <w:tcW w:type="dxa" w:w="5004"/>
          </w:tcPr>
          <w:p>
            <w:r>
              <w:rPr/>
              <w:t>远程电子开标</w:t>
            </w:r>
          </w:p>
        </w:tc>
      </w:tr>
      <w:tr>
        <w:tc>
          <w:tcPr>
            <w:tcW w:type="dxa" w:w="1051"/>
          </w:tcPr>
          <w:p>
            <w:r>
              <w:rPr/>
              <w:t>3</w:t>
            </w:r>
          </w:p>
        </w:tc>
        <w:tc>
          <w:tcPr>
            <w:tcW w:type="dxa" w:w="2252"/>
          </w:tcPr>
          <w:p>
            <w:r>
              <w:rPr/>
              <w:t>评标方式</w:t>
            </w:r>
          </w:p>
        </w:tc>
        <w:tc>
          <w:tcPr>
            <w:tcW w:type="dxa" w:w="5004"/>
          </w:tcPr>
          <w:p>
            <w:r>
              <w:rPr/>
              <w:t>现场电子评标</w:t>
            </w:r>
            <w:r>
              <w:rPr/>
              <w:t>（供应商应当审慎标记各评审项的应答部分，标记内容清晰且完整，否则将自行承担不利后果）</w:t>
            </w:r>
          </w:p>
        </w:tc>
      </w:tr>
      <w:tr>
        <w:tc>
          <w:tcPr>
            <w:tcW w:type="dxa" w:w="1051"/>
          </w:tcPr>
          <w:p>
            <w:r>
              <w:rPr/>
              <w:t>4</w:t>
            </w:r>
          </w:p>
        </w:tc>
        <w:tc>
          <w:tcPr>
            <w:tcW w:type="dxa" w:w="2252"/>
          </w:tcPr>
          <w:p>
            <w:r>
              <w:rPr/>
              <w:t>评标办法</w:t>
            </w:r>
          </w:p>
        </w:tc>
        <w:tc>
          <w:tcPr>
            <w:tcW w:type="dxa" w:w="5004"/>
          </w:tcPr>
          <w:p>
            <w:r>
              <w:rPr/>
              <w:t>采购包1：综合评分法</w:t>
            </w:r>
          </w:p>
        </w:tc>
      </w:tr>
      <w:tr>
        <w:tc>
          <w:tcPr>
            <w:tcW w:type="dxa" w:w="1051"/>
          </w:tcPr>
          <w:p>
            <w:r>
              <w:rPr/>
              <w:t>5</w:t>
            </w:r>
          </w:p>
        </w:tc>
        <w:tc>
          <w:tcPr>
            <w:tcW w:type="dxa" w:w="2252"/>
          </w:tcPr>
          <w:p>
            <w:r>
              <w:rPr/>
              <w:t>报价形式</w:t>
            </w:r>
          </w:p>
        </w:tc>
        <w:tc>
          <w:tcPr>
            <w:tcW w:type="dxa" w:w="5004"/>
          </w:tcPr>
          <w:p/>
          <w:p>
            <w:r>
              <w:rPr/>
              <w:t>采购包1：总价</w:t>
            </w:r>
          </w:p>
        </w:tc>
      </w:tr>
      <w:tr>
        <w:tc>
          <w:tcPr>
            <w:tcW w:type="dxa" w:w="1051"/>
          </w:tcPr>
          <w:p>
            <w:r>
              <w:rPr/>
              <w:t>6</w:t>
            </w:r>
          </w:p>
        </w:tc>
        <w:tc>
          <w:tcPr>
            <w:tcW w:type="dxa" w:w="2252"/>
          </w:tcPr>
          <w:p>
            <w:r>
              <w:rPr/>
              <w:t>报价要求</w:t>
            </w:r>
          </w:p>
        </w:tc>
        <w:tc>
          <w:tcPr>
            <w:tcW w:type="dxa" w:w="5004"/>
          </w:tcPr>
          <w:p>
            <w:r>
              <w:rPr/>
              <w:t>各采购包报价不超过预算总价</w:t>
            </w:r>
          </w:p>
        </w:tc>
      </w:tr>
      <w:tr>
        <w:tc>
          <w:tcPr>
            <w:tcW w:type="dxa" w:w="1051"/>
          </w:tcPr>
          <w:p>
            <w:r>
              <w:rPr/>
              <w:t>7</w:t>
            </w:r>
          </w:p>
        </w:tc>
        <w:tc>
          <w:tcPr>
            <w:tcW w:type="dxa" w:w="2252"/>
          </w:tcPr>
          <w:p>
            <w:r>
              <w:rPr/>
              <w:t>现场踏勘</w:t>
            </w:r>
          </w:p>
        </w:tc>
        <w:tc>
          <w:tcPr>
            <w:tcW w:type="dxa" w:w="5004"/>
          </w:tcPr>
          <w:p/>
          <w:p>
            <w:r>
              <w:rPr/>
              <w:t>否</w:t>
            </w:r>
          </w:p>
        </w:tc>
      </w:tr>
      <w:tr>
        <w:tc>
          <w:tcPr>
            <w:tcW w:type="dxa" w:w="1051"/>
          </w:tcPr>
          <w:p>
            <w:r>
              <w:rPr/>
              <w:t>8</w:t>
            </w:r>
          </w:p>
        </w:tc>
        <w:tc>
          <w:tcPr>
            <w:tcW w:type="dxa" w:w="2252"/>
          </w:tcPr>
          <w:p>
            <w:r>
              <w:rPr/>
              <w:t>投标有效期</w:t>
            </w:r>
          </w:p>
        </w:tc>
        <w:tc>
          <w:tcPr>
            <w:tcW w:type="dxa" w:w="5004"/>
          </w:tcPr>
          <w:p>
            <w:r>
              <w:rPr/>
              <w:t>从提交投标（响应）文件的截止之日起90日历天</w:t>
            </w:r>
          </w:p>
        </w:tc>
      </w:tr>
      <w:tr>
        <w:tc>
          <w:tcPr>
            <w:tcW w:type="dxa" w:w="1051"/>
          </w:tcPr>
          <w:p>
            <w:r>
              <w:rPr/>
              <w:t>9</w:t>
            </w:r>
          </w:p>
        </w:tc>
        <w:tc>
          <w:tcPr>
            <w:tcW w:type="dxa" w:w="2252"/>
          </w:tcPr>
          <w:p>
            <w:r>
              <w:rPr/>
              <w:t>投标保证金</w:t>
            </w:r>
          </w:p>
        </w:tc>
        <w:tc>
          <w:tcPr>
            <w:tcW w:type="dxa" w:w="5004"/>
          </w:tcPr>
          <w:p>
            <w:pPr>
              <w:ind w:firstLine="480"/>
            </w:pPr>
          </w:p>
          <w:p>
            <w:r>
              <w:rPr/>
              <w:t>采购包1：保证金人民币：0.00元整。</w:t>
            </w:r>
          </w:p>
          <w:p>
            <w:r>
              <w:rPr/>
              <w:t>开户单位：</w:t>
            </w:r>
            <w:r>
              <w:rPr/>
              <w:t>无</w:t>
            </w:r>
          </w:p>
          <w:p>
            <w:r>
              <w:rPr/>
              <w:t>开户账号：</w:t>
            </w:r>
            <w:r>
              <w:rPr/>
              <w:t>无</w:t>
            </w:r>
          </w:p>
          <w:p>
            <w:r>
              <w:rPr/>
              <w:t>开户银行：</w:t>
            </w:r>
            <w:r>
              <w:rPr/>
              <w:t>无</w:t>
            </w:r>
          </w:p>
          <w:p>
            <w:r>
              <w:rPr/>
              <w:t>支票提交方式：</w:t>
            </w:r>
            <w:r>
              <w:rPr/>
              <w:t>无</w:t>
            </w:r>
          </w:p>
          <w:p>
            <w:r>
              <w:rPr/>
              <w:t>汇票、本票提交方式：</w:t>
            </w:r>
            <w:r>
              <w:rPr/>
              <w:t>无</w:t>
            </w:r>
          </w:p>
          <w:p/>
          <w:p>
            <w:pPr>
              <w:ind w:firstLine="480"/>
            </w:pPr>
            <w:r>
              <w:rPr/>
              <w:t>投标保证金有效期∶与投标有效期一致。</w:t>
            </w:r>
          </w:p>
          <w:p>
            <w:pPr>
              <w:ind w:firstLine="480"/>
            </w:pPr>
            <w:r>
              <w:rPr/>
              <w:t>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r>
              <w:rPr/>
              <w:t>10</w:t>
            </w:r>
          </w:p>
        </w:tc>
        <w:tc>
          <w:tcPr>
            <w:tcW w:type="dxa" w:w="2252"/>
          </w:tcPr>
          <w:p>
            <w:r>
              <w:rPr/>
              <w:t>投标文件要求</w:t>
            </w:r>
          </w:p>
        </w:tc>
        <w:tc>
          <w:tcPr>
            <w:tcW w:type="dxa" w:w="5004"/>
          </w:tcPr>
          <w:p>
            <w:pPr>
              <w:ind w:firstLine="480"/>
            </w:pPr>
            <w:r>
              <w:rPr>
                <w:b/>
              </w:rPr>
              <w:t>一、电子投标文件（必须提供）：</w:t>
            </w:r>
          </w:p>
          <w:p>
            <w:pPr>
              <w:ind w:firstLine="480"/>
            </w:pPr>
            <w:r>
              <w:rPr/>
              <w:t>（1）加密的电子投标文件 1 份（需在递交投标文件截止时间前成功上传至云平台项目采购系统）。</w:t>
            </w:r>
          </w:p>
          <w:p>
            <w:pPr>
              <w:ind w:firstLine="480"/>
            </w:pPr>
            <w:r>
              <w:rPr/>
              <w:t>（2）非加密电子版文件 U 盘(或光盘)</w:t>
            </w:r>
            <w:r>
              <w:rPr/>
              <w:t>0</w:t>
            </w:r>
            <w:r>
              <w:rPr/>
              <w:t>份，加密的电子投标文件与非加密的电子投标文件必须完全一致。</w:t>
            </w:r>
          </w:p>
          <w:p>
            <w:pPr>
              <w:ind w:firstLine="480"/>
            </w:pPr>
            <w:r>
              <w:rPr>
                <w:b/>
              </w:rPr>
              <w:t>非加密电子版投标文件使用情形:</w:t>
            </w:r>
            <w:r>
              <w:rPr/>
              <w:t>当无法使用 CA 证书在云平台项目采购系统进行电子投标文件开标解密时，供应商须在代理机构指引下启用非加密电子版投标文件。</w:t>
            </w:r>
          </w:p>
          <w:p>
            <w:pPr>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r>
              <w:rPr/>
              <w:t>11</w:t>
            </w:r>
          </w:p>
        </w:tc>
        <w:tc>
          <w:tcPr>
            <w:tcW w:type="dxa" w:w="2252"/>
          </w:tcPr>
          <w:p>
            <w:r>
              <w:rPr/>
              <w:t>中标候选供应商推荐家数</w:t>
            </w:r>
          </w:p>
        </w:tc>
        <w:tc>
          <w:tcPr>
            <w:tcW w:type="dxa" w:w="5004"/>
          </w:tcPr>
          <w:p>
            <w:r>
              <w:rPr/>
              <w:t>采购包1：</w:t>
            </w:r>
            <w:r>
              <w:rPr/>
              <w:t>3家</w:t>
            </w:r>
          </w:p>
        </w:tc>
      </w:tr>
      <w:tr>
        <w:tc>
          <w:tcPr>
            <w:tcW w:type="dxa" w:w="1051"/>
          </w:tcPr>
          <w:p>
            <w:r>
              <w:rPr/>
              <w:t>12</w:t>
            </w:r>
          </w:p>
        </w:tc>
        <w:tc>
          <w:tcPr>
            <w:tcW w:type="dxa" w:w="2252"/>
          </w:tcPr>
          <w:p>
            <w:pPr>
              <w:ind w:firstLine="480"/>
            </w:pPr>
            <w:r>
              <w:rPr/>
              <w:t>中标供应商数量</w:t>
            </w:r>
          </w:p>
        </w:tc>
        <w:tc>
          <w:tcPr>
            <w:tcW w:type="dxa" w:w="5004"/>
          </w:tcPr>
          <w:p>
            <w:pPr>
              <w:ind w:firstLine="480"/>
            </w:pPr>
          </w:p>
          <w:p>
            <w:r>
              <w:rPr/>
              <w:t>采购包1：</w:t>
            </w:r>
            <w:r>
              <w:rPr/>
              <w:t>1家</w:t>
            </w:r>
          </w:p>
          <w:p/>
        </w:tc>
      </w:tr>
      <w:tr>
        <w:tc>
          <w:tcPr>
            <w:tcW w:type="dxa" w:w="1051"/>
          </w:tcPr>
          <w:p>
            <w:r>
              <w:rPr/>
              <w:t>13</w:t>
            </w:r>
          </w:p>
        </w:tc>
        <w:tc>
          <w:tcPr>
            <w:tcW w:type="dxa" w:w="2252"/>
          </w:tcPr>
          <w:p>
            <w:pPr>
              <w:ind w:firstLine="480"/>
            </w:pPr>
            <w:r>
              <w:rPr/>
              <w:t>有效供应商家数</w:t>
            </w:r>
          </w:p>
        </w:tc>
        <w:tc>
          <w:tcPr>
            <w:tcW w:type="dxa" w:w="5004"/>
          </w:tcPr>
          <w:p>
            <w:pPr>
              <w:ind w:firstLine="480"/>
            </w:pPr>
          </w:p>
          <w:p>
            <w:pPr>
              <w:jc w:val="left"/>
            </w:pPr>
          </w:p>
          <w:p>
            <w:r>
              <w:rPr/>
              <w:t>采购包1：3家</w:t>
            </w:r>
          </w:p>
          <w:p/>
          <w:p>
            <w:pPr>
              <w:ind w:firstLine="480"/>
            </w:pPr>
            <w:r>
              <w:rPr/>
              <w:t>此人数约定了开标与评标过程中的最低有效供应商家数，当家数不足时项目将不得开标、不得评标或直接废标。</w:t>
            </w:r>
          </w:p>
        </w:tc>
      </w:tr>
      <w:tr>
        <w:tc>
          <w:tcPr>
            <w:tcW w:type="dxa" w:w="1051"/>
          </w:tcPr>
          <w:p>
            <w:r>
              <w:rPr/>
              <w:t>14</w:t>
            </w:r>
          </w:p>
        </w:tc>
        <w:tc>
          <w:tcPr>
            <w:tcW w:type="dxa" w:w="2252"/>
          </w:tcPr>
          <w:p>
            <w:r>
              <w:rPr/>
              <w:t>项目兼投兼中（兼投不兼中）规则</w:t>
            </w:r>
          </w:p>
        </w:tc>
        <w:tc>
          <w:tcPr>
            <w:tcW w:type="dxa" w:w="5004"/>
          </w:tcPr>
          <w:p>
            <w:r>
              <w:rPr/>
              <w:t>无：-</w:t>
            </w:r>
          </w:p>
        </w:tc>
      </w:tr>
      <w:tr>
        <w:tc>
          <w:tcPr>
            <w:tcW w:type="dxa" w:w="1051"/>
          </w:tcPr>
          <w:p>
            <w:r>
              <w:rPr/>
              <w:t>15</w:t>
            </w:r>
          </w:p>
        </w:tc>
        <w:tc>
          <w:tcPr>
            <w:tcW w:type="dxa" w:w="2252"/>
          </w:tcPr>
          <w:p>
            <w:r>
              <w:rPr/>
              <w:t>中标供应商确定方式</w:t>
            </w:r>
          </w:p>
        </w:tc>
        <w:tc>
          <w:tcPr>
            <w:tcW w:type="dxa" w:w="5004"/>
          </w:tcPr>
          <w:p>
            <w:r>
              <w:rPr/>
              <w:t>采购人按照评审报告中推荐的成交候选人确定中标（成交）人。</w:t>
            </w:r>
          </w:p>
        </w:tc>
      </w:tr>
      <w:tr>
        <w:tc>
          <w:tcPr>
            <w:tcW w:type="dxa" w:w="1051"/>
          </w:tcPr>
          <w:p>
            <w:r>
              <w:rPr/>
              <w:t>16</w:t>
            </w:r>
          </w:p>
        </w:tc>
        <w:tc>
          <w:tcPr>
            <w:tcW w:type="dxa" w:w="2252"/>
          </w:tcPr>
          <w:p>
            <w:r>
              <w:rPr/>
              <w:t>代理服务费</w:t>
            </w:r>
          </w:p>
        </w:tc>
        <w:tc>
          <w:tcPr>
            <w:tcW w:type="dxa" w:w="5004"/>
          </w:tcPr>
          <w:p>
            <w:r>
              <w:rPr/>
              <w:t>收取。</w:t>
            </w:r>
          </w:p>
          <w:p>
            <w:r>
              <w:rPr/>
              <w:t>采购机构代理服务收费标准：参考《招标代理服务收费管理暂行办法》计价格[2002]1980号文，《国家发展改革委关于进一步放开建设项目专业服务价格的通知发改价格[2015] 299号》收取招标代理服务费。</w:t>
            </w:r>
          </w:p>
        </w:tc>
      </w:tr>
      <w:tr>
        <w:tc>
          <w:tcPr>
            <w:tcW w:type="dxa" w:w="1051"/>
          </w:tcPr>
          <w:p>
            <w:r>
              <w:rPr/>
              <w:t>17</w:t>
            </w:r>
          </w:p>
        </w:tc>
        <w:tc>
          <w:tcPr>
            <w:tcW w:type="dxa" w:w="2252"/>
          </w:tcPr>
          <w:p>
            <w:r>
              <w:rPr/>
              <w:t>代理服务费收取方式</w:t>
            </w:r>
          </w:p>
        </w:tc>
        <w:tc>
          <w:tcPr>
            <w:tcW w:type="dxa" w:w="5004"/>
          </w:tcPr>
          <w:p>
            <w:r>
              <w:rPr/>
              <w:t>向中标/成交供应商收取</w:t>
            </w:r>
          </w:p>
        </w:tc>
      </w:tr>
      <w:tr>
        <w:tc>
          <w:tcPr>
            <w:tcW w:type="dxa" w:w="1051"/>
          </w:tcPr>
          <w:p>
            <w:r>
              <w:rPr/>
              <w:t>18</w:t>
            </w:r>
          </w:p>
        </w:tc>
        <w:tc>
          <w:tcPr>
            <w:tcW w:type="dxa" w:w="2252"/>
          </w:tcPr>
          <w:p>
            <w:r>
              <w:rPr/>
              <w:t>其他</w:t>
            </w:r>
          </w:p>
        </w:tc>
        <w:tc>
          <w:tcPr>
            <w:tcW w:type="dxa" w:w="5004"/>
          </w:tcPr>
          <w:p/>
        </w:tc>
      </w:tr>
      <w:tr>
        <w:tc>
          <w:tcPr>
            <w:tcW w:type="dxa" w:w="1051"/>
          </w:tcPr>
          <w:p>
            <w:r>
              <w:rPr/>
              <w:t>19</w:t>
            </w:r>
          </w:p>
        </w:tc>
        <w:tc>
          <w:tcPr>
            <w:tcW w:type="dxa" w:w="2252"/>
          </w:tcPr>
          <w:p>
            <w:r>
              <w:rPr/>
              <w:t>开标解密时长</w:t>
            </w:r>
          </w:p>
        </w:tc>
        <w:tc>
          <w:tcPr>
            <w:tcW w:type="dxa" w:w="5004"/>
          </w:tcPr>
          <w:p>
            <w:r>
              <w:rPr/>
              <w:t>具体情况根据开标时现场代理机构人员设置为准</w:t>
            </w:r>
          </w:p>
          <w:p>
            <w:r>
              <w:rPr/>
              <w:t>说明：具体情况根据开标时现场代理机构人员设置为准</w:t>
            </w:r>
          </w:p>
        </w:tc>
      </w:tr>
      <w:tr>
        <w:tc>
          <w:tcPr>
            <w:tcW w:type="dxa" w:w="1051"/>
          </w:tcPr>
          <w:p>
            <w:r>
              <w:rPr/>
              <w:t>20</w:t>
            </w:r>
          </w:p>
        </w:tc>
        <w:tc>
          <w:tcPr>
            <w:tcW w:type="dxa" w:w="2252"/>
          </w:tcPr>
          <w:p>
            <w:r>
              <w:rPr/>
              <w:t>专门面向中小企业采购</w:t>
            </w:r>
          </w:p>
        </w:tc>
        <w:tc>
          <w:tcPr>
            <w:tcW w:type="dxa" w:w="5004"/>
          </w:tcPr>
          <w:p>
            <w:pPr>
              <w:jc w:val="left"/>
            </w:pPr>
            <w:r>
              <w:rPr/>
              <w:t>采购包1：面向中小企业，采购包专门预留</w:t>
            </w:r>
          </w:p>
        </w:tc>
      </w:tr>
    </w:tbl>
    <w:p>
      <w:r>
        <w:rPr>
          <w:b/>
          <w:sz w:val="28"/>
        </w:rPr>
        <w:t>三、说明</w:t>
      </w:r>
    </w:p>
    <w:p>
      <w:r>
        <w:rPr>
          <w:b/>
          <w:sz w:val="24"/>
        </w:rPr>
        <w:t>1.总则</w:t>
      </w:r>
    </w:p>
    <w:p>
      <w:pPr>
        <w:ind w:firstLine="480"/>
      </w:pPr>
      <w:r>
        <w:rPr/>
        <w:t>采购人、采购代理机构及投标人进行的本次采购活动适用《中华人民共和国政府采购法》及其配套的法规、规章、政策。</w:t>
      </w:r>
    </w:p>
    <w:p>
      <w:pPr>
        <w:ind w:firstLine="480"/>
      </w:pPr>
      <w:r>
        <w:rPr/>
        <w:t>投标人应仔细阅读本项目招标公告及招标文件的所有内容（包括变更、补充、澄清以及修改等，且均为招标文件的组成部分），按照招标文件要求以及格式编制投标文件，并保证其真实性，否则一切后果自负。</w:t>
      </w:r>
    </w:p>
    <w:p>
      <w:pPr>
        <w:ind w:firstLine="480"/>
      </w:pPr>
      <w:r>
        <w:rPr/>
        <w:t>本次公开招标项目，是以招标公告的方式邀请非特定的投标人参加投标。</w:t>
      </w:r>
    </w:p>
    <w:p>
      <w:r>
        <w:rPr>
          <w:b/>
          <w:sz w:val="24"/>
        </w:rPr>
        <w:t>2.适用范围</w:t>
      </w:r>
    </w:p>
    <w:p>
      <w:pPr>
        <w:ind w:firstLine="480"/>
      </w:pPr>
      <w:r>
        <w:rPr/>
        <w:t>本招标文件仅适用于本次招标公告中所涉及的项目和内容。</w:t>
      </w:r>
    </w:p>
    <w:p>
      <w:r>
        <w:rPr>
          <w:b/>
          <w:sz w:val="24"/>
        </w:rPr>
        <w:t>3.进口产品</w:t>
      </w:r>
    </w:p>
    <w:p>
      <w:pPr>
        <w:ind w:firstLine="480"/>
      </w:pPr>
      <w:r>
        <w:rPr/>
        <w:t>若本项目允许采购进口产品，供应商应保证所投产品可履行合法报通关手续进入中国关境内。</w:t>
      </w:r>
    </w:p>
    <w:p>
      <w:pPr>
        <w:ind w:firstLine="480"/>
      </w:pPr>
      <w:r>
        <w:rPr/>
        <w:t>若本项目不允许采购进口产品，如供应商所投产品为进口产品，其响应将被认定为响应无效。</w:t>
      </w:r>
    </w:p>
    <w:p>
      <w:r>
        <w:rPr>
          <w:b/>
          <w:sz w:val="24"/>
        </w:rPr>
        <w:t>4.投标的费用</w:t>
      </w:r>
    </w:p>
    <w:p>
      <w:pPr>
        <w:ind w:firstLine="480"/>
      </w:pPr>
      <w:r>
        <w:rPr/>
        <w:t>不论投标结果如何，投标人应承担所有与准备和参加投标有关的费用。采购代理机构和采购人均无义务和责任承担相关费用。</w:t>
      </w:r>
    </w:p>
    <w:p>
      <w:r>
        <w:rPr>
          <w:b/>
          <w:sz w:val="24"/>
        </w:rPr>
        <w:t>5.以联合体形式投标的，应符合以下规定：</w:t>
      </w:r>
    </w:p>
    <w:p>
      <w:pPr>
        <w:ind w:firstLine="480"/>
      </w:pPr>
      <w:r>
        <w:rPr/>
        <w:t>5.1联合体各方均应当满足《中华人民共和国政府采购法》第二十二条规定的条件，并在投标文件中提供联合体各方的相关证明材料。</w:t>
      </w:r>
    </w:p>
    <w:p>
      <w:pPr>
        <w:ind w:firstLine="480"/>
      </w:pPr>
      <w:r>
        <w:rPr/>
        <w:t>5.2</w:t>
        <w:tab/>
        <w:tab/>
        <w:t xml:space="preserve">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ind w:firstLine="480"/>
      </w:pPr>
      <w:r>
        <w:rPr/>
        <w:t>5.3</w:t>
        <w:tab/>
        <w:tab/>
        <w:t xml:space="preserve">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ind w:firstLine="480"/>
      </w:pPr>
      <w:r>
        <w:rPr/>
        <w:t>5.4联合体成员存在不良信用记录的，视同联合体存在不良信用记录。</w:t>
      </w:r>
    </w:p>
    <w:p>
      <w:pPr>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ind w:firstLine="480"/>
      </w:pPr>
      <w:r>
        <w:rPr/>
        <w:t>5.6联合体各方应当共同与采购人签订采购合同，就合同约定的事项对采购人承担连带责任。</w:t>
      </w:r>
    </w:p>
    <w:p>
      <w:r>
        <w:rPr>
          <w:b/>
          <w:sz w:val="24"/>
        </w:rPr>
        <w:t>6.关联企业投标说明</w:t>
      </w:r>
    </w:p>
    <w:p>
      <w:pPr>
        <w:ind w:firstLine="480"/>
      </w:pPr>
      <w:r>
        <w:rPr/>
        <w:t>6.1</w:t>
        <w:tab/>
        <w:tab/>
        <w:t xml:space="preserve"> 对于不接受联合体投标的采购项目（采购包）：法定代表人或单位负责人为同一个人或者存在直接控股、管理关系的不同供应商，不得同时参加同一项目或同一采购包的投标。如同时参加，则其投标将被拒绝。</w:t>
      </w:r>
    </w:p>
    <w:p>
      <w:pPr>
        <w:ind w:firstLine="480"/>
      </w:pPr>
      <w:r>
        <w:rPr/>
        <w:t>6.2</w:t>
        <w:tab/>
        <w:tab/>
        <w:t xml:space="preserve">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r>
        <w:rPr>
          <w:b/>
          <w:sz w:val="24"/>
        </w:rPr>
        <w:t>7.关于中小微企业投标</w:t>
      </w:r>
    </w:p>
    <w:p>
      <w:pPr>
        <w:ind w:firstLine="480"/>
      </w:pPr>
      <w:r>
        <w:rPr/>
        <w:t>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tab/>
        <w:tab/>
        <w:t xml:space="preserve"> 中小企业划分见《关于印发中小企业划型标准规定的通知》（工信部联企业〔2011〕300号) 。</w:t>
      </w:r>
    </w:p>
    <w:p>
      <w:pPr>
        <w:ind w:firstLine="480"/>
      </w:pPr>
      <w:r>
        <w:rPr/>
        <w:t>根据财库〔2014〕68号《财政部</w:t>
        <w:tab/>
        <w:tab/>
        <w:t xml:space="preserve">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ind w:firstLine="480"/>
      </w:pPr>
      <w:r>
        <w:rPr/>
        <w:t>根据财库〔2017〕141号《财政部 民政部</w:t>
        <w:tab/>
        <w:tab/>
        <w:t xml:space="preserve"> 中国残疾人联合会关于促进残疾人就业政府采购政策的通知》，在政府采购活动中，残疾人福利性单位视同小型、微型企业，享受政府采购支持政策的残疾人福利性单位应当同时满足《财政部 民政部</w:t>
        <w:tab/>
        <w:tab/>
        <w:t xml:space="preserve">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r>
        <w:rPr>
          <w:b/>
          <w:sz w:val="24"/>
        </w:rPr>
        <w:t>8.纪律与保密事项</w:t>
      </w:r>
    </w:p>
    <w:p>
      <w:pPr>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ind w:firstLine="480"/>
      </w:pPr>
      <w:r>
        <w:rPr/>
        <w:t>8.2在确定中标供应商之前，投标人不得与采购人就投标价格、投标方案等实质性内容进行谈判，也不得私下接触评标委员会成员。</w:t>
      </w:r>
    </w:p>
    <w:p>
      <w:pPr>
        <w:ind w:firstLine="480"/>
      </w:pPr>
      <w:r>
        <w:rPr/>
        <w:t>8.3在确定中标供应商之前，投标人试图在投标文件审查、澄清、比较和评价时对评标委员会、采购人和采购代理机构施加任何影响都可能导致其投标无效。</w:t>
      </w:r>
    </w:p>
    <w:p>
      <w:pPr>
        <w:ind w:firstLine="480"/>
      </w:pPr>
      <w:r>
        <w:rPr/>
        <w:t>8.4获得本招标文件者，须履行本项目下保密义务，不得将因本次项目获得的信息向第三人外传，不得将招标文件用作本次投标以外的任何用途。</w:t>
      </w:r>
    </w:p>
    <w:p>
      <w:pPr>
        <w:ind w:firstLine="480"/>
      </w:pPr>
      <w:r>
        <w:rPr/>
        <w:t>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ind w:firstLine="480"/>
      </w:pPr>
      <w:r>
        <w:rPr/>
        <w:t>8.6采购人或采购代理机构有权将供应商提供的所有资料向有关政府部门或评审小组披露。</w:t>
      </w:r>
    </w:p>
    <w:p>
      <w:pPr>
        <w:ind w:firstLine="480"/>
      </w:pPr>
      <w:r>
        <w:rPr/>
        <w:t>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r>
        <w:rPr>
          <w:b/>
          <w:sz w:val="24"/>
        </w:rPr>
        <w:t>9.语言文字以及度量衡单位</w:t>
      </w:r>
    </w:p>
    <w:p>
      <w:pPr>
        <w:ind w:firstLine="480"/>
      </w:pPr>
      <w:r>
        <w:rPr/>
        <w:t>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ind w:firstLine="480"/>
      </w:pPr>
      <w:r>
        <w:rPr/>
        <w:t>9.2除非招标文件的技术规格中另有规定，投标人在投标文件中及其与采购人和采购代理机构的所有往来文件中的计量单位均应采用中华人民共和国法定计量单位。</w:t>
      </w:r>
    </w:p>
    <w:p>
      <w:pPr>
        <w:ind w:firstLine="480"/>
      </w:pPr>
      <w:r>
        <w:rPr/>
        <w:t>9.3投标人所提供的货物和服务均应以人民币报价，货币单位：元。</w:t>
      </w:r>
    </w:p>
    <w:p>
      <w:r>
        <w:rPr>
          <w:b/>
          <w:sz w:val="24"/>
        </w:rPr>
        <w:t>10. 现场踏勘（如有）</w:t>
      </w:r>
    </w:p>
    <w:p>
      <w:pPr>
        <w:ind w:firstLine="480"/>
      </w:pPr>
      <w:r>
        <w:rPr/>
        <w:t>10.1招标文件规定组织踏勘现场的，采购人按招标文件规定的时间、地点组织投标人踏勘项目现场。</w:t>
      </w:r>
    </w:p>
    <w:p>
      <w:pPr>
        <w:ind w:firstLine="480"/>
      </w:pPr>
      <w:r>
        <w:rPr/>
        <w:t>10.2投标人自行承担踏勘现场发生的责任、风险和自身费用。</w:t>
      </w:r>
    </w:p>
    <w:p>
      <w:pPr>
        <w:ind w:firstLine="480"/>
      </w:pPr>
      <w:r>
        <w:rPr/>
        <w:t>10.3采购人在踏勘现场中介绍的资料和数据等，只是为了使投标人能够利用招标人现有的资料。招标人对投标人由此而作出的推论、解释和结论概不负责。</w:t>
      </w:r>
    </w:p>
    <w:p>
      <w:r>
        <w:rPr>
          <w:b/>
          <w:sz w:val="28"/>
        </w:rPr>
        <w:t>四、招标文件的澄清和修改</w:t>
      </w:r>
    </w:p>
    <w:p>
      <w:pPr>
        <w:ind w:firstLine="480"/>
      </w:pPr>
      <w:r>
        <w:rPr/>
        <w:t>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ind w:firstLine="480"/>
      </w:pPr>
      <w:r>
        <w:rPr/>
        <w:t>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ind w:firstLine="480"/>
      </w:pPr>
      <w:r>
        <w:rPr/>
        <w:t>3.如更正公告有重新发布电子招标文件的，供应商应登录云平台项目采购系统下载最新发布的电子招标文件制作投标文件。</w:t>
      </w:r>
    </w:p>
    <w:p>
      <w:pPr>
        <w:ind w:firstLine="480"/>
      </w:pPr>
      <w:r>
        <w:rPr/>
        <w:t>4.投标人在规定的时间内未对招标文件提出疑问、质疑或要求澄清的，将视其为无异议。对招标文件中描述有歧义或前后不一致的地方，评标委员会有权进行评判，但对同一条款的评判应适用于每个投标人。</w:t>
      </w:r>
    </w:p>
    <w:p>
      <w:r>
        <w:rPr>
          <w:b/>
          <w:sz w:val="28"/>
        </w:rPr>
        <w:t>五、投标要求</w:t>
      </w:r>
    </w:p>
    <w:p>
      <w:r>
        <w:rPr>
          <w:b/>
          <w:sz w:val="24"/>
        </w:rPr>
        <w:t>1.投标登记</w:t>
      </w:r>
    </w:p>
    <w:p>
      <w:pPr>
        <w:ind w:firstLine="480"/>
      </w:pPr>
      <w:r>
        <w:rPr/>
        <w:t>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r>
        <w:rPr>
          <w:b/>
          <w:sz w:val="24"/>
        </w:rPr>
        <w:t>2.投标文件的制作</w:t>
      </w:r>
    </w:p>
    <w:p>
      <w:pPr>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ind w:firstLine="480"/>
      </w:pPr>
      <w:r>
        <w:rPr/>
        <w:t>2.2投标人应使用云平台提供的投标客户端编制、标记、加密投标文件，成功加密后将生成指定格式的电子投标文件和电子备用投标文件。所有投标文件不能进行压缩处理。关于电子投标报价（如有报价）说明如下：</w:t>
      </w:r>
    </w:p>
    <w:p>
      <w:pPr>
        <w:ind w:firstLine="480"/>
      </w:pPr>
      <w:r>
        <w:rPr/>
        <w:t>(1)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ind w:firstLine="480"/>
      </w:pPr>
      <w:r>
        <w:rPr/>
        <w:t>(2)投标报价包括本项目采购需求和投入使用的所有费用，包括但不限于主件、标准附件、备品备件、施工、服务、专用工具、安装、调试、检验、培训、运输、保险、税款等。</w:t>
      </w:r>
    </w:p>
    <w:p>
      <w:pPr>
        <w:ind w:firstLine="480"/>
      </w:pPr>
      <w:r>
        <w:rPr/>
        <w:t>2.3 如有对多个采购包投标的，要对每个采购包独立制作电子投标文件。</w:t>
      </w:r>
    </w:p>
    <w:p>
      <w:pPr>
        <w:ind w:firstLine="480"/>
      </w:pPr>
      <w:r>
        <w:rPr/>
        <w:t>2.4投标人不得将同一个项目或同一个采购包的内容拆开投标，否则其报价将被视为非实质性响应。</w:t>
      </w:r>
    </w:p>
    <w:p>
      <w:pPr>
        <w:ind w:firstLine="480"/>
      </w:pPr>
      <w:r>
        <w:rPr/>
        <w:t>2.5投标人须对招标文件的对应要求给予唯一的实质性响应，否则将视为不响应。</w:t>
      </w:r>
    </w:p>
    <w:p>
      <w:pPr>
        <w:ind w:firstLine="480"/>
      </w:pPr>
      <w:r>
        <w:rPr/>
        <w:t>2.6招标文件中，凡标有“★”的地方均为实质性响应条款，投标人若有一项带“★”的条款未响应或不满足，将按无效投标处理。</w:t>
      </w:r>
    </w:p>
    <w:p>
      <w:pPr>
        <w:ind w:firstLine="480"/>
      </w:pPr>
      <w:r>
        <w:rPr/>
        <w:t>2.7投标人必须按招标文件指定的格式填写各种报价，各报价应计算正确。除在招标文件另有规定外（如：报折扣、报优惠率等），计量单位应使用中华人民共和国法定计量单位，以人民币填报所有报价。</w:t>
      </w:r>
    </w:p>
    <w:p>
      <w:pPr>
        <w:ind w:firstLine="480"/>
      </w:pPr>
      <w:r>
        <w:rPr/>
        <w:t>2.8投标文件以及投标人与采购人、代理机构就有关投标的往来函电均应使用中文。投标人提交的支持性文件和印制的文件可以用另一种语言，但相应内容应翻译成中文，在解释投标文件时以中文文本为准。</w:t>
      </w:r>
    </w:p>
    <w:p>
      <w:pPr>
        <w:ind w:firstLine="480"/>
      </w:pPr>
      <w:r>
        <w:rPr/>
        <w:t>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r>
        <w:rPr>
          <w:b/>
          <w:sz w:val="24"/>
        </w:rPr>
        <w:t>3.投标文件的提交</w:t>
      </w:r>
    </w:p>
    <w:p>
      <w:pPr>
        <w:ind w:firstLine="480"/>
      </w:pPr>
      <w:r>
        <w:rPr/>
        <w:t>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ind w:firstLine="480"/>
      </w:pPr>
      <w:r>
        <w:rPr/>
        <w:t>3.2代理机构对因不可抗力事件造成的投标文件的损坏、丢失的，不承担责任。</w:t>
      </w:r>
    </w:p>
    <w:p>
      <w:pPr>
        <w:ind w:firstLine="480"/>
      </w:pPr>
      <w:r>
        <w:rPr/>
        <w:t>3.3出现下述情形之一，属于未成功提交投标文件，按无效投标处理：</w:t>
      </w:r>
    </w:p>
    <w:p>
      <w:pPr>
        <w:ind w:firstLine="480"/>
      </w:pPr>
      <w:r>
        <w:rPr/>
        <w:t>（1）至提交投标文件截止时，投标文件未完整上传的。</w:t>
      </w:r>
    </w:p>
    <w:p>
      <w:pPr>
        <w:ind w:firstLine="480"/>
      </w:pPr>
      <w:r>
        <w:rPr/>
        <w:t>（2）投标文件未按投标格式中注明需签字盖章的要求进行签名（含电子签名）和加盖电子印章，或签名（含电子签名）或电子印章不完整的。</w:t>
      </w:r>
    </w:p>
    <w:p>
      <w:pPr>
        <w:ind w:firstLine="480"/>
      </w:pPr>
      <w:r>
        <w:rPr/>
        <w:t>（3）投标文件损坏或格式不正确的。</w:t>
      </w:r>
    </w:p>
    <w:p>
      <w:r>
        <w:rPr>
          <w:b/>
          <w:sz w:val="24"/>
        </w:rPr>
        <w:t>4.投标文件的修改、撤回与撤销</w:t>
      </w:r>
    </w:p>
    <w:p>
      <w:pPr>
        <w:ind w:firstLine="480"/>
      </w:pPr>
      <w:r>
        <w:rPr/>
        <w:t>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ind w:firstLine="480"/>
      </w:pPr>
      <w:r>
        <w:rPr/>
        <w:t>4.2在提交投标文件截止时间后，投标人不得补充、修改和更换投标文件。</w:t>
      </w:r>
    </w:p>
    <w:p>
      <w:r>
        <w:rPr>
          <w:b/>
          <w:sz w:val="24"/>
        </w:rPr>
        <w:t>5.投标文件的解密</w:t>
      </w:r>
    </w:p>
    <w:p>
      <w:pPr>
        <w:ind w:firstLine="480"/>
      </w:pPr>
      <w:r>
        <w:rPr/>
        <w:t>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r>
        <w:rPr>
          <w:b/>
          <w:sz w:val="24"/>
        </w:rPr>
        <w:t>6.投标保证金</w:t>
      </w:r>
    </w:p>
    <w:p>
      <w:pPr>
        <w:ind w:firstLine="480"/>
      </w:pPr>
      <w:r>
        <w:rPr/>
        <w:t>6.1投标保证金的缴纳</w:t>
      </w:r>
    </w:p>
    <w:p>
      <w:pPr>
        <w:ind w:firstLine="480"/>
      </w:pPr>
      <w:r>
        <w:rPr/>
        <w:t>投标人在提交投标文件时，应按投标人须知前附表规定的金额和缴纳要求缴纳投标保证金，并作为其投标文件的组成部分。</w:t>
      </w:r>
    </w:p>
    <w:p>
      <w:pPr>
        <w:ind w:firstLine="480"/>
      </w:pPr>
      <w:r>
        <w:rPr/>
        <w:t>如采用转账、支票、本票、汇票形式提交的，投标保证金从投标人基本账户递交，由</w:t>
      </w:r>
      <w:r>
        <w:rPr/>
        <w:t>深圳市祺骏建设工程顾问有限公司韶关分公司</w:t>
      </w:r>
      <w:r>
        <w:rPr/>
        <w:t>代收。具体操作要求详见</w:t>
      </w:r>
      <w:r>
        <w:rPr/>
        <w:t>深圳市祺骏建设工程顾问有限公司韶关分公司</w:t>
      </w:r>
      <w:r>
        <w:rPr/>
        <w:t>有关指引，递交事宜请自行咨询</w:t>
      </w:r>
      <w:r>
        <w:rPr/>
        <w:t>深圳市祺骏建设工程顾问有限公司韶关分公司</w:t>
      </w:r>
      <w:r>
        <w:rPr/>
        <w:t>；请各投标人在投标文件递交截止时间前按须知前附表规定的金额递交至</w:t>
      </w:r>
      <w:r>
        <w:rPr/>
        <w:t>深圳市祺骏建设工程顾问有限公司韶关分公司</w:t>
      </w:r>
      <w:r>
        <w:rPr/>
        <w:t>，到账情况以开标时</w:t>
      </w:r>
      <w:r>
        <w:rPr/>
        <w:t>深圳市祺骏建设工程顾问有限公司韶关分公司</w:t>
      </w:r>
      <w:r>
        <w:rPr/>
        <w:t>查询的信息为准。</w:t>
      </w:r>
    </w:p>
    <w:p>
      <w:pPr>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ind w:firstLine="480"/>
      </w:pPr>
      <w:r>
        <w:rPr/>
        <w:t>投标人可通过"广东政府采购智慧云平台金融服务中心"(https://gdgpo.czt.gd.gov.cn/zcdservice/zcd/guangdong/)，申请办理电子保函，电子保函与纸质保函具有同样效力。</w:t>
      </w:r>
    </w:p>
    <w:p>
      <w:pPr>
        <w:ind w:firstLine="480"/>
      </w:pPr>
      <w:r>
        <w:rPr/>
        <w:t>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ind w:firstLine="480"/>
      </w:pPr>
      <w:r>
        <w:rPr/>
        <w:t>6.2投标保证金的退还：</w:t>
      </w:r>
    </w:p>
    <w:p>
      <w:pPr>
        <w:ind w:firstLine="480"/>
      </w:pPr>
      <w:r>
        <w:rPr/>
        <w:t>（1）投标人在投标截止时间前放弃投标的，自所投采购包结果公告发出后5个工作日内退还。</w:t>
      </w:r>
    </w:p>
    <w:p>
      <w:pPr>
        <w:ind w:firstLine="480"/>
      </w:pPr>
      <w:r>
        <w:rPr/>
        <w:t>（2）未中标的投标人投标保证金，自中标通知书发出之日起5个工作日内退还。</w:t>
      </w:r>
    </w:p>
    <w:p>
      <w:pPr>
        <w:ind w:firstLine="480"/>
      </w:pPr>
      <w:r>
        <w:rPr/>
        <w:t>（3）中标供应商的投标保证金，自政府采购合同签订之日起5个工作日内退还。</w:t>
      </w:r>
    </w:p>
    <w:p>
      <w:pPr>
        <w:ind w:firstLine="480"/>
      </w:pPr>
      <w:r>
        <w:rPr/>
        <w:t>备注：但因投标人自身原因导致无法及时退还的除外。</w:t>
      </w:r>
    </w:p>
    <w:p>
      <w:pPr>
        <w:ind w:firstLine="480"/>
      </w:pPr>
      <w:r>
        <w:rPr/>
        <w:t>6.3有下列情形之一的，投标保证金将不予退还：</w:t>
      </w:r>
    </w:p>
    <w:p>
      <w:pPr>
        <w:ind w:firstLine="480"/>
      </w:pPr>
      <w:r>
        <w:rPr/>
        <w:t>（1）提供虚假材料谋取中标、成交的；</w:t>
      </w:r>
    </w:p>
    <w:p>
      <w:pPr>
        <w:ind w:firstLine="480"/>
      </w:pPr>
      <w:r>
        <w:rPr/>
        <w:t>（2）投标人在招标文件规定的投标有效期内撤销其投标；</w:t>
      </w:r>
    </w:p>
    <w:p>
      <w:pPr>
        <w:ind w:firstLine="480"/>
      </w:pPr>
      <w:r>
        <w:rPr/>
        <w:t>（3）中标后，无正当理由放弃中标资格；</w:t>
      </w:r>
    </w:p>
    <w:p>
      <w:pPr>
        <w:ind w:firstLine="480"/>
      </w:pPr>
      <w:r>
        <w:rPr/>
        <w:t>（4）中标后，无正当理由不与采购人签订合同；</w:t>
      </w:r>
    </w:p>
    <w:p>
      <w:pPr>
        <w:ind w:firstLine="480"/>
      </w:pPr>
      <w:r>
        <w:rPr/>
        <w:t>（5）法律法规和招标文件规定的其他情形。</w:t>
      </w:r>
    </w:p>
    <w:p>
      <w:r>
        <w:rPr>
          <w:b/>
          <w:sz w:val="24"/>
        </w:rPr>
        <w:t>7.投标有效期</w:t>
      </w:r>
    </w:p>
    <w:p>
      <w:pPr>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ind w:firstLine="480"/>
      </w:pPr>
      <w:r>
        <w:rPr/>
        <w:t>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r>
        <w:rPr>
          <w:b/>
          <w:sz w:val="24"/>
        </w:rPr>
        <w:t>8.样品（演示）</w:t>
      </w:r>
    </w:p>
    <w:p>
      <w:pPr>
        <w:ind w:firstLine="480"/>
      </w:pPr>
      <w:r>
        <w:rPr/>
        <w:t>8.1招标文件规定投标人提交样品的，样品属于投标文件的组成部分。样品的生产、运输、安装、保全等一切费用由投标人自理。</w:t>
      </w:r>
    </w:p>
    <w:p>
      <w:pPr>
        <w:ind w:firstLine="480"/>
      </w:pPr>
      <w:r>
        <w:rPr/>
        <w:t>8.2投标截止时间前，投标人应将样品送达至指定地点。若需要现场演示的，投标人应提前做好演示准备（包括演示设备）。</w:t>
      </w:r>
    </w:p>
    <w:p>
      <w:pPr>
        <w:ind w:firstLine="480"/>
      </w:pPr>
      <w:r>
        <w:rPr/>
        <w:t>8.3采购结果公告发布后，中标供应商的样品由采购人封存，作为履约验收的依据之一。未中标供应商在接到采购代理机构通知后，应按规定时间尽快自行取回样品，否则视同供应商不再认领，代理机构有权进行处理。</w:t>
      </w:r>
    </w:p>
    <w:p>
      <w:r>
        <w:rPr>
          <w:b/>
          <w:sz w:val="24"/>
        </w:rPr>
        <w:t>9.除招标文件另有规定外，有下列情形之一的，投标无效：</w:t>
      </w:r>
    </w:p>
    <w:p>
      <w:pPr>
        <w:ind w:firstLine="480"/>
      </w:pPr>
      <w:r>
        <w:rPr/>
        <w:t>9.1投标文件未按照招标文件要求签署、盖章；</w:t>
      </w:r>
    </w:p>
    <w:p>
      <w:pPr>
        <w:ind w:firstLine="480"/>
      </w:pPr>
      <w:r>
        <w:rPr/>
        <w:t>9.2不符合招标文件中规定的资格要求；</w:t>
      </w:r>
    </w:p>
    <w:p>
      <w:pPr>
        <w:ind w:firstLine="480"/>
      </w:pPr>
      <w:r>
        <w:rPr/>
        <w:t>9.3投标报价超过招标文件中规定的预算金额或最高限价；</w:t>
      </w:r>
    </w:p>
    <w:p>
      <w:pPr>
        <w:ind w:firstLine="480"/>
      </w:pPr>
      <w:r>
        <w:rPr/>
        <w:t>9.4投标文件含有采购人不能接受的附加条件；</w:t>
      </w:r>
    </w:p>
    <w:p>
      <w:pPr>
        <w:ind w:firstLine="480"/>
      </w:pPr>
      <w:r>
        <w:rPr/>
        <w:t>9.5有关法律、法规和规章及招标文件规定的其他无效情形。</w:t>
      </w:r>
    </w:p>
    <w:p>
      <w:r>
        <w:rPr>
          <w:b/>
          <w:sz w:val="28"/>
        </w:rPr>
        <w:t>六、开标、评标和定标</w:t>
      </w:r>
    </w:p>
    <w:p>
      <w:r>
        <w:rPr>
          <w:b/>
          <w:sz w:val="24"/>
        </w:rPr>
        <w:t>1.开标</w:t>
      </w:r>
    </w:p>
    <w:p>
      <w:pPr>
        <w:ind w:firstLine="480"/>
      </w:pPr>
      <w:r>
        <w:rPr/>
        <w:t>1.1 开标程序</w:t>
      </w:r>
    </w:p>
    <w:p>
      <w:pPr>
        <w:ind w:firstLine="480"/>
      </w:pPr>
      <w:r>
        <w:rPr/>
        <w:t>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ind w:firstLine="480"/>
      </w:pPr>
      <w:r>
        <w:rPr/>
        <w:t>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ind w:firstLine="480"/>
      </w:pPr>
      <w:r>
        <w:rPr/>
        <w:t>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ind w:firstLine="480"/>
      </w:pPr>
      <w:r>
        <w:rPr/>
        <w:t>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ind w:firstLine="480"/>
      </w:pPr>
      <w:r>
        <w:rPr/>
        <w:t>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ind w:firstLine="480"/>
      </w:pPr>
      <w:r>
        <w:rPr/>
        <w:t>1.2开标异议</w:t>
      </w:r>
    </w:p>
    <w:p>
      <w:pPr>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ind w:firstLine="480"/>
      </w:pPr>
      <w:r>
        <w:rPr/>
        <w:t>1.3 投标截止时间后，投标人不足须知前附表中约定的有效供应商家数的，不得开标。同时，本次采购活动结束。</w:t>
      </w:r>
    </w:p>
    <w:p>
      <w:pPr>
        <w:ind w:firstLine="480"/>
      </w:pPr>
      <w:r>
        <w:rPr/>
        <w:t>1.4开标时出现下列情况的，视为投标无效处理：</w:t>
      </w:r>
    </w:p>
    <w:p>
      <w:pPr>
        <w:ind w:firstLine="480"/>
      </w:pPr>
      <w:r>
        <w:rPr/>
        <w:t>（1）经检查数字证书无效的；</w:t>
      </w:r>
    </w:p>
    <w:p>
      <w:pPr>
        <w:ind w:firstLine="480"/>
      </w:pPr>
      <w:r>
        <w:rPr/>
        <w:t>（2）因投标人自身原因，未在规定时间内完成电子投标文件解密的；</w:t>
      </w:r>
    </w:p>
    <w:p>
      <w:pPr>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r>
        <w:rPr>
          <w:b/>
          <w:sz w:val="24"/>
        </w:rPr>
        <w:t>2.评审（详见第四章）</w:t>
      </w:r>
    </w:p>
    <w:p>
      <w:r>
        <w:rPr>
          <w:b/>
          <w:sz w:val="24"/>
        </w:rPr>
        <w:t>3.定标</w:t>
      </w:r>
    </w:p>
    <w:p>
      <w:pPr>
        <w:ind w:firstLine="480"/>
      </w:pPr>
      <w:r>
        <w:rPr/>
        <w:t>3.1中标公告：</w:t>
      </w:r>
    </w:p>
    <w:p>
      <w:pPr>
        <w:ind w:firstLine="480"/>
      </w:pPr>
      <w:r>
        <w:rPr/>
        <w:t>中标供应商确定之日起2个工作日内，</w:t>
        <w:tab/>
        <w:tab/>
        <w:t xml:space="preserve"> 采购人或采购代理机构将在中国政府采购网(www.ccgp.gov.cn)、广东省政府采购网(https://gdgpo.czt.gd.gov.cn/)上以公告的形式发布中标结果，中标公告的公告期限为 1</w:t>
        <w:tab/>
        <w:tab/>
        <w:t xml:space="preserve"> 个工作日。中标公告同时作为采购代理机构通知除中标供应商外的其他投标人没有中标的书面形式，采购代理机构不再以其它方式另行通知。</w:t>
      </w:r>
    </w:p>
    <w:p>
      <w:pPr>
        <w:ind w:firstLine="480"/>
      </w:pPr>
      <w:r>
        <w:rPr/>
        <w:t>3.2中标通知书：</w:t>
      </w:r>
    </w:p>
    <w:p>
      <w:pPr>
        <w:ind w:firstLine="480"/>
      </w:pPr>
      <w:r>
        <w:rPr/>
        <w:t>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ind w:firstLine="480"/>
      </w:pPr>
      <w:r>
        <w:rPr/>
        <w:t>3.3终止公告：</w:t>
      </w:r>
    </w:p>
    <w:p>
      <w:pPr>
        <w:ind w:firstLine="480"/>
      </w:pPr>
      <w:r>
        <w:rPr/>
        <w:t>项目废标后，采购人或采购代理机构将在中国政府采购网(www.ccgp.gov.cn)、广东省政府采购网(https://gdgpo.czt.gd.gov.cn/)、上发布终止公告，终止公告的公告期限为1个工作日。</w:t>
      </w:r>
    </w:p>
    <w:p>
      <w:r>
        <w:rPr>
          <w:b/>
          <w:sz w:val="28"/>
        </w:rPr>
        <w:t>七、询问、质疑与投诉</w:t>
      </w:r>
    </w:p>
    <w:p>
      <w:r>
        <w:rPr>
          <w:b/>
          <w:sz w:val="24"/>
        </w:rPr>
        <w:t>1.询问</w:t>
      </w:r>
    </w:p>
    <w:p>
      <w:pPr>
        <w:ind w:firstLine="480"/>
      </w:pPr>
      <w:r>
        <w:rPr/>
        <w:t>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r>
        <w:rPr>
          <w:b/>
          <w:sz w:val="24"/>
        </w:rPr>
        <w:t>2.质疑</w:t>
      </w:r>
    </w:p>
    <w:p>
      <w:pPr>
        <w:ind w:firstLine="480"/>
      </w:pPr>
      <w:r>
        <w:rPr/>
        <w:t>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ind w:firstLine="480"/>
      </w:pPr>
      <w:r>
        <w:rPr/>
        <w:t>(1)对招标文件提出质疑的，为获取招标文件之日或者招标文件公告期限届满之日；</w:t>
      </w:r>
    </w:p>
    <w:p>
      <w:pPr>
        <w:ind w:firstLine="480"/>
      </w:pPr>
      <w:r>
        <w:rPr/>
        <w:t>(2)对采购过程提出质疑的，为各采购程序环节结束之日；</w:t>
      </w:r>
    </w:p>
    <w:p>
      <w:pPr>
        <w:ind w:firstLine="480"/>
      </w:pPr>
      <w:r>
        <w:rPr/>
        <w:t>(3)对中标结果提出质疑的，为中标结果公告期限届满之日。</w:t>
      </w:r>
    </w:p>
    <w:p>
      <w:pPr>
        <w:ind w:firstLine="480"/>
      </w:pPr>
      <w:r>
        <w:rPr/>
        <w:t>2.2质疑函应当包括下列主要内容：</w:t>
      </w:r>
    </w:p>
    <w:p>
      <w:pPr>
        <w:ind w:firstLine="480"/>
      </w:pPr>
      <w:r>
        <w:rPr/>
        <w:t>(1)质疑供应商和相关供应商的名称、地址、邮编、联系人及联系电话等；</w:t>
      </w:r>
    </w:p>
    <w:p>
      <w:pPr>
        <w:ind w:firstLine="480"/>
      </w:pPr>
      <w:r>
        <w:rPr/>
        <w:t>(2)质疑项目名称及编号、具体明确的质疑事项和与质疑事项相关的请求；</w:t>
      </w:r>
    </w:p>
    <w:p>
      <w:pPr>
        <w:ind w:firstLine="480"/>
      </w:pPr>
      <w:r>
        <w:rPr/>
        <w:t>(3)认为采购文件、采购过程、中标和成交结果使自己的合法权益受到损害的法律依据、事实依据、相关证明材料及证据来源；</w:t>
      </w:r>
    </w:p>
    <w:p>
      <w:pPr>
        <w:ind w:firstLine="480"/>
      </w:pPr>
      <w:r>
        <w:rPr/>
        <w:t>(4)提出质疑的日期。</w:t>
      </w:r>
    </w:p>
    <w:p>
      <w:pPr>
        <w:ind w:firstLine="480"/>
      </w:pPr>
      <w:r>
        <w:rPr/>
        <w:t>2.3 质疑函应当署名。质疑供应商为自然人的，应当由本人签字；质疑供应商为法人或者其他组织的，应当由法定代表人、主要负责人，或者其授权代表签字或者盖章，并加盖公章。</w:t>
      </w:r>
    </w:p>
    <w:p>
      <w:pPr>
        <w:ind w:firstLine="480"/>
      </w:pPr>
      <w:r>
        <w:rPr/>
        <w:t>2.4以联合体形式参加政府采购活动的，其质疑应当由联合体成员委托主体提出。</w:t>
      </w:r>
    </w:p>
    <w:p>
      <w:pPr>
        <w:ind w:firstLine="480"/>
      </w:pPr>
      <w:r>
        <w:rPr/>
        <w:t>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ind w:firstLine="480"/>
      </w:pPr>
      <w:r>
        <w:rPr/>
        <w:t>2.6质疑联系方式如下：</w:t>
      </w:r>
    </w:p>
    <w:p>
      <w:pPr>
        <w:ind w:firstLine="480"/>
      </w:pPr>
      <w:r>
        <w:rPr/>
        <w:t>质疑联系人：</w:t>
      </w:r>
      <w:r>
        <w:rPr/>
        <w:t>刘工</w:t>
      </w:r>
    </w:p>
    <w:p>
      <w:pPr>
        <w:ind w:firstLine="480"/>
      </w:pPr>
      <w:r>
        <w:rPr/>
        <w:t>电话：</w:t>
      </w:r>
      <w:r>
        <w:rPr/>
        <w:t>0751-8288690</w:t>
      </w:r>
    </w:p>
    <w:p>
      <w:pPr>
        <w:ind w:firstLine="480"/>
      </w:pPr>
      <w:r>
        <w:rPr/>
        <w:t>传真：</w:t>
      </w:r>
      <w:r>
        <w:rPr/>
        <w:t>/</w:t>
      </w:r>
    </w:p>
    <w:p>
      <w:pPr>
        <w:ind w:firstLine="480"/>
      </w:pPr>
      <w:r>
        <w:rPr/>
        <w:t>邮箱：</w:t>
      </w:r>
      <w:r>
        <w:rPr/>
        <w:t>907311780@qq.com</w:t>
      </w:r>
    </w:p>
    <w:p>
      <w:pPr>
        <w:ind w:firstLine="480"/>
      </w:pPr>
      <w:r>
        <w:rPr/>
        <w:t>地址：</w:t>
      </w:r>
      <w:r>
        <w:rPr/>
        <w:t>韶关市武江区芙阳路芙蓉新村八街5栋D</w:t>
      </w:r>
    </w:p>
    <w:p>
      <w:pPr>
        <w:ind w:firstLine="480"/>
      </w:pPr>
      <w:r>
        <w:rPr/>
        <w:t>邮编：</w:t>
      </w:r>
      <w:r>
        <w:rPr/>
        <w:t>512000</w:t>
      </w:r>
    </w:p>
    <w:p>
      <w:r>
        <w:rPr>
          <w:b/>
          <w:sz w:val="24"/>
        </w:rPr>
        <w:t>3.投诉</w:t>
      </w:r>
    </w:p>
    <w:p>
      <w:pPr>
        <w:ind w:firstLine="480"/>
      </w:pPr>
      <w:r>
        <w:rPr/>
        <w:t>质疑人对采购人或采购代理机构的质疑答复不满意或在规定时间内未得到答复的，可以在答复期满后15个工作日内，按如下联系方式向本项目监督管理部门提起投诉。</w:t>
      </w:r>
    </w:p>
    <w:p>
      <w:pPr>
        <w:ind w:firstLine="480"/>
      </w:pPr>
    </w:p>
    <w:p>
      <w:r>
        <w:rPr/>
        <w:t>政府采购监督管理机构名称：韶关市浈江区财政局</w:t>
      </w:r>
    </w:p>
    <w:p>
      <w:r>
        <w:rPr/>
        <w:t>地  址：韶关市园前东路19号浈江区财政局</w:t>
      </w:r>
    </w:p>
    <w:p>
      <w:r>
        <w:rPr/>
        <w:t>电  话：0751-8874371</w:t>
      </w:r>
    </w:p>
    <w:p>
      <w:r>
        <w:rPr/>
        <w:t>邮  编：512000</w:t>
      </w:r>
    </w:p>
    <w:p>
      <w:r>
        <w:rPr/>
        <w:t>传  真：</w:t>
      </w:r>
    </w:p>
    <w:p/>
    <w:p>
      <w:r>
        <w:rPr>
          <w:b/>
          <w:sz w:val="28"/>
        </w:rPr>
        <w:t>八、合同签订和履行</w:t>
      </w:r>
    </w:p>
    <w:p>
      <w:r>
        <w:rPr>
          <w:b/>
          <w:sz w:val="24"/>
        </w:rPr>
        <w:t>1.合同签订</w:t>
      </w:r>
    </w:p>
    <w:p>
      <w:pPr>
        <w:ind w:firstLine="480"/>
      </w:pPr>
      <w:r>
        <w:rPr/>
        <w:t>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ind w:firstLine="480"/>
      </w:pPr>
      <w:r>
        <w:rPr/>
        <w:t>1.2采购人不得提出试用合格等任何不合理的要求作为签订合同的条件，且不得与中标供应商私下订立背离合同实质性内容的协议。</w:t>
      </w:r>
    </w:p>
    <w:p>
      <w:pPr>
        <w:ind w:firstLine="480"/>
      </w:pPr>
      <w:r>
        <w:rPr/>
        <w:t>1.3采购人应当自政府采购合同签订之日起2个工作日内，将政府采购合同在省级以上人民政府财政部门指定的媒体上公告，但政府采购合同中涉及国家秘密、商业秘密的内容除外。</w:t>
      </w:r>
    </w:p>
    <w:p>
      <w:pPr>
        <w:ind w:firstLine="480"/>
      </w:pPr>
      <w:r>
        <w:rPr/>
        <w:t>1.4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r>
        <w:rPr>
          <w:b/>
          <w:sz w:val="24"/>
        </w:rPr>
        <w:t>2.合同的履行</w:t>
      </w:r>
    </w:p>
    <w:p>
      <w:pPr>
        <w:ind w:firstLine="480"/>
      </w:pPr>
      <w:r>
        <w:rPr/>
        <w:t>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ind w:firstLine="480"/>
      </w:pPr>
      <w:r>
        <w:rPr/>
        <w:t>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ind w:firstLine="480"/>
      </w:pPr>
    </w:p>
    <w:p>
      <w:r>
        <w:rPr/>
        <w:t xml:space="preserve"> </w:t>
      </w:r>
    </w:p>
    <w:p/>
    <w:p>
      <w:pPr>
        <w:jc w:val="center"/>
      </w:pPr>
      <w:r>
        <w:rPr>
          <w:b/>
          <w:sz w:val="36"/>
        </w:rPr>
        <w:t>第四章 评标</w:t>
      </w:r>
    </w:p>
    <w:p>
      <w:r>
        <w:rPr>
          <w:b/>
          <w:sz w:val="28"/>
        </w:rPr>
        <w:t>一、评标要求</w:t>
      </w:r>
    </w:p>
    <w:p>
      <w:r>
        <w:rPr>
          <w:b/>
          <w:sz w:val="24"/>
        </w:rPr>
        <w:t>1.评标方法</w:t>
      </w:r>
    </w:p>
    <w:p>
      <w:pPr>
        <w:ind w:firstLine="480"/>
      </w:pPr>
    </w:p>
    <w:p/>
    <w:p>
      <w:r>
        <w:rPr/>
        <w:t>采购包1(2023年浈江区松材线虫病等林业有害生物防治与除治项目)：综合评分法,是指投标文件满足招标文件全部实质性要求，且按照评审因素的量化指标评审得分最高的投标人为中标候选人的评标方法。（最低报价不是中标的唯一依据。）</w:t>
      </w:r>
    </w:p>
    <w:p/>
    <w:p>
      <w:r>
        <w:rPr>
          <w:b/>
          <w:sz w:val="24"/>
        </w:rPr>
        <w:t>2.评标原则</w:t>
      </w:r>
    </w:p>
    <w:p>
      <w:pPr>
        <w:ind w:firstLine="480"/>
      </w:pPr>
      <w:r>
        <w:rPr/>
        <w:t>2.1评标活动遵循公平、公正、科学和择优的原则，以招标文件和投标文件为评标的基本依据，并按照招标文件规定的评标方法和评标标准进行评标。</w:t>
      </w:r>
    </w:p>
    <w:p>
      <w:pPr>
        <w:ind w:firstLine="480"/>
      </w:pPr>
      <w:r>
        <w:rPr/>
        <w:t>2.2具体评标事项由评标委员会负责，并按招标文件的规定办法进行评审。</w:t>
      </w:r>
    </w:p>
    <w:p>
      <w:pPr>
        <w:ind w:firstLine="480"/>
      </w:pPr>
      <w:r>
        <w:rPr/>
        <w:t>2.3合格投标人不足须知前附表中约定的有效供应商家数的，不得评标。</w:t>
      </w:r>
    </w:p>
    <w:p>
      <w:r>
        <w:rPr>
          <w:b/>
          <w:sz w:val="24"/>
        </w:rPr>
        <w:t>3.评标委员会</w:t>
      </w:r>
    </w:p>
    <w:p>
      <w:pPr>
        <w:ind w:firstLine="480"/>
      </w:pPr>
      <w:r>
        <w:rPr/>
        <w:t>3.1评标委员会由采购人代表和评审专家组成，成员人数应当为5人及以上单数，其中评审专家不得少于成员总数的三分之二。</w:t>
      </w:r>
    </w:p>
    <w:p>
      <w:pPr>
        <w:ind w:firstLine="480"/>
      </w:pPr>
      <w:r>
        <w:rPr/>
        <w:t>3.2评标应遵守下列评标纪律：</w:t>
      </w:r>
    </w:p>
    <w:p>
      <w:pPr>
        <w:ind w:firstLine="480"/>
      </w:pPr>
      <w:r>
        <w:rPr/>
        <w:t>（1）评标情况不得私自外泄，有关信息由</w:t>
      </w:r>
      <w:r>
        <w:rPr/>
        <w:t>深圳市祺骏建设工程顾问有限公司韶关分公司</w:t>
      </w:r>
      <w:r>
        <w:rPr/>
        <w:t>统一对外发布。</w:t>
      </w:r>
    </w:p>
    <w:p>
      <w:pPr>
        <w:ind w:firstLine="480"/>
      </w:pPr>
      <w:r>
        <w:rPr/>
        <w:t>（2）对</w:t>
      </w:r>
      <w:r>
        <w:rPr/>
        <w:t>深圳市祺骏建设工程顾问有限公司韶关分公司</w:t>
      </w:r>
      <w:r>
        <w:rPr/>
        <w:t>或投标人提供的要求保密的资料，不得摘记翻印和外传。</w:t>
      </w:r>
    </w:p>
    <w:p>
      <w:pPr>
        <w:ind w:firstLine="480"/>
      </w:pPr>
      <w:r>
        <w:rPr/>
        <w:t>（3）不得收受投标供应商或有关人员的任何礼物，不得串联鼓动其他人袒护某投标人。若与投标人存在利害关系，则应主动声明并回避。</w:t>
      </w:r>
    </w:p>
    <w:p>
      <w:pPr>
        <w:ind w:firstLine="480"/>
      </w:pPr>
      <w:r>
        <w:rPr/>
        <w:t>（4）全体评委应按照招标文件规定进行评标，一切认定事项应查有实据且不得弄虚作假。</w:t>
      </w:r>
    </w:p>
    <w:p>
      <w:pPr>
        <w:ind w:firstLine="480"/>
      </w:pPr>
      <w:r>
        <w:rPr/>
        <w:t>（5）评标委员会各成员应当独立对每个投标人的投标文件进行评价，并对评价意见承担个人责任。评审过程中，不得发表倾向性言论。</w:t>
      </w:r>
    </w:p>
    <w:p>
      <w:pPr>
        <w:ind w:firstLine="480"/>
      </w:pPr>
      <w:r>
        <w:rPr/>
        <w:t>※对违反评标纪律的评委，将取消其评委资格，对评标工作造成严重损失者将予以通报批评乃至追究法律责任。</w:t>
      </w:r>
    </w:p>
    <w:p>
      <w:r>
        <w:rPr>
          <w:b/>
          <w:sz w:val="24"/>
        </w:rPr>
        <w:t>4.有下列情形之一的，视为投标人串通投标，其投标无效；</w:t>
      </w:r>
    </w:p>
    <w:p>
      <w:pPr>
        <w:ind w:firstLine="480"/>
      </w:pPr>
      <w:r>
        <w:rPr/>
        <w:t>4.1不同投标人的投标文件由同一单位或者个人编制；</w:t>
      </w:r>
    </w:p>
    <w:p>
      <w:pPr>
        <w:ind w:firstLine="480"/>
      </w:pPr>
      <w:r>
        <w:rPr/>
        <w:t>4.2不同投标人委托同一单位或者个人办理投标事宜；</w:t>
      </w:r>
    </w:p>
    <w:p>
      <w:pPr>
        <w:ind w:firstLine="480"/>
      </w:pPr>
      <w:r>
        <w:rPr/>
        <w:t>4.3不同投标人的投标文件载明的项目管理成员或者联系人员为同一人；</w:t>
      </w:r>
    </w:p>
    <w:p>
      <w:pPr>
        <w:ind w:firstLine="480"/>
      </w:pPr>
      <w:r>
        <w:rPr/>
        <w:t>4.4不同投标人的投标文件异常一致或者投标报价呈规律性差异；</w:t>
      </w:r>
    </w:p>
    <w:p>
      <w:pPr>
        <w:ind w:firstLine="480"/>
      </w:pPr>
      <w:r>
        <w:rPr/>
        <w:t>4.5不同投标人的投标文件相互混装；</w:t>
      </w:r>
    </w:p>
    <w:p>
      <w:pPr>
        <w:ind w:firstLine="480"/>
      </w:pPr>
      <w:r>
        <w:rPr/>
        <w:t>4.6不同投标人的投标保证金或购买电子保函支付款为从同一单位或个人的账户转出；</w:t>
      </w:r>
    </w:p>
    <w:p>
      <w:pPr>
        <w:ind w:firstLine="480"/>
      </w:pPr>
      <w:r>
        <w:rPr/>
        <w:t>4.7投标人上传的电子投标文件使用该项目其他投标人的数字证书加密的或加盖该项目的其他投标人的电子印章的。</w:t>
      </w:r>
    </w:p>
    <w:p>
      <w:pPr>
        <w:ind w:firstLine="480"/>
      </w:pPr>
      <w:r>
        <w:rPr/>
        <w:t xml:space="preserve"> 说明：在评标过程中发现投标人有上述情形的，评标委员会应当认定其投标无效。同时，项目评审时被认定为串通投标的投标人不得参加该合同项下的采购活动。</w:t>
      </w:r>
    </w:p>
    <w:p>
      <w:r>
        <w:rPr>
          <w:b/>
          <w:sz w:val="24"/>
        </w:rPr>
        <w:t>5.投标无效的情形</w:t>
      </w:r>
    </w:p>
    <w:p>
      <w:pPr>
        <w:ind w:firstLine="480"/>
      </w:pPr>
      <w:r>
        <w:rPr/>
        <w:t>详见资格性审查、符合性审查和招标文件其他投标无效条款。</w:t>
      </w:r>
    </w:p>
    <w:p>
      <w:r>
        <w:rPr>
          <w:b/>
          <w:sz w:val="24"/>
        </w:rPr>
        <w:t>6.定标</w:t>
      </w:r>
    </w:p>
    <w:p>
      <w:pPr>
        <w:ind w:firstLine="480"/>
      </w:pPr>
      <w:r>
        <w:rPr/>
        <w:t>评标委员会按照招标文件确定的评标方法、步骤、标准，对投标文件进行评审。评标结束后，对投标人的评审名次进行排序，确定中标供应商或者推荐中标候选人。</w:t>
      </w:r>
    </w:p>
    <w:p>
      <w:r>
        <w:rPr>
          <w:b/>
          <w:sz w:val="24"/>
        </w:rPr>
        <w:t>7.价格修正</w:t>
      </w:r>
    </w:p>
    <w:p>
      <w:pPr>
        <w:ind w:firstLine="480"/>
      </w:pPr>
      <w:r>
        <w:rPr/>
        <w:t>对报价的计算错误按以下原则修正：</w:t>
      </w:r>
    </w:p>
    <w:p>
      <w:pPr>
        <w:ind w:firstLine="480"/>
      </w:pPr>
      <w:r>
        <w:rPr/>
        <w:t>（1）投标文件中开标一览表内容与投标文件中相应内容不一致的，以开标一览表为准；</w:t>
      </w:r>
    </w:p>
    <w:p>
      <w:pPr>
        <w:ind w:firstLine="480"/>
      </w:pPr>
      <w:r>
        <w:rPr/>
        <w:t>（2）大写金额和小写金额不一致的，以大写金额为准；</w:t>
      </w:r>
    </w:p>
    <w:p>
      <w:pPr>
        <w:ind w:firstLine="480"/>
      </w:pPr>
      <w:r>
        <w:rPr/>
        <w:t>（3）单价金额小数点或者百分比有明显错位的，以开标一览表的总价为准，并修改单价。</w:t>
      </w:r>
    </w:p>
    <w:p>
      <w:pPr>
        <w:ind w:firstLine="480"/>
      </w:pPr>
      <w:r>
        <w:rPr/>
        <w:t>（4）总价金额与按单价汇总金额不一致的，以单价金额计算结果为准。但是单价金额计算结果超过预算价的，对其按无效投标处理。</w:t>
      </w:r>
    </w:p>
    <w:p>
      <w:pPr>
        <w:ind w:firstLine="480"/>
      </w:pPr>
      <w:r>
        <w:rPr/>
        <w:t>（5）若投标客户端上传的电子报价数据与电子投标文件价格不一致的，以电子报价数据为准。</w:t>
      </w:r>
    </w:p>
    <w:p>
      <w:pPr>
        <w:ind w:firstLine="480"/>
      </w:pPr>
      <w:r>
        <w:rPr/>
        <w:t>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r>
        <w:rPr>
          <w:b/>
          <w:sz w:val="28"/>
        </w:rPr>
        <w:t>二.政府采购政策落实</w:t>
      </w:r>
    </w:p>
    <w:p>
      <w:r>
        <w:rPr>
          <w:b/>
          <w:sz w:val="24"/>
        </w:rPr>
        <w:t>1.节能、环保要求</w:t>
      </w:r>
    </w:p>
    <w:p>
      <w:pPr>
        <w:ind w:firstLine="480"/>
      </w:pPr>
      <w:r>
        <w:rPr/>
        <w:t>采购的产品属于品目清单范围的，将依据国家确定的认证机构出具的、处于有效期之内的节能产品、环境标志产品认证证书，对获得证书的产品实施政府优先采购或强制采购，具体按照本招标文件相关要求执行。</w:t>
      </w:r>
    </w:p>
    <w:p>
      <w:pPr>
        <w:ind w:firstLine="480"/>
      </w:pPr>
      <w:r>
        <w:rPr/>
        <w:t>相关认证机构和获证产品信息以市场监管总局组织建立的节能产品、环境标志产品认证结果信息发布平台公布为准。</w:t>
      </w:r>
    </w:p>
    <w:p>
      <w:r>
        <w:rPr>
          <w:b/>
          <w:sz w:val="24"/>
        </w:rPr>
        <w:t>2.对小型、微型企业、监狱企业或残疾人福利性单位给予价格扣除</w:t>
      </w:r>
    </w:p>
    <w:p>
      <w:pPr>
        <w:ind w:firstLine="480"/>
      </w:pPr>
      <w:r>
        <w:rPr/>
        <w:t>依照《政府采购促进中小企业发展管理办法》、《支持监狱企业发展有关问题的通知》和《财政部 民政部</w:t>
        <w:tab/>
        <w:tab/>
        <w:t xml:space="preserve">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r>
        <w:rPr>
          <w:b/>
          <w:sz w:val="24"/>
        </w:rPr>
        <w:t>3.价格扣除相关要求</w:t>
      </w:r>
    </w:p>
    <w:p>
      <w:pPr>
        <w:ind w:firstLine="480"/>
      </w:pPr>
    </w:p>
    <w:p/>
    <w:p>
      <w:r>
        <w:rPr/>
        <w:t>采购包1（2023年浈江区松材线虫病等林业有害生物防治与除治项目）：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r>
              <w:rPr/>
              <w:t>序号</w:t>
            </w:r>
          </w:p>
        </w:tc>
        <w:tc>
          <w:tcPr>
            <w:tcW w:type="dxa" w:w="2160"/>
          </w:tcPr>
          <w:p>
            <w:r>
              <w:rPr/>
              <w:t>情形</w:t>
            </w:r>
          </w:p>
        </w:tc>
        <w:tc>
          <w:tcPr>
            <w:tcW w:type="dxa" w:w="2160"/>
          </w:tcPr>
          <w:p>
            <w:r>
              <w:rPr/>
              <w:t>适用对象</w:t>
            </w:r>
          </w:p>
        </w:tc>
        <w:tc>
          <w:tcPr>
            <w:tcW w:type="dxa" w:w="1246"/>
          </w:tcPr>
          <w:p>
            <w:r>
              <w:rPr/>
              <w:t>价格扣除比例</w:t>
            </w:r>
          </w:p>
        </w:tc>
        <w:tc>
          <w:tcPr>
            <w:tcW w:type="dxa" w:w="2160"/>
          </w:tcPr>
          <w:p>
            <w:r>
              <w:rPr/>
              <w:t>计算公式</w:t>
            </w:r>
          </w:p>
        </w:tc>
      </w:tr>
      <w:tr>
        <w:tc>
          <w:tcPr>
            <w:tcW w:type="dxa" w:w="8307"/>
            <w:gridSpan w:val="5"/>
          </w:tcPr>
          <w:p>
            <w:pPr>
              <w:jc w:val="left"/>
            </w:pPr>
            <w:r>
              <w:rPr/>
              <w:t>注：（1）上述评标价仅用于计算价格分，成交金额以实际投标价为准。</w:t>
              <w:tab/>
              <w:tab/>
              <w:tab/>
              <w:tab/>
              <w:tab/>
              <w:t xml:space="preserve"> （2）组成联合体的大中型企业和其他自然人、法人或者其他组织、与小型、微型企业之间不得存在投资关系。</w:t>
            </w:r>
          </w:p>
        </w:tc>
      </w:tr>
    </w:tbl>
    <w:p>
      <w:r>
        <w:br/>
      </w:r>
      <w:r>
        <w:br/>
      </w:r>
    </w:p>
    <w:p/>
    <w:p>
      <w:pPr>
        <w:ind w:firstLine="480"/>
      </w:pPr>
      <w:r>
        <w:rPr/>
        <w:t>（1）所称小型和微型企业应当符合以下条件：</w:t>
      </w:r>
    </w:p>
    <w:p>
      <w:pPr>
        <w:ind w:firstLine="480"/>
      </w:pPr>
      <w:r>
        <w:rPr/>
        <w:t>在中华人民共和国境内依法设立，依据国务院批准的中小企业划分标准确定的小型企业和微型企业，但与大企业的负责人为同一人，或者与大企业存在直接控股、管理关系的除外。</w:t>
      </w:r>
    </w:p>
    <w:p>
      <w:pPr>
        <w:ind w:firstLine="480"/>
      </w:pPr>
      <w:r>
        <w:rPr/>
        <w:t>符合中小企业划分标准的个体工商户，在政府采购活动中视同中小企业。</w:t>
      </w:r>
    </w:p>
    <w:p>
      <w:pPr>
        <w:ind w:firstLine="480"/>
      </w:pPr>
      <w:r>
        <w:rPr/>
        <w:t>提供本企业（属于小微企业）制造的货物或者提供其他小型或微型企业制造的货物/提供本企业（属于小微企业）承接的服务。</w:t>
      </w:r>
    </w:p>
    <w:p>
      <w:pPr>
        <w:ind w:firstLine="480"/>
      </w:pPr>
      <w:r>
        <w:rPr/>
        <w:t>（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ind w:firstLine="480"/>
      </w:pPr>
      <w:r>
        <w:rPr/>
        <w:t>说明：投标人应当对其出具的《中小企业声明函》真实性负责，投标人出具的《中小企业声明函》内容不实的，属于提供虚假材料谋取中标。</w:t>
      </w:r>
    </w:p>
    <w:p>
      <w:pPr>
        <w:ind w:firstLine="480"/>
      </w:pPr>
      <w:r>
        <w:rPr/>
        <w:t>（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r>
        <w:rPr>
          <w:b/>
          <w:sz w:val="28"/>
        </w:rPr>
        <w:t>三、评审程序</w:t>
      </w:r>
    </w:p>
    <w:p>
      <w:r>
        <w:rPr>
          <w:b/>
          <w:sz w:val="24"/>
        </w:rPr>
        <w:t>1.资格性审查和符合性审查</w:t>
      </w:r>
    </w:p>
    <w:p>
      <w:pPr>
        <w:ind w:firstLine="480"/>
      </w:pPr>
      <w:r>
        <w:rPr/>
        <w:t>资格性审查。公开招标采购项目开标结束后，采购人或采购代理机构应当依法对投标人的资格进行审查，以确定投标人是否具备投标资格。（详见后附表一资格性审查表）</w:t>
      </w:r>
    </w:p>
    <w:p>
      <w:pPr>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ind w:firstLine="480"/>
      </w:pPr>
      <w:r>
        <w:rPr/>
        <w:t>资格性审查和符合性审查中凡有其中任意一项未通过的，评审结果为未通过，未通过资格性审查、符合性审查的投标人按无效投标处理。</w:t>
      </w:r>
    </w:p>
    <w:p>
      <w:pPr>
        <w:ind w:firstLine="480"/>
      </w:pPr>
      <w:r>
        <w:rPr/>
        <w:t>对各投标人进行资格审查和符合性审查过程中，对初步被认定为无效投标者，由评标委员会组长或采购人代表将集体意见及时告知投标当事人。</w:t>
      </w:r>
    </w:p>
    <w:p>
      <w:pPr>
        <w:ind w:firstLine="480"/>
      </w:pPr>
      <w:r>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ind w:firstLine="480"/>
      </w:pPr>
      <w:r>
        <w:rPr/>
        <w:t>合格投标人不足3家的，不得评标。</w:t>
      </w:r>
    </w:p>
    <w:p>
      <w:pPr>
        <w:ind w:firstLine="480"/>
      </w:pPr>
      <w:r>
        <w:rPr/>
        <w:t>表一资格性审查表：</w:t>
      </w:r>
    </w:p>
    <w:p>
      <w:pPr>
        <w:ind w:firstLine="480"/>
      </w:pPr>
    </w:p>
    <w:p/>
    <w:p>
      <w:r>
        <w:rPr/>
        <w:t>采购包1（2023年浈江区松材线虫病等林业有害生物防治与除治项目）：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7416"/>
            <w:gridSpan w:val="2"/>
          </w:tcPr>
          <w:p>
            <w:r>
              <w:rPr/>
              <w:t>资格审查内容</w:t>
            </w:r>
          </w:p>
        </w:tc>
      </w:tr>
      <w:tr>
        <w:tc>
          <w:tcPr>
            <w:tcW w:type="dxa" w:w="890"/>
          </w:tcPr>
          <w:p>
            <w:r>
              <w:rPr/>
              <w:t>1</w:t>
            </w:r>
          </w:p>
        </w:tc>
        <w:tc>
          <w:tcPr>
            <w:tcW w:type="dxa" w:w="3178"/>
          </w:tcPr>
          <w:p>
            <w:r>
              <w:rPr/>
              <w:t>具有独立承担民事责任的能力</w:t>
            </w:r>
          </w:p>
        </w:tc>
        <w:tc>
          <w:tcPr>
            <w:tcW w:type="dxa" w:w="4238"/>
          </w:tcPr>
          <w:p>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r>
              <w:rPr/>
              <w:t>2</w:t>
            </w:r>
          </w:p>
        </w:tc>
        <w:tc>
          <w:tcPr>
            <w:tcW w:type="dxa" w:w="3178"/>
          </w:tcPr>
          <w:p>
            <w:r>
              <w:rPr/>
              <w:t>有依法缴纳税收和社会保障资金的良好记录</w:t>
            </w:r>
          </w:p>
        </w:tc>
        <w:tc>
          <w:tcPr>
            <w:tcW w:type="dxa" w:w="4238"/>
          </w:tcPr>
          <w:p>
            <w:r>
              <w:rPr/>
              <w:t>提供投标截止日前6个月内任意1个月依法缴纳税收和社会保障资金的相关材料。 如依法免税或不需要缴纳社会保障资金的，提供相应证明材料。或在投标文件中提供《资格条件承诺函》（格式自拟）。</w:t>
            </w:r>
          </w:p>
        </w:tc>
      </w:tr>
      <w:tr>
        <w:tc>
          <w:tcPr>
            <w:tcW w:type="dxa" w:w="890"/>
          </w:tcPr>
          <w:p>
            <w:r>
              <w:rPr/>
              <w:t>3</w:t>
            </w:r>
          </w:p>
        </w:tc>
        <w:tc>
          <w:tcPr>
            <w:tcW w:type="dxa" w:w="3178"/>
          </w:tcPr>
          <w:p>
            <w:r>
              <w:rPr/>
              <w:t>具有良好的商业信誉和健全的财务会计制度</w:t>
            </w:r>
          </w:p>
        </w:tc>
        <w:tc>
          <w:tcPr>
            <w:tcW w:type="dxa" w:w="4238"/>
          </w:tcPr>
          <w:p>
            <w:r>
              <w:rPr/>
              <w:t>提供2021或2022年度财务状况报告或投标文件提交截止时间前6个月内任意1个月的财务报表（资产负债表、利润表或损益表）或供应商基本开户行出具的资信证明。或在投标文件中提供《资格条件承诺函》（格式自拟）。</w:t>
            </w:r>
          </w:p>
        </w:tc>
      </w:tr>
      <w:tr>
        <w:tc>
          <w:tcPr>
            <w:tcW w:type="dxa" w:w="890"/>
          </w:tcPr>
          <w:p>
            <w:r>
              <w:rPr/>
              <w:t>4</w:t>
            </w:r>
          </w:p>
        </w:tc>
        <w:tc>
          <w:tcPr>
            <w:tcW w:type="dxa" w:w="3178"/>
          </w:tcPr>
          <w:p>
            <w:r>
              <w:rPr/>
              <w:t>履行合同所必需的设备和专业技术能力</w:t>
            </w:r>
          </w:p>
        </w:tc>
        <w:tc>
          <w:tcPr>
            <w:tcW w:type="dxa" w:w="4238"/>
          </w:tcPr>
          <w:p>
            <w:r>
              <w:rPr/>
              <w:t>在投标文件中提供《资格条件承诺函》（格式自拟）。</w:t>
            </w:r>
          </w:p>
        </w:tc>
      </w:tr>
      <w:tr>
        <w:tc>
          <w:tcPr>
            <w:tcW w:type="dxa" w:w="890"/>
          </w:tcPr>
          <w:p>
            <w:r>
              <w:rPr/>
              <w:t>5</w:t>
            </w:r>
          </w:p>
        </w:tc>
        <w:tc>
          <w:tcPr>
            <w:tcW w:type="dxa" w:w="3178"/>
          </w:tcPr>
          <w:p>
            <w:r>
              <w:rPr/>
              <w:t>参加采购活动前3年内，在经营活动中没有重大违法记录</w:t>
            </w:r>
          </w:p>
        </w:tc>
        <w:tc>
          <w:tcPr>
            <w:tcW w:type="dxa" w:w="4238"/>
          </w:tcPr>
          <w:p>
            <w:r>
              <w:rPr/>
              <w:t>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r>
              <w:rPr/>
              <w:t>6</w:t>
            </w:r>
          </w:p>
        </w:tc>
        <w:tc>
          <w:tcPr>
            <w:tcW w:type="dxa" w:w="3178"/>
          </w:tcPr>
          <w:p>
            <w:r>
              <w:rPr/>
              <w:t>供应商必须具有有效期内的林业有害生物防治组织资质丙级或以上资质</w:t>
            </w:r>
          </w:p>
        </w:tc>
        <w:tc>
          <w:tcPr>
            <w:tcW w:type="dxa" w:w="4238"/>
          </w:tcPr>
          <w:p>
            <w:r>
              <w:rPr/>
              <w:t>供应商必须具有有效期内的林业有害生物防治组织资质丙级或以上资质。</w:t>
            </w:r>
          </w:p>
        </w:tc>
      </w:tr>
      <w:tr>
        <w:tc>
          <w:tcPr>
            <w:tcW w:type="dxa" w:w="890"/>
          </w:tcPr>
          <w:p>
            <w:r>
              <w:rPr/>
              <w:t>7</w:t>
            </w:r>
          </w:p>
        </w:tc>
        <w:tc>
          <w:tcPr>
            <w:tcW w:type="dxa" w:w="3178"/>
          </w:tcPr>
          <w:p>
            <w:r>
              <w:rPr/>
              <w:t>信用记录</w:t>
            </w:r>
          </w:p>
        </w:tc>
        <w:tc>
          <w:tcPr>
            <w:tcW w:type="dxa" w:w="4238"/>
          </w:tcPr>
          <w:p>
            <w:r>
              <w:rPr/>
              <w:t>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r>
              <w:rPr/>
              <w:t>8</w:t>
            </w:r>
          </w:p>
        </w:tc>
        <w:tc>
          <w:tcPr>
            <w:tcW w:type="dxa" w:w="3178"/>
          </w:tcPr>
          <w:p>
            <w:r>
              <w:rPr/>
              <w:t>供应商必须符合法律、行政法规规定的其他条件</w:t>
            </w:r>
          </w:p>
        </w:tc>
        <w:tc>
          <w:tcPr>
            <w:tcW w:type="dxa" w:w="4238"/>
          </w:tcPr>
          <w:p>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tc>
      </w:tr>
      <w:tr>
        <w:tc>
          <w:tcPr>
            <w:tcW w:type="dxa" w:w="890"/>
          </w:tcPr>
          <w:p>
            <w:r>
              <w:rPr/>
              <w:t>9</w:t>
            </w:r>
          </w:p>
        </w:tc>
        <w:tc>
          <w:tcPr>
            <w:tcW w:type="dxa" w:w="3178"/>
          </w:tcPr>
          <w:p>
            <w:r>
              <w:rPr/>
              <w:t>本项目不接受联合体投标</w:t>
            </w:r>
          </w:p>
        </w:tc>
        <w:tc>
          <w:tcPr>
            <w:tcW w:type="dxa" w:w="4238"/>
          </w:tcPr>
          <w:p>
            <w:r>
              <w:rPr/>
              <w:t>本项目不接受联合体投标。</w:t>
            </w:r>
          </w:p>
        </w:tc>
      </w:tr>
      <w:tr>
        <w:tc>
          <w:tcPr>
            <w:tcW w:type="dxa" w:w="890"/>
          </w:tcPr>
          <w:p>
            <w:r>
              <w:rPr/>
              <w:t>10</w:t>
            </w:r>
          </w:p>
        </w:tc>
        <w:tc>
          <w:tcPr>
            <w:tcW w:type="dxa" w:w="3178"/>
          </w:tcPr>
          <w:p>
            <w:r>
              <w:rPr/>
              <w:t>本采购包专门面向中小企业采购</w:t>
            </w:r>
          </w:p>
        </w:tc>
        <w:tc>
          <w:tcPr>
            <w:tcW w:type="dxa" w:w="4238"/>
          </w:tcPr>
          <w:p>
            <w:r>
              <w:rPr/>
              <w:t>本项目属于专门面向中小企业采购的项目。</w:t>
            </w:r>
          </w:p>
        </w:tc>
      </w:tr>
    </w:tbl>
    <w:p/>
    <w:p>
      <w:pPr>
        <w:ind w:firstLine="480"/>
      </w:pPr>
      <w:r>
        <w:rPr/>
        <w:t>表二符合性审查表：</w:t>
      </w:r>
    </w:p>
    <w:p>
      <w:pPr>
        <w:ind w:firstLine="480"/>
      </w:pPr>
    </w:p>
    <w:p/>
    <w:p>
      <w:r>
        <w:rPr/>
        <w:t>采购包1（2023年浈江区松材线虫病等林业有害生物防治与除治项目）：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3178"/>
          </w:tcPr>
          <w:p>
            <w:r>
              <w:rPr/>
              <w:t>评审点要求概况</w:t>
            </w:r>
          </w:p>
        </w:tc>
        <w:tc>
          <w:tcPr>
            <w:tcW w:type="dxa" w:w="4238"/>
          </w:tcPr>
          <w:p>
            <w:r>
              <w:rPr/>
              <w:t>评审点具体描述</w:t>
            </w:r>
          </w:p>
        </w:tc>
      </w:tr>
      <w:tr>
        <w:tc>
          <w:tcPr>
            <w:tcW w:type="dxa" w:w="890"/>
          </w:tcPr>
          <w:p>
            <w:r>
              <w:rPr/>
              <w:t>1</w:t>
            </w:r>
          </w:p>
        </w:tc>
        <w:tc>
          <w:tcPr>
            <w:tcW w:type="dxa" w:w="3178"/>
          </w:tcPr>
          <w:p>
            <w:r>
              <w:rPr/>
              <w:t>投标函按对应格式文件填写、签署、盖章(原件）</w:t>
            </w:r>
          </w:p>
        </w:tc>
        <w:tc>
          <w:tcPr>
            <w:tcW w:type="dxa" w:w="4238"/>
          </w:tcPr>
          <w:p>
            <w:r>
              <w:rPr/>
              <w:t>投标函按对应格式文件填写、签署、盖章(原件）。</w:t>
            </w:r>
          </w:p>
        </w:tc>
      </w:tr>
      <w:tr>
        <w:tc>
          <w:tcPr>
            <w:tcW w:type="dxa" w:w="890"/>
          </w:tcPr>
          <w:p>
            <w:r>
              <w:rPr/>
              <w:t>2</w:t>
            </w:r>
          </w:p>
        </w:tc>
        <w:tc>
          <w:tcPr>
            <w:tcW w:type="dxa" w:w="3178"/>
          </w:tcPr>
          <w:p>
            <w:r>
              <w:rPr/>
              <w:t>法定代表人/负责人资格证明书及授权委托书，按对应格式文件签署、盖章(原件)</w:t>
            </w:r>
          </w:p>
        </w:tc>
        <w:tc>
          <w:tcPr>
            <w:tcW w:type="dxa" w:w="4238"/>
          </w:tcPr>
          <w:p>
            <w:r>
              <w:rPr/>
              <w:t>法定代表人/负责人资格证明书及授权委托书，按对应格式文件签署、盖章(原件)。</w:t>
            </w:r>
          </w:p>
        </w:tc>
      </w:tr>
      <w:tr>
        <w:tc>
          <w:tcPr>
            <w:tcW w:type="dxa" w:w="890"/>
          </w:tcPr>
          <w:p>
            <w:r>
              <w:rPr/>
              <w:t>3</w:t>
            </w:r>
          </w:p>
        </w:tc>
        <w:tc>
          <w:tcPr>
            <w:tcW w:type="dxa" w:w="3178"/>
          </w:tcPr>
          <w:p>
            <w:r>
              <w:rPr/>
              <w:t>按采购文件要求报价</w:t>
            </w:r>
          </w:p>
        </w:tc>
        <w:tc>
          <w:tcPr>
            <w:tcW w:type="dxa" w:w="4238"/>
          </w:tcPr>
          <w:p>
            <w:r>
              <w:rPr/>
              <w:t>在经营范围内报价，投标总金额是固定价且是唯一的，未超过本项目预算金额或最高限价；如果评审委员会认为投标人的报价明显低于其他通过符合性审查投标人的报价，有可能影响服务质量或者不能诚信履约的，将要求其在评标现场合理的时间内提供书面说明，必要时提交相关证明材料；投标人应能证明其报价合理性。</w:t>
            </w:r>
          </w:p>
        </w:tc>
      </w:tr>
      <w:tr>
        <w:tc>
          <w:tcPr>
            <w:tcW w:type="dxa" w:w="890"/>
          </w:tcPr>
          <w:p>
            <w:r>
              <w:rPr/>
              <w:t>4</w:t>
            </w:r>
          </w:p>
        </w:tc>
        <w:tc>
          <w:tcPr>
            <w:tcW w:type="dxa" w:w="3178"/>
          </w:tcPr>
          <w:p>
            <w:r>
              <w:rPr/>
              <w:t>有效期为递交投标文件之日起90天</w:t>
            </w:r>
          </w:p>
        </w:tc>
        <w:tc>
          <w:tcPr>
            <w:tcW w:type="dxa" w:w="4238"/>
          </w:tcPr>
          <w:p>
            <w:r>
              <w:rPr/>
              <w:t>有效期为递交投标文件之日起90天。</w:t>
            </w:r>
          </w:p>
        </w:tc>
      </w:tr>
      <w:tr>
        <w:tc>
          <w:tcPr>
            <w:tcW w:type="dxa" w:w="890"/>
          </w:tcPr>
          <w:p>
            <w:r>
              <w:rPr/>
              <w:t>5</w:t>
            </w:r>
          </w:p>
        </w:tc>
        <w:tc>
          <w:tcPr>
            <w:tcW w:type="dxa" w:w="3178"/>
          </w:tcPr>
          <w:p>
            <w:r>
              <w:rPr/>
              <w:t>投标文件符合招标文件规定要求签署、盖章</w:t>
            </w:r>
          </w:p>
        </w:tc>
        <w:tc>
          <w:tcPr>
            <w:tcW w:type="dxa" w:w="4238"/>
          </w:tcPr>
          <w:p>
            <w:r>
              <w:rPr/>
              <w:t>投标文件符合招标文件规定要求签署、盖章。</w:t>
            </w:r>
          </w:p>
        </w:tc>
      </w:tr>
      <w:tr>
        <w:tc>
          <w:tcPr>
            <w:tcW w:type="dxa" w:w="890"/>
          </w:tcPr>
          <w:p>
            <w:r>
              <w:rPr/>
              <w:t>6</w:t>
            </w:r>
          </w:p>
        </w:tc>
        <w:tc>
          <w:tcPr>
            <w:tcW w:type="dxa" w:w="3178"/>
          </w:tcPr>
          <w:p>
            <w:r>
              <w:rPr/>
              <w:t>技术要求实质性响应采购文件中“★”号参数的技术要求</w:t>
            </w:r>
          </w:p>
        </w:tc>
        <w:tc>
          <w:tcPr>
            <w:tcW w:type="dxa" w:w="4238"/>
          </w:tcPr>
          <w:p>
            <w:r>
              <w:rPr/>
              <w:t>技术要求实质性响应采购文件中“★”号参数的技术要求。</w:t>
            </w:r>
          </w:p>
        </w:tc>
      </w:tr>
      <w:tr>
        <w:tc>
          <w:tcPr>
            <w:tcW w:type="dxa" w:w="890"/>
          </w:tcPr>
          <w:p>
            <w:r>
              <w:rPr/>
              <w:t>7</w:t>
            </w:r>
          </w:p>
        </w:tc>
        <w:tc>
          <w:tcPr>
            <w:tcW w:type="dxa" w:w="3178"/>
          </w:tcPr>
          <w:p>
            <w:r>
              <w:rPr/>
              <w:t>商务要求实质性响应采购文件中“★”号参数的商务要求</w:t>
            </w:r>
          </w:p>
        </w:tc>
        <w:tc>
          <w:tcPr>
            <w:tcW w:type="dxa" w:w="4238"/>
          </w:tcPr>
          <w:p>
            <w:r>
              <w:rPr/>
              <w:t>商务要求实质性响应采购文件中“★”号参数的商务要求。</w:t>
            </w:r>
          </w:p>
        </w:tc>
      </w:tr>
      <w:tr>
        <w:tc>
          <w:tcPr>
            <w:tcW w:type="dxa" w:w="890"/>
          </w:tcPr>
          <w:p>
            <w:r>
              <w:rPr/>
              <w:t>8</w:t>
            </w:r>
          </w:p>
        </w:tc>
        <w:tc>
          <w:tcPr>
            <w:tcW w:type="dxa" w:w="3178"/>
          </w:tcPr>
          <w:p>
            <w:r>
              <w:rPr/>
              <w:t>按有关法律、法规、规章不属于投标无效的</w:t>
            </w:r>
          </w:p>
        </w:tc>
        <w:tc>
          <w:tcPr>
            <w:tcW w:type="dxa" w:w="4238"/>
          </w:tcPr>
          <w:p>
            <w:r>
              <w:rPr/>
              <w:t>按有关法律、法规、规章不属于投标无效的。</w:t>
            </w:r>
          </w:p>
        </w:tc>
      </w:tr>
    </w:tbl>
    <w:p/>
    <w:p>
      <w:r>
        <w:rPr>
          <w:b/>
          <w:sz w:val="24"/>
        </w:rPr>
        <w:t>2.投标文件澄清</w:t>
      </w:r>
    </w:p>
    <w:p>
      <w:pPr>
        <w:ind w:firstLine="480"/>
      </w:pPr>
      <w:r>
        <w:rPr/>
        <w:t>2.1对于投标文件中含义不明确、同类问题表述不一致或者有明显文字和计算错误的内容，评标委员会可在评审过程中发起在线澄清，要求投标人针对价格或内容做出必要的澄清、说明或补正。代理机构可根据开标环节记录的授权代表人联系方式发送短信提醒或电话告知。</w:t>
      </w:r>
    </w:p>
    <w:p>
      <w:pPr>
        <w:ind w:firstLine="480"/>
      </w:pPr>
      <w:r>
        <w:rPr/>
        <w:t>投标人需登录广东政府采购智慧云平台项目采购系统的等候大厅，在规定时间内完成澄清（响应），并加盖电子印章。</w:t>
      </w:r>
    </w:p>
    <w:p>
      <w:pPr>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ind w:firstLine="480"/>
      </w:pPr>
      <w:r>
        <w:rPr/>
        <w:t>2.2评标委员会不接受投标人主动提出的澄清、说明或补正。</w:t>
      </w:r>
    </w:p>
    <w:p>
      <w:pPr>
        <w:ind w:firstLine="480"/>
      </w:pPr>
      <w:r>
        <w:rPr/>
        <w:t>2.3评标委员会对投标人提交的澄清、说明或补正有疑问的，可以要求投标人进一步澄清、说明或补正。</w:t>
      </w:r>
    </w:p>
    <w:p>
      <w:r>
        <w:rPr>
          <w:b/>
          <w:sz w:val="24"/>
        </w:rPr>
        <w:t>3.详细评审</w:t>
      </w:r>
    </w:p>
    <w:p>
      <w:pPr>
        <w:ind w:firstLine="480"/>
      </w:pPr>
    </w:p>
    <w:p/>
    <w:p/>
    <w:p>
      <w:r>
        <w:rPr/>
        <w:t>采购包1(2023年浈江区松材线虫病等林业有害生物防治与除治项目):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jc w:val="center"/>
            </w:pPr>
            <w:r>
              <w:rPr/>
              <w:t>评审因素</w:t>
            </w:r>
          </w:p>
        </w:tc>
        <w:tc>
          <w:tcPr>
            <w:tcW w:type="dxa" w:w="7383"/>
            <w:gridSpan w:val="2"/>
          </w:tcPr>
          <w:p>
            <w:pPr>
              <w:jc w:val="center"/>
            </w:pPr>
            <w:r>
              <w:rPr/>
              <w:t>评审标准</w:t>
            </w:r>
          </w:p>
        </w:tc>
      </w:tr>
      <w:tr>
        <w:tc>
          <w:tcPr>
            <w:tcW w:type="dxa" w:w="922"/>
            <w:gridSpan w:val="2"/>
          </w:tcPr>
          <w:p>
            <w:pPr>
              <w:jc w:val="center"/>
            </w:pPr>
            <w:r>
              <w:rPr/>
              <w:t>分值构成</w:t>
            </w:r>
          </w:p>
        </w:tc>
        <w:tc>
          <w:tcPr>
            <w:tcW w:type="dxa" w:w="7383"/>
            <w:gridSpan w:val="2"/>
          </w:tcPr>
          <w:p>
            <w:r>
              <w:rPr/>
              <w:t>商务部分45.0分</w:t>
            </w:r>
          </w:p>
          <w:p>
            <w:r>
              <w:rPr/>
              <w:t>技术部分45.0分</w:t>
            </w:r>
          </w:p>
          <w:p>
            <w:r>
              <w:rPr/>
              <w:t>报价得分10.0分</w:t>
            </w:r>
          </w:p>
        </w:tc>
      </w:tr>
      <w:tr>
        <w:tc>
          <w:tcPr>
            <w:tcW w:type="dxa" w:w="922"/>
            <w:gridSpan w:val="2"/>
            <w:vMerge w:val="restart"/>
          </w:tcPr>
          <w:p>
            <w:pPr>
              <w:jc w:val="center"/>
            </w:pPr>
            <w:r>
              <w:rPr/>
              <w:t>技术部分</w:t>
            </w:r>
          </w:p>
        </w:tc>
        <w:tc>
          <w:tcPr>
            <w:tcW w:type="dxa" w:w="2307"/>
          </w:tcPr>
          <w:p>
            <w:pPr>
              <w:jc w:val="left"/>
            </w:pPr>
            <w:r>
              <w:rPr/>
              <w:t>项目实施方案 (15.0分)</w:t>
            </w:r>
            <w:r>
              <w:rPr/>
              <w:t>，（等次分值选择：</w:t>
            </w:r>
            <w:r>
              <w:rPr/>
              <w:t>0.0;</w:t>
            </w:r>
            <w:r>
              <w:rPr/>
              <w:t>3.0;</w:t>
            </w:r>
            <w:r>
              <w:rPr/>
              <w:t>6.0;</w:t>
            </w:r>
            <w:r>
              <w:rPr/>
              <w:t>9.0;</w:t>
            </w:r>
            <w:r>
              <w:rPr/>
              <w:t>12.0;</w:t>
            </w:r>
            <w:r>
              <w:rPr/>
              <w:t>15.0;</w:t>
            </w:r>
            <w:r>
              <w:rPr/>
              <w:t>）</w:t>
            </w:r>
          </w:p>
        </w:tc>
        <w:tc>
          <w:tcPr>
            <w:tcW w:type="dxa" w:w="5076"/>
          </w:tcPr>
          <w:p>
            <w:pPr>
              <w:jc w:val="left"/>
            </w:pPr>
            <w:r>
              <w:rPr/>
              <w:t>根据投标人提供的项目实施方案（包括承诺的技术指标、有针对性的施工措施、保障措施）进行评审：   1）实施方案技术可行，思路清晰，目标明确，措施到位，针对性强得15分；   2）实施方案较科学，技术较可行，思路较清晰，目标较明确，措施较到位，针对性较强得12分；   3）实施方案中，技术基本可行，思路基本清晰，目标基本明确，措施基本到位，针对性基本到位得9分；  4）实施方案、基本可行，思路基本清晰，目标基本明确，措施基本到位，具有一定针对性，得6分；   5）实施方案、技术基本可行，思路不清晰，目标不明确，措施基本到位得3分；   6）实施方案脱离操作实际或未提供不得分。</w:t>
            </w:r>
          </w:p>
        </w:tc>
      </w:tr>
      <w:tr>
        <w:tc>
          <w:tcPr>
            <w:tcW w:type="dxa" w:w="922"/>
            <w:gridSpan w:val="2"/>
            <w:vMerge/>
          </w:tcPr>
          <w:p/>
        </w:tc>
        <w:tc>
          <w:tcPr>
            <w:tcW w:type="dxa" w:w="2307"/>
          </w:tcPr>
          <w:p>
            <w:pPr>
              <w:jc w:val="left"/>
            </w:pPr>
            <w:r>
              <w:rPr/>
              <w:t>工期承诺及保障措施 (10.0分)</w:t>
            </w:r>
            <w:r>
              <w:rPr/>
              <w:t>，（等次分值选择：</w:t>
            </w:r>
            <w:r>
              <w:rPr/>
              <w:t>0.0;</w:t>
            </w:r>
            <w:r>
              <w:rPr/>
              <w:t>1.0;</w:t>
            </w:r>
            <w:r>
              <w:rPr/>
              <w:t>4.0;</w:t>
            </w:r>
            <w:r>
              <w:rPr/>
              <w:t>7.0;</w:t>
            </w:r>
            <w:r>
              <w:rPr/>
              <w:t>10.0;</w:t>
            </w:r>
            <w:r>
              <w:rPr/>
              <w:t>）</w:t>
            </w:r>
          </w:p>
        </w:tc>
        <w:tc>
          <w:tcPr>
            <w:tcW w:type="dxa" w:w="5076"/>
          </w:tcPr>
          <w:p>
            <w:pPr>
              <w:jc w:val="left"/>
            </w:pPr>
            <w:r>
              <w:rPr/>
              <w:t>根据投标人提供的工期承诺及保障措施进行评审:   1）工期承诺方案科学，思路清晰，措施到位，针对性强，完全满足招标需求得10分；   2）工期承诺方案较好，思路较清晰，措施到位，针对性好，基本满足招标需求得7分；   3）工期承诺方案基本可行，思路基本清晰，措施基本能满足招标需求得4分；   4）工期承诺方案基本可行，思路不够清晰，措施基本能满足招标需求得1分；   5）未提供方案不得分。</w:t>
            </w:r>
          </w:p>
        </w:tc>
      </w:tr>
      <w:tr>
        <w:tc>
          <w:tcPr>
            <w:tcW w:type="dxa" w:w="922"/>
            <w:gridSpan w:val="2"/>
            <w:vMerge/>
          </w:tcPr>
          <w:p/>
        </w:tc>
        <w:tc>
          <w:tcPr>
            <w:tcW w:type="dxa" w:w="2307"/>
          </w:tcPr>
          <w:p>
            <w:pPr>
              <w:jc w:val="left"/>
            </w:pPr>
            <w:r>
              <w:rPr/>
              <w:t>质量承诺及保障措施 (10.0分)</w:t>
            </w:r>
            <w:r>
              <w:rPr/>
              <w:t>，（等次分值选择：</w:t>
            </w:r>
            <w:r>
              <w:rPr/>
              <w:t>0.0;</w:t>
            </w:r>
            <w:r>
              <w:rPr/>
              <w:t>1.0;</w:t>
            </w:r>
            <w:r>
              <w:rPr/>
              <w:t>4.0;</w:t>
            </w:r>
            <w:r>
              <w:rPr/>
              <w:t>7.0;</w:t>
            </w:r>
            <w:r>
              <w:rPr/>
              <w:t>10.0;</w:t>
            </w:r>
            <w:r>
              <w:rPr/>
              <w:t>）</w:t>
            </w:r>
          </w:p>
        </w:tc>
        <w:tc>
          <w:tcPr>
            <w:tcW w:type="dxa" w:w="5076"/>
          </w:tcPr>
          <w:p>
            <w:pPr>
              <w:jc w:val="left"/>
            </w:pPr>
            <w:r>
              <w:rPr/>
              <w:t>根据投标人提供的质量承诺及保障措施进行评审:   1）方案全面、合理、具体、针对性强的得10分；   2）方案较合理，较具体、针对性好的得7分；   3）方案基本合理，不够具体，针对性一般的得4分；  4）方案不够合理，不够具体，针对性差的得1分；   5）未提供方案不得分。</w:t>
            </w:r>
          </w:p>
        </w:tc>
      </w:tr>
      <w:tr>
        <w:tc>
          <w:tcPr>
            <w:tcW w:type="dxa" w:w="922"/>
            <w:gridSpan w:val="2"/>
            <w:vMerge/>
          </w:tcPr>
          <w:p/>
        </w:tc>
        <w:tc>
          <w:tcPr>
            <w:tcW w:type="dxa" w:w="2307"/>
          </w:tcPr>
          <w:p>
            <w:pPr>
              <w:jc w:val="left"/>
            </w:pPr>
            <w:r>
              <w:rPr/>
              <w:t>安全保障 (5.0分)</w:t>
            </w:r>
            <w:r>
              <w:rPr/>
              <w:t>，（等次分值选择：</w:t>
            </w:r>
            <w:r>
              <w:rPr/>
              <w:t>0.0;</w:t>
            </w:r>
            <w:r>
              <w:rPr/>
              <w:t>1.0;</w:t>
            </w:r>
            <w:r>
              <w:rPr/>
              <w:t>3.0;</w:t>
            </w:r>
            <w:r>
              <w:rPr/>
              <w:t>5.0;</w:t>
            </w:r>
            <w:r>
              <w:rPr/>
              <w:t>）</w:t>
            </w:r>
          </w:p>
        </w:tc>
        <w:tc>
          <w:tcPr>
            <w:tcW w:type="dxa" w:w="5076"/>
          </w:tcPr>
          <w:p>
            <w:pPr>
              <w:jc w:val="left"/>
            </w:pPr>
            <w:r>
              <w:rPr/>
              <w:t>根据投标人购买团体意外险的人数，进行评审: 1）购买30人（含30人）以上人身意外保险的，得5分； 2）购买20人（含20人）以上人身意外保险的，得3分； 3）购买1人（含1人）以上人身意外保险的，得1分； 4）其他或未提供不得分。 注：提供本单位购买团体意外险证明材料复印件，未提供不得分。</w:t>
            </w:r>
          </w:p>
        </w:tc>
      </w:tr>
      <w:tr>
        <w:tc>
          <w:tcPr>
            <w:tcW w:type="dxa" w:w="922"/>
            <w:gridSpan w:val="2"/>
            <w:vMerge/>
          </w:tcPr>
          <w:p/>
        </w:tc>
        <w:tc>
          <w:tcPr>
            <w:tcW w:type="dxa" w:w="2307"/>
          </w:tcPr>
          <w:p>
            <w:pPr>
              <w:jc w:val="left"/>
            </w:pPr>
            <w:r>
              <w:rPr/>
              <w:t>应急处理方案 (5.0分)</w:t>
            </w:r>
            <w:r>
              <w:rPr/>
              <w:t>，（等次分值选择：</w:t>
            </w:r>
            <w:r>
              <w:rPr/>
              <w:t>0.0;</w:t>
            </w:r>
            <w:r>
              <w:rPr/>
              <w:t>1.0;</w:t>
            </w:r>
            <w:r>
              <w:rPr/>
              <w:t>2.0;</w:t>
            </w:r>
            <w:r>
              <w:rPr/>
              <w:t>3.0;</w:t>
            </w:r>
            <w:r>
              <w:rPr/>
              <w:t>5.0;</w:t>
            </w:r>
            <w:r>
              <w:rPr/>
              <w:t>）</w:t>
            </w:r>
          </w:p>
        </w:tc>
        <w:tc>
          <w:tcPr>
            <w:tcW w:type="dxa" w:w="5076"/>
          </w:tcPr>
          <w:p>
            <w:pPr>
              <w:jc w:val="left"/>
            </w:pPr>
            <w:r>
              <w:rPr/>
              <w:t>根据投标人制定的应急处理方案进行综合评审：  1）制定的应急处理方案详细齐全，有针对性，切合项目实际要求，具有操作性，得5分；    2）制定的应急处理方案基本符合项目实际要求，基本切合项目实际要求，具有基本操作性，得3分；    3）制定的应急处理措施部分符合项目实际要求，不够切合项目实际要求，操作性不够，得2分；    4）制定的应急处理措施不具体清晰、简略描述，不切合项目实际要求，没有操作性，得1分；   5）未提供方案不得分。</w:t>
            </w:r>
          </w:p>
        </w:tc>
      </w:tr>
      <w:tr>
        <w:tc>
          <w:tcPr>
            <w:tcW w:type="dxa" w:w="922"/>
            <w:gridSpan w:val="2"/>
            <w:vMerge w:val="restart"/>
          </w:tcPr>
          <w:p>
            <w:pPr>
              <w:jc w:val="center"/>
            </w:pPr>
            <w:r>
              <w:rPr/>
              <w:t>商务部分</w:t>
            </w:r>
          </w:p>
        </w:tc>
        <w:tc>
          <w:tcPr>
            <w:tcW w:type="dxa" w:w="2307"/>
          </w:tcPr>
          <w:p>
            <w:pPr>
              <w:jc w:val="left"/>
            </w:pPr>
            <w:r>
              <w:rPr/>
              <w:t>响应程度 (5.0分)</w:t>
            </w:r>
          </w:p>
        </w:tc>
        <w:tc>
          <w:tcPr>
            <w:tcW w:type="dxa" w:w="5076"/>
          </w:tcPr>
          <w:p>
            <w:pPr>
              <w:jc w:val="left"/>
            </w:pPr>
            <w:r>
              <w:rPr/>
              <w:t>投标人对招标文件商务要求的响应程度，根据投标人提供的《商务条件响应表》进行评审，完全符合或优于招标文件的得5分。 1）有1～2项条款为负偏离/无响应的，得3分；  2）有3～4项条款为负偏离/无响应的，得1分；  3）有5项及以上条款为负偏离/无响应的，得0分。</w:t>
            </w:r>
          </w:p>
        </w:tc>
      </w:tr>
      <w:tr>
        <w:tc>
          <w:tcPr>
            <w:tcW w:type="dxa" w:w="922"/>
            <w:gridSpan w:val="2"/>
            <w:vMerge/>
          </w:tcPr>
          <w:p/>
        </w:tc>
        <w:tc>
          <w:tcPr>
            <w:tcW w:type="dxa" w:w="2307"/>
          </w:tcPr>
          <w:p>
            <w:pPr>
              <w:jc w:val="left"/>
            </w:pPr>
            <w:r>
              <w:rPr/>
              <w:t>同类业绩 (15.0分)</w:t>
            </w:r>
          </w:p>
        </w:tc>
        <w:tc>
          <w:tcPr>
            <w:tcW w:type="dxa" w:w="5076"/>
          </w:tcPr>
          <w:p>
            <w:pPr>
              <w:jc w:val="left"/>
            </w:pPr>
            <w:r>
              <w:rPr/>
              <w:t>投标人2019年1月至今，独立承担或完成过同类项目的，每提供一个得3分，本项满分15 分。  注：同类项目指松材线虫病预防、治理、除治和防治相关业绩；时间以合同签订时间为准；需同时提供项目中标/成交通知书、合同复印件并加盖公章，未提供不得分。</w:t>
            </w:r>
          </w:p>
        </w:tc>
      </w:tr>
      <w:tr>
        <w:tc>
          <w:tcPr>
            <w:tcW w:type="dxa" w:w="922"/>
            <w:gridSpan w:val="2"/>
            <w:vMerge/>
          </w:tcPr>
          <w:p/>
        </w:tc>
        <w:tc>
          <w:tcPr>
            <w:tcW w:type="dxa" w:w="2307"/>
          </w:tcPr>
          <w:p>
            <w:pPr>
              <w:jc w:val="left"/>
            </w:pPr>
            <w:r>
              <w:rPr/>
              <w:t>投入本项目技术力量 (15.0分)</w:t>
            </w:r>
          </w:p>
        </w:tc>
        <w:tc>
          <w:tcPr>
            <w:tcW w:type="dxa" w:w="5076"/>
          </w:tcPr>
          <w:p>
            <w:pPr>
              <w:jc w:val="left"/>
            </w:pPr>
            <w:r>
              <w:rPr/>
              <w:t>投标人拟投入的本项目技术人员中： 1）项目经理具有林业专业高级或以上职称的；得 5 分； 2）除项目经理外，每提供一名林业类工程师或以上职称的，得2.5分；每提供一名林业类助理工程师，得1分；本项满分5分。 3）每提供一名林业有害生物防治员得1分，本项满分 5分。 注：须提供技术人员职称证书复印件和劳动合同复印件加盖单位公章；若技术人员为退休工人还须提供退休证复印件加盖单位公章，不提供的不得分。</w:t>
            </w:r>
          </w:p>
        </w:tc>
      </w:tr>
      <w:tr>
        <w:tc>
          <w:tcPr>
            <w:tcW w:type="dxa" w:w="922"/>
            <w:gridSpan w:val="2"/>
            <w:vMerge/>
          </w:tcPr>
          <w:p/>
        </w:tc>
        <w:tc>
          <w:tcPr>
            <w:tcW w:type="dxa" w:w="2307"/>
          </w:tcPr>
          <w:p>
            <w:pPr>
              <w:jc w:val="left"/>
            </w:pPr>
            <w:r>
              <w:rPr/>
              <w:t>服务便利性 (10.0分)</w:t>
            </w:r>
            <w:r>
              <w:rPr/>
              <w:t>，（等次分值选择：</w:t>
            </w:r>
            <w:r>
              <w:rPr/>
              <w:t>0.0;</w:t>
            </w:r>
            <w:r>
              <w:rPr/>
              <w:t>1.0;</w:t>
            </w:r>
            <w:r>
              <w:rPr/>
              <w:t>4.0;</w:t>
            </w:r>
            <w:r>
              <w:rPr/>
              <w:t>7.0;</w:t>
            </w:r>
            <w:r>
              <w:rPr/>
              <w:t>10.0;</w:t>
            </w:r>
            <w:r>
              <w:rPr/>
              <w:t>）</w:t>
            </w:r>
          </w:p>
        </w:tc>
        <w:tc>
          <w:tcPr>
            <w:tcW w:type="dxa" w:w="5076"/>
          </w:tcPr>
          <w:p>
            <w:pPr>
              <w:jc w:val="left"/>
            </w:pPr>
            <w:r>
              <w:rPr/>
              <w:t>综合评价售后服务方案： 根据投标人提供售后服务方案、响应时间等内容进行综合评审：   1）售后服务方案详细、具体、切实可行的，得10分；   2）售后服务方案较详细、较具体、较切实可行的，得7分；    3）售后服务方案详细，但可行性一般的，得4分；   4）售后服务方案不够详细、可行性差的，得1分；   5）未提供不得分。</w:t>
            </w:r>
          </w:p>
        </w:tc>
      </w:tr>
      <w:tr>
        <w:tc>
          <w:tcPr>
            <w:tcW w:type="dxa" w:w="922"/>
            <w:gridSpan w:val="2"/>
          </w:tcPr>
          <w:p>
            <w:pPr>
              <w:jc w:val="center"/>
            </w:pPr>
            <w:r>
              <w:rPr/>
              <w:t>投标报价</w:t>
            </w:r>
          </w:p>
        </w:tc>
        <w:tc>
          <w:tcPr>
            <w:tcW w:type="dxa" w:w="2307"/>
          </w:tcPr>
          <w:p>
            <w:pPr>
              <w:jc w:val="left"/>
            </w:pPr>
            <w:r>
              <w:rPr/>
              <w:t>投标报价得分 (10.0分)</w:t>
            </w:r>
          </w:p>
        </w:tc>
        <w:tc>
          <w:tcPr>
            <w:tcW w:type="dxa" w:w="5076"/>
          </w:tcPr>
          <w:p>
            <w:pPr>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
      <w:r>
        <w:rPr>
          <w:b/>
          <w:sz w:val="24"/>
        </w:rPr>
        <w:t>4.汇总、排序</w:t>
      </w:r>
    </w:p>
    <w:p>
      <w:pPr>
        <w:ind w:firstLine="480"/>
      </w:pPr>
    </w:p>
    <w:p/>
    <w:p>
      <w:r>
        <w:rPr/>
        <w:t>采购包1：</w:t>
      </w:r>
    </w:p>
    <w:p/>
    <w:p>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
      <w:r>
        <w:rPr>
          <w:b/>
          <w:sz w:val="24"/>
        </w:rPr>
        <w:t>5.中标价的确定</w:t>
      </w:r>
    </w:p>
    <w:p>
      <w:pPr>
        <w:ind w:firstLine="480"/>
      </w:pPr>
      <w:r>
        <w:rPr/>
        <w:t>除了按第四章第一点第7条修正并经投标人确认的投标报价作为中标价外，中标价以开标时公开唱标价为准。</w:t>
      </w:r>
    </w:p>
    <w:p>
      <w:r>
        <w:rPr>
          <w:b/>
          <w:sz w:val="24"/>
        </w:rPr>
        <w:t>6.其他无效投标的情形：</w:t>
      </w:r>
    </w:p>
    <w:p>
      <w:pPr>
        <w:ind w:firstLine="480"/>
      </w:pPr>
      <w:r>
        <w:rPr/>
        <w:t>(1)评标期间，投标人没有按评标委员会的要求提交法定代表人或其委托代理人签字的澄清、说明、补正或改变了投标文件的实质性内容的。</w:t>
      </w:r>
    </w:p>
    <w:p>
      <w:pPr>
        <w:ind w:firstLine="480"/>
      </w:pPr>
      <w:r>
        <w:rPr/>
        <w:t>(2)投标文件提供虚假材料的。</w:t>
      </w:r>
    </w:p>
    <w:p>
      <w:pPr>
        <w:ind w:firstLine="480"/>
      </w:pPr>
      <w:r>
        <w:rPr/>
        <w:t>(3)投标人以他人名义投标、串通投标、以行贿手段谋取中标或者以其他弄虚作假方式投标的。</w:t>
      </w:r>
    </w:p>
    <w:p>
      <w:pPr>
        <w:ind w:firstLine="480"/>
      </w:pPr>
      <w:r>
        <w:rPr/>
        <w:t>(4)投标人对采购人、采购代理机构、评标委员会及其工作人员施加影响，有碍招标公平、公正的。</w:t>
      </w:r>
    </w:p>
    <w:p>
      <w:pPr>
        <w:ind w:firstLine="480"/>
      </w:pPr>
      <w:r>
        <w:rPr/>
        <w:t>(5)投标文件含有采购人不能接受的附加条件的。</w:t>
      </w:r>
    </w:p>
    <w:p>
      <w:pPr>
        <w:ind w:firstLine="480"/>
      </w:pPr>
      <w:r>
        <w:rPr/>
        <w:t>(6)法律、法规和招标文件规定的其他无效情形。</w:t>
      </w:r>
    </w:p>
    <w:p>
      <w:pPr>
        <w:ind w:firstLine="480"/>
      </w:pPr>
    </w:p>
    <w:p>
      <w:r>
        <w:rPr/>
        <w:t xml:space="preserve"> </w:t>
      </w:r>
    </w:p>
    <w:p/>
    <w:p>
      <w:pPr>
        <w:jc w:val="center"/>
      </w:pPr>
      <w:r>
        <w:rPr>
          <w:b/>
          <w:sz w:val="36"/>
        </w:rPr>
        <w:t>第五章 合同文本</w:t>
      </w:r>
    </w:p>
    <w:p>
      <w:pPr>
        <w:ind w:firstLine="480"/>
      </w:pPr>
    </w:p>
    <w:p/>
    <w:p/>
    <w:p/>
    <w:p>
      <w:pPr>
        <w:shd w:fill="FFFFFF"/>
        <w:jc w:val="center"/>
      </w:pPr>
      <w:r>
        <w:rPr>
          <w:rFonts w:ascii="宋体" w:hAnsi="宋体" w:cs="宋体" w:eastAsia="宋体"/>
          <w:b/>
          <w:color w:val="222222"/>
          <w:sz w:val="48"/>
        </w:rPr>
        <w:t xml:space="preserve"> </w:t>
      </w:r>
    </w:p>
    <w:p>
      <w:pPr>
        <w:shd w:fill="FFFFFF"/>
        <w:jc w:val="center"/>
      </w:pPr>
      <w:r>
        <w:rPr>
          <w:rFonts w:ascii="宋体" w:hAnsi="宋体" w:cs="宋体" w:eastAsia="宋体"/>
          <w:b/>
          <w:color w:val="222222"/>
          <w:sz w:val="48"/>
        </w:rPr>
        <w:t xml:space="preserve"> </w:t>
      </w:r>
    </w:p>
    <w:p>
      <w:pPr>
        <w:shd w:fill="FFFFFF"/>
        <w:jc w:val="center"/>
      </w:pPr>
      <w:r>
        <w:rPr>
          <w:rFonts w:ascii="宋体" w:hAnsi="宋体" w:cs="宋体" w:eastAsia="宋体"/>
          <w:b/>
          <w:color w:val="222222"/>
          <w:sz w:val="48"/>
        </w:rPr>
        <w:t xml:space="preserve"> </w:t>
      </w:r>
    </w:p>
    <w:p>
      <w:pPr>
        <w:shd w:fill="FFFFFF"/>
        <w:jc w:val="center"/>
      </w:pPr>
      <w:r>
        <w:rPr>
          <w:rFonts w:ascii="宋体" w:hAnsi="宋体" w:cs="宋体" w:eastAsia="宋体"/>
          <w:b/>
          <w:color w:val="222222"/>
          <w:sz w:val="48"/>
        </w:rPr>
        <w:t xml:space="preserve"> </w:t>
      </w:r>
    </w:p>
    <w:p>
      <w:pPr>
        <w:shd w:fill="FFFFFF"/>
        <w:jc w:val="center"/>
      </w:pPr>
      <w:r>
        <w:rPr>
          <w:rFonts w:ascii="宋体" w:hAnsi="宋体" w:cs="宋体" w:eastAsia="宋体"/>
          <w:b/>
          <w:color w:val="222222"/>
          <w:sz w:val="48"/>
        </w:rPr>
        <w:t>广东省政府采购</w:t>
      </w:r>
    </w:p>
    <w:p>
      <w:pPr>
        <w:shd w:fill="FFFFFF"/>
        <w:jc w:val="both"/>
      </w:pPr>
      <w:r>
        <w:rPr>
          <w:rFonts w:ascii="helvetica" w:hAnsi="helvetica" w:cs="helvetica" w:eastAsia="helvetica"/>
          <w:color w:val="222222"/>
          <w:sz w:val="27"/>
        </w:rPr>
        <w:t xml:space="preserve"> </w:t>
      </w:r>
    </w:p>
    <w:p>
      <w:pPr>
        <w:shd w:fill="FFFFFF"/>
        <w:jc w:val="center"/>
      </w:pPr>
      <w:r>
        <w:rPr>
          <w:rFonts w:ascii="宋体" w:hAnsi="宋体" w:cs="宋体" w:eastAsia="宋体"/>
          <w:b/>
          <w:color w:val="222222"/>
          <w:sz w:val="48"/>
        </w:rPr>
        <w:t>合　同　书</w:t>
      </w:r>
    </w:p>
    <w:p>
      <w:pPr>
        <w:shd w:fill="FFFFFF"/>
        <w:jc w:val="center"/>
      </w:pPr>
      <w:r>
        <w:br/>
      </w:r>
      <w:r>
        <w:br/>
      </w:r>
      <w:r>
        <w:br/>
      </w:r>
      <w:r>
        <w:br/>
      </w:r>
      <w:r>
        <w:br/>
      </w:r>
      <w:r>
        <w:br/>
      </w:r>
      <w:r>
        <w:br/>
      </w:r>
      <w:r>
        <w:br/>
      </w:r>
      <w:r>
        <w:rPr>
          <w:rFonts w:ascii="helvetica" w:hAnsi="helvetica" w:cs="helvetica" w:eastAsia="helvetica"/>
          <w:color w:val="222222"/>
          <w:sz w:val="27"/>
        </w:rPr>
        <w:t xml:space="preserve"> </w:t>
      </w:r>
    </w:p>
    <w:p>
      <w:pPr>
        <w:shd w:fill="FFFFFF"/>
        <w:jc w:val="center"/>
      </w:pPr>
      <w:r>
        <w:rPr>
          <w:rFonts w:ascii="宋体" w:hAnsi="宋体" w:cs="宋体" w:eastAsia="宋体"/>
          <w:color w:val="222222"/>
          <w:sz w:val="28"/>
        </w:rPr>
        <w:t>采购计划编号：</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p>
    <w:p>
      <w:pPr>
        <w:shd w:fill="FFFFFF"/>
        <w:jc w:val="both"/>
      </w:pPr>
      <w:r>
        <w:rPr>
          <w:rFonts w:ascii="helvetica" w:hAnsi="helvetica" w:cs="helvetica" w:eastAsia="helvetica"/>
          <w:color w:val="222222"/>
          <w:sz w:val="27"/>
        </w:rPr>
        <w:t xml:space="preserve"> </w:t>
      </w:r>
    </w:p>
    <w:p>
      <w:pPr>
        <w:shd w:fill="FFFFFF"/>
        <w:jc w:val="center"/>
      </w:pPr>
      <w:r>
        <w:rPr>
          <w:rFonts w:ascii="宋体" w:hAnsi="宋体" w:cs="宋体" w:eastAsia="宋体"/>
          <w:color w:val="222222"/>
          <w:sz w:val="28"/>
        </w:rPr>
        <w:t>项目编号：</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p>
    <w:p>
      <w:pPr>
        <w:shd w:fill="FFFFFF"/>
        <w:jc w:val="both"/>
      </w:pPr>
      <w:r>
        <w:rPr>
          <w:rFonts w:ascii="helvetica" w:hAnsi="helvetica" w:cs="helvetica" w:eastAsia="helvetica"/>
          <w:color w:val="222222"/>
          <w:sz w:val="27"/>
        </w:rPr>
        <w:t xml:space="preserve"> </w:t>
      </w:r>
    </w:p>
    <w:p>
      <w:pPr>
        <w:shd w:fill="FFFFFF"/>
        <w:jc w:val="center"/>
      </w:pPr>
      <w:r>
        <w:rPr>
          <w:rFonts w:ascii="宋体" w:hAnsi="宋体" w:cs="宋体" w:eastAsia="宋体"/>
          <w:color w:val="222222"/>
          <w:sz w:val="28"/>
        </w:rPr>
        <w:t>项目名称：</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p>
    <w:p>
      <w:pPr>
        <w:shd w:fill="FFFFFF"/>
      </w:pPr>
      <w:r>
        <w:rPr>
          <w:rFonts w:ascii="helvetica" w:hAnsi="helvetica" w:cs="helvetica" w:eastAsia="helvetica"/>
          <w:color w:val="222222"/>
          <w:sz w:val="27"/>
        </w:rPr>
        <w:t xml:space="preserve"> </w:t>
      </w:r>
    </w:p>
    <w:p>
      <w:pPr>
        <w:shd w:fill="FFFFFF"/>
      </w:pPr>
      <w:r>
        <w:rPr>
          <w:rFonts w:ascii="helvetica" w:hAnsi="helvetica" w:cs="helvetica" w:eastAsia="helvetica"/>
          <w:color w:val="222222"/>
          <w:sz w:val="27"/>
        </w:rPr>
        <w:t xml:space="preserve"> </w:t>
      </w:r>
    </w:p>
    <w:p>
      <w:pPr>
        <w:shd w:fill="FFFFFF"/>
      </w:pPr>
      <w:r>
        <w:rPr>
          <w:rFonts w:ascii="helvetica" w:hAnsi="helvetica" w:cs="helvetica" w:eastAsia="helvetica"/>
          <w:color w:val="222222"/>
          <w:sz w:val="27"/>
        </w:rPr>
        <w:t xml:space="preserve"> </w:t>
      </w:r>
    </w:p>
    <w:p>
      <w:pPr>
        <w:shd w:fill="FFFFFF"/>
      </w:pPr>
      <w:r>
        <w:rPr>
          <w:rFonts w:ascii="helvetica" w:hAnsi="helvetica" w:cs="helvetica" w:eastAsia="helvetica"/>
          <w:color w:val="222222"/>
          <w:sz w:val="27"/>
        </w:rPr>
        <w:t xml:space="preserve"> </w:t>
      </w:r>
    </w:p>
    <w:p>
      <w:pPr>
        <w:shd w:fill="FFFFFF"/>
      </w:pPr>
      <w:r>
        <w:rPr>
          <w:rFonts w:ascii="helvetica" w:hAnsi="helvetica" w:cs="helvetica" w:eastAsia="helvetica"/>
          <w:color w:val="222222"/>
          <w:sz w:val="27"/>
        </w:rPr>
        <w:t xml:space="preserve"> </w:t>
      </w:r>
    </w:p>
    <w:p>
      <w:pPr>
        <w:shd w:fill="FFFFFF"/>
      </w:pPr>
      <w:r>
        <w:rPr>
          <w:rFonts w:ascii="helvetica" w:hAnsi="helvetica" w:cs="helvetica" w:eastAsia="helvetica"/>
          <w:color w:val="222222"/>
          <w:sz w:val="27"/>
        </w:rPr>
        <w:t xml:space="preserve"> </w:t>
      </w:r>
    </w:p>
    <w:p>
      <w:pPr>
        <w:shd w:fill="FFFFFF"/>
      </w:pPr>
      <w:r>
        <w:rPr>
          <w:rFonts w:ascii="helvetica" w:hAnsi="helvetica" w:cs="helvetica" w:eastAsia="helvetica"/>
          <w:color w:val="222222"/>
          <w:sz w:val="27"/>
        </w:rPr>
        <w:t xml:space="preserve"> </w:t>
      </w:r>
    </w:p>
    <w:p>
      <w:pPr>
        <w:shd w:fill="FFFFFF"/>
      </w:pPr>
      <w:r>
        <w:rPr>
          <w:rFonts w:ascii="helvetica" w:hAnsi="helvetica" w:cs="helvetica" w:eastAsia="helvetica"/>
          <w:color w:val="222222"/>
          <w:sz w:val="27"/>
        </w:rPr>
        <w:t xml:space="preserve"> </w:t>
      </w:r>
    </w:p>
    <w:p>
      <w:pPr>
        <w:shd w:fill="FFFFFF"/>
      </w:pPr>
      <w:r>
        <w:rPr>
          <w:rFonts w:ascii="helvetica" w:hAnsi="helvetica" w:cs="helvetica" w:eastAsia="helvetica"/>
          <w:color w:val="222222"/>
          <w:sz w:val="27"/>
        </w:rPr>
        <w:t xml:space="preserve"> </w:t>
      </w:r>
    </w:p>
    <w:p>
      <w:pPr>
        <w:shd w:fill="FFFFFF"/>
        <w:jc w:val="both"/>
      </w:pPr>
      <w:r>
        <w:br/>
      </w:r>
      <w:r>
        <w:rPr>
          <w:rFonts w:ascii="helvetica" w:hAnsi="helvetica" w:cs="helvetica" w:eastAsia="helvetica"/>
          <w:color w:val="222222"/>
          <w:sz w:val="27"/>
        </w:rPr>
        <w:t xml:space="preserve"> </w:t>
      </w:r>
    </w:p>
    <w:p>
      <w:pPr>
        <w:shd w:fill="FFFFFF"/>
        <w:jc w:val="both"/>
      </w:pPr>
      <w:r>
        <w:rPr>
          <w:rFonts w:ascii="宋体" w:hAnsi="宋体" w:cs="宋体" w:eastAsia="宋体"/>
          <w:b/>
          <w:color w:val="222222"/>
          <w:sz w:val="27"/>
        </w:rPr>
        <w:t>甲方：</w:t>
      </w:r>
      <w:r>
        <w:rPr>
          <w:rFonts w:ascii="宋体" w:hAnsi="宋体" w:cs="宋体" w:eastAsia="宋体"/>
          <w:b/>
          <w:color w:val="222222"/>
          <w:sz w:val="27"/>
        </w:rPr>
        <w:t xml:space="preserve"> </w:t>
      </w:r>
      <w:r>
        <w:rPr>
          <w:rFonts w:ascii="宋体" w:hAnsi="宋体" w:cs="宋体" w:eastAsia="宋体"/>
          <w:b/>
          <w:color w:val="222222"/>
          <w:sz w:val="27"/>
        </w:rPr>
        <w:t>　　　　　</w:t>
      </w:r>
      <w:r>
        <w:rPr>
          <w:rFonts w:ascii="宋体" w:hAnsi="宋体" w:cs="宋体" w:eastAsia="宋体"/>
          <w:b/>
          <w:color w:val="222222"/>
          <w:sz w:val="27"/>
        </w:rPr>
        <w:t xml:space="preserve"> </w:t>
      </w:r>
      <w:r>
        <w:rPr>
          <w:rFonts w:ascii="宋体" w:hAnsi="宋体" w:cs="宋体" w:eastAsia="宋体"/>
          <w:b/>
          <w:color w:val="222222"/>
          <w:sz w:val="27"/>
        </w:rPr>
        <w:t xml:space="preserve"> </w:t>
      </w:r>
    </w:p>
    <w:p>
      <w:pPr>
        <w:shd w:fill="FFFFFF"/>
        <w:jc w:val="both"/>
      </w:pPr>
      <w:r>
        <w:rPr>
          <w:rFonts w:ascii="宋体" w:hAnsi="宋体" w:cs="宋体" w:eastAsia="宋体"/>
          <w:color w:val="222222"/>
          <w:sz w:val="27"/>
        </w:rPr>
        <w:t>电话：</w:t>
      </w:r>
      <w:r>
        <w:rPr>
          <w:rFonts w:ascii="宋体" w:hAnsi="宋体" w:cs="宋体" w:eastAsia="宋体"/>
          <w:color w:val="222222"/>
          <w:sz w:val="27"/>
        </w:rPr>
        <w:t xml:space="preserve"> </w:t>
      </w:r>
      <w:r>
        <w:rPr>
          <w:rFonts w:ascii="宋体" w:hAnsi="宋体" w:cs="宋体" w:eastAsia="宋体"/>
          <w:b/>
          <w:color w:val="222222"/>
          <w:sz w:val="27"/>
        </w:rPr>
        <w:t>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color w:val="222222"/>
          <w:sz w:val="27"/>
        </w:rPr>
        <w:t>传真</w:t>
      </w:r>
      <w:r>
        <w:rPr>
          <w:rFonts w:ascii="宋体" w:hAnsi="宋体" w:cs="宋体" w:eastAsia="宋体"/>
          <w:color w:val="222222"/>
          <w:sz w:val="27"/>
        </w:rPr>
        <w:t xml:space="preserve"> </w:t>
      </w:r>
      <w:r>
        <w:rPr>
          <w:rFonts w:ascii="宋体" w:hAnsi="宋体" w:cs="宋体" w:eastAsia="宋体"/>
          <w:color w:val="222222"/>
          <w:sz w:val="27"/>
        </w:rPr>
        <w:t>：</w:t>
      </w:r>
      <w:r>
        <w:rPr>
          <w:rFonts w:ascii="宋体" w:hAnsi="宋体" w:cs="宋体" w:eastAsia="宋体"/>
          <w:color w:val="222222"/>
          <w:sz w:val="27"/>
        </w:rPr>
        <w:t xml:space="preserve"> </w:t>
      </w:r>
      <w:r>
        <w:rPr>
          <w:rFonts w:ascii="宋体" w:hAnsi="宋体" w:cs="宋体" w:eastAsia="宋体"/>
          <w:b/>
          <w:color w:val="222222"/>
          <w:sz w:val="27"/>
        </w:rPr>
        <w:t>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color w:val="222222"/>
          <w:sz w:val="27"/>
        </w:rPr>
        <w:t>地址：</w:t>
      </w:r>
      <w:r>
        <w:rPr>
          <w:rFonts w:ascii="宋体" w:hAnsi="宋体" w:cs="宋体" w:eastAsia="宋体"/>
          <w:color w:val="222222"/>
          <w:sz w:val="27"/>
        </w:rPr>
        <w:t xml:space="preserve"> </w:t>
      </w:r>
      <w:r>
        <w:rPr>
          <w:rFonts w:ascii="宋体" w:hAnsi="宋体" w:cs="宋体" w:eastAsia="宋体"/>
          <w:b/>
          <w:color w:val="222222"/>
          <w:sz w:val="27"/>
        </w:rPr>
        <w:t>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p>
    <w:p>
      <w:pPr>
        <w:shd w:fill="FFFFFF"/>
        <w:jc w:val="both"/>
      </w:pPr>
      <w:r>
        <w:rPr>
          <w:rFonts w:ascii="宋体" w:hAnsi="宋体" w:cs="宋体" w:eastAsia="宋体"/>
          <w:b/>
          <w:color w:val="222222"/>
          <w:sz w:val="27"/>
        </w:rPr>
        <w:t>乙方：</w:t>
      </w:r>
      <w:r>
        <w:rPr>
          <w:rFonts w:ascii="宋体" w:hAnsi="宋体" w:cs="宋体" w:eastAsia="宋体"/>
          <w:b/>
          <w:color w:val="222222"/>
          <w:sz w:val="27"/>
        </w:rPr>
        <w:t xml:space="preserve"> </w:t>
      </w:r>
      <w:r>
        <w:rPr>
          <w:rFonts w:ascii="宋体" w:hAnsi="宋体" w:cs="宋体" w:eastAsia="宋体"/>
          <w:b/>
          <w:color w:val="222222"/>
          <w:sz w:val="27"/>
        </w:rPr>
        <w:t>　　　　　</w:t>
      </w:r>
      <w:r>
        <w:rPr>
          <w:rFonts w:ascii="宋体" w:hAnsi="宋体" w:cs="宋体" w:eastAsia="宋体"/>
          <w:b/>
          <w:color w:val="222222"/>
          <w:sz w:val="27"/>
        </w:rPr>
        <w:t xml:space="preserve"> </w:t>
      </w:r>
      <w:r>
        <w:rPr>
          <w:rFonts w:ascii="宋体" w:hAnsi="宋体" w:cs="宋体" w:eastAsia="宋体"/>
          <w:b/>
          <w:color w:val="222222"/>
          <w:sz w:val="27"/>
        </w:rPr>
        <w:t xml:space="preserve"> </w:t>
      </w:r>
    </w:p>
    <w:p>
      <w:pPr>
        <w:shd w:fill="FFFFFF"/>
        <w:jc w:val="both"/>
      </w:pPr>
      <w:r>
        <w:rPr>
          <w:rFonts w:ascii="宋体" w:hAnsi="宋体" w:cs="宋体" w:eastAsia="宋体"/>
          <w:color w:val="222222"/>
          <w:sz w:val="27"/>
        </w:rPr>
        <w:t>电话：</w:t>
      </w:r>
      <w:r>
        <w:rPr>
          <w:rFonts w:ascii="宋体" w:hAnsi="宋体" w:cs="宋体" w:eastAsia="宋体"/>
          <w:color w:val="222222"/>
          <w:sz w:val="27"/>
        </w:rPr>
        <w:t xml:space="preserve"> </w:t>
      </w:r>
      <w:r>
        <w:rPr>
          <w:rFonts w:ascii="宋体" w:hAnsi="宋体" w:cs="宋体" w:eastAsia="宋体"/>
          <w:b/>
          <w:color w:val="222222"/>
          <w:sz w:val="27"/>
        </w:rPr>
        <w:t>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color w:val="222222"/>
          <w:sz w:val="27"/>
        </w:rPr>
        <w:t>传真：</w:t>
      </w:r>
      <w:r>
        <w:rPr>
          <w:rFonts w:ascii="宋体" w:hAnsi="宋体" w:cs="宋体" w:eastAsia="宋体"/>
          <w:b/>
          <w:color w:val="222222"/>
          <w:sz w:val="27"/>
        </w:rPr>
        <w:t>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color w:val="222222"/>
          <w:sz w:val="27"/>
        </w:rPr>
        <w:t>地址：</w:t>
      </w:r>
      <w:r>
        <w:rPr>
          <w:rFonts w:ascii="宋体" w:hAnsi="宋体" w:cs="宋体" w:eastAsia="宋体"/>
          <w:color w:val="222222"/>
          <w:sz w:val="27"/>
        </w:rPr>
        <w:t xml:space="preserve"> </w:t>
      </w:r>
      <w:r>
        <w:rPr>
          <w:rFonts w:ascii="宋体" w:hAnsi="宋体" w:cs="宋体" w:eastAsia="宋体"/>
          <w:b/>
          <w:color w:val="222222"/>
          <w:sz w:val="27"/>
        </w:rPr>
        <w:t>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p>
    <w:p>
      <w:pPr>
        <w:shd w:fill="FFFFFF"/>
        <w:jc w:val="both"/>
      </w:pPr>
      <w:r>
        <w:rPr>
          <w:rFonts w:ascii="helvetica" w:hAnsi="helvetica" w:cs="helvetica" w:eastAsia="helvetica"/>
          <w:color w:val="222222"/>
          <w:sz w:val="27"/>
        </w:rPr>
        <w:t xml:space="preserve"> </w:t>
      </w:r>
    </w:p>
    <w:p>
      <w:pPr>
        <w:shd w:fill="FFFFFF"/>
        <w:jc w:val="both"/>
      </w:pPr>
      <w:r>
        <w:rPr>
          <w:rFonts w:ascii="宋体" w:hAnsi="宋体" w:cs="宋体" w:eastAsia="宋体"/>
          <w:color w:val="222222"/>
          <w:sz w:val="27"/>
        </w:rPr>
        <w:t xml:space="preserve"> </w:t>
      </w:r>
      <w:r>
        <w:rPr>
          <w:rFonts w:ascii="宋体" w:hAnsi="宋体" w:cs="宋体" w:eastAsia="宋体"/>
          <w:color w:val="222222"/>
          <w:sz w:val="27"/>
        </w:rPr>
        <w:t xml:space="preserve"> </w:t>
      </w:r>
      <w:r>
        <w:rPr>
          <w:rFonts w:ascii="宋体" w:hAnsi="宋体" w:cs="宋体" w:eastAsia="宋体"/>
          <w:color w:val="222222"/>
          <w:sz w:val="27"/>
        </w:rPr>
        <w:t>根据</w:t>
      </w:r>
      <w:r>
        <w:rPr>
          <w:rFonts w:ascii="宋体" w:hAnsi="宋体" w:cs="宋体" w:eastAsia="宋体"/>
          <w:color w:val="222222"/>
          <w:sz w:val="27"/>
        </w:rPr>
        <w:t xml:space="preserve"> </w:t>
      </w:r>
      <w:r>
        <w:rPr>
          <w:rFonts w:ascii="宋体" w:hAnsi="宋体" w:cs="宋体" w:eastAsia="宋体"/>
          <w:color w:val="222222"/>
          <w:sz w:val="27"/>
        </w:rPr>
        <w:t xml:space="preserve"> </w:t>
      </w:r>
      <w:r>
        <w:rPr>
          <w:rFonts w:ascii="宋体" w:hAnsi="宋体" w:cs="宋体" w:eastAsia="宋体"/>
          <w:color w:val="222222"/>
          <w:sz w:val="27"/>
        </w:rPr>
        <w:t xml:space="preserve"> </w:t>
      </w:r>
      <w:r>
        <w:rPr>
          <w:rFonts w:ascii="宋体" w:hAnsi="宋体" w:cs="宋体" w:eastAsia="宋体"/>
          <w:color w:val="222222"/>
          <w:sz w:val="27"/>
        </w:rPr>
        <w:t xml:space="preserve"> </w:t>
      </w:r>
      <w:r>
        <w:rPr>
          <w:rFonts w:ascii="宋体" w:hAnsi="宋体" w:cs="宋体" w:eastAsia="宋体"/>
          <w:color w:val="222222"/>
          <w:sz w:val="27"/>
        </w:rPr>
        <w:t xml:space="preserve"> </w:t>
      </w:r>
      <w:r>
        <w:rPr>
          <w:rFonts w:ascii="宋体" w:hAnsi="宋体" w:cs="宋体" w:eastAsia="宋体"/>
          <w:color w:val="222222"/>
          <w:sz w:val="27"/>
        </w:rPr>
        <w:t xml:space="preserve"> </w:t>
      </w:r>
      <w:r>
        <w:rPr>
          <w:rFonts w:ascii="宋体" w:hAnsi="宋体" w:cs="宋体" w:eastAsia="宋体"/>
          <w:color w:val="222222"/>
          <w:sz w:val="27"/>
        </w:rPr>
        <w:t xml:space="preserve"> </w:t>
      </w:r>
      <w:r>
        <w:rPr>
          <w:rFonts w:ascii="宋体" w:hAnsi="宋体" w:cs="宋体" w:eastAsia="宋体"/>
          <w:color w:val="222222"/>
          <w:sz w:val="27"/>
        </w:rPr>
        <w:t xml:space="preserve"> </w:t>
      </w:r>
      <w:r>
        <w:rPr>
          <w:rFonts w:ascii="宋体" w:hAnsi="宋体" w:cs="宋体" w:eastAsia="宋体"/>
          <w:color w:val="222222"/>
          <w:sz w:val="27"/>
        </w:rPr>
        <w:t xml:space="preserve"> </w:t>
      </w:r>
      <w:r>
        <w:rPr>
          <w:rFonts w:ascii="宋体" w:hAnsi="宋体" w:cs="宋体" w:eastAsia="宋体"/>
          <w:color w:val="222222"/>
          <w:sz w:val="27"/>
        </w:rPr>
        <w:t xml:space="preserve"> </w:t>
      </w:r>
      <w:r>
        <w:rPr>
          <w:rFonts w:ascii="宋体" w:hAnsi="宋体" w:cs="宋体" w:eastAsia="宋体"/>
          <w:color w:val="222222"/>
          <w:sz w:val="27"/>
        </w:rPr>
        <w:t>项目</w:t>
      </w:r>
      <w:r>
        <w:rPr>
          <w:rFonts w:ascii="宋体" w:hAnsi="宋体" w:cs="宋体" w:eastAsia="宋体"/>
          <w:color w:val="222222"/>
          <w:sz w:val="27"/>
        </w:rPr>
        <w:t xml:space="preserve"> </w:t>
      </w:r>
      <w:r>
        <w:rPr>
          <w:rFonts w:ascii="宋体" w:hAnsi="宋体" w:cs="宋体" w:eastAsia="宋体"/>
          <w:color w:val="222222"/>
          <w:sz w:val="27"/>
        </w:rPr>
        <w:t>的采购结果，按照《中华人民共和国政府采购法》，《</w:t>
      </w:r>
      <w:r>
        <w:rPr>
          <w:rFonts w:ascii="宋体" w:hAnsi="宋体" w:cs="宋体" w:eastAsia="宋体"/>
          <w:color w:val="222222"/>
          <w:sz w:val="27"/>
        </w:rPr>
        <w:t>中华人民共和国民法典(合同编)</w:t>
      </w:r>
      <w:r>
        <w:rPr>
          <w:rFonts w:ascii="宋体" w:hAnsi="宋体" w:cs="宋体" w:eastAsia="宋体"/>
          <w:color w:val="222222"/>
          <w:sz w:val="27"/>
        </w:rPr>
        <w:t>》的规定，经双方协商，本着平等互利和诚实信用的原则，一致同意遵守本合同如下。</w:t>
      </w:r>
    </w:p>
    <w:p>
      <w:pPr>
        <w:shd w:fill="FFFFFF"/>
        <w:jc w:val="both"/>
      </w:pPr>
      <w:r>
        <w:rPr>
          <w:rFonts w:ascii="宋体" w:hAnsi="宋体" w:cs="宋体" w:eastAsia="宋体"/>
          <w:b/>
          <w:color w:val="222222"/>
          <w:sz w:val="27"/>
        </w:rPr>
        <w:t>一、合同金额</w:t>
      </w:r>
    </w:p>
    <w:p>
      <w:pPr>
        <w:shd w:fill="FFFFFF"/>
        <w:jc w:val="both"/>
      </w:pPr>
      <w:r>
        <w:rPr>
          <w:rFonts w:ascii="宋体" w:hAnsi="宋体" w:cs="宋体" w:eastAsia="宋体"/>
          <w:color w:val="222222"/>
          <w:sz w:val="27"/>
        </w:rPr>
        <w:t>　　合同金额为（大写）：_____________元（￥_________元）人民币。</w:t>
      </w:r>
    </w:p>
    <w:p>
      <w:pPr>
        <w:shd w:fill="FFFFFF"/>
        <w:jc w:val="both"/>
      </w:pPr>
      <w:r>
        <w:rPr>
          <w:rFonts w:ascii="宋体" w:hAnsi="宋体" w:cs="宋体" w:eastAsia="宋体"/>
          <w:b/>
          <w:color w:val="222222"/>
          <w:sz w:val="27"/>
        </w:rPr>
        <w:t>二、服务范围</w:t>
      </w:r>
    </w:p>
    <w:p>
      <w:pPr>
        <w:shd w:fill="FFFFFF"/>
        <w:jc w:val="both"/>
      </w:pPr>
      <w:r>
        <w:rPr>
          <w:rFonts w:ascii="宋体" w:hAnsi="宋体" w:cs="宋体" w:eastAsia="宋体"/>
          <w:color w:val="222222"/>
          <w:sz w:val="27"/>
        </w:rPr>
        <w:t>　　甲方聘请乙方提供以下服务：</w:t>
      </w:r>
    </w:p>
    <w:p>
      <w:pPr>
        <w:shd w:fill="FFFFFF"/>
        <w:jc w:val="both"/>
      </w:pPr>
      <w:r>
        <w:rPr>
          <w:rFonts w:ascii="宋体" w:hAnsi="宋体" w:cs="宋体" w:eastAsia="宋体"/>
          <w:color w:val="222222"/>
          <w:sz w:val="27"/>
        </w:rPr>
        <w:t>　　1．</w:t>
      </w:r>
      <w:r>
        <w:rPr>
          <w:rFonts w:ascii="宋体" w:hAnsi="宋体" w:cs="宋体" w:eastAsia="宋体"/>
          <w:color w:val="222222"/>
          <w:sz w:val="27"/>
        </w:rPr>
        <w:t>　　　　　　　　　　　</w:t>
      </w:r>
      <w:r>
        <w:rPr>
          <w:rFonts w:ascii="宋体" w:hAnsi="宋体" w:cs="宋体" w:eastAsia="宋体"/>
          <w:color w:val="222222"/>
          <w:sz w:val="27"/>
        </w:rPr>
        <w:t>。</w:t>
      </w:r>
    </w:p>
    <w:p>
      <w:pPr>
        <w:shd w:fill="FFFFFF"/>
        <w:jc w:val="both"/>
      </w:pPr>
      <w:r>
        <w:rPr>
          <w:rFonts w:ascii="宋体" w:hAnsi="宋体" w:cs="宋体" w:eastAsia="宋体"/>
          <w:color w:val="222222"/>
          <w:sz w:val="27"/>
        </w:rPr>
        <w:t>　　2．</w:t>
      </w:r>
      <w:r>
        <w:rPr>
          <w:rFonts w:ascii="宋体" w:hAnsi="宋体" w:cs="宋体" w:eastAsia="宋体"/>
          <w:color w:val="222222"/>
          <w:sz w:val="27"/>
        </w:rPr>
        <w:t>　　　　　　　　　　　</w:t>
      </w:r>
    </w:p>
    <w:p>
      <w:pPr>
        <w:shd w:fill="FFFFFF"/>
        <w:jc w:val="both"/>
      </w:pPr>
      <w:r>
        <w:rPr>
          <w:rFonts w:ascii="宋体" w:hAnsi="宋体" w:cs="宋体" w:eastAsia="宋体"/>
          <w:color w:val="222222"/>
          <w:sz w:val="27"/>
        </w:rPr>
        <w:t>……</w:t>
      </w:r>
    </w:p>
    <w:p>
      <w:pPr>
        <w:shd w:fill="FFFFFF"/>
        <w:jc w:val="both"/>
      </w:pPr>
      <w:r>
        <w:rPr>
          <w:rFonts w:ascii="宋体" w:hAnsi="宋体" w:cs="宋体" w:eastAsia="宋体"/>
          <w:b/>
          <w:color w:val="222222"/>
          <w:sz w:val="27"/>
        </w:rPr>
        <w:t>三、甲方乙方的权利和义务</w:t>
      </w:r>
    </w:p>
    <w:p>
      <w:pPr>
        <w:shd w:fill="FFFFFF"/>
        <w:jc w:val="both"/>
      </w:pPr>
      <w:r>
        <w:rPr>
          <w:rFonts w:ascii="宋体" w:hAnsi="宋体" w:cs="宋体" w:eastAsia="宋体"/>
          <w:color w:val="222222"/>
          <w:sz w:val="27"/>
        </w:rPr>
        <w:t>　　1.甲方的权利和义务</w:t>
      </w:r>
    </w:p>
    <w:p>
      <w:pPr>
        <w:shd w:fill="FFFFFF"/>
        <w:jc w:val="both"/>
      </w:pPr>
      <w:r>
        <w:rPr>
          <w:rFonts w:ascii="宋体" w:hAnsi="宋体" w:cs="宋体" w:eastAsia="宋体"/>
          <w:color w:val="222222"/>
          <w:sz w:val="27"/>
        </w:rPr>
        <w:t>　　2.乙方的权利和义务</w:t>
      </w:r>
    </w:p>
    <w:p>
      <w:pPr>
        <w:shd w:fill="FFFFFF"/>
        <w:jc w:val="both"/>
      </w:pPr>
      <w:r>
        <w:rPr>
          <w:rFonts w:ascii="宋体" w:hAnsi="宋体" w:cs="宋体" w:eastAsia="宋体"/>
          <w:b/>
          <w:color w:val="222222"/>
          <w:sz w:val="27"/>
        </w:rPr>
        <w:t>四、服务期间（项目完成期限）</w:t>
      </w:r>
    </w:p>
    <w:p>
      <w:pPr>
        <w:shd w:fill="FFFFFF"/>
        <w:jc w:val="both"/>
      </w:pPr>
      <w:r>
        <w:rPr>
          <w:rFonts w:ascii="宋体" w:hAnsi="宋体" w:cs="宋体" w:eastAsia="宋体"/>
          <w:color w:val="222222"/>
          <w:sz w:val="27"/>
        </w:rPr>
        <w:t>　　1.委托服务期间自______年______月至______年______月止。</w:t>
      </w:r>
    </w:p>
    <w:p>
      <w:pPr>
        <w:shd w:fill="FFFFFF"/>
        <w:jc w:val="both"/>
      </w:pPr>
      <w:r>
        <w:rPr>
          <w:rFonts w:ascii="宋体" w:hAnsi="宋体" w:cs="宋体" w:eastAsia="宋体"/>
          <w:b/>
          <w:color w:val="222222"/>
          <w:sz w:val="27"/>
        </w:rPr>
        <w:t>五、付款方式</w:t>
      </w:r>
    </w:p>
    <w:p>
      <w:pPr>
        <w:shd w:fill="FFFFFF"/>
        <w:jc w:val="both"/>
      </w:pPr>
      <w:r>
        <w:rPr>
          <w:rFonts w:ascii="宋体" w:hAnsi="宋体" w:cs="宋体" w:eastAsia="宋体"/>
          <w:color w:val="222222"/>
          <w:sz w:val="27"/>
        </w:rPr>
        <w:t>　　由甲方按下列程序在</w:t>
      </w:r>
      <w:r>
        <w:rPr>
          <w:rFonts w:ascii="宋体" w:hAnsi="宋体" w:cs="宋体" w:eastAsia="宋体"/>
          <w:color w:val="222222"/>
          <w:sz w:val="27"/>
        </w:rPr>
        <w:t xml:space="preserve"> </w:t>
      </w:r>
      <w:r>
        <w:rPr>
          <w:rFonts w:ascii="宋体" w:hAnsi="宋体" w:cs="宋体" w:eastAsia="宋体"/>
          <w:color w:val="222222"/>
          <w:sz w:val="27"/>
        </w:rPr>
        <w:t xml:space="preserve"> </w:t>
      </w:r>
      <w:r>
        <w:rPr>
          <w:rFonts w:ascii="宋体" w:hAnsi="宋体" w:cs="宋体" w:eastAsia="宋体"/>
          <w:color w:val="222222"/>
          <w:sz w:val="27"/>
        </w:rPr>
        <w:t xml:space="preserve"> </w:t>
      </w:r>
      <w:r>
        <w:rPr>
          <w:rFonts w:ascii="宋体" w:hAnsi="宋体" w:cs="宋体" w:eastAsia="宋体"/>
          <w:color w:val="222222"/>
          <w:sz w:val="27"/>
        </w:rPr>
        <w:t xml:space="preserve"> </w:t>
      </w:r>
      <w:r>
        <w:rPr>
          <w:rFonts w:ascii="宋体" w:hAnsi="宋体" w:cs="宋体" w:eastAsia="宋体"/>
          <w:color w:val="222222"/>
          <w:sz w:val="27"/>
        </w:rPr>
        <w:t xml:space="preserve"> </w:t>
      </w:r>
      <w:r>
        <w:rPr>
          <w:rFonts w:ascii="宋体" w:hAnsi="宋体" w:cs="宋体" w:eastAsia="宋体"/>
          <w:color w:val="222222"/>
          <w:sz w:val="27"/>
        </w:rPr>
        <w:t xml:space="preserve"> </w:t>
      </w:r>
      <w:r>
        <w:rPr>
          <w:rFonts w:ascii="宋体" w:hAnsi="宋体" w:cs="宋体" w:eastAsia="宋体"/>
          <w:color w:val="222222"/>
          <w:sz w:val="27"/>
        </w:rPr>
        <w:t xml:space="preserve"> </w:t>
      </w:r>
      <w:r>
        <w:rPr>
          <w:rFonts w:ascii="宋体" w:hAnsi="宋体" w:cs="宋体" w:eastAsia="宋体"/>
          <w:color w:val="222222"/>
          <w:sz w:val="27"/>
        </w:rPr>
        <w:t xml:space="preserve"> </w:t>
      </w:r>
      <w:r>
        <w:rPr>
          <w:rFonts w:ascii="宋体" w:hAnsi="宋体" w:cs="宋体" w:eastAsia="宋体"/>
          <w:color w:val="222222"/>
          <w:sz w:val="27"/>
        </w:rPr>
        <w:t>内付款：</w:t>
      </w:r>
    </w:p>
    <w:p>
      <w:pPr>
        <w:shd w:fill="FFFFFF"/>
        <w:jc w:val="both"/>
      </w:pPr>
      <w:r>
        <w:rPr>
          <w:rFonts w:ascii="宋体" w:hAnsi="宋体" w:cs="宋体" w:eastAsia="宋体"/>
          <w:color w:val="222222"/>
          <w:sz w:val="27"/>
        </w:rPr>
        <w:t>　　1.在合同实施及服务人员到达服务地后__天内，甲方应将第一次付　　款总服务费的__(-%)付给乙方。</w:t>
      </w:r>
    </w:p>
    <w:p>
      <w:pPr>
        <w:shd w:fill="FFFFFF"/>
        <w:jc w:val="both"/>
      </w:pPr>
      <w:r>
        <w:rPr>
          <w:rFonts w:ascii="宋体" w:hAnsi="宋体" w:cs="宋体" w:eastAsia="宋体"/>
          <w:color w:val="222222"/>
          <w:sz w:val="27"/>
        </w:rPr>
        <w:t>　　2.第二次付款额应为总服务费的__(-%)，甲方应在乙方已经准备好，并递交了服务报告及其它相关文件，而这些报告和文件符合合同附件上的要求并被甲方验收后付给乙方。</w:t>
      </w:r>
    </w:p>
    <w:p>
      <w:pPr>
        <w:shd w:fill="FFFFFF"/>
        <w:jc w:val="both"/>
      </w:pPr>
      <w:r>
        <w:rPr>
          <w:rFonts w:ascii="宋体" w:hAnsi="宋体" w:cs="宋体" w:eastAsia="宋体"/>
          <w:color w:val="222222"/>
          <w:sz w:val="27"/>
        </w:rPr>
        <w:t>　　3.最后一次付款额应为总服务费的__(-%)，甲方应在乙方递交了服务总结报告和说明并完全履行合同完毕_________日内付给乙方。</w:t>
      </w:r>
    </w:p>
    <w:p>
      <w:pPr>
        <w:shd w:fill="FFFFFF"/>
        <w:jc w:val="both"/>
      </w:pPr>
      <w:r>
        <w:rPr>
          <w:rFonts w:ascii="宋体" w:hAnsi="宋体" w:cs="宋体" w:eastAsia="宋体"/>
          <w:color w:val="222222"/>
          <w:sz w:val="27"/>
        </w:rPr>
        <w:t>　　4.对于满足合同约定支付条件的，甲方应当自收到发票后30日内将资金支付到合同约定的乙方账户，不得以机构变动、人员更替、政策调整等为由延迟付款，不得将采购文件和合同中未规定的义务作为向乙方付款的条件。</w:t>
      </w:r>
    </w:p>
    <w:p>
      <w:pPr>
        <w:shd w:fill="FFFFFF"/>
        <w:jc w:val="both"/>
      </w:pPr>
      <w:r>
        <w:rPr>
          <w:rFonts w:ascii="宋体" w:hAnsi="宋体" w:cs="宋体" w:eastAsia="宋体"/>
          <w:b/>
          <w:color w:val="222222"/>
          <w:sz w:val="27"/>
        </w:rPr>
        <w:t>六、知识产权归属</w:t>
      </w:r>
    </w:p>
    <w:p>
      <w:pPr>
        <w:shd w:fill="FFFFFF"/>
        <w:jc w:val="both"/>
      </w:pPr>
      <w:r>
        <w:rPr>
          <w:rFonts w:ascii="宋体" w:hAnsi="宋体" w:cs="宋体" w:eastAsia="宋体"/>
          <w:b/>
          <w:color w:val="222222"/>
          <w:sz w:val="27"/>
        </w:rPr>
        <w:t>七、保密</w:t>
      </w:r>
    </w:p>
    <w:p>
      <w:pPr>
        <w:shd w:fill="FFFFFF"/>
        <w:jc w:val="both"/>
      </w:pPr>
      <w:r>
        <w:rPr>
          <w:rFonts w:ascii="宋体" w:hAnsi="宋体" w:cs="宋体" w:eastAsia="宋体"/>
          <w:b/>
          <w:color w:val="222222"/>
          <w:sz w:val="27"/>
        </w:rPr>
        <w:t>八、违约责任与赔偿损失</w:t>
      </w:r>
    </w:p>
    <w:p>
      <w:pPr>
        <w:shd w:fill="FFFFFF"/>
        <w:jc w:val="both"/>
      </w:pPr>
      <w:r>
        <w:rPr>
          <w:rFonts w:ascii="宋体" w:hAnsi="宋体" w:cs="宋体" w:eastAsia="宋体"/>
          <w:color w:val="222222"/>
          <w:sz w:val="27"/>
        </w:rPr>
        <w:t>　　1.乙方提供的服务不符合本合同规定的，甲方有权拒收，并且乙方须向甲方方支付本合同总价5%的违约金。</w:t>
      </w:r>
    </w:p>
    <w:p>
      <w:pPr>
        <w:shd w:fill="FFFFFF"/>
        <w:jc w:val="both"/>
      </w:pPr>
      <w:r>
        <w:rPr>
          <w:rFonts w:ascii="宋体" w:hAnsi="宋体" w:cs="宋体" w:eastAsia="宋体"/>
          <w:color w:val="222222"/>
          <w:sz w:val="27"/>
        </w:rPr>
        <w:t>　　2.乙方未能按本合同规定的交货时间提供服务，从逾期之日起每日按本合同总价3‰的数额向甲方支付违约金；逾期半个月以上的，甲方有权终止合同，由此造成的甲方经济损失由乙方承担。</w:t>
      </w:r>
    </w:p>
    <w:p>
      <w:pPr>
        <w:shd w:fill="FFFFFF"/>
        <w:jc w:val="both"/>
      </w:pPr>
      <w:r>
        <w:rPr>
          <w:rFonts w:ascii="宋体" w:hAnsi="宋体" w:cs="宋体" w:eastAsia="宋体"/>
          <w:color w:val="222222"/>
          <w:sz w:val="27"/>
        </w:rPr>
        <w:t>　　3.甲方无正当理由拒收接受服务，到期拒付服务款项的，甲方向乙方偿付本合同总的5%的违约金。甲方人逾期付款，则每日按本合同总价的3‰向乙方偿付违约金。</w:t>
      </w:r>
    </w:p>
    <w:p>
      <w:pPr>
        <w:shd w:fill="FFFFFF"/>
        <w:jc w:val="both"/>
      </w:pPr>
      <w:r>
        <w:rPr>
          <w:rFonts w:ascii="宋体" w:hAnsi="宋体" w:cs="宋体" w:eastAsia="宋体"/>
          <w:color w:val="222222"/>
          <w:sz w:val="27"/>
        </w:rPr>
        <w:t>　　4.对于因甲方原因导致变更、中止或者终止政府采购合同的，甲方应当依照以下合同约定对供应商受到的损失予以赔偿或者补偿：</w:t>
      </w:r>
    </w:p>
    <w:p>
      <w:pPr>
        <w:shd w:fill="FFFFFF"/>
        <w:jc w:val="both"/>
      </w:pPr>
      <w:r>
        <w:rPr>
          <w:rFonts w:ascii="宋体" w:hAnsi="宋体" w:cs="宋体" w:eastAsia="宋体"/>
          <w:color w:val="222222"/>
          <w:sz w:val="27"/>
        </w:rPr>
        <w:t xml:space="preserve"> </w:t>
      </w:r>
      <w:r>
        <w:rPr>
          <w:rFonts w:ascii="宋体" w:hAnsi="宋体" w:cs="宋体" w:eastAsia="宋体"/>
          <w:color w:val="222222"/>
          <w:sz w:val="27"/>
        </w:rPr>
        <w:t xml:space="preserve"> </w:t>
      </w:r>
      <w:r>
        <w:rPr>
          <w:rFonts w:ascii="宋体" w:hAnsi="宋体" w:cs="宋体" w:eastAsia="宋体"/>
          <w:color w:val="222222"/>
          <w:sz w:val="27"/>
        </w:rPr>
        <w:t xml:space="preserve"> </w:t>
      </w:r>
      <w:r>
        <w:rPr>
          <w:rFonts w:ascii="宋体" w:hAnsi="宋体" w:cs="宋体" w:eastAsia="宋体"/>
          <w:color w:val="222222"/>
          <w:sz w:val="27"/>
        </w:rPr>
        <w:t xml:space="preserve"> </w:t>
      </w:r>
      <w:r>
        <w:rPr>
          <w:rFonts w:ascii="宋体" w:hAnsi="宋体" w:cs="宋体" w:eastAsia="宋体"/>
          <w:color w:val="222222"/>
          <w:sz w:val="27"/>
        </w:rPr>
        <w:t xml:space="preserve"> </w:t>
      </w:r>
      <w:r>
        <w:rPr>
          <w:rFonts w:ascii="宋体" w:hAnsi="宋体" w:cs="宋体" w:eastAsia="宋体"/>
          <w:color w:val="222222"/>
          <w:sz w:val="27"/>
        </w:rPr>
        <w:t xml:space="preserve"> </w:t>
      </w:r>
      <w:r>
        <w:rPr>
          <w:rFonts w:ascii="宋体" w:hAnsi="宋体" w:cs="宋体" w:eastAsia="宋体"/>
          <w:color w:val="222222"/>
          <w:sz w:val="27"/>
        </w:rPr>
        <w:t xml:space="preserve"> </w:t>
      </w:r>
      <w:r>
        <w:rPr>
          <w:rFonts w:ascii="宋体" w:hAnsi="宋体" w:cs="宋体" w:eastAsia="宋体"/>
          <w:color w:val="222222"/>
          <w:sz w:val="27"/>
        </w:rPr>
        <w:t xml:space="preserve"> </w:t>
      </w:r>
      <w:r>
        <w:rPr>
          <w:rFonts w:ascii="宋体" w:hAnsi="宋体" w:cs="宋体" w:eastAsia="宋体"/>
          <w:color w:val="222222"/>
          <w:sz w:val="27"/>
        </w:rPr>
        <w:t xml:space="preserve"> </w:t>
      </w:r>
      <w:r>
        <w:rPr>
          <w:rFonts w:ascii="宋体" w:hAnsi="宋体" w:cs="宋体" w:eastAsia="宋体"/>
          <w:color w:val="222222"/>
          <w:sz w:val="27"/>
        </w:rPr>
        <w:t xml:space="preserve"> </w:t>
      </w:r>
      <w:r>
        <w:rPr>
          <w:rFonts w:ascii="宋体" w:hAnsi="宋体" w:cs="宋体" w:eastAsia="宋体"/>
          <w:color w:val="222222"/>
          <w:sz w:val="27"/>
        </w:rPr>
        <w:t xml:space="preserve"> </w:t>
      </w:r>
      <w:r>
        <w:rPr>
          <w:rFonts w:ascii="宋体" w:hAnsi="宋体" w:cs="宋体" w:eastAsia="宋体"/>
          <w:color w:val="222222"/>
          <w:sz w:val="27"/>
        </w:rPr>
        <w:t xml:space="preserve"> </w:t>
      </w:r>
      <w:r>
        <w:rPr>
          <w:rFonts w:ascii="宋体" w:hAnsi="宋体" w:cs="宋体" w:eastAsia="宋体"/>
          <w:color w:val="222222"/>
          <w:sz w:val="27"/>
        </w:rPr>
        <w:t xml:space="preserve"> </w:t>
      </w:r>
      <w:r>
        <w:rPr>
          <w:rFonts w:ascii="宋体" w:hAnsi="宋体" w:cs="宋体" w:eastAsia="宋体"/>
          <w:color w:val="222222"/>
          <w:sz w:val="27"/>
        </w:rPr>
        <w:t xml:space="preserve"> </w:t>
      </w:r>
    </w:p>
    <w:p>
      <w:pPr>
        <w:shd w:fill="FFFFFF"/>
        <w:jc w:val="both"/>
      </w:pPr>
      <w:r>
        <w:rPr>
          <w:rFonts w:ascii="宋体" w:hAnsi="宋体" w:cs="宋体" w:eastAsia="宋体"/>
          <w:color w:val="222222"/>
          <w:sz w:val="27"/>
        </w:rPr>
        <w:t>　　5.其它违约责任按《</w:t>
      </w:r>
      <w:r>
        <w:rPr>
          <w:rFonts w:ascii="宋体" w:hAnsi="宋体" w:cs="宋体" w:eastAsia="宋体"/>
          <w:color w:val="222222"/>
          <w:sz w:val="27"/>
        </w:rPr>
        <w:t>中华人民共和国民法典(合同编)</w:t>
      </w:r>
      <w:r>
        <w:rPr>
          <w:rFonts w:ascii="宋体" w:hAnsi="宋体" w:cs="宋体" w:eastAsia="宋体"/>
          <w:color w:val="222222"/>
          <w:sz w:val="27"/>
        </w:rPr>
        <w:t>》处理。</w:t>
      </w:r>
    </w:p>
    <w:p>
      <w:pPr>
        <w:shd w:fill="FFFFFF"/>
        <w:jc w:val="both"/>
      </w:pPr>
      <w:r>
        <w:rPr>
          <w:rFonts w:ascii="宋体" w:hAnsi="宋体" w:cs="宋体" w:eastAsia="宋体"/>
          <w:b/>
          <w:color w:val="222222"/>
          <w:sz w:val="27"/>
        </w:rPr>
        <w:t>九、争议的解决</w:t>
      </w:r>
    </w:p>
    <w:p>
      <w:pPr>
        <w:shd w:fill="FFFFFF"/>
        <w:ind w:firstLine="400"/>
        <w:jc w:val="both"/>
      </w:pPr>
      <w:r>
        <w:rPr>
          <w:rFonts w:ascii="宋体" w:hAnsi="宋体" w:cs="宋体" w:eastAsia="宋体"/>
          <w:color w:val="222222"/>
          <w:sz w:val="27"/>
        </w:rPr>
        <w:t>合同执行过程中发生的任何争议，如双方不能通过友好协商解决，按相关法律法规处理。</w:t>
      </w:r>
      <w:r>
        <w:rPr>
          <w:rFonts w:ascii="helvetica" w:hAnsi="helvetica" w:cs="helvetica" w:eastAsia="helvetica"/>
          <w:color w:val="222222"/>
          <w:sz w:val="27"/>
        </w:rPr>
        <w:t xml:space="preserve"> </w:t>
      </w:r>
      <w:r>
        <w:rPr>
          <w:rFonts w:ascii="宋体" w:hAnsi="宋体" w:cs="宋体" w:eastAsia="宋体"/>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p>
    <w:p>
      <w:pPr>
        <w:shd w:fill="FFFFFF"/>
        <w:jc w:val="both"/>
      </w:pPr>
      <w:r>
        <w:rPr>
          <w:rFonts w:ascii="宋体" w:hAnsi="宋体" w:cs="宋体" w:eastAsia="宋体"/>
          <w:b/>
          <w:color w:val="222222"/>
          <w:sz w:val="27"/>
        </w:rPr>
        <w:t>十、不可抗力</w:t>
      </w:r>
    </w:p>
    <w:p>
      <w:pPr>
        <w:shd w:fill="FFFFFF"/>
        <w:jc w:val="both"/>
      </w:pPr>
      <w:r>
        <w:rPr>
          <w:rFonts w:ascii="宋体" w:hAnsi="宋体" w:cs="宋体" w:eastAsia="宋体"/>
          <w:color w:val="222222"/>
          <w:sz w:val="27"/>
        </w:rPr>
        <w:t>　　任何一方由于不可抗力原因不能履行合同时，应在不可抗力事件结束后1日内向对方通报，以减轻可能给对方造成的损失，在取得有关机构的不可抗力证明或双方谅解确认后，允许延期履行或修订合同，并根据情况可部分或全部免于承担违约责任。</w:t>
      </w:r>
    </w:p>
    <w:p>
      <w:pPr>
        <w:shd w:fill="FFFFFF"/>
        <w:jc w:val="both"/>
      </w:pPr>
      <w:r>
        <w:rPr>
          <w:rFonts w:ascii="宋体" w:hAnsi="宋体" w:cs="宋体" w:eastAsia="宋体"/>
          <w:b/>
          <w:color w:val="222222"/>
          <w:sz w:val="27"/>
        </w:rPr>
        <w:t>十一、税费</w:t>
      </w:r>
    </w:p>
    <w:p>
      <w:pPr>
        <w:shd w:fill="FFFFFF"/>
        <w:jc w:val="both"/>
      </w:pPr>
      <w:r>
        <w:rPr>
          <w:rFonts w:ascii="宋体" w:hAnsi="宋体" w:cs="宋体" w:eastAsia="宋体"/>
          <w:color w:val="222222"/>
          <w:sz w:val="27"/>
        </w:rPr>
        <w:t>　　在中国境内、外发生的与本合同执行有关的一切税费均由乙方负担。</w:t>
      </w:r>
    </w:p>
    <w:p>
      <w:pPr>
        <w:shd w:fill="FFFFFF"/>
        <w:jc w:val="both"/>
      </w:pPr>
      <w:r>
        <w:rPr>
          <w:rFonts w:ascii="宋体" w:hAnsi="宋体" w:cs="宋体" w:eastAsia="宋体"/>
          <w:b/>
          <w:color w:val="222222"/>
          <w:sz w:val="27"/>
        </w:rPr>
        <w:t>十二、其它</w:t>
      </w:r>
    </w:p>
    <w:p>
      <w:pPr>
        <w:shd w:fill="FFFFFF"/>
        <w:jc w:val="both"/>
      </w:pPr>
      <w:r>
        <w:rPr>
          <w:rFonts w:ascii="宋体" w:hAnsi="宋体" w:cs="宋体" w:eastAsia="宋体"/>
          <w:color w:val="222222"/>
          <w:sz w:val="27"/>
        </w:rPr>
        <w:t>　　1.本合同所有附件、招标文件、投标文件、中标通知书均为合同的有效组成部分，与本合同具有同等法律效力。</w:t>
      </w:r>
    </w:p>
    <w:p>
      <w:pPr>
        <w:shd w:fill="FFFFFF"/>
        <w:jc w:val="both"/>
      </w:pPr>
      <w:r>
        <w:rPr>
          <w:rFonts w:ascii="宋体" w:hAnsi="宋体" w:cs="宋体" w:eastAsia="宋体"/>
          <w:color w:val="222222"/>
          <w:sz w:val="27"/>
        </w:rPr>
        <w:t>　　2.在执行本合同的过程中，所有经双方签署确认的文件（包括会议纪要、补充协议、往来信函）即成为本合同的有效组成部分。</w:t>
      </w:r>
    </w:p>
    <w:p>
      <w:pPr>
        <w:shd w:fill="FFFFFF"/>
        <w:jc w:val="both"/>
      </w:pPr>
      <w:r>
        <w:rPr>
          <w:rFonts w:ascii="宋体" w:hAnsi="宋体" w:cs="宋体" w:eastAsia="宋体"/>
          <w:color w:val="222222"/>
          <w:sz w:val="27"/>
        </w:rPr>
        <w:t>　　3.如一方地址、电话、传真号码有变更，应在变更当日内书面通知对方，否则，应承担相应责任。</w:t>
      </w:r>
    </w:p>
    <w:p>
      <w:pPr>
        <w:shd w:fill="FFFFFF"/>
        <w:jc w:val="both"/>
      </w:pPr>
      <w:r>
        <w:rPr>
          <w:rFonts w:ascii="宋体" w:hAnsi="宋体" w:cs="宋体" w:eastAsia="宋体"/>
          <w:color w:val="222222"/>
          <w:sz w:val="27"/>
        </w:rPr>
        <w:t>　　4.除甲方事先书面同意外，乙方不得部分或全部转让其应履行的合同项下的义务。</w:t>
      </w:r>
    </w:p>
    <w:p>
      <w:pPr>
        <w:shd w:fill="FFFFFF"/>
        <w:jc w:val="both"/>
      </w:pPr>
      <w:r>
        <w:rPr>
          <w:rFonts w:ascii="宋体" w:hAnsi="宋体" w:cs="宋体" w:eastAsia="宋体"/>
          <w:b/>
          <w:color w:val="222222"/>
          <w:sz w:val="27"/>
        </w:rPr>
        <w:t>十三、合同生效</w:t>
      </w:r>
    </w:p>
    <w:p>
      <w:pPr>
        <w:shd w:fill="FFFFFF"/>
        <w:jc w:val="both"/>
      </w:pPr>
      <w:r>
        <w:rPr>
          <w:rFonts w:ascii="宋体" w:hAnsi="宋体" w:cs="宋体" w:eastAsia="宋体"/>
          <w:color w:val="222222"/>
          <w:sz w:val="27"/>
        </w:rPr>
        <w:t>　　1.本合同在甲乙双方法人代表或其授权代表签字盖章后生效。</w:t>
      </w:r>
    </w:p>
    <w:p>
      <w:pPr>
        <w:shd w:fill="FFFFFF"/>
        <w:jc w:val="both"/>
      </w:pPr>
      <w:r>
        <w:rPr>
          <w:rFonts w:ascii="宋体" w:hAnsi="宋体" w:cs="宋体" w:eastAsia="宋体"/>
          <w:color w:val="222222"/>
          <w:sz w:val="27"/>
        </w:rPr>
        <w:t>　　2.合同一式</w:t>
      </w:r>
      <w:r>
        <w:rPr>
          <w:rFonts w:ascii="宋体" w:hAnsi="宋体" w:cs="宋体" w:eastAsia="宋体"/>
          <w:color w:val="222222"/>
          <w:sz w:val="27"/>
        </w:rPr>
        <w:t xml:space="preserve"> </w:t>
      </w:r>
      <w:r>
        <w:rPr>
          <w:rFonts w:ascii="宋体" w:hAnsi="宋体" w:cs="宋体" w:eastAsia="宋体"/>
          <w:color w:val="222222"/>
          <w:sz w:val="27"/>
        </w:rPr>
        <w:t xml:space="preserve"> </w:t>
      </w:r>
      <w:r>
        <w:rPr>
          <w:rFonts w:ascii="宋体" w:hAnsi="宋体" w:cs="宋体" w:eastAsia="宋体"/>
          <w:color w:val="222222"/>
          <w:sz w:val="27"/>
        </w:rPr>
        <w:t xml:space="preserve"> </w:t>
      </w:r>
      <w:r>
        <w:rPr>
          <w:rFonts w:ascii="宋体" w:hAnsi="宋体" w:cs="宋体" w:eastAsia="宋体"/>
          <w:color w:val="222222"/>
          <w:sz w:val="27"/>
        </w:rPr>
        <w:t xml:space="preserve"> </w:t>
      </w:r>
      <w:r>
        <w:rPr>
          <w:rFonts w:ascii="宋体" w:hAnsi="宋体" w:cs="宋体" w:eastAsia="宋体"/>
          <w:color w:val="222222"/>
          <w:sz w:val="27"/>
        </w:rPr>
        <w:t>份。</w:t>
      </w:r>
    </w:p>
    <w:p>
      <w:pPr>
        <w:shd w:fill="FFFFFF"/>
        <w:jc w:val="both"/>
      </w:pPr>
      <w:r>
        <w:rPr>
          <w:rFonts w:ascii="helvetica" w:hAnsi="helvetica" w:cs="helvetica" w:eastAsia="helvetica"/>
          <w:color w:val="222222"/>
          <w:sz w:val="27"/>
        </w:rPr>
        <w:t xml:space="preserve"> </w:t>
      </w:r>
    </w:p>
    <w:p>
      <w:pPr>
        <w:shd w:fill="FFFFFF"/>
        <w:jc w:val="both"/>
      </w:pPr>
      <w:r>
        <w:rPr>
          <w:rFonts w:ascii="宋体" w:hAnsi="宋体" w:cs="宋体" w:eastAsia="宋体"/>
          <w:b/>
          <w:color w:val="222222"/>
          <w:sz w:val="27"/>
        </w:rPr>
        <w:t>甲方（盖章）：</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乙方（盖章）：</w:t>
      </w:r>
    </w:p>
    <w:p>
      <w:pPr>
        <w:shd w:fill="FFFFFF"/>
        <w:jc w:val="both"/>
      </w:pPr>
      <w:r>
        <w:rPr>
          <w:rFonts w:ascii="宋体" w:hAnsi="宋体" w:cs="宋体" w:eastAsia="宋体"/>
          <w:b/>
          <w:color w:val="222222"/>
          <w:sz w:val="27"/>
        </w:rPr>
        <w:t>代表：</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代表：</w:t>
      </w:r>
    </w:p>
    <w:p>
      <w:pPr>
        <w:shd w:fill="FFFFFF"/>
        <w:jc w:val="both"/>
      </w:pPr>
      <w:r>
        <w:rPr>
          <w:rFonts w:ascii="宋体" w:hAnsi="宋体" w:cs="宋体" w:eastAsia="宋体"/>
          <w:color w:val="222222"/>
          <w:sz w:val="27"/>
        </w:rPr>
        <w:t>签订地点：</w:t>
      </w:r>
    </w:p>
    <w:p>
      <w:pPr>
        <w:shd w:fill="FFFFFF"/>
        <w:jc w:val="both"/>
      </w:pPr>
      <w:r>
        <w:rPr>
          <w:rFonts w:ascii="宋体" w:hAnsi="宋体" w:cs="宋体" w:eastAsia="宋体"/>
          <w:color w:val="222222"/>
          <w:sz w:val="27"/>
        </w:rPr>
        <w:t>签订日期：　　　年　　月　　日</w:t>
      </w:r>
      <w:r>
        <w:rPr>
          <w:rFonts w:ascii="宋体" w:hAnsi="宋体" w:cs="宋体" w:eastAsia="宋体"/>
          <w:color w:val="222222"/>
          <w:sz w:val="27"/>
        </w:rPr>
        <w:t xml:space="preserve"> </w:t>
      </w:r>
      <w:r>
        <w:rPr>
          <w:rFonts w:ascii="宋体" w:hAnsi="宋体" w:cs="宋体" w:eastAsia="宋体"/>
          <w:color w:val="222222"/>
          <w:sz w:val="27"/>
        </w:rPr>
        <w:t>签订日期：　　　年　　月　　日</w:t>
      </w:r>
    </w:p>
    <w:p>
      <w:pPr>
        <w:shd w:fill="FFFFFF"/>
        <w:jc w:val="both"/>
      </w:pPr>
      <w:r>
        <w:rPr>
          <w:rFonts w:ascii="宋体" w:hAnsi="宋体" w:cs="宋体" w:eastAsia="宋体"/>
          <w:color w:val="222222"/>
          <w:sz w:val="27"/>
        </w:rPr>
        <w:t>开户名称：</w:t>
      </w:r>
    </w:p>
    <w:p>
      <w:pPr>
        <w:shd w:fill="FFFFFF"/>
        <w:jc w:val="both"/>
      </w:pPr>
      <w:r>
        <w:rPr>
          <w:rFonts w:ascii="宋体" w:hAnsi="宋体" w:cs="宋体" w:eastAsia="宋体"/>
          <w:color w:val="222222"/>
          <w:sz w:val="27"/>
        </w:rPr>
        <w:t>银行帐号：</w:t>
      </w:r>
    </w:p>
    <w:p>
      <w:pPr>
        <w:shd w:fill="FFFFFF"/>
        <w:jc w:val="both"/>
      </w:pPr>
      <w:r>
        <w:rPr>
          <w:rFonts w:ascii="宋体" w:hAnsi="宋体" w:cs="宋体" w:eastAsia="宋体"/>
          <w:color w:val="222222"/>
          <w:sz w:val="27"/>
        </w:rPr>
        <w:t>开</w:t>
        <w:tab/>
        <w:tab/>
        <w:tab/>
        <w:tab/>
        <w:tab/>
        <w:t xml:space="preserve"> 户 行：</w:t>
      </w:r>
    </w:p>
    <w:p/>
    <w:p>
      <w:pPr>
        <w:ind w:firstLine="480"/>
      </w:pPr>
    </w:p>
    <w:p>
      <w:r>
        <w:rPr/>
        <w:t xml:space="preserve"> </w:t>
      </w:r>
    </w:p>
    <w:p/>
    <w:p>
      <w:pPr>
        <w:jc w:val="center"/>
      </w:pPr>
      <w:r>
        <w:rPr>
          <w:b/>
          <w:sz w:val="36"/>
        </w:rPr>
        <w:t>第六章 投标文件格式与要求</w:t>
      </w:r>
    </w:p>
    <w:p>
      <w:pPr>
        <w:ind w:firstLine="480"/>
      </w:pPr>
      <w:r>
        <w:rPr/>
        <w:t>投标人应提交证明其有资格参加投标和中标后有能力履行合同的相关文件，并作为其投标文件的一部分，所有文件必须真实可靠、不得伪造，否则将按相关规定予以处罚。</w:t>
      </w:r>
    </w:p>
    <w:p>
      <w:pPr>
        <w:ind w:firstLine="480"/>
      </w:pPr>
      <w:r>
        <w:rPr/>
        <w:t>1.法人或者其他组织的营业执照等证明文件，自然人的身份证明：</w:t>
      </w:r>
    </w:p>
    <w:p>
      <w:pPr>
        <w:ind w:firstLine="480"/>
      </w:pPr>
      <w:r>
        <w:rPr/>
        <w:t>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ind w:firstLine="480"/>
      </w:pPr>
      <w:r>
        <w:rPr/>
        <w:t>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ind w:firstLine="480"/>
      </w:pPr>
      <w:r>
        <w:rPr/>
        <w:t>2.财务状况报告，依法缴纳税收和社会保障资金的相关材料（详见资格性审查表要求）</w:t>
      </w:r>
    </w:p>
    <w:p>
      <w:pPr>
        <w:ind w:firstLine="480"/>
      </w:pPr>
      <w:r>
        <w:rPr/>
        <w:t>3.具有履行合同所必须的设备和专业技术能力的声明。</w:t>
      </w:r>
    </w:p>
    <w:p>
      <w:pPr>
        <w:ind w:firstLine="480"/>
      </w:pPr>
      <w:r>
        <w:rPr/>
        <w:t>4.投标人参加政府采购前三年内在经营活动中没有重大违法记录书面声明函。</w:t>
      </w:r>
    </w:p>
    <w:p>
      <w:pPr>
        <w:ind w:firstLine="480"/>
      </w:pPr>
      <w:r>
        <w:rPr/>
        <w:t>5.信用记录查询</w:t>
      </w:r>
    </w:p>
    <w:p>
      <w:pPr>
        <w:ind w:firstLine="480"/>
      </w:pPr>
      <w:r>
        <w:rPr/>
        <w:t>（1）查询渠道：通过“信用中国”网站(www.creditchina.gov.cn)和“中国政府采购网”（www.ccgp.gov.cn）进行查询；</w:t>
      </w:r>
    </w:p>
    <w:p>
      <w:pPr>
        <w:ind w:firstLine="480"/>
      </w:pPr>
      <w:r>
        <w:rPr/>
        <w:t>（2）查询截止时点：提交投标文件截止日当天；</w:t>
      </w:r>
    </w:p>
    <w:p>
      <w:pPr>
        <w:ind w:firstLine="480"/>
      </w:pPr>
      <w:r>
        <w:rPr/>
        <w:t>（3）查询记录：对列入失信被执行人、重大税收违法案件当事人名单、政府采购严重违法失信行为记录名单、信用报告进行查询；</w:t>
      </w:r>
    </w:p>
    <w:p>
      <w:pPr>
        <w:ind w:firstLine="480"/>
      </w:pPr>
      <w:r>
        <w:rPr/>
        <w:t>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ind w:firstLine="480"/>
      </w:pPr>
      <w:r>
        <w:rPr/>
        <w:t>6. 按照招标文件要求，投标人应当提交的资格、资信证明文件。</w:t>
      </w:r>
    </w:p>
    <w:p>
      <w:pPr>
        <w:ind w:firstLine="480"/>
      </w:pPr>
    </w:p>
    <w:p>
      <w:r>
        <w:rPr/>
        <w:t xml:space="preserve"> </w:t>
      </w:r>
      <w:r>
        <w:br/>
      </w:r>
    </w:p>
    <w:p/>
    <w:p>
      <w:pPr>
        <w:jc w:val="center"/>
      </w:pPr>
      <w:r>
        <w:rPr>
          <w:b/>
          <w:sz w:val="48"/>
        </w:rPr>
        <w:t>投标文件封面</w:t>
      </w:r>
    </w:p>
    <w:p/>
    <w:p>
      <w:pPr>
        <w:jc w:val="center"/>
      </w:pPr>
      <w:r>
        <w:rPr>
          <w:b/>
          <w:sz w:val="48"/>
        </w:rPr>
        <w:t>（项目名称）</w:t>
      </w:r>
    </w:p>
    <w:p>
      <w:pPr>
        <w:jc w:val="center"/>
      </w:pPr>
      <w:r>
        <w:rPr>
          <w:b/>
          <w:sz w:val="48"/>
        </w:rPr>
        <w:t>投标文件封面</w:t>
      </w:r>
    </w:p>
    <w:p>
      <w:pPr>
        <w:jc w:val="center"/>
      </w:pPr>
      <w:r>
        <w:rPr>
          <w:b/>
          <w:sz w:val="48"/>
        </w:rPr>
        <w:t>（正本/副本）</w:t>
      </w:r>
      <w:r>
        <w:br/>
      </w:r>
      <w:r>
        <w:br/>
      </w:r>
      <w:r>
        <w:br/>
      </w:r>
      <w:r>
        <w:br/>
      </w:r>
      <w:r>
        <w:br/>
      </w:r>
      <w:r>
        <w:br/>
      </w:r>
      <w:r>
        <w:br/>
      </w:r>
      <w:r>
        <w:br/>
      </w:r>
      <w:r>
        <w:br/>
      </w:r>
      <w:r>
        <w:br/>
      </w:r>
      <w:r>
        <w:br/>
      </w:r>
      <w:r>
        <w:br/>
      </w:r>
      <w:r>
        <w:br/>
      </w:r>
      <w:r>
        <w:br/>
      </w:r>
      <w:r>
        <w:br/>
      </w:r>
      <w:r>
        <w:br/>
      </w:r>
      <w:r>
        <w:br/>
      </w:r>
      <w:r>
        <w:br/>
      </w:r>
      <w:r>
        <w:br/>
      </w:r>
      <w:r>
        <w:br/>
      </w:r>
      <w:r>
        <w:br/>
      </w:r>
    </w:p>
    <w:p>
      <w:pPr>
        <w:jc w:val="center"/>
      </w:pPr>
      <w:r>
        <w:rPr>
          <w:b/>
          <w:sz w:val="24"/>
        </w:rPr>
        <w:t>采购计划编号：</w:t>
      </w:r>
      <w:r>
        <w:rPr>
          <w:b/>
          <w:sz w:val="24"/>
        </w:rPr>
        <w:t>440204-2023-00214</w:t>
      </w:r>
    </w:p>
    <w:p>
      <w:pPr>
        <w:jc w:val="center"/>
      </w:pPr>
      <w:r>
        <w:rPr>
          <w:b/>
          <w:sz w:val="24"/>
        </w:rPr>
        <w:t>采购项目编号：</w:t>
      </w:r>
      <w:r>
        <w:rPr>
          <w:b/>
          <w:sz w:val="24"/>
        </w:rPr>
        <w:t>SZQJSG-2023-04-01</w:t>
      </w:r>
    </w:p>
    <w:p>
      <w:pPr>
        <w:jc w:val="center"/>
      </w:pPr>
      <w:r>
        <w:rPr>
          <w:b/>
          <w:sz w:val="24"/>
        </w:rPr>
        <w:t>所投采购包：第 包</w:t>
      </w:r>
    </w:p>
    <w:p/>
    <w:p>
      <w:pPr>
        <w:jc w:val="center"/>
      </w:pPr>
      <w:r>
        <w:rPr>
          <w:b/>
          <w:sz w:val="24"/>
        </w:rPr>
        <w:t>（投标人名称）</w:t>
      </w:r>
    </w:p>
    <w:p>
      <w:pPr>
        <w:jc w:val="center"/>
      </w:pPr>
      <w:r>
        <w:rPr>
          <w:b/>
          <w:sz w:val="24"/>
        </w:rPr>
        <w:t>年 月 日</w:t>
      </w:r>
    </w:p>
    <w:p>
      <w:pPr>
        <w:ind w:firstLine="480"/>
      </w:pPr>
    </w:p>
    <w:p>
      <w:r>
        <w:rPr/>
        <w:t xml:space="preserve"> </w:t>
      </w:r>
    </w:p>
    <w:p/>
    <w:p>
      <w:pPr>
        <w:jc w:val="center"/>
      </w:pPr>
      <w:r>
        <w:rPr>
          <w:b/>
          <w:sz w:val="24"/>
        </w:rPr>
        <w:t>投标文件目录</w:t>
      </w:r>
    </w:p>
    <w:p>
      <w:pPr>
        <w:ind w:firstLine="480"/>
      </w:pPr>
      <w:r>
        <w:rPr/>
        <w:t>一、投标函</w:t>
      </w:r>
    </w:p>
    <w:p>
      <w:pPr>
        <w:ind w:firstLine="480"/>
      </w:pPr>
      <w:r>
        <w:rPr/>
        <w:t>二、开标一览表</w:t>
      </w:r>
    </w:p>
    <w:p>
      <w:pPr>
        <w:ind w:firstLine="480"/>
      </w:pPr>
      <w:r>
        <w:rPr/>
        <w:t>三、分项报价表</w:t>
      </w:r>
    </w:p>
    <w:p>
      <w:pPr>
        <w:ind w:firstLine="480"/>
      </w:pPr>
      <w:r>
        <w:rPr/>
        <w:t>四、政策适用性说明</w:t>
      </w:r>
    </w:p>
    <w:p>
      <w:pPr>
        <w:ind w:firstLine="480"/>
      </w:pPr>
      <w:r>
        <w:rPr/>
        <w:t>五、法定代表人证明书</w:t>
      </w:r>
    </w:p>
    <w:p>
      <w:pPr>
        <w:ind w:firstLine="480"/>
      </w:pPr>
      <w:r>
        <w:rPr/>
        <w:t>六、法定代表人授权书</w:t>
      </w:r>
    </w:p>
    <w:p>
      <w:pPr>
        <w:ind w:firstLine="480"/>
      </w:pPr>
      <w:r>
        <w:rPr/>
        <w:t>七、投标保证金</w:t>
      </w:r>
    </w:p>
    <w:p>
      <w:pPr>
        <w:ind w:firstLine="480"/>
      </w:pPr>
      <w:r>
        <w:rPr/>
        <w:t>八、提供具有独立承担民事责任的能力的证明材料</w:t>
      </w:r>
    </w:p>
    <w:p>
      <w:pPr>
        <w:ind w:firstLine="480"/>
      </w:pPr>
      <w:r>
        <w:rPr/>
        <w:t>九、资格性审查要求的其他资质证明文件</w:t>
      </w:r>
    </w:p>
    <w:p>
      <w:pPr>
        <w:ind w:firstLine="480"/>
      </w:pPr>
      <w:r>
        <w:rPr/>
        <w:t>十、承诺函</w:t>
      </w:r>
    </w:p>
    <w:p>
      <w:pPr>
        <w:ind w:firstLine="480"/>
      </w:pPr>
      <w:r>
        <w:rPr/>
        <w:t>十一、中小企业声明函</w:t>
      </w:r>
    </w:p>
    <w:p>
      <w:pPr>
        <w:ind w:firstLine="480"/>
      </w:pPr>
      <w:r>
        <w:rPr/>
        <w:t>十二、监狱企业</w:t>
      </w:r>
    </w:p>
    <w:p>
      <w:pPr>
        <w:ind w:firstLine="480"/>
      </w:pPr>
      <w:r>
        <w:rPr/>
        <w:t>十三、残疾人福利性单位声明函</w:t>
      </w:r>
    </w:p>
    <w:p>
      <w:pPr>
        <w:ind w:firstLine="480"/>
      </w:pPr>
      <w:r>
        <w:rPr/>
        <w:t>十四、联合体共同投标协议书</w:t>
      </w:r>
    </w:p>
    <w:p>
      <w:pPr>
        <w:ind w:firstLine="480"/>
      </w:pPr>
      <w:r>
        <w:rPr/>
        <w:t>十五、投标人业绩情况表</w:t>
      </w:r>
    </w:p>
    <w:p>
      <w:pPr>
        <w:ind w:firstLine="480"/>
      </w:pPr>
      <w:r>
        <w:rPr/>
        <w:t>十六、技术和服务要求响应表</w:t>
      </w:r>
    </w:p>
    <w:p>
      <w:pPr>
        <w:ind w:firstLine="480"/>
      </w:pPr>
      <w:r>
        <w:rPr/>
        <w:t>十七、商务条件响应表</w:t>
      </w:r>
    </w:p>
    <w:p>
      <w:pPr>
        <w:ind w:firstLine="480"/>
      </w:pPr>
      <w:r>
        <w:rPr/>
        <w:t>十八、履约进度计划表</w:t>
      </w:r>
    </w:p>
    <w:p>
      <w:pPr>
        <w:ind w:firstLine="480"/>
      </w:pPr>
      <w:r>
        <w:rPr/>
        <w:t>十九、各类证明材料</w:t>
      </w:r>
    </w:p>
    <w:p>
      <w:pPr>
        <w:ind w:firstLine="480"/>
      </w:pPr>
      <w:r>
        <w:rPr/>
        <w:t>二十、采购代理服务费支付承诺书</w:t>
      </w:r>
    </w:p>
    <w:p>
      <w:pPr>
        <w:ind w:firstLine="480"/>
      </w:pPr>
      <w:r>
        <w:rPr/>
        <w:t>二十一、需要采购人提供的附加条件</w:t>
      </w:r>
    </w:p>
    <w:p>
      <w:pPr>
        <w:ind w:firstLine="480"/>
      </w:pPr>
      <w:r>
        <w:rPr/>
        <w:t>二十二、询问函、质疑函、投诉书格式</w:t>
      </w:r>
    </w:p>
    <w:p>
      <w:pPr>
        <w:ind w:firstLine="480"/>
      </w:pPr>
      <w:r>
        <w:rPr/>
        <w:t>二十三、项目实施方案、质量保证及售后服务承诺等</w:t>
      </w:r>
    </w:p>
    <w:p>
      <w:pPr>
        <w:ind w:firstLine="480"/>
      </w:pPr>
      <w:r>
        <w:rPr/>
        <w:t>二十四、附件</w:t>
      </w:r>
    </w:p>
    <w:p>
      <w:pPr>
        <w:ind w:firstLine="480"/>
      </w:pPr>
    </w:p>
    <w:p>
      <w:r>
        <w:rPr/>
        <w:t xml:space="preserve"> </w:t>
      </w:r>
    </w:p>
    <w:p/>
    <w:p>
      <w:r>
        <w:rPr>
          <w:b/>
          <w:sz w:val="28"/>
        </w:rPr>
        <w:t>格式一：</w:t>
      </w:r>
    </w:p>
    <w:p>
      <w:r>
        <w:rPr>
          <w:b/>
          <w:sz w:val="24"/>
        </w:rPr>
        <w:t>投标函</w:t>
      </w:r>
    </w:p>
    <w:p>
      <w:pPr>
        <w:ind w:firstLine="480"/>
      </w:pPr>
      <w:r>
        <w:rPr/>
        <w:t>致：</w:t>
      </w:r>
      <w:r>
        <w:rPr>
          <w:u w:val="single"/>
        </w:rPr>
        <w:t>深圳市祺骏建设工程顾问有限公司韶关分公司</w:t>
      </w:r>
    </w:p>
    <w:p>
      <w:pPr>
        <w:ind w:firstLine="480"/>
      </w:pPr>
      <w:r>
        <w:rPr/>
        <w:t>你方组织的</w:t>
      </w:r>
      <w:r>
        <w:rPr>
          <w:u w:val="single"/>
        </w:rPr>
        <w:t>“</w:t>
      </w:r>
      <w:r>
        <w:rPr>
          <w:u w:val="single"/>
        </w:rPr>
        <w:t>2023年浈江区松材线虫病等林业有害生物防治与除治项目</w:t>
      </w:r>
      <w:r>
        <w:rPr>
          <w:u w:val="single"/>
        </w:rPr>
        <w:t>”</w:t>
      </w:r>
      <w:r>
        <w:rPr/>
        <w:t>项目的招标[采购项目编号为：</w:t>
      </w:r>
      <w:r>
        <w:rPr>
          <w:u w:val="single"/>
        </w:rPr>
        <w:t>SZQJSG-2023-04-01</w:t>
      </w:r>
      <w:r>
        <w:rPr/>
        <w:t>]，我方愿参与投标。</w:t>
      </w:r>
    </w:p>
    <w:p>
      <w:pPr>
        <w:ind w:firstLine="480"/>
      </w:pPr>
      <w:r>
        <w:rPr/>
        <w:t>我方确认收到贵方提供的</w:t>
      </w:r>
      <w:r>
        <w:rPr>
          <w:u w:val="single"/>
        </w:rPr>
        <w:t>“</w:t>
      </w:r>
      <w:r>
        <w:rPr>
          <w:u w:val="single"/>
        </w:rPr>
        <w:t>2023年浈江区松材线虫病等林业有害生物防治与除治项目</w:t>
      </w:r>
      <w:r>
        <w:rPr>
          <w:u w:val="single"/>
        </w:rPr>
        <w:t>”</w:t>
      </w:r>
      <w:r>
        <w:rPr/>
        <w:t>项目的招标文件的全部内容。</w:t>
      </w:r>
    </w:p>
    <w:p>
      <w:pPr>
        <w:ind w:firstLine="480"/>
      </w:pPr>
      <w:r>
        <w:rPr/>
        <w:t>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力。</w:t>
      </w:r>
    </w:p>
    <w:p>
      <w:pPr>
        <w:ind w:firstLine="480"/>
      </w:pPr>
      <w:r>
        <w:rPr>
          <w:u w:val="single"/>
        </w:rPr>
        <w:t>(投标人名称)</w:t>
      </w:r>
      <w:r>
        <w:rPr/>
        <w:t>作为投标人正式授权</w:t>
      </w:r>
      <w:r>
        <w:rPr>
          <w:u w:val="single"/>
        </w:rPr>
        <w:t>(授权代表全名,职务)</w:t>
      </w:r>
      <w:r>
        <w:rPr/>
        <w:t>代表我方全权处理有关本投标的一切事宜。</w:t>
      </w:r>
    </w:p>
    <w:p>
      <w:pPr>
        <w:ind w:firstLine="480"/>
      </w:pPr>
      <w:r>
        <w:rPr/>
        <w:t>我方已完全明白招标文件的所有条款要求，并申明如下：</w:t>
      </w:r>
    </w:p>
    <w:p>
      <w:pPr>
        <w:ind w:firstLine="480"/>
      </w:pPr>
      <w:r>
        <w:rPr/>
        <w:t>（一）按招标文件提供的全部货物与相关服务的投标总价详见《开标一览表》。</w:t>
      </w:r>
    </w:p>
    <w:p>
      <w:pPr>
        <w:ind w:firstLine="480"/>
      </w:pPr>
      <w:r>
        <w:rPr/>
        <w:t>（二）本投标文件的有效期为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ind w:firstLine="480"/>
      </w:pPr>
      <w:r>
        <w:rPr/>
        <w:t>（三）我方明白并同意，在规定的开标日之后，投标有效期之内撤回投标或中标后不按规定与采购人签订合同或不提交履约保证金, 则贵方将不予退还投标保证金。</w:t>
      </w:r>
    </w:p>
    <w:p>
      <w:pPr>
        <w:ind w:firstLine="480"/>
      </w:pPr>
      <w:r>
        <w:rPr/>
        <w:t>（四）我方愿意向贵方提供任何与本项报价有关的数据、情况和技术资料。若贵方需要，我方愿意提供我方作出的一切承诺的证明材料。</w:t>
      </w:r>
    </w:p>
    <w:p>
      <w:pPr>
        <w:ind w:firstLine="480"/>
      </w:pPr>
      <w:r>
        <w:rPr/>
        <w:t>（五）我方理解贵方不一定接受最低投标价或任何贵方可能收到的投标。</w:t>
      </w:r>
    </w:p>
    <w:p>
      <w:pPr>
        <w:ind w:firstLine="480"/>
      </w:pPr>
      <w:r>
        <w:rPr/>
        <w:t>（六）我方如果中标，将保证履行招标文件及其澄清、修改文件（如果有）中的全部责任和义务，按质、按量、按期完成《采购需求》及《合同书》中的全部任务。</w:t>
      </w:r>
    </w:p>
    <w:p>
      <w:pPr>
        <w:ind w:firstLine="480"/>
      </w:pPr>
      <w:r>
        <w:rPr/>
        <w:t>（七）我方作为法律、财务和运作上独立于采购人、采购代理机构的投标人，在此保证所提交的所有文件和全部说明是真实的和正确的。</w:t>
      </w:r>
    </w:p>
    <w:p>
      <w:pPr>
        <w:ind w:firstLine="480"/>
      </w:pPr>
      <w:r>
        <w:rPr/>
        <w:t>（八）我方投标报价已包含应向知识产权所有权人支付的所有相关税费，并保证采购人在中国使用我方提供的货物时，如有第三方提出侵犯其知识产权主张的，责任由我方承担。</w:t>
      </w:r>
    </w:p>
    <w:p>
      <w:pPr>
        <w:ind w:firstLine="480"/>
      </w:pPr>
      <w:r>
        <w:rPr/>
        <w:t>（九）我方接受采购人委托向贵方支付代理服务费，项目总报价已包含代理服务费，如果被确定为中标供应商，承诺向贵方足额支付。（若采购人支付代理服务费，则此条不适用）</w:t>
      </w:r>
    </w:p>
    <w:p>
      <w:pPr>
        <w:ind w:firstLine="480"/>
      </w:pPr>
      <w:r>
        <w:rPr/>
        <w:t>（十）我方与其他投标人不存在单位负责人为同一人或者存在直接控股、管理关系。</w:t>
      </w:r>
    </w:p>
    <w:p>
      <w:pPr>
        <w:ind w:firstLine="480"/>
      </w:pPr>
      <w:r>
        <w:rPr/>
        <w:t>（十一）我方承诺未为本项目提供整体设计、规范编制或者项目管理、监理、检测等服务。</w:t>
      </w:r>
    </w:p>
    <w:p>
      <w:pPr>
        <w:ind w:firstLine="480"/>
      </w:pPr>
      <w:r>
        <w:rPr/>
        <w:t>（十二）我方未被列入法院失信被执行人名单中。</w:t>
      </w:r>
    </w:p>
    <w:p>
      <w:pPr>
        <w:ind w:firstLine="480"/>
      </w:pPr>
      <w:r>
        <w:rPr/>
        <w:t>（十三）我方具备《中华人民共和国政府采购法》第二十二条规定的条件，承诺如下：</w:t>
      </w:r>
    </w:p>
    <w:p>
      <w:pPr>
        <w:ind w:firstLine="480"/>
      </w:pPr>
      <w:r>
        <w:rPr/>
        <w:t>（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ind w:firstLine="480"/>
      </w:pPr>
      <w:r>
        <w:rPr/>
        <w:t>（2）我方符合法律、行政法规规定的其他条件。</w:t>
      </w:r>
    </w:p>
    <w:p>
      <w:pPr>
        <w:ind w:firstLine="480"/>
      </w:pPr>
      <w:r>
        <w:rPr/>
        <w:t>以上内容如有虚假或与事实不符的，评标委员会可将我方做无效投标处理，我方愿意承担相应的法律责任。</w:t>
      </w:r>
    </w:p>
    <w:p>
      <w:pPr>
        <w:ind w:firstLine="480"/>
      </w:pPr>
      <w:r>
        <w:rPr/>
        <w:t>（十四）我方对在本函及投标文件中所作的所有承诺承担法律责任。</w:t>
      </w:r>
    </w:p>
    <w:p>
      <w:pPr>
        <w:ind w:firstLine="480"/>
      </w:pPr>
      <w:r>
        <w:rPr/>
        <w:t>（十五）所有与本招标有关的函件请发往下列地址：</w:t>
      </w:r>
    </w:p>
    <w:p>
      <w:pPr>
        <w:ind w:firstLine="480"/>
      </w:pPr>
      <w:r>
        <w:rPr/>
        <w:t>地 址：__________________邮政编码：__________________</w:t>
      </w:r>
    </w:p>
    <w:p>
      <w:pPr>
        <w:ind w:firstLine="480"/>
      </w:pPr>
      <w:r>
        <w:rPr/>
        <w:t>电 话：__________________</w:t>
      </w:r>
    </w:p>
    <w:p>
      <w:pPr>
        <w:ind w:firstLine="480"/>
      </w:pPr>
      <w:r>
        <w:rPr/>
        <w:t>传 真：__________________电子邮箱：__________________</w:t>
      </w:r>
    </w:p>
    <w:p>
      <w:pPr>
        <w:ind w:firstLine="480"/>
      </w:pPr>
      <w:r>
        <w:rPr/>
        <w:t>代表姓名：__________________职 务：__________________</w:t>
      </w:r>
    </w:p>
    <w:p>
      <w:pPr>
        <w:ind w:firstLine="480"/>
      </w:pPr>
    </w:p>
    <w:p>
      <w:pPr>
        <w:ind w:firstLine="480"/>
      </w:pPr>
    </w:p>
    <w:p>
      <w:pPr>
        <w:ind w:firstLine="480"/>
      </w:pPr>
    </w:p>
    <w:p>
      <w:pPr>
        <w:ind w:firstLine="480"/>
      </w:pPr>
    </w:p>
    <w:p>
      <w:r>
        <w:rPr/>
        <w:t>投标人法定代表人（或法定代表人授权代表）签字或盖章：__________________</w:t>
      </w:r>
    </w:p>
    <w:p>
      <w:r>
        <w:rPr/>
        <w:t>投标人名称（盖章）：__________________</w:t>
      </w:r>
    </w:p>
    <w:p>
      <w:r>
        <w:rPr/>
        <w:t>日期： 年 月 日</w:t>
      </w:r>
    </w:p>
    <w:p>
      <w:pPr>
        <w:ind w:firstLine="480"/>
      </w:pPr>
    </w:p>
    <w:p>
      <w:r>
        <w:rPr/>
        <w:t xml:space="preserve"> </w:t>
      </w:r>
    </w:p>
    <w:p/>
    <w:p>
      <w:r>
        <w:rPr>
          <w:b/>
          <w:sz w:val="28"/>
        </w:rPr>
        <w:t>格式二：</w:t>
      </w:r>
    </w:p>
    <w:p>
      <w:pPr>
        <w:jc w:val="center"/>
      </w:pPr>
      <w:r>
        <w:rPr>
          <w:b/>
          <w:sz w:val="24"/>
        </w:rPr>
        <w:t>开标一览表</w:t>
      </w:r>
    </w:p>
    <w:p>
      <w:pPr>
        <w:ind w:firstLine="480"/>
      </w:pPr>
      <w:r>
        <w:rPr/>
        <w:t>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ind w:firstLine="480"/>
      </w:pPr>
      <w:r>
        <w:rPr/>
        <w:t>采购项目编号：</w:t>
      </w:r>
    </w:p>
    <w:p>
      <w:pPr>
        <w:ind w:firstLine="480"/>
      </w:pPr>
      <w:r>
        <w:rPr/>
        <w:t>项目名称：</w:t>
      </w:r>
    </w:p>
    <w:p>
      <w:pPr>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r>
              <w:rPr/>
              <w:t>序号</w:t>
            </w:r>
          </w:p>
        </w:tc>
        <w:tc>
          <w:tcPr>
            <w:tcW w:type="dxa" w:w="1661"/>
          </w:tcPr>
          <w:p>
            <w:r>
              <w:rPr/>
              <w:t>采购项目名称/采购包名称</w:t>
            </w:r>
          </w:p>
        </w:tc>
        <w:tc>
          <w:tcPr>
            <w:tcW w:type="dxa" w:w="1661"/>
          </w:tcPr>
          <w:p>
            <w:r>
              <w:rPr/>
              <w:t>投标报价（元/%）</w:t>
            </w:r>
          </w:p>
        </w:tc>
        <w:tc>
          <w:tcPr>
            <w:tcW w:type="dxa" w:w="1661"/>
          </w:tcPr>
          <w:p>
            <w:r>
              <w:rPr/>
              <w:t>交货或服务期</w:t>
            </w:r>
          </w:p>
        </w:tc>
        <w:tc>
          <w:tcPr>
            <w:tcW w:type="dxa" w:w="1661"/>
          </w:tcPr>
          <w:p>
            <w:r>
              <w:rPr/>
              <w:t>交货或服务地点</w:t>
            </w:r>
          </w:p>
        </w:tc>
      </w:tr>
      <w:tr>
        <w:tc>
          <w:tcPr>
            <w:tcW w:type="dxa" w:w="1661"/>
          </w:tcPr>
          <w:p>
            <w:r>
              <w:rPr/>
              <w:t>1</w:t>
            </w:r>
          </w:p>
        </w:tc>
        <w:tc>
          <w:tcPr>
            <w:tcW w:type="dxa" w:w="1661"/>
          </w:tcPr>
          <w:p/>
        </w:tc>
        <w:tc>
          <w:tcPr>
            <w:tcW w:type="dxa" w:w="1661"/>
          </w:tcPr>
          <w:p/>
        </w:tc>
        <w:tc>
          <w:tcPr>
            <w:tcW w:type="dxa" w:w="1661"/>
          </w:tcPr>
          <w:p/>
        </w:tc>
        <w:tc>
          <w:tcPr>
            <w:tcW w:type="dxa" w:w="1661"/>
          </w:tcPr>
          <w:p/>
        </w:tc>
      </w:tr>
    </w:tbl>
    <w:p>
      <w:r>
        <w:rPr/>
        <w:t>投标人签章：__________________</w:t>
      </w:r>
    </w:p>
    <w:p>
      <w:r>
        <w:rPr/>
        <w:t>日期： 年 月 日</w:t>
      </w:r>
    </w:p>
    <w:p>
      <w:pPr>
        <w:ind w:firstLine="480"/>
      </w:pPr>
    </w:p>
    <w:p>
      <w:r>
        <w:rPr/>
        <w:t xml:space="preserve"> </w:t>
      </w:r>
    </w:p>
    <w:p/>
    <w:p>
      <w:r>
        <w:rPr>
          <w:b/>
          <w:sz w:val="28"/>
        </w:rPr>
        <w:t>格式三：</w:t>
      </w:r>
    </w:p>
    <w:p>
      <w:pPr>
        <w:jc w:val="center"/>
      </w:pPr>
      <w:r>
        <w:rPr>
          <w:b/>
          <w:sz w:val="24"/>
        </w:rPr>
        <w:t>分项报价表</w:t>
      </w:r>
    </w:p>
    <w:p>
      <w:pPr>
        <w:ind w:firstLine="480"/>
      </w:pPr>
      <w:r>
        <w:rPr/>
        <w:t>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ind w:firstLine="480"/>
      </w:pPr>
      <w:r>
        <w:rPr/>
        <w:t>采购项目编号：</w:t>
      </w:r>
    </w:p>
    <w:p>
      <w:pPr>
        <w:ind w:firstLine="480"/>
      </w:pPr>
      <w:r>
        <w:rPr/>
        <w:t>项目名称：</w:t>
      </w:r>
    </w:p>
    <w:p>
      <w:pPr>
        <w:ind w:firstLine="480"/>
      </w:pPr>
      <w:r>
        <w:rPr/>
        <w:t>投标人名称：</w:t>
      </w:r>
    </w:p>
    <w:p>
      <w:pPr>
        <w:ind w:firstLine="480"/>
      </w:pPr>
      <w:r>
        <w:rPr/>
        <w:t>采购包：</w:t>
      </w:r>
    </w:p>
    <w:p>
      <w:r>
        <w:rPr/>
        <w:t>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r>
              <w:rPr/>
              <w:t>品目号</w:t>
            </w:r>
          </w:p>
        </w:tc>
        <w:tc>
          <w:tcPr>
            <w:tcW w:type="dxa" w:w="831"/>
          </w:tcPr>
          <w:p>
            <w:r>
              <w:rPr/>
              <w:t>序号</w:t>
            </w:r>
          </w:p>
        </w:tc>
        <w:tc>
          <w:tcPr>
            <w:tcW w:type="dxa" w:w="831"/>
          </w:tcPr>
          <w:p>
            <w:r>
              <w:rPr/>
              <w:t>货物名称</w:t>
            </w:r>
          </w:p>
        </w:tc>
        <w:tc>
          <w:tcPr>
            <w:tcW w:type="dxa" w:w="831"/>
          </w:tcPr>
          <w:p>
            <w:r>
              <w:rPr/>
              <w:t>规格型号</w:t>
            </w:r>
          </w:p>
        </w:tc>
        <w:tc>
          <w:tcPr>
            <w:tcW w:type="dxa" w:w="831"/>
          </w:tcPr>
          <w:p>
            <w:r>
              <w:rPr/>
              <w:t>品牌</w:t>
            </w:r>
          </w:p>
        </w:tc>
        <w:tc>
          <w:tcPr>
            <w:tcW w:type="dxa" w:w="831"/>
          </w:tcPr>
          <w:p>
            <w:r>
              <w:rPr/>
              <w:t>产地</w:t>
            </w:r>
          </w:p>
        </w:tc>
        <w:tc>
          <w:tcPr>
            <w:tcW w:type="dxa" w:w="831"/>
          </w:tcPr>
          <w:p>
            <w:r>
              <w:rPr/>
              <w:t>制造商名称</w:t>
            </w:r>
          </w:p>
        </w:tc>
        <w:tc>
          <w:tcPr>
            <w:tcW w:type="dxa" w:w="831"/>
          </w:tcPr>
          <w:p>
            <w:r>
              <w:rPr/>
              <w:t>单价</w:t>
            </w:r>
          </w:p>
        </w:tc>
        <w:tc>
          <w:tcPr>
            <w:tcW w:type="dxa" w:w="831"/>
          </w:tcPr>
          <w:p>
            <w:r>
              <w:rPr/>
              <w:t>数量</w:t>
            </w:r>
          </w:p>
        </w:tc>
        <w:tc>
          <w:tcPr>
            <w:tcW w:type="dxa" w:w="831"/>
          </w:tcPr>
          <w:p>
            <w:r>
              <w:rPr/>
              <w:t>总价</w:t>
            </w:r>
          </w:p>
        </w:tc>
      </w:tr>
      <w:tr>
        <w:tc>
          <w:tcPr>
            <w:tcW w:type="dxa" w:w="831"/>
          </w:tcPr>
          <w:p>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r>
              <w:rPr/>
              <w:t>品目号</w:t>
            </w:r>
          </w:p>
        </w:tc>
        <w:tc>
          <w:tcPr>
            <w:tcW w:type="dxa" w:w="831"/>
          </w:tcPr>
          <w:p>
            <w:r>
              <w:rPr/>
              <w:t>序号</w:t>
            </w:r>
          </w:p>
        </w:tc>
        <w:tc>
          <w:tcPr>
            <w:tcW w:type="dxa" w:w="831"/>
          </w:tcPr>
          <w:p>
            <w:r>
              <w:rPr/>
              <w:t>服务名称</w:t>
            </w:r>
          </w:p>
        </w:tc>
        <w:tc>
          <w:tcPr>
            <w:tcW w:type="dxa" w:w="831"/>
          </w:tcPr>
          <w:p>
            <w:r>
              <w:rPr/>
              <w:t>服务范围</w:t>
            </w:r>
          </w:p>
        </w:tc>
        <w:tc>
          <w:tcPr>
            <w:tcW w:type="dxa" w:w="831"/>
          </w:tcPr>
          <w:p>
            <w:r>
              <w:rPr/>
              <w:t>服务要求</w:t>
            </w:r>
          </w:p>
        </w:tc>
        <w:tc>
          <w:tcPr>
            <w:tcW w:type="dxa" w:w="831"/>
          </w:tcPr>
          <w:p>
            <w:r>
              <w:rPr/>
              <w:t>服务期限</w:t>
            </w:r>
          </w:p>
        </w:tc>
        <w:tc>
          <w:tcPr>
            <w:tcW w:type="dxa" w:w="831"/>
          </w:tcPr>
          <w:p>
            <w:r>
              <w:rPr/>
              <w:t>服务标准</w:t>
            </w:r>
          </w:p>
        </w:tc>
        <w:tc>
          <w:tcPr>
            <w:tcW w:type="dxa" w:w="831"/>
          </w:tcPr>
          <w:p>
            <w:r>
              <w:rPr/>
              <w:t>单价</w:t>
            </w:r>
          </w:p>
        </w:tc>
        <w:tc>
          <w:tcPr>
            <w:tcW w:type="dxa" w:w="831"/>
          </w:tcPr>
          <w:p>
            <w:r>
              <w:rPr/>
              <w:t>数量</w:t>
            </w:r>
          </w:p>
        </w:tc>
        <w:tc>
          <w:tcPr>
            <w:tcW w:type="dxa" w:w="831"/>
          </w:tcPr>
          <w:p>
            <w:r>
              <w:rPr/>
              <w:t>总价</w:t>
            </w:r>
          </w:p>
        </w:tc>
      </w:tr>
      <w:tr>
        <w:tc>
          <w:tcPr>
            <w:tcW w:type="dxa" w:w="831"/>
          </w:tcPr>
          <w:p>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r>
        <w:rPr/>
        <w:t>投标人签章：__________________</w:t>
      </w:r>
    </w:p>
    <w:p>
      <w:r>
        <w:rPr/>
        <w:t>日期： 年 月 日</w:t>
      </w:r>
    </w:p>
    <w:p>
      <w:pPr>
        <w:ind w:firstLine="480"/>
      </w:pPr>
    </w:p>
    <w:p>
      <w:r>
        <w:rPr/>
        <w:t xml:space="preserve"> </w:t>
      </w:r>
    </w:p>
    <w:p/>
    <w:p>
      <w:r>
        <w:rPr>
          <w:b/>
          <w:sz w:val="28"/>
        </w:rPr>
        <w:t>格式四：</w:t>
      </w:r>
    </w:p>
    <w:p>
      <w:pPr>
        <w:jc w:val="center"/>
      </w:pPr>
      <w:r>
        <w:rPr>
          <w:b/>
          <w:sz w:val="24"/>
        </w:rPr>
        <w:t>政策适用性说明</w:t>
      </w:r>
    </w:p>
    <w:p>
      <w:pPr>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r>
              <w:rPr/>
              <w:t>序号</w:t>
            </w:r>
          </w:p>
        </w:tc>
        <w:tc>
          <w:tcPr>
            <w:tcW w:type="dxa" w:w="1038"/>
          </w:tcPr>
          <w:p>
            <w:r>
              <w:rPr/>
              <w:t>主要产品/技术名称（规格型号、注册商标）</w:t>
            </w:r>
          </w:p>
        </w:tc>
        <w:tc>
          <w:tcPr>
            <w:tcW w:type="dxa" w:w="1038"/>
          </w:tcPr>
          <w:p>
            <w:r>
              <w:rPr/>
              <w:t>制造商(开发商)</w:t>
            </w:r>
          </w:p>
        </w:tc>
        <w:tc>
          <w:tcPr>
            <w:tcW w:type="dxa" w:w="1038"/>
          </w:tcPr>
          <w:p>
            <w:r>
              <w:rPr/>
              <w:t>制造商企业类型</w:t>
            </w:r>
          </w:p>
        </w:tc>
        <w:tc>
          <w:tcPr>
            <w:tcW w:type="dxa" w:w="1038"/>
          </w:tcPr>
          <w:p>
            <w:r>
              <w:rPr/>
              <w:t>节能产品</w:t>
            </w:r>
          </w:p>
        </w:tc>
        <w:tc>
          <w:tcPr>
            <w:tcW w:type="dxa" w:w="1038"/>
          </w:tcPr>
          <w:p>
            <w:r>
              <w:rPr/>
              <w:t>环境标志产品</w:t>
            </w:r>
          </w:p>
        </w:tc>
        <w:tc>
          <w:tcPr>
            <w:tcW w:type="dxa" w:w="1038"/>
          </w:tcPr>
          <w:p>
            <w:r>
              <w:rPr/>
              <w:t>认证证书编号</w:t>
            </w:r>
          </w:p>
        </w:tc>
        <w:tc>
          <w:tcPr>
            <w:tcW w:type="dxa" w:w="1038"/>
          </w:tcPr>
          <w:p>
            <w:r>
              <w:rPr/>
              <w:t>该产品报价在总报价中占比（%）</w:t>
            </w:r>
          </w:p>
        </w:tc>
      </w:tr>
      <w:tr>
        <w:tc>
          <w:tcPr>
            <w:tcW w:type="dxa" w:w="1038"/>
          </w:tcPr>
          <w:p>
            <w:r>
              <w:rPr/>
              <w:t>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ind w:firstLine="480"/>
      </w:pPr>
      <w:r>
        <w:rPr/>
        <w:t>注：1.制造商为小型或微型企业时才需要填“制造商企业类型”栏,填写内容为“小型”或“微型”；</w:t>
      </w:r>
    </w:p>
    <w:p>
      <w:pPr>
        <w:ind w:firstLine="480"/>
      </w:pPr>
      <w:r>
        <w:rPr/>
        <w:t>2.“节能产品、环境标志产品”须填写认证证书编号，并在对应“节能产品”、“环境标志产品”栏中勾选，同时提供有效期内的证书复印件（加盖投标人公章）</w:t>
      </w:r>
    </w:p>
    <w:p>
      <w:r>
        <w:rPr/>
        <w:t xml:space="preserve"> 投标人名称（盖章）：__________________</w:t>
      </w:r>
    </w:p>
    <w:p>
      <w:r>
        <w:rPr/>
        <w:t>日期： 年 月 日</w:t>
      </w:r>
    </w:p>
    <w:p>
      <w:pPr>
        <w:ind w:firstLine="480"/>
      </w:pPr>
    </w:p>
    <w:p>
      <w:r>
        <w:rPr/>
        <w:t xml:space="preserve"> </w:t>
      </w:r>
    </w:p>
    <w:p/>
    <w:p>
      <w:r>
        <w:rPr>
          <w:b/>
          <w:sz w:val="28"/>
        </w:rPr>
        <w:t>格式五：</w:t>
      </w:r>
    </w:p>
    <w:p>
      <w:pPr>
        <w:ind w:firstLine="480"/>
      </w:pPr>
      <w:r>
        <w:rPr/>
        <w:t>（投标人可使用下述格式，也可使用广东省工商行政管理局统一印制的法定代表人证明书格式）</w:t>
      </w:r>
    </w:p>
    <w:p>
      <w:pPr>
        <w:jc w:val="center"/>
      </w:pPr>
      <w:r>
        <w:rPr>
          <w:b/>
          <w:sz w:val="24"/>
        </w:rPr>
        <w:t>法定代表人证明书</w:t>
      </w:r>
    </w:p>
    <w:p>
      <w:pPr>
        <w:ind w:firstLine="480"/>
      </w:pPr>
      <w:r>
        <w:rPr/>
        <w:t>_____________现任我单位_____________职务，为法定代表人，特此证明。</w:t>
      </w:r>
    </w:p>
    <w:p>
      <w:pPr>
        <w:ind w:firstLine="480"/>
      </w:pPr>
      <w:r>
        <w:rPr/>
        <w:t>有效期限：__________________</w:t>
      </w:r>
    </w:p>
    <w:p>
      <w:pPr>
        <w:ind w:firstLine="480"/>
      </w:pPr>
      <w:r>
        <w:rPr/>
        <w:t>附：代表人性别：_____年龄：_________ 身份证号码：__________________</w:t>
      </w:r>
    </w:p>
    <w:p>
      <w:pPr>
        <w:ind w:firstLine="480"/>
      </w:pPr>
      <w:r>
        <w:rPr/>
        <w:t>注册号码：____________________企业类型：____________________________</w:t>
      </w:r>
    </w:p>
    <w:p>
      <w:pPr>
        <w:ind w:firstLine="480"/>
      </w:pPr>
      <w:r>
        <w:rPr/>
        <w:t>经营范围：__________________________</w:t>
      </w:r>
    </w:p>
    <w:p>
      <w:pPr>
        <w:ind w:firstLine="480"/>
      </w:pPr>
    </w:p>
    <w:p>
      <w:pPr>
        <w:ind w:firstLine="480"/>
      </w:pPr>
    </w:p>
    <w:p>
      <w:r>
        <w:rPr/>
        <w:t xml:space="preserve"> 投标人名称（盖章）：__________________</w:t>
      </w:r>
    </w:p>
    <w:p>
      <w:r>
        <w:rPr/>
        <w:t xml:space="preserve"> 地址：__________________</w:t>
      </w:r>
    </w:p>
    <w:p>
      <w:r>
        <w:rPr/>
        <w:t xml:space="preserve"> 法定代表人（签字或盖章）：__________________</w:t>
      </w:r>
    </w:p>
    <w:p>
      <w:r>
        <w:rPr/>
        <w:t xml:space="preserve"> 职务：__________________</w:t>
      </w:r>
    </w:p>
    <w:p>
      <w:r>
        <w:rPr/>
        <w:t>日期： 年 月 日</w:t>
      </w:r>
    </w:p>
    <w:p>
      <w:pPr>
        <w:ind w:firstLine="480"/>
      </w:pPr>
    </w:p>
    <w:p>
      <w:r>
        <w:rPr/>
        <w:t xml:space="preserve"> </w:t>
      </w:r>
    </w:p>
    <w:p/>
    <w:p>
      <w:r>
        <w:rPr>
          <w:b/>
          <w:sz w:val="28"/>
        </w:rPr>
        <w:t>格式六：</w:t>
      </w:r>
    </w:p>
    <w:p>
      <w:pPr>
        <w:jc w:val="center"/>
      </w:pPr>
      <w:r>
        <w:rPr>
          <w:b/>
          <w:sz w:val="24"/>
        </w:rPr>
        <w:t>法定代表人授权书格式</w:t>
      </w:r>
    </w:p>
    <w:p>
      <w:pPr>
        <w:ind w:firstLine="480"/>
      </w:pPr>
      <w:r>
        <w:rPr/>
        <w:t>（对于银行、保险、电信、邮政、铁路等行业以及获得总公司投标授权的分公司，可以提供投标分支机构负责人授权书）</w:t>
      </w:r>
    </w:p>
    <w:p>
      <w:pPr>
        <w:jc w:val="center"/>
      </w:pPr>
      <w:r>
        <w:rPr>
          <w:b/>
          <w:sz w:val="24"/>
        </w:rPr>
        <w:t>法定代表人授权书</w:t>
      </w:r>
    </w:p>
    <w:p>
      <w:pPr>
        <w:ind w:firstLine="480"/>
      </w:pPr>
      <w:r>
        <w:rPr/>
        <w:t>致：</w:t>
      </w:r>
      <w:r>
        <w:rPr/>
        <w:t>深圳市祺骏建设工程顾问有限公司韶关分公司</w:t>
      </w:r>
    </w:p>
    <w:p>
      <w:pPr>
        <w:ind w:firstLine="480"/>
      </w:pPr>
      <w:r>
        <w:rPr/>
        <w:t>本授权书声明：________是注册于</w:t>
      </w:r>
      <w:r>
        <w:rPr>
          <w:u w:val="single"/>
        </w:rPr>
        <w:t>（国家或地区）</w:t>
      </w:r>
      <w:r>
        <w:rPr/>
        <w:t>的</w:t>
      </w:r>
      <w:r>
        <w:rPr>
          <w:u w:val="single"/>
        </w:rPr>
        <w:t>（投标人名称）</w:t>
      </w:r>
      <w:r>
        <w:rPr/>
        <w:t>的法定代表人，现任________职务，有效证件号码：________________。现授权</w:t>
      </w:r>
      <w:r>
        <w:rPr>
          <w:u w:val="single"/>
        </w:rPr>
        <w:t>（姓名、职务）</w:t>
      </w:r>
      <w:r>
        <w:rPr/>
        <w:t>作为我公司的全权代理人，就“</w:t>
      </w:r>
      <w:r>
        <w:rPr/>
        <w:t>2023年浈江区松材线虫病等林业有害生物防治与除治项目</w:t>
      </w:r>
      <w:r>
        <w:rPr/>
        <w:t>”项目采购[采购项目编号为</w:t>
      </w:r>
      <w:r>
        <w:rPr/>
        <w:t>SZQJSG-2023-04-01</w:t>
      </w:r>
      <w:r>
        <w:rPr/>
        <w:t>]的投标和合同执行，以我方的名义处理一切与之有关的事宜。</w:t>
      </w:r>
    </w:p>
    <w:p>
      <w:pPr>
        <w:ind w:firstLine="480"/>
      </w:pPr>
      <w:r>
        <w:rPr/>
        <w:t>本授权书于________年________月________日签字生效，特此声明。</w:t>
      </w:r>
    </w:p>
    <w:p>
      <w:r>
        <w:rPr/>
        <w:t xml:space="preserve"> 投标人（盖章）：__________________</w:t>
      </w:r>
    </w:p>
    <w:p>
      <w:r>
        <w:rPr/>
        <w:t xml:space="preserve"> 地址：__________________</w:t>
      </w:r>
    </w:p>
    <w:p>
      <w:r>
        <w:rPr/>
        <w:t xml:space="preserve"> 法定代表人（签字或盖章）：__________________</w:t>
      </w:r>
    </w:p>
    <w:p>
      <w:r>
        <w:rPr/>
        <w:t xml:space="preserve"> 职务：__________________</w:t>
      </w:r>
    </w:p>
    <w:p>
      <w:r>
        <w:rPr/>
        <w:t xml:space="preserve"> 被授权人（签字或盖章）：__________________</w:t>
      </w:r>
    </w:p>
    <w:p>
      <w:r>
        <w:rPr/>
        <w:t xml:space="preserve"> 职务：__________________</w:t>
      </w:r>
    </w:p>
    <w:p>
      <w:r>
        <w:rPr/>
        <w:t>日期： 年 月 日</w:t>
      </w:r>
    </w:p>
    <w:p>
      <w:pPr>
        <w:ind w:firstLine="480"/>
      </w:pPr>
    </w:p>
    <w:p>
      <w:r>
        <w:rPr/>
        <w:t xml:space="preserve"> </w:t>
      </w:r>
    </w:p>
    <w:p/>
    <w:p>
      <w:r>
        <w:rPr>
          <w:b/>
          <w:sz w:val="28"/>
        </w:rPr>
        <w:t>格式七：</w:t>
      </w:r>
    </w:p>
    <w:p>
      <w:pPr>
        <w:jc w:val="center"/>
      </w:pPr>
      <w:r>
        <w:rPr>
          <w:b/>
          <w:sz w:val="24"/>
        </w:rPr>
        <w:t>投标保证金</w:t>
      </w:r>
    </w:p>
    <w:p>
      <w:pPr>
        <w:ind w:firstLine="480"/>
      </w:pPr>
      <w:r>
        <w:rPr/>
        <w:t>采购文件要求递交投标保证金的，投标人应在此提供保证金的凭证的复印件。</w:t>
      </w:r>
    </w:p>
    <w:p>
      <w:pPr>
        <w:ind w:firstLine="480"/>
      </w:pPr>
    </w:p>
    <w:p>
      <w:r>
        <w:rPr/>
        <w:t xml:space="preserve"> </w:t>
      </w:r>
    </w:p>
    <w:p/>
    <w:p>
      <w:r>
        <w:rPr>
          <w:b/>
          <w:sz w:val="28"/>
        </w:rPr>
        <w:t>格式八：</w:t>
      </w:r>
    </w:p>
    <w:p>
      <w:pPr>
        <w:jc w:val="center"/>
      </w:pPr>
      <w:r>
        <w:rPr>
          <w:b/>
          <w:sz w:val="24"/>
        </w:rPr>
        <w:t>提供具有独立承担民事责任的能力的证明材料</w:t>
      </w:r>
    </w:p>
    <w:p>
      <w:pPr>
        <w:ind w:firstLine="480"/>
      </w:pPr>
    </w:p>
    <w:p>
      <w:r>
        <w:rPr/>
        <w:t xml:space="preserve"> </w:t>
      </w:r>
    </w:p>
    <w:p/>
    <w:p>
      <w:r>
        <w:rPr>
          <w:b/>
          <w:sz w:val="28"/>
        </w:rPr>
        <w:t>格式九：</w:t>
      </w:r>
    </w:p>
    <w:p>
      <w:pPr>
        <w:jc w:val="center"/>
      </w:pPr>
      <w:r>
        <w:rPr>
          <w:b/>
          <w:sz w:val="24"/>
        </w:rPr>
        <w:t>资格性审查要求的其他资质证明文件</w:t>
      </w:r>
    </w:p>
    <w:p>
      <w:pPr>
        <w:ind w:firstLine="480"/>
      </w:pPr>
      <w:r>
        <w:rPr/>
        <w:t>具有履行合同所必需的设备和专业技术能力</w:t>
      </w:r>
    </w:p>
    <w:p>
      <w:r>
        <w:rPr/>
        <w:t xml:space="preserve"> </w:t>
      </w:r>
    </w:p>
    <w:p/>
    <w:p>
      <w:r>
        <w:rPr>
          <w:b/>
          <w:sz w:val="28"/>
        </w:rPr>
        <w:t>格式十：</w:t>
      </w:r>
    </w:p>
    <w:p>
      <w:pPr>
        <w:ind w:firstLine="480"/>
      </w:pPr>
      <w:r>
        <w:rPr/>
        <w:t>（对于采购需求写明“提供承诺”的条款，供应商可参照以下格式提供承诺）</w:t>
      </w:r>
    </w:p>
    <w:p>
      <w:pPr>
        <w:jc w:val="center"/>
      </w:pPr>
      <w:r>
        <w:rPr>
          <w:b/>
          <w:sz w:val="24"/>
        </w:rPr>
        <w:t>承诺函</w:t>
      </w:r>
    </w:p>
    <w:p>
      <w:pPr>
        <w:ind w:firstLine="480"/>
      </w:pPr>
      <w:r>
        <w:rPr/>
        <w:t>致：</w:t>
      </w:r>
      <w:r>
        <w:rPr/>
        <w:t>韶关市浈江区自然资源局</w:t>
      </w:r>
      <w:r>
        <w:br/>
      </w:r>
    </w:p>
    <w:p>
      <w:pPr>
        <w:ind w:firstLine="480"/>
      </w:pPr>
      <w:r>
        <w:rPr/>
        <w:t>对于__________________项目（项目编号：__________________），我方郑重承诺如下：</w:t>
      </w:r>
    </w:p>
    <w:p>
      <w:pPr>
        <w:ind w:firstLine="480"/>
      </w:pPr>
      <w:r>
        <w:rPr/>
        <w:t>如中标/成交，我方承诺严格落实采购文件以下条款：(建议逐条复制采购文件相关条款原文)</w:t>
      </w:r>
    </w:p>
    <w:p>
      <w:pPr>
        <w:ind w:firstLine="480"/>
      </w:pPr>
      <w:r>
        <w:rPr/>
        <w:t>（一）星号条款</w:t>
      </w:r>
    </w:p>
    <w:p>
      <w:pPr>
        <w:ind w:firstLine="480"/>
      </w:pPr>
      <w:r>
        <w:rPr/>
        <w:t>1.</w:t>
      </w:r>
    </w:p>
    <w:p>
      <w:pPr>
        <w:ind w:firstLine="480"/>
      </w:pPr>
      <w:r>
        <w:rPr/>
        <w:t>2.</w:t>
      </w:r>
    </w:p>
    <w:p>
      <w:pPr>
        <w:ind w:firstLine="480"/>
      </w:pPr>
      <w:r>
        <w:rPr/>
        <w:t>3.</w:t>
      </w:r>
    </w:p>
    <w:p>
      <w:pPr>
        <w:ind w:firstLine="480"/>
      </w:pPr>
      <w:r>
        <w:rPr/>
        <w:t>.........</w:t>
      </w:r>
    </w:p>
    <w:p>
      <w:pPr>
        <w:ind w:firstLine="480"/>
      </w:pPr>
      <w:r>
        <w:rPr/>
        <w:t>（二）三角号条款</w:t>
      </w:r>
    </w:p>
    <w:p>
      <w:pPr>
        <w:ind w:firstLine="480"/>
      </w:pPr>
      <w:r>
        <w:rPr/>
        <w:t>1.</w:t>
      </w:r>
    </w:p>
    <w:p>
      <w:pPr>
        <w:ind w:firstLine="480"/>
      </w:pPr>
      <w:r>
        <w:rPr/>
        <w:t>2.</w:t>
      </w:r>
    </w:p>
    <w:p>
      <w:pPr>
        <w:ind w:firstLine="480"/>
      </w:pPr>
      <w:r>
        <w:rPr/>
        <w:t>3.</w:t>
      </w:r>
    </w:p>
    <w:p>
      <w:pPr>
        <w:ind w:firstLine="480"/>
      </w:pPr>
      <w:r>
        <w:rPr/>
        <w:t>.........</w:t>
      </w:r>
    </w:p>
    <w:p>
      <w:pPr>
        <w:ind w:firstLine="480"/>
      </w:pPr>
      <w:r>
        <w:rPr/>
        <w:t>（三）非星号、非三角号条款</w:t>
      </w:r>
    </w:p>
    <w:p>
      <w:pPr>
        <w:ind w:firstLine="480"/>
      </w:pPr>
      <w:r>
        <w:rPr/>
        <w:t>1.</w:t>
      </w:r>
    </w:p>
    <w:p>
      <w:pPr>
        <w:ind w:firstLine="480"/>
      </w:pPr>
      <w:r>
        <w:rPr/>
        <w:t>2.</w:t>
      </w:r>
    </w:p>
    <w:p>
      <w:pPr>
        <w:ind w:firstLine="480"/>
      </w:pPr>
      <w:r>
        <w:rPr/>
        <w:t>3.</w:t>
      </w:r>
    </w:p>
    <w:p>
      <w:pPr>
        <w:ind w:firstLine="480"/>
      </w:pPr>
      <w:r>
        <w:rPr/>
        <w:t>.........</w:t>
      </w:r>
      <w:r>
        <w:br/>
      </w:r>
    </w:p>
    <w:p>
      <w:pPr>
        <w:ind w:firstLine="480"/>
      </w:pPr>
      <w:r>
        <w:rPr/>
        <w:t>特此承诺。</w:t>
      </w:r>
    </w:p>
    <w:p>
      <w:r>
        <w:rPr/>
        <w:t xml:space="preserve"> 供应商名称（盖章）：__________________</w:t>
      </w:r>
    </w:p>
    <w:p>
      <w:r>
        <w:rPr/>
        <w:t>日期： 年 月 日</w:t>
      </w:r>
    </w:p>
    <w:p>
      <w:pPr>
        <w:ind w:firstLine="480"/>
      </w:pPr>
    </w:p>
    <w:p>
      <w:r>
        <w:rPr/>
        <w:t xml:space="preserve"> </w:t>
      </w:r>
    </w:p>
    <w:p/>
    <w:p>
      <w:r>
        <w:rPr>
          <w:b/>
          <w:sz w:val="28"/>
        </w:rPr>
        <w:t>格式十一：</w:t>
      </w:r>
    </w:p>
    <w:p>
      <w:pPr>
        <w:ind w:firstLine="480"/>
      </w:pPr>
      <w:r>
        <w:rPr/>
        <w:t>（以下格式文件由供应商根据需要选用）</w:t>
      </w:r>
    </w:p>
    <w:p>
      <w:pPr>
        <w:ind w:firstLine="480"/>
      </w:pPr>
      <w:r>
        <w:rPr/>
        <w:t>中小企业声明函（所投产品制造商为中小企业时提交本函，所属行业应符合采购文件中明确的本项目所属行业）</w:t>
      </w:r>
    </w:p>
    <w:p>
      <w:pPr>
        <w:jc w:val="center"/>
      </w:pPr>
      <w:r>
        <w:rPr>
          <w:b/>
          <w:sz w:val="24"/>
        </w:rPr>
        <w:t>中小企业声明函（货物）</w:t>
      </w:r>
    </w:p>
    <w:p>
      <w:pPr>
        <w:ind w:firstLine="480"/>
      </w:pPr>
      <w:r>
        <w:rPr/>
        <w:t>本公司（联合体）郑重声明，根据《政府采购促进中小企业发展管理办法》（财库﹝2020﹞46</w:t>
        <w:tab/>
        <w:tab/>
        <w:tab/>
        <w:t xml:space="preserve">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ind w:firstLine="480"/>
      </w:pPr>
      <w:r>
        <w:rPr/>
        <w:t>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w:t>
      </w:r>
    </w:p>
    <w:p>
      <w:pPr>
        <w:ind w:firstLine="480"/>
      </w:pPr>
      <w:r>
        <w:rPr/>
        <w:t>以上企业，不属于大企业的分支机构，不存在控股股东为大企业的情形，也不存在与大企业的负责人为同一人的情形。</w:t>
      </w:r>
    </w:p>
    <w:p>
      <w:pPr>
        <w:ind w:firstLine="480"/>
      </w:pPr>
      <w:r>
        <w:rPr/>
        <w:t>本企业对上述声明内容的真实性负责。如有虚假，将依法承担相应责任。</w:t>
      </w:r>
    </w:p>
    <w:p>
      <w:r>
        <w:rPr/>
        <w:t xml:space="preserve"> 企业名称（盖章）：__________________</w:t>
      </w:r>
    </w:p>
    <w:p>
      <w:r>
        <w:rPr/>
        <w:t>日期： 年 月 日</w:t>
      </w:r>
    </w:p>
    <w:p>
      <w:pPr>
        <w:ind w:firstLine="480"/>
      </w:pPr>
    </w:p>
    <w:p>
      <w:pPr>
        <w:ind w:firstLine="480"/>
      </w:pPr>
    </w:p>
    <w:p>
      <w:pPr>
        <w:ind w:firstLine="480"/>
      </w:pPr>
      <w:r>
        <w:rPr/>
        <w:t>1：从业人员、营业收入、资产总额填报上一年度数据，无上一年度数据的新成立企业可不填报</w:t>
      </w:r>
    </w:p>
    <w:p>
      <w:pPr>
        <w:ind w:firstLine="480"/>
      </w:pPr>
      <w:r>
        <w:rPr/>
        <w:t>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ind w:firstLine="480"/>
      </w:pPr>
    </w:p>
    <w:p>
      <w:r>
        <w:rPr/>
        <w:t xml:space="preserve"> </w:t>
      </w:r>
    </w:p>
    <w:p/>
    <w:p>
      <w:pPr>
        <w:ind w:firstLine="480"/>
      </w:pPr>
      <w:r>
        <w:rPr/>
        <w:t>中小企业声明函（承建本项目工程为中小企业或者承接本项目服务为中小企业时提交本函，所属行业应符合采购文件中明确的本项目所属行业）</w:t>
      </w:r>
    </w:p>
    <w:p>
      <w:pPr>
        <w:jc w:val="center"/>
      </w:pPr>
      <w:r>
        <w:rPr>
          <w:b/>
          <w:sz w:val="24"/>
        </w:rPr>
        <w:t>中小企业声明函（工程、服务）</w:t>
      </w:r>
    </w:p>
    <w:p>
      <w:pPr>
        <w:ind w:firstLine="480"/>
      </w:pPr>
      <w:r>
        <w:rPr/>
        <w:t>本公司（联合体）郑重声明，根据《政府采购促进中小企业发展管理办法》（财库﹝2020﹞46</w:t>
        <w:tab/>
        <w:tab/>
        <w:tab/>
        <w:t xml:space="preserve">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ind w:firstLine="480"/>
      </w:pPr>
      <w:r>
        <w:rPr/>
        <w:t>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w:t>
      </w:r>
    </w:p>
    <w:p>
      <w:pPr>
        <w:ind w:firstLine="480"/>
      </w:pPr>
      <w:r>
        <w:rPr/>
        <w:t>以上企业，不属于大企业的分支机构，不存在控股股东为大企业的情形，也不存在与大企业的负责人为同一人的情形。</w:t>
      </w:r>
    </w:p>
    <w:p>
      <w:pPr>
        <w:ind w:firstLine="480"/>
      </w:pPr>
      <w:r>
        <w:rPr/>
        <w:t>本企业对上述声明内容的真实性负责。如有虚假，将依法承担相应责任。</w:t>
      </w:r>
    </w:p>
    <w:p>
      <w:r>
        <w:rPr/>
        <w:t xml:space="preserve"> 企业名称（盖章）：__________________</w:t>
      </w:r>
    </w:p>
    <w:p>
      <w:r>
        <w:rPr/>
        <w:t>日期： 年 月 日</w:t>
      </w:r>
    </w:p>
    <w:p>
      <w:pPr>
        <w:ind w:firstLine="480"/>
      </w:pPr>
      <w:r>
        <w:rPr/>
        <w:t>1：从业人员、营业收入、资产总额填报上一年度数据，无上一年度数据的新成立企业可不填报。</w:t>
      </w:r>
    </w:p>
    <w:p>
      <w:pPr>
        <w:ind w:firstLine="480"/>
      </w:pPr>
      <w:r>
        <w:rPr/>
        <w:t>2：投标人应当自行核实是否属于小微企业，并认真填写声明函，若有虚假将追究其责任。</w:t>
      </w:r>
    </w:p>
    <w:p>
      <w:pPr>
        <w:ind w:firstLine="480"/>
      </w:pPr>
    </w:p>
    <w:p>
      <w:r>
        <w:rPr/>
        <w:t xml:space="preserve"> </w:t>
      </w:r>
    </w:p>
    <w:p/>
    <w:p>
      <w:r>
        <w:rPr>
          <w:b/>
          <w:sz w:val="28"/>
        </w:rPr>
        <w:t>格式十二：</w:t>
      </w:r>
    </w:p>
    <w:p>
      <w:pPr>
        <w:ind w:firstLine="480"/>
      </w:pPr>
      <w:r>
        <w:rPr/>
        <w:t>（以下格式文件由供应商根据需要选用）</w:t>
      </w:r>
    </w:p>
    <w:p>
      <w:pPr>
        <w:jc w:val="center"/>
      </w:pPr>
      <w:r>
        <w:rPr>
          <w:b/>
          <w:sz w:val="24"/>
        </w:rPr>
        <w:t>监狱企业</w:t>
      </w:r>
    </w:p>
    <w:p>
      <w:pPr>
        <w:ind w:firstLine="480"/>
      </w:pPr>
      <w:r>
        <w:rPr/>
        <w:t>提供由监狱管理局、戒毒管理局（含新疆生产建设兵团）出具的属于监狱企业的证明文件。</w:t>
      </w:r>
    </w:p>
    <w:p>
      <w:pPr>
        <w:ind w:firstLine="480"/>
      </w:pPr>
    </w:p>
    <w:p>
      <w:r>
        <w:rPr/>
        <w:t xml:space="preserve"> </w:t>
      </w:r>
    </w:p>
    <w:p/>
    <w:p>
      <w:r>
        <w:rPr>
          <w:b/>
          <w:sz w:val="28"/>
        </w:rPr>
        <w:t>格式十三：</w:t>
      </w:r>
    </w:p>
    <w:p>
      <w:pPr>
        <w:ind w:firstLine="480"/>
      </w:pPr>
      <w:r>
        <w:rPr/>
        <w:t>（以下格式文件由供应商根据需要选用）</w:t>
      </w:r>
    </w:p>
    <w:p>
      <w:pPr>
        <w:jc w:val="center"/>
      </w:pPr>
      <w:r>
        <w:rPr>
          <w:b/>
          <w:sz w:val="24"/>
        </w:rPr>
        <w:t>残疾人福利性单位声明函</w:t>
      </w:r>
    </w:p>
    <w:p>
      <w:pPr>
        <w:ind w:firstLine="480"/>
      </w:pPr>
      <w:r>
        <w:rPr/>
        <w:t>本单位郑重声明，根据《财政部 民政部 中国残疾人联合会关于促进残疾人就业政府采购政策的通知》（财库〔2017〕</w:t>
        <w:tab/>
        <w:tab/>
        <w:tab/>
        <w:t xml:space="preserve">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ind w:firstLine="480"/>
      </w:pPr>
      <w:r>
        <w:rPr/>
        <w:t>本单位对上述声明的真实性负责。如有虚假，将依法承担相应责任。</w:t>
      </w:r>
    </w:p>
    <w:p>
      <w:r>
        <w:rPr/>
        <w:t xml:space="preserve"> 单位名称（盖章）：__________________</w:t>
      </w:r>
    </w:p>
    <w:p>
      <w:r>
        <w:rPr/>
        <w:t>日期： 年 月 日</w:t>
      </w:r>
    </w:p>
    <w:p>
      <w:pPr>
        <w:ind w:firstLine="480"/>
      </w:pPr>
      <w:r>
        <w:rPr/>
        <w:t>注：本函未填写或未勾选视作未做声明。</w:t>
      </w:r>
    </w:p>
    <w:p>
      <w:pPr>
        <w:ind w:firstLine="480"/>
      </w:pPr>
    </w:p>
    <w:p>
      <w:r>
        <w:rPr/>
        <w:t xml:space="preserve"> </w:t>
      </w:r>
    </w:p>
    <w:p/>
    <w:p>
      <w:r>
        <w:rPr>
          <w:b/>
          <w:sz w:val="28"/>
        </w:rPr>
        <w:t>格式十四：</w:t>
      </w:r>
    </w:p>
    <w:p>
      <w:pPr>
        <w:ind w:firstLine="480"/>
      </w:pPr>
      <w:r>
        <w:rPr/>
        <w:t>（以下格式文件由供应商根据需要选用）</w:t>
      </w:r>
    </w:p>
    <w:p>
      <w:pPr>
        <w:jc w:val="center"/>
      </w:pPr>
      <w:r>
        <w:rPr>
          <w:b/>
          <w:sz w:val="24"/>
        </w:rPr>
        <w:t>联合体共同投标协议书</w:t>
      </w:r>
    </w:p>
    <w:p>
      <w:pPr>
        <w:ind w:firstLine="480"/>
      </w:pPr>
      <w:r>
        <w:rPr/>
        <w:t>立约方：</w:t>
      </w:r>
      <w:r>
        <w:rPr>
          <w:u w:val="single"/>
        </w:rPr>
        <w:t>（甲公司全称）</w:t>
      </w:r>
    </w:p>
    <w:p>
      <w:pPr>
        <w:ind w:firstLine="480"/>
      </w:pPr>
      <w:r>
        <w:rPr>
          <w:u w:val="single"/>
        </w:rPr>
        <w:t>（乙公司全称）</w:t>
      </w:r>
    </w:p>
    <w:p>
      <w:pPr>
        <w:ind w:firstLine="480"/>
      </w:pPr>
      <w:r>
        <w:rPr>
          <w:u w:val="single"/>
        </w:rPr>
        <w:t>（……公司全称）</w:t>
      </w:r>
    </w:p>
    <w:p>
      <w:pPr>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ind w:firstLine="480"/>
      </w:pPr>
      <w:r>
        <w:rPr/>
        <w:t>一、联合体各方关系</w:t>
      </w:r>
    </w:p>
    <w:p>
      <w:pPr>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ind w:firstLine="480"/>
      </w:pPr>
      <w:r>
        <w:rPr/>
        <w:t>二、联合体内部有关事项约定如下：</w:t>
      </w:r>
    </w:p>
    <w:p>
      <w:pPr>
        <w:ind w:firstLine="480"/>
      </w:pPr>
      <w:r>
        <w:rPr/>
        <w:t>1.（甲公司全称）作为联合体的牵头单位，代表联合体双方负责投标和合同实施阶段的主办、协调工作。</w:t>
      </w:r>
    </w:p>
    <w:p>
      <w:pPr>
        <w:ind w:firstLine="480"/>
      </w:pPr>
      <w:r>
        <w:rPr/>
        <w:t>2.联合体将严格按照文件的各项要求，递交投标文件，切实执行一切合同文件，共同承担合同规定的一切义务和责任，同时按照内部职责的划分，承担自身所负的责任和风险，在法律在承担连带责任。</w:t>
      </w:r>
    </w:p>
    <w:p>
      <w:pPr>
        <w:ind w:firstLine="480"/>
      </w:pPr>
      <w:r>
        <w:rPr/>
        <w:t>3.如果本联合体中标，</w:t>
      </w:r>
      <w:r>
        <w:rPr>
          <w:u w:val="single"/>
        </w:rPr>
        <w:t>（甲公司全称）</w:t>
      </w:r>
      <w:r>
        <w:rPr/>
        <w:t>负责本项目___________部分，</w:t>
      </w:r>
      <w:r>
        <w:rPr>
          <w:u w:val="single"/>
        </w:rPr>
        <w:t>（乙公司全称）</w:t>
      </w:r>
      <w:r>
        <w:rPr/>
        <w:t>负责本项目___________部分。</w:t>
      </w:r>
    </w:p>
    <w:p>
      <w:pPr>
        <w:ind w:firstLine="480"/>
      </w:pPr>
      <w:r>
        <w:rPr/>
        <w:t>4.如中标，联合体各方共同与（采购人）签订合同书，并就中标项目向采购人负责有连带的和各自的法律责任；</w:t>
      </w:r>
    </w:p>
    <w:p>
      <w:pPr>
        <w:ind w:firstLine="480"/>
      </w:pPr>
      <w:r>
        <w:rPr/>
        <w:t>5.联合体成员（公司全称）为（请填写：小型、微型）企业，将承担合同总金额_____%的工作内容（联合体成员中有小型、微型企业时适用）。</w:t>
      </w:r>
    </w:p>
    <w:p>
      <w:pPr>
        <w:ind w:firstLine="480"/>
      </w:pPr>
      <w:r>
        <w:rPr/>
        <w:t>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ind w:firstLine="480"/>
      </w:pPr>
      <w:r>
        <w:rPr/>
        <w:t>四、联合体如因违约过失责任而导致采购人经济损失或被索赔时，本联合体任何一方均同意无条件优先清偿采购人的一切债务和经济赔偿。</w:t>
      </w:r>
    </w:p>
    <w:p>
      <w:pPr>
        <w:ind w:firstLine="480"/>
      </w:pPr>
      <w:r>
        <w:rPr/>
        <w:t>五、本协议在自签署之日起生效，有效期内有效，如获中标资格，合同有效期延续至合同履行完毕之日。</w:t>
      </w:r>
    </w:p>
    <w:p>
      <w:pPr>
        <w:ind w:firstLine="480"/>
      </w:pPr>
      <w:r>
        <w:rPr/>
        <w:t>六、本协议书正本一式_____份，随投标文件装订_____份，送采购人_____份，联合体成员各一份；副本一式_____份，联合体成员各执_____份。</w:t>
      </w:r>
    </w:p>
    <w:p>
      <w:r>
        <w:rPr/>
        <w:t>甲公司全称：____（盖章）________，乙公司全称：____（盖章）________，……公司全称：____（盖章）________，</w:t>
      </w:r>
    </w:p>
    <w:p>
      <w:r>
        <w:rPr/>
        <w:t>____年____月 ____日，____年____月____日，____年____月____日</w:t>
      </w:r>
    </w:p>
    <w:p>
      <w:pPr>
        <w:ind w:firstLine="480"/>
      </w:pPr>
      <w:r>
        <w:rPr/>
        <w:t>注：1．联合响应时需签本协议，联合体各方成员应在本协议上共同盖章确认。</w:t>
      </w:r>
    </w:p>
    <w:p>
      <w:pPr>
        <w:ind w:firstLine="480"/>
      </w:pPr>
      <w:r>
        <w:rPr/>
        <w:t>2．本协议内容不得擅自修改。此协议将作为签订合同的附件之一。</w:t>
      </w:r>
    </w:p>
    <w:p>
      <w:pPr>
        <w:ind w:firstLine="480"/>
      </w:pPr>
    </w:p>
    <w:p>
      <w:r>
        <w:rPr/>
        <w:t xml:space="preserve"> </w:t>
      </w:r>
    </w:p>
    <w:p/>
    <w:p>
      <w:r>
        <w:rPr>
          <w:b/>
          <w:sz w:val="28"/>
        </w:rPr>
        <w:t>格式十五：</w:t>
      </w:r>
    </w:p>
    <w:p>
      <w:pPr>
        <w:ind w:firstLine="480"/>
      </w:pPr>
      <w:r>
        <w:rPr/>
        <w:t>（以下格式文件由供应商根据需要选用）</w:t>
      </w:r>
    </w:p>
    <w:p>
      <w:pPr>
        <w:jc w:val="center"/>
      </w:pPr>
      <w:r>
        <w:rPr>
          <w:b/>
          <w:sz w:val="24"/>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r>
              <w:rPr/>
              <w:t>序号</w:t>
            </w:r>
          </w:p>
        </w:tc>
        <w:tc>
          <w:tcPr>
            <w:tcW w:type="dxa" w:w="1384"/>
          </w:tcPr>
          <w:p>
            <w:r>
              <w:rPr/>
              <w:t>客户名称</w:t>
            </w:r>
          </w:p>
        </w:tc>
        <w:tc>
          <w:tcPr>
            <w:tcW w:type="dxa" w:w="1384"/>
          </w:tcPr>
          <w:p>
            <w:r>
              <w:rPr/>
              <w:t>项目名称及合同金额（万元）</w:t>
            </w:r>
          </w:p>
        </w:tc>
        <w:tc>
          <w:tcPr>
            <w:tcW w:type="dxa" w:w="1384"/>
          </w:tcPr>
          <w:p>
            <w:r>
              <w:rPr/>
              <w:t>签订合同时间</w:t>
            </w:r>
          </w:p>
        </w:tc>
        <w:tc>
          <w:tcPr>
            <w:tcW w:type="dxa" w:w="1384"/>
          </w:tcPr>
          <w:p>
            <w:r>
              <w:rPr/>
              <w:t>竣工验收报告时间</w:t>
            </w:r>
          </w:p>
        </w:tc>
        <w:tc>
          <w:tcPr>
            <w:tcW w:type="dxa" w:w="1384"/>
          </w:tcPr>
          <w:p>
            <w:r>
              <w:rPr/>
              <w:t>联系人及电话</w:t>
            </w:r>
          </w:p>
        </w:tc>
      </w:tr>
      <w:tr>
        <w:tc>
          <w:tcPr>
            <w:tcW w:type="dxa" w:w="1384"/>
          </w:tcPr>
          <w:p>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w:t>
            </w:r>
          </w:p>
        </w:tc>
        <w:tc>
          <w:tcPr>
            <w:tcW w:type="dxa" w:w="1384"/>
          </w:tcPr>
          <w:p/>
        </w:tc>
        <w:tc>
          <w:tcPr>
            <w:tcW w:type="dxa" w:w="1384"/>
          </w:tcPr>
          <w:p/>
        </w:tc>
        <w:tc>
          <w:tcPr>
            <w:tcW w:type="dxa" w:w="1384"/>
          </w:tcPr>
          <w:p/>
        </w:tc>
        <w:tc>
          <w:tcPr>
            <w:tcW w:type="dxa" w:w="1384"/>
          </w:tcPr>
          <w:p/>
        </w:tc>
        <w:tc>
          <w:tcPr>
            <w:tcW w:type="dxa" w:w="1384"/>
          </w:tcPr>
          <w:p/>
        </w:tc>
      </w:tr>
    </w:tbl>
    <w:p>
      <w:pPr>
        <w:ind w:firstLine="480"/>
      </w:pPr>
      <w:r>
        <w:rPr/>
        <w:t>根据上述业绩情况，按招标文件要求附销售或服务合同复印件及评审标准要求的证明材料。</w:t>
      </w:r>
    </w:p>
    <w:p>
      <w:pPr>
        <w:ind w:firstLine="480"/>
      </w:pPr>
    </w:p>
    <w:p>
      <w:r>
        <w:rPr/>
        <w:t xml:space="preserve"> </w:t>
      </w:r>
    </w:p>
    <w:p/>
    <w:p>
      <w:r>
        <w:rPr>
          <w:b/>
          <w:sz w:val="28"/>
        </w:rPr>
        <w:t>格式十六：</w:t>
      </w:r>
    </w:p>
    <w:p>
      <w:pPr>
        <w:jc w:val="center"/>
      </w:pPr>
      <w:r>
        <w:rPr>
          <w:b/>
          <w:sz w:val="24"/>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r>
              <w:rPr/>
              <w:t>序号</w:t>
            </w:r>
          </w:p>
        </w:tc>
        <w:tc>
          <w:tcPr>
            <w:tcW w:type="dxa" w:w="923"/>
          </w:tcPr>
          <w:p>
            <w:r>
              <w:rPr/>
              <w:t>标的名称</w:t>
            </w:r>
          </w:p>
        </w:tc>
        <w:tc>
          <w:tcPr>
            <w:tcW w:type="dxa" w:w="923"/>
          </w:tcPr>
          <w:p>
            <w:r>
              <w:rPr/>
              <w:t>参数性质</w:t>
            </w:r>
          </w:p>
        </w:tc>
        <w:tc>
          <w:tcPr>
            <w:tcW w:type="dxa" w:w="923"/>
          </w:tcPr>
          <w:p>
            <w:r>
              <w:rPr/>
              <w:t>采购文件规定的技术和服务要求</w:t>
            </w:r>
          </w:p>
        </w:tc>
        <w:tc>
          <w:tcPr>
            <w:tcW w:type="dxa" w:w="923"/>
          </w:tcPr>
          <w:p>
            <w:r>
              <w:rPr/>
              <w:t>投标文件响应的具体内容</w:t>
            </w:r>
          </w:p>
        </w:tc>
        <w:tc>
          <w:tcPr>
            <w:tcW w:type="dxa" w:w="923"/>
          </w:tcPr>
          <w:p>
            <w:r>
              <w:rPr/>
              <w:t>型号</w:t>
            </w:r>
          </w:p>
        </w:tc>
        <w:tc>
          <w:tcPr>
            <w:tcW w:type="dxa" w:w="923"/>
          </w:tcPr>
          <w:p>
            <w:r>
              <w:rPr/>
              <w:t>是否偏离</w:t>
            </w:r>
          </w:p>
        </w:tc>
        <w:tc>
          <w:tcPr>
            <w:tcW w:type="dxa" w:w="923"/>
          </w:tcPr>
          <w:p>
            <w:r>
              <w:rPr/>
              <w:t>证明文件所在位置</w:t>
            </w:r>
          </w:p>
        </w:tc>
        <w:tc>
          <w:tcPr>
            <w:tcW w:type="dxa" w:w="923"/>
          </w:tcPr>
          <w:p>
            <w:r>
              <w:rPr/>
              <w:t>备注</w:t>
            </w:r>
          </w:p>
        </w:tc>
      </w:tr>
      <w:tr>
        <w:tc>
          <w:tcPr>
            <w:tcW w:type="dxa" w:w="923"/>
          </w:tcPr>
          <w:p>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ind w:firstLine="480"/>
      </w:pPr>
      <w:r>
        <w:rPr/>
        <w:t>说明：</w:t>
      </w:r>
    </w:p>
    <w:p>
      <w:pPr>
        <w:ind w:firstLine="480"/>
      </w:pPr>
      <w:r>
        <w:rPr/>
        <w:t>1.“采购文件规定的技术和服务要求”项下填写的内容应与招标文件中采购需求的</w:t>
        <w:tab/>
        <w:tab/>
        <w:tab/>
        <w:t xml:space="preserve">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ind w:firstLine="480"/>
      </w:pPr>
      <w:r>
        <w:rPr/>
        <w:t>2.</w:t>
        <w:tab/>
        <w:tab/>
        <w:tab/>
        <w:t xml:space="preserve">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ind w:firstLine="480"/>
      </w:pPr>
      <w:r>
        <w:rPr/>
        <w:t>3. “是否偏离”项下应按下列规定填写：优于的，填写“正偏离”；符合的，填写“无偏离”；低于的，填写“负偏离”。</w:t>
      </w:r>
    </w:p>
    <w:p>
      <w:pPr>
        <w:ind w:firstLine="480"/>
      </w:pPr>
      <w:r>
        <w:rPr/>
        <w:t>4.“备注”处可填写偏离情况的说明。</w:t>
      </w:r>
    </w:p>
    <w:p>
      <w:pPr>
        <w:ind w:firstLine="480"/>
      </w:pPr>
    </w:p>
    <w:p>
      <w:r>
        <w:rPr/>
        <w:t xml:space="preserve"> </w:t>
      </w:r>
    </w:p>
    <w:p/>
    <w:p>
      <w:r>
        <w:rPr>
          <w:b/>
          <w:sz w:val="28"/>
        </w:rPr>
        <w:t>格式十七：</w:t>
      </w:r>
    </w:p>
    <w:p>
      <w:pPr>
        <w:jc w:val="center"/>
      </w:pPr>
      <w:r>
        <w:rPr>
          <w:b/>
          <w:sz w:val="24"/>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r>
              <w:rPr/>
              <w:t>序号</w:t>
            </w:r>
          </w:p>
        </w:tc>
        <w:tc>
          <w:tcPr>
            <w:tcW w:type="dxa" w:w="1187"/>
          </w:tcPr>
          <w:p>
            <w:r>
              <w:rPr/>
              <w:t>参数性质</w:t>
            </w:r>
          </w:p>
        </w:tc>
        <w:tc>
          <w:tcPr>
            <w:tcW w:type="dxa" w:w="1187"/>
          </w:tcPr>
          <w:p>
            <w:r>
              <w:rPr/>
              <w:t>采购文件规定的商务条件</w:t>
            </w:r>
          </w:p>
        </w:tc>
        <w:tc>
          <w:tcPr>
            <w:tcW w:type="dxa" w:w="1187"/>
          </w:tcPr>
          <w:p>
            <w:r>
              <w:rPr/>
              <w:t>投标文件响应的具体内容</w:t>
            </w:r>
          </w:p>
        </w:tc>
        <w:tc>
          <w:tcPr>
            <w:tcW w:type="dxa" w:w="1187"/>
          </w:tcPr>
          <w:p>
            <w:r>
              <w:rPr/>
              <w:t>是否偏离</w:t>
            </w:r>
          </w:p>
        </w:tc>
        <w:tc>
          <w:tcPr>
            <w:tcW w:type="dxa" w:w="1187"/>
          </w:tcPr>
          <w:p>
            <w:r>
              <w:rPr/>
              <w:t>证明文件所在位置</w:t>
            </w:r>
          </w:p>
        </w:tc>
        <w:tc>
          <w:tcPr>
            <w:tcW w:type="dxa" w:w="1187"/>
          </w:tcPr>
          <w:p>
            <w:r>
              <w:rPr/>
              <w:t>备注</w:t>
            </w:r>
          </w:p>
        </w:tc>
      </w:tr>
      <w:tr>
        <w:tc>
          <w:tcPr>
            <w:tcW w:type="dxa" w:w="1187"/>
          </w:tcPr>
          <w:p>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ind w:firstLine="480"/>
      </w:pPr>
      <w:r>
        <w:rPr/>
        <w:t>说明：</w:t>
      </w:r>
    </w:p>
    <w:p>
      <w:pPr>
        <w:ind w:firstLine="480"/>
      </w:pPr>
      <w:r>
        <w:rPr/>
        <w:t>1. “采购文件规定的商务条件”项下填写的内容应与招标文件中采购需求的 “商务要求”的内容保持一致。</w:t>
      </w:r>
    </w:p>
    <w:p>
      <w:pPr>
        <w:ind w:firstLine="480"/>
      </w:pPr>
      <w:r>
        <w:rPr/>
        <w:t>2.</w:t>
        <w:tab/>
        <w:tab/>
        <w:tab/>
        <w:t xml:space="preserve">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ind w:firstLine="480"/>
      </w:pPr>
      <w:r>
        <w:rPr/>
        <w:t>3.</w:t>
        <w:tab/>
        <w:tab/>
        <w:tab/>
        <w:t xml:space="preserve">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ind w:firstLine="480"/>
      </w:pPr>
      <w:r>
        <w:rPr/>
        <w:t>4. “是否偏离”项下应按下列规定填写：优于的，填写“正偏离”；符合的，填写“无偏离”；低于的，填写“负偏离”。</w:t>
      </w:r>
    </w:p>
    <w:p>
      <w:pPr>
        <w:ind w:firstLine="480"/>
      </w:pPr>
      <w:r>
        <w:rPr/>
        <w:t>5.“备注”处可填写偏离情况的说明。</w:t>
      </w:r>
    </w:p>
    <w:p>
      <w:pPr>
        <w:ind w:firstLine="480"/>
      </w:pPr>
    </w:p>
    <w:p>
      <w:r>
        <w:rPr/>
        <w:t xml:space="preserve"> </w:t>
      </w:r>
    </w:p>
    <w:p/>
    <w:p>
      <w:r>
        <w:rPr>
          <w:b/>
          <w:sz w:val="28"/>
        </w:rPr>
        <w:t>格式十八：</w:t>
      </w:r>
    </w:p>
    <w:p>
      <w:pPr>
        <w:ind w:firstLine="480"/>
      </w:pPr>
      <w:r>
        <w:rPr/>
        <w:t>（以下格式文件由供应商根据需要选用）</w:t>
      </w:r>
    </w:p>
    <w:p>
      <w:pPr>
        <w:jc w:val="center"/>
      </w:pPr>
      <w:r>
        <w:rPr>
          <w:b/>
          <w:sz w:val="24"/>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r>
              <w:rPr/>
              <w:t>序号</w:t>
            </w:r>
          </w:p>
        </w:tc>
        <w:tc>
          <w:tcPr>
            <w:tcW w:type="dxa" w:w="2076"/>
          </w:tcPr>
          <w:p>
            <w:r>
              <w:rPr/>
              <w:t>拟定时间安排</w:t>
            </w:r>
          </w:p>
        </w:tc>
        <w:tc>
          <w:tcPr>
            <w:tcW w:type="dxa" w:w="2076"/>
          </w:tcPr>
          <w:p>
            <w:r>
              <w:rPr/>
              <w:t>计划完成的工作内容</w:t>
            </w:r>
          </w:p>
        </w:tc>
        <w:tc>
          <w:tcPr>
            <w:tcW w:type="dxa" w:w="2076"/>
          </w:tcPr>
          <w:p>
            <w:r>
              <w:rPr/>
              <w:t>实施方建议或要求</w:t>
            </w:r>
          </w:p>
        </w:tc>
      </w:tr>
      <w:tr>
        <w:tc>
          <w:tcPr>
            <w:tcW w:type="dxa" w:w="2076"/>
          </w:tcPr>
          <w:p>
            <w:r>
              <w:rPr/>
              <w:t>1</w:t>
            </w:r>
          </w:p>
        </w:tc>
        <w:tc>
          <w:tcPr>
            <w:tcW w:type="dxa" w:w="2076"/>
          </w:tcPr>
          <w:p>
            <w:r>
              <w:rPr/>
              <w:t>拟定___年___月___日</w:t>
            </w:r>
          </w:p>
        </w:tc>
        <w:tc>
          <w:tcPr>
            <w:tcW w:type="dxa" w:w="2076"/>
          </w:tcPr>
          <w:p>
            <w:r>
              <w:rPr/>
              <w:t>签订合同并生效</w:t>
            </w:r>
          </w:p>
        </w:tc>
        <w:tc>
          <w:tcPr>
            <w:tcW w:type="dxa" w:w="2076"/>
          </w:tcPr>
          <w:p/>
        </w:tc>
      </w:tr>
      <w:tr>
        <w:tc>
          <w:tcPr>
            <w:tcW w:type="dxa" w:w="2076"/>
          </w:tcPr>
          <w:p>
            <w:r>
              <w:rPr/>
              <w:t>2</w:t>
            </w:r>
          </w:p>
        </w:tc>
        <w:tc>
          <w:tcPr>
            <w:tcW w:type="dxa" w:w="2076"/>
          </w:tcPr>
          <w:p>
            <w:r>
              <w:rPr/>
              <w:t>___月___日—___月___日</w:t>
            </w:r>
          </w:p>
        </w:tc>
        <w:tc>
          <w:tcPr>
            <w:tcW w:type="dxa" w:w="2076"/>
          </w:tcPr>
          <w:p/>
        </w:tc>
        <w:tc>
          <w:tcPr>
            <w:tcW w:type="dxa" w:w="2076"/>
          </w:tcPr>
          <w:p/>
        </w:tc>
      </w:tr>
      <w:tr>
        <w:tc>
          <w:tcPr>
            <w:tcW w:type="dxa" w:w="2076"/>
          </w:tcPr>
          <w:p>
            <w:r>
              <w:rPr/>
              <w:t>3</w:t>
            </w:r>
          </w:p>
        </w:tc>
        <w:tc>
          <w:tcPr>
            <w:tcW w:type="dxa" w:w="2076"/>
          </w:tcPr>
          <w:p>
            <w:r>
              <w:rPr/>
              <w:t>___月___日—___月___日</w:t>
            </w:r>
          </w:p>
        </w:tc>
        <w:tc>
          <w:tcPr>
            <w:tcW w:type="dxa" w:w="2076"/>
          </w:tcPr>
          <w:p/>
        </w:tc>
        <w:tc>
          <w:tcPr>
            <w:tcW w:type="dxa" w:w="2076"/>
          </w:tcPr>
          <w:p/>
        </w:tc>
      </w:tr>
      <w:tr>
        <w:tc>
          <w:tcPr>
            <w:tcW w:type="dxa" w:w="2076"/>
          </w:tcPr>
          <w:p>
            <w:r>
              <w:rPr/>
              <w:t>4</w:t>
            </w:r>
          </w:p>
        </w:tc>
        <w:tc>
          <w:tcPr>
            <w:tcW w:type="dxa" w:w="2076"/>
          </w:tcPr>
          <w:p>
            <w:r>
              <w:rPr/>
              <w:t>___月___日—___月___日</w:t>
            </w:r>
          </w:p>
        </w:tc>
        <w:tc>
          <w:tcPr>
            <w:tcW w:type="dxa" w:w="2076"/>
          </w:tcPr>
          <w:p>
            <w:r>
              <w:rPr/>
              <w:t>质保期</w:t>
            </w:r>
          </w:p>
        </w:tc>
        <w:tc>
          <w:tcPr>
            <w:tcW w:type="dxa" w:w="2076"/>
          </w:tcPr>
          <w:p/>
        </w:tc>
      </w:tr>
    </w:tbl>
    <w:p>
      <w:pPr>
        <w:ind w:firstLine="480"/>
      </w:pPr>
    </w:p>
    <w:p>
      <w:r>
        <w:rPr/>
        <w:t xml:space="preserve"> </w:t>
      </w:r>
    </w:p>
    <w:p/>
    <w:p>
      <w:r>
        <w:rPr>
          <w:b/>
          <w:sz w:val="28"/>
        </w:rPr>
        <w:t>格式十九：</w:t>
      </w:r>
    </w:p>
    <w:p>
      <w:pPr>
        <w:ind w:firstLine="480"/>
      </w:pPr>
      <w:r>
        <w:rPr/>
        <w:t>（以下格式文件由供应商根据需要选用）</w:t>
      </w:r>
    </w:p>
    <w:p>
      <w:pPr>
        <w:jc w:val="center"/>
      </w:pPr>
      <w:r>
        <w:rPr>
          <w:b/>
          <w:sz w:val="24"/>
        </w:rPr>
        <w:t>各类证明材料</w:t>
      </w:r>
    </w:p>
    <w:p>
      <w:pPr>
        <w:ind w:firstLine="480"/>
      </w:pPr>
      <w:r>
        <w:rPr/>
        <w:t>1.招标文件要求提供的其他资料。</w:t>
      </w:r>
    </w:p>
    <w:p>
      <w:pPr>
        <w:ind w:firstLine="480"/>
      </w:pPr>
      <w:r>
        <w:rPr/>
        <w:t>2.投标人认为需提供的其他资料。</w:t>
      </w:r>
    </w:p>
    <w:p>
      <w:pPr>
        <w:ind w:firstLine="480"/>
      </w:pPr>
    </w:p>
    <w:p>
      <w:r>
        <w:rPr/>
        <w:t xml:space="preserve"> </w:t>
      </w:r>
    </w:p>
    <w:p/>
    <w:p>
      <w:r>
        <w:rPr>
          <w:b/>
          <w:sz w:val="28"/>
        </w:rPr>
        <w:t>格式二十：</w:t>
      </w:r>
    </w:p>
    <w:p>
      <w:pPr>
        <w:jc w:val="center"/>
      </w:pPr>
      <w:r>
        <w:rPr>
          <w:b/>
          <w:sz w:val="24"/>
        </w:rPr>
        <w:t>采购代理服务费支付承诺书</w:t>
      </w:r>
    </w:p>
    <w:p>
      <w:pPr>
        <w:ind w:firstLine="480"/>
      </w:pPr>
      <w:r>
        <w:rPr/>
        <w:t>致：</w:t>
      </w:r>
      <w:r>
        <w:rPr/>
        <w:t>深圳市祺骏建设工程顾问有限公司韶关分公司</w:t>
      </w:r>
    </w:p>
    <w:p>
      <w:pPr>
        <w:ind w:firstLine="480"/>
      </w:pPr>
      <w:r>
        <w:rPr/>
        <w:t>如果我方在贵采购代理机构组织的</w:t>
      </w:r>
      <w:r>
        <w:rPr/>
        <w:t>2023年浈江区松材线虫病等林业有害生物防治与除治项目</w:t>
      </w:r>
      <w:r>
        <w:rPr/>
        <w:t>招标中获中标（采购项目编号：</w:t>
      </w:r>
      <w:r>
        <w:rPr/>
        <w:t>SZQJSG-2023-04-01</w:t>
      </w:r>
      <w:r>
        <w:rPr/>
        <w:t>），我方保证在收取《中标通知书》时，按招标文件对代理服务费支付方式的约定，承担本项目代理服务费。</w:t>
      </w:r>
    </w:p>
    <w:p>
      <w:pPr>
        <w:ind w:firstLine="480"/>
      </w:pPr>
      <w:r>
        <w:rPr/>
        <w:t>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深圳市祺骏建设工程顾问有限公司韶关分公司</w:t>
      </w:r>
      <w:r>
        <w:rPr/>
        <w:t>的要求办理支付手续。</w:t>
      </w:r>
    </w:p>
    <w:p>
      <w:pPr>
        <w:ind w:firstLine="480"/>
      </w:pPr>
      <w:r>
        <w:rPr/>
        <w:t>特此承诺！</w:t>
      </w:r>
    </w:p>
    <w:p>
      <w:pPr>
        <w:ind w:firstLine="480"/>
      </w:pPr>
    </w:p>
    <w:p>
      <w:r>
        <w:rPr/>
        <w:t>投标人法定名称（公章）；_____________________</w:t>
      </w:r>
    </w:p>
    <w:p>
      <w:r>
        <w:rPr/>
        <w:t>投标人法定地址：_____________________</w:t>
      </w:r>
    </w:p>
    <w:p>
      <w:r>
        <w:rPr/>
        <w:t>投标人授权代表（签字或盖章）：_____________________</w:t>
      </w:r>
    </w:p>
    <w:p>
      <w:r>
        <w:rPr/>
        <w:t>电 话：_____________________</w:t>
      </w:r>
    </w:p>
    <w:p>
      <w:r>
        <w:rPr/>
        <w:t>传 真：_____________________</w:t>
      </w:r>
    </w:p>
    <w:p>
      <w:r>
        <w:rPr/>
        <w:t>承诺日期：_____________________</w:t>
      </w:r>
    </w:p>
    <w:p>
      <w:pPr>
        <w:ind w:firstLine="480"/>
      </w:pPr>
    </w:p>
    <w:p>
      <w:r>
        <w:rPr/>
        <w:t xml:space="preserve"> </w:t>
      </w:r>
    </w:p>
    <w:p/>
    <w:p>
      <w:r>
        <w:rPr>
          <w:b/>
          <w:sz w:val="28"/>
        </w:rPr>
        <w:t>格式二十一：</w:t>
      </w:r>
    </w:p>
    <w:p>
      <w:pPr>
        <w:ind w:firstLine="480"/>
      </w:pPr>
      <w:r>
        <w:rPr/>
        <w:t>（以下格式文件由供应商根据需要选用）</w:t>
      </w:r>
    </w:p>
    <w:p>
      <w:pPr>
        <w:jc w:val="center"/>
      </w:pPr>
      <w:r>
        <w:rPr>
          <w:b/>
          <w:sz w:val="24"/>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序号</w:t>
            </w:r>
          </w:p>
        </w:tc>
        <w:tc>
          <w:tcPr>
            <w:tcW w:type="dxa" w:w="4153"/>
          </w:tcPr>
          <w:p>
            <w:r>
              <w:rPr/>
              <w:t>投标人需要采购人提供的附加条件</w:t>
            </w:r>
          </w:p>
        </w:tc>
      </w:tr>
      <w:tr>
        <w:tc>
          <w:tcPr>
            <w:tcW w:type="dxa" w:w="4153"/>
          </w:tcPr>
          <w:p>
            <w:r>
              <w:rPr/>
              <w:t>1</w:t>
            </w:r>
          </w:p>
        </w:tc>
        <w:tc>
          <w:tcPr>
            <w:tcW w:type="dxa" w:w="4153"/>
          </w:tcPr>
          <w:p/>
        </w:tc>
      </w:tr>
      <w:tr>
        <w:tc>
          <w:tcPr>
            <w:tcW w:type="dxa" w:w="4153"/>
          </w:tcPr>
          <w:p>
            <w:r>
              <w:rPr/>
              <w:t>2</w:t>
            </w:r>
          </w:p>
        </w:tc>
        <w:tc>
          <w:tcPr>
            <w:tcW w:type="dxa" w:w="4153"/>
          </w:tcPr>
          <w:p/>
        </w:tc>
      </w:tr>
      <w:tr>
        <w:tc>
          <w:tcPr>
            <w:tcW w:type="dxa" w:w="4153"/>
          </w:tcPr>
          <w:p>
            <w:r>
              <w:rPr/>
              <w:t>3</w:t>
            </w:r>
          </w:p>
        </w:tc>
        <w:tc>
          <w:tcPr>
            <w:tcW w:type="dxa" w:w="4153"/>
          </w:tcPr>
          <w:p/>
        </w:tc>
      </w:tr>
    </w:tbl>
    <w:p>
      <w:pPr>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ind w:firstLine="480"/>
      </w:pPr>
    </w:p>
    <w:p>
      <w:r>
        <w:rPr/>
        <w:t xml:space="preserve"> </w:t>
      </w:r>
    </w:p>
    <w:p/>
    <w:p>
      <w:r>
        <w:rPr>
          <w:b/>
          <w:sz w:val="28"/>
        </w:rPr>
        <w:t>格式二十二：</w:t>
      </w:r>
    </w:p>
    <w:p>
      <w:pPr>
        <w:ind w:firstLine="480"/>
      </w:pPr>
      <w:r>
        <w:rPr/>
        <w:t>（以下格式文件由供应商根据需要选用）</w:t>
      </w:r>
    </w:p>
    <w:p>
      <w:pPr>
        <w:jc w:val="center"/>
      </w:pPr>
      <w:r>
        <w:rPr>
          <w:b/>
          <w:sz w:val="24"/>
        </w:rPr>
        <w:t>询问函、质疑函、投诉书格式</w:t>
      </w:r>
    </w:p>
    <w:p>
      <w:pPr>
        <w:ind w:firstLine="480"/>
      </w:pPr>
      <w:r>
        <w:rPr/>
        <w:t>说明：本部分格式为投标人提交询问函、质疑函、投诉函时使用，不属于投标文件格式的组成部分。</w:t>
      </w:r>
    </w:p>
    <w:p>
      <w:pPr>
        <w:jc w:val="center"/>
      </w:pPr>
      <w:r>
        <w:rPr>
          <w:b/>
          <w:sz w:val="24"/>
        </w:rPr>
        <w:t>询问函</w:t>
      </w:r>
    </w:p>
    <w:p>
      <w:pPr>
        <w:ind w:firstLine="480"/>
      </w:pPr>
      <w:r>
        <w:rPr/>
        <w:t>深圳市祺骏建设工程顾问有限公司韶关分公司</w:t>
      </w:r>
    </w:p>
    <w:p>
      <w:pPr>
        <w:ind w:firstLine="480"/>
      </w:pPr>
      <w:r>
        <w:rPr/>
        <w:t>我单位已登记并准备参与“</w:t>
      </w:r>
      <w:r>
        <w:rPr/>
        <w:t>2023年浈江区松材线虫病等林业有害生物防治与除治项目</w:t>
      </w:r>
      <w:r>
        <w:rPr/>
        <w:t>”项目（采购项目编号：</w:t>
      </w:r>
      <w:r>
        <w:rPr/>
        <w:t>SZQJSG-2023-04-01</w:t>
      </w:r>
      <w:r>
        <w:rPr/>
        <w:t>）的投标活动，现有以下几个内容（或条款）存在疑问（或无法理解），特提出询问。</w:t>
      </w:r>
    </w:p>
    <w:p>
      <w:pPr>
        <w:ind w:firstLine="480"/>
      </w:pPr>
      <w:r>
        <w:rPr/>
        <w:t>一、_____________________（事项一）</w:t>
      </w:r>
    </w:p>
    <w:p>
      <w:pPr>
        <w:ind w:firstLine="480"/>
      </w:pPr>
      <w:r>
        <w:rPr/>
        <w:t>（1）____________________（问题或条款内容）</w:t>
      </w:r>
    </w:p>
    <w:p>
      <w:pPr>
        <w:ind w:firstLine="480"/>
      </w:pPr>
      <w:r>
        <w:rPr/>
        <w:t>（2）____________________（说明疑问或无法理解原因）</w:t>
      </w:r>
    </w:p>
    <w:p>
      <w:pPr>
        <w:ind w:firstLine="480"/>
      </w:pPr>
      <w:r>
        <w:rPr/>
        <w:t>（3）____________________（建议）</w:t>
      </w:r>
    </w:p>
    <w:p>
      <w:pPr>
        <w:ind w:firstLine="480"/>
      </w:pPr>
      <w:r>
        <w:rPr/>
        <w:t>二、_____________________（事项二）</w:t>
      </w:r>
    </w:p>
    <w:p>
      <w:pPr>
        <w:ind w:firstLine="480"/>
      </w:pPr>
      <w:r>
        <w:rPr/>
        <w:t>...</w:t>
      </w:r>
    </w:p>
    <w:p>
      <w:pPr>
        <w:ind w:firstLine="480"/>
      </w:pPr>
      <w:r>
        <w:rPr/>
        <w:t>随附相关证明材料如下：（目录）</w:t>
      </w:r>
    </w:p>
    <w:p>
      <w:r>
        <w:rPr/>
        <w:t>询问人（公章）：_____________________</w:t>
      </w:r>
    </w:p>
    <w:p>
      <w:r>
        <w:rPr/>
        <w:t>法定代表人或授权代表（签字或盖章）：_____________________</w:t>
      </w:r>
    </w:p>
    <w:p>
      <w:r>
        <w:rPr/>
        <w:t>地址/邮编：_____________________</w:t>
      </w:r>
    </w:p>
    <w:p>
      <w:r>
        <w:rPr/>
        <w:t>电话/传真：_____________________</w:t>
      </w:r>
    </w:p>
    <w:p>
      <w:r>
        <w:rPr/>
        <w:t>日期： 年 月 日</w:t>
      </w:r>
    </w:p>
    <w:p>
      <w:pPr>
        <w:ind w:firstLine="480"/>
      </w:pPr>
    </w:p>
    <w:p>
      <w:r>
        <w:rPr/>
        <w:t xml:space="preserve"> </w:t>
      </w:r>
    </w:p>
    <w:p/>
    <w:p>
      <w:pPr>
        <w:jc w:val="center"/>
      </w:pPr>
      <w:r>
        <w:rPr>
          <w:b/>
          <w:sz w:val="24"/>
        </w:rPr>
        <w:t>质疑函</w:t>
      </w:r>
    </w:p>
    <w:p>
      <w:pPr>
        <w:ind w:firstLine="480"/>
      </w:pPr>
      <w:r>
        <w:rPr/>
        <w:t>一、质疑供应商基本信息</w:t>
      </w:r>
    </w:p>
    <w:p>
      <w:pPr>
        <w:ind w:firstLine="480"/>
      </w:pPr>
      <w:r>
        <w:rPr/>
        <w:t>质疑供应商：</w:t>
      </w:r>
    </w:p>
    <w:p>
      <w:pPr>
        <w:ind w:firstLine="480"/>
      </w:pPr>
      <w:r>
        <w:rPr/>
        <w:t>地址：_____________________邮编：_____________________</w:t>
      </w:r>
    </w:p>
    <w:p>
      <w:pPr>
        <w:ind w:firstLine="480"/>
      </w:pPr>
      <w:r>
        <w:rPr/>
        <w:t>联系：_____________________联系电话：_____________________</w:t>
      </w:r>
    </w:p>
    <w:p>
      <w:pPr>
        <w:ind w:firstLine="480"/>
      </w:pPr>
      <w:r>
        <w:rPr/>
        <w:t>授权代表：_____________________</w:t>
      </w:r>
    </w:p>
    <w:p>
      <w:pPr>
        <w:ind w:firstLine="480"/>
      </w:pPr>
      <w:r>
        <w:rPr/>
        <w:t>联系电话：_____________________</w:t>
      </w:r>
    </w:p>
    <w:p>
      <w:pPr>
        <w:ind w:firstLine="480"/>
      </w:pPr>
      <w:r>
        <w:rPr/>
        <w:t>地址：_____________________邮编：_____________________</w:t>
      </w:r>
    </w:p>
    <w:p>
      <w:pPr>
        <w:ind w:firstLine="480"/>
      </w:pPr>
      <w:r>
        <w:rPr/>
        <w:t>二、质疑项目基本情况</w:t>
      </w:r>
    </w:p>
    <w:p>
      <w:pPr>
        <w:ind w:firstLine="480"/>
      </w:pPr>
      <w:r>
        <w:rPr/>
        <w:t>质疑项目的名称：_____________________</w:t>
      </w:r>
    </w:p>
    <w:p>
      <w:pPr>
        <w:ind w:firstLine="480"/>
      </w:pPr>
      <w:r>
        <w:rPr/>
        <w:t>质疑项目的编号：_____________________ 包号：_____________________</w:t>
      </w:r>
    </w:p>
    <w:p>
      <w:pPr>
        <w:ind w:firstLine="480"/>
      </w:pPr>
      <w:r>
        <w:rPr/>
        <w:t>采购人名称：_____________________</w:t>
      </w:r>
    </w:p>
    <w:p>
      <w:pPr>
        <w:ind w:firstLine="480"/>
      </w:pPr>
      <w:r>
        <w:rPr/>
        <w:t>采购文件获取日期：_____________________</w:t>
      </w:r>
    </w:p>
    <w:p>
      <w:pPr>
        <w:ind w:firstLine="480"/>
      </w:pPr>
      <w:r>
        <w:rPr/>
        <w:t>三、质疑事项具体内容</w:t>
      </w:r>
    </w:p>
    <w:p>
      <w:pPr>
        <w:ind w:firstLine="480"/>
      </w:pPr>
      <w:r>
        <w:rPr/>
        <w:t>质疑事项1：_____________________</w:t>
      </w:r>
    </w:p>
    <w:p>
      <w:pPr>
        <w:ind w:firstLine="480"/>
      </w:pPr>
      <w:r>
        <w:rPr/>
        <w:t>事实依据：_____________________</w:t>
      </w:r>
    </w:p>
    <w:p>
      <w:pPr>
        <w:ind w:firstLine="480"/>
      </w:pPr>
      <w:r>
        <w:rPr/>
        <w:t>法律依据：_____________________</w:t>
      </w:r>
    </w:p>
    <w:p>
      <w:pPr>
        <w:ind w:firstLine="480"/>
      </w:pPr>
      <w:r>
        <w:rPr/>
        <w:t>质疑事项2：_____________________</w:t>
      </w:r>
    </w:p>
    <w:p>
      <w:pPr>
        <w:ind w:firstLine="480"/>
      </w:pPr>
      <w:r>
        <w:rPr/>
        <w:t>……</w:t>
      </w:r>
    </w:p>
    <w:p>
      <w:pPr>
        <w:ind w:firstLine="480"/>
      </w:pPr>
      <w:r>
        <w:rPr/>
        <w:t>四、与质疑事项相关的质疑请求</w:t>
      </w:r>
    </w:p>
    <w:p>
      <w:pPr>
        <w:ind w:firstLine="480"/>
      </w:pPr>
      <w:r>
        <w:rPr/>
        <w:t>请求：__________________________________________</w:t>
      </w:r>
    </w:p>
    <w:p>
      <w:r>
        <w:rPr/>
        <w:t xml:space="preserve"> 签字(签章)：_____________________ 公章：_____________________</w:t>
      </w:r>
    </w:p>
    <w:p>
      <w:r>
        <w:rPr/>
        <w:t>日期： 年 月 日</w:t>
      </w:r>
    </w:p>
    <w:p>
      <w:pPr>
        <w:ind w:firstLine="480"/>
      </w:pPr>
      <w:r>
        <w:rPr/>
        <w:t>质疑函制作说明：</w:t>
      </w:r>
    </w:p>
    <w:p>
      <w:pPr>
        <w:ind w:firstLine="480"/>
      </w:pPr>
      <w:r>
        <w:rPr/>
        <w:t>1.供应商提出质疑时，应提交质疑函和必要的证明材料。</w:t>
      </w:r>
    </w:p>
    <w:p>
      <w:pPr>
        <w:ind w:firstLine="480"/>
      </w:pPr>
      <w:r>
        <w:rPr/>
        <w:t>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ind w:firstLine="480"/>
      </w:pPr>
      <w:r>
        <w:rPr/>
        <w:t>3.质疑供应商若对项目的某一分包进行质疑，质疑函中应列明具体采购包号。</w:t>
      </w:r>
    </w:p>
    <w:p>
      <w:pPr>
        <w:ind w:firstLine="480"/>
      </w:pPr>
      <w:r>
        <w:rPr/>
        <w:t>4.质疑函的质疑事项应具体、明确，并有必要的事实依据和法律依据。</w:t>
      </w:r>
    </w:p>
    <w:p>
      <w:pPr>
        <w:ind w:firstLine="480"/>
      </w:pPr>
      <w:r>
        <w:rPr/>
        <w:t>5.质疑函的质疑请求应与质疑事项相关。</w:t>
      </w:r>
    </w:p>
    <w:p>
      <w:pPr>
        <w:ind w:firstLine="480"/>
      </w:pPr>
      <w:r>
        <w:rPr/>
        <w:t>6.质疑供应商为自然人的，质疑函应由本人签字；质疑供应商为法人或者其他组织的，质疑函应由法定代表人、主要负责人，或者其授权代表签字或者盖章，并加盖公章。</w:t>
      </w:r>
    </w:p>
    <w:p>
      <w:pPr>
        <w:ind w:firstLine="480"/>
      </w:pPr>
    </w:p>
    <w:p>
      <w:r>
        <w:rPr/>
        <w:t xml:space="preserve"> </w:t>
      </w:r>
    </w:p>
    <w:p/>
    <w:p>
      <w:pPr>
        <w:jc w:val="center"/>
      </w:pPr>
      <w:r>
        <w:rPr>
          <w:b/>
          <w:sz w:val="24"/>
        </w:rPr>
        <w:t>投诉书</w:t>
      </w:r>
    </w:p>
    <w:p>
      <w:pPr>
        <w:ind w:firstLine="480"/>
      </w:pPr>
      <w:r>
        <w:rPr/>
        <w:t>一、投诉相关主体基本情况</w:t>
      </w:r>
    </w:p>
    <w:p>
      <w:pPr>
        <w:ind w:firstLine="480"/>
      </w:pPr>
      <w:r>
        <w:rPr/>
        <w:t>投诉人：____________________</w:t>
      </w:r>
    </w:p>
    <w:p>
      <w:pPr>
        <w:ind w:firstLine="480"/>
      </w:pPr>
      <w:r>
        <w:rPr/>
        <w:t>地 址：____________________邮编：____________________</w:t>
      </w:r>
    </w:p>
    <w:p>
      <w:pPr>
        <w:ind w:firstLine="480"/>
      </w:pPr>
      <w:r>
        <w:rPr/>
        <w:t>法定代表人/主要负责人：____________________</w:t>
      </w:r>
    </w:p>
    <w:p>
      <w:pPr>
        <w:ind w:firstLine="480"/>
      </w:pPr>
      <w:r>
        <w:rPr/>
        <w:t>联系电话：____________________</w:t>
      </w:r>
    </w:p>
    <w:p>
      <w:pPr>
        <w:ind w:firstLine="480"/>
      </w:pPr>
      <w:r>
        <w:rPr/>
        <w:t>授权代表：____________________联系电话：____________________</w:t>
      </w:r>
    </w:p>
    <w:p>
      <w:pPr>
        <w:ind w:firstLine="480"/>
      </w:pPr>
      <w:r>
        <w:rPr/>
        <w:t>地 址：____________________邮编：____________________</w:t>
      </w:r>
    </w:p>
    <w:p>
      <w:pPr>
        <w:ind w:firstLine="480"/>
      </w:pPr>
      <w:r>
        <w:rPr/>
        <w:t>被投诉人1：____________________</w:t>
      </w:r>
    </w:p>
    <w:p>
      <w:pPr>
        <w:ind w:firstLine="480"/>
      </w:pPr>
      <w:r>
        <w:rPr/>
        <w:t>地址：____________________邮编：____________________</w:t>
      </w:r>
    </w:p>
    <w:p>
      <w:pPr>
        <w:ind w:firstLine="480"/>
      </w:pPr>
      <w:r>
        <w:rPr/>
        <w:t>联系人：____________________联系电话：____________________</w:t>
      </w:r>
    </w:p>
    <w:p>
      <w:pPr>
        <w:ind w:firstLine="480"/>
      </w:pPr>
      <w:r>
        <w:rPr/>
        <w:t>被投诉人2：____________________</w:t>
      </w:r>
    </w:p>
    <w:p>
      <w:pPr>
        <w:ind w:firstLine="480"/>
      </w:pPr>
      <w:r>
        <w:rPr/>
        <w:t>……</w:t>
      </w:r>
    </w:p>
    <w:p>
      <w:pPr>
        <w:ind w:firstLine="480"/>
      </w:pPr>
      <w:r>
        <w:rPr/>
        <w:t>相关供应商：_____________________</w:t>
      </w:r>
    </w:p>
    <w:p>
      <w:pPr>
        <w:ind w:firstLine="480"/>
      </w:pPr>
      <w:r>
        <w:rPr/>
        <w:t>地址：____________________邮编：____________________</w:t>
      </w:r>
    </w:p>
    <w:p>
      <w:pPr>
        <w:ind w:firstLine="480"/>
      </w:pPr>
      <w:r>
        <w:rPr/>
        <w:t>联系人：____________________联系电话：____________________</w:t>
      </w:r>
    </w:p>
    <w:p>
      <w:pPr>
        <w:ind w:firstLine="480"/>
      </w:pPr>
      <w:r>
        <w:rPr/>
        <w:t>二、投诉项目基本情况</w:t>
      </w:r>
    </w:p>
    <w:p>
      <w:pPr>
        <w:ind w:firstLine="480"/>
      </w:pPr>
      <w:r>
        <w:rPr/>
        <w:t>采购项目名称：____________________</w:t>
      </w:r>
    </w:p>
    <w:p>
      <w:pPr>
        <w:ind w:firstLine="480"/>
      </w:pPr>
      <w:r>
        <w:rPr/>
        <w:t>采购项目编号： ____________________包号：____________________</w:t>
      </w:r>
    </w:p>
    <w:p>
      <w:pPr>
        <w:ind w:firstLine="480"/>
      </w:pPr>
      <w:r>
        <w:rPr/>
        <w:t>采购人名称：____________________</w:t>
      </w:r>
    </w:p>
    <w:p>
      <w:pPr>
        <w:ind w:firstLine="480"/>
      </w:pPr>
      <w:r>
        <w:rPr/>
        <w:t>代理机构名称：____________________</w:t>
      </w:r>
    </w:p>
    <w:p>
      <w:pPr>
        <w:ind w:firstLine="480"/>
      </w:pPr>
      <w:r>
        <w:rPr/>
        <w:t>采购文件公告:</w:t>
      </w:r>
      <w:r>
        <w:rPr>
          <w:u w:val="single"/>
        </w:rPr>
        <w:t>是/否</w:t>
      </w:r>
      <w:r>
        <w:rPr/>
        <w:t>公告期限：_____________________</w:t>
      </w:r>
    </w:p>
    <w:p>
      <w:pPr>
        <w:ind w:firstLine="480"/>
      </w:pPr>
      <w:r>
        <w:rPr/>
        <w:t>采购结果公告:</w:t>
      </w:r>
      <w:r>
        <w:rPr>
          <w:u w:val="single"/>
        </w:rPr>
        <w:t>是/否</w:t>
      </w:r>
      <w:r>
        <w:rPr/>
        <w:t>公告期限：_____________________</w:t>
      </w:r>
    </w:p>
    <w:p>
      <w:pPr>
        <w:ind w:firstLine="480"/>
      </w:pPr>
      <w:r>
        <w:rPr/>
        <w:t>三、质疑基本情况</w:t>
      </w:r>
    </w:p>
    <w:p>
      <w:pPr>
        <w:ind w:firstLine="480"/>
      </w:pPr>
      <w:r>
        <w:rPr/>
        <w:t>投诉人于 ____年____月____日,向提出质疑，质疑事项为：_____________________</w:t>
      </w:r>
    </w:p>
    <w:p>
      <w:pPr>
        <w:ind w:firstLine="480"/>
      </w:pPr>
      <w:r>
        <w:rPr>
          <w:u w:val="single"/>
        </w:rPr>
        <w:t>采购人/代理机构</w:t>
      </w:r>
      <w:r>
        <w:rPr/>
        <w:t>于____年____月____日,就质疑事项作出了答复/没有在法定期限内作出答复。</w:t>
      </w:r>
    </w:p>
    <w:p>
      <w:pPr>
        <w:ind w:firstLine="480"/>
      </w:pPr>
      <w:r>
        <w:rPr/>
        <w:t>四、投诉事项具体内容</w:t>
      </w:r>
    </w:p>
    <w:p>
      <w:pPr>
        <w:ind w:firstLine="480"/>
      </w:pPr>
      <w:r>
        <w:rPr/>
        <w:t>投诉事项 1：_____________________</w:t>
      </w:r>
    </w:p>
    <w:p>
      <w:pPr>
        <w:ind w:firstLine="480"/>
      </w:pPr>
      <w:r>
        <w:rPr/>
        <w:t>事实依据：_____________________</w:t>
      </w:r>
    </w:p>
    <w:p>
      <w:pPr>
        <w:ind w:firstLine="480"/>
      </w:pPr>
      <w:r>
        <w:rPr/>
        <w:t>法律依据：_____________________</w:t>
      </w:r>
    </w:p>
    <w:p>
      <w:pPr>
        <w:ind w:firstLine="480"/>
      </w:pPr>
      <w:r>
        <w:rPr/>
        <w:t>投诉事项2：_____________________</w:t>
      </w:r>
    </w:p>
    <w:p>
      <w:pPr>
        <w:ind w:firstLine="480"/>
      </w:pPr>
      <w:r>
        <w:rPr/>
        <w:t>……</w:t>
      </w:r>
    </w:p>
    <w:p>
      <w:pPr>
        <w:ind w:firstLine="480"/>
      </w:pPr>
      <w:r>
        <w:rPr/>
        <w:t>五、与投诉事项相关的投诉请求</w:t>
      </w:r>
    </w:p>
    <w:p>
      <w:pPr>
        <w:ind w:firstLine="480"/>
      </w:pPr>
      <w:r>
        <w:rPr/>
        <w:t>请求：________________________</w:t>
      </w:r>
    </w:p>
    <w:p>
      <w:pPr>
        <w:ind w:firstLine="480"/>
      </w:pPr>
    </w:p>
    <w:p>
      <w:r>
        <w:rPr/>
        <w:t xml:space="preserve"> 签字(签章)： ________公章________</w:t>
      </w:r>
    </w:p>
    <w:p>
      <w:r>
        <w:rPr/>
        <w:t>日期：____年____月____日</w:t>
      </w:r>
    </w:p>
    <w:p>
      <w:pPr>
        <w:ind w:firstLine="480"/>
      </w:pPr>
    </w:p>
    <w:p>
      <w:pPr>
        <w:ind w:firstLine="480"/>
      </w:pPr>
      <w:r>
        <w:rPr/>
        <w:t>投诉书制作说明：</w:t>
      </w:r>
    </w:p>
    <w:p>
      <w:pPr>
        <w:ind w:firstLine="480"/>
      </w:pPr>
      <w:r>
        <w:rPr/>
        <w:t>1.投诉人提起投诉时，应当提交投诉书和必要的证明材料，并按照被投诉人和与投诉事项有关的供应商数量提供投诉书副本。</w:t>
      </w:r>
    </w:p>
    <w:p>
      <w:pPr>
        <w:ind w:firstLine="480"/>
      </w:pPr>
      <w:r>
        <w:rPr/>
        <w:t>2.投诉人若委托代理人进行投诉的，投诉书应按照要求列明“授权代表”的有关内容，并在附件中提交由投诉人签署的授权委托书。授权委托书应当载明代理人的姓名或者名称、代理事项、具体权限、期限和相关事项。</w:t>
      </w:r>
    </w:p>
    <w:p>
      <w:pPr>
        <w:ind w:firstLine="480"/>
      </w:pPr>
      <w:r>
        <w:rPr/>
        <w:t>3.投诉人若对项目的某一分包进行投诉，投诉书应列明具体分包号。</w:t>
      </w:r>
    </w:p>
    <w:p>
      <w:pPr>
        <w:ind w:firstLine="480"/>
      </w:pPr>
      <w:r>
        <w:rPr/>
        <w:t>4.投诉书应简要列明质疑事项，质疑函、质疑答复等作为附件材料提供。</w:t>
      </w:r>
    </w:p>
    <w:p>
      <w:pPr>
        <w:ind w:firstLine="480"/>
      </w:pPr>
      <w:r>
        <w:rPr/>
        <w:t>5.投诉书的投诉事项应具体、明确，并有必要的事实依据和法律依据。</w:t>
      </w:r>
    </w:p>
    <w:p>
      <w:pPr>
        <w:ind w:firstLine="480"/>
      </w:pPr>
      <w:r>
        <w:rPr/>
        <w:t>6.投诉书的投诉请求应与投诉事项相关。</w:t>
      </w:r>
    </w:p>
    <w:p>
      <w:pPr>
        <w:ind w:firstLine="480"/>
      </w:pPr>
      <w:r>
        <w:rPr/>
        <w:t>7.投诉人为自然人的，投诉书应当由本人签字；投诉人为法人或者其他组织的，投诉书应当由法定代表人、主要负责人，或者其授权代表签字或者盖章，并加盖公章。</w:t>
      </w:r>
    </w:p>
    <w:p>
      <w:pPr>
        <w:ind w:firstLine="480"/>
      </w:pPr>
    </w:p>
    <w:p>
      <w:r>
        <w:rPr/>
        <w:t xml:space="preserve"> </w:t>
      </w:r>
    </w:p>
    <w:p/>
    <w:p>
      <w:r>
        <w:rPr>
          <w:b/>
          <w:sz w:val="28"/>
        </w:rPr>
        <w:t>格式二十三：</w:t>
      </w:r>
    </w:p>
    <w:p>
      <w:pPr>
        <w:ind w:firstLine="480"/>
      </w:pPr>
      <w:r>
        <w:rPr/>
        <w:t>（以下格式文件由供应商根据需要选用）</w:t>
      </w:r>
    </w:p>
    <w:p>
      <w:pPr>
        <w:ind w:firstLine="480"/>
      </w:pPr>
      <w:r>
        <w:rPr/>
        <w:t>项目实施方案、质量保证及售后服务承诺等内容和格式自拟。</w:t>
      </w:r>
    </w:p>
    <w:p>
      <w:pPr>
        <w:ind w:firstLine="480"/>
      </w:pPr>
    </w:p>
    <w:p>
      <w:r>
        <w:rPr/>
        <w:t xml:space="preserve"> </w:t>
      </w:r>
    </w:p>
    <w:p/>
    <w:p>
      <w:r>
        <w:rPr>
          <w:b/>
          <w:sz w:val="28"/>
        </w:rPr>
        <w:t>格式二十四：</w:t>
      </w:r>
    </w:p>
    <w:p>
      <w:pPr>
        <w:ind w:firstLine="480"/>
      </w:pPr>
      <w:r>
        <w:rPr/>
        <w:t>附件（以下格式文件由供应商根据需要选用）</w:t>
      </w:r>
    </w:p>
    <w:p>
      <w:pPr>
        <w:jc w:val="center"/>
      </w:pPr>
      <w:r>
        <w:rPr>
          <w:b/>
          <w:sz w:val="24"/>
        </w:rPr>
        <w:t>政府采购投标（响应）担保函</w:t>
      </w:r>
    </w:p>
    <w:p>
      <w:r>
        <w:rPr/>
        <w:t>编号：【 】号</w:t>
      </w:r>
    </w:p>
    <w:p>
      <w:pPr>
        <w:ind w:firstLine="480"/>
      </w:pPr>
      <w:r>
        <w:rPr/>
        <w:t>（采购人）：</w:t>
      </w:r>
    </w:p>
    <w:p>
      <w:pPr>
        <w:ind w:firstLine="480"/>
      </w:pPr>
      <w:r>
        <w:rPr/>
        <w:t>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ind w:firstLine="480"/>
      </w:pPr>
      <w:r>
        <w:rPr/>
        <w:t>一、保险责任的情形及保证金额</w:t>
      </w:r>
    </w:p>
    <w:p>
      <w:pPr>
        <w:ind w:firstLine="480"/>
      </w:pPr>
      <w:r>
        <w:rPr/>
        <w:t>（一）在投标（响应）人出现下列情形之一时，我方承担保险责任：</w:t>
      </w:r>
    </w:p>
    <w:p>
      <w:pPr>
        <w:ind w:firstLine="480"/>
      </w:pPr>
      <w:r>
        <w:rPr/>
        <w:t>1.中标（成交）后投标（响应）人无正当理由不与采购人签订《政府采购合同》；</w:t>
      </w:r>
    </w:p>
    <w:p>
      <w:pPr>
        <w:ind w:firstLine="480"/>
      </w:pPr>
      <w:r>
        <w:rPr/>
        <w:t>2.采购文件规定的投标（响应）人应当缴纳保证金的其他情形。</w:t>
      </w:r>
    </w:p>
    <w:p>
      <w:pPr>
        <w:ind w:firstLine="480"/>
      </w:pPr>
      <w:r>
        <w:rPr/>
        <w:t>（二）我方承担保险责任的最高金额为人民币__________元（大写）即本项目的投标（响应）保证金金额。</w:t>
      </w:r>
    </w:p>
    <w:p>
      <w:pPr>
        <w:ind w:firstLine="480"/>
      </w:pPr>
      <w:r>
        <w:rPr/>
        <w:t>二、保证的方式及保证期间</w:t>
      </w:r>
    </w:p>
    <w:p>
      <w:pPr>
        <w:ind w:firstLine="480"/>
      </w:pPr>
      <w:r>
        <w:rPr/>
        <w:t>我方保证的方式为：连带责任保证。</w:t>
      </w:r>
    </w:p>
    <w:p>
      <w:pPr>
        <w:ind w:firstLine="480"/>
      </w:pPr>
      <w:r>
        <w:rPr/>
        <w:t>我方的保证期间为：本保险凭证自__年__月__日起生效，有效期至开标日后的90天内。</w:t>
      </w:r>
    </w:p>
    <w:p>
      <w:pPr>
        <w:ind w:firstLine="480"/>
      </w:pPr>
      <w:r>
        <w:rPr/>
        <w:t>三、承担保证责任的程序</w:t>
      </w:r>
    </w:p>
    <w:p>
      <w:pPr>
        <w:ind w:firstLine="480"/>
      </w:pPr>
      <w:r>
        <w:rPr/>
        <w:t>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ind w:firstLine="480"/>
      </w:pPr>
      <w:r>
        <w:rPr/>
        <w:t>2.我方在收到索赔通知及相关证明材料后，在15个工作日内进行审查，符合应承担保证责任情形的，我方按照你方的要求代投标（响应）人向你方支付相应的索赔款项。</w:t>
      </w:r>
    </w:p>
    <w:p>
      <w:pPr>
        <w:ind w:firstLine="480"/>
      </w:pPr>
      <w:r>
        <w:rPr/>
        <w:t>四、保证责任的终止</w:t>
      </w:r>
    </w:p>
    <w:p>
      <w:pPr>
        <w:ind w:firstLine="480"/>
      </w:pPr>
      <w:r>
        <w:rPr/>
        <w:t>1.保证期间届满，你方未向我方书面主张保证责任的，自保证期间届满次日起，我方保证责任自动终止。</w:t>
      </w:r>
    </w:p>
    <w:p>
      <w:pPr>
        <w:ind w:firstLine="480"/>
      </w:pPr>
      <w:r>
        <w:rPr/>
        <w:t>2.我方按照本保函向你方履行了保证责任后，自我方向你方支付款项（支付款项从我方账户划出）之日起，保证责任终止。</w:t>
      </w:r>
    </w:p>
    <w:p>
      <w:pPr>
        <w:ind w:firstLine="480"/>
      </w:pPr>
      <w:r>
        <w:rPr/>
        <w:t>3.按照法律法规的规定或出现我方保证责任终止的其它情形的，我方在本保函项下的保证责任终止。</w:t>
      </w:r>
    </w:p>
    <w:p>
      <w:pPr>
        <w:ind w:firstLine="480"/>
      </w:pPr>
      <w:r>
        <w:rPr/>
        <w:t>五、免责条款</w:t>
      </w:r>
    </w:p>
    <w:p>
      <w:pPr>
        <w:ind w:firstLine="480"/>
      </w:pPr>
      <w:r>
        <w:rPr/>
        <w:t>1.依照法律规定或你方与投标（响应）人的另行约定，全部或者部分免除投标（响应）人投标（响应）保证金义务时，我方亦免除相应的保证责任。</w:t>
      </w:r>
    </w:p>
    <w:p>
      <w:pPr>
        <w:ind w:firstLine="480"/>
      </w:pPr>
      <w:r>
        <w:rPr/>
        <w:t>2.因你方原因致使投标（响应）人发生本保函第一条第（一）款约定情形的，我方不承担保证责任。</w:t>
      </w:r>
    </w:p>
    <w:p>
      <w:pPr>
        <w:ind w:firstLine="480"/>
      </w:pPr>
      <w:r>
        <w:rPr/>
        <w:t>3.因不可抗力造成投标（响应）人发生本保函第一条约定情形的，我方不承担保证责任。</w:t>
      </w:r>
    </w:p>
    <w:p>
      <w:pPr>
        <w:ind w:firstLine="480"/>
      </w:pPr>
      <w:r>
        <w:rPr/>
        <w:t>4.你方或其他有权机关对采购文件进行任何澄清或修改，加重我方保证责任的，我方对加重部分不承担保证责任，但该澄清或修改经我方事先书面同意的除外。</w:t>
      </w:r>
    </w:p>
    <w:p>
      <w:pPr>
        <w:ind w:firstLine="480"/>
      </w:pPr>
      <w:r>
        <w:rPr/>
        <w:t>六、争议的解决</w:t>
      </w:r>
    </w:p>
    <w:p>
      <w:pPr>
        <w:ind w:firstLine="480"/>
      </w:pPr>
      <w:r>
        <w:rPr/>
        <w:t>因本保函发生的纠纷，由你我双方协商解决，协商不成的，通过诉讼程序解决，诉讼管辖地法院为 法院。</w:t>
      </w:r>
    </w:p>
    <w:p>
      <w:pPr>
        <w:ind w:firstLine="480"/>
      </w:pPr>
      <w:r>
        <w:rPr/>
        <w:t>七、保函的生效</w:t>
      </w:r>
    </w:p>
    <w:p>
      <w:pPr>
        <w:ind w:firstLine="480"/>
      </w:pPr>
      <w:r>
        <w:rPr/>
        <w:t>本保函自我方加盖公章之日起生效。</w:t>
      </w:r>
    </w:p>
    <w:p>
      <w:pPr>
        <w:ind w:firstLine="480"/>
      </w:pPr>
    </w:p>
    <w:p>
      <w:r>
        <w:rPr/>
        <w:t>保证人：_______（公章）_______</w:t>
      </w:r>
    </w:p>
    <w:p>
      <w:r>
        <w:rPr/>
        <w:t>联系人：____________________</w:t>
      </w:r>
    </w:p>
    <w:p>
      <w:r>
        <w:rPr/>
        <w:t>联系电话：____________________</w:t>
      </w:r>
    </w:p>
    <w:p>
      <w:r>
        <w:rPr/>
        <w:t>___年___月___日</w:t>
      </w:r>
    </w:p>
    <w:p>
      <w:pPr>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