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jc w:val="center"/>
        <w:rPr>
          <w:rFonts w:ascii="宋体" w:hAnsi="宋体" w:cs="宋体"/>
          <w:b/>
          <w:spacing w:val="-20"/>
          <w:sz w:val="48"/>
          <w:szCs w:val="48"/>
        </w:rPr>
      </w:pPr>
      <w:bookmarkStart w:id="0" w:name="_Toc303756353"/>
      <w:bookmarkStart w:id="1" w:name="_Toc499904867"/>
      <w:bookmarkStart w:id="2" w:name="_Toc301187513"/>
      <w:bookmarkStart w:id="3" w:name="_Toc342654505"/>
      <w:bookmarkStart w:id="4" w:name="_Toc301187515"/>
      <w:bookmarkStart w:id="5" w:name="_Toc22550"/>
      <w:bookmarkStart w:id="6" w:name="_Toc303756355"/>
    </w:p>
    <w:p>
      <w:pPr>
        <w:jc w:val="center"/>
        <w:rPr>
          <w:rFonts w:hint="eastAsia" w:ascii="宋体" w:hAnsi="宋体" w:eastAsia="宋体" w:cs="宋体"/>
          <w:b/>
          <w:bCs/>
          <w:spacing w:val="20"/>
          <w:sz w:val="20"/>
          <w:szCs w:val="20"/>
          <w:lang w:val="zh-CN" w:eastAsia="zh-CN"/>
        </w:rPr>
      </w:pPr>
      <w:r>
        <w:rPr>
          <w:rFonts w:hint="eastAsia" w:ascii="宋体" w:hAnsi="宋体" w:cs="宋体"/>
          <w:b/>
          <w:spacing w:val="-20"/>
          <w:sz w:val="52"/>
          <w:szCs w:val="52"/>
          <w:lang w:eastAsia="zh-CN"/>
        </w:rPr>
        <w:t>缙云县文物建筑白蚁防治示范项目</w:t>
      </w:r>
    </w:p>
    <w:p>
      <w:pPr>
        <w:jc w:val="center"/>
        <w:rPr>
          <w:rFonts w:ascii="宋体" w:hAnsi="宋体" w:cs="宋体"/>
          <w:b/>
          <w:bCs/>
          <w:spacing w:val="20"/>
          <w:sz w:val="96"/>
          <w:szCs w:val="96"/>
          <w:lang w:val="zh-CN"/>
        </w:rPr>
      </w:pPr>
    </w:p>
    <w:p>
      <w:pPr>
        <w:pStyle w:val="2"/>
        <w:rPr>
          <w:rFonts w:ascii="宋体" w:hAnsi="宋体" w:cs="宋体"/>
          <w:b/>
          <w:bCs/>
          <w:spacing w:val="20"/>
          <w:sz w:val="96"/>
          <w:szCs w:val="96"/>
          <w:lang w:val="zh-CN"/>
        </w:rPr>
      </w:pPr>
    </w:p>
    <w:p>
      <w:pPr>
        <w:rPr>
          <w:lang w:val="zh-CN"/>
        </w:rPr>
      </w:pPr>
    </w:p>
    <w:p>
      <w:pPr>
        <w:pStyle w:val="2"/>
        <w:rPr>
          <w:lang w:val="zh-CN"/>
        </w:rPr>
      </w:pPr>
    </w:p>
    <w:p>
      <w:pPr>
        <w:pStyle w:val="2"/>
        <w:rPr>
          <w:lang w:val="zh-CN"/>
        </w:rPr>
      </w:pPr>
    </w:p>
    <w:p>
      <w:pPr>
        <w:rPr>
          <w:lang w:val="zh-CN"/>
        </w:rPr>
      </w:pPr>
    </w:p>
    <w:p>
      <w:pPr>
        <w:jc w:val="center"/>
        <w:rPr>
          <w:rFonts w:ascii="宋体" w:hAnsi="宋体" w:cs="宋体"/>
          <w:b/>
          <w:bCs/>
          <w:spacing w:val="20"/>
          <w:sz w:val="96"/>
          <w:szCs w:val="96"/>
          <w:lang w:val="zh-CN"/>
        </w:rPr>
      </w:pPr>
      <w:r>
        <w:rPr>
          <w:rFonts w:hint="eastAsia" w:ascii="宋体" w:hAnsi="宋体" w:cs="宋体"/>
          <w:b/>
          <w:bCs/>
          <w:spacing w:val="20"/>
          <w:sz w:val="72"/>
          <w:szCs w:val="72"/>
          <w:lang w:val="zh-CN"/>
        </w:rPr>
        <w:t>竞争性磋商文件</w:t>
      </w:r>
    </w:p>
    <w:p>
      <w:pPr>
        <w:spacing w:line="160" w:lineRule="exact"/>
        <w:rPr>
          <w:rFonts w:ascii="宋体" w:hAnsi="宋体" w:cs="宋体"/>
          <w:b/>
          <w:bCs/>
          <w:sz w:val="48"/>
        </w:rPr>
      </w:pPr>
    </w:p>
    <w:p>
      <w:pPr>
        <w:adjustRightInd w:val="0"/>
        <w:snapToGrid w:val="0"/>
        <w:spacing w:line="600" w:lineRule="exact"/>
        <w:ind w:firstLine="422" w:firstLineChars="150"/>
        <w:jc w:val="center"/>
        <w:rPr>
          <w:rFonts w:ascii="宋体" w:hAnsi="宋体" w:cs="宋体"/>
          <w:b/>
          <w:snapToGrid w:val="0"/>
          <w:sz w:val="28"/>
          <w:szCs w:val="28"/>
        </w:rPr>
      </w:pPr>
    </w:p>
    <w:p>
      <w:pPr>
        <w:adjustRightInd w:val="0"/>
        <w:snapToGrid w:val="0"/>
        <w:spacing w:line="800" w:lineRule="atLeast"/>
        <w:jc w:val="center"/>
        <w:rPr>
          <w:rFonts w:ascii="宋体" w:hAnsi="宋体" w:cs="宋体"/>
          <w:b/>
          <w:snapToGrid w:val="0"/>
          <w:sz w:val="72"/>
          <w:szCs w:val="72"/>
        </w:rPr>
      </w:pPr>
    </w:p>
    <w:p>
      <w:pPr>
        <w:pStyle w:val="2"/>
        <w:rPr>
          <w:rFonts w:ascii="宋体" w:hAnsi="宋体" w:cs="宋体"/>
          <w:b/>
          <w:snapToGrid w:val="0"/>
          <w:sz w:val="32"/>
          <w:szCs w:val="32"/>
        </w:rPr>
      </w:pPr>
    </w:p>
    <w:p/>
    <w:p>
      <w:pPr>
        <w:adjustRightInd w:val="0"/>
        <w:snapToGrid w:val="0"/>
        <w:spacing w:line="360" w:lineRule="auto"/>
        <w:ind w:firstLine="321" w:firstLineChars="100"/>
        <w:rPr>
          <w:rFonts w:hint="default" w:ascii="宋体" w:hAnsi="宋体" w:eastAsia="宋体" w:cs="宋体"/>
          <w:b/>
          <w:snapToGrid w:val="0"/>
          <w:sz w:val="32"/>
          <w:szCs w:val="32"/>
          <w:lang w:val="en-US" w:eastAsia="zh-CN"/>
        </w:rPr>
      </w:pPr>
      <w:r>
        <w:rPr>
          <w:rFonts w:hint="eastAsia" w:ascii="宋体" w:hAnsi="宋体" w:cs="宋体"/>
          <w:b/>
          <w:snapToGrid w:val="0"/>
          <w:sz w:val="32"/>
          <w:szCs w:val="32"/>
        </w:rPr>
        <w:t>项目编号：</w:t>
      </w:r>
      <w:r>
        <w:rPr>
          <w:rFonts w:hint="eastAsia" w:ascii="宋体" w:hAnsi="宋体" w:cs="宋体"/>
          <w:b/>
          <w:snapToGrid w:val="0"/>
          <w:sz w:val="32"/>
          <w:szCs w:val="32"/>
          <w:u w:val="single"/>
        </w:rPr>
        <w:t>JYZFCG(分散)磋商</w:t>
      </w:r>
      <w:r>
        <w:rPr>
          <w:rFonts w:hint="eastAsia" w:ascii="宋体" w:hAnsi="宋体" w:cs="宋体"/>
          <w:b/>
          <w:snapToGrid w:val="0"/>
          <w:sz w:val="32"/>
          <w:szCs w:val="32"/>
          <w:u w:val="single"/>
          <w:lang w:eastAsia="zh-CN"/>
        </w:rPr>
        <w:t>2023</w:t>
      </w:r>
      <w:r>
        <w:rPr>
          <w:rFonts w:hint="eastAsia" w:ascii="宋体" w:hAnsi="宋体" w:cs="宋体"/>
          <w:b/>
          <w:snapToGrid w:val="0"/>
          <w:sz w:val="32"/>
          <w:szCs w:val="32"/>
          <w:u w:val="single"/>
        </w:rPr>
        <w:t>-</w:t>
      </w:r>
      <w:r>
        <w:rPr>
          <w:rFonts w:hint="eastAsia" w:ascii="宋体" w:hAnsi="宋体" w:cs="宋体"/>
          <w:b/>
          <w:snapToGrid w:val="0"/>
          <w:sz w:val="32"/>
          <w:szCs w:val="32"/>
          <w:u w:val="single"/>
          <w:lang w:val="en-US" w:eastAsia="zh-CN"/>
        </w:rPr>
        <w:t>16</w:t>
      </w:r>
    </w:p>
    <w:p>
      <w:pPr>
        <w:adjustRightInd w:val="0"/>
        <w:snapToGrid w:val="0"/>
        <w:spacing w:line="360" w:lineRule="auto"/>
        <w:ind w:right="-386" w:rightChars="-184" w:firstLine="321" w:firstLineChars="100"/>
        <w:rPr>
          <w:rFonts w:hint="eastAsia" w:ascii="宋体" w:hAnsi="宋体" w:eastAsia="宋体" w:cs="宋体"/>
          <w:b/>
          <w:snapToGrid w:val="0"/>
          <w:sz w:val="32"/>
          <w:szCs w:val="32"/>
          <w:u w:val="single"/>
          <w:lang w:eastAsia="zh-CN"/>
        </w:rPr>
      </w:pPr>
      <w:r>
        <w:rPr>
          <w:rFonts w:hint="eastAsia" w:ascii="宋体" w:hAnsi="宋体" w:cs="宋体"/>
          <w:b/>
          <w:snapToGrid w:val="0"/>
          <w:sz w:val="32"/>
          <w:szCs w:val="32"/>
        </w:rPr>
        <w:t>项目名称：</w:t>
      </w:r>
      <w:r>
        <w:rPr>
          <w:rFonts w:hint="eastAsia" w:ascii="宋体" w:hAnsi="宋体" w:cs="宋体"/>
          <w:b/>
          <w:snapToGrid w:val="0"/>
          <w:sz w:val="32"/>
          <w:szCs w:val="32"/>
          <w:u w:val="single"/>
          <w:lang w:eastAsia="zh-CN"/>
        </w:rPr>
        <w:t>缙云县文物建筑白蚁防治示范项目</w:t>
      </w:r>
    </w:p>
    <w:p>
      <w:pPr>
        <w:adjustRightInd w:val="0"/>
        <w:snapToGrid w:val="0"/>
        <w:spacing w:line="360" w:lineRule="auto"/>
        <w:ind w:firstLine="321" w:firstLineChars="100"/>
        <w:rPr>
          <w:rFonts w:hint="eastAsia" w:ascii="宋体" w:hAnsi="宋体" w:eastAsia="宋体" w:cs="宋体"/>
          <w:b/>
          <w:snapToGrid w:val="0"/>
          <w:sz w:val="32"/>
          <w:szCs w:val="32"/>
          <w:u w:val="single"/>
          <w:lang w:eastAsia="zh-CN"/>
        </w:rPr>
      </w:pPr>
      <w:r>
        <w:rPr>
          <w:rFonts w:hint="eastAsia" w:ascii="宋体" w:hAnsi="宋体" w:cs="宋体"/>
          <w:b/>
          <w:snapToGrid w:val="0"/>
          <w:sz w:val="32"/>
          <w:szCs w:val="32"/>
        </w:rPr>
        <w:t>采购单位：</w:t>
      </w:r>
      <w:r>
        <w:rPr>
          <w:rFonts w:hint="eastAsia" w:ascii="宋体" w:hAnsi="宋体" w:cs="宋体"/>
          <w:b/>
          <w:snapToGrid w:val="0"/>
          <w:sz w:val="32"/>
          <w:szCs w:val="32"/>
          <w:u w:val="single"/>
          <w:lang w:eastAsia="zh-CN"/>
        </w:rPr>
        <w:t>缙云县文化和广电旅游体育局</w:t>
      </w:r>
    </w:p>
    <w:p>
      <w:pPr>
        <w:adjustRightInd w:val="0"/>
        <w:snapToGrid w:val="0"/>
        <w:spacing w:line="360" w:lineRule="auto"/>
        <w:ind w:firstLine="321" w:firstLineChars="100"/>
        <w:rPr>
          <w:rFonts w:ascii="宋体" w:hAnsi="宋体" w:cs="宋体"/>
          <w:b/>
          <w:snapToGrid w:val="0"/>
          <w:sz w:val="32"/>
          <w:szCs w:val="32"/>
        </w:rPr>
      </w:pPr>
      <w:r>
        <w:rPr>
          <w:rFonts w:hint="eastAsia" w:ascii="宋体" w:hAnsi="宋体" w:cs="宋体"/>
          <w:b/>
          <w:snapToGrid w:val="0"/>
          <w:sz w:val="32"/>
          <w:szCs w:val="32"/>
        </w:rPr>
        <w:t>采购代理机构：</w:t>
      </w:r>
      <w:r>
        <w:rPr>
          <w:rFonts w:hint="eastAsia" w:ascii="宋体" w:hAnsi="宋体" w:cs="宋体"/>
          <w:b/>
          <w:snapToGrid w:val="0"/>
          <w:sz w:val="32"/>
          <w:szCs w:val="32"/>
          <w:u w:val="single"/>
        </w:rPr>
        <w:t>浙江鼎峰工程咨询有限公司</w:t>
      </w:r>
    </w:p>
    <w:p>
      <w:pPr>
        <w:pStyle w:val="151"/>
        <w:widowControl w:val="0"/>
        <w:spacing w:afterLines="0" w:line="360" w:lineRule="auto"/>
        <w:ind w:firstLine="321" w:firstLineChars="100"/>
        <w:rPr>
          <w:rFonts w:ascii="宋体" w:hAnsi="宋体" w:cs="宋体"/>
          <w:b/>
          <w:snapToGrid w:val="0"/>
          <w:sz w:val="32"/>
          <w:szCs w:val="32"/>
          <w:u w:val="single"/>
        </w:rPr>
      </w:pPr>
      <w:r>
        <w:rPr>
          <w:rFonts w:hint="eastAsia" w:ascii="宋体" w:hAnsi="宋体" w:cs="宋体"/>
          <w:b/>
          <w:snapToGrid w:val="0"/>
          <w:sz w:val="32"/>
          <w:szCs w:val="32"/>
        </w:rPr>
        <w:t>日   期：</w:t>
      </w:r>
      <w:r>
        <w:rPr>
          <w:rFonts w:hint="eastAsia" w:ascii="宋体" w:hAnsi="宋体" w:cs="宋体"/>
          <w:b/>
          <w:snapToGrid w:val="0"/>
          <w:sz w:val="32"/>
          <w:szCs w:val="32"/>
          <w:u w:val="single"/>
        </w:rPr>
        <w:t>二○二</w:t>
      </w:r>
      <w:r>
        <w:rPr>
          <w:rFonts w:hint="eastAsia" w:ascii="宋体" w:hAnsi="宋体" w:cs="宋体"/>
          <w:b/>
          <w:snapToGrid w:val="0"/>
          <w:sz w:val="32"/>
          <w:szCs w:val="32"/>
          <w:u w:val="single"/>
          <w:lang w:val="en-US" w:eastAsia="zh-CN"/>
        </w:rPr>
        <w:t>三</w:t>
      </w:r>
      <w:r>
        <w:rPr>
          <w:rFonts w:hint="eastAsia" w:ascii="宋体" w:hAnsi="宋体" w:cs="宋体"/>
          <w:b/>
          <w:snapToGrid w:val="0"/>
          <w:sz w:val="32"/>
          <w:szCs w:val="32"/>
          <w:u w:val="single"/>
        </w:rPr>
        <w:t>年</w:t>
      </w:r>
      <w:r>
        <w:rPr>
          <w:rFonts w:hint="eastAsia" w:ascii="宋体" w:hAnsi="宋体" w:cs="宋体"/>
          <w:b/>
          <w:snapToGrid w:val="0"/>
          <w:sz w:val="32"/>
          <w:szCs w:val="32"/>
          <w:u w:val="single"/>
          <w:lang w:val="en-US" w:eastAsia="zh-CN"/>
        </w:rPr>
        <w:t>四</w:t>
      </w:r>
      <w:r>
        <w:rPr>
          <w:rFonts w:hint="eastAsia" w:ascii="宋体" w:hAnsi="宋体" w:cs="宋体"/>
          <w:b/>
          <w:snapToGrid w:val="0"/>
          <w:sz w:val="32"/>
          <w:szCs w:val="32"/>
          <w:u w:val="single"/>
        </w:rPr>
        <w:t>月</w:t>
      </w:r>
    </w:p>
    <w:p>
      <w:pPr>
        <w:pStyle w:val="151"/>
        <w:widowControl w:val="0"/>
        <w:spacing w:afterLines="0" w:line="360" w:lineRule="auto"/>
        <w:ind w:firstLine="0" w:firstLineChars="0"/>
        <w:jc w:val="center"/>
        <w:rPr>
          <w:rFonts w:ascii="宋体" w:hAnsi="宋体" w:cs="宋体"/>
          <w:b/>
          <w:sz w:val="30"/>
          <w:szCs w:val="30"/>
        </w:rPr>
      </w:pPr>
      <w:r>
        <w:rPr>
          <w:rFonts w:hint="eastAsia" w:ascii="宋体" w:hAnsi="宋体" w:cs="宋体"/>
          <w:b/>
          <w:snapToGrid w:val="0"/>
          <w:sz w:val="32"/>
          <w:szCs w:val="32"/>
          <w:u w:val="single"/>
        </w:rPr>
        <w:br w:type="page"/>
      </w:r>
      <w:r>
        <w:rPr>
          <w:rFonts w:hint="eastAsia" w:ascii="宋体" w:hAnsi="宋体" w:cs="宋体"/>
          <w:b/>
          <w:sz w:val="30"/>
          <w:szCs w:val="30"/>
        </w:rPr>
        <w:t>目  录</w:t>
      </w:r>
    </w:p>
    <w:bookmarkEnd w:id="0"/>
    <w:bookmarkEnd w:id="1"/>
    <w:bookmarkEnd w:id="2"/>
    <w:p>
      <w:pPr>
        <w:pStyle w:val="35"/>
        <w:tabs>
          <w:tab w:val="right" w:leader="dot" w:pos="9072"/>
          <w:tab w:val="clear" w:pos="1470"/>
          <w:tab w:val="clear" w:pos="9060"/>
        </w:tabs>
        <w:spacing w:line="360" w:lineRule="auto"/>
        <w:rPr>
          <w:rFonts w:hint="eastAsia" w:ascii="宋体" w:hAnsi="宋体" w:cs="宋体"/>
          <w:bCs w:val="0"/>
          <w:kern w:val="2"/>
          <w:szCs w:val="21"/>
        </w:rPr>
      </w:pPr>
      <w:bookmarkStart w:id="7" w:name="_Toc303756354"/>
      <w:bookmarkStart w:id="8" w:name="_Toc301187514"/>
      <w:r>
        <w:rPr>
          <w:rFonts w:hint="eastAsia" w:ascii="宋体" w:hAnsi="宋体" w:cs="宋体"/>
          <w:bCs w:val="0"/>
          <w:kern w:val="2"/>
          <w:szCs w:val="21"/>
        </w:rPr>
        <w:fldChar w:fldCharType="begin"/>
      </w:r>
      <w:r>
        <w:rPr>
          <w:rFonts w:hint="eastAsia" w:ascii="宋体" w:hAnsi="宋体" w:cs="宋体"/>
          <w:bCs w:val="0"/>
          <w:kern w:val="2"/>
          <w:szCs w:val="21"/>
        </w:rPr>
        <w:instrText xml:space="preserve">TOC \o "1-3" \h \u </w:instrText>
      </w:r>
      <w:r>
        <w:rPr>
          <w:rFonts w:hint="eastAsia" w:ascii="宋体" w:hAnsi="宋体" w:cs="宋体"/>
          <w:bCs w:val="0"/>
          <w:kern w:val="2"/>
          <w:szCs w:val="21"/>
        </w:rPr>
        <w:fldChar w:fldCharType="separate"/>
      </w:r>
      <w:bookmarkStart w:id="511" w:name="_GoBack"/>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_Toc32159 </w:instrText>
      </w:r>
      <w:r>
        <w:rPr>
          <w:rFonts w:hint="eastAsia" w:ascii="宋体" w:hAnsi="宋体" w:cs="宋体"/>
          <w:bCs w:val="0"/>
          <w:kern w:val="2"/>
          <w:szCs w:val="21"/>
        </w:rPr>
        <w:fldChar w:fldCharType="separate"/>
      </w:r>
      <w:r>
        <w:rPr>
          <w:rFonts w:hint="eastAsia" w:ascii="宋体" w:hAnsi="宋体" w:cs="宋体"/>
          <w:bCs w:val="0"/>
          <w:kern w:val="2"/>
          <w:szCs w:val="21"/>
        </w:rPr>
        <w:t>第一章 竞争性磋商公告</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_Toc32159 \h </w:instrText>
      </w:r>
      <w:r>
        <w:rPr>
          <w:rFonts w:hint="eastAsia" w:ascii="宋体" w:hAnsi="宋体" w:cs="宋体"/>
          <w:bCs w:val="0"/>
          <w:kern w:val="2"/>
          <w:szCs w:val="21"/>
        </w:rPr>
        <w:fldChar w:fldCharType="separate"/>
      </w:r>
      <w:r>
        <w:rPr>
          <w:rFonts w:hint="eastAsia" w:ascii="宋体" w:hAnsi="宋体" w:cs="宋体"/>
          <w:bCs w:val="0"/>
          <w:kern w:val="2"/>
          <w:szCs w:val="21"/>
        </w:rPr>
        <w:t>3</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_Toc17659 </w:instrText>
      </w:r>
      <w:r>
        <w:rPr>
          <w:rFonts w:hint="eastAsia" w:ascii="宋体" w:hAnsi="宋体" w:cs="宋体"/>
          <w:bCs w:val="0"/>
          <w:kern w:val="2"/>
          <w:szCs w:val="21"/>
        </w:rPr>
        <w:fldChar w:fldCharType="separate"/>
      </w:r>
      <w:r>
        <w:rPr>
          <w:rFonts w:hint="eastAsia" w:ascii="宋体" w:hAnsi="宋体" w:cs="宋体"/>
          <w:bCs w:val="0"/>
          <w:kern w:val="2"/>
          <w:szCs w:val="21"/>
        </w:rPr>
        <w:t>第二章 采购需求</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_Toc17659 \h </w:instrText>
      </w:r>
      <w:r>
        <w:rPr>
          <w:rFonts w:hint="eastAsia" w:ascii="宋体" w:hAnsi="宋体" w:cs="宋体"/>
          <w:bCs w:val="0"/>
          <w:kern w:val="2"/>
          <w:szCs w:val="21"/>
        </w:rPr>
        <w:fldChar w:fldCharType="separate"/>
      </w:r>
      <w:r>
        <w:rPr>
          <w:rFonts w:hint="eastAsia" w:ascii="宋体" w:hAnsi="宋体" w:cs="宋体"/>
          <w:bCs w:val="0"/>
          <w:kern w:val="2"/>
          <w:szCs w:val="21"/>
        </w:rPr>
        <w:t>5</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_Toc4174 </w:instrText>
      </w:r>
      <w:r>
        <w:rPr>
          <w:rFonts w:hint="eastAsia" w:ascii="宋体" w:hAnsi="宋体" w:cs="宋体"/>
          <w:bCs w:val="0"/>
          <w:kern w:val="2"/>
          <w:szCs w:val="21"/>
        </w:rPr>
        <w:fldChar w:fldCharType="separate"/>
      </w:r>
      <w:r>
        <w:rPr>
          <w:rFonts w:hint="eastAsia" w:ascii="宋体" w:hAnsi="宋体" w:cs="宋体"/>
          <w:bCs w:val="0"/>
          <w:kern w:val="2"/>
          <w:szCs w:val="21"/>
        </w:rPr>
        <w:t>第三章 供应商须知</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_Toc4174 \h </w:instrText>
      </w:r>
      <w:r>
        <w:rPr>
          <w:rFonts w:hint="eastAsia" w:ascii="宋体" w:hAnsi="宋体" w:cs="宋体"/>
          <w:bCs w:val="0"/>
          <w:kern w:val="2"/>
          <w:szCs w:val="21"/>
        </w:rPr>
        <w:fldChar w:fldCharType="separate"/>
      </w:r>
      <w:r>
        <w:rPr>
          <w:rFonts w:hint="eastAsia" w:ascii="宋体" w:hAnsi="宋体" w:cs="宋体"/>
          <w:bCs w:val="0"/>
          <w:kern w:val="2"/>
          <w:szCs w:val="21"/>
        </w:rPr>
        <w:t>7</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_Toc19793 </w:instrText>
      </w:r>
      <w:r>
        <w:rPr>
          <w:rFonts w:hint="eastAsia" w:ascii="宋体" w:hAnsi="宋体" w:cs="宋体"/>
          <w:bCs w:val="0"/>
          <w:kern w:val="2"/>
          <w:szCs w:val="21"/>
        </w:rPr>
        <w:fldChar w:fldCharType="separate"/>
      </w:r>
      <w:r>
        <w:rPr>
          <w:rFonts w:hint="eastAsia" w:ascii="宋体" w:hAnsi="宋体" w:cs="宋体"/>
          <w:bCs w:val="0"/>
          <w:kern w:val="2"/>
          <w:szCs w:val="21"/>
        </w:rPr>
        <w:t>1．总则</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_Toc19793 \h </w:instrText>
      </w:r>
      <w:r>
        <w:rPr>
          <w:rFonts w:hint="eastAsia" w:ascii="宋体" w:hAnsi="宋体" w:cs="宋体"/>
          <w:bCs w:val="0"/>
          <w:kern w:val="2"/>
          <w:szCs w:val="21"/>
        </w:rPr>
        <w:fldChar w:fldCharType="separate"/>
      </w:r>
      <w:r>
        <w:rPr>
          <w:rFonts w:hint="eastAsia" w:ascii="宋体" w:hAnsi="宋体" w:cs="宋体"/>
          <w:bCs w:val="0"/>
          <w:kern w:val="2"/>
          <w:szCs w:val="21"/>
        </w:rPr>
        <w:t>11</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_Toc28614 </w:instrText>
      </w:r>
      <w:r>
        <w:rPr>
          <w:rFonts w:hint="eastAsia" w:ascii="宋体" w:hAnsi="宋体" w:cs="宋体"/>
          <w:bCs w:val="0"/>
          <w:kern w:val="2"/>
          <w:szCs w:val="21"/>
        </w:rPr>
        <w:fldChar w:fldCharType="separate"/>
      </w:r>
      <w:r>
        <w:rPr>
          <w:rFonts w:hint="eastAsia" w:ascii="宋体" w:hAnsi="宋体" w:cs="宋体"/>
          <w:bCs w:val="0"/>
          <w:kern w:val="2"/>
          <w:szCs w:val="21"/>
        </w:rPr>
        <w:t>2．竞争性磋商文件</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_Toc28614 \h </w:instrText>
      </w:r>
      <w:r>
        <w:rPr>
          <w:rFonts w:hint="eastAsia" w:ascii="宋体" w:hAnsi="宋体" w:cs="宋体"/>
          <w:bCs w:val="0"/>
          <w:kern w:val="2"/>
          <w:szCs w:val="21"/>
        </w:rPr>
        <w:fldChar w:fldCharType="separate"/>
      </w:r>
      <w:r>
        <w:rPr>
          <w:rFonts w:hint="eastAsia" w:ascii="宋体" w:hAnsi="宋体" w:cs="宋体"/>
          <w:bCs w:val="0"/>
          <w:kern w:val="2"/>
          <w:szCs w:val="21"/>
        </w:rPr>
        <w:t>15</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_Toc6298 </w:instrText>
      </w:r>
      <w:r>
        <w:rPr>
          <w:rFonts w:hint="eastAsia" w:ascii="宋体" w:hAnsi="宋体" w:cs="宋体"/>
          <w:bCs w:val="0"/>
          <w:kern w:val="2"/>
          <w:szCs w:val="21"/>
        </w:rPr>
        <w:fldChar w:fldCharType="separate"/>
      </w:r>
      <w:r>
        <w:rPr>
          <w:rFonts w:hint="eastAsia" w:ascii="宋体" w:hAnsi="宋体" w:cs="宋体"/>
          <w:bCs w:val="0"/>
          <w:kern w:val="2"/>
          <w:szCs w:val="21"/>
        </w:rPr>
        <w:t>3．响应文件的组成</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_Toc6298 \h </w:instrText>
      </w:r>
      <w:r>
        <w:rPr>
          <w:rFonts w:hint="eastAsia" w:ascii="宋体" w:hAnsi="宋体" w:cs="宋体"/>
          <w:bCs w:val="0"/>
          <w:kern w:val="2"/>
          <w:szCs w:val="21"/>
        </w:rPr>
        <w:fldChar w:fldCharType="separate"/>
      </w:r>
      <w:r>
        <w:rPr>
          <w:rFonts w:hint="eastAsia" w:ascii="宋体" w:hAnsi="宋体" w:cs="宋体"/>
          <w:bCs w:val="0"/>
          <w:kern w:val="2"/>
          <w:szCs w:val="21"/>
        </w:rPr>
        <w:t>15</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_Toc22392 </w:instrText>
      </w:r>
      <w:r>
        <w:rPr>
          <w:rFonts w:hint="eastAsia" w:ascii="宋体" w:hAnsi="宋体" w:cs="宋体"/>
          <w:bCs w:val="0"/>
          <w:kern w:val="2"/>
          <w:szCs w:val="21"/>
        </w:rPr>
        <w:fldChar w:fldCharType="separate"/>
      </w:r>
      <w:r>
        <w:rPr>
          <w:rFonts w:hint="eastAsia" w:ascii="宋体" w:hAnsi="宋体" w:cs="宋体"/>
          <w:bCs w:val="0"/>
          <w:kern w:val="2"/>
          <w:szCs w:val="21"/>
        </w:rPr>
        <w:t>4．响应文件的编制</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_Toc22392 \h </w:instrText>
      </w:r>
      <w:r>
        <w:rPr>
          <w:rFonts w:hint="eastAsia" w:ascii="宋体" w:hAnsi="宋体" w:cs="宋体"/>
          <w:bCs w:val="0"/>
          <w:kern w:val="2"/>
          <w:szCs w:val="21"/>
        </w:rPr>
        <w:fldChar w:fldCharType="separate"/>
      </w:r>
      <w:r>
        <w:rPr>
          <w:rFonts w:hint="eastAsia" w:ascii="宋体" w:hAnsi="宋体" w:cs="宋体"/>
          <w:bCs w:val="0"/>
          <w:kern w:val="2"/>
          <w:szCs w:val="21"/>
        </w:rPr>
        <w:t>16</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_Toc28925 </w:instrText>
      </w:r>
      <w:r>
        <w:rPr>
          <w:rFonts w:hint="eastAsia" w:ascii="宋体" w:hAnsi="宋体" w:cs="宋体"/>
          <w:bCs w:val="0"/>
          <w:kern w:val="2"/>
          <w:szCs w:val="21"/>
        </w:rPr>
        <w:fldChar w:fldCharType="separate"/>
      </w:r>
      <w:r>
        <w:rPr>
          <w:rFonts w:hint="eastAsia" w:ascii="宋体" w:hAnsi="宋体" w:cs="宋体"/>
          <w:bCs w:val="0"/>
          <w:kern w:val="2"/>
          <w:szCs w:val="21"/>
        </w:rPr>
        <w:t>5．响应文件的递交</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_Toc28925 \h </w:instrText>
      </w:r>
      <w:r>
        <w:rPr>
          <w:rFonts w:hint="eastAsia" w:ascii="宋体" w:hAnsi="宋体" w:cs="宋体"/>
          <w:bCs w:val="0"/>
          <w:kern w:val="2"/>
          <w:szCs w:val="21"/>
        </w:rPr>
        <w:fldChar w:fldCharType="separate"/>
      </w:r>
      <w:r>
        <w:rPr>
          <w:rFonts w:hint="eastAsia" w:ascii="宋体" w:hAnsi="宋体" w:cs="宋体"/>
          <w:bCs w:val="0"/>
          <w:kern w:val="2"/>
          <w:szCs w:val="21"/>
        </w:rPr>
        <w:t>17</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_Toc23425 </w:instrText>
      </w:r>
      <w:r>
        <w:rPr>
          <w:rFonts w:hint="eastAsia" w:ascii="宋体" w:hAnsi="宋体" w:cs="宋体"/>
          <w:bCs w:val="0"/>
          <w:kern w:val="2"/>
          <w:szCs w:val="21"/>
        </w:rPr>
        <w:fldChar w:fldCharType="separate"/>
      </w:r>
      <w:r>
        <w:rPr>
          <w:rFonts w:hint="eastAsia" w:ascii="宋体" w:hAnsi="宋体" w:cs="宋体"/>
          <w:bCs w:val="0"/>
          <w:kern w:val="2"/>
          <w:szCs w:val="21"/>
        </w:rPr>
        <w:t>6．磋商无效情形</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_Toc23425 \h </w:instrText>
      </w:r>
      <w:r>
        <w:rPr>
          <w:rFonts w:hint="eastAsia" w:ascii="宋体" w:hAnsi="宋体" w:cs="宋体"/>
          <w:bCs w:val="0"/>
          <w:kern w:val="2"/>
          <w:szCs w:val="21"/>
        </w:rPr>
        <w:fldChar w:fldCharType="separate"/>
      </w:r>
      <w:r>
        <w:rPr>
          <w:rFonts w:hint="eastAsia" w:ascii="宋体" w:hAnsi="宋体" w:cs="宋体"/>
          <w:bCs w:val="0"/>
          <w:kern w:val="2"/>
          <w:szCs w:val="21"/>
        </w:rPr>
        <w:t>17</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_Toc2673 </w:instrText>
      </w:r>
      <w:r>
        <w:rPr>
          <w:rFonts w:hint="eastAsia" w:ascii="宋体" w:hAnsi="宋体" w:cs="宋体"/>
          <w:bCs w:val="0"/>
          <w:kern w:val="2"/>
          <w:szCs w:val="21"/>
        </w:rPr>
        <w:fldChar w:fldCharType="separate"/>
      </w:r>
      <w:r>
        <w:rPr>
          <w:rFonts w:hint="eastAsia" w:ascii="宋体" w:hAnsi="宋体" w:cs="宋体"/>
          <w:bCs w:val="0"/>
          <w:kern w:val="2"/>
          <w:szCs w:val="21"/>
        </w:rPr>
        <w:t>7．磋商、磋商评审及定标</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_Toc2673 \h </w:instrText>
      </w:r>
      <w:r>
        <w:rPr>
          <w:rFonts w:hint="eastAsia" w:ascii="宋体" w:hAnsi="宋体" w:cs="宋体"/>
          <w:bCs w:val="0"/>
          <w:kern w:val="2"/>
          <w:szCs w:val="21"/>
        </w:rPr>
        <w:fldChar w:fldCharType="separate"/>
      </w:r>
      <w:r>
        <w:rPr>
          <w:rFonts w:hint="eastAsia" w:ascii="宋体" w:hAnsi="宋体" w:cs="宋体"/>
          <w:bCs w:val="0"/>
          <w:kern w:val="2"/>
          <w:szCs w:val="21"/>
        </w:rPr>
        <w:t>18</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_Toc14107 </w:instrText>
      </w:r>
      <w:r>
        <w:rPr>
          <w:rFonts w:hint="eastAsia" w:ascii="宋体" w:hAnsi="宋体" w:cs="宋体"/>
          <w:bCs w:val="0"/>
          <w:kern w:val="2"/>
          <w:szCs w:val="21"/>
        </w:rPr>
        <w:fldChar w:fldCharType="separate"/>
      </w:r>
      <w:r>
        <w:rPr>
          <w:rFonts w:hint="eastAsia" w:ascii="宋体" w:hAnsi="宋体" w:cs="宋体"/>
          <w:bCs w:val="0"/>
          <w:kern w:val="2"/>
          <w:szCs w:val="21"/>
        </w:rPr>
        <w:t>8．成交和合同</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_Toc14107 \h </w:instrText>
      </w:r>
      <w:r>
        <w:rPr>
          <w:rFonts w:hint="eastAsia" w:ascii="宋体" w:hAnsi="宋体" w:cs="宋体"/>
          <w:bCs w:val="0"/>
          <w:kern w:val="2"/>
          <w:szCs w:val="21"/>
        </w:rPr>
        <w:fldChar w:fldCharType="separate"/>
      </w:r>
      <w:r>
        <w:rPr>
          <w:rFonts w:hint="eastAsia" w:ascii="宋体" w:hAnsi="宋体" w:cs="宋体"/>
          <w:bCs w:val="0"/>
          <w:kern w:val="2"/>
          <w:szCs w:val="21"/>
        </w:rPr>
        <w:t>22</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_Toc13789 </w:instrText>
      </w:r>
      <w:r>
        <w:rPr>
          <w:rFonts w:hint="eastAsia" w:ascii="宋体" w:hAnsi="宋体" w:cs="宋体"/>
          <w:bCs w:val="0"/>
          <w:kern w:val="2"/>
          <w:szCs w:val="21"/>
        </w:rPr>
        <w:fldChar w:fldCharType="separate"/>
      </w:r>
      <w:r>
        <w:rPr>
          <w:rFonts w:hint="eastAsia" w:ascii="宋体" w:hAnsi="宋体" w:cs="宋体"/>
          <w:bCs w:val="0"/>
          <w:kern w:val="2"/>
          <w:szCs w:val="21"/>
        </w:rPr>
        <w:t>9．履约保证金和质保</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_Toc13789 \h </w:instrText>
      </w:r>
      <w:r>
        <w:rPr>
          <w:rFonts w:hint="eastAsia" w:ascii="宋体" w:hAnsi="宋体" w:cs="宋体"/>
          <w:bCs w:val="0"/>
          <w:kern w:val="2"/>
          <w:szCs w:val="21"/>
        </w:rPr>
        <w:fldChar w:fldCharType="separate"/>
      </w:r>
      <w:r>
        <w:rPr>
          <w:rFonts w:hint="eastAsia" w:ascii="宋体" w:hAnsi="宋体" w:cs="宋体"/>
          <w:bCs w:val="0"/>
          <w:kern w:val="2"/>
          <w:szCs w:val="21"/>
        </w:rPr>
        <w:t>23</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_Toc22470 </w:instrText>
      </w:r>
      <w:r>
        <w:rPr>
          <w:rFonts w:hint="eastAsia" w:ascii="宋体" w:hAnsi="宋体" w:cs="宋体"/>
          <w:bCs w:val="0"/>
          <w:kern w:val="2"/>
          <w:szCs w:val="21"/>
        </w:rPr>
        <w:fldChar w:fldCharType="separate"/>
      </w:r>
      <w:r>
        <w:rPr>
          <w:rFonts w:hint="eastAsia" w:ascii="宋体" w:hAnsi="宋体" w:cs="宋体"/>
          <w:bCs w:val="0"/>
          <w:kern w:val="2"/>
          <w:szCs w:val="21"/>
        </w:rPr>
        <w:t>10．其他事项</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_Toc22470 \h </w:instrText>
      </w:r>
      <w:r>
        <w:rPr>
          <w:rFonts w:hint="eastAsia" w:ascii="宋体" w:hAnsi="宋体" w:cs="宋体"/>
          <w:bCs w:val="0"/>
          <w:kern w:val="2"/>
          <w:szCs w:val="21"/>
        </w:rPr>
        <w:fldChar w:fldCharType="separate"/>
      </w:r>
      <w:r>
        <w:rPr>
          <w:rFonts w:hint="eastAsia" w:ascii="宋体" w:hAnsi="宋体" w:cs="宋体"/>
          <w:bCs w:val="0"/>
          <w:kern w:val="2"/>
          <w:szCs w:val="21"/>
        </w:rPr>
        <w:t>23</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_Toc21039 </w:instrText>
      </w:r>
      <w:r>
        <w:rPr>
          <w:rFonts w:hint="eastAsia" w:ascii="宋体" w:hAnsi="宋体" w:cs="宋体"/>
          <w:bCs w:val="0"/>
          <w:kern w:val="2"/>
          <w:szCs w:val="21"/>
        </w:rPr>
        <w:fldChar w:fldCharType="separate"/>
      </w:r>
      <w:r>
        <w:rPr>
          <w:rFonts w:hint="eastAsia" w:ascii="宋体" w:hAnsi="宋体" w:cs="宋体"/>
          <w:bCs w:val="0"/>
          <w:kern w:val="2"/>
          <w:szCs w:val="21"/>
        </w:rPr>
        <w:t>第四章 合同主要条款</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_Toc21039 \h </w:instrText>
      </w:r>
      <w:r>
        <w:rPr>
          <w:rFonts w:hint="eastAsia" w:ascii="宋体" w:hAnsi="宋体" w:cs="宋体"/>
          <w:bCs w:val="0"/>
          <w:kern w:val="2"/>
          <w:szCs w:val="21"/>
        </w:rPr>
        <w:fldChar w:fldCharType="separate"/>
      </w:r>
      <w:r>
        <w:rPr>
          <w:rFonts w:hint="eastAsia" w:ascii="宋体" w:hAnsi="宋体" w:cs="宋体"/>
          <w:bCs w:val="0"/>
          <w:kern w:val="2"/>
          <w:szCs w:val="21"/>
        </w:rPr>
        <w:t>24</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_Toc21115 </w:instrText>
      </w:r>
      <w:r>
        <w:rPr>
          <w:rFonts w:hint="eastAsia" w:ascii="宋体" w:hAnsi="宋体" w:cs="宋体"/>
          <w:bCs w:val="0"/>
          <w:kern w:val="2"/>
          <w:szCs w:val="21"/>
        </w:rPr>
        <w:fldChar w:fldCharType="separate"/>
      </w:r>
      <w:r>
        <w:rPr>
          <w:rFonts w:hint="eastAsia" w:ascii="宋体" w:hAnsi="宋体" w:cs="宋体"/>
          <w:bCs w:val="0"/>
          <w:kern w:val="2"/>
          <w:szCs w:val="21"/>
        </w:rPr>
        <w:t>二、廉政责任书</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_Toc21115 \h </w:instrText>
      </w:r>
      <w:r>
        <w:rPr>
          <w:rFonts w:hint="eastAsia" w:ascii="宋体" w:hAnsi="宋体" w:cs="宋体"/>
          <w:bCs w:val="0"/>
          <w:kern w:val="2"/>
          <w:szCs w:val="21"/>
        </w:rPr>
        <w:fldChar w:fldCharType="separate"/>
      </w:r>
      <w:r>
        <w:rPr>
          <w:rFonts w:hint="eastAsia" w:ascii="宋体" w:hAnsi="宋体" w:cs="宋体"/>
          <w:bCs w:val="0"/>
          <w:kern w:val="2"/>
          <w:szCs w:val="21"/>
        </w:rPr>
        <w:t>28</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_Toc4915 </w:instrText>
      </w:r>
      <w:r>
        <w:rPr>
          <w:rFonts w:hint="eastAsia" w:ascii="宋体" w:hAnsi="宋体" w:cs="宋体"/>
          <w:bCs w:val="0"/>
          <w:kern w:val="2"/>
          <w:szCs w:val="21"/>
        </w:rPr>
        <w:fldChar w:fldCharType="separate"/>
      </w:r>
      <w:r>
        <w:rPr>
          <w:rFonts w:hint="eastAsia" w:ascii="宋体" w:hAnsi="宋体" w:cs="宋体"/>
          <w:bCs w:val="0"/>
          <w:kern w:val="2"/>
          <w:szCs w:val="21"/>
        </w:rPr>
        <w:t>第五章 响应文件格式</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_Toc4915 \h </w:instrText>
      </w:r>
      <w:r>
        <w:rPr>
          <w:rFonts w:hint="eastAsia" w:ascii="宋体" w:hAnsi="宋体" w:cs="宋体"/>
          <w:bCs w:val="0"/>
          <w:kern w:val="2"/>
          <w:szCs w:val="21"/>
        </w:rPr>
        <w:fldChar w:fldCharType="separate"/>
      </w:r>
      <w:r>
        <w:rPr>
          <w:rFonts w:hint="eastAsia" w:ascii="宋体" w:hAnsi="宋体" w:cs="宋体"/>
          <w:bCs w:val="0"/>
          <w:kern w:val="2"/>
          <w:szCs w:val="21"/>
        </w:rPr>
        <w:t>30</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_Toc7074 </w:instrText>
      </w:r>
      <w:r>
        <w:rPr>
          <w:rFonts w:hint="eastAsia" w:ascii="宋体" w:hAnsi="宋体" w:cs="宋体"/>
          <w:bCs w:val="0"/>
          <w:kern w:val="2"/>
          <w:szCs w:val="21"/>
        </w:rPr>
        <w:fldChar w:fldCharType="separate"/>
      </w:r>
      <w:r>
        <w:rPr>
          <w:rFonts w:hint="eastAsia" w:ascii="宋体" w:hAnsi="宋体" w:cs="宋体"/>
          <w:bCs w:val="0"/>
          <w:kern w:val="2"/>
          <w:szCs w:val="21"/>
        </w:rPr>
        <w:t>一、响应文件格式说明</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_Toc7074 \h </w:instrText>
      </w:r>
      <w:r>
        <w:rPr>
          <w:rFonts w:hint="eastAsia" w:ascii="宋体" w:hAnsi="宋体" w:cs="宋体"/>
          <w:bCs w:val="0"/>
          <w:kern w:val="2"/>
          <w:szCs w:val="21"/>
        </w:rPr>
        <w:fldChar w:fldCharType="separate"/>
      </w:r>
      <w:r>
        <w:rPr>
          <w:rFonts w:hint="eastAsia" w:ascii="宋体" w:hAnsi="宋体" w:cs="宋体"/>
          <w:bCs w:val="0"/>
          <w:kern w:val="2"/>
          <w:szCs w:val="21"/>
        </w:rPr>
        <w:t>30</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_Toc13372 </w:instrText>
      </w:r>
      <w:r>
        <w:rPr>
          <w:rFonts w:hint="eastAsia" w:ascii="宋体" w:hAnsi="宋体" w:cs="宋体"/>
          <w:bCs w:val="0"/>
          <w:kern w:val="2"/>
          <w:szCs w:val="21"/>
        </w:rPr>
        <w:fldChar w:fldCharType="separate"/>
      </w:r>
      <w:r>
        <w:rPr>
          <w:rFonts w:hint="eastAsia" w:ascii="宋体" w:hAnsi="宋体" w:cs="宋体"/>
          <w:bCs w:val="0"/>
          <w:kern w:val="2"/>
          <w:szCs w:val="21"/>
        </w:rPr>
        <w:t>二、资格审查文件格式</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_Toc13372 \h </w:instrText>
      </w:r>
      <w:r>
        <w:rPr>
          <w:rFonts w:hint="eastAsia" w:ascii="宋体" w:hAnsi="宋体" w:cs="宋体"/>
          <w:bCs w:val="0"/>
          <w:kern w:val="2"/>
          <w:szCs w:val="21"/>
        </w:rPr>
        <w:fldChar w:fldCharType="separate"/>
      </w:r>
      <w:r>
        <w:rPr>
          <w:rFonts w:hint="eastAsia" w:ascii="宋体" w:hAnsi="宋体" w:cs="宋体"/>
          <w:bCs w:val="0"/>
          <w:kern w:val="2"/>
          <w:szCs w:val="21"/>
        </w:rPr>
        <w:t>31</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_Toc24494 </w:instrText>
      </w:r>
      <w:r>
        <w:rPr>
          <w:rFonts w:hint="eastAsia" w:ascii="宋体" w:hAnsi="宋体" w:cs="宋体"/>
          <w:bCs w:val="0"/>
          <w:kern w:val="2"/>
          <w:szCs w:val="21"/>
        </w:rPr>
        <w:fldChar w:fldCharType="separate"/>
      </w:r>
      <w:r>
        <w:rPr>
          <w:rFonts w:hint="eastAsia" w:ascii="宋体" w:hAnsi="宋体" w:cs="宋体"/>
          <w:bCs w:val="0"/>
          <w:kern w:val="2"/>
          <w:szCs w:val="21"/>
        </w:rPr>
        <w:t>三、商务技术文件格式</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_Toc24494 \h </w:instrText>
      </w:r>
      <w:r>
        <w:rPr>
          <w:rFonts w:hint="eastAsia" w:ascii="宋体" w:hAnsi="宋体" w:cs="宋体"/>
          <w:bCs w:val="0"/>
          <w:kern w:val="2"/>
          <w:szCs w:val="21"/>
        </w:rPr>
        <w:fldChar w:fldCharType="separate"/>
      </w:r>
      <w:r>
        <w:rPr>
          <w:rFonts w:hint="eastAsia" w:ascii="宋体" w:hAnsi="宋体" w:cs="宋体"/>
          <w:bCs w:val="0"/>
          <w:kern w:val="2"/>
          <w:szCs w:val="21"/>
        </w:rPr>
        <w:t>40</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_Toc7373 </w:instrText>
      </w:r>
      <w:r>
        <w:rPr>
          <w:rFonts w:hint="eastAsia" w:ascii="宋体" w:hAnsi="宋体" w:cs="宋体"/>
          <w:bCs w:val="0"/>
          <w:kern w:val="2"/>
          <w:szCs w:val="21"/>
        </w:rPr>
        <w:fldChar w:fldCharType="separate"/>
      </w:r>
      <w:r>
        <w:rPr>
          <w:rFonts w:hint="eastAsia" w:ascii="宋体" w:hAnsi="宋体" w:cs="宋体"/>
          <w:bCs w:val="0"/>
          <w:kern w:val="2"/>
          <w:szCs w:val="21"/>
        </w:rPr>
        <w:t>四、报价文件格式</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_Toc7373 \h </w:instrText>
      </w:r>
      <w:r>
        <w:rPr>
          <w:rFonts w:hint="eastAsia" w:ascii="宋体" w:hAnsi="宋体" w:cs="宋体"/>
          <w:bCs w:val="0"/>
          <w:kern w:val="2"/>
          <w:szCs w:val="21"/>
        </w:rPr>
        <w:fldChar w:fldCharType="separate"/>
      </w:r>
      <w:r>
        <w:rPr>
          <w:rFonts w:hint="eastAsia" w:ascii="宋体" w:hAnsi="宋体" w:cs="宋体"/>
          <w:bCs w:val="0"/>
          <w:kern w:val="2"/>
          <w:szCs w:val="21"/>
        </w:rPr>
        <w:t>46</w:t>
      </w:r>
      <w:r>
        <w:rPr>
          <w:rFonts w:hint="eastAsia" w:ascii="宋体" w:hAnsi="宋体" w:cs="宋体"/>
          <w:bCs w:val="0"/>
          <w:kern w:val="2"/>
          <w:szCs w:val="21"/>
        </w:rPr>
        <w:fldChar w:fldCharType="end"/>
      </w:r>
      <w:r>
        <w:rPr>
          <w:rFonts w:hint="eastAsia" w:ascii="宋体" w:hAnsi="宋体" w:cs="宋体"/>
          <w:bCs w:val="0"/>
          <w:kern w:val="2"/>
          <w:szCs w:val="21"/>
        </w:rPr>
        <w:fldChar w:fldCharType="end"/>
      </w:r>
    </w:p>
    <w:p>
      <w:pPr>
        <w:pStyle w:val="35"/>
        <w:tabs>
          <w:tab w:val="right" w:leader="dot" w:pos="9072"/>
          <w:tab w:val="clear" w:pos="1470"/>
          <w:tab w:val="clear" w:pos="9060"/>
        </w:tabs>
        <w:spacing w:line="360" w:lineRule="auto"/>
        <w:rPr>
          <w:rFonts w:hint="eastAsia" w:ascii="宋体" w:hAnsi="宋体" w:cs="宋体"/>
          <w:bCs w:val="0"/>
          <w:kern w:val="2"/>
          <w:szCs w:val="21"/>
        </w:rPr>
      </w:pPr>
      <w:r>
        <w:rPr>
          <w:rFonts w:hint="eastAsia" w:ascii="宋体" w:hAnsi="宋体" w:cs="宋体"/>
          <w:bCs w:val="0"/>
          <w:kern w:val="2"/>
          <w:szCs w:val="21"/>
        </w:rPr>
        <w:fldChar w:fldCharType="begin"/>
      </w:r>
      <w:r>
        <w:rPr>
          <w:rFonts w:hint="eastAsia" w:ascii="宋体" w:hAnsi="宋体" w:cs="宋体"/>
          <w:bCs w:val="0"/>
          <w:kern w:val="2"/>
          <w:szCs w:val="21"/>
        </w:rPr>
        <w:instrText xml:space="preserve"> HYPERLINK \l _Toc2430 </w:instrText>
      </w:r>
      <w:r>
        <w:rPr>
          <w:rFonts w:hint="eastAsia" w:ascii="宋体" w:hAnsi="宋体" w:cs="宋体"/>
          <w:bCs w:val="0"/>
          <w:kern w:val="2"/>
          <w:szCs w:val="21"/>
        </w:rPr>
        <w:fldChar w:fldCharType="separate"/>
      </w:r>
      <w:r>
        <w:rPr>
          <w:rFonts w:hint="eastAsia" w:ascii="宋体" w:hAnsi="宋体" w:cs="宋体"/>
          <w:bCs w:val="0"/>
          <w:kern w:val="2"/>
          <w:szCs w:val="21"/>
        </w:rPr>
        <w:t>第六章 磋商评审办法及评分标准</w:t>
      </w:r>
      <w:r>
        <w:rPr>
          <w:rFonts w:hint="eastAsia" w:ascii="宋体" w:hAnsi="宋体" w:cs="宋体"/>
          <w:bCs w:val="0"/>
          <w:kern w:val="2"/>
          <w:szCs w:val="21"/>
        </w:rPr>
        <w:tab/>
      </w:r>
      <w:r>
        <w:rPr>
          <w:rFonts w:hint="eastAsia" w:ascii="宋体" w:hAnsi="宋体" w:cs="宋体"/>
          <w:bCs w:val="0"/>
          <w:kern w:val="2"/>
          <w:szCs w:val="21"/>
        </w:rPr>
        <w:fldChar w:fldCharType="begin"/>
      </w:r>
      <w:r>
        <w:rPr>
          <w:rFonts w:hint="eastAsia" w:ascii="宋体" w:hAnsi="宋体" w:cs="宋体"/>
          <w:bCs w:val="0"/>
          <w:kern w:val="2"/>
          <w:szCs w:val="21"/>
        </w:rPr>
        <w:instrText xml:space="preserve"> PAGEREF _Toc2430 \h </w:instrText>
      </w:r>
      <w:r>
        <w:rPr>
          <w:rFonts w:hint="eastAsia" w:ascii="宋体" w:hAnsi="宋体" w:cs="宋体"/>
          <w:bCs w:val="0"/>
          <w:kern w:val="2"/>
          <w:szCs w:val="21"/>
        </w:rPr>
        <w:fldChar w:fldCharType="separate"/>
      </w:r>
      <w:r>
        <w:rPr>
          <w:rFonts w:hint="eastAsia" w:ascii="宋体" w:hAnsi="宋体" w:cs="宋体"/>
          <w:bCs w:val="0"/>
          <w:kern w:val="2"/>
          <w:szCs w:val="21"/>
        </w:rPr>
        <w:t>53</w:t>
      </w:r>
      <w:r>
        <w:rPr>
          <w:rFonts w:hint="eastAsia" w:ascii="宋体" w:hAnsi="宋体" w:cs="宋体"/>
          <w:bCs w:val="0"/>
          <w:kern w:val="2"/>
          <w:szCs w:val="21"/>
        </w:rPr>
        <w:fldChar w:fldCharType="end"/>
      </w:r>
      <w:r>
        <w:rPr>
          <w:rFonts w:hint="eastAsia" w:ascii="宋体" w:hAnsi="宋体" w:cs="宋体"/>
          <w:bCs w:val="0"/>
          <w:kern w:val="2"/>
          <w:szCs w:val="21"/>
        </w:rPr>
        <w:fldChar w:fldCharType="end"/>
      </w:r>
      <w:bookmarkEnd w:id="511"/>
    </w:p>
    <w:p>
      <w:pPr>
        <w:pStyle w:val="35"/>
        <w:tabs>
          <w:tab w:val="right" w:leader="dot" w:pos="9072"/>
          <w:tab w:val="clear" w:pos="1470"/>
          <w:tab w:val="clear" w:pos="9060"/>
        </w:tabs>
        <w:spacing w:line="360" w:lineRule="auto"/>
        <w:rPr>
          <w:rFonts w:ascii="宋体" w:hAnsi="宋体" w:cs="宋体"/>
          <w:bCs w:val="0"/>
          <w:kern w:val="2"/>
          <w:szCs w:val="24"/>
        </w:rPr>
      </w:pPr>
      <w:r>
        <w:rPr>
          <w:rFonts w:hint="eastAsia" w:ascii="宋体" w:hAnsi="宋体" w:cs="宋体"/>
          <w:bCs w:val="0"/>
          <w:kern w:val="2"/>
          <w:szCs w:val="21"/>
        </w:rPr>
        <w:fldChar w:fldCharType="end"/>
      </w:r>
    </w:p>
    <w:p>
      <w:pPr>
        <w:pStyle w:val="5"/>
        <w:keepNext w:val="0"/>
        <w:keepLines w:val="0"/>
        <w:snapToGrid w:val="0"/>
        <w:spacing w:before="0" w:line="348" w:lineRule="auto"/>
        <w:rPr>
          <w:rStyle w:val="98"/>
          <w:rFonts w:ascii="宋体" w:hAnsi="宋体" w:cs="宋体"/>
          <w:b/>
          <w:bCs/>
        </w:rPr>
      </w:pPr>
      <w:r>
        <w:rPr>
          <w:rFonts w:hint="eastAsia" w:ascii="宋体" w:hAnsi="宋体" w:cs="宋体"/>
          <w:bCs w:val="0"/>
          <w:kern w:val="2"/>
          <w:szCs w:val="24"/>
        </w:rPr>
        <w:br w:type="page"/>
      </w:r>
      <w:bookmarkStart w:id="9" w:name="_Toc18252"/>
      <w:bookmarkStart w:id="10" w:name="_Toc32159"/>
      <w:r>
        <w:rPr>
          <w:rStyle w:val="98"/>
          <w:rFonts w:hint="eastAsia" w:ascii="宋体" w:hAnsi="宋体" w:cs="宋体"/>
          <w:b/>
          <w:bCs/>
        </w:rPr>
        <w:t xml:space="preserve">第一章 </w:t>
      </w:r>
      <w:bookmarkEnd w:id="7"/>
      <w:bookmarkEnd w:id="8"/>
      <w:r>
        <w:rPr>
          <w:rFonts w:hint="eastAsia" w:ascii="宋体" w:hAnsi="宋体" w:cs="宋体"/>
        </w:rPr>
        <w:t>竞争性磋商</w:t>
      </w:r>
      <w:r>
        <w:rPr>
          <w:rStyle w:val="98"/>
          <w:rFonts w:hint="eastAsia" w:ascii="宋体" w:hAnsi="宋体" w:cs="宋体"/>
          <w:b/>
          <w:bCs/>
        </w:rPr>
        <w:t>公告</w:t>
      </w:r>
      <w:bookmarkEnd w:id="9"/>
      <w:bookmarkEnd w:id="10"/>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pPr>
              <w:pStyle w:val="38"/>
              <w:spacing w:before="75" w:beforeAutospacing="0" w:after="150" w:afterAutospacing="0"/>
              <w:rPr>
                <w:sz w:val="21"/>
                <w:szCs w:val="21"/>
              </w:rPr>
            </w:pPr>
            <w:r>
              <w:rPr>
                <w:rFonts w:hint="eastAsia"/>
                <w:sz w:val="21"/>
                <w:szCs w:val="21"/>
              </w:rPr>
              <w:t>项目概况:</w:t>
            </w:r>
          </w:p>
          <w:p>
            <w:pPr>
              <w:pStyle w:val="38"/>
              <w:spacing w:before="75" w:beforeAutospacing="0" w:after="75" w:afterAutospacing="0" w:line="288" w:lineRule="auto"/>
              <w:rPr>
                <w:sz w:val="21"/>
                <w:szCs w:val="21"/>
              </w:rPr>
            </w:pPr>
            <w:r>
              <w:rPr>
                <w:rFonts w:hint="eastAsia"/>
                <w:sz w:val="21"/>
                <w:szCs w:val="21"/>
              </w:rPr>
              <w:t>   </w:t>
            </w:r>
            <w:r>
              <w:rPr>
                <w:rFonts w:hint="eastAsia"/>
                <w:sz w:val="21"/>
                <w:szCs w:val="21"/>
                <w:lang w:eastAsia="zh-CN"/>
              </w:rPr>
              <w:t>缙云县文物建筑白蚁防治示范项目</w:t>
            </w:r>
            <w:r>
              <w:rPr>
                <w:rFonts w:hint="eastAsia"/>
                <w:sz w:val="21"/>
                <w:szCs w:val="21"/>
              </w:rPr>
              <w:t>采购的潜在供应商应在浙江省政府采购网（www.zjzfcg.gov.cn）获取（下载）采购文件，并于</w:t>
            </w:r>
            <w:r>
              <w:rPr>
                <w:rFonts w:hint="eastAsia"/>
                <w:sz w:val="21"/>
                <w:szCs w:val="21"/>
                <w:lang w:eastAsia="zh-CN"/>
              </w:rPr>
              <w:t>2023</w:t>
            </w:r>
            <w:r>
              <w:rPr>
                <w:rFonts w:hint="eastAsia"/>
                <w:sz w:val="21"/>
                <w:szCs w:val="21"/>
              </w:rPr>
              <w:t>年</w:t>
            </w:r>
            <w:r>
              <w:rPr>
                <w:rFonts w:hint="eastAsia"/>
                <w:sz w:val="21"/>
                <w:szCs w:val="21"/>
                <w:lang w:val="en-US" w:eastAsia="zh-CN"/>
              </w:rPr>
              <w:t>4月14</w:t>
            </w:r>
            <w:r>
              <w:rPr>
                <w:rFonts w:hint="eastAsia"/>
                <w:sz w:val="21"/>
                <w:szCs w:val="21"/>
              </w:rPr>
              <w:t>日9:00（北京时间）前提交（上传）响应文件。 </w:t>
            </w:r>
          </w:p>
        </w:tc>
      </w:tr>
    </w:tbl>
    <w:p>
      <w:pPr>
        <w:snapToGrid w:val="0"/>
        <w:spacing w:line="360" w:lineRule="exact"/>
        <w:jc w:val="left"/>
        <w:rPr>
          <w:rStyle w:val="45"/>
          <w:rFonts w:ascii="宋体" w:hAnsi="宋体" w:cs="宋体"/>
          <w:szCs w:val="21"/>
        </w:rPr>
      </w:pPr>
      <w:r>
        <w:rPr>
          <w:rStyle w:val="45"/>
          <w:rFonts w:hint="eastAsia" w:ascii="宋体" w:hAnsi="宋体" w:cs="宋体"/>
          <w:szCs w:val="21"/>
        </w:rPr>
        <w:t>一、项目基本情况</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项目编号：JYZFCG(分散)磋商</w:t>
      </w:r>
      <w:r>
        <w:rPr>
          <w:rFonts w:hint="eastAsia" w:ascii="宋体" w:hAnsi="宋体" w:cs="宋体"/>
          <w:kern w:val="0"/>
          <w:szCs w:val="21"/>
          <w:lang w:eastAsia="zh-CN"/>
        </w:rPr>
        <w:t>2023</w:t>
      </w:r>
      <w:r>
        <w:rPr>
          <w:rFonts w:hint="eastAsia" w:ascii="宋体" w:hAnsi="宋体" w:cs="宋体"/>
          <w:kern w:val="0"/>
          <w:szCs w:val="21"/>
        </w:rPr>
        <w:t>-</w:t>
      </w:r>
      <w:r>
        <w:rPr>
          <w:rFonts w:hint="eastAsia" w:ascii="宋体" w:hAnsi="宋体" w:cs="宋体"/>
          <w:kern w:val="0"/>
          <w:szCs w:val="21"/>
          <w:lang w:val="en-US" w:eastAsia="zh-CN"/>
        </w:rPr>
        <w:t>16</w:t>
      </w:r>
      <w:r>
        <w:rPr>
          <w:rFonts w:hint="eastAsia" w:ascii="宋体" w:hAnsi="宋体" w:cs="宋体"/>
          <w:kern w:val="0"/>
          <w:szCs w:val="21"/>
        </w:rPr>
        <w:t xml:space="preserve">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缙云县文物建筑白蚁防治示范项目</w:t>
      </w:r>
      <w:r>
        <w:rPr>
          <w:rFonts w:hint="eastAsia" w:ascii="宋体" w:hAnsi="宋体" w:cs="宋体"/>
          <w:kern w:val="0"/>
          <w:szCs w:val="21"/>
        </w:rPr>
        <w:t>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采购方式：竞争性磋商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预算金额（元）：</w:t>
      </w:r>
      <w:r>
        <w:rPr>
          <w:rFonts w:hint="eastAsia" w:ascii="宋体" w:hAnsi="宋体" w:cs="宋体"/>
          <w:kern w:val="0"/>
          <w:szCs w:val="21"/>
          <w:lang w:val="en-US" w:eastAsia="zh-CN"/>
        </w:rPr>
        <w:t>1000000</w:t>
      </w:r>
      <w:r>
        <w:rPr>
          <w:rFonts w:hint="eastAsia" w:ascii="宋体" w:hAnsi="宋体" w:cs="宋体"/>
          <w:kern w:val="0"/>
          <w:szCs w:val="21"/>
        </w:rPr>
        <w:t> </w:t>
      </w:r>
    </w:p>
    <w:p>
      <w:pPr>
        <w:wordWrap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rPr>
        <w:t>最高限价（元）：</w:t>
      </w:r>
      <w:r>
        <w:rPr>
          <w:rFonts w:hint="eastAsia" w:ascii="宋体" w:hAnsi="宋体" w:cs="宋体"/>
          <w:kern w:val="0"/>
          <w:szCs w:val="21"/>
          <w:lang w:val="en-US" w:eastAsia="zh-CN"/>
        </w:rPr>
        <w:t>1000000</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采购需求</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标项一</w:t>
      </w:r>
    </w:p>
    <w:p>
      <w:pPr>
        <w:wordWrap w:val="0"/>
        <w:spacing w:line="36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标项名称：</w:t>
      </w:r>
      <w:r>
        <w:rPr>
          <w:rFonts w:hint="eastAsia" w:ascii="宋体" w:hAnsi="宋体" w:cs="宋体"/>
          <w:kern w:val="0"/>
          <w:szCs w:val="21"/>
          <w:lang w:eastAsia="zh-CN"/>
        </w:rPr>
        <w:t>缙云县文物建筑白蚁防治示范项目</w:t>
      </w:r>
      <w:r>
        <w:rPr>
          <w:rFonts w:hint="eastAsia" w:ascii="宋体" w:hAnsi="宋体" w:cs="宋体"/>
          <w:kern w:val="0"/>
          <w:szCs w:val="21"/>
        </w:rPr>
        <w:t>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数量：不限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单位：项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预算金额（元）:</w:t>
      </w:r>
      <w:r>
        <w:rPr>
          <w:rFonts w:hint="eastAsia" w:ascii="宋体" w:hAnsi="宋体" w:cs="宋体"/>
          <w:kern w:val="0"/>
          <w:szCs w:val="21"/>
          <w:lang w:val="en-US" w:eastAsia="zh-CN"/>
        </w:rPr>
        <w:t>10</w:t>
      </w:r>
      <w:r>
        <w:rPr>
          <w:rFonts w:hint="eastAsia" w:ascii="宋体" w:hAnsi="宋体" w:cs="宋体"/>
          <w:kern w:val="0"/>
          <w:szCs w:val="21"/>
        </w:rPr>
        <w:t>00000</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简要规格描述：</w:t>
      </w:r>
      <w:r>
        <w:rPr>
          <w:rFonts w:hint="eastAsia" w:ascii="宋体" w:hAnsi="宋体" w:cs="宋体"/>
          <w:kern w:val="0"/>
          <w:szCs w:val="21"/>
          <w:lang w:val="en-US" w:eastAsia="zh-CN"/>
        </w:rPr>
        <w:t>详见采购需求</w:t>
      </w:r>
      <w:r>
        <w:rPr>
          <w:rFonts w:hint="eastAsia" w:ascii="宋体" w:hAnsi="宋体" w:cs="宋体"/>
          <w:kern w:val="0"/>
          <w:szCs w:val="21"/>
        </w:rPr>
        <w:t>。 </w:t>
      </w:r>
    </w:p>
    <w:p>
      <w:pPr>
        <w:wordWrap w:val="0"/>
        <w:spacing w:line="360" w:lineRule="exact"/>
        <w:ind w:firstLine="420" w:firstLineChars="200"/>
        <w:rPr>
          <w:rFonts w:hint="eastAsia" w:ascii="宋体" w:hAnsi="宋体" w:cs="宋体"/>
          <w:kern w:val="0"/>
          <w:szCs w:val="21"/>
        </w:rPr>
      </w:pPr>
      <w:r>
        <w:rPr>
          <w:rFonts w:hint="eastAsia" w:ascii="宋体" w:hAnsi="宋体" w:cs="宋体"/>
          <w:kern w:val="0"/>
          <w:szCs w:val="21"/>
        </w:rPr>
        <w:t>合同履约期限：详见竞争性磋商文件</w:t>
      </w:r>
    </w:p>
    <w:p>
      <w:pPr>
        <w:snapToGrid w:val="0"/>
        <w:spacing w:line="360" w:lineRule="exact"/>
        <w:jc w:val="left"/>
        <w:rPr>
          <w:rStyle w:val="45"/>
          <w:rFonts w:ascii="宋体" w:hAnsi="宋体" w:cs="宋体"/>
          <w:szCs w:val="21"/>
        </w:rPr>
      </w:pPr>
      <w:r>
        <w:rPr>
          <w:rStyle w:val="45"/>
          <w:rFonts w:hint="eastAsia" w:ascii="宋体" w:hAnsi="宋体" w:cs="宋体"/>
          <w:szCs w:val="21"/>
        </w:rPr>
        <w:t>二、申请人的资格要求</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1.满足《中华人民共和国政府采购法》第二十二条规定；</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2.落实政府采购政策需满足的资格要求：</w:t>
      </w:r>
      <w:r>
        <w:rPr>
          <w:rFonts w:hint="eastAsia" w:ascii="宋体" w:hAnsi="宋体" w:cs="宋体"/>
          <w:szCs w:val="21"/>
        </w:rPr>
        <w:t>根据《政府采购促进中小企业发展管理办法》（财库﹝2020﹞46号）规定，本项目</w:t>
      </w:r>
      <w:r>
        <w:rPr>
          <w:rFonts w:hint="eastAsia" w:ascii="宋体" w:hAnsi="宋体" w:cs="宋体"/>
          <w:szCs w:val="21"/>
          <w:u w:val="single"/>
        </w:rPr>
        <w:t>否</w:t>
      </w:r>
      <w:r>
        <w:rPr>
          <w:rFonts w:hint="eastAsia" w:ascii="宋体" w:hAnsi="宋体" w:cs="宋体"/>
          <w:szCs w:val="21"/>
        </w:rPr>
        <w:t>专门面向中小企业采购，合同总额的40%须分包由中小企业实施（其中预留给小微企业的比例不得低于70%）。</w:t>
      </w:r>
    </w:p>
    <w:p>
      <w:pPr>
        <w:snapToGrid w:val="0"/>
        <w:spacing w:line="360" w:lineRule="exact"/>
        <w:jc w:val="left"/>
        <w:rPr>
          <w:rStyle w:val="45"/>
          <w:rFonts w:ascii="宋体" w:hAnsi="宋体" w:cs="宋体"/>
          <w:szCs w:val="21"/>
        </w:rPr>
      </w:pPr>
      <w:r>
        <w:rPr>
          <w:rStyle w:val="45"/>
          <w:rFonts w:hint="eastAsia" w:ascii="宋体" w:hAnsi="宋体" w:cs="宋体"/>
          <w:szCs w:val="21"/>
        </w:rPr>
        <w:t>三、获取（下载）采购文件</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1.时间：/至</w:t>
      </w:r>
      <w:r>
        <w:rPr>
          <w:rFonts w:hint="eastAsia" w:ascii="宋体" w:hAnsi="宋体" w:cs="宋体"/>
          <w:kern w:val="0"/>
          <w:szCs w:val="21"/>
          <w:lang w:eastAsia="zh-CN"/>
        </w:rPr>
        <w:t>2023</w:t>
      </w:r>
      <w:r>
        <w:rPr>
          <w:rFonts w:hint="eastAsia" w:ascii="宋体" w:hAnsi="宋体" w:cs="宋体"/>
          <w:kern w:val="0"/>
          <w:szCs w:val="21"/>
        </w:rPr>
        <w:t>年</w:t>
      </w:r>
      <w:r>
        <w:rPr>
          <w:rFonts w:hint="eastAsia" w:ascii="宋体" w:hAnsi="宋体" w:cs="宋体"/>
          <w:kern w:val="0"/>
          <w:szCs w:val="21"/>
          <w:lang w:val="en-US" w:eastAsia="zh-CN"/>
        </w:rPr>
        <w:t>4月14</w:t>
      </w:r>
      <w:r>
        <w:rPr>
          <w:rFonts w:hint="eastAsia" w:ascii="宋体" w:hAnsi="宋体" w:cs="宋体"/>
          <w:kern w:val="0"/>
          <w:szCs w:val="21"/>
        </w:rPr>
        <w:t>日，每天上午00:00至12:00，下午12:00至23:59（北京时间，线上获取法定节假日均可，线下获取文件法定节假日除外）。</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2.地点（网址）：浙江政府采购网（zfcg.czt.zj.gov.cn）公告附件。</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3.方式：供应商在浙江政府采购网（zfcg.czt.zj.gov.cn）登录政采云平台进入“项目采购”模块“获取采购文件”菜单，进行网上获取竞争性磋商文件。</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4.售价（元）：0 </w:t>
      </w:r>
    </w:p>
    <w:p>
      <w:pPr>
        <w:snapToGrid w:val="0"/>
        <w:spacing w:line="360" w:lineRule="exact"/>
        <w:jc w:val="left"/>
        <w:rPr>
          <w:rStyle w:val="45"/>
          <w:rFonts w:ascii="宋体" w:hAnsi="宋体" w:cs="宋体"/>
          <w:szCs w:val="21"/>
        </w:rPr>
      </w:pPr>
      <w:r>
        <w:rPr>
          <w:rStyle w:val="45"/>
          <w:rFonts w:hint="eastAsia" w:ascii="宋体" w:hAnsi="宋体" w:cs="宋体"/>
          <w:szCs w:val="21"/>
        </w:rPr>
        <w:t>四、响应文件提交（上传）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1.截止时间：</w:t>
      </w:r>
      <w:r>
        <w:rPr>
          <w:rFonts w:hint="eastAsia" w:ascii="宋体" w:hAnsi="宋体" w:cs="宋体"/>
          <w:kern w:val="0"/>
          <w:szCs w:val="21"/>
          <w:lang w:eastAsia="zh-CN"/>
        </w:rPr>
        <w:t>2023</w:t>
      </w:r>
      <w:r>
        <w:rPr>
          <w:rFonts w:hint="eastAsia" w:ascii="宋体" w:hAnsi="宋体" w:cs="宋体"/>
          <w:kern w:val="0"/>
          <w:szCs w:val="21"/>
        </w:rPr>
        <w:t xml:space="preserve">年 </w:t>
      </w:r>
      <w:r>
        <w:rPr>
          <w:rFonts w:hint="eastAsia" w:ascii="宋体" w:hAnsi="宋体" w:cs="宋体"/>
          <w:kern w:val="0"/>
          <w:szCs w:val="21"/>
          <w:lang w:val="en-US" w:eastAsia="zh-CN"/>
        </w:rPr>
        <w:t>4月14</w:t>
      </w:r>
      <w:r>
        <w:rPr>
          <w:rFonts w:hint="eastAsia" w:ascii="宋体" w:hAnsi="宋体" w:cs="宋体"/>
          <w:kern w:val="0"/>
          <w:szCs w:val="21"/>
        </w:rPr>
        <w:t>日9:00（北京时间）</w:t>
      </w:r>
    </w:p>
    <w:p>
      <w:pPr>
        <w:wordWrap w:val="0"/>
        <w:spacing w:line="360" w:lineRule="exact"/>
        <w:ind w:firstLine="420" w:firstLineChars="200"/>
        <w:rPr>
          <w:rFonts w:hint="eastAsia" w:ascii="宋体" w:hAnsi="宋体" w:cs="宋体"/>
          <w:kern w:val="0"/>
          <w:szCs w:val="21"/>
        </w:rPr>
      </w:pPr>
      <w:r>
        <w:rPr>
          <w:rFonts w:hint="eastAsia" w:ascii="宋体" w:hAnsi="宋体" w:cs="宋体"/>
          <w:kern w:val="0"/>
          <w:szCs w:val="21"/>
        </w:rPr>
        <w:t>2.地点（网址）：政采云平台https://www.zcygov.cn/。本项目实行电子招投标，供应商须在响应文件截止时间前，前往政采云平台上传电子投标文件，无需到达现场提交响应文件。</w:t>
      </w:r>
    </w:p>
    <w:p>
      <w:pPr>
        <w:snapToGrid w:val="0"/>
        <w:spacing w:line="360" w:lineRule="exact"/>
        <w:jc w:val="left"/>
        <w:rPr>
          <w:rStyle w:val="45"/>
          <w:rFonts w:ascii="宋体" w:hAnsi="宋体" w:cs="宋体"/>
          <w:szCs w:val="21"/>
        </w:rPr>
      </w:pPr>
      <w:r>
        <w:rPr>
          <w:rStyle w:val="45"/>
          <w:rFonts w:hint="eastAsia" w:ascii="宋体" w:hAnsi="宋体" w:cs="宋体"/>
          <w:szCs w:val="21"/>
        </w:rPr>
        <w:t>五、响应文件开启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开启时间：</w:t>
      </w:r>
      <w:r>
        <w:rPr>
          <w:rFonts w:hint="eastAsia" w:ascii="宋体" w:hAnsi="宋体" w:cs="宋体"/>
          <w:kern w:val="0"/>
          <w:szCs w:val="21"/>
          <w:lang w:eastAsia="zh-CN"/>
        </w:rPr>
        <w:t>2023</w:t>
      </w:r>
      <w:r>
        <w:rPr>
          <w:rFonts w:hint="eastAsia" w:ascii="宋体" w:hAnsi="宋体" w:cs="宋体"/>
          <w:kern w:val="0"/>
          <w:szCs w:val="21"/>
        </w:rPr>
        <w:t>年</w:t>
      </w:r>
      <w:r>
        <w:rPr>
          <w:rFonts w:hint="eastAsia" w:ascii="宋体" w:hAnsi="宋体" w:cs="宋体"/>
          <w:kern w:val="0"/>
          <w:szCs w:val="21"/>
          <w:lang w:val="en-US" w:eastAsia="zh-CN"/>
        </w:rPr>
        <w:t>4月14</w:t>
      </w:r>
      <w:r>
        <w:rPr>
          <w:rFonts w:hint="eastAsia" w:ascii="宋体" w:hAnsi="宋体" w:cs="宋体"/>
          <w:kern w:val="0"/>
          <w:szCs w:val="21"/>
        </w:rPr>
        <w:t>日9:00（北京时间）</w:t>
      </w:r>
    </w:p>
    <w:p>
      <w:pPr>
        <w:wordWrap w:val="0"/>
        <w:spacing w:line="360" w:lineRule="exact"/>
        <w:ind w:firstLine="420" w:firstLineChars="200"/>
        <w:rPr>
          <w:rFonts w:ascii="宋体" w:hAnsi="宋体" w:cs="宋体"/>
          <w:szCs w:val="21"/>
        </w:rPr>
      </w:pPr>
      <w:r>
        <w:rPr>
          <w:rFonts w:hint="eastAsia" w:ascii="宋体" w:hAnsi="宋体" w:cs="宋体"/>
          <w:kern w:val="0"/>
          <w:szCs w:val="21"/>
        </w:rPr>
        <w:t>地点（网址）：缙云县新区黄龙路48号广电大楼六楼开标大厅。 </w:t>
      </w:r>
    </w:p>
    <w:p>
      <w:pPr>
        <w:snapToGrid w:val="0"/>
        <w:spacing w:line="360" w:lineRule="exact"/>
        <w:jc w:val="left"/>
        <w:rPr>
          <w:rStyle w:val="45"/>
          <w:rFonts w:ascii="宋体" w:hAnsi="宋体" w:cs="宋体"/>
          <w:szCs w:val="21"/>
        </w:rPr>
      </w:pPr>
      <w:r>
        <w:rPr>
          <w:rStyle w:val="45"/>
          <w:rFonts w:hint="eastAsia" w:ascii="宋体" w:hAnsi="宋体" w:cs="宋体"/>
          <w:szCs w:val="21"/>
        </w:rPr>
        <w:t>六、公告期限</w:t>
      </w:r>
    </w:p>
    <w:p>
      <w:pPr>
        <w:pStyle w:val="38"/>
        <w:spacing w:before="75" w:beforeAutospacing="0" w:after="75" w:afterAutospacing="0" w:line="400" w:lineRule="exact"/>
        <w:rPr>
          <w:sz w:val="21"/>
          <w:szCs w:val="21"/>
        </w:rPr>
      </w:pPr>
      <w:r>
        <w:rPr>
          <w:rFonts w:hint="eastAsia"/>
          <w:sz w:val="21"/>
          <w:szCs w:val="21"/>
        </w:rPr>
        <w:t>   自本公告发布之日起5个工作日。</w:t>
      </w:r>
    </w:p>
    <w:p>
      <w:pPr>
        <w:snapToGrid w:val="0"/>
        <w:spacing w:line="400" w:lineRule="exact"/>
        <w:jc w:val="left"/>
        <w:rPr>
          <w:rStyle w:val="45"/>
          <w:rFonts w:ascii="宋体" w:hAnsi="宋体" w:cs="宋体"/>
          <w:szCs w:val="21"/>
        </w:rPr>
      </w:pPr>
      <w:r>
        <w:rPr>
          <w:rStyle w:val="45"/>
          <w:rFonts w:hint="eastAsia" w:ascii="宋体" w:hAnsi="宋体" w:cs="宋体"/>
          <w:szCs w:val="21"/>
        </w:rPr>
        <w:t>七、其他补充事宜 </w:t>
      </w:r>
    </w:p>
    <w:p>
      <w:pPr>
        <w:pStyle w:val="38"/>
        <w:spacing w:before="75" w:beforeAutospacing="0" w:after="75" w:afterAutospacing="0" w:line="400" w:lineRule="exact"/>
        <w:rPr>
          <w:rFonts w:hint="eastAsia" w:eastAsia="宋体"/>
          <w:sz w:val="21"/>
          <w:szCs w:val="21"/>
          <w:lang w:eastAsia="zh-CN"/>
        </w:rPr>
      </w:pPr>
      <w:r>
        <w:rPr>
          <w:rFonts w:hint="eastAsia"/>
          <w:sz w:val="21"/>
          <w:szCs w:val="21"/>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8"/>
        <w:spacing w:before="75" w:beforeAutospacing="0" w:after="75" w:afterAutospacing="0" w:line="400" w:lineRule="exact"/>
        <w:rPr>
          <w:sz w:val="21"/>
          <w:szCs w:val="21"/>
        </w:rPr>
      </w:pPr>
      <w:r>
        <w:rPr>
          <w:rFonts w:hint="eastAsia"/>
          <w:sz w:val="21"/>
          <w:szCs w:val="21"/>
        </w:rPr>
        <w:t>   2.其他事项：无  </w:t>
      </w:r>
    </w:p>
    <w:p>
      <w:pPr>
        <w:snapToGrid w:val="0"/>
        <w:spacing w:line="400" w:lineRule="exact"/>
        <w:jc w:val="left"/>
        <w:rPr>
          <w:rFonts w:ascii="宋体" w:hAnsi="宋体" w:cs="宋体"/>
          <w:b/>
          <w:bCs/>
          <w:szCs w:val="21"/>
        </w:rPr>
      </w:pPr>
      <w:r>
        <w:rPr>
          <w:rStyle w:val="45"/>
          <w:rFonts w:hint="eastAsia" w:ascii="宋体" w:hAnsi="宋体" w:cs="宋体"/>
          <w:szCs w:val="21"/>
        </w:rPr>
        <w:t>八、凡对本次招标提出询问，请按以下方式联系</w:t>
      </w:r>
    </w:p>
    <w:p>
      <w:pPr>
        <w:snapToGrid w:val="0"/>
        <w:spacing w:line="400" w:lineRule="exact"/>
        <w:ind w:firstLine="420" w:firstLineChars="200"/>
        <w:rPr>
          <w:rFonts w:ascii="宋体" w:hAnsi="宋体" w:cs="宋体"/>
          <w:szCs w:val="21"/>
        </w:rPr>
      </w:pPr>
      <w:r>
        <w:rPr>
          <w:rFonts w:hint="eastAsia" w:ascii="宋体" w:hAnsi="宋体" w:cs="宋体"/>
          <w:szCs w:val="21"/>
        </w:rPr>
        <w:t>1、采购人信息</w:t>
      </w:r>
    </w:p>
    <w:p>
      <w:pPr>
        <w:snapToGrid w:val="0"/>
        <w:spacing w:line="400" w:lineRule="exact"/>
        <w:ind w:left="420"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lang w:eastAsia="zh-CN"/>
        </w:rPr>
        <w:t>缙云县文化和广电旅游体育局</w:t>
      </w:r>
      <w:r>
        <w:rPr>
          <w:rFonts w:hint="eastAsia" w:ascii="宋体" w:hAnsi="宋体" w:cs="宋体"/>
          <w:szCs w:val="21"/>
        </w:rPr>
        <w:t xml:space="preserve">  </w:t>
      </w:r>
    </w:p>
    <w:p>
      <w:pPr>
        <w:snapToGrid w:val="0"/>
        <w:spacing w:line="400" w:lineRule="exact"/>
        <w:ind w:left="42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联系人：</w:t>
      </w:r>
      <w:r>
        <w:rPr>
          <w:rFonts w:hint="eastAsia" w:ascii="宋体" w:hAnsi="宋体" w:cs="宋体"/>
          <w:szCs w:val="21"/>
          <w:highlight w:val="none"/>
          <w:lang w:val="en-US" w:eastAsia="zh-CN"/>
        </w:rPr>
        <w:t xml:space="preserve"> 江女士</w:t>
      </w:r>
    </w:p>
    <w:p>
      <w:pPr>
        <w:snapToGrid w:val="0"/>
        <w:spacing w:line="400" w:lineRule="exact"/>
        <w:ind w:left="42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联系电话：</w:t>
      </w:r>
      <w:r>
        <w:rPr>
          <w:rFonts w:hint="eastAsia" w:ascii="宋体" w:hAnsi="宋体" w:cs="宋体"/>
          <w:szCs w:val="21"/>
          <w:highlight w:val="none"/>
          <w:lang w:val="en-US" w:eastAsia="zh-CN"/>
        </w:rPr>
        <w:t xml:space="preserve">0578-3315120 </w:t>
      </w:r>
    </w:p>
    <w:p>
      <w:pPr>
        <w:numPr>
          <w:ilvl w:val="0"/>
          <w:numId w:val="3"/>
        </w:numPr>
        <w:snapToGrid w:val="0"/>
        <w:spacing w:line="400" w:lineRule="exact"/>
        <w:ind w:firstLine="420" w:firstLineChars="200"/>
        <w:rPr>
          <w:rFonts w:ascii="宋体" w:hAnsi="宋体" w:cs="宋体"/>
          <w:szCs w:val="21"/>
        </w:rPr>
      </w:pPr>
      <w:r>
        <w:rPr>
          <w:rFonts w:hint="eastAsia" w:ascii="宋体" w:hAnsi="宋体" w:cs="宋体"/>
          <w:szCs w:val="21"/>
        </w:rPr>
        <w:t>采购代理机构信息</w:t>
      </w:r>
    </w:p>
    <w:p>
      <w:pPr>
        <w:snapToGrid w:val="0"/>
        <w:spacing w:line="400" w:lineRule="exact"/>
        <w:ind w:left="420" w:firstLine="420" w:firstLineChars="200"/>
        <w:rPr>
          <w:rFonts w:ascii="宋体" w:hAnsi="宋体" w:cs="宋体"/>
          <w:szCs w:val="21"/>
        </w:rPr>
      </w:pPr>
      <w:r>
        <w:rPr>
          <w:rFonts w:hint="eastAsia" w:ascii="宋体" w:hAnsi="宋体" w:cs="宋体"/>
          <w:szCs w:val="21"/>
        </w:rPr>
        <w:t xml:space="preserve">名  称：浙江鼎峰工程咨询有限公司 </w:t>
      </w:r>
    </w:p>
    <w:p>
      <w:pPr>
        <w:snapToGrid w:val="0"/>
        <w:spacing w:line="400" w:lineRule="exact"/>
        <w:ind w:left="420" w:firstLine="420" w:firstLineChars="200"/>
        <w:rPr>
          <w:rFonts w:ascii="宋体" w:hAnsi="宋体" w:cs="宋体"/>
          <w:szCs w:val="21"/>
        </w:rPr>
      </w:pPr>
      <w:r>
        <w:rPr>
          <w:rFonts w:hint="eastAsia" w:ascii="宋体" w:hAnsi="宋体" w:cs="宋体"/>
          <w:szCs w:val="21"/>
        </w:rPr>
        <w:t>地  址：缙云县城新区江滨巷17号301室</w:t>
      </w:r>
    </w:p>
    <w:p>
      <w:pPr>
        <w:snapToGrid w:val="0"/>
        <w:spacing w:line="400" w:lineRule="exact"/>
        <w:ind w:left="420" w:firstLine="420" w:firstLineChars="200"/>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eastAsia="zh-CN"/>
        </w:rPr>
        <w:t>陈晓霞</w:t>
      </w:r>
    </w:p>
    <w:p>
      <w:pPr>
        <w:snapToGrid w:val="0"/>
        <w:spacing w:line="400" w:lineRule="exact"/>
        <w:ind w:left="420" w:firstLine="420" w:firstLineChars="200"/>
        <w:rPr>
          <w:rFonts w:ascii="宋体" w:hAnsi="宋体" w:cs="宋体"/>
          <w:szCs w:val="21"/>
        </w:rPr>
      </w:pPr>
      <w:r>
        <w:rPr>
          <w:rFonts w:hint="eastAsia" w:ascii="宋体" w:hAnsi="宋体" w:cs="宋体"/>
          <w:szCs w:val="21"/>
        </w:rPr>
        <w:t>联系电话：0578-3311234</w:t>
      </w:r>
    </w:p>
    <w:p>
      <w:pPr>
        <w:snapToGrid w:val="0"/>
        <w:spacing w:line="400" w:lineRule="exact"/>
        <w:ind w:left="420" w:firstLine="420" w:firstLineChars="200"/>
        <w:rPr>
          <w:rFonts w:ascii="宋体" w:hAnsi="宋体" w:cs="宋体"/>
          <w:szCs w:val="21"/>
        </w:rPr>
      </w:pPr>
      <w:r>
        <w:rPr>
          <w:rFonts w:hint="eastAsia" w:ascii="宋体" w:hAnsi="宋体" w:cs="宋体"/>
          <w:szCs w:val="21"/>
        </w:rPr>
        <w:t>质疑联系人：李彬</w:t>
      </w:r>
    </w:p>
    <w:p>
      <w:pPr>
        <w:snapToGrid w:val="0"/>
        <w:spacing w:line="400" w:lineRule="exact"/>
        <w:ind w:left="420" w:firstLine="420" w:firstLineChars="200"/>
        <w:rPr>
          <w:rFonts w:ascii="宋体" w:hAnsi="宋体" w:cs="宋体"/>
          <w:szCs w:val="21"/>
        </w:rPr>
      </w:pPr>
      <w:r>
        <w:rPr>
          <w:rFonts w:hint="eastAsia" w:ascii="宋体" w:hAnsi="宋体" w:cs="宋体"/>
          <w:szCs w:val="21"/>
        </w:rPr>
        <w:t>质疑联系方式：0578-3311234</w:t>
      </w:r>
    </w:p>
    <w:p>
      <w:pPr>
        <w:numPr>
          <w:ilvl w:val="0"/>
          <w:numId w:val="3"/>
        </w:numPr>
        <w:snapToGrid w:val="0"/>
        <w:spacing w:line="400" w:lineRule="exact"/>
        <w:ind w:firstLine="420" w:firstLineChars="200"/>
        <w:rPr>
          <w:rFonts w:ascii="宋体" w:hAnsi="宋体" w:cs="宋体"/>
          <w:szCs w:val="21"/>
        </w:rPr>
      </w:pPr>
      <w:r>
        <w:rPr>
          <w:rFonts w:hint="eastAsia" w:ascii="宋体" w:hAnsi="宋体" w:cs="宋体"/>
          <w:szCs w:val="21"/>
        </w:rPr>
        <w:t>同级政府采购监督管理部门</w:t>
      </w:r>
    </w:p>
    <w:p>
      <w:pPr>
        <w:snapToGrid w:val="0"/>
        <w:spacing w:line="400" w:lineRule="exact"/>
        <w:ind w:left="420" w:firstLine="420" w:firstLineChars="200"/>
        <w:rPr>
          <w:rFonts w:ascii="宋体" w:hAnsi="宋体" w:cs="宋体"/>
          <w:szCs w:val="21"/>
        </w:rPr>
      </w:pPr>
      <w:r>
        <w:rPr>
          <w:rFonts w:hint="eastAsia" w:ascii="宋体" w:hAnsi="宋体" w:cs="宋体"/>
          <w:szCs w:val="21"/>
        </w:rPr>
        <w:t>名  称：缙云县财政局政府采购监管科</w:t>
      </w:r>
    </w:p>
    <w:p>
      <w:pPr>
        <w:snapToGrid w:val="0"/>
        <w:spacing w:line="400" w:lineRule="exact"/>
        <w:ind w:left="420" w:firstLine="420" w:firstLineChars="200"/>
        <w:rPr>
          <w:rFonts w:ascii="宋体" w:hAnsi="宋体" w:cs="宋体"/>
          <w:szCs w:val="21"/>
        </w:rPr>
      </w:pPr>
      <w:r>
        <w:rPr>
          <w:rFonts w:hint="eastAsia" w:ascii="宋体" w:hAnsi="宋体" w:cs="宋体"/>
          <w:szCs w:val="21"/>
        </w:rPr>
        <w:t>地  址：缙云县财政大楼7楼</w:t>
      </w:r>
    </w:p>
    <w:p>
      <w:pPr>
        <w:snapToGrid w:val="0"/>
        <w:spacing w:line="400" w:lineRule="exact"/>
        <w:ind w:left="420" w:firstLine="420" w:firstLineChars="200"/>
        <w:rPr>
          <w:rFonts w:hint="eastAsia" w:ascii="宋体" w:hAnsi="宋体" w:cs="宋体"/>
          <w:szCs w:val="21"/>
        </w:rPr>
      </w:pPr>
      <w:r>
        <w:rPr>
          <w:rFonts w:hint="eastAsia" w:ascii="宋体" w:hAnsi="宋体" w:cs="宋体"/>
          <w:szCs w:val="21"/>
        </w:rPr>
        <w:t>联系人：</w:t>
      </w:r>
      <w:r>
        <w:rPr>
          <w:rFonts w:hint="eastAsia" w:ascii="宋体" w:hAnsi="宋体" w:cs="宋体"/>
          <w:bCs/>
          <w:kern w:val="0"/>
          <w:szCs w:val="21"/>
        </w:rPr>
        <w:t>朱航</w:t>
      </w:r>
    </w:p>
    <w:p>
      <w:pPr>
        <w:snapToGrid w:val="0"/>
        <w:spacing w:line="400" w:lineRule="exact"/>
        <w:ind w:left="420" w:firstLine="420" w:firstLineChars="200"/>
        <w:rPr>
          <w:rFonts w:ascii="宋体" w:hAnsi="宋体" w:cs="宋体"/>
          <w:szCs w:val="21"/>
        </w:rPr>
      </w:pPr>
      <w:r>
        <w:rPr>
          <w:rFonts w:hint="eastAsia" w:ascii="宋体" w:hAnsi="宋体" w:cs="宋体"/>
          <w:szCs w:val="21"/>
        </w:rPr>
        <w:t>监督投诉电话：</w:t>
      </w:r>
      <w:r>
        <w:rPr>
          <w:rFonts w:hint="eastAsia" w:ascii="宋体" w:hAnsi="宋体" w:cs="宋体"/>
          <w:bCs/>
          <w:kern w:val="0"/>
          <w:szCs w:val="21"/>
        </w:rPr>
        <w:t>0578-3318985</w:t>
      </w:r>
    </w:p>
    <w:p>
      <w:pPr>
        <w:snapToGrid w:val="0"/>
        <w:spacing w:line="400" w:lineRule="exact"/>
        <w:ind w:left="420" w:firstLine="420" w:firstLineChars="200"/>
        <w:rPr>
          <w:rFonts w:ascii="宋体" w:hAnsi="宋体" w:cs="宋体"/>
          <w:sz w:val="22"/>
          <w:szCs w:val="22"/>
        </w:rPr>
      </w:pPr>
      <w:r>
        <w:rPr>
          <w:rFonts w:hint="eastAsia" w:ascii="宋体" w:hAnsi="宋体" w:cs="宋体"/>
          <w:szCs w:val="21"/>
        </w:rPr>
        <w:t>传真：</w:t>
      </w:r>
      <w:r>
        <w:rPr>
          <w:rFonts w:hint="eastAsia" w:ascii="宋体" w:hAnsi="宋体" w:cs="宋体"/>
          <w:bCs/>
          <w:kern w:val="0"/>
          <w:szCs w:val="21"/>
        </w:rPr>
        <w:t>0578-3318985</w:t>
      </w:r>
    </w:p>
    <w:p>
      <w:pPr>
        <w:spacing w:line="360" w:lineRule="exact"/>
        <w:rPr>
          <w:rStyle w:val="98"/>
          <w:rFonts w:ascii="宋体" w:hAnsi="宋体" w:cs="宋体"/>
          <w:szCs w:val="32"/>
        </w:rPr>
      </w:pPr>
      <w:r>
        <w:rPr>
          <w:rStyle w:val="98"/>
          <w:rFonts w:hint="eastAsia" w:ascii="宋体" w:hAnsi="宋体" w:cs="宋体"/>
          <w:szCs w:val="32"/>
        </w:rPr>
        <w:br w:type="page"/>
      </w:r>
    </w:p>
    <w:p>
      <w:pPr>
        <w:pStyle w:val="151"/>
        <w:widowControl w:val="0"/>
        <w:spacing w:afterLines="0" w:line="340" w:lineRule="exact"/>
        <w:ind w:firstLine="0" w:firstLineChars="0"/>
        <w:jc w:val="center"/>
        <w:outlineLvl w:val="0"/>
        <w:rPr>
          <w:rFonts w:ascii="宋体" w:hAnsi="宋体" w:cs="宋体"/>
          <w:b/>
          <w:sz w:val="32"/>
          <w:szCs w:val="32"/>
        </w:rPr>
      </w:pPr>
      <w:bookmarkStart w:id="11" w:name="_Toc1281"/>
      <w:bookmarkStart w:id="12" w:name="_Toc17659"/>
      <w:r>
        <w:rPr>
          <w:rStyle w:val="98"/>
          <w:rFonts w:hint="eastAsia" w:ascii="宋体" w:hAnsi="宋体" w:cs="宋体"/>
          <w:szCs w:val="32"/>
        </w:rPr>
        <w:t xml:space="preserve">第二章 </w:t>
      </w:r>
      <w:bookmarkEnd w:id="3"/>
      <w:bookmarkEnd w:id="4"/>
      <w:bookmarkEnd w:id="5"/>
      <w:bookmarkEnd w:id="6"/>
      <w:r>
        <w:rPr>
          <w:rStyle w:val="98"/>
          <w:rFonts w:hint="eastAsia" w:ascii="宋体" w:hAnsi="宋体" w:cs="宋体"/>
          <w:szCs w:val="32"/>
        </w:rPr>
        <w:t>采购需求</w:t>
      </w:r>
      <w:bookmarkEnd w:id="11"/>
      <w:bookmarkEnd w:id="12"/>
    </w:p>
    <w:p>
      <w:pPr>
        <w:spacing w:line="360" w:lineRule="auto"/>
        <w:ind w:firstLine="420"/>
        <w:rPr>
          <w:rFonts w:hint="eastAsia" w:ascii="宋体" w:hAnsi="宋体" w:cs="宋体"/>
          <w:b/>
          <w:sz w:val="24"/>
        </w:rPr>
      </w:pPr>
      <w:bookmarkStart w:id="13" w:name="_Toc479284129"/>
      <w:bookmarkStart w:id="14" w:name="_Toc359934557"/>
      <w:bookmarkStart w:id="15" w:name="_Toc301187521"/>
      <w:bookmarkStart w:id="16" w:name="_Toc5833"/>
      <w:bookmarkStart w:id="17" w:name="_Toc5219"/>
      <w:bookmarkStart w:id="18" w:name="_Toc303756362"/>
      <w:r>
        <w:rPr>
          <w:rFonts w:hint="eastAsia" w:ascii="宋体" w:hAnsi="宋体" w:cs="宋体"/>
          <w:b/>
          <w:sz w:val="24"/>
        </w:rPr>
        <w:t>一、项目名称</w:t>
      </w:r>
    </w:p>
    <w:bookmarkEnd w:id="13"/>
    <w:p>
      <w:pPr>
        <w:ind w:firstLine="420"/>
        <w:rPr>
          <w:rFonts w:hint="eastAsia" w:ascii="宋体" w:hAnsi="宋体" w:eastAsia="宋体" w:cs="宋体"/>
          <w:bCs/>
          <w:szCs w:val="21"/>
          <w:lang w:eastAsia="zh-CN"/>
        </w:rPr>
      </w:pPr>
      <w:bookmarkStart w:id="19" w:name="_Toc479284130"/>
      <w:r>
        <w:rPr>
          <w:rFonts w:hint="eastAsia" w:ascii="宋体" w:hAnsi="宋体" w:cs="宋体"/>
          <w:bCs/>
          <w:szCs w:val="21"/>
          <w:lang w:eastAsia="zh-CN"/>
        </w:rPr>
        <w:t>缙云县文物建筑白蚁防治示范项目</w:t>
      </w:r>
    </w:p>
    <w:bookmarkEnd w:id="19"/>
    <w:p>
      <w:pPr>
        <w:spacing w:line="360" w:lineRule="auto"/>
        <w:ind w:firstLine="420"/>
        <w:rPr>
          <w:rFonts w:hint="eastAsia" w:ascii="宋体" w:hAnsi="宋体" w:cs="宋体"/>
          <w:b/>
          <w:sz w:val="24"/>
        </w:rPr>
      </w:pPr>
      <w:r>
        <w:rPr>
          <w:rFonts w:hint="eastAsia" w:ascii="宋体" w:hAnsi="宋体" w:cs="宋体"/>
          <w:b/>
          <w:sz w:val="24"/>
        </w:rPr>
        <w:t>二、项目目标</w:t>
      </w:r>
    </w:p>
    <w:p>
      <w:pPr>
        <w:spacing w:line="360" w:lineRule="auto"/>
        <w:ind w:firstLine="420" w:firstLineChars="200"/>
        <w:rPr>
          <w:rFonts w:hint="eastAsia" w:ascii="宋体" w:hAnsi="宋体" w:cs="宋体"/>
        </w:rPr>
      </w:pPr>
      <w:r>
        <w:rPr>
          <w:rFonts w:hint="eastAsia" w:ascii="宋体" w:hAnsi="宋体" w:cs="宋体"/>
        </w:rPr>
        <w:t>通过缙云县文物建筑白蚁防治示范项目的全面实施，高质量开展区域内重点文物保护单位的白蚁综合治理示范，有效提升文物建筑白蚁防治全生命周期管理水平，总结研究白蚁防治数字化平台标准规范体系，着力打造文物建筑白蚁防治省级示范项目，为全省文物系统白蚁防控“一张网”数字化平台建设提供示范实践经验。</w:t>
      </w:r>
    </w:p>
    <w:p>
      <w:pPr>
        <w:spacing w:line="360" w:lineRule="auto"/>
        <w:ind w:firstLine="425"/>
        <w:rPr>
          <w:rFonts w:hint="eastAsia" w:ascii="宋体" w:hAnsi="宋体" w:cs="宋体"/>
          <w:b/>
          <w:sz w:val="24"/>
        </w:rPr>
      </w:pPr>
      <w:r>
        <w:rPr>
          <w:rFonts w:hint="eastAsia" w:ascii="宋体" w:hAnsi="宋体" w:cs="宋体"/>
          <w:b/>
          <w:sz w:val="24"/>
        </w:rPr>
        <w:t xml:space="preserve">三、主要工作 </w:t>
      </w:r>
    </w:p>
    <w:p>
      <w:pPr>
        <w:spacing w:line="360" w:lineRule="auto"/>
        <w:ind w:firstLine="420" w:firstLineChars="200"/>
        <w:rPr>
          <w:rFonts w:hint="eastAsia" w:ascii="宋体" w:hAnsi="宋体" w:cs="宋体"/>
        </w:rPr>
      </w:pPr>
      <w:r>
        <w:rPr>
          <w:rFonts w:hint="eastAsia" w:ascii="宋体" w:hAnsi="宋体" w:cs="宋体"/>
        </w:rPr>
        <w:t xml:space="preserve">1.做好示范项目顶层设计 </w:t>
      </w:r>
    </w:p>
    <w:p>
      <w:pPr>
        <w:spacing w:line="360" w:lineRule="auto"/>
        <w:ind w:firstLine="420" w:firstLineChars="200"/>
        <w:rPr>
          <w:rFonts w:hint="eastAsia" w:ascii="宋体" w:hAnsi="宋体" w:cs="宋体"/>
        </w:rPr>
      </w:pPr>
      <w:r>
        <w:rPr>
          <w:rFonts w:hint="eastAsia" w:ascii="宋体" w:hAnsi="宋体" w:cs="宋体"/>
        </w:rPr>
        <w:t xml:space="preserve">研究编制格式化、规范化、统一化的工作流程和数据表单，实现示范工作的标准化，为建立文物建筑白蚁防治全生命周期基础数据库提供保障。 </w:t>
      </w:r>
    </w:p>
    <w:p>
      <w:pPr>
        <w:spacing w:line="360" w:lineRule="auto"/>
        <w:ind w:firstLine="420" w:firstLineChars="200"/>
        <w:rPr>
          <w:rFonts w:hint="eastAsia" w:ascii="宋体" w:hAnsi="宋体" w:cs="宋体"/>
        </w:rPr>
      </w:pPr>
      <w:r>
        <w:rPr>
          <w:rFonts w:hint="eastAsia" w:ascii="宋体" w:hAnsi="宋体" w:cs="宋体"/>
        </w:rPr>
        <w:t xml:space="preserve">2.开展蚁情蚁害全面调查 </w:t>
      </w:r>
    </w:p>
    <w:p>
      <w:pPr>
        <w:spacing w:line="360" w:lineRule="auto"/>
        <w:ind w:firstLine="420" w:firstLineChars="200"/>
        <w:rPr>
          <w:rFonts w:hint="eastAsia" w:ascii="宋体" w:hAnsi="宋体" w:cs="宋体"/>
        </w:rPr>
      </w:pPr>
      <w:r>
        <w:rPr>
          <w:rFonts w:hint="eastAsia" w:ascii="宋体" w:hAnsi="宋体" w:cs="宋体"/>
        </w:rPr>
        <w:t xml:space="preserve">为全面掌握区域内文物建筑白蚁危害现状，在现有信息基础上，应组织人员开展全面性蚁情详细调查。调查方式以现场查勘为主，也可采用装置监测的方法，结合咨询调查、文献资料等信息，形成详细的调研报告，为治理工作的开展提供基础数据。 </w:t>
      </w:r>
    </w:p>
    <w:p>
      <w:pPr>
        <w:spacing w:line="360" w:lineRule="auto"/>
        <w:ind w:firstLine="420" w:firstLineChars="200"/>
        <w:rPr>
          <w:rFonts w:hint="eastAsia" w:ascii="宋体" w:hAnsi="宋体" w:cs="宋体"/>
        </w:rPr>
      </w:pPr>
      <w:r>
        <w:rPr>
          <w:rFonts w:hint="eastAsia" w:ascii="宋体" w:hAnsi="宋体" w:cs="宋体"/>
        </w:rPr>
        <w:t xml:space="preserve">3.全面实施白蚁综合治理 </w:t>
      </w:r>
    </w:p>
    <w:p>
      <w:pPr>
        <w:spacing w:line="360" w:lineRule="auto"/>
        <w:ind w:firstLine="420" w:firstLineChars="200"/>
        <w:rPr>
          <w:rFonts w:hint="eastAsia" w:ascii="宋体" w:hAnsi="宋体" w:cs="宋体"/>
        </w:rPr>
      </w:pPr>
      <w:r>
        <w:rPr>
          <w:rFonts w:hint="eastAsia" w:ascii="宋体" w:hAnsi="宋体" w:cs="宋体"/>
        </w:rPr>
        <w:t xml:space="preserve">在全面开展文物建筑的蚁情调查和分析研究的基础上，制订科学、合理、具有可操作性的白蚁综合治理技术方案，以国保和省保为重点，对辖区内的全国重点文物保护单位河阳村乡土建筑实施全方位的白蚁区域控制，对辖区内的5个蚁害中等以上省级文物保护单位（九进厅、道门进士第、前岙村卢氏民居、岩下石头建筑群、独峰书院）实施白蚁局部控制，做好修缮、迁移、重建等古建筑保护工程的白蚁预防，打造县域级白蚁防治示范工程。 </w:t>
      </w:r>
    </w:p>
    <w:p>
      <w:pPr>
        <w:spacing w:line="360" w:lineRule="auto"/>
        <w:ind w:firstLine="420" w:firstLineChars="200"/>
        <w:rPr>
          <w:rFonts w:hint="eastAsia" w:ascii="宋体" w:hAnsi="宋体" w:cs="宋体"/>
        </w:rPr>
      </w:pPr>
      <w:r>
        <w:rPr>
          <w:rFonts w:hint="eastAsia" w:ascii="宋体" w:hAnsi="宋体" w:cs="宋体"/>
        </w:rPr>
        <w:t xml:space="preserve">4.开展文物保护单位白蚁防治数字化平台标准规范体系建设研究 </w:t>
      </w:r>
    </w:p>
    <w:p>
      <w:pPr>
        <w:spacing w:line="360" w:lineRule="auto"/>
        <w:ind w:firstLine="420" w:firstLineChars="200"/>
        <w:rPr>
          <w:rFonts w:hint="eastAsia" w:ascii="宋体" w:hAnsi="宋体" w:cs="宋体"/>
        </w:rPr>
      </w:pPr>
      <w:r>
        <w:rPr>
          <w:rFonts w:hint="eastAsia" w:ascii="宋体" w:hAnsi="宋体" w:cs="宋体"/>
        </w:rPr>
        <w:t>结合缙云县重点文物建筑白蚁防治示范实践和管理机制研究，将缙云县蚁情监测、蚁害动态、防治施工、日常管理等内容和要求纳入数字化管理平台，研究建立白蚁防治数字化管理模块的标准规范体系，为全省“一张网”智慧管理平台建设提供基础示范经验。</w:t>
      </w:r>
    </w:p>
    <w:p>
      <w:pPr>
        <w:spacing w:line="360" w:lineRule="auto"/>
        <w:ind w:firstLine="420" w:firstLineChars="200"/>
        <w:rPr>
          <w:rFonts w:hint="eastAsia" w:ascii="宋体" w:hAnsi="宋体" w:cs="宋体"/>
        </w:rPr>
      </w:pPr>
      <w:r>
        <w:rPr>
          <w:rFonts w:hint="eastAsia" w:ascii="宋体" w:hAnsi="宋体" w:cs="宋体"/>
        </w:rPr>
        <w:t xml:space="preserve">5.总结示范经验 </w:t>
      </w:r>
    </w:p>
    <w:p>
      <w:pPr>
        <w:spacing w:line="360" w:lineRule="auto"/>
        <w:ind w:firstLine="420" w:firstLineChars="200"/>
        <w:rPr>
          <w:rFonts w:hint="eastAsia" w:ascii="宋体" w:hAnsi="宋体" w:cs="宋体"/>
        </w:rPr>
      </w:pPr>
      <w:r>
        <w:rPr>
          <w:rFonts w:hint="eastAsia" w:ascii="宋体" w:hAnsi="宋体" w:cs="宋体"/>
        </w:rPr>
        <w:t xml:space="preserve">通过白蚁综合治理，完成治理目标，实现良好的治理成效，形成一整套完善的项目管理模式和施工操作流程，组织专家进行总结研究，提炼治理成果和示范模式，编制可复制、可借鉴、可推广的经验做法和操作规范，向全省文保系统推广应用，为全省文保单位白蚁防治工作提供标杆样板。 </w:t>
      </w:r>
    </w:p>
    <w:p>
      <w:pPr>
        <w:spacing w:line="360" w:lineRule="auto"/>
        <w:ind w:firstLine="420"/>
        <w:rPr>
          <w:rFonts w:hint="eastAsia" w:ascii="宋体" w:hAnsi="宋体" w:cs="宋体"/>
          <w:b/>
          <w:sz w:val="24"/>
        </w:rPr>
      </w:pPr>
      <w:r>
        <w:rPr>
          <w:rFonts w:hint="eastAsia" w:ascii="宋体" w:hAnsi="宋体" w:cs="宋体"/>
          <w:b/>
          <w:sz w:val="24"/>
        </w:rPr>
        <w:t xml:space="preserve">四、进度计划 </w:t>
      </w:r>
    </w:p>
    <w:p>
      <w:pPr>
        <w:spacing w:line="360" w:lineRule="auto"/>
        <w:ind w:firstLine="420" w:firstLineChars="200"/>
        <w:rPr>
          <w:rFonts w:hint="eastAsia" w:ascii="宋体" w:hAnsi="宋体" w:cs="宋体"/>
        </w:rPr>
      </w:pPr>
      <w:r>
        <w:rPr>
          <w:rFonts w:hint="eastAsia" w:ascii="宋体" w:hAnsi="宋体" w:cs="宋体"/>
        </w:rPr>
        <w:t xml:space="preserve">第一年： </w:t>
      </w:r>
    </w:p>
    <w:p>
      <w:pPr>
        <w:spacing w:line="360" w:lineRule="auto"/>
        <w:ind w:firstLine="420" w:firstLineChars="200"/>
        <w:rPr>
          <w:rFonts w:hint="eastAsia" w:ascii="宋体" w:hAnsi="宋体" w:cs="宋体"/>
        </w:rPr>
      </w:pPr>
      <w:r>
        <w:rPr>
          <w:rFonts w:hint="eastAsia" w:ascii="宋体" w:hAnsi="宋体" w:cs="宋体"/>
        </w:rPr>
        <w:t>（1）做好项目实施顶层设计</w:t>
      </w:r>
      <w:r>
        <w:rPr>
          <w:rFonts w:hint="eastAsia" w:ascii="宋体" w:hAnsi="宋体" w:cs="宋体"/>
          <w:lang w:eastAsia="zh-CN"/>
        </w:rPr>
        <w:t>，</w:t>
      </w:r>
      <w:r>
        <w:rPr>
          <w:rFonts w:hint="eastAsia" w:ascii="宋体" w:hAnsi="宋体" w:cs="宋体"/>
        </w:rPr>
        <w:t xml:space="preserve">启动蚁情蚁害详细调查； </w:t>
      </w:r>
    </w:p>
    <w:p>
      <w:pPr>
        <w:spacing w:line="360" w:lineRule="auto"/>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2</w:t>
      </w:r>
      <w:r>
        <w:rPr>
          <w:rFonts w:hint="eastAsia" w:ascii="宋体" w:hAnsi="宋体" w:cs="宋体"/>
        </w:rPr>
        <w:t>）制订详细技术方案</w:t>
      </w:r>
      <w:r>
        <w:rPr>
          <w:rFonts w:hint="eastAsia" w:ascii="宋体" w:hAnsi="宋体" w:cs="宋体"/>
          <w:lang w:eastAsia="zh-CN"/>
        </w:rPr>
        <w:t>，</w:t>
      </w:r>
      <w:r>
        <w:rPr>
          <w:rFonts w:hint="eastAsia" w:ascii="宋体" w:hAnsi="宋体" w:cs="宋体"/>
        </w:rPr>
        <w:t xml:space="preserve">全面实施白蚁综合治理，开展防治结合的区域控制。  </w:t>
      </w:r>
    </w:p>
    <w:p>
      <w:pPr>
        <w:spacing w:line="360" w:lineRule="auto"/>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）全面推进治理，做好区域蚁情蚁害的检查、维护和处理；</w:t>
      </w:r>
    </w:p>
    <w:p>
      <w:pPr>
        <w:spacing w:line="360" w:lineRule="auto"/>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4</w:t>
      </w:r>
      <w:r>
        <w:rPr>
          <w:rFonts w:hint="eastAsia" w:ascii="宋体" w:hAnsi="宋体" w:cs="宋体"/>
        </w:rPr>
        <w:t xml:space="preserve">）做好示范宣传，营造工作氛围； </w:t>
      </w:r>
    </w:p>
    <w:p>
      <w:pPr>
        <w:spacing w:line="360" w:lineRule="auto"/>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）研究数字化管理模块的标准规范体系。</w:t>
      </w:r>
    </w:p>
    <w:p>
      <w:pPr>
        <w:spacing w:line="360" w:lineRule="auto"/>
        <w:ind w:firstLine="420" w:firstLineChars="200"/>
        <w:rPr>
          <w:rFonts w:hint="eastAsia" w:ascii="宋体" w:hAnsi="宋体" w:cs="宋体"/>
        </w:rPr>
      </w:pPr>
      <w:r>
        <w:rPr>
          <w:rFonts w:hint="eastAsia" w:ascii="宋体" w:hAnsi="宋体" w:cs="宋体"/>
        </w:rPr>
        <w:t>第</w:t>
      </w:r>
      <w:r>
        <w:rPr>
          <w:rFonts w:hint="eastAsia" w:ascii="宋体" w:hAnsi="宋体" w:cs="宋体"/>
          <w:lang w:eastAsia="zh-CN"/>
        </w:rPr>
        <w:t>二</w:t>
      </w:r>
      <w:r>
        <w:rPr>
          <w:rFonts w:hint="eastAsia" w:ascii="宋体" w:hAnsi="宋体" w:cs="宋体"/>
        </w:rPr>
        <w:t xml:space="preserve">年： </w:t>
      </w:r>
    </w:p>
    <w:p>
      <w:pPr>
        <w:spacing w:line="360" w:lineRule="auto"/>
        <w:ind w:firstLine="420" w:firstLineChars="200"/>
        <w:rPr>
          <w:rFonts w:hint="eastAsia" w:ascii="宋体" w:hAnsi="宋体" w:cs="宋体"/>
        </w:rPr>
      </w:pPr>
      <w:r>
        <w:rPr>
          <w:rFonts w:hint="eastAsia" w:ascii="宋体" w:hAnsi="宋体" w:cs="宋体"/>
        </w:rPr>
        <w:t xml:space="preserve">（1）完成综合治理，确保治理成效； </w:t>
      </w:r>
    </w:p>
    <w:p>
      <w:pPr>
        <w:spacing w:line="360" w:lineRule="auto"/>
        <w:ind w:firstLine="420" w:firstLineChars="200"/>
        <w:rPr>
          <w:rFonts w:hint="eastAsia" w:ascii="宋体" w:hAnsi="宋体" w:cs="宋体"/>
        </w:rPr>
      </w:pPr>
      <w:r>
        <w:rPr>
          <w:rFonts w:hint="eastAsia" w:ascii="宋体" w:hAnsi="宋体" w:cs="宋体"/>
        </w:rPr>
        <w:t xml:space="preserve">（2）总结经验成果，形成模式样板； </w:t>
      </w:r>
    </w:p>
    <w:p>
      <w:pPr>
        <w:spacing w:line="360" w:lineRule="auto"/>
        <w:ind w:firstLine="420" w:firstLineChars="200"/>
        <w:rPr>
          <w:rFonts w:hint="eastAsia" w:ascii="宋体" w:hAnsi="宋体" w:cs="宋体"/>
        </w:rPr>
      </w:pPr>
      <w:r>
        <w:rPr>
          <w:rFonts w:hint="eastAsia" w:ascii="宋体" w:hAnsi="宋体" w:cs="宋体"/>
        </w:rPr>
        <w:t xml:space="preserve">（3）做好示范宣传，逐步向全省推广。 </w:t>
      </w:r>
    </w:p>
    <w:p>
      <w:pPr>
        <w:spacing w:line="360" w:lineRule="auto"/>
        <w:ind w:firstLine="420"/>
        <w:rPr>
          <w:rFonts w:hint="eastAsia" w:ascii="宋体" w:hAnsi="宋体" w:cs="宋体"/>
          <w:b/>
          <w:sz w:val="24"/>
        </w:rPr>
      </w:pPr>
      <w:r>
        <w:rPr>
          <w:rFonts w:hint="eastAsia" w:ascii="宋体" w:hAnsi="宋体" w:cs="宋体"/>
          <w:b/>
          <w:sz w:val="24"/>
        </w:rPr>
        <w:t xml:space="preserve">五、主要产出 </w:t>
      </w:r>
    </w:p>
    <w:p>
      <w:pPr>
        <w:spacing w:line="360" w:lineRule="auto"/>
        <w:ind w:firstLine="420" w:firstLineChars="200"/>
        <w:rPr>
          <w:rFonts w:hint="eastAsia" w:ascii="宋体" w:hAnsi="宋体" w:cs="宋体"/>
        </w:rPr>
      </w:pPr>
      <w:r>
        <w:rPr>
          <w:rFonts w:hint="eastAsia" w:ascii="宋体" w:hAnsi="宋体" w:cs="宋体"/>
        </w:rPr>
        <w:t xml:space="preserve">1.完成缙云县重点文保单位和文物建筑白蚁危害的调查研究，编制《缙云县文物建筑白蚁危害专项调研报告》； </w:t>
      </w:r>
    </w:p>
    <w:p>
      <w:pPr>
        <w:spacing w:line="360" w:lineRule="auto"/>
        <w:ind w:firstLine="420" w:firstLineChars="200"/>
        <w:rPr>
          <w:rFonts w:hint="eastAsia" w:ascii="宋体" w:hAnsi="宋体" w:cs="宋体"/>
        </w:rPr>
      </w:pPr>
      <w:r>
        <w:rPr>
          <w:rFonts w:hint="eastAsia" w:ascii="宋体" w:hAnsi="宋体" w:cs="宋体"/>
        </w:rPr>
        <w:t xml:space="preserve">2.全面控制白蚁危害，治理成效显著，总结示范经验，编制《缙云县文物建筑白蚁防治示范项目报告》； </w:t>
      </w:r>
    </w:p>
    <w:p>
      <w:pPr>
        <w:spacing w:line="360" w:lineRule="auto"/>
        <w:ind w:firstLine="420" w:firstLineChars="200"/>
        <w:rPr>
          <w:rFonts w:hint="eastAsia" w:ascii="宋体" w:hAnsi="宋体" w:cs="宋体"/>
        </w:rPr>
      </w:pPr>
      <w:r>
        <w:rPr>
          <w:rFonts w:hint="eastAsia" w:ascii="宋体" w:hAnsi="宋体" w:cs="宋体"/>
        </w:rPr>
        <w:t xml:space="preserve">3.编制《文物保护单位白蚁防治宣传册》； </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4.初步形成“文物建筑白蚁防治数字平台标准规范体系”； </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5.编制《缙云县文物建筑白蚁防治示范经验总结报告》。</w:t>
      </w:r>
    </w:p>
    <w:p>
      <w:pPr>
        <w:spacing w:line="360" w:lineRule="auto"/>
        <w:ind w:firstLine="420" w:firstLineChars="20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6.项目完成后组织省文物局开展检查评估和验收。</w:t>
      </w:r>
    </w:p>
    <w:p>
      <w:pPr>
        <w:ind w:firstLine="420"/>
        <w:rPr>
          <w:rFonts w:hint="eastAsia" w:ascii="宋体" w:hAnsi="宋体" w:cs="宋体"/>
          <w:b/>
          <w:sz w:val="24"/>
        </w:rPr>
      </w:pPr>
      <w:r>
        <w:rPr>
          <w:rFonts w:hint="eastAsia" w:ascii="宋体" w:hAnsi="宋体" w:cs="宋体"/>
          <w:b/>
          <w:sz w:val="24"/>
        </w:rPr>
        <w:t>六、服务期限：</w:t>
      </w:r>
    </w:p>
    <w:p>
      <w:pPr>
        <w:ind w:firstLine="420"/>
        <w:rPr>
          <w:rFonts w:hint="eastAsia" w:ascii="宋体" w:hAnsi="宋体" w:cs="宋体"/>
          <w:b/>
          <w:sz w:val="24"/>
        </w:rPr>
      </w:pPr>
    </w:p>
    <w:p>
      <w:pPr>
        <w:ind w:firstLine="420" w:firstLineChars="200"/>
        <w:rPr>
          <w:rFonts w:hint="eastAsia" w:ascii="宋体" w:hAnsi="宋体" w:eastAsia="宋体" w:cs="宋体"/>
        </w:rPr>
      </w:pPr>
      <w:r>
        <w:rPr>
          <w:rFonts w:hint="eastAsia" w:ascii="宋体" w:hAnsi="宋体" w:eastAsia="宋体" w:cs="宋体"/>
          <w:lang w:eastAsia="zh-CN"/>
        </w:rPr>
        <w:t>合同签订后</w:t>
      </w:r>
      <w:r>
        <w:rPr>
          <w:rFonts w:hint="eastAsia" w:ascii="宋体" w:hAnsi="宋体" w:cs="宋体"/>
          <w:lang w:eastAsia="zh-CN"/>
        </w:rPr>
        <w:t>二</w:t>
      </w:r>
      <w:r>
        <w:rPr>
          <w:rFonts w:hint="eastAsia" w:ascii="宋体" w:hAnsi="宋体" w:eastAsia="宋体" w:cs="宋体"/>
        </w:rPr>
        <w:t>年。</w:t>
      </w:r>
    </w:p>
    <w:p>
      <w:pPr>
        <w:spacing w:line="360" w:lineRule="auto"/>
        <w:ind w:firstLine="420"/>
        <w:rPr>
          <w:rFonts w:hint="eastAsia" w:ascii="宋体" w:hAnsi="宋体" w:cs="宋体"/>
          <w:b/>
          <w:sz w:val="24"/>
        </w:rPr>
      </w:pPr>
      <w:bookmarkStart w:id="20" w:name="_Toc355706425"/>
      <w:bookmarkStart w:id="21" w:name="_Toc353799229"/>
    </w:p>
    <w:p>
      <w:pPr>
        <w:spacing w:line="360" w:lineRule="auto"/>
        <w:ind w:firstLine="420"/>
        <w:rPr>
          <w:rFonts w:hint="eastAsia" w:ascii="宋体" w:hAnsi="宋体" w:cs="宋体"/>
          <w:b/>
          <w:sz w:val="24"/>
        </w:rPr>
      </w:pPr>
      <w:r>
        <w:rPr>
          <w:rFonts w:hint="eastAsia" w:ascii="宋体" w:hAnsi="宋体" w:cs="宋体"/>
          <w:b/>
          <w:sz w:val="24"/>
        </w:rPr>
        <w:t>七、付款方式</w:t>
      </w:r>
      <w:bookmarkEnd w:id="20"/>
      <w:bookmarkEnd w:id="21"/>
      <w:r>
        <w:rPr>
          <w:rFonts w:hint="eastAsia" w:ascii="宋体" w:hAnsi="宋体" w:cs="宋体"/>
          <w:b/>
          <w:sz w:val="24"/>
        </w:rPr>
        <w:t>：</w:t>
      </w:r>
    </w:p>
    <w:p>
      <w:pPr>
        <w:spacing w:line="360" w:lineRule="auto"/>
        <w:ind w:firstLine="420"/>
        <w:rPr>
          <w:rFonts w:ascii="微软雅黑" w:hAnsi="微软雅黑" w:eastAsia="微软雅黑" w:cs="微软雅黑"/>
          <w:sz w:val="24"/>
        </w:rPr>
      </w:pPr>
      <w:r>
        <w:rPr>
          <w:rFonts w:hint="eastAsia" w:ascii="宋体" w:hAnsi="宋体" w:cs="宋体"/>
        </w:rPr>
        <w:t>合同签订后7个工作日内，支付合同款的20%</w:t>
      </w:r>
      <w:r>
        <w:rPr>
          <w:rFonts w:hint="eastAsia" w:hAnsi="宋体" w:cs="宋体"/>
          <w:color w:val="auto"/>
          <w:kern w:val="2"/>
          <w:sz w:val="21"/>
          <w:szCs w:val="21"/>
          <w:lang w:val="en-US" w:eastAsia="zh-CN" w:bidi="ar-SA"/>
        </w:rPr>
        <w:t>（</w:t>
      </w:r>
      <w:r>
        <w:rPr>
          <w:rFonts w:hint="eastAsia" w:ascii="宋体" w:hAnsi="宋体" w:eastAsia="宋体" w:cs="宋体"/>
          <w:color w:val="auto"/>
          <w:sz w:val="21"/>
          <w:szCs w:val="21"/>
          <w:lang w:val="en-US" w:eastAsia="zh-CN"/>
        </w:rPr>
        <w:t>供应商应提交银行、保险公司等金融机构出具同等金额的预付款保函</w:t>
      </w:r>
      <w:r>
        <w:rPr>
          <w:rFonts w:hint="eastAsia" w:hAnsi="宋体" w:cs="宋体"/>
          <w:color w:val="auto"/>
          <w:kern w:val="2"/>
          <w:sz w:val="21"/>
          <w:szCs w:val="21"/>
          <w:lang w:val="en-US" w:eastAsia="zh-CN" w:bidi="ar-SA"/>
        </w:rPr>
        <w:t>）</w:t>
      </w:r>
      <w:r>
        <w:rPr>
          <w:rFonts w:hint="eastAsia" w:ascii="宋体" w:hAnsi="宋体" w:cs="宋体"/>
        </w:rPr>
        <w:t>；第</w:t>
      </w:r>
      <w:r>
        <w:rPr>
          <w:rFonts w:hint="eastAsia" w:ascii="宋体" w:hAnsi="宋体" w:cs="宋体"/>
          <w:lang w:eastAsia="zh-CN"/>
        </w:rPr>
        <w:t>一</w:t>
      </w:r>
      <w:r>
        <w:rPr>
          <w:rFonts w:hint="eastAsia" w:ascii="宋体" w:hAnsi="宋体" w:cs="宋体"/>
        </w:rPr>
        <w:t>年既定项目研究任务和现场施工工作完成后，支付合同价的</w:t>
      </w:r>
      <w:r>
        <w:rPr>
          <w:rFonts w:hint="eastAsia" w:ascii="宋体" w:hAnsi="宋体" w:cs="宋体"/>
          <w:lang w:val="en-US" w:eastAsia="zh-CN"/>
        </w:rPr>
        <w:t>6</w:t>
      </w:r>
      <w:r>
        <w:rPr>
          <w:rFonts w:hint="eastAsia" w:ascii="宋体" w:hAnsi="宋体" w:cs="宋体"/>
        </w:rPr>
        <w:t>0%；第二年既定项目研究任务和现场施工工作完成后支付合同价的</w:t>
      </w:r>
      <w:r>
        <w:rPr>
          <w:rFonts w:hint="eastAsia" w:ascii="宋体" w:hAnsi="宋体" w:cs="宋体"/>
          <w:lang w:val="en-US" w:eastAsia="zh-CN"/>
        </w:rPr>
        <w:t>15</w:t>
      </w:r>
      <w:r>
        <w:rPr>
          <w:rFonts w:hint="eastAsia" w:ascii="宋体" w:hAnsi="宋体" w:cs="宋体"/>
        </w:rPr>
        <w:t>%；项目全部完成并通过验收后付清尾款。</w:t>
      </w:r>
    </w:p>
    <w:p>
      <w:pPr>
        <w:spacing w:line="360" w:lineRule="auto"/>
        <w:ind w:firstLine="3534" w:firstLineChars="1100"/>
        <w:outlineLvl w:val="0"/>
        <w:rPr>
          <w:rStyle w:val="98"/>
          <w:rFonts w:ascii="宋体" w:hAnsi="宋体" w:cs="宋体"/>
          <w:szCs w:val="22"/>
        </w:rPr>
      </w:pPr>
      <w:r>
        <w:rPr>
          <w:rStyle w:val="98"/>
          <w:rFonts w:hint="eastAsia" w:ascii="宋体" w:hAnsi="宋体" w:cs="宋体"/>
          <w:szCs w:val="22"/>
        </w:rPr>
        <w:br w:type="page"/>
      </w:r>
      <w:bookmarkStart w:id="22" w:name="_Toc4174"/>
      <w:r>
        <w:rPr>
          <w:rStyle w:val="98"/>
          <w:rFonts w:hint="eastAsia" w:ascii="宋体" w:hAnsi="宋体" w:cs="宋体"/>
          <w:szCs w:val="22"/>
        </w:rPr>
        <w:t>第三章 供应商须知</w:t>
      </w:r>
      <w:bookmarkEnd w:id="14"/>
      <w:bookmarkEnd w:id="15"/>
      <w:bookmarkEnd w:id="16"/>
      <w:bookmarkEnd w:id="17"/>
      <w:bookmarkEnd w:id="18"/>
      <w:bookmarkEnd w:id="22"/>
    </w:p>
    <w:p>
      <w:pPr>
        <w:jc w:val="center"/>
        <w:rPr>
          <w:rFonts w:ascii="宋体" w:hAnsi="宋体" w:cs="宋体"/>
          <w:b/>
          <w:bCs/>
          <w:sz w:val="24"/>
        </w:rPr>
      </w:pPr>
      <w:r>
        <w:rPr>
          <w:rFonts w:hint="eastAsia" w:ascii="宋体" w:hAnsi="宋体" w:cs="宋体"/>
          <w:b/>
          <w:bCs/>
          <w:sz w:val="24"/>
        </w:rPr>
        <w:t>供应商须知（附表）</w:t>
      </w:r>
    </w:p>
    <w:tbl>
      <w:tblPr>
        <w:tblStyle w:val="42"/>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115"/>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
                <w:szCs w:val="21"/>
              </w:rPr>
            </w:pPr>
            <w:r>
              <w:rPr>
                <w:rFonts w:hint="eastAsia" w:ascii="宋体" w:hAnsi="宋体" w:cs="宋体"/>
                <w:b/>
                <w:szCs w:val="21"/>
              </w:rPr>
              <w:t>条款号</w:t>
            </w:r>
          </w:p>
        </w:tc>
        <w:tc>
          <w:tcPr>
            <w:tcW w:w="2115" w:type="dxa"/>
            <w:noWrap w:val="0"/>
            <w:vAlign w:val="center"/>
          </w:tcPr>
          <w:p>
            <w:pPr>
              <w:snapToGrid w:val="0"/>
              <w:spacing w:line="312" w:lineRule="auto"/>
              <w:jc w:val="center"/>
              <w:rPr>
                <w:rFonts w:ascii="宋体" w:hAnsi="宋体" w:cs="宋体"/>
                <w:b/>
                <w:szCs w:val="21"/>
              </w:rPr>
            </w:pPr>
            <w:r>
              <w:rPr>
                <w:rFonts w:hint="eastAsia" w:ascii="宋体" w:hAnsi="宋体" w:cs="宋体"/>
                <w:b/>
                <w:szCs w:val="21"/>
              </w:rPr>
              <w:t>条款名称</w:t>
            </w:r>
          </w:p>
        </w:tc>
        <w:tc>
          <w:tcPr>
            <w:tcW w:w="6495" w:type="dxa"/>
            <w:noWrap w:val="0"/>
            <w:vAlign w:val="center"/>
          </w:tcPr>
          <w:p>
            <w:pPr>
              <w:snapToGrid w:val="0"/>
              <w:spacing w:line="312" w:lineRule="auto"/>
              <w:ind w:left="-108"/>
              <w:jc w:val="center"/>
              <w:rPr>
                <w:rFonts w:ascii="宋体" w:hAns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1.2.1</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采购人</w:t>
            </w:r>
          </w:p>
        </w:tc>
        <w:tc>
          <w:tcPr>
            <w:tcW w:w="6495" w:type="dxa"/>
            <w:noWrap w:val="0"/>
            <w:vAlign w:val="center"/>
          </w:tcPr>
          <w:p>
            <w:pPr>
              <w:spacing w:line="312" w:lineRule="auto"/>
              <w:rPr>
                <w:rFonts w:hint="eastAsia" w:ascii="宋体" w:hAnsi="宋体" w:eastAsia="宋体" w:cs="宋体"/>
                <w:bCs/>
                <w:szCs w:val="21"/>
                <w:lang w:eastAsia="zh-CN"/>
              </w:rPr>
            </w:pPr>
            <w:r>
              <w:rPr>
                <w:rFonts w:hint="eastAsia" w:ascii="宋体" w:hAnsi="宋体" w:cs="宋体"/>
                <w:bCs/>
                <w:szCs w:val="21"/>
                <w:lang w:eastAsia="zh-CN"/>
              </w:rPr>
              <w:t>缙云县文化和广电旅游体育局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1.2.2</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采购代理机构</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浙江鼎峰工程咨询有限公司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1.3</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资金来源</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1.4</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合格的供应商</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见磋商公告中供应商资格要求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1.5</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联合体磋商</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eq \o\ac(□</w:instrText>
            </w:r>
            <w:r>
              <w:rPr>
                <w:rFonts w:hint="eastAsia" w:ascii="宋体" w:hAnsi="宋体" w:cs="宋体"/>
                <w:bCs/>
                <w:szCs w:val="21"/>
                <w:lang w:eastAsia="zh-CN"/>
              </w:rPr>
              <w:instrText xml:space="preserve">,</w:instrText>
            </w:r>
            <w:r>
              <w:rPr>
                <w:rFonts w:hint="eastAsia" w:ascii="宋体" w:hAnsi="宋体" w:cs="宋体"/>
                <w:bCs/>
                <w:position w:val="2"/>
                <w:sz w:val="13"/>
                <w:szCs w:val="21"/>
                <w:lang w:eastAsia="zh-CN"/>
              </w:rPr>
              <w:instrText xml:space="preserve">√</w:instrText>
            </w:r>
            <w:r>
              <w:rPr>
                <w:rFonts w:hint="eastAsia" w:ascii="宋体" w:hAnsi="宋体" w:cs="宋体"/>
                <w:bCs/>
                <w:szCs w:val="21"/>
              </w:rPr>
              <w:instrText xml:space="preserve">)</w:instrText>
            </w:r>
            <w:r>
              <w:rPr>
                <w:rFonts w:hint="eastAsia" w:ascii="宋体" w:hAnsi="宋体" w:cs="宋体"/>
                <w:bCs/>
                <w:szCs w:val="21"/>
              </w:rPr>
              <w:fldChar w:fldCharType="end"/>
            </w:r>
            <w:r>
              <w:rPr>
                <w:rFonts w:hint="eastAsia" w:ascii="宋体" w:hAnsi="宋体" w:cs="宋体"/>
                <w:bCs/>
                <w:szCs w:val="21"/>
              </w:rPr>
              <w:t>不接受</w:t>
            </w:r>
          </w:p>
          <w:p>
            <w:pPr>
              <w:snapToGrid w:val="0"/>
              <w:spacing w:line="312" w:lineRule="auto"/>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eq \o\ac(□)</w:instrText>
            </w:r>
            <w:r>
              <w:rPr>
                <w:rFonts w:hint="eastAsia" w:ascii="宋体" w:hAnsi="宋体" w:cs="宋体"/>
                <w:bCs/>
                <w:szCs w:val="21"/>
              </w:rPr>
              <w:fldChar w:fldCharType="end"/>
            </w:r>
            <w:r>
              <w:rPr>
                <w:rFonts w:hint="eastAsia" w:ascii="宋体" w:hAnsi="宋体" w:cs="宋体"/>
                <w:bCs/>
                <w:szCs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1.6</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转包与分包</w:t>
            </w:r>
          </w:p>
        </w:tc>
        <w:tc>
          <w:tcPr>
            <w:tcW w:w="6495" w:type="dxa"/>
            <w:noWrap w:val="0"/>
            <w:vAlign w:val="center"/>
          </w:tcPr>
          <w:p>
            <w:pPr>
              <w:snapToGrid w:val="0"/>
              <w:spacing w:line="312"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3"/>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1.本项目不允许转包。</w:t>
            </w:r>
          </w:p>
          <w:p>
            <w:pPr>
              <w:snapToGrid w:val="0"/>
              <w:spacing w:line="312"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3"/>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2.1本项目不可以分包。</w:t>
            </w:r>
          </w:p>
          <w:p>
            <w:pPr>
              <w:snapToGrid w:val="0"/>
              <w:spacing w:line="312" w:lineRule="auto"/>
              <w:rPr>
                <w:rFonts w:ascii="宋体" w:hAnsi="宋体" w:cs="宋体"/>
                <w:szCs w:val="21"/>
              </w:rPr>
            </w:pPr>
            <w:r>
              <w:rPr>
                <w:rFonts w:hint="eastAsia" w:ascii="宋体" w:hAnsi="宋体" w:cs="宋体"/>
                <w:szCs w:val="21"/>
              </w:rPr>
              <w:t>□2.2本项目可以分包，但主体部分不得分包。本项目“主体部分”是指：/（根据项目具体情况确定）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1.11.2</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信用信息记录查询</w:t>
            </w:r>
          </w:p>
          <w:p>
            <w:pPr>
              <w:snapToGrid w:val="0"/>
              <w:spacing w:line="312" w:lineRule="auto"/>
              <w:jc w:val="center"/>
              <w:rPr>
                <w:rFonts w:ascii="宋体" w:hAnsi="宋体" w:cs="宋体"/>
                <w:bCs/>
                <w:szCs w:val="21"/>
              </w:rPr>
            </w:pPr>
            <w:r>
              <w:rPr>
                <w:rFonts w:hint="eastAsia" w:ascii="宋体" w:hAnsi="宋体" w:cs="宋体"/>
                <w:bCs/>
                <w:szCs w:val="21"/>
              </w:rPr>
              <w:t>截止时间</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同</w:t>
            </w:r>
            <w:r>
              <w:rPr>
                <w:rFonts w:hint="eastAsia" w:ascii="宋体" w:hAnsi="宋体" w:cs="宋体"/>
                <w:szCs w:val="21"/>
              </w:rPr>
              <w:t>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1.12.2</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节能环保产品品目 清单</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财库〔2019〕19号《节能产品政府采购品目清单》</w:t>
            </w:r>
          </w:p>
          <w:p>
            <w:pPr>
              <w:snapToGrid w:val="0"/>
              <w:spacing w:line="312" w:lineRule="auto"/>
              <w:rPr>
                <w:rFonts w:ascii="宋体" w:hAnsi="宋体" w:cs="宋体"/>
                <w:szCs w:val="21"/>
              </w:rPr>
            </w:pPr>
            <w:r>
              <w:rPr>
                <w:rFonts w:hint="eastAsia" w:ascii="宋体" w:hAnsi="宋体" w:cs="宋体"/>
                <w:bCs/>
                <w:szCs w:val="21"/>
              </w:rPr>
              <w:t>财库〔2019〕18号《环境标志产品政府采购品目清单》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1.12.3</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节能环保产品认证</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有效的节能产品、环境标志产品认证证书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1.12.4</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政府强制采购的节能产品清单品目</w:t>
            </w:r>
          </w:p>
        </w:tc>
        <w:tc>
          <w:tcPr>
            <w:tcW w:w="6495" w:type="dxa"/>
            <w:noWrap w:val="0"/>
            <w:vAlign w:val="center"/>
          </w:tcPr>
          <w:p>
            <w:pPr>
              <w:rPr>
                <w:rFonts w:ascii="宋体" w:hAnsi="宋体" w:cs="宋体"/>
                <w:bCs/>
                <w:szCs w:val="21"/>
              </w:rPr>
            </w:pPr>
            <w:r>
              <w:rPr>
                <w:rFonts w:hint="eastAsia" w:ascii="宋体" w:hAnsi="宋体" w:cs="宋体"/>
                <w:bCs/>
                <w:szCs w:val="21"/>
              </w:rPr>
              <w:t>□台式计算机  □便携式计算机  □平板式微型计算机</w:t>
            </w:r>
          </w:p>
          <w:p>
            <w:pPr>
              <w:rPr>
                <w:rFonts w:ascii="宋体" w:hAnsi="宋体" w:cs="宋体"/>
                <w:bCs/>
                <w:szCs w:val="21"/>
              </w:rPr>
            </w:pPr>
            <w:r>
              <w:rPr>
                <w:rFonts w:hint="eastAsia" w:ascii="宋体" w:hAnsi="宋体" w:cs="宋体"/>
                <w:bCs/>
                <w:szCs w:val="21"/>
              </w:rPr>
              <w:t>□激光打印机  □针式打印机    □液晶显示设备  □水嘴</w:t>
            </w:r>
          </w:p>
          <w:p>
            <w:pPr>
              <w:rPr>
                <w:rFonts w:ascii="宋体" w:hAnsi="宋体" w:cs="宋体"/>
                <w:bCs/>
                <w:szCs w:val="21"/>
              </w:rPr>
            </w:pPr>
            <w:r>
              <w:rPr>
                <w:rFonts w:hint="eastAsia" w:ascii="宋体" w:hAnsi="宋体" w:cs="宋体"/>
                <w:bCs/>
                <w:szCs w:val="21"/>
              </w:rPr>
              <w:t>□制冷压缩机  □空调机组      □专用制冷、空调设备</w:t>
            </w:r>
          </w:p>
          <w:p>
            <w:pPr>
              <w:rPr>
                <w:rFonts w:ascii="宋体" w:hAnsi="宋体" w:cs="宋体"/>
                <w:bCs/>
                <w:szCs w:val="21"/>
              </w:rPr>
            </w:pPr>
            <w:r>
              <w:rPr>
                <w:rFonts w:hint="eastAsia" w:ascii="宋体" w:hAnsi="宋体" w:cs="宋体"/>
                <w:bCs/>
                <w:szCs w:val="21"/>
              </w:rPr>
              <w:t>□镇流器      □视频设备      □电热水器      □便器</w:t>
            </w:r>
          </w:p>
          <w:p>
            <w:pPr>
              <w:snapToGrid w:val="0"/>
              <w:spacing w:line="312" w:lineRule="auto"/>
              <w:rPr>
                <w:rFonts w:ascii="宋体" w:hAnsi="宋体" w:cs="宋体"/>
                <w:bCs/>
                <w:szCs w:val="21"/>
              </w:rPr>
            </w:pPr>
            <w:r>
              <w:rPr>
                <w:rFonts w:hint="eastAsia" w:ascii="宋体" w:hAnsi="宋体" w:cs="宋体"/>
                <w:bCs/>
                <w:szCs w:val="21"/>
              </w:rPr>
              <w:t>□普通照明用双端荧光灯        □电视设备      □空调机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1.12.5</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落实政府采购支持中小企业、监狱企业及残疾人福利性单位发展政策</w:t>
            </w:r>
          </w:p>
        </w:tc>
        <w:tc>
          <w:tcPr>
            <w:tcW w:w="6495" w:type="dxa"/>
            <w:noWrap w:val="0"/>
            <w:vAlign w:val="center"/>
          </w:tcPr>
          <w:p>
            <w:pPr>
              <w:snapToGrid w:val="0"/>
              <w:spacing w:line="312" w:lineRule="auto"/>
              <w:rPr>
                <w:rFonts w:hint="eastAsia" w:ascii="宋体" w:hAnsi="宋体" w:cs="宋体"/>
                <w:bCs/>
                <w:szCs w:val="21"/>
              </w:rPr>
            </w:pPr>
            <w:r>
              <w:rPr>
                <w:rFonts w:hint="eastAsia" w:ascii="宋体" w:hAnsi="宋体" w:cs="宋体"/>
                <w:bCs/>
                <w:szCs w:val="21"/>
              </w:rPr>
              <w:t>货物和服务项目中未预留份额专门面向中小企业采购的，</w:t>
            </w:r>
            <w:r>
              <w:rPr>
                <w:rFonts w:hint="eastAsia" w:ascii="宋体" w:hAnsi="宋体" w:cs="宋体"/>
                <w:szCs w:val="21"/>
              </w:rPr>
              <w:t>对于非专门面向中小企业的项目</w:t>
            </w:r>
            <w:r>
              <w:rPr>
                <w:rFonts w:hint="eastAsia" w:ascii="宋体" w:hAnsi="宋体" w:cs="宋体"/>
                <w:bCs/>
                <w:color w:val="0000FF"/>
                <w:szCs w:val="21"/>
              </w:rPr>
              <w:t>：</w:t>
            </w:r>
            <w:r>
              <w:rPr>
                <w:rFonts w:hint="eastAsia" w:ascii="宋体" w:hAnsi="宋体" w:cs="宋体"/>
                <w:bCs/>
                <w:szCs w:val="21"/>
              </w:rPr>
              <w:t>对小微企业报价给予20%的扣除，用扣除后的价格参加评审。对于联合协议或者分包意向协议约定小微企业的合同份额占到合同总金额30%以上的，对联合体或者大中型企业的报价给予6%的扣除，用扣除后的价格参加评审。</w:t>
            </w:r>
          </w:p>
          <w:p>
            <w:pPr>
              <w:snapToGrid w:val="0"/>
              <w:spacing w:line="312" w:lineRule="auto"/>
              <w:rPr>
                <w:rFonts w:hint="eastAsia" w:ascii="宋体" w:hAnsi="宋体" w:cs="宋体"/>
                <w:bCs/>
                <w:szCs w:val="21"/>
              </w:rPr>
            </w:pPr>
            <w:r>
              <w:rPr>
                <w:rFonts w:hint="eastAsia" w:ascii="宋体" w:hAnsi="宋体" w:cs="宋体"/>
                <w:bCs/>
                <w:szCs w:val="21"/>
              </w:rPr>
              <w:t>本项目所属行业：其他未列明行业</w:t>
            </w:r>
            <w:r>
              <w:rPr>
                <w:rFonts w:hint="eastAsia" w:ascii="宋体" w:hAnsi="宋体" w:cs="宋体"/>
                <w:szCs w:val="21"/>
              </w:rPr>
              <w:t>。</w:t>
            </w:r>
            <w:r>
              <w:rPr>
                <w:rFonts w:hint="eastAsia" w:ascii="宋体" w:hAnsi="宋体" w:cs="宋体"/>
                <w:bCs/>
                <w:szCs w:val="21"/>
              </w:rPr>
              <w:t>(中小微型企业划分标准参照国家统计局印发的《统计上大中小微型企业划分办法（2017）》，上述填写的所属行业详见《统计上大中小微型企业划分办法（2017）》附件)。</w:t>
            </w:r>
          </w:p>
          <w:p>
            <w:pPr>
              <w:snapToGrid w:val="0"/>
              <w:spacing w:line="312" w:lineRule="auto"/>
              <w:rPr>
                <w:rFonts w:hint="eastAsia" w:ascii="宋体" w:hAnsi="宋体" w:cs="宋体"/>
                <w:bCs/>
                <w:szCs w:val="21"/>
              </w:rPr>
            </w:pPr>
            <w:r>
              <w:rPr>
                <w:rFonts w:hint="eastAsia" w:ascii="宋体" w:hAnsi="宋体" w:cs="宋体"/>
                <w:bCs/>
                <w:szCs w:val="21"/>
              </w:rPr>
              <w:t>监狱企业、残疾人福利性单位视同小型、微型企业，享受价格扣除。</w:t>
            </w:r>
          </w:p>
          <w:p>
            <w:pPr>
              <w:snapToGrid w:val="0"/>
              <w:spacing w:line="312" w:lineRule="auto"/>
              <w:rPr>
                <w:rFonts w:hint="eastAsia" w:ascii="宋体" w:hAnsi="宋体" w:cs="宋体"/>
                <w:bCs/>
                <w:szCs w:val="21"/>
              </w:rPr>
            </w:pPr>
            <w:r>
              <w:rPr>
                <w:rFonts w:hint="eastAsia" w:ascii="宋体" w:hAnsi="宋体" w:cs="宋体"/>
                <w:bCs/>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1.12.8</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采购进口产品</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eq \o\ac(□,√)</w:instrText>
            </w:r>
            <w:r>
              <w:rPr>
                <w:rFonts w:hint="eastAsia" w:ascii="宋体" w:hAnsi="宋体" w:cs="宋体"/>
                <w:bCs/>
                <w:szCs w:val="21"/>
              </w:rPr>
              <w:fldChar w:fldCharType="end"/>
            </w:r>
            <w:r>
              <w:rPr>
                <w:rFonts w:hint="eastAsia" w:ascii="宋体" w:hAnsi="宋体" w:cs="宋体"/>
                <w:bCs/>
                <w:szCs w:val="21"/>
              </w:rPr>
              <w:t>不允许采购进口产品</w:t>
            </w:r>
          </w:p>
          <w:p>
            <w:pPr>
              <w:snapToGrid w:val="0"/>
              <w:spacing w:line="312" w:lineRule="auto"/>
              <w:rPr>
                <w:rFonts w:ascii="宋体" w:hAnsi="宋体" w:cs="宋体"/>
                <w:szCs w:val="21"/>
              </w:rPr>
            </w:pPr>
            <w:r>
              <w:rPr>
                <w:rFonts w:hint="eastAsia" w:ascii="宋体" w:hAnsi="宋体" w:cs="宋体"/>
                <w:bCs/>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1.13.3</w:t>
            </w:r>
          </w:p>
        </w:tc>
        <w:tc>
          <w:tcPr>
            <w:tcW w:w="2115" w:type="dxa"/>
            <w:noWrap w:val="0"/>
            <w:vAlign w:val="center"/>
          </w:tcPr>
          <w:p>
            <w:pPr>
              <w:snapToGrid w:val="0"/>
              <w:spacing w:line="312" w:lineRule="auto"/>
              <w:jc w:val="center"/>
              <w:rPr>
                <w:rFonts w:ascii="宋体" w:hAnsi="宋体" w:cs="宋体"/>
                <w:b/>
                <w:szCs w:val="21"/>
              </w:rPr>
            </w:pPr>
            <w:r>
              <w:rPr>
                <w:rFonts w:hint="eastAsia" w:ascii="宋体" w:hAnsi="宋体" w:cs="宋体"/>
                <w:bCs/>
                <w:szCs w:val="21"/>
              </w:rPr>
              <w:t>核心产品</w:t>
            </w:r>
          </w:p>
        </w:tc>
        <w:tc>
          <w:tcPr>
            <w:tcW w:w="6495" w:type="dxa"/>
            <w:noWrap w:val="0"/>
            <w:vAlign w:val="center"/>
          </w:tcPr>
          <w:p>
            <w:pPr>
              <w:widowControl/>
              <w:spacing w:line="312" w:lineRule="auto"/>
              <w:jc w:val="left"/>
              <w:rPr>
                <w:rFonts w:ascii="宋体" w:hAnsi="宋体" w:cs="宋体"/>
                <w:b/>
                <w:kern w:val="0"/>
              </w:rPr>
            </w:pPr>
            <w:r>
              <w:rPr>
                <w:rFonts w:hint="eastAsia" w:ascii="宋体" w:hAnsi="宋体" w:cs="宋体"/>
                <w:b/>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1.14.1</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现场考察</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采购人及代理机构不组织现场考察。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2.2.1</w:t>
            </w:r>
          </w:p>
        </w:tc>
        <w:tc>
          <w:tcPr>
            <w:tcW w:w="2115" w:type="dxa"/>
            <w:noWrap w:val="0"/>
            <w:vAlign w:val="center"/>
          </w:tcPr>
          <w:p>
            <w:pPr>
              <w:snapToGrid w:val="0"/>
              <w:jc w:val="center"/>
              <w:rPr>
                <w:rFonts w:ascii="宋体" w:hAnsi="宋体" w:cs="宋体"/>
                <w:bCs/>
                <w:szCs w:val="21"/>
              </w:rPr>
            </w:pPr>
            <w:r>
              <w:rPr>
                <w:rFonts w:hint="eastAsia" w:ascii="宋体" w:hAnsi="宋体" w:cs="宋体"/>
                <w:bCs/>
                <w:szCs w:val="21"/>
              </w:rPr>
              <w:t>竞争性磋商文件的澄清、答疑、修改、补充截止时间</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响应文件递交截止时间3天前。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2.2.2</w:t>
            </w:r>
          </w:p>
        </w:tc>
        <w:tc>
          <w:tcPr>
            <w:tcW w:w="2115" w:type="dxa"/>
            <w:noWrap w:val="0"/>
            <w:vAlign w:val="center"/>
          </w:tcPr>
          <w:p>
            <w:pPr>
              <w:snapToGrid w:val="0"/>
              <w:jc w:val="center"/>
              <w:rPr>
                <w:rFonts w:ascii="宋体" w:hAnsi="宋体" w:cs="宋体"/>
                <w:bCs/>
                <w:szCs w:val="21"/>
              </w:rPr>
            </w:pPr>
            <w:r>
              <w:rPr>
                <w:rFonts w:hint="eastAsia" w:ascii="宋体" w:hAnsi="宋体" w:cs="宋体"/>
                <w:bCs/>
                <w:szCs w:val="21"/>
              </w:rPr>
              <w:t>竞争性磋商文件的澄清、答疑、修改、补充发布地点</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浙江政府采购网（http：//www.zjzfcg.gov.cn）。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3.2.1</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资格审查文件的组成</w:t>
            </w:r>
          </w:p>
        </w:tc>
        <w:tc>
          <w:tcPr>
            <w:tcW w:w="6495" w:type="dxa"/>
            <w:noWrap w:val="0"/>
            <w:vAlign w:val="center"/>
          </w:tcPr>
          <w:p>
            <w:pPr>
              <w:snapToGrid w:val="0"/>
              <w:spacing w:line="312" w:lineRule="auto"/>
              <w:rPr>
                <w:rFonts w:hint="eastAsia"/>
              </w:rPr>
            </w:pPr>
            <w:r>
              <w:rPr>
                <w:rFonts w:hint="eastAsia"/>
              </w:rPr>
              <w:t>（1）企业营业执照（复印件加盖供应商公章）；</w:t>
            </w:r>
          </w:p>
          <w:p>
            <w:pPr>
              <w:snapToGrid w:val="0"/>
              <w:spacing w:line="312" w:lineRule="auto"/>
              <w:rPr>
                <w:rFonts w:hint="eastAsia"/>
              </w:rPr>
            </w:pPr>
            <w:r>
              <w:rPr>
                <w:rFonts w:hint="eastAsia"/>
              </w:rPr>
              <w:t>（2）法定代表人身份证明书或法定代表人授权委托书（见格式）；</w:t>
            </w:r>
          </w:p>
          <w:p>
            <w:pPr>
              <w:snapToGrid w:val="0"/>
              <w:spacing w:line="312" w:lineRule="auto"/>
              <w:rPr>
                <w:rFonts w:hint="eastAsia"/>
              </w:rPr>
            </w:pPr>
            <w:r>
              <w:rPr>
                <w:rFonts w:hint="eastAsia"/>
              </w:rPr>
              <w:t>（3）具有良好的财务会计制度、依法缴纳税收和社会保障资金的承诺函;</w:t>
            </w:r>
          </w:p>
          <w:p>
            <w:pPr>
              <w:snapToGrid w:val="0"/>
              <w:spacing w:line="312" w:lineRule="auto"/>
              <w:rPr>
                <w:rFonts w:hint="eastAsia"/>
              </w:rPr>
            </w:pPr>
            <w:r>
              <w:rPr>
                <w:rFonts w:hint="eastAsia"/>
              </w:rPr>
              <w:t>（4）具有履行合同所必需设备和专业技术能力的承诺函;</w:t>
            </w:r>
          </w:p>
          <w:p>
            <w:pPr>
              <w:pStyle w:val="2"/>
            </w:pPr>
            <w:r>
              <w:rPr>
                <w:rFonts w:hint="eastAsia"/>
              </w:rPr>
              <w:t>（5）关于资格的声明</w:t>
            </w:r>
          </w:p>
          <w:p>
            <w:pPr>
              <w:snapToGrid w:val="0"/>
              <w:spacing w:line="312" w:lineRule="auto"/>
              <w:rPr>
                <w:rFonts w:hint="eastAsia"/>
              </w:rPr>
            </w:pPr>
            <w:r>
              <w:rPr>
                <w:rFonts w:hint="eastAsia"/>
              </w:rPr>
              <w:t>（6）无重大违法记录声明书；</w:t>
            </w:r>
          </w:p>
          <w:p>
            <w:pPr>
              <w:snapToGrid w:val="0"/>
              <w:spacing w:line="312" w:lineRule="auto"/>
            </w:pPr>
            <w:r>
              <w:rPr>
                <w:rFonts w:hint="eastAsia"/>
              </w:rPr>
              <w:t>（7）</w:t>
            </w:r>
            <w:r>
              <w:rPr>
                <w:rFonts w:hint="eastAsia"/>
                <w:lang w:val="en-US" w:eastAsia="zh-CN"/>
              </w:rPr>
              <w:t>其他</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3.3</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商务技术文件的组成</w:t>
            </w:r>
          </w:p>
        </w:tc>
        <w:tc>
          <w:tcPr>
            <w:tcW w:w="6495" w:type="dxa"/>
            <w:noWrap w:val="0"/>
            <w:vAlign w:val="center"/>
          </w:tcPr>
          <w:p>
            <w:pPr>
              <w:snapToGrid w:val="0"/>
              <w:spacing w:line="360" w:lineRule="auto"/>
              <w:rPr>
                <w:rFonts w:ascii="宋体" w:hAnsi="宋体" w:cs="宋体"/>
                <w:b/>
                <w:szCs w:val="21"/>
              </w:rPr>
            </w:pPr>
            <w:r>
              <w:rPr>
                <w:rFonts w:hint="eastAsia" w:ascii="宋体" w:hAnsi="宋体" w:cs="宋体"/>
                <w:b/>
                <w:szCs w:val="21"/>
              </w:rPr>
              <w:t>一、商务技术文件</w:t>
            </w:r>
          </w:p>
          <w:p>
            <w:pPr>
              <w:snapToGrid w:val="0"/>
              <w:spacing w:line="312" w:lineRule="auto"/>
              <w:rPr>
                <w:rFonts w:hint="eastAsia" w:ascii="宋体" w:hAnsi="宋体" w:eastAsia="宋体" w:cs="宋体"/>
                <w:szCs w:val="21"/>
              </w:rPr>
            </w:pPr>
            <w:r>
              <w:rPr>
                <w:rFonts w:hint="eastAsia" w:ascii="宋体" w:hAnsi="宋体" w:cs="宋体"/>
                <w:bCs/>
                <w:szCs w:val="21"/>
              </w:rPr>
              <w:t>（</w:t>
            </w:r>
            <w:r>
              <w:rPr>
                <w:rFonts w:hint="eastAsia" w:ascii="宋体" w:hAnsi="宋体" w:eastAsia="宋体" w:cs="宋体"/>
                <w:szCs w:val="21"/>
              </w:rPr>
              <w:t>1）磋商函</w:t>
            </w:r>
          </w:p>
          <w:p>
            <w:pPr>
              <w:snapToGrid w:val="0"/>
              <w:spacing w:line="312" w:lineRule="auto"/>
              <w:rPr>
                <w:rFonts w:hint="eastAsia" w:ascii="宋体" w:hAnsi="宋体" w:eastAsia="宋体" w:cs="宋体"/>
                <w:szCs w:val="21"/>
              </w:rPr>
            </w:pPr>
            <w:r>
              <w:rPr>
                <w:rFonts w:hint="eastAsia" w:ascii="宋体" w:hAnsi="宋体" w:eastAsia="宋体" w:cs="宋体"/>
                <w:szCs w:val="21"/>
              </w:rPr>
              <w:t>（2）承诺函</w:t>
            </w:r>
          </w:p>
          <w:p>
            <w:pPr>
              <w:snapToGrid w:val="0"/>
              <w:spacing w:line="312" w:lineRule="auto"/>
              <w:rPr>
                <w:rFonts w:hint="eastAsia" w:ascii="宋体" w:hAnsi="宋体" w:eastAsia="宋体" w:cs="宋体"/>
                <w:szCs w:val="21"/>
              </w:rPr>
            </w:pPr>
            <w:r>
              <w:rPr>
                <w:rFonts w:hint="eastAsia" w:ascii="宋体" w:hAnsi="宋体" w:eastAsia="宋体" w:cs="宋体"/>
                <w:szCs w:val="21"/>
              </w:rPr>
              <w:t>（3）商务响应表</w:t>
            </w:r>
          </w:p>
          <w:p>
            <w:pPr>
              <w:snapToGrid w:val="0"/>
              <w:spacing w:line="312" w:lineRule="auto"/>
              <w:rPr>
                <w:rFonts w:hint="eastAsia" w:ascii="宋体" w:hAnsi="宋体" w:eastAsia="宋体" w:cs="宋体"/>
                <w:szCs w:val="21"/>
                <w:highlight w:val="yellow"/>
                <w:lang w:val="zh-CN"/>
              </w:rPr>
            </w:pPr>
            <w:r>
              <w:rPr>
                <w:rFonts w:hint="eastAsia" w:ascii="宋体" w:hAnsi="宋体" w:eastAsia="宋体" w:cs="宋体"/>
                <w:szCs w:val="21"/>
              </w:rPr>
              <w:t>（4）业绩</w:t>
            </w:r>
          </w:p>
          <w:p>
            <w:pPr>
              <w:snapToGrid w:val="0"/>
              <w:spacing w:line="312" w:lineRule="auto"/>
              <w:rPr>
                <w:rFonts w:hint="eastAsia" w:ascii="宋体" w:hAnsi="宋体" w:eastAsia="宋体" w:cs="宋体"/>
                <w:szCs w:val="21"/>
              </w:rPr>
            </w:pPr>
            <w:r>
              <w:rPr>
                <w:rFonts w:hint="eastAsia" w:ascii="宋体" w:hAnsi="宋体" w:eastAsia="宋体" w:cs="宋体"/>
                <w:szCs w:val="21"/>
              </w:rPr>
              <w:t>（6）项目实施方案（格式自拟）</w:t>
            </w:r>
          </w:p>
          <w:p>
            <w:pPr>
              <w:snapToGrid w:val="0"/>
              <w:spacing w:line="312" w:lineRule="auto"/>
              <w:rPr>
                <w:rFonts w:hint="eastAsia" w:ascii="宋体" w:hAnsi="宋体" w:eastAsia="宋体" w:cs="宋体"/>
                <w:szCs w:val="21"/>
              </w:rPr>
            </w:pPr>
            <w:r>
              <w:rPr>
                <w:rFonts w:hint="eastAsia" w:ascii="宋体" w:hAnsi="宋体" w:eastAsia="宋体" w:cs="宋体"/>
                <w:szCs w:val="21"/>
              </w:rPr>
              <w:t>（7）项目团队（格式自拟）</w:t>
            </w:r>
          </w:p>
          <w:p>
            <w:pPr>
              <w:snapToGrid w:val="0"/>
              <w:spacing w:line="312" w:lineRule="auto"/>
              <w:rPr>
                <w:rFonts w:hint="eastAsia" w:ascii="宋体" w:hAnsi="宋体" w:eastAsia="宋体" w:cs="宋体"/>
                <w:szCs w:val="21"/>
              </w:rPr>
            </w:pPr>
            <w:r>
              <w:rPr>
                <w:rFonts w:hint="eastAsia" w:ascii="宋体" w:hAnsi="宋体" w:eastAsia="宋体" w:cs="宋体"/>
                <w:szCs w:val="21"/>
              </w:rPr>
              <w:t>（8）进度保障措施（格式自拟）</w:t>
            </w:r>
          </w:p>
          <w:p>
            <w:pPr>
              <w:snapToGrid w:val="0"/>
              <w:spacing w:line="312" w:lineRule="auto"/>
              <w:rPr>
                <w:rFonts w:hint="eastAsia" w:ascii="宋体" w:hAnsi="宋体" w:eastAsia="宋体" w:cs="宋体"/>
                <w:szCs w:val="21"/>
              </w:rPr>
            </w:pPr>
            <w:r>
              <w:rPr>
                <w:rFonts w:hint="eastAsia" w:ascii="宋体" w:hAnsi="宋体" w:eastAsia="宋体" w:cs="宋体"/>
                <w:szCs w:val="21"/>
              </w:rPr>
              <w:t>（9）质量保障措施（格式自拟）</w:t>
            </w:r>
          </w:p>
          <w:p>
            <w:pPr>
              <w:snapToGrid w:val="0"/>
              <w:spacing w:line="312" w:lineRule="auto"/>
              <w:rPr>
                <w:rFonts w:hint="eastAsia" w:ascii="宋体" w:hAnsi="宋体" w:eastAsia="宋体" w:cs="宋体"/>
                <w:szCs w:val="21"/>
              </w:rPr>
            </w:pPr>
            <w:r>
              <w:rPr>
                <w:rFonts w:hint="eastAsia" w:ascii="宋体" w:hAnsi="宋体" w:eastAsia="宋体" w:cs="宋体"/>
                <w:szCs w:val="21"/>
              </w:rPr>
              <w:t>（10）安全保障措施（格式自拟）</w:t>
            </w:r>
          </w:p>
          <w:p>
            <w:pPr>
              <w:snapToGrid w:val="0"/>
              <w:spacing w:line="312" w:lineRule="auto"/>
              <w:rPr>
                <w:rFonts w:hint="eastAsia" w:ascii="宋体" w:hAnsi="宋体" w:eastAsia="宋体" w:cs="宋体"/>
                <w:szCs w:val="21"/>
              </w:rPr>
            </w:pPr>
            <w:r>
              <w:rPr>
                <w:rFonts w:hint="eastAsia" w:ascii="宋体" w:hAnsi="宋体" w:eastAsia="宋体" w:cs="宋体"/>
                <w:szCs w:val="21"/>
              </w:rPr>
              <w:t>（11）车辆保障（格式自拟）</w:t>
            </w:r>
          </w:p>
          <w:p>
            <w:pPr>
              <w:snapToGrid w:val="0"/>
              <w:spacing w:line="312" w:lineRule="auto"/>
              <w:rPr>
                <w:rFonts w:hint="eastAsia" w:ascii="宋体" w:hAnsi="宋体" w:eastAsia="宋体" w:cs="宋体"/>
                <w:szCs w:val="21"/>
              </w:rPr>
            </w:pPr>
            <w:r>
              <w:rPr>
                <w:rFonts w:hint="eastAsia" w:ascii="宋体" w:hAnsi="宋体" w:eastAsia="宋体" w:cs="宋体"/>
                <w:szCs w:val="21"/>
              </w:rPr>
              <w:t>（12）突发事件应急方案（格式自拟）</w:t>
            </w:r>
          </w:p>
          <w:p>
            <w:pPr>
              <w:snapToGrid w:val="0"/>
              <w:spacing w:line="312" w:lineRule="auto"/>
              <w:rPr>
                <w:rFonts w:hint="eastAsia" w:ascii="宋体" w:hAnsi="宋体" w:eastAsia="宋体" w:cs="宋体"/>
                <w:szCs w:val="21"/>
              </w:rPr>
            </w:pPr>
            <w:r>
              <w:rPr>
                <w:rFonts w:hint="eastAsia" w:ascii="宋体" w:hAnsi="宋体" w:eastAsia="宋体" w:cs="宋体"/>
                <w:szCs w:val="21"/>
              </w:rPr>
              <w:t>（13）售后服务（格式自拟）</w:t>
            </w:r>
          </w:p>
          <w:p>
            <w:pPr>
              <w:snapToGrid w:val="0"/>
              <w:spacing w:line="312" w:lineRule="auto"/>
              <w:rPr>
                <w:rFonts w:hint="eastAsia" w:ascii="宋体" w:hAnsi="宋体" w:eastAsia="宋体" w:cs="宋体"/>
                <w:szCs w:val="21"/>
              </w:rPr>
            </w:pPr>
            <w:r>
              <w:rPr>
                <w:rFonts w:hint="eastAsia" w:ascii="宋体" w:hAnsi="宋体" w:eastAsia="宋体" w:cs="宋体"/>
                <w:szCs w:val="21"/>
              </w:rPr>
              <w:t>（14）档案管理（格式自拟）</w:t>
            </w:r>
          </w:p>
          <w:p>
            <w:pPr>
              <w:snapToGrid w:val="0"/>
              <w:spacing w:line="312" w:lineRule="auto"/>
              <w:rPr>
                <w:rFonts w:hint="eastAsia" w:ascii="宋体" w:hAnsi="宋体" w:eastAsia="宋体" w:cs="宋体"/>
                <w:szCs w:val="21"/>
              </w:rPr>
            </w:pPr>
            <w:r>
              <w:rPr>
                <w:rFonts w:hint="eastAsia" w:ascii="宋体" w:hAnsi="宋体" w:eastAsia="宋体" w:cs="宋体"/>
                <w:szCs w:val="21"/>
              </w:rPr>
              <w:t>（15）合理化建议（格式自拟）</w:t>
            </w:r>
          </w:p>
          <w:p>
            <w:pPr>
              <w:snapToGrid w:val="0"/>
              <w:spacing w:line="360" w:lineRule="auto"/>
              <w:rPr>
                <w:rFonts w:ascii="宋体" w:hAnsi="宋体" w:cs="宋体"/>
              </w:rPr>
            </w:pPr>
            <w:r>
              <w:rPr>
                <w:rFonts w:hint="eastAsia" w:ascii="宋体" w:hAnsi="宋体" w:eastAsia="宋体" w:cs="宋体"/>
                <w:szCs w:val="21"/>
              </w:rPr>
              <w:t>（16）供应商认为有利于本次磋商的其它技术文件（格式自拟）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3.4</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报价文件的组成</w:t>
            </w:r>
          </w:p>
        </w:tc>
        <w:tc>
          <w:tcPr>
            <w:tcW w:w="6495" w:type="dxa"/>
            <w:noWrap w:val="0"/>
            <w:vAlign w:val="center"/>
          </w:tcPr>
          <w:p>
            <w:pPr>
              <w:snapToGrid w:val="0"/>
              <w:spacing w:line="312" w:lineRule="auto"/>
              <w:rPr>
                <w:rFonts w:hint="eastAsia" w:ascii="宋体" w:hAnsi="宋体" w:eastAsia="宋体" w:cs="宋体"/>
                <w:szCs w:val="21"/>
              </w:rPr>
            </w:pPr>
            <w:r>
              <w:rPr>
                <w:rFonts w:hint="eastAsia" w:ascii="宋体" w:hAnsi="宋体" w:eastAsia="宋体" w:cs="宋体"/>
                <w:szCs w:val="21"/>
              </w:rPr>
              <w:t>（1）开标一览表</w:t>
            </w:r>
          </w:p>
          <w:p>
            <w:pPr>
              <w:snapToGrid w:val="0"/>
              <w:spacing w:line="312" w:lineRule="auto"/>
              <w:rPr>
                <w:rFonts w:hint="eastAsia" w:ascii="宋体" w:hAnsi="宋体" w:eastAsia="宋体" w:cs="宋体"/>
                <w:szCs w:val="21"/>
              </w:rPr>
            </w:pPr>
            <w:r>
              <w:rPr>
                <w:rFonts w:hint="eastAsia" w:ascii="宋体" w:hAnsi="宋体" w:eastAsia="宋体" w:cs="宋体"/>
                <w:szCs w:val="21"/>
              </w:rPr>
              <w:t>（2）投标分项报价表</w:t>
            </w:r>
          </w:p>
          <w:p>
            <w:pPr>
              <w:snapToGrid w:val="0"/>
              <w:spacing w:line="312"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）残疾人福利性单位声明函</w:t>
            </w:r>
          </w:p>
          <w:p>
            <w:pPr>
              <w:snapToGrid w:val="0"/>
              <w:spacing w:line="312" w:lineRule="auto"/>
              <w:rPr>
                <w:rFonts w:ascii="宋体" w:hAnsi="宋体" w:cs="宋体"/>
                <w:bCs/>
                <w:szCs w:val="21"/>
              </w:rPr>
            </w:pPr>
            <w:r>
              <w:rPr>
                <w:rFonts w:hint="eastAsia" w:ascii="宋体" w:hAnsi="宋体" w:eastAsia="宋体" w:cs="宋体"/>
                <w:szCs w:val="21"/>
              </w:rPr>
              <w:t>（</w:t>
            </w:r>
            <w:r>
              <w:rPr>
                <w:rFonts w:hint="eastAsia" w:ascii="宋体" w:hAnsi="宋体" w:cs="宋体"/>
                <w:szCs w:val="21"/>
                <w:lang w:val="en-US" w:eastAsia="zh-CN"/>
              </w:rPr>
              <w:t>4</w:t>
            </w:r>
            <w:r>
              <w:rPr>
                <w:rFonts w:hint="eastAsia" w:ascii="宋体" w:hAnsi="宋体" w:eastAsia="宋体" w:cs="宋体"/>
                <w:szCs w:val="21"/>
              </w:rPr>
              <w:t>）监狱企业证明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3.5.1</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其他文件的组成</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样品或平台操作讲解：</w:t>
            </w:r>
            <w:r>
              <w:rPr>
                <w:rFonts w:hint="eastAsia" w:ascii="宋体" w:hAnsi="宋体" w:cs="宋体"/>
                <w:bCs/>
                <w:szCs w:val="21"/>
                <w:lang w:eastAsia="zh-CN"/>
              </w:rPr>
              <w:t>无</w:t>
            </w:r>
            <w:r>
              <w:rPr>
                <w:rFonts w:hint="eastAsia" w:ascii="宋体" w:hAnsi="宋体" w:cs="宋体"/>
                <w:bCs/>
                <w:szCs w:val="21"/>
              </w:rPr>
              <w:t>。</w:t>
            </w:r>
          </w:p>
          <w:p>
            <w:pPr>
              <w:snapToGrid w:val="0"/>
              <w:spacing w:line="312" w:lineRule="auto"/>
              <w:rPr>
                <w:rFonts w:ascii="宋体" w:hAnsi="宋体" w:cs="宋体"/>
                <w:b/>
                <w:szCs w:val="21"/>
              </w:rPr>
            </w:pPr>
            <w:r>
              <w:rPr>
                <w:rFonts w:hint="eastAsia" w:ascii="宋体" w:hAnsi="宋体" w:cs="宋体"/>
                <w:b/>
                <w:bCs/>
                <w:szCs w:val="21"/>
              </w:rPr>
              <w:t>注：其他文件只作为响应文件组成的部分，具体内容不体现在响应文件当中。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4.3</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磋商有效期</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4.6.1</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响应文件的份数</w:t>
            </w:r>
          </w:p>
        </w:tc>
        <w:tc>
          <w:tcPr>
            <w:tcW w:w="6495" w:type="dxa"/>
            <w:noWrap w:val="0"/>
            <w:vAlign w:val="center"/>
          </w:tcPr>
          <w:p>
            <w:pPr>
              <w:snapToGrid w:val="0"/>
              <w:spacing w:line="312" w:lineRule="auto"/>
              <w:rPr>
                <w:rFonts w:ascii="宋体" w:hAnsi="宋体" w:cs="宋体"/>
                <w:b/>
                <w:bCs/>
                <w:szCs w:val="21"/>
              </w:rPr>
            </w:pPr>
            <w:r>
              <w:rPr>
                <w:rFonts w:hint="eastAsia" w:ascii="宋体" w:hAnsi="宋体" w:cs="宋体"/>
                <w:b/>
                <w:bCs/>
                <w:szCs w:val="21"/>
              </w:rPr>
              <w:t>1、电子加密响应文件1份，自行在政府采购云平台在线提交；</w:t>
            </w:r>
          </w:p>
          <w:p>
            <w:pPr>
              <w:snapToGrid w:val="0"/>
              <w:spacing w:line="312" w:lineRule="auto"/>
              <w:rPr>
                <w:rFonts w:ascii="宋体" w:hAnsi="宋体" w:cs="宋体"/>
                <w:b/>
                <w:bCs/>
                <w:szCs w:val="21"/>
              </w:rPr>
            </w:pPr>
            <w:r>
              <w:rPr>
                <w:rFonts w:hint="eastAsia" w:ascii="宋体" w:hAnsi="宋体" w:cs="宋体"/>
                <w:b/>
                <w:bCs/>
                <w:szCs w:val="21"/>
              </w:rPr>
              <w:t>2、备份响应文件1份，由供应商自行确定是否提交；若提交请将备份投标文件打包压缩加密后以电子邮件的形式发送至</w:t>
            </w:r>
            <w:r>
              <w:rPr>
                <w:rFonts w:hint="eastAsia" w:ascii="宋体" w:hAnsi="宋体" w:cs="宋体"/>
                <w:b/>
                <w:bCs/>
                <w:szCs w:val="21"/>
                <w:lang w:eastAsia="zh-CN"/>
              </w:rPr>
              <w:t>420413751</w:t>
            </w:r>
            <w:r>
              <w:rPr>
                <w:rFonts w:hint="eastAsia" w:ascii="宋体" w:hAnsi="宋体" w:cs="宋体"/>
                <w:b/>
                <w:bCs/>
                <w:szCs w:val="21"/>
              </w:rPr>
              <w:t>@qq.com。</w:t>
            </w:r>
          </w:p>
          <w:p>
            <w:pPr>
              <w:snapToGrid w:val="0"/>
              <w:spacing w:line="312" w:lineRule="auto"/>
              <w:rPr>
                <w:rFonts w:ascii="宋体" w:hAnsi="宋体" w:cs="宋体"/>
                <w:bCs/>
                <w:szCs w:val="21"/>
              </w:rPr>
            </w:pPr>
            <w:r>
              <w:rPr>
                <w:rFonts w:hint="eastAsia" w:ascii="宋体" w:hAnsi="宋体" w:cs="宋体"/>
                <w:b/>
                <w:bCs/>
                <w:szCs w:val="21"/>
              </w:rPr>
              <w:t>注：供应商在线解密失败后，启用备份投标文件，否则不启用备份响应文件。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5.3.1</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响应文件提交地点</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
                <w:szCs w:val="21"/>
              </w:rPr>
              <w:t>本项目实行电子招投标，供应商须在磋商截止时间前，前往政采云平台上传电子响应文件，无需到达现场提交响应文件。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5.3.2</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响应文件</w:t>
            </w:r>
          </w:p>
          <w:p>
            <w:pPr>
              <w:snapToGrid w:val="0"/>
              <w:spacing w:line="312" w:lineRule="auto"/>
              <w:jc w:val="center"/>
              <w:rPr>
                <w:rFonts w:ascii="宋体" w:hAnsi="宋体" w:cs="宋体"/>
                <w:bCs/>
                <w:szCs w:val="21"/>
              </w:rPr>
            </w:pPr>
            <w:r>
              <w:rPr>
                <w:rFonts w:hint="eastAsia" w:ascii="宋体" w:hAnsi="宋体" w:cs="宋体"/>
                <w:bCs/>
                <w:szCs w:val="21"/>
              </w:rPr>
              <w:t>提交截止时间</w:t>
            </w:r>
          </w:p>
        </w:tc>
        <w:tc>
          <w:tcPr>
            <w:tcW w:w="6495" w:type="dxa"/>
            <w:noWrap w:val="0"/>
            <w:vAlign w:val="center"/>
          </w:tcPr>
          <w:p>
            <w:pPr>
              <w:snapToGrid w:val="0"/>
              <w:spacing w:line="312" w:lineRule="auto"/>
              <w:rPr>
                <w:rFonts w:ascii="宋体" w:hAnsi="宋体" w:cs="宋体"/>
                <w:b/>
                <w:bCs/>
                <w:szCs w:val="21"/>
              </w:rPr>
            </w:pPr>
            <w:r>
              <w:rPr>
                <w:rFonts w:hint="eastAsia" w:ascii="宋体" w:hAnsi="宋体" w:cs="宋体"/>
                <w:b/>
                <w:bCs/>
                <w:szCs w:val="21"/>
              </w:rPr>
              <w:t>同</w:t>
            </w:r>
            <w:r>
              <w:rPr>
                <w:rFonts w:hint="eastAsia" w:ascii="宋体" w:hAnsi="宋体" w:cs="宋体"/>
                <w:b/>
                <w:szCs w:val="21"/>
              </w:rPr>
              <w:t>磋商</w:t>
            </w:r>
            <w:r>
              <w:rPr>
                <w:rFonts w:hint="eastAsia" w:ascii="宋体" w:hAnsi="宋体" w:cs="宋体"/>
                <w:b/>
                <w:bCs/>
                <w:szCs w:val="21"/>
              </w:rPr>
              <w:t>截止时间，见</w:t>
            </w:r>
            <w:r>
              <w:rPr>
                <w:rFonts w:hint="eastAsia" w:ascii="宋体" w:hAnsi="宋体" w:cs="宋体"/>
                <w:b/>
                <w:szCs w:val="21"/>
              </w:rPr>
              <w:t>第一章竞争性磋商公告。在磋商截止时间前，供应商可对已提交的电子响应文件进行补充、修改或撤回。补充、修改电子响应文件的，应当先行撤回原文件，补充、修改后重新生成加密的电子响应文件并重新传输递交。磋商截止时间前未完成传输的，视为撤回响应文件。磋商截止时间后递交的电子响应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5.3.3</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是否退还响应文件</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eq \o\ac(□,√)</w:instrText>
            </w:r>
            <w:r>
              <w:rPr>
                <w:rFonts w:hint="eastAsia" w:ascii="宋体" w:hAnsi="宋体" w:cs="宋体"/>
                <w:bCs/>
                <w:szCs w:val="21"/>
              </w:rPr>
              <w:fldChar w:fldCharType="end"/>
            </w:r>
            <w:r>
              <w:rPr>
                <w:rFonts w:hint="eastAsia" w:ascii="宋体" w:hAnsi="宋体" w:cs="宋体"/>
                <w:bCs/>
                <w:szCs w:val="21"/>
              </w:rPr>
              <w:t>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7.1.1</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磋商时间和地点</w:t>
            </w:r>
          </w:p>
        </w:tc>
        <w:tc>
          <w:tcPr>
            <w:tcW w:w="6495" w:type="dxa"/>
            <w:noWrap w:val="0"/>
            <w:vAlign w:val="center"/>
          </w:tcPr>
          <w:p>
            <w:pPr>
              <w:snapToGrid w:val="0"/>
              <w:spacing w:line="312" w:lineRule="auto"/>
              <w:rPr>
                <w:rFonts w:ascii="宋体" w:hAnsi="宋体" w:cs="宋体"/>
                <w:b/>
                <w:bCs/>
                <w:szCs w:val="21"/>
              </w:rPr>
            </w:pPr>
            <w:r>
              <w:rPr>
                <w:rFonts w:hint="eastAsia" w:ascii="宋体" w:hAnsi="宋体" w:cs="宋体"/>
                <w:bCs/>
                <w:szCs w:val="21"/>
              </w:rPr>
              <w:t>磋商时间：</w:t>
            </w:r>
            <w:r>
              <w:rPr>
                <w:rFonts w:hint="eastAsia" w:ascii="宋体" w:hAnsi="宋体" w:cs="宋体"/>
                <w:b/>
                <w:bCs/>
                <w:szCs w:val="21"/>
                <w:lang w:eastAsia="zh-CN"/>
              </w:rPr>
              <w:t>2023</w:t>
            </w:r>
            <w:r>
              <w:rPr>
                <w:rFonts w:hint="eastAsia" w:ascii="宋体" w:hAnsi="宋体" w:cs="宋体"/>
                <w:b/>
                <w:bCs/>
                <w:szCs w:val="21"/>
              </w:rPr>
              <w:t>年</w:t>
            </w:r>
            <w:r>
              <w:rPr>
                <w:rFonts w:hint="eastAsia" w:ascii="宋体" w:hAnsi="宋体" w:cs="宋体"/>
                <w:b/>
                <w:bCs/>
                <w:szCs w:val="21"/>
                <w:lang w:val="en-US" w:eastAsia="zh-CN"/>
              </w:rPr>
              <w:t>4月14</w:t>
            </w:r>
            <w:r>
              <w:rPr>
                <w:rFonts w:hint="eastAsia" w:ascii="宋体" w:hAnsi="宋体" w:cs="宋体"/>
                <w:b/>
                <w:bCs/>
                <w:szCs w:val="21"/>
              </w:rPr>
              <w:t>日9:00时</w:t>
            </w:r>
          </w:p>
          <w:p>
            <w:pPr>
              <w:snapToGrid w:val="0"/>
              <w:spacing w:line="312" w:lineRule="auto"/>
              <w:rPr>
                <w:rFonts w:ascii="宋体" w:hAnsi="宋体" w:cs="宋体"/>
                <w:bCs/>
                <w:szCs w:val="21"/>
              </w:rPr>
            </w:pPr>
            <w:r>
              <w:rPr>
                <w:rFonts w:hint="eastAsia" w:ascii="宋体" w:hAnsi="宋体" w:cs="宋体"/>
                <w:bCs/>
                <w:szCs w:val="21"/>
              </w:rPr>
              <w:t>磋商地点：</w:t>
            </w:r>
            <w:r>
              <w:rPr>
                <w:rFonts w:hint="eastAsia" w:ascii="宋体" w:hAnsi="宋体" w:cs="宋体"/>
                <w:b/>
                <w:szCs w:val="21"/>
              </w:rPr>
              <w:t>供应商均应当准时在线参加（政采云平台）。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7.1.4</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磋商时供应商</w:t>
            </w:r>
          </w:p>
          <w:p>
            <w:pPr>
              <w:snapToGrid w:val="0"/>
              <w:spacing w:line="312" w:lineRule="auto"/>
              <w:jc w:val="center"/>
              <w:rPr>
                <w:rFonts w:ascii="宋体" w:hAnsi="宋体" w:cs="宋体"/>
                <w:bCs/>
                <w:szCs w:val="21"/>
              </w:rPr>
            </w:pPr>
            <w:r>
              <w:rPr>
                <w:rFonts w:hint="eastAsia" w:ascii="宋体" w:hAnsi="宋体" w:cs="宋体"/>
                <w:bCs/>
                <w:szCs w:val="21"/>
              </w:rPr>
              <w:t>须携带的资料</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7.3.6</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磋商评审办法</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本项目的磋商评审办法是：</w:t>
            </w:r>
          </w:p>
          <w:p>
            <w:pPr>
              <w:snapToGrid w:val="0"/>
              <w:spacing w:line="312" w:lineRule="auto"/>
              <w:rPr>
                <w:rFonts w:ascii="宋体" w:hAnsi="宋体" w:cs="宋体"/>
                <w:bCs/>
                <w:sz w:val="24"/>
                <w:szCs w:val="21"/>
                <w:u w:val="single"/>
              </w:rPr>
            </w:pPr>
            <w:r>
              <w:rPr>
                <w:rFonts w:hint="eastAsia" w:ascii="宋体" w:hAnsi="宋体" w:cs="宋体"/>
                <w:bCs/>
                <w:szCs w:val="21"/>
              </w:rPr>
              <w:fldChar w:fldCharType="begin"/>
            </w:r>
            <w:r>
              <w:rPr>
                <w:rFonts w:hint="eastAsia" w:ascii="宋体" w:hAnsi="宋体" w:cs="宋体"/>
                <w:bCs/>
                <w:szCs w:val="21"/>
              </w:rPr>
              <w:instrText xml:space="preserve"> eq \o\ac(□,√)</w:instrText>
            </w:r>
            <w:r>
              <w:rPr>
                <w:rFonts w:hint="eastAsia" w:ascii="宋体" w:hAnsi="宋体" w:cs="宋体"/>
                <w:bCs/>
                <w:szCs w:val="21"/>
              </w:rPr>
              <w:fldChar w:fldCharType="end"/>
            </w:r>
            <w:r>
              <w:rPr>
                <w:rFonts w:hint="eastAsia" w:ascii="宋体" w:hAnsi="宋体" w:cs="宋体"/>
                <w:bCs/>
                <w:szCs w:val="21"/>
              </w:rPr>
              <w:t>综合评分法□最低价评审价法，具体磋商评审内容及评分标准等详见《第六章：磋商评审办法及评分标准》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7.5.1</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推荐成交候选人家数</w:t>
            </w:r>
          </w:p>
        </w:tc>
        <w:tc>
          <w:tcPr>
            <w:tcW w:w="6495" w:type="dxa"/>
            <w:noWrap w:val="0"/>
            <w:vAlign w:val="center"/>
          </w:tcPr>
          <w:p>
            <w:pPr>
              <w:snapToGrid w:val="0"/>
              <w:spacing w:line="312" w:lineRule="auto"/>
              <w:rPr>
                <w:rFonts w:ascii="宋体" w:hAnsi="宋体" w:cs="宋体"/>
                <w:bCs/>
                <w:szCs w:val="21"/>
                <w:u w:val="single"/>
              </w:rPr>
            </w:pPr>
            <w:r>
              <w:rPr>
                <w:rFonts w:hint="eastAsia" w:ascii="宋体" w:hAnsi="宋体" w:cs="宋体"/>
                <w:bCs/>
                <w:szCs w:val="21"/>
              </w:rPr>
              <w:t>推荐1家，确定1家。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8.4.3</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付款条件</w:t>
            </w:r>
          </w:p>
        </w:tc>
        <w:tc>
          <w:tcPr>
            <w:tcW w:w="6495" w:type="dxa"/>
            <w:noWrap w:val="0"/>
            <w:vAlign w:val="center"/>
          </w:tcPr>
          <w:p>
            <w:pPr>
              <w:snapToGrid w:val="0"/>
              <w:spacing w:line="312" w:lineRule="auto"/>
              <w:jc w:val="left"/>
              <w:rPr>
                <w:rFonts w:ascii="宋体" w:hAnsi="宋体" w:cs="宋体"/>
                <w:bCs/>
                <w:szCs w:val="21"/>
              </w:rPr>
            </w:pPr>
            <w:r>
              <w:rPr>
                <w:rFonts w:hint="eastAsia" w:ascii="宋体" w:hAnsi="宋体" w:cs="宋体"/>
                <w:bCs/>
                <w:szCs w:val="21"/>
              </w:rPr>
              <w:t>按合同条款执行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8.4.4</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付款方式</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由采购人直接按付款要求支付。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9.1.1</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履约保证金</w:t>
            </w:r>
          </w:p>
        </w:tc>
        <w:tc>
          <w:tcPr>
            <w:tcW w:w="6495" w:type="dxa"/>
            <w:noWrap w:val="0"/>
            <w:vAlign w:val="center"/>
          </w:tcPr>
          <w:p>
            <w:pPr>
              <w:snapToGrid w:val="0"/>
              <w:spacing w:line="312" w:lineRule="auto"/>
              <w:rPr>
                <w:rFonts w:hint="eastAsia" w:ascii="宋体" w:hAnsi="宋体" w:cs="宋体"/>
                <w:bCs/>
                <w:szCs w:val="21"/>
              </w:rPr>
            </w:pPr>
            <w:r>
              <w:rPr>
                <w:rFonts w:hint="eastAsia" w:ascii="宋体" w:hAnsi="宋体" w:cs="宋体"/>
                <w:bCs/>
                <w:szCs w:val="21"/>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atLeast"/>
        </w:trPr>
        <w:tc>
          <w:tcPr>
            <w:tcW w:w="939" w:type="dxa"/>
            <w:noWrap w:val="0"/>
            <w:vAlign w:val="center"/>
          </w:tcPr>
          <w:p>
            <w:pPr>
              <w:snapToGrid w:val="0"/>
              <w:spacing w:line="360" w:lineRule="auto"/>
              <w:jc w:val="center"/>
              <w:rPr>
                <w:rFonts w:ascii="宋体" w:hAnsi="宋体" w:cs="宋体"/>
                <w:bCs/>
                <w:szCs w:val="21"/>
              </w:rPr>
            </w:pPr>
            <w:r>
              <w:rPr>
                <w:rFonts w:hint="eastAsia" w:ascii="宋体" w:hAnsi="宋体" w:cs="宋体"/>
                <w:bCs/>
                <w:szCs w:val="21"/>
              </w:rPr>
              <w:t>10.3</w:t>
            </w:r>
          </w:p>
        </w:tc>
        <w:tc>
          <w:tcPr>
            <w:tcW w:w="2115" w:type="dxa"/>
            <w:noWrap w:val="0"/>
            <w:vAlign w:val="center"/>
          </w:tcPr>
          <w:p>
            <w:pPr>
              <w:snapToGrid w:val="0"/>
              <w:spacing w:line="360" w:lineRule="auto"/>
              <w:jc w:val="center"/>
              <w:rPr>
                <w:rFonts w:ascii="宋体" w:hAnsi="宋体" w:cs="宋体"/>
                <w:bCs/>
                <w:szCs w:val="21"/>
              </w:rPr>
            </w:pPr>
            <w:r>
              <w:rPr>
                <w:rFonts w:hint="eastAsia" w:ascii="宋体" w:hAnsi="宋体" w:cs="宋体"/>
                <w:bCs/>
                <w:szCs w:val="21"/>
              </w:rPr>
              <w:t>注意事项</w:t>
            </w:r>
          </w:p>
        </w:tc>
        <w:tc>
          <w:tcPr>
            <w:tcW w:w="6495" w:type="dxa"/>
            <w:noWrap w:val="0"/>
            <w:vAlign w:val="center"/>
          </w:tcPr>
          <w:p>
            <w:pPr>
              <w:snapToGrid w:val="0"/>
              <w:spacing w:line="360" w:lineRule="auto"/>
              <w:rPr>
                <w:rFonts w:ascii="宋体" w:hAnsi="宋体" w:cs="宋体"/>
                <w:bCs/>
                <w:szCs w:val="21"/>
              </w:rPr>
            </w:pPr>
            <w:r>
              <w:rPr>
                <w:rFonts w:hint="eastAsia" w:ascii="宋体" w:hAnsi="宋体" w:cs="宋体"/>
                <w:b/>
                <w:bCs/>
                <w:szCs w:val="21"/>
              </w:rPr>
              <w:t>磋商截止时间后，供应商登录政采云平台，用“项目采购-开标评标”功能对电子响应文件进行在线解密。在线解密电子响应文件时间为磋商截止时间起30分钟内，</w:t>
            </w:r>
            <w:r>
              <w:rPr>
                <w:rFonts w:hint="eastAsia" w:ascii="宋体" w:hAnsi="宋体" w:cs="宋体"/>
                <w:b/>
                <w:szCs w:val="21"/>
              </w:rPr>
              <w:t>未按时解密或解密未成功的，供应商应当在解密时间内向采购代理机构通过电子邮箱（</w:t>
            </w:r>
            <w:r>
              <w:rPr>
                <w:rFonts w:hint="eastAsia" w:ascii="宋体" w:hAnsi="宋体" w:cs="宋体"/>
                <w:b/>
                <w:szCs w:val="21"/>
                <w:lang w:eastAsia="zh-CN"/>
              </w:rPr>
              <w:t>420413751</w:t>
            </w:r>
            <w:r>
              <w:rPr>
                <w:rFonts w:hint="eastAsia" w:ascii="宋体" w:hAnsi="宋体" w:cs="宋体"/>
                <w:b/>
                <w:szCs w:val="21"/>
              </w:rPr>
              <w:t>@qq.com）提供备份响应文件，否则</w:t>
            </w:r>
            <w:r>
              <w:rPr>
                <w:rFonts w:hint="eastAsia" w:ascii="宋体" w:hAnsi="宋体" w:cs="宋体"/>
                <w:b/>
                <w:bCs/>
                <w:szCs w:val="21"/>
              </w:rPr>
              <w:t>视为放弃磋商。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10.4.1</w:t>
            </w:r>
          </w:p>
        </w:tc>
        <w:tc>
          <w:tcPr>
            <w:tcW w:w="2115"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采购代理机构</w:t>
            </w:r>
          </w:p>
        </w:tc>
        <w:tc>
          <w:tcPr>
            <w:tcW w:w="6495" w:type="dxa"/>
            <w:noWrap w:val="0"/>
            <w:vAlign w:val="center"/>
          </w:tcPr>
          <w:p>
            <w:pPr>
              <w:snapToGrid w:val="0"/>
              <w:spacing w:line="312" w:lineRule="auto"/>
              <w:rPr>
                <w:rFonts w:ascii="宋体" w:hAnsi="宋体" w:cs="宋体"/>
                <w:bCs/>
                <w:szCs w:val="21"/>
              </w:rPr>
            </w:pPr>
            <w:r>
              <w:rPr>
                <w:rFonts w:hint="eastAsia" w:ascii="宋体" w:hAnsi="宋体" w:cs="宋体"/>
                <w:bCs/>
                <w:szCs w:val="21"/>
              </w:rPr>
              <w:t>代理机构：浙江鼎峰工程咨询有限公司</w:t>
            </w:r>
          </w:p>
          <w:p>
            <w:pPr>
              <w:snapToGrid w:val="0"/>
              <w:spacing w:line="312" w:lineRule="auto"/>
              <w:rPr>
                <w:rFonts w:hint="eastAsia" w:ascii="宋体" w:hAnsi="宋体" w:eastAsia="宋体" w:cs="宋体"/>
                <w:bCs/>
                <w:szCs w:val="21"/>
                <w:lang w:eastAsia="zh-CN"/>
              </w:rPr>
            </w:pPr>
            <w:r>
              <w:rPr>
                <w:rFonts w:hint="eastAsia" w:ascii="宋体" w:hAnsi="宋体" w:cs="宋体"/>
                <w:bCs/>
                <w:szCs w:val="21"/>
              </w:rPr>
              <w:t>联系人：</w:t>
            </w:r>
            <w:r>
              <w:rPr>
                <w:rFonts w:hint="eastAsia" w:ascii="宋体" w:hAnsi="宋体" w:cs="宋体"/>
                <w:bCs/>
                <w:szCs w:val="21"/>
                <w:lang w:eastAsia="zh-CN"/>
              </w:rPr>
              <w:t>陈晓霞</w:t>
            </w:r>
          </w:p>
          <w:p>
            <w:pPr>
              <w:snapToGrid w:val="0"/>
              <w:spacing w:line="312" w:lineRule="auto"/>
              <w:rPr>
                <w:rFonts w:ascii="宋体" w:hAnsi="宋体" w:cs="宋体"/>
                <w:bCs/>
                <w:szCs w:val="21"/>
              </w:rPr>
            </w:pPr>
            <w:r>
              <w:rPr>
                <w:rFonts w:hint="eastAsia" w:ascii="宋体" w:hAnsi="宋体" w:cs="宋体"/>
                <w:bCs/>
                <w:szCs w:val="21"/>
              </w:rPr>
              <w:t>联系电话：0578-3311234</w:t>
            </w:r>
          </w:p>
          <w:p>
            <w:pPr>
              <w:snapToGrid w:val="0"/>
              <w:spacing w:line="312" w:lineRule="auto"/>
              <w:rPr>
                <w:rFonts w:ascii="宋体" w:hAnsi="宋体" w:cs="宋体"/>
                <w:bCs/>
                <w:szCs w:val="21"/>
              </w:rPr>
            </w:pPr>
            <w:r>
              <w:rPr>
                <w:rFonts w:hint="eastAsia" w:ascii="宋体" w:hAnsi="宋体" w:cs="宋体"/>
                <w:bCs/>
                <w:szCs w:val="21"/>
              </w:rPr>
              <w:t>地址：缙云县城新区江滨巷17号301室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939" w:type="dxa"/>
            <w:noWrap w:val="0"/>
            <w:vAlign w:val="center"/>
          </w:tcPr>
          <w:p>
            <w:pPr>
              <w:snapToGrid w:val="0"/>
              <w:spacing w:line="312" w:lineRule="auto"/>
              <w:jc w:val="center"/>
              <w:rPr>
                <w:rFonts w:ascii="宋体" w:hAnsi="宋体" w:cs="宋体"/>
                <w:bCs/>
                <w:szCs w:val="21"/>
              </w:rPr>
            </w:pPr>
            <w:r>
              <w:rPr>
                <w:rFonts w:hint="eastAsia" w:ascii="宋体" w:hAnsi="宋体" w:cs="宋体"/>
                <w:bCs/>
                <w:szCs w:val="21"/>
              </w:rPr>
              <w:t>10.4.2</w:t>
            </w:r>
          </w:p>
        </w:tc>
        <w:tc>
          <w:tcPr>
            <w:tcW w:w="2115" w:type="dxa"/>
            <w:noWrap w:val="0"/>
            <w:vAlign w:val="center"/>
          </w:tcPr>
          <w:p>
            <w:pPr>
              <w:snapToGrid w:val="0"/>
              <w:spacing w:line="312" w:lineRule="auto"/>
              <w:jc w:val="center"/>
              <w:rPr>
                <w:rFonts w:ascii="宋体" w:hAnsi="宋体" w:cs="宋体"/>
                <w:bCs/>
                <w:szCs w:val="21"/>
                <w:highlight w:val="none"/>
              </w:rPr>
            </w:pPr>
            <w:r>
              <w:rPr>
                <w:rFonts w:hint="eastAsia" w:ascii="宋体" w:hAnsi="宋体" w:cs="宋体"/>
                <w:bCs/>
                <w:szCs w:val="21"/>
                <w:highlight w:val="none"/>
              </w:rPr>
              <w:t>采购人</w:t>
            </w:r>
          </w:p>
        </w:tc>
        <w:tc>
          <w:tcPr>
            <w:tcW w:w="6495" w:type="dxa"/>
            <w:noWrap w:val="0"/>
            <w:vAlign w:val="center"/>
          </w:tcPr>
          <w:p>
            <w:pPr>
              <w:snapToGrid w:val="0"/>
              <w:spacing w:line="312" w:lineRule="auto"/>
              <w:rPr>
                <w:rFonts w:hint="eastAsia" w:ascii="宋体" w:hAnsi="宋体" w:cs="宋体"/>
                <w:bCs/>
                <w:szCs w:val="21"/>
                <w:highlight w:val="none"/>
              </w:rPr>
            </w:pPr>
            <w:r>
              <w:rPr>
                <w:rFonts w:hint="eastAsia" w:ascii="宋体" w:hAnsi="宋体" w:cs="宋体"/>
                <w:bCs/>
                <w:szCs w:val="21"/>
                <w:highlight w:val="none"/>
              </w:rPr>
              <w:t>采购人名称：</w:t>
            </w:r>
            <w:r>
              <w:rPr>
                <w:rFonts w:hint="eastAsia" w:ascii="宋体" w:hAnsi="宋体" w:cs="宋体"/>
                <w:bCs/>
                <w:szCs w:val="21"/>
                <w:highlight w:val="none"/>
                <w:lang w:eastAsia="zh-CN"/>
              </w:rPr>
              <w:t>缙云县文化和广电旅游体育局</w:t>
            </w:r>
            <w:r>
              <w:rPr>
                <w:rFonts w:hint="eastAsia" w:ascii="宋体" w:hAnsi="宋体" w:cs="宋体"/>
                <w:bCs/>
                <w:szCs w:val="21"/>
                <w:highlight w:val="none"/>
              </w:rPr>
              <w:t xml:space="preserve"> </w:t>
            </w:r>
          </w:p>
          <w:p>
            <w:pPr>
              <w:snapToGrid w:val="0"/>
              <w:spacing w:line="312" w:lineRule="auto"/>
              <w:rPr>
                <w:rFonts w:hint="eastAsia" w:ascii="宋体" w:hAnsi="宋体" w:eastAsia="宋体" w:cs="宋体"/>
                <w:bCs/>
                <w:szCs w:val="21"/>
                <w:highlight w:val="none"/>
                <w:lang w:val="en-US" w:eastAsia="zh-CN"/>
              </w:rPr>
            </w:pPr>
            <w:r>
              <w:rPr>
                <w:rFonts w:hint="eastAsia" w:ascii="宋体" w:hAnsi="宋体" w:cs="宋体"/>
                <w:bCs/>
                <w:szCs w:val="21"/>
                <w:highlight w:val="none"/>
              </w:rPr>
              <w:t>联系人：</w:t>
            </w:r>
            <w:r>
              <w:rPr>
                <w:rFonts w:hint="eastAsia" w:ascii="宋体" w:hAnsi="宋体" w:cs="宋体"/>
                <w:bCs/>
                <w:szCs w:val="21"/>
                <w:highlight w:val="none"/>
                <w:lang w:val="en-US" w:eastAsia="zh-CN"/>
              </w:rPr>
              <w:t xml:space="preserve">江女士 </w:t>
            </w:r>
          </w:p>
          <w:p>
            <w:pPr>
              <w:snapToGrid w:val="0"/>
              <w:spacing w:line="312" w:lineRule="auto"/>
              <w:rPr>
                <w:rFonts w:hint="eastAsia" w:ascii="宋体" w:hAnsi="宋体" w:eastAsia="宋体" w:cs="宋体"/>
                <w:szCs w:val="21"/>
                <w:highlight w:val="none"/>
                <w:lang w:eastAsia="zh-CN"/>
              </w:rPr>
            </w:pPr>
            <w:r>
              <w:rPr>
                <w:rFonts w:hint="eastAsia" w:ascii="宋体" w:hAnsi="宋体" w:cs="宋体"/>
                <w:bCs/>
                <w:szCs w:val="21"/>
                <w:highlight w:val="none"/>
              </w:rPr>
              <w:t>联系电话：</w:t>
            </w:r>
            <w:r>
              <w:rPr>
                <w:rFonts w:hint="eastAsia" w:ascii="宋体" w:hAnsi="宋体" w:cs="宋体"/>
                <w:bCs/>
                <w:szCs w:val="21"/>
                <w:highlight w:val="none"/>
                <w:lang w:val="en-US" w:eastAsia="zh-CN"/>
              </w:rPr>
              <w:t xml:space="preserve">0578-3315120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noWrap w:val="0"/>
            <w:vAlign w:val="center"/>
          </w:tcPr>
          <w:p>
            <w:pPr>
              <w:snapToGrid w:val="0"/>
              <w:spacing w:line="312" w:lineRule="auto"/>
              <w:jc w:val="center"/>
              <w:rPr>
                <w:rFonts w:ascii="宋体" w:hAnsi="宋体" w:cs="宋体"/>
                <w:bCs/>
                <w:szCs w:val="21"/>
              </w:rPr>
            </w:pPr>
            <w:bookmarkStart w:id="23" w:name="_Toc24183"/>
            <w:bookmarkStart w:id="24" w:name="_Toc499128550"/>
            <w:bookmarkStart w:id="25" w:name="_Toc498327005"/>
            <w:bookmarkStart w:id="26" w:name="_Toc301187598"/>
            <w:r>
              <w:rPr>
                <w:rFonts w:hint="eastAsia" w:ascii="宋体" w:hAnsi="宋体" w:cs="宋体"/>
                <w:bCs/>
                <w:szCs w:val="21"/>
              </w:rPr>
              <w:t>10.5</w:t>
            </w:r>
          </w:p>
        </w:tc>
        <w:tc>
          <w:tcPr>
            <w:tcW w:w="2115" w:type="dxa"/>
            <w:noWrap w:val="0"/>
            <w:vAlign w:val="center"/>
          </w:tcPr>
          <w:p>
            <w:pPr>
              <w:spacing w:line="360" w:lineRule="auto"/>
              <w:ind w:firstLine="210" w:firstLineChars="100"/>
              <w:rPr>
                <w:rFonts w:ascii="宋体" w:hAnsi="宋体" w:cs="宋体"/>
                <w:szCs w:val="21"/>
              </w:rPr>
            </w:pPr>
            <w:r>
              <w:rPr>
                <w:rFonts w:hint="eastAsia" w:ascii="宋体" w:hAnsi="宋体" w:cs="宋体"/>
                <w:szCs w:val="21"/>
              </w:rPr>
              <w:t>其它</w:t>
            </w:r>
          </w:p>
        </w:tc>
        <w:tc>
          <w:tcPr>
            <w:tcW w:w="6495" w:type="dxa"/>
            <w:noWrap w:val="0"/>
            <w:vAlign w:val="center"/>
          </w:tcPr>
          <w:p>
            <w:pPr>
              <w:spacing w:line="360" w:lineRule="auto"/>
              <w:ind w:firstLine="420" w:firstLineChars="200"/>
              <w:rPr>
                <w:rFonts w:hint="eastAsia" w:ascii="宋体" w:hAnsi="宋体" w:cs="宋体"/>
                <w:szCs w:val="21"/>
              </w:rPr>
            </w:pPr>
            <w:r>
              <w:rPr>
                <w:rFonts w:hint="eastAsia" w:ascii="宋体" w:hAnsi="宋体" w:cs="宋体"/>
                <w:szCs w:val="21"/>
              </w:rPr>
              <w:t>中标供应商有资金需求，可申请政采贷、履约保函、预付款保函等政府采购金融服务。</w:t>
            </w:r>
          </w:p>
          <w:p>
            <w:pPr>
              <w:spacing w:line="360" w:lineRule="auto"/>
              <w:ind w:firstLine="420" w:firstLineChars="200"/>
              <w:rPr>
                <w:rFonts w:hint="eastAsia" w:ascii="宋体" w:hAnsi="宋体" w:cs="宋体"/>
                <w:szCs w:val="21"/>
              </w:rPr>
            </w:pPr>
            <w:r>
              <w:rPr>
                <w:rFonts w:hint="eastAsia" w:ascii="宋体" w:hAnsi="宋体" w:cs="宋体"/>
                <w:szCs w:val="21"/>
              </w:rPr>
              <w:t>1、政采贷</w:t>
            </w:r>
          </w:p>
          <w:p>
            <w:pPr>
              <w:spacing w:line="360" w:lineRule="auto"/>
              <w:ind w:firstLine="420" w:firstLineChars="200"/>
              <w:rPr>
                <w:rFonts w:hint="eastAsia" w:ascii="宋体" w:hAnsi="宋体" w:cs="宋体"/>
                <w:szCs w:val="21"/>
              </w:rPr>
            </w:pPr>
            <w:r>
              <w:rPr>
                <w:rFonts w:hint="eastAsia" w:ascii="宋体" w:hAnsi="宋体" w:cs="宋体"/>
                <w:szCs w:val="21"/>
              </w:rPr>
              <w:t>通过发挥政府采购政策功能，依托政采云在互联网、云计算、大数据等方面的优势，由各银行向平台用户提供中短期贷款（主要包括流水贷和合同贷），以解决中小微企业“融资难”、“担保难”问题的信用融资产品。</w:t>
            </w:r>
          </w:p>
          <w:p>
            <w:pPr>
              <w:spacing w:line="360" w:lineRule="auto"/>
              <w:ind w:firstLine="420" w:firstLineChars="200"/>
              <w:rPr>
                <w:rFonts w:hint="eastAsia" w:ascii="宋体" w:hAnsi="宋体" w:cs="宋体"/>
                <w:szCs w:val="21"/>
              </w:rPr>
            </w:pPr>
            <w:r>
              <w:rPr>
                <w:rFonts w:hint="eastAsia" w:ascii="宋体" w:hAnsi="宋体" w:cs="宋体"/>
                <w:szCs w:val="21"/>
              </w:rPr>
              <w:t>2、履约保函、预付款保函</w:t>
            </w:r>
          </w:p>
          <w:p>
            <w:pPr>
              <w:spacing w:line="360" w:lineRule="auto"/>
              <w:ind w:firstLine="420" w:firstLineChars="200"/>
              <w:rPr>
                <w:rFonts w:hint="eastAsia" w:ascii="宋体" w:hAnsi="宋体" w:cs="宋体"/>
                <w:szCs w:val="21"/>
              </w:rPr>
            </w:pPr>
            <w:r>
              <w:rPr>
                <w:rFonts w:hint="eastAsia" w:ascii="宋体" w:hAnsi="宋体" w:cs="宋体"/>
                <w:szCs w:val="21"/>
              </w:rPr>
              <w:t>中标供应商可通过以保函的形式提交履约保证金，减少对中小微企业的资金占用，降低财务成本。</w:t>
            </w:r>
          </w:p>
          <w:p>
            <w:pPr>
              <w:spacing w:line="360" w:lineRule="auto"/>
              <w:ind w:firstLine="420" w:firstLineChars="200"/>
              <w:rPr>
                <w:rFonts w:hint="eastAsia" w:ascii="宋体" w:hAnsi="宋体" w:cs="宋体"/>
                <w:szCs w:val="21"/>
              </w:rPr>
            </w:pPr>
            <w:r>
              <w:rPr>
                <w:rFonts w:hint="eastAsia" w:ascii="宋体" w:hAnsi="宋体" w:cs="宋体"/>
                <w:szCs w:val="21"/>
              </w:rPr>
              <w:t>履约保函，政采贷，预付款保函等金融服务办理方式。</w:t>
            </w:r>
          </w:p>
          <w:p>
            <w:pPr>
              <w:spacing w:line="360" w:lineRule="auto"/>
              <w:ind w:firstLine="420" w:firstLineChars="200"/>
              <w:rPr>
                <w:rFonts w:hint="eastAsia" w:ascii="宋体" w:hAnsi="宋体" w:cs="宋体"/>
                <w:szCs w:val="21"/>
              </w:rPr>
            </w:pPr>
            <w:r>
              <w:rPr>
                <w:rFonts w:hint="eastAsia" w:ascii="宋体" w:hAnsi="宋体" w:cs="宋体"/>
                <w:szCs w:val="21"/>
              </w:rPr>
              <w:t>中标供应商登陆政采云——我的工作台——金融服务——融资专区或保函专区申请。金融专线400-903-9583。</w:t>
            </w:r>
          </w:p>
          <w:p>
            <w:pPr>
              <w:spacing w:line="360" w:lineRule="auto"/>
              <w:ind w:firstLine="420" w:firstLineChars="200"/>
              <w:rPr>
                <w:rFonts w:hint="eastAsia" w:ascii="宋体" w:hAnsi="宋体" w:cs="宋体"/>
                <w:szCs w:val="21"/>
              </w:rPr>
            </w:pPr>
            <w:r>
              <w:rPr>
                <w:rFonts w:hint="eastAsia" w:ascii="宋体" w:hAnsi="宋体" w:cs="宋体"/>
                <w:szCs w:val="21"/>
              </w:rPr>
              <w:t>3.风险提示</w:t>
            </w:r>
          </w:p>
          <w:p>
            <w:pPr>
              <w:spacing w:line="360" w:lineRule="auto"/>
              <w:ind w:firstLine="420" w:firstLineChars="200"/>
              <w:rPr>
                <w:rFonts w:hint="eastAsia" w:ascii="宋体" w:hAnsi="宋体" w:cs="宋体"/>
                <w:szCs w:val="21"/>
              </w:rPr>
            </w:pPr>
            <w:r>
              <w:rPr>
                <w:rFonts w:hint="eastAsia" w:ascii="宋体" w:hAnsi="宋体" w:cs="宋体"/>
                <w:szCs w:val="21"/>
              </w:rPr>
              <w:t>（1）本宣传简介内容仅为提供给各中标供应商对办理政府采购金融服务的宣传和了解之方便，对金融服务的具体内容和操作流程均以各金融机构的要求为准，也不作强制要求。</w:t>
            </w:r>
          </w:p>
          <w:p>
            <w:pPr>
              <w:spacing w:line="360" w:lineRule="auto"/>
              <w:ind w:firstLine="420" w:firstLineChars="200"/>
              <w:rPr>
                <w:rFonts w:hint="eastAsia" w:ascii="宋体" w:hAnsi="宋体" w:cs="宋体"/>
                <w:szCs w:val="21"/>
              </w:rPr>
            </w:pPr>
            <w:r>
              <w:rPr>
                <w:rFonts w:hint="eastAsia" w:ascii="宋体" w:hAnsi="宋体" w:cs="宋体"/>
                <w:szCs w:val="21"/>
              </w:rPr>
              <w:t>（2）政府采购金融服务有风险，请详细了解并综合评估后再决定。</w:t>
            </w:r>
          </w:p>
          <w:p>
            <w:pPr>
              <w:spacing w:line="360" w:lineRule="auto"/>
              <w:ind w:firstLine="420" w:firstLineChars="200"/>
              <w:rPr>
                <w:rFonts w:ascii="宋体" w:hAnsi="宋体" w:cs="宋体"/>
                <w:szCs w:val="21"/>
              </w:rPr>
            </w:pPr>
            <w:r>
              <w:rPr>
                <w:rFonts w:hint="eastAsia" w:ascii="宋体" w:hAnsi="宋体" w:cs="宋体"/>
                <w:szCs w:val="21"/>
              </w:rPr>
              <w:t>（3）政府采购金融服务遵循平等自愿、风险自担的原则。采购人、代理机构、财政部门不为任何政府采购金融服务项目承担任何形式的担保、解释或其他连带责任。</w:t>
            </w:r>
          </w:p>
        </w:tc>
      </w:tr>
    </w:tbl>
    <w:p>
      <w:pPr>
        <w:pStyle w:val="6"/>
        <w:keepNext w:val="0"/>
        <w:keepLines w:val="0"/>
        <w:spacing w:line="360" w:lineRule="auto"/>
        <w:rPr>
          <w:rFonts w:ascii="宋体" w:hAnsi="宋体" w:cs="宋体"/>
          <w:szCs w:val="21"/>
        </w:rPr>
      </w:pPr>
      <w:r>
        <w:rPr>
          <w:rFonts w:hint="eastAsia" w:ascii="宋体" w:hAnsi="宋体" w:cs="宋体"/>
          <w:szCs w:val="21"/>
        </w:rPr>
        <w:br w:type="page"/>
      </w:r>
      <w:bookmarkStart w:id="27" w:name="_Toc19793"/>
      <w:bookmarkStart w:id="28" w:name="_Toc19752"/>
      <w:r>
        <w:rPr>
          <w:rFonts w:hint="eastAsia" w:ascii="宋体" w:hAnsi="宋体" w:cs="宋体"/>
          <w:szCs w:val="21"/>
        </w:rPr>
        <w:t>1</w:t>
      </w:r>
      <w:r>
        <w:rPr>
          <w:rFonts w:hint="eastAsia" w:ascii="宋体" w:hAnsi="宋体" w:cs="宋体"/>
          <w:sz w:val="24"/>
          <w:szCs w:val="24"/>
        </w:rPr>
        <w:t>．</w:t>
      </w:r>
      <w:r>
        <w:rPr>
          <w:rFonts w:hint="eastAsia" w:ascii="宋体" w:hAnsi="宋体" w:cs="宋体"/>
          <w:szCs w:val="21"/>
        </w:rPr>
        <w:t>总则</w:t>
      </w:r>
      <w:bookmarkEnd w:id="23"/>
      <w:bookmarkEnd w:id="24"/>
      <w:bookmarkEnd w:id="25"/>
      <w:bookmarkEnd w:id="27"/>
      <w:bookmarkEnd w:id="28"/>
    </w:p>
    <w:p>
      <w:pPr>
        <w:spacing w:line="360" w:lineRule="auto"/>
        <w:jc w:val="left"/>
        <w:rPr>
          <w:rFonts w:ascii="宋体" w:hAnsi="宋体" w:cs="宋体"/>
          <w:b/>
          <w:bCs/>
          <w:szCs w:val="21"/>
        </w:rPr>
      </w:pPr>
      <w:bookmarkStart w:id="29" w:name="_Toc498327006"/>
      <w:bookmarkStart w:id="30" w:name="_Toc303756365"/>
      <w:bookmarkStart w:id="31" w:name="_Toc359934560"/>
      <w:bookmarkStart w:id="32" w:name="_Toc301187578"/>
      <w:bookmarkStart w:id="33" w:name="_Toc499128551"/>
      <w:bookmarkStart w:id="34" w:name="_Toc26749"/>
      <w:r>
        <w:rPr>
          <w:rFonts w:hint="eastAsia" w:ascii="宋体" w:hAnsi="宋体" w:cs="宋体"/>
          <w:b/>
          <w:bCs/>
          <w:szCs w:val="21"/>
        </w:rPr>
        <w:t>1.1适用范围</w:t>
      </w:r>
      <w:bookmarkEnd w:id="29"/>
      <w:bookmarkEnd w:id="30"/>
      <w:bookmarkEnd w:id="31"/>
      <w:bookmarkEnd w:id="32"/>
      <w:bookmarkEnd w:id="33"/>
      <w:bookmarkEnd w:id="34"/>
    </w:p>
    <w:p>
      <w:pPr>
        <w:spacing w:line="360" w:lineRule="auto"/>
        <w:ind w:firstLine="420" w:firstLineChars="200"/>
        <w:rPr>
          <w:rFonts w:ascii="宋体" w:hAnsi="宋体" w:cs="宋体"/>
          <w:szCs w:val="21"/>
        </w:rPr>
      </w:pPr>
      <w:bookmarkStart w:id="35" w:name="_Toc301187579"/>
      <w:r>
        <w:rPr>
          <w:rFonts w:hint="eastAsia" w:ascii="宋体" w:hAnsi="宋体" w:cs="宋体"/>
          <w:szCs w:val="21"/>
        </w:rPr>
        <w:t>本</w:t>
      </w:r>
      <w:r>
        <w:rPr>
          <w:rFonts w:hint="eastAsia" w:ascii="宋体" w:hAnsi="宋体" w:cs="宋体"/>
        </w:rPr>
        <w:t>竞争性</w:t>
      </w:r>
      <w:r>
        <w:rPr>
          <w:rFonts w:hint="eastAsia" w:ascii="宋体" w:hAnsi="宋体" w:cs="宋体"/>
          <w:szCs w:val="21"/>
        </w:rPr>
        <w:t>磋商文件适用于本竞争性磋商文件所叙述项目的采购。</w:t>
      </w:r>
      <w:bookmarkEnd w:id="35"/>
    </w:p>
    <w:p>
      <w:pPr>
        <w:spacing w:line="360" w:lineRule="auto"/>
        <w:jc w:val="left"/>
        <w:rPr>
          <w:rFonts w:ascii="宋体" w:hAnsi="宋体" w:cs="宋体"/>
          <w:b/>
          <w:bCs/>
          <w:szCs w:val="21"/>
        </w:rPr>
      </w:pPr>
      <w:bookmarkStart w:id="36" w:name="_Toc499128552"/>
      <w:bookmarkStart w:id="37" w:name="_Toc303756366"/>
      <w:bookmarkStart w:id="38" w:name="_Toc498327007"/>
      <w:bookmarkStart w:id="39" w:name="_Toc32303"/>
      <w:bookmarkStart w:id="40" w:name="_Toc301187580"/>
      <w:bookmarkStart w:id="41" w:name="_Toc359934561"/>
      <w:r>
        <w:rPr>
          <w:rFonts w:hint="eastAsia" w:ascii="宋体" w:hAnsi="宋体" w:cs="宋体"/>
          <w:b/>
          <w:bCs/>
          <w:szCs w:val="21"/>
        </w:rPr>
        <w:t>1.2定义</w:t>
      </w:r>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301187581"/>
      <w:r>
        <w:rPr>
          <w:rFonts w:hint="eastAsia" w:ascii="宋体" w:hAnsi="宋体" w:cs="宋体"/>
        </w:rPr>
        <w:t>1.2.1采购人：见供应商须知前附表。</w:t>
      </w:r>
      <w:bookmarkEnd w:id="42"/>
    </w:p>
    <w:p>
      <w:pPr>
        <w:spacing w:line="360" w:lineRule="auto"/>
        <w:ind w:firstLine="420" w:firstLineChars="200"/>
        <w:rPr>
          <w:rFonts w:ascii="宋体" w:hAnsi="宋体" w:cs="宋体"/>
        </w:rPr>
      </w:pPr>
      <w:bookmarkStart w:id="43" w:name="_Toc301187582"/>
      <w:r>
        <w:rPr>
          <w:rFonts w:hint="eastAsia" w:ascii="宋体" w:hAnsi="宋体" w:cs="宋体"/>
        </w:rPr>
        <w:t>1.2.2采购代理机构：见供应商须知前附表。</w:t>
      </w:r>
      <w:bookmarkEnd w:id="43"/>
    </w:p>
    <w:p>
      <w:pPr>
        <w:spacing w:line="360" w:lineRule="auto"/>
        <w:ind w:firstLine="420" w:firstLineChars="200"/>
        <w:rPr>
          <w:rFonts w:ascii="宋体" w:hAnsi="宋体" w:cs="宋体"/>
        </w:rPr>
      </w:pPr>
      <w:bookmarkStart w:id="44" w:name="_Toc301187583"/>
      <w:r>
        <w:rPr>
          <w:rFonts w:hint="eastAsia" w:ascii="宋体" w:hAnsi="宋体" w:cs="宋体"/>
        </w:rPr>
        <w:t>1.2.3“供应商”系指按照竞争性磋商文件的规定参加磋商的法人。</w:t>
      </w:r>
      <w:bookmarkEnd w:id="44"/>
    </w:p>
    <w:p>
      <w:pPr>
        <w:spacing w:line="360" w:lineRule="auto"/>
        <w:ind w:firstLine="420" w:firstLineChars="200"/>
        <w:rPr>
          <w:rFonts w:ascii="宋体" w:hAnsi="宋体" w:cs="宋体"/>
        </w:rPr>
      </w:pPr>
      <w:bookmarkStart w:id="45" w:name="_Toc301187584"/>
      <w:r>
        <w:rPr>
          <w:rFonts w:hint="eastAsia" w:ascii="宋体" w:hAnsi="宋体" w:cs="宋体"/>
        </w:rPr>
        <w:t>1.2.4“监督机构”系指缙云县纪委、监委、采购监管科等。</w:t>
      </w:r>
      <w:bookmarkEnd w:id="45"/>
    </w:p>
    <w:p>
      <w:pPr>
        <w:spacing w:line="360" w:lineRule="auto"/>
        <w:ind w:firstLine="420" w:firstLineChars="200"/>
        <w:rPr>
          <w:rFonts w:ascii="宋体" w:hAnsi="宋体" w:cs="宋体"/>
        </w:rPr>
      </w:pPr>
      <w:bookmarkStart w:id="46" w:name="_Toc301187585"/>
      <w:r>
        <w:rPr>
          <w:rFonts w:hint="eastAsia" w:ascii="宋体" w:hAnsi="宋体" w:cs="宋体"/>
        </w:rPr>
        <w:t>1.2.5“买方”系指采购人，“卖方”系指成交供应商。</w:t>
      </w:r>
      <w:bookmarkEnd w:id="46"/>
    </w:p>
    <w:p>
      <w:pPr>
        <w:spacing w:line="360" w:lineRule="auto"/>
        <w:ind w:firstLine="420" w:firstLineChars="200"/>
        <w:rPr>
          <w:rFonts w:ascii="宋体" w:hAnsi="宋体" w:cs="宋体"/>
        </w:rPr>
      </w:pPr>
      <w:bookmarkStart w:id="47" w:name="_Toc301187586"/>
      <w:r>
        <w:rPr>
          <w:rFonts w:hint="eastAsia" w:ascii="宋体" w:hAnsi="宋体" w:cs="宋体"/>
        </w:rPr>
        <w:t>1.2.6“货物”系指成交供应商按竞争性磋商文件规定必须向采购人提供的一切产品（包括：虚拟产品），以及产品相关的备品备件、工具、手册及其它有关技术资料和材料。</w:t>
      </w:r>
      <w:bookmarkEnd w:id="47"/>
    </w:p>
    <w:p>
      <w:pPr>
        <w:spacing w:line="360" w:lineRule="auto"/>
        <w:ind w:firstLine="420" w:firstLineChars="200"/>
        <w:rPr>
          <w:rFonts w:ascii="宋体" w:hAnsi="宋体" w:cs="宋体"/>
        </w:rPr>
      </w:pPr>
      <w:bookmarkStart w:id="48" w:name="_Toc301187587"/>
      <w:r>
        <w:rPr>
          <w:rFonts w:hint="eastAsia" w:ascii="宋体" w:hAnsi="宋体" w:cs="宋体"/>
        </w:rPr>
        <w:t>1.2.7“服务”系指成交供应商按竞争性磋商文件规定须承担的安装、调试、技术协助以及其他类似的附随义务。</w:t>
      </w:r>
      <w:bookmarkEnd w:id="48"/>
    </w:p>
    <w:p>
      <w:pPr>
        <w:spacing w:line="360" w:lineRule="auto"/>
        <w:ind w:firstLine="420" w:firstLineChars="200"/>
        <w:rPr>
          <w:rFonts w:ascii="宋体" w:hAnsi="宋体" w:cs="宋体"/>
        </w:rPr>
      </w:pPr>
      <w:bookmarkStart w:id="49" w:name="_Toc301187588"/>
      <w:r>
        <w:rPr>
          <w:rFonts w:hint="eastAsia" w:ascii="宋体" w:hAnsi="宋体" w:cs="宋体"/>
        </w:rPr>
        <w:t>1.2.8“附随服务”系指根据合同规定成交供应商必须承担与货物有关的辅助服务，如送货上门、免费维护以及合同中规定卖方应承担的义务，以及合同中未规定,但依有利于合同履行原则，应当由卖方承担的其它义务。</w:t>
      </w:r>
      <w:bookmarkEnd w:id="49"/>
    </w:p>
    <w:p>
      <w:pPr>
        <w:spacing w:line="360" w:lineRule="auto"/>
        <w:ind w:firstLine="420" w:firstLineChars="200"/>
        <w:rPr>
          <w:rFonts w:ascii="宋体" w:hAnsi="宋体" w:cs="宋体"/>
        </w:rPr>
      </w:pPr>
      <w:bookmarkStart w:id="50" w:name="_Toc301187589"/>
      <w:r>
        <w:rPr>
          <w:rFonts w:hint="eastAsia" w:ascii="宋体" w:hAnsi="宋体" w:cs="宋体"/>
        </w:rPr>
        <w:t>1.2.9</w:t>
      </w:r>
      <w:bookmarkEnd w:id="50"/>
      <w:bookmarkStart w:id="51" w:name="_Toc301187590"/>
      <w:r>
        <w:rPr>
          <w:rFonts w:hint="eastAsia" w:ascii="宋体" w:hAnsi="宋体" w:cs="宋体"/>
        </w:rPr>
        <w:t>“工作日或天数”：“工作日”系指节假日除外的日历天数，“天数”系指日历天数。</w:t>
      </w:r>
    </w:p>
    <w:p>
      <w:pPr>
        <w:spacing w:line="360" w:lineRule="auto"/>
        <w:ind w:firstLine="420" w:firstLineChars="200"/>
        <w:rPr>
          <w:rFonts w:ascii="宋体" w:hAnsi="宋体" w:cs="宋体"/>
        </w:rPr>
      </w:pPr>
      <w:r>
        <w:rPr>
          <w:rFonts w:hint="eastAsia" w:ascii="宋体" w:hAnsi="宋体" w:cs="宋体"/>
        </w:rPr>
        <w:t>1.2.10 “实质性条款”系指采购需求中标明“▲”的条款、以及竞争性磋商文件中含有“必须”、“应当”等强制性规定的条款。“关键性条款”系指采购需求中标明“★”的条款。</w:t>
      </w:r>
    </w:p>
    <w:p>
      <w:pPr>
        <w:spacing w:line="360" w:lineRule="auto"/>
        <w:ind w:firstLine="420" w:firstLineChars="200"/>
        <w:rPr>
          <w:rFonts w:ascii="宋体" w:hAnsi="宋体" w:cs="宋体"/>
          <w:b/>
          <w:szCs w:val="21"/>
        </w:rPr>
      </w:pPr>
      <w:r>
        <w:rPr>
          <w:rFonts w:hint="eastAsia" w:ascii="宋体" w:hAnsi="宋体" w:cs="宋体"/>
          <w:szCs w:val="21"/>
        </w:rPr>
        <w:t>1.2.11</w:t>
      </w:r>
      <w:r>
        <w:rPr>
          <w:rFonts w:hint="eastAsia" w:ascii="宋体" w:hAnsi="宋体" w:cs="宋体"/>
          <w:b/>
          <w:szCs w:val="21"/>
        </w:rPr>
        <w:t>“电子响应文件”系指供应商通过政采云电子投标工具编制的数据电文形式的加密标书。</w:t>
      </w:r>
    </w:p>
    <w:p>
      <w:pPr>
        <w:spacing w:line="360" w:lineRule="auto"/>
        <w:ind w:firstLine="420" w:firstLineChars="200"/>
        <w:rPr>
          <w:rFonts w:ascii="宋体" w:hAnsi="宋体" w:cs="宋体"/>
        </w:rPr>
      </w:pPr>
      <w:r>
        <w:rPr>
          <w:rFonts w:hint="eastAsia" w:ascii="宋体" w:hAnsi="宋体" w:cs="宋体"/>
        </w:rPr>
        <w:t>1.2.12“备份响应文件”系指与“电子响应文件”同时生成的数据电文形式的电子文件。</w:t>
      </w:r>
    </w:p>
    <w:bookmarkEnd w:id="51"/>
    <w:p>
      <w:pPr>
        <w:spacing w:line="360" w:lineRule="auto"/>
        <w:jc w:val="left"/>
        <w:rPr>
          <w:rFonts w:ascii="宋体" w:hAnsi="宋体" w:cs="宋体"/>
          <w:b/>
          <w:bCs/>
          <w:szCs w:val="21"/>
        </w:rPr>
      </w:pPr>
      <w:bookmarkStart w:id="52" w:name="_Toc359934562"/>
      <w:bookmarkStart w:id="53" w:name="_Toc31483"/>
      <w:bookmarkStart w:id="54" w:name="_Toc301187591"/>
      <w:bookmarkStart w:id="55" w:name="_Toc499128553"/>
      <w:bookmarkStart w:id="56" w:name="_Toc303756367"/>
      <w:bookmarkStart w:id="57" w:name="_Toc498327008"/>
      <w:r>
        <w:rPr>
          <w:rFonts w:hint="eastAsia" w:ascii="宋体" w:hAnsi="宋体" w:cs="宋体"/>
          <w:b/>
          <w:bCs/>
          <w:szCs w:val="21"/>
        </w:rPr>
        <w:t>1.3资金来源</w:t>
      </w:r>
      <w:bookmarkEnd w:id="52"/>
      <w:bookmarkEnd w:id="53"/>
      <w:bookmarkEnd w:id="54"/>
      <w:bookmarkEnd w:id="55"/>
      <w:bookmarkEnd w:id="56"/>
      <w:bookmarkEnd w:id="57"/>
    </w:p>
    <w:p>
      <w:pPr>
        <w:spacing w:line="360" w:lineRule="auto"/>
        <w:ind w:firstLine="420" w:firstLineChars="200"/>
        <w:rPr>
          <w:rFonts w:ascii="宋体" w:hAnsi="宋体" w:cs="宋体"/>
          <w:szCs w:val="21"/>
        </w:rPr>
      </w:pPr>
      <w:bookmarkStart w:id="58" w:name="_Toc301187592"/>
      <w:r>
        <w:rPr>
          <w:rFonts w:hint="eastAsia" w:ascii="宋体" w:hAnsi="宋体" w:cs="宋体"/>
          <w:szCs w:val="21"/>
        </w:rPr>
        <w:t>见供应商</w:t>
      </w:r>
      <w:r>
        <w:rPr>
          <w:rFonts w:hint="eastAsia" w:ascii="宋体" w:hAnsi="宋体" w:cs="宋体"/>
        </w:rPr>
        <w:t>须知</w:t>
      </w:r>
      <w:r>
        <w:rPr>
          <w:rFonts w:hint="eastAsia" w:ascii="宋体" w:hAnsi="宋体" w:cs="宋体"/>
          <w:szCs w:val="21"/>
        </w:rPr>
        <w:t>前附表。</w:t>
      </w:r>
      <w:bookmarkEnd w:id="58"/>
    </w:p>
    <w:p>
      <w:pPr>
        <w:spacing w:line="360" w:lineRule="auto"/>
        <w:jc w:val="left"/>
        <w:rPr>
          <w:rFonts w:ascii="宋体" w:hAnsi="宋体" w:cs="宋体"/>
          <w:b/>
          <w:bCs/>
          <w:szCs w:val="21"/>
        </w:rPr>
      </w:pPr>
      <w:bookmarkStart w:id="59" w:name="_Toc32607"/>
      <w:bookmarkStart w:id="60" w:name="_Toc499128554"/>
      <w:bookmarkStart w:id="61" w:name="_Toc303756368"/>
      <w:bookmarkStart w:id="62" w:name="_Toc359934563"/>
      <w:bookmarkStart w:id="63" w:name="_Toc498327009"/>
      <w:bookmarkStart w:id="64" w:name="_Toc301187593"/>
      <w:r>
        <w:rPr>
          <w:rFonts w:hint="eastAsia" w:ascii="宋体" w:hAnsi="宋体" w:cs="宋体"/>
          <w:b/>
          <w:bCs/>
          <w:szCs w:val="21"/>
        </w:rPr>
        <w:t>1.4合格的</w:t>
      </w:r>
      <w:bookmarkEnd w:id="59"/>
      <w:bookmarkEnd w:id="60"/>
      <w:bookmarkEnd w:id="61"/>
      <w:bookmarkEnd w:id="62"/>
      <w:bookmarkEnd w:id="63"/>
      <w:bookmarkEnd w:id="64"/>
      <w:r>
        <w:rPr>
          <w:rFonts w:hint="eastAsia" w:ascii="宋体" w:hAnsi="宋体" w:cs="宋体"/>
          <w:b/>
          <w:bCs/>
          <w:szCs w:val="21"/>
        </w:rPr>
        <w:t>供应商</w:t>
      </w:r>
    </w:p>
    <w:p>
      <w:pPr>
        <w:spacing w:line="360" w:lineRule="auto"/>
        <w:ind w:firstLine="420" w:firstLineChars="200"/>
        <w:rPr>
          <w:rFonts w:ascii="宋体" w:hAnsi="宋体" w:cs="宋体"/>
          <w:szCs w:val="21"/>
        </w:rPr>
      </w:pPr>
      <w:bookmarkStart w:id="65" w:name="_Toc301187594"/>
      <w:r>
        <w:rPr>
          <w:rFonts w:hint="eastAsia" w:ascii="宋体" w:hAnsi="宋体" w:cs="宋体"/>
          <w:szCs w:val="21"/>
        </w:rPr>
        <w:t>见</w:t>
      </w:r>
      <w:r>
        <w:rPr>
          <w:rFonts w:hint="eastAsia" w:ascii="宋体" w:hAnsi="宋体" w:cs="宋体"/>
        </w:rPr>
        <w:t>供应商</w:t>
      </w:r>
      <w:r>
        <w:rPr>
          <w:rFonts w:hint="eastAsia" w:ascii="宋体" w:hAnsi="宋体" w:cs="宋体"/>
          <w:szCs w:val="21"/>
        </w:rPr>
        <w:t>须知前附表。</w:t>
      </w:r>
      <w:bookmarkEnd w:id="65"/>
    </w:p>
    <w:p>
      <w:pPr>
        <w:spacing w:line="360" w:lineRule="auto"/>
        <w:jc w:val="left"/>
        <w:rPr>
          <w:rFonts w:ascii="宋体" w:hAnsi="宋体" w:cs="宋体"/>
          <w:b/>
          <w:bCs/>
          <w:szCs w:val="21"/>
        </w:rPr>
      </w:pPr>
      <w:bookmarkStart w:id="66" w:name="_Toc303756369"/>
      <w:bookmarkStart w:id="67" w:name="_Toc498327010"/>
      <w:bookmarkStart w:id="68" w:name="_Toc301187595"/>
      <w:bookmarkStart w:id="69" w:name="_Toc9353"/>
      <w:bookmarkStart w:id="70" w:name="_Toc499128555"/>
      <w:bookmarkStart w:id="71" w:name="_Toc359934564"/>
      <w:r>
        <w:rPr>
          <w:rFonts w:hint="eastAsia" w:ascii="宋体" w:hAnsi="宋体" w:cs="宋体"/>
          <w:b/>
          <w:bCs/>
          <w:szCs w:val="21"/>
        </w:rPr>
        <w:t>1.5</w:t>
      </w:r>
      <w:bookmarkEnd w:id="66"/>
      <w:bookmarkEnd w:id="67"/>
      <w:bookmarkEnd w:id="68"/>
      <w:bookmarkEnd w:id="69"/>
      <w:bookmarkEnd w:id="70"/>
      <w:bookmarkEnd w:id="71"/>
      <w:r>
        <w:rPr>
          <w:rFonts w:hint="eastAsia" w:ascii="宋体" w:hAnsi="宋体" w:cs="宋体"/>
          <w:b/>
          <w:bCs/>
          <w:szCs w:val="21"/>
        </w:rPr>
        <w:t>联合体磋商</w:t>
      </w:r>
    </w:p>
    <w:p>
      <w:pPr>
        <w:spacing w:line="360" w:lineRule="auto"/>
        <w:ind w:firstLine="420" w:firstLineChars="200"/>
        <w:rPr>
          <w:rFonts w:ascii="宋体" w:hAnsi="宋体" w:cs="宋体"/>
        </w:rPr>
      </w:pPr>
      <w:bookmarkStart w:id="72" w:name="_Toc301187596"/>
      <w:r>
        <w:rPr>
          <w:rFonts w:hint="eastAsia" w:ascii="宋体" w:hAnsi="宋体" w:cs="宋体"/>
        </w:rPr>
        <w:t>1.5.1联合体磋商：见供应商须知前附表。</w:t>
      </w:r>
      <w:bookmarkEnd w:id="72"/>
    </w:p>
    <w:p>
      <w:pPr>
        <w:spacing w:line="360" w:lineRule="auto"/>
        <w:ind w:firstLine="420" w:firstLineChars="200"/>
        <w:rPr>
          <w:rFonts w:ascii="宋体" w:hAnsi="宋体" w:cs="宋体"/>
        </w:rPr>
      </w:pPr>
      <w:r>
        <w:rPr>
          <w:rFonts w:hint="eastAsia" w:ascii="宋体" w:hAnsi="宋体" w:cs="宋体"/>
        </w:rPr>
        <w:t>1.5.2联合体磋商的各方应当符合第1.4条中的特定资质条件。</w:t>
      </w:r>
    </w:p>
    <w:p>
      <w:pPr>
        <w:spacing w:line="360" w:lineRule="auto"/>
        <w:ind w:firstLine="420" w:firstLineChars="200"/>
        <w:rPr>
          <w:rFonts w:ascii="宋体" w:hAnsi="宋体" w:cs="宋体"/>
        </w:rPr>
      </w:pPr>
      <w:r>
        <w:rPr>
          <w:rFonts w:hint="eastAsia" w:ascii="宋体" w:hAnsi="宋体" w:cs="宋体"/>
        </w:rPr>
        <w:t>1.5.3联合体磋商的各方同一资质应当以资质最低一方作为合格供应商资格条件。</w:t>
      </w:r>
    </w:p>
    <w:p>
      <w:pPr>
        <w:spacing w:line="360" w:lineRule="auto"/>
        <w:jc w:val="left"/>
        <w:rPr>
          <w:rFonts w:ascii="宋体" w:hAnsi="宋体" w:cs="宋体"/>
          <w:b/>
          <w:bCs/>
          <w:szCs w:val="21"/>
        </w:rPr>
      </w:pPr>
      <w:bookmarkStart w:id="73" w:name="_Toc301187597"/>
      <w:bookmarkStart w:id="74" w:name="_Toc498327011"/>
      <w:bookmarkStart w:id="75" w:name="_Toc30203"/>
      <w:bookmarkStart w:id="76" w:name="_Toc359934565"/>
      <w:bookmarkStart w:id="77" w:name="_Toc303756370"/>
      <w:bookmarkStart w:id="78" w:name="_Toc499128556"/>
      <w:r>
        <w:rPr>
          <w:rFonts w:hint="eastAsia" w:ascii="宋体" w:hAnsi="宋体" w:cs="宋体"/>
          <w:b/>
          <w:bCs/>
          <w:szCs w:val="21"/>
        </w:rPr>
        <w:t>1.6转包与分包</w:t>
      </w:r>
      <w:bookmarkEnd w:id="73"/>
      <w:bookmarkEnd w:id="74"/>
      <w:bookmarkEnd w:id="75"/>
      <w:bookmarkEnd w:id="76"/>
      <w:bookmarkEnd w:id="77"/>
      <w:bookmarkEnd w:id="78"/>
    </w:p>
    <w:p>
      <w:pPr>
        <w:spacing w:line="360" w:lineRule="auto"/>
        <w:ind w:firstLine="420" w:firstLineChars="200"/>
        <w:rPr>
          <w:rFonts w:ascii="宋体" w:hAnsi="宋体" w:cs="宋体"/>
        </w:rPr>
      </w:pPr>
      <w:r>
        <w:rPr>
          <w:rFonts w:hint="eastAsia" w:ascii="宋体" w:hAnsi="宋体" w:cs="宋体"/>
        </w:rPr>
        <w:t>1.6.1转包与分包：见供应商须知前附表。</w:t>
      </w:r>
    </w:p>
    <w:p>
      <w:pPr>
        <w:spacing w:line="360" w:lineRule="auto"/>
        <w:ind w:firstLine="420" w:firstLineChars="200"/>
        <w:rPr>
          <w:rFonts w:ascii="宋体" w:hAnsi="宋体" w:cs="宋体"/>
        </w:rPr>
      </w:pPr>
      <w:r>
        <w:rPr>
          <w:rFonts w:hint="eastAsia" w:ascii="宋体" w:hAnsi="宋体" w:cs="宋体"/>
        </w:rPr>
        <w:t>1.6.2供应商根据竞争性磋商文件的规定和采购项目的实际情况，拟在成交后将成交项目的非主体、非关键性工作分包的，应当在响应文件中载明分包承担主体，分包承担主体应当具备相应资质条件且不得再次分包。</w:t>
      </w:r>
    </w:p>
    <w:bookmarkEnd w:id="26"/>
    <w:p>
      <w:pPr>
        <w:spacing w:line="360" w:lineRule="auto"/>
        <w:jc w:val="left"/>
        <w:rPr>
          <w:rFonts w:ascii="宋体" w:hAnsi="宋体" w:cs="宋体"/>
          <w:b/>
          <w:bCs/>
          <w:szCs w:val="21"/>
        </w:rPr>
      </w:pPr>
      <w:bookmarkStart w:id="79" w:name="_Toc359934566"/>
      <w:bookmarkStart w:id="80" w:name="_Toc301187599"/>
      <w:bookmarkStart w:id="81" w:name="_Toc30468"/>
      <w:bookmarkStart w:id="82" w:name="_Toc303756371"/>
      <w:r>
        <w:rPr>
          <w:rFonts w:hint="eastAsia" w:ascii="宋体" w:hAnsi="宋体" w:cs="宋体"/>
          <w:b/>
          <w:bCs/>
          <w:szCs w:val="21"/>
        </w:rPr>
        <w:t>1.7</w:t>
      </w:r>
      <w:bookmarkEnd w:id="79"/>
      <w:bookmarkEnd w:id="80"/>
      <w:bookmarkEnd w:id="81"/>
      <w:bookmarkEnd w:id="82"/>
      <w:r>
        <w:rPr>
          <w:rFonts w:hint="eastAsia" w:ascii="宋体" w:hAnsi="宋体" w:cs="宋体"/>
          <w:b/>
          <w:bCs/>
          <w:szCs w:val="21"/>
        </w:rPr>
        <w:t>磋商费用</w:t>
      </w:r>
    </w:p>
    <w:p>
      <w:pPr>
        <w:spacing w:line="360" w:lineRule="auto"/>
        <w:ind w:firstLine="420" w:firstLineChars="200"/>
        <w:rPr>
          <w:rFonts w:ascii="宋体" w:hAnsi="宋体" w:cs="宋体"/>
          <w:szCs w:val="21"/>
        </w:rPr>
      </w:pPr>
      <w:bookmarkStart w:id="83" w:name="_Toc301187600"/>
      <w:r>
        <w:rPr>
          <w:rFonts w:hint="eastAsia" w:ascii="宋体" w:hAnsi="宋体" w:cs="宋体"/>
          <w:szCs w:val="21"/>
        </w:rPr>
        <w:t>1.7.1</w:t>
      </w:r>
      <w:r>
        <w:rPr>
          <w:rFonts w:hint="eastAsia" w:ascii="宋体" w:hAnsi="宋体" w:cs="宋体"/>
        </w:rPr>
        <w:t>不论</w:t>
      </w:r>
      <w:r>
        <w:rPr>
          <w:rFonts w:hint="eastAsia" w:ascii="宋体" w:hAnsi="宋体" w:cs="宋体"/>
          <w:szCs w:val="21"/>
        </w:rPr>
        <w:t>磋商的结果如何（包括取消采购任务等情况），供应商均应自行承担所有与磋商有关的全部费用。</w:t>
      </w:r>
      <w:bookmarkEnd w:id="83"/>
    </w:p>
    <w:p>
      <w:pPr>
        <w:spacing w:line="360" w:lineRule="auto"/>
        <w:ind w:firstLine="420" w:firstLineChars="200"/>
        <w:rPr>
          <w:rFonts w:ascii="宋体" w:hAnsi="宋体" w:cs="宋体"/>
        </w:rPr>
      </w:pPr>
      <w:r>
        <w:rPr>
          <w:rFonts w:hint="eastAsia" w:ascii="宋体" w:hAnsi="宋体" w:cs="宋体"/>
        </w:rPr>
        <w:t>1.7.2采购咨询费：由成交供应商向采购代理机构支付，代理机构出具普通税务发票</w:t>
      </w:r>
      <w:r>
        <w:rPr>
          <w:rFonts w:hint="eastAsia" w:ascii="宋体" w:hAnsi="宋体" w:cs="宋体"/>
          <w:b/>
          <w:bCs/>
        </w:rPr>
        <w:t>，采购咨询</w:t>
      </w:r>
      <w:r>
        <w:rPr>
          <w:rFonts w:hint="eastAsia" w:ascii="宋体" w:hAnsi="宋体" w:cs="宋体"/>
          <w:b/>
          <w:bCs/>
          <w:lang w:val="en-US" w:eastAsia="zh-CN"/>
        </w:rPr>
        <w:t>为国家收费标准的75%</w:t>
      </w:r>
      <w:r>
        <w:rPr>
          <w:rFonts w:hint="eastAsia" w:ascii="宋体" w:hAnsi="宋体" w:cs="宋体"/>
        </w:rPr>
        <w:t>。</w:t>
      </w:r>
      <w:r>
        <w:rPr>
          <w:rFonts w:hint="eastAsia" w:ascii="宋体" w:hAnsi="宋体" w:cs="宋体"/>
          <w:b/>
          <w:bCs/>
        </w:rPr>
        <w:t>成交供应商在成交公告发布之日起5个工作日内以现金或转账形式支付给采购代理机构。</w:t>
      </w:r>
    </w:p>
    <w:p>
      <w:pPr>
        <w:spacing w:line="360" w:lineRule="auto"/>
        <w:ind w:firstLine="420" w:firstLineChars="200"/>
        <w:rPr>
          <w:rFonts w:ascii="宋体" w:hAnsi="宋体" w:cs="宋体"/>
          <w:szCs w:val="21"/>
        </w:rPr>
      </w:pPr>
      <w:r>
        <w:rPr>
          <w:rFonts w:hint="eastAsia" w:ascii="宋体" w:hAnsi="宋体" w:cs="宋体"/>
          <w:szCs w:val="21"/>
        </w:rPr>
        <w:t>1.7.3供应商未按以上规定办理缴费，视为其自动放弃成交资格，采购人有权将标授予第二成交候选人或重新组织采购。</w:t>
      </w:r>
    </w:p>
    <w:p>
      <w:pPr>
        <w:spacing w:line="360" w:lineRule="auto"/>
        <w:jc w:val="left"/>
        <w:rPr>
          <w:rFonts w:ascii="宋体" w:hAnsi="宋体" w:cs="宋体"/>
          <w:b/>
          <w:bCs/>
          <w:szCs w:val="21"/>
        </w:rPr>
      </w:pPr>
      <w:bookmarkStart w:id="84" w:name="_Toc499128558"/>
      <w:bookmarkStart w:id="85" w:name="_Toc498327013"/>
      <w:bookmarkStart w:id="86" w:name="_Toc359934567"/>
      <w:bookmarkStart w:id="87" w:name="_Toc11069"/>
      <w:bookmarkStart w:id="88" w:name="_Toc303756372"/>
      <w:bookmarkStart w:id="89" w:name="_Toc301187601"/>
      <w:r>
        <w:rPr>
          <w:rFonts w:hint="eastAsia" w:ascii="宋体" w:hAnsi="宋体" w:cs="宋体"/>
          <w:b/>
          <w:bCs/>
          <w:szCs w:val="21"/>
        </w:rPr>
        <w:t>1.8响应文件的语言及计量</w:t>
      </w:r>
      <w:bookmarkEnd w:id="84"/>
      <w:bookmarkEnd w:id="85"/>
      <w:bookmarkEnd w:id="86"/>
      <w:bookmarkEnd w:id="87"/>
      <w:bookmarkEnd w:id="88"/>
      <w:bookmarkEnd w:id="89"/>
    </w:p>
    <w:p>
      <w:pPr>
        <w:spacing w:line="360" w:lineRule="auto"/>
        <w:ind w:firstLine="420" w:firstLineChars="200"/>
        <w:rPr>
          <w:rFonts w:ascii="宋体" w:hAnsi="宋体" w:cs="宋体"/>
          <w:szCs w:val="21"/>
        </w:rPr>
      </w:pPr>
      <w:bookmarkStart w:id="90" w:name="_Toc301187602"/>
      <w:r>
        <w:rPr>
          <w:rFonts w:hint="eastAsia" w:ascii="宋体" w:hAnsi="宋体" w:cs="宋体"/>
          <w:szCs w:val="21"/>
        </w:rPr>
        <w:t>1.8.1响应文件以及供应商与采购人就有关磋商事宜的所有来往函电，应当以中文简体书写，除签名、盖章、专用名称等特殊情形外。</w:t>
      </w:r>
      <w:bookmarkEnd w:id="90"/>
    </w:p>
    <w:p>
      <w:pPr>
        <w:spacing w:line="360" w:lineRule="auto"/>
        <w:ind w:firstLine="420" w:firstLineChars="200"/>
        <w:rPr>
          <w:rFonts w:ascii="宋体" w:hAnsi="宋体" w:cs="宋体"/>
          <w:szCs w:val="21"/>
        </w:rPr>
      </w:pPr>
      <w:bookmarkStart w:id="91" w:name="_Toc301187603"/>
      <w:r>
        <w:rPr>
          <w:rFonts w:hint="eastAsia" w:ascii="宋体" w:hAnsi="宋体" w:cs="宋体"/>
          <w:szCs w:val="21"/>
        </w:rPr>
        <w:t>1.8.2计量单位，竞争性磋商文件已有明确规定的，使用竞争性磋商文件规定的计量单位；竞争性磋商文件没有规定的，应当采用中华人民共和国法定计量单位（货币单位：人民币）。</w:t>
      </w:r>
      <w:bookmarkEnd w:id="91"/>
    </w:p>
    <w:p>
      <w:pPr>
        <w:spacing w:line="360" w:lineRule="auto"/>
        <w:jc w:val="left"/>
        <w:rPr>
          <w:rFonts w:ascii="宋体" w:hAnsi="宋体" w:cs="宋体"/>
          <w:b/>
          <w:bCs/>
          <w:szCs w:val="21"/>
        </w:rPr>
      </w:pPr>
      <w:bookmarkStart w:id="92" w:name="_Toc499128559"/>
      <w:bookmarkStart w:id="93" w:name="_Toc359934568"/>
      <w:bookmarkStart w:id="94" w:name="_Toc25161"/>
      <w:bookmarkStart w:id="95" w:name="_Toc498327014"/>
      <w:bookmarkStart w:id="96" w:name="_Toc303756373"/>
      <w:bookmarkStart w:id="97" w:name="_Toc301187604"/>
      <w:r>
        <w:rPr>
          <w:rFonts w:hint="eastAsia" w:ascii="宋体" w:hAnsi="宋体" w:cs="宋体"/>
          <w:b/>
          <w:bCs/>
          <w:szCs w:val="21"/>
        </w:rPr>
        <w:t>1.9质疑和投诉</w:t>
      </w:r>
      <w:bookmarkEnd w:id="92"/>
      <w:bookmarkEnd w:id="93"/>
      <w:bookmarkEnd w:id="94"/>
      <w:bookmarkEnd w:id="95"/>
      <w:bookmarkEnd w:id="96"/>
      <w:bookmarkEnd w:id="97"/>
    </w:p>
    <w:p>
      <w:pPr>
        <w:spacing w:line="360" w:lineRule="auto"/>
        <w:ind w:firstLine="420" w:firstLineChars="200"/>
        <w:rPr>
          <w:rFonts w:ascii="宋体" w:hAnsi="宋体" w:cs="宋体"/>
          <w:szCs w:val="21"/>
        </w:rPr>
      </w:pPr>
      <w:bookmarkStart w:id="98" w:name="_Toc301187605"/>
      <w:bookmarkStart w:id="99" w:name="_Toc303756374"/>
      <w:bookmarkStart w:id="100" w:name="_Toc5356"/>
      <w:bookmarkStart w:id="101" w:name="_Toc498327015"/>
      <w:bookmarkStart w:id="102" w:name="_Toc499128560"/>
      <w:bookmarkStart w:id="103" w:name="_Toc301187608"/>
      <w:bookmarkStart w:id="104" w:name="_Toc359934569"/>
      <w:r>
        <w:rPr>
          <w:rFonts w:hint="eastAsia" w:ascii="宋体" w:hAnsi="宋体" w:cs="宋体"/>
          <w:szCs w:val="21"/>
        </w:rPr>
        <w:t xml:space="preserve">1.9.1供应商认为竞争性磋商文件、磋商过程或成交结果使自己的合法权益受到损害的，可以在知道或者应知其权益受到损害之日起七个工作日内， </w:t>
      </w:r>
      <w:r>
        <w:rPr>
          <w:rFonts w:hint="eastAsia" w:ascii="宋体" w:hAnsi="宋体" w:cs="宋体"/>
          <w:b/>
          <w:bCs/>
          <w:szCs w:val="21"/>
        </w:rPr>
        <w:t>以书面形式向采购人、采购代理机构一次性提出针对同一采购程序环节的质疑</w:t>
      </w:r>
      <w:r>
        <w:rPr>
          <w:rFonts w:hint="eastAsia" w:ascii="宋体" w:hAnsi="宋体" w:cs="宋体"/>
          <w:szCs w:val="21"/>
        </w:rPr>
        <w:t>。供应商对采购人的质疑答复不满意或者采购人未在规定时间内作出答复的，可以在答复期满后十五个工作日内向同级采购监管部门投诉。</w:t>
      </w:r>
      <w:bookmarkEnd w:id="98"/>
    </w:p>
    <w:p>
      <w:pPr>
        <w:spacing w:line="360" w:lineRule="auto"/>
        <w:ind w:firstLine="420" w:firstLineChars="200"/>
        <w:rPr>
          <w:rFonts w:ascii="宋体" w:hAnsi="宋体" w:cs="宋体"/>
          <w:szCs w:val="21"/>
        </w:rPr>
      </w:pPr>
      <w:r>
        <w:rPr>
          <w:rFonts w:hint="eastAsia" w:ascii="宋体" w:hAnsi="宋体" w:cs="宋体"/>
          <w:szCs w:val="21"/>
        </w:rPr>
        <w:t>（1）供应商对磋商公告（含供应商资格条件）提出质疑的，请在磋商公告发布之日起5个工作日内，且应当在响应文件递交截止时间之前向采购代理机构和采购人提出。</w:t>
      </w:r>
    </w:p>
    <w:p>
      <w:pPr>
        <w:spacing w:line="360" w:lineRule="auto"/>
        <w:ind w:firstLine="420" w:firstLineChars="200"/>
        <w:rPr>
          <w:rFonts w:ascii="宋体" w:hAnsi="宋体" w:cs="宋体"/>
          <w:szCs w:val="21"/>
        </w:rPr>
      </w:pPr>
      <w:r>
        <w:rPr>
          <w:rFonts w:hint="eastAsia" w:ascii="宋体" w:hAnsi="宋体" w:cs="宋体"/>
          <w:szCs w:val="21"/>
        </w:rPr>
        <w:t>（2）对竞争性磋商文件提出质疑的，请在磋商公告期限届满之日起7个工作日内，且应当在响应文件递交截止时间之前向采购代理机构和采购人提出。</w:t>
      </w:r>
    </w:p>
    <w:p>
      <w:pPr>
        <w:spacing w:line="360" w:lineRule="auto"/>
        <w:ind w:firstLine="420" w:firstLineChars="200"/>
        <w:rPr>
          <w:rFonts w:ascii="宋体" w:hAnsi="宋体" w:cs="宋体"/>
          <w:szCs w:val="21"/>
        </w:rPr>
      </w:pPr>
      <w:r>
        <w:rPr>
          <w:rFonts w:hint="eastAsia" w:ascii="宋体" w:hAnsi="宋体" w:cs="宋体"/>
          <w:szCs w:val="21"/>
        </w:rPr>
        <w:t>（3）对采购结果提出质疑的，请在成交结果公告（包括公示、预公告、结果变更公告等）之日起7个工作日内向采购代理机构和采购人提出。</w:t>
      </w:r>
    </w:p>
    <w:p>
      <w:pPr>
        <w:spacing w:line="360" w:lineRule="auto"/>
        <w:ind w:firstLine="420" w:firstLineChars="200"/>
        <w:rPr>
          <w:rFonts w:ascii="宋体" w:hAnsi="宋体" w:cs="宋体"/>
          <w:szCs w:val="21"/>
        </w:rPr>
      </w:pPr>
      <w:r>
        <w:rPr>
          <w:rFonts w:hint="eastAsia" w:ascii="宋体" w:hAnsi="宋体" w:cs="宋体"/>
          <w:szCs w:val="21"/>
        </w:rPr>
        <w:t>（4）供应商认为采购过程不当、影响或可能影响采购结果的，可以在成交结果公告前提出质疑。</w:t>
      </w:r>
    </w:p>
    <w:p>
      <w:pPr>
        <w:spacing w:line="360" w:lineRule="auto"/>
        <w:ind w:firstLine="420" w:firstLineChars="200"/>
        <w:rPr>
          <w:rFonts w:ascii="宋体" w:hAnsi="宋体" w:cs="宋体"/>
          <w:szCs w:val="21"/>
        </w:rPr>
      </w:pPr>
      <w:bookmarkStart w:id="105" w:name="_Toc301187606"/>
      <w:r>
        <w:rPr>
          <w:rFonts w:hint="eastAsia" w:ascii="宋体" w:hAnsi="宋体" w:cs="宋体"/>
          <w:szCs w:val="21"/>
        </w:rPr>
        <w:t>1.9.2质疑、投诉应当采用书面形式，质疑书、投诉书应当有明确的请求和必要的证明材料，投诉的事项不得超出已质疑事项的范围。</w:t>
      </w:r>
      <w:bookmarkEnd w:id="105"/>
    </w:p>
    <w:p>
      <w:pPr>
        <w:spacing w:line="360" w:lineRule="auto"/>
        <w:ind w:firstLine="420" w:firstLineChars="200"/>
        <w:rPr>
          <w:rFonts w:ascii="宋体" w:hAnsi="宋体" w:cs="宋体"/>
          <w:szCs w:val="21"/>
        </w:rPr>
      </w:pPr>
      <w:r>
        <w:rPr>
          <w:rFonts w:hint="eastAsia" w:ascii="宋体" w:hAnsi="宋体" w:cs="宋体"/>
          <w:szCs w:val="21"/>
        </w:rPr>
        <w:t>1.9.3</w:t>
      </w:r>
      <w:r>
        <w:rPr>
          <w:rFonts w:hint="eastAsia" w:ascii="宋体" w:hAnsi="宋体" w:cs="宋体"/>
          <w:b/>
          <w:bCs/>
          <w:szCs w:val="21"/>
        </w:rPr>
        <w:t>供应商未对开标记录进行在线签字确认的，将视同认可开标结果，事后不得对采购相关人员，开标程序，采购结果提出质疑。</w:t>
      </w:r>
    </w:p>
    <w:p>
      <w:pPr>
        <w:spacing w:line="360" w:lineRule="auto"/>
        <w:ind w:firstLine="420" w:firstLineChars="200"/>
        <w:rPr>
          <w:rFonts w:ascii="宋体" w:hAnsi="宋体" w:cs="宋体"/>
          <w:szCs w:val="21"/>
        </w:rPr>
      </w:pPr>
      <w:r>
        <w:rPr>
          <w:rFonts w:hint="eastAsia" w:ascii="宋体" w:hAnsi="宋体" w:cs="宋体"/>
          <w:szCs w:val="21"/>
        </w:rPr>
        <w:t>1.9.4采购人处理质疑事项原则上采取书面审查的办法。采购人认为有必要时，可以进行调查取证，也可以组织质疑人和被质疑人当面进行质证，对采购人进行调查的质疑事项， 质疑人、被质疑人等应当如实反映情况，并提供采购人所需要的相关材料。</w:t>
      </w:r>
    </w:p>
    <w:p>
      <w:pPr>
        <w:spacing w:line="360" w:lineRule="auto"/>
        <w:ind w:firstLine="420" w:firstLineChars="200"/>
        <w:rPr>
          <w:rFonts w:ascii="宋体" w:hAnsi="宋体" w:cs="宋体"/>
          <w:szCs w:val="21"/>
        </w:rPr>
      </w:pPr>
      <w:r>
        <w:rPr>
          <w:rFonts w:hint="eastAsia" w:ascii="宋体" w:hAnsi="宋体" w:cs="宋体"/>
          <w:szCs w:val="21"/>
        </w:rPr>
        <w:t>1.9.5质疑人拒绝配合采购人依法进行调查的，按自动撤回质疑处理；被质疑人在规定时限内， 无正当理由未提交相关证据和其他有关材料的，视同放弃说明权利，认可质疑事项和处理决定。</w:t>
      </w:r>
    </w:p>
    <w:p>
      <w:pPr>
        <w:spacing w:line="360" w:lineRule="auto"/>
        <w:ind w:firstLine="420" w:firstLineChars="200"/>
        <w:rPr>
          <w:rFonts w:ascii="宋体" w:hAnsi="宋体" w:cs="宋体"/>
          <w:szCs w:val="21"/>
        </w:rPr>
      </w:pPr>
      <w:r>
        <w:rPr>
          <w:rFonts w:hint="eastAsia" w:ascii="宋体" w:hAnsi="宋体" w:cs="宋体"/>
          <w:szCs w:val="21"/>
        </w:rPr>
        <w:t>1.9.6采购人在收到供应商的有效书面质疑后七个工作日内作出答复，但答复的内容不涉及商业秘密。</w:t>
      </w:r>
    </w:p>
    <w:p>
      <w:pPr>
        <w:spacing w:line="360" w:lineRule="auto"/>
        <w:ind w:firstLine="420" w:firstLineChars="200"/>
        <w:rPr>
          <w:rFonts w:ascii="宋体" w:hAnsi="宋体" w:cs="宋体"/>
          <w:szCs w:val="21"/>
        </w:rPr>
      </w:pPr>
      <w:bookmarkStart w:id="106" w:name="_Toc301187607"/>
      <w:r>
        <w:rPr>
          <w:rFonts w:hint="eastAsia" w:ascii="宋体" w:hAnsi="宋体" w:cs="宋体"/>
          <w:szCs w:val="21"/>
        </w:rPr>
        <w:t>1.9.7</w:t>
      </w:r>
      <w:bookmarkEnd w:id="106"/>
      <w:r>
        <w:rPr>
          <w:rFonts w:hint="eastAsia" w:ascii="宋体" w:hAnsi="宋体" w:cs="宋体"/>
          <w:szCs w:val="21"/>
        </w:rPr>
        <w:t>质疑处理办法和相关格式等参照《政府采购质疑和投诉办法》（财政部第94号令）、《关于印发&lt;浙江省政府采购供应商质疑处理办法&gt;的通知》（浙财采监〔2012〕18号）等文件要求。</w:t>
      </w:r>
    </w:p>
    <w:p>
      <w:pPr>
        <w:spacing w:line="360" w:lineRule="auto"/>
        <w:jc w:val="left"/>
        <w:rPr>
          <w:rFonts w:ascii="宋体" w:hAnsi="宋体" w:cs="宋体"/>
          <w:b/>
          <w:bCs/>
          <w:szCs w:val="21"/>
        </w:rPr>
      </w:pPr>
      <w:r>
        <w:rPr>
          <w:rFonts w:hint="eastAsia" w:ascii="宋体" w:hAnsi="宋体" w:cs="宋体"/>
          <w:b/>
          <w:bCs/>
          <w:szCs w:val="21"/>
        </w:rPr>
        <w:t>1.10保密</w:t>
      </w:r>
      <w:bookmarkEnd w:id="99"/>
      <w:bookmarkEnd w:id="100"/>
      <w:bookmarkEnd w:id="101"/>
      <w:bookmarkEnd w:id="102"/>
      <w:bookmarkEnd w:id="103"/>
      <w:bookmarkEnd w:id="104"/>
    </w:p>
    <w:p>
      <w:pPr>
        <w:spacing w:line="360" w:lineRule="auto"/>
        <w:ind w:firstLine="525" w:firstLineChars="250"/>
        <w:rPr>
          <w:rFonts w:ascii="宋体" w:hAnsi="宋体" w:cs="宋体"/>
          <w:szCs w:val="21"/>
        </w:rPr>
      </w:pPr>
      <w:bookmarkStart w:id="107" w:name="_Toc301187609"/>
      <w:r>
        <w:rPr>
          <w:rFonts w:hint="eastAsia" w:ascii="宋体" w:hAnsi="宋体" w:cs="宋体"/>
          <w:szCs w:val="21"/>
        </w:rPr>
        <w:t>参与采购磋商活动的各方当事人应当对磋商评审情况以及在磋商评审过程中的获悉的国家秘密、商业密负有保密责任，违者应对由此造成的后果承担法律责任。</w:t>
      </w:r>
      <w:bookmarkEnd w:id="107"/>
    </w:p>
    <w:p>
      <w:pPr>
        <w:spacing w:line="360" w:lineRule="auto"/>
        <w:jc w:val="left"/>
        <w:rPr>
          <w:rFonts w:ascii="宋体" w:hAnsi="宋体" w:cs="宋体"/>
          <w:b/>
          <w:bCs/>
          <w:szCs w:val="21"/>
        </w:rPr>
      </w:pPr>
      <w:bookmarkStart w:id="108" w:name="_Toc15579"/>
      <w:bookmarkStart w:id="109" w:name="_Toc499128561"/>
      <w:bookmarkStart w:id="110" w:name="_Toc498327016"/>
      <w:r>
        <w:rPr>
          <w:rFonts w:hint="eastAsia" w:ascii="宋体" w:hAnsi="宋体" w:cs="宋体"/>
          <w:b/>
          <w:bCs/>
          <w:szCs w:val="21"/>
        </w:rPr>
        <w:t>1.11信用信息记录查询</w:t>
      </w:r>
      <w:bookmarkEnd w:id="108"/>
      <w:bookmarkEnd w:id="109"/>
      <w:bookmarkEnd w:id="110"/>
    </w:p>
    <w:p>
      <w:pPr>
        <w:spacing w:line="360" w:lineRule="auto"/>
        <w:ind w:firstLine="420" w:firstLineChars="200"/>
        <w:rPr>
          <w:rFonts w:ascii="宋体" w:hAnsi="宋体" w:cs="宋体"/>
          <w:szCs w:val="21"/>
        </w:rPr>
      </w:pPr>
      <w:r>
        <w:rPr>
          <w:rFonts w:hint="eastAsia" w:ascii="宋体" w:hAnsi="宋体" w:cs="宋体"/>
          <w:szCs w:val="21"/>
        </w:rPr>
        <w:t>1.11.1各供应商的信用信息记录应当从“信用中国”网站（</w:t>
      </w:r>
      <w:r>
        <w:fldChar w:fldCharType="begin"/>
      </w:r>
      <w:r>
        <w:instrText xml:space="preserve"> HYPERLINK "http://www.creditchina.gov.cn" </w:instrText>
      </w:r>
      <w:r>
        <w:fldChar w:fldCharType="separate"/>
      </w:r>
      <w:r>
        <w:rPr>
          <w:rFonts w:hint="eastAsia" w:ascii="宋体" w:hAnsi="宋体" w:cs="宋体"/>
          <w:szCs w:val="21"/>
        </w:rPr>
        <w:t>www.creditchi</w:t>
      </w:r>
      <w:bookmarkStart w:id="111" w:name="_Hlt492633520"/>
      <w:bookmarkStart w:id="112" w:name="_Hlt492633521"/>
      <w:r>
        <w:rPr>
          <w:rFonts w:hint="eastAsia" w:ascii="宋体" w:hAnsi="宋体" w:cs="宋体"/>
          <w:szCs w:val="21"/>
        </w:rPr>
        <w:t>n</w:t>
      </w:r>
      <w:bookmarkEnd w:id="111"/>
      <w:bookmarkEnd w:id="112"/>
      <w:r>
        <w:rPr>
          <w:rFonts w:hint="eastAsia" w:ascii="宋体" w:hAnsi="宋体" w:cs="宋体"/>
          <w:szCs w:val="21"/>
        </w:rPr>
        <w:t>a.gov.cn</w:t>
      </w:r>
      <w:r>
        <w:rPr>
          <w:rFonts w:hint="eastAsia" w:ascii="宋体" w:hAnsi="宋体" w:cs="宋体"/>
          <w:szCs w:val="21"/>
        </w:rPr>
        <w:fldChar w:fldCharType="end"/>
      </w:r>
      <w:r>
        <w:rPr>
          <w:rFonts w:hint="eastAsia" w:ascii="宋体" w:hAnsi="宋体" w:cs="宋体"/>
          <w:szCs w:val="21"/>
        </w:rPr>
        <w:t>）、中国政府采购网（www.ccgp</w:t>
      </w:r>
      <w:bookmarkStart w:id="113" w:name="_Hlt495587266"/>
      <w:r>
        <w:rPr>
          <w:rFonts w:hint="eastAsia" w:ascii="宋体" w:hAnsi="宋体" w:cs="宋体"/>
          <w:szCs w:val="21"/>
        </w:rPr>
        <w:t>.</w:t>
      </w:r>
      <w:bookmarkEnd w:id="113"/>
      <w:r>
        <w:rPr>
          <w:rFonts w:hint="eastAsia" w:ascii="宋体" w:hAnsi="宋体" w:cs="宋体"/>
          <w:szCs w:val="21"/>
        </w:rPr>
        <w:t>go</w:t>
      </w:r>
      <w:bookmarkStart w:id="114" w:name="_Hlt495587259"/>
      <w:bookmarkStart w:id="115" w:name="_Hlt495587258"/>
      <w:bookmarkStart w:id="116" w:name="_Hlt495587290"/>
      <w:r>
        <w:rPr>
          <w:rFonts w:hint="eastAsia" w:ascii="宋体" w:hAnsi="宋体" w:cs="宋体"/>
          <w:szCs w:val="21"/>
        </w:rPr>
        <w:t>v</w:t>
      </w:r>
      <w:bookmarkEnd w:id="114"/>
      <w:bookmarkEnd w:id="115"/>
      <w:bookmarkEnd w:id="116"/>
      <w:r>
        <w:rPr>
          <w:rFonts w:hint="eastAsia" w:ascii="宋体" w:hAnsi="宋体" w:cs="宋体"/>
          <w:szCs w:val="21"/>
        </w:rPr>
        <w:t>.cn）的“政府采购严重违法失信行为记录名单”、浙江省政府采购（www.zjzfcg.gov.cn）等渠道进行查询。查询后的供应商在处罚有效期内的，不得推荐为成交候选人。</w:t>
      </w:r>
    </w:p>
    <w:p>
      <w:pPr>
        <w:spacing w:line="360" w:lineRule="auto"/>
        <w:ind w:firstLine="420" w:firstLineChars="200"/>
        <w:rPr>
          <w:rFonts w:ascii="宋体" w:hAnsi="宋体" w:cs="宋体"/>
          <w:szCs w:val="21"/>
        </w:rPr>
      </w:pPr>
      <w:r>
        <w:rPr>
          <w:rFonts w:hint="eastAsia" w:ascii="宋体" w:hAnsi="宋体" w:cs="宋体"/>
          <w:szCs w:val="21"/>
        </w:rPr>
        <w:t>1.11.2信用信息记录查询截止时间：见供应商须知前附表。</w:t>
      </w:r>
    </w:p>
    <w:p>
      <w:pPr>
        <w:spacing w:line="360" w:lineRule="auto"/>
        <w:ind w:firstLine="420" w:firstLineChars="200"/>
        <w:rPr>
          <w:rFonts w:ascii="宋体" w:hAnsi="宋体" w:cs="宋体"/>
          <w:szCs w:val="21"/>
        </w:rPr>
      </w:pPr>
      <w:r>
        <w:rPr>
          <w:rFonts w:hint="eastAsia" w:ascii="宋体" w:hAnsi="宋体" w:cs="宋体"/>
          <w:szCs w:val="21"/>
        </w:rPr>
        <w:t>1.11.3信用信息查询记录和证据则以页面截图、打印等方式进行留存，作为政府采购档案的归档资料。</w:t>
      </w:r>
    </w:p>
    <w:p>
      <w:pPr>
        <w:spacing w:line="360" w:lineRule="auto"/>
        <w:ind w:firstLine="420" w:firstLineChars="200"/>
        <w:rPr>
          <w:rFonts w:ascii="宋体" w:hAnsi="宋体" w:cs="宋体"/>
          <w:szCs w:val="21"/>
        </w:rPr>
      </w:pPr>
      <w:r>
        <w:rPr>
          <w:rFonts w:hint="eastAsia" w:ascii="宋体" w:hAnsi="宋体" w:cs="宋体"/>
          <w:szCs w:val="21"/>
        </w:rPr>
        <w:t>1.11.4列入失信被执行人、重大税收违法案件当事人名单、政府采购严重违法失信行为记录名单及其他不符合《中华人民共和国政府采购法》第二十二条规定条件的供应商，应当拒绝其参与政府采购活动。</w:t>
      </w:r>
    </w:p>
    <w:p>
      <w:pPr>
        <w:spacing w:line="360" w:lineRule="auto"/>
        <w:ind w:firstLine="420" w:firstLineChars="200"/>
        <w:rPr>
          <w:rFonts w:ascii="宋体" w:hAnsi="宋体" w:cs="宋体"/>
          <w:szCs w:val="21"/>
        </w:rPr>
      </w:pPr>
      <w:r>
        <w:rPr>
          <w:rFonts w:hint="eastAsia" w:ascii="宋体" w:hAnsi="宋体" w:cs="宋体"/>
          <w:szCs w:val="21"/>
        </w:rPr>
        <w:t>1.11.5两个以上的自然人、法人或者其他组织组成一个联合体，以一个供应商的身份共同参加政府采购活动的，应当对所有联合体成员进行信用信息记录查询，联合体成员存在不良信用记录的，视同联合体存在不良信用记录。</w:t>
      </w:r>
    </w:p>
    <w:p>
      <w:pPr>
        <w:spacing w:line="360" w:lineRule="auto"/>
        <w:ind w:firstLine="420" w:firstLineChars="200"/>
        <w:rPr>
          <w:rFonts w:ascii="宋体" w:hAnsi="宋体" w:cs="宋体"/>
          <w:szCs w:val="21"/>
        </w:rPr>
      </w:pPr>
      <w:r>
        <w:rPr>
          <w:rFonts w:hint="eastAsia" w:ascii="宋体" w:hAnsi="宋体" w:cs="宋体"/>
          <w:szCs w:val="21"/>
        </w:rPr>
        <w:t>1.11.6若在磋商当天因不可抗力事件导致代理机构或采购人无法查询信用信息记录且一时无法恢复的，可在成交公示期间对成交候选人进行事后查询，如成交候选人为失信被执行人的，则取消成交候选人资格，采购人可以确定第二成交候选人为成交供应商或重新组织采购。</w:t>
      </w:r>
    </w:p>
    <w:p>
      <w:pPr>
        <w:spacing w:line="360" w:lineRule="auto"/>
        <w:jc w:val="left"/>
        <w:rPr>
          <w:rFonts w:ascii="宋体" w:hAnsi="宋体" w:cs="宋体"/>
          <w:b/>
          <w:bCs/>
          <w:szCs w:val="21"/>
        </w:rPr>
      </w:pPr>
      <w:bookmarkStart w:id="117" w:name="_Toc28663"/>
      <w:bookmarkStart w:id="118" w:name="_Toc499128562"/>
      <w:bookmarkStart w:id="119" w:name="_Toc498327017"/>
      <w:r>
        <w:rPr>
          <w:rFonts w:hint="eastAsia" w:ascii="宋体" w:hAnsi="宋体" w:cs="宋体"/>
          <w:b/>
          <w:bCs/>
          <w:szCs w:val="21"/>
        </w:rPr>
        <w:t>1.12政府采购政策</w:t>
      </w:r>
      <w:bookmarkEnd w:id="117"/>
      <w:bookmarkEnd w:id="118"/>
      <w:bookmarkEnd w:id="119"/>
    </w:p>
    <w:p>
      <w:pPr>
        <w:spacing w:line="360" w:lineRule="auto"/>
        <w:ind w:firstLine="420" w:firstLineChars="200"/>
        <w:rPr>
          <w:rFonts w:ascii="宋体" w:hAnsi="宋体" w:cs="宋体"/>
          <w:szCs w:val="21"/>
        </w:rPr>
      </w:pPr>
      <w:r>
        <w:rPr>
          <w:rFonts w:hint="eastAsia" w:ascii="宋体" w:hAnsi="宋体" w:cs="宋体"/>
          <w:szCs w:val="21"/>
        </w:rPr>
        <w:t>1.12.1落实节约能源、保护环境、扶持不发达地区和少数民族地区、促进中小企业发展等政府采购政策。</w:t>
      </w:r>
    </w:p>
    <w:p>
      <w:pPr>
        <w:spacing w:line="360" w:lineRule="auto"/>
        <w:ind w:firstLine="420" w:firstLineChars="200"/>
        <w:rPr>
          <w:rFonts w:ascii="宋体" w:hAnsi="宋体" w:cs="宋体"/>
          <w:szCs w:val="21"/>
        </w:rPr>
      </w:pPr>
      <w:bookmarkStart w:id="120" w:name="_Toc499128563"/>
      <w:bookmarkStart w:id="121" w:name="_Toc303756375"/>
      <w:bookmarkStart w:id="122" w:name="_Toc301187610"/>
      <w:bookmarkStart w:id="123" w:name="_Toc359934570"/>
      <w:bookmarkStart w:id="124" w:name="_Toc498327018"/>
      <w:bookmarkStart w:id="125" w:name="_Toc22170"/>
      <w:r>
        <w:rPr>
          <w:rFonts w:hint="eastAsia" w:ascii="宋体" w:hAnsi="宋体" w:cs="宋体"/>
          <w:szCs w:val="21"/>
        </w:rPr>
        <w:t>1.12.2节能、环境标志产品政府采购品目清单：见供应商须知前附表。采购人拟采购的产品属于品目清单范围的，实施优先采购或强制采购。</w:t>
      </w:r>
    </w:p>
    <w:p>
      <w:pPr>
        <w:spacing w:line="360" w:lineRule="auto"/>
        <w:ind w:firstLine="420" w:firstLineChars="200"/>
        <w:rPr>
          <w:rFonts w:ascii="宋体" w:hAnsi="宋体" w:cs="宋体"/>
          <w:szCs w:val="21"/>
        </w:rPr>
      </w:pPr>
      <w:r>
        <w:rPr>
          <w:rFonts w:hint="eastAsia" w:ascii="宋体" w:hAnsi="宋体" w:cs="宋体"/>
          <w:szCs w:val="21"/>
        </w:rPr>
        <w:t>1.12.3节能、环境标志产品认证：见供应商须知前附表。有效的节能、环境标志产品认证系指国家确定的认证机构出具的、处于有效期之内的节能产品、环境标志产品认证证书，并且认证证书的认证标准必须符合第1.12.2条规定的。</w:t>
      </w:r>
    </w:p>
    <w:p>
      <w:pPr>
        <w:spacing w:line="360" w:lineRule="auto"/>
        <w:ind w:firstLine="420" w:firstLineChars="200"/>
        <w:rPr>
          <w:rFonts w:ascii="宋体" w:hAnsi="宋体" w:cs="宋体"/>
          <w:szCs w:val="21"/>
        </w:rPr>
      </w:pPr>
      <w:r>
        <w:rPr>
          <w:rFonts w:hint="eastAsia" w:ascii="宋体" w:hAnsi="宋体" w:cs="宋体"/>
          <w:szCs w:val="21"/>
        </w:rPr>
        <w:t>1.12.4政府强制采购的节能产品品目：见供应商须知前附表。各供应商拟投产品属于政府强制采购的，必须提供符合第1.12.3条规定的认证证书，并且可在认证结果信息发布平台可查询。</w:t>
      </w:r>
    </w:p>
    <w:p>
      <w:pPr>
        <w:spacing w:line="360" w:lineRule="auto"/>
        <w:ind w:firstLine="420" w:firstLineChars="200"/>
        <w:rPr>
          <w:rFonts w:ascii="宋体" w:hAnsi="宋体" w:cs="宋体"/>
          <w:szCs w:val="21"/>
        </w:rPr>
      </w:pPr>
      <w:r>
        <w:rPr>
          <w:rFonts w:hint="eastAsia" w:ascii="宋体" w:hAnsi="宋体" w:cs="宋体"/>
          <w:szCs w:val="21"/>
        </w:rPr>
        <w:t xml:space="preserve">1.12.5供应商符合《关于印发〈政府采购促进中小企业发展暂行办法〉的通知》（财库〔2020〕46号）文件要求，在政府采购活动按下列情形之一给予价格扣除： </w:t>
      </w:r>
    </w:p>
    <w:p>
      <w:pPr>
        <w:spacing w:line="360" w:lineRule="auto"/>
        <w:ind w:firstLine="420" w:firstLineChars="200"/>
        <w:rPr>
          <w:rFonts w:ascii="宋体" w:hAnsi="宋体" w:cs="宋体"/>
          <w:szCs w:val="21"/>
        </w:rPr>
      </w:pPr>
      <w:r>
        <w:rPr>
          <w:rFonts w:hint="eastAsia" w:ascii="宋体" w:hAnsi="宋体" w:cs="宋体"/>
          <w:szCs w:val="21"/>
        </w:rPr>
        <w:t>（1）对于非专门面向中小企业的项目，对小型和微型企业产品的价格给予20%的扣除，用扣除后的价格参与评审。</w:t>
      </w:r>
    </w:p>
    <w:p>
      <w:pPr>
        <w:spacing w:line="360" w:lineRule="auto"/>
        <w:ind w:firstLine="420" w:firstLineChars="200"/>
        <w:rPr>
          <w:rFonts w:ascii="宋体" w:hAnsi="宋体" w:cs="宋体"/>
          <w:szCs w:val="21"/>
        </w:rPr>
      </w:pPr>
      <w:r>
        <w:rPr>
          <w:rFonts w:hint="eastAsia" w:ascii="宋体" w:hAnsi="宋体" w:cs="宋体"/>
          <w:szCs w:val="21"/>
        </w:rPr>
        <w:t>（2）联合体协议约定，小型、微型企业的协议合同金额占到联合协议合同总金额30%以上的，可给予联合体6%的价格扣除。联合体各方均为小型、微型企业的，联合体视同为小型、微型企业。</w:t>
      </w:r>
    </w:p>
    <w:p>
      <w:pPr>
        <w:spacing w:line="360" w:lineRule="auto"/>
        <w:ind w:firstLine="420" w:firstLineChars="200"/>
        <w:rPr>
          <w:rFonts w:ascii="宋体" w:hAnsi="宋体" w:cs="宋体"/>
          <w:szCs w:val="21"/>
        </w:rPr>
      </w:pPr>
      <w:r>
        <w:rPr>
          <w:rFonts w:hint="eastAsia" w:ascii="宋体" w:hAnsi="宋体" w:cs="宋体"/>
          <w:szCs w:val="21"/>
        </w:rPr>
        <w:t>（3）参加政府采购活动的中小企业应当提供《中小企业声明函》。</w:t>
      </w:r>
    </w:p>
    <w:p>
      <w:pPr>
        <w:spacing w:line="360" w:lineRule="auto"/>
        <w:ind w:firstLine="420" w:firstLineChars="200"/>
        <w:rPr>
          <w:rFonts w:ascii="宋体" w:hAnsi="宋体" w:cs="宋体"/>
          <w:szCs w:val="21"/>
        </w:rPr>
      </w:pPr>
      <w:r>
        <w:rPr>
          <w:rFonts w:hint="eastAsia" w:ascii="宋体" w:hAnsi="宋体" w:cs="宋体"/>
          <w:szCs w:val="21"/>
        </w:rPr>
        <w:t>1.12.6小型和微型企业产品的价格扣除：见供应商须知前附表。</w:t>
      </w:r>
    </w:p>
    <w:p>
      <w:pPr>
        <w:spacing w:line="360" w:lineRule="auto"/>
        <w:ind w:firstLine="420" w:firstLineChars="200"/>
        <w:rPr>
          <w:rFonts w:ascii="宋体" w:hAnsi="宋体" w:cs="宋体"/>
          <w:szCs w:val="21"/>
        </w:rPr>
      </w:pPr>
      <w:r>
        <w:rPr>
          <w:rFonts w:hint="eastAsia" w:ascii="宋体" w:hAnsi="宋体" w:cs="宋体"/>
          <w:szCs w:val="21"/>
        </w:rPr>
        <w:t>1.12.7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1.12.5条的扶持政策。</w:t>
      </w:r>
    </w:p>
    <w:p>
      <w:pPr>
        <w:spacing w:line="360" w:lineRule="auto"/>
        <w:ind w:firstLine="420" w:firstLineChars="200"/>
        <w:rPr>
          <w:rFonts w:ascii="宋体" w:hAnsi="宋体" w:cs="宋体"/>
          <w:szCs w:val="21"/>
        </w:rPr>
      </w:pPr>
      <w:r>
        <w:rPr>
          <w:rFonts w:hint="eastAsia" w:ascii="宋体" w:hAnsi="宋体" w:cs="宋体"/>
          <w:szCs w:val="21"/>
        </w:rPr>
        <w:t>1.12.8供应商符合《三部门联合发布关于促进残疾人就业政府采购政策的通知》（财库〔2017〕141号）文件要求，并提供《残疾人福利性单位声明函》的，则视同小型、微型企业，享受第1.12.5条的扶持政策。残疾人福利性单位属于小型、微型企业的，不重复享受政策。</w:t>
      </w:r>
    </w:p>
    <w:p>
      <w:pPr>
        <w:spacing w:line="360" w:lineRule="auto"/>
        <w:ind w:firstLine="420" w:firstLineChars="200"/>
        <w:rPr>
          <w:rFonts w:ascii="宋体" w:hAnsi="宋体" w:cs="宋体"/>
          <w:szCs w:val="21"/>
        </w:rPr>
      </w:pPr>
      <w:r>
        <w:rPr>
          <w:rFonts w:hint="eastAsia" w:ascii="宋体" w:hAnsi="宋体" w:cs="宋体"/>
          <w:szCs w:val="21"/>
        </w:rPr>
        <w:t>1.12.9采购进口产品：见供应商须知前附表。政府采购进口产品原则不得限制潜在国产的同类产品参与磋商。</w:t>
      </w:r>
    </w:p>
    <w:p>
      <w:pPr>
        <w:spacing w:line="360" w:lineRule="auto"/>
        <w:jc w:val="left"/>
        <w:rPr>
          <w:rFonts w:ascii="宋体" w:hAnsi="宋体" w:cs="宋体"/>
          <w:b/>
          <w:bCs/>
          <w:szCs w:val="21"/>
        </w:rPr>
      </w:pPr>
      <w:r>
        <w:rPr>
          <w:rFonts w:hint="eastAsia" w:ascii="宋体" w:hAnsi="宋体" w:cs="宋体"/>
          <w:b/>
          <w:bCs/>
          <w:szCs w:val="21"/>
        </w:rPr>
        <w:t>1.13特别声明</w:t>
      </w:r>
      <w:bookmarkEnd w:id="120"/>
      <w:bookmarkEnd w:id="121"/>
      <w:bookmarkEnd w:id="122"/>
      <w:bookmarkEnd w:id="123"/>
      <w:bookmarkEnd w:id="124"/>
      <w:bookmarkEnd w:id="125"/>
    </w:p>
    <w:p>
      <w:pPr>
        <w:spacing w:line="360" w:lineRule="auto"/>
        <w:ind w:firstLine="420" w:firstLineChars="200"/>
        <w:rPr>
          <w:rFonts w:ascii="宋体" w:hAnsi="宋体" w:cs="宋体"/>
          <w:szCs w:val="21"/>
        </w:rPr>
      </w:pPr>
      <w:bookmarkStart w:id="126" w:name="_Toc301187611"/>
      <w:bookmarkStart w:id="127" w:name="_Toc359934571"/>
      <w:bookmarkStart w:id="128" w:name="_Toc301187615"/>
      <w:bookmarkStart w:id="129" w:name="_Toc303756376"/>
      <w:r>
        <w:rPr>
          <w:rFonts w:hint="eastAsia" w:ascii="宋体" w:hAnsi="宋体" w:cs="宋体"/>
          <w:szCs w:val="21"/>
        </w:rPr>
        <w:t>1.13.1单位负责人为同一人或者存在直接控股、管理关系的不同供应商，不得参加同一合同项下的政府采购活动。</w:t>
      </w:r>
    </w:p>
    <w:p>
      <w:pPr>
        <w:spacing w:line="360" w:lineRule="auto"/>
        <w:ind w:firstLine="420" w:firstLineChars="200"/>
        <w:rPr>
          <w:rFonts w:ascii="宋体" w:hAnsi="宋体" w:cs="宋体"/>
          <w:szCs w:val="21"/>
        </w:rPr>
      </w:pPr>
      <w:r>
        <w:rPr>
          <w:rFonts w:hint="eastAsia" w:ascii="宋体" w:hAnsi="宋体" w:cs="宋体"/>
          <w:szCs w:val="21"/>
        </w:rPr>
        <w:t>为采购项目提供整体设计、规范编制或者项目管理、监理、检测等服务的供应商，不得再参加该采购项目的其他采购活动。</w:t>
      </w:r>
    </w:p>
    <w:p>
      <w:pPr>
        <w:spacing w:line="360" w:lineRule="auto"/>
        <w:ind w:firstLine="420" w:firstLineChars="200"/>
        <w:rPr>
          <w:rFonts w:ascii="宋体" w:hAnsi="宋体" w:cs="宋体"/>
          <w:szCs w:val="21"/>
        </w:rPr>
      </w:pPr>
      <w:r>
        <w:rPr>
          <w:rFonts w:hint="eastAsia" w:ascii="宋体" w:hAnsi="宋体" w:cs="宋体"/>
          <w:szCs w:val="21"/>
        </w:rPr>
        <w:t>1.13.2采用最低磋商评审价法的采购项目，提供相同品牌产品的不同供应商参加同一合同项下磋商的，以其中通过资格审查、符合性审查且报价最低的供应商参加磋商评审；报价相同的，则按照技术优的供应商参加磋商评审。</w:t>
      </w:r>
    </w:p>
    <w:p>
      <w:pPr>
        <w:spacing w:line="360" w:lineRule="auto"/>
        <w:ind w:firstLine="420" w:firstLineChars="200"/>
        <w:rPr>
          <w:rFonts w:ascii="宋体" w:hAnsi="宋体" w:cs="宋体"/>
          <w:szCs w:val="21"/>
        </w:rPr>
      </w:pPr>
      <w:r>
        <w:rPr>
          <w:rFonts w:hint="eastAsia" w:ascii="宋体" w:hAnsi="宋体" w:cs="宋体"/>
          <w:szCs w:val="21"/>
        </w:rPr>
        <w:t>使用综合评分法的采购项目，提供相同品牌产品且通过资格审查、符合性审查的不同供应商参加同一合同项下磋商的，按一家供应商计算，评审后的得分最高的同品牌供应商获得成交供应商推荐资格；评审得分相同的，则按照报价最低的供应商获得成交供应商推荐资格。</w:t>
      </w:r>
    </w:p>
    <w:p>
      <w:pPr>
        <w:spacing w:line="360" w:lineRule="auto"/>
        <w:ind w:firstLine="420" w:firstLineChars="200"/>
        <w:rPr>
          <w:rFonts w:ascii="宋体" w:hAnsi="宋体" w:cs="宋体"/>
          <w:szCs w:val="21"/>
        </w:rPr>
      </w:pPr>
      <w:r>
        <w:rPr>
          <w:rFonts w:hint="eastAsia" w:ascii="宋体" w:hAnsi="宋体" w:cs="宋体"/>
          <w:szCs w:val="21"/>
        </w:rPr>
        <w:t>非单一产品采购项目，多家供应商提供的核心产品品牌相同的、或部分核心产品品牌相同金额占项目报价50%以上的，按前两款规定处理。</w:t>
      </w:r>
    </w:p>
    <w:p>
      <w:pPr>
        <w:spacing w:line="360" w:lineRule="auto"/>
        <w:ind w:firstLine="420" w:firstLineChars="200"/>
        <w:rPr>
          <w:rFonts w:ascii="宋体" w:hAnsi="宋体" w:cs="宋体"/>
          <w:szCs w:val="21"/>
        </w:rPr>
      </w:pPr>
      <w:r>
        <w:rPr>
          <w:rFonts w:hint="eastAsia" w:ascii="宋体" w:hAnsi="宋体" w:cs="宋体"/>
          <w:szCs w:val="21"/>
        </w:rPr>
        <w:t>1.13.3核心产品：见供应商须知前附表。非单一产品采购项目，采购人应当根据采购项目技术构成、产品价格比重等合同确定核心产品，并在竞争性磋商文件中标明</w:t>
      </w:r>
      <w:r>
        <w:rPr>
          <w:rFonts w:hint="eastAsia" w:ascii="宋体" w:hAnsi="宋体" w:cs="宋体"/>
          <w:bCs/>
          <w:szCs w:val="21"/>
        </w:rPr>
        <w:t>“★”标志的产品</w:t>
      </w:r>
      <w:r>
        <w:rPr>
          <w:rFonts w:hint="eastAsia" w:ascii="宋体" w:hAnsi="宋体" w:cs="宋体"/>
          <w:szCs w:val="21"/>
        </w:rPr>
        <w:t>。</w:t>
      </w:r>
    </w:p>
    <w:p>
      <w:pPr>
        <w:spacing w:line="360" w:lineRule="auto"/>
        <w:jc w:val="left"/>
        <w:rPr>
          <w:rFonts w:ascii="宋体" w:hAnsi="宋体" w:cs="宋体"/>
          <w:b/>
          <w:bCs/>
          <w:szCs w:val="21"/>
        </w:rPr>
      </w:pPr>
      <w:bookmarkStart w:id="130" w:name="_Toc499128564"/>
      <w:bookmarkStart w:id="131" w:name="_Toc24763"/>
      <w:bookmarkStart w:id="132" w:name="_Toc498327019"/>
      <w:r>
        <w:rPr>
          <w:rFonts w:hint="eastAsia" w:ascii="宋体" w:hAnsi="宋体" w:cs="宋体"/>
          <w:b/>
          <w:bCs/>
          <w:szCs w:val="21"/>
        </w:rPr>
        <w:t>1.14现场考察</w:t>
      </w:r>
      <w:bookmarkEnd w:id="130"/>
      <w:bookmarkEnd w:id="131"/>
      <w:bookmarkEnd w:id="132"/>
    </w:p>
    <w:p>
      <w:pPr>
        <w:spacing w:line="360" w:lineRule="auto"/>
        <w:ind w:firstLine="420" w:firstLineChars="200"/>
        <w:rPr>
          <w:rFonts w:ascii="宋体" w:hAnsi="宋体" w:cs="宋体"/>
          <w:szCs w:val="21"/>
        </w:rPr>
      </w:pPr>
      <w:r>
        <w:rPr>
          <w:rFonts w:hint="eastAsia" w:ascii="宋体" w:hAnsi="宋体" w:cs="宋体"/>
          <w:szCs w:val="21"/>
        </w:rPr>
        <w:t>1.14.1现场考察：见供应商须知。</w:t>
      </w:r>
    </w:p>
    <w:p>
      <w:pPr>
        <w:spacing w:line="360" w:lineRule="auto"/>
        <w:ind w:firstLine="420" w:firstLineChars="200"/>
        <w:rPr>
          <w:rFonts w:ascii="宋体" w:hAnsi="宋体" w:cs="宋体"/>
          <w:szCs w:val="21"/>
        </w:rPr>
      </w:pPr>
      <w:r>
        <w:rPr>
          <w:rFonts w:hint="eastAsia" w:ascii="宋体" w:hAnsi="宋体" w:cs="宋体"/>
          <w:szCs w:val="21"/>
        </w:rPr>
        <w:t>1.14.2为使供应商对本项目情况有所了解，供应商自行组织对项目所在场地及周围环境进行现场考察，以便获取由供应商自行负责编制响应文件和签订合同所需的一切资料。现场考察所发生的费用由供应商自行承担。</w:t>
      </w:r>
    </w:p>
    <w:p>
      <w:pPr>
        <w:spacing w:line="360" w:lineRule="auto"/>
        <w:ind w:firstLine="420" w:firstLineChars="200"/>
        <w:rPr>
          <w:rFonts w:ascii="宋体" w:hAnsi="宋体" w:cs="宋体"/>
          <w:szCs w:val="21"/>
        </w:rPr>
      </w:pPr>
      <w:r>
        <w:rPr>
          <w:rFonts w:hint="eastAsia" w:ascii="宋体" w:hAnsi="宋体" w:cs="宋体"/>
          <w:szCs w:val="21"/>
        </w:rPr>
        <w:t>1.14.3现场考察完毕，将认为供应商已了解现场情况，并充分理解了为之所承担的风险、义务和责任。</w:t>
      </w:r>
    </w:p>
    <w:p>
      <w:pPr>
        <w:spacing w:line="360" w:lineRule="auto"/>
        <w:ind w:firstLine="420" w:firstLineChars="200"/>
        <w:rPr>
          <w:rFonts w:ascii="宋体" w:hAnsi="宋体" w:cs="宋体"/>
          <w:szCs w:val="21"/>
        </w:rPr>
      </w:pPr>
      <w:r>
        <w:rPr>
          <w:rFonts w:hint="eastAsia" w:ascii="宋体" w:hAnsi="宋体" w:cs="宋体"/>
          <w:szCs w:val="21"/>
        </w:rPr>
        <w:t>1.14.4在现场考察过程中，供应商应承担在此期间所造成的人身伤害、财产损失或损坏的责任，无论何种原因所造成，采购人均不负责，如由此导致采购人承担责任的，采购人有权向供应商行使追偿权。</w:t>
      </w:r>
    </w:p>
    <w:p>
      <w:pPr>
        <w:spacing w:line="360" w:lineRule="auto"/>
        <w:ind w:firstLine="420" w:firstLineChars="200"/>
        <w:rPr>
          <w:rFonts w:ascii="宋体" w:hAnsi="宋体" w:cs="宋体"/>
          <w:szCs w:val="21"/>
        </w:rPr>
      </w:pPr>
      <w:r>
        <w:rPr>
          <w:rFonts w:hint="eastAsia" w:ascii="宋体" w:hAnsi="宋体" w:cs="宋体"/>
          <w:szCs w:val="21"/>
        </w:rPr>
        <w:t>1.14.5采购人联系方式见采购须知前附表。</w:t>
      </w:r>
    </w:p>
    <w:bookmarkEnd w:id="126"/>
    <w:p>
      <w:pPr>
        <w:pStyle w:val="6"/>
        <w:spacing w:line="360" w:lineRule="auto"/>
        <w:rPr>
          <w:rFonts w:ascii="宋体" w:hAnsi="宋体" w:cs="宋体"/>
          <w:sz w:val="24"/>
          <w:szCs w:val="24"/>
        </w:rPr>
      </w:pPr>
      <w:bookmarkStart w:id="133" w:name="_Toc3685"/>
      <w:bookmarkStart w:id="134" w:name="_Toc499128565"/>
      <w:bookmarkStart w:id="135" w:name="_Toc498327020"/>
      <w:bookmarkStart w:id="136" w:name="_Toc16789"/>
      <w:bookmarkStart w:id="137" w:name="_Toc28614"/>
      <w:r>
        <w:rPr>
          <w:rFonts w:hint="eastAsia" w:ascii="宋体" w:hAnsi="宋体" w:cs="宋体"/>
          <w:sz w:val="24"/>
          <w:szCs w:val="24"/>
        </w:rPr>
        <w:t>2．</w:t>
      </w:r>
      <w:bookmarkEnd w:id="127"/>
      <w:bookmarkEnd w:id="128"/>
      <w:bookmarkEnd w:id="129"/>
      <w:bookmarkEnd w:id="133"/>
      <w:bookmarkEnd w:id="134"/>
      <w:bookmarkEnd w:id="135"/>
      <w:r>
        <w:rPr>
          <w:rFonts w:hint="eastAsia" w:ascii="宋体" w:hAnsi="宋体" w:cs="宋体"/>
          <w:sz w:val="24"/>
          <w:szCs w:val="24"/>
        </w:rPr>
        <w:t>竞争性磋商文件</w:t>
      </w:r>
      <w:bookmarkEnd w:id="136"/>
      <w:bookmarkEnd w:id="137"/>
    </w:p>
    <w:p>
      <w:pPr>
        <w:spacing w:line="360" w:lineRule="auto"/>
        <w:jc w:val="left"/>
        <w:rPr>
          <w:rFonts w:ascii="宋体" w:hAnsi="宋体" w:cs="宋体"/>
          <w:b/>
          <w:bCs/>
          <w:szCs w:val="21"/>
        </w:rPr>
      </w:pPr>
      <w:bookmarkStart w:id="138" w:name="_Toc499128566"/>
      <w:bookmarkStart w:id="139" w:name="_Toc359934572"/>
      <w:bookmarkStart w:id="140" w:name="_Toc301187616"/>
      <w:bookmarkStart w:id="141" w:name="_Toc20146"/>
      <w:bookmarkStart w:id="142" w:name="_Toc303756377"/>
      <w:bookmarkStart w:id="143" w:name="_Toc498327021"/>
      <w:r>
        <w:rPr>
          <w:rFonts w:hint="eastAsia" w:ascii="宋体" w:hAnsi="宋体" w:cs="宋体"/>
          <w:b/>
          <w:bCs/>
          <w:szCs w:val="21"/>
        </w:rPr>
        <w:t>2.1竞争性磋商文件的构成</w:t>
      </w:r>
      <w:bookmarkEnd w:id="138"/>
      <w:bookmarkEnd w:id="139"/>
      <w:bookmarkEnd w:id="140"/>
      <w:bookmarkEnd w:id="141"/>
      <w:bookmarkEnd w:id="142"/>
      <w:bookmarkEnd w:id="143"/>
    </w:p>
    <w:p>
      <w:pPr>
        <w:spacing w:line="360" w:lineRule="auto"/>
        <w:ind w:firstLine="420" w:firstLineChars="200"/>
        <w:rPr>
          <w:rFonts w:ascii="宋体" w:hAnsi="宋体" w:cs="宋体"/>
          <w:szCs w:val="21"/>
        </w:rPr>
      </w:pPr>
      <w:bookmarkStart w:id="144" w:name="_Toc301187618"/>
      <w:r>
        <w:rPr>
          <w:rFonts w:hint="eastAsia" w:ascii="宋体" w:hAnsi="宋体" w:cs="宋体"/>
          <w:szCs w:val="21"/>
        </w:rPr>
        <w:t>2.1.1本竞争性磋商文件的内容由以下部分组成：</w:t>
      </w:r>
    </w:p>
    <w:p>
      <w:pPr>
        <w:spacing w:line="360" w:lineRule="auto"/>
        <w:ind w:left="178" w:leftChars="85" w:firstLine="210" w:firstLineChars="100"/>
        <w:rPr>
          <w:rFonts w:ascii="宋体" w:hAnsi="宋体" w:cs="宋体"/>
          <w:szCs w:val="21"/>
        </w:rPr>
      </w:pPr>
      <w:r>
        <w:rPr>
          <w:rFonts w:hint="eastAsia" w:ascii="宋体" w:hAnsi="宋体" w:cs="宋体"/>
          <w:szCs w:val="21"/>
        </w:rPr>
        <w:t>（1）</w:t>
      </w:r>
      <w:bookmarkEnd w:id="144"/>
      <w:r>
        <w:rPr>
          <w:rFonts w:hint="eastAsia" w:ascii="宋体" w:hAnsi="宋体" w:cs="宋体"/>
          <w:szCs w:val="21"/>
        </w:rPr>
        <w:t>磋商公告；</w:t>
      </w:r>
    </w:p>
    <w:p>
      <w:pPr>
        <w:spacing w:line="360" w:lineRule="auto"/>
        <w:ind w:left="178" w:leftChars="85" w:firstLine="210" w:firstLineChars="100"/>
        <w:rPr>
          <w:rFonts w:ascii="宋体" w:hAnsi="宋体" w:cs="宋体"/>
          <w:szCs w:val="21"/>
        </w:rPr>
      </w:pPr>
      <w:bookmarkStart w:id="145" w:name="_Toc301187619"/>
      <w:r>
        <w:rPr>
          <w:rFonts w:hint="eastAsia" w:ascii="宋体" w:hAnsi="宋体" w:cs="宋体"/>
          <w:szCs w:val="21"/>
        </w:rPr>
        <w:t>（2）</w:t>
      </w:r>
      <w:bookmarkEnd w:id="145"/>
      <w:r>
        <w:rPr>
          <w:rFonts w:hint="eastAsia" w:ascii="宋体" w:hAnsi="宋体" w:cs="宋体"/>
          <w:szCs w:val="21"/>
        </w:rPr>
        <w:t>采购需求；</w:t>
      </w:r>
    </w:p>
    <w:p>
      <w:pPr>
        <w:spacing w:line="360" w:lineRule="auto"/>
        <w:ind w:left="178" w:leftChars="85" w:firstLine="210" w:firstLineChars="100"/>
        <w:rPr>
          <w:rFonts w:ascii="宋体" w:hAnsi="宋体" w:cs="宋体"/>
          <w:szCs w:val="21"/>
        </w:rPr>
      </w:pPr>
      <w:bookmarkStart w:id="146" w:name="_Toc301187620"/>
      <w:r>
        <w:rPr>
          <w:rFonts w:hint="eastAsia" w:ascii="宋体" w:hAnsi="宋体" w:cs="宋体"/>
          <w:szCs w:val="21"/>
        </w:rPr>
        <w:t>（3）供应商须知</w:t>
      </w:r>
      <w:bookmarkEnd w:id="146"/>
      <w:r>
        <w:rPr>
          <w:rFonts w:hint="eastAsia" w:ascii="宋体" w:hAnsi="宋体" w:cs="宋体"/>
          <w:szCs w:val="21"/>
        </w:rPr>
        <w:t>；</w:t>
      </w:r>
    </w:p>
    <w:p>
      <w:pPr>
        <w:spacing w:line="360" w:lineRule="auto"/>
        <w:ind w:left="178" w:leftChars="85" w:firstLine="210" w:firstLineChars="100"/>
        <w:rPr>
          <w:rFonts w:ascii="宋体" w:hAnsi="宋体" w:cs="宋体"/>
          <w:szCs w:val="21"/>
        </w:rPr>
      </w:pPr>
      <w:bookmarkStart w:id="147" w:name="_Toc301187622"/>
      <w:bookmarkStart w:id="148" w:name="_Toc301187621"/>
      <w:r>
        <w:rPr>
          <w:rFonts w:hint="eastAsia" w:ascii="宋体" w:hAnsi="宋体" w:cs="宋体"/>
          <w:szCs w:val="21"/>
        </w:rPr>
        <w:t>（4）合同主要条款</w:t>
      </w:r>
      <w:bookmarkEnd w:id="147"/>
      <w:r>
        <w:rPr>
          <w:rFonts w:hint="eastAsia" w:ascii="宋体" w:hAnsi="宋体" w:cs="宋体"/>
          <w:szCs w:val="21"/>
        </w:rPr>
        <w:t>；</w:t>
      </w:r>
    </w:p>
    <w:p>
      <w:pPr>
        <w:spacing w:line="360" w:lineRule="auto"/>
        <w:ind w:left="178" w:leftChars="85" w:firstLine="210" w:firstLineChars="100"/>
        <w:rPr>
          <w:rFonts w:ascii="宋体" w:hAnsi="宋体" w:cs="宋体"/>
          <w:szCs w:val="21"/>
        </w:rPr>
      </w:pPr>
      <w:r>
        <w:rPr>
          <w:rFonts w:hint="eastAsia" w:ascii="宋体" w:hAnsi="宋体" w:cs="宋体"/>
          <w:szCs w:val="21"/>
        </w:rPr>
        <w:t>（5）</w:t>
      </w:r>
      <w:bookmarkEnd w:id="148"/>
      <w:r>
        <w:rPr>
          <w:rFonts w:hint="eastAsia" w:ascii="宋体" w:hAnsi="宋体" w:cs="宋体"/>
          <w:szCs w:val="21"/>
        </w:rPr>
        <w:t>响应文件格式；</w:t>
      </w:r>
    </w:p>
    <w:p>
      <w:pPr>
        <w:spacing w:line="360" w:lineRule="auto"/>
        <w:ind w:left="178" w:leftChars="85" w:firstLine="210" w:firstLineChars="100"/>
        <w:rPr>
          <w:rFonts w:ascii="宋体" w:hAnsi="宋体" w:cs="宋体"/>
          <w:szCs w:val="21"/>
        </w:rPr>
      </w:pPr>
      <w:bookmarkStart w:id="149" w:name="_Toc301187623"/>
      <w:r>
        <w:rPr>
          <w:rFonts w:hint="eastAsia" w:ascii="宋体" w:hAnsi="宋体" w:cs="宋体"/>
          <w:szCs w:val="21"/>
        </w:rPr>
        <w:t>（6）磋商评审办法及标准</w:t>
      </w:r>
      <w:bookmarkEnd w:id="149"/>
      <w:r>
        <w:rPr>
          <w:rFonts w:hint="eastAsia" w:ascii="宋体" w:hAnsi="宋体" w:cs="宋体"/>
          <w:szCs w:val="21"/>
        </w:rPr>
        <w:t>；</w:t>
      </w:r>
    </w:p>
    <w:p>
      <w:pPr>
        <w:spacing w:line="360" w:lineRule="auto"/>
        <w:ind w:left="178" w:leftChars="85" w:firstLine="210" w:firstLineChars="100"/>
        <w:rPr>
          <w:rFonts w:ascii="宋体" w:hAnsi="宋体" w:cs="宋体"/>
          <w:szCs w:val="21"/>
        </w:rPr>
      </w:pPr>
      <w:bookmarkStart w:id="150" w:name="_Toc301187624"/>
      <w:r>
        <w:rPr>
          <w:rFonts w:hint="eastAsia" w:ascii="宋体" w:hAnsi="宋体" w:cs="宋体"/>
          <w:szCs w:val="21"/>
        </w:rPr>
        <w:t>（7）本项目竞争性磋商文件的澄清、答复、修改、补充的内容</w:t>
      </w:r>
      <w:bookmarkEnd w:id="150"/>
      <w:r>
        <w:rPr>
          <w:rFonts w:hint="eastAsia" w:ascii="宋体" w:hAnsi="宋体" w:cs="宋体"/>
          <w:szCs w:val="21"/>
        </w:rPr>
        <w:t>。</w:t>
      </w:r>
    </w:p>
    <w:p>
      <w:pPr>
        <w:spacing w:line="360" w:lineRule="auto"/>
        <w:jc w:val="left"/>
        <w:rPr>
          <w:rFonts w:ascii="宋体" w:hAnsi="宋体" w:cs="宋体"/>
          <w:b/>
          <w:bCs/>
          <w:szCs w:val="21"/>
        </w:rPr>
      </w:pPr>
      <w:bookmarkStart w:id="151" w:name="_Toc359934573"/>
      <w:bookmarkStart w:id="152" w:name="_Toc303756378"/>
      <w:bookmarkStart w:id="153" w:name="_Toc301187625"/>
      <w:bookmarkStart w:id="154" w:name="_Toc27036"/>
      <w:bookmarkStart w:id="155" w:name="_Toc498327022"/>
      <w:bookmarkStart w:id="156" w:name="_Toc499128567"/>
      <w:r>
        <w:rPr>
          <w:rFonts w:hint="eastAsia" w:ascii="宋体" w:hAnsi="宋体" w:cs="宋体"/>
          <w:b/>
          <w:bCs/>
          <w:szCs w:val="21"/>
        </w:rPr>
        <w:t>2.2竞争性磋商文件的澄清</w:t>
      </w:r>
      <w:bookmarkEnd w:id="151"/>
      <w:bookmarkEnd w:id="152"/>
      <w:bookmarkEnd w:id="153"/>
      <w:r>
        <w:rPr>
          <w:rFonts w:hint="eastAsia" w:ascii="宋体" w:hAnsi="宋体" w:cs="宋体"/>
          <w:b/>
          <w:bCs/>
          <w:szCs w:val="21"/>
        </w:rPr>
        <w:t>、答疑、修改、补充</w:t>
      </w:r>
      <w:bookmarkEnd w:id="154"/>
      <w:bookmarkEnd w:id="155"/>
      <w:bookmarkEnd w:id="156"/>
    </w:p>
    <w:p>
      <w:pPr>
        <w:spacing w:line="360" w:lineRule="auto"/>
        <w:ind w:firstLine="420" w:firstLineChars="200"/>
        <w:rPr>
          <w:rFonts w:ascii="宋体" w:hAnsi="宋体" w:cs="宋体"/>
          <w:szCs w:val="21"/>
        </w:rPr>
      </w:pPr>
      <w:bookmarkStart w:id="157" w:name="_Toc301187626"/>
      <w:r>
        <w:rPr>
          <w:rFonts w:hint="eastAsia" w:ascii="宋体" w:hAnsi="宋体" w:cs="宋体"/>
          <w:szCs w:val="21"/>
        </w:rPr>
        <w:t>2.2.1竞争性磋商文件的澄清、答疑、修改、补充截止时间：见供应商须知前附表。供应商应仔细阅读和检查竞争性磋商文件的全部内容。如发现缺页或附件不全，应及时向采购人或采购代理机构提出，以便补齐。如有疑问，应当在竞争性磋商文件的澄清、答疑截止时间内以书面形式（包括信函、电报、传真等可以有形地表现所载内容的形式，下同）或电子文档形式，要求采购人或采购代理机构对竞争性磋商文件予以澄清、答疑、修改、补充。</w:t>
      </w:r>
      <w:bookmarkEnd w:id="157"/>
    </w:p>
    <w:p>
      <w:pPr>
        <w:spacing w:line="360" w:lineRule="auto"/>
        <w:ind w:firstLine="420" w:firstLineChars="200"/>
        <w:rPr>
          <w:rFonts w:ascii="宋体" w:hAnsi="宋体" w:cs="宋体"/>
          <w:szCs w:val="21"/>
        </w:rPr>
      </w:pPr>
      <w:bookmarkStart w:id="158" w:name="_Toc301187627"/>
      <w:r>
        <w:rPr>
          <w:rFonts w:hint="eastAsia" w:ascii="宋体" w:hAnsi="宋体" w:cs="宋体"/>
          <w:szCs w:val="21"/>
        </w:rPr>
        <w:t>2.2.2</w:t>
      </w:r>
      <w:bookmarkEnd w:id="158"/>
      <w:r>
        <w:rPr>
          <w:rFonts w:hint="eastAsia" w:ascii="宋体" w:hAnsi="宋体" w:cs="宋体"/>
          <w:szCs w:val="21"/>
        </w:rPr>
        <w:t>竞争性磋商文件的澄清、答疑、修改、补充发布地点：见供应商须知前附表。澄清、答疑、修改、补充的内容可能影响响应文件编制的，</w:t>
      </w:r>
      <w:r>
        <w:rPr>
          <w:rFonts w:hint="eastAsia" w:ascii="宋体" w:hAnsi="宋体" w:cs="宋体"/>
          <w:b/>
          <w:bCs/>
          <w:szCs w:val="21"/>
        </w:rPr>
        <w:t>采购人或者采购代理应当响应文件递交截止时间3天前，以电子文档形式在竞争性磋商文件的澄清、答疑、修改、补充发布地点发布</w:t>
      </w:r>
      <w:r>
        <w:rPr>
          <w:rFonts w:hint="eastAsia" w:ascii="宋体" w:hAnsi="宋体" w:cs="宋体"/>
          <w:szCs w:val="21"/>
        </w:rPr>
        <w:t>，供各供应商查询，无论因任何原因造成供应商无法查询或浏览，采购人和采购代理机构均不予以负责。澄清、答疑、修改、补充发出的时间距响应文件递交截止时间不足5天，采购人或采购代理机构应当顺延提交响应文件的截止时间。</w:t>
      </w:r>
    </w:p>
    <w:p>
      <w:pPr>
        <w:spacing w:line="360" w:lineRule="auto"/>
        <w:ind w:firstLine="420" w:firstLineChars="200"/>
        <w:rPr>
          <w:rFonts w:ascii="宋体" w:hAnsi="宋体" w:cs="宋体"/>
          <w:szCs w:val="21"/>
        </w:rPr>
      </w:pPr>
      <w:r>
        <w:rPr>
          <w:rFonts w:hint="eastAsia" w:ascii="宋体" w:hAnsi="宋体" w:cs="宋体"/>
          <w:szCs w:val="21"/>
        </w:rPr>
        <w:t>2.2.3澄清、答疑、修改、补充的内容作为竞争性磋商文件的组成部分，对各供应商起同等约束作用。</w:t>
      </w:r>
    </w:p>
    <w:p>
      <w:pPr>
        <w:pStyle w:val="6"/>
        <w:spacing w:line="360" w:lineRule="auto"/>
        <w:rPr>
          <w:rFonts w:ascii="宋体" w:hAnsi="宋体" w:cs="宋体"/>
          <w:sz w:val="24"/>
          <w:szCs w:val="24"/>
        </w:rPr>
      </w:pPr>
      <w:bookmarkStart w:id="159" w:name="_Toc19870"/>
      <w:bookmarkStart w:id="160" w:name="_Toc499128568"/>
      <w:bookmarkStart w:id="161" w:name="_Toc7772"/>
      <w:bookmarkStart w:id="162" w:name="_Toc498327023"/>
      <w:bookmarkStart w:id="163" w:name="_Toc6298"/>
      <w:r>
        <w:rPr>
          <w:rFonts w:hint="eastAsia" w:ascii="宋体" w:hAnsi="宋体" w:cs="宋体"/>
          <w:sz w:val="24"/>
          <w:szCs w:val="24"/>
        </w:rPr>
        <w:t>3．响应文件的组成</w:t>
      </w:r>
      <w:bookmarkEnd w:id="159"/>
      <w:bookmarkEnd w:id="160"/>
      <w:bookmarkEnd w:id="161"/>
      <w:bookmarkEnd w:id="162"/>
      <w:bookmarkEnd w:id="163"/>
    </w:p>
    <w:p>
      <w:pPr>
        <w:spacing w:line="360" w:lineRule="auto"/>
        <w:jc w:val="left"/>
        <w:rPr>
          <w:rFonts w:ascii="宋体" w:hAnsi="宋体" w:cs="宋体"/>
          <w:b/>
          <w:bCs/>
          <w:szCs w:val="21"/>
        </w:rPr>
      </w:pPr>
      <w:bookmarkStart w:id="164" w:name="_Toc498327024"/>
      <w:bookmarkStart w:id="165" w:name="_Toc25817"/>
      <w:bookmarkStart w:id="166" w:name="_Toc499128569"/>
      <w:r>
        <w:rPr>
          <w:rFonts w:hint="eastAsia" w:ascii="宋体" w:hAnsi="宋体" w:cs="宋体"/>
          <w:b/>
          <w:bCs/>
          <w:szCs w:val="21"/>
        </w:rPr>
        <w:t>3.1</w:t>
      </w:r>
      <w:bookmarkEnd w:id="164"/>
      <w:bookmarkEnd w:id="165"/>
      <w:bookmarkEnd w:id="166"/>
      <w:r>
        <w:rPr>
          <w:rFonts w:hint="eastAsia" w:ascii="宋体" w:hAnsi="宋体" w:cs="宋体"/>
          <w:b/>
          <w:bCs/>
          <w:szCs w:val="21"/>
        </w:rPr>
        <w:t>响应文件内容的组成</w:t>
      </w:r>
    </w:p>
    <w:p>
      <w:pPr>
        <w:spacing w:line="360" w:lineRule="auto"/>
        <w:ind w:firstLine="420" w:firstLineChars="200"/>
        <w:rPr>
          <w:rFonts w:ascii="宋体" w:hAnsi="宋体" w:cs="宋体"/>
          <w:szCs w:val="21"/>
        </w:rPr>
      </w:pPr>
      <w:r>
        <w:rPr>
          <w:rFonts w:hint="eastAsia" w:ascii="宋体" w:hAnsi="宋体" w:cs="宋体"/>
          <w:szCs w:val="21"/>
        </w:rPr>
        <w:t>响应文件由资格审查文件、商务技术文件、报价文件三部分组成。</w:t>
      </w:r>
    </w:p>
    <w:p>
      <w:pPr>
        <w:spacing w:line="360" w:lineRule="auto"/>
        <w:jc w:val="left"/>
        <w:rPr>
          <w:rFonts w:ascii="宋体" w:hAnsi="宋体" w:cs="宋体"/>
          <w:b/>
          <w:bCs/>
          <w:szCs w:val="21"/>
        </w:rPr>
      </w:pPr>
      <w:bookmarkStart w:id="167" w:name="_Toc359934576"/>
      <w:bookmarkStart w:id="168" w:name="_Toc303756381"/>
      <w:bookmarkStart w:id="169" w:name="_Toc17305"/>
      <w:bookmarkStart w:id="170" w:name="_Toc499128570"/>
      <w:bookmarkStart w:id="171" w:name="_Toc301187633"/>
      <w:bookmarkStart w:id="172" w:name="_Toc498327025"/>
      <w:r>
        <w:rPr>
          <w:rFonts w:hint="eastAsia" w:ascii="宋体" w:hAnsi="宋体" w:cs="宋体"/>
          <w:b/>
          <w:bCs/>
          <w:szCs w:val="21"/>
        </w:rPr>
        <w:t>3.2资格审查文件的组成</w:t>
      </w:r>
      <w:bookmarkEnd w:id="167"/>
      <w:bookmarkEnd w:id="168"/>
      <w:bookmarkEnd w:id="169"/>
      <w:bookmarkEnd w:id="170"/>
      <w:bookmarkEnd w:id="171"/>
      <w:bookmarkEnd w:id="172"/>
    </w:p>
    <w:p>
      <w:pPr>
        <w:spacing w:line="360" w:lineRule="auto"/>
        <w:ind w:firstLine="420" w:firstLineChars="200"/>
        <w:rPr>
          <w:rFonts w:ascii="宋体" w:hAnsi="宋体" w:cs="宋体"/>
          <w:szCs w:val="21"/>
        </w:rPr>
      </w:pPr>
      <w:bookmarkStart w:id="173" w:name="_Toc301187634"/>
      <w:r>
        <w:rPr>
          <w:rFonts w:hint="eastAsia" w:ascii="宋体" w:hAnsi="宋体" w:cs="宋体"/>
          <w:szCs w:val="21"/>
        </w:rPr>
        <w:t>3.2.1资格审查文件的组成：见供应商须知前附表</w:t>
      </w:r>
      <w:bookmarkEnd w:id="173"/>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3.2.2联合体磋商的各方供应商必须按照本条要求提供各自的资格审查证明文件。</w:t>
      </w:r>
    </w:p>
    <w:p>
      <w:pPr>
        <w:spacing w:line="360" w:lineRule="auto"/>
        <w:jc w:val="left"/>
        <w:rPr>
          <w:rFonts w:ascii="宋体" w:hAnsi="宋体" w:cs="宋体"/>
          <w:b/>
          <w:bCs/>
          <w:szCs w:val="21"/>
        </w:rPr>
      </w:pPr>
      <w:bookmarkStart w:id="174" w:name="_Toc359934577"/>
      <w:bookmarkStart w:id="175" w:name="_Toc303756382"/>
      <w:bookmarkStart w:id="176" w:name="_Toc301187635"/>
      <w:bookmarkStart w:id="177" w:name="_Toc499128571"/>
      <w:bookmarkStart w:id="178" w:name="_Toc12130"/>
      <w:bookmarkStart w:id="179" w:name="_Toc498327026"/>
      <w:r>
        <w:rPr>
          <w:rFonts w:hint="eastAsia" w:ascii="宋体" w:hAnsi="宋体" w:cs="宋体"/>
          <w:b/>
          <w:bCs/>
          <w:szCs w:val="21"/>
        </w:rPr>
        <w:t>3.3商务技术文件的组成</w:t>
      </w:r>
      <w:bookmarkEnd w:id="174"/>
      <w:bookmarkEnd w:id="175"/>
      <w:bookmarkEnd w:id="176"/>
      <w:bookmarkEnd w:id="177"/>
      <w:bookmarkEnd w:id="178"/>
      <w:bookmarkEnd w:id="179"/>
    </w:p>
    <w:p>
      <w:pPr>
        <w:spacing w:line="360" w:lineRule="auto"/>
        <w:ind w:firstLine="420" w:firstLineChars="200"/>
        <w:rPr>
          <w:rFonts w:ascii="宋体" w:hAnsi="宋体" w:cs="宋体"/>
          <w:szCs w:val="21"/>
        </w:rPr>
      </w:pPr>
      <w:bookmarkStart w:id="180" w:name="_Toc301187636"/>
      <w:r>
        <w:rPr>
          <w:rFonts w:hint="eastAsia" w:ascii="宋体" w:hAnsi="宋体" w:cs="宋体"/>
          <w:szCs w:val="21"/>
        </w:rPr>
        <w:t>3.3.1见供应商须知前附表</w:t>
      </w:r>
      <w:bookmarkEnd w:id="180"/>
      <w:r>
        <w:rPr>
          <w:rFonts w:hint="eastAsia" w:ascii="宋体" w:hAnsi="宋体" w:cs="宋体"/>
          <w:szCs w:val="21"/>
        </w:rPr>
        <w:t>。</w:t>
      </w:r>
    </w:p>
    <w:p>
      <w:pPr>
        <w:spacing w:line="360" w:lineRule="auto"/>
        <w:ind w:firstLine="422" w:firstLineChars="200"/>
        <w:rPr>
          <w:rFonts w:ascii="宋体" w:hAnsi="宋体" w:cs="宋体"/>
        </w:rPr>
      </w:pPr>
      <w:r>
        <w:rPr>
          <w:rFonts w:hint="eastAsia" w:ascii="宋体" w:hAnsi="宋体" w:cs="宋体"/>
          <w:b/>
          <w:bCs/>
          <w:szCs w:val="21"/>
        </w:rPr>
        <w:t>3.3.2必须提供采购商务响应表，并且符合相关要求。</w:t>
      </w:r>
    </w:p>
    <w:p>
      <w:pPr>
        <w:spacing w:line="360" w:lineRule="auto"/>
        <w:jc w:val="left"/>
        <w:rPr>
          <w:rFonts w:ascii="宋体" w:hAnsi="宋体" w:cs="宋体"/>
          <w:b/>
          <w:bCs/>
          <w:szCs w:val="21"/>
        </w:rPr>
      </w:pPr>
      <w:bookmarkStart w:id="181" w:name="_Toc359934578"/>
      <w:bookmarkStart w:id="182" w:name="_Toc499128572"/>
      <w:bookmarkStart w:id="183" w:name="_Toc498327027"/>
      <w:bookmarkStart w:id="184" w:name="_Toc14301"/>
      <w:bookmarkStart w:id="185" w:name="_Toc301187637"/>
      <w:bookmarkStart w:id="186" w:name="_Toc303756383"/>
      <w:r>
        <w:rPr>
          <w:rFonts w:hint="eastAsia" w:ascii="宋体" w:hAnsi="宋体" w:cs="宋体"/>
          <w:b/>
          <w:bCs/>
          <w:szCs w:val="21"/>
        </w:rPr>
        <w:t>3.4报价文件的组成</w:t>
      </w:r>
      <w:bookmarkEnd w:id="181"/>
      <w:bookmarkEnd w:id="182"/>
      <w:bookmarkEnd w:id="183"/>
      <w:bookmarkEnd w:id="184"/>
      <w:bookmarkEnd w:id="185"/>
      <w:bookmarkEnd w:id="186"/>
    </w:p>
    <w:p>
      <w:pPr>
        <w:spacing w:line="360" w:lineRule="auto"/>
        <w:ind w:firstLine="420" w:firstLineChars="200"/>
        <w:rPr>
          <w:rFonts w:ascii="宋体" w:hAnsi="宋体" w:cs="宋体"/>
          <w:szCs w:val="21"/>
        </w:rPr>
      </w:pPr>
      <w:bookmarkStart w:id="187" w:name="_Toc301187638"/>
      <w:r>
        <w:rPr>
          <w:rFonts w:hint="eastAsia" w:ascii="宋体" w:hAnsi="宋体" w:cs="宋体"/>
          <w:szCs w:val="21"/>
        </w:rPr>
        <w:t>见供应商须知前附表</w:t>
      </w:r>
      <w:bookmarkEnd w:id="187"/>
      <w:r>
        <w:rPr>
          <w:rFonts w:hint="eastAsia" w:ascii="宋体" w:hAnsi="宋体" w:cs="宋体"/>
          <w:szCs w:val="21"/>
        </w:rPr>
        <w:t>。</w:t>
      </w:r>
    </w:p>
    <w:p>
      <w:pPr>
        <w:pStyle w:val="6"/>
        <w:spacing w:line="360" w:lineRule="auto"/>
        <w:rPr>
          <w:rFonts w:ascii="宋体" w:hAnsi="宋体" w:cs="宋体"/>
          <w:szCs w:val="21"/>
        </w:rPr>
      </w:pPr>
      <w:bookmarkStart w:id="188" w:name="_Toc359934575"/>
      <w:bookmarkStart w:id="189" w:name="_Toc7625"/>
      <w:bookmarkStart w:id="190" w:name="_Toc14736"/>
      <w:bookmarkStart w:id="191" w:name="_Toc498327031"/>
      <w:bookmarkStart w:id="192" w:name="_Toc303756380"/>
      <w:bookmarkStart w:id="193" w:name="_Toc301187631"/>
      <w:bookmarkStart w:id="194" w:name="_Toc499128576"/>
      <w:bookmarkStart w:id="195" w:name="_Toc22392"/>
      <w:r>
        <w:rPr>
          <w:rFonts w:hint="eastAsia" w:ascii="宋体" w:hAnsi="宋体" w:cs="宋体"/>
          <w:sz w:val="24"/>
          <w:szCs w:val="24"/>
        </w:rPr>
        <w:t>4．响应文件的编制</w:t>
      </w:r>
      <w:bookmarkEnd w:id="188"/>
      <w:bookmarkEnd w:id="189"/>
      <w:bookmarkEnd w:id="190"/>
      <w:bookmarkEnd w:id="191"/>
      <w:bookmarkEnd w:id="192"/>
      <w:bookmarkEnd w:id="193"/>
      <w:bookmarkEnd w:id="194"/>
      <w:bookmarkEnd w:id="195"/>
    </w:p>
    <w:p>
      <w:pPr>
        <w:spacing w:line="360" w:lineRule="auto"/>
        <w:jc w:val="left"/>
        <w:rPr>
          <w:rFonts w:ascii="宋体" w:hAnsi="宋体" w:cs="宋体"/>
          <w:b/>
          <w:bCs/>
          <w:szCs w:val="21"/>
        </w:rPr>
      </w:pPr>
      <w:bookmarkStart w:id="196" w:name="_Toc2620"/>
      <w:bookmarkStart w:id="197" w:name="_Toc498327032"/>
      <w:bookmarkStart w:id="198" w:name="_Toc499128577"/>
      <w:r>
        <w:rPr>
          <w:rFonts w:hint="eastAsia" w:ascii="宋体" w:hAnsi="宋体" w:cs="宋体"/>
          <w:b/>
          <w:bCs/>
          <w:szCs w:val="21"/>
        </w:rPr>
        <w:t>4.1响应文件的编制要求</w:t>
      </w:r>
      <w:bookmarkEnd w:id="196"/>
      <w:bookmarkEnd w:id="197"/>
      <w:bookmarkEnd w:id="198"/>
    </w:p>
    <w:p>
      <w:pPr>
        <w:spacing w:line="360" w:lineRule="auto"/>
        <w:ind w:firstLine="420" w:firstLineChars="200"/>
        <w:rPr>
          <w:rFonts w:ascii="宋体" w:hAnsi="宋体" w:cs="宋体"/>
          <w:szCs w:val="21"/>
        </w:rPr>
      </w:pPr>
      <w:r>
        <w:rPr>
          <w:rFonts w:hint="eastAsia" w:ascii="宋体" w:hAnsi="宋体" w:cs="宋体"/>
          <w:szCs w:val="21"/>
        </w:rPr>
        <w:t>4.1.1供应商应当仔细阅读竞争性磋商文件的所有内容，按照竞争性磋商文件的要求制作响应文件，并对所提供的全部资料的真实性承担法律责任。</w:t>
      </w:r>
    </w:p>
    <w:p>
      <w:pPr>
        <w:spacing w:line="360" w:lineRule="auto"/>
        <w:ind w:firstLine="420" w:firstLineChars="200"/>
        <w:rPr>
          <w:rFonts w:ascii="宋体" w:hAnsi="宋体" w:cs="宋体"/>
          <w:szCs w:val="21"/>
        </w:rPr>
      </w:pPr>
      <w:r>
        <w:rPr>
          <w:rFonts w:hint="eastAsia" w:ascii="宋体" w:hAnsi="宋体" w:cs="宋体"/>
          <w:szCs w:val="21"/>
        </w:rPr>
        <w:t>4.1.2供应商按本竞争性磋商文件规定的格式和顺序编制响应文件，响应文件内容不完整、编排混乱导致响应文件被误读、漏读或者查找不到相关内容的，供应商自行承担相关责任。</w:t>
      </w:r>
    </w:p>
    <w:p>
      <w:pPr>
        <w:spacing w:line="360" w:lineRule="auto"/>
        <w:ind w:firstLine="420" w:firstLineChars="200"/>
        <w:rPr>
          <w:rFonts w:ascii="宋体" w:hAnsi="宋体" w:cs="宋体"/>
          <w:szCs w:val="21"/>
        </w:rPr>
      </w:pPr>
      <w:r>
        <w:rPr>
          <w:rFonts w:hint="eastAsia" w:ascii="宋体" w:hAnsi="宋体" w:cs="宋体"/>
          <w:szCs w:val="21"/>
        </w:rPr>
        <w:t>4.1.3供应商磋商所使用的资格、信誉、荣誉、业绩与企业认证必须为本法人所拥有。</w:t>
      </w:r>
    </w:p>
    <w:p>
      <w:pPr>
        <w:spacing w:line="360" w:lineRule="auto"/>
        <w:ind w:firstLine="420" w:firstLineChars="200"/>
        <w:rPr>
          <w:rFonts w:ascii="宋体" w:hAnsi="宋体" w:cs="宋体"/>
          <w:szCs w:val="21"/>
        </w:rPr>
      </w:pPr>
      <w:r>
        <w:rPr>
          <w:rFonts w:hint="eastAsia" w:ascii="宋体" w:hAnsi="宋体" w:cs="宋体"/>
          <w:szCs w:val="21"/>
        </w:rPr>
        <w:t>4.1.4 因磋商失败后重新磋商而造成响应文件的采购编号后缀不一致时，不影响响应文件的有效性。</w:t>
      </w:r>
    </w:p>
    <w:p>
      <w:pPr>
        <w:spacing w:line="360" w:lineRule="auto"/>
        <w:jc w:val="left"/>
        <w:rPr>
          <w:rFonts w:ascii="宋体" w:hAnsi="宋体" w:cs="宋体"/>
          <w:b/>
          <w:bCs/>
          <w:szCs w:val="21"/>
        </w:rPr>
      </w:pPr>
      <w:bookmarkStart w:id="199" w:name="_Toc499128578"/>
      <w:bookmarkStart w:id="200" w:name="_Toc359934580"/>
      <w:bookmarkStart w:id="201" w:name="_Toc498327033"/>
      <w:bookmarkStart w:id="202" w:name="_Toc22256"/>
      <w:r>
        <w:rPr>
          <w:rFonts w:hint="eastAsia" w:ascii="宋体" w:hAnsi="宋体" w:cs="宋体"/>
          <w:b/>
          <w:bCs/>
          <w:szCs w:val="21"/>
        </w:rPr>
        <w:t>4.2响应文件的格式</w:t>
      </w:r>
      <w:bookmarkEnd w:id="199"/>
      <w:bookmarkEnd w:id="200"/>
      <w:bookmarkEnd w:id="201"/>
      <w:bookmarkEnd w:id="202"/>
    </w:p>
    <w:p>
      <w:pPr>
        <w:spacing w:line="360" w:lineRule="auto"/>
        <w:ind w:firstLine="420" w:firstLineChars="200"/>
        <w:rPr>
          <w:rFonts w:ascii="宋体" w:hAnsi="宋体" w:cs="宋体"/>
          <w:szCs w:val="21"/>
        </w:rPr>
      </w:pPr>
      <w:r>
        <w:rPr>
          <w:rFonts w:hint="eastAsia" w:ascii="宋体" w:hAnsi="宋体" w:cs="宋体"/>
        </w:rPr>
        <w:t>响应文件</w:t>
      </w:r>
      <w:r>
        <w:rPr>
          <w:rFonts w:hint="eastAsia" w:ascii="宋体" w:hAnsi="宋体" w:cs="宋体"/>
          <w:szCs w:val="21"/>
        </w:rPr>
        <w:t>按照</w:t>
      </w:r>
      <w:r>
        <w:rPr>
          <w:rFonts w:hint="eastAsia" w:ascii="宋体" w:hAnsi="宋体" w:cs="宋体"/>
        </w:rPr>
        <w:t>竞争性磋商文件已提供的格式填写，无格式的自行设计</w:t>
      </w:r>
      <w:r>
        <w:rPr>
          <w:rFonts w:hint="eastAsia" w:ascii="宋体" w:hAnsi="宋体" w:cs="宋体"/>
          <w:szCs w:val="21"/>
        </w:rPr>
        <w:t>。</w:t>
      </w:r>
    </w:p>
    <w:p>
      <w:pPr>
        <w:spacing w:line="360" w:lineRule="auto"/>
        <w:jc w:val="left"/>
        <w:rPr>
          <w:rFonts w:ascii="宋体" w:hAnsi="宋体" w:cs="宋体"/>
          <w:b/>
          <w:bCs/>
          <w:szCs w:val="21"/>
        </w:rPr>
      </w:pPr>
      <w:bookmarkStart w:id="203" w:name="_Toc498327034"/>
      <w:bookmarkStart w:id="204" w:name="_Toc359934581"/>
      <w:bookmarkStart w:id="205" w:name="_Toc301187639"/>
      <w:bookmarkStart w:id="206" w:name="_Toc303756384"/>
      <w:bookmarkStart w:id="207" w:name="_Toc499128579"/>
      <w:bookmarkStart w:id="208" w:name="_Toc12636"/>
      <w:r>
        <w:rPr>
          <w:rFonts w:hint="eastAsia" w:ascii="宋体" w:hAnsi="宋体" w:cs="宋体"/>
          <w:b/>
          <w:bCs/>
          <w:szCs w:val="21"/>
        </w:rPr>
        <w:t>4.3响应文件的有效期</w:t>
      </w:r>
      <w:bookmarkEnd w:id="203"/>
      <w:bookmarkEnd w:id="204"/>
      <w:bookmarkEnd w:id="205"/>
      <w:bookmarkEnd w:id="206"/>
      <w:bookmarkEnd w:id="207"/>
      <w:bookmarkEnd w:id="208"/>
    </w:p>
    <w:p>
      <w:pPr>
        <w:spacing w:line="360" w:lineRule="auto"/>
        <w:ind w:firstLine="420" w:firstLineChars="200"/>
        <w:rPr>
          <w:rFonts w:ascii="宋体" w:hAnsi="宋体" w:cs="宋体"/>
          <w:szCs w:val="21"/>
        </w:rPr>
      </w:pPr>
      <w:bookmarkStart w:id="209" w:name="_Toc301187640"/>
      <w:r>
        <w:rPr>
          <w:rFonts w:hint="eastAsia" w:ascii="宋体" w:hAnsi="宋体" w:cs="宋体"/>
          <w:szCs w:val="21"/>
        </w:rPr>
        <w:t>4.3.1磋商有效期：见供应商须知前附表。磋商有效期从提交响应文件的截止之日起算。响应文件中承诺的磋商有效期应当不少于竞争性磋商文件中载明的磋商有效期。</w:t>
      </w:r>
      <w:bookmarkEnd w:id="209"/>
    </w:p>
    <w:p>
      <w:pPr>
        <w:spacing w:line="360" w:lineRule="auto"/>
        <w:ind w:firstLine="420" w:firstLineChars="200"/>
        <w:rPr>
          <w:rFonts w:ascii="宋体" w:hAnsi="宋体" w:cs="宋体"/>
          <w:szCs w:val="21"/>
        </w:rPr>
      </w:pPr>
      <w:bookmarkStart w:id="210" w:name="_Toc301187641"/>
      <w:r>
        <w:rPr>
          <w:rFonts w:hint="eastAsia" w:ascii="宋体" w:hAnsi="宋体" w:cs="宋体"/>
          <w:szCs w:val="21"/>
        </w:rPr>
        <w:t>4.3.2在特殊情况下，采购人可与供应商协商延长响应文件的有效期，这种要求和答复均以书面形式进行。</w:t>
      </w:r>
      <w:bookmarkEnd w:id="210"/>
    </w:p>
    <w:p>
      <w:pPr>
        <w:spacing w:line="360" w:lineRule="auto"/>
        <w:ind w:firstLine="420" w:firstLineChars="200"/>
        <w:rPr>
          <w:rFonts w:ascii="宋体" w:hAnsi="宋体" w:cs="宋体"/>
          <w:szCs w:val="21"/>
        </w:rPr>
      </w:pPr>
      <w:bookmarkStart w:id="211" w:name="_Toc301187642"/>
      <w:r>
        <w:rPr>
          <w:rFonts w:hint="eastAsia" w:ascii="宋体" w:hAnsi="宋体" w:cs="宋体"/>
          <w:szCs w:val="21"/>
        </w:rPr>
        <w:t>4.3.3</w:t>
      </w:r>
      <w:bookmarkEnd w:id="211"/>
      <w:r>
        <w:rPr>
          <w:rFonts w:hint="eastAsia" w:ascii="宋体" w:hAnsi="宋体" w:cs="宋体"/>
          <w:szCs w:val="21"/>
        </w:rPr>
        <w:t>供应商可拒绝接受延期要求，同意延长有效期的供应商不能修改响应文件。</w:t>
      </w:r>
    </w:p>
    <w:p>
      <w:pPr>
        <w:spacing w:line="360" w:lineRule="auto"/>
        <w:jc w:val="left"/>
        <w:rPr>
          <w:rFonts w:ascii="宋体" w:hAnsi="宋体" w:cs="宋体"/>
          <w:b/>
          <w:bCs/>
          <w:szCs w:val="21"/>
        </w:rPr>
      </w:pPr>
      <w:bookmarkStart w:id="212" w:name="_Toc10860"/>
      <w:bookmarkStart w:id="213" w:name="_Toc498327035"/>
      <w:bookmarkStart w:id="214" w:name="_Toc499128580"/>
      <w:bookmarkStart w:id="215" w:name="_Toc301187659"/>
      <w:bookmarkStart w:id="216" w:name="_Toc359934583"/>
      <w:bookmarkStart w:id="217" w:name="_Toc303756386"/>
      <w:r>
        <w:rPr>
          <w:rFonts w:hint="eastAsia" w:ascii="宋体" w:hAnsi="宋体" w:cs="宋体"/>
          <w:b/>
          <w:bCs/>
          <w:szCs w:val="21"/>
        </w:rPr>
        <w:t>4.4</w:t>
      </w:r>
      <w:bookmarkEnd w:id="212"/>
      <w:bookmarkEnd w:id="213"/>
      <w:bookmarkEnd w:id="214"/>
      <w:bookmarkEnd w:id="215"/>
      <w:bookmarkEnd w:id="216"/>
      <w:bookmarkEnd w:id="217"/>
      <w:r>
        <w:rPr>
          <w:rFonts w:hint="eastAsia" w:ascii="宋体" w:hAnsi="宋体" w:cs="宋体"/>
          <w:b/>
          <w:bCs/>
          <w:szCs w:val="21"/>
        </w:rPr>
        <w:t>磋商报价</w:t>
      </w:r>
    </w:p>
    <w:p>
      <w:pPr>
        <w:spacing w:line="360" w:lineRule="auto"/>
        <w:ind w:firstLine="420" w:firstLineChars="200"/>
        <w:rPr>
          <w:rFonts w:ascii="宋体" w:hAnsi="宋体" w:cs="宋体"/>
          <w:szCs w:val="21"/>
        </w:rPr>
      </w:pPr>
      <w:bookmarkStart w:id="218" w:name="_Toc301187660"/>
      <w:r>
        <w:rPr>
          <w:rFonts w:hint="eastAsia" w:ascii="宋体" w:hAnsi="宋体" w:cs="宋体"/>
          <w:szCs w:val="21"/>
        </w:rPr>
        <w:t>4.4.1磋商报价应当按照竞争性磋商文件中相关格式填写。</w:t>
      </w:r>
      <w:bookmarkEnd w:id="218"/>
    </w:p>
    <w:p>
      <w:pPr>
        <w:spacing w:line="360" w:lineRule="auto"/>
        <w:ind w:firstLine="420" w:firstLineChars="200"/>
        <w:rPr>
          <w:rFonts w:ascii="宋体" w:hAnsi="宋体" w:cs="宋体"/>
          <w:szCs w:val="21"/>
        </w:rPr>
      </w:pPr>
      <w:bookmarkStart w:id="219" w:name="_Toc301187661"/>
      <w:r>
        <w:rPr>
          <w:rFonts w:hint="eastAsia" w:ascii="宋体" w:hAnsi="宋体" w:cs="宋体"/>
          <w:szCs w:val="21"/>
        </w:rPr>
        <w:t>▲4.4.2</w:t>
      </w:r>
      <w:bookmarkEnd w:id="219"/>
      <w:bookmarkStart w:id="220" w:name="_Toc301187662"/>
      <w:r>
        <w:rPr>
          <w:rFonts w:hint="eastAsia" w:ascii="宋体" w:hAnsi="宋体" w:cs="宋体"/>
          <w:szCs w:val="21"/>
        </w:rPr>
        <w:t>磋商报价是履行合同的最终价格，人工费（包括工人工资、劳保福利、五险一金等费用）、材料费、机械使用费（含交通费）、管理、利润、规费、税金、专家评审费、招标代理费等一切费用。供应商在编写响应文件时应充分考虑各种风险因素，凡供应商漏项、漏报均认为已包含在综合单价报价中，结算时综合单价不予以调整，人员数量按实结算。</w:t>
      </w:r>
    </w:p>
    <w:p>
      <w:pPr>
        <w:spacing w:line="360" w:lineRule="auto"/>
        <w:ind w:firstLine="420" w:firstLineChars="200"/>
        <w:rPr>
          <w:rFonts w:ascii="宋体" w:hAnsi="宋体" w:cs="宋体"/>
          <w:szCs w:val="21"/>
        </w:rPr>
      </w:pPr>
      <w:r>
        <w:rPr>
          <w:rFonts w:hint="eastAsia" w:ascii="宋体" w:hAnsi="宋体" w:cs="宋体"/>
          <w:szCs w:val="21"/>
        </w:rPr>
        <w:t>4.4.3响应文件只允许有一个报价，有选择的或有条件的报价将不予接受。</w:t>
      </w:r>
      <w:bookmarkEnd w:id="220"/>
    </w:p>
    <w:p>
      <w:pPr>
        <w:spacing w:line="360" w:lineRule="auto"/>
        <w:jc w:val="left"/>
        <w:rPr>
          <w:rFonts w:ascii="宋体" w:hAnsi="宋体" w:cs="宋体"/>
          <w:b/>
          <w:bCs/>
          <w:szCs w:val="21"/>
        </w:rPr>
      </w:pPr>
      <w:bookmarkStart w:id="221" w:name="_Toc2163"/>
      <w:bookmarkStart w:id="222" w:name="_Toc301187644"/>
      <w:bookmarkStart w:id="223" w:name="_Toc499128581"/>
      <w:bookmarkStart w:id="224" w:name="_Toc303756385"/>
      <w:bookmarkStart w:id="225" w:name="_Toc498327036"/>
      <w:bookmarkStart w:id="226" w:name="_Toc359934582"/>
      <w:r>
        <w:rPr>
          <w:rFonts w:hint="eastAsia" w:ascii="宋体" w:hAnsi="宋体" w:cs="宋体"/>
          <w:b/>
          <w:bCs/>
          <w:szCs w:val="21"/>
        </w:rPr>
        <w:t>4.5</w:t>
      </w:r>
      <w:bookmarkEnd w:id="221"/>
      <w:bookmarkEnd w:id="222"/>
      <w:bookmarkEnd w:id="223"/>
      <w:bookmarkEnd w:id="224"/>
      <w:bookmarkEnd w:id="225"/>
      <w:bookmarkEnd w:id="226"/>
      <w:bookmarkStart w:id="227" w:name="_Toc303756387"/>
      <w:bookmarkStart w:id="228" w:name="_Toc359934584"/>
      <w:bookmarkStart w:id="229" w:name="_Toc301187663"/>
      <w:bookmarkStart w:id="230" w:name="_Toc11304"/>
      <w:bookmarkStart w:id="231" w:name="_Toc499128582"/>
      <w:bookmarkStart w:id="232" w:name="_Toc498327037"/>
      <w:r>
        <w:rPr>
          <w:rFonts w:hint="eastAsia" w:ascii="宋体" w:hAnsi="宋体" w:cs="宋体"/>
          <w:b/>
          <w:bCs/>
          <w:szCs w:val="21"/>
        </w:rPr>
        <w:t>响应文件的份数</w:t>
      </w:r>
      <w:bookmarkEnd w:id="227"/>
      <w:bookmarkEnd w:id="228"/>
      <w:bookmarkEnd w:id="229"/>
      <w:r>
        <w:rPr>
          <w:rFonts w:hint="eastAsia" w:ascii="宋体" w:hAnsi="宋体" w:cs="宋体"/>
          <w:b/>
          <w:bCs/>
          <w:szCs w:val="21"/>
        </w:rPr>
        <w:t>和签署</w:t>
      </w:r>
      <w:bookmarkEnd w:id="230"/>
      <w:bookmarkEnd w:id="231"/>
      <w:bookmarkEnd w:id="232"/>
    </w:p>
    <w:p>
      <w:pPr>
        <w:spacing w:line="360" w:lineRule="auto"/>
        <w:ind w:firstLine="420" w:firstLineChars="200"/>
        <w:rPr>
          <w:rFonts w:ascii="宋体" w:hAnsi="宋体" w:cs="宋体"/>
          <w:szCs w:val="21"/>
        </w:rPr>
      </w:pPr>
      <w:bookmarkStart w:id="233" w:name="_Toc301187668"/>
      <w:r>
        <w:rPr>
          <w:rFonts w:hint="eastAsia" w:ascii="宋体" w:hAnsi="宋体" w:cs="宋体"/>
          <w:szCs w:val="21"/>
        </w:rPr>
        <w:t>4.5.1响应文件的份数：见供应商须知前附表。未按要求提供的做无效标处理。</w:t>
      </w:r>
    </w:p>
    <w:p>
      <w:pPr>
        <w:spacing w:line="360" w:lineRule="auto"/>
        <w:ind w:firstLine="420" w:firstLineChars="200"/>
        <w:rPr>
          <w:rFonts w:ascii="宋体" w:hAnsi="宋体" w:cs="宋体"/>
          <w:b/>
          <w:bCs/>
          <w:szCs w:val="21"/>
        </w:rPr>
      </w:pPr>
      <w:r>
        <w:rPr>
          <w:rFonts w:hint="eastAsia" w:ascii="宋体" w:hAnsi="宋体" w:cs="宋体"/>
          <w:szCs w:val="21"/>
        </w:rPr>
        <w:t>4.5.2</w:t>
      </w:r>
      <w:r>
        <w:rPr>
          <w:rFonts w:hint="eastAsia" w:ascii="宋体" w:hAnsi="宋体" w:cs="宋体"/>
          <w:b/>
          <w:bCs/>
          <w:szCs w:val="21"/>
        </w:rPr>
        <w:t>电子响应文件所有加盖公章处则采用CA签章。CA签章流程详见（电子招投标操作指南网址：</w:t>
      </w:r>
      <w:r>
        <w:fldChar w:fldCharType="begin"/>
      </w:r>
      <w:r>
        <w:instrText xml:space="preserve"> HYPERLINK "http://www.qingtian.gov.cn/cgtb/zxdt/202002/t20200228_4372050.html）。" </w:instrText>
      </w:r>
      <w:r>
        <w:fldChar w:fldCharType="separate"/>
      </w:r>
      <w:r>
        <w:rPr>
          <w:rStyle w:val="49"/>
          <w:rFonts w:hint="eastAsia" w:ascii="宋体" w:hAnsi="宋体" w:cs="宋体"/>
          <w:b/>
          <w:bCs/>
          <w:color w:val="auto"/>
          <w:szCs w:val="21"/>
        </w:rPr>
        <w:t>http://www.qingtian.gov.cn/cgtb/zxdt/202002/t20200228_4372050.html）</w:t>
      </w:r>
      <w:r>
        <w:rPr>
          <w:rStyle w:val="49"/>
          <w:rFonts w:hint="eastAsia" w:ascii="宋体" w:hAnsi="宋体" w:cs="宋体"/>
          <w:color w:val="auto"/>
          <w:szCs w:val="21"/>
        </w:rPr>
        <w:t>。</w:t>
      </w:r>
      <w:r>
        <w:rPr>
          <w:rStyle w:val="49"/>
          <w:rFonts w:hint="eastAsia" w:ascii="宋体" w:hAnsi="宋体" w:cs="宋体"/>
          <w:color w:val="auto"/>
          <w:szCs w:val="21"/>
        </w:rPr>
        <w:fldChar w:fldCharType="end"/>
      </w:r>
    </w:p>
    <w:bookmarkEnd w:id="233"/>
    <w:p>
      <w:pPr>
        <w:spacing w:line="360" w:lineRule="auto"/>
        <w:jc w:val="left"/>
        <w:rPr>
          <w:rFonts w:ascii="宋体" w:hAnsi="宋体" w:cs="宋体"/>
          <w:b/>
          <w:bCs/>
          <w:szCs w:val="21"/>
        </w:rPr>
      </w:pPr>
      <w:bookmarkStart w:id="234" w:name="_Toc1230"/>
      <w:r>
        <w:rPr>
          <w:rFonts w:hint="eastAsia" w:ascii="宋体" w:hAnsi="宋体" w:cs="宋体"/>
          <w:b/>
          <w:bCs/>
          <w:szCs w:val="21"/>
        </w:rPr>
        <w:t>4.6</w:t>
      </w:r>
      <w:r>
        <w:rPr>
          <w:rFonts w:hint="eastAsia" w:ascii="宋体" w:hAnsi="宋体" w:cs="宋体"/>
          <w:b/>
          <w:bCs/>
          <w:szCs w:val="21"/>
        </w:rPr>
        <w:tab/>
      </w:r>
      <w:r>
        <w:rPr>
          <w:rFonts w:hint="eastAsia" w:ascii="宋体" w:hAnsi="宋体" w:cs="宋体"/>
          <w:b/>
          <w:bCs/>
          <w:szCs w:val="21"/>
        </w:rPr>
        <w:t>响应文件的形式和效力</w:t>
      </w:r>
      <w:bookmarkEnd w:id="234"/>
    </w:p>
    <w:p>
      <w:pPr>
        <w:spacing w:line="360" w:lineRule="auto"/>
        <w:ind w:firstLine="422" w:firstLineChars="200"/>
        <w:rPr>
          <w:rFonts w:ascii="宋体" w:hAnsi="宋体" w:cs="宋体"/>
          <w:b/>
          <w:bCs/>
          <w:szCs w:val="21"/>
        </w:rPr>
      </w:pPr>
      <w:r>
        <w:rPr>
          <w:rFonts w:hint="eastAsia" w:ascii="宋体" w:hAnsi="宋体" w:cs="宋体"/>
          <w:b/>
          <w:bCs/>
          <w:szCs w:val="21"/>
        </w:rPr>
        <w:t>4.6.1响应文件形式为电子响应文件。</w:t>
      </w:r>
    </w:p>
    <w:p>
      <w:pPr>
        <w:spacing w:line="360" w:lineRule="auto"/>
        <w:ind w:firstLine="422" w:firstLineChars="200"/>
        <w:rPr>
          <w:rFonts w:ascii="宋体" w:hAnsi="宋体" w:cs="宋体"/>
          <w:szCs w:val="21"/>
        </w:rPr>
      </w:pPr>
      <w:r>
        <w:rPr>
          <w:rFonts w:hint="eastAsia" w:ascii="宋体" w:hAnsi="宋体" w:cs="宋体"/>
          <w:b/>
          <w:bCs/>
          <w:szCs w:val="21"/>
        </w:rPr>
        <w:t>4.6.2本项目开评标均启用电子交易，在电子交易使用的电子响应文件具有相关法律效力。</w:t>
      </w:r>
    </w:p>
    <w:p>
      <w:pPr>
        <w:pStyle w:val="6"/>
        <w:spacing w:line="360" w:lineRule="auto"/>
        <w:rPr>
          <w:rFonts w:ascii="宋体" w:hAnsi="宋体" w:cs="宋体"/>
          <w:sz w:val="24"/>
          <w:szCs w:val="24"/>
        </w:rPr>
      </w:pPr>
      <w:bookmarkStart w:id="235" w:name="_Toc359934585"/>
      <w:bookmarkStart w:id="236" w:name="_Toc303756388"/>
      <w:bookmarkStart w:id="237" w:name="_Toc31581"/>
      <w:bookmarkStart w:id="238" w:name="_Toc498327038"/>
      <w:bookmarkStart w:id="239" w:name="_Toc32744"/>
      <w:bookmarkStart w:id="240" w:name="_Toc499128583"/>
      <w:bookmarkStart w:id="241" w:name="_Toc301187669"/>
      <w:bookmarkStart w:id="242" w:name="_Toc28925"/>
      <w:r>
        <w:rPr>
          <w:rFonts w:hint="eastAsia" w:ascii="宋体" w:hAnsi="宋体" w:cs="宋体"/>
          <w:sz w:val="24"/>
          <w:szCs w:val="24"/>
        </w:rPr>
        <w:t>5．响应文件的递交</w:t>
      </w:r>
      <w:bookmarkEnd w:id="235"/>
      <w:bookmarkEnd w:id="236"/>
      <w:bookmarkEnd w:id="237"/>
      <w:bookmarkEnd w:id="238"/>
      <w:bookmarkEnd w:id="239"/>
      <w:bookmarkEnd w:id="240"/>
      <w:bookmarkEnd w:id="241"/>
      <w:bookmarkEnd w:id="242"/>
    </w:p>
    <w:p>
      <w:pPr>
        <w:spacing w:line="360" w:lineRule="auto"/>
        <w:jc w:val="left"/>
        <w:rPr>
          <w:rFonts w:ascii="宋体" w:hAnsi="宋体" w:cs="宋体"/>
          <w:b/>
          <w:bCs/>
          <w:szCs w:val="21"/>
        </w:rPr>
      </w:pPr>
      <w:bookmarkStart w:id="243" w:name="_Toc303756389"/>
      <w:bookmarkStart w:id="244" w:name="_Toc498327039"/>
      <w:bookmarkStart w:id="245" w:name="_Toc17329"/>
      <w:bookmarkStart w:id="246" w:name="_Toc499128584"/>
      <w:bookmarkStart w:id="247" w:name="_Toc301187670"/>
      <w:bookmarkStart w:id="248" w:name="_Toc359934586"/>
      <w:r>
        <w:rPr>
          <w:rFonts w:hint="eastAsia" w:ascii="宋体" w:hAnsi="宋体" w:cs="宋体"/>
          <w:b/>
          <w:bCs/>
          <w:szCs w:val="21"/>
        </w:rPr>
        <w:t>5.1响应文件包装</w:t>
      </w:r>
      <w:bookmarkEnd w:id="243"/>
      <w:bookmarkEnd w:id="244"/>
      <w:bookmarkEnd w:id="245"/>
      <w:bookmarkEnd w:id="246"/>
      <w:bookmarkEnd w:id="247"/>
      <w:bookmarkEnd w:id="248"/>
    </w:p>
    <w:p>
      <w:pPr>
        <w:spacing w:line="360" w:lineRule="auto"/>
        <w:ind w:firstLine="420" w:firstLineChars="200"/>
        <w:rPr>
          <w:rFonts w:ascii="宋体" w:hAnsi="宋体" w:cs="宋体"/>
          <w:szCs w:val="21"/>
        </w:rPr>
      </w:pPr>
      <w:bookmarkStart w:id="249" w:name="_Toc301187673"/>
      <w:r>
        <w:rPr>
          <w:rFonts w:hint="eastAsia" w:ascii="宋体" w:hAnsi="宋体" w:cs="宋体"/>
          <w:szCs w:val="21"/>
        </w:rPr>
        <w:t>5.1.1</w:t>
      </w:r>
      <w:r>
        <w:rPr>
          <w:rFonts w:hint="eastAsia" w:ascii="宋体" w:hAnsi="宋体" w:cs="宋体"/>
          <w:b/>
          <w:bCs/>
          <w:szCs w:val="21"/>
        </w:rPr>
        <w:t>供应商应当按照资格审查文件、商务技术文件、报价文件三部分分别导入相应位置，各文件之间不得导错位置</w:t>
      </w:r>
      <w:r>
        <w:rPr>
          <w:rFonts w:hint="eastAsia" w:ascii="宋体" w:hAnsi="宋体" w:cs="宋体"/>
          <w:szCs w:val="21"/>
        </w:rPr>
        <w:t>。</w:t>
      </w:r>
    </w:p>
    <w:bookmarkEnd w:id="249"/>
    <w:p>
      <w:pPr>
        <w:spacing w:line="360" w:lineRule="auto"/>
        <w:ind w:firstLine="420" w:firstLineChars="200"/>
        <w:rPr>
          <w:rFonts w:ascii="宋体" w:hAnsi="宋体" w:cs="宋体"/>
          <w:szCs w:val="21"/>
        </w:rPr>
      </w:pPr>
      <w:bookmarkStart w:id="250" w:name="_Toc23054"/>
      <w:bookmarkStart w:id="251" w:name="_Toc301187682"/>
      <w:bookmarkStart w:id="252" w:name="_Toc303756390"/>
      <w:bookmarkStart w:id="253" w:name="_Toc359934587"/>
      <w:bookmarkStart w:id="254" w:name="_Toc499128585"/>
      <w:bookmarkStart w:id="255" w:name="_Toc498327040"/>
      <w:r>
        <w:rPr>
          <w:rFonts w:hint="eastAsia" w:ascii="宋体" w:hAnsi="宋体" w:cs="宋体"/>
          <w:szCs w:val="21"/>
        </w:rPr>
        <w:t>5.1.2</w:t>
      </w:r>
      <w:r>
        <w:rPr>
          <w:rFonts w:hint="eastAsia" w:ascii="宋体" w:hAnsi="宋体" w:cs="宋体"/>
          <w:b/>
          <w:bCs/>
          <w:szCs w:val="21"/>
        </w:rPr>
        <w:t>响应文件应当生成电子加密响应文件，生成电子加密响应文件具体操作详见（电子招投标操作指南网址：https://help.zcygov.cn/web/site_2/2018/12-28/2573.html）</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5.1.3</w:t>
      </w:r>
      <w:r>
        <w:rPr>
          <w:rFonts w:hint="eastAsia" w:ascii="宋体" w:hAnsi="宋体" w:cs="宋体"/>
          <w:b/>
          <w:bCs/>
          <w:szCs w:val="21"/>
        </w:rPr>
        <w:t>不予接收的响应文件情形</w:t>
      </w:r>
    </w:p>
    <w:p>
      <w:pPr>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磋商截止时间前未完成传输的电子响应文件；</w:t>
      </w:r>
    </w:p>
    <w:p>
      <w:pPr>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未生成加密的电子响应文件；</w:t>
      </w:r>
    </w:p>
    <w:p>
      <w:pPr>
        <w:spacing w:line="360" w:lineRule="auto"/>
        <w:ind w:firstLine="420" w:firstLineChars="200"/>
        <w:rPr>
          <w:rFonts w:ascii="宋体" w:hAnsi="宋体" w:cs="宋体"/>
          <w:szCs w:val="21"/>
        </w:rPr>
      </w:pPr>
      <w:r>
        <w:rPr>
          <w:rFonts w:hint="eastAsia" w:ascii="宋体" w:hAnsi="宋体" w:cs="宋体"/>
          <w:szCs w:val="21"/>
        </w:rPr>
        <w:t>⑶在规定时间内未解密的电子响应文件，或者解密不成功未提供备份响应文件的。</w:t>
      </w:r>
    </w:p>
    <w:p>
      <w:pPr>
        <w:spacing w:line="360" w:lineRule="auto"/>
        <w:ind w:firstLine="420" w:firstLineChars="200"/>
        <w:rPr>
          <w:rFonts w:ascii="宋体" w:hAnsi="宋体" w:cs="宋体"/>
          <w:szCs w:val="21"/>
        </w:rPr>
      </w:pPr>
      <w:r>
        <w:rPr>
          <w:rFonts w:hint="eastAsia" w:ascii="宋体" w:hAnsi="宋体" w:cs="宋体"/>
          <w:szCs w:val="21"/>
        </w:rPr>
        <w:t>5.1.4供应商所提交的响应文件不予退还。</w:t>
      </w:r>
    </w:p>
    <w:p>
      <w:pPr>
        <w:spacing w:line="360" w:lineRule="auto"/>
        <w:jc w:val="left"/>
        <w:rPr>
          <w:rFonts w:ascii="宋体" w:hAnsi="宋体" w:cs="宋体"/>
          <w:b/>
          <w:bCs/>
          <w:szCs w:val="21"/>
        </w:rPr>
      </w:pPr>
      <w:r>
        <w:rPr>
          <w:rFonts w:hint="eastAsia" w:ascii="宋体" w:hAnsi="宋体" w:cs="宋体"/>
          <w:b/>
          <w:bCs/>
          <w:szCs w:val="21"/>
        </w:rPr>
        <w:t>5.2响应文件修改和撤回</w:t>
      </w:r>
      <w:bookmarkEnd w:id="250"/>
      <w:bookmarkEnd w:id="251"/>
      <w:bookmarkEnd w:id="252"/>
      <w:bookmarkEnd w:id="253"/>
      <w:bookmarkEnd w:id="254"/>
      <w:bookmarkEnd w:id="255"/>
    </w:p>
    <w:p>
      <w:pPr>
        <w:spacing w:line="360" w:lineRule="auto"/>
        <w:ind w:firstLine="422" w:firstLineChars="200"/>
        <w:rPr>
          <w:rFonts w:ascii="宋体" w:hAnsi="宋体" w:cs="宋体"/>
          <w:b/>
          <w:bCs/>
          <w:szCs w:val="21"/>
        </w:rPr>
      </w:pPr>
      <w:bookmarkStart w:id="256" w:name="_Toc21854"/>
      <w:bookmarkStart w:id="257" w:name="_Toc303756391"/>
      <w:bookmarkStart w:id="258" w:name="_Toc301187684"/>
      <w:bookmarkStart w:id="259" w:name="_Toc359934588"/>
      <w:bookmarkStart w:id="260" w:name="_Toc498327041"/>
      <w:bookmarkStart w:id="261" w:name="_Toc499128586"/>
      <w:r>
        <w:rPr>
          <w:rFonts w:hint="eastAsia" w:ascii="宋体" w:hAnsi="宋体" w:cs="宋体"/>
          <w:b/>
          <w:bCs/>
          <w:szCs w:val="21"/>
        </w:rPr>
        <w:t>5.2.1供应商在磋商截止时间之前，</w:t>
      </w:r>
      <w:bookmarkEnd w:id="256"/>
      <w:bookmarkEnd w:id="257"/>
      <w:bookmarkEnd w:id="258"/>
      <w:bookmarkEnd w:id="259"/>
      <w:bookmarkEnd w:id="260"/>
      <w:bookmarkEnd w:id="261"/>
      <w:r>
        <w:rPr>
          <w:rFonts w:hint="eastAsia" w:ascii="宋体" w:hAnsi="宋体" w:cs="宋体"/>
          <w:b/>
          <w:bCs/>
          <w:szCs w:val="21"/>
        </w:rPr>
        <w:t>可以对已提交的电子响应文件进行补充、修改或撤回。补充、修改后的电子响应文件应当重新生成加密的电子响应文件并重新上传提交。</w:t>
      </w:r>
    </w:p>
    <w:p>
      <w:pPr>
        <w:spacing w:line="360" w:lineRule="auto"/>
        <w:ind w:firstLine="422" w:firstLineChars="200"/>
        <w:rPr>
          <w:rFonts w:ascii="宋体" w:hAnsi="宋体" w:cs="宋体"/>
          <w:b/>
          <w:bCs/>
          <w:szCs w:val="21"/>
        </w:rPr>
      </w:pPr>
      <w:r>
        <w:rPr>
          <w:rFonts w:hint="eastAsia" w:ascii="宋体" w:hAnsi="宋体" w:cs="宋体"/>
          <w:b/>
          <w:bCs/>
          <w:szCs w:val="21"/>
        </w:rPr>
        <w:t>5.2.2补充、修改后重新提交的电子响应文件应按竞争性磋商文件的规定编制、导入、加密和提交。</w:t>
      </w:r>
    </w:p>
    <w:p>
      <w:pPr>
        <w:spacing w:line="360" w:lineRule="auto"/>
        <w:ind w:firstLine="422" w:firstLineChars="200"/>
        <w:rPr>
          <w:rFonts w:ascii="宋体" w:hAnsi="宋体" w:cs="宋体"/>
          <w:b/>
          <w:bCs/>
          <w:szCs w:val="21"/>
        </w:rPr>
      </w:pPr>
      <w:r>
        <w:rPr>
          <w:rFonts w:hint="eastAsia" w:ascii="宋体" w:hAnsi="宋体" w:cs="宋体"/>
          <w:b/>
          <w:bCs/>
          <w:szCs w:val="21"/>
        </w:rPr>
        <w:t>5.2.2磋商截止时间后，供应商不得修改、撤回已提交的电子响应文件。</w:t>
      </w:r>
    </w:p>
    <w:p>
      <w:pPr>
        <w:spacing w:line="360" w:lineRule="auto"/>
        <w:jc w:val="left"/>
        <w:rPr>
          <w:rFonts w:ascii="宋体" w:hAnsi="宋体" w:cs="宋体"/>
          <w:b/>
          <w:bCs/>
          <w:szCs w:val="21"/>
        </w:rPr>
      </w:pPr>
      <w:r>
        <w:rPr>
          <w:rFonts w:hint="eastAsia" w:ascii="宋体" w:hAnsi="宋体" w:cs="宋体"/>
          <w:b/>
          <w:bCs/>
          <w:szCs w:val="21"/>
        </w:rPr>
        <w:t>5.3响应文件提交地点和截止时间</w:t>
      </w:r>
    </w:p>
    <w:p>
      <w:pPr>
        <w:spacing w:line="360" w:lineRule="auto"/>
        <w:ind w:firstLine="420" w:firstLineChars="200"/>
        <w:rPr>
          <w:rFonts w:ascii="宋体" w:hAnsi="宋体" w:cs="宋体"/>
          <w:szCs w:val="21"/>
        </w:rPr>
      </w:pPr>
      <w:bookmarkStart w:id="262" w:name="_Toc301187685"/>
      <w:r>
        <w:rPr>
          <w:rFonts w:hint="eastAsia" w:ascii="宋体" w:hAnsi="宋体" w:cs="宋体"/>
          <w:szCs w:val="21"/>
        </w:rPr>
        <w:t>5.3.1</w:t>
      </w:r>
      <w:bookmarkEnd w:id="262"/>
      <w:r>
        <w:rPr>
          <w:rFonts w:hint="eastAsia" w:ascii="宋体" w:hAnsi="宋体" w:cs="宋体"/>
          <w:szCs w:val="21"/>
        </w:rPr>
        <w:t>响应文件提交地点：见供应商须知前附表。</w:t>
      </w:r>
      <w:bookmarkStart w:id="263" w:name="_Toc301187686"/>
    </w:p>
    <w:p>
      <w:pPr>
        <w:spacing w:line="360" w:lineRule="auto"/>
        <w:ind w:firstLine="420" w:firstLineChars="200"/>
        <w:rPr>
          <w:rFonts w:ascii="宋体" w:hAnsi="宋体" w:cs="宋体"/>
          <w:szCs w:val="21"/>
        </w:rPr>
      </w:pPr>
      <w:r>
        <w:rPr>
          <w:rFonts w:hint="eastAsia" w:ascii="宋体" w:hAnsi="宋体" w:cs="宋体"/>
          <w:szCs w:val="21"/>
        </w:rPr>
        <w:t>5.3.2响应文件提交截止时间：见供应商须知前附表。</w:t>
      </w:r>
      <w:bookmarkEnd w:id="263"/>
    </w:p>
    <w:p>
      <w:pPr>
        <w:spacing w:line="360" w:lineRule="auto"/>
        <w:jc w:val="left"/>
        <w:rPr>
          <w:rFonts w:ascii="宋体" w:hAnsi="宋体" w:cs="宋体"/>
          <w:b/>
          <w:bCs/>
          <w:szCs w:val="21"/>
        </w:rPr>
      </w:pPr>
      <w:bookmarkStart w:id="264" w:name="_Toc17127"/>
      <w:bookmarkStart w:id="265" w:name="_Toc498327042"/>
      <w:bookmarkStart w:id="266" w:name="_Toc499128587"/>
      <w:r>
        <w:rPr>
          <w:rFonts w:hint="eastAsia" w:ascii="宋体" w:hAnsi="宋体" w:cs="宋体"/>
          <w:b/>
          <w:bCs/>
          <w:szCs w:val="21"/>
        </w:rPr>
        <w:t>5.4响应文件澄清、说明、补正</w:t>
      </w:r>
      <w:bookmarkEnd w:id="264"/>
      <w:bookmarkEnd w:id="265"/>
      <w:bookmarkEnd w:id="266"/>
    </w:p>
    <w:p>
      <w:pPr>
        <w:spacing w:line="360" w:lineRule="auto"/>
        <w:ind w:firstLine="420" w:firstLineChars="200"/>
        <w:rPr>
          <w:rFonts w:ascii="宋体" w:hAnsi="宋体" w:cs="宋体"/>
          <w:szCs w:val="21"/>
        </w:rPr>
      </w:pPr>
      <w:bookmarkStart w:id="267" w:name="_Toc359934589"/>
      <w:bookmarkStart w:id="268" w:name="_Toc301187688"/>
      <w:bookmarkStart w:id="269" w:name="_Toc499128588"/>
      <w:bookmarkStart w:id="270" w:name="_Toc303756392"/>
      <w:bookmarkStart w:id="271" w:name="_Toc19403"/>
      <w:bookmarkStart w:id="272" w:name="_Toc498327043"/>
      <w:r>
        <w:rPr>
          <w:rFonts w:hint="eastAsia" w:ascii="宋体" w:hAnsi="宋体" w:cs="宋体"/>
          <w:szCs w:val="21"/>
        </w:rPr>
        <w:t>5.4.1对于响应文件中含义不明确、同类问题表述不一致或者有明显文字和计算错误的内容，磋商小组通过政采云平台要求供应商作出必要的澄清、说明或者补正。</w:t>
      </w:r>
    </w:p>
    <w:p>
      <w:pPr>
        <w:spacing w:line="360" w:lineRule="auto"/>
        <w:ind w:firstLine="420" w:firstLineChars="200"/>
        <w:rPr>
          <w:rFonts w:ascii="宋体" w:hAnsi="宋体" w:cs="宋体"/>
          <w:szCs w:val="21"/>
        </w:rPr>
      </w:pPr>
      <w:r>
        <w:rPr>
          <w:rFonts w:hint="eastAsia" w:ascii="宋体" w:hAnsi="宋体" w:cs="宋体"/>
          <w:szCs w:val="21"/>
        </w:rPr>
        <w:t>5.4.2供应商的澄清、说明或者补正均采用政采云平台交换数据电文，</w:t>
      </w:r>
      <w:r>
        <w:rPr>
          <w:rFonts w:hint="eastAsia" w:ascii="宋体" w:hAnsi="宋体" w:cs="宋体"/>
          <w:b/>
          <w:bCs/>
          <w:szCs w:val="21"/>
        </w:rPr>
        <w:t>供应商提交的澄清、说明或补正的时间为30分钟（供应商务必在线等待，及时在线澄清、说明或补正）</w:t>
      </w:r>
      <w:r>
        <w:rPr>
          <w:rFonts w:hint="eastAsia" w:ascii="宋体" w:hAnsi="宋体" w:cs="宋体"/>
          <w:szCs w:val="21"/>
        </w:rPr>
        <w:t>。供应商的澄清、说明或者补正不得超出竞争性磋商文件的范围或者改变响应文件的实质性内容。</w:t>
      </w:r>
    </w:p>
    <w:p>
      <w:pPr>
        <w:spacing w:line="360" w:lineRule="auto"/>
        <w:ind w:firstLine="420" w:firstLineChars="200"/>
        <w:rPr>
          <w:rFonts w:ascii="宋体" w:hAnsi="宋体" w:cs="宋体"/>
          <w:szCs w:val="21"/>
        </w:rPr>
      </w:pPr>
      <w:r>
        <w:rPr>
          <w:rFonts w:hint="eastAsia" w:ascii="宋体" w:hAnsi="宋体" w:cs="宋体"/>
          <w:szCs w:val="21"/>
        </w:rPr>
        <w:t>5.4.3不接受供应商主动对响应文件的澄清、说明或者补正。</w:t>
      </w:r>
    </w:p>
    <w:p>
      <w:pPr>
        <w:pStyle w:val="6"/>
        <w:spacing w:line="360" w:lineRule="auto"/>
        <w:rPr>
          <w:rFonts w:ascii="宋体" w:hAnsi="宋体" w:cs="宋体"/>
          <w:sz w:val="24"/>
          <w:szCs w:val="24"/>
        </w:rPr>
      </w:pPr>
      <w:bookmarkStart w:id="273" w:name="_Toc4951"/>
      <w:bookmarkStart w:id="274" w:name="_Toc23425"/>
      <w:r>
        <w:rPr>
          <w:rFonts w:hint="eastAsia" w:ascii="宋体" w:hAnsi="宋体" w:cs="宋体"/>
          <w:sz w:val="24"/>
          <w:szCs w:val="24"/>
        </w:rPr>
        <w:t>6．磋商无效情形</w:t>
      </w:r>
      <w:bookmarkEnd w:id="267"/>
      <w:bookmarkEnd w:id="268"/>
      <w:bookmarkEnd w:id="269"/>
      <w:bookmarkEnd w:id="270"/>
      <w:bookmarkEnd w:id="271"/>
      <w:bookmarkEnd w:id="272"/>
      <w:bookmarkEnd w:id="273"/>
      <w:bookmarkEnd w:id="274"/>
    </w:p>
    <w:p>
      <w:pPr>
        <w:spacing w:line="360" w:lineRule="auto"/>
        <w:ind w:firstLine="420" w:firstLineChars="200"/>
        <w:rPr>
          <w:rFonts w:ascii="宋体" w:hAnsi="宋体" w:cs="宋体"/>
          <w:szCs w:val="21"/>
        </w:rPr>
      </w:pPr>
      <w:bookmarkStart w:id="275" w:name="_Toc301187689"/>
      <w:r>
        <w:rPr>
          <w:rFonts w:hint="eastAsia" w:ascii="宋体" w:hAnsi="宋体" w:cs="宋体"/>
          <w:szCs w:val="21"/>
        </w:rPr>
        <w:t>实质上没有响应竞争性磋商文件要求的磋商将被视为无效标。</w:t>
      </w:r>
      <w:bookmarkEnd w:id="275"/>
    </w:p>
    <w:p>
      <w:pPr>
        <w:spacing w:line="360" w:lineRule="auto"/>
        <w:jc w:val="left"/>
        <w:rPr>
          <w:rFonts w:ascii="宋体" w:hAnsi="宋体" w:cs="宋体"/>
          <w:b/>
          <w:bCs/>
          <w:szCs w:val="21"/>
        </w:rPr>
      </w:pPr>
      <w:bookmarkStart w:id="276" w:name="_Toc301187690"/>
      <w:bookmarkStart w:id="277" w:name="_Toc11477"/>
      <w:bookmarkStart w:id="278" w:name="_Toc499128589"/>
      <w:bookmarkStart w:id="279" w:name="_Toc498327044"/>
      <w:r>
        <w:rPr>
          <w:rFonts w:hint="eastAsia" w:ascii="宋体" w:hAnsi="宋体" w:cs="宋体"/>
          <w:b/>
          <w:bCs/>
          <w:szCs w:val="21"/>
        </w:rPr>
        <w:t>6.1在符合性审查时，如发现下列情形之一的，响应文件将被视为无效</w:t>
      </w:r>
      <w:bookmarkEnd w:id="276"/>
      <w:bookmarkEnd w:id="277"/>
      <w:bookmarkEnd w:id="278"/>
      <w:bookmarkEnd w:id="279"/>
    </w:p>
    <w:p>
      <w:pPr>
        <w:spacing w:line="360" w:lineRule="auto"/>
        <w:ind w:firstLine="420" w:firstLineChars="200"/>
        <w:rPr>
          <w:rFonts w:ascii="宋体" w:hAnsi="宋体" w:cs="宋体"/>
          <w:szCs w:val="21"/>
        </w:rPr>
      </w:pPr>
      <w:bookmarkStart w:id="280" w:name="_Toc301187693"/>
      <w:r>
        <w:rPr>
          <w:rFonts w:hint="eastAsia" w:ascii="宋体" w:hAnsi="宋体" w:cs="宋体"/>
          <w:szCs w:val="21"/>
        </w:rPr>
        <w:t>（1）供应商未按竞争性磋商文件规定进行签章的；</w:t>
      </w:r>
      <w:bookmarkEnd w:id="280"/>
    </w:p>
    <w:p>
      <w:pPr>
        <w:spacing w:line="360" w:lineRule="auto"/>
        <w:ind w:firstLine="420" w:firstLineChars="200"/>
        <w:rPr>
          <w:rFonts w:ascii="宋体" w:hAnsi="宋体" w:cs="宋体"/>
          <w:szCs w:val="21"/>
        </w:rPr>
      </w:pPr>
      <w:bookmarkStart w:id="281" w:name="_Toc301187695"/>
      <w:r>
        <w:rPr>
          <w:rFonts w:hint="eastAsia" w:ascii="宋体" w:hAnsi="宋体" w:cs="宋体"/>
          <w:szCs w:val="21"/>
        </w:rPr>
        <w:t>（2）响应文件未按竞争性磋商文件要求提供相关内容的，或者内容虚假的；</w:t>
      </w:r>
      <w:bookmarkEnd w:id="281"/>
    </w:p>
    <w:p>
      <w:pPr>
        <w:spacing w:line="360" w:lineRule="auto"/>
        <w:ind w:firstLine="420" w:firstLineChars="200"/>
        <w:rPr>
          <w:rFonts w:ascii="宋体" w:hAnsi="宋体" w:cs="宋体"/>
          <w:szCs w:val="21"/>
        </w:rPr>
      </w:pPr>
      <w:bookmarkStart w:id="282" w:name="_Toc301187696"/>
      <w:r>
        <w:rPr>
          <w:rFonts w:hint="eastAsia" w:ascii="宋体" w:hAnsi="宋体" w:cs="宋体"/>
          <w:szCs w:val="21"/>
        </w:rPr>
        <w:t>（3）响应文件的实质性内容未使用中文表述、意思表述不明确、前后矛盾或者使用计量单位不符合竞争性磋商文件要求的（经磋商小组认定并允许其当场更正的笔误除外）</w:t>
      </w:r>
      <w:bookmarkEnd w:id="282"/>
      <w:r>
        <w:rPr>
          <w:rFonts w:hint="eastAsia" w:ascii="宋体" w:hAnsi="宋体" w:cs="宋体"/>
          <w:szCs w:val="21"/>
        </w:rPr>
        <w:t>；</w:t>
      </w:r>
    </w:p>
    <w:p>
      <w:pPr>
        <w:spacing w:line="360" w:lineRule="auto"/>
        <w:ind w:firstLine="422" w:firstLineChars="200"/>
        <w:rPr>
          <w:rFonts w:ascii="宋体" w:hAnsi="宋体" w:cs="宋体"/>
          <w:b/>
          <w:bCs/>
          <w:szCs w:val="21"/>
        </w:rPr>
      </w:pPr>
      <w:bookmarkStart w:id="283" w:name="_Toc301187697"/>
      <w:r>
        <w:rPr>
          <w:rFonts w:hint="eastAsia" w:ascii="宋体" w:hAnsi="宋体" w:cs="宋体"/>
          <w:b/>
          <w:bCs/>
          <w:szCs w:val="21"/>
        </w:rPr>
        <w:t>（4）磋商有效期、工期、质保期等商务条款不能满足竞争性磋商文件要求的；</w:t>
      </w:r>
      <w:bookmarkEnd w:id="283"/>
    </w:p>
    <w:p>
      <w:pPr>
        <w:spacing w:line="360" w:lineRule="auto"/>
        <w:ind w:firstLine="420" w:firstLineChars="200"/>
        <w:rPr>
          <w:rFonts w:ascii="宋体" w:hAnsi="宋体" w:cs="宋体"/>
          <w:szCs w:val="21"/>
        </w:rPr>
      </w:pPr>
      <w:bookmarkStart w:id="284" w:name="_Toc301187698"/>
      <w:r>
        <w:rPr>
          <w:rFonts w:hint="eastAsia" w:ascii="宋体" w:hAnsi="宋体" w:cs="宋体"/>
          <w:szCs w:val="21"/>
        </w:rPr>
        <w:t>（5）未实质性响应竞争性磋商文件要求或者响应文件有采购人不能接受的附加条件的；</w:t>
      </w:r>
      <w:bookmarkEnd w:id="284"/>
    </w:p>
    <w:p>
      <w:pPr>
        <w:spacing w:line="360" w:lineRule="auto"/>
        <w:ind w:firstLine="420" w:firstLineChars="200"/>
        <w:rPr>
          <w:rFonts w:ascii="宋体" w:hAnsi="宋体" w:cs="宋体"/>
          <w:szCs w:val="21"/>
        </w:rPr>
      </w:pPr>
      <w:r>
        <w:rPr>
          <w:rFonts w:hint="eastAsia" w:ascii="宋体" w:hAnsi="宋体" w:cs="宋体"/>
          <w:szCs w:val="21"/>
        </w:rPr>
        <w:t>（6）除报价文件外出现磋商报价的；</w:t>
      </w:r>
    </w:p>
    <w:p>
      <w:pPr>
        <w:spacing w:line="360" w:lineRule="auto"/>
        <w:ind w:firstLine="420" w:firstLineChars="200"/>
        <w:rPr>
          <w:rFonts w:ascii="宋体" w:hAnsi="宋体" w:cs="宋体"/>
          <w:szCs w:val="21"/>
        </w:rPr>
      </w:pPr>
      <w:r>
        <w:rPr>
          <w:rFonts w:hint="eastAsia" w:ascii="宋体" w:hAnsi="宋体" w:cs="宋体"/>
          <w:szCs w:val="21"/>
        </w:rPr>
        <w:t>（7）法律、法规及竞争性磋商文件规定的其他无效情形。</w:t>
      </w:r>
    </w:p>
    <w:p>
      <w:pPr>
        <w:spacing w:line="360" w:lineRule="auto"/>
        <w:jc w:val="left"/>
        <w:rPr>
          <w:rFonts w:ascii="宋体" w:hAnsi="宋体" w:cs="宋体"/>
          <w:b/>
          <w:bCs/>
          <w:szCs w:val="21"/>
        </w:rPr>
      </w:pPr>
      <w:bookmarkStart w:id="285" w:name="_Toc498327045"/>
      <w:bookmarkStart w:id="286" w:name="_Toc1544"/>
      <w:bookmarkStart w:id="287" w:name="_Toc301187699"/>
      <w:bookmarkStart w:id="288" w:name="_Toc499128590"/>
      <w:r>
        <w:rPr>
          <w:rFonts w:hint="eastAsia" w:ascii="宋体" w:hAnsi="宋体" w:cs="宋体"/>
          <w:b/>
          <w:bCs/>
          <w:szCs w:val="21"/>
        </w:rPr>
        <w:t>6.2在技术评审时，如发现下列情形之一的，响应文件将被视为无效</w:t>
      </w:r>
      <w:bookmarkEnd w:id="285"/>
      <w:bookmarkEnd w:id="286"/>
      <w:bookmarkEnd w:id="287"/>
      <w:bookmarkEnd w:id="288"/>
    </w:p>
    <w:p>
      <w:pPr>
        <w:spacing w:line="360" w:lineRule="auto"/>
        <w:ind w:firstLine="420" w:firstLineChars="200"/>
        <w:rPr>
          <w:rFonts w:ascii="宋体" w:hAnsi="宋体" w:cs="宋体"/>
          <w:szCs w:val="21"/>
        </w:rPr>
      </w:pPr>
      <w:bookmarkStart w:id="289" w:name="_Toc301187700"/>
      <w:r>
        <w:rPr>
          <w:rFonts w:hint="eastAsia" w:ascii="宋体" w:hAnsi="宋体" w:cs="宋体"/>
          <w:szCs w:val="21"/>
        </w:rPr>
        <w:t>（1）未提供或未如实提供磋商货物的技术参数，或者响应文件标明的响应或偏离与事实不符或虚假响应的；</w:t>
      </w:r>
      <w:bookmarkEnd w:id="289"/>
    </w:p>
    <w:p>
      <w:pPr>
        <w:spacing w:line="360" w:lineRule="auto"/>
        <w:ind w:firstLine="420" w:firstLineChars="200"/>
        <w:rPr>
          <w:rFonts w:ascii="宋体" w:hAnsi="宋体" w:cs="宋体"/>
          <w:szCs w:val="21"/>
        </w:rPr>
      </w:pPr>
      <w:bookmarkStart w:id="290" w:name="_Toc301187701"/>
      <w:r>
        <w:rPr>
          <w:rFonts w:hint="eastAsia" w:ascii="宋体" w:hAnsi="宋体" w:cs="宋体"/>
          <w:szCs w:val="21"/>
        </w:rPr>
        <w:t>（2）明显不符合竞争性磋商文件要求的规格型号、质量标准，或者与竞争性磋商文件中标“▲”的技术指标、主要功能项目发生实质性负偏离的；</w:t>
      </w:r>
      <w:bookmarkEnd w:id="290"/>
    </w:p>
    <w:p>
      <w:pPr>
        <w:spacing w:line="360" w:lineRule="auto"/>
        <w:ind w:firstLine="420" w:firstLineChars="200"/>
        <w:rPr>
          <w:rFonts w:ascii="宋体" w:hAnsi="宋体" w:cs="宋体"/>
          <w:szCs w:val="21"/>
        </w:rPr>
      </w:pPr>
      <w:bookmarkStart w:id="291" w:name="_Toc301187702"/>
      <w:r>
        <w:rPr>
          <w:rFonts w:hint="eastAsia" w:ascii="宋体" w:hAnsi="宋体" w:cs="宋体"/>
          <w:szCs w:val="21"/>
        </w:rPr>
        <w:t>（3）</w:t>
      </w:r>
      <w:bookmarkEnd w:id="291"/>
      <w:r>
        <w:rPr>
          <w:rFonts w:hint="eastAsia" w:ascii="宋体" w:hAnsi="宋体" w:cs="宋体"/>
          <w:szCs w:val="21"/>
        </w:rPr>
        <w:t>技术方案不明确，存在一个或一个以上备选（替代）技术方案的；</w:t>
      </w:r>
    </w:p>
    <w:p>
      <w:pPr>
        <w:spacing w:line="360" w:lineRule="auto"/>
        <w:ind w:firstLine="420" w:firstLineChars="200"/>
        <w:rPr>
          <w:rFonts w:ascii="宋体" w:hAnsi="宋体" w:cs="宋体"/>
          <w:szCs w:val="21"/>
        </w:rPr>
      </w:pPr>
      <w:bookmarkStart w:id="292" w:name="_Toc301187703"/>
      <w:r>
        <w:rPr>
          <w:rFonts w:hint="eastAsia" w:ascii="宋体" w:hAnsi="宋体" w:cs="宋体"/>
          <w:szCs w:val="21"/>
        </w:rPr>
        <w:t>（4）</w:t>
      </w:r>
      <w:bookmarkEnd w:id="292"/>
      <w:r>
        <w:rPr>
          <w:rFonts w:hint="eastAsia" w:ascii="宋体" w:hAnsi="宋体" w:cs="宋体"/>
          <w:szCs w:val="21"/>
        </w:rPr>
        <w:t>与其他参加本项目供应商的响应文件（技术文件）的文字表述内容相同连续20行以上或者差错相同2处以上的。</w:t>
      </w:r>
    </w:p>
    <w:p>
      <w:pPr>
        <w:spacing w:line="360" w:lineRule="auto"/>
        <w:jc w:val="left"/>
        <w:rPr>
          <w:rFonts w:ascii="宋体" w:hAnsi="宋体" w:cs="宋体"/>
          <w:b/>
          <w:bCs/>
          <w:szCs w:val="21"/>
        </w:rPr>
      </w:pPr>
      <w:bookmarkStart w:id="293" w:name="_Toc498327046"/>
      <w:bookmarkStart w:id="294" w:name="_Toc301187705"/>
      <w:bookmarkStart w:id="295" w:name="_Toc499128591"/>
      <w:bookmarkStart w:id="296" w:name="_Toc30507"/>
      <w:r>
        <w:rPr>
          <w:rFonts w:hint="eastAsia" w:ascii="宋体" w:hAnsi="宋体" w:cs="宋体"/>
          <w:b/>
          <w:bCs/>
          <w:szCs w:val="21"/>
        </w:rPr>
        <w:t>6.3在报价评审时，如发现下列情形之一的，响应文件将被视为无效</w:t>
      </w:r>
      <w:bookmarkEnd w:id="293"/>
      <w:bookmarkEnd w:id="294"/>
      <w:bookmarkEnd w:id="295"/>
      <w:bookmarkEnd w:id="296"/>
    </w:p>
    <w:p>
      <w:pPr>
        <w:spacing w:line="360" w:lineRule="auto"/>
        <w:ind w:firstLine="420" w:firstLineChars="200"/>
        <w:rPr>
          <w:rFonts w:ascii="宋体" w:hAnsi="宋体" w:cs="宋体"/>
          <w:szCs w:val="21"/>
        </w:rPr>
      </w:pPr>
      <w:bookmarkStart w:id="297" w:name="_Toc301187706"/>
      <w:r>
        <w:rPr>
          <w:rFonts w:hint="eastAsia" w:ascii="宋体" w:hAnsi="宋体" w:cs="宋体"/>
          <w:szCs w:val="21"/>
        </w:rPr>
        <w:t>（1）未采用人民币报价或者未按照竞争性磋商文件标明的币种报价的；</w:t>
      </w:r>
      <w:bookmarkEnd w:id="297"/>
    </w:p>
    <w:p>
      <w:pPr>
        <w:spacing w:line="360" w:lineRule="auto"/>
        <w:ind w:firstLine="420" w:firstLineChars="200"/>
        <w:rPr>
          <w:rFonts w:ascii="宋体" w:hAnsi="宋体" w:cs="宋体"/>
          <w:szCs w:val="21"/>
        </w:rPr>
      </w:pPr>
      <w:bookmarkStart w:id="298" w:name="_Toc301187707"/>
      <w:r>
        <w:rPr>
          <w:rFonts w:hint="eastAsia" w:ascii="宋体" w:hAnsi="宋体" w:cs="宋体"/>
          <w:szCs w:val="21"/>
        </w:rPr>
        <w:t>（2）报价超出最高限价，或者超出采购预算金额，采购人不能支付的；</w:t>
      </w:r>
      <w:bookmarkEnd w:id="298"/>
    </w:p>
    <w:p>
      <w:pPr>
        <w:spacing w:line="360" w:lineRule="auto"/>
        <w:ind w:firstLine="420" w:firstLineChars="200"/>
        <w:rPr>
          <w:rFonts w:ascii="宋体" w:hAnsi="宋体" w:cs="宋体"/>
          <w:szCs w:val="21"/>
        </w:rPr>
      </w:pPr>
      <w:bookmarkStart w:id="299" w:name="_Toc301187708"/>
      <w:r>
        <w:rPr>
          <w:rFonts w:hint="eastAsia" w:ascii="宋体" w:hAnsi="宋体" w:cs="宋体"/>
          <w:szCs w:val="21"/>
        </w:rPr>
        <w:t>（3）磋商报价具有选择性，或者磋商价格与响应文件承诺的优惠价格不一致的；</w:t>
      </w:r>
      <w:bookmarkEnd w:id="299"/>
    </w:p>
    <w:p>
      <w:pPr>
        <w:spacing w:line="360" w:lineRule="auto"/>
        <w:ind w:firstLine="420" w:firstLineChars="200"/>
        <w:rPr>
          <w:rFonts w:ascii="宋体" w:hAnsi="宋体" w:cs="宋体"/>
          <w:szCs w:val="21"/>
        </w:rPr>
      </w:pPr>
      <w:r>
        <w:rPr>
          <w:rFonts w:hint="eastAsia" w:ascii="宋体" w:hAnsi="宋体" w:cs="宋体"/>
          <w:szCs w:val="21"/>
        </w:rPr>
        <w:t>（4）报价文件内容与对应技术文件内容不一致的，或者出现重大偏离的；</w:t>
      </w:r>
    </w:p>
    <w:p>
      <w:pPr>
        <w:spacing w:line="360" w:lineRule="auto"/>
        <w:ind w:firstLine="420" w:firstLineChars="200"/>
        <w:rPr>
          <w:rFonts w:ascii="宋体" w:hAnsi="宋体" w:cs="宋体"/>
          <w:b/>
          <w:bCs/>
          <w:szCs w:val="21"/>
        </w:rPr>
      </w:pPr>
      <w:r>
        <w:rPr>
          <w:rFonts w:hint="eastAsia" w:ascii="宋体" w:hAnsi="宋体" w:cs="宋体"/>
          <w:szCs w:val="21"/>
        </w:rPr>
        <w:t>（5）</w:t>
      </w:r>
      <w:r>
        <w:rPr>
          <w:rFonts w:hint="eastAsia" w:ascii="宋体" w:hAnsi="宋体" w:cs="宋体"/>
          <w:b/>
          <w:bCs/>
          <w:szCs w:val="21"/>
        </w:rPr>
        <w:t>报价明显低于其他通过符合性审查供应商的报价，有可能影响产品质量或者不能诚信履约的，未在磋商现场合理的时间</w:t>
      </w:r>
      <w:r>
        <w:rPr>
          <w:rFonts w:hint="eastAsia" w:ascii="宋体" w:hAnsi="宋体" w:cs="宋体"/>
          <w:b/>
          <w:szCs w:val="21"/>
        </w:rPr>
        <w:t>内通过政采云平台交换数据电文</w:t>
      </w:r>
      <w:r>
        <w:rPr>
          <w:rFonts w:hint="eastAsia" w:ascii="宋体" w:hAnsi="宋体" w:cs="宋体"/>
          <w:b/>
          <w:bCs/>
          <w:szCs w:val="21"/>
        </w:rPr>
        <w:t>提供说明及证明材料来证明其报价合理性的。</w:t>
      </w:r>
    </w:p>
    <w:p>
      <w:pPr>
        <w:spacing w:line="360" w:lineRule="auto"/>
        <w:jc w:val="left"/>
        <w:rPr>
          <w:rFonts w:ascii="宋体" w:hAnsi="宋体" w:cs="宋体"/>
          <w:b/>
          <w:bCs/>
          <w:szCs w:val="21"/>
        </w:rPr>
      </w:pPr>
      <w:bookmarkStart w:id="300" w:name="_Toc499128592"/>
      <w:bookmarkStart w:id="301" w:name="_Toc498327047"/>
      <w:bookmarkStart w:id="302" w:name="_Toc6265"/>
      <w:r>
        <w:rPr>
          <w:rFonts w:hint="eastAsia" w:ascii="宋体" w:hAnsi="宋体" w:cs="宋体"/>
          <w:b/>
          <w:bCs/>
          <w:szCs w:val="21"/>
        </w:rPr>
        <w:t>6.4有下列情形之一的，视为供应商串通磋商，其磋商无效</w:t>
      </w:r>
      <w:bookmarkEnd w:id="300"/>
      <w:bookmarkEnd w:id="301"/>
      <w:bookmarkEnd w:id="302"/>
    </w:p>
    <w:p>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w:t>
      </w:r>
    </w:p>
    <w:p>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（2）不同供应商委托同一单位或者个人办理磋商事宜；</w:t>
      </w:r>
    </w:p>
    <w:p>
      <w:pPr>
        <w:spacing w:line="360" w:lineRule="auto"/>
        <w:ind w:firstLine="420" w:firstLineChars="200"/>
        <w:rPr>
          <w:rFonts w:ascii="宋体" w:hAnsi="宋体" w:cs="宋体"/>
          <w:szCs w:val="21"/>
        </w:rPr>
      </w:pPr>
      <w:r>
        <w:rPr>
          <w:rFonts w:hint="eastAsia" w:ascii="宋体" w:hAnsi="宋体" w:cs="宋体"/>
          <w:szCs w:val="21"/>
        </w:rPr>
        <w:t>（3）不同供应商的响应文件载明的项目管理成员或者联系人员为同一人；</w:t>
      </w:r>
    </w:p>
    <w:p>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（4）不同供应商的响应文件异常一致或者磋商报价呈规律性差异。</w:t>
      </w:r>
    </w:p>
    <w:p>
      <w:pPr>
        <w:spacing w:line="360" w:lineRule="auto"/>
        <w:jc w:val="left"/>
        <w:rPr>
          <w:rFonts w:ascii="宋体" w:hAnsi="宋体" w:cs="宋体"/>
          <w:b/>
          <w:bCs/>
          <w:szCs w:val="21"/>
        </w:rPr>
      </w:pPr>
      <w:bookmarkStart w:id="303" w:name="_Toc498327048"/>
      <w:bookmarkStart w:id="304" w:name="_Toc499128593"/>
      <w:bookmarkStart w:id="305" w:name="_Toc21917"/>
      <w:r>
        <w:rPr>
          <w:rFonts w:hint="eastAsia" w:ascii="宋体" w:hAnsi="宋体" w:cs="宋体"/>
          <w:b/>
          <w:bCs/>
          <w:szCs w:val="21"/>
        </w:rPr>
        <w:t>6.5有下列情况之一的，其磋商无效</w:t>
      </w:r>
      <w:bookmarkEnd w:id="303"/>
      <w:bookmarkEnd w:id="304"/>
      <w:bookmarkEnd w:id="305"/>
    </w:p>
    <w:p>
      <w:pPr>
        <w:spacing w:line="360" w:lineRule="auto"/>
        <w:ind w:firstLine="420" w:firstLineChars="200"/>
        <w:rPr>
          <w:rFonts w:ascii="宋体" w:hAnsi="宋体" w:cs="宋体"/>
          <w:szCs w:val="21"/>
        </w:rPr>
      </w:pPr>
      <w:r>
        <w:rPr>
          <w:rFonts w:hint="eastAsia" w:ascii="宋体" w:hAnsi="宋体" w:cs="宋体"/>
          <w:szCs w:val="21"/>
        </w:rPr>
        <w:t>（1）妨碍其他供应商的竞争行为；</w:t>
      </w:r>
    </w:p>
    <w:p>
      <w:pPr>
        <w:spacing w:line="360" w:lineRule="auto"/>
        <w:ind w:firstLine="420" w:firstLineChars="200"/>
        <w:rPr>
          <w:rFonts w:ascii="宋体" w:hAnsi="宋体" w:cs="宋体"/>
          <w:szCs w:val="21"/>
        </w:rPr>
      </w:pPr>
      <w:r>
        <w:rPr>
          <w:rFonts w:hint="eastAsia" w:ascii="宋体" w:hAnsi="宋体" w:cs="宋体"/>
          <w:szCs w:val="21"/>
        </w:rPr>
        <w:t>（2）损害采购人或者其他供应商的合法权益。</w:t>
      </w:r>
    </w:p>
    <w:p>
      <w:pPr>
        <w:pStyle w:val="6"/>
        <w:spacing w:line="360" w:lineRule="auto"/>
        <w:rPr>
          <w:rFonts w:ascii="宋体" w:hAnsi="宋体" w:cs="宋体"/>
          <w:sz w:val="24"/>
          <w:szCs w:val="24"/>
        </w:rPr>
      </w:pPr>
      <w:bookmarkStart w:id="306" w:name="_Toc499128594"/>
      <w:bookmarkStart w:id="307" w:name="_Toc301187711"/>
      <w:bookmarkStart w:id="308" w:name="_Toc498327049"/>
      <w:bookmarkStart w:id="309" w:name="_Toc32119"/>
      <w:bookmarkStart w:id="310" w:name="_Toc22161"/>
      <w:bookmarkStart w:id="311" w:name="_Toc303756393"/>
      <w:bookmarkStart w:id="312" w:name="_Toc359934590"/>
      <w:bookmarkStart w:id="313" w:name="_Toc2673"/>
      <w:r>
        <w:rPr>
          <w:rFonts w:hint="eastAsia" w:ascii="宋体" w:hAnsi="宋体" w:cs="宋体"/>
          <w:sz w:val="24"/>
          <w:szCs w:val="24"/>
        </w:rPr>
        <w:t>7．磋商、磋商评审及定标</w:t>
      </w:r>
      <w:bookmarkEnd w:id="306"/>
      <w:bookmarkEnd w:id="307"/>
      <w:bookmarkEnd w:id="308"/>
      <w:bookmarkEnd w:id="309"/>
      <w:bookmarkEnd w:id="310"/>
      <w:bookmarkEnd w:id="311"/>
      <w:bookmarkEnd w:id="312"/>
      <w:bookmarkEnd w:id="313"/>
    </w:p>
    <w:p>
      <w:pPr>
        <w:spacing w:line="360" w:lineRule="auto"/>
        <w:jc w:val="left"/>
        <w:rPr>
          <w:rFonts w:ascii="宋体" w:hAnsi="宋体" w:cs="宋体"/>
          <w:b/>
          <w:bCs/>
          <w:szCs w:val="21"/>
        </w:rPr>
      </w:pPr>
      <w:bookmarkStart w:id="314" w:name="_Toc301187730"/>
      <w:bookmarkStart w:id="315" w:name="_Toc498327053"/>
      <w:bookmarkStart w:id="316" w:name="_Toc303756397"/>
      <w:bookmarkStart w:id="317" w:name="_Toc24776"/>
      <w:bookmarkStart w:id="318" w:name="_Toc359934594"/>
      <w:bookmarkStart w:id="319" w:name="_Toc499128598"/>
      <w:r>
        <w:rPr>
          <w:rFonts w:hint="eastAsia" w:ascii="宋体" w:hAnsi="宋体" w:cs="宋体"/>
          <w:b/>
          <w:bCs/>
          <w:szCs w:val="21"/>
        </w:rPr>
        <w:t>7.1</w:t>
      </w:r>
      <w:bookmarkEnd w:id="314"/>
      <w:bookmarkEnd w:id="315"/>
      <w:bookmarkEnd w:id="316"/>
      <w:bookmarkEnd w:id="317"/>
      <w:bookmarkEnd w:id="318"/>
      <w:bookmarkEnd w:id="319"/>
      <w:r>
        <w:rPr>
          <w:rFonts w:hint="eastAsia" w:ascii="宋体" w:hAnsi="宋体" w:cs="宋体"/>
          <w:b/>
          <w:bCs/>
          <w:szCs w:val="21"/>
        </w:rPr>
        <w:t>磋商</w:t>
      </w:r>
    </w:p>
    <w:p>
      <w:pPr>
        <w:spacing w:line="360" w:lineRule="auto"/>
        <w:ind w:firstLine="420" w:firstLineChars="200"/>
        <w:rPr>
          <w:rFonts w:ascii="宋体" w:hAnsi="宋体" w:cs="宋体"/>
          <w:szCs w:val="21"/>
        </w:rPr>
      </w:pPr>
      <w:bookmarkStart w:id="320" w:name="_Toc301187731"/>
      <w:r>
        <w:rPr>
          <w:rFonts w:hint="eastAsia" w:ascii="宋体" w:hAnsi="宋体" w:cs="宋体"/>
          <w:szCs w:val="21"/>
        </w:rPr>
        <w:t>7.1.1磋商时间和地点</w:t>
      </w:r>
      <w:bookmarkEnd w:id="320"/>
    </w:p>
    <w:p>
      <w:pPr>
        <w:spacing w:line="360" w:lineRule="auto"/>
        <w:ind w:firstLine="420" w:firstLineChars="200"/>
        <w:rPr>
          <w:rFonts w:ascii="宋体" w:hAnsi="宋体" w:cs="宋体"/>
          <w:szCs w:val="21"/>
        </w:rPr>
      </w:pPr>
      <w:bookmarkStart w:id="321" w:name="_Toc301187732"/>
      <w:r>
        <w:rPr>
          <w:rFonts w:hint="eastAsia" w:ascii="宋体" w:hAnsi="宋体" w:cs="宋体"/>
          <w:szCs w:val="21"/>
        </w:rPr>
        <w:t>采购人</w:t>
      </w:r>
      <w:bookmarkEnd w:id="321"/>
      <w:bookmarkStart w:id="322" w:name="_Toc301187733"/>
      <w:r>
        <w:rPr>
          <w:rFonts w:hint="eastAsia" w:ascii="宋体" w:hAnsi="宋体" w:cs="宋体"/>
          <w:szCs w:val="21"/>
        </w:rPr>
        <w:t>在本章第5.3.2项规定的响应文件提交截止时间（磋商时间）和第5.3.1项规定的地点磋商。</w:t>
      </w:r>
    </w:p>
    <w:p>
      <w:pPr>
        <w:spacing w:line="360" w:lineRule="auto"/>
        <w:ind w:firstLine="420" w:firstLineChars="200"/>
        <w:rPr>
          <w:rFonts w:ascii="宋体" w:hAnsi="宋体" w:cs="宋体"/>
          <w:szCs w:val="21"/>
        </w:rPr>
      </w:pPr>
      <w:r>
        <w:rPr>
          <w:rFonts w:hint="eastAsia" w:ascii="宋体" w:hAnsi="宋体" w:cs="宋体"/>
          <w:szCs w:val="21"/>
        </w:rPr>
        <w:t>7.1.2磋商准备</w:t>
      </w:r>
      <w:bookmarkEnd w:id="322"/>
    </w:p>
    <w:p>
      <w:pPr>
        <w:spacing w:line="360" w:lineRule="auto"/>
        <w:ind w:firstLine="422" w:firstLineChars="200"/>
        <w:rPr>
          <w:rFonts w:ascii="宋体" w:hAnsi="宋体" w:cs="宋体"/>
          <w:kern w:val="0"/>
          <w:szCs w:val="21"/>
        </w:rPr>
      </w:pPr>
      <w:bookmarkStart w:id="323" w:name="_Toc301187735"/>
      <w:bookmarkStart w:id="324" w:name="_Toc301187747"/>
      <w:bookmarkStart w:id="325" w:name="_Toc303756398"/>
      <w:r>
        <w:rPr>
          <w:rFonts w:hint="eastAsia" w:ascii="宋体" w:hAnsi="宋体" w:cs="宋体"/>
          <w:b/>
          <w:szCs w:val="21"/>
        </w:rPr>
        <w:t>本项目采用电子交易进行磋商、评审、询标，供应商均应准时在线参加，否则产生的风险由供应商自身承担（供应商务必不要离开电脑太久，并留意手机短信，建议供应商提前做好检查“政府采购云平台”内，关于“项目采购”的岗位权限是否勾选。如有问题，请致电400-881-7190）</w:t>
      </w:r>
      <w:r>
        <w:rPr>
          <w:rFonts w:hint="eastAsia" w:ascii="宋体" w:hAnsi="宋体" w:cs="宋体"/>
          <w:b/>
          <w:kern w:val="0"/>
          <w:szCs w:val="21"/>
        </w:rPr>
        <w:t>。</w:t>
      </w:r>
    </w:p>
    <w:p>
      <w:pPr>
        <w:spacing w:line="360" w:lineRule="auto"/>
        <w:ind w:firstLine="420" w:firstLineChars="200"/>
        <w:rPr>
          <w:rFonts w:ascii="宋体" w:hAnsi="宋体" w:cs="宋体"/>
          <w:bCs/>
          <w:szCs w:val="21"/>
        </w:rPr>
      </w:pPr>
      <w:r>
        <w:rPr>
          <w:rFonts w:hint="eastAsia" w:ascii="宋体" w:hAnsi="宋体" w:cs="宋体"/>
          <w:bCs/>
          <w:szCs w:val="21"/>
        </w:rPr>
        <w:t>7.1.3开磋商评审程序</w:t>
      </w:r>
      <w:bookmarkEnd w:id="323"/>
    </w:p>
    <w:p>
      <w:pPr>
        <w:spacing w:line="360" w:lineRule="auto"/>
        <w:ind w:firstLine="420" w:firstLineChars="200"/>
        <w:rPr>
          <w:rFonts w:ascii="宋体" w:hAnsi="宋体" w:cs="宋体"/>
          <w:kern w:val="0"/>
          <w:szCs w:val="21"/>
        </w:rPr>
      </w:pPr>
      <w:bookmarkStart w:id="326" w:name="_Toc301187746"/>
      <w:r>
        <w:rPr>
          <w:rFonts w:hint="eastAsia" w:ascii="宋体" w:hAnsi="宋体" w:cs="宋体"/>
          <w:kern w:val="0"/>
          <w:szCs w:val="21"/>
        </w:rPr>
        <w:t>（1）宣布磋商纪律；</w:t>
      </w:r>
    </w:p>
    <w:p>
      <w:pPr>
        <w:spacing w:line="360" w:lineRule="auto"/>
        <w:ind w:firstLine="420" w:firstLineChars="200"/>
        <w:rPr>
          <w:rFonts w:ascii="宋体" w:hAnsi="宋体" w:cs="宋体"/>
          <w:kern w:val="0"/>
          <w:szCs w:val="21"/>
        </w:rPr>
      </w:pPr>
      <w:r>
        <w:rPr>
          <w:rFonts w:hint="eastAsia" w:ascii="宋体" w:hAnsi="宋体" w:cs="宋体"/>
          <w:kern w:val="0"/>
          <w:szCs w:val="21"/>
        </w:rPr>
        <w:t>（2）公布在响应文件提交截止时间前提交响应文件的供应商名称；</w:t>
      </w:r>
    </w:p>
    <w:p>
      <w:pPr>
        <w:spacing w:line="360" w:lineRule="auto"/>
        <w:ind w:firstLine="420" w:firstLineChars="200"/>
        <w:rPr>
          <w:rFonts w:ascii="宋体" w:hAnsi="宋体" w:cs="宋体"/>
          <w:kern w:val="0"/>
          <w:szCs w:val="21"/>
        </w:rPr>
      </w:pPr>
      <w:r>
        <w:rPr>
          <w:rFonts w:hint="eastAsia" w:ascii="宋体" w:hAnsi="宋体" w:cs="宋体"/>
          <w:kern w:val="0"/>
          <w:szCs w:val="21"/>
        </w:rPr>
        <w:t>（3）主持人宣布磋商会的人员姓名；</w:t>
      </w:r>
    </w:p>
    <w:p>
      <w:pPr>
        <w:spacing w:line="360" w:lineRule="auto"/>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cs="宋体"/>
          <w:b/>
          <w:bCs/>
          <w:kern w:val="0"/>
          <w:szCs w:val="21"/>
        </w:rPr>
        <w:t>供应商进行在线解密（解密时间为30分钟），未按时解密或解密未成功的，供应商应当在解密时间内向采购代理机构通过电子邮箱（</w:t>
      </w:r>
      <w:r>
        <w:rPr>
          <w:rFonts w:hint="eastAsia" w:ascii="宋体" w:hAnsi="宋体" w:cs="宋体"/>
          <w:b/>
          <w:bCs/>
          <w:kern w:val="0"/>
          <w:szCs w:val="21"/>
          <w:lang w:eastAsia="zh-CN"/>
        </w:rPr>
        <w:t>420413751</w:t>
      </w:r>
      <w:r>
        <w:rPr>
          <w:rFonts w:hint="eastAsia" w:ascii="宋体" w:hAnsi="宋体" w:cs="宋体"/>
          <w:b/>
          <w:bCs/>
          <w:kern w:val="0"/>
          <w:szCs w:val="21"/>
        </w:rPr>
        <w:t>qq.com）提供备份响应文件</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（5）采购人对供应商进行资格审查；</w:t>
      </w:r>
    </w:p>
    <w:p>
      <w:pPr>
        <w:spacing w:line="360" w:lineRule="auto"/>
        <w:ind w:firstLine="420" w:firstLineChars="200"/>
        <w:rPr>
          <w:rFonts w:ascii="宋体" w:hAnsi="宋体" w:cs="宋体"/>
          <w:kern w:val="0"/>
          <w:szCs w:val="21"/>
        </w:rPr>
      </w:pPr>
      <w:r>
        <w:rPr>
          <w:rFonts w:hint="eastAsia" w:ascii="宋体" w:hAnsi="宋体" w:cs="宋体"/>
          <w:kern w:val="0"/>
          <w:szCs w:val="21"/>
        </w:rPr>
        <w:t>（6）主持人宣布通过资格审查的供应商名单；</w:t>
      </w:r>
    </w:p>
    <w:p>
      <w:pPr>
        <w:spacing w:line="360" w:lineRule="auto"/>
        <w:ind w:firstLine="420" w:firstLineChars="200"/>
        <w:rPr>
          <w:rFonts w:ascii="宋体" w:hAnsi="宋体" w:cs="宋体"/>
          <w:kern w:val="0"/>
          <w:szCs w:val="21"/>
        </w:rPr>
      </w:pPr>
      <w:r>
        <w:rPr>
          <w:rFonts w:hint="eastAsia" w:ascii="宋体" w:hAnsi="宋体" w:cs="宋体"/>
          <w:kern w:val="0"/>
          <w:szCs w:val="21"/>
        </w:rPr>
        <w:t>（7）磋商小组对响应文件进行符合性审查；</w:t>
      </w:r>
    </w:p>
    <w:p>
      <w:pPr>
        <w:spacing w:line="360" w:lineRule="auto"/>
        <w:ind w:firstLine="420" w:firstLineChars="200"/>
        <w:rPr>
          <w:rFonts w:ascii="宋体" w:hAnsi="宋体" w:cs="宋体"/>
          <w:kern w:val="0"/>
          <w:szCs w:val="21"/>
        </w:rPr>
      </w:pPr>
      <w:r>
        <w:rPr>
          <w:rFonts w:hint="eastAsia" w:ascii="宋体" w:hAnsi="宋体" w:cs="宋体"/>
          <w:kern w:val="0"/>
          <w:szCs w:val="21"/>
        </w:rPr>
        <w:t>（8）在有效供应商之间进行磋商，供应商提交磋商时的承诺及补充内容；</w:t>
      </w:r>
    </w:p>
    <w:p>
      <w:pPr>
        <w:spacing w:line="360" w:lineRule="auto"/>
        <w:ind w:firstLine="422" w:firstLineChars="200"/>
        <w:rPr>
          <w:rFonts w:ascii="宋体" w:hAnsi="宋体" w:cs="宋体"/>
          <w:b/>
          <w:bCs/>
          <w:kern w:val="0"/>
          <w:szCs w:val="21"/>
        </w:rPr>
      </w:pPr>
      <w:r>
        <w:rPr>
          <w:rFonts w:hint="eastAsia" w:ascii="宋体" w:hAnsi="宋体" w:cs="宋体"/>
          <w:b/>
          <w:bCs/>
          <w:kern w:val="0"/>
          <w:szCs w:val="21"/>
        </w:rPr>
        <w:t>（9）磋商最多不超过三轮，后一轮报价不得高于前一轮报价；</w:t>
      </w:r>
    </w:p>
    <w:p>
      <w:pPr>
        <w:spacing w:line="360" w:lineRule="auto"/>
        <w:ind w:firstLine="422" w:firstLineChars="200"/>
        <w:rPr>
          <w:rFonts w:ascii="宋体" w:hAnsi="宋体" w:cs="宋体"/>
          <w:kern w:val="0"/>
          <w:szCs w:val="21"/>
        </w:rPr>
      </w:pPr>
      <w:r>
        <w:rPr>
          <w:rFonts w:hint="eastAsia" w:ascii="宋体" w:hAnsi="宋体" w:cs="宋体"/>
          <w:b/>
          <w:bCs/>
          <w:kern w:val="0"/>
          <w:szCs w:val="21"/>
        </w:rPr>
        <w:t>（10）磋商小组对资信及商务标和技术标进行评审（包括打分）；</w:t>
      </w:r>
    </w:p>
    <w:p>
      <w:pPr>
        <w:spacing w:line="360" w:lineRule="auto"/>
        <w:ind w:firstLine="420" w:firstLineChars="200"/>
        <w:rPr>
          <w:rFonts w:ascii="宋体" w:hAnsi="宋体" w:cs="宋体"/>
          <w:kern w:val="0"/>
          <w:szCs w:val="21"/>
        </w:rPr>
      </w:pPr>
      <w:r>
        <w:rPr>
          <w:rFonts w:hint="eastAsia" w:ascii="宋体" w:hAnsi="宋体" w:cs="宋体"/>
          <w:kern w:val="0"/>
          <w:szCs w:val="21"/>
        </w:rPr>
        <w:t>（11）采购代理机构开启标书信息，在线公布供应商名称、磋商报价及相关内容，同时开启签字时段（签字时段为开启签字后30分钟内），供应商应当及时确认无疑义后进行在线签字确认，否则自行承担风险。签字时段结束后，采购代理机构按照流程进入下步工作；</w:t>
      </w:r>
    </w:p>
    <w:p>
      <w:pPr>
        <w:spacing w:line="360" w:lineRule="auto"/>
        <w:ind w:firstLine="420" w:firstLineChars="200"/>
        <w:rPr>
          <w:rFonts w:ascii="宋体" w:hAnsi="宋体" w:cs="宋体"/>
          <w:kern w:val="0"/>
          <w:szCs w:val="21"/>
        </w:rPr>
      </w:pPr>
      <w:r>
        <w:rPr>
          <w:rFonts w:hint="eastAsia" w:ascii="宋体" w:hAnsi="宋体" w:cs="宋体"/>
          <w:kern w:val="0"/>
          <w:szCs w:val="21"/>
        </w:rPr>
        <w:t>（12）</w:t>
      </w:r>
      <w:r>
        <w:rPr>
          <w:rFonts w:hint="eastAsia" w:ascii="宋体" w:hAnsi="宋体" w:cs="宋体"/>
          <w:b/>
          <w:bCs/>
          <w:kern w:val="0"/>
          <w:szCs w:val="21"/>
        </w:rPr>
        <w:t>开启各供应商提交的最后一轮报价，公布报价及其他内容，并记录在案</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（13）磋商小组对各供应商的报价文件进行审核（包括打分）；</w:t>
      </w:r>
    </w:p>
    <w:p>
      <w:pPr>
        <w:spacing w:line="360" w:lineRule="auto"/>
        <w:ind w:firstLine="420" w:firstLineChars="200"/>
        <w:rPr>
          <w:rFonts w:ascii="宋体" w:hAnsi="宋体" w:cs="宋体"/>
          <w:kern w:val="0"/>
          <w:szCs w:val="21"/>
        </w:rPr>
      </w:pPr>
      <w:r>
        <w:rPr>
          <w:rFonts w:hint="eastAsia" w:ascii="宋体" w:hAnsi="宋体" w:cs="宋体"/>
          <w:kern w:val="0"/>
          <w:szCs w:val="21"/>
        </w:rPr>
        <w:t>（14）主持人宣布报价标评审（得分）情况；</w:t>
      </w:r>
    </w:p>
    <w:p>
      <w:pPr>
        <w:spacing w:line="360" w:lineRule="auto"/>
        <w:ind w:firstLine="420" w:firstLineChars="200"/>
        <w:rPr>
          <w:rFonts w:ascii="宋体" w:hAnsi="宋体" w:cs="宋体"/>
          <w:kern w:val="0"/>
          <w:szCs w:val="21"/>
        </w:rPr>
      </w:pPr>
      <w:r>
        <w:rPr>
          <w:rFonts w:hint="eastAsia" w:ascii="宋体" w:hAnsi="宋体" w:cs="宋体"/>
          <w:kern w:val="0"/>
          <w:szCs w:val="21"/>
        </w:rPr>
        <w:t>（15）顺序排序：采用综合评分法的，则汇总各供应商得分并按得分由高到低顺序进行排序。采用最低磋商评审价法的，则按报价由低到高顺序进行排序；</w:t>
      </w:r>
    </w:p>
    <w:p>
      <w:pPr>
        <w:spacing w:line="360" w:lineRule="auto"/>
        <w:ind w:firstLine="420" w:firstLineChars="200"/>
        <w:rPr>
          <w:rFonts w:ascii="宋体" w:hAnsi="宋体" w:cs="宋体"/>
          <w:kern w:val="0"/>
          <w:szCs w:val="21"/>
        </w:rPr>
      </w:pPr>
      <w:r>
        <w:rPr>
          <w:rFonts w:hint="eastAsia" w:ascii="宋体" w:hAnsi="宋体" w:cs="宋体"/>
          <w:kern w:val="0"/>
          <w:szCs w:val="21"/>
        </w:rPr>
        <w:t>（16）磋商小组起草磋商评审报告，并推荐成交候选人或确定成交供应商；</w:t>
      </w:r>
    </w:p>
    <w:p>
      <w:pPr>
        <w:spacing w:line="360" w:lineRule="auto"/>
        <w:ind w:firstLine="420" w:firstLineChars="200"/>
        <w:rPr>
          <w:rFonts w:ascii="宋体" w:hAnsi="宋体" w:cs="宋体"/>
          <w:kern w:val="0"/>
          <w:szCs w:val="21"/>
        </w:rPr>
      </w:pPr>
      <w:r>
        <w:rPr>
          <w:rFonts w:hint="eastAsia" w:ascii="宋体" w:hAnsi="宋体" w:cs="宋体"/>
          <w:kern w:val="0"/>
          <w:szCs w:val="21"/>
        </w:rPr>
        <w:t>（17）主持人宣布有效供应商的评审结果以及推荐的成交候选人或确定成交供应商；</w:t>
      </w:r>
    </w:p>
    <w:p>
      <w:pPr>
        <w:spacing w:line="360" w:lineRule="auto"/>
        <w:ind w:firstLine="420" w:firstLineChars="200"/>
        <w:rPr>
          <w:rFonts w:ascii="宋体" w:hAnsi="宋体" w:cs="宋体"/>
          <w:kern w:val="0"/>
          <w:szCs w:val="21"/>
        </w:rPr>
      </w:pPr>
      <w:r>
        <w:rPr>
          <w:rFonts w:hint="eastAsia" w:ascii="宋体" w:hAnsi="宋体" w:cs="宋体"/>
          <w:kern w:val="0"/>
          <w:szCs w:val="21"/>
        </w:rPr>
        <w:t>（18）</w:t>
      </w:r>
      <w:r>
        <w:rPr>
          <w:rFonts w:hint="eastAsia" w:ascii="宋体" w:hAnsi="宋体" w:cs="宋体"/>
          <w:b/>
          <w:bCs/>
          <w:kern w:val="0"/>
          <w:szCs w:val="21"/>
        </w:rPr>
        <w:t>供应商代表对磋商过程和磋商记录有疑义，以及认为采购人、采购代理机构相关工作人员有需要回避的情形，应通过电话、电子邮箱等形式向采购代理机构提出询问或回避申请</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（19）磋商结束。</w:t>
      </w:r>
    </w:p>
    <w:p>
      <w:pPr>
        <w:spacing w:line="360" w:lineRule="auto"/>
        <w:ind w:firstLine="420" w:firstLineChars="200"/>
        <w:rPr>
          <w:rFonts w:ascii="宋体" w:hAnsi="宋体" w:cs="宋体"/>
          <w:kern w:val="0"/>
          <w:szCs w:val="21"/>
        </w:rPr>
      </w:pPr>
      <w:r>
        <w:rPr>
          <w:rFonts w:hint="eastAsia" w:ascii="宋体" w:hAnsi="宋体" w:cs="宋体"/>
          <w:kern w:val="0"/>
          <w:szCs w:val="21"/>
        </w:rPr>
        <w:t>7.1.4磋商时供应商须携带的资料：见供应商须知前附表。</w:t>
      </w:r>
      <w:bookmarkEnd w:id="326"/>
    </w:p>
    <w:p>
      <w:pPr>
        <w:spacing w:line="360" w:lineRule="auto"/>
        <w:jc w:val="left"/>
        <w:rPr>
          <w:rFonts w:ascii="宋体" w:hAnsi="宋体" w:cs="宋体"/>
          <w:b/>
          <w:bCs/>
          <w:szCs w:val="21"/>
        </w:rPr>
      </w:pPr>
      <w:bookmarkStart w:id="327" w:name="_Toc498327054"/>
      <w:bookmarkStart w:id="328" w:name="_Toc499128599"/>
      <w:bookmarkStart w:id="329" w:name="_Toc31790"/>
      <w:r>
        <w:rPr>
          <w:rFonts w:hint="eastAsia" w:ascii="宋体" w:hAnsi="宋体" w:cs="宋体"/>
          <w:b/>
          <w:bCs/>
          <w:szCs w:val="21"/>
        </w:rPr>
        <w:t>7.2资格审查</w:t>
      </w:r>
      <w:bookmarkEnd w:id="327"/>
      <w:bookmarkEnd w:id="328"/>
      <w:bookmarkEnd w:id="329"/>
    </w:p>
    <w:p>
      <w:pPr>
        <w:spacing w:line="360" w:lineRule="auto"/>
        <w:ind w:firstLine="420" w:firstLineChars="200"/>
        <w:rPr>
          <w:rFonts w:ascii="宋体" w:hAnsi="宋体" w:cs="宋体"/>
          <w:kern w:val="0"/>
          <w:szCs w:val="21"/>
        </w:rPr>
      </w:pPr>
      <w:r>
        <w:rPr>
          <w:rFonts w:hint="eastAsia" w:ascii="宋体" w:hAnsi="宋体" w:cs="宋体"/>
          <w:kern w:val="0"/>
          <w:szCs w:val="21"/>
        </w:rPr>
        <w:t>7.2.1资格审查的内容按照第3.2.1条规定执行。</w:t>
      </w:r>
    </w:p>
    <w:p>
      <w:pPr>
        <w:spacing w:line="360" w:lineRule="auto"/>
        <w:ind w:firstLine="420" w:firstLineChars="200"/>
        <w:rPr>
          <w:rFonts w:ascii="宋体" w:hAnsi="宋体" w:cs="宋体"/>
          <w:kern w:val="0"/>
          <w:szCs w:val="21"/>
        </w:rPr>
      </w:pPr>
      <w:r>
        <w:rPr>
          <w:rFonts w:hint="eastAsia" w:ascii="宋体" w:hAnsi="宋体" w:cs="宋体"/>
          <w:kern w:val="0"/>
          <w:szCs w:val="21"/>
        </w:rPr>
        <w:t>7.2.2资格审查小组按照第7.2.1条要求对供应商进行资格审查。</w:t>
      </w:r>
    </w:p>
    <w:p>
      <w:pPr>
        <w:spacing w:line="360" w:lineRule="auto"/>
        <w:ind w:firstLine="420" w:firstLineChars="200"/>
        <w:rPr>
          <w:rFonts w:ascii="宋体" w:hAnsi="宋体" w:cs="宋体"/>
          <w:kern w:val="0"/>
          <w:szCs w:val="21"/>
        </w:rPr>
      </w:pPr>
      <w:r>
        <w:rPr>
          <w:rFonts w:hint="eastAsia" w:ascii="宋体" w:hAnsi="宋体" w:cs="宋体"/>
          <w:kern w:val="0"/>
          <w:szCs w:val="21"/>
        </w:rPr>
        <w:t>7.2.3资格审查时，供应商未按要求提供、提供不完整或未按要求签署盖章的，视为资格审查不通过。</w:t>
      </w:r>
    </w:p>
    <w:p>
      <w:pPr>
        <w:spacing w:line="360" w:lineRule="auto"/>
        <w:jc w:val="left"/>
        <w:rPr>
          <w:rFonts w:ascii="宋体" w:hAnsi="宋体" w:cs="宋体"/>
          <w:b/>
          <w:bCs/>
          <w:szCs w:val="21"/>
        </w:rPr>
      </w:pPr>
      <w:bookmarkStart w:id="330" w:name="_Toc498327055"/>
      <w:bookmarkStart w:id="331" w:name="_Toc6173"/>
      <w:bookmarkStart w:id="332" w:name="_Toc359934595"/>
      <w:bookmarkStart w:id="333" w:name="_Toc499128600"/>
      <w:r>
        <w:rPr>
          <w:rFonts w:hint="eastAsia" w:ascii="宋体" w:hAnsi="宋体" w:cs="宋体"/>
          <w:b/>
          <w:bCs/>
          <w:szCs w:val="21"/>
        </w:rPr>
        <w:t>7.3</w:t>
      </w:r>
      <w:bookmarkEnd w:id="324"/>
      <w:bookmarkEnd w:id="325"/>
      <w:bookmarkEnd w:id="330"/>
      <w:bookmarkEnd w:id="331"/>
      <w:bookmarkEnd w:id="332"/>
      <w:bookmarkEnd w:id="333"/>
      <w:r>
        <w:rPr>
          <w:rFonts w:hint="eastAsia" w:ascii="宋体" w:hAnsi="宋体" w:cs="宋体"/>
          <w:b/>
          <w:bCs/>
          <w:szCs w:val="21"/>
        </w:rPr>
        <w:t>磋商评审</w:t>
      </w:r>
    </w:p>
    <w:p>
      <w:pPr>
        <w:spacing w:line="360" w:lineRule="auto"/>
        <w:ind w:firstLine="420" w:firstLineChars="200"/>
        <w:rPr>
          <w:rFonts w:ascii="宋体" w:hAnsi="宋体" w:cs="宋体"/>
          <w:kern w:val="0"/>
          <w:szCs w:val="21"/>
        </w:rPr>
      </w:pPr>
      <w:bookmarkStart w:id="334" w:name="_Toc301187748"/>
      <w:r>
        <w:rPr>
          <w:rFonts w:hint="eastAsia" w:ascii="宋体" w:hAnsi="宋体" w:cs="宋体"/>
          <w:kern w:val="0"/>
          <w:szCs w:val="21"/>
        </w:rPr>
        <w:t>7.3.1磋商小组组成：磋商小组由采购人代表和评审专家组成，成员人数应当为3人以上单数，其中评审专家不得少于成员总数的三分之二。</w:t>
      </w:r>
      <w:bookmarkEnd w:id="334"/>
      <w:bookmarkStart w:id="335" w:name="_Toc301187749"/>
    </w:p>
    <w:p>
      <w:pPr>
        <w:spacing w:line="360" w:lineRule="auto"/>
        <w:ind w:firstLine="420" w:firstLineChars="200"/>
        <w:rPr>
          <w:rFonts w:ascii="宋体" w:hAnsi="宋体" w:cs="宋体"/>
          <w:kern w:val="0"/>
          <w:szCs w:val="21"/>
        </w:rPr>
      </w:pPr>
      <w:r>
        <w:rPr>
          <w:rFonts w:hint="eastAsia" w:ascii="宋体" w:hAnsi="宋体" w:cs="宋体"/>
          <w:kern w:val="0"/>
          <w:szCs w:val="21"/>
        </w:rPr>
        <w:t>7.3.2</w:t>
      </w:r>
      <w:bookmarkEnd w:id="335"/>
      <w:r>
        <w:rPr>
          <w:rFonts w:hint="eastAsia" w:ascii="宋体" w:hAnsi="宋体" w:cs="宋体"/>
          <w:kern w:val="0"/>
          <w:szCs w:val="21"/>
        </w:rPr>
        <w:t>磋商评审规定</w:t>
      </w:r>
    </w:p>
    <w:p>
      <w:pPr>
        <w:spacing w:line="360" w:lineRule="auto"/>
        <w:ind w:firstLine="420" w:firstLineChars="200"/>
        <w:rPr>
          <w:rFonts w:ascii="宋体" w:hAnsi="宋体" w:cs="宋体"/>
          <w:kern w:val="0"/>
          <w:szCs w:val="21"/>
        </w:rPr>
      </w:pPr>
      <w:bookmarkStart w:id="336" w:name="_Toc301187750"/>
      <w:r>
        <w:rPr>
          <w:rFonts w:hint="eastAsia" w:ascii="宋体" w:hAnsi="宋体" w:cs="宋体"/>
          <w:kern w:val="0"/>
          <w:szCs w:val="21"/>
        </w:rPr>
        <w:t>（1）磋商小组审查资信及商务标和技术标响应文件的完整性、符合性，是否满足竞争性磋商文件的实质性条款。</w:t>
      </w:r>
      <w:bookmarkEnd w:id="336"/>
    </w:p>
    <w:p>
      <w:pPr>
        <w:spacing w:line="360" w:lineRule="auto"/>
        <w:ind w:firstLine="420" w:firstLineChars="200"/>
        <w:rPr>
          <w:rFonts w:ascii="宋体" w:hAnsi="宋体" w:cs="宋体"/>
          <w:kern w:val="0"/>
          <w:szCs w:val="21"/>
        </w:rPr>
      </w:pPr>
      <w:bookmarkStart w:id="337" w:name="_Toc301187751"/>
      <w:r>
        <w:rPr>
          <w:rFonts w:hint="eastAsia" w:ascii="宋体" w:hAnsi="宋体" w:cs="宋体"/>
          <w:kern w:val="0"/>
          <w:szCs w:val="21"/>
        </w:rPr>
        <w:t>（2）磋商小组审查技术标响应文件的实质性内容是否符合竞争性磋商文件的实质性要求。</w:t>
      </w:r>
      <w:bookmarkEnd w:id="337"/>
    </w:p>
    <w:p>
      <w:pPr>
        <w:spacing w:line="360" w:lineRule="auto"/>
        <w:ind w:firstLine="420" w:firstLineChars="200"/>
        <w:rPr>
          <w:rFonts w:ascii="宋体" w:hAnsi="宋体" w:cs="宋体"/>
          <w:szCs w:val="21"/>
        </w:rPr>
      </w:pPr>
      <w:bookmarkStart w:id="338" w:name="_Toc301187752"/>
      <w:r>
        <w:rPr>
          <w:rFonts w:hint="eastAsia" w:ascii="宋体" w:hAnsi="宋体" w:cs="宋体"/>
          <w:kern w:val="0"/>
          <w:szCs w:val="21"/>
        </w:rPr>
        <w:t>（3）磋商小组将根据供应商的技术标响应文件进行审查、核对，如有疑问，将对供应商进行询标，供应商要向磋商</w:t>
      </w:r>
      <w:r>
        <w:rPr>
          <w:rFonts w:hint="eastAsia" w:ascii="宋体" w:hAnsi="宋体" w:cs="宋体"/>
          <w:szCs w:val="21"/>
        </w:rPr>
        <w:t>小组澄清有关问题，</w:t>
      </w:r>
      <w:bookmarkEnd w:id="338"/>
      <w:r>
        <w:rPr>
          <w:rFonts w:hint="eastAsia" w:ascii="宋体" w:hAnsi="宋体" w:cs="宋体"/>
          <w:b/>
          <w:bCs/>
          <w:szCs w:val="21"/>
        </w:rPr>
        <w:t>并最终以政采云平台交换数据电文进行答复</w:t>
      </w:r>
      <w:r>
        <w:rPr>
          <w:rFonts w:hint="eastAsia" w:ascii="宋体" w:hAnsi="宋体" w:cs="宋体"/>
          <w:szCs w:val="21"/>
        </w:rPr>
        <w:t>。</w:t>
      </w:r>
    </w:p>
    <w:p>
      <w:pPr>
        <w:spacing w:line="360" w:lineRule="auto"/>
        <w:ind w:firstLine="420" w:firstLineChars="200"/>
        <w:rPr>
          <w:rFonts w:ascii="宋体" w:hAnsi="宋体" w:cs="宋体"/>
          <w:szCs w:val="21"/>
        </w:rPr>
      </w:pPr>
      <w:bookmarkStart w:id="339" w:name="_Toc301187753"/>
      <w:r>
        <w:rPr>
          <w:rFonts w:hint="eastAsia" w:ascii="宋体" w:hAnsi="宋体" w:cs="宋体"/>
          <w:szCs w:val="21"/>
        </w:rPr>
        <w:t>供应商全权代表未到场或者拒绝澄清或者澄清的内容改变了响应文件的实质性内容的，磋商小组有权对该响应文件作出不利于供应商的评判。</w:t>
      </w:r>
      <w:bookmarkEnd w:id="339"/>
    </w:p>
    <w:p>
      <w:pPr>
        <w:spacing w:line="360" w:lineRule="auto"/>
        <w:ind w:firstLine="420" w:firstLineChars="200"/>
        <w:rPr>
          <w:rFonts w:ascii="宋体" w:hAnsi="宋体" w:cs="宋体"/>
          <w:szCs w:val="21"/>
        </w:rPr>
      </w:pPr>
      <w:bookmarkStart w:id="340" w:name="_Toc301187754"/>
      <w:r>
        <w:rPr>
          <w:rFonts w:hint="eastAsia" w:ascii="宋体" w:hAnsi="宋体" w:cs="宋体"/>
          <w:szCs w:val="21"/>
        </w:rPr>
        <w:t>（4）</w:t>
      </w:r>
      <w:bookmarkEnd w:id="340"/>
      <w:r>
        <w:rPr>
          <w:rFonts w:hint="eastAsia" w:ascii="宋体" w:hAnsi="宋体" w:cs="宋体"/>
          <w:szCs w:val="21"/>
        </w:rPr>
        <w:t>采用综合评分法的，磋商小组按照磋商评审办法中的技术、资信及商务分的计算公式计算出各供应商的技术、资信及商务分，并指定专人进行计算复核。</w:t>
      </w:r>
    </w:p>
    <w:p>
      <w:pPr>
        <w:spacing w:line="360" w:lineRule="auto"/>
        <w:ind w:firstLine="420" w:firstLineChars="200"/>
        <w:rPr>
          <w:rFonts w:ascii="宋体" w:hAnsi="宋体" w:cs="宋体"/>
          <w:szCs w:val="21"/>
        </w:rPr>
      </w:pPr>
      <w:r>
        <w:rPr>
          <w:rFonts w:hint="eastAsia" w:ascii="宋体" w:hAnsi="宋体" w:cs="宋体"/>
          <w:szCs w:val="21"/>
        </w:rPr>
        <w:t>（5）磋商小组认为供应商的报价明显低于其他通过符合性审查供应商的报价，有可能影响产品质量或者不能诚信履约的，</w:t>
      </w:r>
      <w:r>
        <w:rPr>
          <w:rFonts w:hint="eastAsia" w:ascii="宋体" w:hAnsi="宋体" w:cs="宋体"/>
          <w:b/>
          <w:bCs/>
          <w:szCs w:val="21"/>
        </w:rPr>
        <w:t>应当要求其在磋商现场合理的时间内通过政采云平台交换数据电文提供说明</w:t>
      </w:r>
      <w:r>
        <w:rPr>
          <w:rFonts w:hint="eastAsia" w:ascii="宋体" w:hAnsi="宋体" w:cs="宋体"/>
          <w:szCs w:val="21"/>
        </w:rPr>
        <w:t>，必要时提交相关证明材料；供应商不能证明其报价合理性的，磋商小组应当将其作为无效标处理。</w:t>
      </w:r>
    </w:p>
    <w:p>
      <w:pPr>
        <w:spacing w:line="348" w:lineRule="auto"/>
        <w:ind w:firstLine="420" w:firstLineChars="200"/>
        <w:rPr>
          <w:rFonts w:ascii="宋体" w:hAnsi="宋体" w:cs="宋体"/>
          <w:szCs w:val="21"/>
        </w:rPr>
      </w:pPr>
      <w:r>
        <w:rPr>
          <w:rFonts w:hint="eastAsia" w:ascii="宋体" w:hAnsi="宋体" w:cs="宋体"/>
          <w:szCs w:val="21"/>
        </w:rPr>
        <w:t>（6）磋商小组根据政府采购政策的规定，对供应商进行价格扣除，按照磋商评审办法中的价格扣除公式计算出供应商的调整后的磋商报价。</w:t>
      </w:r>
    </w:p>
    <w:p>
      <w:pPr>
        <w:spacing w:line="348" w:lineRule="auto"/>
        <w:ind w:firstLine="420" w:firstLineChars="200"/>
        <w:rPr>
          <w:rFonts w:ascii="宋体" w:hAnsi="宋体" w:cs="宋体"/>
          <w:szCs w:val="21"/>
        </w:rPr>
      </w:pPr>
      <w:bookmarkStart w:id="341" w:name="_Toc301187755"/>
      <w:r>
        <w:rPr>
          <w:rFonts w:hint="eastAsia" w:ascii="宋体" w:hAnsi="宋体" w:cs="宋体"/>
          <w:szCs w:val="21"/>
        </w:rPr>
        <w:t>（7）采用综合评分法的，磋商小组按照磋商评审办法中的价格分计算公式计算出各供应商的价格分，并指定专人进行计算复核。</w:t>
      </w:r>
    </w:p>
    <w:p>
      <w:pPr>
        <w:spacing w:line="348" w:lineRule="auto"/>
        <w:ind w:firstLine="420" w:firstLineChars="200"/>
        <w:rPr>
          <w:rFonts w:ascii="宋体" w:hAnsi="宋体" w:cs="宋体"/>
          <w:szCs w:val="21"/>
        </w:rPr>
      </w:pPr>
      <w:r>
        <w:rPr>
          <w:rFonts w:hint="eastAsia" w:ascii="宋体" w:hAnsi="宋体" w:cs="宋体"/>
          <w:szCs w:val="21"/>
        </w:rPr>
        <w:t>（8）采用综合评分法的，磋商小组应当独立对每个供应商的响应文件进行评价，并汇总每个供应商的得分。</w:t>
      </w:r>
    </w:p>
    <w:p>
      <w:pPr>
        <w:spacing w:line="348" w:lineRule="auto"/>
        <w:ind w:firstLine="420" w:firstLineChars="200"/>
        <w:rPr>
          <w:rFonts w:ascii="宋体" w:hAnsi="宋体" w:cs="宋体"/>
          <w:szCs w:val="21"/>
        </w:rPr>
      </w:pPr>
      <w:r>
        <w:rPr>
          <w:rFonts w:hint="eastAsia" w:ascii="宋体" w:hAnsi="宋体" w:cs="宋体"/>
          <w:szCs w:val="21"/>
        </w:rPr>
        <w:t>（9）磋商小组按磋商评审办法推荐成交候选人或确定成交供应商，同时起草磋商评审报告。</w:t>
      </w:r>
    </w:p>
    <w:p>
      <w:pPr>
        <w:spacing w:line="348" w:lineRule="auto"/>
        <w:ind w:firstLine="420" w:firstLineChars="200"/>
        <w:rPr>
          <w:rFonts w:ascii="宋体" w:hAnsi="宋体" w:cs="宋体"/>
          <w:szCs w:val="21"/>
        </w:rPr>
      </w:pPr>
      <w:r>
        <w:rPr>
          <w:rFonts w:hint="eastAsia" w:ascii="宋体" w:hAnsi="宋体" w:cs="宋体"/>
          <w:szCs w:val="21"/>
        </w:rPr>
        <w:t>（10）磋商小组成员对需要共同认定的事项存在争议的，应当按照少数服从多数的原则作出结论，持不同意见的磋商小组成员应当在磋商评审报告上签署不同意见及理由，否则视为同意磋商评审报告。</w:t>
      </w:r>
    </w:p>
    <w:p>
      <w:pPr>
        <w:spacing w:line="348" w:lineRule="auto"/>
        <w:ind w:firstLine="420" w:firstLineChars="200"/>
        <w:rPr>
          <w:rFonts w:ascii="宋体" w:hAnsi="宋体" w:cs="宋体"/>
          <w:szCs w:val="21"/>
        </w:rPr>
      </w:pPr>
      <w:r>
        <w:rPr>
          <w:rFonts w:hint="eastAsia" w:ascii="宋体" w:hAnsi="宋体" w:cs="宋体"/>
          <w:szCs w:val="21"/>
        </w:rPr>
        <w:t>（11）磋商小组协助采购代理机构处理现场供应商对磋商评审结果报告提出的疑问。</w:t>
      </w:r>
    </w:p>
    <w:p>
      <w:pPr>
        <w:spacing w:line="348" w:lineRule="auto"/>
        <w:ind w:firstLine="525" w:firstLineChars="250"/>
        <w:rPr>
          <w:rFonts w:ascii="宋体" w:hAnsi="宋体" w:cs="宋体"/>
        </w:rPr>
      </w:pPr>
      <w:r>
        <w:rPr>
          <w:rFonts w:hint="eastAsia" w:ascii="宋体" w:hAnsi="宋体" w:cs="宋体"/>
          <w:szCs w:val="21"/>
        </w:rPr>
        <w:t>7.3.3</w:t>
      </w:r>
      <w:r>
        <w:rPr>
          <w:rFonts w:hint="eastAsia" w:ascii="宋体" w:hAnsi="宋体" w:cs="宋体"/>
        </w:rPr>
        <w:t>磋商内容</w:t>
      </w:r>
    </w:p>
    <w:p>
      <w:pPr>
        <w:spacing w:line="348" w:lineRule="auto"/>
        <w:ind w:firstLine="420" w:firstLineChars="200"/>
        <w:rPr>
          <w:rFonts w:ascii="宋体" w:hAnsi="宋体" w:cs="宋体"/>
          <w:szCs w:val="21"/>
        </w:rPr>
      </w:pPr>
      <w:r>
        <w:rPr>
          <w:rFonts w:hint="eastAsia" w:ascii="宋体" w:hAnsi="宋体" w:cs="宋体"/>
          <w:szCs w:val="21"/>
        </w:rPr>
        <w:t>（1）磋商小组可以根据磋商文件和磋商情况实质性变动采购需求中的技术、服务要求以及合同草案条款。</w:t>
      </w:r>
    </w:p>
    <w:p>
      <w:pPr>
        <w:spacing w:line="348"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磋商轮次最多不超过3轮</w:t>
      </w:r>
      <w:r>
        <w:rPr>
          <w:rFonts w:hint="eastAsia" w:ascii="宋体" w:hAnsi="宋体" w:cs="宋体"/>
          <w:szCs w:val="21"/>
        </w:rPr>
        <w:t>，供应商在磋商过程中所作出的各种承诺都必须用书面形式，并由供应商代表签字。</w:t>
      </w:r>
    </w:p>
    <w:p>
      <w:pPr>
        <w:snapToGrid w:val="0"/>
        <w:spacing w:line="360" w:lineRule="auto"/>
        <w:ind w:firstLine="420" w:firstLineChars="200"/>
        <w:rPr>
          <w:rFonts w:ascii="宋体" w:hAnsi="宋体" w:cs="宋体"/>
          <w:szCs w:val="21"/>
        </w:rPr>
      </w:pPr>
      <w:r>
        <w:rPr>
          <w:rFonts w:hint="eastAsia" w:ascii="宋体" w:hAnsi="宋体" w:cs="宋体"/>
          <w:szCs w:val="21"/>
        </w:rPr>
        <w:t>（3）本项目采用不公开方式评审，评审的依据为磋商文件、响应文件以及磋商期间供应商的书面承诺。</w:t>
      </w:r>
    </w:p>
    <w:p>
      <w:pPr>
        <w:spacing w:line="360" w:lineRule="auto"/>
        <w:ind w:firstLine="420" w:firstLineChars="200"/>
        <w:rPr>
          <w:rFonts w:ascii="宋体" w:hAnsi="宋体" w:cs="宋体"/>
          <w:szCs w:val="21"/>
        </w:rPr>
      </w:pPr>
      <w:r>
        <w:rPr>
          <w:rFonts w:hint="eastAsia" w:ascii="宋体" w:hAnsi="宋体" w:cs="宋体"/>
          <w:szCs w:val="21"/>
        </w:rPr>
        <w:t>7.3.4错误修正</w:t>
      </w:r>
      <w:bookmarkEnd w:id="341"/>
    </w:p>
    <w:p>
      <w:pPr>
        <w:spacing w:line="360" w:lineRule="auto"/>
        <w:ind w:firstLine="420" w:firstLineChars="200"/>
        <w:rPr>
          <w:rFonts w:ascii="宋体" w:hAnsi="宋体" w:cs="宋体"/>
          <w:szCs w:val="21"/>
        </w:rPr>
      </w:pPr>
      <w:bookmarkStart w:id="342" w:name="_Toc301187756"/>
      <w:r>
        <w:rPr>
          <w:rFonts w:hint="eastAsia" w:ascii="宋体" w:hAnsi="宋体" w:cs="宋体"/>
          <w:szCs w:val="21"/>
        </w:rPr>
        <w:t>响应文件如果出现计算或表达上的错误，修正错误的原则如下：</w:t>
      </w:r>
      <w:bookmarkEnd w:id="342"/>
    </w:p>
    <w:p>
      <w:pPr>
        <w:spacing w:line="360" w:lineRule="auto"/>
        <w:ind w:firstLine="420" w:firstLineChars="200"/>
        <w:rPr>
          <w:rFonts w:ascii="宋体" w:hAnsi="宋体" w:cs="宋体"/>
          <w:szCs w:val="21"/>
        </w:rPr>
      </w:pPr>
      <w:bookmarkStart w:id="343" w:name="_Toc301187757"/>
      <w:r>
        <w:rPr>
          <w:rFonts w:hint="eastAsia" w:ascii="宋体" w:hAnsi="宋体" w:cs="宋体"/>
          <w:szCs w:val="21"/>
        </w:rPr>
        <w:t>（1）响应文件中磋商一览表内容与响应文件中相应内容不一致的，以磋商一览表为准；</w:t>
      </w:r>
      <w:bookmarkEnd w:id="343"/>
    </w:p>
    <w:p>
      <w:pPr>
        <w:spacing w:line="360" w:lineRule="auto"/>
        <w:ind w:firstLine="420" w:firstLineChars="200"/>
        <w:rPr>
          <w:rFonts w:ascii="宋体" w:hAnsi="宋体" w:cs="宋体"/>
          <w:szCs w:val="21"/>
        </w:rPr>
      </w:pPr>
      <w:bookmarkStart w:id="344" w:name="_Toc301187758"/>
      <w:r>
        <w:rPr>
          <w:rFonts w:hint="eastAsia" w:ascii="宋体" w:hAnsi="宋体" w:cs="宋体"/>
          <w:szCs w:val="21"/>
        </w:rPr>
        <w:t>（2）大写金额和小写金额不一致的，以大写金额为准；</w:t>
      </w:r>
      <w:bookmarkEnd w:id="344"/>
    </w:p>
    <w:p>
      <w:pPr>
        <w:spacing w:line="360" w:lineRule="auto"/>
        <w:ind w:firstLine="420" w:firstLineChars="200"/>
        <w:rPr>
          <w:rFonts w:ascii="宋体" w:hAnsi="宋体" w:cs="宋体"/>
          <w:szCs w:val="21"/>
        </w:rPr>
      </w:pPr>
      <w:bookmarkStart w:id="345" w:name="_Toc301187759"/>
      <w:r>
        <w:rPr>
          <w:rFonts w:hint="eastAsia" w:ascii="宋体" w:hAnsi="宋体" w:cs="宋体"/>
          <w:szCs w:val="21"/>
        </w:rPr>
        <w:t>（3）单价金额小数点或者百分比有明显错位的，以磋商一览表的总价为准，并修改单价；</w:t>
      </w:r>
      <w:bookmarkEnd w:id="345"/>
    </w:p>
    <w:p>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ascii="宋体" w:hAnsi="宋体" w:cs="宋体"/>
          <w:szCs w:val="21"/>
        </w:rPr>
      </w:pPr>
      <w:bookmarkStart w:id="346" w:name="_Toc301187760"/>
      <w:r>
        <w:rPr>
          <w:rFonts w:hint="eastAsia" w:ascii="宋体" w:hAnsi="宋体" w:cs="宋体"/>
          <w:szCs w:val="21"/>
        </w:rPr>
        <w:t>（5）对不同文字文本响应文件的解释发生异议的，以中文文本为准</w:t>
      </w:r>
      <w:bookmarkEnd w:id="346"/>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同时出现两种以上不一致的，按照前款规定的顺序修正。修正后的报价按照第6条第一款规定经供应商确认后产生约束力，供应商不确认的，其磋商无效。</w:t>
      </w:r>
    </w:p>
    <w:p>
      <w:pPr>
        <w:spacing w:line="360" w:lineRule="auto"/>
        <w:ind w:firstLine="420" w:firstLineChars="200"/>
        <w:rPr>
          <w:rFonts w:ascii="宋体" w:hAnsi="宋体" w:cs="宋体"/>
          <w:szCs w:val="21"/>
        </w:rPr>
      </w:pPr>
      <w:bookmarkStart w:id="347" w:name="_Toc301187762"/>
      <w:r>
        <w:rPr>
          <w:rFonts w:hint="eastAsia" w:ascii="宋体" w:hAnsi="宋体" w:cs="宋体"/>
          <w:szCs w:val="21"/>
        </w:rPr>
        <w:t>7.3.5</w:t>
      </w:r>
      <w:bookmarkEnd w:id="347"/>
      <w:r>
        <w:rPr>
          <w:rFonts w:hint="eastAsia" w:ascii="宋体" w:hAnsi="宋体" w:cs="宋体"/>
          <w:szCs w:val="21"/>
        </w:rPr>
        <w:t>磋商评审纪律</w:t>
      </w:r>
    </w:p>
    <w:p>
      <w:pPr>
        <w:spacing w:line="360" w:lineRule="auto"/>
        <w:ind w:firstLine="420" w:firstLineChars="200"/>
        <w:rPr>
          <w:rFonts w:ascii="宋体" w:hAnsi="宋体" w:cs="宋体"/>
          <w:szCs w:val="21"/>
        </w:rPr>
      </w:pPr>
      <w:bookmarkStart w:id="348" w:name="_Toc301187763"/>
      <w:r>
        <w:rPr>
          <w:rFonts w:hint="eastAsia" w:ascii="宋体" w:hAnsi="宋体" w:cs="宋体"/>
          <w:szCs w:val="21"/>
        </w:rPr>
        <w:t>（1）磋商小组必须公平、公正、客观，不带任何倾向性和启发性；</w:t>
      </w:r>
      <w:bookmarkEnd w:id="348"/>
    </w:p>
    <w:p>
      <w:pPr>
        <w:spacing w:line="360" w:lineRule="auto"/>
        <w:ind w:firstLine="420" w:firstLineChars="200"/>
        <w:rPr>
          <w:rFonts w:ascii="宋体" w:hAnsi="宋体" w:cs="宋体"/>
          <w:szCs w:val="21"/>
        </w:rPr>
      </w:pPr>
      <w:bookmarkStart w:id="349" w:name="_Toc301187764"/>
      <w:r>
        <w:rPr>
          <w:rFonts w:hint="eastAsia" w:ascii="宋体" w:hAnsi="宋体" w:cs="宋体"/>
          <w:szCs w:val="21"/>
        </w:rPr>
        <w:t>（2）磋商小组及有关工作人员不得向外界透露任何与磋商评审有关的内容；</w:t>
      </w:r>
      <w:bookmarkEnd w:id="349"/>
    </w:p>
    <w:p>
      <w:pPr>
        <w:spacing w:line="360" w:lineRule="auto"/>
        <w:ind w:firstLine="420" w:firstLineChars="200"/>
        <w:rPr>
          <w:rFonts w:ascii="宋体" w:hAnsi="宋体" w:cs="宋体"/>
          <w:szCs w:val="21"/>
        </w:rPr>
      </w:pPr>
      <w:bookmarkStart w:id="350" w:name="_Toc301187765"/>
      <w:r>
        <w:rPr>
          <w:rFonts w:hint="eastAsia" w:ascii="宋体" w:hAnsi="宋体" w:cs="宋体"/>
          <w:szCs w:val="21"/>
        </w:rPr>
        <w:t>（3）任何单位和个人不得干扰、影响磋商评审的正常进行；</w:t>
      </w:r>
      <w:bookmarkEnd w:id="350"/>
    </w:p>
    <w:p>
      <w:pPr>
        <w:spacing w:line="360" w:lineRule="auto"/>
        <w:ind w:firstLine="420" w:firstLineChars="200"/>
        <w:rPr>
          <w:rFonts w:ascii="宋体" w:hAnsi="宋体" w:cs="宋体"/>
          <w:szCs w:val="21"/>
        </w:rPr>
      </w:pPr>
      <w:bookmarkStart w:id="351" w:name="_Toc301187766"/>
      <w:r>
        <w:rPr>
          <w:rFonts w:hint="eastAsia" w:ascii="宋体" w:hAnsi="宋体" w:cs="宋体"/>
          <w:szCs w:val="21"/>
        </w:rPr>
        <w:t>（4）磋商小组及有关工作人员不得私下与供应商接触</w:t>
      </w:r>
      <w:bookmarkEnd w:id="351"/>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（5）在磋商评审过程中撤离职守，影响磋商评审程序正常进行的；</w:t>
      </w:r>
    </w:p>
    <w:p>
      <w:pPr>
        <w:spacing w:line="360" w:lineRule="auto"/>
        <w:ind w:firstLine="420" w:firstLineChars="200"/>
        <w:rPr>
          <w:rFonts w:ascii="宋体" w:hAnsi="宋体" w:cs="宋体"/>
          <w:szCs w:val="21"/>
        </w:rPr>
      </w:pPr>
      <w:r>
        <w:rPr>
          <w:rFonts w:hint="eastAsia" w:ascii="宋体" w:hAnsi="宋体" w:cs="宋体"/>
          <w:szCs w:val="21"/>
        </w:rPr>
        <w:t>（6）记录、复制或者带走任何磋商评审资料；</w:t>
      </w:r>
    </w:p>
    <w:p>
      <w:pPr>
        <w:spacing w:line="360" w:lineRule="auto"/>
        <w:ind w:firstLine="420" w:firstLineChars="200"/>
        <w:rPr>
          <w:rFonts w:ascii="宋体" w:hAnsi="宋体" w:cs="宋体"/>
          <w:szCs w:val="21"/>
        </w:rPr>
      </w:pPr>
      <w:r>
        <w:rPr>
          <w:rFonts w:hint="eastAsia" w:ascii="宋体" w:hAnsi="宋体" w:cs="宋体"/>
          <w:szCs w:val="21"/>
        </w:rPr>
        <w:t>（7）其他不遵守磋商评审纪律的行为。</w:t>
      </w:r>
    </w:p>
    <w:p>
      <w:pPr>
        <w:spacing w:line="360" w:lineRule="auto"/>
        <w:ind w:firstLine="420" w:firstLineChars="200"/>
        <w:rPr>
          <w:rFonts w:ascii="宋体" w:hAnsi="宋体" w:cs="宋体"/>
          <w:szCs w:val="21"/>
        </w:rPr>
      </w:pPr>
      <w:bookmarkStart w:id="352" w:name="_Toc301187767"/>
      <w:r>
        <w:rPr>
          <w:rFonts w:hint="eastAsia" w:ascii="宋体" w:hAnsi="宋体" w:cs="宋体"/>
          <w:szCs w:val="21"/>
        </w:rPr>
        <w:t>7.3.6磋商评审办法</w:t>
      </w:r>
      <w:bookmarkEnd w:id="352"/>
      <w:bookmarkStart w:id="353" w:name="_Toc301187768"/>
      <w:r>
        <w:rPr>
          <w:rFonts w:hint="eastAsia" w:ascii="宋体" w:hAnsi="宋体" w:cs="宋体"/>
          <w:szCs w:val="21"/>
        </w:rPr>
        <w:t>：见供应商须知前附表。</w:t>
      </w:r>
      <w:bookmarkEnd w:id="353"/>
    </w:p>
    <w:p>
      <w:pPr>
        <w:spacing w:line="360" w:lineRule="auto"/>
        <w:ind w:firstLine="420" w:firstLineChars="200"/>
        <w:rPr>
          <w:rFonts w:ascii="宋体" w:hAnsi="宋体" w:cs="宋体"/>
          <w:szCs w:val="21"/>
        </w:rPr>
      </w:pPr>
      <w:r>
        <w:rPr>
          <w:rFonts w:hint="eastAsia" w:ascii="宋体" w:hAnsi="宋体" w:cs="宋体"/>
          <w:szCs w:val="21"/>
        </w:rPr>
        <w:t>7.3.7磋商评审过程的监控</w:t>
      </w:r>
    </w:p>
    <w:p>
      <w:pPr>
        <w:spacing w:line="360" w:lineRule="auto"/>
        <w:ind w:firstLine="420" w:firstLineChars="200"/>
        <w:rPr>
          <w:rFonts w:ascii="宋体" w:hAnsi="宋体" w:cs="宋体"/>
          <w:szCs w:val="21"/>
        </w:rPr>
      </w:pPr>
      <w:r>
        <w:rPr>
          <w:rFonts w:hint="eastAsia" w:ascii="宋体" w:hAnsi="宋体" w:cs="宋体"/>
          <w:szCs w:val="21"/>
        </w:rPr>
        <w:t>本项目磋商评审过程实行全程录音、录像监控，供应商在磋商评审过程中所有进行的试图影响磋商评审结果的不公正活动，可能导致其磋商被拒绝。</w:t>
      </w:r>
    </w:p>
    <w:p>
      <w:pPr>
        <w:spacing w:line="360" w:lineRule="auto"/>
        <w:jc w:val="left"/>
        <w:rPr>
          <w:rFonts w:ascii="宋体" w:hAnsi="宋体" w:cs="宋体"/>
          <w:b/>
          <w:bCs/>
          <w:szCs w:val="21"/>
        </w:rPr>
      </w:pPr>
      <w:bookmarkStart w:id="354" w:name="_Toc301187769"/>
      <w:bookmarkStart w:id="355" w:name="_Toc499128603"/>
      <w:bookmarkStart w:id="356" w:name="_Toc498327058"/>
      <w:bookmarkStart w:id="357" w:name="_Toc8888"/>
      <w:bookmarkStart w:id="358" w:name="_Toc359934596"/>
      <w:bookmarkStart w:id="359" w:name="_Toc303756399"/>
      <w:r>
        <w:rPr>
          <w:rFonts w:hint="eastAsia" w:ascii="宋体" w:hAnsi="宋体" w:cs="宋体"/>
          <w:b/>
          <w:bCs/>
          <w:szCs w:val="21"/>
        </w:rPr>
        <w:t>7.4定标</w:t>
      </w:r>
      <w:bookmarkEnd w:id="354"/>
      <w:bookmarkEnd w:id="355"/>
      <w:bookmarkEnd w:id="356"/>
      <w:bookmarkEnd w:id="357"/>
      <w:bookmarkEnd w:id="358"/>
      <w:bookmarkEnd w:id="359"/>
    </w:p>
    <w:p>
      <w:pPr>
        <w:spacing w:line="360" w:lineRule="auto"/>
        <w:ind w:firstLine="420" w:firstLineChars="200"/>
        <w:rPr>
          <w:rFonts w:ascii="宋体" w:hAnsi="宋体" w:cs="宋体"/>
          <w:szCs w:val="21"/>
        </w:rPr>
      </w:pPr>
      <w:r>
        <w:rPr>
          <w:rFonts w:hint="eastAsia" w:ascii="宋体" w:hAnsi="宋体" w:cs="宋体"/>
          <w:szCs w:val="21"/>
        </w:rPr>
        <w:t>7.4.1本项目由磋商小组推荐成交候选人或经采购人授权直接确定成交供应商。推荐成交候选人家数：见供应商须知前附表。</w:t>
      </w:r>
    </w:p>
    <w:p>
      <w:pPr>
        <w:spacing w:line="360" w:lineRule="auto"/>
        <w:ind w:firstLine="420" w:firstLineChars="200"/>
        <w:rPr>
          <w:rFonts w:ascii="宋体" w:hAnsi="宋体" w:cs="宋体"/>
          <w:szCs w:val="21"/>
        </w:rPr>
      </w:pPr>
      <w:r>
        <w:rPr>
          <w:rFonts w:hint="eastAsia" w:ascii="宋体" w:hAnsi="宋体" w:cs="宋体"/>
          <w:szCs w:val="21"/>
        </w:rPr>
        <w:t>7.4.2定标排序：见第六章 «磋商评审办法及评分标准»。</w:t>
      </w:r>
    </w:p>
    <w:p>
      <w:pPr>
        <w:spacing w:line="360" w:lineRule="auto"/>
        <w:ind w:firstLine="420" w:firstLineChars="200"/>
        <w:rPr>
          <w:rFonts w:ascii="宋体" w:hAnsi="宋体" w:cs="宋体"/>
          <w:szCs w:val="21"/>
        </w:rPr>
      </w:pPr>
      <w:r>
        <w:rPr>
          <w:rFonts w:hint="eastAsia" w:ascii="宋体" w:hAnsi="宋体" w:cs="宋体"/>
          <w:szCs w:val="21"/>
        </w:rPr>
        <w:t>7.4.3合格的供应商不足三家时，采购人根据《中华人民共和国政府采购法》、《政府采购竞争性磋商采购方式管理暂行办法》、《关于政府采购竞争性磋商采购方式管理暂行办法有关问题的补充通知》 (财库〔2015〕124号)以及浙江省相关规定执行。</w:t>
      </w:r>
    </w:p>
    <w:p>
      <w:pPr>
        <w:spacing w:line="360" w:lineRule="auto"/>
        <w:jc w:val="left"/>
        <w:rPr>
          <w:rFonts w:ascii="宋体" w:hAnsi="宋体" w:cs="宋体"/>
          <w:b/>
          <w:bCs/>
          <w:szCs w:val="21"/>
        </w:rPr>
      </w:pPr>
      <w:bookmarkStart w:id="360" w:name="_Toc31748"/>
      <w:r>
        <w:rPr>
          <w:rFonts w:hint="eastAsia" w:ascii="宋体" w:hAnsi="宋体" w:cs="宋体"/>
          <w:b/>
          <w:bCs/>
          <w:szCs w:val="21"/>
        </w:rPr>
        <w:t>7.5 突发情况处理</w:t>
      </w:r>
      <w:bookmarkEnd w:id="360"/>
    </w:p>
    <w:p>
      <w:pPr>
        <w:spacing w:line="360" w:lineRule="auto"/>
        <w:ind w:firstLine="422" w:firstLineChars="200"/>
        <w:rPr>
          <w:rFonts w:ascii="宋体" w:hAnsi="宋体" w:cs="宋体"/>
          <w:b/>
          <w:bCs/>
          <w:szCs w:val="21"/>
        </w:rPr>
      </w:pPr>
      <w:r>
        <w:rPr>
          <w:rFonts w:hint="eastAsia" w:ascii="宋体" w:hAnsi="宋体" w:cs="宋体"/>
          <w:b/>
          <w:bCs/>
          <w:szCs w:val="21"/>
        </w:rPr>
        <w:t>7.5.1采购过程中出现以下情形，导致政采云平台无法正常运行，或者无法保证电子交易的公平、公正和安全时，采购代理机构将中止电子交易活动：</w:t>
      </w:r>
    </w:p>
    <w:p>
      <w:pPr>
        <w:spacing w:line="360" w:lineRule="auto"/>
        <w:ind w:firstLine="420" w:firstLineChars="200"/>
        <w:rPr>
          <w:rFonts w:ascii="宋体" w:hAnsi="宋体" w:cs="宋体"/>
          <w:szCs w:val="21"/>
        </w:rPr>
      </w:pPr>
      <w:r>
        <w:rPr>
          <w:rFonts w:hint="eastAsia" w:ascii="宋体" w:hAnsi="宋体" w:cs="宋体"/>
          <w:szCs w:val="21"/>
        </w:rPr>
        <w:t>⑴电子交易平台发生故障而无法登录访问的； </w:t>
      </w:r>
    </w:p>
    <w:p>
      <w:pPr>
        <w:spacing w:line="360" w:lineRule="auto"/>
        <w:ind w:firstLine="420" w:firstLineChars="200"/>
        <w:rPr>
          <w:rFonts w:ascii="宋体" w:hAnsi="宋体" w:cs="宋体"/>
          <w:szCs w:val="21"/>
        </w:rPr>
      </w:pPr>
      <w:r>
        <w:rPr>
          <w:rFonts w:hint="eastAsia" w:ascii="宋体" w:hAnsi="宋体" w:cs="宋体"/>
          <w:szCs w:val="21"/>
        </w:rPr>
        <w:t>⑵电子交易平台应用或数据库出现错误，不能进行正常操作的；</w:t>
      </w:r>
    </w:p>
    <w:p>
      <w:pPr>
        <w:spacing w:line="360" w:lineRule="auto"/>
        <w:ind w:firstLine="420" w:firstLineChars="200"/>
        <w:rPr>
          <w:rFonts w:ascii="宋体" w:hAnsi="宋体" w:cs="宋体"/>
          <w:szCs w:val="21"/>
        </w:rPr>
      </w:pPr>
      <w:r>
        <w:rPr>
          <w:rFonts w:hint="eastAsia" w:ascii="宋体" w:hAnsi="宋体" w:cs="宋体"/>
          <w:szCs w:val="21"/>
        </w:rPr>
        <w:t>⑶电子交易平台发现严重安全漏洞，有潜在泄密危险的；</w:t>
      </w:r>
    </w:p>
    <w:p>
      <w:pPr>
        <w:spacing w:line="360" w:lineRule="auto"/>
        <w:ind w:firstLine="420" w:firstLineChars="200"/>
        <w:rPr>
          <w:rFonts w:ascii="宋体" w:hAnsi="宋体" w:cs="宋体"/>
          <w:szCs w:val="21"/>
        </w:rPr>
      </w:pPr>
      <w:r>
        <w:rPr>
          <w:rFonts w:hint="eastAsia" w:ascii="宋体" w:hAnsi="宋体" w:cs="宋体"/>
          <w:szCs w:val="21"/>
        </w:rPr>
        <w:t>⑷病毒发作导致不能进行正常操作的； </w:t>
      </w:r>
    </w:p>
    <w:p>
      <w:pPr>
        <w:spacing w:line="360" w:lineRule="auto"/>
        <w:ind w:firstLine="420" w:firstLineChars="200"/>
        <w:rPr>
          <w:rFonts w:ascii="宋体" w:hAnsi="宋体" w:cs="宋体"/>
          <w:szCs w:val="21"/>
        </w:rPr>
      </w:pPr>
      <w:r>
        <w:rPr>
          <w:rFonts w:hint="eastAsia" w:ascii="宋体" w:hAnsi="宋体" w:cs="宋体"/>
          <w:szCs w:val="21"/>
        </w:rPr>
        <w:t>⑸其他无法保证电子交易的公平、公正和安全的情况。</w:t>
      </w:r>
    </w:p>
    <w:p>
      <w:pPr>
        <w:spacing w:line="360" w:lineRule="auto"/>
        <w:ind w:firstLine="420" w:firstLineChars="200"/>
        <w:rPr>
          <w:rFonts w:ascii="宋体" w:hAnsi="宋体" w:cs="宋体"/>
          <w:szCs w:val="21"/>
        </w:rPr>
      </w:pPr>
      <w:r>
        <w:rPr>
          <w:rFonts w:hint="eastAsia" w:ascii="宋体" w:hAnsi="宋体" w:cs="宋体"/>
          <w:szCs w:val="21"/>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360" w:lineRule="auto"/>
        <w:ind w:firstLine="420" w:firstLineChars="200"/>
        <w:rPr>
          <w:rFonts w:ascii="宋体" w:hAnsi="宋体" w:cs="宋体"/>
          <w:szCs w:val="21"/>
        </w:rPr>
      </w:pPr>
      <w:r>
        <w:rPr>
          <w:rFonts w:hint="eastAsia" w:ascii="宋体" w:hAnsi="宋体" w:cs="宋体"/>
          <w:szCs w:val="21"/>
        </w:rPr>
        <w:t>7.5.2供应商未按时在线解密的，应当在解密时间内向采购代理机构提供备份响应文件。</w:t>
      </w:r>
    </w:p>
    <w:p>
      <w:pPr>
        <w:spacing w:line="360" w:lineRule="auto"/>
        <w:ind w:firstLine="420" w:firstLineChars="200"/>
        <w:rPr>
          <w:rFonts w:ascii="宋体" w:hAnsi="宋体" w:cs="宋体"/>
          <w:szCs w:val="21"/>
        </w:rPr>
      </w:pPr>
      <w:r>
        <w:rPr>
          <w:rFonts w:hint="eastAsia" w:ascii="宋体" w:hAnsi="宋体" w:cs="宋体"/>
          <w:szCs w:val="21"/>
        </w:rPr>
        <w:t>7.5.3采购代理机构或评审小组因不可抗力（不可抗力包括但不限于自然灾害、断电、传播疫病等）原因造成电子交易活动无法正常运行的，将采取以下措施：</w:t>
      </w:r>
    </w:p>
    <w:p>
      <w:pPr>
        <w:spacing w:line="360" w:lineRule="auto"/>
        <w:ind w:firstLine="420" w:firstLineChars="200"/>
        <w:rPr>
          <w:rFonts w:ascii="宋体" w:hAnsi="宋体" w:cs="宋体"/>
          <w:szCs w:val="21"/>
        </w:rPr>
      </w:pPr>
      <w:r>
        <w:rPr>
          <w:rFonts w:hint="eastAsia" w:ascii="宋体" w:hAnsi="宋体" w:cs="宋体"/>
          <w:szCs w:val="21"/>
        </w:rPr>
        <w:t>⑴短时间内能消除不可抗力因素的，采购代理机构或评审小组在消除不可抗力因素后继续组织电子交易活动。</w:t>
      </w:r>
    </w:p>
    <w:p>
      <w:pPr>
        <w:spacing w:line="360" w:lineRule="auto"/>
        <w:ind w:firstLine="420" w:firstLineChars="200"/>
        <w:rPr>
          <w:rFonts w:ascii="宋体" w:hAnsi="宋体" w:cs="宋体"/>
          <w:szCs w:val="21"/>
        </w:rPr>
      </w:pPr>
      <w:r>
        <w:rPr>
          <w:rFonts w:hint="eastAsia" w:ascii="宋体" w:hAnsi="宋体" w:cs="宋体"/>
          <w:szCs w:val="21"/>
        </w:rPr>
        <w:t>⑵长时间内无法消除不可抗力因素的，采购代理机构或评审小组将中止电子交易活动。</w:t>
      </w:r>
    </w:p>
    <w:p>
      <w:pPr>
        <w:spacing w:line="360" w:lineRule="auto"/>
        <w:ind w:firstLine="420" w:firstLineChars="200"/>
        <w:rPr>
          <w:rFonts w:ascii="宋体" w:hAnsi="宋体" w:cs="宋体"/>
          <w:szCs w:val="21"/>
        </w:rPr>
      </w:pPr>
      <w:r>
        <w:rPr>
          <w:rFonts w:hint="eastAsia" w:ascii="宋体" w:hAnsi="宋体" w:cs="宋体"/>
          <w:szCs w:val="21"/>
        </w:rPr>
        <w:t>7.5.4中止电子交易活动的，采购人应当重新组织政府采购活动。</w:t>
      </w:r>
    </w:p>
    <w:p>
      <w:pPr>
        <w:pStyle w:val="6"/>
        <w:spacing w:line="348" w:lineRule="auto"/>
        <w:rPr>
          <w:rFonts w:ascii="宋体" w:hAnsi="宋体" w:cs="宋体"/>
          <w:sz w:val="24"/>
          <w:szCs w:val="24"/>
        </w:rPr>
      </w:pPr>
      <w:bookmarkStart w:id="361" w:name="_Toc303756400"/>
      <w:bookmarkStart w:id="362" w:name="_Toc498327059"/>
      <w:bookmarkStart w:id="363" w:name="_Toc359934597"/>
      <w:bookmarkStart w:id="364" w:name="_Toc8446"/>
      <w:bookmarkStart w:id="365" w:name="_Toc301187772"/>
      <w:bookmarkStart w:id="366" w:name="_Toc499128604"/>
      <w:bookmarkStart w:id="367" w:name="_Toc21377"/>
      <w:bookmarkStart w:id="368" w:name="_Toc14107"/>
      <w:r>
        <w:rPr>
          <w:rFonts w:hint="eastAsia" w:ascii="宋体" w:hAnsi="宋体" w:cs="宋体"/>
          <w:sz w:val="24"/>
          <w:szCs w:val="24"/>
        </w:rPr>
        <w:t>8．成交和合同</w:t>
      </w:r>
      <w:bookmarkEnd w:id="361"/>
      <w:bookmarkEnd w:id="362"/>
      <w:bookmarkEnd w:id="363"/>
      <w:bookmarkEnd w:id="364"/>
      <w:bookmarkEnd w:id="365"/>
      <w:bookmarkEnd w:id="366"/>
      <w:bookmarkEnd w:id="367"/>
      <w:bookmarkEnd w:id="368"/>
    </w:p>
    <w:p>
      <w:pPr>
        <w:spacing w:line="360" w:lineRule="auto"/>
        <w:jc w:val="left"/>
        <w:rPr>
          <w:rFonts w:ascii="宋体" w:hAnsi="宋体" w:cs="宋体"/>
          <w:b/>
          <w:bCs/>
          <w:szCs w:val="21"/>
        </w:rPr>
      </w:pPr>
      <w:bookmarkStart w:id="369" w:name="_Toc499128605"/>
      <w:bookmarkStart w:id="370" w:name="_Toc301187776"/>
      <w:bookmarkStart w:id="371" w:name="_Toc303756402"/>
      <w:bookmarkStart w:id="372" w:name="_Toc498327060"/>
      <w:bookmarkStart w:id="373" w:name="_Toc13697"/>
      <w:bookmarkStart w:id="374" w:name="_Toc359934599"/>
      <w:r>
        <w:rPr>
          <w:rFonts w:hint="eastAsia" w:ascii="宋体" w:hAnsi="宋体" w:cs="宋体"/>
          <w:b/>
          <w:bCs/>
          <w:szCs w:val="21"/>
        </w:rPr>
        <w:t>8.1</w:t>
      </w:r>
      <w:bookmarkEnd w:id="369"/>
      <w:bookmarkEnd w:id="370"/>
      <w:bookmarkEnd w:id="371"/>
      <w:bookmarkEnd w:id="372"/>
      <w:bookmarkEnd w:id="373"/>
      <w:bookmarkEnd w:id="374"/>
      <w:r>
        <w:rPr>
          <w:rFonts w:hint="eastAsia" w:ascii="宋体" w:hAnsi="宋体" w:cs="宋体"/>
          <w:b/>
          <w:bCs/>
          <w:szCs w:val="21"/>
        </w:rPr>
        <w:t>成交</w:t>
      </w:r>
    </w:p>
    <w:p>
      <w:pPr>
        <w:spacing w:line="360" w:lineRule="auto"/>
        <w:ind w:firstLine="420" w:firstLineChars="200"/>
        <w:rPr>
          <w:rFonts w:ascii="宋体" w:hAnsi="宋体" w:cs="宋体"/>
          <w:szCs w:val="21"/>
        </w:rPr>
      </w:pPr>
      <w:bookmarkStart w:id="375" w:name="_Toc301187777"/>
      <w:bookmarkStart w:id="376" w:name="_Toc498327061"/>
      <w:bookmarkStart w:id="377" w:name="_Toc359934600"/>
      <w:bookmarkStart w:id="378" w:name="_Toc303756403"/>
      <w:bookmarkStart w:id="379" w:name="_Toc301187783"/>
      <w:bookmarkStart w:id="380" w:name="_Toc24741"/>
      <w:bookmarkStart w:id="381" w:name="_Toc499128606"/>
      <w:r>
        <w:rPr>
          <w:rFonts w:hint="eastAsia" w:ascii="宋体" w:hAnsi="宋体" w:cs="宋体"/>
          <w:szCs w:val="21"/>
        </w:rPr>
        <w:t>8.1.1采购代理机构在磋商评审结束后2个工作日内将磋商评审报告提交采购人确认。</w:t>
      </w:r>
    </w:p>
    <w:p>
      <w:pPr>
        <w:spacing w:line="360" w:lineRule="auto"/>
        <w:ind w:firstLine="420" w:firstLineChars="200"/>
        <w:rPr>
          <w:rFonts w:ascii="宋体" w:hAnsi="宋体" w:cs="宋体"/>
          <w:szCs w:val="21"/>
        </w:rPr>
      </w:pPr>
      <w:r>
        <w:rPr>
          <w:rFonts w:hint="eastAsia" w:ascii="宋体" w:hAnsi="宋体" w:cs="宋体"/>
          <w:szCs w:val="21"/>
        </w:rPr>
        <w:t>8.1.2采购人应当自收到磋商评审报告之日起10个工作日内，在磋商评审报告确定的成交候选人名单中按顺序确定成交供应商。</w:t>
      </w:r>
    </w:p>
    <w:p>
      <w:pPr>
        <w:spacing w:line="360" w:lineRule="auto"/>
        <w:ind w:firstLine="420" w:firstLineChars="200"/>
        <w:rPr>
          <w:rFonts w:ascii="宋体" w:hAnsi="宋体" w:cs="宋体"/>
          <w:szCs w:val="21"/>
        </w:rPr>
      </w:pPr>
      <w:r>
        <w:rPr>
          <w:rFonts w:hint="eastAsia" w:ascii="宋体" w:hAnsi="宋体" w:cs="宋体"/>
          <w:szCs w:val="21"/>
        </w:rPr>
        <w:t>8.1.3采购人在收到磋商评审报告10个工作日内未按磋商评审报告推荐的成交候选人名单确定成交供应商，又不能说明合法理由的，视同按磋商评审报告推荐的成交候选人名单确定成交供应商。</w:t>
      </w:r>
    </w:p>
    <w:bookmarkEnd w:id="375"/>
    <w:p>
      <w:pPr>
        <w:spacing w:line="360" w:lineRule="auto"/>
        <w:ind w:firstLine="420" w:firstLineChars="200"/>
        <w:rPr>
          <w:rFonts w:ascii="宋体" w:hAnsi="宋体" w:cs="宋体"/>
          <w:szCs w:val="21"/>
        </w:rPr>
      </w:pPr>
      <w:bookmarkStart w:id="382" w:name="_Toc301187778"/>
      <w:r>
        <w:rPr>
          <w:rFonts w:hint="eastAsia" w:ascii="宋体" w:hAnsi="宋体" w:cs="宋体"/>
          <w:szCs w:val="21"/>
        </w:rPr>
        <w:t>8.1.4采购人原则上应当按照排名顺序确定排名第一的成交候选人为成交供应商，排名第一的成交候选人出现下列情形之一的，除采购任务取消外，应重新组织招标：</w:t>
      </w:r>
      <w:bookmarkEnd w:id="382"/>
    </w:p>
    <w:p>
      <w:pPr>
        <w:spacing w:line="360" w:lineRule="auto"/>
        <w:ind w:firstLine="420" w:firstLineChars="200"/>
        <w:rPr>
          <w:rFonts w:ascii="宋体" w:hAnsi="宋体" w:cs="宋体"/>
          <w:szCs w:val="21"/>
        </w:rPr>
      </w:pPr>
      <w:bookmarkStart w:id="383" w:name="_Toc301187779"/>
      <w:r>
        <w:rPr>
          <w:rFonts w:hint="eastAsia" w:ascii="宋体" w:hAnsi="宋体" w:cs="宋体"/>
          <w:szCs w:val="21"/>
        </w:rPr>
        <w:t>（1）</w:t>
      </w:r>
      <w:bookmarkEnd w:id="383"/>
      <w:r>
        <w:rPr>
          <w:rFonts w:hint="eastAsia" w:ascii="宋体" w:hAnsi="宋体" w:cs="宋体"/>
          <w:szCs w:val="21"/>
        </w:rPr>
        <w:t>成交候选人因采购人标后复核不通过或自身原因放弃中标或因不可抗力不能履行合同的；</w:t>
      </w:r>
    </w:p>
    <w:p>
      <w:pPr>
        <w:spacing w:line="360" w:lineRule="auto"/>
        <w:ind w:firstLine="420" w:firstLineChars="200"/>
        <w:rPr>
          <w:rFonts w:ascii="宋体" w:hAnsi="宋体" w:cs="宋体"/>
          <w:szCs w:val="21"/>
        </w:rPr>
      </w:pPr>
      <w:bookmarkStart w:id="384" w:name="_Toc301187781"/>
      <w:r>
        <w:rPr>
          <w:rFonts w:hint="eastAsia" w:ascii="宋体" w:hAnsi="宋体" w:cs="宋体"/>
          <w:szCs w:val="21"/>
        </w:rPr>
        <w:t>（2）经质疑，采购人审查确认因成交候选人在本次采购活动中存在违法违规行为或其他原因使质疑成立的。</w:t>
      </w:r>
      <w:bookmarkEnd w:id="384"/>
    </w:p>
    <w:p>
      <w:pPr>
        <w:spacing w:line="360" w:lineRule="auto"/>
        <w:jc w:val="left"/>
        <w:rPr>
          <w:rFonts w:ascii="宋体" w:hAnsi="宋体" w:cs="宋体"/>
          <w:b/>
          <w:bCs/>
          <w:szCs w:val="21"/>
        </w:rPr>
      </w:pPr>
      <w:r>
        <w:rPr>
          <w:rFonts w:hint="eastAsia" w:ascii="宋体" w:hAnsi="宋体" w:cs="宋体"/>
          <w:b/>
          <w:bCs/>
          <w:szCs w:val="21"/>
        </w:rPr>
        <w:t>8.2追加采购</w:t>
      </w:r>
      <w:bookmarkEnd w:id="376"/>
      <w:bookmarkEnd w:id="377"/>
      <w:bookmarkEnd w:id="378"/>
      <w:bookmarkEnd w:id="379"/>
      <w:r>
        <w:rPr>
          <w:rFonts w:hint="eastAsia" w:ascii="宋体" w:hAnsi="宋体" w:cs="宋体"/>
          <w:b/>
          <w:bCs/>
          <w:szCs w:val="21"/>
        </w:rPr>
        <w:t>合同标的</w:t>
      </w:r>
      <w:bookmarkEnd w:id="380"/>
      <w:bookmarkEnd w:id="381"/>
    </w:p>
    <w:p>
      <w:pPr>
        <w:spacing w:line="360" w:lineRule="auto"/>
        <w:ind w:firstLine="420" w:firstLineChars="200"/>
        <w:rPr>
          <w:rFonts w:ascii="宋体" w:hAnsi="宋体" w:cs="宋体"/>
          <w:szCs w:val="21"/>
        </w:rPr>
      </w:pPr>
      <w:bookmarkStart w:id="385" w:name="_Toc301187784"/>
      <w:r>
        <w:rPr>
          <w:rFonts w:hint="eastAsia" w:ascii="宋体" w:hAnsi="宋体" w:cs="宋体"/>
          <w:szCs w:val="21"/>
        </w:rPr>
        <w:t>政府采购合同履行中，采购人需追加与合同标的相同的货物、工程或服务的，在不改变合同其他条款的前提下，可以与供应商签订补充合同，但所有补充合同的采购金额不得超过原合同采购金额的百分之十。</w:t>
      </w:r>
      <w:bookmarkEnd w:id="385"/>
    </w:p>
    <w:p>
      <w:pPr>
        <w:spacing w:line="360" w:lineRule="auto"/>
        <w:jc w:val="left"/>
        <w:rPr>
          <w:rFonts w:ascii="宋体" w:hAnsi="宋体" w:cs="宋体"/>
          <w:b/>
          <w:bCs/>
          <w:szCs w:val="21"/>
        </w:rPr>
      </w:pPr>
      <w:bookmarkStart w:id="386" w:name="_Toc359934601"/>
      <w:bookmarkStart w:id="387" w:name="_Toc301187785"/>
      <w:bookmarkStart w:id="388" w:name="_Toc498327062"/>
      <w:bookmarkStart w:id="389" w:name="_Toc303756404"/>
      <w:bookmarkStart w:id="390" w:name="_Toc8479"/>
      <w:bookmarkStart w:id="391" w:name="_Toc499128607"/>
      <w:r>
        <w:rPr>
          <w:rFonts w:hint="eastAsia" w:ascii="宋体" w:hAnsi="宋体" w:cs="宋体"/>
          <w:b/>
          <w:bCs/>
          <w:szCs w:val="21"/>
        </w:rPr>
        <w:t>8.3</w:t>
      </w:r>
      <w:bookmarkEnd w:id="386"/>
      <w:bookmarkEnd w:id="387"/>
      <w:bookmarkEnd w:id="388"/>
      <w:bookmarkEnd w:id="389"/>
      <w:bookmarkEnd w:id="390"/>
      <w:bookmarkEnd w:id="391"/>
      <w:r>
        <w:rPr>
          <w:rFonts w:hint="eastAsia" w:ascii="宋体" w:hAnsi="宋体" w:cs="宋体"/>
          <w:b/>
          <w:bCs/>
          <w:szCs w:val="21"/>
        </w:rPr>
        <w:t xml:space="preserve">成交结果 </w:t>
      </w:r>
    </w:p>
    <w:p>
      <w:pPr>
        <w:spacing w:line="360" w:lineRule="auto"/>
        <w:ind w:firstLine="420" w:firstLineChars="200"/>
        <w:rPr>
          <w:rFonts w:ascii="宋体" w:hAnsi="宋体" w:cs="宋体"/>
          <w:szCs w:val="21"/>
        </w:rPr>
      </w:pPr>
      <w:bookmarkStart w:id="392" w:name="_Toc301187790"/>
      <w:bookmarkStart w:id="393" w:name="_Toc301187791"/>
      <w:bookmarkStart w:id="394" w:name="_Toc303756405"/>
      <w:bookmarkStart w:id="395" w:name="_Toc499128608"/>
      <w:bookmarkStart w:id="396" w:name="_Toc26161"/>
      <w:bookmarkStart w:id="397" w:name="_Toc498327063"/>
      <w:bookmarkStart w:id="398" w:name="_Toc359934602"/>
      <w:r>
        <w:rPr>
          <w:rFonts w:hint="eastAsia" w:ascii="宋体" w:hAnsi="宋体" w:cs="宋体"/>
          <w:szCs w:val="21"/>
        </w:rPr>
        <w:t>8.3.1成交供应商经采购人按8.3.1条款进行复核且通过的，采购人将按8.1.4条款确定成交供应商，采购人应当自成交供应商确定之日起2个工作日内，发出成交通知书，并在省级以上人民政府财政部门指定的媒体上公告成交结果。</w:t>
      </w:r>
    </w:p>
    <w:p>
      <w:pPr>
        <w:spacing w:line="360" w:lineRule="auto"/>
        <w:ind w:firstLine="420" w:firstLineChars="200"/>
        <w:rPr>
          <w:rFonts w:ascii="宋体" w:hAnsi="宋体" w:cs="宋体"/>
          <w:szCs w:val="21"/>
        </w:rPr>
      </w:pPr>
      <w:r>
        <w:rPr>
          <w:rFonts w:hint="eastAsia" w:ascii="宋体" w:hAnsi="宋体" w:cs="宋体"/>
          <w:szCs w:val="21"/>
        </w:rPr>
        <w:t>8.3.2在公告成交结果的同时，采购人或者采购代理机构应当向成交供应商发出成交通知书。</w:t>
      </w:r>
    </w:p>
    <w:p>
      <w:pPr>
        <w:spacing w:line="360" w:lineRule="auto"/>
        <w:ind w:firstLine="420" w:firstLineChars="200"/>
        <w:rPr>
          <w:rFonts w:ascii="宋体" w:hAnsi="宋体" w:cs="宋体"/>
          <w:szCs w:val="21"/>
        </w:rPr>
      </w:pPr>
      <w:r>
        <w:rPr>
          <w:rFonts w:hint="eastAsia" w:ascii="宋体" w:hAnsi="宋体" w:cs="宋体"/>
          <w:szCs w:val="21"/>
        </w:rPr>
        <w:t>8.3.3</w:t>
      </w:r>
      <w:bookmarkEnd w:id="392"/>
      <w:r>
        <w:rPr>
          <w:rFonts w:hint="eastAsia" w:ascii="宋体" w:hAnsi="宋体" w:cs="宋体"/>
          <w:szCs w:val="21"/>
        </w:rPr>
        <w:t>成交通知书发出后，采购人不得违法改变成交结果，成交供应商无正当理由不得放弃成交项目。</w:t>
      </w:r>
    </w:p>
    <w:p>
      <w:pPr>
        <w:spacing w:line="360" w:lineRule="auto"/>
        <w:jc w:val="left"/>
        <w:rPr>
          <w:rFonts w:ascii="宋体" w:hAnsi="宋体" w:cs="宋体"/>
          <w:b/>
          <w:bCs/>
          <w:szCs w:val="21"/>
        </w:rPr>
      </w:pPr>
      <w:r>
        <w:rPr>
          <w:rFonts w:hint="eastAsia" w:ascii="宋体" w:hAnsi="宋体" w:cs="宋体"/>
          <w:b/>
          <w:bCs/>
          <w:szCs w:val="21"/>
        </w:rPr>
        <w:t>8.4合同</w:t>
      </w:r>
      <w:bookmarkEnd w:id="393"/>
      <w:bookmarkEnd w:id="394"/>
      <w:r>
        <w:rPr>
          <w:rFonts w:hint="eastAsia" w:ascii="宋体" w:hAnsi="宋体" w:cs="宋体"/>
          <w:b/>
          <w:bCs/>
          <w:szCs w:val="21"/>
        </w:rPr>
        <w:t>签订</w:t>
      </w:r>
      <w:bookmarkEnd w:id="395"/>
      <w:bookmarkEnd w:id="396"/>
      <w:bookmarkEnd w:id="397"/>
      <w:bookmarkEnd w:id="398"/>
    </w:p>
    <w:p>
      <w:pPr>
        <w:spacing w:line="360" w:lineRule="auto"/>
        <w:ind w:firstLine="422" w:firstLineChars="200"/>
        <w:rPr>
          <w:rFonts w:ascii="宋体" w:hAnsi="宋体" w:cs="宋体"/>
          <w:b/>
          <w:bCs/>
          <w:szCs w:val="21"/>
        </w:rPr>
      </w:pPr>
      <w:bookmarkStart w:id="399" w:name="_Toc301187792"/>
      <w:r>
        <w:rPr>
          <w:rFonts w:hint="eastAsia" w:ascii="宋体" w:hAnsi="宋体" w:cs="宋体"/>
          <w:b/>
          <w:bCs/>
          <w:szCs w:val="21"/>
        </w:rPr>
        <w:t>8.4.1</w:t>
      </w:r>
      <w:bookmarkEnd w:id="399"/>
      <w:r>
        <w:rPr>
          <w:rFonts w:hint="eastAsia" w:ascii="宋体" w:hAnsi="宋体" w:cs="宋体"/>
          <w:b/>
          <w:bCs/>
          <w:szCs w:val="21"/>
        </w:rPr>
        <w:t>采购人与成交供应商应当在成交公告发布之日起30日内，按照竞争性磋商文件确定的事项签订政府采购合同。政府采购合同不得对竞争性磋商文件作出实质性修改。</w:t>
      </w:r>
    </w:p>
    <w:p>
      <w:pPr>
        <w:spacing w:line="360" w:lineRule="auto"/>
        <w:ind w:firstLine="420" w:firstLineChars="200"/>
        <w:rPr>
          <w:rFonts w:ascii="宋体" w:hAnsi="宋体" w:cs="宋体"/>
          <w:szCs w:val="21"/>
        </w:rPr>
      </w:pPr>
      <w:bookmarkStart w:id="400" w:name="_Toc301187793"/>
      <w:r>
        <w:rPr>
          <w:rFonts w:hint="eastAsia" w:ascii="宋体" w:hAnsi="宋体" w:cs="宋体"/>
          <w:szCs w:val="21"/>
        </w:rPr>
        <w:t>8.4.2如成交供应商不按成交通知书中规定时间、地点以及磋商时的承诺与采购人签订合同，则按成交供应商违约处理。</w:t>
      </w:r>
      <w:bookmarkEnd w:id="400"/>
    </w:p>
    <w:p>
      <w:pPr>
        <w:spacing w:line="360" w:lineRule="auto"/>
        <w:ind w:firstLine="420" w:firstLineChars="200"/>
        <w:rPr>
          <w:rFonts w:ascii="宋体" w:hAnsi="宋体" w:cs="宋体"/>
          <w:szCs w:val="21"/>
        </w:rPr>
      </w:pPr>
      <w:r>
        <w:rPr>
          <w:rFonts w:hint="eastAsia" w:ascii="宋体" w:hAnsi="宋体" w:cs="宋体"/>
          <w:szCs w:val="21"/>
        </w:rPr>
        <w:t>8.4.3付款条件：见供应商须知前附表。</w:t>
      </w:r>
    </w:p>
    <w:p>
      <w:pPr>
        <w:spacing w:line="360" w:lineRule="auto"/>
        <w:ind w:firstLine="420" w:firstLineChars="200"/>
        <w:rPr>
          <w:rFonts w:ascii="宋体" w:hAnsi="宋体" w:cs="宋体"/>
          <w:szCs w:val="21"/>
        </w:rPr>
      </w:pPr>
      <w:r>
        <w:rPr>
          <w:rFonts w:hint="eastAsia" w:ascii="宋体" w:hAnsi="宋体" w:cs="宋体"/>
          <w:szCs w:val="21"/>
        </w:rPr>
        <w:t>8.4.4付款方式：见供应商须知前附表。</w:t>
      </w:r>
    </w:p>
    <w:p>
      <w:pPr>
        <w:pStyle w:val="6"/>
        <w:spacing w:line="360" w:lineRule="auto"/>
        <w:rPr>
          <w:rFonts w:ascii="宋体" w:hAnsi="宋体" w:cs="宋体"/>
          <w:sz w:val="24"/>
          <w:szCs w:val="24"/>
        </w:rPr>
      </w:pPr>
      <w:bookmarkStart w:id="401" w:name="_Toc24299"/>
      <w:bookmarkStart w:id="402" w:name="_Toc303756406"/>
      <w:bookmarkStart w:id="403" w:name="_Toc359934603"/>
      <w:bookmarkStart w:id="404" w:name="_Toc499128609"/>
      <w:bookmarkStart w:id="405" w:name="_Toc301187794"/>
      <w:bookmarkStart w:id="406" w:name="_Toc498327064"/>
      <w:bookmarkStart w:id="407" w:name="_Toc2888"/>
      <w:bookmarkStart w:id="408" w:name="_Toc13789"/>
      <w:bookmarkStart w:id="409" w:name="_Toc44759274"/>
      <w:bookmarkStart w:id="410" w:name="_Toc15813254"/>
      <w:bookmarkStart w:id="411" w:name="_Toc44759086"/>
      <w:bookmarkStart w:id="412" w:name="_Toc15805937"/>
      <w:r>
        <w:rPr>
          <w:rFonts w:hint="eastAsia" w:ascii="宋体" w:hAnsi="宋体" w:cs="宋体"/>
          <w:sz w:val="24"/>
          <w:szCs w:val="24"/>
        </w:rPr>
        <w:t>9．履约保证金</w:t>
      </w:r>
      <w:bookmarkEnd w:id="401"/>
      <w:bookmarkEnd w:id="402"/>
      <w:bookmarkEnd w:id="403"/>
      <w:bookmarkEnd w:id="404"/>
      <w:bookmarkEnd w:id="405"/>
      <w:bookmarkEnd w:id="406"/>
      <w:r>
        <w:rPr>
          <w:rFonts w:hint="eastAsia" w:ascii="宋体" w:hAnsi="宋体" w:cs="宋体"/>
          <w:sz w:val="24"/>
          <w:szCs w:val="24"/>
        </w:rPr>
        <w:t>和质保</w:t>
      </w:r>
      <w:bookmarkEnd w:id="407"/>
      <w:bookmarkEnd w:id="408"/>
    </w:p>
    <w:p>
      <w:pPr>
        <w:spacing w:line="360" w:lineRule="auto"/>
        <w:jc w:val="left"/>
        <w:rPr>
          <w:rFonts w:ascii="宋体" w:hAnsi="宋体" w:cs="宋体"/>
          <w:b/>
          <w:bCs/>
          <w:szCs w:val="21"/>
        </w:rPr>
      </w:pPr>
      <w:bookmarkStart w:id="413" w:name="_Toc515526199"/>
      <w:bookmarkStart w:id="414" w:name="_Toc283042122"/>
      <w:bookmarkStart w:id="415" w:name="_Toc359934604"/>
      <w:bookmarkStart w:id="416" w:name="_Toc208886771"/>
      <w:bookmarkStart w:id="417" w:name="_Toc303756407"/>
      <w:bookmarkStart w:id="418" w:name="_Toc499128613"/>
      <w:bookmarkStart w:id="419" w:name="_Toc301187800"/>
      <w:bookmarkStart w:id="420" w:name="_Toc498327068"/>
      <w:r>
        <w:rPr>
          <w:rFonts w:hint="eastAsia" w:ascii="宋体" w:hAnsi="宋体" w:cs="宋体"/>
          <w:b/>
          <w:bCs/>
          <w:szCs w:val="21"/>
        </w:rPr>
        <w:t>9.1履约保证金</w:t>
      </w:r>
      <w:bookmarkEnd w:id="413"/>
    </w:p>
    <w:p>
      <w:pPr>
        <w:spacing w:line="360" w:lineRule="auto"/>
        <w:ind w:firstLine="420" w:firstLineChars="200"/>
        <w:rPr>
          <w:rFonts w:ascii="宋体" w:hAnsi="宋体" w:cs="宋体"/>
          <w:szCs w:val="21"/>
        </w:rPr>
      </w:pPr>
      <w:bookmarkStart w:id="421" w:name="_Toc515526200"/>
      <w:r>
        <w:rPr>
          <w:rFonts w:hint="eastAsia" w:ascii="宋体" w:hAnsi="宋体" w:cs="宋体"/>
          <w:szCs w:val="21"/>
        </w:rPr>
        <w:t xml:space="preserve">9.1.1履约保证金：见供应商须知前附表。签订合同前，成交供应商必须按本条规定的要求向采购人交纳履约保证金。 </w:t>
      </w:r>
    </w:p>
    <w:p>
      <w:pPr>
        <w:spacing w:line="360" w:lineRule="auto"/>
        <w:ind w:firstLine="420" w:firstLineChars="200"/>
        <w:rPr>
          <w:rFonts w:ascii="宋体" w:hAnsi="宋体" w:cs="宋体"/>
          <w:szCs w:val="21"/>
        </w:rPr>
      </w:pPr>
      <w:r>
        <w:rPr>
          <w:rFonts w:hint="eastAsia" w:ascii="宋体" w:hAnsi="宋体" w:cs="宋体"/>
          <w:szCs w:val="21"/>
        </w:rPr>
        <w:t>9.1.2如果成交供应商没能按第9.1.1条规定执行，采购人将有权取消其成交资格，并有权将标授予第二成交候选人或重新组织采购，履约保证金不足以赔偿损失的，按实际损失赔偿。</w:t>
      </w:r>
    </w:p>
    <w:p>
      <w:pPr>
        <w:spacing w:line="360" w:lineRule="auto"/>
        <w:ind w:firstLine="420" w:firstLineChars="200"/>
        <w:rPr>
          <w:rFonts w:ascii="宋体" w:hAnsi="宋体" w:cs="宋体"/>
          <w:szCs w:val="21"/>
        </w:rPr>
      </w:pPr>
      <w:r>
        <w:rPr>
          <w:rFonts w:hint="eastAsia" w:ascii="宋体" w:hAnsi="宋体" w:cs="宋体"/>
          <w:szCs w:val="21"/>
        </w:rPr>
        <w:t>9.1.3在履约期间，成交供应商不履行竞争性磋商文件和响应文件规定及相关承诺的，采购人有权不予返还履约保证金。</w:t>
      </w:r>
    </w:p>
    <w:p>
      <w:pPr>
        <w:spacing w:line="360" w:lineRule="auto"/>
        <w:jc w:val="left"/>
        <w:rPr>
          <w:rFonts w:ascii="宋体" w:hAnsi="宋体" w:cs="宋体"/>
          <w:b/>
          <w:bCs/>
          <w:szCs w:val="21"/>
        </w:rPr>
      </w:pPr>
      <w:r>
        <w:rPr>
          <w:rFonts w:hint="eastAsia" w:ascii="宋体" w:hAnsi="宋体" w:cs="宋体"/>
          <w:b/>
          <w:bCs/>
          <w:szCs w:val="21"/>
        </w:rPr>
        <w:t>9.2质保期</w:t>
      </w:r>
      <w:bookmarkEnd w:id="421"/>
    </w:p>
    <w:p>
      <w:pPr>
        <w:spacing w:line="360" w:lineRule="auto"/>
        <w:ind w:firstLine="420" w:firstLineChars="200"/>
        <w:rPr>
          <w:rFonts w:ascii="宋体" w:hAnsi="宋体" w:cs="宋体"/>
          <w:szCs w:val="21"/>
        </w:rPr>
      </w:pPr>
      <w:r>
        <w:rPr>
          <w:rFonts w:hint="eastAsia" w:ascii="宋体" w:hAnsi="宋体" w:cs="宋体"/>
          <w:szCs w:val="21"/>
        </w:rPr>
        <w:t>9.2.1质保期：见供应商须知前附表。</w:t>
      </w:r>
    </w:p>
    <w:p>
      <w:pPr>
        <w:spacing w:line="360" w:lineRule="auto"/>
        <w:ind w:firstLine="420" w:firstLineChars="200"/>
        <w:rPr>
          <w:rFonts w:ascii="宋体" w:hAnsi="宋体" w:cs="宋体"/>
          <w:szCs w:val="21"/>
        </w:rPr>
      </w:pPr>
      <w:r>
        <w:rPr>
          <w:rFonts w:hint="eastAsia" w:ascii="宋体" w:hAnsi="宋体" w:cs="宋体"/>
          <w:szCs w:val="21"/>
        </w:rPr>
        <w:t>9.2.2供应商承诺的质保期超过第9.2.1条规定的，则应当按照供应商承诺执行。</w:t>
      </w:r>
    </w:p>
    <w:p>
      <w:pPr>
        <w:spacing w:line="360" w:lineRule="auto"/>
        <w:ind w:firstLine="420" w:firstLineChars="200"/>
        <w:rPr>
          <w:rFonts w:ascii="宋体" w:hAnsi="宋体" w:cs="宋体"/>
          <w:szCs w:val="21"/>
        </w:rPr>
      </w:pPr>
      <w:r>
        <w:rPr>
          <w:rFonts w:hint="eastAsia" w:ascii="宋体" w:hAnsi="宋体" w:cs="宋体"/>
          <w:szCs w:val="21"/>
        </w:rPr>
        <w:t>9.2.3质保期为合同验收合格之日算起，质保期则应当按照第9.2.1条和第9.2.2条执行。</w:t>
      </w:r>
    </w:p>
    <w:p>
      <w:pPr>
        <w:pStyle w:val="6"/>
        <w:spacing w:line="360" w:lineRule="auto"/>
        <w:rPr>
          <w:rFonts w:ascii="宋体" w:hAnsi="宋体" w:cs="宋体"/>
          <w:sz w:val="24"/>
          <w:szCs w:val="24"/>
        </w:rPr>
      </w:pPr>
      <w:bookmarkStart w:id="422" w:name="_Toc15568"/>
      <w:bookmarkStart w:id="423" w:name="_Toc4321"/>
      <w:bookmarkStart w:id="424" w:name="_Toc22470"/>
      <w:r>
        <w:rPr>
          <w:rFonts w:hint="eastAsia" w:ascii="宋体" w:hAnsi="宋体" w:cs="宋体"/>
          <w:sz w:val="24"/>
          <w:szCs w:val="24"/>
        </w:rPr>
        <w:t>10．其他事项</w:t>
      </w:r>
      <w:bookmarkEnd w:id="409"/>
      <w:bookmarkEnd w:id="410"/>
      <w:bookmarkEnd w:id="411"/>
      <w:bookmarkEnd w:id="412"/>
      <w:bookmarkEnd w:id="414"/>
      <w:bookmarkEnd w:id="415"/>
      <w:bookmarkEnd w:id="416"/>
      <w:bookmarkEnd w:id="417"/>
      <w:bookmarkEnd w:id="418"/>
      <w:bookmarkEnd w:id="419"/>
      <w:bookmarkEnd w:id="420"/>
      <w:bookmarkEnd w:id="422"/>
      <w:bookmarkEnd w:id="423"/>
      <w:bookmarkEnd w:id="424"/>
    </w:p>
    <w:p>
      <w:pPr>
        <w:spacing w:line="360" w:lineRule="auto"/>
        <w:ind w:firstLine="420" w:firstLineChars="200"/>
        <w:rPr>
          <w:rFonts w:ascii="宋体" w:hAnsi="宋体" w:cs="宋体"/>
          <w:szCs w:val="21"/>
        </w:rPr>
      </w:pPr>
      <w:bookmarkStart w:id="425" w:name="_Toc301187801"/>
      <w:r>
        <w:rPr>
          <w:rFonts w:hint="eastAsia" w:ascii="宋体" w:hAnsi="宋体" w:cs="宋体"/>
          <w:szCs w:val="21"/>
        </w:rPr>
        <w:t>10.1本竞争性磋商文件所称的“以上”、“以下”、“内”、“以内”，包括本数；所称的“不足”，不包括本数。</w:t>
      </w:r>
    </w:p>
    <w:p>
      <w:pPr>
        <w:spacing w:line="360" w:lineRule="auto"/>
        <w:ind w:firstLine="420" w:firstLineChars="200"/>
        <w:rPr>
          <w:rFonts w:ascii="宋体" w:hAnsi="宋体" w:cs="宋体"/>
          <w:szCs w:val="21"/>
        </w:rPr>
      </w:pPr>
      <w:r>
        <w:rPr>
          <w:rFonts w:hint="eastAsia" w:ascii="宋体" w:hAnsi="宋体" w:cs="宋体"/>
          <w:szCs w:val="21"/>
        </w:rPr>
        <w:t>10.2竞争性磋商文件编制依据和解释权</w:t>
      </w:r>
      <w:bookmarkEnd w:id="425"/>
      <w:r>
        <w:rPr>
          <w:rFonts w:hint="eastAsia" w:ascii="宋体" w:hAnsi="宋体" w:cs="宋体"/>
          <w:szCs w:val="21"/>
        </w:rPr>
        <w:t>。</w:t>
      </w:r>
    </w:p>
    <w:p>
      <w:pPr>
        <w:spacing w:line="360" w:lineRule="auto"/>
        <w:ind w:firstLine="420" w:firstLineChars="200"/>
        <w:rPr>
          <w:rFonts w:ascii="宋体" w:hAnsi="宋体" w:cs="宋体"/>
          <w:szCs w:val="21"/>
        </w:rPr>
      </w:pPr>
      <w:bookmarkStart w:id="426" w:name="_Toc301187802"/>
      <w:r>
        <w:rPr>
          <w:rFonts w:hint="eastAsia" w:ascii="宋体" w:hAnsi="宋体" w:cs="宋体"/>
          <w:szCs w:val="21"/>
        </w:rPr>
        <w:t>本竞争性磋商文件是根据国家、省、地方现行有关规定和参照国际惯例编制，凡属竞争性磋商文件未规定内容将根据国家、省、地方现行有关规定执行。本竞争性磋商文件解释权属采购人和采购代理机构。</w:t>
      </w:r>
      <w:bookmarkEnd w:id="426"/>
    </w:p>
    <w:p>
      <w:pPr>
        <w:spacing w:line="360" w:lineRule="auto"/>
        <w:ind w:firstLine="420" w:firstLineChars="200"/>
        <w:rPr>
          <w:rFonts w:ascii="宋体" w:hAnsi="宋体" w:cs="宋体"/>
          <w:szCs w:val="21"/>
        </w:rPr>
      </w:pPr>
      <w:bookmarkStart w:id="427" w:name="_Toc301187803"/>
      <w:r>
        <w:rPr>
          <w:rFonts w:hint="eastAsia" w:ascii="宋体" w:hAnsi="宋体" w:cs="宋体"/>
          <w:szCs w:val="21"/>
        </w:rPr>
        <w:t>10.3注意事项：磋商截止时间后，供应商登录政采云平台，用“项目采购-开标评标”功能对电子响应文件进行在线解密。在线解密电子响应文件时间为磋商截止时间起30分钟内，未按时解密或解密未成功的，供应商应当在解密时间内向采购代理机构通过电子邮箱（</w:t>
      </w:r>
      <w:r>
        <w:rPr>
          <w:rFonts w:hint="eastAsia" w:ascii="宋体" w:hAnsi="宋体" w:cs="宋体"/>
          <w:szCs w:val="21"/>
          <w:lang w:eastAsia="zh-CN"/>
        </w:rPr>
        <w:t>420413751</w:t>
      </w:r>
      <w:r>
        <w:rPr>
          <w:rFonts w:hint="eastAsia" w:ascii="宋体" w:hAnsi="宋体" w:cs="宋体"/>
          <w:szCs w:val="21"/>
        </w:rPr>
        <w:t>@qq.com）提供备份响应文件，否则视为放弃磋商。</w:t>
      </w:r>
    </w:p>
    <w:p>
      <w:pPr>
        <w:spacing w:line="360" w:lineRule="auto"/>
        <w:ind w:firstLine="420" w:firstLineChars="200"/>
        <w:rPr>
          <w:rFonts w:ascii="宋体" w:hAnsi="宋体" w:cs="宋体"/>
        </w:rPr>
      </w:pPr>
      <w:r>
        <w:rPr>
          <w:rFonts w:hint="eastAsia" w:ascii="宋体" w:hAnsi="宋体" w:cs="宋体"/>
          <w:szCs w:val="21"/>
        </w:rPr>
        <w:t>10.4采购代理机构对定标结果不负责解释。</w:t>
      </w:r>
      <w:bookmarkEnd w:id="427"/>
    </w:p>
    <w:p>
      <w:pPr>
        <w:rPr>
          <w:rStyle w:val="98"/>
          <w:rFonts w:hint="eastAsia" w:ascii="宋体" w:hAnsi="宋体" w:cs="宋体"/>
          <w:szCs w:val="22"/>
        </w:rPr>
      </w:pPr>
      <w:bookmarkStart w:id="428" w:name="_Toc502154396"/>
      <w:bookmarkStart w:id="429" w:name="_Toc3903"/>
      <w:r>
        <w:rPr>
          <w:rStyle w:val="98"/>
          <w:rFonts w:hint="eastAsia" w:ascii="宋体" w:hAnsi="宋体" w:cs="宋体"/>
          <w:szCs w:val="22"/>
        </w:rPr>
        <w:br w:type="page"/>
      </w:r>
    </w:p>
    <w:p>
      <w:pPr>
        <w:adjustRightInd w:val="0"/>
        <w:snapToGrid w:val="0"/>
        <w:spacing w:line="420" w:lineRule="exact"/>
        <w:jc w:val="center"/>
        <w:outlineLvl w:val="0"/>
        <w:rPr>
          <w:rFonts w:hint="eastAsia" w:ascii="宋体" w:hAnsi="宋体" w:cs="宋体"/>
          <w:b/>
          <w:bCs/>
          <w:spacing w:val="11"/>
          <w:sz w:val="36"/>
          <w:szCs w:val="36"/>
        </w:rPr>
      </w:pPr>
      <w:bookmarkStart w:id="430" w:name="_Toc21039"/>
      <w:r>
        <w:rPr>
          <w:rStyle w:val="98"/>
          <w:rFonts w:hint="eastAsia" w:ascii="宋体" w:hAnsi="宋体" w:cs="宋体"/>
          <w:szCs w:val="22"/>
        </w:rPr>
        <w:t xml:space="preserve">第四章 </w:t>
      </w:r>
      <w:bookmarkEnd w:id="428"/>
      <w:bookmarkEnd w:id="429"/>
      <w:bookmarkStart w:id="431" w:name="_Toc24965"/>
      <w:bookmarkStart w:id="432" w:name="_Toc303756412"/>
      <w:r>
        <w:rPr>
          <w:rFonts w:hint="eastAsia" w:ascii="宋体" w:hAnsi="宋体" w:cs="宋体"/>
          <w:b/>
          <w:bCs/>
          <w:spacing w:val="11"/>
          <w:sz w:val="36"/>
          <w:szCs w:val="36"/>
        </w:rPr>
        <w:t>合同主要条款</w:t>
      </w:r>
      <w:bookmarkEnd w:id="430"/>
    </w:p>
    <w:p>
      <w:pPr>
        <w:spacing w:line="480" w:lineRule="exact"/>
        <w:ind w:firstLine="420" w:firstLineChars="200"/>
        <w:rPr>
          <w:rFonts w:hint="eastAsia" w:ascii="仿宋_GB2312" w:hAnsi="仿宋_GB2312" w:eastAsia="仿宋_GB2312" w:cs="仿宋_GB2312"/>
          <w:szCs w:val="21"/>
        </w:rPr>
      </w:pPr>
    </w:p>
    <w:p>
      <w:pPr>
        <w:snapToGrid w:val="0"/>
        <w:spacing w:line="540" w:lineRule="exact"/>
        <w:ind w:firstLine="420" w:firstLineChars="200"/>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（招标人）                             </w:t>
      </w:r>
    </w:p>
    <w:p>
      <w:pPr>
        <w:snapToGrid w:val="0"/>
        <w:spacing w:line="540" w:lineRule="exact"/>
        <w:ind w:firstLine="420" w:firstLineChars="200"/>
        <w:rPr>
          <w:rFonts w:hint="eastAsia" w:ascii="宋体" w:hAnsi="宋体" w:cs="宋体"/>
          <w:szCs w:val="21"/>
          <w:u w:val="single"/>
        </w:rPr>
      </w:pPr>
      <w:r>
        <w:rPr>
          <w:rFonts w:hint="eastAsia" w:ascii="宋体" w:hAnsi="宋体" w:cs="宋体"/>
          <w:szCs w:val="21"/>
        </w:rPr>
        <w:t>乙方：</w:t>
      </w:r>
      <w:r>
        <w:rPr>
          <w:rFonts w:hint="eastAsia" w:ascii="宋体" w:hAnsi="宋体" w:cs="宋体"/>
          <w:szCs w:val="21"/>
          <w:u w:val="single"/>
        </w:rPr>
        <w:t xml:space="preserve">（中标人）                             </w:t>
      </w:r>
    </w:p>
    <w:p>
      <w:pPr>
        <w:snapToGrid w:val="0"/>
        <w:spacing w:line="340" w:lineRule="exact"/>
        <w:ind w:firstLine="420" w:firstLineChars="200"/>
        <w:rPr>
          <w:rFonts w:hint="eastAsia" w:ascii="宋体" w:hAnsi="宋体" w:cs="宋体"/>
          <w:szCs w:val="21"/>
        </w:rPr>
      </w:pPr>
    </w:p>
    <w:p>
      <w:pPr>
        <w:spacing w:line="360" w:lineRule="auto"/>
        <w:rPr>
          <w:rFonts w:cs="宋体"/>
        </w:rPr>
      </w:pPr>
      <w:bookmarkStart w:id="433" w:name="_Toc25816"/>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根据《缙云县文</w:t>
      </w:r>
      <w:r>
        <w:rPr>
          <w:rFonts w:hint="eastAsia" w:ascii="宋体" w:hAnsi="宋体"/>
          <w:szCs w:val="21"/>
          <w:lang w:eastAsia="zh-CN"/>
        </w:rPr>
        <w:t>物</w:t>
      </w:r>
      <w:r>
        <w:rPr>
          <w:rFonts w:hint="eastAsia" w:ascii="宋体" w:hAnsi="宋体"/>
          <w:szCs w:val="21"/>
        </w:rPr>
        <w:t>建筑白蚁防治</w:t>
      </w:r>
      <w:r>
        <w:rPr>
          <w:rFonts w:hint="eastAsia" w:ascii="宋体" w:hAnsi="宋体"/>
          <w:szCs w:val="21"/>
          <w:lang w:eastAsia="zh-CN"/>
        </w:rPr>
        <w:t>示范</w:t>
      </w:r>
      <w:r>
        <w:rPr>
          <w:rFonts w:hint="eastAsia" w:ascii="宋体" w:hAnsi="宋体"/>
          <w:szCs w:val="21"/>
        </w:rPr>
        <w:t>项目》</w:t>
      </w:r>
      <w:r>
        <w:rPr>
          <w:rFonts w:hint="eastAsia" w:ascii="宋体" w:hAnsi="宋体"/>
          <w:szCs w:val="21"/>
          <w:u w:val="single"/>
        </w:rPr>
        <w:t>（标项号：  ）</w:t>
      </w:r>
      <w:r>
        <w:rPr>
          <w:rFonts w:hint="eastAsia" w:ascii="宋体" w:hAnsi="宋体"/>
          <w:szCs w:val="21"/>
        </w:rPr>
        <w:t>的中标通知书，为了明确甲、乙双方的权利和义务，履行各自的职责，高效优质地完成服务内容，按照《中华人民共和国</w:t>
      </w:r>
      <w:r>
        <w:rPr>
          <w:rFonts w:hint="eastAsia" w:ascii="宋体" w:hAnsi="宋体"/>
          <w:szCs w:val="21"/>
          <w:lang w:eastAsia="zh-CN"/>
        </w:rPr>
        <w:t>民法典</w:t>
      </w:r>
      <w:r>
        <w:rPr>
          <w:rFonts w:hint="eastAsia" w:ascii="宋体" w:hAnsi="宋体"/>
          <w:szCs w:val="21"/>
        </w:rPr>
        <w:t>》的有关规定，经甲乙双方在平等、自愿的基础上共同协商一致，现签订</w:t>
      </w:r>
      <w:r>
        <w:rPr>
          <w:rFonts w:hint="eastAsia" w:ascii="宋体" w:hAnsi="宋体" w:cs="宋体"/>
          <w:szCs w:val="21"/>
        </w:rPr>
        <w:t>服务</w:t>
      </w:r>
      <w:r>
        <w:rPr>
          <w:rFonts w:hint="eastAsia" w:ascii="宋体" w:hAnsi="宋体"/>
          <w:szCs w:val="21"/>
        </w:rPr>
        <w:t>承包合同。</w:t>
      </w:r>
    </w:p>
    <w:p>
      <w:pPr>
        <w:keepNext w:val="0"/>
        <w:keepLines w:val="0"/>
        <w:pageBreakBefore w:val="0"/>
        <w:widowControl/>
        <w:numPr>
          <w:ilvl w:val="0"/>
          <w:numId w:val="4"/>
        </w:numPr>
        <w:kinsoku/>
        <w:wordWrap/>
        <w:overflowPunct/>
        <w:topLinePunct w:val="0"/>
        <w:autoSpaceDE/>
        <w:autoSpaceDN/>
        <w:bidi w:val="0"/>
        <w:adjustRightInd/>
        <w:snapToGrid/>
        <w:spacing w:before="313" w:beforeLines="100" w:line="360" w:lineRule="auto"/>
        <w:ind w:firstLine="422" w:firstLineChars="200"/>
        <w:jc w:val="left"/>
        <w:textAlignment w:val="auto"/>
        <w:rPr>
          <w:rFonts w:hint="eastAsia"/>
        </w:rPr>
      </w:pPr>
      <w:r>
        <w:rPr>
          <w:rFonts w:hint="eastAsia" w:ascii="Times New Roman" w:hAnsi="Times New Roman" w:eastAsia="宋体" w:cs="宋体"/>
          <w:b/>
          <w:bCs/>
          <w:kern w:val="0"/>
        </w:rPr>
        <w:t>合同</w:t>
      </w:r>
      <w:r>
        <w:rPr>
          <w:rFonts w:hint="eastAsia" w:ascii="Times New Roman" w:hAnsi="Times New Roman" w:eastAsia="宋体" w:cs="宋体"/>
          <w:b/>
          <w:bCs/>
          <w:kern w:val="0"/>
          <w:lang w:eastAsia="zh-CN"/>
        </w:rPr>
        <w:t>名称</w:t>
      </w:r>
    </w:p>
    <w:p>
      <w:pPr>
        <w:pStyle w:val="2"/>
        <w:rPr>
          <w:rFonts w:hint="default" w:ascii="Times New Roman" w:hAnsi="Times New Roman" w:eastAsia="宋体" w:cs="宋体"/>
          <w:kern w:val="2"/>
          <w:sz w:val="21"/>
          <w:szCs w:val="24"/>
          <w:lang w:val="en-US" w:eastAsia="zh-CN" w:bidi="ar-SA"/>
        </w:rPr>
      </w:pPr>
      <w:r>
        <w:rPr>
          <w:rFonts w:hint="eastAsia" w:ascii="Times New Roman" w:hAnsi="Times New Roman" w:eastAsia="宋体" w:cs="宋体"/>
          <w:b/>
          <w:bCs/>
          <w:kern w:val="0"/>
          <w:lang w:val="en-US" w:eastAsia="zh-CN"/>
        </w:rPr>
        <w:t xml:space="preserve">    </w:t>
      </w:r>
      <w:r>
        <w:rPr>
          <w:rFonts w:hint="eastAsia" w:ascii="Times New Roman" w:hAnsi="Times New Roman" w:eastAsia="宋体" w:cs="宋体"/>
          <w:kern w:val="2"/>
          <w:sz w:val="21"/>
          <w:szCs w:val="24"/>
          <w:lang w:val="en-US" w:eastAsia="zh-CN" w:bidi="ar-SA"/>
        </w:rPr>
        <w:t>缙云县文物建筑白蚁防治示范项目</w:t>
      </w:r>
      <w:r>
        <w:rPr>
          <w:rFonts w:hint="eastAsia" w:ascii="宋体" w:hAnsi="宋体"/>
          <w:szCs w:val="21"/>
        </w:rPr>
        <w:t>承包合同</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422" w:firstLineChars="200"/>
        <w:jc w:val="left"/>
        <w:textAlignment w:val="auto"/>
        <w:rPr>
          <w:rFonts w:cs="宋体"/>
          <w:b/>
          <w:bCs/>
          <w:kern w:val="0"/>
        </w:rPr>
      </w:pPr>
      <w:r>
        <w:rPr>
          <w:rFonts w:hint="eastAsia" w:cs="宋体"/>
          <w:b/>
          <w:bCs/>
          <w:kern w:val="0"/>
        </w:rPr>
        <w:t>二、提交成果</w:t>
      </w:r>
    </w:p>
    <w:p>
      <w:pPr>
        <w:spacing w:line="500" w:lineRule="exact"/>
        <w:ind w:firstLine="420" w:firstLineChars="200"/>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1.《</w:t>
      </w:r>
      <w:r>
        <w:rPr>
          <w:rFonts w:hint="eastAsia" w:ascii="Times New Roman" w:hAnsi="Times New Roman" w:eastAsia="宋体" w:cs="宋体"/>
          <w:color w:val="000000" w:themeColor="text1"/>
          <w:lang w:eastAsia="zh-CN"/>
          <w14:textFill>
            <w14:solidFill>
              <w14:schemeClr w14:val="tx1"/>
            </w14:solidFill>
          </w14:textFill>
        </w:rPr>
        <w:t>缙云县</w:t>
      </w:r>
      <w:r>
        <w:rPr>
          <w:rFonts w:hint="eastAsia" w:ascii="Times New Roman" w:hAnsi="Times New Roman" w:eastAsia="宋体" w:cs="宋体"/>
          <w:color w:val="000000" w:themeColor="text1"/>
          <w14:textFill>
            <w14:solidFill>
              <w14:schemeClr w14:val="tx1"/>
            </w14:solidFill>
          </w14:textFill>
        </w:rPr>
        <w:t>文物建筑白蚁危害专项调研报告》；</w:t>
      </w:r>
    </w:p>
    <w:p>
      <w:pPr>
        <w:spacing w:line="500" w:lineRule="exact"/>
        <w:ind w:firstLine="420" w:firstLineChars="200"/>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2.《</w:t>
      </w:r>
      <w:r>
        <w:rPr>
          <w:rFonts w:hint="eastAsia" w:ascii="Times New Roman" w:hAnsi="Times New Roman" w:eastAsia="宋体" w:cs="宋体"/>
          <w:color w:val="000000" w:themeColor="text1"/>
          <w:lang w:eastAsia="zh-CN"/>
          <w14:textFill>
            <w14:solidFill>
              <w14:schemeClr w14:val="tx1"/>
            </w14:solidFill>
          </w14:textFill>
        </w:rPr>
        <w:t>缙云县</w:t>
      </w:r>
      <w:r>
        <w:rPr>
          <w:rFonts w:hint="eastAsia" w:ascii="Times New Roman" w:hAnsi="Times New Roman" w:eastAsia="宋体" w:cs="宋体"/>
          <w:color w:val="000000" w:themeColor="text1"/>
          <w14:textFill>
            <w14:solidFill>
              <w14:schemeClr w14:val="tx1"/>
            </w14:solidFill>
          </w14:textFill>
        </w:rPr>
        <w:t>文物建筑白蚁防治示范项目总结报告》；</w:t>
      </w:r>
    </w:p>
    <w:p>
      <w:pPr>
        <w:spacing w:line="500" w:lineRule="exact"/>
        <w:ind w:firstLine="420" w:firstLineChars="200"/>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3.《文物保护单位白蚁防治宣传册》；</w:t>
      </w:r>
    </w:p>
    <w:p>
      <w:pPr>
        <w:spacing w:line="500" w:lineRule="exact"/>
        <w:ind w:firstLine="420" w:firstLineChars="200"/>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4.《</w:t>
      </w:r>
      <w:r>
        <w:rPr>
          <w:rFonts w:hint="eastAsia" w:ascii="Times New Roman" w:hAnsi="Times New Roman" w:eastAsia="宋体" w:cs="宋体"/>
          <w:color w:val="000000" w:themeColor="text1"/>
          <w:lang w:eastAsia="zh-CN"/>
          <w14:textFill>
            <w14:solidFill>
              <w14:schemeClr w14:val="tx1"/>
            </w14:solidFill>
          </w14:textFill>
        </w:rPr>
        <w:t>缙云县</w:t>
      </w:r>
      <w:r>
        <w:rPr>
          <w:rFonts w:hint="eastAsia" w:ascii="Times New Roman" w:hAnsi="Times New Roman" w:eastAsia="宋体" w:cs="宋体"/>
          <w:color w:val="000000" w:themeColor="text1"/>
          <w14:textFill>
            <w14:solidFill>
              <w14:schemeClr w14:val="tx1"/>
            </w14:solidFill>
          </w14:textFill>
        </w:rPr>
        <w:t>文物建筑白蚁防治基础信息数据库研究报告》；</w:t>
      </w:r>
    </w:p>
    <w:p>
      <w:pPr>
        <w:spacing w:line="500" w:lineRule="exact"/>
        <w:ind w:firstLine="420" w:firstLineChars="200"/>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5.《</w:t>
      </w:r>
      <w:r>
        <w:rPr>
          <w:rFonts w:hint="eastAsia" w:ascii="Times New Roman" w:hAnsi="Times New Roman" w:eastAsia="宋体" w:cs="宋体"/>
          <w:color w:val="000000" w:themeColor="text1"/>
          <w:lang w:eastAsia="zh-CN"/>
          <w14:textFill>
            <w14:solidFill>
              <w14:schemeClr w14:val="tx1"/>
            </w14:solidFill>
          </w14:textFill>
        </w:rPr>
        <w:t>缙云县</w:t>
      </w:r>
      <w:r>
        <w:rPr>
          <w:rFonts w:hint="eastAsia" w:ascii="Times New Roman" w:hAnsi="Times New Roman" w:eastAsia="宋体" w:cs="宋体"/>
          <w:color w:val="000000" w:themeColor="text1"/>
          <w14:textFill>
            <w14:solidFill>
              <w14:schemeClr w14:val="tx1"/>
            </w14:solidFill>
          </w14:textFill>
        </w:rPr>
        <w:t>文物建筑白蚁防治示范经验总结报告》。</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422" w:firstLineChars="200"/>
        <w:jc w:val="left"/>
        <w:textAlignment w:val="auto"/>
        <w:rPr>
          <w:rFonts w:hint="eastAsia" w:ascii="Times New Roman" w:hAnsi="Times New Roman" w:eastAsia="宋体" w:cs="宋体"/>
          <w:b/>
          <w:bCs/>
          <w:kern w:val="0"/>
        </w:rPr>
      </w:pPr>
      <w:r>
        <w:rPr>
          <w:rFonts w:hint="eastAsia" w:ascii="Times New Roman" w:hAnsi="Times New Roman" w:eastAsia="宋体" w:cs="宋体"/>
          <w:b/>
          <w:bCs/>
          <w:kern w:val="0"/>
        </w:rPr>
        <w:t>三、合同的组成部分：</w:t>
      </w:r>
    </w:p>
    <w:p>
      <w:pPr>
        <w:spacing w:line="500" w:lineRule="exact"/>
        <w:ind w:firstLine="420" w:firstLineChars="200"/>
        <w:rPr>
          <w:rFonts w:hint="eastAsia" w:ascii="Times New Roman" w:hAnsi="Times New Roman" w:eastAsia="宋体" w:cs="宋体"/>
        </w:rPr>
      </w:pPr>
      <w:r>
        <w:rPr>
          <w:rFonts w:hint="eastAsia" w:ascii="Times New Roman" w:hAnsi="Times New Roman" w:eastAsia="宋体" w:cs="宋体"/>
        </w:rPr>
        <w:t xml:space="preserve">1、成交通知书；   </w:t>
      </w:r>
    </w:p>
    <w:p>
      <w:pPr>
        <w:spacing w:line="500" w:lineRule="exact"/>
        <w:ind w:firstLine="420" w:firstLineChars="200"/>
        <w:rPr>
          <w:rFonts w:hint="eastAsia" w:ascii="Times New Roman" w:hAnsi="Times New Roman" w:eastAsia="宋体" w:cs="宋体"/>
        </w:rPr>
      </w:pPr>
      <w:r>
        <w:rPr>
          <w:rFonts w:hint="eastAsia" w:ascii="Times New Roman" w:hAnsi="Times New Roman" w:eastAsia="宋体" w:cs="宋体"/>
        </w:rPr>
        <w:t xml:space="preserve">2、乙方成交的响应文件；     </w:t>
      </w:r>
    </w:p>
    <w:p>
      <w:pPr>
        <w:spacing w:line="500" w:lineRule="exact"/>
        <w:ind w:firstLine="420" w:firstLineChars="200"/>
        <w:rPr>
          <w:rFonts w:hint="eastAsia" w:ascii="Times New Roman" w:hAnsi="Times New Roman" w:eastAsia="宋体" w:cs="宋体"/>
        </w:rPr>
      </w:pPr>
      <w:r>
        <w:rPr>
          <w:rFonts w:hint="eastAsia" w:ascii="Times New Roman" w:hAnsi="Times New Roman" w:eastAsia="宋体" w:cs="宋体"/>
        </w:rPr>
        <w:t>3、磋商文件；</w:t>
      </w:r>
    </w:p>
    <w:p>
      <w:pPr>
        <w:spacing w:line="500" w:lineRule="exact"/>
        <w:ind w:firstLine="420" w:firstLineChars="200"/>
        <w:rPr>
          <w:rFonts w:hint="eastAsia" w:ascii="Times New Roman" w:hAnsi="Times New Roman" w:eastAsia="宋体" w:cs="宋体"/>
        </w:rPr>
      </w:pPr>
      <w:r>
        <w:rPr>
          <w:rFonts w:hint="eastAsia" w:ascii="Times New Roman" w:hAnsi="Times New Roman" w:eastAsia="宋体" w:cs="宋体"/>
        </w:rPr>
        <w:t>4、乙方在磋商过程中所作的其他承诺、声明、书面澄清等。</w:t>
      </w:r>
    </w:p>
    <w:p>
      <w:pPr>
        <w:spacing w:line="500" w:lineRule="exact"/>
        <w:ind w:firstLine="422" w:firstLineChars="200"/>
        <w:rPr>
          <w:rFonts w:cs="宋体"/>
        </w:rPr>
      </w:pPr>
      <w:r>
        <w:rPr>
          <w:rFonts w:hint="eastAsia" w:ascii="Times New Roman" w:hAnsi="Times New Roman" w:eastAsia="宋体" w:cs="宋体"/>
          <w:b/>
          <w:bCs/>
          <w:kern w:val="0"/>
        </w:rPr>
        <w:t>四、合同价格与支付</w:t>
      </w:r>
    </w:p>
    <w:p>
      <w:pPr>
        <w:spacing w:line="500" w:lineRule="exact"/>
        <w:ind w:firstLine="420" w:firstLineChars="200"/>
        <w:rPr>
          <w:rFonts w:hint="eastAsia" w:ascii="Times New Roman" w:hAnsi="Times New Roman" w:eastAsia="宋体" w:cs="宋体"/>
        </w:rPr>
      </w:pPr>
      <w:r>
        <w:rPr>
          <w:rFonts w:hint="eastAsia" w:ascii="Times New Roman" w:hAnsi="Times New Roman" w:eastAsia="宋体" w:cs="宋体"/>
          <w:lang w:eastAsia="zh-CN"/>
        </w:rPr>
        <w:t>（</w:t>
      </w:r>
      <w:r>
        <w:rPr>
          <w:rFonts w:hint="eastAsia" w:ascii="Times New Roman" w:hAnsi="Times New Roman" w:eastAsia="宋体" w:cs="宋体"/>
        </w:rPr>
        <w:t>1</w:t>
      </w:r>
      <w:r>
        <w:rPr>
          <w:rFonts w:hint="eastAsia" w:ascii="Times New Roman" w:hAnsi="Times New Roman" w:eastAsia="宋体" w:cs="宋体"/>
          <w:lang w:eastAsia="zh-CN"/>
        </w:rPr>
        <w:t>）</w:t>
      </w:r>
      <w:r>
        <w:rPr>
          <w:rFonts w:hint="eastAsia" w:ascii="Times New Roman" w:hAnsi="Times New Roman" w:eastAsia="宋体" w:cs="宋体"/>
        </w:rPr>
        <w:t>、合同价格按此次成交价格执行，合同总金额为人民币大写</w:t>
      </w:r>
      <w:r>
        <w:rPr>
          <w:rFonts w:hint="eastAsia" w:ascii="Times New Roman" w:hAnsi="Times New Roman" w:eastAsia="宋体" w:cs="宋体"/>
          <w:u w:val="single"/>
        </w:rPr>
        <w:t xml:space="preserve">           （小写：￥    ）。</w:t>
      </w:r>
    </w:p>
    <w:p>
      <w:pPr>
        <w:spacing w:line="500" w:lineRule="exact"/>
        <w:ind w:firstLine="420" w:firstLineChars="200"/>
        <w:rPr>
          <w:rFonts w:hint="eastAsia" w:ascii="Times New Roman" w:hAnsi="Times New Roman" w:eastAsia="宋体" w:cs="宋体"/>
        </w:rPr>
      </w:pPr>
      <w:r>
        <w:rPr>
          <w:rFonts w:hint="eastAsia" w:ascii="Times New Roman" w:hAnsi="Times New Roman" w:eastAsia="宋体" w:cs="宋体"/>
        </w:rPr>
        <w:t>上述合同价包括完成整个项目服务所需的人工、材料、提供成果、管理、税费及成果验收、风险费及采购代理费等一切与之相关的所有费用。</w:t>
      </w:r>
    </w:p>
    <w:p>
      <w:pPr>
        <w:spacing w:line="500" w:lineRule="exact"/>
        <w:ind w:firstLine="420" w:firstLineChars="200"/>
        <w:rPr>
          <w:rFonts w:hint="eastAsia" w:ascii="Times New Roman" w:hAnsi="Times New Roman" w:eastAsia="宋体" w:cs="宋体"/>
        </w:rPr>
      </w:pPr>
      <w:r>
        <w:rPr>
          <w:rFonts w:hint="eastAsia" w:ascii="Times New Roman" w:hAnsi="Times New Roman" w:eastAsia="宋体" w:cs="宋体"/>
        </w:rPr>
        <w:t>本合同期限内，若遇当地政府重大决策调整，造成乙方工作量大幅度增加或减少的，具体收费经双方另行协商确定，签订收费协议，作为本合同的附件。</w:t>
      </w:r>
    </w:p>
    <w:p>
      <w:pPr>
        <w:spacing w:line="500" w:lineRule="exact"/>
        <w:ind w:firstLine="420" w:firstLineChars="200"/>
        <w:rPr>
          <w:rFonts w:hint="eastAsia" w:ascii="Times New Roman" w:hAnsi="Times New Roman" w:eastAsia="宋体" w:cs="宋体"/>
        </w:rPr>
      </w:pPr>
      <w:r>
        <w:rPr>
          <w:rFonts w:hint="eastAsia" w:ascii="Times New Roman" w:hAnsi="Times New Roman" w:eastAsia="宋体" w:cs="宋体"/>
          <w:lang w:eastAsia="zh-CN"/>
        </w:rPr>
        <w:t>（</w:t>
      </w:r>
      <w:r>
        <w:rPr>
          <w:rFonts w:hint="eastAsia" w:ascii="Times New Roman" w:hAnsi="Times New Roman" w:eastAsia="宋体" w:cs="宋体"/>
        </w:rPr>
        <w:t>2</w:t>
      </w:r>
      <w:r>
        <w:rPr>
          <w:rFonts w:hint="eastAsia" w:ascii="Times New Roman" w:hAnsi="Times New Roman" w:eastAsia="宋体" w:cs="宋体"/>
          <w:lang w:eastAsia="zh-CN"/>
        </w:rPr>
        <w:t>）</w:t>
      </w:r>
      <w:r>
        <w:rPr>
          <w:rFonts w:hint="eastAsia" w:ascii="Times New Roman" w:hAnsi="Times New Roman" w:eastAsia="宋体" w:cs="宋体"/>
        </w:rPr>
        <w:t>、合同生效后按如下步骤支付价款：</w:t>
      </w:r>
    </w:p>
    <w:p>
      <w:pPr>
        <w:spacing w:line="500" w:lineRule="exact"/>
        <w:ind w:firstLine="420" w:firstLineChars="200"/>
        <w:rPr>
          <w:rFonts w:hint="eastAsia" w:ascii="Times New Roman" w:hAnsi="Times New Roman" w:eastAsia="宋体" w:cs="宋体"/>
        </w:rPr>
      </w:pPr>
      <w:r>
        <w:rPr>
          <w:rFonts w:hint="eastAsia" w:ascii="Times New Roman" w:hAnsi="Times New Roman" w:eastAsia="宋体" w:cs="宋体"/>
        </w:rPr>
        <w:t>合同签订后7个工作日内，支付合同款的20%</w:t>
      </w:r>
      <w:r>
        <w:rPr>
          <w:rFonts w:hint="eastAsia" w:ascii="Times New Roman" w:hAnsi="Times New Roman" w:eastAsia="宋体" w:cs="宋体"/>
          <w:lang w:val="en-US" w:eastAsia="zh-CN"/>
        </w:rPr>
        <w:t>（供应商应提交银行、保险公司等金融机构出具同等金额的预付款保函）</w:t>
      </w:r>
      <w:r>
        <w:rPr>
          <w:rFonts w:hint="eastAsia" w:ascii="Times New Roman" w:hAnsi="Times New Roman" w:eastAsia="宋体" w:cs="宋体"/>
        </w:rPr>
        <w:t>；第</w:t>
      </w:r>
      <w:r>
        <w:rPr>
          <w:rFonts w:hint="eastAsia" w:cs="宋体"/>
          <w:lang w:eastAsia="zh-CN"/>
        </w:rPr>
        <w:t>一</w:t>
      </w:r>
      <w:r>
        <w:rPr>
          <w:rFonts w:hint="eastAsia" w:ascii="Times New Roman" w:hAnsi="Times New Roman" w:eastAsia="宋体" w:cs="宋体"/>
        </w:rPr>
        <w:t>年既定项目研究任务和现场施工工作完成后，支付合同价的</w:t>
      </w:r>
      <w:r>
        <w:rPr>
          <w:rFonts w:hint="eastAsia" w:ascii="Times New Roman" w:hAnsi="Times New Roman" w:eastAsia="宋体" w:cs="宋体"/>
          <w:lang w:val="en-US" w:eastAsia="zh-CN"/>
        </w:rPr>
        <w:t>6</w:t>
      </w:r>
      <w:r>
        <w:rPr>
          <w:rFonts w:hint="eastAsia" w:ascii="Times New Roman" w:hAnsi="Times New Roman" w:eastAsia="宋体" w:cs="宋体"/>
        </w:rPr>
        <w:t>0%；第二年既定项目研究任务和现场施工工作完成后支付合同价的</w:t>
      </w:r>
      <w:r>
        <w:rPr>
          <w:rFonts w:hint="eastAsia" w:ascii="Times New Roman" w:hAnsi="Times New Roman" w:eastAsia="宋体" w:cs="宋体"/>
          <w:lang w:val="en-US" w:eastAsia="zh-CN"/>
        </w:rPr>
        <w:t>15</w:t>
      </w:r>
      <w:r>
        <w:rPr>
          <w:rFonts w:hint="eastAsia" w:ascii="Times New Roman" w:hAnsi="Times New Roman" w:eastAsia="宋体" w:cs="宋体"/>
        </w:rPr>
        <w:t>%；项目全部完成并通过验收后付清尾款。</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422" w:firstLineChars="200"/>
        <w:jc w:val="left"/>
        <w:textAlignment w:val="auto"/>
        <w:rPr>
          <w:rFonts w:hint="eastAsia" w:ascii="Times New Roman" w:hAnsi="Times New Roman" w:eastAsia="宋体" w:cs="宋体"/>
          <w:b/>
          <w:bCs/>
          <w:kern w:val="0"/>
        </w:rPr>
      </w:pPr>
      <w:r>
        <w:rPr>
          <w:rFonts w:hint="eastAsia" w:ascii="Times New Roman" w:hAnsi="Times New Roman" w:eastAsia="宋体" w:cs="宋体"/>
          <w:b/>
          <w:bCs/>
          <w:kern w:val="0"/>
        </w:rPr>
        <w:t>五、服务期限要求</w:t>
      </w:r>
    </w:p>
    <w:p>
      <w:pPr>
        <w:adjustRightInd w:val="0"/>
        <w:snapToGrid w:val="0"/>
        <w:spacing w:line="360" w:lineRule="auto"/>
        <w:ind w:firstLine="420" w:firstLineChars="200"/>
        <w:rPr>
          <w:rFonts w:cs="宋体"/>
          <w:b/>
          <w:color w:val="000000" w:themeColor="text1"/>
          <w:kern w:val="0"/>
          <w:highlight w:val="yellow"/>
          <w14:textFill>
            <w14:solidFill>
              <w14:schemeClr w14:val="tx1"/>
            </w14:solidFill>
          </w14:textFill>
        </w:rPr>
      </w:pPr>
      <w:r>
        <w:rPr>
          <w:rFonts w:hint="eastAsia" w:cs="宋体"/>
          <w:color w:val="000000" w:themeColor="text1"/>
          <w:kern w:val="0"/>
          <w14:textFill>
            <w14:solidFill>
              <w14:schemeClr w14:val="tx1"/>
            </w14:solidFill>
          </w14:textFill>
        </w:rPr>
        <w:t>合同签订后</w:t>
      </w:r>
      <w:r>
        <w:rPr>
          <w:rFonts w:hint="eastAsia" w:cs="宋体"/>
          <w:color w:val="000000" w:themeColor="text1"/>
          <w:kern w:val="0"/>
          <w:lang w:eastAsia="zh-CN"/>
          <w14:textFill>
            <w14:solidFill>
              <w14:schemeClr w14:val="tx1"/>
            </w14:solidFill>
          </w14:textFill>
        </w:rPr>
        <w:t>二</w:t>
      </w:r>
      <w:r>
        <w:rPr>
          <w:rFonts w:hint="eastAsia" w:cs="宋体"/>
          <w:color w:val="000000" w:themeColor="text1"/>
          <w:kern w:val="0"/>
          <w14:textFill>
            <w14:solidFill>
              <w14:schemeClr w14:val="tx1"/>
            </w14:solidFill>
          </w14:textFill>
        </w:rPr>
        <w:t>年。</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422" w:firstLineChars="200"/>
        <w:jc w:val="left"/>
        <w:textAlignment w:val="auto"/>
        <w:rPr>
          <w:rFonts w:hint="eastAsia" w:ascii="Times New Roman" w:hAnsi="Times New Roman" w:eastAsia="宋体" w:cs="宋体"/>
          <w:b/>
          <w:bCs/>
          <w:kern w:val="0"/>
        </w:rPr>
      </w:pPr>
      <w:r>
        <w:rPr>
          <w:rFonts w:hint="eastAsia" w:ascii="Times New Roman" w:hAnsi="Times New Roman" w:eastAsia="宋体" w:cs="宋体"/>
          <w:b/>
          <w:bCs/>
          <w:kern w:val="0"/>
        </w:rPr>
        <w:t>六、人员变更</w:t>
      </w:r>
    </w:p>
    <w:p>
      <w:pPr>
        <w:spacing w:line="500" w:lineRule="exact"/>
        <w:ind w:firstLine="420" w:firstLineChars="200"/>
        <w:rPr>
          <w:rFonts w:cs="宋体"/>
        </w:rPr>
      </w:pPr>
      <w:r>
        <w:rPr>
          <w:rFonts w:hint="eastAsia" w:cs="宋体"/>
        </w:rPr>
        <w:t>1、甲方不允许乙方在项目实施过程中更换负责人，如果乙方由于非己方原因，需变更负责人时，乙方应提供一名具有同等或更高资历的人员并经甲方同意后方可替换该职位，且每更换一人，甲方有权要求乙方支付</w:t>
      </w:r>
      <w:r>
        <w:rPr>
          <w:rFonts w:hint="eastAsia" w:cs="宋体"/>
          <w:color w:val="000000" w:themeColor="text1"/>
          <w14:textFill>
            <w14:solidFill>
              <w14:schemeClr w14:val="tx1"/>
            </w14:solidFill>
          </w14:textFill>
        </w:rPr>
        <w:t>5000</w:t>
      </w:r>
      <w:r>
        <w:rPr>
          <w:rFonts w:hint="eastAsia" w:cs="宋体"/>
        </w:rPr>
        <w:t>元违约金。</w:t>
      </w:r>
    </w:p>
    <w:p>
      <w:pPr>
        <w:spacing w:line="500" w:lineRule="exact"/>
        <w:ind w:firstLine="420" w:firstLineChars="200"/>
        <w:rPr>
          <w:rFonts w:cs="宋体"/>
        </w:rPr>
      </w:pPr>
      <w:r>
        <w:rPr>
          <w:rFonts w:hint="eastAsia" w:cs="宋体"/>
        </w:rPr>
        <w:t>2、如果甲方发现乙方现场负责人存在以下问题，甲方有权书面要求乙方更换该人员。乙方在收到甲方书面通知后，必须及时更换该人员。此外，新更换人员的资历应预先受到甲方认可，经甲方确认后方可到岗工作。</w:t>
      </w:r>
    </w:p>
    <w:p>
      <w:pPr>
        <w:spacing w:line="500" w:lineRule="exact"/>
        <w:ind w:firstLine="420" w:firstLineChars="200"/>
        <w:rPr>
          <w:rFonts w:cs="宋体"/>
        </w:rPr>
      </w:pPr>
      <w:r>
        <w:rPr>
          <w:rFonts w:hint="eastAsia" w:cs="宋体"/>
        </w:rPr>
        <w:t>（1）该人员被发现犯有严重的错误或被指控有犯罪行为；</w:t>
      </w:r>
    </w:p>
    <w:p>
      <w:pPr>
        <w:spacing w:line="500" w:lineRule="exact"/>
        <w:ind w:firstLine="420" w:firstLineChars="200"/>
        <w:rPr>
          <w:rFonts w:cs="宋体"/>
        </w:rPr>
      </w:pPr>
      <w:r>
        <w:rPr>
          <w:rFonts w:hint="eastAsia" w:cs="宋体"/>
        </w:rPr>
        <w:t>（2）有充分资料显示该人员能力与表现无法胜任承担的工作任务。</w:t>
      </w:r>
    </w:p>
    <w:p>
      <w:pPr>
        <w:spacing w:line="500" w:lineRule="exact"/>
        <w:ind w:firstLine="420" w:firstLineChars="200"/>
        <w:rPr>
          <w:rFonts w:cs="宋体"/>
        </w:rPr>
      </w:pPr>
      <w:r>
        <w:rPr>
          <w:rFonts w:hint="eastAsia" w:cs="宋体"/>
        </w:rPr>
        <w:t>3、所有人员的变更均不影响合同价格及合同工期。</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422" w:firstLineChars="200"/>
        <w:jc w:val="left"/>
        <w:textAlignment w:val="auto"/>
        <w:rPr>
          <w:rFonts w:hint="eastAsia" w:ascii="Times New Roman" w:hAnsi="Times New Roman" w:eastAsia="宋体" w:cs="宋体"/>
          <w:b/>
          <w:bCs/>
          <w:kern w:val="0"/>
        </w:rPr>
      </w:pPr>
      <w:r>
        <w:rPr>
          <w:rFonts w:hint="eastAsia" w:ascii="Times New Roman" w:hAnsi="Times New Roman" w:eastAsia="宋体" w:cs="宋体"/>
          <w:b/>
          <w:bCs/>
          <w:kern w:val="0"/>
        </w:rPr>
        <w:t>七、双方义务和责任</w:t>
      </w:r>
    </w:p>
    <w:p>
      <w:pPr>
        <w:spacing w:line="500" w:lineRule="exact"/>
        <w:ind w:firstLine="420" w:firstLineChars="200"/>
        <w:rPr>
          <w:rFonts w:cs="宋体"/>
        </w:rPr>
      </w:pPr>
      <w:r>
        <w:rPr>
          <w:rFonts w:hint="eastAsia" w:cs="宋体"/>
        </w:rPr>
        <w:t>1、甲方义务和责任：</w:t>
      </w:r>
    </w:p>
    <w:p>
      <w:pPr>
        <w:spacing w:line="500" w:lineRule="exact"/>
        <w:ind w:firstLine="420" w:firstLineChars="200"/>
        <w:rPr>
          <w:rFonts w:cs="宋体"/>
        </w:rPr>
      </w:pPr>
      <w:r>
        <w:rPr>
          <w:rFonts w:hint="eastAsia" w:cs="宋体"/>
        </w:rPr>
        <w:t>（1）甲方负责提供乙方完成本项目所需的资料，负责相关工作间的协调工作。</w:t>
      </w:r>
    </w:p>
    <w:p>
      <w:pPr>
        <w:spacing w:line="500" w:lineRule="exact"/>
        <w:ind w:firstLine="420" w:firstLineChars="200"/>
        <w:rPr>
          <w:rFonts w:cs="宋体"/>
        </w:rPr>
      </w:pPr>
      <w:r>
        <w:rPr>
          <w:rFonts w:hint="eastAsia" w:cs="宋体"/>
        </w:rPr>
        <w:t>（2）提供技术要求及规范。</w:t>
      </w:r>
    </w:p>
    <w:p>
      <w:pPr>
        <w:spacing w:line="500" w:lineRule="exact"/>
        <w:ind w:firstLine="420" w:firstLineChars="200"/>
        <w:rPr>
          <w:rFonts w:cs="宋体"/>
        </w:rPr>
      </w:pPr>
      <w:r>
        <w:rPr>
          <w:rFonts w:hint="eastAsia" w:cs="宋体"/>
        </w:rPr>
        <w:t>（3）审定乙方技术方案及履行合同情况。</w:t>
      </w:r>
    </w:p>
    <w:p>
      <w:pPr>
        <w:spacing w:line="500" w:lineRule="exact"/>
        <w:ind w:firstLine="420" w:firstLineChars="200"/>
        <w:rPr>
          <w:rFonts w:cs="宋体"/>
        </w:rPr>
      </w:pPr>
      <w:r>
        <w:rPr>
          <w:rFonts w:hint="eastAsia" w:cs="宋体"/>
        </w:rPr>
        <w:t>（4）甲方可指派代表作为项目负责人，与乙方进行及时的联络并监督、协调服务的执行情况。</w:t>
      </w:r>
    </w:p>
    <w:p>
      <w:pPr>
        <w:spacing w:line="500" w:lineRule="exact"/>
        <w:ind w:firstLine="420" w:firstLineChars="200"/>
        <w:rPr>
          <w:rFonts w:cs="宋体"/>
        </w:rPr>
      </w:pPr>
      <w:r>
        <w:rPr>
          <w:rFonts w:hint="eastAsia" w:cs="宋体"/>
        </w:rPr>
        <w:t>（5）按合同规定向乙方支付服务费用。</w:t>
      </w:r>
    </w:p>
    <w:p>
      <w:pPr>
        <w:spacing w:line="500" w:lineRule="exact"/>
        <w:ind w:firstLine="420" w:firstLineChars="200"/>
        <w:rPr>
          <w:rFonts w:cs="宋体"/>
        </w:rPr>
      </w:pPr>
      <w:r>
        <w:rPr>
          <w:rFonts w:hint="eastAsia" w:cs="宋体"/>
        </w:rPr>
        <w:t>2、乙方义务和责任：</w:t>
      </w:r>
    </w:p>
    <w:p>
      <w:pPr>
        <w:spacing w:line="500" w:lineRule="exact"/>
        <w:ind w:firstLine="420" w:firstLineChars="200"/>
        <w:rPr>
          <w:rFonts w:cs="宋体"/>
        </w:rPr>
      </w:pPr>
      <w:r>
        <w:rPr>
          <w:rFonts w:hint="eastAsia" w:cs="宋体"/>
        </w:rPr>
        <w:t>（1）根据工作计划及要求及时完成工作。</w:t>
      </w:r>
    </w:p>
    <w:p>
      <w:pPr>
        <w:spacing w:line="500" w:lineRule="exact"/>
        <w:ind w:firstLine="420" w:firstLineChars="200"/>
        <w:rPr>
          <w:rFonts w:cs="宋体"/>
        </w:rPr>
      </w:pPr>
      <w:r>
        <w:rPr>
          <w:rFonts w:hint="eastAsia" w:cs="宋体"/>
        </w:rPr>
        <w:t>（2）乙方自行负责实施合同期间乙方工作人员的食宿、通讯、差旅、交通、水电、资料收集以及用工器具等产生的一切费用。</w:t>
      </w:r>
    </w:p>
    <w:p>
      <w:pPr>
        <w:spacing w:line="500" w:lineRule="exact"/>
        <w:ind w:firstLine="420" w:firstLineChars="200"/>
        <w:rPr>
          <w:rFonts w:cs="宋体"/>
        </w:rPr>
      </w:pPr>
      <w:r>
        <w:rPr>
          <w:rFonts w:hint="eastAsia" w:cs="宋体"/>
        </w:rPr>
        <w:t>（3）服务期间，需要保障服务内容和服务质量。</w:t>
      </w:r>
    </w:p>
    <w:p>
      <w:pPr>
        <w:spacing w:line="500" w:lineRule="exact"/>
        <w:ind w:firstLine="420" w:firstLineChars="200"/>
        <w:rPr>
          <w:rFonts w:cs="宋体"/>
        </w:rPr>
      </w:pPr>
      <w:r>
        <w:rPr>
          <w:rFonts w:hint="eastAsia" w:cs="宋体"/>
        </w:rPr>
        <w:t>（4）对甲方提出的对响应文件的技术方案、项目人员及项目要求等进行的必要调整和完善意见应积极响应。</w:t>
      </w:r>
    </w:p>
    <w:p>
      <w:pPr>
        <w:spacing w:line="50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（5）乙方须维护甲方的基础资料及成果，不得转让给第三方重复使用。</w:t>
      </w:r>
    </w:p>
    <w:p>
      <w:pPr>
        <w:spacing w:line="50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（6）乙方在被授予合同后不得转包，如发现转包，按乙方根本违约处理。</w:t>
      </w:r>
    </w:p>
    <w:p>
      <w:pPr>
        <w:spacing w:line="500" w:lineRule="exact"/>
        <w:ind w:firstLine="420" w:firstLineChars="200"/>
        <w:rPr>
          <w:rFonts w:cs="宋体"/>
          <w:color w:val="000000" w:themeColor="text1"/>
          <w:kern w:val="0"/>
          <w14:textFill>
            <w14:solidFill>
              <w14:schemeClr w14:val="tx1"/>
            </w14:solidFill>
          </w14:textFill>
        </w:rPr>
      </w:pPr>
      <w:r>
        <w:rPr>
          <w:rFonts w:hint="eastAsia" w:cs="宋体"/>
          <w:color w:val="000000" w:themeColor="text1"/>
          <w14:textFill>
            <w14:solidFill>
              <w14:schemeClr w14:val="tx1"/>
            </w14:solidFill>
          </w14:textFill>
        </w:rPr>
        <w:t>（7）项</w:t>
      </w:r>
      <w:r>
        <w:rPr>
          <w:rFonts w:hint="eastAsia" w:cs="宋体"/>
          <w:color w:val="000000" w:themeColor="text1"/>
          <w:kern w:val="0"/>
          <w14:textFill>
            <w14:solidFill>
              <w14:schemeClr w14:val="tx1"/>
            </w14:solidFill>
          </w14:textFill>
        </w:rPr>
        <w:t>目全流程需做好保密工作，服从所涉及单位的保密规定和要求，不得使用互联网储存工作资料，全部工作资料必须收集归档并递交甲方。如发现乙方将该项目全部或部分进行分包或转包的行为，甲方有权单方面解除合同，并有权要求乙方支付250000元违约金。</w:t>
      </w:r>
    </w:p>
    <w:p>
      <w:pPr>
        <w:spacing w:line="500" w:lineRule="exact"/>
        <w:ind w:firstLine="422" w:firstLineChars="200"/>
        <w:jc w:val="left"/>
        <w:rPr>
          <w:rFonts w:cs="宋体"/>
          <w:b/>
        </w:rPr>
      </w:pPr>
      <w:r>
        <w:rPr>
          <w:rFonts w:hint="eastAsia" w:ascii="Times New Roman" w:hAnsi="Times New Roman" w:eastAsia="宋体" w:cs="宋体"/>
          <w:b/>
          <w:bCs/>
          <w:kern w:val="0"/>
        </w:rPr>
        <w:t>八、违约责任</w:t>
      </w:r>
    </w:p>
    <w:p>
      <w:pPr>
        <w:spacing w:line="500" w:lineRule="exact"/>
        <w:ind w:firstLine="420" w:firstLineChars="200"/>
        <w:rPr>
          <w:rFonts w:cs="宋体"/>
        </w:rPr>
      </w:pPr>
      <w:r>
        <w:rPr>
          <w:rFonts w:hint="eastAsia" w:cs="宋体"/>
        </w:rPr>
        <w:t>1、甲方未及时提供基础资料，或受客观原因的制约未能履行合同约定职责的，有责任采取措施，消除影响。</w:t>
      </w:r>
    </w:p>
    <w:p>
      <w:pPr>
        <w:spacing w:line="500" w:lineRule="exact"/>
        <w:ind w:firstLine="420" w:firstLineChars="200"/>
        <w:rPr>
          <w:rFonts w:cs="宋体"/>
        </w:rPr>
      </w:pPr>
      <w:r>
        <w:rPr>
          <w:rFonts w:hint="eastAsia" w:cs="宋体"/>
        </w:rPr>
        <w:t>2、乙方未按合同约定提供服务，影响履行职责的，应按甲方要求继续履行职责。如给甲方造成损失的，乙方应给予甲方相应损失的赔偿。</w:t>
      </w:r>
    </w:p>
    <w:p>
      <w:pPr>
        <w:spacing w:line="500" w:lineRule="exact"/>
        <w:ind w:firstLine="420" w:firstLineChars="200"/>
        <w:rPr>
          <w:rFonts w:cs="宋体"/>
        </w:rPr>
      </w:pPr>
      <w:r>
        <w:rPr>
          <w:rFonts w:hint="eastAsia" w:cs="宋体"/>
        </w:rPr>
        <w:t>3、乙方应在本合同规定时间内完成工作量，如果乙方在本合同规定时间内未完成的，每延误一天，乙方应向甲方支付2000元的违约金，由于甲方原因而使乙方不能按时完成的除外。乙方按时完成工作量，如果甲方在本合同规定时间内未付款的，每延误一天，甲方应向乙方支付2000元的违约金。</w:t>
      </w:r>
    </w:p>
    <w:p>
      <w:pPr>
        <w:spacing w:line="500" w:lineRule="exact"/>
        <w:ind w:firstLine="420" w:firstLineChars="200"/>
        <w:rPr>
          <w:rFonts w:cs="宋体"/>
          <w:b/>
          <w:color w:val="0070C0"/>
        </w:rPr>
      </w:pPr>
      <w:r>
        <w:rPr>
          <w:rFonts w:hint="eastAsia" w:cs="宋体"/>
        </w:rPr>
        <w:t>4、乙方存在完成时间</w:t>
      </w:r>
      <w:r>
        <w:rPr>
          <w:rFonts w:hint="eastAsia" w:cs="宋体"/>
          <w:b w:val="0"/>
          <w:bCs w:val="0"/>
          <w:color w:val="000000" w:themeColor="text1"/>
          <w14:textFill>
            <w14:solidFill>
              <w14:schemeClr w14:val="tx1"/>
            </w14:solidFill>
          </w14:textFill>
        </w:rPr>
        <w:t>超过</w:t>
      </w:r>
      <w:r>
        <w:rPr>
          <w:rFonts w:hint="eastAsia" w:cs="宋体"/>
          <w:b w:val="0"/>
          <w:bCs w:val="0"/>
          <w:color w:val="000000" w:themeColor="text1"/>
          <w:kern w:val="0"/>
          <w14:textFill>
            <w14:solidFill>
              <w14:schemeClr w14:val="tx1"/>
            </w14:solidFill>
          </w14:textFill>
        </w:rPr>
        <w:t>约定期限</w:t>
      </w:r>
      <w:r>
        <w:rPr>
          <w:rFonts w:hint="eastAsia" w:cs="宋体"/>
          <w:b w:val="0"/>
          <w:bCs w:val="0"/>
          <w:color w:val="000000" w:themeColor="text1"/>
          <w14:textFill>
            <w14:solidFill>
              <w14:schemeClr w14:val="tx1"/>
            </w14:solidFill>
          </w14:textFill>
        </w:rPr>
        <w:t>、</w:t>
      </w:r>
      <w:r>
        <w:rPr>
          <w:rFonts w:hint="eastAsia" w:cs="宋体"/>
        </w:rPr>
        <w:t>擅自转包、分包等情况时，甲方有权单方解除合同</w:t>
      </w:r>
      <w:r>
        <w:rPr>
          <w:rFonts w:hint="eastAsia" w:cs="宋体"/>
          <w:lang w:eastAsia="zh-CN"/>
        </w:rPr>
        <w:t>，乙方除退还甲方全部已收取款项外，还应向甲方支付合同八</w:t>
      </w:r>
      <w:r>
        <w:rPr>
          <w:rFonts w:hint="eastAsia" w:cs="宋体"/>
          <w:lang w:val="en-US" w:eastAsia="zh-CN"/>
        </w:rPr>
        <w:t>.3</w:t>
      </w:r>
      <w:r>
        <w:rPr>
          <w:rFonts w:hint="eastAsia" w:cs="宋体"/>
          <w:lang w:eastAsia="zh-CN"/>
        </w:rPr>
        <w:t>条款约定的违约金，造成甲方损失超过违约金的，乙方继续承担赔偿责任</w:t>
      </w:r>
      <w:r>
        <w:rPr>
          <w:rFonts w:hint="eastAsia" w:cs="宋体"/>
        </w:rPr>
        <w:t>。</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422" w:firstLineChars="200"/>
        <w:jc w:val="left"/>
        <w:textAlignment w:val="auto"/>
        <w:rPr>
          <w:rFonts w:hint="eastAsia" w:ascii="Times New Roman" w:hAnsi="Times New Roman" w:eastAsia="宋体" w:cs="宋体"/>
          <w:b/>
          <w:bCs/>
          <w:kern w:val="0"/>
        </w:rPr>
      </w:pPr>
      <w:r>
        <w:rPr>
          <w:rFonts w:hint="eastAsia" w:ascii="Times New Roman" w:hAnsi="Times New Roman" w:eastAsia="宋体" w:cs="宋体"/>
          <w:b/>
          <w:bCs/>
          <w:kern w:val="0"/>
        </w:rPr>
        <w:t>九、不可抗力</w:t>
      </w:r>
    </w:p>
    <w:p>
      <w:pPr>
        <w:spacing w:line="500" w:lineRule="exact"/>
        <w:ind w:firstLine="420" w:firstLineChars="200"/>
        <w:rPr>
          <w:rFonts w:cs="宋体"/>
        </w:rPr>
      </w:pPr>
      <w:r>
        <w:rPr>
          <w:rFonts w:hint="eastAsia" w:cs="宋体"/>
        </w:rPr>
        <w:t>1、不可抗力，是指不能预见、不能避免并不能克服的客观情况，如战争、动乱、瘟疫、严重火灾、洪水、地震、风暴或其他自然灾害等。</w:t>
      </w:r>
    </w:p>
    <w:p>
      <w:pPr>
        <w:spacing w:line="500" w:lineRule="exact"/>
        <w:ind w:firstLine="420" w:firstLineChars="200"/>
        <w:rPr>
          <w:rFonts w:cs="宋体"/>
        </w:rPr>
      </w:pPr>
      <w:r>
        <w:rPr>
          <w:rFonts w:hint="eastAsia" w:cs="宋体"/>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pPr>
        <w:spacing w:line="500" w:lineRule="exact"/>
        <w:ind w:firstLine="420" w:firstLineChars="200"/>
        <w:rPr>
          <w:rFonts w:cs="宋体"/>
        </w:rPr>
      </w:pPr>
      <w:r>
        <w:rPr>
          <w:rFonts w:hint="eastAsia" w:cs="宋体"/>
        </w:rPr>
        <w:t>3、发生不可抗力事件，任何一方均不对因不可抗力无法履行或迟延履行本合同义务而使另一方蒙受的任何损失承担责任，法律另有规定的除外。</w:t>
      </w:r>
    </w:p>
    <w:p>
      <w:pPr>
        <w:spacing w:line="500" w:lineRule="exact"/>
        <w:ind w:firstLine="420" w:firstLineChars="200"/>
        <w:rPr>
          <w:rFonts w:cs="宋体"/>
        </w:rPr>
      </w:pPr>
      <w:r>
        <w:rPr>
          <w:rFonts w:hint="eastAsia" w:cs="宋体"/>
        </w:rPr>
        <w:t>4、合同各方应根据不可抗力对本合同履行的影响程度，协商确定是否终止本合同或是继续履行本合同。</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422" w:firstLineChars="200"/>
        <w:jc w:val="left"/>
        <w:textAlignment w:val="auto"/>
        <w:rPr>
          <w:rFonts w:hint="eastAsia" w:ascii="Times New Roman" w:hAnsi="Times New Roman" w:eastAsia="宋体" w:cs="宋体"/>
          <w:b/>
          <w:bCs/>
          <w:kern w:val="0"/>
        </w:rPr>
      </w:pPr>
      <w:r>
        <w:rPr>
          <w:rFonts w:hint="eastAsia" w:ascii="Times New Roman" w:hAnsi="Times New Roman" w:eastAsia="宋体" w:cs="宋体"/>
          <w:b/>
          <w:bCs/>
          <w:kern w:val="0"/>
        </w:rPr>
        <w:t xml:space="preserve">十、争议的解决办法 </w:t>
      </w:r>
    </w:p>
    <w:p>
      <w:pPr>
        <w:adjustRightInd w:val="0"/>
        <w:snapToGrid w:val="0"/>
        <w:spacing w:line="500" w:lineRule="exact"/>
        <w:ind w:firstLine="420" w:firstLineChars="200"/>
        <w:rPr>
          <w:rFonts w:cs="宋体"/>
        </w:rPr>
      </w:pPr>
      <w:r>
        <w:rPr>
          <w:rFonts w:hint="eastAsia" w:cs="宋体"/>
        </w:rPr>
        <w:t>在本合同履行过程中发生争议，双方应当协商解决。双方不愿协商、调解解决或者协商、调解不成的，双方商定，采用以下第</w:t>
      </w:r>
      <w:r>
        <w:rPr>
          <w:rFonts w:hint="eastAsia" w:cs="宋体"/>
          <w:u w:val="single"/>
        </w:rPr>
        <w:t>（1）</w:t>
      </w:r>
      <w:r>
        <w:rPr>
          <w:rFonts w:hint="eastAsia" w:cs="宋体"/>
        </w:rPr>
        <w:t>种方式解决。</w:t>
      </w:r>
    </w:p>
    <w:p>
      <w:pPr>
        <w:adjustRightInd w:val="0"/>
        <w:snapToGrid w:val="0"/>
        <w:spacing w:line="500" w:lineRule="exact"/>
        <w:ind w:firstLine="420" w:firstLineChars="200"/>
        <w:rPr>
          <w:rFonts w:cs="宋体"/>
        </w:rPr>
      </w:pPr>
      <w:r>
        <w:rPr>
          <w:rFonts w:hint="eastAsia" w:cs="宋体"/>
        </w:rPr>
        <w:t>1、因本合同所发生的任何争议，申请</w:t>
      </w:r>
      <w:r>
        <w:rPr>
          <w:rFonts w:hint="eastAsia" w:cs="宋体"/>
          <w:u w:val="single"/>
        </w:rPr>
        <w:t xml:space="preserve"> </w:t>
      </w:r>
      <w:r>
        <w:rPr>
          <w:rFonts w:hint="eastAsia" w:cs="宋体"/>
          <w:u w:val="single"/>
          <w:lang w:val="en-US" w:eastAsia="zh-CN"/>
        </w:rPr>
        <w:t>丽水</w:t>
      </w:r>
      <w:r>
        <w:rPr>
          <w:rFonts w:hint="eastAsia" w:cs="宋体"/>
        </w:rPr>
        <w:t>仲裁</w:t>
      </w:r>
      <w:r>
        <w:rPr>
          <w:rFonts w:hint="eastAsia" w:cs="宋体"/>
          <w:lang w:val="en-US" w:eastAsia="zh-CN"/>
        </w:rPr>
        <w:t>委员会缙云分会</w:t>
      </w:r>
      <w:r>
        <w:rPr>
          <w:rFonts w:hint="eastAsia" w:cs="宋体"/>
          <w:u w:val="single"/>
        </w:rPr>
        <w:t xml:space="preserve"> </w:t>
      </w:r>
      <w:r>
        <w:rPr>
          <w:rFonts w:hint="eastAsia" w:cs="宋体"/>
        </w:rPr>
        <w:t>仲裁委员会仲裁；</w:t>
      </w:r>
    </w:p>
    <w:p>
      <w:pPr>
        <w:adjustRightInd w:val="0"/>
        <w:snapToGrid w:val="0"/>
        <w:spacing w:line="500" w:lineRule="exact"/>
        <w:ind w:firstLine="420" w:firstLineChars="200"/>
        <w:rPr>
          <w:rFonts w:cs="宋体"/>
        </w:rPr>
      </w:pPr>
      <w:r>
        <w:rPr>
          <w:rFonts w:hint="eastAsia" w:cs="宋体"/>
        </w:rPr>
        <w:t>2、按司法程序解决。</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422" w:firstLineChars="200"/>
        <w:jc w:val="left"/>
        <w:textAlignment w:val="auto"/>
        <w:rPr>
          <w:rFonts w:hint="eastAsia" w:ascii="Times New Roman" w:hAnsi="Times New Roman" w:eastAsia="宋体" w:cs="宋体"/>
          <w:b/>
          <w:bCs/>
          <w:kern w:val="0"/>
        </w:rPr>
      </w:pPr>
      <w:r>
        <w:rPr>
          <w:rFonts w:hint="eastAsia" w:ascii="Times New Roman" w:hAnsi="Times New Roman" w:eastAsia="宋体" w:cs="宋体"/>
          <w:b/>
          <w:bCs/>
          <w:kern w:val="0"/>
        </w:rPr>
        <w:t>十一、合同生效及其它</w:t>
      </w:r>
    </w:p>
    <w:p>
      <w:pPr>
        <w:adjustRightInd w:val="0"/>
        <w:snapToGrid w:val="0"/>
        <w:spacing w:line="500" w:lineRule="exact"/>
        <w:ind w:firstLine="420" w:firstLineChars="200"/>
        <w:rPr>
          <w:rFonts w:cs="宋体"/>
        </w:rPr>
      </w:pPr>
      <w:r>
        <w:rPr>
          <w:rFonts w:hint="eastAsia" w:cs="宋体"/>
        </w:rPr>
        <w:t>1、合同经甲乙双方代表签字并加盖公章（或合同章）后生效。</w:t>
      </w:r>
    </w:p>
    <w:p>
      <w:pPr>
        <w:adjustRightInd w:val="0"/>
        <w:snapToGrid w:val="0"/>
        <w:spacing w:line="500" w:lineRule="exact"/>
        <w:ind w:firstLine="420" w:firstLineChars="200"/>
        <w:rPr>
          <w:rFonts w:cs="宋体"/>
        </w:rPr>
      </w:pPr>
      <w:r>
        <w:rPr>
          <w:rFonts w:hint="eastAsia" w:cs="宋体"/>
        </w:rPr>
        <w:t>2、合同签订后双方即直接产生权利与义务的关系，合同执行过程中出现的问题应按照《中华人民共和国民法典》的规定处理。</w:t>
      </w:r>
    </w:p>
    <w:p>
      <w:pPr>
        <w:adjustRightInd w:val="0"/>
        <w:snapToGrid w:val="0"/>
        <w:spacing w:line="500" w:lineRule="exact"/>
        <w:ind w:firstLine="420" w:firstLineChars="200"/>
        <w:rPr>
          <w:rFonts w:cs="宋体"/>
        </w:rPr>
      </w:pPr>
      <w:r>
        <w:rPr>
          <w:rFonts w:hint="eastAsia" w:cs="宋体"/>
        </w:rPr>
        <w:t>3、合同在执行过程中出现的未尽事宜，双方在不违背本合同和采购文件实质性条款的情况下协商解决，协商结果以书面形式盖章记录在案，作为本合同的附件，与本合同具有同等效力。</w:t>
      </w:r>
    </w:p>
    <w:p>
      <w:pPr>
        <w:adjustRightInd w:val="0"/>
        <w:snapToGrid w:val="0"/>
        <w:spacing w:line="500" w:lineRule="exact"/>
        <w:ind w:firstLine="420" w:firstLineChars="200"/>
        <w:rPr>
          <w:rFonts w:cs="宋体"/>
        </w:rPr>
      </w:pPr>
      <w:r>
        <w:rPr>
          <w:rFonts w:hint="eastAsia" w:cs="宋体"/>
        </w:rPr>
        <w:t>4、本合同一式</w:t>
      </w:r>
      <w:r>
        <w:rPr>
          <w:rFonts w:hint="eastAsia" w:cs="宋体"/>
          <w:lang w:eastAsia="zh-CN"/>
        </w:rPr>
        <w:t>六</w:t>
      </w:r>
      <w:r>
        <w:rPr>
          <w:rFonts w:hint="eastAsia" w:cs="宋体"/>
        </w:rPr>
        <w:t>份，甲乙双方各</w:t>
      </w:r>
      <w:r>
        <w:rPr>
          <w:rFonts w:hint="eastAsia" w:cs="宋体"/>
          <w:lang w:eastAsia="zh-CN"/>
        </w:rPr>
        <w:t>三</w:t>
      </w:r>
      <w:r>
        <w:rPr>
          <w:rFonts w:hint="eastAsia" w:cs="宋体"/>
        </w:rPr>
        <w:t>份。</w:t>
      </w:r>
    </w:p>
    <w:p>
      <w:pPr>
        <w:pStyle w:val="41"/>
        <w:ind w:left="480" w:firstLine="480"/>
        <w:rPr>
          <w:rFonts w:cs="宋体"/>
        </w:rPr>
      </w:pPr>
    </w:p>
    <w:p>
      <w:pPr>
        <w:snapToGrid w:val="0"/>
        <w:spacing w:line="360" w:lineRule="auto"/>
        <w:rPr>
          <w:rFonts w:cs="宋体"/>
        </w:rPr>
      </w:pPr>
      <w:r>
        <w:rPr>
          <w:rFonts w:hint="eastAsia" w:cs="宋体"/>
        </w:rPr>
        <w:t>甲　方：</w:t>
      </w:r>
      <w:r>
        <w:rPr>
          <w:rFonts w:hint="eastAsia" w:cs="宋体"/>
          <w:u w:val="single"/>
        </w:rPr>
        <w:t xml:space="preserve">    (印章)         </w:t>
      </w:r>
      <w:r>
        <w:rPr>
          <w:rFonts w:hint="eastAsia" w:cs="宋体"/>
        </w:rPr>
        <w:tab/>
      </w:r>
      <w:r>
        <w:rPr>
          <w:rFonts w:hint="eastAsia" w:cs="宋体"/>
        </w:rPr>
        <w:t xml:space="preserve">              乙　方：</w:t>
      </w:r>
      <w:r>
        <w:rPr>
          <w:rFonts w:hint="eastAsia" w:cs="宋体"/>
          <w:u w:val="single"/>
        </w:rPr>
        <w:t xml:space="preserve">      (印章)        </w:t>
      </w:r>
    </w:p>
    <w:p>
      <w:pPr>
        <w:snapToGrid w:val="0"/>
        <w:spacing w:line="360" w:lineRule="auto"/>
        <w:rPr>
          <w:rFonts w:cs="宋体"/>
        </w:rPr>
      </w:pPr>
      <w:r>
        <w:rPr>
          <w:rFonts w:hint="eastAsia" w:cs="宋体"/>
        </w:rPr>
        <w:t>授权代表(签字或盖章)：</w:t>
      </w:r>
      <w:r>
        <w:rPr>
          <w:rFonts w:hint="eastAsia" w:cs="宋体"/>
        </w:rPr>
        <w:tab/>
      </w:r>
      <w:r>
        <w:rPr>
          <w:rFonts w:hint="eastAsia" w:cs="宋体"/>
        </w:rPr>
        <w:t xml:space="preserve">       授权代表(签字或盖章)：</w:t>
      </w:r>
    </w:p>
    <w:p>
      <w:pPr>
        <w:snapToGrid w:val="0"/>
        <w:spacing w:line="360" w:lineRule="auto"/>
        <w:rPr>
          <w:rFonts w:cs="宋体"/>
        </w:rPr>
      </w:pPr>
      <w:r>
        <w:rPr>
          <w:rFonts w:hint="eastAsia" w:cs="宋体"/>
        </w:rPr>
        <w:t>地　　址：</w:t>
      </w:r>
      <w:r>
        <w:rPr>
          <w:rFonts w:hint="eastAsia" w:cs="宋体"/>
          <w:u w:val="single"/>
        </w:rPr>
        <w:tab/>
      </w:r>
      <w:r>
        <w:rPr>
          <w:rFonts w:hint="eastAsia" w:cs="宋体"/>
          <w:u w:val="single"/>
        </w:rPr>
        <w:tab/>
      </w:r>
      <w:r>
        <w:rPr>
          <w:rFonts w:hint="eastAsia" w:cs="宋体"/>
          <w:u w:val="single"/>
        </w:rPr>
        <w:tab/>
      </w:r>
      <w:r>
        <w:rPr>
          <w:rFonts w:hint="eastAsia" w:cs="宋体"/>
        </w:rPr>
        <w:tab/>
      </w:r>
      <w:r>
        <w:rPr>
          <w:rFonts w:hint="eastAsia" w:cs="宋体"/>
        </w:rPr>
        <w:tab/>
      </w:r>
      <w:r>
        <w:rPr>
          <w:rFonts w:hint="eastAsia" w:cs="宋体"/>
        </w:rPr>
        <w:t xml:space="preserve">   地　　址：</w:t>
      </w:r>
      <w:r>
        <w:rPr>
          <w:rFonts w:hint="eastAsia" w:cs="宋体"/>
          <w:u w:val="single"/>
        </w:rPr>
        <w:tab/>
      </w:r>
      <w:r>
        <w:rPr>
          <w:rFonts w:hint="eastAsia" w:cs="宋体"/>
          <w:u w:val="single"/>
        </w:rPr>
        <w:tab/>
      </w:r>
    </w:p>
    <w:p>
      <w:pPr>
        <w:snapToGrid w:val="0"/>
        <w:spacing w:line="360" w:lineRule="auto"/>
        <w:rPr>
          <w:rFonts w:cs="宋体"/>
        </w:rPr>
      </w:pPr>
      <w:r>
        <w:rPr>
          <w:rFonts w:hint="eastAsia" w:cs="宋体"/>
        </w:rPr>
        <w:t>邮政编码：</w:t>
      </w:r>
      <w:r>
        <w:rPr>
          <w:rFonts w:hint="eastAsia" w:cs="宋体"/>
          <w:u w:val="single"/>
        </w:rPr>
        <w:tab/>
      </w:r>
      <w:r>
        <w:rPr>
          <w:rFonts w:hint="eastAsia" w:cs="宋体"/>
          <w:u w:val="single"/>
        </w:rPr>
        <w:tab/>
      </w:r>
      <w:r>
        <w:rPr>
          <w:rFonts w:hint="eastAsia" w:cs="宋体"/>
          <w:u w:val="single"/>
        </w:rPr>
        <w:tab/>
      </w:r>
      <w:r>
        <w:rPr>
          <w:rFonts w:hint="eastAsia" w:cs="宋体"/>
        </w:rPr>
        <w:tab/>
      </w:r>
      <w:r>
        <w:rPr>
          <w:rFonts w:hint="eastAsia" w:cs="宋体"/>
        </w:rPr>
        <w:tab/>
      </w:r>
      <w:r>
        <w:rPr>
          <w:rFonts w:hint="eastAsia" w:cs="宋体"/>
        </w:rPr>
        <w:t xml:space="preserve">   邮政编码：</w:t>
      </w:r>
      <w:r>
        <w:rPr>
          <w:rFonts w:hint="eastAsia" w:cs="宋体"/>
          <w:u w:val="single"/>
        </w:rPr>
        <w:tab/>
      </w:r>
      <w:r>
        <w:rPr>
          <w:rFonts w:hint="eastAsia" w:cs="宋体"/>
          <w:u w:val="single"/>
        </w:rPr>
        <w:tab/>
      </w:r>
      <w:r>
        <w:rPr>
          <w:rFonts w:hint="eastAsia" w:cs="宋体"/>
          <w:u w:val="single"/>
        </w:rPr>
        <w:tab/>
      </w:r>
    </w:p>
    <w:p>
      <w:pPr>
        <w:snapToGrid w:val="0"/>
        <w:spacing w:line="360" w:lineRule="auto"/>
        <w:rPr>
          <w:rFonts w:cs="宋体"/>
        </w:rPr>
      </w:pPr>
      <w:r>
        <w:rPr>
          <w:rFonts w:hint="eastAsia" w:cs="宋体"/>
        </w:rPr>
        <w:t>电　　话：</w:t>
      </w:r>
      <w:r>
        <w:rPr>
          <w:rFonts w:hint="eastAsia" w:cs="宋体"/>
          <w:u w:val="single"/>
        </w:rPr>
        <w:tab/>
      </w:r>
      <w:r>
        <w:rPr>
          <w:rFonts w:hint="eastAsia" w:cs="宋体"/>
          <w:u w:val="single"/>
        </w:rPr>
        <w:tab/>
      </w:r>
      <w:r>
        <w:rPr>
          <w:rFonts w:hint="eastAsia" w:cs="宋体"/>
          <w:u w:val="single"/>
        </w:rPr>
        <w:tab/>
      </w:r>
      <w:r>
        <w:rPr>
          <w:rFonts w:hint="eastAsia" w:cs="宋体"/>
        </w:rPr>
        <w:tab/>
      </w:r>
      <w:r>
        <w:rPr>
          <w:rFonts w:hint="eastAsia" w:cs="宋体"/>
        </w:rPr>
        <w:tab/>
      </w:r>
      <w:r>
        <w:rPr>
          <w:rFonts w:hint="eastAsia" w:cs="宋体"/>
        </w:rPr>
        <w:t xml:space="preserve">   电　　话：</w:t>
      </w:r>
      <w:r>
        <w:rPr>
          <w:rFonts w:hint="eastAsia" w:cs="宋体"/>
          <w:u w:val="single"/>
        </w:rPr>
        <w:tab/>
      </w:r>
      <w:r>
        <w:rPr>
          <w:rFonts w:hint="eastAsia" w:cs="宋体"/>
          <w:u w:val="single"/>
        </w:rPr>
        <w:tab/>
      </w:r>
    </w:p>
    <w:p>
      <w:pPr>
        <w:snapToGrid w:val="0"/>
        <w:spacing w:line="360" w:lineRule="auto"/>
        <w:rPr>
          <w:rFonts w:cs="宋体"/>
        </w:rPr>
      </w:pPr>
      <w:r>
        <w:rPr>
          <w:rFonts w:hint="eastAsia" w:cs="宋体"/>
        </w:rPr>
        <w:t>开户银行：</w:t>
      </w:r>
      <w:r>
        <w:rPr>
          <w:rFonts w:hint="eastAsia" w:cs="宋体"/>
          <w:u w:val="single"/>
        </w:rPr>
        <w:tab/>
      </w:r>
      <w:r>
        <w:rPr>
          <w:rFonts w:hint="eastAsia" w:cs="宋体"/>
          <w:u w:val="single"/>
        </w:rPr>
        <w:tab/>
      </w:r>
      <w:r>
        <w:rPr>
          <w:rFonts w:hint="eastAsia" w:cs="宋体"/>
          <w:u w:val="single"/>
        </w:rPr>
        <w:tab/>
      </w:r>
      <w:r>
        <w:rPr>
          <w:rFonts w:hint="eastAsia" w:cs="宋体"/>
        </w:rPr>
        <w:tab/>
      </w:r>
      <w:r>
        <w:rPr>
          <w:rFonts w:hint="eastAsia" w:cs="宋体"/>
        </w:rPr>
        <w:tab/>
      </w:r>
      <w:r>
        <w:rPr>
          <w:rFonts w:hint="eastAsia" w:cs="宋体"/>
        </w:rPr>
        <w:t xml:space="preserve">   开户银行：</w:t>
      </w:r>
      <w:r>
        <w:rPr>
          <w:rFonts w:hint="eastAsia" w:cs="宋体"/>
          <w:u w:val="single"/>
        </w:rPr>
        <w:tab/>
      </w:r>
      <w:r>
        <w:rPr>
          <w:rFonts w:hint="eastAsia" w:cs="宋体"/>
          <w:u w:val="single"/>
        </w:rPr>
        <w:tab/>
      </w:r>
    </w:p>
    <w:p>
      <w:pPr>
        <w:snapToGrid w:val="0"/>
        <w:spacing w:line="360" w:lineRule="auto"/>
        <w:rPr>
          <w:rFonts w:cs="宋体"/>
          <w:b/>
        </w:rPr>
      </w:pPr>
      <w:r>
        <w:rPr>
          <w:rFonts w:hint="eastAsia" w:cs="宋体"/>
        </w:rPr>
        <w:t>账　　号：</w:t>
      </w:r>
      <w:r>
        <w:rPr>
          <w:rFonts w:hint="eastAsia" w:cs="宋体"/>
          <w:u w:val="single"/>
        </w:rPr>
        <w:tab/>
      </w:r>
      <w:r>
        <w:rPr>
          <w:rFonts w:hint="eastAsia" w:cs="宋体"/>
          <w:u w:val="single"/>
        </w:rPr>
        <w:tab/>
      </w:r>
      <w:r>
        <w:rPr>
          <w:rFonts w:hint="eastAsia" w:cs="宋体"/>
          <w:u w:val="single"/>
        </w:rPr>
        <w:tab/>
      </w:r>
      <w:r>
        <w:rPr>
          <w:rFonts w:hint="eastAsia" w:cs="宋体"/>
        </w:rPr>
        <w:tab/>
      </w:r>
      <w:r>
        <w:rPr>
          <w:rFonts w:hint="eastAsia" w:cs="宋体"/>
        </w:rPr>
        <w:t xml:space="preserve">       账　　号：</w:t>
      </w:r>
      <w:r>
        <w:rPr>
          <w:rFonts w:hint="eastAsia" w:cs="宋体"/>
          <w:u w:val="single"/>
        </w:rPr>
        <w:tab/>
      </w:r>
      <w:r>
        <w:rPr>
          <w:rFonts w:hint="eastAsia" w:cs="宋体"/>
          <w:u w:val="single"/>
        </w:rPr>
        <w:tab/>
      </w:r>
    </w:p>
    <w:p>
      <w:pPr>
        <w:snapToGrid w:val="0"/>
        <w:spacing w:line="360" w:lineRule="auto"/>
        <w:rPr>
          <w:rFonts w:cs="宋体"/>
          <w:b/>
        </w:rPr>
      </w:pPr>
      <w:r>
        <w:rPr>
          <w:rFonts w:hint="eastAsia" w:cs="宋体"/>
        </w:rPr>
        <w:t xml:space="preserve">年　月　日　　　　　　　                  年　月　日        </w:t>
      </w:r>
    </w:p>
    <w:p>
      <w:pPr>
        <w:keepNext/>
        <w:keepLines/>
        <w:pageBreakBefore w:val="0"/>
        <w:widowControl w:val="0"/>
        <w:kinsoku/>
        <w:wordWrap/>
        <w:overflowPunct/>
        <w:topLinePunct w:val="0"/>
        <w:autoSpaceDE/>
        <w:autoSpaceDN/>
        <w:bidi w:val="0"/>
        <w:adjustRightInd/>
        <w:snapToGrid w:val="0"/>
        <w:spacing w:after="0"/>
        <w:ind w:firstLine="0" w:firstLineChars="0"/>
        <w:jc w:val="center"/>
        <w:textAlignment w:val="auto"/>
        <w:outlineLvl w:val="9"/>
        <w:rPr>
          <w:rFonts w:ascii="宋体" w:eastAsia="宋体" w:cs="宋体"/>
          <w:sz w:val="36"/>
          <w:szCs w:val="36"/>
        </w:rPr>
      </w:pPr>
      <w:bookmarkStart w:id="434" w:name="_Toc11771"/>
      <w:bookmarkStart w:id="435" w:name="_Toc28173"/>
      <w:bookmarkStart w:id="436" w:name="_Toc13455"/>
      <w:bookmarkStart w:id="437" w:name="_Toc17519"/>
      <w:r>
        <w:rPr>
          <w:rFonts w:ascii="宋体" w:eastAsia="宋体" w:cs="宋体"/>
          <w:sz w:val="24"/>
          <w:szCs w:val="24"/>
        </w:rPr>
        <w:br w:type="page"/>
      </w:r>
      <w:bookmarkStart w:id="438" w:name="_Toc21115"/>
      <w:r>
        <w:rPr>
          <w:rFonts w:hint="eastAsia" w:ascii="宋体" w:eastAsia="宋体" w:cs="宋体"/>
          <w:sz w:val="36"/>
          <w:szCs w:val="36"/>
        </w:rPr>
        <w:t>二、廉政责任书</w:t>
      </w:r>
      <w:bookmarkEnd w:id="434"/>
      <w:bookmarkEnd w:id="435"/>
      <w:bookmarkEnd w:id="436"/>
      <w:bookmarkEnd w:id="437"/>
      <w:bookmarkEnd w:id="438"/>
    </w:p>
    <w:p>
      <w:pPr>
        <w:adjustRightInd w:val="0"/>
        <w:snapToGrid w:val="0"/>
        <w:spacing w:line="500" w:lineRule="exact"/>
        <w:jc w:val="center"/>
        <w:rPr>
          <w:rFonts w:cs="宋体"/>
        </w:rPr>
      </w:pPr>
      <w:r>
        <w:rPr>
          <w:rFonts w:hint="eastAsia" w:cs="宋体"/>
        </w:rPr>
        <w:t>工程（项目）廉政责任书</w:t>
      </w:r>
    </w:p>
    <w:p>
      <w:pPr>
        <w:adjustRightInd w:val="0"/>
        <w:snapToGrid w:val="0"/>
        <w:spacing w:line="400" w:lineRule="exact"/>
        <w:rPr>
          <w:rFonts w:cs="宋体"/>
        </w:rPr>
      </w:pPr>
      <w:r>
        <w:rPr>
          <w:rFonts w:hint="eastAsia" w:cs="宋体"/>
        </w:rPr>
        <w:t>工程项目名称：</w:t>
      </w:r>
    </w:p>
    <w:p>
      <w:pPr>
        <w:adjustRightInd w:val="0"/>
        <w:snapToGrid w:val="0"/>
        <w:spacing w:line="400" w:lineRule="exact"/>
        <w:rPr>
          <w:rFonts w:cs="宋体"/>
        </w:rPr>
      </w:pPr>
      <w:r>
        <w:rPr>
          <w:rFonts w:hint="eastAsia" w:cs="宋体"/>
        </w:rPr>
        <w:t xml:space="preserve">工程项目地址：                                         </w:t>
      </w:r>
    </w:p>
    <w:p>
      <w:pPr>
        <w:adjustRightInd w:val="0"/>
        <w:snapToGrid w:val="0"/>
        <w:spacing w:line="400" w:lineRule="exact"/>
        <w:rPr>
          <w:rFonts w:cs="宋体"/>
        </w:rPr>
      </w:pPr>
      <w:r>
        <w:rPr>
          <w:rFonts w:hint="eastAsia" w:cs="宋体"/>
        </w:rPr>
        <w:t xml:space="preserve">业主单位（甲方）：                                    </w:t>
      </w:r>
    </w:p>
    <w:p>
      <w:pPr>
        <w:adjustRightInd w:val="0"/>
        <w:snapToGrid w:val="0"/>
        <w:spacing w:line="400" w:lineRule="exact"/>
        <w:rPr>
          <w:rFonts w:cs="宋体"/>
        </w:rPr>
      </w:pPr>
      <w:r>
        <w:rPr>
          <w:rFonts w:hint="eastAsia" w:cs="宋体"/>
        </w:rPr>
        <w:t xml:space="preserve">承包单位（乙方）：                                      </w:t>
      </w:r>
    </w:p>
    <w:p>
      <w:pPr>
        <w:pStyle w:val="2"/>
        <w:tabs>
          <w:tab w:val="left" w:pos="208"/>
        </w:tabs>
        <w:adjustRightInd w:val="0"/>
        <w:snapToGrid w:val="0"/>
        <w:spacing w:line="400" w:lineRule="exact"/>
        <w:rPr>
          <w:rFonts w:ascii="宋体" w:eastAsia="宋体" w:cs="宋体"/>
          <w:sz w:val="24"/>
        </w:rPr>
      </w:pPr>
      <w:r>
        <w:rPr>
          <w:rFonts w:hint="eastAsia" w:ascii="宋体" w:eastAsia="宋体" w:cs="宋体"/>
          <w:sz w:val="24"/>
        </w:rPr>
        <w:t>　　</w:t>
      </w:r>
      <w:r>
        <w:rPr>
          <w:rFonts w:hint="eastAsia" w:ascii="Times New Roman" w:hAnsi="Times New Roman" w:eastAsia="宋体" w:cs="宋体"/>
          <w:kern w:val="2"/>
          <w:sz w:val="21"/>
          <w:szCs w:val="24"/>
          <w:lang w:val="en-US" w:eastAsia="zh-CN" w:bidi="ar-S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00" w:lineRule="exact"/>
        <w:rPr>
          <w:rFonts w:cs="宋体"/>
        </w:rPr>
      </w:pPr>
      <w:r>
        <w:rPr>
          <w:rFonts w:hint="eastAsia" w:cs="宋体"/>
        </w:rPr>
        <w:t>　　第一条 甲乙双方的责任</w:t>
      </w:r>
    </w:p>
    <w:p>
      <w:pPr>
        <w:adjustRightInd w:val="0"/>
        <w:snapToGrid w:val="0"/>
        <w:spacing w:line="400" w:lineRule="exact"/>
        <w:rPr>
          <w:rFonts w:cs="宋体"/>
        </w:rPr>
      </w:pPr>
      <w:r>
        <w:rPr>
          <w:rFonts w:hint="eastAsia" w:cs="宋体"/>
        </w:rPr>
        <w:t>　　（一）应严格遵守国家关于市场准入、项目招标投标、工程建设、施工安装和市场活动等有关法律、法规，相关政策，以及廉政建设的各项规定。</w:t>
      </w:r>
    </w:p>
    <w:p>
      <w:pPr>
        <w:adjustRightInd w:val="0"/>
        <w:snapToGrid w:val="0"/>
        <w:spacing w:line="400" w:lineRule="exact"/>
        <w:rPr>
          <w:rFonts w:cs="宋体"/>
        </w:rPr>
      </w:pPr>
      <w:r>
        <w:rPr>
          <w:rFonts w:hint="eastAsia" w:cs="宋体"/>
        </w:rPr>
        <w:t>　　（二）严格执行建设工程项目承发包合同文件，自觉按合同办事。</w:t>
      </w:r>
    </w:p>
    <w:p>
      <w:pPr>
        <w:adjustRightInd w:val="0"/>
        <w:snapToGrid w:val="0"/>
        <w:spacing w:line="400" w:lineRule="exact"/>
        <w:rPr>
          <w:rFonts w:cs="宋体"/>
        </w:rPr>
      </w:pPr>
      <w:r>
        <w:rPr>
          <w:rFonts w:hint="eastAsia" w:cs="宋体"/>
        </w:rPr>
        <w:t>　　（三）业务活动必须坚持公开、公平、公正、诚信、透明的原则（除法律法规另有规定者外），不得为获取不正当的利益，损害国家、集体和对方利益，不得违反工程建设管理、施工安装的规章制度。</w:t>
      </w:r>
    </w:p>
    <w:p>
      <w:pPr>
        <w:adjustRightInd w:val="0"/>
        <w:snapToGrid w:val="0"/>
        <w:spacing w:line="400" w:lineRule="exact"/>
        <w:rPr>
          <w:rFonts w:cs="宋体"/>
        </w:rPr>
      </w:pPr>
      <w:r>
        <w:rPr>
          <w:rFonts w:hint="eastAsia" w:cs="宋体"/>
        </w:rPr>
        <w:t>　　（四）发现对方在业务活动中有违规、违纪、违法行为的，应及时提醒对方，情节严重的，应向其上级主管部门或纪检监察、司法等有关机关举报。</w:t>
      </w:r>
    </w:p>
    <w:p>
      <w:pPr>
        <w:adjustRightInd w:val="0"/>
        <w:snapToGrid w:val="0"/>
        <w:spacing w:line="400" w:lineRule="exact"/>
        <w:rPr>
          <w:rFonts w:hint="eastAsia" w:ascii="Times New Roman" w:hAnsi="Times New Roman" w:eastAsia="宋体" w:cs="宋体"/>
        </w:rPr>
      </w:pPr>
      <w:r>
        <w:rPr>
          <w:rFonts w:hint="eastAsia" w:cs="宋体"/>
        </w:rPr>
        <w:t>　</w:t>
      </w:r>
      <w:r>
        <w:rPr>
          <w:rFonts w:hint="eastAsia" w:ascii="Times New Roman" w:hAnsi="Times New Roman" w:eastAsia="宋体" w:cs="宋体"/>
        </w:rPr>
        <w:t>　第二条 甲方的责任</w:t>
      </w:r>
    </w:p>
    <w:p>
      <w:pPr>
        <w:adjustRightInd w:val="0"/>
        <w:snapToGrid w:val="0"/>
        <w:spacing w:line="400" w:lineRule="exact"/>
        <w:rPr>
          <w:rFonts w:hint="eastAsia" w:ascii="Times New Roman" w:hAnsi="Times New Roman" w:eastAsia="宋体" w:cs="宋体"/>
        </w:rPr>
      </w:pPr>
      <w:r>
        <w:rPr>
          <w:rFonts w:hint="eastAsia" w:ascii="Times New Roman" w:hAnsi="Times New Roman" w:eastAsia="宋体" w:cs="宋体"/>
        </w:rPr>
        <w:t>　　甲方的领导和从事该工程（项目）的工作人员，在工程（项目）的事前、事中、事后应遵守以下规定：</w:t>
      </w:r>
    </w:p>
    <w:p>
      <w:pPr>
        <w:adjustRightInd w:val="0"/>
        <w:snapToGrid w:val="0"/>
        <w:spacing w:line="400" w:lineRule="exact"/>
        <w:rPr>
          <w:rFonts w:hint="eastAsia" w:ascii="Times New Roman" w:hAnsi="Times New Roman" w:eastAsia="宋体" w:cs="宋体"/>
        </w:rPr>
      </w:pPr>
      <w:r>
        <w:rPr>
          <w:rFonts w:hint="eastAsia" w:ascii="Times New Roman" w:hAnsi="Times New Roman" w:eastAsia="宋体" w:cs="宋体"/>
        </w:rPr>
        <w:t>　　（一）不准向乙方和相关单位索要或接受回扣、礼金、有价证券、贵重物品和好处费、感谢费等。</w:t>
      </w:r>
    </w:p>
    <w:p>
      <w:pPr>
        <w:adjustRightInd w:val="0"/>
        <w:snapToGrid w:val="0"/>
        <w:spacing w:line="400" w:lineRule="exact"/>
        <w:rPr>
          <w:rFonts w:hint="eastAsia" w:ascii="Times New Roman" w:hAnsi="Times New Roman" w:eastAsia="宋体" w:cs="宋体"/>
        </w:rPr>
      </w:pPr>
      <w:r>
        <w:rPr>
          <w:rFonts w:hint="eastAsia" w:ascii="Times New Roman" w:hAnsi="Times New Roman" w:eastAsia="宋体" w:cs="宋体"/>
        </w:rPr>
        <w:t>　　（二）不准在乙方和相关单位报销任何应由甲方或个人支付的费用。</w:t>
      </w:r>
    </w:p>
    <w:p>
      <w:pPr>
        <w:adjustRightInd w:val="0"/>
        <w:snapToGrid w:val="0"/>
        <w:spacing w:line="400" w:lineRule="exact"/>
        <w:rPr>
          <w:rFonts w:hint="eastAsia" w:ascii="Times New Roman" w:hAnsi="Times New Roman" w:eastAsia="宋体" w:cs="宋体"/>
        </w:rPr>
      </w:pPr>
      <w:r>
        <w:rPr>
          <w:rFonts w:hint="eastAsia" w:ascii="Times New Roman" w:hAnsi="Times New Roman" w:eastAsia="宋体" w:cs="宋体"/>
        </w:rPr>
        <w:t>　　（三）不准要求、暗示和接受乙方和相关单位为个人装修住房、婚丧嫁娶、配偶子女的工作安排以及出国（境）、旅游等提供方便。</w:t>
      </w:r>
    </w:p>
    <w:p>
      <w:pPr>
        <w:adjustRightInd w:val="0"/>
        <w:snapToGrid w:val="0"/>
        <w:spacing w:line="400" w:lineRule="exact"/>
        <w:rPr>
          <w:rFonts w:hint="eastAsia" w:ascii="Times New Roman" w:hAnsi="Times New Roman" w:eastAsia="宋体" w:cs="宋体"/>
        </w:rPr>
      </w:pPr>
      <w:r>
        <w:rPr>
          <w:rFonts w:hint="eastAsia" w:ascii="Times New Roman" w:hAnsi="Times New Roman" w:eastAsia="宋体" w:cs="宋体"/>
        </w:rPr>
        <w:t>　　（四）不准参加有可能影响公正执行公务的乙方和相关单位的宴请和健身、娱乐等活动。</w:t>
      </w:r>
    </w:p>
    <w:p>
      <w:pPr>
        <w:adjustRightInd w:val="0"/>
        <w:snapToGrid w:val="0"/>
        <w:spacing w:line="400" w:lineRule="exact"/>
        <w:rPr>
          <w:rFonts w:hint="eastAsia" w:ascii="Times New Roman" w:hAnsi="Times New Roman" w:eastAsia="宋体" w:cs="宋体"/>
        </w:rPr>
      </w:pPr>
      <w:r>
        <w:rPr>
          <w:rFonts w:hint="eastAsia" w:ascii="Times New Roman" w:hAnsi="Times New Roman" w:eastAsia="宋体" w:cs="宋体"/>
        </w:rPr>
        <w:t>　　（五）不准向乙方介绍或为配偶、子女、亲属参与同甲方工程（项目）承包合同有关的设备、材料、工程分包、劳务等经济活动。不得以任何理由向乙方和相关单位推荐分包单位和要求乙方购买工程（项目）承包合同规定以外的材料、设备等。</w:t>
      </w:r>
    </w:p>
    <w:p>
      <w:pPr>
        <w:adjustRightInd w:val="0"/>
        <w:snapToGrid w:val="0"/>
        <w:spacing w:line="400" w:lineRule="exact"/>
        <w:rPr>
          <w:rFonts w:hint="eastAsia" w:ascii="Times New Roman" w:hAnsi="Times New Roman" w:eastAsia="宋体" w:cs="宋体"/>
        </w:rPr>
      </w:pPr>
      <w:r>
        <w:rPr>
          <w:rFonts w:hint="eastAsia" w:ascii="Times New Roman" w:hAnsi="Times New Roman" w:eastAsia="宋体" w:cs="宋体"/>
        </w:rPr>
        <w:t>　　第三条 乙方的责任</w:t>
      </w:r>
    </w:p>
    <w:p>
      <w:pPr>
        <w:adjustRightInd w:val="0"/>
        <w:snapToGrid w:val="0"/>
        <w:spacing w:line="400" w:lineRule="exact"/>
        <w:rPr>
          <w:rFonts w:hint="eastAsia" w:ascii="Times New Roman" w:hAnsi="Times New Roman" w:eastAsia="宋体" w:cs="宋体"/>
        </w:rPr>
      </w:pPr>
      <w:r>
        <w:rPr>
          <w:rFonts w:hint="eastAsia" w:ascii="Times New Roman" w:hAnsi="Times New Roman" w:eastAsia="宋体" w:cs="宋体"/>
        </w:rPr>
        <w:t>　　应与甲方保持正常的业务交往，按照有关法律法规和程序开展业务工作，严格执行工程（项目）的有关方针、政策，尤其是有关工程（项目）的强制性标准和规范，并遵守以下规定：</w:t>
      </w:r>
    </w:p>
    <w:p>
      <w:pPr>
        <w:adjustRightInd w:val="0"/>
        <w:snapToGrid w:val="0"/>
        <w:spacing w:line="400" w:lineRule="exact"/>
        <w:rPr>
          <w:rFonts w:hint="eastAsia" w:ascii="Times New Roman" w:hAnsi="Times New Roman" w:eastAsia="宋体" w:cs="宋体"/>
        </w:rPr>
      </w:pPr>
      <w:r>
        <w:rPr>
          <w:rFonts w:hint="eastAsia" w:ascii="宋体" w:eastAsia="宋体" w:cs="宋体"/>
          <w:sz w:val="24"/>
        </w:rPr>
        <w:t>　　</w:t>
      </w:r>
      <w:r>
        <w:rPr>
          <w:rFonts w:hint="eastAsia" w:ascii="Times New Roman" w:hAnsi="Times New Roman" w:eastAsia="宋体" w:cs="宋体"/>
        </w:rPr>
        <w:t>（一）不准以任何理由向甲方、相关单位及其工作人员赠送礼金、有价证券、贵重物品和回扣、好处费、感谢费等。</w:t>
      </w:r>
    </w:p>
    <w:p>
      <w:pPr>
        <w:adjustRightInd w:val="0"/>
        <w:snapToGrid w:val="0"/>
        <w:spacing w:line="400" w:lineRule="exact"/>
        <w:rPr>
          <w:rFonts w:hint="eastAsia" w:ascii="Times New Roman" w:hAnsi="Times New Roman" w:eastAsia="宋体" w:cs="宋体"/>
        </w:rPr>
      </w:pPr>
      <w:r>
        <w:rPr>
          <w:rFonts w:hint="eastAsia" w:ascii="Times New Roman" w:hAnsi="Times New Roman" w:eastAsia="宋体" w:cs="宋体"/>
        </w:rPr>
        <w:t>　　（二）不准以任何理由为甲方和相关单位报销应由对方或个人支付的费用。</w:t>
      </w:r>
    </w:p>
    <w:p>
      <w:pPr>
        <w:adjustRightInd w:val="0"/>
        <w:snapToGrid w:val="0"/>
        <w:spacing w:line="400" w:lineRule="exact"/>
        <w:rPr>
          <w:rFonts w:hint="eastAsia" w:ascii="Times New Roman" w:hAnsi="Times New Roman" w:eastAsia="宋体" w:cs="宋体"/>
        </w:rPr>
      </w:pPr>
      <w:r>
        <w:rPr>
          <w:rFonts w:hint="eastAsia" w:ascii="Times New Roman" w:hAnsi="Times New Roman" w:eastAsia="宋体" w:cs="宋体"/>
        </w:rPr>
        <w:t>　　（三）不准接受或暗示为甲方、相关单位或个人装修住房、婚丧嫁娶、配偶子女的工作安排以及出国（境）、旅游等提供方便。</w:t>
      </w:r>
    </w:p>
    <w:p>
      <w:pPr>
        <w:adjustRightInd w:val="0"/>
        <w:snapToGrid w:val="0"/>
        <w:spacing w:line="400" w:lineRule="exact"/>
        <w:rPr>
          <w:rFonts w:cs="宋体"/>
        </w:rPr>
      </w:pPr>
      <w:r>
        <w:rPr>
          <w:rFonts w:hint="eastAsia" w:cs="宋体"/>
        </w:rPr>
        <w:t>　　（四）不准以任何理由为甲方、相关单位或个人组织有可能影响公正执行公务的宴请、健身、娱乐等活动。</w:t>
      </w:r>
    </w:p>
    <w:p>
      <w:pPr>
        <w:adjustRightInd w:val="0"/>
        <w:snapToGrid w:val="0"/>
        <w:spacing w:line="400" w:lineRule="exact"/>
        <w:rPr>
          <w:rFonts w:cs="宋体"/>
        </w:rPr>
      </w:pPr>
      <w:r>
        <w:rPr>
          <w:rFonts w:hint="eastAsia" w:cs="宋体"/>
        </w:rPr>
        <w:t>　　第四条 违约责任</w:t>
      </w:r>
    </w:p>
    <w:p>
      <w:pPr>
        <w:pStyle w:val="2"/>
        <w:tabs>
          <w:tab w:val="left" w:pos="208"/>
        </w:tabs>
        <w:adjustRightInd w:val="0"/>
        <w:snapToGrid w:val="0"/>
        <w:spacing w:line="400" w:lineRule="exact"/>
        <w:rPr>
          <w:rFonts w:ascii="宋体" w:eastAsia="宋体" w:cs="宋体"/>
          <w:sz w:val="24"/>
        </w:rPr>
      </w:pPr>
      <w:r>
        <w:rPr>
          <w:rFonts w:hint="eastAsia" w:ascii="宋体" w:eastAsia="宋体" w:cs="宋体"/>
          <w:sz w:val="24"/>
        </w:rPr>
        <w:t>　</w:t>
      </w:r>
      <w:r>
        <w:rPr>
          <w:rFonts w:hint="eastAsia" w:ascii="Times New Roman" w:hAnsi="Times New Roman" w:eastAsia="宋体" w:cs="宋体"/>
          <w:kern w:val="2"/>
          <w:sz w:val="21"/>
          <w:szCs w:val="24"/>
          <w:lang w:val="en-US" w:eastAsia="zh-CN" w:bidi="ar-SA"/>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00" w:lineRule="exact"/>
        <w:rPr>
          <w:rFonts w:cs="宋体"/>
        </w:rPr>
      </w:pPr>
      <w:r>
        <w:rPr>
          <w:rFonts w:hint="eastAsia" w:cs="宋体"/>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00" w:lineRule="exact"/>
        <w:rPr>
          <w:rFonts w:cs="宋体"/>
        </w:rPr>
      </w:pPr>
      <w:r>
        <w:rPr>
          <w:rFonts w:hint="eastAsia" w:cs="宋体"/>
        </w:rPr>
        <w:t>　　第五条 本责任书作为工程施工合同的附件，与工程施工合同具有同等法律效力。经双方签署后立即生效。</w:t>
      </w:r>
    </w:p>
    <w:p>
      <w:pPr>
        <w:adjustRightInd w:val="0"/>
        <w:snapToGrid w:val="0"/>
        <w:spacing w:line="400" w:lineRule="exact"/>
        <w:rPr>
          <w:rFonts w:cs="宋体"/>
        </w:rPr>
      </w:pPr>
      <w:r>
        <w:rPr>
          <w:rFonts w:hint="eastAsia" w:cs="宋体"/>
        </w:rPr>
        <w:t>　　第六条 本责任书的有效期为双方签署之日起至该工程项目竣工验收合格时止。</w:t>
      </w:r>
    </w:p>
    <w:p>
      <w:pPr>
        <w:adjustRightInd w:val="0"/>
        <w:snapToGrid w:val="0"/>
        <w:spacing w:line="400" w:lineRule="exact"/>
        <w:ind w:firstLine="411" w:firstLineChars="196"/>
        <w:rPr>
          <w:rFonts w:cs="宋体"/>
        </w:rPr>
      </w:pPr>
      <w:r>
        <w:rPr>
          <w:rFonts w:hint="eastAsia" w:cs="宋体"/>
        </w:rPr>
        <w:t>第七条 本责任书一式四份，由甲乙双方各执一份，送交甲乙双方的主管部门、派驻纪检组各一份。</w:t>
      </w:r>
    </w:p>
    <w:p>
      <w:pPr>
        <w:adjustRightInd w:val="0"/>
        <w:snapToGrid w:val="0"/>
        <w:spacing w:line="400" w:lineRule="exact"/>
        <w:ind w:firstLine="420"/>
        <w:rPr>
          <w:rFonts w:cs="宋体"/>
        </w:rPr>
      </w:pPr>
    </w:p>
    <w:p>
      <w:pPr>
        <w:adjustRightInd w:val="0"/>
        <w:snapToGrid w:val="0"/>
        <w:spacing w:line="400" w:lineRule="exact"/>
        <w:rPr>
          <w:rFonts w:cs="宋体"/>
        </w:rPr>
      </w:pPr>
      <w:r>
        <w:rPr>
          <w:rFonts w:hint="eastAsia" w:cs="宋体"/>
        </w:rPr>
        <w:t>甲方单位：（盖章）                        乙方单位：（盖章）</w:t>
      </w:r>
    </w:p>
    <w:p>
      <w:pPr>
        <w:adjustRightInd w:val="0"/>
        <w:snapToGrid w:val="0"/>
        <w:spacing w:line="400" w:lineRule="exact"/>
        <w:rPr>
          <w:rFonts w:cs="宋体"/>
        </w:rPr>
      </w:pPr>
    </w:p>
    <w:p>
      <w:pPr>
        <w:adjustRightInd w:val="0"/>
        <w:snapToGrid w:val="0"/>
        <w:spacing w:line="400" w:lineRule="exact"/>
        <w:rPr>
          <w:rFonts w:cs="宋体"/>
        </w:rPr>
      </w:pPr>
      <w:r>
        <w:rPr>
          <w:rFonts w:hint="eastAsia" w:cs="宋体"/>
        </w:rPr>
        <w:t>法定代表人    　　　　　　                法定代表人</w:t>
      </w:r>
    </w:p>
    <w:p>
      <w:pPr>
        <w:adjustRightInd w:val="0"/>
        <w:snapToGrid w:val="0"/>
        <w:spacing w:line="400" w:lineRule="exact"/>
        <w:rPr>
          <w:rFonts w:cs="宋体"/>
        </w:rPr>
      </w:pPr>
      <w:r>
        <w:rPr>
          <w:rFonts w:hint="eastAsia" w:cs="宋体"/>
        </w:rPr>
        <w:t>（或委托代理人）：                       （或委托代理人）：</w:t>
      </w:r>
    </w:p>
    <w:p>
      <w:pPr>
        <w:adjustRightInd w:val="0"/>
        <w:snapToGrid w:val="0"/>
        <w:spacing w:line="400" w:lineRule="exact"/>
        <w:ind w:firstLine="4515" w:firstLineChars="2150"/>
        <w:rPr>
          <w:rFonts w:cs="宋体"/>
        </w:rPr>
      </w:pPr>
      <w:r>
        <w:rPr>
          <w:rFonts w:hint="eastAsia" w:cs="宋体"/>
        </w:rPr>
        <w:t>项目负责人：</w:t>
      </w:r>
    </w:p>
    <w:p>
      <w:pPr>
        <w:adjustRightInd w:val="0"/>
        <w:snapToGrid w:val="0"/>
        <w:spacing w:line="400" w:lineRule="exact"/>
        <w:rPr>
          <w:rFonts w:cs="宋体"/>
        </w:rPr>
      </w:pPr>
    </w:p>
    <w:p>
      <w:pPr>
        <w:adjustRightInd w:val="0"/>
        <w:snapToGrid w:val="0"/>
        <w:spacing w:line="400" w:lineRule="exact"/>
        <w:rPr>
          <w:rFonts w:cs="宋体"/>
        </w:rPr>
      </w:pPr>
      <w:r>
        <w:rPr>
          <w:rFonts w:hint="eastAsia" w:cs="宋体"/>
        </w:rPr>
        <w:t>地址：　　　　　　　　　　                地址：</w:t>
      </w:r>
    </w:p>
    <w:p>
      <w:pPr>
        <w:adjustRightInd w:val="0"/>
        <w:snapToGrid w:val="0"/>
        <w:spacing w:line="400" w:lineRule="exact"/>
        <w:rPr>
          <w:rFonts w:cs="宋体"/>
        </w:rPr>
      </w:pPr>
    </w:p>
    <w:p>
      <w:pPr>
        <w:adjustRightInd w:val="0"/>
        <w:snapToGrid w:val="0"/>
        <w:spacing w:line="400" w:lineRule="exact"/>
        <w:rPr>
          <w:rFonts w:cs="宋体"/>
        </w:rPr>
      </w:pPr>
      <w:r>
        <w:rPr>
          <w:rFonts w:hint="eastAsia" w:cs="宋体"/>
        </w:rPr>
        <w:t>电话：　　　　　　　　　　                电话：</w:t>
      </w:r>
    </w:p>
    <w:p>
      <w:pPr>
        <w:adjustRightInd w:val="0"/>
        <w:snapToGrid w:val="0"/>
        <w:spacing w:line="400" w:lineRule="exact"/>
        <w:rPr>
          <w:rFonts w:cs="宋体"/>
        </w:rPr>
      </w:pPr>
    </w:p>
    <w:p>
      <w:pPr>
        <w:adjustRightInd w:val="0"/>
        <w:snapToGrid w:val="0"/>
        <w:spacing w:line="400" w:lineRule="exact"/>
        <w:rPr>
          <w:rFonts w:cs="宋体"/>
        </w:rPr>
      </w:pPr>
      <w:r>
        <w:rPr>
          <w:rFonts w:hint="eastAsia" w:cs="宋体"/>
        </w:rPr>
        <w:t xml:space="preserve">     年　 月　  日                             年　  月　  日</w:t>
      </w:r>
    </w:p>
    <w:p>
      <w:pPr>
        <w:adjustRightInd w:val="0"/>
        <w:snapToGrid w:val="0"/>
        <w:spacing w:line="360" w:lineRule="auto"/>
        <w:jc w:val="right"/>
        <w:rPr>
          <w:rFonts w:ascii="宋体" w:hAnsi="宋体" w:cs="宋体"/>
          <w:szCs w:val="21"/>
        </w:rPr>
      </w:pPr>
    </w:p>
    <w:p>
      <w:pPr>
        <w:rPr>
          <w:rStyle w:val="98"/>
          <w:rFonts w:hint="eastAsia" w:ascii="宋体" w:hAnsi="宋体" w:cs="宋体"/>
          <w:szCs w:val="22"/>
        </w:rPr>
      </w:pPr>
    </w:p>
    <w:p>
      <w:pPr>
        <w:spacing w:line="336" w:lineRule="auto"/>
        <w:jc w:val="center"/>
        <w:outlineLvl w:val="0"/>
        <w:rPr>
          <w:rStyle w:val="98"/>
          <w:rFonts w:ascii="宋体" w:hAnsi="宋体" w:cs="宋体"/>
          <w:szCs w:val="22"/>
        </w:rPr>
      </w:pPr>
      <w:r>
        <w:rPr>
          <w:rStyle w:val="98"/>
          <w:rFonts w:hint="eastAsia" w:ascii="宋体" w:hAnsi="宋体" w:cs="宋体"/>
          <w:szCs w:val="22"/>
        </w:rPr>
        <w:br w:type="page"/>
      </w:r>
      <w:bookmarkStart w:id="439" w:name="_Toc4915"/>
      <w:r>
        <w:rPr>
          <w:rStyle w:val="98"/>
          <w:rFonts w:hint="eastAsia" w:ascii="宋体" w:hAnsi="宋体" w:cs="宋体"/>
          <w:szCs w:val="22"/>
        </w:rPr>
        <w:t>第五章 响应文件格式</w:t>
      </w:r>
      <w:bookmarkEnd w:id="431"/>
      <w:bookmarkEnd w:id="432"/>
      <w:bookmarkEnd w:id="433"/>
      <w:bookmarkEnd w:id="439"/>
      <w:bookmarkStart w:id="440" w:name="_Toc208886781"/>
      <w:bookmarkStart w:id="441" w:name="_Toc283042131"/>
    </w:p>
    <w:bookmarkEnd w:id="440"/>
    <w:bookmarkEnd w:id="441"/>
    <w:p>
      <w:pPr>
        <w:jc w:val="center"/>
        <w:rPr>
          <w:rFonts w:ascii="宋体" w:hAnsi="宋体" w:cs="宋体"/>
        </w:rPr>
      </w:pPr>
    </w:p>
    <w:p>
      <w:pPr>
        <w:jc w:val="center"/>
        <w:rPr>
          <w:rFonts w:ascii="宋体" w:hAnsi="宋体" w:cs="宋体"/>
        </w:rPr>
      </w:pPr>
    </w:p>
    <w:p>
      <w:pPr>
        <w:pStyle w:val="6"/>
        <w:spacing w:line="360" w:lineRule="auto"/>
        <w:jc w:val="center"/>
        <w:rPr>
          <w:rFonts w:ascii="宋体" w:hAnsi="宋体" w:cs="宋体"/>
          <w:sz w:val="24"/>
          <w:szCs w:val="24"/>
        </w:rPr>
      </w:pPr>
      <w:bookmarkStart w:id="442" w:name="_Toc14181"/>
      <w:bookmarkStart w:id="443" w:name="_Toc303756413"/>
      <w:bookmarkStart w:id="444" w:name="_Toc28666"/>
      <w:bookmarkStart w:id="445" w:name="_Toc7074"/>
      <w:r>
        <w:rPr>
          <w:rFonts w:hint="eastAsia" w:ascii="宋体" w:hAnsi="宋体" w:cs="宋体"/>
          <w:sz w:val="24"/>
          <w:szCs w:val="24"/>
        </w:rPr>
        <w:t>一、响应文件格式说明</w:t>
      </w:r>
      <w:bookmarkEnd w:id="442"/>
      <w:bookmarkEnd w:id="443"/>
      <w:bookmarkEnd w:id="444"/>
      <w:bookmarkEnd w:id="445"/>
    </w:p>
    <w:p>
      <w:pPr>
        <w:rPr>
          <w:rFonts w:ascii="宋体" w:hAnsi="宋体" w:cs="宋体"/>
        </w:rPr>
      </w:pPr>
    </w:p>
    <w:p>
      <w:pPr>
        <w:pStyle w:val="173"/>
        <w:tabs>
          <w:tab w:val="left" w:pos="851"/>
          <w:tab w:val="clear" w:pos="960"/>
        </w:tabs>
        <w:spacing w:line="360" w:lineRule="auto"/>
        <w:ind w:left="0" w:firstLine="425"/>
        <w:rPr>
          <w:rFonts w:cs="宋体"/>
          <w:szCs w:val="21"/>
        </w:rPr>
      </w:pPr>
      <w:r>
        <w:rPr>
          <w:rFonts w:hint="eastAsia" w:cs="宋体"/>
          <w:szCs w:val="21"/>
        </w:rPr>
        <w:t>1．供应商按照以下顺序填写和提交下述规定的全部格式文件以及其他有关资料，混乱的编排以致响应文件被误读或采购代理机构查找不到有效文件，后果由供应商承担。</w:t>
      </w:r>
    </w:p>
    <w:p>
      <w:pPr>
        <w:pStyle w:val="173"/>
        <w:tabs>
          <w:tab w:val="left" w:pos="851"/>
          <w:tab w:val="clear" w:pos="960"/>
        </w:tabs>
        <w:spacing w:line="360" w:lineRule="auto"/>
        <w:ind w:left="0" w:firstLine="425"/>
        <w:rPr>
          <w:rFonts w:cs="宋体"/>
          <w:szCs w:val="21"/>
        </w:rPr>
      </w:pPr>
      <w:r>
        <w:rPr>
          <w:rFonts w:hint="eastAsia" w:cs="宋体"/>
          <w:szCs w:val="21"/>
        </w:rPr>
        <w:t>2．所附表格中要求回答的全部问题和信息都必须正面回答。</w:t>
      </w:r>
    </w:p>
    <w:p>
      <w:pPr>
        <w:pStyle w:val="173"/>
        <w:tabs>
          <w:tab w:val="left" w:pos="851"/>
          <w:tab w:val="clear" w:pos="960"/>
        </w:tabs>
        <w:spacing w:line="360" w:lineRule="auto"/>
        <w:ind w:left="0" w:firstLine="425"/>
        <w:rPr>
          <w:rFonts w:cs="宋体"/>
          <w:szCs w:val="21"/>
        </w:rPr>
      </w:pPr>
      <w:r>
        <w:rPr>
          <w:rFonts w:hint="eastAsia" w:cs="宋体"/>
          <w:szCs w:val="21"/>
        </w:rPr>
        <w:t>3．供应商资格声明的签字人应保证全部声明和问题的回答是真实的和准确的。</w:t>
      </w:r>
    </w:p>
    <w:p>
      <w:pPr>
        <w:pStyle w:val="173"/>
        <w:tabs>
          <w:tab w:val="left" w:pos="851"/>
          <w:tab w:val="clear" w:pos="960"/>
        </w:tabs>
        <w:spacing w:line="360" w:lineRule="auto"/>
        <w:ind w:left="0" w:firstLine="425"/>
        <w:rPr>
          <w:rFonts w:cs="宋体"/>
          <w:szCs w:val="21"/>
        </w:rPr>
      </w:pPr>
      <w:r>
        <w:rPr>
          <w:rFonts w:hint="eastAsia" w:cs="宋体"/>
          <w:szCs w:val="21"/>
        </w:rPr>
        <w:t>4．采购代理机构和采购人将应用供应商提交的资料并根据自己的判断，决定供应商履行合同的合格性及能力。</w:t>
      </w:r>
    </w:p>
    <w:p>
      <w:pPr>
        <w:pStyle w:val="173"/>
        <w:tabs>
          <w:tab w:val="left" w:pos="851"/>
          <w:tab w:val="clear" w:pos="960"/>
        </w:tabs>
        <w:spacing w:line="360" w:lineRule="auto"/>
        <w:ind w:left="0" w:firstLine="425"/>
        <w:rPr>
          <w:rFonts w:cs="宋体"/>
          <w:szCs w:val="21"/>
        </w:rPr>
      </w:pPr>
      <w:r>
        <w:rPr>
          <w:rFonts w:hint="eastAsia" w:cs="宋体"/>
          <w:szCs w:val="21"/>
        </w:rPr>
        <w:t>5．供应商提交的材料将被保密保存，但不退还。</w:t>
      </w:r>
    </w:p>
    <w:p>
      <w:pPr>
        <w:spacing w:line="360" w:lineRule="auto"/>
        <w:ind w:firstLine="420" w:firstLineChars="200"/>
        <w:rPr>
          <w:rFonts w:ascii="宋体" w:hAnsi="宋体" w:cs="宋体"/>
          <w:b/>
          <w:szCs w:val="21"/>
        </w:rPr>
        <w:sectPr>
          <w:footerReference r:id="rId4" w:type="first"/>
          <w:footerReference r:id="rId3" w:type="default"/>
          <w:pgSz w:w="11906" w:h="16838"/>
          <w:pgMar w:top="1417" w:right="1417" w:bottom="1134" w:left="1417" w:header="851" w:footer="850" w:gutter="0"/>
          <w:cols w:space="720" w:num="1"/>
          <w:titlePg/>
          <w:docGrid w:linePitch="312" w:charSpace="0"/>
        </w:sectPr>
      </w:pPr>
      <w:r>
        <w:rPr>
          <w:rFonts w:hint="eastAsia" w:ascii="宋体" w:hAnsi="宋体" w:cs="宋体"/>
          <w:szCs w:val="21"/>
        </w:rPr>
        <w:t>6．全部文件应按供应商须知中规定的语言提交</w:t>
      </w:r>
      <w:r>
        <w:rPr>
          <w:rFonts w:hint="eastAsia" w:ascii="宋体" w:hAnsi="宋体" w:cs="宋体"/>
          <w:b/>
          <w:szCs w:val="21"/>
        </w:rPr>
        <w:t>。</w:t>
      </w:r>
    </w:p>
    <w:p>
      <w:pPr>
        <w:pStyle w:val="6"/>
        <w:spacing w:line="360" w:lineRule="auto"/>
        <w:jc w:val="center"/>
        <w:rPr>
          <w:rFonts w:ascii="宋体" w:hAnsi="宋体" w:cs="宋体"/>
          <w:sz w:val="30"/>
          <w:szCs w:val="30"/>
        </w:rPr>
      </w:pPr>
      <w:bookmarkStart w:id="446" w:name="_Toc13372"/>
      <w:bookmarkStart w:id="447" w:name="_Toc17291"/>
      <w:bookmarkStart w:id="448" w:name="_Toc13667"/>
      <w:bookmarkStart w:id="449" w:name="_Toc303756414"/>
      <w:r>
        <w:rPr>
          <w:rFonts w:hint="eastAsia" w:ascii="宋体" w:hAnsi="宋体" w:cs="宋体"/>
          <w:sz w:val="30"/>
          <w:szCs w:val="30"/>
        </w:rPr>
        <w:t>二、资格审查文件格式</w:t>
      </w:r>
      <w:bookmarkEnd w:id="446"/>
      <w:bookmarkEnd w:id="447"/>
      <w:bookmarkEnd w:id="448"/>
      <w:bookmarkEnd w:id="449"/>
      <w:bookmarkStart w:id="450" w:name="_Toc11770"/>
      <w:bookmarkStart w:id="451" w:name="_Toc303756434"/>
    </w:p>
    <w:p>
      <w:pPr>
        <w:pStyle w:val="8"/>
        <w:snapToGrid w:val="0"/>
        <w:spacing w:before="50" w:after="120"/>
        <w:ind w:firstLine="0"/>
        <w:rPr>
          <w:rFonts w:ascii="宋体" w:hAnsi="宋体" w:cs="宋体"/>
          <w:szCs w:val="21"/>
        </w:rPr>
      </w:pPr>
    </w:p>
    <w:p>
      <w:pPr>
        <w:jc w:val="center"/>
        <w:rPr>
          <w:rFonts w:ascii="宋体" w:hAnsi="宋体" w:cs="宋体"/>
          <w:b/>
          <w:sz w:val="24"/>
        </w:rPr>
      </w:pPr>
      <w:bookmarkStart w:id="452" w:name="_Toc303756416"/>
      <w:r>
        <w:rPr>
          <w:rFonts w:hint="eastAsia" w:ascii="宋体" w:hAnsi="宋体" w:cs="宋体"/>
          <w:b/>
          <w:sz w:val="24"/>
        </w:rPr>
        <w:t>资格审查文件封面</w:t>
      </w:r>
      <w:bookmarkEnd w:id="452"/>
    </w:p>
    <w:p>
      <w:pPr>
        <w:jc w:val="center"/>
        <w:rPr>
          <w:rFonts w:ascii="宋体" w:hAnsi="宋体" w:cs="宋体"/>
        </w:rPr>
      </w:pPr>
      <w:r>
        <w:rPr>
          <w:rFonts w:hint="eastAsia" w:ascii="宋体" w:hAnsi="宋体" w:cs="宋体"/>
        </w:rPr>
        <w:t>（格式）</w:t>
      </w:r>
    </w:p>
    <w:p>
      <w:pPr>
        <w:pStyle w:val="8"/>
        <w:snapToGrid w:val="0"/>
        <w:spacing w:before="50" w:after="120"/>
        <w:ind w:firstLine="0"/>
        <w:rPr>
          <w:rFonts w:ascii="宋体" w:hAnsi="宋体" w:cs="宋体"/>
          <w:szCs w:val="21"/>
        </w:rPr>
      </w:pPr>
    </w:p>
    <w:p>
      <w:pPr>
        <w:snapToGrid w:val="0"/>
        <w:spacing w:before="120" w:beforeLines="50" w:after="50"/>
        <w:jc w:val="center"/>
        <w:rPr>
          <w:rFonts w:ascii="宋体" w:hAnsi="宋体" w:cs="宋体"/>
          <w:sz w:val="24"/>
        </w:rPr>
      </w:pPr>
      <w:r>
        <w:rPr>
          <w:rFonts w:hint="eastAsia" w:ascii="宋体" w:hAnsi="宋体" w:cs="宋体"/>
          <w:sz w:val="24"/>
        </w:rPr>
        <w:t>资格审查文件</w:t>
      </w:r>
    </w:p>
    <w:p>
      <w:pPr>
        <w:spacing w:line="360" w:lineRule="auto"/>
        <w:rPr>
          <w:rFonts w:ascii="宋体" w:hAnsi="宋体" w:cs="宋体"/>
          <w:szCs w:val="21"/>
        </w:rPr>
      </w:pPr>
    </w:p>
    <w:p>
      <w:pPr>
        <w:pStyle w:val="41"/>
        <w:rPr>
          <w:rFonts w:ascii="宋体" w:hAnsi="宋体"/>
        </w:rPr>
      </w:pPr>
    </w:p>
    <w:p>
      <w:pPr>
        <w:spacing w:line="360" w:lineRule="auto"/>
        <w:ind w:firstLine="1799" w:firstLineChars="857"/>
        <w:rPr>
          <w:rFonts w:ascii="宋体" w:hAnsi="宋体" w:cs="宋体"/>
          <w:szCs w:val="21"/>
          <w:u w:val="single"/>
        </w:rPr>
      </w:pPr>
      <w:r>
        <w:rPr>
          <w:rFonts w:hint="eastAsia" w:ascii="宋体" w:hAnsi="宋体" w:cs="宋体"/>
          <w:szCs w:val="21"/>
        </w:rPr>
        <w:t>项目名称：</w:t>
      </w:r>
    </w:p>
    <w:p>
      <w:pPr>
        <w:spacing w:line="360" w:lineRule="auto"/>
        <w:ind w:firstLine="1799" w:firstLineChars="857"/>
        <w:rPr>
          <w:rFonts w:ascii="宋体" w:hAnsi="宋体" w:cs="宋体"/>
          <w:szCs w:val="21"/>
        </w:rPr>
      </w:pPr>
      <w:r>
        <w:rPr>
          <w:rFonts w:hint="eastAsia" w:ascii="宋体" w:hAnsi="宋体" w:cs="宋体"/>
          <w:szCs w:val="21"/>
        </w:rPr>
        <w:t>采购编号：</w:t>
      </w:r>
    </w:p>
    <w:p>
      <w:pPr>
        <w:spacing w:line="360" w:lineRule="auto"/>
        <w:ind w:firstLine="1799" w:firstLineChars="857"/>
        <w:rPr>
          <w:rFonts w:ascii="宋体" w:hAnsi="宋体" w:cs="宋体"/>
          <w:szCs w:val="21"/>
          <w:u w:val="single"/>
        </w:rPr>
      </w:pPr>
      <w:r>
        <w:rPr>
          <w:rFonts w:hint="eastAsia" w:ascii="宋体" w:hAnsi="宋体" w:cs="宋体"/>
          <w:szCs w:val="21"/>
        </w:rPr>
        <w:t>标段：</w:t>
      </w:r>
      <w:r>
        <w:rPr>
          <w:rFonts w:hint="eastAsia" w:ascii="宋体" w:hAnsi="宋体" w:cs="宋体"/>
          <w:szCs w:val="21"/>
          <w:u w:val="single"/>
        </w:rPr>
        <w:t>（若有）</w:t>
      </w:r>
    </w:p>
    <w:p>
      <w:pPr>
        <w:spacing w:line="360" w:lineRule="auto"/>
        <w:ind w:firstLine="1799" w:firstLineChars="857"/>
        <w:rPr>
          <w:rFonts w:ascii="宋体" w:hAnsi="宋体" w:cs="宋体"/>
          <w:szCs w:val="21"/>
          <w:u w:val="single"/>
        </w:rPr>
      </w:pPr>
      <w:r>
        <w:rPr>
          <w:rFonts w:hint="eastAsia" w:ascii="宋体" w:hAnsi="宋体" w:cs="宋体"/>
          <w:bCs/>
          <w:szCs w:val="21"/>
        </w:rPr>
        <w:t>供应商</w:t>
      </w:r>
      <w:r>
        <w:rPr>
          <w:rFonts w:hint="eastAsia" w:ascii="宋体" w:hAnsi="宋体" w:cs="宋体"/>
          <w:szCs w:val="21"/>
        </w:rPr>
        <w:t>名称：</w:t>
      </w:r>
    </w:p>
    <w:p>
      <w:pPr>
        <w:spacing w:line="360" w:lineRule="auto"/>
        <w:ind w:firstLine="1799" w:firstLineChars="857"/>
        <w:rPr>
          <w:rFonts w:ascii="宋体" w:hAnsi="宋体" w:cs="宋体"/>
          <w:u w:val="single"/>
        </w:rPr>
      </w:pPr>
      <w:r>
        <w:rPr>
          <w:rFonts w:hint="eastAsia" w:ascii="宋体" w:hAnsi="宋体" w:cs="宋体"/>
          <w:bCs/>
          <w:szCs w:val="21"/>
        </w:rPr>
        <w:t>供应商</w:t>
      </w:r>
      <w:r>
        <w:rPr>
          <w:rFonts w:hint="eastAsia" w:ascii="宋体" w:hAnsi="宋体" w:cs="宋体"/>
        </w:rPr>
        <w:t>地址：</w:t>
      </w:r>
    </w:p>
    <w:p>
      <w:pPr>
        <w:spacing w:line="360" w:lineRule="auto"/>
        <w:ind w:firstLine="1799" w:firstLineChars="857"/>
        <w:rPr>
          <w:rFonts w:ascii="宋体" w:hAnsi="宋体" w:cs="宋体"/>
          <w:u w:val="single"/>
        </w:rPr>
      </w:pPr>
      <w:r>
        <w:rPr>
          <w:rFonts w:hint="eastAsia" w:ascii="宋体" w:hAnsi="宋体" w:cs="宋体"/>
          <w:szCs w:val="21"/>
        </w:rPr>
        <w:t>邮编：</w:t>
      </w:r>
    </w:p>
    <w:p>
      <w:pPr>
        <w:spacing w:line="360" w:lineRule="auto"/>
        <w:ind w:firstLine="1799" w:firstLineChars="857"/>
        <w:rPr>
          <w:rFonts w:ascii="宋体" w:hAnsi="宋体" w:cs="宋体"/>
          <w:u w:val="single"/>
        </w:rPr>
      </w:pPr>
    </w:p>
    <w:p>
      <w:pPr>
        <w:spacing w:line="360" w:lineRule="auto"/>
        <w:jc w:val="center"/>
        <w:rPr>
          <w:rFonts w:ascii="宋体" w:hAnsi="宋体" w:cs="宋体"/>
        </w:rPr>
      </w:pPr>
      <w:r>
        <w:rPr>
          <w:rFonts w:hint="eastAsia" w:ascii="宋体" w:hAnsi="宋体" w:cs="宋体"/>
        </w:rPr>
        <w:t>年  月  日</w:t>
      </w:r>
    </w:p>
    <w:p>
      <w:pPr>
        <w:spacing w:line="360" w:lineRule="auto"/>
        <w:jc w:val="center"/>
        <w:rPr>
          <w:rFonts w:ascii="宋体" w:hAnsi="宋体" w:cs="宋体"/>
          <w:b/>
          <w:szCs w:val="21"/>
        </w:rPr>
        <w:sectPr>
          <w:pgSz w:w="11906" w:h="16838"/>
          <w:pgMar w:top="1417" w:right="1417" w:bottom="1134" w:left="1417" w:header="851" w:footer="850" w:gutter="0"/>
          <w:cols w:space="720" w:num="1"/>
          <w:titlePg/>
          <w:docGrid w:linePitch="312" w:charSpace="0"/>
        </w:sectPr>
      </w:pPr>
    </w:p>
    <w:p>
      <w:pPr>
        <w:jc w:val="center"/>
        <w:rPr>
          <w:rFonts w:ascii="宋体" w:hAnsi="宋体" w:cs="宋体"/>
          <w:b/>
          <w:sz w:val="24"/>
        </w:rPr>
      </w:pPr>
      <w:bookmarkStart w:id="453" w:name="_Toc303756417"/>
      <w:bookmarkStart w:id="454" w:name="_Toc19760"/>
      <w:r>
        <w:rPr>
          <w:rFonts w:hint="eastAsia" w:ascii="宋体" w:hAnsi="宋体" w:cs="宋体"/>
          <w:b/>
          <w:sz w:val="24"/>
        </w:rPr>
        <w:t>资格审查文件目录</w:t>
      </w:r>
      <w:bookmarkEnd w:id="453"/>
    </w:p>
    <w:p>
      <w:pPr>
        <w:snapToGrid w:val="0"/>
        <w:spacing w:line="312" w:lineRule="auto"/>
        <w:rPr>
          <w:rFonts w:ascii="宋体" w:hAnsi="宋体" w:cs="宋体"/>
          <w:szCs w:val="21"/>
        </w:rPr>
      </w:pPr>
    </w:p>
    <w:p>
      <w:pPr>
        <w:snapToGrid w:val="0"/>
        <w:spacing w:line="312" w:lineRule="auto"/>
        <w:rPr>
          <w:rFonts w:hint="eastAsia"/>
        </w:rPr>
      </w:pPr>
      <w:r>
        <w:rPr>
          <w:rFonts w:hint="eastAsia"/>
        </w:rPr>
        <w:t>（1）企业营业执照（复印件加盖供应商公章）；</w:t>
      </w:r>
    </w:p>
    <w:p>
      <w:pPr>
        <w:snapToGrid w:val="0"/>
        <w:spacing w:line="312" w:lineRule="auto"/>
        <w:rPr>
          <w:rFonts w:hint="eastAsia"/>
        </w:rPr>
      </w:pPr>
      <w:r>
        <w:rPr>
          <w:rFonts w:hint="eastAsia"/>
        </w:rPr>
        <w:t>（2）法定代表人身份证明书或法定代表人授权委托书（见格式）；</w:t>
      </w:r>
    </w:p>
    <w:p>
      <w:pPr>
        <w:snapToGrid w:val="0"/>
        <w:spacing w:line="312" w:lineRule="auto"/>
        <w:rPr>
          <w:rFonts w:hint="eastAsia"/>
        </w:rPr>
      </w:pPr>
      <w:r>
        <w:rPr>
          <w:rFonts w:hint="eastAsia"/>
        </w:rPr>
        <w:t>（3）具有良好的财务会计制度、依法缴纳税收和社会保障资金的承诺函;</w:t>
      </w:r>
    </w:p>
    <w:p>
      <w:pPr>
        <w:snapToGrid w:val="0"/>
        <w:spacing w:line="312" w:lineRule="auto"/>
        <w:rPr>
          <w:rFonts w:hint="eastAsia"/>
        </w:rPr>
      </w:pPr>
      <w:r>
        <w:rPr>
          <w:rFonts w:hint="eastAsia"/>
        </w:rPr>
        <w:t>（4）具有履行合同所必需设备和专业技术能力的承诺函;</w:t>
      </w:r>
    </w:p>
    <w:p>
      <w:pPr>
        <w:pStyle w:val="2"/>
      </w:pPr>
      <w:r>
        <w:rPr>
          <w:rFonts w:hint="eastAsia"/>
        </w:rPr>
        <w:t>（5）关于资格的声明</w:t>
      </w:r>
    </w:p>
    <w:p>
      <w:pPr>
        <w:snapToGrid w:val="0"/>
        <w:spacing w:line="312" w:lineRule="auto"/>
        <w:rPr>
          <w:rFonts w:hint="eastAsia"/>
        </w:rPr>
      </w:pPr>
      <w:r>
        <w:rPr>
          <w:rFonts w:hint="eastAsia"/>
        </w:rPr>
        <w:t>（6）无重大违法记录声明书；</w:t>
      </w:r>
    </w:p>
    <w:p>
      <w:pPr>
        <w:snapToGrid w:val="0"/>
        <w:spacing w:line="400" w:lineRule="exact"/>
        <w:rPr>
          <w:rFonts w:ascii="宋体" w:hAnsi="宋体" w:cs="宋体"/>
          <w:bCs/>
          <w:szCs w:val="21"/>
          <w:highlight w:val="yellow"/>
        </w:rPr>
      </w:pPr>
      <w:r>
        <w:rPr>
          <w:rFonts w:hint="eastAsia"/>
        </w:rPr>
        <w:t>（7）</w:t>
      </w:r>
      <w:r>
        <w:rPr>
          <w:rFonts w:hint="eastAsia"/>
          <w:lang w:val="en-US" w:eastAsia="zh-CN"/>
        </w:rPr>
        <w:t>其他</w:t>
      </w:r>
      <w:r>
        <w:rPr>
          <w:rFonts w:hint="eastAsia"/>
        </w:rPr>
        <w:t>；</w:t>
      </w:r>
    </w:p>
    <w:p>
      <w:pPr>
        <w:spacing w:line="360" w:lineRule="auto"/>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pStyle w:val="41"/>
        <w:rPr>
          <w:rFonts w:ascii="宋体" w:hAnsi="宋体"/>
        </w:rPr>
      </w:pPr>
    </w:p>
    <w:p>
      <w:pPr>
        <w:pStyle w:val="41"/>
        <w:rPr>
          <w:rFonts w:ascii="宋体" w:hAnsi="宋体"/>
        </w:rPr>
      </w:pPr>
    </w:p>
    <w:p>
      <w:pPr>
        <w:pStyle w:val="41"/>
        <w:rPr>
          <w:rFonts w:ascii="宋体" w:hAnsi="宋体"/>
        </w:rPr>
      </w:pPr>
    </w:p>
    <w:p>
      <w:pPr>
        <w:rPr>
          <w:rFonts w:ascii="宋体" w:hAnsi="宋体"/>
        </w:rPr>
      </w:pPr>
      <w:r>
        <w:rPr>
          <w:rFonts w:ascii="宋体" w:hAnsi="宋体"/>
        </w:rPr>
        <w:br w:type="page"/>
      </w:r>
    </w:p>
    <w:p>
      <w:pPr>
        <w:keepNext/>
        <w:keepLines/>
        <w:snapToGrid w:val="0"/>
        <w:jc w:val="left"/>
        <w:rPr>
          <w:rFonts w:ascii="宋体" w:hAnsi="宋体" w:cs="宋体"/>
          <w:b/>
          <w:bCs/>
          <w:sz w:val="22"/>
          <w:szCs w:val="22"/>
          <w:highlight w:val="yellow"/>
        </w:rPr>
      </w:pPr>
      <w:bookmarkStart w:id="455" w:name="_Toc531359042"/>
      <w:bookmarkStart w:id="456" w:name="_Toc17773"/>
      <w:r>
        <w:rPr>
          <w:rFonts w:hint="eastAsia" w:ascii="宋体" w:hAnsi="宋体" w:cs="宋体"/>
          <w:b/>
          <w:bCs/>
          <w:sz w:val="22"/>
          <w:szCs w:val="22"/>
        </w:rPr>
        <w:t xml:space="preserve">1.1    </w:t>
      </w:r>
      <w:bookmarkEnd w:id="455"/>
      <w:bookmarkEnd w:id="456"/>
      <w:r>
        <w:rPr>
          <w:rFonts w:hint="eastAsia" w:ascii="宋体" w:hAnsi="宋体" w:cs="宋体"/>
          <w:b/>
          <w:bCs/>
          <w:sz w:val="22"/>
          <w:szCs w:val="22"/>
        </w:rPr>
        <w:t>企业营业执照</w:t>
      </w:r>
    </w:p>
    <w:p>
      <w:pPr>
        <w:pStyle w:val="8"/>
        <w:ind w:firstLine="0"/>
        <w:rPr>
          <w:rFonts w:ascii="宋体" w:hAnsi="宋体" w:cs="宋体"/>
          <w:sz w:val="22"/>
          <w:szCs w:val="22"/>
        </w:rPr>
      </w:pPr>
    </w:p>
    <w:p>
      <w:pPr>
        <w:spacing w:line="360" w:lineRule="auto"/>
        <w:rPr>
          <w:rFonts w:ascii="宋体" w:hAnsi="宋体" w:cs="宋体"/>
          <w:sz w:val="22"/>
          <w:szCs w:val="22"/>
        </w:rPr>
      </w:pPr>
      <w:r>
        <w:rPr>
          <w:rFonts w:hint="eastAsia" w:ascii="宋体" w:hAnsi="宋体" w:cs="宋体"/>
          <w:sz w:val="22"/>
          <w:szCs w:val="22"/>
        </w:rPr>
        <w:t>内容要求：</w:t>
      </w:r>
    </w:p>
    <w:p>
      <w:pPr>
        <w:spacing w:line="360" w:lineRule="auto"/>
        <w:ind w:firstLine="440" w:firstLineChars="200"/>
        <w:rPr>
          <w:rFonts w:ascii="宋体" w:hAnsi="宋体" w:cs="宋体"/>
          <w:sz w:val="22"/>
          <w:szCs w:val="22"/>
        </w:rPr>
      </w:pPr>
      <w:r>
        <w:rPr>
          <w:rFonts w:hint="eastAsia" w:ascii="宋体" w:hAnsi="宋体" w:cs="宋体"/>
          <w:sz w:val="22"/>
          <w:szCs w:val="22"/>
        </w:rPr>
        <w:t>1、须有效的营业执照复印件加盖单位公章或浙江政府采购网的“注册供应商”栏目查询供应商注册页面信息打印件加盖单位公章；</w:t>
      </w:r>
    </w:p>
    <w:p>
      <w:pPr>
        <w:keepNext/>
        <w:keepLines/>
        <w:snapToGrid w:val="0"/>
        <w:jc w:val="center"/>
        <w:rPr>
          <w:rFonts w:ascii="宋体" w:hAnsi="宋体" w:cs="宋体"/>
          <w:spacing w:val="11"/>
          <w:sz w:val="22"/>
          <w:szCs w:val="22"/>
        </w:rPr>
      </w:pPr>
    </w:p>
    <w:p>
      <w:pPr>
        <w:keepNext/>
        <w:keepLines/>
        <w:snapToGrid w:val="0"/>
        <w:rPr>
          <w:rFonts w:ascii="宋体" w:hAnsi="宋体" w:cs="宋体"/>
          <w:spacing w:val="11"/>
          <w:sz w:val="22"/>
          <w:szCs w:val="22"/>
        </w:rPr>
      </w:pPr>
    </w:p>
    <w:p>
      <w:pPr>
        <w:keepNext/>
        <w:keepLines/>
        <w:snapToGrid w:val="0"/>
        <w:rPr>
          <w:rFonts w:ascii="宋体" w:hAnsi="宋体" w:cs="宋体"/>
          <w:spacing w:val="11"/>
          <w:sz w:val="22"/>
          <w:szCs w:val="22"/>
        </w:rPr>
      </w:pPr>
    </w:p>
    <w:p>
      <w:pPr>
        <w:adjustRightInd w:val="0"/>
        <w:snapToGrid w:val="0"/>
        <w:spacing w:line="400" w:lineRule="exact"/>
        <w:rPr>
          <w:rFonts w:ascii="宋体" w:hAnsi="宋体" w:cs="宋体"/>
          <w:spacing w:val="11"/>
          <w:sz w:val="22"/>
          <w:szCs w:val="22"/>
        </w:rPr>
      </w:pPr>
      <w:r>
        <w:rPr>
          <w:rFonts w:hint="eastAsia" w:ascii="宋体" w:hAnsi="宋体" w:cs="宋体"/>
          <w:spacing w:val="11"/>
          <w:sz w:val="22"/>
          <w:szCs w:val="22"/>
        </w:rPr>
        <w:br w:type="page"/>
      </w:r>
    </w:p>
    <w:p>
      <w:pPr>
        <w:keepNext/>
        <w:keepLines/>
        <w:snapToGrid w:val="0"/>
        <w:jc w:val="center"/>
        <w:rPr>
          <w:rFonts w:ascii="宋体" w:hAnsi="宋体" w:cs="宋体"/>
          <w:b/>
          <w:bCs/>
          <w:sz w:val="22"/>
          <w:szCs w:val="22"/>
        </w:rPr>
      </w:pPr>
      <w:r>
        <w:rPr>
          <w:rFonts w:hint="eastAsia" w:ascii="宋体" w:hAnsi="宋体" w:cs="宋体"/>
          <w:b/>
          <w:bCs/>
          <w:sz w:val="22"/>
          <w:szCs w:val="22"/>
        </w:rPr>
        <w:t>1.2.法定代表人身份证明</w:t>
      </w:r>
    </w:p>
    <w:p>
      <w:pPr>
        <w:keepNext/>
        <w:keepLines/>
        <w:adjustRightInd w:val="0"/>
        <w:textAlignment w:val="baseline"/>
        <w:rPr>
          <w:rFonts w:ascii="宋体" w:hAnsi="宋体" w:cs="宋体"/>
        </w:rPr>
      </w:pPr>
    </w:p>
    <w:p>
      <w:pPr>
        <w:spacing w:line="360" w:lineRule="auto"/>
        <w:rPr>
          <w:rFonts w:ascii="宋体" w:hAnsi="宋体" w:cs="宋体"/>
          <w:sz w:val="22"/>
          <w:szCs w:val="22"/>
        </w:rPr>
      </w:pPr>
      <w:r>
        <w:rPr>
          <w:rFonts w:hint="eastAsia" w:ascii="宋体" w:hAnsi="宋体" w:cs="宋体"/>
          <w:sz w:val="22"/>
          <w:szCs w:val="22"/>
        </w:rPr>
        <w:t>供 应 商：</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单位性质：</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地    址：</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成立时间：</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spacing w:line="360" w:lineRule="auto"/>
        <w:rPr>
          <w:rFonts w:ascii="宋体" w:hAnsi="宋体" w:cs="宋体"/>
          <w:sz w:val="22"/>
          <w:szCs w:val="22"/>
        </w:rPr>
      </w:pPr>
      <w:r>
        <w:rPr>
          <w:rFonts w:hint="eastAsia" w:ascii="宋体" w:hAnsi="宋体" w:cs="宋体"/>
          <w:sz w:val="22"/>
          <w:szCs w:val="22"/>
        </w:rPr>
        <w:t>经营期限：</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姓    名：</w:t>
      </w:r>
      <w:r>
        <w:rPr>
          <w:rFonts w:hint="eastAsia" w:ascii="宋体" w:hAnsi="宋体" w:cs="宋体"/>
          <w:sz w:val="22"/>
          <w:szCs w:val="22"/>
          <w:u w:val="single"/>
        </w:rPr>
        <w:t xml:space="preserve">                          </w:t>
      </w:r>
      <w:r>
        <w:rPr>
          <w:rFonts w:hint="eastAsia" w:ascii="宋体" w:hAnsi="宋体" w:cs="宋体"/>
          <w:sz w:val="22"/>
          <w:szCs w:val="22"/>
        </w:rPr>
        <w:t>性        别：</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年    龄：</w:t>
      </w:r>
      <w:r>
        <w:rPr>
          <w:rFonts w:hint="eastAsia" w:ascii="宋体" w:hAnsi="宋体" w:cs="宋体"/>
          <w:sz w:val="22"/>
          <w:szCs w:val="22"/>
          <w:u w:val="single"/>
        </w:rPr>
        <w:t xml:space="preserve">                          </w:t>
      </w:r>
      <w:r>
        <w:rPr>
          <w:rFonts w:hint="eastAsia" w:ascii="宋体" w:hAnsi="宋体" w:cs="宋体"/>
          <w:sz w:val="22"/>
          <w:szCs w:val="22"/>
        </w:rPr>
        <w:t>职        务：</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系</w:t>
      </w:r>
      <w:r>
        <w:rPr>
          <w:rFonts w:hint="eastAsia" w:ascii="宋体" w:hAnsi="宋体" w:cs="宋体"/>
          <w:sz w:val="22"/>
          <w:szCs w:val="22"/>
          <w:u w:val="single"/>
        </w:rPr>
        <w:t xml:space="preserve">                                                 </w:t>
      </w:r>
      <w:r>
        <w:rPr>
          <w:rFonts w:hint="eastAsia" w:ascii="宋体" w:hAnsi="宋体" w:cs="宋体"/>
          <w:sz w:val="22"/>
          <w:szCs w:val="22"/>
        </w:rPr>
        <w:t>（供应商名称）的法定代表人。</w:t>
      </w:r>
    </w:p>
    <w:p>
      <w:pPr>
        <w:spacing w:line="360" w:lineRule="auto"/>
        <w:rPr>
          <w:rFonts w:ascii="宋体" w:hAnsi="宋体" w:cs="宋体"/>
          <w:sz w:val="22"/>
          <w:szCs w:val="22"/>
        </w:rPr>
      </w:pPr>
      <w:r>
        <w:rPr>
          <w:rFonts w:hint="eastAsia" w:ascii="宋体" w:hAnsi="宋体" w:cs="宋体"/>
          <w:sz w:val="22"/>
          <w:szCs w:val="22"/>
        </w:rPr>
        <w:t>特此证明。</w:t>
      </w:r>
    </w:p>
    <w:p>
      <w:pPr>
        <w:spacing w:line="360" w:lineRule="auto"/>
        <w:jc w:val="right"/>
        <w:rPr>
          <w:rFonts w:ascii="宋体" w:hAnsi="宋体" w:cs="宋体"/>
          <w:sz w:val="22"/>
          <w:szCs w:val="22"/>
        </w:rPr>
      </w:pPr>
    </w:p>
    <w:p>
      <w:pPr>
        <w:spacing w:line="360" w:lineRule="auto"/>
        <w:ind w:firstLine="3850" w:firstLineChars="1750"/>
        <w:rPr>
          <w:rFonts w:ascii="宋体" w:hAnsi="宋体" w:cs="宋体"/>
          <w:spacing w:val="20"/>
          <w:sz w:val="22"/>
          <w:szCs w:val="22"/>
          <w:u w:val="single"/>
        </w:rPr>
      </w:pPr>
      <w:r>
        <w:rPr>
          <w:rFonts w:hint="eastAsia" w:ascii="宋体" w:hAnsi="宋体" w:cs="宋体"/>
          <w:sz w:val="22"/>
          <w:szCs w:val="22"/>
        </w:rPr>
        <w:t>法定代表人</w:t>
      </w:r>
      <w:r>
        <w:rPr>
          <w:rFonts w:hint="eastAsia" w:ascii="宋体" w:hAnsi="宋体" w:cs="宋体"/>
          <w:spacing w:val="20"/>
          <w:sz w:val="22"/>
          <w:szCs w:val="22"/>
        </w:rPr>
        <w:t>签字或盖章:</w:t>
      </w:r>
      <w:r>
        <w:rPr>
          <w:rFonts w:hint="eastAsia" w:ascii="宋体" w:hAnsi="宋体" w:cs="宋体"/>
          <w:spacing w:val="20"/>
          <w:sz w:val="22"/>
          <w:szCs w:val="22"/>
          <w:u w:val="single"/>
        </w:rPr>
        <w:t xml:space="preserve">            </w:t>
      </w:r>
    </w:p>
    <w:p>
      <w:pPr>
        <w:spacing w:line="360" w:lineRule="auto"/>
        <w:ind w:firstLine="520" w:firstLineChars="200"/>
        <w:rPr>
          <w:rFonts w:ascii="宋体" w:hAnsi="宋体" w:cs="宋体"/>
          <w:spacing w:val="20"/>
          <w:sz w:val="22"/>
          <w:szCs w:val="22"/>
          <w:u w:val="single"/>
        </w:rPr>
      </w:pPr>
      <w:r>
        <w:rPr>
          <w:rFonts w:hint="eastAsia" w:ascii="宋体" w:hAnsi="宋体" w:cs="宋体"/>
          <w:spacing w:val="20"/>
          <w:sz w:val="22"/>
          <w:szCs w:val="22"/>
        </w:rPr>
        <w:t xml:space="preserve">                             供应商盖章:</w:t>
      </w:r>
      <w:r>
        <w:rPr>
          <w:rFonts w:hint="eastAsia" w:ascii="宋体" w:hAnsi="宋体" w:cs="宋体"/>
          <w:spacing w:val="20"/>
          <w:sz w:val="22"/>
          <w:szCs w:val="22"/>
          <w:u w:val="single"/>
        </w:rPr>
        <w:t xml:space="preserve">            </w:t>
      </w:r>
    </w:p>
    <w:p>
      <w:pPr>
        <w:spacing w:line="360" w:lineRule="auto"/>
        <w:jc w:val="center"/>
        <w:rPr>
          <w:rFonts w:ascii="宋体" w:hAnsi="宋体" w:cs="宋体"/>
          <w:spacing w:val="11"/>
          <w:sz w:val="22"/>
          <w:szCs w:val="22"/>
        </w:rPr>
      </w:pPr>
      <w:r>
        <w:rPr>
          <w:rFonts w:hint="eastAsia" w:ascii="宋体" w:hAnsi="宋体" w:cs="宋体"/>
          <w:spacing w:val="20"/>
          <w:sz w:val="22"/>
          <w:szCs w:val="22"/>
        </w:rPr>
        <w:t xml:space="preserve">              日     期:</w:t>
      </w:r>
      <w:r>
        <w:rPr>
          <w:rFonts w:hint="eastAsia" w:ascii="宋体" w:hAnsi="宋体" w:cs="宋体"/>
          <w:spacing w:val="20"/>
          <w:sz w:val="22"/>
          <w:szCs w:val="22"/>
          <w:u w:val="single"/>
        </w:rPr>
        <w:t xml:space="preserve">            </w:t>
      </w:r>
      <w:r>
        <w:rPr>
          <w:rFonts w:hint="eastAsia" w:ascii="宋体" w:hAnsi="宋体" w:cs="宋体"/>
          <w:spacing w:val="11"/>
          <w:sz w:val="22"/>
          <w:szCs w:val="22"/>
        </w:rPr>
        <w:t xml:space="preserve">  </w:t>
      </w:r>
    </w:p>
    <w:p>
      <w:pPr>
        <w:ind w:left="2" w:leftChars="1" w:firstLine="420"/>
        <w:jc w:val="center"/>
        <w:rPr>
          <w:rFonts w:ascii="宋体" w:hAnsi="宋体" w:cs="宋体"/>
          <w:bCs/>
          <w:spacing w:val="11"/>
          <w:sz w:val="22"/>
          <w:szCs w:val="22"/>
        </w:rPr>
      </w:pPr>
    </w:p>
    <w:p>
      <w:pPr>
        <w:ind w:left="2" w:leftChars="1" w:firstLine="420"/>
        <w:jc w:val="center"/>
        <w:rPr>
          <w:rFonts w:ascii="宋体" w:hAnsi="宋体" w:cs="宋体"/>
          <w:spacing w:val="11"/>
          <w:sz w:val="22"/>
          <w:szCs w:val="22"/>
        </w:rPr>
      </w:pPr>
      <w:bookmarkStart w:id="457" w:name="_Toc29091_WPSOffice_Level1"/>
      <w:bookmarkStart w:id="458" w:name="_Toc342_WPSOffice_Level1"/>
      <w:bookmarkStart w:id="459" w:name="_Toc682_WPSOffice_Level1"/>
      <w:bookmarkStart w:id="460" w:name="_Toc25840_WPSOffice_Level1"/>
      <w:r>
        <w:rPr>
          <w:rFonts w:hint="eastAsia" w:ascii="宋体" w:hAnsi="宋体" w:cs="宋体"/>
          <w:spacing w:val="11"/>
          <w:sz w:val="22"/>
          <w:szCs w:val="22"/>
        </w:rPr>
        <w:t>法定代表人身份证复印件粘贴处</w:t>
      </w:r>
      <w:bookmarkEnd w:id="457"/>
      <w:bookmarkEnd w:id="458"/>
      <w:bookmarkEnd w:id="459"/>
      <w:bookmarkEnd w:id="460"/>
    </w:p>
    <w:p>
      <w:pPr>
        <w:ind w:firstLine="420"/>
        <w:rPr>
          <w:rFonts w:ascii="宋体" w:hAnsi="宋体" w:cs="宋体"/>
          <w:spacing w:val="11"/>
          <w:sz w:val="22"/>
          <w:szCs w:val="22"/>
        </w:rPr>
      </w:pPr>
      <w:r>
        <w:rPr>
          <w:rFonts w:ascii="宋体" w:hAnsi="宋体" w:cs="宋体"/>
          <w:spacing w:val="11"/>
          <w:sz w:val="22"/>
          <w:szCs w:val="22"/>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1" name="Rectangle 5"/>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rect id="Rectangle 5" o:spid="_x0000_s1026" o:spt="1" style="position:absolute;left:0pt;margin-left:48.6pt;margin-top:6pt;height:124.8pt;width:369pt;z-index:251659264;mso-width-relative:page;mso-height-relative:page;" fillcolor="#FFFFFF" filled="t" stroked="t"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x/dpdcAAAAJAQAADwAAAAAAAAABACAAAAAiAAAAZHJzL2Rv&#10;d25yZXYueG1sUEsBAhQAFAAAAAgAh07iQMbA2nECAgAAPgQAAA4AAAAAAAAAAQAgAAAAJgEAAGRy&#10;cy9lMm9Eb2MueG1sUEsFBgAAAAAGAAYAWQEAAJoFAAAAAA==&#10;">
                <v:fill on="t" focussize="0,0"/>
                <v:stroke color="#000000" joinstyle="miter"/>
                <v:imagedata o:title=""/>
                <o:lock v:ext="edit" aspectratio="f"/>
              </v:rect>
            </w:pict>
          </mc:Fallback>
        </mc:AlternateContent>
      </w: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rPr>
          <w:rFonts w:ascii="宋体" w:hAnsi="宋体" w:cs="宋体"/>
          <w:spacing w:val="11"/>
          <w:sz w:val="22"/>
          <w:szCs w:val="22"/>
        </w:rPr>
      </w:pPr>
    </w:p>
    <w:p>
      <w:pPr>
        <w:spacing w:line="360" w:lineRule="auto"/>
        <w:rPr>
          <w:rFonts w:ascii="宋体" w:hAnsi="宋体" w:cs="宋体"/>
          <w:spacing w:val="11"/>
          <w:sz w:val="22"/>
          <w:szCs w:val="22"/>
        </w:rPr>
      </w:pPr>
    </w:p>
    <w:p>
      <w:pPr>
        <w:spacing w:line="360" w:lineRule="auto"/>
        <w:rPr>
          <w:rFonts w:ascii="宋体" w:hAnsi="宋体" w:cs="宋体"/>
          <w:spacing w:val="11"/>
          <w:sz w:val="22"/>
          <w:szCs w:val="22"/>
        </w:rPr>
      </w:pPr>
    </w:p>
    <w:p>
      <w:pPr>
        <w:spacing w:line="360" w:lineRule="auto"/>
        <w:rPr>
          <w:rFonts w:ascii="宋体" w:hAnsi="宋体" w:cs="宋体"/>
          <w:spacing w:val="11"/>
          <w:sz w:val="22"/>
          <w:szCs w:val="22"/>
        </w:rPr>
      </w:pPr>
    </w:p>
    <w:p>
      <w:pPr>
        <w:spacing w:line="360" w:lineRule="auto"/>
        <w:rPr>
          <w:rFonts w:ascii="宋体" w:hAnsi="宋体" w:cs="宋体"/>
          <w:spacing w:val="11"/>
          <w:sz w:val="22"/>
          <w:szCs w:val="22"/>
        </w:rPr>
      </w:pPr>
    </w:p>
    <w:p>
      <w:pPr>
        <w:spacing w:line="360" w:lineRule="auto"/>
        <w:rPr>
          <w:rFonts w:ascii="宋体" w:hAnsi="宋体" w:cs="宋体"/>
          <w:spacing w:val="11"/>
          <w:sz w:val="22"/>
          <w:szCs w:val="22"/>
        </w:rPr>
      </w:pPr>
    </w:p>
    <w:p>
      <w:pPr>
        <w:spacing w:line="360" w:lineRule="auto"/>
        <w:rPr>
          <w:rFonts w:ascii="宋体" w:hAnsi="宋体" w:cs="宋体"/>
          <w:spacing w:val="11"/>
          <w:sz w:val="22"/>
          <w:szCs w:val="22"/>
        </w:rPr>
      </w:pPr>
    </w:p>
    <w:p>
      <w:pPr>
        <w:spacing w:line="360" w:lineRule="auto"/>
        <w:rPr>
          <w:rFonts w:ascii="宋体" w:hAnsi="宋体" w:cs="宋体"/>
          <w:spacing w:val="11"/>
          <w:sz w:val="22"/>
          <w:szCs w:val="22"/>
        </w:rPr>
      </w:pPr>
    </w:p>
    <w:p>
      <w:pPr>
        <w:keepNext/>
        <w:keepLines/>
        <w:snapToGrid w:val="0"/>
        <w:jc w:val="center"/>
        <w:rPr>
          <w:rFonts w:hint="eastAsia" w:ascii="宋体" w:hAnsi="宋体" w:cs="宋体"/>
          <w:b/>
          <w:bCs/>
          <w:sz w:val="22"/>
          <w:szCs w:val="22"/>
        </w:rPr>
      </w:pPr>
      <w:r>
        <w:rPr>
          <w:rFonts w:hint="eastAsia" w:ascii="宋体" w:hAnsi="宋体" w:cs="宋体"/>
          <w:spacing w:val="11"/>
          <w:sz w:val="22"/>
          <w:szCs w:val="22"/>
        </w:rPr>
        <w:br w:type="page"/>
      </w:r>
      <w:r>
        <w:rPr>
          <w:rFonts w:hint="eastAsia" w:ascii="宋体" w:hAnsi="宋体" w:cs="宋体"/>
          <w:b/>
          <w:bCs/>
          <w:sz w:val="22"/>
          <w:szCs w:val="22"/>
        </w:rPr>
        <w:t>1.3.授权委托书</w:t>
      </w:r>
    </w:p>
    <w:p>
      <w:pPr>
        <w:pStyle w:val="2"/>
      </w:pPr>
    </w:p>
    <w:p>
      <w:pPr>
        <w:spacing w:line="400" w:lineRule="exact"/>
        <w:ind w:firstLine="484" w:firstLineChars="200"/>
        <w:rPr>
          <w:rFonts w:ascii="宋体" w:hAnsi="宋体" w:cs="宋体"/>
          <w:spacing w:val="11"/>
          <w:sz w:val="22"/>
          <w:szCs w:val="22"/>
        </w:rPr>
      </w:pPr>
      <w:r>
        <w:rPr>
          <w:rFonts w:hint="eastAsia" w:ascii="宋体" w:hAnsi="宋体" w:cs="宋体"/>
          <w:spacing w:val="11"/>
          <w:sz w:val="22"/>
          <w:szCs w:val="22"/>
        </w:rPr>
        <w:t>本人</w:t>
      </w:r>
      <w:r>
        <w:rPr>
          <w:rFonts w:hint="eastAsia" w:ascii="宋体" w:hAnsi="宋体" w:cs="宋体"/>
          <w:spacing w:val="11"/>
          <w:sz w:val="22"/>
          <w:szCs w:val="22"/>
          <w:u w:val="single"/>
        </w:rPr>
        <w:t xml:space="preserve">      </w:t>
      </w:r>
      <w:r>
        <w:rPr>
          <w:rFonts w:hint="eastAsia" w:ascii="宋体" w:hAnsi="宋体" w:cs="宋体"/>
          <w:spacing w:val="11"/>
          <w:sz w:val="22"/>
          <w:szCs w:val="22"/>
        </w:rPr>
        <w:t>（姓名）系</w:t>
      </w:r>
      <w:r>
        <w:rPr>
          <w:rFonts w:hint="eastAsia" w:ascii="宋体" w:hAnsi="宋体" w:cs="宋体"/>
          <w:spacing w:val="11"/>
          <w:sz w:val="22"/>
          <w:szCs w:val="22"/>
          <w:u w:val="single"/>
        </w:rPr>
        <w:t xml:space="preserve">      </w:t>
      </w:r>
      <w:r>
        <w:rPr>
          <w:rFonts w:hint="eastAsia" w:ascii="宋体" w:hAnsi="宋体" w:cs="宋体"/>
          <w:spacing w:val="11"/>
          <w:sz w:val="22"/>
          <w:szCs w:val="22"/>
        </w:rPr>
        <w:t>（供应商名称）的法定代表人，现委托</w:t>
      </w:r>
      <w:r>
        <w:rPr>
          <w:rFonts w:hint="eastAsia" w:ascii="宋体" w:hAnsi="宋体" w:cs="宋体"/>
          <w:spacing w:val="11"/>
          <w:sz w:val="22"/>
          <w:szCs w:val="22"/>
          <w:u w:val="single"/>
        </w:rPr>
        <w:t xml:space="preserve">      （姓名）</w:t>
      </w:r>
      <w:r>
        <w:rPr>
          <w:rFonts w:hint="eastAsia" w:ascii="宋体" w:hAnsi="宋体" w:cs="宋体"/>
          <w:spacing w:val="11"/>
          <w:sz w:val="22"/>
          <w:szCs w:val="22"/>
        </w:rPr>
        <w:t>为我方代理人。代理人根据授权，以我方名义签署、澄清、说明、补正、递交、撤回、修改</w:t>
      </w:r>
      <w:r>
        <w:rPr>
          <w:rFonts w:hint="eastAsia" w:ascii="宋体" w:hAnsi="宋体" w:cs="宋体"/>
          <w:spacing w:val="11"/>
          <w:sz w:val="22"/>
          <w:szCs w:val="22"/>
          <w:u w:val="single"/>
        </w:rPr>
        <w:t xml:space="preserve">       </w:t>
      </w:r>
      <w:r>
        <w:rPr>
          <w:rFonts w:hint="eastAsia" w:ascii="宋体" w:hAnsi="宋体" w:cs="宋体"/>
          <w:spacing w:val="11"/>
          <w:sz w:val="22"/>
          <w:szCs w:val="22"/>
        </w:rPr>
        <w:t>（项目名称）磋商响应文件、签订合同和处理有关事宜，其法律后果由我方承担。</w:t>
      </w:r>
    </w:p>
    <w:p>
      <w:pPr>
        <w:spacing w:before="120" w:beforeLines="50" w:line="400" w:lineRule="exact"/>
        <w:ind w:firstLine="484" w:firstLineChars="200"/>
        <w:rPr>
          <w:rFonts w:ascii="宋体" w:hAnsi="宋体" w:cs="宋体"/>
          <w:spacing w:val="11"/>
          <w:sz w:val="22"/>
          <w:szCs w:val="22"/>
        </w:rPr>
      </w:pPr>
      <w:r>
        <w:rPr>
          <w:rFonts w:hint="eastAsia" w:ascii="宋体" w:hAnsi="宋体" w:cs="宋体"/>
          <w:spacing w:val="11"/>
          <w:sz w:val="22"/>
          <w:szCs w:val="22"/>
        </w:rPr>
        <w:t>委托期限：</w:t>
      </w:r>
      <w:r>
        <w:rPr>
          <w:rFonts w:hint="eastAsia" w:ascii="宋体" w:hAnsi="宋体" w:cs="宋体"/>
          <w:spacing w:val="11"/>
          <w:sz w:val="22"/>
          <w:szCs w:val="22"/>
          <w:u w:val="single"/>
        </w:rPr>
        <w:t xml:space="preserve">                    </w:t>
      </w:r>
      <w:r>
        <w:rPr>
          <w:rFonts w:hint="eastAsia" w:ascii="宋体" w:hAnsi="宋体" w:cs="宋体"/>
          <w:spacing w:val="11"/>
          <w:sz w:val="22"/>
          <w:szCs w:val="22"/>
        </w:rPr>
        <w:t>。</w:t>
      </w:r>
    </w:p>
    <w:p>
      <w:pPr>
        <w:spacing w:before="240" w:beforeLines="100" w:after="240" w:afterLines="100" w:line="400" w:lineRule="exact"/>
        <w:ind w:firstLine="484" w:firstLineChars="200"/>
        <w:rPr>
          <w:rFonts w:ascii="宋体" w:hAnsi="宋体" w:cs="宋体"/>
          <w:spacing w:val="11"/>
          <w:sz w:val="22"/>
          <w:szCs w:val="22"/>
        </w:rPr>
      </w:pPr>
      <w:r>
        <w:rPr>
          <w:rFonts w:hint="eastAsia" w:ascii="宋体" w:hAnsi="宋体" w:cs="宋体"/>
          <w:spacing w:val="11"/>
          <w:sz w:val="22"/>
          <w:szCs w:val="22"/>
        </w:rPr>
        <w:t>代理人无转委托权。</w:t>
      </w:r>
    </w:p>
    <w:p>
      <w:pPr>
        <w:ind w:left="2" w:leftChars="1" w:firstLine="420"/>
        <w:jc w:val="center"/>
        <w:rPr>
          <w:rFonts w:ascii="宋体" w:hAnsi="宋体" w:cs="宋体"/>
          <w:spacing w:val="11"/>
          <w:sz w:val="22"/>
          <w:szCs w:val="22"/>
        </w:rPr>
      </w:pPr>
      <w:bookmarkStart w:id="461" w:name="_Toc10368_WPSOffice_Level1"/>
      <w:bookmarkStart w:id="462" w:name="_Toc2526_WPSOffice_Level1"/>
      <w:bookmarkStart w:id="463" w:name="_Toc31353_WPSOffice_Level1"/>
      <w:bookmarkStart w:id="464" w:name="_Toc3409_WPSOffice_Level1"/>
      <w:r>
        <w:rPr>
          <w:rFonts w:hint="eastAsia" w:ascii="宋体" w:hAnsi="宋体" w:cs="宋体"/>
          <w:spacing w:val="11"/>
          <w:sz w:val="22"/>
          <w:szCs w:val="22"/>
        </w:rPr>
        <w:t>法定代表人身份证复印件粘贴处</w:t>
      </w:r>
      <w:bookmarkEnd w:id="461"/>
      <w:bookmarkEnd w:id="462"/>
      <w:bookmarkEnd w:id="463"/>
      <w:bookmarkEnd w:id="464"/>
    </w:p>
    <w:p>
      <w:pPr>
        <w:ind w:firstLine="420"/>
        <w:rPr>
          <w:rFonts w:ascii="宋体" w:hAnsi="宋体" w:cs="宋体"/>
          <w:spacing w:val="11"/>
          <w:sz w:val="22"/>
          <w:szCs w:val="22"/>
        </w:rPr>
      </w:pPr>
      <w:r>
        <w:rPr>
          <w:rFonts w:ascii="宋体" w:hAnsi="宋体" w:cs="宋体"/>
          <w:spacing w:val="11"/>
          <w:sz w:val="22"/>
          <w:szCs w:val="22"/>
        </w:rPr>
        <mc:AlternateContent>
          <mc:Choice Requires="wps">
            <w:drawing>
              <wp:anchor distT="0" distB="0" distL="114300" distR="114300" simplePos="0" relativeHeight="251660288" behindDoc="0" locked="0" layoutInCell="1" allowOverlap="1">
                <wp:simplePos x="0" y="0"/>
                <wp:positionH relativeFrom="column">
                  <wp:posOffset>695325</wp:posOffset>
                </wp:positionH>
                <wp:positionV relativeFrom="paragraph">
                  <wp:posOffset>158115</wp:posOffset>
                </wp:positionV>
                <wp:extent cx="4800600" cy="1252220"/>
                <wp:effectExtent l="4445" t="4445" r="14605" b="19685"/>
                <wp:wrapNone/>
                <wp:docPr id="2" name="Rectangle 6"/>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rect id="Rectangle 6" o:spid="_x0000_s1026" o:spt="1" style="position:absolute;left:0pt;margin-left:54.75pt;margin-top:12.45pt;height:98.6pt;width:378pt;z-index:251660288;mso-width-relative:page;mso-height-relative:page;" fillcolor="#FFFFFF" filled="t" stroked="t" coordsize="21600,21600" o:gfxdata="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AkJK1wAAAAoBAAAPAAAAAAAAAAEAIAAAACIAAABkcnMvZG93&#10;bnJldi54bWxQSwECFAAUAAAACACHTuJAxE21lAECAAA+BAAADgAAAAAAAAABACAAAAAmAQAAZHJz&#10;L2Uyb0RvYy54bWxQSwUGAAAAAAYABgBZAQAAmQUAAAAA&#10;">
                <v:fill on="t" focussize="0,0"/>
                <v:stroke color="#000000" joinstyle="miter"/>
                <v:imagedata o:title=""/>
                <o:lock v:ext="edit" aspectratio="f"/>
              </v:rect>
            </w:pict>
          </mc:Fallback>
        </mc:AlternateContent>
      </w: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jc w:val="center"/>
        <w:rPr>
          <w:rFonts w:ascii="宋体" w:hAnsi="宋体" w:cs="宋体"/>
          <w:spacing w:val="11"/>
          <w:sz w:val="22"/>
          <w:szCs w:val="22"/>
        </w:rPr>
      </w:pPr>
    </w:p>
    <w:p>
      <w:pPr>
        <w:ind w:firstLine="420"/>
        <w:jc w:val="center"/>
        <w:rPr>
          <w:rFonts w:ascii="宋体" w:hAnsi="宋体" w:cs="宋体"/>
          <w:spacing w:val="11"/>
          <w:sz w:val="22"/>
          <w:szCs w:val="22"/>
        </w:rPr>
      </w:pPr>
      <w:bookmarkStart w:id="465" w:name="_Toc26573_WPSOffice_Level1"/>
      <w:bookmarkStart w:id="466" w:name="_Toc8305_WPSOffice_Level1"/>
      <w:bookmarkStart w:id="467" w:name="_Toc25041_WPSOffice_Level1"/>
      <w:bookmarkStart w:id="468" w:name="_Toc12505_WPSOffice_Level1"/>
      <w:r>
        <w:rPr>
          <w:rFonts w:hint="eastAsia" w:ascii="宋体" w:hAnsi="宋体" w:cs="宋体"/>
          <w:spacing w:val="11"/>
          <w:sz w:val="22"/>
          <w:szCs w:val="22"/>
        </w:rPr>
        <w:t>授权委托人身份证复印件粘贴处</w:t>
      </w:r>
      <w:bookmarkEnd w:id="465"/>
      <w:bookmarkEnd w:id="466"/>
      <w:bookmarkEnd w:id="467"/>
      <w:bookmarkEnd w:id="468"/>
    </w:p>
    <w:p>
      <w:pPr>
        <w:ind w:firstLine="420"/>
        <w:rPr>
          <w:rFonts w:ascii="宋体" w:hAnsi="宋体" w:cs="宋体"/>
          <w:spacing w:val="11"/>
          <w:sz w:val="22"/>
          <w:szCs w:val="22"/>
        </w:rPr>
      </w:pPr>
    </w:p>
    <w:p>
      <w:pPr>
        <w:ind w:firstLine="420"/>
        <w:rPr>
          <w:rFonts w:ascii="宋体" w:hAnsi="宋体" w:cs="宋体"/>
          <w:spacing w:val="11"/>
          <w:sz w:val="22"/>
          <w:szCs w:val="22"/>
        </w:rPr>
      </w:pPr>
    </w:p>
    <w:p>
      <w:pPr>
        <w:ind w:left="2" w:leftChars="1" w:firstLine="420"/>
        <w:jc w:val="center"/>
        <w:rPr>
          <w:rFonts w:ascii="宋体" w:hAnsi="宋体" w:cs="宋体"/>
          <w:spacing w:val="11"/>
          <w:sz w:val="22"/>
          <w:szCs w:val="22"/>
        </w:rPr>
      </w:pPr>
      <w:bookmarkStart w:id="469" w:name="_Toc11725_WPSOffice_Level1"/>
      <w:bookmarkStart w:id="470" w:name="_Toc24530_WPSOffice_Level1"/>
      <w:bookmarkStart w:id="471" w:name="_Toc13689_WPSOffice_Level1"/>
      <w:bookmarkStart w:id="472" w:name="_Toc13396_WPSOffice_Level1"/>
      <w:r>
        <w:rPr>
          <w:rFonts w:hint="eastAsia" w:ascii="宋体" w:hAnsi="宋体" w:cs="宋体"/>
          <w:spacing w:val="11"/>
          <w:sz w:val="22"/>
          <w:szCs w:val="22"/>
        </w:rPr>
        <w:t>授权委托人身份证复印件粘贴处</w:t>
      </w:r>
      <w:bookmarkEnd w:id="469"/>
      <w:bookmarkEnd w:id="470"/>
      <w:bookmarkEnd w:id="471"/>
      <w:bookmarkEnd w:id="472"/>
    </w:p>
    <w:p>
      <w:pPr>
        <w:spacing w:line="360" w:lineRule="auto"/>
        <w:rPr>
          <w:rFonts w:ascii="宋体" w:hAnsi="宋体" w:cs="宋体"/>
          <w:spacing w:val="11"/>
          <w:sz w:val="22"/>
          <w:szCs w:val="22"/>
        </w:rPr>
      </w:pPr>
      <w:r>
        <w:rPr>
          <w:rFonts w:ascii="宋体" w:hAnsi="宋体" w:cs="宋体"/>
          <w:spacing w:val="11"/>
          <w:sz w:val="22"/>
          <w:szCs w:val="22"/>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3" name="Rectangle 7"/>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rect id="Rectangle 7" o:spid="_x0000_s1026" o:spt="1" style="position:absolute;left:0pt;margin-left:60.75pt;margin-top:8.4pt;height:124.8pt;width:369pt;z-index:251661312;mso-width-relative:page;mso-height-relative:page;" fillcolor="#FFFFFF" filled="t" stroked="t"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SmJzXAAAACgEAAA8AAAAAAAAAAQAgAAAAIgAAAGRycy9k&#10;b3ducmV2LnhtbFBLAQIUABQAAAAIAIdO4kDbDNpUAwIAAD4EAAAOAAAAAAAAAAEAIAAAACYBAABk&#10;cnMvZTJvRG9jLnhtbFBLBQYAAAAABgAGAFkBAACbBQAAAAA=&#10;">
                <v:fill on="t" focussize="0,0"/>
                <v:stroke color="#000000" joinstyle="miter"/>
                <v:imagedata o:title=""/>
                <o:lock v:ext="edit" aspectratio="f"/>
              </v:rect>
            </w:pict>
          </mc:Fallback>
        </mc:AlternateContent>
      </w:r>
    </w:p>
    <w:p>
      <w:pPr>
        <w:spacing w:line="360" w:lineRule="auto"/>
        <w:ind w:firstLine="4114" w:firstLineChars="1700"/>
        <w:rPr>
          <w:rFonts w:ascii="宋体" w:hAnsi="宋体" w:cs="宋体"/>
          <w:spacing w:val="11"/>
          <w:sz w:val="22"/>
          <w:szCs w:val="22"/>
        </w:rPr>
      </w:pPr>
    </w:p>
    <w:p>
      <w:pPr>
        <w:spacing w:line="360" w:lineRule="auto"/>
        <w:ind w:firstLine="4114" w:firstLineChars="1700"/>
        <w:rPr>
          <w:rFonts w:ascii="宋体" w:hAnsi="宋体" w:cs="宋体"/>
          <w:spacing w:val="11"/>
          <w:sz w:val="22"/>
          <w:szCs w:val="22"/>
        </w:rPr>
      </w:pPr>
    </w:p>
    <w:p>
      <w:pPr>
        <w:spacing w:line="380" w:lineRule="exact"/>
        <w:ind w:firstLine="4114" w:firstLineChars="1700"/>
        <w:rPr>
          <w:rFonts w:ascii="宋体" w:hAnsi="宋体" w:cs="宋体"/>
          <w:spacing w:val="11"/>
          <w:sz w:val="22"/>
          <w:szCs w:val="22"/>
        </w:rPr>
      </w:pPr>
    </w:p>
    <w:p>
      <w:pPr>
        <w:spacing w:line="380" w:lineRule="exact"/>
        <w:ind w:firstLine="4114" w:firstLineChars="1700"/>
        <w:rPr>
          <w:rFonts w:ascii="宋体" w:hAnsi="宋体" w:cs="宋体"/>
          <w:spacing w:val="11"/>
          <w:sz w:val="22"/>
          <w:szCs w:val="22"/>
        </w:rPr>
      </w:pPr>
    </w:p>
    <w:p>
      <w:pPr>
        <w:spacing w:line="380" w:lineRule="exact"/>
        <w:ind w:firstLine="4114" w:firstLineChars="1700"/>
        <w:rPr>
          <w:rFonts w:ascii="宋体" w:hAnsi="宋体" w:cs="宋体"/>
          <w:spacing w:val="11"/>
          <w:sz w:val="22"/>
          <w:szCs w:val="22"/>
        </w:rPr>
      </w:pPr>
    </w:p>
    <w:p>
      <w:pPr>
        <w:spacing w:line="380" w:lineRule="exact"/>
        <w:ind w:firstLine="4114" w:firstLineChars="1700"/>
        <w:rPr>
          <w:rFonts w:ascii="宋体" w:hAnsi="宋体" w:cs="宋体"/>
          <w:spacing w:val="11"/>
          <w:sz w:val="22"/>
          <w:szCs w:val="22"/>
        </w:rPr>
      </w:pPr>
    </w:p>
    <w:p>
      <w:pPr>
        <w:spacing w:line="360" w:lineRule="auto"/>
        <w:ind w:firstLine="1650" w:firstLineChars="750"/>
        <w:rPr>
          <w:rFonts w:ascii="宋体" w:hAnsi="宋体" w:cs="宋体"/>
          <w:spacing w:val="20"/>
          <w:sz w:val="22"/>
          <w:szCs w:val="22"/>
          <w:u w:val="single"/>
        </w:rPr>
      </w:pPr>
      <w:r>
        <w:rPr>
          <w:rFonts w:hint="eastAsia" w:ascii="宋体" w:hAnsi="宋体" w:cs="宋体"/>
          <w:sz w:val="22"/>
          <w:szCs w:val="22"/>
        </w:rPr>
        <w:t>法定代表人</w:t>
      </w:r>
      <w:r>
        <w:rPr>
          <w:rFonts w:hint="eastAsia" w:ascii="宋体" w:hAnsi="宋体" w:cs="宋体"/>
          <w:spacing w:val="20"/>
          <w:sz w:val="22"/>
          <w:szCs w:val="22"/>
        </w:rPr>
        <w:t>（或授权委托人）签字或盖章:</w:t>
      </w:r>
      <w:r>
        <w:rPr>
          <w:rFonts w:hint="eastAsia" w:ascii="宋体" w:hAnsi="宋体" w:cs="宋体"/>
          <w:spacing w:val="20"/>
          <w:sz w:val="22"/>
          <w:szCs w:val="22"/>
          <w:u w:val="single"/>
        </w:rPr>
        <w:t xml:space="preserve">            </w:t>
      </w:r>
    </w:p>
    <w:p>
      <w:pPr>
        <w:spacing w:line="360" w:lineRule="auto"/>
        <w:ind w:firstLine="520" w:firstLineChars="200"/>
        <w:rPr>
          <w:rFonts w:ascii="宋体" w:hAnsi="宋体" w:cs="宋体"/>
          <w:spacing w:val="20"/>
          <w:sz w:val="22"/>
          <w:szCs w:val="22"/>
          <w:u w:val="single"/>
        </w:rPr>
      </w:pPr>
      <w:r>
        <w:rPr>
          <w:rFonts w:hint="eastAsia" w:ascii="宋体" w:hAnsi="宋体" w:cs="宋体"/>
          <w:spacing w:val="20"/>
          <w:sz w:val="22"/>
          <w:szCs w:val="22"/>
        </w:rPr>
        <w:t xml:space="preserve">                             供应商盖章:</w:t>
      </w:r>
      <w:r>
        <w:rPr>
          <w:rFonts w:hint="eastAsia" w:ascii="宋体" w:hAnsi="宋体" w:cs="宋体"/>
          <w:spacing w:val="20"/>
          <w:sz w:val="22"/>
          <w:szCs w:val="22"/>
          <w:u w:val="single"/>
        </w:rPr>
        <w:t xml:space="preserve">            </w:t>
      </w:r>
    </w:p>
    <w:p>
      <w:pPr>
        <w:spacing w:line="380" w:lineRule="exact"/>
        <w:ind w:firstLine="4940" w:firstLineChars="1900"/>
        <w:rPr>
          <w:rFonts w:ascii="宋体" w:hAnsi="宋体" w:cs="宋体"/>
          <w:sz w:val="22"/>
          <w:szCs w:val="22"/>
        </w:rPr>
      </w:pPr>
      <w:r>
        <w:rPr>
          <w:rFonts w:hint="eastAsia" w:ascii="宋体" w:hAnsi="宋体" w:cs="宋体"/>
          <w:spacing w:val="20"/>
          <w:sz w:val="22"/>
          <w:szCs w:val="22"/>
        </w:rPr>
        <w:t>日     期:</w:t>
      </w:r>
      <w:r>
        <w:rPr>
          <w:rFonts w:hint="eastAsia" w:ascii="宋体" w:hAnsi="宋体" w:cs="宋体"/>
          <w:spacing w:val="20"/>
          <w:sz w:val="22"/>
          <w:szCs w:val="22"/>
          <w:u w:val="single"/>
        </w:rPr>
        <w:t xml:space="preserve">            </w:t>
      </w:r>
    </w:p>
    <w:p>
      <w:pPr>
        <w:keepNext/>
        <w:keepLines/>
        <w:snapToGrid w:val="0"/>
        <w:jc w:val="left"/>
        <w:rPr>
          <w:rFonts w:ascii="宋体" w:hAnsi="宋体" w:cs="宋体"/>
          <w:sz w:val="24"/>
        </w:rPr>
      </w:pPr>
      <w:r>
        <w:rPr>
          <w:rFonts w:hint="eastAsia" w:ascii="宋体" w:hAnsi="宋体" w:cs="宋体"/>
          <w:sz w:val="22"/>
          <w:szCs w:val="22"/>
        </w:rPr>
        <w:br w:type="page"/>
      </w:r>
      <w:bookmarkStart w:id="473" w:name="_Toc493956054"/>
      <w:bookmarkStart w:id="474" w:name="_Toc29626"/>
      <w:bookmarkStart w:id="475" w:name="_Toc531359045"/>
      <w:bookmarkStart w:id="476" w:name="_Toc530551879"/>
      <w:r>
        <w:rPr>
          <w:rFonts w:hint="eastAsia" w:ascii="宋体" w:hAnsi="宋体" w:cs="宋体"/>
          <w:b/>
          <w:bCs/>
          <w:sz w:val="22"/>
          <w:szCs w:val="22"/>
        </w:rPr>
        <w:t xml:space="preserve">1.4  </w:t>
      </w:r>
      <w:bookmarkEnd w:id="473"/>
      <w:bookmarkEnd w:id="474"/>
      <w:bookmarkEnd w:id="475"/>
      <w:bookmarkEnd w:id="476"/>
      <w:bookmarkStart w:id="477" w:name="_Toc530551880"/>
      <w:bookmarkStart w:id="478" w:name="_Toc493956055"/>
      <w:r>
        <w:rPr>
          <w:rFonts w:hint="eastAsia" w:ascii="宋体" w:hAnsi="宋体" w:cs="宋体"/>
          <w:b/>
          <w:bCs/>
          <w:sz w:val="22"/>
          <w:szCs w:val="22"/>
        </w:rPr>
        <w:t>具有良好的财务会计制度、依法缴纳税收和社会保障资金的承诺函格式</w:t>
      </w:r>
    </w:p>
    <w:p>
      <w:pPr>
        <w:pStyle w:val="8"/>
        <w:spacing w:line="360" w:lineRule="auto"/>
        <w:ind w:firstLine="0"/>
        <w:rPr>
          <w:rFonts w:ascii="宋体" w:hAnsi="宋体" w:cs="宋体"/>
        </w:rPr>
      </w:pPr>
    </w:p>
    <w:p>
      <w:pPr>
        <w:pStyle w:val="8"/>
        <w:ind w:left="630" w:leftChars="300" w:right="630" w:rightChars="300" w:firstLine="0"/>
        <w:jc w:val="center"/>
        <w:rPr>
          <w:rFonts w:ascii="宋体" w:hAnsi="宋体" w:cs="宋体"/>
          <w:b/>
          <w:sz w:val="28"/>
          <w:szCs w:val="28"/>
        </w:rPr>
      </w:pPr>
      <w:r>
        <w:rPr>
          <w:rFonts w:hint="eastAsia" w:ascii="宋体" w:hAnsi="宋体" w:cs="宋体"/>
          <w:b/>
          <w:sz w:val="28"/>
          <w:szCs w:val="28"/>
        </w:rPr>
        <w:t>具有良好的财务会计制度、依法缴纳税收和社会保障资金的承诺函</w:t>
      </w:r>
    </w:p>
    <w:p>
      <w:pPr>
        <w:pStyle w:val="210"/>
        <w:spacing w:line="360" w:lineRule="auto"/>
        <w:rPr>
          <w:rFonts w:ascii="宋体" w:hAnsi="宋体" w:cs="宋体"/>
          <w:sz w:val="22"/>
          <w:szCs w:val="22"/>
          <w:u w:val="single"/>
        </w:rPr>
      </w:pPr>
    </w:p>
    <w:p>
      <w:pPr>
        <w:pStyle w:val="210"/>
        <w:spacing w:line="360" w:lineRule="auto"/>
        <w:rPr>
          <w:rFonts w:ascii="宋体" w:hAnsi="宋体" w:cs="宋体"/>
          <w:spacing w:val="6"/>
          <w:sz w:val="22"/>
          <w:szCs w:val="22"/>
        </w:rPr>
      </w:pPr>
      <w:r>
        <w:rPr>
          <w:rFonts w:hint="eastAsia" w:ascii="宋体" w:hAnsi="宋体" w:cs="宋体"/>
          <w:sz w:val="22"/>
          <w:szCs w:val="22"/>
          <w:u w:val="single"/>
        </w:rPr>
        <w:t xml:space="preserve">              </w:t>
      </w:r>
      <w:r>
        <w:rPr>
          <w:rFonts w:hint="eastAsia" w:ascii="宋体" w:hAnsi="宋体" w:cs="宋体"/>
          <w:spacing w:val="6"/>
          <w:sz w:val="22"/>
          <w:szCs w:val="22"/>
        </w:rPr>
        <w:t>：</w:t>
      </w:r>
    </w:p>
    <w:p>
      <w:pPr>
        <w:pStyle w:val="8"/>
        <w:spacing w:line="360" w:lineRule="auto"/>
        <w:ind w:firstLine="464" w:firstLineChars="200"/>
        <w:jc w:val="left"/>
        <w:rPr>
          <w:rFonts w:ascii="宋体" w:hAnsi="宋体" w:cs="宋体"/>
          <w:sz w:val="20"/>
          <w:szCs w:val="18"/>
        </w:rPr>
      </w:pPr>
      <w:r>
        <w:rPr>
          <w:rFonts w:hint="eastAsia" w:ascii="宋体" w:hAnsi="宋体" w:cs="宋体"/>
          <w:spacing w:val="6"/>
          <w:sz w:val="22"/>
          <w:szCs w:val="18"/>
        </w:rPr>
        <w:t>我方参与的</w:t>
      </w:r>
      <w:r>
        <w:rPr>
          <w:rFonts w:hint="eastAsia" w:ascii="宋体" w:hAnsi="宋体" w:cs="宋体"/>
          <w:spacing w:val="6"/>
          <w:sz w:val="22"/>
          <w:szCs w:val="18"/>
          <w:u w:val="single"/>
        </w:rPr>
        <w:t xml:space="preserve">     </w:t>
      </w:r>
      <w:r>
        <w:rPr>
          <w:rFonts w:hint="eastAsia" w:ascii="宋体" w:hAnsi="宋体" w:cs="宋体"/>
          <w:iCs/>
          <w:spacing w:val="6"/>
          <w:sz w:val="22"/>
          <w:szCs w:val="18"/>
          <w:u w:val="single"/>
        </w:rPr>
        <w:t>（项目名称）（项目编号）</w:t>
      </w:r>
      <w:r>
        <w:rPr>
          <w:rFonts w:hint="eastAsia" w:ascii="宋体" w:hAnsi="宋体" w:cs="宋体"/>
          <w:spacing w:val="6"/>
          <w:sz w:val="22"/>
          <w:szCs w:val="18"/>
          <w:u w:val="single"/>
        </w:rPr>
        <w:t xml:space="preserve">    </w:t>
      </w:r>
      <w:r>
        <w:rPr>
          <w:rFonts w:hint="eastAsia" w:ascii="宋体" w:hAnsi="宋体" w:cs="宋体"/>
          <w:spacing w:val="6"/>
          <w:sz w:val="22"/>
          <w:szCs w:val="18"/>
        </w:rPr>
        <w:t>的磋商活动，我方郑重承诺，我方具有良好的财务会计制度、依法缴纳税收和社会保障资金，不偷逃税款和逃避缴纳社会保障资金。如有虚假，采购人可取消我方任何资格（投标/成交/签订合同），我方对此无任何异议。</w:t>
      </w:r>
    </w:p>
    <w:p>
      <w:pPr>
        <w:pStyle w:val="210"/>
        <w:spacing w:line="360" w:lineRule="auto"/>
        <w:ind w:firstLine="464" w:firstLineChars="200"/>
        <w:rPr>
          <w:rFonts w:ascii="宋体" w:hAnsi="宋体" w:cs="宋体"/>
          <w:spacing w:val="6"/>
          <w:sz w:val="22"/>
          <w:szCs w:val="22"/>
        </w:rPr>
      </w:pPr>
    </w:p>
    <w:p>
      <w:pPr>
        <w:pStyle w:val="210"/>
        <w:spacing w:line="360" w:lineRule="auto"/>
        <w:ind w:firstLine="464" w:firstLineChars="200"/>
        <w:rPr>
          <w:rFonts w:ascii="宋体" w:hAnsi="宋体" w:cs="宋体"/>
          <w:spacing w:val="6"/>
          <w:sz w:val="22"/>
          <w:szCs w:val="22"/>
        </w:rPr>
      </w:pPr>
      <w:r>
        <w:rPr>
          <w:rFonts w:hint="eastAsia" w:ascii="宋体" w:hAnsi="宋体" w:cs="宋体"/>
          <w:spacing w:val="6"/>
          <w:sz w:val="22"/>
          <w:szCs w:val="22"/>
        </w:rPr>
        <w:t>特此承诺！</w:t>
      </w:r>
    </w:p>
    <w:p>
      <w:pPr>
        <w:pStyle w:val="210"/>
        <w:spacing w:line="360" w:lineRule="auto"/>
        <w:ind w:firstLine="464" w:firstLineChars="200"/>
        <w:rPr>
          <w:rFonts w:ascii="宋体" w:hAnsi="宋体" w:cs="宋体"/>
          <w:spacing w:val="6"/>
          <w:sz w:val="22"/>
          <w:szCs w:val="22"/>
        </w:rPr>
      </w:pPr>
    </w:p>
    <w:p>
      <w:pPr>
        <w:pStyle w:val="189"/>
        <w:wordWrap w:val="0"/>
        <w:spacing w:line="360" w:lineRule="auto"/>
        <w:ind w:firstLine="480"/>
        <w:jc w:val="right"/>
        <w:rPr>
          <w:rFonts w:ascii="宋体" w:hAnsi="宋体" w:cs="宋体"/>
          <w:sz w:val="22"/>
          <w:szCs w:val="20"/>
          <w:u w:val="single"/>
        </w:rPr>
      </w:pPr>
      <w:r>
        <w:rPr>
          <w:rFonts w:hint="eastAsia" w:ascii="宋体" w:hAnsi="宋体" w:cs="宋体"/>
          <w:sz w:val="22"/>
          <w:szCs w:val="20"/>
        </w:rPr>
        <w:t>供应商盖章：</w:t>
      </w:r>
      <w:r>
        <w:rPr>
          <w:rFonts w:hint="eastAsia" w:ascii="宋体" w:hAnsi="宋体" w:cs="宋体"/>
          <w:sz w:val="22"/>
          <w:szCs w:val="20"/>
          <w:u w:val="single"/>
        </w:rPr>
        <w:t xml:space="preserve">                </w:t>
      </w:r>
    </w:p>
    <w:p>
      <w:pPr>
        <w:pStyle w:val="189"/>
        <w:wordWrap w:val="0"/>
        <w:spacing w:line="360" w:lineRule="auto"/>
        <w:ind w:firstLine="480"/>
        <w:jc w:val="right"/>
        <w:rPr>
          <w:rFonts w:ascii="宋体" w:hAnsi="宋体" w:cs="宋体"/>
          <w:sz w:val="22"/>
          <w:szCs w:val="20"/>
          <w:u w:val="single"/>
        </w:rPr>
      </w:pPr>
      <w:r>
        <w:rPr>
          <w:rFonts w:hint="eastAsia" w:ascii="宋体" w:hAnsi="宋体" w:cs="宋体"/>
          <w:sz w:val="22"/>
          <w:szCs w:val="20"/>
        </w:rPr>
        <w:t>日      期：</w:t>
      </w:r>
      <w:r>
        <w:rPr>
          <w:rFonts w:hint="eastAsia" w:ascii="宋体" w:hAnsi="宋体" w:cs="宋体"/>
          <w:sz w:val="22"/>
          <w:szCs w:val="20"/>
          <w:u w:val="single"/>
        </w:rPr>
        <w:t xml:space="preserve">                </w:t>
      </w:r>
    </w:p>
    <w:p>
      <w:pPr>
        <w:pStyle w:val="159"/>
        <w:spacing w:line="360" w:lineRule="auto"/>
        <w:ind w:firstLine="440" w:firstLineChars="200"/>
        <w:rPr>
          <w:rFonts w:ascii="宋体" w:hAnsi="宋体" w:cs="宋体"/>
          <w:sz w:val="22"/>
        </w:rPr>
      </w:pPr>
      <w:r>
        <w:rPr>
          <w:rFonts w:hint="eastAsia" w:ascii="宋体" w:hAnsi="宋体" w:cs="宋体"/>
          <w:sz w:val="22"/>
        </w:rPr>
        <w:br w:type="page"/>
      </w:r>
    </w:p>
    <w:p>
      <w:pPr>
        <w:pStyle w:val="159"/>
        <w:spacing w:line="360" w:lineRule="auto"/>
        <w:ind w:firstLine="440" w:firstLineChars="200"/>
        <w:rPr>
          <w:rFonts w:ascii="宋体" w:hAnsi="宋体" w:cs="宋体"/>
          <w:sz w:val="22"/>
        </w:rPr>
      </w:pPr>
    </w:p>
    <w:p>
      <w:pPr>
        <w:keepNext/>
        <w:keepLines/>
        <w:snapToGrid w:val="0"/>
        <w:jc w:val="left"/>
        <w:rPr>
          <w:rFonts w:ascii="宋体" w:hAnsi="宋体" w:cs="宋体"/>
          <w:b/>
          <w:bCs/>
          <w:sz w:val="22"/>
          <w:szCs w:val="22"/>
        </w:rPr>
      </w:pPr>
      <w:bookmarkStart w:id="479" w:name="_Toc31473"/>
      <w:bookmarkStart w:id="480" w:name="_Toc531359046"/>
      <w:r>
        <w:rPr>
          <w:rFonts w:hint="eastAsia" w:ascii="宋体" w:hAnsi="宋体" w:cs="宋体"/>
          <w:b/>
          <w:bCs/>
          <w:sz w:val="22"/>
          <w:szCs w:val="22"/>
        </w:rPr>
        <w:t xml:space="preserve">1.5  </w:t>
      </w:r>
      <w:bookmarkEnd w:id="477"/>
      <w:bookmarkEnd w:id="478"/>
      <w:bookmarkEnd w:id="479"/>
      <w:bookmarkEnd w:id="480"/>
      <w:r>
        <w:rPr>
          <w:rFonts w:hint="eastAsia" w:ascii="宋体" w:hAnsi="宋体" w:cs="宋体"/>
          <w:b/>
          <w:bCs/>
          <w:sz w:val="22"/>
          <w:szCs w:val="22"/>
        </w:rPr>
        <w:t>具有履行合同所必需的设备和专业技术能力承诺函格式</w:t>
      </w:r>
    </w:p>
    <w:p>
      <w:pPr>
        <w:pStyle w:val="8"/>
        <w:ind w:firstLine="0"/>
        <w:rPr>
          <w:rFonts w:ascii="宋体" w:hAnsi="宋体" w:cs="宋体"/>
          <w:sz w:val="22"/>
          <w:szCs w:val="22"/>
        </w:rPr>
      </w:pPr>
    </w:p>
    <w:p>
      <w:pPr>
        <w:pStyle w:val="8"/>
        <w:spacing w:line="360" w:lineRule="auto"/>
        <w:ind w:firstLine="0"/>
        <w:jc w:val="center"/>
        <w:rPr>
          <w:rFonts w:ascii="宋体" w:hAnsi="宋体" w:cs="宋体"/>
          <w:b/>
          <w:sz w:val="28"/>
          <w:szCs w:val="28"/>
        </w:rPr>
      </w:pPr>
      <w:r>
        <w:rPr>
          <w:rFonts w:hint="eastAsia" w:ascii="宋体" w:hAnsi="宋体" w:cs="宋体"/>
          <w:b/>
          <w:sz w:val="28"/>
          <w:szCs w:val="28"/>
        </w:rPr>
        <w:t>具有履行合同所必需设备和专业技术能力的承诺函</w:t>
      </w:r>
    </w:p>
    <w:p>
      <w:pPr>
        <w:snapToGrid w:val="0"/>
        <w:spacing w:line="360" w:lineRule="auto"/>
        <w:rPr>
          <w:rFonts w:ascii="宋体" w:hAnsi="宋体" w:cs="宋体"/>
          <w:sz w:val="20"/>
          <w:szCs w:val="22"/>
        </w:rPr>
      </w:pPr>
    </w:p>
    <w:p>
      <w:pPr>
        <w:pStyle w:val="210"/>
        <w:spacing w:line="360" w:lineRule="auto"/>
        <w:rPr>
          <w:rFonts w:ascii="宋体" w:hAnsi="宋体" w:cs="宋体"/>
          <w:spacing w:val="6"/>
          <w:sz w:val="22"/>
          <w:szCs w:val="22"/>
        </w:rPr>
      </w:pPr>
      <w:r>
        <w:rPr>
          <w:rFonts w:hint="eastAsia" w:ascii="宋体" w:hAnsi="宋体" w:cs="宋体"/>
          <w:sz w:val="22"/>
          <w:szCs w:val="22"/>
          <w:u w:val="single"/>
        </w:rPr>
        <w:t xml:space="preserve">                </w:t>
      </w:r>
      <w:r>
        <w:rPr>
          <w:rFonts w:hint="eastAsia" w:ascii="宋体" w:hAnsi="宋体" w:cs="宋体"/>
          <w:spacing w:val="6"/>
          <w:sz w:val="22"/>
          <w:szCs w:val="22"/>
        </w:rPr>
        <w:t>：</w:t>
      </w:r>
    </w:p>
    <w:p>
      <w:pPr>
        <w:pStyle w:val="210"/>
        <w:spacing w:line="360" w:lineRule="auto"/>
        <w:ind w:firstLine="464" w:firstLineChars="200"/>
        <w:rPr>
          <w:rFonts w:ascii="宋体" w:hAnsi="宋体" w:cs="宋体"/>
          <w:spacing w:val="6"/>
          <w:sz w:val="22"/>
          <w:szCs w:val="22"/>
        </w:rPr>
      </w:pPr>
      <w:r>
        <w:rPr>
          <w:rFonts w:hint="eastAsia" w:ascii="宋体" w:hAnsi="宋体" w:cs="宋体"/>
          <w:spacing w:val="6"/>
          <w:sz w:val="22"/>
          <w:szCs w:val="22"/>
        </w:rPr>
        <w:t>我方参与的</w:t>
      </w:r>
      <w:r>
        <w:rPr>
          <w:rFonts w:hint="eastAsia" w:ascii="宋体" w:hAnsi="宋体" w:cs="宋体"/>
          <w:spacing w:val="6"/>
          <w:sz w:val="22"/>
          <w:szCs w:val="22"/>
          <w:u w:val="single"/>
        </w:rPr>
        <w:t xml:space="preserve">    </w:t>
      </w:r>
      <w:r>
        <w:rPr>
          <w:rFonts w:hint="eastAsia" w:ascii="宋体" w:hAnsi="宋体" w:cs="宋体"/>
          <w:i/>
          <w:spacing w:val="6"/>
          <w:sz w:val="22"/>
          <w:szCs w:val="22"/>
          <w:u w:val="single"/>
        </w:rPr>
        <w:t xml:space="preserve"> </w:t>
      </w:r>
      <w:r>
        <w:rPr>
          <w:rFonts w:hint="eastAsia" w:ascii="宋体" w:hAnsi="宋体" w:cs="宋体"/>
          <w:iCs/>
          <w:spacing w:val="6"/>
          <w:sz w:val="22"/>
          <w:szCs w:val="22"/>
          <w:u w:val="single"/>
        </w:rPr>
        <w:t>（项目名称）（项目编号）</w:t>
      </w:r>
      <w:r>
        <w:rPr>
          <w:rFonts w:hint="eastAsia" w:ascii="宋体" w:hAnsi="宋体" w:cs="宋体"/>
          <w:i/>
          <w:spacing w:val="6"/>
          <w:sz w:val="22"/>
          <w:szCs w:val="22"/>
          <w:u w:val="single"/>
        </w:rPr>
        <w:t xml:space="preserve"> </w:t>
      </w:r>
      <w:r>
        <w:rPr>
          <w:rFonts w:hint="eastAsia" w:ascii="宋体" w:hAnsi="宋体" w:cs="宋体"/>
          <w:spacing w:val="6"/>
          <w:sz w:val="22"/>
          <w:szCs w:val="22"/>
          <w:u w:val="single"/>
        </w:rPr>
        <w:t xml:space="preserve">   </w:t>
      </w:r>
      <w:r>
        <w:rPr>
          <w:rFonts w:hint="eastAsia" w:ascii="宋体" w:hAnsi="宋体" w:cs="宋体"/>
          <w:spacing w:val="6"/>
          <w:sz w:val="22"/>
          <w:szCs w:val="22"/>
        </w:rPr>
        <w:t>的磋商活动，我方郑重承诺，我方承诺具有履行合同所必需设备和专业技术能力。如有虚假，采购人可取消我方任何资格（投标/中标/签订合同），我方对此无任何异议。</w:t>
      </w:r>
    </w:p>
    <w:p>
      <w:pPr>
        <w:pStyle w:val="210"/>
        <w:spacing w:line="360" w:lineRule="auto"/>
        <w:ind w:firstLine="464" w:firstLineChars="200"/>
        <w:rPr>
          <w:rFonts w:ascii="宋体" w:hAnsi="宋体" w:cs="宋体"/>
          <w:spacing w:val="6"/>
          <w:sz w:val="22"/>
          <w:szCs w:val="22"/>
        </w:rPr>
      </w:pPr>
    </w:p>
    <w:p>
      <w:pPr>
        <w:pStyle w:val="210"/>
        <w:spacing w:line="360" w:lineRule="auto"/>
        <w:ind w:firstLine="464" w:firstLineChars="200"/>
        <w:rPr>
          <w:rFonts w:ascii="宋体" w:hAnsi="宋体" w:cs="宋体"/>
          <w:spacing w:val="6"/>
          <w:sz w:val="22"/>
          <w:szCs w:val="22"/>
        </w:rPr>
      </w:pPr>
      <w:r>
        <w:rPr>
          <w:rFonts w:hint="eastAsia" w:ascii="宋体" w:hAnsi="宋体" w:cs="宋体"/>
          <w:spacing w:val="6"/>
          <w:sz w:val="22"/>
          <w:szCs w:val="22"/>
        </w:rPr>
        <w:t>特此承诺！</w:t>
      </w:r>
    </w:p>
    <w:p>
      <w:pPr>
        <w:pStyle w:val="210"/>
        <w:spacing w:line="360" w:lineRule="auto"/>
        <w:ind w:firstLine="464" w:firstLineChars="200"/>
        <w:rPr>
          <w:rFonts w:ascii="宋体" w:hAnsi="宋体" w:cs="宋体"/>
          <w:spacing w:val="6"/>
          <w:sz w:val="22"/>
          <w:szCs w:val="22"/>
        </w:rPr>
      </w:pPr>
    </w:p>
    <w:p>
      <w:pPr>
        <w:pStyle w:val="189"/>
        <w:wordWrap w:val="0"/>
        <w:spacing w:line="360" w:lineRule="auto"/>
        <w:ind w:firstLine="480"/>
        <w:jc w:val="right"/>
        <w:rPr>
          <w:rFonts w:ascii="宋体" w:hAnsi="宋体" w:cs="宋体"/>
          <w:sz w:val="22"/>
          <w:szCs w:val="20"/>
          <w:u w:val="single"/>
        </w:rPr>
      </w:pPr>
      <w:r>
        <w:rPr>
          <w:rFonts w:hint="eastAsia" w:ascii="宋体" w:hAnsi="宋体" w:cs="宋体"/>
          <w:sz w:val="22"/>
          <w:szCs w:val="20"/>
        </w:rPr>
        <w:t xml:space="preserve">   供应商盖章：</w:t>
      </w:r>
      <w:r>
        <w:rPr>
          <w:rFonts w:hint="eastAsia" w:ascii="宋体" w:hAnsi="宋体" w:cs="宋体"/>
          <w:sz w:val="22"/>
          <w:szCs w:val="20"/>
          <w:u w:val="single"/>
        </w:rPr>
        <w:t xml:space="preserve">                </w:t>
      </w:r>
    </w:p>
    <w:p>
      <w:pPr>
        <w:pStyle w:val="159"/>
        <w:spacing w:line="360" w:lineRule="auto"/>
        <w:ind w:firstLine="6160" w:firstLineChars="2800"/>
        <w:rPr>
          <w:rFonts w:ascii="宋体" w:hAnsi="宋体" w:cs="宋体"/>
          <w:sz w:val="22"/>
        </w:rPr>
      </w:pPr>
      <w:r>
        <w:rPr>
          <w:rFonts w:hint="eastAsia" w:ascii="宋体" w:hAnsi="宋体" w:cs="宋体"/>
          <w:sz w:val="22"/>
          <w:szCs w:val="20"/>
        </w:rPr>
        <w:t>日      期：</w:t>
      </w:r>
      <w:r>
        <w:rPr>
          <w:rFonts w:hint="eastAsia" w:ascii="宋体" w:hAnsi="宋体" w:cs="宋体"/>
          <w:sz w:val="22"/>
          <w:szCs w:val="20"/>
          <w:u w:val="single"/>
        </w:rPr>
        <w:t xml:space="preserve">                </w:t>
      </w:r>
    </w:p>
    <w:p>
      <w:pPr>
        <w:pStyle w:val="189"/>
        <w:spacing w:line="360" w:lineRule="auto"/>
        <w:rPr>
          <w:rFonts w:hint="eastAsia" w:ascii="宋体" w:hAnsi="宋体"/>
          <w:sz w:val="24"/>
          <w:u w:val="single"/>
        </w:rPr>
      </w:pPr>
    </w:p>
    <w:p>
      <w:pPr>
        <w:rPr>
          <w:rFonts w:hint="eastAsia" w:ascii="宋体" w:hAnsi="宋体" w:cs="宋体"/>
          <w:spacing w:val="11"/>
          <w:sz w:val="22"/>
        </w:rPr>
      </w:pPr>
    </w:p>
    <w:p>
      <w:pPr>
        <w:rPr>
          <w:rFonts w:hint="eastAsia" w:ascii="宋体" w:hAnsi="宋体" w:cs="宋体"/>
          <w:b/>
          <w:bCs/>
          <w:sz w:val="22"/>
        </w:rPr>
      </w:pPr>
      <w:r>
        <w:rPr>
          <w:rFonts w:hint="eastAsia" w:ascii="宋体" w:hAnsi="宋体" w:cs="宋体"/>
          <w:b/>
          <w:bCs/>
          <w:sz w:val="22"/>
        </w:rPr>
        <w:br w:type="page"/>
      </w:r>
    </w:p>
    <w:p>
      <w:pPr>
        <w:pStyle w:val="130"/>
        <w:spacing w:line="360" w:lineRule="auto"/>
        <w:ind w:firstLine="420"/>
        <w:rPr>
          <w:rFonts w:ascii="宋体" w:hAnsi="宋体" w:cs="宋体"/>
          <w:b/>
          <w:bCs/>
          <w:sz w:val="22"/>
        </w:rPr>
      </w:pPr>
      <w:r>
        <w:rPr>
          <w:rFonts w:hint="eastAsia" w:ascii="宋体" w:hAnsi="宋体" w:cs="宋体"/>
          <w:b/>
          <w:bCs/>
          <w:sz w:val="22"/>
        </w:rPr>
        <w:t>1.6 供应商资格声明</w:t>
      </w:r>
    </w:p>
    <w:p>
      <w:pPr>
        <w:pStyle w:val="226"/>
        <w:spacing w:line="360" w:lineRule="auto"/>
        <w:ind w:firstLine="420"/>
        <w:rPr>
          <w:rFonts w:hAnsi="宋体" w:cs="宋体"/>
          <w:sz w:val="22"/>
          <w:szCs w:val="22"/>
        </w:rPr>
      </w:pPr>
      <w:r>
        <w:rPr>
          <w:rFonts w:hint="eastAsia" w:hAnsi="宋体" w:cs="宋体"/>
          <w:sz w:val="22"/>
          <w:szCs w:val="22"/>
        </w:rPr>
        <w:t>（一）名称及概况：</w:t>
      </w:r>
    </w:p>
    <w:p>
      <w:pPr>
        <w:pStyle w:val="226"/>
        <w:spacing w:line="360" w:lineRule="auto"/>
        <w:ind w:firstLine="420"/>
        <w:rPr>
          <w:rFonts w:hAnsi="宋体" w:cs="宋体"/>
          <w:sz w:val="22"/>
          <w:szCs w:val="22"/>
        </w:rPr>
      </w:pPr>
      <w:r>
        <w:rPr>
          <w:rFonts w:hint="eastAsia" w:hAnsi="宋体" w:cs="宋体"/>
          <w:sz w:val="22"/>
          <w:szCs w:val="22"/>
        </w:rPr>
        <w:t>1．企业名称：__________________________________________</w:t>
      </w:r>
    </w:p>
    <w:p>
      <w:pPr>
        <w:pStyle w:val="226"/>
        <w:spacing w:line="360" w:lineRule="auto"/>
        <w:ind w:firstLine="420"/>
        <w:rPr>
          <w:rFonts w:hAnsi="宋体" w:cs="宋体"/>
          <w:sz w:val="22"/>
          <w:szCs w:val="22"/>
        </w:rPr>
      </w:pPr>
      <w:r>
        <w:rPr>
          <w:rFonts w:hint="eastAsia" w:hAnsi="宋体" w:cs="宋体"/>
          <w:sz w:val="22"/>
          <w:szCs w:val="22"/>
        </w:rPr>
        <w:t>银行开户名称：__________________________________________</w:t>
      </w:r>
    </w:p>
    <w:p>
      <w:pPr>
        <w:pStyle w:val="226"/>
        <w:spacing w:line="360" w:lineRule="auto"/>
        <w:ind w:firstLine="420"/>
        <w:rPr>
          <w:rFonts w:hAnsi="宋体" w:cs="宋体"/>
          <w:sz w:val="22"/>
          <w:szCs w:val="22"/>
        </w:rPr>
      </w:pPr>
      <w:r>
        <w:rPr>
          <w:rFonts w:hint="eastAsia" w:hAnsi="宋体" w:cs="宋体"/>
          <w:sz w:val="22"/>
          <w:szCs w:val="22"/>
        </w:rPr>
        <w:t xml:space="preserve">    开户银行：__________________________________________</w:t>
      </w:r>
    </w:p>
    <w:p>
      <w:pPr>
        <w:pStyle w:val="226"/>
        <w:spacing w:line="360" w:lineRule="auto"/>
        <w:ind w:firstLine="420"/>
        <w:rPr>
          <w:rFonts w:hAnsi="宋体" w:cs="宋体"/>
          <w:sz w:val="22"/>
          <w:szCs w:val="22"/>
        </w:rPr>
      </w:pPr>
      <w:r>
        <w:rPr>
          <w:rFonts w:hint="eastAsia" w:hAnsi="宋体" w:cs="宋体"/>
          <w:sz w:val="22"/>
          <w:szCs w:val="22"/>
        </w:rPr>
        <w:t xml:space="preserve">    帐    号：__________________________________________</w:t>
      </w:r>
    </w:p>
    <w:p>
      <w:pPr>
        <w:pStyle w:val="226"/>
        <w:spacing w:line="360" w:lineRule="auto"/>
        <w:ind w:firstLine="420"/>
        <w:rPr>
          <w:rFonts w:hAnsi="宋体" w:cs="宋体"/>
          <w:sz w:val="22"/>
          <w:szCs w:val="22"/>
        </w:rPr>
      </w:pPr>
      <w:r>
        <w:rPr>
          <w:rFonts w:hint="eastAsia" w:hAnsi="宋体" w:cs="宋体"/>
          <w:sz w:val="22"/>
          <w:szCs w:val="22"/>
        </w:rPr>
        <w:t>企业详细地址：__________________________________________</w:t>
      </w:r>
    </w:p>
    <w:p>
      <w:pPr>
        <w:pStyle w:val="226"/>
        <w:spacing w:line="360" w:lineRule="auto"/>
        <w:ind w:firstLine="420"/>
        <w:rPr>
          <w:rFonts w:hAnsi="宋体" w:cs="宋体"/>
          <w:sz w:val="22"/>
          <w:szCs w:val="22"/>
        </w:rPr>
      </w:pPr>
      <w:r>
        <w:rPr>
          <w:rFonts w:hint="eastAsia" w:hAnsi="宋体" w:cs="宋体"/>
          <w:sz w:val="22"/>
          <w:szCs w:val="22"/>
        </w:rPr>
        <w:t xml:space="preserve">    传    真：__________________________________________</w:t>
      </w:r>
    </w:p>
    <w:p>
      <w:pPr>
        <w:pStyle w:val="226"/>
        <w:spacing w:line="360" w:lineRule="auto"/>
        <w:ind w:firstLine="420"/>
        <w:rPr>
          <w:rFonts w:hAnsi="宋体" w:cs="宋体"/>
          <w:sz w:val="22"/>
          <w:szCs w:val="22"/>
        </w:rPr>
      </w:pPr>
      <w:r>
        <w:rPr>
          <w:rFonts w:hint="eastAsia" w:hAnsi="宋体" w:cs="宋体"/>
          <w:sz w:val="22"/>
          <w:szCs w:val="22"/>
        </w:rPr>
        <w:t xml:space="preserve">    电    话：__________________________________________</w:t>
      </w:r>
    </w:p>
    <w:p>
      <w:pPr>
        <w:pStyle w:val="226"/>
        <w:spacing w:line="360" w:lineRule="auto"/>
        <w:ind w:firstLine="420"/>
        <w:rPr>
          <w:rFonts w:hAnsi="宋体" w:cs="宋体"/>
          <w:sz w:val="22"/>
          <w:szCs w:val="22"/>
        </w:rPr>
      </w:pPr>
      <w:r>
        <w:rPr>
          <w:rFonts w:hint="eastAsia" w:hAnsi="宋体" w:cs="宋体"/>
          <w:sz w:val="22"/>
          <w:szCs w:val="22"/>
        </w:rPr>
        <w:t>2．法定代表人姓名：__________________________________________</w:t>
      </w:r>
    </w:p>
    <w:p>
      <w:pPr>
        <w:pStyle w:val="226"/>
        <w:spacing w:line="360" w:lineRule="auto"/>
        <w:ind w:left="420" w:leftChars="200"/>
        <w:rPr>
          <w:rFonts w:hAnsi="宋体" w:cs="宋体"/>
          <w:sz w:val="22"/>
          <w:szCs w:val="22"/>
        </w:rPr>
      </w:pPr>
      <w:r>
        <w:rPr>
          <w:rFonts w:hint="eastAsia" w:hAnsi="宋体" w:cs="宋体"/>
          <w:sz w:val="22"/>
          <w:szCs w:val="22"/>
        </w:rPr>
        <w:t>3．项目联系人：姓名___________职务___________电话_______________</w:t>
      </w:r>
    </w:p>
    <w:p>
      <w:pPr>
        <w:pStyle w:val="226"/>
        <w:spacing w:line="360" w:lineRule="auto"/>
        <w:ind w:left="420" w:leftChars="200"/>
        <w:rPr>
          <w:rFonts w:hAnsi="宋体" w:cs="宋体"/>
          <w:sz w:val="22"/>
          <w:szCs w:val="22"/>
        </w:rPr>
      </w:pPr>
      <w:r>
        <w:rPr>
          <w:rFonts w:hint="eastAsia" w:hAnsi="宋体" w:cs="宋体"/>
          <w:sz w:val="22"/>
          <w:szCs w:val="22"/>
        </w:rPr>
        <w:t>手机_______________________电子信箱_____________________________</w:t>
      </w:r>
    </w:p>
    <w:p>
      <w:pPr>
        <w:pStyle w:val="226"/>
        <w:spacing w:line="360" w:lineRule="auto"/>
        <w:ind w:firstLine="420"/>
        <w:rPr>
          <w:rFonts w:hAnsi="宋体" w:cs="宋体"/>
          <w:sz w:val="22"/>
          <w:szCs w:val="22"/>
        </w:rPr>
      </w:pPr>
      <w:r>
        <w:rPr>
          <w:rFonts w:hint="eastAsia" w:hAnsi="宋体" w:cs="宋体"/>
          <w:sz w:val="22"/>
          <w:szCs w:val="22"/>
        </w:rPr>
        <w:t>4．注册地址：__________________________________________</w:t>
      </w:r>
    </w:p>
    <w:p>
      <w:pPr>
        <w:pStyle w:val="226"/>
        <w:spacing w:line="360" w:lineRule="auto"/>
        <w:ind w:firstLine="420"/>
        <w:rPr>
          <w:rFonts w:hAnsi="宋体" w:cs="宋体"/>
          <w:sz w:val="22"/>
          <w:szCs w:val="22"/>
        </w:rPr>
      </w:pPr>
      <w:r>
        <w:rPr>
          <w:rFonts w:hint="eastAsia" w:hAnsi="宋体" w:cs="宋体"/>
          <w:sz w:val="22"/>
          <w:szCs w:val="22"/>
        </w:rPr>
        <w:t>5．注册资金：_____________________________万元</w:t>
      </w:r>
    </w:p>
    <w:p>
      <w:pPr>
        <w:pStyle w:val="226"/>
        <w:spacing w:line="360" w:lineRule="auto"/>
        <w:ind w:firstLine="735"/>
        <w:rPr>
          <w:rFonts w:hAnsi="宋体" w:cs="宋体"/>
          <w:sz w:val="22"/>
          <w:szCs w:val="22"/>
        </w:rPr>
      </w:pPr>
      <w:r>
        <w:rPr>
          <w:rFonts w:hint="eastAsia" w:hAnsi="宋体" w:cs="宋体"/>
          <w:sz w:val="22"/>
          <w:szCs w:val="22"/>
        </w:rPr>
        <w:t>自有资金：_____________________________万元</w:t>
      </w:r>
    </w:p>
    <w:p>
      <w:pPr>
        <w:pStyle w:val="226"/>
        <w:spacing w:line="360" w:lineRule="auto"/>
        <w:ind w:firstLine="735"/>
        <w:rPr>
          <w:rFonts w:hAnsi="宋体" w:cs="宋体"/>
          <w:sz w:val="22"/>
          <w:szCs w:val="22"/>
        </w:rPr>
      </w:pPr>
      <w:r>
        <w:rPr>
          <w:rFonts w:hint="eastAsia" w:hAnsi="宋体" w:cs="宋体"/>
          <w:sz w:val="22"/>
          <w:szCs w:val="22"/>
        </w:rPr>
        <w:t>企业人数:_____________人</w:t>
      </w:r>
    </w:p>
    <w:p>
      <w:pPr>
        <w:pStyle w:val="226"/>
        <w:spacing w:line="360" w:lineRule="auto"/>
        <w:ind w:firstLine="420"/>
        <w:rPr>
          <w:rFonts w:hAnsi="宋体" w:cs="宋体"/>
          <w:sz w:val="22"/>
          <w:szCs w:val="22"/>
        </w:rPr>
      </w:pPr>
      <w:r>
        <w:rPr>
          <w:rFonts w:hint="eastAsia" w:hAnsi="宋体" w:cs="宋体"/>
          <w:sz w:val="22"/>
          <w:szCs w:val="22"/>
        </w:rPr>
        <w:t>6．企业性质：__________________________________________</w:t>
      </w:r>
    </w:p>
    <w:p>
      <w:pPr>
        <w:pStyle w:val="226"/>
        <w:spacing w:line="360" w:lineRule="auto"/>
        <w:ind w:firstLine="420"/>
        <w:rPr>
          <w:rFonts w:hAnsi="宋体" w:cs="宋体"/>
          <w:sz w:val="22"/>
          <w:szCs w:val="22"/>
        </w:rPr>
      </w:pPr>
      <w:r>
        <w:rPr>
          <w:rFonts w:hint="eastAsia" w:hAnsi="宋体" w:cs="宋体"/>
          <w:sz w:val="22"/>
          <w:szCs w:val="22"/>
        </w:rPr>
        <w:t>7．主要经营地点__________________________________________</w:t>
      </w:r>
    </w:p>
    <w:p>
      <w:pPr>
        <w:pStyle w:val="226"/>
        <w:pBdr>
          <w:bottom w:val="single" w:color="auto" w:sz="12" w:space="1"/>
        </w:pBdr>
        <w:spacing w:line="360" w:lineRule="auto"/>
        <w:ind w:firstLine="420"/>
        <w:rPr>
          <w:rFonts w:hAnsi="宋体" w:cs="宋体"/>
          <w:sz w:val="22"/>
          <w:szCs w:val="22"/>
        </w:rPr>
      </w:pPr>
      <w:r>
        <w:rPr>
          <w:rFonts w:hint="eastAsia" w:hAnsi="宋体" w:cs="宋体"/>
          <w:sz w:val="22"/>
          <w:szCs w:val="22"/>
        </w:rPr>
        <w:t>如有派出机构，请列出名称及详细通讯地址如下：</w:t>
      </w:r>
    </w:p>
    <w:p>
      <w:pPr>
        <w:pStyle w:val="226"/>
        <w:spacing w:line="360" w:lineRule="auto"/>
        <w:ind w:firstLine="480"/>
        <w:rPr>
          <w:rFonts w:hAnsi="宋体" w:cs="宋体"/>
          <w:sz w:val="22"/>
          <w:szCs w:val="22"/>
        </w:rPr>
      </w:pPr>
      <w:r>
        <w:rPr>
          <w:rFonts w:hint="eastAsia" w:hAnsi="宋体" w:cs="宋体"/>
          <w:sz w:val="22"/>
          <w:szCs w:val="22"/>
        </w:rPr>
        <w:t>兹证明上述声明是真实、正确的，并提供了全部能提供的资料和数据，我们同意遵照贵方要求出示有关证明文件。</w:t>
      </w:r>
    </w:p>
    <w:p>
      <w:pPr>
        <w:pStyle w:val="226"/>
        <w:spacing w:line="360" w:lineRule="auto"/>
        <w:ind w:firstLine="480"/>
        <w:rPr>
          <w:rFonts w:hAnsi="宋体" w:cs="宋体"/>
          <w:sz w:val="22"/>
          <w:szCs w:val="22"/>
        </w:rPr>
      </w:pPr>
      <w:r>
        <w:rPr>
          <w:rFonts w:hint="eastAsia" w:hAnsi="宋体" w:cs="宋体"/>
          <w:sz w:val="22"/>
          <w:szCs w:val="22"/>
        </w:rPr>
        <w:t>供应商名称________________________________</w:t>
      </w:r>
    </w:p>
    <w:p>
      <w:pPr>
        <w:pStyle w:val="226"/>
        <w:spacing w:line="360" w:lineRule="auto"/>
        <w:ind w:firstLine="480"/>
        <w:rPr>
          <w:rFonts w:hAnsi="宋体" w:cs="宋体"/>
          <w:sz w:val="22"/>
          <w:szCs w:val="22"/>
        </w:rPr>
      </w:pPr>
      <w:r>
        <w:rPr>
          <w:rFonts w:hint="eastAsia" w:hAnsi="宋体" w:cs="宋体"/>
          <w:sz w:val="22"/>
          <w:szCs w:val="22"/>
        </w:rPr>
        <w:t>签字人职务和部门__________________________</w:t>
      </w:r>
    </w:p>
    <w:p>
      <w:pPr>
        <w:pStyle w:val="226"/>
        <w:spacing w:line="360" w:lineRule="auto"/>
        <w:ind w:firstLine="480"/>
        <w:rPr>
          <w:rFonts w:hAnsi="宋体" w:cs="宋体"/>
          <w:sz w:val="22"/>
          <w:szCs w:val="22"/>
        </w:rPr>
      </w:pPr>
      <w:r>
        <w:rPr>
          <w:rFonts w:hint="eastAsia" w:hAnsi="宋体" w:cs="宋体"/>
          <w:sz w:val="22"/>
          <w:szCs w:val="22"/>
        </w:rPr>
        <w:t>签字人姓名（签字或盖章）________________________</w:t>
      </w:r>
    </w:p>
    <w:p>
      <w:pPr>
        <w:pStyle w:val="226"/>
        <w:spacing w:line="360" w:lineRule="auto"/>
        <w:ind w:firstLine="480"/>
        <w:rPr>
          <w:rFonts w:hAnsi="宋体" w:cs="宋体"/>
          <w:sz w:val="22"/>
          <w:szCs w:val="22"/>
        </w:rPr>
      </w:pPr>
      <w:r>
        <w:rPr>
          <w:rFonts w:hint="eastAsia" w:hAnsi="宋体" w:cs="宋体"/>
          <w:sz w:val="22"/>
          <w:szCs w:val="22"/>
        </w:rPr>
        <w:t>签字日期__________________________________</w:t>
      </w:r>
    </w:p>
    <w:p>
      <w:pPr>
        <w:keepNext/>
        <w:keepLines/>
        <w:snapToGrid w:val="0"/>
        <w:jc w:val="left"/>
        <w:rPr>
          <w:rFonts w:ascii="宋体" w:hAnsi="宋体" w:cs="宋体"/>
          <w:b/>
          <w:bCs/>
          <w:sz w:val="22"/>
          <w:szCs w:val="22"/>
        </w:rPr>
      </w:pPr>
      <w:r>
        <w:rPr>
          <w:rFonts w:hint="eastAsia" w:ascii="宋体" w:hAnsi="宋体" w:cs="宋体"/>
          <w:sz w:val="22"/>
          <w:szCs w:val="22"/>
        </w:rPr>
        <w:br w:type="page"/>
      </w:r>
      <w:bookmarkStart w:id="481" w:name="_Toc530551882"/>
      <w:bookmarkStart w:id="482" w:name="_Toc531359049"/>
      <w:bookmarkStart w:id="483" w:name="_Toc10413"/>
      <w:r>
        <w:rPr>
          <w:rFonts w:hint="eastAsia" w:ascii="宋体" w:hAnsi="宋体" w:cs="宋体"/>
          <w:b/>
          <w:bCs/>
          <w:sz w:val="22"/>
          <w:szCs w:val="22"/>
        </w:rPr>
        <w:t>1.7   无重大违法记录声明书</w:t>
      </w:r>
      <w:bookmarkEnd w:id="481"/>
      <w:bookmarkEnd w:id="482"/>
      <w:r>
        <w:rPr>
          <w:rFonts w:hint="eastAsia" w:ascii="宋体" w:hAnsi="宋体" w:cs="宋体"/>
          <w:b/>
          <w:bCs/>
          <w:sz w:val="22"/>
          <w:szCs w:val="22"/>
        </w:rPr>
        <w:t>格式</w:t>
      </w:r>
      <w:bookmarkEnd w:id="483"/>
    </w:p>
    <w:p>
      <w:pPr>
        <w:pStyle w:val="8"/>
        <w:ind w:firstLine="0"/>
        <w:rPr>
          <w:rFonts w:ascii="宋体" w:hAnsi="宋体" w:cs="宋体"/>
          <w:sz w:val="22"/>
          <w:szCs w:val="22"/>
        </w:rPr>
      </w:pPr>
    </w:p>
    <w:p>
      <w:pPr>
        <w:pStyle w:val="8"/>
        <w:spacing w:line="360" w:lineRule="auto"/>
        <w:ind w:firstLine="0"/>
        <w:jc w:val="center"/>
        <w:rPr>
          <w:rFonts w:ascii="宋体" w:hAnsi="宋体" w:cs="宋体"/>
          <w:b/>
          <w:sz w:val="22"/>
          <w:szCs w:val="22"/>
        </w:rPr>
      </w:pPr>
      <w:r>
        <w:rPr>
          <w:rFonts w:hint="eastAsia" w:ascii="宋体" w:hAnsi="宋体" w:cs="宋体"/>
          <w:b/>
          <w:sz w:val="22"/>
          <w:szCs w:val="22"/>
        </w:rPr>
        <w:t>无重大违法记录声明书</w:t>
      </w:r>
    </w:p>
    <w:p>
      <w:pPr>
        <w:pStyle w:val="210"/>
        <w:spacing w:line="360" w:lineRule="auto"/>
        <w:rPr>
          <w:rFonts w:ascii="宋体" w:hAnsi="宋体" w:cs="宋体"/>
          <w:spacing w:val="6"/>
          <w:sz w:val="22"/>
          <w:szCs w:val="22"/>
        </w:rPr>
      </w:pPr>
      <w:r>
        <w:rPr>
          <w:rFonts w:hint="eastAsia" w:ascii="宋体" w:hAnsi="宋体" w:cs="宋体"/>
          <w:sz w:val="22"/>
          <w:szCs w:val="22"/>
          <w:u w:val="single"/>
        </w:rPr>
        <w:t>（采购代理机构名称）</w:t>
      </w:r>
      <w:r>
        <w:rPr>
          <w:rFonts w:hint="eastAsia" w:ascii="宋体" w:hAnsi="宋体" w:cs="宋体"/>
          <w:spacing w:val="6"/>
          <w:sz w:val="22"/>
          <w:szCs w:val="22"/>
        </w:rPr>
        <w:t>：</w:t>
      </w:r>
    </w:p>
    <w:p>
      <w:pPr>
        <w:pStyle w:val="210"/>
        <w:spacing w:line="360" w:lineRule="auto"/>
        <w:ind w:firstLine="464" w:firstLineChars="200"/>
        <w:rPr>
          <w:rFonts w:ascii="宋体" w:hAnsi="宋体" w:cs="宋体"/>
          <w:spacing w:val="6"/>
          <w:sz w:val="22"/>
          <w:szCs w:val="22"/>
        </w:rPr>
      </w:pPr>
      <w:r>
        <w:rPr>
          <w:rFonts w:hint="eastAsia" w:ascii="宋体" w:hAnsi="宋体" w:cs="宋体"/>
          <w:spacing w:val="6"/>
          <w:sz w:val="22"/>
          <w:szCs w:val="22"/>
        </w:rPr>
        <w:t xml:space="preserve"> 我方参与的</w:t>
      </w:r>
      <w:r>
        <w:rPr>
          <w:rFonts w:hint="eastAsia" w:ascii="宋体" w:hAnsi="宋体" w:cs="宋体"/>
          <w:spacing w:val="6"/>
          <w:sz w:val="22"/>
          <w:szCs w:val="22"/>
          <w:u w:val="single"/>
        </w:rPr>
        <w:t xml:space="preserve">     （项目名称）（项目编号）（标项）    </w:t>
      </w:r>
      <w:r>
        <w:rPr>
          <w:rFonts w:hint="eastAsia" w:ascii="宋体" w:hAnsi="宋体" w:cs="宋体"/>
          <w:spacing w:val="6"/>
          <w:sz w:val="22"/>
          <w:szCs w:val="22"/>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210"/>
        <w:spacing w:line="360" w:lineRule="auto"/>
        <w:ind w:firstLine="464" w:firstLineChars="200"/>
        <w:rPr>
          <w:rFonts w:ascii="宋体" w:hAnsi="宋体" w:cs="宋体"/>
          <w:spacing w:val="6"/>
          <w:sz w:val="22"/>
          <w:szCs w:val="22"/>
        </w:rPr>
      </w:pPr>
      <w:r>
        <w:rPr>
          <w:rFonts w:hint="eastAsia" w:ascii="宋体" w:hAnsi="宋体" w:cs="宋体"/>
          <w:spacing w:val="6"/>
          <w:sz w:val="22"/>
          <w:szCs w:val="22"/>
        </w:rPr>
        <w:tab/>
      </w:r>
      <w:r>
        <w:rPr>
          <w:rFonts w:hint="eastAsia" w:ascii="宋体" w:hAnsi="宋体" w:cs="宋体"/>
          <w:spacing w:val="6"/>
          <w:sz w:val="22"/>
          <w:szCs w:val="22"/>
        </w:rPr>
        <w:t>特此声明。</w:t>
      </w:r>
      <w:bookmarkStart w:id="484" w:name="_Toc531359051"/>
      <w:bookmarkStart w:id="485" w:name="_Toc523398458"/>
      <w:bookmarkStart w:id="486" w:name="_Toc500333505"/>
    </w:p>
    <w:p>
      <w:pPr>
        <w:pStyle w:val="210"/>
        <w:spacing w:line="360" w:lineRule="auto"/>
        <w:rPr>
          <w:rFonts w:ascii="宋体" w:hAnsi="宋体" w:cs="宋体"/>
          <w:spacing w:val="6"/>
          <w:sz w:val="22"/>
          <w:szCs w:val="22"/>
        </w:rPr>
      </w:pPr>
    </w:p>
    <w:p>
      <w:pPr>
        <w:pStyle w:val="210"/>
        <w:spacing w:line="360" w:lineRule="auto"/>
        <w:ind w:right="140"/>
        <w:jc w:val="left"/>
        <w:rPr>
          <w:rFonts w:ascii="宋体" w:hAnsi="宋体" w:cs="宋体"/>
          <w:spacing w:val="20"/>
          <w:sz w:val="22"/>
          <w:szCs w:val="22"/>
        </w:rPr>
      </w:pPr>
    </w:p>
    <w:bookmarkEnd w:id="484"/>
    <w:bookmarkEnd w:id="485"/>
    <w:bookmarkEnd w:id="486"/>
    <w:p>
      <w:pPr>
        <w:spacing w:line="360" w:lineRule="auto"/>
        <w:ind w:firstLine="1650" w:firstLineChars="750"/>
        <w:rPr>
          <w:rFonts w:ascii="宋体" w:hAnsi="宋体" w:cs="宋体"/>
          <w:spacing w:val="20"/>
          <w:sz w:val="22"/>
          <w:szCs w:val="22"/>
          <w:u w:val="single"/>
        </w:rPr>
      </w:pPr>
      <w:r>
        <w:rPr>
          <w:rFonts w:hint="eastAsia" w:ascii="宋体" w:hAnsi="宋体" w:cs="宋体"/>
          <w:sz w:val="22"/>
          <w:szCs w:val="22"/>
        </w:rPr>
        <w:t>法定代表人</w:t>
      </w:r>
      <w:r>
        <w:rPr>
          <w:rFonts w:hint="eastAsia" w:ascii="宋体" w:hAnsi="宋体" w:cs="宋体"/>
          <w:spacing w:val="20"/>
          <w:sz w:val="22"/>
          <w:szCs w:val="22"/>
        </w:rPr>
        <w:t>（或授权委托人）签字或盖章:</w:t>
      </w:r>
      <w:r>
        <w:rPr>
          <w:rFonts w:hint="eastAsia" w:ascii="宋体" w:hAnsi="宋体" w:cs="宋体"/>
          <w:spacing w:val="20"/>
          <w:sz w:val="22"/>
          <w:szCs w:val="22"/>
          <w:u w:val="single"/>
        </w:rPr>
        <w:t xml:space="preserve">            </w:t>
      </w:r>
    </w:p>
    <w:p>
      <w:pPr>
        <w:spacing w:line="360" w:lineRule="auto"/>
        <w:ind w:firstLine="520" w:firstLineChars="200"/>
        <w:rPr>
          <w:rFonts w:ascii="宋体" w:hAnsi="宋体" w:cs="宋体"/>
          <w:spacing w:val="20"/>
          <w:sz w:val="22"/>
          <w:szCs w:val="22"/>
          <w:u w:val="single"/>
        </w:rPr>
      </w:pPr>
      <w:r>
        <w:rPr>
          <w:rFonts w:hint="eastAsia" w:ascii="宋体" w:hAnsi="宋体" w:cs="宋体"/>
          <w:spacing w:val="20"/>
          <w:sz w:val="22"/>
          <w:szCs w:val="22"/>
        </w:rPr>
        <w:t xml:space="preserve">                             供应商盖章:</w:t>
      </w:r>
      <w:r>
        <w:rPr>
          <w:rFonts w:hint="eastAsia" w:ascii="宋体" w:hAnsi="宋体" w:cs="宋体"/>
          <w:spacing w:val="20"/>
          <w:sz w:val="22"/>
          <w:szCs w:val="22"/>
          <w:u w:val="single"/>
        </w:rPr>
        <w:t xml:space="preserve">            </w:t>
      </w:r>
    </w:p>
    <w:p>
      <w:pPr>
        <w:pStyle w:val="189"/>
        <w:wordWrap w:val="0"/>
        <w:spacing w:line="360" w:lineRule="auto"/>
        <w:ind w:firstLine="480"/>
        <w:jc w:val="center"/>
        <w:rPr>
          <w:rFonts w:ascii="宋体" w:hAnsi="宋体" w:cs="宋体"/>
          <w:b/>
          <w:sz w:val="22"/>
          <w:szCs w:val="22"/>
        </w:rPr>
      </w:pPr>
      <w:r>
        <w:rPr>
          <w:rFonts w:hint="eastAsia" w:ascii="宋体" w:hAnsi="宋体" w:cs="宋体"/>
          <w:spacing w:val="20"/>
          <w:sz w:val="22"/>
          <w:szCs w:val="22"/>
        </w:rPr>
        <w:t xml:space="preserve">                    日     期:</w:t>
      </w:r>
      <w:r>
        <w:rPr>
          <w:rFonts w:hint="eastAsia" w:ascii="宋体" w:hAnsi="宋体" w:cs="宋体"/>
          <w:spacing w:val="20"/>
          <w:sz w:val="22"/>
          <w:szCs w:val="22"/>
          <w:u w:val="single"/>
        </w:rPr>
        <w:t xml:space="preserve">            </w:t>
      </w:r>
    </w:p>
    <w:p>
      <w:pPr>
        <w:spacing w:line="360" w:lineRule="auto"/>
        <w:ind w:firstLine="4196" w:firstLineChars="1900"/>
        <w:rPr>
          <w:rFonts w:ascii="宋体" w:hAnsi="宋体" w:cs="宋体"/>
          <w:b/>
          <w:bCs/>
          <w:sz w:val="22"/>
          <w:szCs w:val="22"/>
        </w:rPr>
      </w:pPr>
    </w:p>
    <w:p>
      <w:pPr>
        <w:pStyle w:val="22"/>
        <w:spacing w:beforeLines="0" w:afterLines="0" w:line="360" w:lineRule="auto"/>
        <w:ind w:firstLine="420"/>
        <w:rPr>
          <w:rFonts w:hAnsi="宋体" w:cs="宋体"/>
          <w:sz w:val="22"/>
          <w:szCs w:val="22"/>
        </w:rPr>
      </w:pPr>
    </w:p>
    <w:p>
      <w:pPr>
        <w:pStyle w:val="22"/>
        <w:spacing w:beforeLines="0" w:afterLines="0" w:line="360" w:lineRule="auto"/>
        <w:ind w:firstLine="420"/>
        <w:rPr>
          <w:rFonts w:hAnsi="宋体" w:cs="宋体"/>
          <w:sz w:val="22"/>
          <w:szCs w:val="22"/>
        </w:rPr>
      </w:pPr>
    </w:p>
    <w:p>
      <w:pPr>
        <w:rPr>
          <w:rFonts w:hint="eastAsia" w:ascii="宋体" w:hAnsi="宋体" w:eastAsia="宋体" w:cs="宋体"/>
          <w:b/>
          <w:bCs/>
          <w:sz w:val="22"/>
          <w:szCs w:val="22"/>
          <w:lang w:eastAsia="zh-CN"/>
        </w:rPr>
      </w:pPr>
      <w:r>
        <w:rPr>
          <w:rFonts w:hint="eastAsia" w:ascii="宋体" w:hAnsi="宋体" w:cs="宋体"/>
          <w:b/>
          <w:bCs/>
          <w:sz w:val="22"/>
          <w:szCs w:val="22"/>
        </w:rPr>
        <w:t>1.8</w:t>
      </w:r>
      <w:r>
        <w:rPr>
          <w:rFonts w:hint="eastAsia" w:ascii="宋体" w:hAnsi="宋体" w:cs="宋体"/>
          <w:b/>
          <w:bCs/>
          <w:sz w:val="22"/>
          <w:szCs w:val="22"/>
          <w:lang w:val="en-US" w:eastAsia="zh-CN"/>
        </w:rPr>
        <w:t>其他</w:t>
      </w:r>
    </w:p>
    <w:p>
      <w:pPr>
        <w:keepNext/>
        <w:keepLines/>
        <w:snapToGrid w:val="0"/>
        <w:rPr>
          <w:rFonts w:hint="eastAsia" w:ascii="宋体" w:hAnsi="宋体" w:cs="宋体"/>
          <w:spacing w:val="11"/>
          <w:sz w:val="22"/>
          <w:szCs w:val="22"/>
        </w:rPr>
      </w:pPr>
    </w:p>
    <w:p>
      <w:pPr>
        <w:rPr>
          <w:rFonts w:ascii="宋体" w:hAnsi="宋体" w:cs="宋体"/>
          <w:b/>
          <w:bCs/>
          <w:sz w:val="22"/>
          <w:szCs w:val="22"/>
        </w:rPr>
      </w:pPr>
    </w:p>
    <w:p>
      <w:pPr>
        <w:keepNext/>
        <w:keepLines/>
        <w:spacing w:line="360" w:lineRule="auto"/>
        <w:jc w:val="center"/>
        <w:outlineLvl w:val="1"/>
        <w:rPr>
          <w:rFonts w:ascii="宋体" w:hAnsi="宋体" w:cs="宋体"/>
          <w:sz w:val="30"/>
          <w:szCs w:val="30"/>
        </w:rPr>
      </w:pPr>
      <w:bookmarkStart w:id="487" w:name="_Toc19300"/>
      <w:r>
        <w:rPr>
          <w:rFonts w:hint="eastAsia" w:ascii="宋体" w:hAnsi="宋体" w:cs="宋体"/>
          <w:sz w:val="30"/>
          <w:szCs w:val="30"/>
        </w:rPr>
        <w:br w:type="page"/>
      </w:r>
      <w:bookmarkStart w:id="488" w:name="_Toc24494"/>
      <w:r>
        <w:rPr>
          <w:rFonts w:hint="eastAsia" w:ascii="宋体" w:hAnsi="宋体" w:cs="宋体"/>
          <w:sz w:val="30"/>
          <w:szCs w:val="30"/>
        </w:rPr>
        <w:t>三、</w:t>
      </w:r>
      <w:r>
        <w:rPr>
          <w:rFonts w:hint="eastAsia" w:ascii="宋体" w:hAnsi="宋体" w:cs="宋体"/>
          <w:sz w:val="28"/>
          <w:szCs w:val="28"/>
        </w:rPr>
        <w:t>商务技术文件</w:t>
      </w:r>
      <w:r>
        <w:rPr>
          <w:rFonts w:hint="eastAsia" w:ascii="宋体" w:hAnsi="宋体" w:cs="宋体"/>
          <w:sz w:val="30"/>
          <w:szCs w:val="30"/>
        </w:rPr>
        <w:t>格式</w:t>
      </w:r>
      <w:bookmarkEnd w:id="454"/>
      <w:bookmarkEnd w:id="487"/>
      <w:bookmarkEnd w:id="488"/>
    </w:p>
    <w:p>
      <w:pPr>
        <w:rPr>
          <w:rFonts w:ascii="宋体" w:hAnsi="宋体" w:cs="宋体"/>
        </w:rPr>
      </w:pPr>
    </w:p>
    <w:p>
      <w:pPr>
        <w:pStyle w:val="8"/>
        <w:snapToGrid w:val="0"/>
        <w:spacing w:before="50" w:after="120"/>
        <w:ind w:firstLine="0"/>
        <w:rPr>
          <w:rFonts w:ascii="宋体" w:hAnsi="宋体" w:cs="宋体"/>
          <w:szCs w:val="21"/>
        </w:rPr>
      </w:pPr>
    </w:p>
    <w:p>
      <w:pPr>
        <w:jc w:val="center"/>
        <w:rPr>
          <w:rFonts w:ascii="宋体" w:hAnsi="宋体" w:cs="宋体"/>
          <w:b/>
          <w:sz w:val="24"/>
        </w:rPr>
      </w:pPr>
      <w:r>
        <w:rPr>
          <w:rFonts w:hint="eastAsia" w:ascii="宋体" w:hAnsi="宋体" w:cs="宋体"/>
          <w:b/>
          <w:sz w:val="24"/>
        </w:rPr>
        <w:t>商务技术文件封面</w:t>
      </w:r>
    </w:p>
    <w:p>
      <w:pPr>
        <w:jc w:val="center"/>
        <w:rPr>
          <w:rFonts w:ascii="宋体" w:hAnsi="宋体" w:cs="宋体"/>
        </w:rPr>
      </w:pPr>
      <w:r>
        <w:rPr>
          <w:rFonts w:hint="eastAsia" w:ascii="宋体" w:hAnsi="宋体" w:cs="宋体"/>
        </w:rPr>
        <w:t>（格式）</w:t>
      </w:r>
    </w:p>
    <w:p>
      <w:pPr>
        <w:pStyle w:val="8"/>
        <w:snapToGrid w:val="0"/>
        <w:spacing w:before="50" w:after="120"/>
        <w:ind w:firstLine="0"/>
        <w:rPr>
          <w:rFonts w:ascii="宋体" w:hAnsi="宋体" w:cs="宋体"/>
          <w:szCs w:val="21"/>
        </w:rPr>
      </w:pPr>
    </w:p>
    <w:p>
      <w:pPr>
        <w:snapToGrid w:val="0"/>
        <w:spacing w:before="120" w:beforeLines="50" w:after="50"/>
        <w:jc w:val="center"/>
        <w:rPr>
          <w:rFonts w:hint="eastAsia" w:ascii="宋体" w:hAnsi="宋体" w:cs="宋体"/>
          <w:sz w:val="24"/>
        </w:rPr>
      </w:pPr>
      <w:r>
        <w:rPr>
          <w:rFonts w:hint="eastAsia" w:ascii="宋体" w:hAnsi="宋体" w:cs="宋体"/>
          <w:sz w:val="24"/>
        </w:rPr>
        <w:t>商务技术文件</w:t>
      </w:r>
    </w:p>
    <w:p>
      <w:pPr>
        <w:spacing w:line="360" w:lineRule="auto"/>
        <w:rPr>
          <w:rFonts w:ascii="宋体" w:hAnsi="宋体" w:cs="宋体"/>
          <w:szCs w:val="21"/>
        </w:rPr>
      </w:pPr>
    </w:p>
    <w:p>
      <w:pPr>
        <w:spacing w:line="360" w:lineRule="auto"/>
        <w:ind w:firstLine="1799" w:firstLineChars="857"/>
        <w:rPr>
          <w:rFonts w:ascii="宋体" w:hAnsi="宋体" w:cs="宋体"/>
          <w:szCs w:val="21"/>
          <w:u w:val="single"/>
        </w:rPr>
      </w:pPr>
      <w:r>
        <w:rPr>
          <w:rFonts w:hint="eastAsia" w:ascii="宋体" w:hAnsi="宋体" w:cs="宋体"/>
          <w:szCs w:val="21"/>
        </w:rPr>
        <w:t>项目名称：</w:t>
      </w:r>
    </w:p>
    <w:p>
      <w:pPr>
        <w:spacing w:line="360" w:lineRule="auto"/>
        <w:ind w:firstLine="1799" w:firstLineChars="857"/>
        <w:rPr>
          <w:rFonts w:ascii="宋体" w:hAnsi="宋体" w:cs="宋体"/>
          <w:szCs w:val="21"/>
        </w:rPr>
      </w:pPr>
      <w:r>
        <w:rPr>
          <w:rFonts w:hint="eastAsia" w:ascii="宋体" w:hAnsi="宋体" w:cs="宋体"/>
          <w:szCs w:val="21"/>
        </w:rPr>
        <w:t>采购编号：</w:t>
      </w:r>
    </w:p>
    <w:p>
      <w:pPr>
        <w:spacing w:line="360" w:lineRule="auto"/>
        <w:ind w:firstLine="1799" w:firstLineChars="857"/>
        <w:rPr>
          <w:rFonts w:ascii="宋体" w:hAnsi="宋体" w:cs="宋体"/>
          <w:szCs w:val="21"/>
          <w:u w:val="single"/>
        </w:rPr>
      </w:pPr>
      <w:r>
        <w:rPr>
          <w:rFonts w:hint="eastAsia" w:ascii="宋体" w:hAnsi="宋体" w:cs="宋体"/>
          <w:szCs w:val="21"/>
        </w:rPr>
        <w:t>标段：</w:t>
      </w:r>
      <w:r>
        <w:rPr>
          <w:rFonts w:hint="eastAsia" w:ascii="宋体" w:hAnsi="宋体" w:cs="宋体"/>
          <w:szCs w:val="21"/>
          <w:u w:val="single"/>
        </w:rPr>
        <w:t>（若有）</w:t>
      </w:r>
    </w:p>
    <w:p>
      <w:pPr>
        <w:spacing w:line="360" w:lineRule="auto"/>
        <w:ind w:firstLine="1799" w:firstLineChars="857"/>
        <w:rPr>
          <w:rFonts w:ascii="宋体" w:hAnsi="宋体" w:cs="宋体"/>
          <w:szCs w:val="21"/>
          <w:u w:val="single"/>
        </w:rPr>
      </w:pPr>
      <w:r>
        <w:rPr>
          <w:rFonts w:hint="eastAsia" w:ascii="宋体" w:hAnsi="宋体" w:cs="宋体"/>
          <w:szCs w:val="21"/>
        </w:rPr>
        <w:t>供应商名称：</w:t>
      </w:r>
    </w:p>
    <w:p>
      <w:pPr>
        <w:spacing w:line="360" w:lineRule="auto"/>
        <w:ind w:firstLine="1799" w:firstLineChars="857"/>
        <w:rPr>
          <w:rFonts w:ascii="宋体" w:hAnsi="宋体" w:cs="宋体"/>
          <w:szCs w:val="21"/>
          <w:u w:val="single"/>
        </w:rPr>
      </w:pPr>
      <w:r>
        <w:rPr>
          <w:rFonts w:hint="eastAsia" w:ascii="宋体" w:hAnsi="宋体" w:cs="宋体"/>
          <w:szCs w:val="21"/>
        </w:rPr>
        <w:t>供应商地址：</w:t>
      </w:r>
    </w:p>
    <w:p>
      <w:pPr>
        <w:spacing w:line="360" w:lineRule="auto"/>
        <w:ind w:firstLine="1799" w:firstLineChars="857"/>
        <w:rPr>
          <w:rFonts w:ascii="宋体" w:hAnsi="宋体" w:cs="宋体"/>
          <w:szCs w:val="21"/>
          <w:u w:val="single"/>
        </w:rPr>
      </w:pPr>
      <w:r>
        <w:rPr>
          <w:rFonts w:hint="eastAsia" w:ascii="宋体" w:hAnsi="宋体" w:cs="宋体"/>
          <w:szCs w:val="21"/>
        </w:rPr>
        <w:t>邮编：</w:t>
      </w:r>
    </w:p>
    <w:p>
      <w:pPr>
        <w:spacing w:line="360" w:lineRule="auto"/>
        <w:ind w:firstLine="1799" w:firstLineChars="857"/>
        <w:rPr>
          <w:rFonts w:ascii="宋体" w:hAnsi="宋体" w:cs="宋体"/>
          <w:szCs w:val="21"/>
          <w:u w:val="single"/>
        </w:rPr>
      </w:pPr>
    </w:p>
    <w:p>
      <w:pPr>
        <w:spacing w:line="360" w:lineRule="auto"/>
        <w:jc w:val="center"/>
        <w:rPr>
          <w:rFonts w:ascii="宋体" w:hAnsi="宋体" w:cs="宋体"/>
          <w:szCs w:val="21"/>
        </w:rPr>
      </w:pPr>
      <w:r>
        <w:rPr>
          <w:rFonts w:hint="eastAsia" w:ascii="宋体" w:hAnsi="宋体" w:cs="宋体"/>
          <w:szCs w:val="21"/>
        </w:rPr>
        <w:t>年 月  日</w:t>
      </w:r>
    </w:p>
    <w:p>
      <w:pPr>
        <w:spacing w:line="360" w:lineRule="auto"/>
        <w:jc w:val="center"/>
        <w:rPr>
          <w:rFonts w:ascii="宋体" w:hAnsi="宋体" w:cs="宋体"/>
          <w:b/>
          <w:szCs w:val="21"/>
        </w:rPr>
        <w:sectPr>
          <w:pgSz w:w="11906" w:h="16838"/>
          <w:pgMar w:top="1417" w:right="1417" w:bottom="1134" w:left="1417" w:header="851" w:footer="850" w:gutter="0"/>
          <w:cols w:space="720" w:num="1"/>
          <w:titlePg/>
          <w:docGrid w:linePitch="312" w:charSpace="0"/>
        </w:sectPr>
      </w:pPr>
    </w:p>
    <w:p>
      <w:pPr>
        <w:jc w:val="center"/>
        <w:rPr>
          <w:rFonts w:ascii="宋体" w:hAnsi="宋体" w:cs="宋体"/>
          <w:b/>
          <w:sz w:val="28"/>
          <w:szCs w:val="28"/>
        </w:rPr>
      </w:pPr>
      <w:r>
        <w:rPr>
          <w:rFonts w:hint="eastAsia" w:ascii="宋体" w:hAnsi="宋体" w:cs="宋体"/>
          <w:b/>
          <w:sz w:val="28"/>
          <w:szCs w:val="28"/>
        </w:rPr>
        <w:t>商务技术文件目录</w:t>
      </w:r>
    </w:p>
    <w:p>
      <w:pPr>
        <w:jc w:val="center"/>
        <w:rPr>
          <w:rFonts w:ascii="宋体" w:hAnsi="宋体" w:cs="宋体"/>
          <w:b/>
          <w:sz w:val="28"/>
          <w:szCs w:val="28"/>
        </w:rPr>
      </w:pPr>
    </w:p>
    <w:p>
      <w:pPr>
        <w:jc w:val="center"/>
        <w:rPr>
          <w:rFonts w:ascii="宋体" w:hAnsi="宋体" w:cs="宋体"/>
          <w:b/>
          <w:sz w:val="24"/>
          <w:highlight w:val="yellow"/>
        </w:rPr>
      </w:pPr>
    </w:p>
    <w:p>
      <w:pPr>
        <w:snapToGrid w:val="0"/>
        <w:spacing w:line="360" w:lineRule="auto"/>
        <w:rPr>
          <w:rFonts w:ascii="宋体" w:hAnsi="宋体" w:cs="宋体"/>
          <w:b/>
          <w:szCs w:val="21"/>
        </w:rPr>
      </w:pPr>
      <w:r>
        <w:rPr>
          <w:rFonts w:hint="eastAsia" w:ascii="宋体" w:hAnsi="宋体" w:cs="宋体"/>
          <w:b/>
          <w:szCs w:val="21"/>
        </w:rPr>
        <w:t>(一)、商务技术文件</w:t>
      </w:r>
    </w:p>
    <w:p>
      <w:pPr>
        <w:snapToGrid w:val="0"/>
        <w:spacing w:line="360" w:lineRule="auto"/>
        <w:rPr>
          <w:rFonts w:hint="eastAsia" w:ascii="宋体" w:hAnsi="宋体" w:cs="宋体"/>
          <w:bCs/>
          <w:szCs w:val="21"/>
        </w:rPr>
      </w:pPr>
      <w:r>
        <w:rPr>
          <w:rFonts w:hint="eastAsia" w:ascii="宋体" w:hAnsi="宋体" w:cs="宋体"/>
          <w:bCs/>
          <w:szCs w:val="21"/>
        </w:rPr>
        <w:t>（1）磋商函</w:t>
      </w:r>
    </w:p>
    <w:p>
      <w:pPr>
        <w:snapToGrid w:val="0"/>
        <w:spacing w:line="360" w:lineRule="auto"/>
        <w:rPr>
          <w:rFonts w:ascii="宋体" w:hAnsi="宋体" w:cs="宋体"/>
          <w:bCs/>
          <w:szCs w:val="21"/>
        </w:rPr>
      </w:pPr>
      <w:r>
        <w:rPr>
          <w:rFonts w:hint="eastAsia" w:ascii="宋体" w:hAnsi="宋体" w:cs="宋体"/>
          <w:bCs/>
          <w:szCs w:val="21"/>
        </w:rPr>
        <w:t>（2）承诺函</w:t>
      </w:r>
    </w:p>
    <w:p>
      <w:pPr>
        <w:snapToGrid w:val="0"/>
        <w:spacing w:line="360" w:lineRule="auto"/>
        <w:rPr>
          <w:rFonts w:hint="eastAsia" w:ascii="宋体" w:hAnsi="宋体" w:cs="宋体"/>
          <w:bCs/>
          <w:szCs w:val="21"/>
        </w:rPr>
      </w:pPr>
      <w:r>
        <w:rPr>
          <w:rFonts w:hint="eastAsia" w:ascii="宋体" w:hAnsi="宋体" w:cs="宋体"/>
          <w:bCs/>
          <w:szCs w:val="21"/>
        </w:rPr>
        <w:t>（3）商务响应表</w:t>
      </w:r>
    </w:p>
    <w:p>
      <w:pPr>
        <w:snapToGrid w:val="0"/>
        <w:spacing w:line="360" w:lineRule="auto"/>
        <w:rPr>
          <w:rFonts w:hint="eastAsia" w:ascii="宋体" w:hAnsi="宋体" w:cs="宋体"/>
          <w:bCs/>
          <w:szCs w:val="21"/>
          <w:lang w:val="zh-CN"/>
        </w:rPr>
      </w:pPr>
      <w:r>
        <w:rPr>
          <w:rFonts w:hint="eastAsia" w:ascii="宋体" w:hAnsi="宋体" w:cs="宋体"/>
          <w:bCs/>
          <w:szCs w:val="21"/>
        </w:rPr>
        <w:t>（4）业绩</w:t>
      </w:r>
    </w:p>
    <w:p>
      <w:pPr>
        <w:snapToGrid w:val="0"/>
        <w:spacing w:line="360" w:lineRule="auto"/>
        <w:rPr>
          <w:rFonts w:ascii="宋体" w:hAnsi="宋体" w:cs="宋体"/>
          <w:bCs/>
          <w:szCs w:val="21"/>
        </w:rPr>
      </w:pPr>
      <w:r>
        <w:rPr>
          <w:rFonts w:hint="eastAsia" w:ascii="宋体" w:hAnsi="宋体" w:cs="宋体"/>
          <w:bCs/>
          <w:szCs w:val="21"/>
        </w:rPr>
        <w:t>（5）项目服务方案</w:t>
      </w:r>
    </w:p>
    <w:p>
      <w:pPr>
        <w:snapToGrid w:val="0"/>
        <w:spacing w:line="360" w:lineRule="auto"/>
        <w:rPr>
          <w:rFonts w:ascii="宋体" w:hAnsi="宋体" w:cs="宋体"/>
          <w:bCs/>
          <w:szCs w:val="21"/>
        </w:rPr>
      </w:pPr>
      <w:r>
        <w:rPr>
          <w:rFonts w:hint="eastAsia" w:ascii="宋体" w:hAnsi="宋体" w:cs="宋体"/>
          <w:bCs/>
          <w:szCs w:val="21"/>
        </w:rPr>
        <w:t>（6）项目重点难点分析</w:t>
      </w:r>
    </w:p>
    <w:p>
      <w:pPr>
        <w:snapToGrid w:val="0"/>
        <w:spacing w:line="360" w:lineRule="auto"/>
        <w:rPr>
          <w:rFonts w:ascii="宋体" w:hAnsi="宋体" w:cs="宋体"/>
          <w:bCs/>
          <w:szCs w:val="21"/>
        </w:rPr>
      </w:pPr>
      <w:r>
        <w:rPr>
          <w:rFonts w:hint="eastAsia" w:ascii="宋体" w:hAnsi="宋体" w:cs="宋体"/>
          <w:bCs/>
          <w:szCs w:val="21"/>
        </w:rPr>
        <w:t>（7）项目目标和需求的理解</w:t>
      </w:r>
    </w:p>
    <w:p>
      <w:pPr>
        <w:snapToGrid w:val="0"/>
        <w:spacing w:line="360" w:lineRule="auto"/>
        <w:rPr>
          <w:rFonts w:ascii="宋体" w:hAnsi="宋体" w:cs="宋体"/>
          <w:bCs/>
          <w:szCs w:val="21"/>
        </w:rPr>
      </w:pPr>
      <w:r>
        <w:rPr>
          <w:rFonts w:hint="eastAsia" w:ascii="宋体" w:hAnsi="宋体" w:cs="宋体"/>
          <w:bCs/>
          <w:szCs w:val="21"/>
        </w:rPr>
        <w:t>（8）管理制度</w:t>
      </w:r>
    </w:p>
    <w:p>
      <w:pPr>
        <w:snapToGrid w:val="0"/>
        <w:spacing w:line="360" w:lineRule="auto"/>
        <w:rPr>
          <w:rFonts w:hint="eastAsia" w:ascii="宋体" w:hAnsi="宋体" w:cs="宋体"/>
          <w:bCs/>
          <w:szCs w:val="21"/>
        </w:rPr>
      </w:pPr>
      <w:r>
        <w:rPr>
          <w:rFonts w:hint="eastAsia" w:ascii="宋体" w:hAnsi="宋体" w:cs="宋体"/>
          <w:bCs/>
          <w:szCs w:val="21"/>
        </w:rPr>
        <w:t>（9）保障能力及措施</w:t>
      </w:r>
    </w:p>
    <w:p>
      <w:pPr>
        <w:snapToGrid w:val="0"/>
        <w:spacing w:line="360" w:lineRule="auto"/>
        <w:rPr>
          <w:rFonts w:hint="eastAsia" w:ascii="宋体" w:hAnsi="宋体" w:cs="宋体"/>
          <w:bCs/>
          <w:szCs w:val="21"/>
        </w:rPr>
      </w:pPr>
      <w:r>
        <w:rPr>
          <w:rFonts w:hint="eastAsia" w:ascii="宋体" w:hAnsi="宋体" w:cs="宋体"/>
          <w:bCs/>
          <w:szCs w:val="21"/>
        </w:rPr>
        <w:t>（10）人员配置</w:t>
      </w:r>
    </w:p>
    <w:p>
      <w:pPr>
        <w:snapToGrid w:val="0"/>
        <w:spacing w:line="360" w:lineRule="auto"/>
        <w:rPr>
          <w:rFonts w:hint="eastAsia" w:ascii="宋体" w:hAnsi="宋体" w:cs="宋体"/>
          <w:bCs/>
          <w:szCs w:val="21"/>
        </w:rPr>
      </w:pPr>
      <w:r>
        <w:rPr>
          <w:rFonts w:hint="eastAsia" w:ascii="宋体" w:hAnsi="宋体" w:cs="宋体"/>
          <w:bCs/>
          <w:szCs w:val="21"/>
        </w:rPr>
        <w:t>（11）设备配置</w:t>
      </w:r>
    </w:p>
    <w:p>
      <w:pPr>
        <w:snapToGrid w:val="0"/>
        <w:spacing w:line="360" w:lineRule="auto"/>
        <w:rPr>
          <w:rFonts w:hint="eastAsia" w:ascii="宋体" w:hAnsi="宋体" w:cs="宋体"/>
          <w:bCs/>
          <w:szCs w:val="21"/>
        </w:rPr>
      </w:pPr>
      <w:r>
        <w:rPr>
          <w:rFonts w:hint="eastAsia" w:ascii="宋体" w:hAnsi="宋体" w:cs="宋体"/>
          <w:bCs/>
          <w:szCs w:val="21"/>
        </w:rPr>
        <w:t>（12）质量保证、工期保障措施</w:t>
      </w:r>
    </w:p>
    <w:p>
      <w:pPr>
        <w:snapToGrid w:val="0"/>
        <w:spacing w:line="360" w:lineRule="auto"/>
        <w:rPr>
          <w:rFonts w:ascii="宋体" w:hAnsi="宋体" w:cs="宋体"/>
          <w:bCs/>
          <w:szCs w:val="21"/>
        </w:rPr>
      </w:pPr>
      <w:r>
        <w:rPr>
          <w:rFonts w:hint="eastAsia" w:ascii="宋体" w:hAnsi="宋体" w:cs="宋体"/>
          <w:bCs/>
          <w:szCs w:val="21"/>
        </w:rPr>
        <w:t>（13）其他承诺情况</w:t>
      </w:r>
    </w:p>
    <w:p>
      <w:pPr>
        <w:snapToGrid w:val="0"/>
        <w:spacing w:line="360" w:lineRule="auto"/>
        <w:rPr>
          <w:rFonts w:hint="eastAsia" w:ascii="宋体" w:hAnsi="宋体" w:cs="宋体"/>
          <w:b/>
          <w:szCs w:val="21"/>
        </w:rPr>
      </w:pPr>
      <w:r>
        <w:rPr>
          <w:rFonts w:hint="eastAsia" w:ascii="宋体" w:hAnsi="宋体" w:cs="宋体"/>
          <w:bCs/>
          <w:szCs w:val="21"/>
        </w:rPr>
        <w:t>（14）供应商认为有利于本次磋商的其它技术文件</w:t>
      </w:r>
      <w:bookmarkStart w:id="489" w:name="_Toc18086"/>
      <w:r>
        <w:rPr>
          <w:rFonts w:hint="eastAsia" w:ascii="宋体" w:hAnsi="宋体" w:cs="宋体"/>
          <w:bCs/>
          <w:szCs w:val="21"/>
          <w:lang w:eastAsia="zh-CN"/>
        </w:rPr>
        <w:t>。</w:t>
      </w:r>
      <w:r>
        <w:rPr>
          <w:rFonts w:hint="eastAsia" w:ascii="宋体" w:hAnsi="宋体" w:cs="宋体"/>
          <w:b/>
          <w:szCs w:val="21"/>
        </w:rPr>
        <w:br w:type="page"/>
      </w:r>
    </w:p>
    <w:p>
      <w:pPr>
        <w:snapToGrid w:val="0"/>
        <w:spacing w:line="360" w:lineRule="auto"/>
        <w:rPr>
          <w:rFonts w:ascii="宋体" w:hAnsi="宋体" w:cs="宋体"/>
          <w:b/>
          <w:sz w:val="28"/>
          <w:szCs w:val="28"/>
        </w:rPr>
      </w:pPr>
      <w:r>
        <w:rPr>
          <w:rFonts w:hint="eastAsia" w:ascii="宋体" w:hAnsi="宋体" w:cs="宋体"/>
          <w:b/>
          <w:szCs w:val="21"/>
        </w:rPr>
        <w:t>(一)、资信及商务文件</w:t>
      </w:r>
      <w:bookmarkEnd w:id="489"/>
    </w:p>
    <w:p>
      <w:pPr>
        <w:jc w:val="center"/>
        <w:rPr>
          <w:rFonts w:ascii="宋体" w:hAnsi="宋体" w:cs="宋体"/>
          <w:b/>
          <w:sz w:val="24"/>
        </w:rPr>
      </w:pPr>
      <w:bookmarkStart w:id="490" w:name="_Toc5509"/>
      <w:r>
        <w:rPr>
          <w:rFonts w:hint="eastAsia" w:ascii="宋体" w:hAnsi="宋体" w:cs="宋体"/>
          <w:b/>
          <w:sz w:val="28"/>
          <w:szCs w:val="28"/>
        </w:rPr>
        <w:t>1、磋商函</w:t>
      </w:r>
      <w:bookmarkEnd w:id="490"/>
    </w:p>
    <w:p>
      <w:pPr>
        <w:spacing w:line="360" w:lineRule="auto"/>
        <w:rPr>
          <w:rFonts w:ascii="宋体" w:hAnsi="宋体" w:cs="宋体"/>
          <w:sz w:val="22"/>
          <w:szCs w:val="22"/>
        </w:rPr>
      </w:pPr>
    </w:p>
    <w:p>
      <w:pPr>
        <w:pStyle w:val="22"/>
        <w:spacing w:beforeLines="0" w:afterLines="0" w:line="360" w:lineRule="auto"/>
        <w:rPr>
          <w:rFonts w:hAnsi="宋体" w:cs="宋体"/>
          <w:sz w:val="22"/>
          <w:szCs w:val="22"/>
        </w:rPr>
      </w:pPr>
      <w:r>
        <w:rPr>
          <w:rFonts w:hint="eastAsia" w:hAnsi="宋体" w:cs="宋体"/>
          <w:sz w:val="22"/>
          <w:szCs w:val="22"/>
        </w:rPr>
        <w:t>致：</w:t>
      </w:r>
      <w:r>
        <w:rPr>
          <w:rFonts w:hint="eastAsia" w:hAnsi="宋体" w:cs="宋体"/>
          <w:sz w:val="22"/>
          <w:szCs w:val="22"/>
          <w:u w:val="single"/>
        </w:rPr>
        <w:t xml:space="preserve">          （采购人名称）</w:t>
      </w:r>
    </w:p>
    <w:p>
      <w:pPr>
        <w:pStyle w:val="22"/>
        <w:spacing w:beforeLines="0" w:afterLines="0" w:line="360" w:lineRule="auto"/>
        <w:ind w:firstLine="482"/>
        <w:rPr>
          <w:rFonts w:hAnsi="宋体" w:cs="宋体"/>
          <w:sz w:val="22"/>
          <w:szCs w:val="22"/>
        </w:rPr>
      </w:pPr>
    </w:p>
    <w:p>
      <w:pPr>
        <w:pStyle w:val="22"/>
        <w:spacing w:beforeLines="0" w:afterLines="0" w:line="360" w:lineRule="auto"/>
        <w:ind w:firstLine="440" w:firstLineChars="200"/>
        <w:rPr>
          <w:rFonts w:hAnsi="宋体" w:cs="宋体"/>
          <w:sz w:val="22"/>
          <w:szCs w:val="22"/>
        </w:rPr>
      </w:pPr>
      <w:r>
        <w:rPr>
          <w:rFonts w:hint="eastAsia" w:hAnsi="宋体" w:cs="宋体"/>
          <w:sz w:val="22"/>
          <w:szCs w:val="22"/>
        </w:rPr>
        <w:t>1.根据贵方</w:t>
      </w:r>
      <w:r>
        <w:rPr>
          <w:rFonts w:hint="eastAsia" w:hAnsi="宋体" w:cs="宋体"/>
          <w:sz w:val="22"/>
          <w:szCs w:val="22"/>
          <w:u w:val="single"/>
        </w:rPr>
        <w:t xml:space="preserve">            （项目名称）</w:t>
      </w:r>
      <w:r>
        <w:rPr>
          <w:rFonts w:hint="eastAsia" w:hAnsi="宋体" w:cs="宋体"/>
          <w:sz w:val="22"/>
          <w:szCs w:val="22"/>
        </w:rPr>
        <w:t>项目（采购编号：</w:t>
      </w:r>
      <w:r>
        <w:rPr>
          <w:rFonts w:hint="eastAsia" w:hAnsi="宋体" w:cs="宋体"/>
          <w:sz w:val="22"/>
          <w:szCs w:val="22"/>
          <w:u w:val="single"/>
        </w:rPr>
        <w:t xml:space="preserve">        </w:t>
      </w:r>
      <w:r>
        <w:rPr>
          <w:rFonts w:hint="eastAsia" w:hAnsi="宋体" w:cs="宋体"/>
          <w:sz w:val="22"/>
          <w:szCs w:val="22"/>
        </w:rPr>
        <w:t>）的竞争性磋商文件要求，正式授权下述签字人</w:t>
      </w:r>
      <w:r>
        <w:rPr>
          <w:rFonts w:hint="eastAsia" w:hAnsi="宋体" w:cs="宋体"/>
          <w:sz w:val="22"/>
          <w:szCs w:val="22"/>
          <w:u w:val="single"/>
        </w:rPr>
        <w:t xml:space="preserve">          （姓名和职务）</w:t>
      </w:r>
      <w:r>
        <w:rPr>
          <w:rFonts w:hint="eastAsia" w:hAnsi="宋体" w:cs="宋体"/>
          <w:sz w:val="22"/>
          <w:szCs w:val="22"/>
        </w:rPr>
        <w:t>全权代表供应商</w:t>
      </w:r>
      <w:r>
        <w:rPr>
          <w:rFonts w:hint="eastAsia" w:hAnsi="宋体" w:cs="宋体"/>
          <w:sz w:val="22"/>
          <w:szCs w:val="22"/>
          <w:u w:val="single"/>
        </w:rPr>
        <w:t xml:space="preserve">           （供应商全称）</w:t>
      </w:r>
      <w:r>
        <w:rPr>
          <w:rFonts w:hint="eastAsia" w:hAnsi="宋体" w:cs="宋体"/>
          <w:sz w:val="22"/>
          <w:szCs w:val="22"/>
        </w:rPr>
        <w:t>参加贵方组织的有关磋商活动，并提交电子响应文件：</w:t>
      </w:r>
    </w:p>
    <w:p>
      <w:pPr>
        <w:pStyle w:val="22"/>
        <w:spacing w:beforeLines="0" w:afterLines="0" w:line="360" w:lineRule="auto"/>
        <w:ind w:firstLine="440" w:firstLineChars="200"/>
        <w:rPr>
          <w:rFonts w:hAnsi="宋体" w:cs="宋体"/>
          <w:sz w:val="22"/>
          <w:szCs w:val="22"/>
        </w:rPr>
      </w:pPr>
      <w:r>
        <w:rPr>
          <w:rFonts w:hint="eastAsia" w:hAnsi="宋体" w:cs="宋体"/>
          <w:sz w:val="22"/>
          <w:szCs w:val="22"/>
        </w:rPr>
        <w:t>政府采购云系统提交电子加密响应文件</w:t>
      </w:r>
      <w:r>
        <w:rPr>
          <w:rFonts w:hint="eastAsia" w:hAnsi="宋体" w:cs="宋体"/>
          <w:sz w:val="22"/>
          <w:szCs w:val="22"/>
          <w:u w:val="single"/>
        </w:rPr>
        <w:t xml:space="preserve">    </w:t>
      </w:r>
      <w:r>
        <w:rPr>
          <w:rFonts w:hint="eastAsia" w:hAnsi="宋体" w:cs="宋体"/>
          <w:sz w:val="22"/>
          <w:szCs w:val="22"/>
        </w:rPr>
        <w:t>份；</w:t>
      </w:r>
    </w:p>
    <w:p>
      <w:pPr>
        <w:pStyle w:val="22"/>
        <w:spacing w:beforeLines="0" w:afterLines="0" w:line="360" w:lineRule="auto"/>
        <w:ind w:firstLine="440" w:firstLineChars="200"/>
        <w:rPr>
          <w:rFonts w:hAnsi="宋体" w:cs="宋体"/>
          <w:sz w:val="22"/>
          <w:szCs w:val="22"/>
        </w:rPr>
      </w:pPr>
      <w:r>
        <w:rPr>
          <w:rFonts w:hint="eastAsia" w:hAnsi="宋体" w:cs="宋体"/>
          <w:sz w:val="22"/>
          <w:szCs w:val="22"/>
        </w:rPr>
        <w:t>通过电子邮件提交备份电子响应文件（打包压缩加密）</w:t>
      </w:r>
      <w:r>
        <w:rPr>
          <w:rFonts w:hint="eastAsia" w:hAnsi="宋体" w:cs="宋体"/>
          <w:sz w:val="22"/>
          <w:szCs w:val="22"/>
          <w:u w:val="single"/>
        </w:rPr>
        <w:t xml:space="preserve">    </w:t>
      </w:r>
      <w:r>
        <w:rPr>
          <w:rFonts w:hint="eastAsia" w:hAnsi="宋体" w:cs="宋体"/>
          <w:sz w:val="22"/>
          <w:szCs w:val="22"/>
        </w:rPr>
        <w:t>份；</w:t>
      </w:r>
    </w:p>
    <w:p>
      <w:pPr>
        <w:pStyle w:val="22"/>
        <w:spacing w:beforeLines="0" w:afterLines="0" w:line="360" w:lineRule="auto"/>
        <w:ind w:firstLine="440" w:firstLineChars="200"/>
        <w:rPr>
          <w:rFonts w:hAnsi="宋体" w:cs="宋体"/>
          <w:sz w:val="22"/>
          <w:szCs w:val="22"/>
        </w:rPr>
      </w:pPr>
      <w:r>
        <w:rPr>
          <w:rFonts w:hint="eastAsia" w:hAnsi="宋体" w:cs="宋体"/>
          <w:sz w:val="22"/>
          <w:szCs w:val="22"/>
        </w:rPr>
        <w:t>2.据此函，签字人兹宣布同意如下：</w:t>
      </w:r>
    </w:p>
    <w:p>
      <w:pPr>
        <w:pStyle w:val="22"/>
        <w:spacing w:beforeLines="0" w:afterLines="0" w:line="360" w:lineRule="auto"/>
        <w:ind w:firstLine="330" w:firstLineChars="150"/>
        <w:rPr>
          <w:rFonts w:hAnsi="宋体" w:cs="宋体"/>
          <w:sz w:val="22"/>
          <w:szCs w:val="22"/>
        </w:rPr>
      </w:pPr>
      <w:r>
        <w:rPr>
          <w:rFonts w:hint="eastAsia" w:hAnsi="宋体" w:cs="宋体"/>
          <w:sz w:val="22"/>
          <w:szCs w:val="22"/>
        </w:rPr>
        <w:t>（1）我们承担根据竞争性磋商文件的规定，完成合同的责任和义务。</w:t>
      </w:r>
    </w:p>
    <w:p>
      <w:pPr>
        <w:pStyle w:val="22"/>
        <w:spacing w:beforeLines="0" w:afterLines="0" w:line="360" w:lineRule="auto"/>
        <w:ind w:firstLine="330" w:firstLineChars="150"/>
        <w:rPr>
          <w:rFonts w:hAnsi="宋体" w:cs="宋体"/>
          <w:sz w:val="22"/>
          <w:szCs w:val="22"/>
        </w:rPr>
      </w:pPr>
      <w:r>
        <w:rPr>
          <w:rFonts w:hint="eastAsia" w:hAnsi="宋体" w:cs="宋体"/>
          <w:sz w:val="22"/>
          <w:szCs w:val="22"/>
        </w:rPr>
        <w:t>（2）我们已详细审核全部竞争性磋商文件、参考资料及有关附件，我们知道必须放弃提出含糊不清或误解问题的权利。</w:t>
      </w:r>
    </w:p>
    <w:p>
      <w:pPr>
        <w:pStyle w:val="22"/>
        <w:spacing w:beforeLines="0" w:afterLines="0" w:line="360" w:lineRule="auto"/>
        <w:ind w:firstLine="330" w:firstLineChars="150"/>
        <w:rPr>
          <w:rFonts w:hAnsi="宋体" w:cs="宋体"/>
          <w:sz w:val="22"/>
          <w:szCs w:val="22"/>
        </w:rPr>
      </w:pPr>
      <w:r>
        <w:rPr>
          <w:rFonts w:hint="eastAsia" w:hAnsi="宋体" w:cs="宋体"/>
          <w:sz w:val="22"/>
          <w:szCs w:val="22"/>
        </w:rPr>
        <w:t>（3）我们同意在供应商须知规定的磋商日期起遵循本响应文件，并在供应商须知规定的磋商有效期满之前均具有约束力，并有可能中标（成交）。</w:t>
      </w:r>
    </w:p>
    <w:p>
      <w:pPr>
        <w:pStyle w:val="22"/>
        <w:spacing w:beforeLines="0" w:afterLines="0" w:line="360" w:lineRule="auto"/>
        <w:ind w:firstLine="330" w:firstLineChars="150"/>
        <w:rPr>
          <w:rFonts w:hAnsi="宋体" w:cs="宋体"/>
          <w:sz w:val="22"/>
          <w:szCs w:val="22"/>
        </w:rPr>
      </w:pPr>
      <w:r>
        <w:rPr>
          <w:rFonts w:hint="eastAsia" w:hAnsi="宋体" w:cs="宋体"/>
          <w:sz w:val="22"/>
          <w:szCs w:val="22"/>
        </w:rPr>
        <w:t>（4）如果在磋商规定的磋商有效期内撤回响应文件或者有其他违约行为，贵方有权上报财政部门，建议财政部门将本公司列入不良行为记录名单，在一至三年内禁止本公司参加政府采购活动并予以通报。</w:t>
      </w:r>
    </w:p>
    <w:p>
      <w:pPr>
        <w:pStyle w:val="22"/>
        <w:spacing w:beforeLines="0" w:afterLines="0" w:line="360" w:lineRule="auto"/>
        <w:ind w:firstLine="330" w:firstLineChars="150"/>
        <w:rPr>
          <w:rFonts w:hAnsi="宋体" w:cs="宋体"/>
          <w:sz w:val="22"/>
          <w:szCs w:val="22"/>
        </w:rPr>
      </w:pPr>
      <w:r>
        <w:rPr>
          <w:rFonts w:hint="eastAsia" w:hAnsi="宋体" w:cs="宋体"/>
          <w:sz w:val="22"/>
          <w:szCs w:val="22"/>
        </w:rPr>
        <w:t>（5）同意向贵方提供贵方可能要求的与本磋商有关的任何数据或资料。</w:t>
      </w:r>
    </w:p>
    <w:p>
      <w:pPr>
        <w:pStyle w:val="22"/>
        <w:spacing w:beforeLines="0" w:afterLines="0" w:line="360" w:lineRule="auto"/>
        <w:ind w:firstLine="330" w:firstLineChars="150"/>
        <w:rPr>
          <w:rFonts w:hAnsi="宋体" w:cs="宋体"/>
          <w:sz w:val="22"/>
          <w:szCs w:val="22"/>
        </w:rPr>
      </w:pPr>
      <w:r>
        <w:rPr>
          <w:rFonts w:hint="eastAsia" w:hAnsi="宋体" w:cs="宋体"/>
          <w:sz w:val="22"/>
          <w:szCs w:val="22"/>
        </w:rPr>
        <w:t>（6）我们完全理解贵方不一定要接受最低报价或收到的任何磋商。</w:t>
      </w:r>
    </w:p>
    <w:p>
      <w:pPr>
        <w:pStyle w:val="22"/>
        <w:spacing w:beforeLines="0" w:afterLines="0" w:line="360" w:lineRule="auto"/>
        <w:ind w:firstLine="420"/>
        <w:rPr>
          <w:rFonts w:hAnsi="宋体" w:cs="宋体"/>
          <w:b/>
          <w:sz w:val="22"/>
          <w:szCs w:val="22"/>
        </w:rPr>
      </w:pPr>
    </w:p>
    <w:p>
      <w:pPr>
        <w:pStyle w:val="22"/>
        <w:spacing w:beforeLines="0" w:afterLines="0" w:line="360" w:lineRule="auto"/>
        <w:ind w:firstLine="420"/>
        <w:rPr>
          <w:rFonts w:hAnsi="宋体" w:cs="宋体"/>
          <w:b/>
          <w:sz w:val="22"/>
          <w:szCs w:val="22"/>
        </w:rPr>
      </w:pPr>
      <w:r>
        <w:rPr>
          <w:rFonts w:hint="eastAsia" w:hAnsi="宋体" w:cs="宋体"/>
          <w:b/>
          <w:sz w:val="22"/>
          <w:szCs w:val="22"/>
        </w:rPr>
        <w:t>与本磋商有关的正式通讯地址为：</w:t>
      </w:r>
    </w:p>
    <w:p>
      <w:pPr>
        <w:pStyle w:val="22"/>
        <w:spacing w:beforeLines="0" w:afterLines="0" w:line="360" w:lineRule="auto"/>
        <w:ind w:firstLine="420"/>
        <w:rPr>
          <w:rFonts w:hAnsi="宋体" w:cs="宋体"/>
          <w:sz w:val="22"/>
          <w:szCs w:val="22"/>
        </w:rPr>
      </w:pPr>
      <w:r>
        <w:rPr>
          <w:rFonts w:hint="eastAsia" w:hAnsi="宋体" w:cs="宋体"/>
          <w:sz w:val="22"/>
          <w:szCs w:val="22"/>
        </w:rPr>
        <w:t>地址：</w:t>
      </w:r>
      <w:r>
        <w:rPr>
          <w:rFonts w:hint="eastAsia" w:hAnsi="宋体" w:cs="宋体"/>
          <w:sz w:val="22"/>
          <w:szCs w:val="22"/>
          <w:u w:val="single"/>
        </w:rPr>
        <w:t xml:space="preserve">                      </w:t>
      </w:r>
      <w:r>
        <w:rPr>
          <w:rFonts w:hint="eastAsia" w:hAnsi="宋体" w:cs="宋体"/>
          <w:sz w:val="22"/>
          <w:szCs w:val="22"/>
        </w:rPr>
        <w:t xml:space="preserve">  邮政编码：</w:t>
      </w:r>
      <w:r>
        <w:rPr>
          <w:rFonts w:hint="eastAsia" w:hAnsi="宋体" w:cs="宋体"/>
          <w:sz w:val="22"/>
          <w:szCs w:val="22"/>
          <w:u w:val="single"/>
        </w:rPr>
        <w:t xml:space="preserve">                   </w:t>
      </w:r>
    </w:p>
    <w:p>
      <w:pPr>
        <w:pStyle w:val="22"/>
        <w:spacing w:beforeLines="0" w:afterLines="0" w:line="360" w:lineRule="auto"/>
        <w:ind w:firstLine="420"/>
        <w:rPr>
          <w:rFonts w:hAnsi="宋体" w:cs="宋体"/>
          <w:sz w:val="22"/>
          <w:szCs w:val="22"/>
        </w:rPr>
      </w:pPr>
      <w:r>
        <w:rPr>
          <w:rFonts w:hint="eastAsia" w:hAnsi="宋体" w:cs="宋体"/>
          <w:sz w:val="22"/>
          <w:szCs w:val="22"/>
        </w:rPr>
        <w:t>电话、传真：</w:t>
      </w:r>
      <w:r>
        <w:rPr>
          <w:rFonts w:hint="eastAsia" w:hAnsi="宋体" w:cs="宋体"/>
          <w:sz w:val="22"/>
          <w:szCs w:val="22"/>
          <w:u w:val="single"/>
        </w:rPr>
        <w:t xml:space="preserve">                                               </w:t>
      </w:r>
    </w:p>
    <w:p>
      <w:pPr>
        <w:pStyle w:val="22"/>
        <w:spacing w:beforeLines="0" w:afterLines="0" w:line="360" w:lineRule="auto"/>
        <w:ind w:firstLine="420"/>
        <w:rPr>
          <w:rFonts w:hAnsi="宋体" w:cs="宋体"/>
          <w:sz w:val="22"/>
          <w:szCs w:val="22"/>
        </w:rPr>
      </w:pPr>
      <w:r>
        <w:rPr>
          <w:rFonts w:hint="eastAsia" w:hAnsi="宋体" w:cs="宋体"/>
          <w:sz w:val="22"/>
          <w:szCs w:val="22"/>
        </w:rPr>
        <w:t>电子邮件：</w:t>
      </w:r>
      <w:r>
        <w:rPr>
          <w:rFonts w:hint="eastAsia" w:hAnsi="宋体" w:cs="宋体"/>
          <w:sz w:val="22"/>
          <w:szCs w:val="22"/>
          <w:u w:val="single"/>
        </w:rPr>
        <w:t xml:space="preserve">                                                 </w:t>
      </w:r>
    </w:p>
    <w:p>
      <w:pPr>
        <w:pStyle w:val="22"/>
        <w:spacing w:beforeLines="0" w:afterLines="0" w:line="360" w:lineRule="auto"/>
        <w:ind w:firstLine="420"/>
        <w:rPr>
          <w:rFonts w:hAnsi="宋体" w:cs="宋体"/>
          <w:sz w:val="22"/>
          <w:szCs w:val="22"/>
        </w:rPr>
      </w:pPr>
    </w:p>
    <w:p>
      <w:pPr>
        <w:pStyle w:val="22"/>
        <w:spacing w:beforeLines="0" w:afterLines="0" w:line="360" w:lineRule="auto"/>
        <w:ind w:firstLine="420"/>
        <w:rPr>
          <w:rFonts w:hAnsi="宋体" w:cs="宋体"/>
          <w:sz w:val="22"/>
          <w:szCs w:val="22"/>
        </w:rPr>
      </w:pPr>
    </w:p>
    <w:p>
      <w:pPr>
        <w:pStyle w:val="22"/>
        <w:spacing w:before="120" w:after="120" w:line="360" w:lineRule="auto"/>
        <w:ind w:firstLine="1500" w:firstLineChars="600"/>
        <w:rPr>
          <w:rFonts w:hAnsi="宋体" w:cs="宋体"/>
          <w:spacing w:val="20"/>
          <w:sz w:val="21"/>
          <w:szCs w:val="21"/>
        </w:rPr>
      </w:pPr>
      <w:r>
        <w:rPr>
          <w:rFonts w:hint="eastAsia" w:hAnsi="宋体" w:cs="宋体"/>
          <w:spacing w:val="20"/>
          <w:sz w:val="21"/>
          <w:szCs w:val="21"/>
        </w:rPr>
        <w:t>法定代表人（或授权委托人）签字或盖章：</w:t>
      </w:r>
      <w:r>
        <w:rPr>
          <w:rFonts w:hint="eastAsia" w:hAnsi="宋体" w:cs="宋体"/>
          <w:spacing w:val="20"/>
          <w:sz w:val="21"/>
          <w:szCs w:val="21"/>
          <w:u w:val="single"/>
        </w:rPr>
        <w:t xml:space="preserve">            </w:t>
      </w:r>
      <w:r>
        <w:rPr>
          <w:rFonts w:hint="eastAsia" w:hAnsi="宋体" w:cs="宋体"/>
          <w:spacing w:val="20"/>
          <w:sz w:val="21"/>
          <w:szCs w:val="21"/>
        </w:rPr>
        <w:t xml:space="preserve"> </w:t>
      </w:r>
    </w:p>
    <w:p>
      <w:pPr>
        <w:pStyle w:val="22"/>
        <w:spacing w:before="120" w:after="120" w:line="360" w:lineRule="auto"/>
        <w:ind w:firstLine="4750" w:firstLineChars="1900"/>
        <w:rPr>
          <w:rFonts w:hAnsi="宋体" w:cs="宋体"/>
          <w:spacing w:val="20"/>
          <w:sz w:val="21"/>
          <w:szCs w:val="21"/>
          <w:u w:val="single"/>
        </w:rPr>
      </w:pPr>
      <w:r>
        <w:rPr>
          <w:rFonts w:hint="eastAsia" w:hAnsi="宋体" w:cs="宋体"/>
          <w:spacing w:val="20"/>
          <w:sz w:val="21"/>
          <w:szCs w:val="21"/>
        </w:rPr>
        <w:t>供应商盖章：</w:t>
      </w:r>
      <w:r>
        <w:rPr>
          <w:rFonts w:hint="eastAsia" w:hAnsi="宋体" w:cs="宋体"/>
          <w:spacing w:val="20"/>
          <w:sz w:val="21"/>
          <w:szCs w:val="21"/>
          <w:u w:val="single"/>
        </w:rPr>
        <w:t xml:space="preserve">            </w:t>
      </w:r>
    </w:p>
    <w:p>
      <w:pPr>
        <w:spacing w:line="360" w:lineRule="auto"/>
        <w:ind w:firstLine="4750" w:firstLineChars="1900"/>
        <w:rPr>
          <w:rFonts w:ascii="宋体" w:hAnsi="宋体" w:cs="宋体"/>
          <w:b/>
          <w:bCs/>
          <w:szCs w:val="21"/>
        </w:rPr>
      </w:pPr>
      <w:r>
        <w:rPr>
          <w:rFonts w:hint="eastAsia" w:ascii="宋体" w:hAnsi="宋体" w:cs="宋体"/>
          <w:spacing w:val="20"/>
          <w:szCs w:val="21"/>
        </w:rPr>
        <w:t>日     期：</w:t>
      </w:r>
      <w:r>
        <w:rPr>
          <w:rFonts w:hint="eastAsia" w:ascii="宋体" w:hAnsi="宋体" w:cs="宋体"/>
          <w:spacing w:val="20"/>
          <w:szCs w:val="21"/>
          <w:u w:val="single"/>
        </w:rPr>
        <w:t xml:space="preserve">            </w:t>
      </w:r>
    </w:p>
    <w:p>
      <w:pPr>
        <w:jc w:val="center"/>
        <w:rPr>
          <w:rFonts w:ascii="宋体" w:hAnsi="宋体" w:cs="宋体"/>
          <w:b/>
          <w:sz w:val="28"/>
          <w:szCs w:val="28"/>
        </w:rPr>
      </w:pPr>
    </w:p>
    <w:p>
      <w:pPr>
        <w:pStyle w:val="41"/>
        <w:rPr>
          <w:rFonts w:ascii="宋体" w:hAnsi="宋体"/>
        </w:rPr>
      </w:pPr>
    </w:p>
    <w:p>
      <w:pPr>
        <w:jc w:val="center"/>
        <w:rPr>
          <w:rFonts w:ascii="宋体" w:hAnsi="宋体" w:cs="宋体"/>
          <w:b/>
          <w:sz w:val="24"/>
        </w:rPr>
      </w:pPr>
      <w:bookmarkStart w:id="491" w:name="_Toc15781"/>
      <w:r>
        <w:rPr>
          <w:rFonts w:hint="eastAsia" w:ascii="宋体" w:hAnsi="宋体" w:cs="宋体"/>
          <w:b/>
          <w:sz w:val="28"/>
          <w:szCs w:val="28"/>
        </w:rPr>
        <w:t>2、承诺函</w:t>
      </w:r>
      <w:bookmarkEnd w:id="491"/>
    </w:p>
    <w:p>
      <w:pPr>
        <w:pStyle w:val="165"/>
        <w:spacing w:before="0" w:beforeAutospacing="0" w:after="0" w:afterAutospacing="0" w:line="408" w:lineRule="auto"/>
        <w:rPr>
          <w:sz w:val="22"/>
          <w:szCs w:val="22"/>
        </w:rPr>
      </w:pPr>
    </w:p>
    <w:p>
      <w:pPr>
        <w:pStyle w:val="165"/>
        <w:spacing w:before="0" w:beforeAutospacing="0" w:after="0" w:afterAutospacing="0" w:line="360" w:lineRule="auto"/>
        <w:rPr>
          <w:sz w:val="22"/>
          <w:szCs w:val="22"/>
        </w:rPr>
      </w:pPr>
      <w:r>
        <w:rPr>
          <w:rFonts w:hint="eastAsia"/>
          <w:sz w:val="22"/>
          <w:szCs w:val="22"/>
        </w:rPr>
        <w:t>致：</w:t>
      </w:r>
      <w:r>
        <w:rPr>
          <w:rFonts w:hint="eastAsia"/>
          <w:sz w:val="22"/>
          <w:szCs w:val="22"/>
          <w:u w:val="single"/>
        </w:rPr>
        <w:t xml:space="preserve">       （采购单位名称）</w:t>
      </w:r>
    </w:p>
    <w:p>
      <w:pPr>
        <w:pStyle w:val="32"/>
        <w:snapToGrid w:val="0"/>
        <w:spacing w:line="360" w:lineRule="auto"/>
        <w:ind w:left="0" w:firstLine="420" w:firstLineChars="0"/>
        <w:jc w:val="left"/>
        <w:rPr>
          <w:rFonts w:ascii="宋体" w:hAnsi="宋体" w:cs="宋体"/>
          <w:spacing w:val="6"/>
          <w:sz w:val="22"/>
          <w:szCs w:val="22"/>
        </w:rPr>
      </w:pPr>
      <w:r>
        <w:rPr>
          <w:rFonts w:hint="eastAsia" w:ascii="宋体" w:hAnsi="宋体" w:cs="宋体"/>
          <w:spacing w:val="6"/>
          <w:sz w:val="22"/>
          <w:szCs w:val="22"/>
        </w:rPr>
        <w:t>我方参与</w:t>
      </w:r>
      <w:r>
        <w:rPr>
          <w:rFonts w:hint="eastAsia" w:ascii="宋体" w:hAnsi="宋体" w:cs="宋体"/>
          <w:spacing w:val="6"/>
          <w:sz w:val="22"/>
          <w:szCs w:val="22"/>
          <w:u w:val="single"/>
        </w:rPr>
        <w:t xml:space="preserve">           （采购项目名称）</w:t>
      </w:r>
      <w:r>
        <w:rPr>
          <w:rFonts w:hint="eastAsia" w:ascii="宋体" w:hAnsi="宋体" w:cs="宋体"/>
          <w:spacing w:val="6"/>
          <w:sz w:val="22"/>
          <w:szCs w:val="22"/>
        </w:rPr>
        <w:t>（采购编号：</w:t>
      </w:r>
      <w:r>
        <w:rPr>
          <w:rFonts w:hint="eastAsia" w:ascii="宋体" w:hAnsi="宋体" w:cs="宋体"/>
          <w:spacing w:val="6"/>
          <w:sz w:val="22"/>
          <w:szCs w:val="22"/>
          <w:u w:val="single"/>
        </w:rPr>
        <w:t>　　　　</w:t>
      </w:r>
      <w:r>
        <w:rPr>
          <w:rFonts w:hint="eastAsia" w:ascii="宋体" w:hAnsi="宋体" w:cs="宋体"/>
          <w:spacing w:val="6"/>
          <w:sz w:val="22"/>
          <w:szCs w:val="22"/>
        </w:rPr>
        <w:t>）项目的磋商活动，我方郑重承诺如下：</w:t>
      </w:r>
    </w:p>
    <w:p>
      <w:pPr>
        <w:pStyle w:val="32"/>
        <w:snapToGrid w:val="0"/>
        <w:spacing w:line="360" w:lineRule="auto"/>
        <w:ind w:left="0" w:firstLine="420" w:firstLineChars="0"/>
        <w:jc w:val="left"/>
        <w:rPr>
          <w:rFonts w:ascii="宋体" w:hAnsi="宋体" w:cs="宋体"/>
          <w:spacing w:val="6"/>
          <w:sz w:val="22"/>
          <w:szCs w:val="22"/>
        </w:rPr>
      </w:pPr>
      <w:r>
        <w:rPr>
          <w:rFonts w:hint="eastAsia" w:ascii="宋体" w:hAnsi="宋体" w:cs="宋体"/>
          <w:spacing w:val="6"/>
          <w:sz w:val="22"/>
          <w:szCs w:val="22"/>
        </w:rPr>
        <w:t>1.如我方被推荐为第一成交候选人，我方将严格按照竞争性磋商文件的要求，在磋商结束后领取成交通知书前，向采购人一次性提供我方按磋商评审办法及评分标准要求，且已将复印件装订在响应文件内的类似业绩合同、中标（成交）通知书其它加分项（如有）的所有资料原件，如我方未在该条款规定的期限或未按该条款要求一次性提供齐全的资料原件或经采购人复核复印件与原件不相符的，采购人有权取消我方第一成交候选人资格。</w:t>
      </w:r>
    </w:p>
    <w:p>
      <w:pPr>
        <w:pStyle w:val="32"/>
        <w:snapToGrid w:val="0"/>
        <w:spacing w:line="360" w:lineRule="auto"/>
        <w:ind w:left="0" w:firstLine="420" w:firstLineChars="0"/>
        <w:jc w:val="left"/>
        <w:rPr>
          <w:rFonts w:ascii="宋体" w:hAnsi="宋体" w:cs="宋体"/>
          <w:spacing w:val="6"/>
          <w:sz w:val="22"/>
          <w:szCs w:val="22"/>
        </w:rPr>
      </w:pPr>
      <w:r>
        <w:rPr>
          <w:rFonts w:hint="eastAsia" w:ascii="宋体" w:hAnsi="宋体" w:cs="宋体"/>
          <w:spacing w:val="6"/>
          <w:sz w:val="22"/>
          <w:szCs w:val="22"/>
        </w:rPr>
        <w:t>2.我方按磋商评审办法及评分标准要求且已将复印件装订在响应文件内的类似业绩合同、中标通知书等其它加分项（如有）的所有资料原件和复印件相符，且材料真实，不存在弄虚作假现象。</w:t>
      </w:r>
    </w:p>
    <w:p>
      <w:pPr>
        <w:pStyle w:val="32"/>
        <w:snapToGrid w:val="0"/>
        <w:spacing w:line="360" w:lineRule="auto"/>
        <w:ind w:left="0" w:firstLine="420" w:firstLineChars="0"/>
        <w:jc w:val="left"/>
        <w:rPr>
          <w:rFonts w:ascii="宋体" w:hAnsi="宋体" w:cs="宋体"/>
          <w:spacing w:val="6"/>
          <w:sz w:val="22"/>
          <w:szCs w:val="22"/>
        </w:rPr>
      </w:pPr>
      <w:r>
        <w:rPr>
          <w:rFonts w:hint="eastAsia" w:ascii="宋体" w:hAnsi="宋体" w:cs="宋体"/>
          <w:spacing w:val="6"/>
          <w:sz w:val="22"/>
          <w:szCs w:val="22"/>
        </w:rPr>
        <w:t>3.如我方存在上述现象，采购人有权向财政部门建议将本公司列入不良行为记录名单，在一至三年内禁止本公司参加政府采购活动并予以通报。</w:t>
      </w:r>
    </w:p>
    <w:p>
      <w:pPr>
        <w:pStyle w:val="32"/>
        <w:snapToGrid w:val="0"/>
        <w:spacing w:line="360" w:lineRule="auto"/>
        <w:ind w:left="0" w:firstLine="420" w:firstLineChars="0"/>
        <w:jc w:val="left"/>
        <w:rPr>
          <w:rFonts w:ascii="宋体" w:hAnsi="宋体" w:cs="宋体"/>
          <w:spacing w:val="6"/>
          <w:sz w:val="22"/>
          <w:szCs w:val="22"/>
        </w:rPr>
      </w:pPr>
      <w:r>
        <w:rPr>
          <w:rFonts w:hint="eastAsia" w:ascii="宋体" w:hAnsi="宋体" w:cs="宋体"/>
          <w:spacing w:val="6"/>
          <w:sz w:val="22"/>
          <w:szCs w:val="22"/>
        </w:rPr>
        <w:t>4.我方对上述承诺的真实性负责，如有虚假，将依法承担相应责任。</w:t>
      </w:r>
    </w:p>
    <w:p>
      <w:pPr>
        <w:pStyle w:val="32"/>
        <w:snapToGrid w:val="0"/>
        <w:spacing w:line="360" w:lineRule="auto"/>
        <w:ind w:left="0" w:firstLine="420" w:firstLineChars="0"/>
        <w:jc w:val="left"/>
        <w:rPr>
          <w:rFonts w:ascii="宋体" w:hAnsi="宋体" w:cs="宋体"/>
          <w:spacing w:val="6"/>
          <w:sz w:val="22"/>
          <w:szCs w:val="22"/>
        </w:rPr>
      </w:pPr>
    </w:p>
    <w:p>
      <w:pPr>
        <w:pStyle w:val="32"/>
        <w:snapToGrid w:val="0"/>
        <w:spacing w:line="360" w:lineRule="auto"/>
        <w:ind w:left="420" w:hanging="420"/>
        <w:jc w:val="left"/>
        <w:rPr>
          <w:rFonts w:ascii="宋体" w:hAnsi="宋体" w:cs="宋体"/>
          <w:szCs w:val="18"/>
        </w:rPr>
      </w:pPr>
    </w:p>
    <w:p>
      <w:pPr>
        <w:pStyle w:val="32"/>
        <w:snapToGrid w:val="0"/>
        <w:spacing w:line="360" w:lineRule="auto"/>
        <w:ind w:left="0" w:firstLine="420" w:firstLineChars="0"/>
        <w:jc w:val="left"/>
        <w:rPr>
          <w:rFonts w:ascii="宋体" w:hAnsi="宋体" w:cs="宋体"/>
          <w:sz w:val="22"/>
          <w:szCs w:val="22"/>
        </w:rPr>
      </w:pPr>
    </w:p>
    <w:p>
      <w:pPr>
        <w:pStyle w:val="130"/>
        <w:spacing w:line="360" w:lineRule="auto"/>
        <w:jc w:val="center"/>
        <w:rPr>
          <w:rFonts w:ascii="宋体" w:hAnsi="宋体" w:cs="宋体"/>
        </w:rPr>
      </w:pPr>
      <w:r>
        <w:rPr>
          <w:rFonts w:hint="eastAsia" w:ascii="宋体" w:hAnsi="宋体" w:cs="宋体"/>
          <w:sz w:val="22"/>
        </w:rPr>
        <w:t xml:space="preserve">                                             供应商</w:t>
      </w:r>
      <w:r>
        <w:rPr>
          <w:rFonts w:hint="eastAsia" w:ascii="宋体" w:hAnsi="宋体" w:cs="宋体"/>
        </w:rPr>
        <w:t>名称（公章）：</w:t>
      </w:r>
    </w:p>
    <w:p>
      <w:pPr>
        <w:pStyle w:val="130"/>
        <w:spacing w:line="360" w:lineRule="auto"/>
        <w:jc w:val="center"/>
        <w:rPr>
          <w:rFonts w:ascii="宋体" w:hAnsi="宋体" w:cs="宋体"/>
        </w:rPr>
      </w:pPr>
      <w:r>
        <w:rPr>
          <w:rFonts w:hint="eastAsia" w:ascii="宋体" w:hAnsi="宋体" w:cs="宋体"/>
        </w:rPr>
        <w:t xml:space="preserve">                                                      日期：      年    月     日</w:t>
      </w:r>
    </w:p>
    <w:p>
      <w:pPr>
        <w:spacing w:line="400" w:lineRule="exact"/>
        <w:rPr>
          <w:rFonts w:ascii="宋体" w:hAnsi="宋体" w:cs="宋体"/>
          <w:b/>
          <w:sz w:val="28"/>
          <w:szCs w:val="28"/>
        </w:rPr>
      </w:pPr>
    </w:p>
    <w:p>
      <w:pPr>
        <w:spacing w:line="360" w:lineRule="auto"/>
        <w:ind w:firstLine="422" w:firstLineChars="200"/>
        <w:rPr>
          <w:rFonts w:ascii="宋体" w:hAnsi="宋体" w:cs="宋体"/>
          <w:b/>
          <w:bCs/>
        </w:rPr>
      </w:pPr>
      <w:r>
        <w:rPr>
          <w:rFonts w:hint="eastAsia" w:ascii="宋体" w:hAnsi="宋体" w:cs="宋体"/>
          <w:b/>
          <w:bCs/>
        </w:rPr>
        <w:t>注：供应商未提供本承诺函的，</w:t>
      </w:r>
      <w:bookmarkStart w:id="492" w:name="_Toc29460"/>
      <w:r>
        <w:rPr>
          <w:rFonts w:hint="eastAsia" w:ascii="宋体" w:hAnsi="宋体" w:cs="宋体"/>
          <w:b/>
          <w:bCs/>
        </w:rPr>
        <w:t>磋商评审办法及评分标准</w:t>
      </w:r>
      <w:bookmarkEnd w:id="492"/>
      <w:r>
        <w:rPr>
          <w:rFonts w:hint="eastAsia" w:ascii="宋体" w:hAnsi="宋体" w:cs="宋体"/>
          <w:b/>
          <w:bCs/>
        </w:rPr>
        <w:t>中要求供应商提供相应证件或证书等复印件打分的条款不予以得分。</w:t>
      </w: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jc w:val="center"/>
        <w:rPr>
          <w:rFonts w:ascii="宋体" w:hAnsi="宋体" w:cs="宋体"/>
          <w:b/>
          <w:sz w:val="24"/>
        </w:rPr>
      </w:pPr>
      <w:r>
        <w:rPr>
          <w:rFonts w:hint="eastAsia" w:ascii="宋体" w:hAnsi="宋体" w:cs="宋体"/>
        </w:rPr>
        <w:br w:type="page"/>
      </w:r>
      <w:bookmarkStart w:id="493" w:name="_Toc17145"/>
      <w:r>
        <w:rPr>
          <w:rFonts w:hint="eastAsia" w:ascii="宋体" w:hAnsi="宋体" w:cs="宋体"/>
          <w:b/>
          <w:sz w:val="28"/>
          <w:szCs w:val="28"/>
        </w:rPr>
        <w:t>3、商务响应表</w:t>
      </w:r>
      <w:bookmarkEnd w:id="493"/>
    </w:p>
    <w:p>
      <w:pPr>
        <w:jc w:val="center"/>
        <w:rPr>
          <w:rFonts w:ascii="宋体" w:hAnsi="宋体" w:cs="宋体"/>
          <w:b/>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2"/>
        <w:gridCol w:w="2196"/>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b/>
                <w:bCs/>
                <w:szCs w:val="21"/>
              </w:rPr>
            </w:pPr>
            <w:r>
              <w:rPr>
                <w:rFonts w:hint="eastAsia" w:ascii="宋体" w:hAnsi="宋体" w:cs="宋体"/>
                <w:b/>
                <w:bCs/>
                <w:szCs w:val="21"/>
              </w:rPr>
              <w:t>项目</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b/>
                <w:bCs/>
                <w:szCs w:val="21"/>
              </w:rPr>
            </w:pPr>
            <w:r>
              <w:rPr>
                <w:rFonts w:hint="eastAsia" w:ascii="宋体" w:hAnsi="宋体" w:cs="宋体"/>
                <w:b/>
                <w:bCs/>
                <w:szCs w:val="21"/>
              </w:rPr>
              <w:t>竞争性磋商文件要求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b/>
                <w:bCs/>
                <w:szCs w:val="21"/>
              </w:rPr>
            </w:pPr>
            <w:r>
              <w:rPr>
                <w:rFonts w:hint="eastAsia" w:ascii="宋体" w:hAnsi="宋体" w:cs="宋体"/>
                <w:b/>
                <w:bCs/>
                <w:szCs w:val="21"/>
              </w:rPr>
              <w:t>是否响应</w:t>
            </w: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b/>
                <w:bCs/>
                <w:szCs w:val="21"/>
              </w:rPr>
            </w:pPr>
            <w:r>
              <w:rPr>
                <w:rFonts w:hint="eastAsia" w:ascii="宋体" w:hAnsi="宋体" w:cs="宋体"/>
                <w:b/>
                <w:bCs/>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szCs w:val="21"/>
              </w:rPr>
            </w:pPr>
            <w:r>
              <w:rPr>
                <w:rFonts w:hint="eastAsia" w:ascii="宋体" w:hAnsi="宋体" w:cs="宋体"/>
                <w:szCs w:val="21"/>
              </w:rPr>
              <w:t>工作内容</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szCs w:val="21"/>
              </w:rPr>
            </w:pPr>
            <w:r>
              <w:rPr>
                <w:rFonts w:hint="eastAsia" w:ascii="宋体" w:hAnsi="宋体" w:cs="宋体"/>
                <w:szCs w:val="21"/>
              </w:rPr>
              <w:t>工作要求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cs="宋体"/>
                <w:szCs w:val="21"/>
              </w:rPr>
            </w:pPr>
            <w:r>
              <w:rPr>
                <w:rFonts w:hint="eastAsia" w:ascii="宋体" w:hAnsi="宋体" w:cs="宋体"/>
                <w:szCs w:val="21"/>
              </w:rPr>
              <w:t>付款条件</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r>
              <w:rPr>
                <w:rFonts w:hint="eastAsia" w:ascii="宋体" w:hAnsi="宋体" w:cs="宋体"/>
                <w:szCs w:val="21"/>
              </w:rPr>
              <w:t>……</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bottom w:val="single" w:color="auto" w:sz="4" w:space="0"/>
              <w:right w:val="single" w:color="auto" w:sz="4" w:space="0"/>
            </w:tcBorders>
            <w:noWrap w:val="0"/>
            <w:vAlign w:val="center"/>
          </w:tcPr>
          <w:p>
            <w:pPr>
              <w:snapToGrid w:val="0"/>
              <w:spacing w:before="120" w:beforeLines="50"/>
              <w:jc w:val="center"/>
              <w:rPr>
                <w:rFonts w:ascii="宋体" w:hAnsi="宋体" w:cs="宋体"/>
                <w:szCs w:val="21"/>
              </w:rPr>
            </w:pPr>
          </w:p>
        </w:tc>
        <w:tc>
          <w:tcPr>
            <w:tcW w:w="2196" w:type="dxa"/>
            <w:tcBorders>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1260" w:type="dxa"/>
            <w:tcBorders>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3020" w:type="dxa"/>
            <w:tcBorders>
              <w:left w:val="single" w:color="auto" w:sz="4" w:space="0"/>
              <w:bottom w:val="single" w:color="auto" w:sz="4" w:space="0"/>
            </w:tcBorders>
            <w:noWrap w:val="0"/>
            <w:vAlign w:val="top"/>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right w:val="single" w:color="auto" w:sz="4" w:space="0"/>
            </w:tcBorders>
            <w:noWrap w:val="0"/>
            <w:vAlign w:val="center"/>
          </w:tcPr>
          <w:p>
            <w:pPr>
              <w:snapToGrid w:val="0"/>
              <w:spacing w:before="120" w:beforeLines="50"/>
              <w:jc w:val="center"/>
              <w:rPr>
                <w:rFonts w:ascii="宋体" w:hAnsi="宋体" w:cs="宋体"/>
                <w:szCs w:val="21"/>
              </w:rPr>
            </w:pPr>
            <w:r>
              <w:rPr>
                <w:rFonts w:hint="eastAsia" w:ascii="宋体" w:hAnsi="宋体" w:cs="宋体"/>
                <w:szCs w:val="21"/>
              </w:rPr>
              <w:t>…</w:t>
            </w:r>
          </w:p>
        </w:tc>
        <w:tc>
          <w:tcPr>
            <w:tcW w:w="2196" w:type="dxa"/>
            <w:tcBorders>
              <w:top w:val="single" w:color="auto" w:sz="4" w:space="0"/>
              <w:left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1260" w:type="dxa"/>
            <w:tcBorders>
              <w:top w:val="single" w:color="auto" w:sz="4" w:space="0"/>
              <w:left w:val="single" w:color="auto" w:sz="4" w:space="0"/>
              <w:right w:val="single" w:color="auto" w:sz="4" w:space="0"/>
            </w:tcBorders>
            <w:noWrap w:val="0"/>
            <w:vAlign w:val="top"/>
          </w:tcPr>
          <w:p>
            <w:pPr>
              <w:snapToGrid w:val="0"/>
              <w:spacing w:before="120" w:beforeLines="50"/>
              <w:rPr>
                <w:rFonts w:ascii="宋体" w:hAnsi="宋体" w:cs="宋体"/>
                <w:szCs w:val="21"/>
              </w:rPr>
            </w:pPr>
          </w:p>
        </w:tc>
        <w:tc>
          <w:tcPr>
            <w:tcW w:w="3020" w:type="dxa"/>
            <w:tcBorders>
              <w:top w:val="single" w:color="auto" w:sz="4" w:space="0"/>
              <w:left w:val="single" w:color="auto" w:sz="4" w:space="0"/>
            </w:tcBorders>
            <w:noWrap w:val="0"/>
            <w:vAlign w:val="top"/>
          </w:tcPr>
          <w:p>
            <w:pPr>
              <w:snapToGrid w:val="0"/>
              <w:spacing w:before="120" w:beforeLines="50"/>
              <w:rPr>
                <w:rFonts w:ascii="宋体" w:hAnsi="宋体" w:cs="宋体"/>
                <w:szCs w:val="21"/>
              </w:rPr>
            </w:pPr>
          </w:p>
        </w:tc>
      </w:tr>
    </w:tbl>
    <w:p>
      <w:pPr>
        <w:spacing w:line="400" w:lineRule="exact"/>
        <w:jc w:val="left"/>
        <w:rPr>
          <w:rFonts w:ascii="宋体" w:hAnsi="宋体" w:cs="宋体"/>
          <w:sz w:val="22"/>
          <w:shd w:val="clear" w:color="050000" w:fill="auto"/>
        </w:rPr>
      </w:pPr>
      <w:r>
        <w:rPr>
          <w:rFonts w:hint="eastAsia" w:ascii="宋体" w:hAnsi="宋体" w:cs="宋体"/>
          <w:sz w:val="22"/>
          <w:shd w:val="clear" w:color="050000" w:fill="auto"/>
        </w:rPr>
        <w:t>填写说明：</w:t>
      </w:r>
    </w:p>
    <w:p>
      <w:pPr>
        <w:spacing w:line="400" w:lineRule="exact"/>
        <w:ind w:firstLine="440"/>
        <w:rPr>
          <w:rFonts w:ascii="宋体" w:hAnsi="宋体" w:cs="宋体"/>
          <w:sz w:val="22"/>
          <w:shd w:val="clear" w:color="050000" w:fill="auto"/>
        </w:rPr>
      </w:pPr>
      <w:r>
        <w:rPr>
          <w:rFonts w:hint="eastAsia" w:ascii="宋体" w:hAnsi="宋体" w:cs="宋体"/>
          <w:sz w:val="22"/>
          <w:shd w:val="clear" w:color="050000" w:fill="auto"/>
        </w:rPr>
        <w:t>1.</w:t>
      </w:r>
      <w:r>
        <w:rPr>
          <w:rFonts w:hint="eastAsia" w:ascii="宋体" w:hAnsi="宋体" w:cs="宋体"/>
          <w:shd w:val="clear" w:color="050000" w:fill="auto"/>
        </w:rPr>
        <w:t>项数不够时，可自行添加。</w:t>
      </w:r>
    </w:p>
    <w:p>
      <w:pPr>
        <w:spacing w:line="400" w:lineRule="exact"/>
        <w:ind w:firstLine="440"/>
        <w:rPr>
          <w:rFonts w:ascii="宋体" w:hAnsi="宋体" w:cs="宋体"/>
          <w:sz w:val="22"/>
          <w:shd w:val="clear" w:color="050000" w:fill="auto"/>
        </w:rPr>
      </w:pPr>
      <w:r>
        <w:rPr>
          <w:rFonts w:hint="eastAsia" w:ascii="宋体" w:hAnsi="宋体" w:cs="宋体"/>
          <w:sz w:val="22"/>
          <w:shd w:val="clear" w:color="050000" w:fill="auto"/>
        </w:rPr>
        <w:t>2.对照竞争性磋商文件第二章采购需求进行响应，如有偏离的，</w:t>
      </w:r>
      <w:r>
        <w:rPr>
          <w:rFonts w:hint="eastAsia" w:ascii="宋体" w:hAnsi="宋体" w:cs="宋体"/>
          <w:sz w:val="22"/>
          <w:szCs w:val="22"/>
        </w:rPr>
        <w:t>供应商</w:t>
      </w:r>
      <w:r>
        <w:rPr>
          <w:rFonts w:hint="eastAsia" w:ascii="宋体" w:hAnsi="宋体" w:cs="宋体"/>
          <w:sz w:val="22"/>
          <w:shd w:val="clear" w:color="050000" w:fill="auto"/>
        </w:rPr>
        <w:t>必须据实填写，不得虚假响应，否则将作无效标处理。</w:t>
      </w:r>
    </w:p>
    <w:p>
      <w:pPr>
        <w:spacing w:line="400" w:lineRule="exact"/>
        <w:ind w:firstLine="440"/>
        <w:rPr>
          <w:rFonts w:ascii="宋体" w:hAnsi="宋体" w:cs="宋体"/>
          <w:sz w:val="22"/>
          <w:shd w:val="clear" w:color="050000" w:fill="auto"/>
        </w:rPr>
      </w:pPr>
      <w:r>
        <w:rPr>
          <w:rFonts w:hint="eastAsia" w:ascii="宋体" w:hAnsi="宋体" w:cs="宋体"/>
          <w:b/>
          <w:sz w:val="22"/>
          <w:shd w:val="clear" w:color="060000" w:fill="auto"/>
        </w:rPr>
        <w:t>3.未在上表列出或不填写此表的，则视为完全响应竞争性磋商文件要求</w:t>
      </w:r>
      <w:r>
        <w:rPr>
          <w:rFonts w:hint="eastAsia" w:ascii="宋体" w:hAnsi="宋体" w:cs="宋体"/>
          <w:sz w:val="22"/>
          <w:shd w:val="clear" w:color="050000" w:fill="auto"/>
        </w:rPr>
        <w:t>。</w:t>
      </w: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pStyle w:val="22"/>
        <w:spacing w:before="120" w:after="120" w:line="360" w:lineRule="auto"/>
        <w:ind w:firstLine="1500" w:firstLineChars="600"/>
        <w:rPr>
          <w:rFonts w:hAnsi="宋体" w:cs="宋体"/>
          <w:spacing w:val="20"/>
          <w:sz w:val="21"/>
          <w:szCs w:val="21"/>
        </w:rPr>
      </w:pPr>
      <w:r>
        <w:rPr>
          <w:rFonts w:hint="eastAsia" w:hAnsi="宋体" w:cs="宋体"/>
          <w:spacing w:val="20"/>
          <w:sz w:val="21"/>
          <w:szCs w:val="21"/>
        </w:rPr>
        <w:t>法定代表人（或授权委托人）签字或盖章：</w:t>
      </w:r>
      <w:r>
        <w:rPr>
          <w:rFonts w:hint="eastAsia" w:hAnsi="宋体" w:cs="宋体"/>
          <w:spacing w:val="20"/>
          <w:sz w:val="21"/>
          <w:szCs w:val="21"/>
          <w:u w:val="single"/>
        </w:rPr>
        <w:t xml:space="preserve">            </w:t>
      </w:r>
      <w:r>
        <w:rPr>
          <w:rFonts w:hint="eastAsia" w:hAnsi="宋体" w:cs="宋体"/>
          <w:spacing w:val="20"/>
          <w:sz w:val="21"/>
          <w:szCs w:val="21"/>
        </w:rPr>
        <w:t xml:space="preserve"> </w:t>
      </w:r>
    </w:p>
    <w:p>
      <w:pPr>
        <w:pStyle w:val="22"/>
        <w:spacing w:before="120" w:after="120" w:line="360" w:lineRule="auto"/>
        <w:ind w:firstLine="4750" w:firstLineChars="1900"/>
        <w:rPr>
          <w:rFonts w:hAnsi="宋体" w:cs="宋体"/>
          <w:spacing w:val="20"/>
          <w:sz w:val="21"/>
          <w:szCs w:val="21"/>
          <w:u w:val="single"/>
        </w:rPr>
      </w:pPr>
      <w:r>
        <w:rPr>
          <w:rFonts w:hint="eastAsia" w:hAnsi="宋体" w:cs="宋体"/>
          <w:spacing w:val="20"/>
          <w:sz w:val="21"/>
          <w:szCs w:val="21"/>
        </w:rPr>
        <w:t>供应商盖章：</w:t>
      </w:r>
      <w:r>
        <w:rPr>
          <w:rFonts w:hint="eastAsia" w:hAnsi="宋体" w:cs="宋体"/>
          <w:spacing w:val="20"/>
          <w:sz w:val="21"/>
          <w:szCs w:val="21"/>
          <w:u w:val="single"/>
        </w:rPr>
        <w:t xml:space="preserve">            </w:t>
      </w:r>
    </w:p>
    <w:p>
      <w:pPr>
        <w:spacing w:line="360" w:lineRule="auto"/>
        <w:ind w:firstLine="4750" w:firstLineChars="1900"/>
        <w:rPr>
          <w:rFonts w:ascii="宋体" w:hAnsi="宋体" w:cs="宋体"/>
          <w:b/>
          <w:bCs/>
          <w:szCs w:val="21"/>
        </w:rPr>
      </w:pPr>
      <w:r>
        <w:rPr>
          <w:rFonts w:hint="eastAsia" w:ascii="宋体" w:hAnsi="宋体" w:cs="宋体"/>
          <w:spacing w:val="20"/>
          <w:szCs w:val="21"/>
        </w:rPr>
        <w:t>日     期：</w:t>
      </w:r>
      <w:r>
        <w:rPr>
          <w:rFonts w:hint="eastAsia" w:ascii="宋体" w:hAnsi="宋体" w:cs="宋体"/>
          <w:spacing w:val="20"/>
          <w:szCs w:val="21"/>
          <w:u w:val="single"/>
        </w:rPr>
        <w:t xml:space="preserve">            </w:t>
      </w:r>
    </w:p>
    <w:p>
      <w:pPr>
        <w:pStyle w:val="22"/>
        <w:spacing w:beforeLines="0" w:afterLines="0" w:line="360" w:lineRule="auto"/>
        <w:ind w:firstLine="420"/>
        <w:rPr>
          <w:rFonts w:hAnsi="宋体" w:cs="宋体"/>
          <w:sz w:val="22"/>
          <w:szCs w:val="22"/>
        </w:rPr>
      </w:pPr>
      <w:r>
        <w:rPr>
          <w:rFonts w:hint="eastAsia" w:hAnsi="宋体" w:cs="宋体"/>
          <w:sz w:val="22"/>
          <w:szCs w:val="22"/>
        </w:rPr>
        <w:t xml:space="preserve"> </w:t>
      </w:r>
    </w:p>
    <w:p>
      <w:pPr>
        <w:jc w:val="center"/>
        <w:rPr>
          <w:rFonts w:ascii="宋体" w:hAnsi="宋体" w:cs="宋体"/>
          <w:b/>
          <w:sz w:val="28"/>
          <w:szCs w:val="28"/>
        </w:rPr>
      </w:pPr>
      <w:bookmarkStart w:id="494" w:name="_Toc303756428"/>
    </w:p>
    <w:p>
      <w:pPr>
        <w:tabs>
          <w:tab w:val="left" w:pos="1418"/>
        </w:tabs>
        <w:spacing w:line="480" w:lineRule="auto"/>
        <w:rPr>
          <w:rFonts w:hint="eastAsia"/>
        </w:rPr>
      </w:pPr>
      <w:r>
        <w:rPr>
          <w:rFonts w:hint="eastAsia" w:ascii="宋体" w:hAnsi="宋体" w:cs="宋体"/>
          <w:b/>
          <w:sz w:val="28"/>
          <w:szCs w:val="28"/>
        </w:rPr>
        <w:br w:type="page"/>
      </w:r>
      <w:bookmarkEnd w:id="450"/>
      <w:bookmarkEnd w:id="451"/>
      <w:bookmarkEnd w:id="494"/>
      <w:bookmarkStart w:id="495" w:name="_Toc7952"/>
      <w:bookmarkStart w:id="496" w:name="_Toc28849"/>
      <w:bookmarkStart w:id="497" w:name="_Toc468379799"/>
      <w:bookmarkStart w:id="498" w:name="_Toc13972"/>
      <w:bookmarkStart w:id="499" w:name="_Toc303756459"/>
      <w:bookmarkStart w:id="500" w:name="_Toc22905"/>
    </w:p>
    <w:p>
      <w:pPr>
        <w:tabs>
          <w:tab w:val="left" w:pos="1418"/>
        </w:tabs>
        <w:spacing w:line="480" w:lineRule="auto"/>
        <w:ind w:firstLine="2366" w:firstLineChars="900"/>
        <w:rPr>
          <w:rFonts w:hint="eastAsia" w:ascii="宋体" w:hAnsi="宋体" w:cs="宋体"/>
          <w:b/>
          <w:bCs/>
          <w:spacing w:val="11"/>
          <w:sz w:val="24"/>
        </w:rPr>
      </w:pPr>
      <w:r>
        <w:rPr>
          <w:rFonts w:hint="eastAsia" w:ascii="宋体" w:hAnsi="宋体" w:cs="宋体"/>
          <w:b/>
          <w:bCs/>
          <w:spacing w:val="11"/>
          <w:sz w:val="24"/>
          <w:lang w:val="en-US" w:eastAsia="zh-CN"/>
        </w:rPr>
        <w:t>4</w:t>
      </w:r>
      <w:r>
        <w:rPr>
          <w:rFonts w:hint="eastAsia" w:ascii="宋体" w:hAnsi="宋体" w:cs="宋体"/>
          <w:b/>
          <w:bCs/>
          <w:spacing w:val="11"/>
          <w:sz w:val="24"/>
        </w:rPr>
        <w:t>、供应商认为有利于本次磋商的其它技术文件。</w:t>
      </w:r>
    </w:p>
    <w:bookmarkEnd w:id="495"/>
    <w:bookmarkEnd w:id="496"/>
    <w:bookmarkEnd w:id="497"/>
    <w:bookmarkEnd w:id="498"/>
    <w:p>
      <w:pPr>
        <w:spacing w:line="480" w:lineRule="auto"/>
        <w:ind w:firstLine="3740" w:firstLineChars="1700"/>
        <w:rPr>
          <w:rFonts w:hint="eastAsia" w:ascii="宋体" w:hAnsi="宋体" w:cs="宋体"/>
          <w:sz w:val="22"/>
          <w:szCs w:val="22"/>
        </w:rPr>
      </w:pPr>
      <w:bookmarkStart w:id="501" w:name="_Toc26368"/>
      <w:r>
        <w:rPr>
          <w:rFonts w:hint="eastAsia" w:ascii="宋体" w:hAnsi="宋体" w:cs="宋体"/>
          <w:sz w:val="22"/>
          <w:szCs w:val="22"/>
        </w:rPr>
        <w:t>（格式自拟）</w:t>
      </w:r>
      <w:bookmarkEnd w:id="501"/>
    </w:p>
    <w:p>
      <w:pPr>
        <w:rPr>
          <w:rFonts w:ascii="宋体" w:hAnsi="宋体" w:cs="宋体"/>
          <w:sz w:val="30"/>
          <w:szCs w:val="30"/>
        </w:rPr>
      </w:pPr>
    </w:p>
    <w:p>
      <w:pPr>
        <w:pStyle w:val="6"/>
        <w:keepNext w:val="0"/>
        <w:keepLines w:val="0"/>
        <w:spacing w:line="360" w:lineRule="auto"/>
        <w:jc w:val="center"/>
        <w:rPr>
          <w:rFonts w:ascii="宋体" w:hAnsi="宋体" w:cs="宋体"/>
          <w:sz w:val="30"/>
          <w:szCs w:val="30"/>
        </w:rPr>
      </w:pPr>
      <w:bookmarkStart w:id="502" w:name="_Toc22444"/>
      <w:r>
        <w:rPr>
          <w:rFonts w:hint="eastAsia" w:ascii="宋体" w:hAnsi="宋体" w:cs="宋体"/>
          <w:sz w:val="30"/>
          <w:szCs w:val="30"/>
        </w:rPr>
        <w:br w:type="page"/>
      </w:r>
      <w:bookmarkStart w:id="503" w:name="_Toc7373"/>
      <w:r>
        <w:rPr>
          <w:rFonts w:hint="eastAsia" w:ascii="宋体" w:hAnsi="宋体" w:cs="宋体"/>
          <w:sz w:val="30"/>
          <w:szCs w:val="30"/>
        </w:rPr>
        <w:t>四、报价文件格式</w:t>
      </w:r>
      <w:bookmarkEnd w:id="499"/>
      <w:bookmarkEnd w:id="500"/>
      <w:bookmarkEnd w:id="502"/>
      <w:bookmarkEnd w:id="503"/>
    </w:p>
    <w:p>
      <w:pPr>
        <w:pStyle w:val="8"/>
        <w:snapToGrid w:val="0"/>
        <w:spacing w:before="50" w:after="120"/>
        <w:ind w:firstLine="0"/>
        <w:rPr>
          <w:rFonts w:ascii="宋体" w:hAnsi="宋体" w:cs="宋体"/>
          <w:szCs w:val="21"/>
        </w:rPr>
      </w:pPr>
    </w:p>
    <w:p>
      <w:pPr>
        <w:jc w:val="center"/>
        <w:rPr>
          <w:rFonts w:ascii="宋体" w:hAnsi="宋体" w:cs="宋体"/>
          <w:b/>
          <w:sz w:val="24"/>
        </w:rPr>
      </w:pPr>
      <w:bookmarkStart w:id="504" w:name="_Toc303756461"/>
      <w:r>
        <w:rPr>
          <w:rFonts w:hint="eastAsia" w:ascii="宋体" w:hAnsi="宋体" w:cs="宋体"/>
          <w:b/>
          <w:sz w:val="24"/>
        </w:rPr>
        <w:t>报价文件封面</w:t>
      </w:r>
      <w:bookmarkEnd w:id="504"/>
    </w:p>
    <w:p>
      <w:pPr>
        <w:jc w:val="center"/>
        <w:rPr>
          <w:rFonts w:ascii="宋体" w:hAnsi="宋体" w:cs="宋体"/>
        </w:rPr>
      </w:pPr>
      <w:r>
        <w:rPr>
          <w:rFonts w:hint="eastAsia" w:ascii="宋体" w:hAnsi="宋体" w:cs="宋体"/>
        </w:rPr>
        <w:t>（格式）</w:t>
      </w:r>
    </w:p>
    <w:p>
      <w:pPr>
        <w:pStyle w:val="8"/>
        <w:snapToGrid w:val="0"/>
        <w:spacing w:before="50" w:after="120"/>
        <w:ind w:firstLine="0"/>
        <w:rPr>
          <w:rFonts w:ascii="宋体" w:hAnsi="宋体" w:cs="宋体"/>
          <w:szCs w:val="21"/>
        </w:rPr>
      </w:pPr>
    </w:p>
    <w:p>
      <w:pPr>
        <w:snapToGrid w:val="0"/>
        <w:spacing w:before="120" w:beforeLines="50" w:after="50"/>
        <w:jc w:val="center"/>
        <w:rPr>
          <w:rFonts w:ascii="宋体" w:hAnsi="宋体" w:cs="宋体"/>
          <w:sz w:val="24"/>
        </w:rPr>
      </w:pPr>
      <w:r>
        <w:rPr>
          <w:rFonts w:hint="eastAsia" w:ascii="宋体" w:hAnsi="宋体" w:cs="宋体"/>
          <w:sz w:val="24"/>
        </w:rPr>
        <w:t>报价文件</w:t>
      </w:r>
    </w:p>
    <w:p>
      <w:pPr>
        <w:spacing w:line="360" w:lineRule="auto"/>
        <w:rPr>
          <w:rFonts w:ascii="宋体" w:hAnsi="宋体" w:cs="宋体"/>
          <w:szCs w:val="21"/>
        </w:rPr>
      </w:pPr>
    </w:p>
    <w:p>
      <w:pPr>
        <w:pStyle w:val="41"/>
        <w:rPr>
          <w:rFonts w:ascii="宋体" w:hAnsi="宋体"/>
        </w:rPr>
      </w:pPr>
    </w:p>
    <w:p>
      <w:pPr>
        <w:spacing w:line="360" w:lineRule="auto"/>
        <w:ind w:firstLine="1799" w:firstLineChars="857"/>
        <w:rPr>
          <w:rFonts w:ascii="宋体" w:hAnsi="宋体" w:cs="宋体"/>
          <w:szCs w:val="21"/>
          <w:u w:val="single"/>
        </w:rPr>
      </w:pPr>
      <w:r>
        <w:rPr>
          <w:rFonts w:hint="eastAsia" w:ascii="宋体" w:hAnsi="宋体" w:cs="宋体"/>
          <w:szCs w:val="21"/>
        </w:rPr>
        <w:t>项目名称：</w:t>
      </w:r>
    </w:p>
    <w:p>
      <w:pPr>
        <w:spacing w:line="360" w:lineRule="auto"/>
        <w:ind w:firstLine="1799" w:firstLineChars="857"/>
        <w:rPr>
          <w:rFonts w:ascii="宋体" w:hAnsi="宋体" w:cs="宋体"/>
          <w:szCs w:val="21"/>
        </w:rPr>
      </w:pPr>
      <w:r>
        <w:rPr>
          <w:rFonts w:hint="eastAsia" w:ascii="宋体" w:hAnsi="宋体" w:cs="宋体"/>
          <w:szCs w:val="21"/>
        </w:rPr>
        <w:t>采购编号：</w:t>
      </w:r>
    </w:p>
    <w:p>
      <w:pPr>
        <w:spacing w:line="360" w:lineRule="auto"/>
        <w:ind w:firstLine="1799" w:firstLineChars="857"/>
        <w:rPr>
          <w:rFonts w:ascii="宋体" w:hAnsi="宋体" w:cs="宋体"/>
          <w:szCs w:val="21"/>
          <w:u w:val="single"/>
        </w:rPr>
      </w:pPr>
      <w:r>
        <w:rPr>
          <w:rFonts w:hint="eastAsia" w:ascii="宋体" w:hAnsi="宋体" w:cs="宋体"/>
          <w:szCs w:val="21"/>
        </w:rPr>
        <w:t>标段：</w:t>
      </w:r>
      <w:r>
        <w:rPr>
          <w:rFonts w:hint="eastAsia" w:ascii="宋体" w:hAnsi="宋体" w:cs="宋体"/>
          <w:szCs w:val="21"/>
          <w:u w:val="single"/>
        </w:rPr>
        <w:t>（若有）</w:t>
      </w:r>
    </w:p>
    <w:p>
      <w:pPr>
        <w:spacing w:line="360" w:lineRule="auto"/>
        <w:ind w:firstLine="1799" w:firstLineChars="857"/>
        <w:rPr>
          <w:rFonts w:ascii="宋体" w:hAnsi="宋体" w:cs="宋体"/>
          <w:szCs w:val="21"/>
          <w:u w:val="single"/>
        </w:rPr>
      </w:pPr>
      <w:r>
        <w:rPr>
          <w:rFonts w:hint="eastAsia" w:ascii="宋体" w:hAnsi="宋体" w:cs="宋体"/>
          <w:szCs w:val="21"/>
        </w:rPr>
        <w:t>供应商名称：</w:t>
      </w:r>
    </w:p>
    <w:p>
      <w:pPr>
        <w:spacing w:line="360" w:lineRule="auto"/>
        <w:ind w:firstLine="1799" w:firstLineChars="857"/>
        <w:rPr>
          <w:rFonts w:ascii="宋体" w:hAnsi="宋体" w:cs="宋体"/>
          <w:szCs w:val="21"/>
          <w:u w:val="single"/>
        </w:rPr>
      </w:pPr>
      <w:r>
        <w:rPr>
          <w:rFonts w:hint="eastAsia" w:ascii="宋体" w:hAnsi="宋体" w:cs="宋体"/>
          <w:szCs w:val="21"/>
        </w:rPr>
        <w:t>供应商地址：</w:t>
      </w:r>
    </w:p>
    <w:p>
      <w:pPr>
        <w:spacing w:line="360" w:lineRule="auto"/>
        <w:ind w:firstLine="1799" w:firstLineChars="857"/>
        <w:rPr>
          <w:rFonts w:ascii="宋体" w:hAnsi="宋体" w:cs="宋体"/>
          <w:szCs w:val="21"/>
          <w:u w:val="single"/>
        </w:rPr>
      </w:pPr>
      <w:r>
        <w:rPr>
          <w:rFonts w:hint="eastAsia" w:ascii="宋体" w:hAnsi="宋体" w:cs="宋体"/>
          <w:szCs w:val="21"/>
        </w:rPr>
        <w:t>邮编：</w:t>
      </w:r>
    </w:p>
    <w:p>
      <w:pPr>
        <w:spacing w:line="360" w:lineRule="auto"/>
        <w:ind w:firstLine="1799" w:firstLineChars="857"/>
        <w:rPr>
          <w:rFonts w:ascii="宋体" w:hAnsi="宋体" w:cs="宋体"/>
          <w:szCs w:val="21"/>
          <w:u w:val="single"/>
        </w:rPr>
      </w:pPr>
    </w:p>
    <w:p>
      <w:pPr>
        <w:spacing w:line="360" w:lineRule="auto"/>
        <w:jc w:val="center"/>
        <w:rPr>
          <w:rFonts w:ascii="宋体" w:hAnsi="宋体" w:cs="宋体"/>
          <w:szCs w:val="21"/>
        </w:rPr>
      </w:pPr>
      <w:r>
        <w:rPr>
          <w:rFonts w:hint="eastAsia" w:ascii="宋体" w:hAnsi="宋体" w:cs="宋体"/>
          <w:szCs w:val="21"/>
        </w:rPr>
        <w:t>年  月  日</w:t>
      </w:r>
    </w:p>
    <w:p>
      <w:pPr>
        <w:spacing w:line="360" w:lineRule="auto"/>
        <w:jc w:val="center"/>
        <w:rPr>
          <w:rFonts w:ascii="宋体" w:hAnsi="宋体" w:cs="宋体"/>
          <w:b/>
          <w:szCs w:val="21"/>
        </w:rPr>
        <w:sectPr>
          <w:pgSz w:w="11906" w:h="16838"/>
          <w:pgMar w:top="1417" w:right="1417" w:bottom="1134" w:left="1417" w:header="851" w:footer="850" w:gutter="0"/>
          <w:cols w:space="720" w:num="1"/>
          <w:titlePg/>
          <w:docGrid w:linePitch="312" w:charSpace="0"/>
        </w:sectPr>
      </w:pPr>
    </w:p>
    <w:p>
      <w:pPr>
        <w:jc w:val="center"/>
        <w:rPr>
          <w:rFonts w:ascii="宋体" w:hAnsi="宋体" w:cs="宋体"/>
          <w:b/>
          <w:sz w:val="28"/>
          <w:szCs w:val="28"/>
        </w:rPr>
      </w:pPr>
      <w:bookmarkStart w:id="505" w:name="_Toc303756462"/>
      <w:r>
        <w:rPr>
          <w:rFonts w:hint="eastAsia" w:ascii="宋体" w:hAnsi="宋体" w:cs="宋体"/>
          <w:b/>
          <w:sz w:val="28"/>
          <w:szCs w:val="28"/>
        </w:rPr>
        <w:t>报价文件目录</w:t>
      </w:r>
      <w:bookmarkEnd w:id="505"/>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420" w:firstLineChars="200"/>
        <w:rPr>
          <w:rFonts w:ascii="宋体" w:hAnsi="宋体" w:cs="宋体"/>
          <w:bCs/>
          <w:szCs w:val="21"/>
        </w:rPr>
      </w:pPr>
      <w:r>
        <w:rPr>
          <w:rFonts w:hint="eastAsia" w:ascii="宋体" w:hAnsi="宋体" w:cs="宋体"/>
          <w:bCs/>
          <w:szCs w:val="21"/>
        </w:rPr>
        <w:t>（1）磋商一览表</w:t>
      </w:r>
    </w:p>
    <w:p>
      <w:pPr>
        <w:spacing w:line="360" w:lineRule="auto"/>
        <w:ind w:firstLine="420" w:firstLineChars="200"/>
        <w:rPr>
          <w:rFonts w:ascii="宋体" w:hAnsi="宋体" w:cs="宋体"/>
          <w:bCs/>
          <w:szCs w:val="21"/>
        </w:rPr>
      </w:pPr>
      <w:r>
        <w:rPr>
          <w:rFonts w:hint="eastAsia" w:ascii="宋体" w:hAnsi="宋体" w:cs="宋体"/>
          <w:bCs/>
          <w:szCs w:val="21"/>
        </w:rPr>
        <w:t>（2）投标分项报价表</w:t>
      </w:r>
    </w:p>
    <w:p>
      <w:pPr>
        <w:spacing w:line="360" w:lineRule="auto"/>
        <w:ind w:firstLine="420" w:firstLineChars="200"/>
        <w:rPr>
          <w:rFonts w:hint="eastAsia" w:ascii="宋体" w:hAnsi="宋体" w:cs="宋体"/>
          <w:bCs/>
          <w:szCs w:val="21"/>
        </w:rPr>
      </w:pPr>
      <w:r>
        <w:rPr>
          <w:rFonts w:hint="eastAsia" w:ascii="宋体" w:hAnsi="宋体" w:cs="宋体"/>
          <w:bCs/>
          <w:szCs w:val="21"/>
        </w:rPr>
        <w:t>（3）中小企业声明函</w:t>
      </w:r>
    </w:p>
    <w:p>
      <w:pPr>
        <w:spacing w:line="360" w:lineRule="auto"/>
        <w:ind w:firstLine="420" w:firstLineChars="200"/>
        <w:rPr>
          <w:rFonts w:hint="eastAsia" w:ascii="宋体" w:hAnsi="宋体" w:cs="宋体"/>
          <w:bCs/>
          <w:szCs w:val="21"/>
        </w:rPr>
      </w:pPr>
      <w:r>
        <w:rPr>
          <w:rFonts w:hint="eastAsia" w:ascii="宋体" w:hAnsi="宋体" w:cs="宋体"/>
          <w:bCs/>
          <w:szCs w:val="21"/>
        </w:rPr>
        <w:t>（4）残疾人福利性单位声明函</w:t>
      </w:r>
    </w:p>
    <w:p>
      <w:pPr>
        <w:spacing w:line="360" w:lineRule="auto"/>
        <w:ind w:firstLine="420" w:firstLineChars="200"/>
        <w:rPr>
          <w:rFonts w:ascii="宋体" w:hAnsi="宋体" w:cs="宋体"/>
          <w:bCs/>
          <w:szCs w:val="21"/>
        </w:rPr>
        <w:sectPr>
          <w:pgSz w:w="11906" w:h="16838"/>
          <w:pgMar w:top="1417" w:right="1417" w:bottom="1134" w:left="1417" w:header="851" w:footer="850" w:gutter="0"/>
          <w:cols w:space="720" w:num="1"/>
          <w:titlePg/>
          <w:docGrid w:linePitch="312" w:charSpace="0"/>
        </w:sectPr>
      </w:pPr>
      <w:r>
        <w:rPr>
          <w:rFonts w:hint="eastAsia" w:ascii="宋体" w:hAnsi="宋体" w:cs="宋体"/>
          <w:bCs/>
          <w:szCs w:val="21"/>
        </w:rPr>
        <w:t>（5）监狱企业证明</w:t>
      </w:r>
    </w:p>
    <w:p>
      <w:pPr>
        <w:spacing w:line="360" w:lineRule="auto"/>
        <w:rPr>
          <w:rFonts w:hint="eastAsia" w:ascii="宋体" w:hAnsi="宋体" w:cs="宋体"/>
          <w:szCs w:val="21"/>
        </w:rPr>
      </w:pPr>
      <w:bookmarkStart w:id="506" w:name="_Toc15166"/>
      <w:r>
        <w:rPr>
          <w:rFonts w:hint="eastAsia" w:ascii="宋体" w:hAnsi="宋体" w:cs="宋体"/>
          <w:szCs w:val="21"/>
        </w:rPr>
        <w:t>采购编号：</w:t>
      </w:r>
    </w:p>
    <w:p>
      <w:pPr>
        <w:spacing w:line="360" w:lineRule="auto"/>
        <w:rPr>
          <w:rFonts w:hint="eastAsia" w:ascii="宋体" w:hAnsi="宋体" w:cs="宋体"/>
          <w:szCs w:val="21"/>
        </w:rPr>
      </w:pPr>
      <w:r>
        <w:rPr>
          <w:rFonts w:hint="eastAsia" w:ascii="宋体" w:hAnsi="宋体" w:cs="宋体"/>
          <w:szCs w:val="21"/>
        </w:rPr>
        <w:t>项目名称：</w:t>
      </w:r>
    </w:p>
    <w:tbl>
      <w:tblPr>
        <w:tblStyle w:val="42"/>
        <w:tblW w:w="96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1431"/>
        <w:gridCol w:w="2662"/>
        <w:gridCol w:w="1260"/>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20"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2160" w:type="dxa"/>
            <w:noWrap w:val="0"/>
            <w:vAlign w:val="center"/>
          </w:tcPr>
          <w:p>
            <w:pPr>
              <w:jc w:val="center"/>
              <w:rPr>
                <w:rFonts w:hint="eastAsia" w:ascii="宋体" w:hAnsi="宋体" w:cs="宋体"/>
                <w:b/>
                <w:szCs w:val="21"/>
              </w:rPr>
            </w:pPr>
            <w:r>
              <w:rPr>
                <w:rFonts w:hint="eastAsia" w:ascii="宋体" w:hAnsi="宋体" w:cs="宋体"/>
                <w:b/>
                <w:szCs w:val="21"/>
              </w:rPr>
              <w:t>内容</w:t>
            </w:r>
          </w:p>
        </w:tc>
        <w:tc>
          <w:tcPr>
            <w:tcW w:w="1431" w:type="dxa"/>
            <w:noWrap w:val="0"/>
            <w:vAlign w:val="center"/>
          </w:tcPr>
          <w:p>
            <w:pPr>
              <w:jc w:val="center"/>
              <w:rPr>
                <w:rFonts w:hint="eastAsia" w:ascii="宋体" w:hAnsi="宋体" w:cs="宋体"/>
                <w:b/>
                <w:szCs w:val="21"/>
              </w:rPr>
            </w:pPr>
            <w:r>
              <w:rPr>
                <w:rFonts w:hint="eastAsia" w:ascii="宋体" w:hAnsi="宋体" w:cs="宋体"/>
                <w:b/>
                <w:szCs w:val="21"/>
              </w:rPr>
              <w:t>数量（项）</w:t>
            </w:r>
          </w:p>
        </w:tc>
        <w:tc>
          <w:tcPr>
            <w:tcW w:w="2662" w:type="dxa"/>
            <w:noWrap w:val="0"/>
            <w:vAlign w:val="center"/>
          </w:tcPr>
          <w:p>
            <w:pPr>
              <w:jc w:val="center"/>
              <w:rPr>
                <w:rFonts w:hint="eastAsia" w:ascii="宋体" w:hAnsi="宋体" w:cs="宋体"/>
                <w:b/>
                <w:szCs w:val="21"/>
              </w:rPr>
            </w:pPr>
            <w:r>
              <w:rPr>
                <w:rFonts w:hint="eastAsia" w:ascii="宋体" w:hAnsi="宋体" w:cs="宋体"/>
                <w:b/>
                <w:szCs w:val="21"/>
              </w:rPr>
              <w:t>报价</w:t>
            </w:r>
          </w:p>
        </w:tc>
        <w:tc>
          <w:tcPr>
            <w:tcW w:w="1260" w:type="dxa"/>
            <w:noWrap w:val="0"/>
            <w:vAlign w:val="center"/>
          </w:tcPr>
          <w:p>
            <w:pPr>
              <w:jc w:val="center"/>
              <w:rPr>
                <w:rFonts w:hint="eastAsia" w:ascii="宋体" w:hAnsi="宋体" w:cs="宋体"/>
                <w:b/>
                <w:szCs w:val="21"/>
              </w:rPr>
            </w:pPr>
            <w:r>
              <w:rPr>
                <w:rFonts w:hint="eastAsia" w:ascii="宋体" w:hAnsi="宋体" w:cs="宋体"/>
                <w:b/>
                <w:szCs w:val="21"/>
              </w:rPr>
              <w:t>项目</w:t>
            </w:r>
          </w:p>
          <w:p>
            <w:pPr>
              <w:jc w:val="center"/>
              <w:rPr>
                <w:rFonts w:hint="eastAsia" w:ascii="宋体" w:hAnsi="宋体" w:cs="宋体"/>
                <w:b/>
                <w:szCs w:val="21"/>
              </w:rPr>
            </w:pPr>
            <w:r>
              <w:rPr>
                <w:rFonts w:hint="eastAsia" w:ascii="宋体" w:hAnsi="宋体" w:cs="宋体"/>
                <w:b/>
                <w:szCs w:val="21"/>
              </w:rPr>
              <w:t>负责人</w:t>
            </w:r>
          </w:p>
        </w:tc>
        <w:tc>
          <w:tcPr>
            <w:tcW w:w="1416" w:type="dxa"/>
            <w:noWrap w:val="0"/>
            <w:vAlign w:val="center"/>
          </w:tcPr>
          <w:p>
            <w:pPr>
              <w:jc w:val="center"/>
              <w:rPr>
                <w:rFonts w:hint="eastAsia" w:ascii="宋体" w:hAnsi="宋体" w:cs="宋体"/>
                <w:b/>
                <w:szCs w:val="21"/>
              </w:rPr>
            </w:pPr>
            <w:r>
              <w:rPr>
                <w:rFonts w:hint="eastAsia" w:ascii="宋体" w:hAnsi="宋体" w:cs="宋体"/>
                <w:b/>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720" w:type="dxa"/>
            <w:noWrap w:val="0"/>
            <w:vAlign w:val="center"/>
          </w:tcPr>
          <w:p>
            <w:pPr>
              <w:jc w:val="center"/>
              <w:rPr>
                <w:rFonts w:hint="eastAsia" w:ascii="宋体" w:hAnsi="宋体" w:cs="宋体"/>
                <w:szCs w:val="21"/>
              </w:rPr>
            </w:pPr>
            <w:r>
              <w:rPr>
                <w:rFonts w:hint="eastAsia" w:ascii="宋体" w:hAnsi="宋体" w:cs="宋体"/>
                <w:szCs w:val="21"/>
              </w:rPr>
              <w:t>1</w:t>
            </w:r>
          </w:p>
        </w:tc>
        <w:tc>
          <w:tcPr>
            <w:tcW w:w="2160" w:type="dxa"/>
            <w:noWrap w:val="0"/>
            <w:vAlign w:val="center"/>
          </w:tcPr>
          <w:p>
            <w:pPr>
              <w:rPr>
                <w:rFonts w:hint="eastAsia" w:ascii="宋体" w:hAnsi="宋体" w:eastAsia="宋体" w:cs="宋体"/>
                <w:szCs w:val="21"/>
                <w:lang w:val="zh-CN" w:eastAsia="zh-CN"/>
              </w:rPr>
            </w:pPr>
            <w:r>
              <w:rPr>
                <w:rFonts w:hint="eastAsia" w:ascii="宋体" w:hAnsi="宋体" w:cs="宋体"/>
                <w:szCs w:val="21"/>
                <w:lang w:eastAsia="zh-CN"/>
              </w:rPr>
              <w:t>缙云县文物建筑白蚁防治示范项目</w:t>
            </w:r>
          </w:p>
          <w:p>
            <w:pPr>
              <w:rPr>
                <w:rFonts w:hint="eastAsia" w:ascii="宋体" w:hAnsi="宋体" w:cs="宋体"/>
                <w:szCs w:val="21"/>
              </w:rPr>
            </w:pPr>
          </w:p>
        </w:tc>
        <w:tc>
          <w:tcPr>
            <w:tcW w:w="1431" w:type="dxa"/>
            <w:noWrap w:val="0"/>
            <w:vAlign w:val="center"/>
          </w:tcPr>
          <w:p>
            <w:pPr>
              <w:jc w:val="center"/>
              <w:rPr>
                <w:rFonts w:hint="eastAsia" w:ascii="宋体" w:hAnsi="宋体" w:cs="宋体"/>
                <w:szCs w:val="21"/>
              </w:rPr>
            </w:pPr>
            <w:r>
              <w:rPr>
                <w:rFonts w:hint="eastAsia" w:ascii="宋体" w:hAnsi="宋体" w:cs="宋体"/>
                <w:szCs w:val="21"/>
              </w:rPr>
              <w:t>1</w:t>
            </w:r>
          </w:p>
        </w:tc>
        <w:tc>
          <w:tcPr>
            <w:tcW w:w="2662" w:type="dxa"/>
            <w:noWrap w:val="0"/>
            <w:vAlign w:val="center"/>
          </w:tcPr>
          <w:p>
            <w:pPr>
              <w:jc w:val="center"/>
              <w:rPr>
                <w:rFonts w:ascii="宋体" w:hAnsi="宋体" w:cs="宋体"/>
                <w:szCs w:val="21"/>
                <w:u w:val="single"/>
              </w:rPr>
            </w:pPr>
          </w:p>
        </w:tc>
        <w:tc>
          <w:tcPr>
            <w:tcW w:w="1260" w:type="dxa"/>
            <w:noWrap w:val="0"/>
            <w:vAlign w:val="center"/>
          </w:tcPr>
          <w:p>
            <w:pPr>
              <w:jc w:val="center"/>
              <w:rPr>
                <w:rFonts w:hint="eastAsia" w:ascii="宋体" w:hAnsi="宋体" w:cs="宋体"/>
                <w:szCs w:val="21"/>
              </w:rPr>
            </w:pPr>
          </w:p>
        </w:tc>
        <w:tc>
          <w:tcPr>
            <w:tcW w:w="1416" w:type="dxa"/>
            <w:noWrap w:val="0"/>
            <w:vAlign w:val="center"/>
          </w:tcPr>
          <w:p>
            <w:pPr>
              <w:rPr>
                <w:rFonts w:hint="eastAsia" w:ascii="宋体" w:hAnsi="宋体" w:cs="宋体"/>
                <w:szCs w:val="21"/>
              </w:rPr>
            </w:pPr>
          </w:p>
        </w:tc>
      </w:tr>
    </w:tbl>
    <w:p>
      <w:pPr>
        <w:spacing w:line="360" w:lineRule="auto"/>
        <w:ind w:firstLine="422" w:firstLineChars="200"/>
        <w:rPr>
          <w:rFonts w:hint="eastAsia" w:ascii="宋体" w:hAnsi="宋体" w:cs="宋体"/>
          <w:b/>
          <w:bCs/>
          <w:szCs w:val="21"/>
        </w:rPr>
      </w:pPr>
    </w:p>
    <w:p>
      <w:pPr>
        <w:spacing w:line="360" w:lineRule="auto"/>
        <w:ind w:firstLine="420" w:firstLineChars="200"/>
        <w:jc w:val="left"/>
        <w:rPr>
          <w:rFonts w:hint="eastAsia" w:ascii="宋体" w:hAnsi="宋体" w:cs="宋体"/>
          <w:bCs/>
          <w:color w:val="000000"/>
          <w:szCs w:val="21"/>
        </w:rPr>
      </w:pPr>
      <w:r>
        <w:rPr>
          <w:rFonts w:hint="eastAsia" w:ascii="宋体" w:hAnsi="宋体" w:cs="宋体"/>
          <w:bCs/>
          <w:color w:val="000000"/>
          <w:szCs w:val="21"/>
        </w:rPr>
        <w:t>▲1.投标报价不得超出采购预算价（最高限价），否则不进入商务标评审，并不得推荐为成交候选人。</w:t>
      </w:r>
    </w:p>
    <w:p>
      <w:pPr>
        <w:spacing w:line="360" w:lineRule="auto"/>
        <w:ind w:firstLine="420" w:firstLineChars="200"/>
        <w:jc w:val="left"/>
        <w:rPr>
          <w:rFonts w:hint="eastAsia" w:ascii="宋体" w:hAnsi="宋体" w:cs="宋体"/>
          <w:bCs/>
          <w:color w:val="000000"/>
          <w:szCs w:val="21"/>
        </w:rPr>
      </w:pPr>
      <w:r>
        <w:rPr>
          <w:rFonts w:hint="eastAsia" w:ascii="宋体" w:hAnsi="宋体" w:cs="宋体"/>
          <w:bCs/>
          <w:color w:val="000000"/>
          <w:szCs w:val="21"/>
        </w:rPr>
        <w:t>▲2.报价一经涂改，应在涂改处加盖单位公章或由负责人或被委托人签字或盖章，否则不得推荐为成交候选人。</w:t>
      </w:r>
    </w:p>
    <w:p>
      <w:pPr>
        <w:spacing w:line="360" w:lineRule="auto"/>
        <w:ind w:firstLine="420" w:firstLineChars="200"/>
        <w:jc w:val="left"/>
        <w:rPr>
          <w:rFonts w:hint="eastAsia" w:ascii="宋体" w:hAnsi="宋体" w:cs="宋体"/>
          <w:bCs/>
          <w:color w:val="000000"/>
          <w:szCs w:val="21"/>
        </w:rPr>
      </w:pPr>
      <w:r>
        <w:rPr>
          <w:rFonts w:hint="eastAsia" w:ascii="宋体" w:hAnsi="宋体" w:cs="宋体"/>
          <w:bCs/>
          <w:color w:val="000000"/>
          <w:szCs w:val="21"/>
        </w:rPr>
        <w:t>▲3.本次报价采用综合报价，包括完成整个项目服务所需的人工、材料、提供成果、管理、税费及成果验收、分批次进行审查的会务费（专家费）、风险费及采购代理费等一切与之相关的所有费用。</w:t>
      </w:r>
    </w:p>
    <w:p>
      <w:pPr>
        <w:spacing w:line="360" w:lineRule="auto"/>
        <w:ind w:firstLine="420" w:firstLineChars="200"/>
        <w:jc w:val="left"/>
        <w:rPr>
          <w:rFonts w:hint="eastAsia" w:ascii="宋体" w:hAnsi="宋体" w:cs="宋体"/>
          <w:bCs/>
          <w:color w:val="000000"/>
          <w:szCs w:val="21"/>
        </w:rPr>
      </w:pPr>
    </w:p>
    <w:p>
      <w:pPr>
        <w:pStyle w:val="122"/>
        <w:spacing w:line="440" w:lineRule="exact"/>
        <w:ind w:firstLine="210" w:firstLineChars="100"/>
        <w:rPr>
          <w:rFonts w:hint="eastAsia" w:ascii="宋体" w:hAnsi="宋体" w:cs="宋体"/>
          <w:color w:val="000000"/>
          <w:szCs w:val="21"/>
        </w:rPr>
      </w:pPr>
    </w:p>
    <w:p>
      <w:pPr>
        <w:pStyle w:val="122"/>
        <w:spacing w:line="440" w:lineRule="exact"/>
        <w:ind w:firstLine="8347" w:firstLineChars="3975"/>
        <w:rPr>
          <w:rFonts w:hint="eastAsia" w:ascii="宋体" w:hAnsi="宋体" w:cs="宋体"/>
          <w:color w:val="000000"/>
          <w:szCs w:val="21"/>
        </w:rPr>
      </w:pPr>
      <w:r>
        <w:rPr>
          <w:rFonts w:hint="eastAsia" w:ascii="宋体" w:hAnsi="宋体" w:cs="宋体"/>
          <w:color w:val="000000"/>
          <w:szCs w:val="21"/>
        </w:rPr>
        <w:t xml:space="preserve">                                     </w:t>
      </w:r>
    </w:p>
    <w:p>
      <w:pPr>
        <w:pStyle w:val="22"/>
        <w:spacing w:before="120" w:after="120" w:line="360" w:lineRule="auto"/>
        <w:ind w:firstLine="1500" w:firstLineChars="600"/>
        <w:rPr>
          <w:rFonts w:hint="eastAsia" w:hAnsi="宋体" w:cs="宋体"/>
          <w:color w:val="000000"/>
          <w:spacing w:val="20"/>
          <w:sz w:val="21"/>
          <w:szCs w:val="21"/>
        </w:rPr>
      </w:pPr>
      <w:r>
        <w:rPr>
          <w:rFonts w:hint="eastAsia" w:hAnsi="宋体" w:cs="宋体"/>
          <w:color w:val="000000"/>
          <w:spacing w:val="20"/>
          <w:sz w:val="21"/>
          <w:szCs w:val="21"/>
        </w:rPr>
        <w:t>法定代表人（或授权委托人）签字或盖章：</w:t>
      </w:r>
      <w:r>
        <w:rPr>
          <w:rFonts w:hint="eastAsia" w:hAnsi="宋体" w:cs="宋体"/>
          <w:color w:val="000000"/>
          <w:spacing w:val="20"/>
          <w:sz w:val="21"/>
          <w:szCs w:val="21"/>
          <w:u w:val="single"/>
        </w:rPr>
        <w:t xml:space="preserve">            </w:t>
      </w:r>
      <w:r>
        <w:rPr>
          <w:rFonts w:hint="eastAsia" w:hAnsi="宋体" w:cs="宋体"/>
          <w:color w:val="000000"/>
          <w:spacing w:val="20"/>
          <w:sz w:val="21"/>
          <w:szCs w:val="21"/>
        </w:rPr>
        <w:t xml:space="preserve"> </w:t>
      </w:r>
    </w:p>
    <w:p>
      <w:pPr>
        <w:pStyle w:val="22"/>
        <w:spacing w:before="120" w:after="120" w:line="360" w:lineRule="auto"/>
        <w:ind w:firstLine="4750" w:firstLineChars="1900"/>
        <w:rPr>
          <w:rFonts w:hint="eastAsia" w:hAnsi="宋体" w:cs="宋体"/>
          <w:color w:val="000000"/>
          <w:spacing w:val="20"/>
          <w:sz w:val="21"/>
          <w:szCs w:val="21"/>
          <w:u w:val="single"/>
        </w:rPr>
      </w:pPr>
      <w:r>
        <w:rPr>
          <w:rFonts w:hint="eastAsia" w:hAnsi="宋体" w:cs="宋体"/>
          <w:color w:val="000000"/>
          <w:spacing w:val="20"/>
          <w:sz w:val="21"/>
          <w:szCs w:val="21"/>
        </w:rPr>
        <w:t>供应商盖章：</w:t>
      </w:r>
      <w:r>
        <w:rPr>
          <w:rFonts w:hint="eastAsia" w:hAnsi="宋体" w:cs="宋体"/>
          <w:color w:val="000000"/>
          <w:spacing w:val="20"/>
          <w:sz w:val="21"/>
          <w:szCs w:val="21"/>
          <w:u w:val="single"/>
        </w:rPr>
        <w:t xml:space="preserve">            </w:t>
      </w:r>
    </w:p>
    <w:p>
      <w:pPr>
        <w:spacing w:line="360" w:lineRule="auto"/>
        <w:ind w:firstLine="4750" w:firstLineChars="1900"/>
        <w:rPr>
          <w:rFonts w:hint="eastAsia" w:ascii="宋体" w:hAnsi="宋体" w:cs="宋体"/>
          <w:b/>
          <w:bCs/>
          <w:color w:val="000000"/>
          <w:szCs w:val="21"/>
        </w:rPr>
      </w:pPr>
      <w:r>
        <w:rPr>
          <w:rFonts w:hint="eastAsia" w:ascii="宋体" w:hAnsi="宋体" w:cs="宋体"/>
          <w:color w:val="000000"/>
          <w:spacing w:val="20"/>
          <w:szCs w:val="21"/>
        </w:rPr>
        <w:t>日     期：</w:t>
      </w:r>
      <w:r>
        <w:rPr>
          <w:rFonts w:hint="eastAsia" w:ascii="宋体" w:hAnsi="宋体" w:cs="宋体"/>
          <w:color w:val="000000"/>
          <w:spacing w:val="20"/>
          <w:szCs w:val="21"/>
          <w:u w:val="single"/>
        </w:rPr>
        <w:t xml:space="preserve">            </w:t>
      </w:r>
    </w:p>
    <w:p>
      <w:pPr>
        <w:pStyle w:val="190"/>
        <w:outlineLvl w:val="2"/>
        <w:rPr>
          <w:rFonts w:hint="eastAsia" w:ascii="宋体" w:hAnsi="宋体" w:eastAsia="宋体" w:cs="宋体"/>
          <w:color w:val="000000"/>
          <w:kern w:val="2"/>
          <w:sz w:val="21"/>
          <w:szCs w:val="21"/>
        </w:rPr>
        <w:sectPr>
          <w:pgSz w:w="11906" w:h="16838"/>
          <w:pgMar w:top="1417" w:right="1417" w:bottom="1134" w:left="1417" w:header="851" w:footer="850" w:gutter="0"/>
          <w:cols w:space="720" w:num="1"/>
          <w:titlePg/>
          <w:docGrid w:linePitch="312" w:charSpace="0"/>
        </w:sectPr>
      </w:pPr>
    </w:p>
    <w:p>
      <w:pPr>
        <w:keepNext/>
        <w:keepLines/>
        <w:snapToGrid w:val="0"/>
        <w:jc w:val="left"/>
        <w:rPr>
          <w:rFonts w:ascii="宋体" w:hAnsi="宋体" w:cs="宋体"/>
          <w:sz w:val="24"/>
        </w:rPr>
      </w:pPr>
      <w:r>
        <w:rPr>
          <w:rFonts w:hint="eastAsia" w:ascii="宋体" w:hAnsi="宋体" w:cs="宋体"/>
          <w:sz w:val="24"/>
        </w:rPr>
        <w:t>2、投标分项报价表</w:t>
      </w:r>
      <w:bookmarkEnd w:id="506"/>
    </w:p>
    <w:p>
      <w:pPr>
        <w:spacing w:line="360" w:lineRule="auto"/>
        <w:jc w:val="center"/>
        <w:rPr>
          <w:rFonts w:ascii="宋体" w:hAnsi="宋体" w:cs="宋体"/>
          <w:iCs/>
          <w:szCs w:val="21"/>
        </w:rPr>
      </w:pPr>
      <w:r>
        <w:rPr>
          <w:rFonts w:hint="eastAsia" w:ascii="宋体" w:hAnsi="宋体" w:cs="宋体"/>
          <w:iCs/>
          <w:szCs w:val="21"/>
        </w:rPr>
        <w:t>（格式自行编制）</w:t>
      </w:r>
    </w:p>
    <w:p>
      <w:pPr>
        <w:pStyle w:val="180"/>
        <w:spacing w:line="360" w:lineRule="auto"/>
        <w:ind w:firstLine="440" w:firstLineChars="200"/>
        <w:rPr>
          <w:rFonts w:ascii="宋体" w:hAnsi="宋体" w:eastAsia="宋体" w:cs="宋体"/>
          <w:b/>
          <w:bCs/>
          <w:kern w:val="2"/>
          <w:sz w:val="22"/>
          <w:szCs w:val="22"/>
        </w:rPr>
      </w:pPr>
      <w:r>
        <w:rPr>
          <w:rFonts w:hint="eastAsia" w:ascii="宋体" w:hAnsi="宋体" w:eastAsia="宋体" w:cs="宋体"/>
          <w:kern w:val="2"/>
          <w:sz w:val="22"/>
          <w:szCs w:val="22"/>
        </w:rPr>
        <w:t>注：1、投标人需按“总报价表”的报价，对“</w:t>
      </w:r>
      <w:r>
        <w:rPr>
          <w:rFonts w:hint="eastAsia" w:ascii="宋体" w:hAnsi="宋体" w:eastAsia="宋体" w:cs="宋体"/>
          <w:sz w:val="22"/>
          <w:szCs w:val="22"/>
          <w:lang w:eastAsia="zh-CN"/>
        </w:rPr>
        <w:t>缙云县文物建筑白蚁防治示范项目</w:t>
      </w:r>
      <w:r>
        <w:rPr>
          <w:rFonts w:hint="eastAsia" w:ascii="宋体" w:hAnsi="宋体" w:eastAsia="宋体" w:cs="宋体"/>
          <w:kern w:val="2"/>
          <w:sz w:val="22"/>
          <w:szCs w:val="22"/>
        </w:rPr>
        <w:t>”的</w:t>
      </w:r>
      <w:r>
        <w:rPr>
          <w:rFonts w:hint="eastAsia" w:ascii="宋体" w:hAnsi="宋体" w:eastAsia="宋体" w:cs="宋体"/>
          <w:b/>
          <w:bCs/>
          <w:kern w:val="2"/>
          <w:sz w:val="22"/>
          <w:szCs w:val="22"/>
        </w:rPr>
        <w:t>分项报价分别进行详细列表说明。</w:t>
      </w:r>
    </w:p>
    <w:p>
      <w:pPr>
        <w:spacing w:line="360" w:lineRule="auto"/>
        <w:jc w:val="left"/>
        <w:rPr>
          <w:rFonts w:ascii="宋体" w:hAnsi="宋体" w:cs="宋体"/>
          <w:spacing w:val="20"/>
          <w:sz w:val="22"/>
          <w:szCs w:val="22"/>
        </w:rPr>
      </w:pPr>
    </w:p>
    <w:p>
      <w:pPr>
        <w:pStyle w:val="8"/>
        <w:rPr>
          <w:rFonts w:ascii="宋体" w:hAnsi="宋体" w:cs="宋体"/>
          <w:spacing w:val="20"/>
          <w:sz w:val="22"/>
          <w:szCs w:val="22"/>
        </w:rPr>
      </w:pPr>
    </w:p>
    <w:p>
      <w:pPr>
        <w:pStyle w:val="8"/>
        <w:rPr>
          <w:rFonts w:ascii="宋体" w:hAnsi="宋体" w:cs="宋体"/>
          <w:spacing w:val="20"/>
          <w:sz w:val="22"/>
          <w:szCs w:val="22"/>
        </w:rPr>
      </w:pPr>
    </w:p>
    <w:p>
      <w:pPr>
        <w:pStyle w:val="8"/>
        <w:rPr>
          <w:rFonts w:ascii="宋体" w:hAnsi="宋体" w:cs="宋体"/>
          <w:spacing w:val="20"/>
          <w:sz w:val="22"/>
          <w:szCs w:val="22"/>
        </w:rPr>
      </w:pPr>
    </w:p>
    <w:p>
      <w:pPr>
        <w:pStyle w:val="8"/>
        <w:rPr>
          <w:rFonts w:ascii="宋体" w:hAnsi="宋体" w:cs="宋体"/>
          <w:spacing w:val="20"/>
          <w:sz w:val="22"/>
          <w:szCs w:val="22"/>
        </w:rPr>
      </w:pPr>
    </w:p>
    <w:p>
      <w:pPr>
        <w:pStyle w:val="22"/>
        <w:spacing w:before="120" w:after="120" w:line="360" w:lineRule="auto"/>
        <w:ind w:firstLine="1560" w:firstLineChars="600"/>
        <w:rPr>
          <w:rFonts w:hAnsi="宋体" w:cs="宋体"/>
          <w:spacing w:val="20"/>
          <w:sz w:val="22"/>
          <w:szCs w:val="22"/>
        </w:rPr>
      </w:pPr>
      <w:r>
        <w:rPr>
          <w:rFonts w:hint="eastAsia" w:hAnsi="宋体" w:cs="宋体"/>
          <w:spacing w:val="20"/>
          <w:sz w:val="22"/>
          <w:szCs w:val="22"/>
        </w:rPr>
        <w:t>法定代表人（或授权委托人）签字或盖章：</w:t>
      </w:r>
      <w:r>
        <w:rPr>
          <w:rFonts w:hint="eastAsia" w:hAnsi="宋体" w:cs="宋体"/>
          <w:spacing w:val="20"/>
          <w:sz w:val="22"/>
          <w:szCs w:val="22"/>
          <w:u w:val="single"/>
        </w:rPr>
        <w:t xml:space="preserve">            </w:t>
      </w:r>
      <w:r>
        <w:rPr>
          <w:rFonts w:hint="eastAsia" w:hAnsi="宋体" w:cs="宋体"/>
          <w:spacing w:val="20"/>
          <w:sz w:val="22"/>
          <w:szCs w:val="22"/>
        </w:rPr>
        <w:t xml:space="preserve"> </w:t>
      </w:r>
    </w:p>
    <w:p>
      <w:pPr>
        <w:pStyle w:val="22"/>
        <w:spacing w:before="120" w:after="120" w:line="360" w:lineRule="auto"/>
        <w:ind w:firstLine="4940" w:firstLineChars="1900"/>
        <w:rPr>
          <w:rFonts w:hAnsi="宋体" w:cs="宋体"/>
          <w:spacing w:val="20"/>
          <w:sz w:val="22"/>
          <w:szCs w:val="22"/>
          <w:u w:val="single"/>
        </w:rPr>
      </w:pPr>
      <w:r>
        <w:rPr>
          <w:rFonts w:hint="eastAsia" w:hAnsi="宋体" w:cs="宋体"/>
          <w:spacing w:val="20"/>
          <w:sz w:val="22"/>
          <w:szCs w:val="22"/>
        </w:rPr>
        <w:t>供应商盖章：</w:t>
      </w:r>
      <w:r>
        <w:rPr>
          <w:rFonts w:hint="eastAsia" w:hAnsi="宋体" w:cs="宋体"/>
          <w:spacing w:val="20"/>
          <w:sz w:val="22"/>
          <w:szCs w:val="22"/>
          <w:u w:val="single"/>
        </w:rPr>
        <w:t xml:space="preserve">            </w:t>
      </w:r>
    </w:p>
    <w:p>
      <w:pPr>
        <w:spacing w:line="360" w:lineRule="auto"/>
        <w:ind w:firstLine="4940" w:firstLineChars="1900"/>
        <w:rPr>
          <w:rFonts w:ascii="宋体" w:hAnsi="宋体" w:cs="宋体"/>
          <w:b/>
          <w:bCs/>
          <w:sz w:val="22"/>
          <w:szCs w:val="22"/>
        </w:rPr>
      </w:pPr>
      <w:r>
        <w:rPr>
          <w:rFonts w:hint="eastAsia" w:ascii="宋体" w:hAnsi="宋体" w:cs="宋体"/>
          <w:spacing w:val="20"/>
          <w:sz w:val="22"/>
          <w:szCs w:val="22"/>
        </w:rPr>
        <w:t>日     期：</w:t>
      </w:r>
      <w:r>
        <w:rPr>
          <w:rFonts w:hint="eastAsia" w:ascii="宋体" w:hAnsi="宋体" w:cs="宋体"/>
          <w:spacing w:val="20"/>
          <w:sz w:val="22"/>
          <w:szCs w:val="22"/>
          <w:u w:val="single"/>
        </w:rPr>
        <w:t xml:space="preserve">            </w:t>
      </w:r>
    </w:p>
    <w:p>
      <w:pPr>
        <w:pStyle w:val="189"/>
        <w:wordWrap w:val="0"/>
        <w:spacing w:line="360" w:lineRule="auto"/>
        <w:ind w:firstLine="480"/>
        <w:jc w:val="right"/>
        <w:rPr>
          <w:rFonts w:ascii="宋体" w:hAnsi="宋体" w:cs="宋体"/>
          <w:sz w:val="24"/>
          <w:u w:val="single"/>
        </w:rPr>
      </w:pPr>
    </w:p>
    <w:p>
      <w:pPr>
        <w:pStyle w:val="190"/>
        <w:outlineLvl w:val="2"/>
        <w:rPr>
          <w:rFonts w:ascii="宋体" w:hAnsi="宋体" w:eastAsia="宋体" w:cs="宋体"/>
          <w:kern w:val="2"/>
          <w:sz w:val="21"/>
          <w:szCs w:val="21"/>
        </w:rPr>
        <w:sectPr>
          <w:pgSz w:w="11906" w:h="16838"/>
          <w:pgMar w:top="1417" w:right="1417" w:bottom="1134" w:left="1417" w:header="851" w:footer="850" w:gutter="0"/>
          <w:cols w:space="720" w:num="1"/>
          <w:titlePg/>
          <w:docGrid w:linePitch="312" w:charSpace="0"/>
        </w:sectPr>
      </w:pPr>
    </w:p>
    <w:p>
      <w:pPr>
        <w:jc w:val="center"/>
        <w:rPr>
          <w:rFonts w:ascii="宋体" w:hAnsi="宋体" w:cs="宋体"/>
          <w:b/>
          <w:sz w:val="28"/>
          <w:szCs w:val="28"/>
        </w:rPr>
      </w:pPr>
      <w:r>
        <w:rPr>
          <w:rFonts w:hint="eastAsia" w:ascii="宋体" w:hAnsi="宋体" w:cs="宋体"/>
          <w:b/>
          <w:sz w:val="28"/>
          <w:szCs w:val="28"/>
        </w:rPr>
        <w:t>3、供应商针对报价需要说明的其他文件和说明</w:t>
      </w:r>
    </w:p>
    <w:p>
      <w:pPr>
        <w:pStyle w:val="8"/>
        <w:spacing w:line="360" w:lineRule="auto"/>
        <w:ind w:firstLine="0"/>
        <w:jc w:val="center"/>
        <w:rPr>
          <w:rFonts w:ascii="宋体" w:hAnsi="宋体" w:cs="宋体"/>
          <w:b/>
          <w:sz w:val="24"/>
          <w:szCs w:val="24"/>
        </w:rPr>
      </w:pPr>
    </w:p>
    <w:p>
      <w:pPr>
        <w:pStyle w:val="8"/>
        <w:spacing w:line="360" w:lineRule="auto"/>
        <w:ind w:firstLine="0"/>
        <w:jc w:val="center"/>
        <w:rPr>
          <w:rFonts w:ascii="宋体" w:hAnsi="宋体" w:cs="宋体"/>
          <w:b/>
          <w:sz w:val="24"/>
          <w:szCs w:val="24"/>
        </w:rPr>
      </w:pPr>
      <w:r>
        <w:rPr>
          <w:rFonts w:hint="eastAsia" w:ascii="宋体" w:hAnsi="宋体" w:cs="宋体"/>
          <w:b/>
          <w:sz w:val="24"/>
          <w:szCs w:val="24"/>
        </w:rPr>
        <w:t>3.1 中小企业声明函格式（工程、服务）</w:t>
      </w:r>
    </w:p>
    <w:p>
      <w:pPr>
        <w:pStyle w:val="2"/>
        <w:spacing w:line="302" w:lineRule="auto"/>
        <w:ind w:right="415" w:firstLine="640"/>
        <w:rPr>
          <w:rFonts w:ascii="宋体" w:hAnsi="宋体" w:cs="宋体"/>
          <w:spacing w:val="-2"/>
        </w:rPr>
      </w:pPr>
    </w:p>
    <w:p>
      <w:pPr>
        <w:pStyle w:val="2"/>
        <w:spacing w:line="360" w:lineRule="auto"/>
        <w:ind w:right="375" w:firstLine="640"/>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号）的规定，本公司（联合体）的施工单位全部为符合政策要求的中小企业（或者：服务全部由符合政策要求的中小企业承接）。相关企业（含联合 体中的中小企业、签订分包意向协议的中小企业）的具体情况如下：</w:t>
      </w:r>
    </w:p>
    <w:p>
      <w:pPr>
        <w:pStyle w:val="2"/>
        <w:spacing w:before="108" w:line="360" w:lineRule="auto"/>
        <w:ind w:right="417" w:firstLine="645"/>
        <w:rPr>
          <w:rFonts w:ascii="宋体" w:hAnsi="宋体" w:cs="宋体"/>
          <w:sz w:val="22"/>
          <w:szCs w:val="22"/>
        </w:rPr>
      </w:pPr>
      <w:r>
        <w:rPr>
          <w:rFonts w:hint="eastAsia" w:ascii="宋体" w:hAnsi="宋体" w:cs="宋体"/>
          <w:sz w:val="22"/>
          <w:szCs w:val="22"/>
        </w:rPr>
        <w:t>1.</w:t>
      </w:r>
      <w:r>
        <w:rPr>
          <w:rFonts w:hint="eastAsia" w:ascii="宋体" w:hAnsi="宋体" w:cs="宋体"/>
          <w:sz w:val="22"/>
          <w:szCs w:val="22"/>
          <w:u w:val="single"/>
        </w:rPr>
        <w:t xml:space="preserve">  （标的名称）  </w:t>
      </w:r>
      <w:r>
        <w:rPr>
          <w:rFonts w:hint="eastAsia" w:ascii="宋体" w:hAnsi="宋体" w:cs="宋体"/>
          <w:sz w:val="22"/>
          <w:szCs w:val="22"/>
        </w:rPr>
        <w:t>，属于</w:t>
      </w:r>
      <w:r>
        <w:rPr>
          <w:rFonts w:hint="eastAsia" w:ascii="宋体" w:hAnsi="宋体" w:cs="宋体"/>
          <w:sz w:val="22"/>
          <w:szCs w:val="22"/>
          <w:u w:val="single"/>
        </w:rPr>
        <w:t xml:space="preserve">   （采购文件中明确的所属行业）  </w:t>
      </w:r>
      <w:r>
        <w:rPr>
          <w:rFonts w:hint="eastAsia" w:ascii="宋体" w:hAnsi="宋体" w:cs="宋体"/>
          <w:sz w:val="22"/>
          <w:szCs w:val="22"/>
        </w:rPr>
        <w:t>；承建（承接）企业为</w:t>
      </w:r>
      <w:r>
        <w:rPr>
          <w:rFonts w:hint="eastAsia" w:ascii="宋体" w:hAnsi="宋体" w:cs="宋体"/>
          <w:sz w:val="22"/>
          <w:szCs w:val="22"/>
          <w:u w:val="single"/>
        </w:rPr>
        <w:t xml:space="preserve">  企业名称  </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 xml:space="preserve">  （中型企业、小型企业、微型企业） </w:t>
      </w:r>
      <w:r>
        <w:rPr>
          <w:rFonts w:hint="eastAsia" w:ascii="宋体" w:hAnsi="宋体" w:cs="宋体"/>
          <w:sz w:val="22"/>
          <w:szCs w:val="22"/>
        </w:rPr>
        <w:t>；</w:t>
      </w:r>
    </w:p>
    <w:p>
      <w:pPr>
        <w:pStyle w:val="2"/>
        <w:spacing w:before="108" w:line="360" w:lineRule="auto"/>
        <w:ind w:right="417" w:firstLine="645"/>
        <w:rPr>
          <w:rFonts w:ascii="宋体" w:hAnsi="宋体" w:cs="宋体"/>
          <w:sz w:val="22"/>
          <w:szCs w:val="22"/>
          <w:u w:val="single"/>
        </w:rPr>
      </w:pPr>
      <w:r>
        <w:rPr>
          <w:rFonts w:hint="eastAsia" w:ascii="宋体" w:hAnsi="宋体" w:cs="宋体"/>
          <w:sz w:val="22"/>
          <w:szCs w:val="22"/>
        </w:rPr>
        <w:t>2.</w:t>
      </w:r>
      <w:r>
        <w:rPr>
          <w:rFonts w:hint="eastAsia" w:ascii="宋体" w:hAnsi="宋体" w:cs="宋体"/>
          <w:sz w:val="22"/>
          <w:szCs w:val="22"/>
          <w:u w:val="single"/>
        </w:rPr>
        <w:t xml:space="preserve">  （标的名称）  </w:t>
      </w:r>
      <w:r>
        <w:rPr>
          <w:rFonts w:hint="eastAsia" w:ascii="宋体" w:hAnsi="宋体" w:cs="宋体"/>
          <w:sz w:val="22"/>
          <w:szCs w:val="22"/>
        </w:rPr>
        <w:t>，属于</w:t>
      </w:r>
      <w:r>
        <w:rPr>
          <w:rFonts w:hint="eastAsia" w:ascii="宋体" w:hAnsi="宋体" w:cs="宋体"/>
          <w:sz w:val="22"/>
          <w:szCs w:val="22"/>
          <w:u w:val="single"/>
        </w:rPr>
        <w:t xml:space="preserve">   （采购文件中明确的所属行业）  </w:t>
      </w:r>
      <w:r>
        <w:rPr>
          <w:rFonts w:hint="eastAsia" w:ascii="宋体" w:hAnsi="宋体" w:cs="宋体"/>
          <w:sz w:val="22"/>
          <w:szCs w:val="22"/>
        </w:rPr>
        <w:t>；承建（承接）企业为</w:t>
      </w:r>
      <w:r>
        <w:rPr>
          <w:rFonts w:hint="eastAsia" w:ascii="宋体" w:hAnsi="宋体" w:cs="宋体"/>
          <w:sz w:val="22"/>
          <w:szCs w:val="22"/>
          <w:u w:val="single"/>
        </w:rPr>
        <w:t xml:space="preserve">  企业名称  </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 xml:space="preserve">  （中型企业、小型企业、微型企业） </w:t>
      </w:r>
      <w:r>
        <w:rPr>
          <w:rFonts w:hint="eastAsia" w:ascii="宋体" w:hAnsi="宋体" w:cs="宋体"/>
          <w:sz w:val="22"/>
          <w:szCs w:val="22"/>
        </w:rPr>
        <w:t>；</w:t>
      </w:r>
    </w:p>
    <w:p>
      <w:pPr>
        <w:pStyle w:val="2"/>
        <w:spacing w:before="11" w:line="360" w:lineRule="auto"/>
        <w:ind w:left="860"/>
        <w:rPr>
          <w:rFonts w:ascii="宋体" w:hAnsi="宋体" w:cs="宋体"/>
          <w:sz w:val="22"/>
          <w:szCs w:val="22"/>
        </w:rPr>
      </w:pPr>
      <w:r>
        <w:rPr>
          <w:rFonts w:hint="eastAsia" w:ascii="宋体" w:hAnsi="宋体" w:cs="宋体"/>
          <w:sz w:val="22"/>
          <w:szCs w:val="22"/>
        </w:rPr>
        <w:t>……</w:t>
      </w:r>
    </w:p>
    <w:p>
      <w:pPr>
        <w:pStyle w:val="2"/>
        <w:spacing w:before="108" w:line="360" w:lineRule="auto"/>
        <w:ind w:right="417" w:firstLine="645"/>
        <w:rPr>
          <w:rFonts w:ascii="宋体" w:hAnsi="宋体" w:cs="宋体"/>
          <w:sz w:val="22"/>
          <w:szCs w:val="22"/>
        </w:rPr>
      </w:pPr>
      <w:r>
        <w:rPr>
          <w:rFonts w:hint="eastAsia" w:ascii="宋体" w:hAnsi="宋体" w:cs="宋体"/>
          <w:spacing w:val="-3"/>
          <w:sz w:val="22"/>
          <w:szCs w:val="22"/>
        </w:rPr>
        <w:t>以上企业，不属于大企业的分支机构，不存在控股股东</w:t>
      </w:r>
      <w:r>
        <w:rPr>
          <w:rFonts w:hint="eastAsia" w:ascii="宋体" w:hAnsi="宋体" w:cs="宋体"/>
          <w:spacing w:val="-5"/>
          <w:sz w:val="22"/>
          <w:szCs w:val="22"/>
        </w:rPr>
        <w:t>为大企业的情形，也不存在与大企业的负责人为同一人的情形。</w:t>
      </w:r>
    </w:p>
    <w:p>
      <w:pPr>
        <w:pStyle w:val="2"/>
        <w:spacing w:line="360" w:lineRule="auto"/>
        <w:ind w:right="375" w:firstLine="640"/>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pPr>
        <w:pStyle w:val="32"/>
        <w:snapToGrid w:val="0"/>
        <w:spacing w:line="360" w:lineRule="auto"/>
        <w:ind w:left="420" w:hanging="420"/>
        <w:jc w:val="left"/>
        <w:rPr>
          <w:rFonts w:ascii="宋体" w:hAnsi="宋体" w:cs="宋体"/>
          <w:szCs w:val="21"/>
        </w:rPr>
      </w:pPr>
    </w:p>
    <w:p>
      <w:pPr>
        <w:pStyle w:val="22"/>
        <w:spacing w:before="120" w:after="120" w:line="312" w:lineRule="auto"/>
        <w:ind w:firstLine="2000" w:firstLineChars="800"/>
        <w:rPr>
          <w:rFonts w:hAnsi="宋体" w:cs="宋体"/>
          <w:spacing w:val="20"/>
          <w:sz w:val="21"/>
          <w:szCs w:val="21"/>
        </w:rPr>
      </w:pPr>
      <w:r>
        <w:rPr>
          <w:rFonts w:hint="eastAsia" w:hAnsi="宋体" w:cs="宋体"/>
          <w:spacing w:val="20"/>
          <w:sz w:val="21"/>
          <w:szCs w:val="21"/>
        </w:rPr>
        <w:t>法定代表人（或授权委托人）签字或盖章：</w:t>
      </w:r>
      <w:r>
        <w:rPr>
          <w:rFonts w:hint="eastAsia" w:hAnsi="宋体" w:cs="宋体"/>
          <w:spacing w:val="20"/>
          <w:sz w:val="21"/>
          <w:szCs w:val="21"/>
          <w:u w:val="single"/>
        </w:rPr>
        <w:t xml:space="preserve">            </w:t>
      </w:r>
      <w:r>
        <w:rPr>
          <w:rFonts w:hint="eastAsia" w:hAnsi="宋体" w:cs="宋体"/>
          <w:spacing w:val="20"/>
          <w:sz w:val="21"/>
          <w:szCs w:val="21"/>
        </w:rPr>
        <w:t xml:space="preserve"> </w:t>
      </w:r>
    </w:p>
    <w:p>
      <w:pPr>
        <w:pStyle w:val="22"/>
        <w:spacing w:before="120" w:after="120" w:line="312" w:lineRule="auto"/>
        <w:ind w:firstLine="5250" w:firstLineChars="2100"/>
        <w:rPr>
          <w:rFonts w:hAnsi="宋体" w:cs="宋体"/>
          <w:spacing w:val="20"/>
          <w:sz w:val="21"/>
          <w:szCs w:val="21"/>
          <w:u w:val="single"/>
        </w:rPr>
      </w:pPr>
      <w:r>
        <w:rPr>
          <w:rFonts w:hint="eastAsia" w:hAnsi="宋体" w:cs="宋体"/>
          <w:spacing w:val="20"/>
          <w:sz w:val="21"/>
          <w:szCs w:val="21"/>
        </w:rPr>
        <w:t>供应商盖章：</w:t>
      </w:r>
      <w:r>
        <w:rPr>
          <w:rFonts w:hint="eastAsia" w:hAnsi="宋体" w:cs="宋体"/>
          <w:spacing w:val="20"/>
          <w:sz w:val="21"/>
          <w:szCs w:val="21"/>
          <w:u w:val="single"/>
        </w:rPr>
        <w:t xml:space="preserve">            </w:t>
      </w:r>
    </w:p>
    <w:p>
      <w:pPr>
        <w:spacing w:line="312" w:lineRule="auto"/>
        <w:ind w:firstLine="5250" w:firstLineChars="2100"/>
        <w:rPr>
          <w:rFonts w:ascii="宋体" w:hAnsi="宋体" w:cs="宋体"/>
          <w:sz w:val="22"/>
          <w:szCs w:val="22"/>
        </w:rPr>
      </w:pPr>
      <w:r>
        <w:rPr>
          <w:rFonts w:hint="eastAsia" w:ascii="宋体" w:hAnsi="宋体" w:cs="宋体"/>
          <w:spacing w:val="20"/>
          <w:szCs w:val="21"/>
        </w:rPr>
        <w:t>日     期：</w:t>
      </w:r>
      <w:r>
        <w:rPr>
          <w:rFonts w:hint="eastAsia" w:ascii="宋体" w:hAnsi="宋体" w:cs="宋体"/>
          <w:spacing w:val="20"/>
          <w:szCs w:val="21"/>
          <w:u w:val="single"/>
        </w:rPr>
        <w:t xml:space="preserve">            </w:t>
      </w:r>
    </w:p>
    <w:p>
      <w:pPr>
        <w:pStyle w:val="189"/>
        <w:spacing w:line="360" w:lineRule="auto"/>
        <w:jc w:val="left"/>
        <w:rPr>
          <w:rFonts w:ascii="宋体" w:hAnsi="宋体" w:cs="宋体"/>
          <w:spacing w:val="6"/>
          <w:szCs w:val="21"/>
        </w:rPr>
      </w:pPr>
    </w:p>
    <w:p>
      <w:pPr>
        <w:spacing w:line="312" w:lineRule="auto"/>
        <w:ind w:firstLine="482"/>
        <w:jc w:val="left"/>
        <w:rPr>
          <w:rFonts w:ascii="宋体" w:hAnsi="宋体" w:cs="宋体"/>
          <w:kern w:val="0"/>
          <w:szCs w:val="21"/>
        </w:rPr>
      </w:pPr>
    </w:p>
    <w:p>
      <w:pPr>
        <w:pStyle w:val="8"/>
        <w:spacing w:line="360" w:lineRule="auto"/>
        <w:ind w:firstLine="0"/>
        <w:jc w:val="center"/>
        <w:rPr>
          <w:rFonts w:ascii="宋体" w:hAnsi="宋体" w:cs="宋体"/>
          <w:b/>
          <w:sz w:val="24"/>
          <w:szCs w:val="24"/>
        </w:rPr>
      </w:pPr>
    </w:p>
    <w:p>
      <w:pPr>
        <w:pStyle w:val="8"/>
        <w:spacing w:line="360" w:lineRule="auto"/>
        <w:ind w:firstLine="0"/>
        <w:jc w:val="center"/>
        <w:rPr>
          <w:rFonts w:ascii="宋体" w:hAnsi="宋体" w:cs="宋体"/>
          <w:b/>
          <w:sz w:val="24"/>
          <w:szCs w:val="24"/>
        </w:rPr>
      </w:pPr>
    </w:p>
    <w:p>
      <w:pPr>
        <w:pStyle w:val="8"/>
        <w:spacing w:line="360" w:lineRule="auto"/>
        <w:ind w:firstLine="0"/>
        <w:jc w:val="center"/>
        <w:rPr>
          <w:rFonts w:ascii="宋体" w:hAnsi="宋体" w:cs="宋体"/>
          <w:b/>
          <w:sz w:val="24"/>
          <w:szCs w:val="24"/>
        </w:rPr>
      </w:pPr>
    </w:p>
    <w:p>
      <w:pPr>
        <w:pStyle w:val="8"/>
        <w:spacing w:line="360" w:lineRule="auto"/>
        <w:ind w:firstLine="0"/>
        <w:jc w:val="center"/>
        <w:rPr>
          <w:rFonts w:ascii="宋体" w:hAnsi="宋体" w:cs="宋体"/>
          <w:b/>
          <w:sz w:val="24"/>
          <w:szCs w:val="24"/>
        </w:rPr>
      </w:pPr>
    </w:p>
    <w:p>
      <w:pPr>
        <w:pStyle w:val="8"/>
        <w:spacing w:line="360" w:lineRule="auto"/>
        <w:ind w:firstLine="0"/>
        <w:jc w:val="center"/>
        <w:rPr>
          <w:rFonts w:ascii="宋体" w:hAnsi="宋体" w:cs="宋体"/>
          <w:b/>
          <w:sz w:val="24"/>
          <w:szCs w:val="24"/>
        </w:rPr>
      </w:pPr>
    </w:p>
    <w:p>
      <w:pPr>
        <w:pStyle w:val="8"/>
        <w:spacing w:line="360" w:lineRule="auto"/>
        <w:ind w:firstLine="0"/>
        <w:jc w:val="center"/>
        <w:rPr>
          <w:rFonts w:ascii="宋体" w:hAnsi="宋体" w:cs="宋体"/>
          <w:b/>
          <w:sz w:val="24"/>
          <w:szCs w:val="24"/>
        </w:rPr>
      </w:pPr>
    </w:p>
    <w:p>
      <w:pPr>
        <w:pStyle w:val="8"/>
        <w:spacing w:line="360" w:lineRule="auto"/>
        <w:ind w:firstLine="0"/>
        <w:jc w:val="center"/>
        <w:rPr>
          <w:rFonts w:ascii="宋体" w:hAnsi="宋体" w:cs="宋体"/>
          <w:b/>
          <w:sz w:val="24"/>
          <w:szCs w:val="24"/>
        </w:rPr>
      </w:pPr>
      <w:r>
        <w:rPr>
          <w:rFonts w:hint="eastAsia" w:ascii="宋体" w:hAnsi="宋体" w:cs="宋体"/>
          <w:b/>
          <w:sz w:val="24"/>
          <w:szCs w:val="24"/>
        </w:rPr>
        <w:t>3.2监狱企业声明函（监狱企业提供）</w:t>
      </w:r>
    </w:p>
    <w:p>
      <w:pPr>
        <w:pStyle w:val="8"/>
        <w:ind w:firstLine="0"/>
        <w:jc w:val="center"/>
        <w:rPr>
          <w:rFonts w:ascii="宋体" w:hAnsi="宋体" w:cs="宋体"/>
          <w:szCs w:val="21"/>
        </w:rPr>
      </w:pPr>
    </w:p>
    <w:p>
      <w:pPr>
        <w:pStyle w:val="174"/>
        <w:spacing w:line="360" w:lineRule="auto"/>
        <w:ind w:firstLine="444" w:firstLineChars="200"/>
        <w:rPr>
          <w:rFonts w:ascii="宋体" w:hAnsi="宋体" w:cs="宋体"/>
          <w:spacing w:val="6"/>
          <w:szCs w:val="21"/>
        </w:rPr>
      </w:pPr>
      <w:r>
        <w:rPr>
          <w:rFonts w:hint="eastAsia" w:ascii="宋体" w:hAnsi="宋体" w:cs="宋体"/>
          <w:spacing w:val="6"/>
          <w:szCs w:val="21"/>
        </w:rPr>
        <w:t>本公司郑重声明，根据</w:t>
      </w:r>
      <w:r>
        <w:rPr>
          <w:rFonts w:hint="eastAsia" w:ascii="宋体" w:hAnsi="宋体" w:cs="宋体"/>
          <w:bCs/>
          <w:szCs w:val="21"/>
        </w:rPr>
        <w:t>《财政部、司法部关于政府采购支持监狱企业发展有关问题的通知》（财库〔2014〕68号）</w:t>
      </w:r>
      <w:r>
        <w:rPr>
          <w:rFonts w:hint="eastAsia" w:ascii="宋体" w:hAnsi="宋体" w:cs="宋体"/>
          <w:spacing w:val="6"/>
          <w:szCs w:val="21"/>
        </w:rPr>
        <w:t>的规定，本公司为监狱企业。</w:t>
      </w:r>
    </w:p>
    <w:p>
      <w:pPr>
        <w:pStyle w:val="174"/>
        <w:spacing w:line="360" w:lineRule="auto"/>
        <w:ind w:firstLine="444" w:firstLineChars="200"/>
        <w:rPr>
          <w:rFonts w:ascii="宋体" w:hAnsi="宋体" w:cs="宋体"/>
          <w:szCs w:val="21"/>
        </w:rPr>
      </w:pPr>
      <w:r>
        <w:rPr>
          <w:rFonts w:hint="eastAsia" w:ascii="宋体" w:hAnsi="宋体" w:cs="宋体"/>
          <w:spacing w:val="6"/>
          <w:szCs w:val="21"/>
        </w:rPr>
        <w:t>本公司参加</w:t>
      </w:r>
      <w:r>
        <w:rPr>
          <w:rFonts w:hint="eastAsia" w:ascii="宋体" w:hAnsi="宋体" w:cs="宋体"/>
          <w:spacing w:val="6"/>
          <w:szCs w:val="21"/>
          <w:u w:val="single"/>
        </w:rPr>
        <w:t>（采购人名称）</w:t>
      </w:r>
      <w:r>
        <w:rPr>
          <w:rFonts w:hint="eastAsia" w:ascii="宋体" w:hAnsi="宋体" w:cs="宋体"/>
          <w:spacing w:val="6"/>
          <w:szCs w:val="21"/>
        </w:rPr>
        <w:t>的</w:t>
      </w:r>
      <w:r>
        <w:rPr>
          <w:rFonts w:hint="eastAsia" w:ascii="宋体" w:hAnsi="宋体" w:cs="宋体"/>
          <w:spacing w:val="6"/>
          <w:szCs w:val="21"/>
          <w:u w:val="single"/>
        </w:rPr>
        <w:t>（项目名称）（项目编号）（标项）</w:t>
      </w:r>
      <w:r>
        <w:rPr>
          <w:rFonts w:hint="eastAsia" w:ascii="宋体" w:hAnsi="宋体" w:cs="宋体"/>
          <w:spacing w:val="6"/>
          <w:szCs w:val="21"/>
        </w:rPr>
        <w:t>供本企业制造的产品（产品名称见下表一），由本企业承担工程、提供服务，或者提供其他监狱企业制造的产品（产品名称见表二）。本条所称产品不包括使用其他监狱企业制造的产品。</w:t>
      </w:r>
    </w:p>
    <w:tbl>
      <w:tblPr>
        <w:tblStyle w:val="42"/>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pPr>
              <w:pStyle w:val="174"/>
              <w:rPr>
                <w:rFonts w:ascii="宋体" w:hAnsi="宋体" w:cs="宋体"/>
                <w:szCs w:val="21"/>
              </w:rPr>
            </w:pPr>
            <w:r>
              <w:rPr>
                <w:rFonts w:hint="eastAsia" w:ascii="宋体" w:hAnsi="宋体" w:cs="宋体"/>
                <w:szCs w:val="21"/>
              </w:rPr>
              <w:t>表一</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174"/>
              <w:ind w:right="-48" w:rightChars="-23"/>
              <w:jc w:val="center"/>
              <w:rPr>
                <w:rFonts w:ascii="宋体" w:hAnsi="宋体" w:cs="宋体"/>
                <w:szCs w:val="21"/>
              </w:rPr>
            </w:pPr>
            <w:r>
              <w:rPr>
                <w:rFonts w:hint="eastAsia" w:ascii="宋体" w:hAnsi="宋体" w:cs="宋体"/>
                <w:szCs w:val="21"/>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ind w:left="-103" w:leftChars="-49" w:right="-48" w:rightChars="-23"/>
              <w:jc w:val="center"/>
              <w:rPr>
                <w:rFonts w:ascii="宋体" w:hAnsi="宋体" w:cs="宋体"/>
                <w:szCs w:val="21"/>
              </w:rPr>
            </w:pPr>
            <w:r>
              <w:rPr>
                <w:rFonts w:hint="eastAsia" w:ascii="宋体" w:hAnsi="宋体" w:cs="宋体"/>
                <w:szCs w:val="21"/>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ind w:right="-48" w:rightChars="-23"/>
              <w:jc w:val="center"/>
              <w:rPr>
                <w:rFonts w:ascii="宋体" w:hAnsi="宋体" w:cs="宋体"/>
                <w:szCs w:val="21"/>
              </w:rPr>
            </w:pPr>
            <w:r>
              <w:rPr>
                <w:rFonts w:hint="eastAsia" w:ascii="宋体" w:hAnsi="宋体" w:cs="宋体"/>
                <w:szCs w:val="21"/>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ind w:left="-103" w:leftChars="-49" w:right="-48" w:rightChars="-23"/>
              <w:jc w:val="center"/>
              <w:rPr>
                <w:rFonts w:ascii="宋体" w:hAnsi="宋体" w:cs="宋体"/>
                <w:szCs w:val="21"/>
              </w:rPr>
            </w:pPr>
            <w:r>
              <w:rPr>
                <w:rFonts w:hint="eastAsia" w:ascii="宋体" w:hAnsi="宋体" w:cs="宋体"/>
                <w:szCs w:val="21"/>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ind w:left="-103" w:leftChars="-49" w:right="-48" w:rightChars="-23"/>
              <w:jc w:val="center"/>
              <w:rPr>
                <w:rFonts w:ascii="宋体" w:hAnsi="宋体" w:cs="宋体"/>
                <w:szCs w:val="21"/>
              </w:rPr>
            </w:pPr>
            <w:r>
              <w:rPr>
                <w:rFonts w:hint="eastAsia" w:ascii="宋体" w:hAnsi="宋体" w:cs="宋体"/>
                <w:szCs w:val="21"/>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r>
              <w:rPr>
                <w:rFonts w:hint="eastAsia" w:ascii="宋体" w:hAnsi="宋体" w:cs="宋体"/>
                <w:szCs w:val="21"/>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r>
              <w:rPr>
                <w:rFonts w:hint="eastAsia" w:ascii="宋体" w:hAnsi="宋体" w:cs="宋体"/>
                <w:szCs w:val="21"/>
              </w:rPr>
              <w:t>与分项报价表一致</w:t>
            </w:r>
          </w:p>
        </w:tc>
      </w:tr>
    </w:tbl>
    <w:p>
      <w:pPr>
        <w:pStyle w:val="174"/>
        <w:spacing w:line="360" w:lineRule="auto"/>
        <w:ind w:firstLine="420" w:firstLineChars="200"/>
        <w:rPr>
          <w:rFonts w:ascii="宋体" w:hAnsi="宋体" w:cs="宋体"/>
          <w:szCs w:val="21"/>
        </w:rPr>
      </w:pPr>
    </w:p>
    <w:tbl>
      <w:tblPr>
        <w:tblStyle w:val="42"/>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pPr>
              <w:pStyle w:val="174"/>
              <w:rPr>
                <w:rFonts w:ascii="宋体" w:hAnsi="宋体" w:cs="宋体"/>
                <w:szCs w:val="21"/>
              </w:rPr>
            </w:pPr>
            <w:r>
              <w:rPr>
                <w:rFonts w:hint="eastAsia" w:ascii="宋体" w:hAnsi="宋体" w:cs="宋体"/>
                <w:szCs w:val="21"/>
              </w:rPr>
              <w:t>表二</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174"/>
              <w:ind w:right="-48" w:rightChars="-23"/>
              <w:jc w:val="center"/>
              <w:rPr>
                <w:rFonts w:ascii="宋体" w:hAnsi="宋体" w:cs="宋体"/>
                <w:szCs w:val="21"/>
              </w:rPr>
            </w:pPr>
            <w:r>
              <w:rPr>
                <w:rFonts w:hint="eastAsia" w:ascii="宋体" w:hAnsi="宋体" w:cs="宋体"/>
                <w:szCs w:val="21"/>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ind w:left="-103" w:leftChars="-49" w:right="-48" w:rightChars="-23"/>
              <w:jc w:val="center"/>
              <w:rPr>
                <w:rFonts w:ascii="宋体" w:hAnsi="宋体" w:cs="宋体"/>
                <w:szCs w:val="21"/>
              </w:rPr>
            </w:pPr>
            <w:r>
              <w:rPr>
                <w:rFonts w:hint="eastAsia" w:ascii="宋体" w:hAnsi="宋体" w:cs="宋体"/>
                <w:szCs w:val="21"/>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ind w:right="-48" w:rightChars="-23"/>
              <w:jc w:val="center"/>
              <w:rPr>
                <w:rFonts w:ascii="宋体" w:hAnsi="宋体" w:cs="宋体"/>
                <w:szCs w:val="21"/>
              </w:rPr>
            </w:pPr>
            <w:r>
              <w:rPr>
                <w:rFonts w:hint="eastAsia" w:ascii="宋体" w:hAnsi="宋体" w:cs="宋体"/>
                <w:szCs w:val="21"/>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ind w:left="-103" w:leftChars="-49" w:right="-48" w:rightChars="-23"/>
              <w:jc w:val="center"/>
              <w:rPr>
                <w:rFonts w:ascii="宋体" w:hAnsi="宋体" w:cs="宋体"/>
                <w:szCs w:val="21"/>
              </w:rPr>
            </w:pPr>
            <w:r>
              <w:rPr>
                <w:rFonts w:hint="eastAsia" w:ascii="宋体" w:hAnsi="宋体" w:cs="宋体"/>
                <w:szCs w:val="21"/>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ind w:left="-103" w:leftChars="-49" w:right="-48" w:rightChars="-23"/>
              <w:jc w:val="center"/>
              <w:rPr>
                <w:rFonts w:ascii="宋体" w:hAnsi="宋体" w:cs="宋体"/>
                <w:szCs w:val="21"/>
              </w:rPr>
            </w:pPr>
            <w:r>
              <w:rPr>
                <w:rFonts w:hint="eastAsia" w:ascii="宋体" w:hAnsi="宋体" w:cs="宋体"/>
                <w:szCs w:val="21"/>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r>
              <w:rPr>
                <w:rFonts w:hint="eastAsia" w:ascii="宋体" w:hAnsi="宋体" w:cs="宋体"/>
                <w:szCs w:val="21"/>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r>
              <w:rPr>
                <w:rFonts w:hint="eastAsia" w:ascii="宋体" w:hAnsi="宋体" w:cs="宋体"/>
                <w:szCs w:val="21"/>
              </w:rPr>
              <w:t>与分项报价表一致</w:t>
            </w:r>
          </w:p>
        </w:tc>
      </w:tr>
    </w:tbl>
    <w:p>
      <w:pPr>
        <w:pStyle w:val="174"/>
        <w:spacing w:line="360" w:lineRule="auto"/>
        <w:ind w:firstLine="444" w:firstLineChars="200"/>
        <w:rPr>
          <w:rFonts w:ascii="宋体" w:hAnsi="宋体" w:cs="宋体"/>
          <w:spacing w:val="6"/>
          <w:szCs w:val="21"/>
        </w:rPr>
      </w:pPr>
      <w:r>
        <w:rPr>
          <w:rFonts w:hint="eastAsia" w:ascii="宋体" w:hAnsi="宋体" w:cs="宋体"/>
          <w:spacing w:val="6"/>
          <w:szCs w:val="21"/>
        </w:rPr>
        <w:t>本公司对上述声明的真实性负责。如有虚假，将依法承担相应责任。</w:t>
      </w:r>
    </w:p>
    <w:p>
      <w:pPr>
        <w:pStyle w:val="32"/>
        <w:snapToGrid w:val="0"/>
        <w:spacing w:line="360" w:lineRule="auto"/>
        <w:ind w:left="422" w:hanging="422"/>
        <w:jc w:val="left"/>
        <w:rPr>
          <w:rFonts w:ascii="宋体" w:hAnsi="宋体" w:cs="宋体"/>
          <w:b/>
          <w:szCs w:val="21"/>
        </w:rPr>
      </w:pPr>
    </w:p>
    <w:p>
      <w:pPr>
        <w:pStyle w:val="32"/>
        <w:wordWrap w:val="0"/>
        <w:snapToGrid w:val="0"/>
        <w:spacing w:line="360" w:lineRule="auto"/>
        <w:ind w:left="420" w:hanging="420"/>
        <w:jc w:val="right"/>
        <w:rPr>
          <w:rFonts w:ascii="宋体" w:hAnsi="宋体" w:cs="宋体"/>
          <w:szCs w:val="21"/>
        </w:rPr>
      </w:pPr>
      <w:r>
        <w:rPr>
          <w:rFonts w:hint="eastAsia" w:ascii="宋体" w:hAnsi="宋体" w:cs="宋体"/>
          <w:szCs w:val="21"/>
        </w:rPr>
        <w:t>监狱企业盖章：</w:t>
      </w:r>
      <w:r>
        <w:rPr>
          <w:rFonts w:hint="eastAsia" w:ascii="宋体" w:hAnsi="宋体" w:cs="宋体"/>
          <w:szCs w:val="21"/>
          <w:u w:val="single"/>
        </w:rPr>
        <w:t xml:space="preserve">            </w:t>
      </w:r>
    </w:p>
    <w:p>
      <w:pPr>
        <w:pStyle w:val="189"/>
        <w:wordWrap w:val="0"/>
        <w:spacing w:line="360" w:lineRule="auto"/>
        <w:jc w:val="right"/>
        <w:rPr>
          <w:rFonts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pPr>
        <w:pStyle w:val="32"/>
        <w:snapToGrid w:val="0"/>
        <w:ind w:left="666" w:hanging="666" w:hangingChars="300"/>
        <w:jc w:val="left"/>
        <w:rPr>
          <w:rFonts w:ascii="宋体" w:hAnsi="宋体" w:cs="宋体"/>
          <w:spacing w:val="6"/>
          <w:szCs w:val="21"/>
        </w:rPr>
      </w:pPr>
    </w:p>
    <w:p>
      <w:pPr>
        <w:spacing w:line="312" w:lineRule="auto"/>
        <w:ind w:firstLine="482"/>
        <w:jc w:val="left"/>
        <w:rPr>
          <w:rFonts w:ascii="宋体" w:hAnsi="宋体" w:cs="宋体"/>
          <w:kern w:val="0"/>
          <w:szCs w:val="21"/>
        </w:rPr>
      </w:pPr>
    </w:p>
    <w:p>
      <w:pPr>
        <w:spacing w:line="312" w:lineRule="auto"/>
        <w:ind w:firstLine="482"/>
        <w:jc w:val="left"/>
        <w:rPr>
          <w:rFonts w:ascii="宋体" w:hAnsi="宋体" w:cs="宋体"/>
          <w:kern w:val="0"/>
          <w:szCs w:val="21"/>
        </w:rPr>
      </w:pPr>
      <w:r>
        <w:rPr>
          <w:rFonts w:hint="eastAsia" w:ascii="宋体" w:hAnsi="宋体" w:cs="宋体"/>
          <w:kern w:val="0"/>
          <w:szCs w:val="21"/>
        </w:rPr>
        <w:t>注：1.须附省级以上监狱管理局、戒毒管理局（含新疆生产建设兵团）出具的属于监狱企业的证明文件，否则视为供应商放弃相关政策优惠处理；</w:t>
      </w:r>
    </w:p>
    <w:p>
      <w:pPr>
        <w:spacing w:line="312" w:lineRule="auto"/>
        <w:ind w:firstLine="482"/>
        <w:jc w:val="left"/>
        <w:rPr>
          <w:rFonts w:ascii="宋体" w:hAnsi="宋体" w:cs="宋体"/>
          <w:kern w:val="0"/>
          <w:szCs w:val="21"/>
        </w:rPr>
      </w:pPr>
      <w:r>
        <w:rPr>
          <w:rFonts w:hint="eastAsia" w:ascii="宋体" w:hAnsi="宋体" w:cs="宋体"/>
          <w:kern w:val="0"/>
          <w:szCs w:val="21"/>
        </w:rPr>
        <w:t>2.供应商提供的是其他小微、监狱、残疾人福利性企业制造的产品，还需提供制造企业声明函。</w:t>
      </w:r>
    </w:p>
    <w:p>
      <w:pPr>
        <w:pStyle w:val="174"/>
        <w:tabs>
          <w:tab w:val="left" w:pos="4860"/>
        </w:tabs>
        <w:spacing w:line="360" w:lineRule="auto"/>
        <w:ind w:right="1559" w:firstLine="420" w:firstLineChars="200"/>
        <w:jc w:val="left"/>
        <w:rPr>
          <w:rFonts w:ascii="宋体" w:hAnsi="宋体" w:cs="宋体"/>
          <w:szCs w:val="21"/>
        </w:rPr>
      </w:pPr>
    </w:p>
    <w:p>
      <w:pPr>
        <w:pStyle w:val="174"/>
        <w:tabs>
          <w:tab w:val="left" w:pos="4860"/>
        </w:tabs>
        <w:spacing w:line="360" w:lineRule="auto"/>
        <w:ind w:right="1559" w:firstLine="420" w:firstLineChars="200"/>
        <w:jc w:val="left"/>
        <w:rPr>
          <w:rFonts w:ascii="宋体" w:hAnsi="宋体" w:cs="宋体"/>
          <w:szCs w:val="21"/>
        </w:rPr>
        <w:sectPr>
          <w:pgSz w:w="11906" w:h="16838"/>
          <w:pgMar w:top="1440" w:right="1440" w:bottom="1440" w:left="1440" w:header="851" w:footer="851" w:gutter="0"/>
          <w:cols w:space="720" w:num="1"/>
          <w:docGrid w:linePitch="312" w:charSpace="0"/>
        </w:sectPr>
      </w:pPr>
    </w:p>
    <w:p>
      <w:pPr>
        <w:pStyle w:val="8"/>
        <w:spacing w:line="360" w:lineRule="auto"/>
        <w:ind w:firstLine="0"/>
        <w:jc w:val="center"/>
        <w:rPr>
          <w:rFonts w:ascii="宋体" w:hAnsi="宋体" w:cs="宋体"/>
          <w:szCs w:val="21"/>
        </w:rPr>
      </w:pPr>
      <w:r>
        <w:rPr>
          <w:rFonts w:hint="eastAsia" w:ascii="宋体" w:hAnsi="宋体" w:cs="宋体"/>
          <w:b/>
          <w:sz w:val="24"/>
          <w:szCs w:val="24"/>
        </w:rPr>
        <w:t>3.3残疾人福利性企业声明函（残疾人福利性企业提供）</w:t>
      </w:r>
    </w:p>
    <w:p>
      <w:pPr>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中国残疾人联合会关于促进残疾人就业政府采购政策的通知》（财库〔2017〕141号）的规定，本企业为符合条件的残疾人福利性单位，且本单位参加</w:t>
      </w:r>
      <w:r>
        <w:rPr>
          <w:rFonts w:hint="eastAsia" w:ascii="宋体" w:hAnsi="宋体" w:cs="宋体"/>
          <w:spacing w:val="6"/>
          <w:szCs w:val="21"/>
          <w:u w:val="single"/>
        </w:rPr>
        <w:t>（采购人名称）</w:t>
      </w:r>
      <w:r>
        <w:rPr>
          <w:rFonts w:hint="eastAsia" w:ascii="宋体" w:hAnsi="宋体" w:cs="宋体"/>
          <w:spacing w:val="6"/>
          <w:szCs w:val="21"/>
        </w:rPr>
        <w:t>的</w:t>
      </w:r>
      <w:r>
        <w:rPr>
          <w:rFonts w:hint="eastAsia" w:ascii="宋体" w:hAnsi="宋体" w:cs="宋体"/>
          <w:spacing w:val="6"/>
          <w:szCs w:val="21"/>
          <w:u w:val="single"/>
        </w:rPr>
        <w:t>（项目名称）（项目编号）（标项）</w:t>
      </w:r>
      <w:r>
        <w:rPr>
          <w:rFonts w:hint="eastAsia" w:ascii="宋体" w:hAnsi="宋体" w:cs="宋体"/>
          <w:szCs w:val="21"/>
        </w:rPr>
        <w:t>项目采购活动提供本单位制造的产品（产品名称见下表一），由本单位承接工程、提供服务，或者提供其他残疾人福利性单位制造的产品（产品名称见下表二），本条不包括使用非残疾人福利性单位注册商标的货物。</w:t>
      </w:r>
    </w:p>
    <w:tbl>
      <w:tblPr>
        <w:tblStyle w:val="42"/>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pPr>
              <w:pStyle w:val="174"/>
              <w:rPr>
                <w:rFonts w:ascii="宋体" w:hAnsi="宋体" w:cs="宋体"/>
                <w:szCs w:val="21"/>
              </w:rPr>
            </w:pPr>
            <w:r>
              <w:rPr>
                <w:rFonts w:hint="eastAsia" w:ascii="宋体" w:hAnsi="宋体" w:cs="宋体"/>
                <w:szCs w:val="21"/>
              </w:rPr>
              <w:t>表一</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174"/>
              <w:ind w:right="-48" w:rightChars="-23"/>
              <w:jc w:val="center"/>
              <w:rPr>
                <w:rFonts w:ascii="宋体" w:hAnsi="宋体" w:cs="宋体"/>
                <w:szCs w:val="21"/>
              </w:rPr>
            </w:pPr>
            <w:r>
              <w:rPr>
                <w:rFonts w:hint="eastAsia" w:ascii="宋体" w:hAnsi="宋体" w:cs="宋体"/>
                <w:szCs w:val="21"/>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ind w:left="-103" w:leftChars="-49" w:right="-48" w:rightChars="-23"/>
              <w:jc w:val="center"/>
              <w:rPr>
                <w:rFonts w:ascii="宋体" w:hAnsi="宋体" w:cs="宋体"/>
                <w:szCs w:val="21"/>
              </w:rPr>
            </w:pPr>
            <w:r>
              <w:rPr>
                <w:rFonts w:hint="eastAsia" w:ascii="宋体" w:hAnsi="宋体" w:cs="宋体"/>
                <w:szCs w:val="21"/>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ind w:right="-48" w:rightChars="-23"/>
              <w:jc w:val="center"/>
              <w:rPr>
                <w:rFonts w:ascii="宋体" w:hAnsi="宋体" w:cs="宋体"/>
                <w:szCs w:val="21"/>
              </w:rPr>
            </w:pPr>
            <w:r>
              <w:rPr>
                <w:rFonts w:hint="eastAsia" w:ascii="宋体" w:hAnsi="宋体" w:cs="宋体"/>
                <w:szCs w:val="21"/>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ind w:left="-103" w:leftChars="-49" w:right="-48" w:rightChars="-23"/>
              <w:jc w:val="center"/>
              <w:rPr>
                <w:rFonts w:ascii="宋体" w:hAnsi="宋体" w:cs="宋体"/>
                <w:szCs w:val="21"/>
              </w:rPr>
            </w:pPr>
            <w:r>
              <w:rPr>
                <w:rFonts w:hint="eastAsia" w:ascii="宋体" w:hAnsi="宋体" w:cs="宋体"/>
                <w:szCs w:val="21"/>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ind w:left="-103" w:leftChars="-49" w:right="-48" w:rightChars="-23"/>
              <w:jc w:val="center"/>
              <w:rPr>
                <w:rFonts w:ascii="宋体" w:hAnsi="宋体" w:cs="宋体"/>
                <w:szCs w:val="21"/>
              </w:rPr>
            </w:pPr>
            <w:r>
              <w:rPr>
                <w:rFonts w:hint="eastAsia" w:ascii="宋体" w:hAnsi="宋体" w:cs="宋体"/>
                <w:szCs w:val="21"/>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r>
              <w:rPr>
                <w:rFonts w:hint="eastAsia" w:ascii="宋体" w:hAnsi="宋体" w:cs="宋体"/>
                <w:szCs w:val="21"/>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r>
              <w:rPr>
                <w:rFonts w:hint="eastAsia" w:ascii="宋体" w:hAnsi="宋体" w:cs="宋体"/>
                <w:szCs w:val="21"/>
              </w:rPr>
              <w:t>与分项报价表一致</w:t>
            </w:r>
          </w:p>
        </w:tc>
      </w:tr>
    </w:tbl>
    <w:p>
      <w:pPr>
        <w:pStyle w:val="174"/>
        <w:spacing w:line="360" w:lineRule="auto"/>
        <w:ind w:firstLine="420" w:firstLineChars="200"/>
        <w:rPr>
          <w:rFonts w:ascii="宋体" w:hAnsi="宋体" w:cs="宋体"/>
          <w:szCs w:val="21"/>
        </w:rPr>
      </w:pPr>
    </w:p>
    <w:tbl>
      <w:tblPr>
        <w:tblStyle w:val="42"/>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pPr>
              <w:pStyle w:val="174"/>
              <w:rPr>
                <w:rFonts w:ascii="宋体" w:hAnsi="宋体" w:cs="宋体"/>
                <w:szCs w:val="21"/>
              </w:rPr>
            </w:pPr>
            <w:r>
              <w:rPr>
                <w:rFonts w:hint="eastAsia" w:ascii="宋体" w:hAnsi="宋体" w:cs="宋体"/>
                <w:szCs w:val="21"/>
              </w:rPr>
              <w:t>表二</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174"/>
              <w:ind w:right="-48" w:rightChars="-23"/>
              <w:jc w:val="center"/>
              <w:rPr>
                <w:rFonts w:ascii="宋体" w:hAnsi="宋体" w:cs="宋体"/>
                <w:szCs w:val="21"/>
              </w:rPr>
            </w:pPr>
            <w:r>
              <w:rPr>
                <w:rFonts w:hint="eastAsia" w:ascii="宋体" w:hAnsi="宋体" w:cs="宋体"/>
                <w:szCs w:val="21"/>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ind w:left="-103" w:leftChars="-49" w:right="-48" w:rightChars="-23"/>
              <w:jc w:val="center"/>
              <w:rPr>
                <w:rFonts w:ascii="宋体" w:hAnsi="宋体" w:cs="宋体"/>
                <w:szCs w:val="21"/>
              </w:rPr>
            </w:pPr>
            <w:r>
              <w:rPr>
                <w:rFonts w:hint="eastAsia" w:ascii="宋体" w:hAnsi="宋体" w:cs="宋体"/>
                <w:szCs w:val="21"/>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ind w:right="-48" w:rightChars="-23"/>
              <w:jc w:val="center"/>
              <w:rPr>
                <w:rFonts w:ascii="宋体" w:hAnsi="宋体" w:cs="宋体"/>
                <w:szCs w:val="21"/>
              </w:rPr>
            </w:pPr>
            <w:r>
              <w:rPr>
                <w:rFonts w:hint="eastAsia" w:ascii="宋体" w:hAnsi="宋体" w:cs="宋体"/>
                <w:szCs w:val="21"/>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ind w:left="-103" w:leftChars="-49" w:right="-48" w:rightChars="-23"/>
              <w:jc w:val="center"/>
              <w:rPr>
                <w:rFonts w:ascii="宋体" w:hAnsi="宋体" w:cs="宋体"/>
                <w:szCs w:val="21"/>
              </w:rPr>
            </w:pPr>
            <w:r>
              <w:rPr>
                <w:rFonts w:hint="eastAsia" w:ascii="宋体" w:hAnsi="宋体" w:cs="宋体"/>
                <w:szCs w:val="21"/>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ind w:left="-103" w:leftChars="-49" w:right="-48" w:rightChars="-23"/>
              <w:jc w:val="center"/>
              <w:rPr>
                <w:rFonts w:ascii="宋体" w:hAnsi="宋体" w:cs="宋体"/>
                <w:szCs w:val="21"/>
              </w:rPr>
            </w:pPr>
            <w:r>
              <w:rPr>
                <w:rFonts w:hint="eastAsia" w:ascii="宋体" w:hAnsi="宋体" w:cs="宋体"/>
                <w:szCs w:val="21"/>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r>
              <w:rPr>
                <w:rFonts w:hint="eastAsia" w:ascii="宋体" w:hAnsi="宋体" w:cs="宋体"/>
                <w:szCs w:val="21"/>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174"/>
              <w:jc w:val="center"/>
              <w:rPr>
                <w:rFonts w:ascii="宋体" w:hAnsi="宋体" w:cs="宋体"/>
                <w:szCs w:val="21"/>
              </w:rPr>
            </w:pPr>
            <w:r>
              <w:rPr>
                <w:rFonts w:hint="eastAsia" w:ascii="宋体" w:hAnsi="宋体" w:cs="宋体"/>
                <w:szCs w:val="21"/>
              </w:rPr>
              <w:t>与分项报价表一致</w:t>
            </w:r>
          </w:p>
        </w:tc>
      </w:tr>
    </w:tbl>
    <w:p>
      <w:pPr>
        <w:spacing w:line="360" w:lineRule="auto"/>
        <w:ind w:firstLine="420" w:firstLineChars="200"/>
        <w:rPr>
          <w:rFonts w:ascii="宋体" w:hAnsi="宋体" w:cs="宋体"/>
          <w:szCs w:val="21"/>
        </w:rPr>
      </w:pPr>
      <w:r>
        <w:rPr>
          <w:rFonts w:hint="eastAsia" w:ascii="宋体" w:hAnsi="宋体" w:cs="宋体"/>
          <w:szCs w:val="21"/>
        </w:rPr>
        <w:t>本公司对上述声明的真实性负责。如有虚假，将依法承担相应责任。</w:t>
      </w:r>
    </w:p>
    <w:p>
      <w:pPr>
        <w:pStyle w:val="32"/>
        <w:snapToGrid w:val="0"/>
        <w:spacing w:line="360" w:lineRule="auto"/>
        <w:ind w:left="175" w:hanging="175" w:hangingChars="83"/>
        <w:jc w:val="left"/>
        <w:rPr>
          <w:rFonts w:ascii="宋体" w:hAnsi="宋体" w:cs="宋体"/>
          <w:b/>
          <w:szCs w:val="21"/>
        </w:rPr>
      </w:pPr>
    </w:p>
    <w:p>
      <w:pPr>
        <w:pStyle w:val="32"/>
        <w:wordWrap w:val="0"/>
        <w:snapToGrid w:val="0"/>
        <w:spacing w:line="360" w:lineRule="auto"/>
        <w:ind w:left="420" w:hanging="420"/>
        <w:jc w:val="right"/>
        <w:rPr>
          <w:rFonts w:ascii="宋体" w:hAnsi="宋体" w:cs="宋体"/>
          <w:szCs w:val="21"/>
        </w:rPr>
      </w:pPr>
      <w:r>
        <w:rPr>
          <w:rFonts w:hint="eastAsia" w:ascii="宋体" w:hAnsi="宋体" w:cs="宋体"/>
          <w:szCs w:val="21"/>
        </w:rPr>
        <w:t>残疾人福利性企业盖章：</w:t>
      </w:r>
      <w:r>
        <w:rPr>
          <w:rFonts w:hint="eastAsia" w:ascii="宋体" w:hAnsi="宋体" w:cs="宋体"/>
          <w:szCs w:val="21"/>
          <w:u w:val="single"/>
        </w:rPr>
        <w:t xml:space="preserve">          </w:t>
      </w:r>
    </w:p>
    <w:p>
      <w:pPr>
        <w:pStyle w:val="189"/>
        <w:wordWrap w:val="0"/>
        <w:spacing w:line="360" w:lineRule="auto"/>
        <w:jc w:val="right"/>
        <w:rPr>
          <w:rFonts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pPr>
        <w:pStyle w:val="32"/>
        <w:snapToGrid w:val="0"/>
        <w:ind w:left="594" w:hanging="594" w:hangingChars="283"/>
        <w:jc w:val="left"/>
        <w:rPr>
          <w:rFonts w:ascii="宋体" w:hAnsi="宋体" w:cs="宋体"/>
          <w:szCs w:val="21"/>
        </w:rPr>
      </w:pPr>
    </w:p>
    <w:p>
      <w:pPr>
        <w:spacing w:line="312" w:lineRule="auto"/>
        <w:ind w:firstLine="482"/>
        <w:jc w:val="left"/>
        <w:rPr>
          <w:rFonts w:ascii="宋体" w:hAnsi="宋体" w:cs="宋体"/>
          <w:kern w:val="0"/>
          <w:szCs w:val="21"/>
        </w:rPr>
      </w:pPr>
    </w:p>
    <w:p>
      <w:pPr>
        <w:spacing w:line="312" w:lineRule="auto"/>
        <w:ind w:firstLine="482"/>
        <w:jc w:val="left"/>
        <w:rPr>
          <w:rFonts w:ascii="宋体" w:hAnsi="宋体" w:cs="宋体"/>
          <w:kern w:val="0"/>
          <w:szCs w:val="21"/>
        </w:rPr>
      </w:pPr>
      <w:r>
        <w:rPr>
          <w:rFonts w:hint="eastAsia" w:ascii="宋体" w:hAnsi="宋体" w:cs="宋体"/>
          <w:kern w:val="0"/>
          <w:szCs w:val="21"/>
        </w:rPr>
        <w:t>注：1.须附相关主管部门（民政或残疾人联合会）的证明文件，否则视为供应商放弃相关政策优惠处理；</w:t>
      </w:r>
    </w:p>
    <w:p>
      <w:pPr>
        <w:spacing w:line="312" w:lineRule="auto"/>
        <w:ind w:firstLine="482"/>
        <w:jc w:val="left"/>
        <w:rPr>
          <w:rFonts w:ascii="宋体" w:hAnsi="宋体" w:cs="宋体"/>
          <w:kern w:val="0"/>
          <w:szCs w:val="21"/>
        </w:rPr>
      </w:pPr>
      <w:r>
        <w:rPr>
          <w:rFonts w:hint="eastAsia" w:ascii="宋体" w:hAnsi="宋体" w:cs="宋体"/>
          <w:kern w:val="0"/>
          <w:szCs w:val="21"/>
        </w:rPr>
        <w:t>2.供应商提供的是其他小微、监狱、残疾人福利性企业制造的产品，还需提供制造企业声明函。</w:t>
      </w:r>
    </w:p>
    <w:p>
      <w:pPr>
        <w:jc w:val="center"/>
        <w:rPr>
          <w:rFonts w:ascii="宋体" w:hAnsi="宋体" w:cs="宋体"/>
          <w:b/>
          <w:sz w:val="24"/>
        </w:rPr>
      </w:pPr>
    </w:p>
    <w:p>
      <w:pPr>
        <w:pStyle w:val="41"/>
        <w:rPr>
          <w:rFonts w:ascii="宋体" w:hAnsi="宋体"/>
        </w:rPr>
      </w:pP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3.4 其它</w:t>
      </w:r>
    </w:p>
    <w:p>
      <w:pPr>
        <w:jc w:val="center"/>
        <w:rPr>
          <w:rFonts w:ascii="宋体" w:hAnsi="宋体" w:cs="宋体"/>
        </w:rPr>
      </w:pPr>
    </w:p>
    <w:p>
      <w:pPr>
        <w:jc w:val="center"/>
        <w:rPr>
          <w:rFonts w:ascii="宋体" w:hAnsi="宋体" w:cs="宋体"/>
          <w:szCs w:val="21"/>
        </w:rPr>
      </w:pPr>
      <w:r>
        <w:rPr>
          <w:rFonts w:hint="eastAsia" w:ascii="宋体" w:hAnsi="宋体" w:cs="宋体"/>
          <w:szCs w:val="21"/>
        </w:rPr>
        <w:t>评标办法中涉及评分的相应证件、证明等资料的复印件</w:t>
      </w:r>
    </w:p>
    <w:p>
      <w:pPr>
        <w:pStyle w:val="22"/>
        <w:spacing w:before="156" w:after="156" w:line="360" w:lineRule="auto"/>
        <w:jc w:val="center"/>
        <w:rPr>
          <w:rFonts w:hAnsi="宋体" w:cs="宋体"/>
          <w:sz w:val="21"/>
          <w:szCs w:val="21"/>
        </w:rPr>
      </w:pPr>
      <w:r>
        <w:rPr>
          <w:rFonts w:hint="eastAsia" w:hAnsi="宋体" w:cs="宋体"/>
          <w:sz w:val="21"/>
          <w:szCs w:val="21"/>
        </w:rPr>
        <w:t>（格式自拟）</w:t>
      </w:r>
    </w:p>
    <w:p>
      <w:pPr>
        <w:pStyle w:val="5"/>
        <w:numPr>
          <w:ilvl w:val="0"/>
          <w:numId w:val="5"/>
        </w:numPr>
        <w:spacing w:line="336" w:lineRule="auto"/>
        <w:rPr>
          <w:rStyle w:val="98"/>
          <w:rFonts w:ascii="宋体" w:hAnsi="宋体" w:cs="宋体"/>
          <w:b w:val="0"/>
          <w:bCs w:val="0"/>
          <w:szCs w:val="22"/>
        </w:rPr>
      </w:pPr>
      <w:r>
        <w:rPr>
          <w:rFonts w:hint="eastAsia" w:ascii="宋体" w:hAnsi="宋体" w:cs="宋体"/>
          <w:sz w:val="21"/>
          <w:szCs w:val="21"/>
          <w:u w:val="single"/>
        </w:rPr>
        <w:br w:type="page"/>
      </w:r>
      <w:bookmarkStart w:id="507" w:name="_Toc2053"/>
      <w:bookmarkStart w:id="508" w:name="_Toc29316"/>
      <w:bookmarkStart w:id="509" w:name="_Toc303756469"/>
      <w:bookmarkStart w:id="510" w:name="_Toc2430"/>
      <w:r>
        <w:rPr>
          <w:rStyle w:val="98"/>
          <w:rFonts w:hint="eastAsia" w:ascii="宋体" w:hAnsi="宋体" w:cs="宋体"/>
          <w:b/>
          <w:bCs/>
          <w:szCs w:val="22"/>
        </w:rPr>
        <w:t>磋商评审办法及评分标准</w:t>
      </w:r>
      <w:bookmarkEnd w:id="507"/>
      <w:bookmarkEnd w:id="508"/>
      <w:bookmarkEnd w:id="509"/>
      <w:bookmarkEnd w:id="510"/>
    </w:p>
    <w:p>
      <w:pPr>
        <w:widowControl/>
        <w:spacing w:line="360" w:lineRule="auto"/>
        <w:ind w:firstLine="420" w:firstLineChars="200"/>
        <w:rPr>
          <w:rFonts w:ascii="宋体" w:hAnsi="宋体" w:cs="宋体"/>
          <w:kern w:val="0"/>
          <w:szCs w:val="21"/>
        </w:rPr>
      </w:pPr>
      <w:r>
        <w:rPr>
          <w:rFonts w:hint="eastAsia" w:ascii="宋体" w:hAnsi="宋体" w:cs="宋体"/>
          <w:kern w:val="0"/>
          <w:szCs w:val="21"/>
        </w:rPr>
        <w:t>为公正、公平、科学地选择成交人，根据《中华人民共和国政府采购法》等有关法律法规的规定，并结合本项目的实际，制定本办法。</w:t>
      </w:r>
    </w:p>
    <w:p>
      <w:pPr>
        <w:widowControl/>
        <w:spacing w:line="360" w:lineRule="auto"/>
        <w:ind w:firstLine="422" w:firstLineChars="200"/>
        <w:rPr>
          <w:rFonts w:ascii="宋体" w:hAnsi="宋体" w:cs="宋体"/>
          <w:b/>
          <w:bCs/>
          <w:kern w:val="0"/>
          <w:szCs w:val="21"/>
        </w:rPr>
      </w:pPr>
      <w:r>
        <w:rPr>
          <w:rFonts w:hint="eastAsia" w:ascii="宋体" w:hAnsi="宋体" w:cs="宋体"/>
          <w:b/>
          <w:bCs/>
          <w:kern w:val="0"/>
          <w:szCs w:val="21"/>
        </w:rPr>
        <w:t>一、总则</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1.1本次磋商采用综合评分法，总分为100分，其中价格分10分、资信及商务技术90分。合格供应商的综合得分为各项目汇总得分，成交候选人资格按综合总得分由高到低顺序排列，得分相同的，按最后一轮的磋商报价由低到高顺序排列；综合得分相同且磋商报价相同的，采购人抽签选取成交候选人。排名第一的供应商为成交候选人。评分过程中采用四舍五入法，并保留小数2位。</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1.2评审专家对各投标文件的资信商务技术经充分审核、讨论后，在规定的分值内由评审专家单独评定打分。如果某个单项的打分超过所规定的分值范围，则该张打分表无效。投标人最终资信商务技术得分为各评审专家对该投标人的资信商务技术得分结果汇总后的算术平均数。</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1.3资信商务技术分为90分，评审专家按招标文件规定的评审办法进行评审。</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1.4报价分值为10分，由评标委员会按各投标人的报价统一计算。</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1.5评审专家在规定的分值范围内独立打分，评分保留两位小数，如某分项评分要素为2分，则评审专家在0.01〜2分内打分。</w:t>
      </w:r>
    </w:p>
    <w:p>
      <w:pPr>
        <w:widowControl/>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综合得分=资信及商务技术分+价格分</w:t>
      </w:r>
    </w:p>
    <w:tbl>
      <w:tblPr>
        <w:tblStyle w:val="42"/>
        <w:tblW w:w="52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4"/>
        <w:gridCol w:w="1193"/>
        <w:gridCol w:w="7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5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序号</w:t>
            </w:r>
          </w:p>
        </w:tc>
        <w:tc>
          <w:tcPr>
            <w:tcW w:w="447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评分内容及标准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jc w:val="center"/>
        </w:trPr>
        <w:tc>
          <w:tcPr>
            <w:tcW w:w="5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同类项目业绩（1分）</w:t>
            </w:r>
          </w:p>
        </w:tc>
        <w:tc>
          <w:tcPr>
            <w:tcW w:w="38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供应商自2019年1月1日实施过文物建筑白蚁防治类似（文保单位、古建筑及传统建筑白蚁防治相关项目）业绩，得1分。需提供合同复印件（复印件需清晰），否则不得分。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jc w:val="center"/>
        </w:trPr>
        <w:tc>
          <w:tcPr>
            <w:tcW w:w="522" w:type="pct"/>
            <w:tcBorders>
              <w:top w:val="single" w:color="000000" w:sz="4" w:space="0"/>
              <w:left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620"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投标人科研技术能力</w:t>
            </w:r>
          </w:p>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（9分）</w:t>
            </w: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供应商或项目负责人曾获白蚁防治方面市（厅）级及以上相关奖励的，每项得3分；获得过县（市、区）级相关奖励的，每项得1分；最高得9分。（若同一个项目以最高奖计分，只计一次）。以上投标时提供获奖证书复印件加盖投标人公章附入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522" w:type="pct"/>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620" w:type="pct"/>
            <w:vMerge w:val="restar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项目实施方案（40分）</w:t>
            </w: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方案整体结构合理，条理清晰，表述准确，语句通顺。（0-2分）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2" w:type="pct"/>
            <w:vMerge w:val="continue"/>
            <w:tcBorders>
              <w:left w:val="single" w:color="000000" w:sz="4" w:space="0"/>
              <w:right w:val="single" w:color="000000" w:sz="4" w:space="0"/>
            </w:tcBorders>
            <w:noWrap w:val="0"/>
            <w:vAlign w:val="center"/>
          </w:tcPr>
          <w:p>
            <w:pPr>
              <w:widowControl/>
              <w:spacing w:line="360" w:lineRule="auto"/>
              <w:ind w:firstLine="420" w:firstLineChars="200"/>
              <w:rPr>
                <w:rFonts w:hint="eastAsia" w:ascii="宋体" w:hAnsi="宋体" w:eastAsia="宋体" w:cs="宋体"/>
                <w:kern w:val="0"/>
                <w:szCs w:val="21"/>
              </w:rPr>
            </w:pPr>
          </w:p>
        </w:tc>
        <w:tc>
          <w:tcPr>
            <w:tcW w:w="620" w:type="pct"/>
            <w:vMerge w:val="continue"/>
            <w:tcBorders>
              <w:left w:val="single" w:color="000000" w:sz="4" w:space="0"/>
              <w:right w:val="single" w:color="000000" w:sz="4" w:space="0"/>
            </w:tcBorders>
            <w:noWrap w:val="0"/>
            <w:vAlign w:val="center"/>
          </w:tcPr>
          <w:p>
            <w:pPr>
              <w:widowControl/>
              <w:spacing w:line="360" w:lineRule="auto"/>
              <w:ind w:firstLine="420" w:firstLineChars="200"/>
              <w:rPr>
                <w:rFonts w:hint="eastAsia" w:ascii="宋体" w:hAnsi="宋体" w:eastAsia="宋体" w:cs="宋体"/>
                <w:kern w:val="0"/>
                <w:szCs w:val="21"/>
              </w:rPr>
            </w:pP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白蚁危害情况初查方法科学（0-1分）、内容全面（0-2）、结果详实（0-2分）。最高得5分。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2" w:type="pct"/>
            <w:vMerge w:val="continue"/>
            <w:tcBorders>
              <w:left w:val="single" w:color="000000" w:sz="4" w:space="0"/>
              <w:right w:val="single" w:color="000000" w:sz="4" w:space="0"/>
            </w:tcBorders>
            <w:noWrap w:val="0"/>
            <w:vAlign w:val="center"/>
          </w:tcPr>
          <w:p>
            <w:pPr>
              <w:spacing w:line="360" w:lineRule="auto"/>
              <w:jc w:val="center"/>
              <w:textAlignment w:val="baseline"/>
              <w:rPr>
                <w:rStyle w:val="110"/>
                <w:bCs/>
                <w:sz w:val="24"/>
              </w:rPr>
            </w:pPr>
          </w:p>
        </w:tc>
        <w:tc>
          <w:tcPr>
            <w:tcW w:w="620" w:type="pct"/>
            <w:vMerge w:val="continue"/>
            <w:tcBorders>
              <w:left w:val="single" w:color="000000" w:sz="4" w:space="0"/>
              <w:right w:val="single" w:color="000000" w:sz="4" w:space="0"/>
            </w:tcBorders>
            <w:noWrap w:val="0"/>
            <w:vAlign w:val="center"/>
          </w:tcPr>
          <w:p>
            <w:pPr>
              <w:spacing w:line="360" w:lineRule="auto"/>
              <w:jc w:val="center"/>
              <w:rPr>
                <w:bCs/>
                <w:sz w:val="24"/>
              </w:rPr>
            </w:pPr>
          </w:p>
        </w:tc>
        <w:tc>
          <w:tcPr>
            <w:tcW w:w="3856" w:type="pct"/>
            <w:tcBorders>
              <w:top w:val="single" w:color="000000" w:sz="4" w:space="0"/>
              <w:left w:val="single" w:color="000000" w:sz="4" w:space="0"/>
              <w:right w:val="single" w:color="000000" w:sz="4" w:space="0"/>
            </w:tcBorders>
            <w:noWrap w:val="0"/>
            <w:vAlign w:val="center"/>
          </w:tcPr>
          <w:p>
            <w:pPr>
              <w:spacing w:line="360" w:lineRule="auto"/>
              <w:rPr>
                <w:sz w:val="24"/>
              </w:rPr>
            </w:pPr>
            <w:r>
              <w:rPr>
                <w:rFonts w:hint="eastAsia" w:ascii="宋体" w:hAnsi="宋体" w:eastAsia="宋体" w:cs="宋体"/>
                <w:kern w:val="0"/>
                <w:szCs w:val="21"/>
              </w:rPr>
              <w:t>项目目标设定科学、合理、符合省级示范项目要求。（0-2分）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2" w:type="pct"/>
            <w:vMerge w:val="continue"/>
            <w:tcBorders>
              <w:left w:val="single" w:color="000000" w:sz="4" w:space="0"/>
              <w:right w:val="single" w:color="000000" w:sz="4" w:space="0"/>
            </w:tcBorders>
            <w:noWrap w:val="0"/>
            <w:vAlign w:val="center"/>
          </w:tcPr>
          <w:p>
            <w:pPr>
              <w:spacing w:line="360" w:lineRule="auto"/>
              <w:jc w:val="center"/>
              <w:textAlignment w:val="baseline"/>
              <w:rPr>
                <w:rStyle w:val="110"/>
                <w:bCs/>
                <w:sz w:val="24"/>
              </w:rPr>
            </w:pPr>
          </w:p>
        </w:tc>
        <w:tc>
          <w:tcPr>
            <w:tcW w:w="620" w:type="pct"/>
            <w:vMerge w:val="continue"/>
            <w:tcBorders>
              <w:left w:val="single" w:color="000000" w:sz="4" w:space="0"/>
              <w:right w:val="single" w:color="000000" w:sz="4" w:space="0"/>
            </w:tcBorders>
            <w:noWrap w:val="0"/>
            <w:vAlign w:val="center"/>
          </w:tcPr>
          <w:p>
            <w:pPr>
              <w:spacing w:line="360" w:lineRule="auto"/>
              <w:jc w:val="center"/>
              <w:rPr>
                <w:bCs/>
                <w:sz w:val="24"/>
              </w:rPr>
            </w:pP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项目整体服务内容全面、完整、系统，具有较丰富的示范经验成果预期。（0-2分）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2" w:type="pct"/>
            <w:vMerge w:val="continue"/>
            <w:tcBorders>
              <w:left w:val="single" w:color="000000" w:sz="4" w:space="0"/>
              <w:right w:val="single" w:color="000000" w:sz="4" w:space="0"/>
            </w:tcBorders>
            <w:noWrap w:val="0"/>
            <w:vAlign w:val="center"/>
          </w:tcPr>
          <w:p>
            <w:pPr>
              <w:spacing w:line="360" w:lineRule="auto"/>
              <w:jc w:val="center"/>
              <w:textAlignment w:val="baseline"/>
              <w:rPr>
                <w:rStyle w:val="110"/>
                <w:bCs/>
                <w:sz w:val="24"/>
              </w:rPr>
            </w:pPr>
          </w:p>
        </w:tc>
        <w:tc>
          <w:tcPr>
            <w:tcW w:w="620" w:type="pct"/>
            <w:vMerge w:val="continue"/>
            <w:tcBorders>
              <w:left w:val="single" w:color="000000" w:sz="4" w:space="0"/>
              <w:right w:val="single" w:color="000000" w:sz="4" w:space="0"/>
            </w:tcBorders>
            <w:noWrap w:val="0"/>
            <w:vAlign w:val="center"/>
          </w:tcPr>
          <w:p>
            <w:pPr>
              <w:spacing w:line="360" w:lineRule="auto"/>
              <w:jc w:val="center"/>
              <w:rPr>
                <w:bCs/>
                <w:sz w:val="24"/>
              </w:rPr>
            </w:pP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白蚁综合治理范围边界清晰（0-2分），需治理的目标明确（0-3分），治理期限明确（0-2分）。最高得7分。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2" w:type="pct"/>
            <w:vMerge w:val="continue"/>
            <w:tcBorders>
              <w:left w:val="single" w:color="000000" w:sz="4" w:space="0"/>
              <w:right w:val="single" w:color="000000" w:sz="4" w:space="0"/>
            </w:tcBorders>
            <w:noWrap w:val="0"/>
            <w:vAlign w:val="center"/>
          </w:tcPr>
          <w:p>
            <w:pPr>
              <w:spacing w:line="360" w:lineRule="auto"/>
              <w:jc w:val="center"/>
              <w:textAlignment w:val="baseline"/>
              <w:rPr>
                <w:rStyle w:val="110"/>
                <w:bCs/>
                <w:sz w:val="24"/>
              </w:rPr>
            </w:pPr>
          </w:p>
        </w:tc>
        <w:tc>
          <w:tcPr>
            <w:tcW w:w="620" w:type="pct"/>
            <w:vMerge w:val="continue"/>
            <w:tcBorders>
              <w:left w:val="single" w:color="000000" w:sz="4" w:space="0"/>
              <w:right w:val="single" w:color="000000" w:sz="4" w:space="0"/>
            </w:tcBorders>
            <w:noWrap w:val="0"/>
            <w:vAlign w:val="center"/>
          </w:tcPr>
          <w:p>
            <w:pPr>
              <w:spacing w:line="360" w:lineRule="auto"/>
              <w:jc w:val="center"/>
              <w:rPr>
                <w:bCs/>
                <w:sz w:val="24"/>
              </w:rPr>
            </w:pP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白蚁综合治理策略符合区域控制的理念（0-2分），不同区域或对象明确相应的技术措施（0-2分）。最高得4分。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2" w:type="pct"/>
            <w:vMerge w:val="continue"/>
            <w:tcBorders>
              <w:left w:val="single" w:color="000000" w:sz="4" w:space="0"/>
              <w:right w:val="single" w:color="000000" w:sz="4" w:space="0"/>
            </w:tcBorders>
            <w:noWrap w:val="0"/>
            <w:vAlign w:val="center"/>
          </w:tcPr>
          <w:p>
            <w:pPr>
              <w:spacing w:line="360" w:lineRule="auto"/>
              <w:jc w:val="center"/>
              <w:textAlignment w:val="baseline"/>
              <w:rPr>
                <w:rStyle w:val="110"/>
                <w:bCs/>
                <w:sz w:val="24"/>
              </w:rPr>
            </w:pPr>
          </w:p>
        </w:tc>
        <w:tc>
          <w:tcPr>
            <w:tcW w:w="620" w:type="pct"/>
            <w:vMerge w:val="continue"/>
            <w:tcBorders>
              <w:left w:val="single" w:color="000000" w:sz="4" w:space="0"/>
              <w:right w:val="single" w:color="000000" w:sz="4" w:space="0"/>
            </w:tcBorders>
            <w:noWrap w:val="0"/>
            <w:vAlign w:val="center"/>
          </w:tcPr>
          <w:p>
            <w:pPr>
              <w:spacing w:line="360" w:lineRule="auto"/>
              <w:jc w:val="center"/>
              <w:rPr>
                <w:bCs/>
                <w:sz w:val="24"/>
              </w:rPr>
            </w:pP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白蚁综合治理拟采用技术的先进性、智能性强，现阶段处于行业前沿水平（0-4分）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2" w:type="pct"/>
            <w:vMerge w:val="continue"/>
            <w:tcBorders>
              <w:left w:val="single" w:color="000000" w:sz="4" w:space="0"/>
              <w:right w:val="single" w:color="000000" w:sz="4" w:space="0"/>
            </w:tcBorders>
            <w:noWrap w:val="0"/>
            <w:vAlign w:val="center"/>
          </w:tcPr>
          <w:p>
            <w:pPr>
              <w:spacing w:line="360" w:lineRule="auto"/>
              <w:jc w:val="center"/>
              <w:textAlignment w:val="baseline"/>
              <w:rPr>
                <w:rStyle w:val="110"/>
                <w:bCs/>
                <w:sz w:val="24"/>
              </w:rPr>
            </w:pPr>
          </w:p>
        </w:tc>
        <w:tc>
          <w:tcPr>
            <w:tcW w:w="620" w:type="pct"/>
            <w:vMerge w:val="continue"/>
            <w:tcBorders>
              <w:left w:val="single" w:color="000000" w:sz="4" w:space="0"/>
              <w:right w:val="single" w:color="000000" w:sz="4" w:space="0"/>
            </w:tcBorders>
            <w:noWrap w:val="0"/>
            <w:vAlign w:val="center"/>
          </w:tcPr>
          <w:p>
            <w:pPr>
              <w:spacing w:line="360" w:lineRule="auto"/>
              <w:jc w:val="center"/>
              <w:rPr>
                <w:bCs/>
                <w:sz w:val="24"/>
              </w:rPr>
            </w:pP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白蚁综合治理拟采用的方法科学、合理、可操作性强，能满足白蚁治理实际需求（0-4分）。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2" w:type="pct"/>
            <w:vMerge w:val="continue"/>
            <w:tcBorders>
              <w:left w:val="single" w:color="000000" w:sz="4" w:space="0"/>
              <w:right w:val="single" w:color="000000" w:sz="4" w:space="0"/>
            </w:tcBorders>
            <w:noWrap w:val="0"/>
            <w:vAlign w:val="center"/>
          </w:tcPr>
          <w:p>
            <w:pPr>
              <w:spacing w:line="360" w:lineRule="auto"/>
              <w:jc w:val="center"/>
              <w:textAlignment w:val="baseline"/>
              <w:rPr>
                <w:rStyle w:val="110"/>
                <w:bCs/>
                <w:sz w:val="24"/>
              </w:rPr>
            </w:pPr>
          </w:p>
        </w:tc>
        <w:tc>
          <w:tcPr>
            <w:tcW w:w="620" w:type="pct"/>
            <w:vMerge w:val="continue"/>
            <w:tcBorders>
              <w:left w:val="single" w:color="000000" w:sz="4" w:space="0"/>
              <w:right w:val="single" w:color="000000" w:sz="4" w:space="0"/>
            </w:tcBorders>
            <w:noWrap w:val="0"/>
            <w:vAlign w:val="center"/>
          </w:tcPr>
          <w:p>
            <w:pPr>
              <w:spacing w:line="360" w:lineRule="auto"/>
              <w:jc w:val="center"/>
              <w:rPr>
                <w:bCs/>
                <w:sz w:val="24"/>
              </w:rPr>
            </w:pP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白蚁综合治理拟采用的药物低毒高效具有针对性（0-2分）、器械的适用范围与项目实际相符合（0-2分）。最高得4分。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522" w:type="pct"/>
            <w:vMerge w:val="continue"/>
            <w:tcBorders>
              <w:left w:val="single" w:color="000000" w:sz="4" w:space="0"/>
              <w:right w:val="single" w:color="000000" w:sz="4" w:space="0"/>
            </w:tcBorders>
            <w:noWrap w:val="0"/>
            <w:vAlign w:val="center"/>
          </w:tcPr>
          <w:p>
            <w:pPr>
              <w:spacing w:line="360" w:lineRule="auto"/>
              <w:jc w:val="center"/>
              <w:textAlignment w:val="baseline"/>
              <w:rPr>
                <w:rStyle w:val="110"/>
                <w:bCs/>
                <w:sz w:val="24"/>
              </w:rPr>
            </w:pPr>
          </w:p>
        </w:tc>
        <w:tc>
          <w:tcPr>
            <w:tcW w:w="620" w:type="pct"/>
            <w:vMerge w:val="continue"/>
            <w:tcBorders>
              <w:left w:val="single" w:color="000000" w:sz="4" w:space="0"/>
              <w:right w:val="single" w:color="000000" w:sz="4" w:space="0"/>
            </w:tcBorders>
            <w:noWrap w:val="0"/>
            <w:vAlign w:val="center"/>
          </w:tcPr>
          <w:p>
            <w:pPr>
              <w:spacing w:line="360" w:lineRule="auto"/>
              <w:jc w:val="center"/>
              <w:rPr>
                <w:bCs/>
                <w:sz w:val="24"/>
              </w:rPr>
            </w:pP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白蚁综合治理效果评价科学、合理、具有可靠的规范标准依据。（0-2分）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2" w:type="pct"/>
            <w:vMerge w:val="continue"/>
            <w:tcBorders>
              <w:left w:val="single" w:color="000000" w:sz="4" w:space="0"/>
              <w:right w:val="single" w:color="000000" w:sz="4" w:space="0"/>
            </w:tcBorders>
            <w:noWrap w:val="0"/>
            <w:vAlign w:val="center"/>
          </w:tcPr>
          <w:p>
            <w:pPr>
              <w:spacing w:line="360" w:lineRule="auto"/>
              <w:jc w:val="center"/>
              <w:textAlignment w:val="baseline"/>
              <w:rPr>
                <w:rStyle w:val="110"/>
                <w:bCs/>
                <w:sz w:val="24"/>
              </w:rPr>
            </w:pPr>
          </w:p>
        </w:tc>
        <w:tc>
          <w:tcPr>
            <w:tcW w:w="620" w:type="pct"/>
            <w:vMerge w:val="continue"/>
            <w:tcBorders>
              <w:left w:val="single" w:color="000000" w:sz="4" w:space="0"/>
              <w:right w:val="single" w:color="000000" w:sz="4" w:space="0"/>
            </w:tcBorders>
            <w:noWrap w:val="0"/>
            <w:vAlign w:val="center"/>
          </w:tcPr>
          <w:p>
            <w:pPr>
              <w:spacing w:line="360" w:lineRule="auto"/>
              <w:jc w:val="center"/>
              <w:rPr>
                <w:bCs/>
                <w:sz w:val="24"/>
              </w:rPr>
            </w:pP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文物建筑白蚁防治数字平台标准规范体系建设研究思路清晰、路线明确、规划合理。（0-2分）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522" w:type="pct"/>
            <w:vMerge w:val="continue"/>
            <w:tcBorders>
              <w:left w:val="single" w:color="000000" w:sz="4" w:space="0"/>
              <w:right w:val="single" w:color="000000" w:sz="4" w:space="0"/>
            </w:tcBorders>
            <w:noWrap w:val="0"/>
            <w:vAlign w:val="center"/>
          </w:tcPr>
          <w:p>
            <w:pPr>
              <w:spacing w:line="360" w:lineRule="auto"/>
              <w:jc w:val="center"/>
              <w:textAlignment w:val="baseline"/>
              <w:rPr>
                <w:rStyle w:val="110"/>
                <w:bCs/>
                <w:sz w:val="24"/>
              </w:rPr>
            </w:pPr>
          </w:p>
        </w:tc>
        <w:tc>
          <w:tcPr>
            <w:tcW w:w="620" w:type="pct"/>
            <w:vMerge w:val="continue"/>
            <w:tcBorders>
              <w:left w:val="single" w:color="000000" w:sz="4" w:space="0"/>
              <w:right w:val="single" w:color="000000" w:sz="4" w:space="0"/>
            </w:tcBorders>
            <w:noWrap w:val="0"/>
            <w:vAlign w:val="center"/>
          </w:tcPr>
          <w:p>
            <w:pPr>
              <w:spacing w:line="360" w:lineRule="auto"/>
              <w:jc w:val="center"/>
              <w:rPr>
                <w:bCs/>
                <w:sz w:val="24"/>
              </w:rPr>
            </w:pP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示范经验总结全面系统、举措有力、成果清晰。（0-2分）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522" w:type="pct"/>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4</w:t>
            </w:r>
          </w:p>
        </w:tc>
        <w:tc>
          <w:tcPr>
            <w:tcW w:w="620" w:type="pct"/>
            <w:vMerge w:val="restar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项目团队（18分）</w:t>
            </w: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拟投入本项目的项目负责人具有白蚁防治专业高级工程师及以上技术职称的得7分，具有白蚁防治专业工程师（或技师）职称证书的得2分。需提供证书复印件（复印件需清晰）及开标前近三个月在供应商本单位交纳的社保证明，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522" w:type="pct"/>
            <w:vMerge w:val="continue"/>
            <w:tcBorders>
              <w:left w:val="single" w:color="000000" w:sz="4" w:space="0"/>
              <w:right w:val="single" w:color="000000" w:sz="4" w:space="0"/>
            </w:tcBorders>
            <w:noWrap w:val="0"/>
            <w:vAlign w:val="center"/>
          </w:tcPr>
          <w:p>
            <w:pPr>
              <w:widowControl/>
              <w:spacing w:line="360" w:lineRule="auto"/>
              <w:ind w:firstLine="420" w:firstLineChars="200"/>
              <w:jc w:val="center"/>
              <w:rPr>
                <w:rFonts w:hint="eastAsia" w:ascii="宋体" w:hAnsi="宋体" w:eastAsia="宋体" w:cs="宋体"/>
                <w:kern w:val="0"/>
                <w:szCs w:val="21"/>
              </w:rPr>
            </w:pPr>
          </w:p>
        </w:tc>
        <w:tc>
          <w:tcPr>
            <w:tcW w:w="620" w:type="pct"/>
            <w:vMerge w:val="continue"/>
            <w:tcBorders>
              <w:left w:val="single" w:color="000000" w:sz="4" w:space="0"/>
              <w:right w:val="single" w:color="000000" w:sz="4" w:space="0"/>
            </w:tcBorders>
            <w:noWrap w:val="0"/>
            <w:vAlign w:val="center"/>
          </w:tcPr>
          <w:p>
            <w:pPr>
              <w:widowControl/>
              <w:spacing w:line="360" w:lineRule="auto"/>
              <w:ind w:firstLine="420" w:firstLineChars="200"/>
              <w:rPr>
                <w:rFonts w:hint="eastAsia" w:ascii="宋体" w:hAnsi="宋体" w:eastAsia="宋体" w:cs="宋体"/>
                <w:kern w:val="0"/>
                <w:szCs w:val="21"/>
              </w:rPr>
            </w:pPr>
          </w:p>
        </w:tc>
        <w:tc>
          <w:tcPr>
            <w:tcW w:w="3856" w:type="pc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拟投入本项目的项目组成员具有白蚁防治专业工程师及以上职称人员的，每人得2分，最高6分。需提供证书复印件（复印件需清晰）及开标前近三个月在供应商本单位交纳的社保证明，否则不得分。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522" w:type="pct"/>
            <w:vMerge w:val="continue"/>
            <w:tcBorders>
              <w:left w:val="single" w:color="000000" w:sz="4" w:space="0"/>
              <w:bottom w:val="single" w:color="000000" w:sz="4" w:space="0"/>
              <w:right w:val="single" w:color="000000" w:sz="4" w:space="0"/>
            </w:tcBorders>
            <w:noWrap w:val="0"/>
            <w:vAlign w:val="center"/>
          </w:tcPr>
          <w:p>
            <w:pPr>
              <w:widowControl/>
              <w:spacing w:line="360" w:lineRule="auto"/>
              <w:ind w:firstLine="420" w:firstLineChars="200"/>
              <w:jc w:val="center"/>
              <w:rPr>
                <w:rFonts w:hint="eastAsia" w:ascii="宋体" w:hAnsi="宋体" w:eastAsia="宋体" w:cs="宋体"/>
                <w:kern w:val="0"/>
                <w:szCs w:val="21"/>
              </w:rPr>
            </w:pPr>
          </w:p>
        </w:tc>
        <w:tc>
          <w:tcPr>
            <w:tcW w:w="620" w:type="pct"/>
            <w:vMerge w:val="continue"/>
            <w:tcBorders>
              <w:left w:val="single" w:color="000000" w:sz="4" w:space="0"/>
              <w:bottom w:val="single" w:color="000000" w:sz="4" w:space="0"/>
              <w:right w:val="single" w:color="000000" w:sz="4" w:space="0"/>
            </w:tcBorders>
            <w:noWrap w:val="0"/>
            <w:vAlign w:val="center"/>
          </w:tcPr>
          <w:p>
            <w:pPr>
              <w:widowControl/>
              <w:spacing w:line="360" w:lineRule="auto"/>
              <w:ind w:firstLine="420" w:firstLineChars="200"/>
              <w:rPr>
                <w:rFonts w:hint="eastAsia" w:ascii="宋体" w:hAnsi="宋体" w:eastAsia="宋体" w:cs="宋体"/>
                <w:kern w:val="0"/>
                <w:szCs w:val="21"/>
              </w:rPr>
            </w:pPr>
          </w:p>
        </w:tc>
        <w:tc>
          <w:tcPr>
            <w:tcW w:w="38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拟投入本项目的项目组成员具有白蚁岗位证书的专职人员不少于3人的，得1分，每增加1人得1分，最高得5分。需提供证书复印件（复印件需清晰）及开标前近三个月在供应商本单位交纳的社保证明，否则不得分。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522" w:type="pct"/>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5</w:t>
            </w:r>
          </w:p>
        </w:tc>
        <w:tc>
          <w:tcPr>
            <w:tcW w:w="620" w:type="pct"/>
            <w:vMerge w:val="restart"/>
            <w:tcBorders>
              <w:top w:val="single" w:color="000000" w:sz="4" w:space="0"/>
              <w:left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进度保障措施（4分）</w:t>
            </w:r>
          </w:p>
        </w:tc>
        <w:tc>
          <w:tcPr>
            <w:tcW w:w="38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根据供应商进度安排是否总体满足招标文件的要求进行打分。（0-2分）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522" w:type="pct"/>
            <w:vMerge w:val="continue"/>
            <w:tcBorders>
              <w:left w:val="single" w:color="000000" w:sz="4" w:space="0"/>
              <w:bottom w:val="single" w:color="000000" w:sz="4" w:space="0"/>
              <w:right w:val="single" w:color="000000" w:sz="4" w:space="0"/>
            </w:tcBorders>
            <w:noWrap w:val="0"/>
            <w:vAlign w:val="center"/>
          </w:tcPr>
          <w:p>
            <w:pPr>
              <w:widowControl/>
              <w:spacing w:line="360" w:lineRule="auto"/>
              <w:ind w:firstLine="420" w:firstLineChars="200"/>
              <w:jc w:val="center"/>
              <w:rPr>
                <w:rFonts w:hint="eastAsia" w:ascii="宋体" w:hAnsi="宋体" w:eastAsia="宋体" w:cs="宋体"/>
                <w:kern w:val="0"/>
                <w:szCs w:val="21"/>
              </w:rPr>
            </w:pPr>
          </w:p>
        </w:tc>
        <w:tc>
          <w:tcPr>
            <w:tcW w:w="620" w:type="pct"/>
            <w:vMerge w:val="continue"/>
            <w:tcBorders>
              <w:left w:val="single" w:color="000000" w:sz="4" w:space="0"/>
              <w:bottom w:val="single" w:color="000000" w:sz="4" w:space="0"/>
              <w:right w:val="single" w:color="000000" w:sz="4" w:space="0"/>
            </w:tcBorders>
            <w:noWrap w:val="0"/>
            <w:vAlign w:val="center"/>
          </w:tcPr>
          <w:p>
            <w:pPr>
              <w:widowControl/>
              <w:spacing w:line="360" w:lineRule="auto"/>
              <w:ind w:firstLine="420" w:firstLineChars="200"/>
              <w:rPr>
                <w:rFonts w:hint="eastAsia" w:ascii="宋体" w:hAnsi="宋体" w:eastAsia="宋体" w:cs="宋体"/>
                <w:kern w:val="0"/>
                <w:szCs w:val="21"/>
              </w:rPr>
            </w:pPr>
          </w:p>
        </w:tc>
        <w:tc>
          <w:tcPr>
            <w:tcW w:w="38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根据供应商阶段进度细化是否合理、是否有利于项目开展进行打分。（0-2分）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522" w:type="pct"/>
            <w:tcBorders>
              <w:left w:val="single" w:color="000000" w:sz="4" w:space="0"/>
              <w:bottom w:val="single" w:color="000000" w:sz="4" w:space="0"/>
              <w:right w:val="single" w:color="000000" w:sz="4" w:space="0"/>
            </w:tcBorders>
            <w:noWrap w:val="0"/>
            <w:vAlign w:val="center"/>
          </w:tcPr>
          <w:p>
            <w:pPr>
              <w:widowControl/>
              <w:spacing w:line="360" w:lineRule="auto"/>
              <w:ind w:firstLine="420" w:firstLineChars="200"/>
              <w:jc w:val="center"/>
              <w:rPr>
                <w:rFonts w:hint="eastAsia" w:ascii="宋体" w:hAnsi="宋体" w:eastAsia="宋体" w:cs="宋体"/>
                <w:kern w:val="0"/>
                <w:szCs w:val="21"/>
              </w:rPr>
            </w:pPr>
            <w:r>
              <w:rPr>
                <w:rFonts w:hint="eastAsia" w:ascii="宋体" w:hAnsi="宋体" w:eastAsia="宋体" w:cs="宋体"/>
                <w:kern w:val="0"/>
                <w:szCs w:val="21"/>
              </w:rPr>
              <w:t>6</w:t>
            </w:r>
          </w:p>
        </w:tc>
        <w:tc>
          <w:tcPr>
            <w:tcW w:w="620" w:type="pct"/>
            <w:tcBorders>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质量保障措施（3分）</w:t>
            </w:r>
          </w:p>
        </w:tc>
        <w:tc>
          <w:tcPr>
            <w:tcW w:w="38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根据供应商针对本项目的治理保障制度及内部管理制度规范性情况进行打分。（0-3分）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522" w:type="pct"/>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7</w:t>
            </w:r>
          </w:p>
        </w:tc>
        <w:tc>
          <w:tcPr>
            <w:tcW w:w="620" w:type="pct"/>
            <w:tcBorders>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安全保障措施（3分）</w:t>
            </w:r>
          </w:p>
        </w:tc>
        <w:tc>
          <w:tcPr>
            <w:tcW w:w="38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根据供应商提供的安全保障措施，安全生产责任制分配等进行打分。（0-3分）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5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8</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车辆保障</w:t>
            </w:r>
          </w:p>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（2分）</w:t>
            </w:r>
          </w:p>
        </w:tc>
        <w:tc>
          <w:tcPr>
            <w:tcW w:w="38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供应商自有专用交通工具不少于1辆，每超过1辆得1分，最高得2分（凭机动车行驶证复印件，否则不得分；非供应商自有的不得分）。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9</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突发事件应急方案（2分）</w:t>
            </w:r>
          </w:p>
        </w:tc>
        <w:tc>
          <w:tcPr>
            <w:tcW w:w="38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针对本项目突发事件提供的具体应急方案、措施等进行打分。（0-2分）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10</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售后服务</w:t>
            </w:r>
          </w:p>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（2分）</w:t>
            </w:r>
          </w:p>
        </w:tc>
        <w:tc>
          <w:tcPr>
            <w:tcW w:w="38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根据售后服务承诺的范围、完善程度、服务便利性、售后服务人员情况等进行打分。（0-2分）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11</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档案管理</w:t>
            </w:r>
          </w:p>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（3分）</w:t>
            </w:r>
          </w:p>
        </w:tc>
        <w:tc>
          <w:tcPr>
            <w:tcW w:w="38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根据施工记录档案资料管理的系统性、规范性等进行打分。（0-3分）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12</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合理化建议（3分）</w:t>
            </w:r>
          </w:p>
        </w:tc>
        <w:tc>
          <w:tcPr>
            <w:tcW w:w="38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根据供应商提出的利于项目顺利实施的合理化意见建议进行打分。（0-3分）</w:t>
            </w:r>
          </w:p>
        </w:tc>
      </w:tr>
    </w:tbl>
    <w:p>
      <w:pPr>
        <w:widowControl/>
        <w:numPr>
          <w:ilvl w:val="0"/>
          <w:numId w:val="6"/>
        </w:numPr>
        <w:spacing w:line="360" w:lineRule="auto"/>
        <w:ind w:firstLine="422" w:firstLineChars="200"/>
        <w:rPr>
          <w:rFonts w:ascii="宋体" w:hAnsi="宋体" w:cs="宋体"/>
          <w:b/>
          <w:bCs/>
          <w:kern w:val="0"/>
          <w:szCs w:val="21"/>
        </w:rPr>
      </w:pPr>
      <w:r>
        <w:rPr>
          <w:rFonts w:hint="eastAsia" w:ascii="宋体" w:hAnsi="宋体" w:cs="宋体"/>
          <w:b/>
          <w:bCs/>
          <w:kern w:val="0"/>
          <w:szCs w:val="21"/>
        </w:rPr>
        <w:t>评审内容及标准</w:t>
      </w:r>
    </w:p>
    <w:p>
      <w:pPr>
        <w:spacing w:line="360" w:lineRule="auto"/>
        <w:rPr>
          <w:rFonts w:ascii="宋体" w:hAnsi="宋体" w:cs="宋体"/>
          <w:vanish/>
        </w:rPr>
      </w:pPr>
    </w:p>
    <w:p>
      <w:pPr>
        <w:widowControl/>
        <w:spacing w:line="360" w:lineRule="auto"/>
        <w:ind w:firstLine="420" w:firstLineChars="200"/>
        <w:jc w:val="left"/>
        <w:rPr>
          <w:rFonts w:ascii="宋体" w:hAnsi="宋体" w:cs="宋体"/>
          <w:b/>
          <w:kern w:val="0"/>
          <w:sz w:val="22"/>
          <w:szCs w:val="22"/>
        </w:rPr>
      </w:pPr>
      <w:r>
        <w:rPr>
          <w:rFonts w:hint="eastAsia" w:ascii="宋体" w:hAnsi="宋体" w:cs="宋体"/>
          <w:kern w:val="0"/>
          <w:szCs w:val="21"/>
        </w:rPr>
        <w:t>1、报价文件</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1 \* GB2 </w:instrText>
      </w:r>
      <w:r>
        <w:rPr>
          <w:rFonts w:hint="eastAsia" w:ascii="宋体" w:hAnsi="宋体" w:cs="宋体"/>
          <w:kern w:val="0"/>
          <w:szCs w:val="21"/>
        </w:rPr>
        <w:fldChar w:fldCharType="separate"/>
      </w:r>
      <w:r>
        <w:rPr>
          <w:rFonts w:hint="eastAsia" w:ascii="宋体" w:hAnsi="宋体" w:cs="宋体"/>
          <w:kern w:val="0"/>
          <w:szCs w:val="21"/>
        </w:rPr>
        <w:t>⑴</w:t>
      </w:r>
      <w:r>
        <w:rPr>
          <w:rFonts w:hint="eastAsia" w:ascii="宋体" w:hAnsi="宋体" w:cs="宋体"/>
          <w:kern w:val="0"/>
          <w:szCs w:val="21"/>
        </w:rPr>
        <w:fldChar w:fldCharType="end"/>
      </w:r>
      <w:r>
        <w:rPr>
          <w:rFonts w:hint="eastAsia" w:ascii="宋体" w:hAnsi="宋体" w:cs="宋体"/>
          <w:kern w:val="0"/>
          <w:szCs w:val="21"/>
        </w:rPr>
        <w:t>投标报价根据采购文件中政府采购政策标准予以扣除，投标报价计算公式如下：</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投标报价=投标报价×（1-扣除率）；</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2 \* GB2 </w:instrText>
      </w:r>
      <w:r>
        <w:rPr>
          <w:rFonts w:hint="eastAsia" w:ascii="宋体" w:hAnsi="宋体" w:cs="宋体"/>
          <w:kern w:val="0"/>
          <w:szCs w:val="21"/>
        </w:rPr>
        <w:fldChar w:fldCharType="separate"/>
      </w:r>
      <w:r>
        <w:rPr>
          <w:rFonts w:hint="eastAsia" w:ascii="宋体" w:hAnsi="宋体" w:cs="宋体"/>
          <w:kern w:val="0"/>
          <w:szCs w:val="21"/>
        </w:rPr>
        <w:t>⑵</w:t>
      </w:r>
      <w:r>
        <w:rPr>
          <w:rFonts w:hint="eastAsia" w:ascii="宋体" w:hAnsi="宋体" w:cs="宋体"/>
          <w:kern w:val="0"/>
          <w:szCs w:val="21"/>
        </w:rPr>
        <w:fldChar w:fldCharType="end"/>
      </w:r>
      <w:r>
        <w:rPr>
          <w:rFonts w:hint="eastAsia" w:ascii="宋体" w:hAnsi="宋体" w:cs="宋体"/>
          <w:kern w:val="0"/>
          <w:szCs w:val="21"/>
        </w:rPr>
        <w:t>并以调整后的价格计算评标基准价和投标报价；</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GB2 </w:instrText>
      </w:r>
      <w:r>
        <w:rPr>
          <w:rFonts w:hint="eastAsia" w:ascii="宋体" w:hAnsi="宋体" w:cs="宋体"/>
          <w:kern w:val="0"/>
          <w:szCs w:val="21"/>
        </w:rPr>
        <w:fldChar w:fldCharType="separate"/>
      </w:r>
      <w:r>
        <w:rPr>
          <w:rFonts w:hint="eastAsia" w:ascii="宋体" w:hAnsi="宋体" w:cs="宋体"/>
          <w:kern w:val="0"/>
          <w:szCs w:val="21"/>
        </w:rPr>
        <w:t>⑶</w:t>
      </w:r>
      <w:r>
        <w:rPr>
          <w:rFonts w:hint="eastAsia" w:ascii="宋体" w:hAnsi="宋体" w:cs="宋体"/>
          <w:kern w:val="0"/>
          <w:szCs w:val="21"/>
        </w:rPr>
        <w:fldChar w:fldCharType="end"/>
      </w:r>
      <w:r>
        <w:rPr>
          <w:rFonts w:hint="eastAsia" w:ascii="宋体" w:hAnsi="宋体" w:cs="宋体"/>
          <w:kern w:val="0"/>
          <w:szCs w:val="21"/>
        </w:rPr>
        <w:t>评标基准价=投标报价中的最低报价；</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4 \* GB2 </w:instrText>
      </w:r>
      <w:r>
        <w:rPr>
          <w:rFonts w:hint="eastAsia" w:ascii="宋体" w:hAnsi="宋体" w:cs="宋体"/>
          <w:kern w:val="0"/>
          <w:szCs w:val="21"/>
        </w:rPr>
        <w:fldChar w:fldCharType="separate"/>
      </w:r>
      <w:r>
        <w:rPr>
          <w:rFonts w:hint="eastAsia" w:ascii="宋体" w:hAnsi="宋体" w:cs="宋体"/>
          <w:kern w:val="0"/>
          <w:szCs w:val="21"/>
        </w:rPr>
        <w:t>⑷</w:t>
      </w:r>
      <w:r>
        <w:rPr>
          <w:rFonts w:hint="eastAsia" w:ascii="宋体" w:hAnsi="宋体" w:cs="宋体"/>
          <w:kern w:val="0"/>
          <w:szCs w:val="21"/>
        </w:rPr>
        <w:fldChar w:fldCharType="end"/>
      </w:r>
      <w:r>
        <w:rPr>
          <w:rFonts w:hint="eastAsia" w:ascii="宋体" w:hAnsi="宋体" w:cs="宋体"/>
          <w:kern w:val="0"/>
          <w:szCs w:val="21"/>
        </w:rPr>
        <w:t>投标报价等于评标基准价的得10分，其他投标人的报价得分按下列公式计算：</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投标报价得分=（评定基准价/投标报价）×报价权重×100。</w:t>
      </w:r>
    </w:p>
    <w:p>
      <w:pPr>
        <w:pStyle w:val="154"/>
        <w:spacing w:before="0" w:beforeAutospacing="0" w:after="0" w:afterAutospacing="0" w:line="360" w:lineRule="auto"/>
        <w:ind w:firstLine="442" w:firstLineChars="200"/>
        <w:rPr>
          <w:szCs w:val="21"/>
        </w:rPr>
      </w:pPr>
      <w:r>
        <w:rPr>
          <w:rFonts w:hint="eastAsia"/>
          <w:b/>
          <w:sz w:val="22"/>
          <w:szCs w:val="22"/>
        </w:rPr>
        <w:t>该磋商评审办法及评分标准仅适用于本项目采购，解释权属于采购人。</w:t>
      </w:r>
    </w:p>
    <w:sectPr>
      <w:pgSz w:w="11906" w:h="16838"/>
      <w:pgMar w:top="1417" w:right="1417" w:bottom="1134" w:left="141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Beijing">
    <w:altName w:val="Arial"/>
    <w:panose1 w:val="00000000000000000000"/>
    <w:charset w:val="5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single" w:color="auto" w:sz="4" w:space="1"/>
      </w:pBdr>
      <w:rPr>
        <w:rFonts w:ascii="宋体" w:hAnsi="宋体" w:eastAsia="宋体" w:cs="宋体"/>
      </w:rPr>
    </w:pPr>
    <w:r>
      <w:rPr>
        <w:rFonts w:hint="eastAsia" w:ascii="宋体" w:hAnsi="宋体" w:eastAsia="宋体"/>
        <w:snapToGrid/>
        <w:kern w:val="2"/>
      </w:rPr>
      <w:t>浙江鼎峰工程咨询有限公司</w:t>
    </w:r>
    <w:r>
      <w:rPr>
        <w:rFonts w:hint="eastAsia"/>
        <w:szCs w:val="21"/>
      </w:rPr>
      <w:t xml:space="preserve">                                                         </w:t>
    </w:r>
    <w:r>
      <w:rPr>
        <w:rFonts w:hint="eastAsia" w:ascii="宋体" w:hAnsi="宋体" w:eastAsia="宋体" w:cs="宋体"/>
        <w:szCs w:val="21"/>
      </w:rPr>
      <w:t xml:space="preserve"> 第 </w:t>
    </w:r>
    <w:r>
      <w:rPr>
        <w:rFonts w:hint="eastAsia" w:ascii="宋体" w:hAnsi="宋体" w:eastAsia="宋体" w:cs="宋体"/>
        <w:szCs w:val="21"/>
      </w:rPr>
      <w:fldChar w:fldCharType="begin"/>
    </w:r>
    <w:r>
      <w:rPr>
        <w:rFonts w:hint="eastAsia" w:ascii="宋体" w:hAnsi="宋体" w:eastAsia="宋体" w:cs="宋体"/>
        <w:szCs w:val="21"/>
      </w:rPr>
      <w:instrText xml:space="preserve"> PAGE </w:instrText>
    </w:r>
    <w:r>
      <w:rPr>
        <w:rFonts w:hint="eastAsia" w:ascii="宋体" w:hAnsi="宋体" w:eastAsia="宋体" w:cs="宋体"/>
        <w:szCs w:val="21"/>
      </w:rPr>
      <w:fldChar w:fldCharType="separate"/>
    </w:r>
    <w:r>
      <w:rPr>
        <w:rFonts w:ascii="宋体" w:hAnsi="宋体" w:eastAsia="宋体" w:cs="宋体"/>
        <w:szCs w:val="21"/>
      </w:rPr>
      <w:t>53</w:t>
    </w:r>
    <w:r>
      <w:rPr>
        <w:rFonts w:hint="eastAsia" w:ascii="宋体" w:hAnsi="宋体" w:eastAsia="宋体" w:cs="宋体"/>
        <w:szCs w:val="21"/>
      </w:rPr>
      <w:fldChar w:fldCharType="end"/>
    </w:r>
    <w:r>
      <w:rPr>
        <w:rFonts w:hint="eastAsia" w:ascii="宋体" w:hAnsi="宋体" w:eastAsia="宋体" w:cs="宋体"/>
        <w:szCs w:val="21"/>
      </w:rPr>
      <w:t xml:space="preserve"> 页 共 </w:t>
    </w:r>
    <w:r>
      <w:rPr>
        <w:rFonts w:hint="eastAsia" w:ascii="宋体" w:hAnsi="宋体" w:eastAsia="宋体" w:cs="宋体"/>
        <w:szCs w:val="21"/>
      </w:rPr>
      <w:fldChar w:fldCharType="begin"/>
    </w:r>
    <w:r>
      <w:rPr>
        <w:rFonts w:hint="eastAsia" w:ascii="宋体" w:hAnsi="宋体" w:eastAsia="宋体" w:cs="宋体"/>
        <w:szCs w:val="21"/>
      </w:rPr>
      <w:instrText xml:space="preserve"> NUMPAGES </w:instrText>
    </w:r>
    <w:r>
      <w:rPr>
        <w:rFonts w:hint="eastAsia" w:ascii="宋体" w:hAnsi="宋体" w:eastAsia="宋体" w:cs="宋体"/>
        <w:szCs w:val="21"/>
      </w:rPr>
      <w:fldChar w:fldCharType="separate"/>
    </w:r>
    <w:r>
      <w:rPr>
        <w:rFonts w:ascii="宋体" w:hAnsi="宋体" w:eastAsia="宋体" w:cs="宋体"/>
        <w:szCs w:val="21"/>
      </w:rPr>
      <w:t>53</w:t>
    </w:r>
    <w:r>
      <w:rPr>
        <w:rFonts w:hint="eastAsia" w:ascii="宋体" w:hAnsi="宋体" w:eastAsia="宋体" w:cs="宋体"/>
        <w:szCs w:val="21"/>
      </w:rPr>
      <w:fldChar w:fldCharType="end"/>
    </w:r>
    <w:r>
      <w:rPr>
        <w:rFonts w:hint="eastAsia" w:ascii="宋体" w:hAnsi="宋体" w:eastAsia="宋体" w:cs="宋体"/>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single" w:color="auto" w:sz="4" w:space="1"/>
      </w:pBdr>
    </w:pPr>
    <w:r>
      <w:rPr>
        <w:rFonts w:hint="eastAsia" w:ascii="宋体" w:hAnsi="宋体" w:eastAsia="宋体"/>
        <w:snapToGrid/>
        <w:kern w:val="2"/>
      </w:rPr>
      <w:t>浙江鼎峰工程咨询有限公司</w:t>
    </w:r>
    <w:r>
      <w:rPr>
        <w:rFonts w:hint="eastAsia"/>
        <w:szCs w:val="21"/>
      </w:rPr>
      <w:t xml:space="preserve">                                                     </w:t>
    </w:r>
    <w:r>
      <w:rPr>
        <w:rFonts w:hint="eastAsia" w:ascii="宋体" w:hAnsi="宋体" w:eastAsia="宋体" w:cs="宋体"/>
        <w:szCs w:val="21"/>
      </w:rPr>
      <w:t xml:space="preserve"> 第 </w:t>
    </w:r>
    <w:r>
      <w:rPr>
        <w:rFonts w:hint="eastAsia" w:ascii="宋体" w:hAnsi="宋体" w:eastAsia="宋体" w:cs="宋体"/>
        <w:szCs w:val="21"/>
      </w:rPr>
      <w:fldChar w:fldCharType="begin"/>
    </w:r>
    <w:r>
      <w:rPr>
        <w:rFonts w:hint="eastAsia" w:ascii="宋体" w:hAnsi="宋体" w:eastAsia="宋体" w:cs="宋体"/>
        <w:szCs w:val="21"/>
      </w:rPr>
      <w:instrText xml:space="preserve"> PAGE </w:instrText>
    </w:r>
    <w:r>
      <w:rPr>
        <w:rFonts w:hint="eastAsia" w:ascii="宋体" w:hAnsi="宋体" w:eastAsia="宋体" w:cs="宋体"/>
        <w:szCs w:val="21"/>
      </w:rPr>
      <w:fldChar w:fldCharType="separate"/>
    </w:r>
    <w:r>
      <w:rPr>
        <w:rFonts w:ascii="宋体" w:hAnsi="宋体" w:eastAsia="宋体" w:cs="宋体"/>
        <w:szCs w:val="21"/>
      </w:rPr>
      <w:t>50</w:t>
    </w:r>
    <w:r>
      <w:rPr>
        <w:rFonts w:hint="eastAsia" w:ascii="宋体" w:hAnsi="宋体" w:eastAsia="宋体" w:cs="宋体"/>
        <w:szCs w:val="21"/>
      </w:rPr>
      <w:fldChar w:fldCharType="end"/>
    </w:r>
    <w:r>
      <w:rPr>
        <w:rFonts w:hint="eastAsia" w:ascii="宋体" w:hAnsi="宋体" w:eastAsia="宋体" w:cs="宋体"/>
        <w:szCs w:val="21"/>
      </w:rPr>
      <w:t xml:space="preserve"> 页 共 </w:t>
    </w:r>
    <w:r>
      <w:rPr>
        <w:rFonts w:hint="eastAsia" w:ascii="宋体" w:hAnsi="宋体" w:eastAsia="宋体" w:cs="宋体"/>
        <w:szCs w:val="21"/>
      </w:rPr>
      <w:fldChar w:fldCharType="begin"/>
    </w:r>
    <w:r>
      <w:rPr>
        <w:rFonts w:hint="eastAsia" w:ascii="宋体" w:hAnsi="宋体" w:eastAsia="宋体" w:cs="宋体"/>
        <w:szCs w:val="21"/>
      </w:rPr>
      <w:instrText xml:space="preserve"> NUMPAGES </w:instrText>
    </w:r>
    <w:r>
      <w:rPr>
        <w:rFonts w:hint="eastAsia" w:ascii="宋体" w:hAnsi="宋体" w:eastAsia="宋体" w:cs="宋体"/>
        <w:szCs w:val="21"/>
      </w:rPr>
      <w:fldChar w:fldCharType="separate"/>
    </w:r>
    <w:r>
      <w:rPr>
        <w:rFonts w:ascii="宋体" w:hAnsi="宋体" w:eastAsia="宋体" w:cs="宋体"/>
        <w:szCs w:val="21"/>
      </w:rPr>
      <w:t>53</w:t>
    </w:r>
    <w:r>
      <w:rPr>
        <w:rFonts w:hint="eastAsia" w:ascii="宋体" w:hAnsi="宋体" w:eastAsia="宋体" w:cs="宋体"/>
        <w:szCs w:val="21"/>
      </w:rPr>
      <w:fldChar w:fldCharType="end"/>
    </w:r>
    <w:r>
      <w:rPr>
        <w:rFonts w:hint="eastAsia" w:ascii="宋体" w:hAnsi="宋体" w:eastAsia="宋体" w:cs="宋体"/>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4AE7A"/>
    <w:multiLevelType w:val="singleLevel"/>
    <w:tmpl w:val="91D4AE7A"/>
    <w:lvl w:ilvl="0" w:tentative="0">
      <w:start w:val="2"/>
      <w:numFmt w:val="chineseCounting"/>
      <w:suff w:val="nothing"/>
      <w:lvlText w:val="%1、"/>
      <w:lvlJc w:val="left"/>
      <w:rPr>
        <w:rFonts w:hint="eastAsia"/>
      </w:rPr>
    </w:lvl>
  </w:abstractNum>
  <w:abstractNum w:abstractNumId="1">
    <w:nsid w:val="9367F5B1"/>
    <w:multiLevelType w:val="singleLevel"/>
    <w:tmpl w:val="9367F5B1"/>
    <w:lvl w:ilvl="0" w:tentative="0">
      <w:start w:val="1"/>
      <w:numFmt w:val="chineseCounting"/>
      <w:suff w:val="nothing"/>
      <w:lvlText w:val="%1、"/>
      <w:lvlJc w:val="left"/>
      <w:rPr>
        <w:rFonts w:hint="eastAsia"/>
      </w:rPr>
    </w:lvl>
  </w:abstractNum>
  <w:abstractNum w:abstractNumId="2">
    <w:nsid w:val="A12CD9D6"/>
    <w:multiLevelType w:val="singleLevel"/>
    <w:tmpl w:val="A12CD9D6"/>
    <w:lvl w:ilvl="0" w:tentative="0">
      <w:start w:val="6"/>
      <w:numFmt w:val="chineseCounting"/>
      <w:suff w:val="space"/>
      <w:lvlText w:val="第%1章"/>
      <w:lvlJc w:val="left"/>
      <w:rPr>
        <w:rFonts w:hint="eastAsia"/>
      </w:rPr>
    </w:lvl>
  </w:abstractNum>
  <w:abstractNum w:abstractNumId="3">
    <w:nsid w:val="36272C7A"/>
    <w:multiLevelType w:val="multilevel"/>
    <w:tmpl w:val="36272C7A"/>
    <w:lvl w:ilvl="0" w:tentative="0">
      <w:start w:val="1"/>
      <w:numFmt w:val="koreanDigital2"/>
      <w:suff w:val="space"/>
      <w:lvlText w:val="%1、"/>
      <w:lvlJc w:val="left"/>
      <w:pPr>
        <w:ind w:left="0" w:firstLine="0"/>
      </w:pPr>
      <w:rPr>
        <w:rFonts w:hint="eastAsia"/>
      </w:rPr>
    </w:lvl>
    <w:lvl w:ilvl="1" w:tentative="0">
      <w:start w:val="1"/>
      <w:numFmt w:val="koreanDigital2"/>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EnclosedCircle"/>
      <w:suff w:val="space"/>
      <w:lvlText w:val="%4."/>
      <w:lvlJc w:val="left"/>
      <w:pPr>
        <w:ind w:left="0" w:firstLine="0"/>
      </w:pPr>
      <w:rPr>
        <w:rFonts w:hint="eastAsia"/>
      </w:rPr>
    </w:lvl>
    <w:lvl w:ilvl="4" w:tentative="0">
      <w:start w:val="1"/>
      <w:numFmt w:val="decimal"/>
      <w:suff w:val="nothing"/>
      <w:lvlText w:val="%5、"/>
      <w:lvlJc w:val="left"/>
      <w:pPr>
        <w:ind w:left="0" w:firstLine="238"/>
      </w:pPr>
      <w:rPr>
        <w:rFonts w:hint="eastAsia"/>
      </w:rPr>
    </w:lvl>
    <w:lvl w:ilvl="5" w:tentative="0">
      <w:start w:val="1"/>
      <w:numFmt w:val="upperLetter"/>
      <w:suff w:val="space"/>
      <w:lvlText w:val="%6."/>
      <w:lvlJc w:val="left"/>
      <w:pPr>
        <w:ind w:left="0" w:firstLine="482"/>
      </w:pPr>
      <w:rPr>
        <w:rFonts w:hint="eastAsia"/>
      </w:rPr>
    </w:lvl>
    <w:lvl w:ilvl="6" w:tentative="0">
      <w:start w:val="1"/>
      <w:numFmt w:val="lowerLetter"/>
      <w:suff w:val="space"/>
      <w:lvlText w:val="%7."/>
      <w:lvlJc w:val="left"/>
      <w:pPr>
        <w:ind w:left="0" w:firstLine="482"/>
      </w:pPr>
      <w:rPr>
        <w:rFonts w:hint="eastAsia"/>
      </w:rPr>
    </w:lvl>
    <w:lvl w:ilvl="7" w:tentative="0">
      <w:start w:val="1"/>
      <w:numFmt w:val="decimal"/>
      <w:pStyle w:val="145"/>
      <w:lvlText w:val="%8."/>
      <w:lvlJc w:val="left"/>
      <w:pPr>
        <w:tabs>
          <w:tab w:val="left" w:pos="482"/>
        </w:tabs>
        <w:ind w:left="0" w:firstLine="482"/>
      </w:pPr>
      <w:rPr>
        <w:rFonts w:hint="eastAsia"/>
      </w:rPr>
    </w:lvl>
    <w:lvl w:ilvl="8" w:tentative="0">
      <w:start w:val="1"/>
      <w:numFmt w:val="decimal"/>
      <w:lvlText w:val="%1.%2.%3.%4.%5.%6.%7.%8.%9"/>
      <w:lvlJc w:val="left"/>
      <w:pPr>
        <w:ind w:left="0" w:firstLine="0"/>
      </w:pPr>
      <w:rPr>
        <w:rFonts w:hint="eastAsia"/>
      </w:rPr>
    </w:lvl>
  </w:abstractNum>
  <w:abstractNum w:abstractNumId="4">
    <w:nsid w:val="4651837B"/>
    <w:multiLevelType w:val="singleLevel"/>
    <w:tmpl w:val="4651837B"/>
    <w:lvl w:ilvl="0" w:tentative="0">
      <w:start w:val="2"/>
      <w:numFmt w:val="decimal"/>
      <w:suff w:val="nothing"/>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995"/>
        </w:tabs>
        <w:ind w:left="1995" w:hanging="1275"/>
      </w:pPr>
      <w:rPr>
        <w:rFonts w:hint="eastAsia"/>
      </w:rPr>
    </w:lvl>
    <w:lvl w:ilvl="1" w:tentative="0">
      <w:start w:val="1"/>
      <w:numFmt w:val="japaneseCounting"/>
      <w:lvlText w:val="%2、"/>
      <w:lvlJc w:val="left"/>
      <w:pPr>
        <w:tabs>
          <w:tab w:val="left" w:pos="1860"/>
        </w:tabs>
        <w:ind w:left="1860" w:hanging="720"/>
      </w:pPr>
      <w:rPr>
        <w:rFonts w:hint="eastAsia"/>
      </w:rPr>
    </w:lvl>
    <w:lvl w:ilvl="2" w:tentative="0">
      <w:start w:val="1"/>
      <w:numFmt w:val="lowerRoman"/>
      <w:pStyle w:val="155"/>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ZjZmODk4MWI2MWIwM2JlYmY1Nzk3NTY2ZTBhMjUifQ=="/>
  </w:docVars>
  <w:rsids>
    <w:rsidRoot w:val="00172A27"/>
    <w:rsid w:val="0000026E"/>
    <w:rsid w:val="00002901"/>
    <w:rsid w:val="00004BE9"/>
    <w:rsid w:val="00005689"/>
    <w:rsid w:val="00005F2C"/>
    <w:rsid w:val="0000628F"/>
    <w:rsid w:val="000078F3"/>
    <w:rsid w:val="000105B1"/>
    <w:rsid w:val="00012E28"/>
    <w:rsid w:val="000131BB"/>
    <w:rsid w:val="000165E2"/>
    <w:rsid w:val="000169E9"/>
    <w:rsid w:val="00016E9F"/>
    <w:rsid w:val="00017572"/>
    <w:rsid w:val="00017C74"/>
    <w:rsid w:val="000218B1"/>
    <w:rsid w:val="00021E17"/>
    <w:rsid w:val="00022D8A"/>
    <w:rsid w:val="00023144"/>
    <w:rsid w:val="00024A1D"/>
    <w:rsid w:val="000254DF"/>
    <w:rsid w:val="00025EC4"/>
    <w:rsid w:val="00030222"/>
    <w:rsid w:val="0003075A"/>
    <w:rsid w:val="00031EB4"/>
    <w:rsid w:val="00032423"/>
    <w:rsid w:val="00033C2A"/>
    <w:rsid w:val="00035A9E"/>
    <w:rsid w:val="0003693D"/>
    <w:rsid w:val="000375AC"/>
    <w:rsid w:val="00041671"/>
    <w:rsid w:val="0004213C"/>
    <w:rsid w:val="000427F9"/>
    <w:rsid w:val="00046E89"/>
    <w:rsid w:val="00047916"/>
    <w:rsid w:val="00051729"/>
    <w:rsid w:val="0005599A"/>
    <w:rsid w:val="00055BCF"/>
    <w:rsid w:val="00055F1D"/>
    <w:rsid w:val="000572F0"/>
    <w:rsid w:val="0005756F"/>
    <w:rsid w:val="0005793A"/>
    <w:rsid w:val="00061B3B"/>
    <w:rsid w:val="00061F29"/>
    <w:rsid w:val="00062A58"/>
    <w:rsid w:val="000648B8"/>
    <w:rsid w:val="00064B57"/>
    <w:rsid w:val="0006586E"/>
    <w:rsid w:val="0006791B"/>
    <w:rsid w:val="00067FB0"/>
    <w:rsid w:val="000713D6"/>
    <w:rsid w:val="000733F3"/>
    <w:rsid w:val="00075DF4"/>
    <w:rsid w:val="0007771C"/>
    <w:rsid w:val="00077BF7"/>
    <w:rsid w:val="000809DF"/>
    <w:rsid w:val="00083C30"/>
    <w:rsid w:val="000840B3"/>
    <w:rsid w:val="0008616F"/>
    <w:rsid w:val="000864D0"/>
    <w:rsid w:val="0008712A"/>
    <w:rsid w:val="00087503"/>
    <w:rsid w:val="0009216D"/>
    <w:rsid w:val="00094B9C"/>
    <w:rsid w:val="00094FE7"/>
    <w:rsid w:val="00095AB9"/>
    <w:rsid w:val="00095B3A"/>
    <w:rsid w:val="00096E0A"/>
    <w:rsid w:val="000A078E"/>
    <w:rsid w:val="000A1717"/>
    <w:rsid w:val="000A39FD"/>
    <w:rsid w:val="000A6268"/>
    <w:rsid w:val="000A656E"/>
    <w:rsid w:val="000A7CA5"/>
    <w:rsid w:val="000B014F"/>
    <w:rsid w:val="000B0E00"/>
    <w:rsid w:val="000B1405"/>
    <w:rsid w:val="000B3F16"/>
    <w:rsid w:val="000B5CE6"/>
    <w:rsid w:val="000B6651"/>
    <w:rsid w:val="000B7B11"/>
    <w:rsid w:val="000C1AFF"/>
    <w:rsid w:val="000C3793"/>
    <w:rsid w:val="000C3EDC"/>
    <w:rsid w:val="000C4D12"/>
    <w:rsid w:val="000D08D4"/>
    <w:rsid w:val="000D0E1D"/>
    <w:rsid w:val="000D1341"/>
    <w:rsid w:val="000D14A7"/>
    <w:rsid w:val="000D16D1"/>
    <w:rsid w:val="000D17C0"/>
    <w:rsid w:val="000D2228"/>
    <w:rsid w:val="000D3A80"/>
    <w:rsid w:val="000D7BE0"/>
    <w:rsid w:val="000E0D93"/>
    <w:rsid w:val="000E0EE8"/>
    <w:rsid w:val="000E1BD9"/>
    <w:rsid w:val="000E3197"/>
    <w:rsid w:val="000E422F"/>
    <w:rsid w:val="000E4D56"/>
    <w:rsid w:val="000E6DB0"/>
    <w:rsid w:val="000F1CF4"/>
    <w:rsid w:val="000F1D66"/>
    <w:rsid w:val="000F2E9A"/>
    <w:rsid w:val="000F6898"/>
    <w:rsid w:val="00100D6C"/>
    <w:rsid w:val="00100E87"/>
    <w:rsid w:val="00101BB2"/>
    <w:rsid w:val="001034A7"/>
    <w:rsid w:val="001060C2"/>
    <w:rsid w:val="00107071"/>
    <w:rsid w:val="00110130"/>
    <w:rsid w:val="00111104"/>
    <w:rsid w:val="00111D8F"/>
    <w:rsid w:val="00111E1B"/>
    <w:rsid w:val="001122CB"/>
    <w:rsid w:val="00114227"/>
    <w:rsid w:val="00117098"/>
    <w:rsid w:val="001214E7"/>
    <w:rsid w:val="00121A2D"/>
    <w:rsid w:val="00122E67"/>
    <w:rsid w:val="00123B0A"/>
    <w:rsid w:val="0012483C"/>
    <w:rsid w:val="001271F9"/>
    <w:rsid w:val="0013027D"/>
    <w:rsid w:val="00130CBC"/>
    <w:rsid w:val="00131D77"/>
    <w:rsid w:val="001328EF"/>
    <w:rsid w:val="0013569E"/>
    <w:rsid w:val="001357D1"/>
    <w:rsid w:val="00136060"/>
    <w:rsid w:val="00137A57"/>
    <w:rsid w:val="0014115A"/>
    <w:rsid w:val="00141C32"/>
    <w:rsid w:val="00143432"/>
    <w:rsid w:val="00145AB3"/>
    <w:rsid w:val="00146E79"/>
    <w:rsid w:val="00151893"/>
    <w:rsid w:val="00151C22"/>
    <w:rsid w:val="001520D0"/>
    <w:rsid w:val="00152BA7"/>
    <w:rsid w:val="00152EC2"/>
    <w:rsid w:val="0015477D"/>
    <w:rsid w:val="00155194"/>
    <w:rsid w:val="001560E6"/>
    <w:rsid w:val="00156A4E"/>
    <w:rsid w:val="0016073F"/>
    <w:rsid w:val="001607F5"/>
    <w:rsid w:val="00161350"/>
    <w:rsid w:val="001617D1"/>
    <w:rsid w:val="00164CF1"/>
    <w:rsid w:val="00165754"/>
    <w:rsid w:val="00165987"/>
    <w:rsid w:val="001662D6"/>
    <w:rsid w:val="00167CB3"/>
    <w:rsid w:val="00171FC9"/>
    <w:rsid w:val="00172A27"/>
    <w:rsid w:val="00172C20"/>
    <w:rsid w:val="001732EF"/>
    <w:rsid w:val="001747FE"/>
    <w:rsid w:val="00175B1A"/>
    <w:rsid w:val="00183F6A"/>
    <w:rsid w:val="001847A5"/>
    <w:rsid w:val="001851CB"/>
    <w:rsid w:val="0018658B"/>
    <w:rsid w:val="00186A6E"/>
    <w:rsid w:val="00187AA8"/>
    <w:rsid w:val="001900DF"/>
    <w:rsid w:val="00193B09"/>
    <w:rsid w:val="001941D4"/>
    <w:rsid w:val="001945E7"/>
    <w:rsid w:val="00194FFE"/>
    <w:rsid w:val="00195613"/>
    <w:rsid w:val="00195A42"/>
    <w:rsid w:val="00195BE3"/>
    <w:rsid w:val="00196442"/>
    <w:rsid w:val="001965BA"/>
    <w:rsid w:val="00197FDC"/>
    <w:rsid w:val="001A0E00"/>
    <w:rsid w:val="001A0F0E"/>
    <w:rsid w:val="001A0FA6"/>
    <w:rsid w:val="001A2B82"/>
    <w:rsid w:val="001A3DC1"/>
    <w:rsid w:val="001A4285"/>
    <w:rsid w:val="001A4A2B"/>
    <w:rsid w:val="001A7BE9"/>
    <w:rsid w:val="001A7E70"/>
    <w:rsid w:val="001B013B"/>
    <w:rsid w:val="001B01C2"/>
    <w:rsid w:val="001B11A9"/>
    <w:rsid w:val="001B1435"/>
    <w:rsid w:val="001B14DE"/>
    <w:rsid w:val="001B18CD"/>
    <w:rsid w:val="001B5FFF"/>
    <w:rsid w:val="001B606B"/>
    <w:rsid w:val="001B60A9"/>
    <w:rsid w:val="001B7657"/>
    <w:rsid w:val="001C0F06"/>
    <w:rsid w:val="001C1020"/>
    <w:rsid w:val="001C3826"/>
    <w:rsid w:val="001C39CA"/>
    <w:rsid w:val="001C4239"/>
    <w:rsid w:val="001C4C64"/>
    <w:rsid w:val="001D0105"/>
    <w:rsid w:val="001D202B"/>
    <w:rsid w:val="001D3883"/>
    <w:rsid w:val="001D65D0"/>
    <w:rsid w:val="001D7206"/>
    <w:rsid w:val="001D7A8A"/>
    <w:rsid w:val="001D7C9E"/>
    <w:rsid w:val="001E1BB8"/>
    <w:rsid w:val="001E5B80"/>
    <w:rsid w:val="001E6054"/>
    <w:rsid w:val="001E71F4"/>
    <w:rsid w:val="001E7385"/>
    <w:rsid w:val="001E7509"/>
    <w:rsid w:val="001F4349"/>
    <w:rsid w:val="001F4F64"/>
    <w:rsid w:val="001F57D2"/>
    <w:rsid w:val="001F7CB2"/>
    <w:rsid w:val="00201F2E"/>
    <w:rsid w:val="00202D13"/>
    <w:rsid w:val="00203D5C"/>
    <w:rsid w:val="00205393"/>
    <w:rsid w:val="00205E03"/>
    <w:rsid w:val="00212372"/>
    <w:rsid w:val="00212E37"/>
    <w:rsid w:val="00213CCB"/>
    <w:rsid w:val="0021772B"/>
    <w:rsid w:val="00217AA9"/>
    <w:rsid w:val="00222D4D"/>
    <w:rsid w:val="002232EE"/>
    <w:rsid w:val="00226732"/>
    <w:rsid w:val="0022690C"/>
    <w:rsid w:val="00227220"/>
    <w:rsid w:val="00227612"/>
    <w:rsid w:val="00230A21"/>
    <w:rsid w:val="002310EA"/>
    <w:rsid w:val="00233CD6"/>
    <w:rsid w:val="00234829"/>
    <w:rsid w:val="002352DC"/>
    <w:rsid w:val="00236389"/>
    <w:rsid w:val="0023695F"/>
    <w:rsid w:val="00236DCD"/>
    <w:rsid w:val="00241630"/>
    <w:rsid w:val="00241CE0"/>
    <w:rsid w:val="00242782"/>
    <w:rsid w:val="00242B9E"/>
    <w:rsid w:val="00243FF7"/>
    <w:rsid w:val="00244404"/>
    <w:rsid w:val="002448DA"/>
    <w:rsid w:val="00247542"/>
    <w:rsid w:val="0025050A"/>
    <w:rsid w:val="002530E8"/>
    <w:rsid w:val="00254C53"/>
    <w:rsid w:val="0025523B"/>
    <w:rsid w:val="002575F5"/>
    <w:rsid w:val="002627B7"/>
    <w:rsid w:val="00271B61"/>
    <w:rsid w:val="00272AF1"/>
    <w:rsid w:val="00272C5A"/>
    <w:rsid w:val="002750A2"/>
    <w:rsid w:val="00275402"/>
    <w:rsid w:val="0027660A"/>
    <w:rsid w:val="00277834"/>
    <w:rsid w:val="0028209B"/>
    <w:rsid w:val="0028494B"/>
    <w:rsid w:val="00286E74"/>
    <w:rsid w:val="002901BC"/>
    <w:rsid w:val="00291FBC"/>
    <w:rsid w:val="00294FE6"/>
    <w:rsid w:val="0029595F"/>
    <w:rsid w:val="00295D70"/>
    <w:rsid w:val="002A0891"/>
    <w:rsid w:val="002A0DB7"/>
    <w:rsid w:val="002A14D8"/>
    <w:rsid w:val="002A1B21"/>
    <w:rsid w:val="002A22E1"/>
    <w:rsid w:val="002A46D7"/>
    <w:rsid w:val="002A5B44"/>
    <w:rsid w:val="002B1CD7"/>
    <w:rsid w:val="002B2708"/>
    <w:rsid w:val="002B2E2A"/>
    <w:rsid w:val="002B39F7"/>
    <w:rsid w:val="002B3F11"/>
    <w:rsid w:val="002B5361"/>
    <w:rsid w:val="002B5B7B"/>
    <w:rsid w:val="002B7B1D"/>
    <w:rsid w:val="002B7CAD"/>
    <w:rsid w:val="002C02DF"/>
    <w:rsid w:val="002C0A52"/>
    <w:rsid w:val="002C2C97"/>
    <w:rsid w:val="002C3D71"/>
    <w:rsid w:val="002C4473"/>
    <w:rsid w:val="002C6959"/>
    <w:rsid w:val="002D1499"/>
    <w:rsid w:val="002D165C"/>
    <w:rsid w:val="002D1CD7"/>
    <w:rsid w:val="002D1D24"/>
    <w:rsid w:val="002D4126"/>
    <w:rsid w:val="002D4E9C"/>
    <w:rsid w:val="002D5047"/>
    <w:rsid w:val="002D66DB"/>
    <w:rsid w:val="002D72DE"/>
    <w:rsid w:val="002E130E"/>
    <w:rsid w:val="002E1DF8"/>
    <w:rsid w:val="002E2776"/>
    <w:rsid w:val="002E501A"/>
    <w:rsid w:val="002E5D10"/>
    <w:rsid w:val="002E7DEB"/>
    <w:rsid w:val="002F0009"/>
    <w:rsid w:val="002F0BC2"/>
    <w:rsid w:val="002F5552"/>
    <w:rsid w:val="002F6D22"/>
    <w:rsid w:val="002F7B5F"/>
    <w:rsid w:val="0030049B"/>
    <w:rsid w:val="00300DDE"/>
    <w:rsid w:val="003012EC"/>
    <w:rsid w:val="00301920"/>
    <w:rsid w:val="00301FC5"/>
    <w:rsid w:val="00305065"/>
    <w:rsid w:val="00305719"/>
    <w:rsid w:val="003068ED"/>
    <w:rsid w:val="00310D7B"/>
    <w:rsid w:val="00311486"/>
    <w:rsid w:val="00311B5E"/>
    <w:rsid w:val="00311E05"/>
    <w:rsid w:val="0031249E"/>
    <w:rsid w:val="0031314E"/>
    <w:rsid w:val="00313425"/>
    <w:rsid w:val="00313B0A"/>
    <w:rsid w:val="0031568E"/>
    <w:rsid w:val="00317329"/>
    <w:rsid w:val="00322CAB"/>
    <w:rsid w:val="00324515"/>
    <w:rsid w:val="00326BC7"/>
    <w:rsid w:val="003322F5"/>
    <w:rsid w:val="00332E25"/>
    <w:rsid w:val="00333602"/>
    <w:rsid w:val="0033429B"/>
    <w:rsid w:val="00334723"/>
    <w:rsid w:val="00334D81"/>
    <w:rsid w:val="00334E9C"/>
    <w:rsid w:val="00340367"/>
    <w:rsid w:val="00340938"/>
    <w:rsid w:val="00340A8E"/>
    <w:rsid w:val="00340DD4"/>
    <w:rsid w:val="00341E89"/>
    <w:rsid w:val="003431E2"/>
    <w:rsid w:val="00344852"/>
    <w:rsid w:val="003452EF"/>
    <w:rsid w:val="00345466"/>
    <w:rsid w:val="00345C9B"/>
    <w:rsid w:val="00346032"/>
    <w:rsid w:val="003463F4"/>
    <w:rsid w:val="00346828"/>
    <w:rsid w:val="003479E0"/>
    <w:rsid w:val="0035043E"/>
    <w:rsid w:val="00352505"/>
    <w:rsid w:val="00353472"/>
    <w:rsid w:val="003546B4"/>
    <w:rsid w:val="00355DD6"/>
    <w:rsid w:val="00360999"/>
    <w:rsid w:val="003633B7"/>
    <w:rsid w:val="00363740"/>
    <w:rsid w:val="00363D2C"/>
    <w:rsid w:val="00364114"/>
    <w:rsid w:val="00370B87"/>
    <w:rsid w:val="00371179"/>
    <w:rsid w:val="00372200"/>
    <w:rsid w:val="00372466"/>
    <w:rsid w:val="003725EB"/>
    <w:rsid w:val="00373614"/>
    <w:rsid w:val="00373B97"/>
    <w:rsid w:val="00376AE1"/>
    <w:rsid w:val="00381643"/>
    <w:rsid w:val="003847EB"/>
    <w:rsid w:val="003859AC"/>
    <w:rsid w:val="003903A2"/>
    <w:rsid w:val="00391D1A"/>
    <w:rsid w:val="003966F1"/>
    <w:rsid w:val="003A1A02"/>
    <w:rsid w:val="003A20B2"/>
    <w:rsid w:val="003A22BC"/>
    <w:rsid w:val="003A24FE"/>
    <w:rsid w:val="003A2735"/>
    <w:rsid w:val="003A34B8"/>
    <w:rsid w:val="003A3D1E"/>
    <w:rsid w:val="003A3F57"/>
    <w:rsid w:val="003A5D2E"/>
    <w:rsid w:val="003B08B3"/>
    <w:rsid w:val="003B3483"/>
    <w:rsid w:val="003B44EA"/>
    <w:rsid w:val="003B45F1"/>
    <w:rsid w:val="003B4B7D"/>
    <w:rsid w:val="003B7CB8"/>
    <w:rsid w:val="003C1E2B"/>
    <w:rsid w:val="003C221D"/>
    <w:rsid w:val="003C3B77"/>
    <w:rsid w:val="003C4978"/>
    <w:rsid w:val="003C6010"/>
    <w:rsid w:val="003C671B"/>
    <w:rsid w:val="003C698E"/>
    <w:rsid w:val="003C7C71"/>
    <w:rsid w:val="003D0A56"/>
    <w:rsid w:val="003D1817"/>
    <w:rsid w:val="003D1D4D"/>
    <w:rsid w:val="003D21CC"/>
    <w:rsid w:val="003D4B84"/>
    <w:rsid w:val="003D582F"/>
    <w:rsid w:val="003D712B"/>
    <w:rsid w:val="003E1BC5"/>
    <w:rsid w:val="003E30BA"/>
    <w:rsid w:val="003E322D"/>
    <w:rsid w:val="003E430C"/>
    <w:rsid w:val="003E64D9"/>
    <w:rsid w:val="003F0198"/>
    <w:rsid w:val="003F061A"/>
    <w:rsid w:val="003F0DDB"/>
    <w:rsid w:val="003F0DE7"/>
    <w:rsid w:val="003F10DC"/>
    <w:rsid w:val="003F14FF"/>
    <w:rsid w:val="003F269C"/>
    <w:rsid w:val="003F2C9B"/>
    <w:rsid w:val="003F2E18"/>
    <w:rsid w:val="003F4650"/>
    <w:rsid w:val="003F6136"/>
    <w:rsid w:val="003F655B"/>
    <w:rsid w:val="003F68B8"/>
    <w:rsid w:val="0040087F"/>
    <w:rsid w:val="00403FB9"/>
    <w:rsid w:val="00404E12"/>
    <w:rsid w:val="0040777F"/>
    <w:rsid w:val="00410E89"/>
    <w:rsid w:val="00410ED2"/>
    <w:rsid w:val="004119FF"/>
    <w:rsid w:val="0041382F"/>
    <w:rsid w:val="00414CDD"/>
    <w:rsid w:val="00416319"/>
    <w:rsid w:val="0041671A"/>
    <w:rsid w:val="00417562"/>
    <w:rsid w:val="00417EE8"/>
    <w:rsid w:val="00420C16"/>
    <w:rsid w:val="00422B79"/>
    <w:rsid w:val="00427065"/>
    <w:rsid w:val="00430184"/>
    <w:rsid w:val="00432320"/>
    <w:rsid w:val="00432C97"/>
    <w:rsid w:val="00441850"/>
    <w:rsid w:val="00441F86"/>
    <w:rsid w:val="00442040"/>
    <w:rsid w:val="0044365D"/>
    <w:rsid w:val="00444592"/>
    <w:rsid w:val="00444D30"/>
    <w:rsid w:val="00444FED"/>
    <w:rsid w:val="0044536E"/>
    <w:rsid w:val="0044543D"/>
    <w:rsid w:val="00451F3A"/>
    <w:rsid w:val="0045216A"/>
    <w:rsid w:val="00454F7A"/>
    <w:rsid w:val="0045671D"/>
    <w:rsid w:val="004606D0"/>
    <w:rsid w:val="00461D2C"/>
    <w:rsid w:val="0046445A"/>
    <w:rsid w:val="00464AAB"/>
    <w:rsid w:val="004653B4"/>
    <w:rsid w:val="00465F5D"/>
    <w:rsid w:val="00467EC2"/>
    <w:rsid w:val="00471C76"/>
    <w:rsid w:val="004722F7"/>
    <w:rsid w:val="004728BD"/>
    <w:rsid w:val="00474A69"/>
    <w:rsid w:val="00476AA9"/>
    <w:rsid w:val="004774C3"/>
    <w:rsid w:val="00480FF5"/>
    <w:rsid w:val="0048114C"/>
    <w:rsid w:val="00481A5E"/>
    <w:rsid w:val="00482E5A"/>
    <w:rsid w:val="00483DF4"/>
    <w:rsid w:val="00484518"/>
    <w:rsid w:val="0048531D"/>
    <w:rsid w:val="00485DDB"/>
    <w:rsid w:val="00490D4F"/>
    <w:rsid w:val="004912D4"/>
    <w:rsid w:val="004932E0"/>
    <w:rsid w:val="004948C8"/>
    <w:rsid w:val="00495598"/>
    <w:rsid w:val="004957BB"/>
    <w:rsid w:val="00496F1C"/>
    <w:rsid w:val="004A06BF"/>
    <w:rsid w:val="004A0856"/>
    <w:rsid w:val="004A1542"/>
    <w:rsid w:val="004A1C1B"/>
    <w:rsid w:val="004A348F"/>
    <w:rsid w:val="004A3830"/>
    <w:rsid w:val="004A3A22"/>
    <w:rsid w:val="004A7667"/>
    <w:rsid w:val="004A773B"/>
    <w:rsid w:val="004A7A08"/>
    <w:rsid w:val="004B10E4"/>
    <w:rsid w:val="004B1207"/>
    <w:rsid w:val="004B19F4"/>
    <w:rsid w:val="004B52B6"/>
    <w:rsid w:val="004B538D"/>
    <w:rsid w:val="004B6525"/>
    <w:rsid w:val="004C0D18"/>
    <w:rsid w:val="004C1FB6"/>
    <w:rsid w:val="004C3FA6"/>
    <w:rsid w:val="004C50AC"/>
    <w:rsid w:val="004D0BD1"/>
    <w:rsid w:val="004D0F47"/>
    <w:rsid w:val="004D2C1D"/>
    <w:rsid w:val="004D31D7"/>
    <w:rsid w:val="004D5277"/>
    <w:rsid w:val="004D5E0F"/>
    <w:rsid w:val="004D62E5"/>
    <w:rsid w:val="004D69C2"/>
    <w:rsid w:val="004E05BA"/>
    <w:rsid w:val="004E2C09"/>
    <w:rsid w:val="004E40AB"/>
    <w:rsid w:val="004E45DC"/>
    <w:rsid w:val="004E4E07"/>
    <w:rsid w:val="004E51E8"/>
    <w:rsid w:val="004E6E2F"/>
    <w:rsid w:val="004E742E"/>
    <w:rsid w:val="004F1102"/>
    <w:rsid w:val="004F4447"/>
    <w:rsid w:val="004F46BB"/>
    <w:rsid w:val="004F485D"/>
    <w:rsid w:val="004F6589"/>
    <w:rsid w:val="004F6ACD"/>
    <w:rsid w:val="004F78AF"/>
    <w:rsid w:val="004F7EC5"/>
    <w:rsid w:val="005019F5"/>
    <w:rsid w:val="00501E37"/>
    <w:rsid w:val="00501E5A"/>
    <w:rsid w:val="00501FBC"/>
    <w:rsid w:val="005029D8"/>
    <w:rsid w:val="00504650"/>
    <w:rsid w:val="00504665"/>
    <w:rsid w:val="00504B25"/>
    <w:rsid w:val="005068D2"/>
    <w:rsid w:val="005071D1"/>
    <w:rsid w:val="00510ADB"/>
    <w:rsid w:val="00516690"/>
    <w:rsid w:val="0051711B"/>
    <w:rsid w:val="00517FC3"/>
    <w:rsid w:val="00525BE9"/>
    <w:rsid w:val="00527942"/>
    <w:rsid w:val="0053236E"/>
    <w:rsid w:val="0053332B"/>
    <w:rsid w:val="005336BA"/>
    <w:rsid w:val="00534AE3"/>
    <w:rsid w:val="005365EB"/>
    <w:rsid w:val="00536D01"/>
    <w:rsid w:val="005376FC"/>
    <w:rsid w:val="00541DC3"/>
    <w:rsid w:val="00544160"/>
    <w:rsid w:val="00544180"/>
    <w:rsid w:val="005466E6"/>
    <w:rsid w:val="00550629"/>
    <w:rsid w:val="0055087B"/>
    <w:rsid w:val="00552DD4"/>
    <w:rsid w:val="00554078"/>
    <w:rsid w:val="0055459F"/>
    <w:rsid w:val="00555139"/>
    <w:rsid w:val="00555B77"/>
    <w:rsid w:val="00556380"/>
    <w:rsid w:val="00556E21"/>
    <w:rsid w:val="005605BB"/>
    <w:rsid w:val="00563054"/>
    <w:rsid w:val="0056353A"/>
    <w:rsid w:val="0056443D"/>
    <w:rsid w:val="00565CB4"/>
    <w:rsid w:val="00565CE7"/>
    <w:rsid w:val="0056715C"/>
    <w:rsid w:val="0057011A"/>
    <w:rsid w:val="00570328"/>
    <w:rsid w:val="00570759"/>
    <w:rsid w:val="00571891"/>
    <w:rsid w:val="00572BE8"/>
    <w:rsid w:val="00575E79"/>
    <w:rsid w:val="00576ED8"/>
    <w:rsid w:val="005777DF"/>
    <w:rsid w:val="00580143"/>
    <w:rsid w:val="005829AD"/>
    <w:rsid w:val="00582D40"/>
    <w:rsid w:val="00583EF4"/>
    <w:rsid w:val="005846F6"/>
    <w:rsid w:val="00586B1F"/>
    <w:rsid w:val="00590F86"/>
    <w:rsid w:val="00592349"/>
    <w:rsid w:val="0059342D"/>
    <w:rsid w:val="005960BD"/>
    <w:rsid w:val="00597F86"/>
    <w:rsid w:val="005A1541"/>
    <w:rsid w:val="005A1A7D"/>
    <w:rsid w:val="005A35A1"/>
    <w:rsid w:val="005A386D"/>
    <w:rsid w:val="005A3F8C"/>
    <w:rsid w:val="005A4550"/>
    <w:rsid w:val="005A49B1"/>
    <w:rsid w:val="005B1601"/>
    <w:rsid w:val="005B3194"/>
    <w:rsid w:val="005B374D"/>
    <w:rsid w:val="005B4C88"/>
    <w:rsid w:val="005B513C"/>
    <w:rsid w:val="005C1901"/>
    <w:rsid w:val="005C40C3"/>
    <w:rsid w:val="005C4452"/>
    <w:rsid w:val="005C51F8"/>
    <w:rsid w:val="005C5EFF"/>
    <w:rsid w:val="005C634D"/>
    <w:rsid w:val="005C6363"/>
    <w:rsid w:val="005C6FB2"/>
    <w:rsid w:val="005C77C8"/>
    <w:rsid w:val="005D1110"/>
    <w:rsid w:val="005D788C"/>
    <w:rsid w:val="005E0740"/>
    <w:rsid w:val="005E1C32"/>
    <w:rsid w:val="005E36EC"/>
    <w:rsid w:val="005E3B21"/>
    <w:rsid w:val="005E4C81"/>
    <w:rsid w:val="005E5372"/>
    <w:rsid w:val="005E60C0"/>
    <w:rsid w:val="005E6113"/>
    <w:rsid w:val="005E6341"/>
    <w:rsid w:val="005E73D2"/>
    <w:rsid w:val="005F1087"/>
    <w:rsid w:val="005F119C"/>
    <w:rsid w:val="005F1271"/>
    <w:rsid w:val="005F1CE4"/>
    <w:rsid w:val="005F2E90"/>
    <w:rsid w:val="005F3C80"/>
    <w:rsid w:val="005F5458"/>
    <w:rsid w:val="005F601A"/>
    <w:rsid w:val="005F6AC0"/>
    <w:rsid w:val="00601E10"/>
    <w:rsid w:val="00602A1B"/>
    <w:rsid w:val="00604DA8"/>
    <w:rsid w:val="00605D4E"/>
    <w:rsid w:val="0060622A"/>
    <w:rsid w:val="00610F2D"/>
    <w:rsid w:val="00614397"/>
    <w:rsid w:val="00615A7C"/>
    <w:rsid w:val="0061639D"/>
    <w:rsid w:val="00617559"/>
    <w:rsid w:val="00620469"/>
    <w:rsid w:val="00621440"/>
    <w:rsid w:val="006254F8"/>
    <w:rsid w:val="00630D9F"/>
    <w:rsid w:val="006320C8"/>
    <w:rsid w:val="006335FD"/>
    <w:rsid w:val="006337D4"/>
    <w:rsid w:val="00634BED"/>
    <w:rsid w:val="00635F05"/>
    <w:rsid w:val="00641F2A"/>
    <w:rsid w:val="0064381D"/>
    <w:rsid w:val="00643AA1"/>
    <w:rsid w:val="00646B97"/>
    <w:rsid w:val="00655566"/>
    <w:rsid w:val="00656C7D"/>
    <w:rsid w:val="0065706A"/>
    <w:rsid w:val="00657160"/>
    <w:rsid w:val="0066270B"/>
    <w:rsid w:val="0066271B"/>
    <w:rsid w:val="0066695C"/>
    <w:rsid w:val="00667417"/>
    <w:rsid w:val="006745FD"/>
    <w:rsid w:val="006763E4"/>
    <w:rsid w:val="00676452"/>
    <w:rsid w:val="00676AB8"/>
    <w:rsid w:val="006776DC"/>
    <w:rsid w:val="00684EE0"/>
    <w:rsid w:val="006850B2"/>
    <w:rsid w:val="006859FE"/>
    <w:rsid w:val="00686566"/>
    <w:rsid w:val="006916C7"/>
    <w:rsid w:val="00691AC4"/>
    <w:rsid w:val="0069286A"/>
    <w:rsid w:val="006A1B8C"/>
    <w:rsid w:val="006A2B6B"/>
    <w:rsid w:val="006A78AE"/>
    <w:rsid w:val="006A7C3A"/>
    <w:rsid w:val="006B1776"/>
    <w:rsid w:val="006B2406"/>
    <w:rsid w:val="006B3BA3"/>
    <w:rsid w:val="006B3C21"/>
    <w:rsid w:val="006B7225"/>
    <w:rsid w:val="006B7BE9"/>
    <w:rsid w:val="006B7CC1"/>
    <w:rsid w:val="006C0192"/>
    <w:rsid w:val="006C26B4"/>
    <w:rsid w:val="006C359B"/>
    <w:rsid w:val="006D4CA4"/>
    <w:rsid w:val="006D58D6"/>
    <w:rsid w:val="006D5CC2"/>
    <w:rsid w:val="006D62F8"/>
    <w:rsid w:val="006D6631"/>
    <w:rsid w:val="006D6987"/>
    <w:rsid w:val="006D6AE6"/>
    <w:rsid w:val="006D6BA6"/>
    <w:rsid w:val="006D73A6"/>
    <w:rsid w:val="006E1739"/>
    <w:rsid w:val="006E18BB"/>
    <w:rsid w:val="006E27C6"/>
    <w:rsid w:val="006E2F2D"/>
    <w:rsid w:val="006E40E0"/>
    <w:rsid w:val="006E4FE4"/>
    <w:rsid w:val="006E5AE5"/>
    <w:rsid w:val="006E6CBD"/>
    <w:rsid w:val="006E6EE0"/>
    <w:rsid w:val="006E7010"/>
    <w:rsid w:val="006F0263"/>
    <w:rsid w:val="006F4D4E"/>
    <w:rsid w:val="006F5851"/>
    <w:rsid w:val="00700E12"/>
    <w:rsid w:val="00702797"/>
    <w:rsid w:val="0070473B"/>
    <w:rsid w:val="007055F8"/>
    <w:rsid w:val="00706347"/>
    <w:rsid w:val="00707081"/>
    <w:rsid w:val="00707E36"/>
    <w:rsid w:val="007106C6"/>
    <w:rsid w:val="0071165A"/>
    <w:rsid w:val="00712FD3"/>
    <w:rsid w:val="00714647"/>
    <w:rsid w:val="007158B4"/>
    <w:rsid w:val="007168C3"/>
    <w:rsid w:val="0071769B"/>
    <w:rsid w:val="00717741"/>
    <w:rsid w:val="00717763"/>
    <w:rsid w:val="00721098"/>
    <w:rsid w:val="007246AE"/>
    <w:rsid w:val="007246CC"/>
    <w:rsid w:val="00725FEE"/>
    <w:rsid w:val="00726C0B"/>
    <w:rsid w:val="00726CB1"/>
    <w:rsid w:val="007302B2"/>
    <w:rsid w:val="00731D90"/>
    <w:rsid w:val="00731EDF"/>
    <w:rsid w:val="00734133"/>
    <w:rsid w:val="007349D5"/>
    <w:rsid w:val="00734E7F"/>
    <w:rsid w:val="00735717"/>
    <w:rsid w:val="007361E8"/>
    <w:rsid w:val="00736547"/>
    <w:rsid w:val="007367B1"/>
    <w:rsid w:val="007406C3"/>
    <w:rsid w:val="0074394D"/>
    <w:rsid w:val="00745B8C"/>
    <w:rsid w:val="00745C46"/>
    <w:rsid w:val="0075160F"/>
    <w:rsid w:val="00752418"/>
    <w:rsid w:val="00756191"/>
    <w:rsid w:val="00756323"/>
    <w:rsid w:val="0075718A"/>
    <w:rsid w:val="00760738"/>
    <w:rsid w:val="007620BD"/>
    <w:rsid w:val="0076227A"/>
    <w:rsid w:val="00763C12"/>
    <w:rsid w:val="0076449A"/>
    <w:rsid w:val="007649CE"/>
    <w:rsid w:val="00765A82"/>
    <w:rsid w:val="007679FC"/>
    <w:rsid w:val="0077059F"/>
    <w:rsid w:val="00772CF3"/>
    <w:rsid w:val="00773385"/>
    <w:rsid w:val="007754E8"/>
    <w:rsid w:val="0077583E"/>
    <w:rsid w:val="007775F2"/>
    <w:rsid w:val="00780236"/>
    <w:rsid w:val="00780802"/>
    <w:rsid w:val="00780813"/>
    <w:rsid w:val="00780E57"/>
    <w:rsid w:val="00781018"/>
    <w:rsid w:val="00781EC3"/>
    <w:rsid w:val="007822A9"/>
    <w:rsid w:val="00782BDB"/>
    <w:rsid w:val="00785D5B"/>
    <w:rsid w:val="00787276"/>
    <w:rsid w:val="0079207F"/>
    <w:rsid w:val="007928CB"/>
    <w:rsid w:val="007962C8"/>
    <w:rsid w:val="007A0424"/>
    <w:rsid w:val="007A242D"/>
    <w:rsid w:val="007A3513"/>
    <w:rsid w:val="007A4164"/>
    <w:rsid w:val="007A4A87"/>
    <w:rsid w:val="007A721E"/>
    <w:rsid w:val="007B0389"/>
    <w:rsid w:val="007B0C87"/>
    <w:rsid w:val="007B1073"/>
    <w:rsid w:val="007B1997"/>
    <w:rsid w:val="007B2FA0"/>
    <w:rsid w:val="007B6466"/>
    <w:rsid w:val="007C0A6A"/>
    <w:rsid w:val="007C14A3"/>
    <w:rsid w:val="007C205F"/>
    <w:rsid w:val="007C3780"/>
    <w:rsid w:val="007C384F"/>
    <w:rsid w:val="007D072A"/>
    <w:rsid w:val="007D1410"/>
    <w:rsid w:val="007D35B2"/>
    <w:rsid w:val="007D3CC5"/>
    <w:rsid w:val="007D554F"/>
    <w:rsid w:val="007D628F"/>
    <w:rsid w:val="007D7CF2"/>
    <w:rsid w:val="007E3507"/>
    <w:rsid w:val="007E5B0C"/>
    <w:rsid w:val="007E6635"/>
    <w:rsid w:val="007F0F61"/>
    <w:rsid w:val="007F1F34"/>
    <w:rsid w:val="007F216D"/>
    <w:rsid w:val="007F6EAC"/>
    <w:rsid w:val="008027BB"/>
    <w:rsid w:val="00803075"/>
    <w:rsid w:val="0080396B"/>
    <w:rsid w:val="00804BED"/>
    <w:rsid w:val="008051EC"/>
    <w:rsid w:val="008125A3"/>
    <w:rsid w:val="00812D20"/>
    <w:rsid w:val="008133F5"/>
    <w:rsid w:val="00813B7D"/>
    <w:rsid w:val="0081487C"/>
    <w:rsid w:val="008159C2"/>
    <w:rsid w:val="00817D23"/>
    <w:rsid w:val="008214DA"/>
    <w:rsid w:val="008219B8"/>
    <w:rsid w:val="0082514A"/>
    <w:rsid w:val="00825415"/>
    <w:rsid w:val="00825AA1"/>
    <w:rsid w:val="0082745F"/>
    <w:rsid w:val="00827C4D"/>
    <w:rsid w:val="00831D11"/>
    <w:rsid w:val="00832814"/>
    <w:rsid w:val="008342A9"/>
    <w:rsid w:val="00835A67"/>
    <w:rsid w:val="008426D8"/>
    <w:rsid w:val="008463F2"/>
    <w:rsid w:val="00850B37"/>
    <w:rsid w:val="00850C0E"/>
    <w:rsid w:val="00850D3B"/>
    <w:rsid w:val="008560CB"/>
    <w:rsid w:val="00856622"/>
    <w:rsid w:val="00856B50"/>
    <w:rsid w:val="00857AC7"/>
    <w:rsid w:val="00861FB0"/>
    <w:rsid w:val="008621F9"/>
    <w:rsid w:val="00863D75"/>
    <w:rsid w:val="00866816"/>
    <w:rsid w:val="00867C6D"/>
    <w:rsid w:val="008727C7"/>
    <w:rsid w:val="00872BC5"/>
    <w:rsid w:val="008733A6"/>
    <w:rsid w:val="00873434"/>
    <w:rsid w:val="00876D82"/>
    <w:rsid w:val="00880017"/>
    <w:rsid w:val="0088044D"/>
    <w:rsid w:val="00880B48"/>
    <w:rsid w:val="00881243"/>
    <w:rsid w:val="00881ECC"/>
    <w:rsid w:val="00882AFB"/>
    <w:rsid w:val="00882DA1"/>
    <w:rsid w:val="00883032"/>
    <w:rsid w:val="00883A36"/>
    <w:rsid w:val="00884003"/>
    <w:rsid w:val="00884634"/>
    <w:rsid w:val="00885FE2"/>
    <w:rsid w:val="0088697E"/>
    <w:rsid w:val="0088709E"/>
    <w:rsid w:val="00887365"/>
    <w:rsid w:val="00890066"/>
    <w:rsid w:val="00890B99"/>
    <w:rsid w:val="00890CE6"/>
    <w:rsid w:val="00890D23"/>
    <w:rsid w:val="00891AAB"/>
    <w:rsid w:val="00891AD0"/>
    <w:rsid w:val="00893693"/>
    <w:rsid w:val="00893F66"/>
    <w:rsid w:val="00894644"/>
    <w:rsid w:val="00895E50"/>
    <w:rsid w:val="00896272"/>
    <w:rsid w:val="008A01D8"/>
    <w:rsid w:val="008A05CA"/>
    <w:rsid w:val="008A1671"/>
    <w:rsid w:val="008A1EA9"/>
    <w:rsid w:val="008A2AB0"/>
    <w:rsid w:val="008A3580"/>
    <w:rsid w:val="008A3EB6"/>
    <w:rsid w:val="008A4852"/>
    <w:rsid w:val="008A58DD"/>
    <w:rsid w:val="008A6D40"/>
    <w:rsid w:val="008B0B23"/>
    <w:rsid w:val="008B3224"/>
    <w:rsid w:val="008B424C"/>
    <w:rsid w:val="008B5109"/>
    <w:rsid w:val="008B6887"/>
    <w:rsid w:val="008C29C9"/>
    <w:rsid w:val="008C4AD7"/>
    <w:rsid w:val="008C5D5B"/>
    <w:rsid w:val="008D13F7"/>
    <w:rsid w:val="008D2070"/>
    <w:rsid w:val="008D48DE"/>
    <w:rsid w:val="008D5F99"/>
    <w:rsid w:val="008D61F1"/>
    <w:rsid w:val="008D6346"/>
    <w:rsid w:val="008D647B"/>
    <w:rsid w:val="008D6891"/>
    <w:rsid w:val="008D747C"/>
    <w:rsid w:val="008E01E5"/>
    <w:rsid w:val="008E2A60"/>
    <w:rsid w:val="008E3367"/>
    <w:rsid w:val="008E46A5"/>
    <w:rsid w:val="008E51DF"/>
    <w:rsid w:val="008E61FD"/>
    <w:rsid w:val="008E776B"/>
    <w:rsid w:val="008E7ADB"/>
    <w:rsid w:val="008F0E7E"/>
    <w:rsid w:val="008F213F"/>
    <w:rsid w:val="008F5F96"/>
    <w:rsid w:val="008F6882"/>
    <w:rsid w:val="008F6DAF"/>
    <w:rsid w:val="008F7EAF"/>
    <w:rsid w:val="0090062F"/>
    <w:rsid w:val="009036BA"/>
    <w:rsid w:val="009056F4"/>
    <w:rsid w:val="00906E64"/>
    <w:rsid w:val="00911CBF"/>
    <w:rsid w:val="00912E23"/>
    <w:rsid w:val="0091341C"/>
    <w:rsid w:val="00914FED"/>
    <w:rsid w:val="009168E9"/>
    <w:rsid w:val="00917997"/>
    <w:rsid w:val="0092046B"/>
    <w:rsid w:val="00920F33"/>
    <w:rsid w:val="0092435D"/>
    <w:rsid w:val="00924BAA"/>
    <w:rsid w:val="009269DE"/>
    <w:rsid w:val="00930203"/>
    <w:rsid w:val="00931F54"/>
    <w:rsid w:val="00932077"/>
    <w:rsid w:val="00932622"/>
    <w:rsid w:val="009367E1"/>
    <w:rsid w:val="00936D8D"/>
    <w:rsid w:val="00936E5E"/>
    <w:rsid w:val="00941674"/>
    <w:rsid w:val="00942166"/>
    <w:rsid w:val="00943192"/>
    <w:rsid w:val="0094474E"/>
    <w:rsid w:val="00945E91"/>
    <w:rsid w:val="009462B2"/>
    <w:rsid w:val="00950633"/>
    <w:rsid w:val="00952266"/>
    <w:rsid w:val="00952365"/>
    <w:rsid w:val="00952D76"/>
    <w:rsid w:val="009541A6"/>
    <w:rsid w:val="009544F8"/>
    <w:rsid w:val="00957C39"/>
    <w:rsid w:val="00960F6B"/>
    <w:rsid w:val="0096160B"/>
    <w:rsid w:val="00961FA1"/>
    <w:rsid w:val="009629C1"/>
    <w:rsid w:val="00962F86"/>
    <w:rsid w:val="00965494"/>
    <w:rsid w:val="00967A87"/>
    <w:rsid w:val="009700C2"/>
    <w:rsid w:val="0097020E"/>
    <w:rsid w:val="00976E6C"/>
    <w:rsid w:val="00980DB1"/>
    <w:rsid w:val="00980E6E"/>
    <w:rsid w:val="00981DA6"/>
    <w:rsid w:val="009823EB"/>
    <w:rsid w:val="00983498"/>
    <w:rsid w:val="00985908"/>
    <w:rsid w:val="00985C38"/>
    <w:rsid w:val="00985E73"/>
    <w:rsid w:val="00990E3B"/>
    <w:rsid w:val="009911C8"/>
    <w:rsid w:val="00993C2B"/>
    <w:rsid w:val="00994CF3"/>
    <w:rsid w:val="0099718C"/>
    <w:rsid w:val="00997281"/>
    <w:rsid w:val="009A0016"/>
    <w:rsid w:val="009A0AB2"/>
    <w:rsid w:val="009A0BE7"/>
    <w:rsid w:val="009A12FE"/>
    <w:rsid w:val="009A15E7"/>
    <w:rsid w:val="009A4575"/>
    <w:rsid w:val="009A517C"/>
    <w:rsid w:val="009A56E5"/>
    <w:rsid w:val="009A56EA"/>
    <w:rsid w:val="009A5872"/>
    <w:rsid w:val="009A78B8"/>
    <w:rsid w:val="009B13DB"/>
    <w:rsid w:val="009B40F9"/>
    <w:rsid w:val="009B75EA"/>
    <w:rsid w:val="009B7813"/>
    <w:rsid w:val="009C0D9D"/>
    <w:rsid w:val="009C0DD3"/>
    <w:rsid w:val="009C1101"/>
    <w:rsid w:val="009C2154"/>
    <w:rsid w:val="009C228A"/>
    <w:rsid w:val="009C2A53"/>
    <w:rsid w:val="009C3163"/>
    <w:rsid w:val="009C3574"/>
    <w:rsid w:val="009C6B2B"/>
    <w:rsid w:val="009C6E02"/>
    <w:rsid w:val="009D18FE"/>
    <w:rsid w:val="009D1B0E"/>
    <w:rsid w:val="009D270D"/>
    <w:rsid w:val="009D3376"/>
    <w:rsid w:val="009D3F31"/>
    <w:rsid w:val="009D4256"/>
    <w:rsid w:val="009D5535"/>
    <w:rsid w:val="009D5BE4"/>
    <w:rsid w:val="009D6F1A"/>
    <w:rsid w:val="009D787D"/>
    <w:rsid w:val="009D7D8C"/>
    <w:rsid w:val="009E03FE"/>
    <w:rsid w:val="009E30ED"/>
    <w:rsid w:val="009E417A"/>
    <w:rsid w:val="009E55E0"/>
    <w:rsid w:val="009E5ECE"/>
    <w:rsid w:val="009F0920"/>
    <w:rsid w:val="009F1620"/>
    <w:rsid w:val="009F24AF"/>
    <w:rsid w:val="009F31AD"/>
    <w:rsid w:val="009F470C"/>
    <w:rsid w:val="009F4BBB"/>
    <w:rsid w:val="009F4DDC"/>
    <w:rsid w:val="009F50CB"/>
    <w:rsid w:val="009F6177"/>
    <w:rsid w:val="009F780E"/>
    <w:rsid w:val="00A02718"/>
    <w:rsid w:val="00A03045"/>
    <w:rsid w:val="00A04C9F"/>
    <w:rsid w:val="00A06B88"/>
    <w:rsid w:val="00A1201A"/>
    <w:rsid w:val="00A15B1C"/>
    <w:rsid w:val="00A15DA4"/>
    <w:rsid w:val="00A1612C"/>
    <w:rsid w:val="00A211C8"/>
    <w:rsid w:val="00A227F4"/>
    <w:rsid w:val="00A2296B"/>
    <w:rsid w:val="00A22EB9"/>
    <w:rsid w:val="00A24239"/>
    <w:rsid w:val="00A2425A"/>
    <w:rsid w:val="00A26B4F"/>
    <w:rsid w:val="00A2714A"/>
    <w:rsid w:val="00A2755E"/>
    <w:rsid w:val="00A27997"/>
    <w:rsid w:val="00A27E33"/>
    <w:rsid w:val="00A3092F"/>
    <w:rsid w:val="00A31BF9"/>
    <w:rsid w:val="00A334EB"/>
    <w:rsid w:val="00A33732"/>
    <w:rsid w:val="00A3479D"/>
    <w:rsid w:val="00A358F2"/>
    <w:rsid w:val="00A36A8E"/>
    <w:rsid w:val="00A37F7F"/>
    <w:rsid w:val="00A414FF"/>
    <w:rsid w:val="00A41D82"/>
    <w:rsid w:val="00A4259D"/>
    <w:rsid w:val="00A42912"/>
    <w:rsid w:val="00A43866"/>
    <w:rsid w:val="00A450EB"/>
    <w:rsid w:val="00A46051"/>
    <w:rsid w:val="00A466FF"/>
    <w:rsid w:val="00A473BB"/>
    <w:rsid w:val="00A47B36"/>
    <w:rsid w:val="00A504B9"/>
    <w:rsid w:val="00A51866"/>
    <w:rsid w:val="00A52192"/>
    <w:rsid w:val="00A5274B"/>
    <w:rsid w:val="00A52F24"/>
    <w:rsid w:val="00A53E89"/>
    <w:rsid w:val="00A54075"/>
    <w:rsid w:val="00A54411"/>
    <w:rsid w:val="00A576A3"/>
    <w:rsid w:val="00A63004"/>
    <w:rsid w:val="00A637E7"/>
    <w:rsid w:val="00A65160"/>
    <w:rsid w:val="00A66122"/>
    <w:rsid w:val="00A7244F"/>
    <w:rsid w:val="00A724B9"/>
    <w:rsid w:val="00A72BC4"/>
    <w:rsid w:val="00A72DA2"/>
    <w:rsid w:val="00A72F0C"/>
    <w:rsid w:val="00A73CC3"/>
    <w:rsid w:val="00A74359"/>
    <w:rsid w:val="00A747D2"/>
    <w:rsid w:val="00A749CA"/>
    <w:rsid w:val="00A74FCA"/>
    <w:rsid w:val="00A76544"/>
    <w:rsid w:val="00A767E5"/>
    <w:rsid w:val="00A778A0"/>
    <w:rsid w:val="00A80456"/>
    <w:rsid w:val="00A80711"/>
    <w:rsid w:val="00A82C5E"/>
    <w:rsid w:val="00A82D26"/>
    <w:rsid w:val="00A83C77"/>
    <w:rsid w:val="00A843D1"/>
    <w:rsid w:val="00A84F3D"/>
    <w:rsid w:val="00A8589E"/>
    <w:rsid w:val="00A8628A"/>
    <w:rsid w:val="00A876ED"/>
    <w:rsid w:val="00A91434"/>
    <w:rsid w:val="00A92CC0"/>
    <w:rsid w:val="00A92DC5"/>
    <w:rsid w:val="00A93AC2"/>
    <w:rsid w:val="00A951F8"/>
    <w:rsid w:val="00A95768"/>
    <w:rsid w:val="00A961B5"/>
    <w:rsid w:val="00A9748F"/>
    <w:rsid w:val="00A97906"/>
    <w:rsid w:val="00A97D4F"/>
    <w:rsid w:val="00A97E5C"/>
    <w:rsid w:val="00AA0A64"/>
    <w:rsid w:val="00AA290A"/>
    <w:rsid w:val="00AA4F98"/>
    <w:rsid w:val="00AA6C1E"/>
    <w:rsid w:val="00AA6FD0"/>
    <w:rsid w:val="00AA7ACF"/>
    <w:rsid w:val="00AB028C"/>
    <w:rsid w:val="00AB1AFC"/>
    <w:rsid w:val="00AB28FD"/>
    <w:rsid w:val="00AB308C"/>
    <w:rsid w:val="00AB577B"/>
    <w:rsid w:val="00AB7832"/>
    <w:rsid w:val="00AC003E"/>
    <w:rsid w:val="00AC235B"/>
    <w:rsid w:val="00AC288E"/>
    <w:rsid w:val="00AC5015"/>
    <w:rsid w:val="00AC5144"/>
    <w:rsid w:val="00AD13BE"/>
    <w:rsid w:val="00AD311A"/>
    <w:rsid w:val="00AD3488"/>
    <w:rsid w:val="00AD4B9E"/>
    <w:rsid w:val="00AD4BE6"/>
    <w:rsid w:val="00AD642C"/>
    <w:rsid w:val="00AD6DCE"/>
    <w:rsid w:val="00AD7876"/>
    <w:rsid w:val="00AD7ABE"/>
    <w:rsid w:val="00AE0484"/>
    <w:rsid w:val="00AE052B"/>
    <w:rsid w:val="00AE06C7"/>
    <w:rsid w:val="00AE444D"/>
    <w:rsid w:val="00AF124A"/>
    <w:rsid w:val="00AF31BB"/>
    <w:rsid w:val="00AF3D47"/>
    <w:rsid w:val="00AF5A60"/>
    <w:rsid w:val="00B01794"/>
    <w:rsid w:val="00B06912"/>
    <w:rsid w:val="00B07A6E"/>
    <w:rsid w:val="00B107CD"/>
    <w:rsid w:val="00B13709"/>
    <w:rsid w:val="00B1494E"/>
    <w:rsid w:val="00B16519"/>
    <w:rsid w:val="00B16573"/>
    <w:rsid w:val="00B16672"/>
    <w:rsid w:val="00B16C61"/>
    <w:rsid w:val="00B16EE8"/>
    <w:rsid w:val="00B17A39"/>
    <w:rsid w:val="00B20E5E"/>
    <w:rsid w:val="00B2179B"/>
    <w:rsid w:val="00B21D24"/>
    <w:rsid w:val="00B220E0"/>
    <w:rsid w:val="00B227DA"/>
    <w:rsid w:val="00B26412"/>
    <w:rsid w:val="00B26B67"/>
    <w:rsid w:val="00B3231A"/>
    <w:rsid w:val="00B329DE"/>
    <w:rsid w:val="00B340C6"/>
    <w:rsid w:val="00B406C6"/>
    <w:rsid w:val="00B43F2A"/>
    <w:rsid w:val="00B4562C"/>
    <w:rsid w:val="00B4581A"/>
    <w:rsid w:val="00B47B5D"/>
    <w:rsid w:val="00B47CC4"/>
    <w:rsid w:val="00B521C3"/>
    <w:rsid w:val="00B526BD"/>
    <w:rsid w:val="00B52ED7"/>
    <w:rsid w:val="00B547CF"/>
    <w:rsid w:val="00B560F3"/>
    <w:rsid w:val="00B57AB8"/>
    <w:rsid w:val="00B60559"/>
    <w:rsid w:val="00B60634"/>
    <w:rsid w:val="00B610C7"/>
    <w:rsid w:val="00B61583"/>
    <w:rsid w:val="00B616BA"/>
    <w:rsid w:val="00B616C2"/>
    <w:rsid w:val="00B6487B"/>
    <w:rsid w:val="00B67B6F"/>
    <w:rsid w:val="00B70266"/>
    <w:rsid w:val="00B70ABB"/>
    <w:rsid w:val="00B72901"/>
    <w:rsid w:val="00B74D09"/>
    <w:rsid w:val="00B77408"/>
    <w:rsid w:val="00B778AE"/>
    <w:rsid w:val="00B815BA"/>
    <w:rsid w:val="00B826B2"/>
    <w:rsid w:val="00B83FF1"/>
    <w:rsid w:val="00B8634B"/>
    <w:rsid w:val="00B866D1"/>
    <w:rsid w:val="00B9177E"/>
    <w:rsid w:val="00B91B45"/>
    <w:rsid w:val="00B91E9B"/>
    <w:rsid w:val="00B94992"/>
    <w:rsid w:val="00B95D85"/>
    <w:rsid w:val="00B96928"/>
    <w:rsid w:val="00BA075C"/>
    <w:rsid w:val="00BA087D"/>
    <w:rsid w:val="00BA1154"/>
    <w:rsid w:val="00BA1C23"/>
    <w:rsid w:val="00BA20D4"/>
    <w:rsid w:val="00BA2583"/>
    <w:rsid w:val="00BA27AA"/>
    <w:rsid w:val="00BA2997"/>
    <w:rsid w:val="00BA3E52"/>
    <w:rsid w:val="00BA43AF"/>
    <w:rsid w:val="00BA441C"/>
    <w:rsid w:val="00BA5909"/>
    <w:rsid w:val="00BA5F67"/>
    <w:rsid w:val="00BA7041"/>
    <w:rsid w:val="00BA7960"/>
    <w:rsid w:val="00BB0D3D"/>
    <w:rsid w:val="00BB1DD8"/>
    <w:rsid w:val="00BB210F"/>
    <w:rsid w:val="00BB23FD"/>
    <w:rsid w:val="00BB3209"/>
    <w:rsid w:val="00BC1592"/>
    <w:rsid w:val="00BC388A"/>
    <w:rsid w:val="00BC773A"/>
    <w:rsid w:val="00BC7B1D"/>
    <w:rsid w:val="00BC7C34"/>
    <w:rsid w:val="00BD05A8"/>
    <w:rsid w:val="00BD1F5D"/>
    <w:rsid w:val="00BD2379"/>
    <w:rsid w:val="00BD29C8"/>
    <w:rsid w:val="00BD31FB"/>
    <w:rsid w:val="00BD4E02"/>
    <w:rsid w:val="00BE0963"/>
    <w:rsid w:val="00BE0C01"/>
    <w:rsid w:val="00BE0FA7"/>
    <w:rsid w:val="00BE1F29"/>
    <w:rsid w:val="00BE216E"/>
    <w:rsid w:val="00BE34CB"/>
    <w:rsid w:val="00BE3FAB"/>
    <w:rsid w:val="00BE54BB"/>
    <w:rsid w:val="00BE66F6"/>
    <w:rsid w:val="00BE6C34"/>
    <w:rsid w:val="00BE6C89"/>
    <w:rsid w:val="00BE7751"/>
    <w:rsid w:val="00BF00BB"/>
    <w:rsid w:val="00BF2327"/>
    <w:rsid w:val="00BF2D85"/>
    <w:rsid w:val="00BF5CCE"/>
    <w:rsid w:val="00BF62FE"/>
    <w:rsid w:val="00BF783A"/>
    <w:rsid w:val="00BF7A59"/>
    <w:rsid w:val="00C01F95"/>
    <w:rsid w:val="00C01FE7"/>
    <w:rsid w:val="00C02B75"/>
    <w:rsid w:val="00C02F97"/>
    <w:rsid w:val="00C039AF"/>
    <w:rsid w:val="00C04059"/>
    <w:rsid w:val="00C06973"/>
    <w:rsid w:val="00C07AC2"/>
    <w:rsid w:val="00C12439"/>
    <w:rsid w:val="00C128FF"/>
    <w:rsid w:val="00C13849"/>
    <w:rsid w:val="00C13ADE"/>
    <w:rsid w:val="00C14C57"/>
    <w:rsid w:val="00C15130"/>
    <w:rsid w:val="00C15536"/>
    <w:rsid w:val="00C169E9"/>
    <w:rsid w:val="00C210B5"/>
    <w:rsid w:val="00C2204D"/>
    <w:rsid w:val="00C22F62"/>
    <w:rsid w:val="00C22F95"/>
    <w:rsid w:val="00C23CF7"/>
    <w:rsid w:val="00C251D9"/>
    <w:rsid w:val="00C26176"/>
    <w:rsid w:val="00C2797C"/>
    <w:rsid w:val="00C30867"/>
    <w:rsid w:val="00C31863"/>
    <w:rsid w:val="00C37C2D"/>
    <w:rsid w:val="00C43E37"/>
    <w:rsid w:val="00C45842"/>
    <w:rsid w:val="00C45C29"/>
    <w:rsid w:val="00C5407C"/>
    <w:rsid w:val="00C540B9"/>
    <w:rsid w:val="00C548A6"/>
    <w:rsid w:val="00C5574E"/>
    <w:rsid w:val="00C563C6"/>
    <w:rsid w:val="00C61746"/>
    <w:rsid w:val="00C62D62"/>
    <w:rsid w:val="00C64363"/>
    <w:rsid w:val="00C6448C"/>
    <w:rsid w:val="00C64D1A"/>
    <w:rsid w:val="00C64ED5"/>
    <w:rsid w:val="00C658F7"/>
    <w:rsid w:val="00C66502"/>
    <w:rsid w:val="00C66AE4"/>
    <w:rsid w:val="00C71092"/>
    <w:rsid w:val="00C71360"/>
    <w:rsid w:val="00C72A93"/>
    <w:rsid w:val="00C73455"/>
    <w:rsid w:val="00C7426F"/>
    <w:rsid w:val="00C7477B"/>
    <w:rsid w:val="00C75B2F"/>
    <w:rsid w:val="00C765CC"/>
    <w:rsid w:val="00C76EBF"/>
    <w:rsid w:val="00C809E7"/>
    <w:rsid w:val="00C80D59"/>
    <w:rsid w:val="00C82285"/>
    <w:rsid w:val="00C845D1"/>
    <w:rsid w:val="00C849F7"/>
    <w:rsid w:val="00C872C0"/>
    <w:rsid w:val="00C96591"/>
    <w:rsid w:val="00CA0962"/>
    <w:rsid w:val="00CA1336"/>
    <w:rsid w:val="00CA22E1"/>
    <w:rsid w:val="00CA2BF5"/>
    <w:rsid w:val="00CA3A82"/>
    <w:rsid w:val="00CA577F"/>
    <w:rsid w:val="00CA60DD"/>
    <w:rsid w:val="00CA72F3"/>
    <w:rsid w:val="00CA73B3"/>
    <w:rsid w:val="00CA79BA"/>
    <w:rsid w:val="00CB2238"/>
    <w:rsid w:val="00CB25AD"/>
    <w:rsid w:val="00CB2845"/>
    <w:rsid w:val="00CB672D"/>
    <w:rsid w:val="00CC0538"/>
    <w:rsid w:val="00CC1852"/>
    <w:rsid w:val="00CC29B4"/>
    <w:rsid w:val="00CC49AD"/>
    <w:rsid w:val="00CC6477"/>
    <w:rsid w:val="00CC6C69"/>
    <w:rsid w:val="00CC7B9B"/>
    <w:rsid w:val="00CD0435"/>
    <w:rsid w:val="00CD1577"/>
    <w:rsid w:val="00CD3936"/>
    <w:rsid w:val="00CD5792"/>
    <w:rsid w:val="00CD59DA"/>
    <w:rsid w:val="00CD5C80"/>
    <w:rsid w:val="00CD5CBD"/>
    <w:rsid w:val="00CD6D24"/>
    <w:rsid w:val="00CE0EF2"/>
    <w:rsid w:val="00CE3B28"/>
    <w:rsid w:val="00CE436F"/>
    <w:rsid w:val="00CE4C25"/>
    <w:rsid w:val="00CE60ED"/>
    <w:rsid w:val="00CE7F71"/>
    <w:rsid w:val="00CF011B"/>
    <w:rsid w:val="00CF03C2"/>
    <w:rsid w:val="00CF0E34"/>
    <w:rsid w:val="00CF1110"/>
    <w:rsid w:val="00CF29DE"/>
    <w:rsid w:val="00CF427B"/>
    <w:rsid w:val="00CF6911"/>
    <w:rsid w:val="00D01487"/>
    <w:rsid w:val="00D03152"/>
    <w:rsid w:val="00D03BB4"/>
    <w:rsid w:val="00D05924"/>
    <w:rsid w:val="00D0601B"/>
    <w:rsid w:val="00D07209"/>
    <w:rsid w:val="00D1106D"/>
    <w:rsid w:val="00D11668"/>
    <w:rsid w:val="00D11887"/>
    <w:rsid w:val="00D13DD0"/>
    <w:rsid w:val="00D14123"/>
    <w:rsid w:val="00D1477A"/>
    <w:rsid w:val="00D157B3"/>
    <w:rsid w:val="00D15893"/>
    <w:rsid w:val="00D161F3"/>
    <w:rsid w:val="00D1723A"/>
    <w:rsid w:val="00D17C27"/>
    <w:rsid w:val="00D24E55"/>
    <w:rsid w:val="00D24FC7"/>
    <w:rsid w:val="00D25450"/>
    <w:rsid w:val="00D25C7B"/>
    <w:rsid w:val="00D26365"/>
    <w:rsid w:val="00D309AE"/>
    <w:rsid w:val="00D31356"/>
    <w:rsid w:val="00D35609"/>
    <w:rsid w:val="00D35668"/>
    <w:rsid w:val="00D35E75"/>
    <w:rsid w:val="00D41169"/>
    <w:rsid w:val="00D41DC9"/>
    <w:rsid w:val="00D41E2C"/>
    <w:rsid w:val="00D4249C"/>
    <w:rsid w:val="00D42909"/>
    <w:rsid w:val="00D4390A"/>
    <w:rsid w:val="00D43AED"/>
    <w:rsid w:val="00D44E7D"/>
    <w:rsid w:val="00D44FF3"/>
    <w:rsid w:val="00D45B14"/>
    <w:rsid w:val="00D500AB"/>
    <w:rsid w:val="00D52CEC"/>
    <w:rsid w:val="00D543B7"/>
    <w:rsid w:val="00D54801"/>
    <w:rsid w:val="00D54B84"/>
    <w:rsid w:val="00D54C7C"/>
    <w:rsid w:val="00D55144"/>
    <w:rsid w:val="00D56142"/>
    <w:rsid w:val="00D56D83"/>
    <w:rsid w:val="00D6018F"/>
    <w:rsid w:val="00D617EE"/>
    <w:rsid w:val="00D61D7A"/>
    <w:rsid w:val="00D638F9"/>
    <w:rsid w:val="00D64AD1"/>
    <w:rsid w:val="00D66CF9"/>
    <w:rsid w:val="00D66E0F"/>
    <w:rsid w:val="00D703B8"/>
    <w:rsid w:val="00D704F2"/>
    <w:rsid w:val="00D71E6C"/>
    <w:rsid w:val="00D729D4"/>
    <w:rsid w:val="00D73F44"/>
    <w:rsid w:val="00D817C6"/>
    <w:rsid w:val="00D84FFF"/>
    <w:rsid w:val="00D873D3"/>
    <w:rsid w:val="00D87AF4"/>
    <w:rsid w:val="00D91A87"/>
    <w:rsid w:val="00D91B28"/>
    <w:rsid w:val="00D91D19"/>
    <w:rsid w:val="00D92616"/>
    <w:rsid w:val="00D92CD4"/>
    <w:rsid w:val="00D934E3"/>
    <w:rsid w:val="00D938C0"/>
    <w:rsid w:val="00D93C72"/>
    <w:rsid w:val="00D94BF5"/>
    <w:rsid w:val="00D960E0"/>
    <w:rsid w:val="00D974EE"/>
    <w:rsid w:val="00DA3A36"/>
    <w:rsid w:val="00DA406B"/>
    <w:rsid w:val="00DA4835"/>
    <w:rsid w:val="00DA65B8"/>
    <w:rsid w:val="00DB0AD1"/>
    <w:rsid w:val="00DB21EC"/>
    <w:rsid w:val="00DB247C"/>
    <w:rsid w:val="00DB337C"/>
    <w:rsid w:val="00DB3DEB"/>
    <w:rsid w:val="00DB440A"/>
    <w:rsid w:val="00DB4E6D"/>
    <w:rsid w:val="00DB5C50"/>
    <w:rsid w:val="00DB62A6"/>
    <w:rsid w:val="00DB6881"/>
    <w:rsid w:val="00DC0908"/>
    <w:rsid w:val="00DC0CB2"/>
    <w:rsid w:val="00DC3CBC"/>
    <w:rsid w:val="00DC3CC2"/>
    <w:rsid w:val="00DC55EA"/>
    <w:rsid w:val="00DC6297"/>
    <w:rsid w:val="00DD1C3C"/>
    <w:rsid w:val="00DD4D56"/>
    <w:rsid w:val="00DD5976"/>
    <w:rsid w:val="00DD6033"/>
    <w:rsid w:val="00DD7BCE"/>
    <w:rsid w:val="00DE59B9"/>
    <w:rsid w:val="00DE6192"/>
    <w:rsid w:val="00DE6437"/>
    <w:rsid w:val="00DE6C26"/>
    <w:rsid w:val="00DE71AF"/>
    <w:rsid w:val="00DF0195"/>
    <w:rsid w:val="00DF115A"/>
    <w:rsid w:val="00DF1B27"/>
    <w:rsid w:val="00DF2B09"/>
    <w:rsid w:val="00DF45C8"/>
    <w:rsid w:val="00DF4711"/>
    <w:rsid w:val="00DF4E18"/>
    <w:rsid w:val="00DF7100"/>
    <w:rsid w:val="00E00243"/>
    <w:rsid w:val="00E052B0"/>
    <w:rsid w:val="00E103FB"/>
    <w:rsid w:val="00E12A28"/>
    <w:rsid w:val="00E13141"/>
    <w:rsid w:val="00E1328F"/>
    <w:rsid w:val="00E13537"/>
    <w:rsid w:val="00E14282"/>
    <w:rsid w:val="00E16424"/>
    <w:rsid w:val="00E16A79"/>
    <w:rsid w:val="00E17317"/>
    <w:rsid w:val="00E175A6"/>
    <w:rsid w:val="00E2099D"/>
    <w:rsid w:val="00E21FF7"/>
    <w:rsid w:val="00E22C97"/>
    <w:rsid w:val="00E236CD"/>
    <w:rsid w:val="00E23B92"/>
    <w:rsid w:val="00E23F07"/>
    <w:rsid w:val="00E25EE5"/>
    <w:rsid w:val="00E26507"/>
    <w:rsid w:val="00E30A33"/>
    <w:rsid w:val="00E314FF"/>
    <w:rsid w:val="00E32B49"/>
    <w:rsid w:val="00E32F7E"/>
    <w:rsid w:val="00E332A1"/>
    <w:rsid w:val="00E33687"/>
    <w:rsid w:val="00E33D51"/>
    <w:rsid w:val="00E34472"/>
    <w:rsid w:val="00E3483E"/>
    <w:rsid w:val="00E36A31"/>
    <w:rsid w:val="00E4167E"/>
    <w:rsid w:val="00E43023"/>
    <w:rsid w:val="00E43EF6"/>
    <w:rsid w:val="00E444F6"/>
    <w:rsid w:val="00E448CD"/>
    <w:rsid w:val="00E44B79"/>
    <w:rsid w:val="00E458E8"/>
    <w:rsid w:val="00E51AA9"/>
    <w:rsid w:val="00E51C3E"/>
    <w:rsid w:val="00E5260C"/>
    <w:rsid w:val="00E542B3"/>
    <w:rsid w:val="00E54E2A"/>
    <w:rsid w:val="00E55257"/>
    <w:rsid w:val="00E60710"/>
    <w:rsid w:val="00E6074E"/>
    <w:rsid w:val="00E616D9"/>
    <w:rsid w:val="00E631D3"/>
    <w:rsid w:val="00E63D56"/>
    <w:rsid w:val="00E704BF"/>
    <w:rsid w:val="00E71019"/>
    <w:rsid w:val="00E72ACC"/>
    <w:rsid w:val="00E755F7"/>
    <w:rsid w:val="00E767D5"/>
    <w:rsid w:val="00E77CB0"/>
    <w:rsid w:val="00E80419"/>
    <w:rsid w:val="00E81E0F"/>
    <w:rsid w:val="00E8273E"/>
    <w:rsid w:val="00E83325"/>
    <w:rsid w:val="00E8437E"/>
    <w:rsid w:val="00E8455A"/>
    <w:rsid w:val="00E86CDC"/>
    <w:rsid w:val="00E8778E"/>
    <w:rsid w:val="00E908A4"/>
    <w:rsid w:val="00E920F2"/>
    <w:rsid w:val="00E928D3"/>
    <w:rsid w:val="00E92F43"/>
    <w:rsid w:val="00E9466B"/>
    <w:rsid w:val="00E958CC"/>
    <w:rsid w:val="00E96EEB"/>
    <w:rsid w:val="00E96FF2"/>
    <w:rsid w:val="00E9774E"/>
    <w:rsid w:val="00EA05A6"/>
    <w:rsid w:val="00EA0F53"/>
    <w:rsid w:val="00EA2E6D"/>
    <w:rsid w:val="00EA5C9C"/>
    <w:rsid w:val="00EA6903"/>
    <w:rsid w:val="00EA7674"/>
    <w:rsid w:val="00EA7E30"/>
    <w:rsid w:val="00EB2410"/>
    <w:rsid w:val="00EB285B"/>
    <w:rsid w:val="00EB48CF"/>
    <w:rsid w:val="00EB4B13"/>
    <w:rsid w:val="00EB4FAE"/>
    <w:rsid w:val="00EB521F"/>
    <w:rsid w:val="00EB5A86"/>
    <w:rsid w:val="00EB68BE"/>
    <w:rsid w:val="00EB693B"/>
    <w:rsid w:val="00EC02F0"/>
    <w:rsid w:val="00EC200B"/>
    <w:rsid w:val="00EC20D0"/>
    <w:rsid w:val="00EC3D1A"/>
    <w:rsid w:val="00EC4222"/>
    <w:rsid w:val="00EC4D77"/>
    <w:rsid w:val="00EC6E55"/>
    <w:rsid w:val="00EC73D5"/>
    <w:rsid w:val="00ED0006"/>
    <w:rsid w:val="00ED26AE"/>
    <w:rsid w:val="00ED2EAB"/>
    <w:rsid w:val="00ED3441"/>
    <w:rsid w:val="00ED3857"/>
    <w:rsid w:val="00ED7608"/>
    <w:rsid w:val="00EE27BA"/>
    <w:rsid w:val="00EE3A3F"/>
    <w:rsid w:val="00EE7129"/>
    <w:rsid w:val="00EF37FA"/>
    <w:rsid w:val="00EF3EAC"/>
    <w:rsid w:val="00EF44E3"/>
    <w:rsid w:val="00EF6D68"/>
    <w:rsid w:val="00F01092"/>
    <w:rsid w:val="00F01B21"/>
    <w:rsid w:val="00F02149"/>
    <w:rsid w:val="00F0260F"/>
    <w:rsid w:val="00F02795"/>
    <w:rsid w:val="00F02BFF"/>
    <w:rsid w:val="00F0476C"/>
    <w:rsid w:val="00F060EA"/>
    <w:rsid w:val="00F063CC"/>
    <w:rsid w:val="00F06476"/>
    <w:rsid w:val="00F1052D"/>
    <w:rsid w:val="00F109B8"/>
    <w:rsid w:val="00F1748D"/>
    <w:rsid w:val="00F205EC"/>
    <w:rsid w:val="00F21445"/>
    <w:rsid w:val="00F2187A"/>
    <w:rsid w:val="00F22F34"/>
    <w:rsid w:val="00F308AF"/>
    <w:rsid w:val="00F30E52"/>
    <w:rsid w:val="00F3135B"/>
    <w:rsid w:val="00F318B6"/>
    <w:rsid w:val="00F31D5F"/>
    <w:rsid w:val="00F324E2"/>
    <w:rsid w:val="00F33FA9"/>
    <w:rsid w:val="00F34DA5"/>
    <w:rsid w:val="00F366D3"/>
    <w:rsid w:val="00F37034"/>
    <w:rsid w:val="00F400AD"/>
    <w:rsid w:val="00F41646"/>
    <w:rsid w:val="00F4198C"/>
    <w:rsid w:val="00F422E9"/>
    <w:rsid w:val="00F432D1"/>
    <w:rsid w:val="00F4426B"/>
    <w:rsid w:val="00F468FA"/>
    <w:rsid w:val="00F47157"/>
    <w:rsid w:val="00F47A23"/>
    <w:rsid w:val="00F47C43"/>
    <w:rsid w:val="00F50604"/>
    <w:rsid w:val="00F50FE1"/>
    <w:rsid w:val="00F52C2D"/>
    <w:rsid w:val="00F532E9"/>
    <w:rsid w:val="00F5361E"/>
    <w:rsid w:val="00F57495"/>
    <w:rsid w:val="00F57540"/>
    <w:rsid w:val="00F6236C"/>
    <w:rsid w:val="00F6384E"/>
    <w:rsid w:val="00F6446E"/>
    <w:rsid w:val="00F677D0"/>
    <w:rsid w:val="00F67B03"/>
    <w:rsid w:val="00F70384"/>
    <w:rsid w:val="00F7062A"/>
    <w:rsid w:val="00F71751"/>
    <w:rsid w:val="00F72159"/>
    <w:rsid w:val="00F722EC"/>
    <w:rsid w:val="00F76C21"/>
    <w:rsid w:val="00F772DA"/>
    <w:rsid w:val="00F80A22"/>
    <w:rsid w:val="00F8124A"/>
    <w:rsid w:val="00F815B4"/>
    <w:rsid w:val="00F82141"/>
    <w:rsid w:val="00F821B4"/>
    <w:rsid w:val="00F83E7D"/>
    <w:rsid w:val="00F8463F"/>
    <w:rsid w:val="00F87F8F"/>
    <w:rsid w:val="00F91666"/>
    <w:rsid w:val="00F9250F"/>
    <w:rsid w:val="00F94346"/>
    <w:rsid w:val="00F94DBF"/>
    <w:rsid w:val="00F97FBB"/>
    <w:rsid w:val="00FA076C"/>
    <w:rsid w:val="00FA0FEA"/>
    <w:rsid w:val="00FA2B29"/>
    <w:rsid w:val="00FA39F8"/>
    <w:rsid w:val="00FA4350"/>
    <w:rsid w:val="00FA4BCD"/>
    <w:rsid w:val="00FA59C2"/>
    <w:rsid w:val="00FA72E4"/>
    <w:rsid w:val="00FA7EA6"/>
    <w:rsid w:val="00FB082C"/>
    <w:rsid w:val="00FB3EBA"/>
    <w:rsid w:val="00FB734E"/>
    <w:rsid w:val="00FC059D"/>
    <w:rsid w:val="00FC10EC"/>
    <w:rsid w:val="00FC16A0"/>
    <w:rsid w:val="00FC17F6"/>
    <w:rsid w:val="00FC327E"/>
    <w:rsid w:val="00FC36C2"/>
    <w:rsid w:val="00FC4C62"/>
    <w:rsid w:val="00FC4C6E"/>
    <w:rsid w:val="00FC633F"/>
    <w:rsid w:val="00FC6EA8"/>
    <w:rsid w:val="00FD1389"/>
    <w:rsid w:val="00FD1DC8"/>
    <w:rsid w:val="00FD4E7F"/>
    <w:rsid w:val="00FD6B43"/>
    <w:rsid w:val="00FD7603"/>
    <w:rsid w:val="00FE121F"/>
    <w:rsid w:val="00FE275A"/>
    <w:rsid w:val="00FE3143"/>
    <w:rsid w:val="00FE3771"/>
    <w:rsid w:val="00FE3CBD"/>
    <w:rsid w:val="00FE5DE6"/>
    <w:rsid w:val="00FF055A"/>
    <w:rsid w:val="00FF2566"/>
    <w:rsid w:val="00FF4C76"/>
    <w:rsid w:val="00FF5ED2"/>
    <w:rsid w:val="00FF6232"/>
    <w:rsid w:val="00FF79A9"/>
    <w:rsid w:val="00FF7C81"/>
    <w:rsid w:val="00FF7E2A"/>
    <w:rsid w:val="01037EC3"/>
    <w:rsid w:val="01042CD0"/>
    <w:rsid w:val="010A478A"/>
    <w:rsid w:val="010E4C5D"/>
    <w:rsid w:val="01101675"/>
    <w:rsid w:val="01121891"/>
    <w:rsid w:val="011419D2"/>
    <w:rsid w:val="01151973"/>
    <w:rsid w:val="011C44BE"/>
    <w:rsid w:val="011E457E"/>
    <w:rsid w:val="01260B21"/>
    <w:rsid w:val="012F4A53"/>
    <w:rsid w:val="01382669"/>
    <w:rsid w:val="01395018"/>
    <w:rsid w:val="015C10C4"/>
    <w:rsid w:val="016565E0"/>
    <w:rsid w:val="016E5000"/>
    <w:rsid w:val="01751E00"/>
    <w:rsid w:val="017F323C"/>
    <w:rsid w:val="018C0157"/>
    <w:rsid w:val="019B2A6C"/>
    <w:rsid w:val="019D2150"/>
    <w:rsid w:val="01A47995"/>
    <w:rsid w:val="01B15BC3"/>
    <w:rsid w:val="01B71FC4"/>
    <w:rsid w:val="01B74094"/>
    <w:rsid w:val="01B87FD5"/>
    <w:rsid w:val="01BB5FC7"/>
    <w:rsid w:val="01BE0AD1"/>
    <w:rsid w:val="01C06EC1"/>
    <w:rsid w:val="01D06A8D"/>
    <w:rsid w:val="01E45C77"/>
    <w:rsid w:val="01E96738"/>
    <w:rsid w:val="02072089"/>
    <w:rsid w:val="020822B3"/>
    <w:rsid w:val="020A4CC7"/>
    <w:rsid w:val="020D2BFE"/>
    <w:rsid w:val="022E2D68"/>
    <w:rsid w:val="023826D0"/>
    <w:rsid w:val="023952A1"/>
    <w:rsid w:val="023B4E7B"/>
    <w:rsid w:val="023B6BC5"/>
    <w:rsid w:val="02496A91"/>
    <w:rsid w:val="02516FD7"/>
    <w:rsid w:val="025C2995"/>
    <w:rsid w:val="0261662C"/>
    <w:rsid w:val="026223A4"/>
    <w:rsid w:val="028644D3"/>
    <w:rsid w:val="02873A6B"/>
    <w:rsid w:val="028C01C2"/>
    <w:rsid w:val="029770EC"/>
    <w:rsid w:val="029815D7"/>
    <w:rsid w:val="02992350"/>
    <w:rsid w:val="029D6A57"/>
    <w:rsid w:val="02A05E8C"/>
    <w:rsid w:val="02AD119A"/>
    <w:rsid w:val="02AF7331"/>
    <w:rsid w:val="02B16289"/>
    <w:rsid w:val="02C056C9"/>
    <w:rsid w:val="02C3663D"/>
    <w:rsid w:val="02C5676D"/>
    <w:rsid w:val="02CD1F13"/>
    <w:rsid w:val="02CF7A3A"/>
    <w:rsid w:val="02D0202C"/>
    <w:rsid w:val="02E80366"/>
    <w:rsid w:val="02F45ACA"/>
    <w:rsid w:val="02F80FC0"/>
    <w:rsid w:val="03047670"/>
    <w:rsid w:val="03076553"/>
    <w:rsid w:val="0314203E"/>
    <w:rsid w:val="03161B57"/>
    <w:rsid w:val="03241BE1"/>
    <w:rsid w:val="03453A3C"/>
    <w:rsid w:val="034F0E57"/>
    <w:rsid w:val="035110AD"/>
    <w:rsid w:val="035156E0"/>
    <w:rsid w:val="03531A1D"/>
    <w:rsid w:val="0356003D"/>
    <w:rsid w:val="03611F69"/>
    <w:rsid w:val="03622654"/>
    <w:rsid w:val="036672C9"/>
    <w:rsid w:val="0373789E"/>
    <w:rsid w:val="03792968"/>
    <w:rsid w:val="037B0BBB"/>
    <w:rsid w:val="037E09DE"/>
    <w:rsid w:val="037F50CD"/>
    <w:rsid w:val="03862A77"/>
    <w:rsid w:val="038E4997"/>
    <w:rsid w:val="039173E9"/>
    <w:rsid w:val="03947DA7"/>
    <w:rsid w:val="03982047"/>
    <w:rsid w:val="03A002AD"/>
    <w:rsid w:val="03AB7869"/>
    <w:rsid w:val="03B07A7E"/>
    <w:rsid w:val="03BB1D6C"/>
    <w:rsid w:val="03C573B9"/>
    <w:rsid w:val="03CF502B"/>
    <w:rsid w:val="03D755D9"/>
    <w:rsid w:val="03D903A1"/>
    <w:rsid w:val="03ED3C63"/>
    <w:rsid w:val="03F6494A"/>
    <w:rsid w:val="03F7414F"/>
    <w:rsid w:val="04073BE6"/>
    <w:rsid w:val="040F0873"/>
    <w:rsid w:val="040F13A0"/>
    <w:rsid w:val="042B15DB"/>
    <w:rsid w:val="04305A92"/>
    <w:rsid w:val="04391A7E"/>
    <w:rsid w:val="044161D0"/>
    <w:rsid w:val="0446138B"/>
    <w:rsid w:val="0448410B"/>
    <w:rsid w:val="044A30F0"/>
    <w:rsid w:val="04573296"/>
    <w:rsid w:val="045E5922"/>
    <w:rsid w:val="04604A2B"/>
    <w:rsid w:val="04615477"/>
    <w:rsid w:val="046B192D"/>
    <w:rsid w:val="046D2C49"/>
    <w:rsid w:val="046E5C18"/>
    <w:rsid w:val="048416E6"/>
    <w:rsid w:val="04877251"/>
    <w:rsid w:val="04885D36"/>
    <w:rsid w:val="048D3353"/>
    <w:rsid w:val="04912063"/>
    <w:rsid w:val="049A5EA4"/>
    <w:rsid w:val="04A2438B"/>
    <w:rsid w:val="04A838C7"/>
    <w:rsid w:val="04A84E8C"/>
    <w:rsid w:val="04AB74EA"/>
    <w:rsid w:val="04C14D18"/>
    <w:rsid w:val="04C512E6"/>
    <w:rsid w:val="04D12363"/>
    <w:rsid w:val="04D31337"/>
    <w:rsid w:val="04D97DDC"/>
    <w:rsid w:val="04DA7993"/>
    <w:rsid w:val="04DF1670"/>
    <w:rsid w:val="04DF6742"/>
    <w:rsid w:val="04F02BD0"/>
    <w:rsid w:val="04F30D22"/>
    <w:rsid w:val="050F04DE"/>
    <w:rsid w:val="050F6813"/>
    <w:rsid w:val="05163267"/>
    <w:rsid w:val="051660EF"/>
    <w:rsid w:val="052A3C08"/>
    <w:rsid w:val="052D3A02"/>
    <w:rsid w:val="052F6CFA"/>
    <w:rsid w:val="053049B4"/>
    <w:rsid w:val="054543D7"/>
    <w:rsid w:val="055521BA"/>
    <w:rsid w:val="05585942"/>
    <w:rsid w:val="05655A24"/>
    <w:rsid w:val="0566578A"/>
    <w:rsid w:val="056D3997"/>
    <w:rsid w:val="056D6047"/>
    <w:rsid w:val="057D7977"/>
    <w:rsid w:val="057E34A0"/>
    <w:rsid w:val="057F7BE5"/>
    <w:rsid w:val="05840E9C"/>
    <w:rsid w:val="058C092D"/>
    <w:rsid w:val="058D14E6"/>
    <w:rsid w:val="058E3F30"/>
    <w:rsid w:val="05A65AB5"/>
    <w:rsid w:val="05B9190B"/>
    <w:rsid w:val="05BF6EA2"/>
    <w:rsid w:val="05C13570"/>
    <w:rsid w:val="05DE53F2"/>
    <w:rsid w:val="05DE66BE"/>
    <w:rsid w:val="05DF5CAA"/>
    <w:rsid w:val="05E5438A"/>
    <w:rsid w:val="05E671F7"/>
    <w:rsid w:val="05EB2603"/>
    <w:rsid w:val="05EE4670"/>
    <w:rsid w:val="05F17846"/>
    <w:rsid w:val="060825C5"/>
    <w:rsid w:val="060A4716"/>
    <w:rsid w:val="061378DD"/>
    <w:rsid w:val="06143FB0"/>
    <w:rsid w:val="06206D4E"/>
    <w:rsid w:val="062525EC"/>
    <w:rsid w:val="06417596"/>
    <w:rsid w:val="064779D4"/>
    <w:rsid w:val="0653531A"/>
    <w:rsid w:val="06547860"/>
    <w:rsid w:val="06586EC3"/>
    <w:rsid w:val="06686D84"/>
    <w:rsid w:val="06736728"/>
    <w:rsid w:val="067E3D0F"/>
    <w:rsid w:val="06823015"/>
    <w:rsid w:val="068B0680"/>
    <w:rsid w:val="068C7894"/>
    <w:rsid w:val="069D79CB"/>
    <w:rsid w:val="06A1647A"/>
    <w:rsid w:val="06A3711F"/>
    <w:rsid w:val="06A708EE"/>
    <w:rsid w:val="06AB11B7"/>
    <w:rsid w:val="06B710DA"/>
    <w:rsid w:val="06BE0C16"/>
    <w:rsid w:val="06CD0B44"/>
    <w:rsid w:val="06E00552"/>
    <w:rsid w:val="06EA2F20"/>
    <w:rsid w:val="06EC5736"/>
    <w:rsid w:val="06EE2458"/>
    <w:rsid w:val="06EE5A2D"/>
    <w:rsid w:val="06F35A5D"/>
    <w:rsid w:val="070F5D71"/>
    <w:rsid w:val="070F7487"/>
    <w:rsid w:val="071B72C1"/>
    <w:rsid w:val="0727299A"/>
    <w:rsid w:val="07281E6C"/>
    <w:rsid w:val="07290CBE"/>
    <w:rsid w:val="072D607D"/>
    <w:rsid w:val="07384A9A"/>
    <w:rsid w:val="073E518E"/>
    <w:rsid w:val="07462696"/>
    <w:rsid w:val="07484FAE"/>
    <w:rsid w:val="0749650E"/>
    <w:rsid w:val="07590C16"/>
    <w:rsid w:val="07665311"/>
    <w:rsid w:val="076A196A"/>
    <w:rsid w:val="078D59D2"/>
    <w:rsid w:val="078F6395"/>
    <w:rsid w:val="07947E81"/>
    <w:rsid w:val="079C7E1A"/>
    <w:rsid w:val="07A45B0C"/>
    <w:rsid w:val="07A61645"/>
    <w:rsid w:val="07A87CE1"/>
    <w:rsid w:val="07C63AEF"/>
    <w:rsid w:val="07E03D3B"/>
    <w:rsid w:val="07E32246"/>
    <w:rsid w:val="07E6312F"/>
    <w:rsid w:val="07EE0DAA"/>
    <w:rsid w:val="07F13920"/>
    <w:rsid w:val="07F57A40"/>
    <w:rsid w:val="07FC1C4A"/>
    <w:rsid w:val="07FE1B6A"/>
    <w:rsid w:val="08073184"/>
    <w:rsid w:val="08104BFB"/>
    <w:rsid w:val="08142866"/>
    <w:rsid w:val="08216A16"/>
    <w:rsid w:val="083B140E"/>
    <w:rsid w:val="08422707"/>
    <w:rsid w:val="084D1CF0"/>
    <w:rsid w:val="085E35AA"/>
    <w:rsid w:val="08602C5E"/>
    <w:rsid w:val="08650FA7"/>
    <w:rsid w:val="087F39C8"/>
    <w:rsid w:val="08872ABC"/>
    <w:rsid w:val="08893A61"/>
    <w:rsid w:val="088A1E83"/>
    <w:rsid w:val="08902126"/>
    <w:rsid w:val="089F6321"/>
    <w:rsid w:val="08B35BF9"/>
    <w:rsid w:val="08B650C6"/>
    <w:rsid w:val="08B722AA"/>
    <w:rsid w:val="08B74224"/>
    <w:rsid w:val="08C573BE"/>
    <w:rsid w:val="08D61E95"/>
    <w:rsid w:val="08DD3FF1"/>
    <w:rsid w:val="08F04E07"/>
    <w:rsid w:val="08F44A05"/>
    <w:rsid w:val="08FE199D"/>
    <w:rsid w:val="090048B1"/>
    <w:rsid w:val="09023ED9"/>
    <w:rsid w:val="09025B9F"/>
    <w:rsid w:val="09033A27"/>
    <w:rsid w:val="09110D6F"/>
    <w:rsid w:val="09173ACE"/>
    <w:rsid w:val="09292436"/>
    <w:rsid w:val="092D0DFF"/>
    <w:rsid w:val="09375566"/>
    <w:rsid w:val="09457ED1"/>
    <w:rsid w:val="09491428"/>
    <w:rsid w:val="09493C77"/>
    <w:rsid w:val="094C1CA7"/>
    <w:rsid w:val="095004ED"/>
    <w:rsid w:val="095253C7"/>
    <w:rsid w:val="09572537"/>
    <w:rsid w:val="09585C27"/>
    <w:rsid w:val="095F3199"/>
    <w:rsid w:val="09623040"/>
    <w:rsid w:val="096315C9"/>
    <w:rsid w:val="096878A0"/>
    <w:rsid w:val="09690A9E"/>
    <w:rsid w:val="096F7758"/>
    <w:rsid w:val="097221BB"/>
    <w:rsid w:val="097C284C"/>
    <w:rsid w:val="097E4761"/>
    <w:rsid w:val="09851D04"/>
    <w:rsid w:val="098F26D8"/>
    <w:rsid w:val="09984B82"/>
    <w:rsid w:val="099B04E0"/>
    <w:rsid w:val="09A908B8"/>
    <w:rsid w:val="09AB168B"/>
    <w:rsid w:val="09C062F3"/>
    <w:rsid w:val="09CD631A"/>
    <w:rsid w:val="09D04097"/>
    <w:rsid w:val="09D4382D"/>
    <w:rsid w:val="09D84F28"/>
    <w:rsid w:val="09D85EAB"/>
    <w:rsid w:val="09E14EF2"/>
    <w:rsid w:val="09E50DE3"/>
    <w:rsid w:val="09E54C2D"/>
    <w:rsid w:val="09F342F1"/>
    <w:rsid w:val="09F63AFE"/>
    <w:rsid w:val="09F95D68"/>
    <w:rsid w:val="09FD6095"/>
    <w:rsid w:val="09FF5685"/>
    <w:rsid w:val="0A027367"/>
    <w:rsid w:val="0A034284"/>
    <w:rsid w:val="0A037803"/>
    <w:rsid w:val="0A0524E6"/>
    <w:rsid w:val="0A0D2C60"/>
    <w:rsid w:val="0A0E14C0"/>
    <w:rsid w:val="0A167B6F"/>
    <w:rsid w:val="0A191C02"/>
    <w:rsid w:val="0A1C36D3"/>
    <w:rsid w:val="0A1C6ACA"/>
    <w:rsid w:val="0A477B56"/>
    <w:rsid w:val="0A4964A0"/>
    <w:rsid w:val="0A496ADC"/>
    <w:rsid w:val="0A4E5205"/>
    <w:rsid w:val="0A53248C"/>
    <w:rsid w:val="0A551699"/>
    <w:rsid w:val="0A627F2E"/>
    <w:rsid w:val="0A64307E"/>
    <w:rsid w:val="0A656D79"/>
    <w:rsid w:val="0A6B6859"/>
    <w:rsid w:val="0A6C0264"/>
    <w:rsid w:val="0A772E76"/>
    <w:rsid w:val="0A92134C"/>
    <w:rsid w:val="0A9D1518"/>
    <w:rsid w:val="0AAA0A53"/>
    <w:rsid w:val="0AB43808"/>
    <w:rsid w:val="0AB865F0"/>
    <w:rsid w:val="0ABD679D"/>
    <w:rsid w:val="0ACD62B4"/>
    <w:rsid w:val="0ADB2CF4"/>
    <w:rsid w:val="0AED5EC7"/>
    <w:rsid w:val="0AF755D1"/>
    <w:rsid w:val="0AFD0EBC"/>
    <w:rsid w:val="0AFF18A8"/>
    <w:rsid w:val="0B0A12A5"/>
    <w:rsid w:val="0B0B35D9"/>
    <w:rsid w:val="0B143B8D"/>
    <w:rsid w:val="0B1B268B"/>
    <w:rsid w:val="0B2726DD"/>
    <w:rsid w:val="0B2B4846"/>
    <w:rsid w:val="0B3D6AFD"/>
    <w:rsid w:val="0B431D19"/>
    <w:rsid w:val="0B596729"/>
    <w:rsid w:val="0B5D1B3B"/>
    <w:rsid w:val="0B5E078C"/>
    <w:rsid w:val="0B622721"/>
    <w:rsid w:val="0B6464A2"/>
    <w:rsid w:val="0B665C63"/>
    <w:rsid w:val="0B682CAB"/>
    <w:rsid w:val="0B6A7787"/>
    <w:rsid w:val="0B847BF9"/>
    <w:rsid w:val="0B8E64DB"/>
    <w:rsid w:val="0B915CDA"/>
    <w:rsid w:val="0B972584"/>
    <w:rsid w:val="0B984D8F"/>
    <w:rsid w:val="0BA63187"/>
    <w:rsid w:val="0BBD03CC"/>
    <w:rsid w:val="0BBE4877"/>
    <w:rsid w:val="0BC155DA"/>
    <w:rsid w:val="0BCE61BD"/>
    <w:rsid w:val="0BCF2526"/>
    <w:rsid w:val="0BD2521C"/>
    <w:rsid w:val="0BD972DE"/>
    <w:rsid w:val="0BE54E32"/>
    <w:rsid w:val="0BE80927"/>
    <w:rsid w:val="0BFE314C"/>
    <w:rsid w:val="0C100CB6"/>
    <w:rsid w:val="0C152355"/>
    <w:rsid w:val="0C1A2A3A"/>
    <w:rsid w:val="0C1F1AAD"/>
    <w:rsid w:val="0C2331AA"/>
    <w:rsid w:val="0C234ECC"/>
    <w:rsid w:val="0C281B36"/>
    <w:rsid w:val="0C2C0DB3"/>
    <w:rsid w:val="0C2C6A84"/>
    <w:rsid w:val="0C2D5BC2"/>
    <w:rsid w:val="0C335E58"/>
    <w:rsid w:val="0C3E35F3"/>
    <w:rsid w:val="0C431604"/>
    <w:rsid w:val="0C501BE0"/>
    <w:rsid w:val="0C577D4B"/>
    <w:rsid w:val="0C5E2E99"/>
    <w:rsid w:val="0C633773"/>
    <w:rsid w:val="0C7559B9"/>
    <w:rsid w:val="0C7B653C"/>
    <w:rsid w:val="0C7C2DA5"/>
    <w:rsid w:val="0C7D7AFC"/>
    <w:rsid w:val="0C8310F1"/>
    <w:rsid w:val="0C832D94"/>
    <w:rsid w:val="0C87217C"/>
    <w:rsid w:val="0C8951D8"/>
    <w:rsid w:val="0C917685"/>
    <w:rsid w:val="0C9763CC"/>
    <w:rsid w:val="0C9E0179"/>
    <w:rsid w:val="0CA5761F"/>
    <w:rsid w:val="0CA74961"/>
    <w:rsid w:val="0CAA1AA7"/>
    <w:rsid w:val="0CAC2533"/>
    <w:rsid w:val="0CBC2EC7"/>
    <w:rsid w:val="0CBE5C9D"/>
    <w:rsid w:val="0CC6379A"/>
    <w:rsid w:val="0CD114D5"/>
    <w:rsid w:val="0CE06513"/>
    <w:rsid w:val="0CEB72AD"/>
    <w:rsid w:val="0CFE0DC7"/>
    <w:rsid w:val="0CFE28C0"/>
    <w:rsid w:val="0D003A74"/>
    <w:rsid w:val="0D0A7152"/>
    <w:rsid w:val="0D0C36E9"/>
    <w:rsid w:val="0D0F1397"/>
    <w:rsid w:val="0D1523BB"/>
    <w:rsid w:val="0D1859DF"/>
    <w:rsid w:val="0D193B67"/>
    <w:rsid w:val="0D231B0D"/>
    <w:rsid w:val="0D35493D"/>
    <w:rsid w:val="0D3E2322"/>
    <w:rsid w:val="0D4106F3"/>
    <w:rsid w:val="0D4F3563"/>
    <w:rsid w:val="0D570673"/>
    <w:rsid w:val="0D5B6CDF"/>
    <w:rsid w:val="0D646464"/>
    <w:rsid w:val="0D6C5618"/>
    <w:rsid w:val="0D6F1ACD"/>
    <w:rsid w:val="0D7E2891"/>
    <w:rsid w:val="0D895F1D"/>
    <w:rsid w:val="0D9F2503"/>
    <w:rsid w:val="0DA21B8F"/>
    <w:rsid w:val="0DA52F58"/>
    <w:rsid w:val="0DA912C0"/>
    <w:rsid w:val="0DAC3FEE"/>
    <w:rsid w:val="0DB42479"/>
    <w:rsid w:val="0DB77A48"/>
    <w:rsid w:val="0DB9692C"/>
    <w:rsid w:val="0DC418BD"/>
    <w:rsid w:val="0DC70D2E"/>
    <w:rsid w:val="0DD57ECE"/>
    <w:rsid w:val="0DEB3535"/>
    <w:rsid w:val="0DF15F10"/>
    <w:rsid w:val="0DF349B7"/>
    <w:rsid w:val="0DF913EB"/>
    <w:rsid w:val="0DFE5C64"/>
    <w:rsid w:val="0E013110"/>
    <w:rsid w:val="0E024983"/>
    <w:rsid w:val="0E062452"/>
    <w:rsid w:val="0E06374D"/>
    <w:rsid w:val="0E0662D9"/>
    <w:rsid w:val="0E0D6658"/>
    <w:rsid w:val="0E0F6090"/>
    <w:rsid w:val="0E152630"/>
    <w:rsid w:val="0E1B514C"/>
    <w:rsid w:val="0E345571"/>
    <w:rsid w:val="0E3502B9"/>
    <w:rsid w:val="0E357AF6"/>
    <w:rsid w:val="0E4232A3"/>
    <w:rsid w:val="0E5F5BBD"/>
    <w:rsid w:val="0E6B00DF"/>
    <w:rsid w:val="0E6B3BB8"/>
    <w:rsid w:val="0E733C9C"/>
    <w:rsid w:val="0E76426C"/>
    <w:rsid w:val="0E785E28"/>
    <w:rsid w:val="0E7B2F67"/>
    <w:rsid w:val="0E7F2E79"/>
    <w:rsid w:val="0E823566"/>
    <w:rsid w:val="0E826642"/>
    <w:rsid w:val="0E876E15"/>
    <w:rsid w:val="0E8C2C83"/>
    <w:rsid w:val="0E9440C3"/>
    <w:rsid w:val="0E982BF1"/>
    <w:rsid w:val="0E985263"/>
    <w:rsid w:val="0E9B0C68"/>
    <w:rsid w:val="0EA51655"/>
    <w:rsid w:val="0EA5702D"/>
    <w:rsid w:val="0EA81EED"/>
    <w:rsid w:val="0EB651CA"/>
    <w:rsid w:val="0EB7275D"/>
    <w:rsid w:val="0ECC1ACA"/>
    <w:rsid w:val="0ED024B0"/>
    <w:rsid w:val="0EDB6696"/>
    <w:rsid w:val="0EE03DDB"/>
    <w:rsid w:val="0EE04D7C"/>
    <w:rsid w:val="0EE65678"/>
    <w:rsid w:val="0EED658E"/>
    <w:rsid w:val="0EEE599D"/>
    <w:rsid w:val="0EFF7C9F"/>
    <w:rsid w:val="0F0E4D4D"/>
    <w:rsid w:val="0F0F2D5A"/>
    <w:rsid w:val="0F133CC6"/>
    <w:rsid w:val="0F1367BD"/>
    <w:rsid w:val="0F165EF6"/>
    <w:rsid w:val="0F3A5C19"/>
    <w:rsid w:val="0F5B2AC5"/>
    <w:rsid w:val="0F651880"/>
    <w:rsid w:val="0F653884"/>
    <w:rsid w:val="0F7A3F04"/>
    <w:rsid w:val="0F7D50CB"/>
    <w:rsid w:val="0F7E31F1"/>
    <w:rsid w:val="0F801CA6"/>
    <w:rsid w:val="0F863303"/>
    <w:rsid w:val="0F8D7C4A"/>
    <w:rsid w:val="0F96368D"/>
    <w:rsid w:val="0FB369B1"/>
    <w:rsid w:val="0FBC60E1"/>
    <w:rsid w:val="0FBE3403"/>
    <w:rsid w:val="0FD31CC7"/>
    <w:rsid w:val="0FDB16E8"/>
    <w:rsid w:val="0FDD163C"/>
    <w:rsid w:val="0FEC75B7"/>
    <w:rsid w:val="0FEF3319"/>
    <w:rsid w:val="0FF50E73"/>
    <w:rsid w:val="0FF512EB"/>
    <w:rsid w:val="0FF52367"/>
    <w:rsid w:val="0FF944D9"/>
    <w:rsid w:val="10020045"/>
    <w:rsid w:val="10032E77"/>
    <w:rsid w:val="10075DEA"/>
    <w:rsid w:val="101D790A"/>
    <w:rsid w:val="10282016"/>
    <w:rsid w:val="102D2243"/>
    <w:rsid w:val="103F33B2"/>
    <w:rsid w:val="104338EF"/>
    <w:rsid w:val="10442618"/>
    <w:rsid w:val="10457700"/>
    <w:rsid w:val="104906FF"/>
    <w:rsid w:val="104C5B6F"/>
    <w:rsid w:val="1051273E"/>
    <w:rsid w:val="10527522"/>
    <w:rsid w:val="105B24CF"/>
    <w:rsid w:val="105C0E07"/>
    <w:rsid w:val="105F10BE"/>
    <w:rsid w:val="10666EA1"/>
    <w:rsid w:val="107523C4"/>
    <w:rsid w:val="10776CE9"/>
    <w:rsid w:val="107A36FC"/>
    <w:rsid w:val="107B5111"/>
    <w:rsid w:val="107D0495"/>
    <w:rsid w:val="107E2A9F"/>
    <w:rsid w:val="107F1FB1"/>
    <w:rsid w:val="10850780"/>
    <w:rsid w:val="10A064D0"/>
    <w:rsid w:val="10A90FB8"/>
    <w:rsid w:val="10BE57BC"/>
    <w:rsid w:val="10D71A84"/>
    <w:rsid w:val="10DD7C2F"/>
    <w:rsid w:val="10E156F1"/>
    <w:rsid w:val="10E24929"/>
    <w:rsid w:val="10E75605"/>
    <w:rsid w:val="10E838C0"/>
    <w:rsid w:val="10E85DAD"/>
    <w:rsid w:val="10EC058C"/>
    <w:rsid w:val="10F16889"/>
    <w:rsid w:val="1103418A"/>
    <w:rsid w:val="11081890"/>
    <w:rsid w:val="11124F95"/>
    <w:rsid w:val="111B181B"/>
    <w:rsid w:val="111C0BC0"/>
    <w:rsid w:val="112C3EF0"/>
    <w:rsid w:val="11307CAA"/>
    <w:rsid w:val="1132454C"/>
    <w:rsid w:val="113F356E"/>
    <w:rsid w:val="1142292F"/>
    <w:rsid w:val="1147652C"/>
    <w:rsid w:val="115A456C"/>
    <w:rsid w:val="115F467E"/>
    <w:rsid w:val="11657A71"/>
    <w:rsid w:val="116C1326"/>
    <w:rsid w:val="117201AD"/>
    <w:rsid w:val="117C05FB"/>
    <w:rsid w:val="11801882"/>
    <w:rsid w:val="11A4797D"/>
    <w:rsid w:val="11A976A8"/>
    <w:rsid w:val="11AC2538"/>
    <w:rsid w:val="11AC58B7"/>
    <w:rsid w:val="11BB3C24"/>
    <w:rsid w:val="11BC6D50"/>
    <w:rsid w:val="11BD4180"/>
    <w:rsid w:val="11C646FD"/>
    <w:rsid w:val="11C759C3"/>
    <w:rsid w:val="11C91AF8"/>
    <w:rsid w:val="11CB0816"/>
    <w:rsid w:val="11CC7BA8"/>
    <w:rsid w:val="11DA4336"/>
    <w:rsid w:val="11E513D3"/>
    <w:rsid w:val="11E645C3"/>
    <w:rsid w:val="11E84D8F"/>
    <w:rsid w:val="11E97A80"/>
    <w:rsid w:val="11F34199"/>
    <w:rsid w:val="11F5426F"/>
    <w:rsid w:val="11F549EC"/>
    <w:rsid w:val="11F62942"/>
    <w:rsid w:val="1216222B"/>
    <w:rsid w:val="121A0562"/>
    <w:rsid w:val="12320E5D"/>
    <w:rsid w:val="123814E5"/>
    <w:rsid w:val="125448A5"/>
    <w:rsid w:val="126C76CB"/>
    <w:rsid w:val="127B33C0"/>
    <w:rsid w:val="127E4191"/>
    <w:rsid w:val="127F540D"/>
    <w:rsid w:val="12883BD9"/>
    <w:rsid w:val="129F1F22"/>
    <w:rsid w:val="12A1787B"/>
    <w:rsid w:val="12A60575"/>
    <w:rsid w:val="12A91AC5"/>
    <w:rsid w:val="12B51D58"/>
    <w:rsid w:val="12BD3406"/>
    <w:rsid w:val="12C15E5A"/>
    <w:rsid w:val="12C76AC7"/>
    <w:rsid w:val="12CA2F05"/>
    <w:rsid w:val="12DA72AD"/>
    <w:rsid w:val="12DC3362"/>
    <w:rsid w:val="12E00931"/>
    <w:rsid w:val="12E03311"/>
    <w:rsid w:val="12E459B1"/>
    <w:rsid w:val="12F12A9A"/>
    <w:rsid w:val="1306255E"/>
    <w:rsid w:val="130A23C8"/>
    <w:rsid w:val="130D1F51"/>
    <w:rsid w:val="130E0EC5"/>
    <w:rsid w:val="13194E9A"/>
    <w:rsid w:val="13227D49"/>
    <w:rsid w:val="13245B47"/>
    <w:rsid w:val="13293503"/>
    <w:rsid w:val="132D21F6"/>
    <w:rsid w:val="132E2AA9"/>
    <w:rsid w:val="13330810"/>
    <w:rsid w:val="1338799A"/>
    <w:rsid w:val="133F6B2B"/>
    <w:rsid w:val="13435DB2"/>
    <w:rsid w:val="1346582A"/>
    <w:rsid w:val="134C5FB3"/>
    <w:rsid w:val="13584CEB"/>
    <w:rsid w:val="138707D8"/>
    <w:rsid w:val="138E5768"/>
    <w:rsid w:val="138F28CD"/>
    <w:rsid w:val="13935DCA"/>
    <w:rsid w:val="139E71E0"/>
    <w:rsid w:val="13A83417"/>
    <w:rsid w:val="13AB4341"/>
    <w:rsid w:val="13AC12DF"/>
    <w:rsid w:val="13B10B88"/>
    <w:rsid w:val="13B5265C"/>
    <w:rsid w:val="13B862F9"/>
    <w:rsid w:val="13C469A2"/>
    <w:rsid w:val="13D06224"/>
    <w:rsid w:val="13DF1849"/>
    <w:rsid w:val="13E93203"/>
    <w:rsid w:val="13ED0597"/>
    <w:rsid w:val="13EF30E1"/>
    <w:rsid w:val="14070298"/>
    <w:rsid w:val="140D22C4"/>
    <w:rsid w:val="1414284B"/>
    <w:rsid w:val="14142E38"/>
    <w:rsid w:val="14143870"/>
    <w:rsid w:val="14221993"/>
    <w:rsid w:val="142319AC"/>
    <w:rsid w:val="142B68D3"/>
    <w:rsid w:val="143B263C"/>
    <w:rsid w:val="14411F7A"/>
    <w:rsid w:val="144347FA"/>
    <w:rsid w:val="1446001D"/>
    <w:rsid w:val="1448083C"/>
    <w:rsid w:val="1448527A"/>
    <w:rsid w:val="144F429F"/>
    <w:rsid w:val="14514B1B"/>
    <w:rsid w:val="146B08F3"/>
    <w:rsid w:val="146F07FA"/>
    <w:rsid w:val="14706A6C"/>
    <w:rsid w:val="14881128"/>
    <w:rsid w:val="148F6512"/>
    <w:rsid w:val="148F6ECD"/>
    <w:rsid w:val="149D0FED"/>
    <w:rsid w:val="14A64372"/>
    <w:rsid w:val="14AA6898"/>
    <w:rsid w:val="14AE3227"/>
    <w:rsid w:val="14B0017F"/>
    <w:rsid w:val="14B12243"/>
    <w:rsid w:val="14B42DD7"/>
    <w:rsid w:val="14B8049E"/>
    <w:rsid w:val="14C82DCE"/>
    <w:rsid w:val="14CE2294"/>
    <w:rsid w:val="14D01A4F"/>
    <w:rsid w:val="14D12EFC"/>
    <w:rsid w:val="14D66C67"/>
    <w:rsid w:val="14D7505F"/>
    <w:rsid w:val="14D9162C"/>
    <w:rsid w:val="14DD5F0D"/>
    <w:rsid w:val="14E10753"/>
    <w:rsid w:val="14E84123"/>
    <w:rsid w:val="14E97648"/>
    <w:rsid w:val="14F427BF"/>
    <w:rsid w:val="14FA4934"/>
    <w:rsid w:val="14FF520C"/>
    <w:rsid w:val="15076C44"/>
    <w:rsid w:val="150B27F2"/>
    <w:rsid w:val="150F30DC"/>
    <w:rsid w:val="15121C84"/>
    <w:rsid w:val="15143661"/>
    <w:rsid w:val="151477CA"/>
    <w:rsid w:val="15167076"/>
    <w:rsid w:val="152403E0"/>
    <w:rsid w:val="15404173"/>
    <w:rsid w:val="154A7805"/>
    <w:rsid w:val="1551671F"/>
    <w:rsid w:val="156D4E3B"/>
    <w:rsid w:val="15735598"/>
    <w:rsid w:val="15852081"/>
    <w:rsid w:val="158C52E3"/>
    <w:rsid w:val="1593314E"/>
    <w:rsid w:val="159361E0"/>
    <w:rsid w:val="15AB6BFC"/>
    <w:rsid w:val="15B21EA5"/>
    <w:rsid w:val="15B34F99"/>
    <w:rsid w:val="15B44CB1"/>
    <w:rsid w:val="15B57A0B"/>
    <w:rsid w:val="15BF67CE"/>
    <w:rsid w:val="15CE655C"/>
    <w:rsid w:val="15D50CA5"/>
    <w:rsid w:val="15E00424"/>
    <w:rsid w:val="15EC04AB"/>
    <w:rsid w:val="15F01320"/>
    <w:rsid w:val="15F14C9F"/>
    <w:rsid w:val="15F82B87"/>
    <w:rsid w:val="160A5520"/>
    <w:rsid w:val="160F7CF5"/>
    <w:rsid w:val="161707CC"/>
    <w:rsid w:val="161A7C62"/>
    <w:rsid w:val="161E52DE"/>
    <w:rsid w:val="16220A1A"/>
    <w:rsid w:val="1627354F"/>
    <w:rsid w:val="163045DC"/>
    <w:rsid w:val="163271A7"/>
    <w:rsid w:val="163429CE"/>
    <w:rsid w:val="163D44DD"/>
    <w:rsid w:val="164011DD"/>
    <w:rsid w:val="164E3846"/>
    <w:rsid w:val="16536F87"/>
    <w:rsid w:val="165463BA"/>
    <w:rsid w:val="16571298"/>
    <w:rsid w:val="16577D3B"/>
    <w:rsid w:val="16581DDD"/>
    <w:rsid w:val="165C73DE"/>
    <w:rsid w:val="16634935"/>
    <w:rsid w:val="16674F17"/>
    <w:rsid w:val="166E40BB"/>
    <w:rsid w:val="167361BF"/>
    <w:rsid w:val="168530E9"/>
    <w:rsid w:val="168801D3"/>
    <w:rsid w:val="169556DA"/>
    <w:rsid w:val="169C278D"/>
    <w:rsid w:val="16AD3150"/>
    <w:rsid w:val="16B52931"/>
    <w:rsid w:val="16B54837"/>
    <w:rsid w:val="16B81C10"/>
    <w:rsid w:val="16BB09CF"/>
    <w:rsid w:val="16BB290C"/>
    <w:rsid w:val="16BB6F4A"/>
    <w:rsid w:val="16BF7A8D"/>
    <w:rsid w:val="16C66B41"/>
    <w:rsid w:val="16D05C0F"/>
    <w:rsid w:val="16D74469"/>
    <w:rsid w:val="16DA3F2E"/>
    <w:rsid w:val="16DD78E1"/>
    <w:rsid w:val="16E24AD0"/>
    <w:rsid w:val="16E37117"/>
    <w:rsid w:val="16E442DC"/>
    <w:rsid w:val="16E514BF"/>
    <w:rsid w:val="16E64EFA"/>
    <w:rsid w:val="16E6508A"/>
    <w:rsid w:val="16F41387"/>
    <w:rsid w:val="16F77AE3"/>
    <w:rsid w:val="16FE6377"/>
    <w:rsid w:val="170355EC"/>
    <w:rsid w:val="170610F8"/>
    <w:rsid w:val="170701E4"/>
    <w:rsid w:val="170D1FE0"/>
    <w:rsid w:val="17257B4B"/>
    <w:rsid w:val="172B3CAE"/>
    <w:rsid w:val="173842E0"/>
    <w:rsid w:val="17430E2C"/>
    <w:rsid w:val="17451576"/>
    <w:rsid w:val="175F1A68"/>
    <w:rsid w:val="175F5EF5"/>
    <w:rsid w:val="176355F1"/>
    <w:rsid w:val="176B3D10"/>
    <w:rsid w:val="176F6E21"/>
    <w:rsid w:val="17775A2A"/>
    <w:rsid w:val="178D299C"/>
    <w:rsid w:val="17955FEC"/>
    <w:rsid w:val="17987AA6"/>
    <w:rsid w:val="179A2463"/>
    <w:rsid w:val="17AC6144"/>
    <w:rsid w:val="17B54DD5"/>
    <w:rsid w:val="17BB5615"/>
    <w:rsid w:val="17BE456A"/>
    <w:rsid w:val="17C2714B"/>
    <w:rsid w:val="17DD36F6"/>
    <w:rsid w:val="17E21D1B"/>
    <w:rsid w:val="17F2745E"/>
    <w:rsid w:val="18081E28"/>
    <w:rsid w:val="18107062"/>
    <w:rsid w:val="18194E5B"/>
    <w:rsid w:val="181D2B9D"/>
    <w:rsid w:val="181E2024"/>
    <w:rsid w:val="182A7D39"/>
    <w:rsid w:val="182F40F7"/>
    <w:rsid w:val="1834363D"/>
    <w:rsid w:val="18371EB1"/>
    <w:rsid w:val="184438BB"/>
    <w:rsid w:val="184907F1"/>
    <w:rsid w:val="18602558"/>
    <w:rsid w:val="18616DB1"/>
    <w:rsid w:val="186259FC"/>
    <w:rsid w:val="18670CA2"/>
    <w:rsid w:val="18700E9F"/>
    <w:rsid w:val="18712819"/>
    <w:rsid w:val="187A22F0"/>
    <w:rsid w:val="187B4431"/>
    <w:rsid w:val="187C14BE"/>
    <w:rsid w:val="189D3F17"/>
    <w:rsid w:val="18A705CA"/>
    <w:rsid w:val="18AD0324"/>
    <w:rsid w:val="18AD6FD7"/>
    <w:rsid w:val="18D01299"/>
    <w:rsid w:val="18D27130"/>
    <w:rsid w:val="18D43C2A"/>
    <w:rsid w:val="18E40508"/>
    <w:rsid w:val="18EF0B8A"/>
    <w:rsid w:val="18FF04F5"/>
    <w:rsid w:val="1901244F"/>
    <w:rsid w:val="1902569E"/>
    <w:rsid w:val="190810D9"/>
    <w:rsid w:val="190C157A"/>
    <w:rsid w:val="19176B49"/>
    <w:rsid w:val="1932147A"/>
    <w:rsid w:val="193E3971"/>
    <w:rsid w:val="19404316"/>
    <w:rsid w:val="19545F91"/>
    <w:rsid w:val="1957425B"/>
    <w:rsid w:val="195A1CD0"/>
    <w:rsid w:val="195B146F"/>
    <w:rsid w:val="195B160D"/>
    <w:rsid w:val="1962034E"/>
    <w:rsid w:val="196A2016"/>
    <w:rsid w:val="19737B93"/>
    <w:rsid w:val="19746BBB"/>
    <w:rsid w:val="197A43A5"/>
    <w:rsid w:val="197B5221"/>
    <w:rsid w:val="19873F88"/>
    <w:rsid w:val="198C1689"/>
    <w:rsid w:val="19923117"/>
    <w:rsid w:val="19936F1F"/>
    <w:rsid w:val="199B6335"/>
    <w:rsid w:val="199F5598"/>
    <w:rsid w:val="19AE1CF4"/>
    <w:rsid w:val="19AF01CF"/>
    <w:rsid w:val="19BA3573"/>
    <w:rsid w:val="19BB441C"/>
    <w:rsid w:val="19BB7D00"/>
    <w:rsid w:val="19C21AD8"/>
    <w:rsid w:val="19C91D81"/>
    <w:rsid w:val="19DD082B"/>
    <w:rsid w:val="19E25DE6"/>
    <w:rsid w:val="19E369CF"/>
    <w:rsid w:val="19E40694"/>
    <w:rsid w:val="19EA3710"/>
    <w:rsid w:val="19EB2E5A"/>
    <w:rsid w:val="19EB5831"/>
    <w:rsid w:val="19EC0A79"/>
    <w:rsid w:val="19F0301B"/>
    <w:rsid w:val="19F551BB"/>
    <w:rsid w:val="19F607E6"/>
    <w:rsid w:val="19F609AA"/>
    <w:rsid w:val="19FB5FE8"/>
    <w:rsid w:val="19FC2411"/>
    <w:rsid w:val="19FD44DD"/>
    <w:rsid w:val="1A066314"/>
    <w:rsid w:val="1A085888"/>
    <w:rsid w:val="1A1562EF"/>
    <w:rsid w:val="1A1A40D2"/>
    <w:rsid w:val="1A1D6E85"/>
    <w:rsid w:val="1A2541B7"/>
    <w:rsid w:val="1A3653C8"/>
    <w:rsid w:val="1A4333BF"/>
    <w:rsid w:val="1A4A6DB2"/>
    <w:rsid w:val="1A4A7ABC"/>
    <w:rsid w:val="1A5A2D60"/>
    <w:rsid w:val="1A5C7169"/>
    <w:rsid w:val="1A701F30"/>
    <w:rsid w:val="1A72379D"/>
    <w:rsid w:val="1A760DA7"/>
    <w:rsid w:val="1A803D0D"/>
    <w:rsid w:val="1A864E68"/>
    <w:rsid w:val="1A872DB7"/>
    <w:rsid w:val="1A8769F4"/>
    <w:rsid w:val="1A8B26F2"/>
    <w:rsid w:val="1A8D2190"/>
    <w:rsid w:val="1A903599"/>
    <w:rsid w:val="1A966380"/>
    <w:rsid w:val="1A9A3BD9"/>
    <w:rsid w:val="1A9D1136"/>
    <w:rsid w:val="1AA952EE"/>
    <w:rsid w:val="1AB61698"/>
    <w:rsid w:val="1ABA7787"/>
    <w:rsid w:val="1AC22EB9"/>
    <w:rsid w:val="1AC64E6B"/>
    <w:rsid w:val="1AD03B83"/>
    <w:rsid w:val="1AD6566A"/>
    <w:rsid w:val="1AD761BD"/>
    <w:rsid w:val="1AD93EC8"/>
    <w:rsid w:val="1AE534E4"/>
    <w:rsid w:val="1AE877F9"/>
    <w:rsid w:val="1AF86801"/>
    <w:rsid w:val="1AFE5FC8"/>
    <w:rsid w:val="1AFF05A1"/>
    <w:rsid w:val="1B00626A"/>
    <w:rsid w:val="1B0818E3"/>
    <w:rsid w:val="1B091D1E"/>
    <w:rsid w:val="1B124768"/>
    <w:rsid w:val="1B1850F1"/>
    <w:rsid w:val="1B1F09DB"/>
    <w:rsid w:val="1B204254"/>
    <w:rsid w:val="1B215879"/>
    <w:rsid w:val="1B2A67D5"/>
    <w:rsid w:val="1B32415D"/>
    <w:rsid w:val="1B395D5D"/>
    <w:rsid w:val="1B4519E2"/>
    <w:rsid w:val="1B452C2D"/>
    <w:rsid w:val="1B484A1B"/>
    <w:rsid w:val="1B4E1440"/>
    <w:rsid w:val="1B525F3E"/>
    <w:rsid w:val="1B58691F"/>
    <w:rsid w:val="1B5E59A7"/>
    <w:rsid w:val="1B7707D7"/>
    <w:rsid w:val="1B77145E"/>
    <w:rsid w:val="1B7B4251"/>
    <w:rsid w:val="1B7E26D0"/>
    <w:rsid w:val="1B7E2F5B"/>
    <w:rsid w:val="1B813A96"/>
    <w:rsid w:val="1B825D44"/>
    <w:rsid w:val="1B826BF2"/>
    <w:rsid w:val="1B874865"/>
    <w:rsid w:val="1B8A22F8"/>
    <w:rsid w:val="1B906601"/>
    <w:rsid w:val="1B935ED2"/>
    <w:rsid w:val="1B995C2E"/>
    <w:rsid w:val="1BA00B86"/>
    <w:rsid w:val="1BA73C31"/>
    <w:rsid w:val="1BB4047C"/>
    <w:rsid w:val="1BBC52C0"/>
    <w:rsid w:val="1BC31BF1"/>
    <w:rsid w:val="1BC57B40"/>
    <w:rsid w:val="1BCA1B18"/>
    <w:rsid w:val="1BE73290"/>
    <w:rsid w:val="1BE86F35"/>
    <w:rsid w:val="1BF9747E"/>
    <w:rsid w:val="1C0B0D92"/>
    <w:rsid w:val="1C121CF9"/>
    <w:rsid w:val="1C1464B8"/>
    <w:rsid w:val="1C1553FF"/>
    <w:rsid w:val="1C1F3136"/>
    <w:rsid w:val="1C204E6B"/>
    <w:rsid w:val="1C2341A2"/>
    <w:rsid w:val="1C290566"/>
    <w:rsid w:val="1C2A48CE"/>
    <w:rsid w:val="1C2E5294"/>
    <w:rsid w:val="1C4257E8"/>
    <w:rsid w:val="1C454471"/>
    <w:rsid w:val="1C4F189B"/>
    <w:rsid w:val="1C6244F3"/>
    <w:rsid w:val="1C640D9B"/>
    <w:rsid w:val="1C6C5EA1"/>
    <w:rsid w:val="1C733F26"/>
    <w:rsid w:val="1C793E97"/>
    <w:rsid w:val="1C837916"/>
    <w:rsid w:val="1C86037E"/>
    <w:rsid w:val="1C897769"/>
    <w:rsid w:val="1C915014"/>
    <w:rsid w:val="1C944AC7"/>
    <w:rsid w:val="1C982038"/>
    <w:rsid w:val="1C982755"/>
    <w:rsid w:val="1C9827B8"/>
    <w:rsid w:val="1CA35CBE"/>
    <w:rsid w:val="1CBE3841"/>
    <w:rsid w:val="1CC25AFF"/>
    <w:rsid w:val="1CC66645"/>
    <w:rsid w:val="1CC7095D"/>
    <w:rsid w:val="1CC86CA8"/>
    <w:rsid w:val="1CDA26F4"/>
    <w:rsid w:val="1CDC2A8D"/>
    <w:rsid w:val="1CEE360F"/>
    <w:rsid w:val="1D045349"/>
    <w:rsid w:val="1D1345B6"/>
    <w:rsid w:val="1D163151"/>
    <w:rsid w:val="1D182676"/>
    <w:rsid w:val="1D1A215A"/>
    <w:rsid w:val="1D1D1EE4"/>
    <w:rsid w:val="1D1E238F"/>
    <w:rsid w:val="1D231173"/>
    <w:rsid w:val="1D2352F9"/>
    <w:rsid w:val="1D2E61D3"/>
    <w:rsid w:val="1D2F109A"/>
    <w:rsid w:val="1D3915A8"/>
    <w:rsid w:val="1D3B76D1"/>
    <w:rsid w:val="1D3F7753"/>
    <w:rsid w:val="1D4110DC"/>
    <w:rsid w:val="1D4B0178"/>
    <w:rsid w:val="1D5047C3"/>
    <w:rsid w:val="1D524481"/>
    <w:rsid w:val="1D5742DD"/>
    <w:rsid w:val="1D691AB6"/>
    <w:rsid w:val="1D6A0694"/>
    <w:rsid w:val="1D6E626E"/>
    <w:rsid w:val="1D753574"/>
    <w:rsid w:val="1D7E6BB9"/>
    <w:rsid w:val="1D7F7692"/>
    <w:rsid w:val="1D8074EB"/>
    <w:rsid w:val="1D81109B"/>
    <w:rsid w:val="1D8B79E9"/>
    <w:rsid w:val="1D8C5A2B"/>
    <w:rsid w:val="1D8D19BF"/>
    <w:rsid w:val="1D907182"/>
    <w:rsid w:val="1DAB7ABB"/>
    <w:rsid w:val="1DAC74E1"/>
    <w:rsid w:val="1DB97036"/>
    <w:rsid w:val="1DBB7050"/>
    <w:rsid w:val="1DBC76D5"/>
    <w:rsid w:val="1DC05DAC"/>
    <w:rsid w:val="1DC43811"/>
    <w:rsid w:val="1DCD19A4"/>
    <w:rsid w:val="1DD16635"/>
    <w:rsid w:val="1DD34F54"/>
    <w:rsid w:val="1DD62AB5"/>
    <w:rsid w:val="1DD75FFA"/>
    <w:rsid w:val="1DDA6205"/>
    <w:rsid w:val="1DE95B5D"/>
    <w:rsid w:val="1DED6744"/>
    <w:rsid w:val="1DF44233"/>
    <w:rsid w:val="1DF71F41"/>
    <w:rsid w:val="1E00158C"/>
    <w:rsid w:val="1E120209"/>
    <w:rsid w:val="1E171809"/>
    <w:rsid w:val="1E224814"/>
    <w:rsid w:val="1E2F53D8"/>
    <w:rsid w:val="1E335AF1"/>
    <w:rsid w:val="1E353AAA"/>
    <w:rsid w:val="1E372571"/>
    <w:rsid w:val="1E3D68FC"/>
    <w:rsid w:val="1E4A791F"/>
    <w:rsid w:val="1E521FDB"/>
    <w:rsid w:val="1E5B4563"/>
    <w:rsid w:val="1E5D6F6E"/>
    <w:rsid w:val="1E611110"/>
    <w:rsid w:val="1E6F17AA"/>
    <w:rsid w:val="1E74021D"/>
    <w:rsid w:val="1E8C282B"/>
    <w:rsid w:val="1E93768C"/>
    <w:rsid w:val="1E940F64"/>
    <w:rsid w:val="1E9745A4"/>
    <w:rsid w:val="1E9D2609"/>
    <w:rsid w:val="1E9E548D"/>
    <w:rsid w:val="1EA50AF5"/>
    <w:rsid w:val="1EA82EA9"/>
    <w:rsid w:val="1EA95DBC"/>
    <w:rsid w:val="1EAC36B0"/>
    <w:rsid w:val="1EB701D9"/>
    <w:rsid w:val="1EC17123"/>
    <w:rsid w:val="1EC5013F"/>
    <w:rsid w:val="1ECC629F"/>
    <w:rsid w:val="1EDA2FAC"/>
    <w:rsid w:val="1EEA4C27"/>
    <w:rsid w:val="1EEC69B6"/>
    <w:rsid w:val="1EF135C6"/>
    <w:rsid w:val="1EFF3176"/>
    <w:rsid w:val="1F0A635E"/>
    <w:rsid w:val="1F0B19A2"/>
    <w:rsid w:val="1F0F4A7C"/>
    <w:rsid w:val="1F3D7848"/>
    <w:rsid w:val="1F483ABB"/>
    <w:rsid w:val="1F5323CC"/>
    <w:rsid w:val="1F5C510C"/>
    <w:rsid w:val="1F600A1D"/>
    <w:rsid w:val="1F617FE2"/>
    <w:rsid w:val="1F623370"/>
    <w:rsid w:val="1F6C4E03"/>
    <w:rsid w:val="1F701682"/>
    <w:rsid w:val="1F726924"/>
    <w:rsid w:val="1F773263"/>
    <w:rsid w:val="1F79113C"/>
    <w:rsid w:val="1F7C0FE1"/>
    <w:rsid w:val="1F827800"/>
    <w:rsid w:val="1F864698"/>
    <w:rsid w:val="1F8A2A8E"/>
    <w:rsid w:val="1F8B6B90"/>
    <w:rsid w:val="1F8F2606"/>
    <w:rsid w:val="1F952763"/>
    <w:rsid w:val="1F9818B6"/>
    <w:rsid w:val="1F9B185B"/>
    <w:rsid w:val="1F9D6372"/>
    <w:rsid w:val="1FA71D51"/>
    <w:rsid w:val="1FBC3245"/>
    <w:rsid w:val="1FC530B3"/>
    <w:rsid w:val="1FC87893"/>
    <w:rsid w:val="1FD25FAB"/>
    <w:rsid w:val="1FD263B1"/>
    <w:rsid w:val="1FD55D81"/>
    <w:rsid w:val="1FE23DC5"/>
    <w:rsid w:val="1FE26757"/>
    <w:rsid w:val="1FE347F2"/>
    <w:rsid w:val="1FEC5510"/>
    <w:rsid w:val="1FFC6F88"/>
    <w:rsid w:val="200E3981"/>
    <w:rsid w:val="200F61C1"/>
    <w:rsid w:val="2010712C"/>
    <w:rsid w:val="20144DD3"/>
    <w:rsid w:val="201C0987"/>
    <w:rsid w:val="20213C78"/>
    <w:rsid w:val="20271DD4"/>
    <w:rsid w:val="202905EF"/>
    <w:rsid w:val="202E3FCA"/>
    <w:rsid w:val="20320EE0"/>
    <w:rsid w:val="2035079E"/>
    <w:rsid w:val="203D5EBD"/>
    <w:rsid w:val="204956F4"/>
    <w:rsid w:val="204C04C4"/>
    <w:rsid w:val="204E212C"/>
    <w:rsid w:val="20543ECC"/>
    <w:rsid w:val="205451ED"/>
    <w:rsid w:val="205509FD"/>
    <w:rsid w:val="205C66AC"/>
    <w:rsid w:val="205E5502"/>
    <w:rsid w:val="206A3B16"/>
    <w:rsid w:val="20724C71"/>
    <w:rsid w:val="20853D90"/>
    <w:rsid w:val="20891326"/>
    <w:rsid w:val="208D6625"/>
    <w:rsid w:val="2093481C"/>
    <w:rsid w:val="20965A88"/>
    <w:rsid w:val="20997115"/>
    <w:rsid w:val="20A932A4"/>
    <w:rsid w:val="20B81AB5"/>
    <w:rsid w:val="20B91C67"/>
    <w:rsid w:val="20BF72FD"/>
    <w:rsid w:val="20C22534"/>
    <w:rsid w:val="20C41361"/>
    <w:rsid w:val="20C44932"/>
    <w:rsid w:val="20C55662"/>
    <w:rsid w:val="20C952D1"/>
    <w:rsid w:val="20E409B0"/>
    <w:rsid w:val="20EA7DBA"/>
    <w:rsid w:val="20F14BC7"/>
    <w:rsid w:val="20F541D9"/>
    <w:rsid w:val="20FF6F0D"/>
    <w:rsid w:val="21052421"/>
    <w:rsid w:val="210B02E1"/>
    <w:rsid w:val="21143E7B"/>
    <w:rsid w:val="2116489E"/>
    <w:rsid w:val="211F298D"/>
    <w:rsid w:val="21241A2B"/>
    <w:rsid w:val="212C345A"/>
    <w:rsid w:val="212D4152"/>
    <w:rsid w:val="212F73FE"/>
    <w:rsid w:val="2140389D"/>
    <w:rsid w:val="21444F8B"/>
    <w:rsid w:val="214A3CC8"/>
    <w:rsid w:val="214E4EE9"/>
    <w:rsid w:val="215018EE"/>
    <w:rsid w:val="21520878"/>
    <w:rsid w:val="21522B9A"/>
    <w:rsid w:val="215F5FD5"/>
    <w:rsid w:val="216058D1"/>
    <w:rsid w:val="21680E9A"/>
    <w:rsid w:val="216935BC"/>
    <w:rsid w:val="216D314C"/>
    <w:rsid w:val="216E5043"/>
    <w:rsid w:val="21730876"/>
    <w:rsid w:val="217B3AF9"/>
    <w:rsid w:val="217D55BD"/>
    <w:rsid w:val="218501B7"/>
    <w:rsid w:val="21937D88"/>
    <w:rsid w:val="219C0BE1"/>
    <w:rsid w:val="219D7107"/>
    <w:rsid w:val="21A826E1"/>
    <w:rsid w:val="21B37B9E"/>
    <w:rsid w:val="21BE0F94"/>
    <w:rsid w:val="21D31AE9"/>
    <w:rsid w:val="21EC28B5"/>
    <w:rsid w:val="21EC7BA8"/>
    <w:rsid w:val="21F625AE"/>
    <w:rsid w:val="21F901D7"/>
    <w:rsid w:val="21F93D33"/>
    <w:rsid w:val="21FF787E"/>
    <w:rsid w:val="220036B9"/>
    <w:rsid w:val="220431DA"/>
    <w:rsid w:val="220D4FA8"/>
    <w:rsid w:val="22154503"/>
    <w:rsid w:val="22155222"/>
    <w:rsid w:val="22172C3A"/>
    <w:rsid w:val="221A5A4C"/>
    <w:rsid w:val="22232332"/>
    <w:rsid w:val="222421D0"/>
    <w:rsid w:val="222620EF"/>
    <w:rsid w:val="22374F29"/>
    <w:rsid w:val="223B0960"/>
    <w:rsid w:val="22427DEF"/>
    <w:rsid w:val="224551CB"/>
    <w:rsid w:val="224F065E"/>
    <w:rsid w:val="225A024E"/>
    <w:rsid w:val="22662B7E"/>
    <w:rsid w:val="226A52F9"/>
    <w:rsid w:val="226E521D"/>
    <w:rsid w:val="226F4087"/>
    <w:rsid w:val="22805460"/>
    <w:rsid w:val="228C7D3B"/>
    <w:rsid w:val="228D22E9"/>
    <w:rsid w:val="22AC24D1"/>
    <w:rsid w:val="22B540B5"/>
    <w:rsid w:val="22B5567F"/>
    <w:rsid w:val="22C06500"/>
    <w:rsid w:val="22C449B9"/>
    <w:rsid w:val="22C83FDC"/>
    <w:rsid w:val="22CA35C3"/>
    <w:rsid w:val="22CA5FBD"/>
    <w:rsid w:val="22CC0779"/>
    <w:rsid w:val="22D473D4"/>
    <w:rsid w:val="22E51116"/>
    <w:rsid w:val="22E67894"/>
    <w:rsid w:val="22E92354"/>
    <w:rsid w:val="22EC1C2A"/>
    <w:rsid w:val="22F06D15"/>
    <w:rsid w:val="22F222D0"/>
    <w:rsid w:val="22FF3BDC"/>
    <w:rsid w:val="2307588F"/>
    <w:rsid w:val="231511F1"/>
    <w:rsid w:val="231E6699"/>
    <w:rsid w:val="2320448D"/>
    <w:rsid w:val="23253C2C"/>
    <w:rsid w:val="232E6124"/>
    <w:rsid w:val="232F61E4"/>
    <w:rsid w:val="23446E64"/>
    <w:rsid w:val="2351501A"/>
    <w:rsid w:val="23556E96"/>
    <w:rsid w:val="2359588A"/>
    <w:rsid w:val="23643E2E"/>
    <w:rsid w:val="237446C2"/>
    <w:rsid w:val="237763BA"/>
    <w:rsid w:val="237B6D69"/>
    <w:rsid w:val="237E2B2C"/>
    <w:rsid w:val="238566B7"/>
    <w:rsid w:val="238761CB"/>
    <w:rsid w:val="23877F67"/>
    <w:rsid w:val="238E72F6"/>
    <w:rsid w:val="23994D67"/>
    <w:rsid w:val="23994F01"/>
    <w:rsid w:val="239B4DC7"/>
    <w:rsid w:val="23A76463"/>
    <w:rsid w:val="23A83562"/>
    <w:rsid w:val="23B360CE"/>
    <w:rsid w:val="23B80137"/>
    <w:rsid w:val="23C75DC6"/>
    <w:rsid w:val="23C8609F"/>
    <w:rsid w:val="23CB7665"/>
    <w:rsid w:val="23D030B6"/>
    <w:rsid w:val="23D16183"/>
    <w:rsid w:val="23DB67C0"/>
    <w:rsid w:val="23DD59D2"/>
    <w:rsid w:val="23DF685B"/>
    <w:rsid w:val="23E44EB2"/>
    <w:rsid w:val="23E71185"/>
    <w:rsid w:val="23E80E77"/>
    <w:rsid w:val="23E95DFD"/>
    <w:rsid w:val="23EC18F1"/>
    <w:rsid w:val="23ED576F"/>
    <w:rsid w:val="23F01440"/>
    <w:rsid w:val="23F312F4"/>
    <w:rsid w:val="24031DD9"/>
    <w:rsid w:val="240550C3"/>
    <w:rsid w:val="24106653"/>
    <w:rsid w:val="24164147"/>
    <w:rsid w:val="242239E6"/>
    <w:rsid w:val="24227145"/>
    <w:rsid w:val="242332EA"/>
    <w:rsid w:val="243A5559"/>
    <w:rsid w:val="24411BB9"/>
    <w:rsid w:val="24415E0A"/>
    <w:rsid w:val="245A7C32"/>
    <w:rsid w:val="24621365"/>
    <w:rsid w:val="24696B33"/>
    <w:rsid w:val="246A0D24"/>
    <w:rsid w:val="24727226"/>
    <w:rsid w:val="24750EC8"/>
    <w:rsid w:val="247D6715"/>
    <w:rsid w:val="24963D9F"/>
    <w:rsid w:val="249C3577"/>
    <w:rsid w:val="24B05ABC"/>
    <w:rsid w:val="24B108F5"/>
    <w:rsid w:val="24B21B8E"/>
    <w:rsid w:val="24B41CFB"/>
    <w:rsid w:val="24B51ECA"/>
    <w:rsid w:val="24B75209"/>
    <w:rsid w:val="24B9532A"/>
    <w:rsid w:val="24BA7F4A"/>
    <w:rsid w:val="24BD288E"/>
    <w:rsid w:val="24C05AD9"/>
    <w:rsid w:val="24C33188"/>
    <w:rsid w:val="24CE535D"/>
    <w:rsid w:val="24D1665E"/>
    <w:rsid w:val="24D53666"/>
    <w:rsid w:val="24D764AD"/>
    <w:rsid w:val="24D83448"/>
    <w:rsid w:val="24E3171B"/>
    <w:rsid w:val="24E73DD4"/>
    <w:rsid w:val="24EF268D"/>
    <w:rsid w:val="24F23FC5"/>
    <w:rsid w:val="24F24BEA"/>
    <w:rsid w:val="24FD0D5F"/>
    <w:rsid w:val="25022059"/>
    <w:rsid w:val="250E7655"/>
    <w:rsid w:val="251E0FBB"/>
    <w:rsid w:val="252858EF"/>
    <w:rsid w:val="252D0BCB"/>
    <w:rsid w:val="25387269"/>
    <w:rsid w:val="253913C2"/>
    <w:rsid w:val="2540390D"/>
    <w:rsid w:val="2557621D"/>
    <w:rsid w:val="255B35D4"/>
    <w:rsid w:val="2576257B"/>
    <w:rsid w:val="257758B0"/>
    <w:rsid w:val="257E064F"/>
    <w:rsid w:val="25840422"/>
    <w:rsid w:val="25851CED"/>
    <w:rsid w:val="2588283E"/>
    <w:rsid w:val="258A47D4"/>
    <w:rsid w:val="258C4C16"/>
    <w:rsid w:val="258C7A71"/>
    <w:rsid w:val="258E77C0"/>
    <w:rsid w:val="259A239D"/>
    <w:rsid w:val="25A47BA1"/>
    <w:rsid w:val="25B007D5"/>
    <w:rsid w:val="25B20DC9"/>
    <w:rsid w:val="25BD338B"/>
    <w:rsid w:val="25C07F21"/>
    <w:rsid w:val="25C77EAF"/>
    <w:rsid w:val="25CA3707"/>
    <w:rsid w:val="25CB2B2A"/>
    <w:rsid w:val="25CD5C03"/>
    <w:rsid w:val="25D96B62"/>
    <w:rsid w:val="25DB192E"/>
    <w:rsid w:val="25DC213D"/>
    <w:rsid w:val="25E710EE"/>
    <w:rsid w:val="25EA5B86"/>
    <w:rsid w:val="26047BA5"/>
    <w:rsid w:val="26056399"/>
    <w:rsid w:val="260678A5"/>
    <w:rsid w:val="260A7605"/>
    <w:rsid w:val="261165A1"/>
    <w:rsid w:val="26193DDF"/>
    <w:rsid w:val="26194F58"/>
    <w:rsid w:val="262319D3"/>
    <w:rsid w:val="262323E7"/>
    <w:rsid w:val="2624469E"/>
    <w:rsid w:val="262B1F3D"/>
    <w:rsid w:val="262B40D4"/>
    <w:rsid w:val="262C56D6"/>
    <w:rsid w:val="263B3587"/>
    <w:rsid w:val="263E6CD9"/>
    <w:rsid w:val="26425096"/>
    <w:rsid w:val="264303FE"/>
    <w:rsid w:val="26453B93"/>
    <w:rsid w:val="26567675"/>
    <w:rsid w:val="265A019D"/>
    <w:rsid w:val="265E675E"/>
    <w:rsid w:val="26602189"/>
    <w:rsid w:val="266A5FD2"/>
    <w:rsid w:val="267047E0"/>
    <w:rsid w:val="2673476E"/>
    <w:rsid w:val="26764332"/>
    <w:rsid w:val="267A7CC4"/>
    <w:rsid w:val="267E0F4E"/>
    <w:rsid w:val="268A1E14"/>
    <w:rsid w:val="269A345B"/>
    <w:rsid w:val="269B72EA"/>
    <w:rsid w:val="26A7453E"/>
    <w:rsid w:val="26A76BB9"/>
    <w:rsid w:val="26BD62EF"/>
    <w:rsid w:val="26C6337C"/>
    <w:rsid w:val="26CD1820"/>
    <w:rsid w:val="26D40BB6"/>
    <w:rsid w:val="26D40CC8"/>
    <w:rsid w:val="26EC3B56"/>
    <w:rsid w:val="26ED31EF"/>
    <w:rsid w:val="27075469"/>
    <w:rsid w:val="270F1450"/>
    <w:rsid w:val="271368F1"/>
    <w:rsid w:val="27206FB3"/>
    <w:rsid w:val="27286E69"/>
    <w:rsid w:val="272B1FD5"/>
    <w:rsid w:val="272E6D1E"/>
    <w:rsid w:val="2732478D"/>
    <w:rsid w:val="273570C2"/>
    <w:rsid w:val="2741423D"/>
    <w:rsid w:val="27472100"/>
    <w:rsid w:val="27481268"/>
    <w:rsid w:val="274A1FA1"/>
    <w:rsid w:val="274E3310"/>
    <w:rsid w:val="27540E69"/>
    <w:rsid w:val="27565BBB"/>
    <w:rsid w:val="27657641"/>
    <w:rsid w:val="27673A2C"/>
    <w:rsid w:val="27735875"/>
    <w:rsid w:val="27755328"/>
    <w:rsid w:val="27787F6E"/>
    <w:rsid w:val="277A1C97"/>
    <w:rsid w:val="277F44AE"/>
    <w:rsid w:val="27834B74"/>
    <w:rsid w:val="27945FB5"/>
    <w:rsid w:val="27A75249"/>
    <w:rsid w:val="27AD7DAF"/>
    <w:rsid w:val="27B11360"/>
    <w:rsid w:val="27C96862"/>
    <w:rsid w:val="27CE2FC5"/>
    <w:rsid w:val="27D1537C"/>
    <w:rsid w:val="27DB2DBB"/>
    <w:rsid w:val="27DD1EAF"/>
    <w:rsid w:val="27E160A9"/>
    <w:rsid w:val="27E2469C"/>
    <w:rsid w:val="27E55EA8"/>
    <w:rsid w:val="27ED7587"/>
    <w:rsid w:val="27F85A95"/>
    <w:rsid w:val="27FF4B64"/>
    <w:rsid w:val="28036C1D"/>
    <w:rsid w:val="280B5E14"/>
    <w:rsid w:val="280C26D8"/>
    <w:rsid w:val="280D0467"/>
    <w:rsid w:val="281239F6"/>
    <w:rsid w:val="28125BB8"/>
    <w:rsid w:val="281E4C7D"/>
    <w:rsid w:val="28245DBB"/>
    <w:rsid w:val="282A18F2"/>
    <w:rsid w:val="282F3137"/>
    <w:rsid w:val="28342E65"/>
    <w:rsid w:val="2838393C"/>
    <w:rsid w:val="283C0799"/>
    <w:rsid w:val="2841100D"/>
    <w:rsid w:val="28506677"/>
    <w:rsid w:val="28534F99"/>
    <w:rsid w:val="285A6C44"/>
    <w:rsid w:val="286155E4"/>
    <w:rsid w:val="286D049D"/>
    <w:rsid w:val="286D4E71"/>
    <w:rsid w:val="286E4F80"/>
    <w:rsid w:val="286F2AE3"/>
    <w:rsid w:val="28701FC6"/>
    <w:rsid w:val="28716AA0"/>
    <w:rsid w:val="28765326"/>
    <w:rsid w:val="28795BCE"/>
    <w:rsid w:val="2880484A"/>
    <w:rsid w:val="28847070"/>
    <w:rsid w:val="28870B4E"/>
    <w:rsid w:val="289327F7"/>
    <w:rsid w:val="28996392"/>
    <w:rsid w:val="28AA4330"/>
    <w:rsid w:val="28AF61E6"/>
    <w:rsid w:val="28B35DA4"/>
    <w:rsid w:val="28B55A7F"/>
    <w:rsid w:val="28BC3E3A"/>
    <w:rsid w:val="28BF3FDB"/>
    <w:rsid w:val="28C64C12"/>
    <w:rsid w:val="28D206D2"/>
    <w:rsid w:val="28DC304D"/>
    <w:rsid w:val="28E478D8"/>
    <w:rsid w:val="28E66AEF"/>
    <w:rsid w:val="28E92198"/>
    <w:rsid w:val="28EB6F79"/>
    <w:rsid w:val="28F13D9D"/>
    <w:rsid w:val="28F51E9C"/>
    <w:rsid w:val="2909710D"/>
    <w:rsid w:val="29127762"/>
    <w:rsid w:val="29160A91"/>
    <w:rsid w:val="29203C7E"/>
    <w:rsid w:val="292518B2"/>
    <w:rsid w:val="29257B04"/>
    <w:rsid w:val="292875F4"/>
    <w:rsid w:val="292E0B92"/>
    <w:rsid w:val="292F727B"/>
    <w:rsid w:val="293A2AD9"/>
    <w:rsid w:val="293B3290"/>
    <w:rsid w:val="293C51FA"/>
    <w:rsid w:val="2940731E"/>
    <w:rsid w:val="294F4E8E"/>
    <w:rsid w:val="294F692F"/>
    <w:rsid w:val="29655E39"/>
    <w:rsid w:val="29695C42"/>
    <w:rsid w:val="296D217B"/>
    <w:rsid w:val="296E7335"/>
    <w:rsid w:val="297220CC"/>
    <w:rsid w:val="2973643B"/>
    <w:rsid w:val="29791FD7"/>
    <w:rsid w:val="29824F56"/>
    <w:rsid w:val="29893481"/>
    <w:rsid w:val="29941EAE"/>
    <w:rsid w:val="29A03F05"/>
    <w:rsid w:val="29A812EF"/>
    <w:rsid w:val="29BC393D"/>
    <w:rsid w:val="29BD0395"/>
    <w:rsid w:val="29C262BB"/>
    <w:rsid w:val="29D3448A"/>
    <w:rsid w:val="29D6404D"/>
    <w:rsid w:val="29DD3332"/>
    <w:rsid w:val="29DF788D"/>
    <w:rsid w:val="29E20F25"/>
    <w:rsid w:val="29E35CC9"/>
    <w:rsid w:val="29E73039"/>
    <w:rsid w:val="29E74A6B"/>
    <w:rsid w:val="29FA5561"/>
    <w:rsid w:val="29FE5DBE"/>
    <w:rsid w:val="2A007E94"/>
    <w:rsid w:val="2A075F37"/>
    <w:rsid w:val="2A0925D8"/>
    <w:rsid w:val="2A1509D5"/>
    <w:rsid w:val="2A1657F3"/>
    <w:rsid w:val="2A1B63C2"/>
    <w:rsid w:val="2A200C82"/>
    <w:rsid w:val="2A24097C"/>
    <w:rsid w:val="2A2D22C7"/>
    <w:rsid w:val="2A2F0750"/>
    <w:rsid w:val="2A324EC4"/>
    <w:rsid w:val="2A394809"/>
    <w:rsid w:val="2A446E37"/>
    <w:rsid w:val="2A4B26DB"/>
    <w:rsid w:val="2A4E648A"/>
    <w:rsid w:val="2A53019E"/>
    <w:rsid w:val="2A557BBB"/>
    <w:rsid w:val="2A651779"/>
    <w:rsid w:val="2A6D341F"/>
    <w:rsid w:val="2A6F4EFD"/>
    <w:rsid w:val="2A7303CF"/>
    <w:rsid w:val="2A740DCD"/>
    <w:rsid w:val="2A78364C"/>
    <w:rsid w:val="2A8119E3"/>
    <w:rsid w:val="2A826A75"/>
    <w:rsid w:val="2A8451E2"/>
    <w:rsid w:val="2A857B98"/>
    <w:rsid w:val="2A99656C"/>
    <w:rsid w:val="2A9C1960"/>
    <w:rsid w:val="2AA61351"/>
    <w:rsid w:val="2AAD52ED"/>
    <w:rsid w:val="2AAF757C"/>
    <w:rsid w:val="2AB90E9E"/>
    <w:rsid w:val="2ABD74FE"/>
    <w:rsid w:val="2AC1796D"/>
    <w:rsid w:val="2ACB3B4E"/>
    <w:rsid w:val="2ACC6941"/>
    <w:rsid w:val="2AD951A2"/>
    <w:rsid w:val="2ADD7936"/>
    <w:rsid w:val="2AE243B2"/>
    <w:rsid w:val="2AE70478"/>
    <w:rsid w:val="2AF73206"/>
    <w:rsid w:val="2AFF0153"/>
    <w:rsid w:val="2B025A9F"/>
    <w:rsid w:val="2B033E75"/>
    <w:rsid w:val="2B0D74E9"/>
    <w:rsid w:val="2B146D14"/>
    <w:rsid w:val="2B1A1B1E"/>
    <w:rsid w:val="2B1F5024"/>
    <w:rsid w:val="2B261DD7"/>
    <w:rsid w:val="2B2959AE"/>
    <w:rsid w:val="2B317A32"/>
    <w:rsid w:val="2B3222F2"/>
    <w:rsid w:val="2B373986"/>
    <w:rsid w:val="2B381B9F"/>
    <w:rsid w:val="2B3F244C"/>
    <w:rsid w:val="2B4B32B2"/>
    <w:rsid w:val="2B5432CC"/>
    <w:rsid w:val="2B5903D4"/>
    <w:rsid w:val="2B5C3407"/>
    <w:rsid w:val="2B5C3C44"/>
    <w:rsid w:val="2B5C55AC"/>
    <w:rsid w:val="2B667326"/>
    <w:rsid w:val="2B6B4BA8"/>
    <w:rsid w:val="2B6D169A"/>
    <w:rsid w:val="2B724C67"/>
    <w:rsid w:val="2B782A1F"/>
    <w:rsid w:val="2B7B1C5D"/>
    <w:rsid w:val="2B7C07F9"/>
    <w:rsid w:val="2B80151A"/>
    <w:rsid w:val="2B81525B"/>
    <w:rsid w:val="2B8876E9"/>
    <w:rsid w:val="2B8A1EA0"/>
    <w:rsid w:val="2B937CDC"/>
    <w:rsid w:val="2B9B64FA"/>
    <w:rsid w:val="2BA11867"/>
    <w:rsid w:val="2BB60730"/>
    <w:rsid w:val="2BBE2458"/>
    <w:rsid w:val="2BBE645F"/>
    <w:rsid w:val="2BBF5FEE"/>
    <w:rsid w:val="2BD32BEB"/>
    <w:rsid w:val="2BD32F8E"/>
    <w:rsid w:val="2BD440B2"/>
    <w:rsid w:val="2BDC76EF"/>
    <w:rsid w:val="2BE44A92"/>
    <w:rsid w:val="2BE76C10"/>
    <w:rsid w:val="2BEA2DDE"/>
    <w:rsid w:val="2BEB6DE3"/>
    <w:rsid w:val="2BEE5C11"/>
    <w:rsid w:val="2BEE7CF9"/>
    <w:rsid w:val="2BF5094B"/>
    <w:rsid w:val="2BF805CA"/>
    <w:rsid w:val="2BFA2B37"/>
    <w:rsid w:val="2C015E10"/>
    <w:rsid w:val="2C022A0F"/>
    <w:rsid w:val="2C03656F"/>
    <w:rsid w:val="2C04259F"/>
    <w:rsid w:val="2C0C0D19"/>
    <w:rsid w:val="2C0C0F54"/>
    <w:rsid w:val="2C0E2AD1"/>
    <w:rsid w:val="2C116AD1"/>
    <w:rsid w:val="2C122652"/>
    <w:rsid w:val="2C1D3306"/>
    <w:rsid w:val="2C1F4713"/>
    <w:rsid w:val="2C202104"/>
    <w:rsid w:val="2C283019"/>
    <w:rsid w:val="2C284E8E"/>
    <w:rsid w:val="2C2B7F3C"/>
    <w:rsid w:val="2C2F4D9C"/>
    <w:rsid w:val="2C3840B1"/>
    <w:rsid w:val="2C3841C9"/>
    <w:rsid w:val="2C3D7DA5"/>
    <w:rsid w:val="2C4226F6"/>
    <w:rsid w:val="2C466CE1"/>
    <w:rsid w:val="2C473DBF"/>
    <w:rsid w:val="2C4F187E"/>
    <w:rsid w:val="2C697531"/>
    <w:rsid w:val="2C6A4A41"/>
    <w:rsid w:val="2C6A5997"/>
    <w:rsid w:val="2C6E62CA"/>
    <w:rsid w:val="2C711F00"/>
    <w:rsid w:val="2C7232F1"/>
    <w:rsid w:val="2C74498D"/>
    <w:rsid w:val="2C7A4305"/>
    <w:rsid w:val="2C851C3E"/>
    <w:rsid w:val="2C855DAC"/>
    <w:rsid w:val="2C866B0B"/>
    <w:rsid w:val="2C8E3C12"/>
    <w:rsid w:val="2C9A0BA4"/>
    <w:rsid w:val="2CA46622"/>
    <w:rsid w:val="2CA91024"/>
    <w:rsid w:val="2CB361A5"/>
    <w:rsid w:val="2CC60430"/>
    <w:rsid w:val="2CD80113"/>
    <w:rsid w:val="2CDA0C05"/>
    <w:rsid w:val="2CE364B1"/>
    <w:rsid w:val="2CEC0004"/>
    <w:rsid w:val="2D004301"/>
    <w:rsid w:val="2D004D07"/>
    <w:rsid w:val="2D012636"/>
    <w:rsid w:val="2D016192"/>
    <w:rsid w:val="2D0D7222"/>
    <w:rsid w:val="2D0E0FF4"/>
    <w:rsid w:val="2D0F08AF"/>
    <w:rsid w:val="2D26521F"/>
    <w:rsid w:val="2D2F6099"/>
    <w:rsid w:val="2D3519ED"/>
    <w:rsid w:val="2D412965"/>
    <w:rsid w:val="2D443A60"/>
    <w:rsid w:val="2D445E75"/>
    <w:rsid w:val="2D55028C"/>
    <w:rsid w:val="2D592738"/>
    <w:rsid w:val="2D5D2C5F"/>
    <w:rsid w:val="2D66111E"/>
    <w:rsid w:val="2D6B2B7E"/>
    <w:rsid w:val="2D6C4296"/>
    <w:rsid w:val="2D756D21"/>
    <w:rsid w:val="2D762EC6"/>
    <w:rsid w:val="2D771923"/>
    <w:rsid w:val="2D7E0705"/>
    <w:rsid w:val="2D7E6359"/>
    <w:rsid w:val="2DA06097"/>
    <w:rsid w:val="2DA43AF9"/>
    <w:rsid w:val="2DAD766F"/>
    <w:rsid w:val="2DAE5282"/>
    <w:rsid w:val="2DB67D65"/>
    <w:rsid w:val="2DC51ADF"/>
    <w:rsid w:val="2DC932F1"/>
    <w:rsid w:val="2DCD5D54"/>
    <w:rsid w:val="2DCE7001"/>
    <w:rsid w:val="2DD41AF8"/>
    <w:rsid w:val="2DE060E7"/>
    <w:rsid w:val="2DE64E6E"/>
    <w:rsid w:val="2DE81822"/>
    <w:rsid w:val="2DF31018"/>
    <w:rsid w:val="2DF61A39"/>
    <w:rsid w:val="2DFE6C08"/>
    <w:rsid w:val="2E010746"/>
    <w:rsid w:val="2E081C4D"/>
    <w:rsid w:val="2E0D0910"/>
    <w:rsid w:val="2E0D38E6"/>
    <w:rsid w:val="2E175298"/>
    <w:rsid w:val="2E27089B"/>
    <w:rsid w:val="2E2979C8"/>
    <w:rsid w:val="2E2B5150"/>
    <w:rsid w:val="2E2B5417"/>
    <w:rsid w:val="2E3265B7"/>
    <w:rsid w:val="2E350D76"/>
    <w:rsid w:val="2E366541"/>
    <w:rsid w:val="2E367DD5"/>
    <w:rsid w:val="2E3F11F2"/>
    <w:rsid w:val="2E4219A3"/>
    <w:rsid w:val="2E441C63"/>
    <w:rsid w:val="2E444903"/>
    <w:rsid w:val="2E496043"/>
    <w:rsid w:val="2E4B5344"/>
    <w:rsid w:val="2E513FEB"/>
    <w:rsid w:val="2E516CA5"/>
    <w:rsid w:val="2E52111B"/>
    <w:rsid w:val="2E532A1D"/>
    <w:rsid w:val="2E556066"/>
    <w:rsid w:val="2E557D41"/>
    <w:rsid w:val="2E575CE5"/>
    <w:rsid w:val="2E6544B1"/>
    <w:rsid w:val="2E7368C6"/>
    <w:rsid w:val="2E7552A7"/>
    <w:rsid w:val="2E864FF0"/>
    <w:rsid w:val="2E9845C1"/>
    <w:rsid w:val="2EAB5E89"/>
    <w:rsid w:val="2EB72FAC"/>
    <w:rsid w:val="2EB86E7E"/>
    <w:rsid w:val="2EC456C9"/>
    <w:rsid w:val="2ED0406E"/>
    <w:rsid w:val="2ED63B48"/>
    <w:rsid w:val="2EE240FD"/>
    <w:rsid w:val="2EFE0CD2"/>
    <w:rsid w:val="2F101406"/>
    <w:rsid w:val="2F1228E1"/>
    <w:rsid w:val="2F1405EB"/>
    <w:rsid w:val="2F144C68"/>
    <w:rsid w:val="2F1A1C1B"/>
    <w:rsid w:val="2F2373E7"/>
    <w:rsid w:val="2F25798D"/>
    <w:rsid w:val="2F2B7701"/>
    <w:rsid w:val="2F37233F"/>
    <w:rsid w:val="2F3A5581"/>
    <w:rsid w:val="2F3F0889"/>
    <w:rsid w:val="2F3F2E91"/>
    <w:rsid w:val="2F405E38"/>
    <w:rsid w:val="2F4131BE"/>
    <w:rsid w:val="2F431340"/>
    <w:rsid w:val="2F436F36"/>
    <w:rsid w:val="2F4C1A23"/>
    <w:rsid w:val="2F5164AC"/>
    <w:rsid w:val="2F594FEF"/>
    <w:rsid w:val="2F620958"/>
    <w:rsid w:val="2F65593C"/>
    <w:rsid w:val="2F6E6410"/>
    <w:rsid w:val="2F7073CF"/>
    <w:rsid w:val="2F722771"/>
    <w:rsid w:val="2F7A642D"/>
    <w:rsid w:val="2F7D3914"/>
    <w:rsid w:val="2F87443F"/>
    <w:rsid w:val="2F880D3B"/>
    <w:rsid w:val="2F8D08C3"/>
    <w:rsid w:val="2F902BAA"/>
    <w:rsid w:val="2F9673B8"/>
    <w:rsid w:val="2F9E3EEF"/>
    <w:rsid w:val="2FA21EAE"/>
    <w:rsid w:val="2FA771DF"/>
    <w:rsid w:val="2FA867CD"/>
    <w:rsid w:val="2FAD2601"/>
    <w:rsid w:val="2FCA7EE5"/>
    <w:rsid w:val="2FCD0CD8"/>
    <w:rsid w:val="2FCF5091"/>
    <w:rsid w:val="2FD505B1"/>
    <w:rsid w:val="2FD50C59"/>
    <w:rsid w:val="2FD77336"/>
    <w:rsid w:val="2FDA7D84"/>
    <w:rsid w:val="2FDD29B0"/>
    <w:rsid w:val="2FE66D18"/>
    <w:rsid w:val="2FED5B33"/>
    <w:rsid w:val="2FF0550F"/>
    <w:rsid w:val="2FF47073"/>
    <w:rsid w:val="2FF953E8"/>
    <w:rsid w:val="2FF96642"/>
    <w:rsid w:val="2FFE6059"/>
    <w:rsid w:val="30020133"/>
    <w:rsid w:val="300C346B"/>
    <w:rsid w:val="300D2A21"/>
    <w:rsid w:val="3012162E"/>
    <w:rsid w:val="301D02B9"/>
    <w:rsid w:val="302133F3"/>
    <w:rsid w:val="302177F7"/>
    <w:rsid w:val="30366B99"/>
    <w:rsid w:val="3037035F"/>
    <w:rsid w:val="303F0CBD"/>
    <w:rsid w:val="30450A8C"/>
    <w:rsid w:val="30475E30"/>
    <w:rsid w:val="305158FB"/>
    <w:rsid w:val="30530011"/>
    <w:rsid w:val="30571DAB"/>
    <w:rsid w:val="30592B8D"/>
    <w:rsid w:val="30593596"/>
    <w:rsid w:val="305B3092"/>
    <w:rsid w:val="30640F12"/>
    <w:rsid w:val="3065539F"/>
    <w:rsid w:val="3067240B"/>
    <w:rsid w:val="306B4DD0"/>
    <w:rsid w:val="30751997"/>
    <w:rsid w:val="30837582"/>
    <w:rsid w:val="309277AF"/>
    <w:rsid w:val="30931E34"/>
    <w:rsid w:val="309807BE"/>
    <w:rsid w:val="30A94B7F"/>
    <w:rsid w:val="30AD075B"/>
    <w:rsid w:val="30B02567"/>
    <w:rsid w:val="30B04E27"/>
    <w:rsid w:val="30B24378"/>
    <w:rsid w:val="30B47711"/>
    <w:rsid w:val="30B5370F"/>
    <w:rsid w:val="30BC5BB7"/>
    <w:rsid w:val="30C47BC8"/>
    <w:rsid w:val="30C83F49"/>
    <w:rsid w:val="30C93A93"/>
    <w:rsid w:val="30CE1022"/>
    <w:rsid w:val="30CF50E3"/>
    <w:rsid w:val="30D156FE"/>
    <w:rsid w:val="30D276C2"/>
    <w:rsid w:val="30DF6C55"/>
    <w:rsid w:val="30E11543"/>
    <w:rsid w:val="30E65593"/>
    <w:rsid w:val="30F13D9D"/>
    <w:rsid w:val="30F54D6F"/>
    <w:rsid w:val="30FA33DC"/>
    <w:rsid w:val="31027EA9"/>
    <w:rsid w:val="31030FEC"/>
    <w:rsid w:val="310B7829"/>
    <w:rsid w:val="31166DE3"/>
    <w:rsid w:val="311C7DB5"/>
    <w:rsid w:val="31387F77"/>
    <w:rsid w:val="3144341E"/>
    <w:rsid w:val="314961B6"/>
    <w:rsid w:val="314B32BF"/>
    <w:rsid w:val="314F3376"/>
    <w:rsid w:val="31564C8D"/>
    <w:rsid w:val="31570E11"/>
    <w:rsid w:val="315D551A"/>
    <w:rsid w:val="315F36AD"/>
    <w:rsid w:val="31662C71"/>
    <w:rsid w:val="316905A7"/>
    <w:rsid w:val="316D3427"/>
    <w:rsid w:val="317140E5"/>
    <w:rsid w:val="31762E8B"/>
    <w:rsid w:val="31796C3F"/>
    <w:rsid w:val="318162FD"/>
    <w:rsid w:val="31886E82"/>
    <w:rsid w:val="31894FFC"/>
    <w:rsid w:val="318D42D2"/>
    <w:rsid w:val="318F1FFF"/>
    <w:rsid w:val="31905A3E"/>
    <w:rsid w:val="319834F2"/>
    <w:rsid w:val="3199606B"/>
    <w:rsid w:val="319E66A5"/>
    <w:rsid w:val="31A9067E"/>
    <w:rsid w:val="31B163D9"/>
    <w:rsid w:val="31B31BE6"/>
    <w:rsid w:val="31B5097C"/>
    <w:rsid w:val="31B56F97"/>
    <w:rsid w:val="31BB4273"/>
    <w:rsid w:val="31C63636"/>
    <w:rsid w:val="31C67850"/>
    <w:rsid w:val="31CA4F64"/>
    <w:rsid w:val="31CE0A51"/>
    <w:rsid w:val="31D10829"/>
    <w:rsid w:val="31D36F97"/>
    <w:rsid w:val="31D863C1"/>
    <w:rsid w:val="31E11941"/>
    <w:rsid w:val="31F12B1F"/>
    <w:rsid w:val="320036EF"/>
    <w:rsid w:val="32043258"/>
    <w:rsid w:val="321A667D"/>
    <w:rsid w:val="321E1D8E"/>
    <w:rsid w:val="322C3CB1"/>
    <w:rsid w:val="322E531D"/>
    <w:rsid w:val="323256F6"/>
    <w:rsid w:val="32362973"/>
    <w:rsid w:val="323B50FC"/>
    <w:rsid w:val="323C2A55"/>
    <w:rsid w:val="324011C2"/>
    <w:rsid w:val="324370B2"/>
    <w:rsid w:val="32445FFC"/>
    <w:rsid w:val="324C3F22"/>
    <w:rsid w:val="3268332E"/>
    <w:rsid w:val="326A2FB3"/>
    <w:rsid w:val="32755C4A"/>
    <w:rsid w:val="327E4312"/>
    <w:rsid w:val="327E5FB9"/>
    <w:rsid w:val="328A44E9"/>
    <w:rsid w:val="328C338F"/>
    <w:rsid w:val="32917FB8"/>
    <w:rsid w:val="32964B09"/>
    <w:rsid w:val="329A0462"/>
    <w:rsid w:val="329B32CA"/>
    <w:rsid w:val="329B4860"/>
    <w:rsid w:val="329C0C4C"/>
    <w:rsid w:val="32A0392B"/>
    <w:rsid w:val="32AB3019"/>
    <w:rsid w:val="32AD3782"/>
    <w:rsid w:val="32B53CA7"/>
    <w:rsid w:val="32BE12FB"/>
    <w:rsid w:val="32C26A04"/>
    <w:rsid w:val="32D85708"/>
    <w:rsid w:val="32DC7485"/>
    <w:rsid w:val="32DE43A0"/>
    <w:rsid w:val="32E35ECC"/>
    <w:rsid w:val="32EA6D7A"/>
    <w:rsid w:val="32EB2E03"/>
    <w:rsid w:val="32EB6FE9"/>
    <w:rsid w:val="32F21F30"/>
    <w:rsid w:val="32FC735B"/>
    <w:rsid w:val="32FC7740"/>
    <w:rsid w:val="330C7FBD"/>
    <w:rsid w:val="33101F81"/>
    <w:rsid w:val="331E1494"/>
    <w:rsid w:val="332149AD"/>
    <w:rsid w:val="332252C4"/>
    <w:rsid w:val="332579A8"/>
    <w:rsid w:val="33311E1D"/>
    <w:rsid w:val="33356B95"/>
    <w:rsid w:val="333C27E7"/>
    <w:rsid w:val="333D01B9"/>
    <w:rsid w:val="33401C41"/>
    <w:rsid w:val="33404766"/>
    <w:rsid w:val="33431AC2"/>
    <w:rsid w:val="3344649B"/>
    <w:rsid w:val="334A5D48"/>
    <w:rsid w:val="33523DDE"/>
    <w:rsid w:val="33534497"/>
    <w:rsid w:val="335970BA"/>
    <w:rsid w:val="3361798A"/>
    <w:rsid w:val="33686F6B"/>
    <w:rsid w:val="33691F40"/>
    <w:rsid w:val="336E595D"/>
    <w:rsid w:val="33713745"/>
    <w:rsid w:val="33763C22"/>
    <w:rsid w:val="33796643"/>
    <w:rsid w:val="337F0F6B"/>
    <w:rsid w:val="33801AA9"/>
    <w:rsid w:val="3381316C"/>
    <w:rsid w:val="338752E9"/>
    <w:rsid w:val="33894900"/>
    <w:rsid w:val="338F30A7"/>
    <w:rsid w:val="339B5E39"/>
    <w:rsid w:val="339E3A3C"/>
    <w:rsid w:val="33A81A86"/>
    <w:rsid w:val="33B07A44"/>
    <w:rsid w:val="33B4667C"/>
    <w:rsid w:val="33BB353F"/>
    <w:rsid w:val="33C702ED"/>
    <w:rsid w:val="33D1062F"/>
    <w:rsid w:val="33DF0711"/>
    <w:rsid w:val="33EF3FDD"/>
    <w:rsid w:val="33F12A50"/>
    <w:rsid w:val="33F321BA"/>
    <w:rsid w:val="33F35483"/>
    <w:rsid w:val="33FA2516"/>
    <w:rsid w:val="33FB1F86"/>
    <w:rsid w:val="3400529A"/>
    <w:rsid w:val="34015D1F"/>
    <w:rsid w:val="34057516"/>
    <w:rsid w:val="340D5C9C"/>
    <w:rsid w:val="3411331F"/>
    <w:rsid w:val="3413678E"/>
    <w:rsid w:val="342A3CB4"/>
    <w:rsid w:val="342E0EC7"/>
    <w:rsid w:val="343047D3"/>
    <w:rsid w:val="3432069F"/>
    <w:rsid w:val="34335C86"/>
    <w:rsid w:val="34381B90"/>
    <w:rsid w:val="343F14EE"/>
    <w:rsid w:val="34413517"/>
    <w:rsid w:val="34473B40"/>
    <w:rsid w:val="34480E32"/>
    <w:rsid w:val="344A6670"/>
    <w:rsid w:val="344F012B"/>
    <w:rsid w:val="345D645F"/>
    <w:rsid w:val="34602925"/>
    <w:rsid w:val="346D5D12"/>
    <w:rsid w:val="346F4F4A"/>
    <w:rsid w:val="349727BD"/>
    <w:rsid w:val="34A96378"/>
    <w:rsid w:val="34B5072C"/>
    <w:rsid w:val="34BD2CCA"/>
    <w:rsid w:val="34C100BA"/>
    <w:rsid w:val="34D21E6E"/>
    <w:rsid w:val="34D74FDC"/>
    <w:rsid w:val="34E46BB5"/>
    <w:rsid w:val="34EF2C76"/>
    <w:rsid w:val="34F5115F"/>
    <w:rsid w:val="34FA54B2"/>
    <w:rsid w:val="34FD1935"/>
    <w:rsid w:val="34FF15BB"/>
    <w:rsid w:val="34FF53C5"/>
    <w:rsid w:val="35004F81"/>
    <w:rsid w:val="35016038"/>
    <w:rsid w:val="35050F88"/>
    <w:rsid w:val="35090B63"/>
    <w:rsid w:val="350A1DCF"/>
    <w:rsid w:val="350E5379"/>
    <w:rsid w:val="35134613"/>
    <w:rsid w:val="35197E42"/>
    <w:rsid w:val="352152C8"/>
    <w:rsid w:val="352A41A8"/>
    <w:rsid w:val="353642AB"/>
    <w:rsid w:val="353D722E"/>
    <w:rsid w:val="354562EB"/>
    <w:rsid w:val="3545752B"/>
    <w:rsid w:val="35475891"/>
    <w:rsid w:val="35530079"/>
    <w:rsid w:val="3555517F"/>
    <w:rsid w:val="356E6CE1"/>
    <w:rsid w:val="35770921"/>
    <w:rsid w:val="357A177D"/>
    <w:rsid w:val="357B36F0"/>
    <w:rsid w:val="357C4031"/>
    <w:rsid w:val="357F677C"/>
    <w:rsid w:val="35833F14"/>
    <w:rsid w:val="358538AB"/>
    <w:rsid w:val="358C3AA6"/>
    <w:rsid w:val="35930C8E"/>
    <w:rsid w:val="35950FB1"/>
    <w:rsid w:val="35A052CF"/>
    <w:rsid w:val="35A52F92"/>
    <w:rsid w:val="35AE79BB"/>
    <w:rsid w:val="35AF0064"/>
    <w:rsid w:val="35B278FC"/>
    <w:rsid w:val="35C03996"/>
    <w:rsid w:val="35C50ABB"/>
    <w:rsid w:val="35C961DE"/>
    <w:rsid w:val="35D801BB"/>
    <w:rsid w:val="35D92FA2"/>
    <w:rsid w:val="35EB5811"/>
    <w:rsid w:val="35EE694C"/>
    <w:rsid w:val="35FF44CF"/>
    <w:rsid w:val="36045036"/>
    <w:rsid w:val="36143A97"/>
    <w:rsid w:val="36215F66"/>
    <w:rsid w:val="36266B61"/>
    <w:rsid w:val="36274348"/>
    <w:rsid w:val="36285F30"/>
    <w:rsid w:val="36355306"/>
    <w:rsid w:val="36361C14"/>
    <w:rsid w:val="36395E3D"/>
    <w:rsid w:val="363E1AEA"/>
    <w:rsid w:val="36473D84"/>
    <w:rsid w:val="364A4D99"/>
    <w:rsid w:val="364B6400"/>
    <w:rsid w:val="36521CA0"/>
    <w:rsid w:val="365732E5"/>
    <w:rsid w:val="36722213"/>
    <w:rsid w:val="367819C0"/>
    <w:rsid w:val="367C38B4"/>
    <w:rsid w:val="368470CC"/>
    <w:rsid w:val="369669D9"/>
    <w:rsid w:val="36973A0B"/>
    <w:rsid w:val="369D111E"/>
    <w:rsid w:val="369D5712"/>
    <w:rsid w:val="36A5579C"/>
    <w:rsid w:val="36AF6C5F"/>
    <w:rsid w:val="36B778B1"/>
    <w:rsid w:val="36BB1878"/>
    <w:rsid w:val="36C344B8"/>
    <w:rsid w:val="36C37415"/>
    <w:rsid w:val="36D27FF3"/>
    <w:rsid w:val="36D57254"/>
    <w:rsid w:val="36D6086F"/>
    <w:rsid w:val="36DA091C"/>
    <w:rsid w:val="36DE73AC"/>
    <w:rsid w:val="36F05BEF"/>
    <w:rsid w:val="36F476F6"/>
    <w:rsid w:val="37033D62"/>
    <w:rsid w:val="37047B9A"/>
    <w:rsid w:val="37115737"/>
    <w:rsid w:val="37164F30"/>
    <w:rsid w:val="3733163E"/>
    <w:rsid w:val="373339AD"/>
    <w:rsid w:val="37350E90"/>
    <w:rsid w:val="374455F9"/>
    <w:rsid w:val="37496F18"/>
    <w:rsid w:val="375210A4"/>
    <w:rsid w:val="375F04D5"/>
    <w:rsid w:val="376614D0"/>
    <w:rsid w:val="37674BA9"/>
    <w:rsid w:val="37695B54"/>
    <w:rsid w:val="376F3D58"/>
    <w:rsid w:val="377157E3"/>
    <w:rsid w:val="377C1709"/>
    <w:rsid w:val="37833BE3"/>
    <w:rsid w:val="37861616"/>
    <w:rsid w:val="378958C2"/>
    <w:rsid w:val="378C0D4E"/>
    <w:rsid w:val="379133BF"/>
    <w:rsid w:val="37923A35"/>
    <w:rsid w:val="379903EB"/>
    <w:rsid w:val="379D4B9D"/>
    <w:rsid w:val="37A1136B"/>
    <w:rsid w:val="37C2506F"/>
    <w:rsid w:val="37CB454D"/>
    <w:rsid w:val="37D868A7"/>
    <w:rsid w:val="37E176ED"/>
    <w:rsid w:val="37E22DB7"/>
    <w:rsid w:val="37E26AA1"/>
    <w:rsid w:val="37E312B6"/>
    <w:rsid w:val="37E64902"/>
    <w:rsid w:val="37E869F0"/>
    <w:rsid w:val="37F1019A"/>
    <w:rsid w:val="37F10D3F"/>
    <w:rsid w:val="37F8082F"/>
    <w:rsid w:val="37F92A1F"/>
    <w:rsid w:val="37F947FE"/>
    <w:rsid w:val="37FC411A"/>
    <w:rsid w:val="382209C5"/>
    <w:rsid w:val="382C1FE9"/>
    <w:rsid w:val="38503863"/>
    <w:rsid w:val="385A458B"/>
    <w:rsid w:val="385F2B13"/>
    <w:rsid w:val="38637BAE"/>
    <w:rsid w:val="386862D0"/>
    <w:rsid w:val="38710670"/>
    <w:rsid w:val="38773614"/>
    <w:rsid w:val="387B14EE"/>
    <w:rsid w:val="387B3FB2"/>
    <w:rsid w:val="387B429E"/>
    <w:rsid w:val="38811766"/>
    <w:rsid w:val="3882197D"/>
    <w:rsid w:val="388303A3"/>
    <w:rsid w:val="3885663A"/>
    <w:rsid w:val="3891694A"/>
    <w:rsid w:val="38AD7D3C"/>
    <w:rsid w:val="38AE462F"/>
    <w:rsid w:val="38B54187"/>
    <w:rsid w:val="38BE2B69"/>
    <w:rsid w:val="38C422D5"/>
    <w:rsid w:val="38CA2742"/>
    <w:rsid w:val="38CA4224"/>
    <w:rsid w:val="38DF05E7"/>
    <w:rsid w:val="38E04B22"/>
    <w:rsid w:val="38E1363B"/>
    <w:rsid w:val="38E3317A"/>
    <w:rsid w:val="38E96AA5"/>
    <w:rsid w:val="38FD4668"/>
    <w:rsid w:val="39024102"/>
    <w:rsid w:val="3906316E"/>
    <w:rsid w:val="39083EAB"/>
    <w:rsid w:val="390973DE"/>
    <w:rsid w:val="39132A9B"/>
    <w:rsid w:val="39142CF2"/>
    <w:rsid w:val="39151F7A"/>
    <w:rsid w:val="392444CA"/>
    <w:rsid w:val="392F4262"/>
    <w:rsid w:val="393E4695"/>
    <w:rsid w:val="39413994"/>
    <w:rsid w:val="3947568C"/>
    <w:rsid w:val="394A0BBD"/>
    <w:rsid w:val="39613168"/>
    <w:rsid w:val="3971469F"/>
    <w:rsid w:val="397877DC"/>
    <w:rsid w:val="39872F22"/>
    <w:rsid w:val="39873CDB"/>
    <w:rsid w:val="398F3254"/>
    <w:rsid w:val="39915A82"/>
    <w:rsid w:val="3995388E"/>
    <w:rsid w:val="39A06546"/>
    <w:rsid w:val="39AB0F30"/>
    <w:rsid w:val="39AF09E0"/>
    <w:rsid w:val="39BC6836"/>
    <w:rsid w:val="39C05339"/>
    <w:rsid w:val="39C71362"/>
    <w:rsid w:val="39C7774A"/>
    <w:rsid w:val="39CB3B9A"/>
    <w:rsid w:val="39CE7593"/>
    <w:rsid w:val="39D81032"/>
    <w:rsid w:val="39DF2EE9"/>
    <w:rsid w:val="39DF4383"/>
    <w:rsid w:val="39E44E71"/>
    <w:rsid w:val="39E82BB3"/>
    <w:rsid w:val="39ED71CB"/>
    <w:rsid w:val="39F4159F"/>
    <w:rsid w:val="39F51828"/>
    <w:rsid w:val="3A0D57E8"/>
    <w:rsid w:val="3A1144C2"/>
    <w:rsid w:val="3A12055F"/>
    <w:rsid w:val="3A1729B9"/>
    <w:rsid w:val="3A1759FE"/>
    <w:rsid w:val="3A197EDF"/>
    <w:rsid w:val="3A1E40A8"/>
    <w:rsid w:val="3A1F14E8"/>
    <w:rsid w:val="3A215DA4"/>
    <w:rsid w:val="3A237DED"/>
    <w:rsid w:val="3A2A6087"/>
    <w:rsid w:val="3A2E3E1D"/>
    <w:rsid w:val="3A356783"/>
    <w:rsid w:val="3A4B0633"/>
    <w:rsid w:val="3A4E7D5E"/>
    <w:rsid w:val="3A5C7F6C"/>
    <w:rsid w:val="3A5E69D2"/>
    <w:rsid w:val="3A5F717C"/>
    <w:rsid w:val="3A6755EE"/>
    <w:rsid w:val="3A685AA2"/>
    <w:rsid w:val="3A704EFB"/>
    <w:rsid w:val="3A762CD3"/>
    <w:rsid w:val="3A7922AF"/>
    <w:rsid w:val="3A883655"/>
    <w:rsid w:val="3AC85C83"/>
    <w:rsid w:val="3AD63323"/>
    <w:rsid w:val="3AD80B27"/>
    <w:rsid w:val="3AE42F73"/>
    <w:rsid w:val="3AE53B01"/>
    <w:rsid w:val="3AF07B06"/>
    <w:rsid w:val="3AF15759"/>
    <w:rsid w:val="3AFB5C9C"/>
    <w:rsid w:val="3B0C3829"/>
    <w:rsid w:val="3B0E755F"/>
    <w:rsid w:val="3B0F3E35"/>
    <w:rsid w:val="3B164849"/>
    <w:rsid w:val="3B226923"/>
    <w:rsid w:val="3B2428F4"/>
    <w:rsid w:val="3B2C0432"/>
    <w:rsid w:val="3B370F6F"/>
    <w:rsid w:val="3B3779E1"/>
    <w:rsid w:val="3B395AAF"/>
    <w:rsid w:val="3B461160"/>
    <w:rsid w:val="3B4B5FBD"/>
    <w:rsid w:val="3B540C9C"/>
    <w:rsid w:val="3B5A6803"/>
    <w:rsid w:val="3B657FF1"/>
    <w:rsid w:val="3B67137E"/>
    <w:rsid w:val="3B6B451D"/>
    <w:rsid w:val="3B6E70E8"/>
    <w:rsid w:val="3B7003D2"/>
    <w:rsid w:val="3B84690C"/>
    <w:rsid w:val="3B90157C"/>
    <w:rsid w:val="3B914B85"/>
    <w:rsid w:val="3B921974"/>
    <w:rsid w:val="3B942FA4"/>
    <w:rsid w:val="3B9D57F6"/>
    <w:rsid w:val="3BA4440B"/>
    <w:rsid w:val="3BA56A4E"/>
    <w:rsid w:val="3BAF6483"/>
    <w:rsid w:val="3BB00237"/>
    <w:rsid w:val="3BB865B6"/>
    <w:rsid w:val="3BBC19F2"/>
    <w:rsid w:val="3BBF1028"/>
    <w:rsid w:val="3BC36BC5"/>
    <w:rsid w:val="3BCB6C26"/>
    <w:rsid w:val="3BCF73DC"/>
    <w:rsid w:val="3BD5188A"/>
    <w:rsid w:val="3BDD33A3"/>
    <w:rsid w:val="3BE8274F"/>
    <w:rsid w:val="3BEF4CB2"/>
    <w:rsid w:val="3BF611BA"/>
    <w:rsid w:val="3BF828E3"/>
    <w:rsid w:val="3C123480"/>
    <w:rsid w:val="3C127211"/>
    <w:rsid w:val="3C15441F"/>
    <w:rsid w:val="3C1C74DA"/>
    <w:rsid w:val="3C2317D2"/>
    <w:rsid w:val="3C2D2F7D"/>
    <w:rsid w:val="3C381BD8"/>
    <w:rsid w:val="3C385A1D"/>
    <w:rsid w:val="3C3E07F0"/>
    <w:rsid w:val="3C403CF2"/>
    <w:rsid w:val="3C414DA5"/>
    <w:rsid w:val="3C43510A"/>
    <w:rsid w:val="3C466358"/>
    <w:rsid w:val="3C602DED"/>
    <w:rsid w:val="3C6333F1"/>
    <w:rsid w:val="3C662FFE"/>
    <w:rsid w:val="3C6D41FE"/>
    <w:rsid w:val="3C6E024A"/>
    <w:rsid w:val="3C7224B1"/>
    <w:rsid w:val="3C7C3A87"/>
    <w:rsid w:val="3C7D1B3E"/>
    <w:rsid w:val="3C7D6C7C"/>
    <w:rsid w:val="3C7E24F2"/>
    <w:rsid w:val="3C93083D"/>
    <w:rsid w:val="3C9C6FE7"/>
    <w:rsid w:val="3CA424EB"/>
    <w:rsid w:val="3CA8291E"/>
    <w:rsid w:val="3CAC5CFE"/>
    <w:rsid w:val="3CB04C77"/>
    <w:rsid w:val="3CBB50D5"/>
    <w:rsid w:val="3CBB635D"/>
    <w:rsid w:val="3CC65269"/>
    <w:rsid w:val="3CCD2EEF"/>
    <w:rsid w:val="3CD0064E"/>
    <w:rsid w:val="3CD67400"/>
    <w:rsid w:val="3CDD514D"/>
    <w:rsid w:val="3CE05C88"/>
    <w:rsid w:val="3CE20AAD"/>
    <w:rsid w:val="3CEB4AD7"/>
    <w:rsid w:val="3CF216D3"/>
    <w:rsid w:val="3CF278A5"/>
    <w:rsid w:val="3CF73F9A"/>
    <w:rsid w:val="3CF811BE"/>
    <w:rsid w:val="3CF950D8"/>
    <w:rsid w:val="3CFE5A5C"/>
    <w:rsid w:val="3D0E6843"/>
    <w:rsid w:val="3D191DAA"/>
    <w:rsid w:val="3D2502C8"/>
    <w:rsid w:val="3D371C50"/>
    <w:rsid w:val="3D3E42D5"/>
    <w:rsid w:val="3D405EF8"/>
    <w:rsid w:val="3D462E65"/>
    <w:rsid w:val="3D490A1B"/>
    <w:rsid w:val="3D4D1D31"/>
    <w:rsid w:val="3D501A9C"/>
    <w:rsid w:val="3D506C30"/>
    <w:rsid w:val="3D532B00"/>
    <w:rsid w:val="3D583E0B"/>
    <w:rsid w:val="3D705C19"/>
    <w:rsid w:val="3D7238DB"/>
    <w:rsid w:val="3D8726E3"/>
    <w:rsid w:val="3D9730E1"/>
    <w:rsid w:val="3DA13E89"/>
    <w:rsid w:val="3DA32A96"/>
    <w:rsid w:val="3DC24854"/>
    <w:rsid w:val="3DD1349B"/>
    <w:rsid w:val="3DE51256"/>
    <w:rsid w:val="3DF45112"/>
    <w:rsid w:val="3DF56140"/>
    <w:rsid w:val="3DFC57FB"/>
    <w:rsid w:val="3E0130BA"/>
    <w:rsid w:val="3E0A6511"/>
    <w:rsid w:val="3E0E2FD5"/>
    <w:rsid w:val="3E134054"/>
    <w:rsid w:val="3E213CC0"/>
    <w:rsid w:val="3E247A20"/>
    <w:rsid w:val="3E2574A0"/>
    <w:rsid w:val="3E2616C1"/>
    <w:rsid w:val="3E2F1328"/>
    <w:rsid w:val="3E310271"/>
    <w:rsid w:val="3E335277"/>
    <w:rsid w:val="3E394E20"/>
    <w:rsid w:val="3E3B4C34"/>
    <w:rsid w:val="3E3E7246"/>
    <w:rsid w:val="3E5018B8"/>
    <w:rsid w:val="3E5978BF"/>
    <w:rsid w:val="3E5D5542"/>
    <w:rsid w:val="3E5E1B99"/>
    <w:rsid w:val="3E601746"/>
    <w:rsid w:val="3E672DAD"/>
    <w:rsid w:val="3E6C368F"/>
    <w:rsid w:val="3E761F02"/>
    <w:rsid w:val="3E774C34"/>
    <w:rsid w:val="3E7964D0"/>
    <w:rsid w:val="3E8A31E1"/>
    <w:rsid w:val="3E921340"/>
    <w:rsid w:val="3E983C64"/>
    <w:rsid w:val="3EA177D6"/>
    <w:rsid w:val="3EA52DC6"/>
    <w:rsid w:val="3EA828B1"/>
    <w:rsid w:val="3EAD1CD6"/>
    <w:rsid w:val="3EB3776D"/>
    <w:rsid w:val="3ED15734"/>
    <w:rsid w:val="3ED72927"/>
    <w:rsid w:val="3EE07013"/>
    <w:rsid w:val="3EE65880"/>
    <w:rsid w:val="3EE84AE4"/>
    <w:rsid w:val="3EEA4CDA"/>
    <w:rsid w:val="3EEB2CEE"/>
    <w:rsid w:val="3EEB5763"/>
    <w:rsid w:val="3EF1250A"/>
    <w:rsid w:val="3EF15879"/>
    <w:rsid w:val="3EF404CF"/>
    <w:rsid w:val="3EFA4CF0"/>
    <w:rsid w:val="3F001489"/>
    <w:rsid w:val="3F012400"/>
    <w:rsid w:val="3F030E70"/>
    <w:rsid w:val="3F070F45"/>
    <w:rsid w:val="3F075CF5"/>
    <w:rsid w:val="3F094364"/>
    <w:rsid w:val="3F1C75CF"/>
    <w:rsid w:val="3F1E7077"/>
    <w:rsid w:val="3F370D8B"/>
    <w:rsid w:val="3F376DC9"/>
    <w:rsid w:val="3F3C627A"/>
    <w:rsid w:val="3F43318E"/>
    <w:rsid w:val="3F4F57E3"/>
    <w:rsid w:val="3F512FF6"/>
    <w:rsid w:val="3F5354C3"/>
    <w:rsid w:val="3F5F0544"/>
    <w:rsid w:val="3F604C20"/>
    <w:rsid w:val="3F620BFB"/>
    <w:rsid w:val="3F770324"/>
    <w:rsid w:val="3F7A0CD8"/>
    <w:rsid w:val="3F832409"/>
    <w:rsid w:val="3F842939"/>
    <w:rsid w:val="3F93596D"/>
    <w:rsid w:val="3F9E1081"/>
    <w:rsid w:val="3F9E16ED"/>
    <w:rsid w:val="3F9F3FA7"/>
    <w:rsid w:val="3FA05CDE"/>
    <w:rsid w:val="3FAA0AB2"/>
    <w:rsid w:val="3FAE078D"/>
    <w:rsid w:val="3FB10395"/>
    <w:rsid w:val="3FB27839"/>
    <w:rsid w:val="3FB86B84"/>
    <w:rsid w:val="3FBC57F2"/>
    <w:rsid w:val="3FBE3287"/>
    <w:rsid w:val="3FC93641"/>
    <w:rsid w:val="3FD65AB3"/>
    <w:rsid w:val="3FD74631"/>
    <w:rsid w:val="3FDB177D"/>
    <w:rsid w:val="3FDB2741"/>
    <w:rsid w:val="3FDC23A1"/>
    <w:rsid w:val="4009584A"/>
    <w:rsid w:val="40180C81"/>
    <w:rsid w:val="401E6A87"/>
    <w:rsid w:val="40241E0B"/>
    <w:rsid w:val="402F7D87"/>
    <w:rsid w:val="40392E75"/>
    <w:rsid w:val="404C3734"/>
    <w:rsid w:val="404C539D"/>
    <w:rsid w:val="404E3885"/>
    <w:rsid w:val="405215C2"/>
    <w:rsid w:val="407436A1"/>
    <w:rsid w:val="4078565D"/>
    <w:rsid w:val="40824549"/>
    <w:rsid w:val="408562FD"/>
    <w:rsid w:val="40892FE2"/>
    <w:rsid w:val="40897835"/>
    <w:rsid w:val="409749EB"/>
    <w:rsid w:val="40985426"/>
    <w:rsid w:val="40A30765"/>
    <w:rsid w:val="40A403A8"/>
    <w:rsid w:val="40A51E9D"/>
    <w:rsid w:val="40A72F9D"/>
    <w:rsid w:val="40B22AA7"/>
    <w:rsid w:val="40B45E9F"/>
    <w:rsid w:val="40B90DA1"/>
    <w:rsid w:val="40C30F41"/>
    <w:rsid w:val="40C37CEF"/>
    <w:rsid w:val="40CA2584"/>
    <w:rsid w:val="40CB1AEF"/>
    <w:rsid w:val="40E00845"/>
    <w:rsid w:val="40E56ECA"/>
    <w:rsid w:val="40E84C83"/>
    <w:rsid w:val="40F437D9"/>
    <w:rsid w:val="40F9220A"/>
    <w:rsid w:val="40FF56B8"/>
    <w:rsid w:val="4102348C"/>
    <w:rsid w:val="410522E3"/>
    <w:rsid w:val="410561AA"/>
    <w:rsid w:val="41066C94"/>
    <w:rsid w:val="411116CB"/>
    <w:rsid w:val="411150DB"/>
    <w:rsid w:val="4124693A"/>
    <w:rsid w:val="412F08A6"/>
    <w:rsid w:val="413B50A6"/>
    <w:rsid w:val="413C758F"/>
    <w:rsid w:val="413F69B3"/>
    <w:rsid w:val="414F153C"/>
    <w:rsid w:val="41517657"/>
    <w:rsid w:val="4158397F"/>
    <w:rsid w:val="4174093A"/>
    <w:rsid w:val="417C1E33"/>
    <w:rsid w:val="41834CBF"/>
    <w:rsid w:val="41882259"/>
    <w:rsid w:val="41910EF6"/>
    <w:rsid w:val="41945DFD"/>
    <w:rsid w:val="419541D6"/>
    <w:rsid w:val="41A25BB6"/>
    <w:rsid w:val="41A61DF4"/>
    <w:rsid w:val="41BC14F2"/>
    <w:rsid w:val="41BC1F4E"/>
    <w:rsid w:val="41C14F55"/>
    <w:rsid w:val="41CC618F"/>
    <w:rsid w:val="41CE08D6"/>
    <w:rsid w:val="41D059A2"/>
    <w:rsid w:val="41D962F9"/>
    <w:rsid w:val="41DE236A"/>
    <w:rsid w:val="41E06278"/>
    <w:rsid w:val="41E3117C"/>
    <w:rsid w:val="41EC3471"/>
    <w:rsid w:val="41F11061"/>
    <w:rsid w:val="41F56A74"/>
    <w:rsid w:val="41F67DF1"/>
    <w:rsid w:val="41FA4EFD"/>
    <w:rsid w:val="41FD6096"/>
    <w:rsid w:val="42051E29"/>
    <w:rsid w:val="42062F0F"/>
    <w:rsid w:val="42075A56"/>
    <w:rsid w:val="420C61CC"/>
    <w:rsid w:val="42164C48"/>
    <w:rsid w:val="421B2F82"/>
    <w:rsid w:val="421E57B0"/>
    <w:rsid w:val="4235176C"/>
    <w:rsid w:val="42427976"/>
    <w:rsid w:val="424550A1"/>
    <w:rsid w:val="425B33BA"/>
    <w:rsid w:val="425D457D"/>
    <w:rsid w:val="425E559F"/>
    <w:rsid w:val="42637DC8"/>
    <w:rsid w:val="426A09AA"/>
    <w:rsid w:val="42741B9A"/>
    <w:rsid w:val="427A51A5"/>
    <w:rsid w:val="42821A19"/>
    <w:rsid w:val="4283791D"/>
    <w:rsid w:val="428C2C05"/>
    <w:rsid w:val="42A13630"/>
    <w:rsid w:val="42A7322A"/>
    <w:rsid w:val="42A9499E"/>
    <w:rsid w:val="42AA1D1F"/>
    <w:rsid w:val="42BA7393"/>
    <w:rsid w:val="42BC10CB"/>
    <w:rsid w:val="42CA288C"/>
    <w:rsid w:val="42D04AEA"/>
    <w:rsid w:val="42D10D5B"/>
    <w:rsid w:val="42D25B81"/>
    <w:rsid w:val="42D31E6E"/>
    <w:rsid w:val="42DC53EE"/>
    <w:rsid w:val="42DD08BF"/>
    <w:rsid w:val="42EC4F17"/>
    <w:rsid w:val="430867A7"/>
    <w:rsid w:val="431969CB"/>
    <w:rsid w:val="431A0AF5"/>
    <w:rsid w:val="43210DCA"/>
    <w:rsid w:val="43314AEF"/>
    <w:rsid w:val="43332558"/>
    <w:rsid w:val="433652DC"/>
    <w:rsid w:val="433A6249"/>
    <w:rsid w:val="433B28B9"/>
    <w:rsid w:val="43437DA3"/>
    <w:rsid w:val="43445A59"/>
    <w:rsid w:val="43464D2B"/>
    <w:rsid w:val="43486471"/>
    <w:rsid w:val="436902AD"/>
    <w:rsid w:val="436C15B0"/>
    <w:rsid w:val="436E4ACC"/>
    <w:rsid w:val="43716E0C"/>
    <w:rsid w:val="43756195"/>
    <w:rsid w:val="437A5AFE"/>
    <w:rsid w:val="438352F9"/>
    <w:rsid w:val="43863346"/>
    <w:rsid w:val="438C79CF"/>
    <w:rsid w:val="438E300D"/>
    <w:rsid w:val="43922E0F"/>
    <w:rsid w:val="4395664D"/>
    <w:rsid w:val="43A27703"/>
    <w:rsid w:val="43A801E8"/>
    <w:rsid w:val="43AF194F"/>
    <w:rsid w:val="43AF72A0"/>
    <w:rsid w:val="43B20829"/>
    <w:rsid w:val="43B61A64"/>
    <w:rsid w:val="43B80B01"/>
    <w:rsid w:val="43B93A2D"/>
    <w:rsid w:val="43B940E5"/>
    <w:rsid w:val="43BB4E95"/>
    <w:rsid w:val="43BC4323"/>
    <w:rsid w:val="43CE6008"/>
    <w:rsid w:val="43D2655C"/>
    <w:rsid w:val="43D3205C"/>
    <w:rsid w:val="43DE4677"/>
    <w:rsid w:val="43E03D2B"/>
    <w:rsid w:val="43E248C0"/>
    <w:rsid w:val="43EA39CC"/>
    <w:rsid w:val="43ED7E6A"/>
    <w:rsid w:val="43F63370"/>
    <w:rsid w:val="44027CCE"/>
    <w:rsid w:val="441719EB"/>
    <w:rsid w:val="441F7EFA"/>
    <w:rsid w:val="4421198C"/>
    <w:rsid w:val="44240C76"/>
    <w:rsid w:val="442962A2"/>
    <w:rsid w:val="442B231B"/>
    <w:rsid w:val="442F6DEA"/>
    <w:rsid w:val="44305CED"/>
    <w:rsid w:val="4431551A"/>
    <w:rsid w:val="444C5BD8"/>
    <w:rsid w:val="444D7FB7"/>
    <w:rsid w:val="4457071E"/>
    <w:rsid w:val="445A1192"/>
    <w:rsid w:val="445A389E"/>
    <w:rsid w:val="44605AE4"/>
    <w:rsid w:val="446159B6"/>
    <w:rsid w:val="4465660B"/>
    <w:rsid w:val="446A6A10"/>
    <w:rsid w:val="446F5BD8"/>
    <w:rsid w:val="44707DDE"/>
    <w:rsid w:val="44737F63"/>
    <w:rsid w:val="448164C6"/>
    <w:rsid w:val="448F0F7C"/>
    <w:rsid w:val="44911DF8"/>
    <w:rsid w:val="44967BFE"/>
    <w:rsid w:val="449D6DA3"/>
    <w:rsid w:val="449F3CB9"/>
    <w:rsid w:val="44A92F3F"/>
    <w:rsid w:val="44AF0211"/>
    <w:rsid w:val="44C03F74"/>
    <w:rsid w:val="44C22C86"/>
    <w:rsid w:val="44CC2A51"/>
    <w:rsid w:val="44D16F97"/>
    <w:rsid w:val="44D94969"/>
    <w:rsid w:val="44DA29BC"/>
    <w:rsid w:val="44F404F2"/>
    <w:rsid w:val="44F706A6"/>
    <w:rsid w:val="44FE4E97"/>
    <w:rsid w:val="44FF5C81"/>
    <w:rsid w:val="45064F7E"/>
    <w:rsid w:val="45137F7C"/>
    <w:rsid w:val="451A5FCC"/>
    <w:rsid w:val="451F3A0C"/>
    <w:rsid w:val="45213EA8"/>
    <w:rsid w:val="452203B0"/>
    <w:rsid w:val="452A29E2"/>
    <w:rsid w:val="45383F9A"/>
    <w:rsid w:val="4547033E"/>
    <w:rsid w:val="45484228"/>
    <w:rsid w:val="455107D6"/>
    <w:rsid w:val="455424C3"/>
    <w:rsid w:val="45686CEA"/>
    <w:rsid w:val="456B795E"/>
    <w:rsid w:val="4573502A"/>
    <w:rsid w:val="457B64F0"/>
    <w:rsid w:val="45816024"/>
    <w:rsid w:val="458D50F5"/>
    <w:rsid w:val="45921C25"/>
    <w:rsid w:val="459D7FA8"/>
    <w:rsid w:val="45A40CCC"/>
    <w:rsid w:val="45A95269"/>
    <w:rsid w:val="45AC6AE5"/>
    <w:rsid w:val="45B56F4C"/>
    <w:rsid w:val="45B91D98"/>
    <w:rsid w:val="45BA3C32"/>
    <w:rsid w:val="45BD345F"/>
    <w:rsid w:val="45C70037"/>
    <w:rsid w:val="45D60A99"/>
    <w:rsid w:val="45E10D1A"/>
    <w:rsid w:val="45E83F3B"/>
    <w:rsid w:val="45EA09CA"/>
    <w:rsid w:val="45ED1A15"/>
    <w:rsid w:val="45ED462D"/>
    <w:rsid w:val="45F356FB"/>
    <w:rsid w:val="45F64683"/>
    <w:rsid w:val="45F75B92"/>
    <w:rsid w:val="45FD7B25"/>
    <w:rsid w:val="460613D2"/>
    <w:rsid w:val="4611460E"/>
    <w:rsid w:val="46190276"/>
    <w:rsid w:val="46207231"/>
    <w:rsid w:val="4622025B"/>
    <w:rsid w:val="46247BE6"/>
    <w:rsid w:val="4631143E"/>
    <w:rsid w:val="463C09D6"/>
    <w:rsid w:val="463C5C67"/>
    <w:rsid w:val="464907FE"/>
    <w:rsid w:val="464F4C1C"/>
    <w:rsid w:val="465B56DC"/>
    <w:rsid w:val="466758E6"/>
    <w:rsid w:val="466B0DF4"/>
    <w:rsid w:val="467B4672"/>
    <w:rsid w:val="4699597B"/>
    <w:rsid w:val="46996820"/>
    <w:rsid w:val="46A2058E"/>
    <w:rsid w:val="46A3401E"/>
    <w:rsid w:val="46A72CFE"/>
    <w:rsid w:val="46AB0F36"/>
    <w:rsid w:val="46AC242C"/>
    <w:rsid w:val="46BA3992"/>
    <w:rsid w:val="46BB5D92"/>
    <w:rsid w:val="46C439DA"/>
    <w:rsid w:val="46C573D6"/>
    <w:rsid w:val="46CE7109"/>
    <w:rsid w:val="46D86B32"/>
    <w:rsid w:val="46DA1AD6"/>
    <w:rsid w:val="46DF0E9A"/>
    <w:rsid w:val="46E030F0"/>
    <w:rsid w:val="46E20E31"/>
    <w:rsid w:val="46E44C50"/>
    <w:rsid w:val="46F91C38"/>
    <w:rsid w:val="46FD10DB"/>
    <w:rsid w:val="46FD245E"/>
    <w:rsid w:val="470F63B2"/>
    <w:rsid w:val="47101AA3"/>
    <w:rsid w:val="4717275B"/>
    <w:rsid w:val="471C3305"/>
    <w:rsid w:val="472A14B6"/>
    <w:rsid w:val="472C440A"/>
    <w:rsid w:val="47302A21"/>
    <w:rsid w:val="473070D9"/>
    <w:rsid w:val="47370611"/>
    <w:rsid w:val="473C0F95"/>
    <w:rsid w:val="47413903"/>
    <w:rsid w:val="4748593C"/>
    <w:rsid w:val="474915C6"/>
    <w:rsid w:val="47496C41"/>
    <w:rsid w:val="474F28FD"/>
    <w:rsid w:val="47554967"/>
    <w:rsid w:val="47571378"/>
    <w:rsid w:val="475A57C4"/>
    <w:rsid w:val="475F6CDE"/>
    <w:rsid w:val="47625972"/>
    <w:rsid w:val="47645EE5"/>
    <w:rsid w:val="47667F7D"/>
    <w:rsid w:val="476819A7"/>
    <w:rsid w:val="4779678C"/>
    <w:rsid w:val="477A708F"/>
    <w:rsid w:val="478203C0"/>
    <w:rsid w:val="478A3615"/>
    <w:rsid w:val="478C15C5"/>
    <w:rsid w:val="47953F3F"/>
    <w:rsid w:val="479868D5"/>
    <w:rsid w:val="479F0B4C"/>
    <w:rsid w:val="479F1D17"/>
    <w:rsid w:val="47A63131"/>
    <w:rsid w:val="47A8048D"/>
    <w:rsid w:val="47AC7CE1"/>
    <w:rsid w:val="47C92D1C"/>
    <w:rsid w:val="47CA3CF4"/>
    <w:rsid w:val="47E14962"/>
    <w:rsid w:val="47E265B6"/>
    <w:rsid w:val="47EB4DE7"/>
    <w:rsid w:val="47F975A2"/>
    <w:rsid w:val="47FA3407"/>
    <w:rsid w:val="47FF2206"/>
    <w:rsid w:val="48013227"/>
    <w:rsid w:val="480D6D33"/>
    <w:rsid w:val="481559A3"/>
    <w:rsid w:val="481C2C29"/>
    <w:rsid w:val="481F0AAE"/>
    <w:rsid w:val="482368FF"/>
    <w:rsid w:val="48275236"/>
    <w:rsid w:val="48293A81"/>
    <w:rsid w:val="482B1AC5"/>
    <w:rsid w:val="482B6784"/>
    <w:rsid w:val="482F25FC"/>
    <w:rsid w:val="483F0081"/>
    <w:rsid w:val="48427BA9"/>
    <w:rsid w:val="48434575"/>
    <w:rsid w:val="484A2C8B"/>
    <w:rsid w:val="484B6B33"/>
    <w:rsid w:val="485533C5"/>
    <w:rsid w:val="48580E8F"/>
    <w:rsid w:val="485B4474"/>
    <w:rsid w:val="48641537"/>
    <w:rsid w:val="4864199A"/>
    <w:rsid w:val="4869728F"/>
    <w:rsid w:val="486A4D86"/>
    <w:rsid w:val="486C3DF4"/>
    <w:rsid w:val="48724CD7"/>
    <w:rsid w:val="489575E0"/>
    <w:rsid w:val="48997109"/>
    <w:rsid w:val="489D0455"/>
    <w:rsid w:val="48A66DA7"/>
    <w:rsid w:val="48A760EA"/>
    <w:rsid w:val="48AC661B"/>
    <w:rsid w:val="48BA0713"/>
    <w:rsid w:val="48C33D54"/>
    <w:rsid w:val="48C87844"/>
    <w:rsid w:val="48CC2963"/>
    <w:rsid w:val="48CC544E"/>
    <w:rsid w:val="48D14163"/>
    <w:rsid w:val="48D6451F"/>
    <w:rsid w:val="48DB6D5A"/>
    <w:rsid w:val="48E62261"/>
    <w:rsid w:val="48E82175"/>
    <w:rsid w:val="48E834DC"/>
    <w:rsid w:val="48E870E7"/>
    <w:rsid w:val="48F8587B"/>
    <w:rsid w:val="49025338"/>
    <w:rsid w:val="49064D95"/>
    <w:rsid w:val="4908737E"/>
    <w:rsid w:val="491938EE"/>
    <w:rsid w:val="492023FE"/>
    <w:rsid w:val="49227198"/>
    <w:rsid w:val="49253D95"/>
    <w:rsid w:val="492A637E"/>
    <w:rsid w:val="492A6E99"/>
    <w:rsid w:val="492B4F9B"/>
    <w:rsid w:val="492E734A"/>
    <w:rsid w:val="49364091"/>
    <w:rsid w:val="49386F50"/>
    <w:rsid w:val="493A685C"/>
    <w:rsid w:val="493E4B43"/>
    <w:rsid w:val="49474EA9"/>
    <w:rsid w:val="494B5FDF"/>
    <w:rsid w:val="494F284F"/>
    <w:rsid w:val="49531363"/>
    <w:rsid w:val="49543BE6"/>
    <w:rsid w:val="495A6647"/>
    <w:rsid w:val="495A6CBC"/>
    <w:rsid w:val="495C4980"/>
    <w:rsid w:val="49626449"/>
    <w:rsid w:val="496E106C"/>
    <w:rsid w:val="49724388"/>
    <w:rsid w:val="498126DD"/>
    <w:rsid w:val="49822DDB"/>
    <w:rsid w:val="498463E6"/>
    <w:rsid w:val="49871D8E"/>
    <w:rsid w:val="49884F4C"/>
    <w:rsid w:val="49A364EA"/>
    <w:rsid w:val="49A548D8"/>
    <w:rsid w:val="49A623D7"/>
    <w:rsid w:val="49A94645"/>
    <w:rsid w:val="49A95BC3"/>
    <w:rsid w:val="49C837F4"/>
    <w:rsid w:val="49D43B9F"/>
    <w:rsid w:val="49D776CB"/>
    <w:rsid w:val="49E30E31"/>
    <w:rsid w:val="49E54FED"/>
    <w:rsid w:val="49F5275A"/>
    <w:rsid w:val="49F94354"/>
    <w:rsid w:val="49FC5A51"/>
    <w:rsid w:val="4A000B09"/>
    <w:rsid w:val="4A007AA5"/>
    <w:rsid w:val="4A035C2C"/>
    <w:rsid w:val="4A061444"/>
    <w:rsid w:val="4A0F5F3A"/>
    <w:rsid w:val="4A1F35A9"/>
    <w:rsid w:val="4A2238B2"/>
    <w:rsid w:val="4A2B1C94"/>
    <w:rsid w:val="4A2E6920"/>
    <w:rsid w:val="4A3426A9"/>
    <w:rsid w:val="4A366346"/>
    <w:rsid w:val="4A386146"/>
    <w:rsid w:val="4A3A4C36"/>
    <w:rsid w:val="4A410448"/>
    <w:rsid w:val="4A45552A"/>
    <w:rsid w:val="4A4A4D53"/>
    <w:rsid w:val="4A4C4A99"/>
    <w:rsid w:val="4A512227"/>
    <w:rsid w:val="4A512F9E"/>
    <w:rsid w:val="4A594E71"/>
    <w:rsid w:val="4A6242BC"/>
    <w:rsid w:val="4A68505D"/>
    <w:rsid w:val="4A745066"/>
    <w:rsid w:val="4A745D9D"/>
    <w:rsid w:val="4A777B9B"/>
    <w:rsid w:val="4A79448B"/>
    <w:rsid w:val="4A851ECD"/>
    <w:rsid w:val="4A8D238C"/>
    <w:rsid w:val="4A8D5139"/>
    <w:rsid w:val="4A973CB1"/>
    <w:rsid w:val="4AA476FB"/>
    <w:rsid w:val="4AAB11CD"/>
    <w:rsid w:val="4AAE7155"/>
    <w:rsid w:val="4AB356AE"/>
    <w:rsid w:val="4AC52385"/>
    <w:rsid w:val="4ACE4959"/>
    <w:rsid w:val="4ACF5222"/>
    <w:rsid w:val="4ADA7CE1"/>
    <w:rsid w:val="4AE20F42"/>
    <w:rsid w:val="4AE303F0"/>
    <w:rsid w:val="4AEB42B2"/>
    <w:rsid w:val="4AFA4343"/>
    <w:rsid w:val="4AFC02F6"/>
    <w:rsid w:val="4B156F97"/>
    <w:rsid w:val="4B2A405F"/>
    <w:rsid w:val="4B3008FB"/>
    <w:rsid w:val="4B424C81"/>
    <w:rsid w:val="4B460AE7"/>
    <w:rsid w:val="4B4A1078"/>
    <w:rsid w:val="4B4C2865"/>
    <w:rsid w:val="4B4C799B"/>
    <w:rsid w:val="4B597090"/>
    <w:rsid w:val="4B597F92"/>
    <w:rsid w:val="4B5A03D5"/>
    <w:rsid w:val="4B5C6F5D"/>
    <w:rsid w:val="4B66054D"/>
    <w:rsid w:val="4B913121"/>
    <w:rsid w:val="4BA70BA4"/>
    <w:rsid w:val="4BB0030E"/>
    <w:rsid w:val="4BB36149"/>
    <w:rsid w:val="4BB97A78"/>
    <w:rsid w:val="4BBE40D7"/>
    <w:rsid w:val="4BC1288C"/>
    <w:rsid w:val="4BC23FAE"/>
    <w:rsid w:val="4BC45398"/>
    <w:rsid w:val="4BCD36AD"/>
    <w:rsid w:val="4BD36108"/>
    <w:rsid w:val="4BD74AC0"/>
    <w:rsid w:val="4BDD4510"/>
    <w:rsid w:val="4BDE1BD7"/>
    <w:rsid w:val="4BE6529B"/>
    <w:rsid w:val="4BE7434B"/>
    <w:rsid w:val="4BE81894"/>
    <w:rsid w:val="4BEA4A2D"/>
    <w:rsid w:val="4BEC4180"/>
    <w:rsid w:val="4BF25D2E"/>
    <w:rsid w:val="4BF74963"/>
    <w:rsid w:val="4BFE07B2"/>
    <w:rsid w:val="4BFF51AF"/>
    <w:rsid w:val="4C0949C2"/>
    <w:rsid w:val="4C115F9A"/>
    <w:rsid w:val="4C24657D"/>
    <w:rsid w:val="4C2A61ED"/>
    <w:rsid w:val="4C30578A"/>
    <w:rsid w:val="4C355A01"/>
    <w:rsid w:val="4C383932"/>
    <w:rsid w:val="4C485612"/>
    <w:rsid w:val="4C591B55"/>
    <w:rsid w:val="4C635A85"/>
    <w:rsid w:val="4C637161"/>
    <w:rsid w:val="4C6A51E6"/>
    <w:rsid w:val="4C6F5919"/>
    <w:rsid w:val="4C716889"/>
    <w:rsid w:val="4C793455"/>
    <w:rsid w:val="4C86529F"/>
    <w:rsid w:val="4C942A4A"/>
    <w:rsid w:val="4C94647F"/>
    <w:rsid w:val="4C9778BC"/>
    <w:rsid w:val="4C9C23DD"/>
    <w:rsid w:val="4CA26813"/>
    <w:rsid w:val="4CA740C2"/>
    <w:rsid w:val="4CA76C01"/>
    <w:rsid w:val="4CA813AA"/>
    <w:rsid w:val="4CAA54B7"/>
    <w:rsid w:val="4CAD3161"/>
    <w:rsid w:val="4CC51726"/>
    <w:rsid w:val="4CD5009D"/>
    <w:rsid w:val="4CD57FBE"/>
    <w:rsid w:val="4CDC5428"/>
    <w:rsid w:val="4CDE6E75"/>
    <w:rsid w:val="4CEF0CF6"/>
    <w:rsid w:val="4CF35613"/>
    <w:rsid w:val="4CF66575"/>
    <w:rsid w:val="4CF87E57"/>
    <w:rsid w:val="4CFE6137"/>
    <w:rsid w:val="4D0E072B"/>
    <w:rsid w:val="4D155677"/>
    <w:rsid w:val="4D1D44CA"/>
    <w:rsid w:val="4D230977"/>
    <w:rsid w:val="4D232FD6"/>
    <w:rsid w:val="4D24697F"/>
    <w:rsid w:val="4D2F42E9"/>
    <w:rsid w:val="4D3326EB"/>
    <w:rsid w:val="4D3675BC"/>
    <w:rsid w:val="4D37311E"/>
    <w:rsid w:val="4D587E21"/>
    <w:rsid w:val="4D591707"/>
    <w:rsid w:val="4D636650"/>
    <w:rsid w:val="4D6E145A"/>
    <w:rsid w:val="4D776661"/>
    <w:rsid w:val="4D7D0607"/>
    <w:rsid w:val="4D7D7120"/>
    <w:rsid w:val="4D8009C6"/>
    <w:rsid w:val="4D820863"/>
    <w:rsid w:val="4D8D46B1"/>
    <w:rsid w:val="4D954F06"/>
    <w:rsid w:val="4D9A02CA"/>
    <w:rsid w:val="4D9C654A"/>
    <w:rsid w:val="4DAD4D79"/>
    <w:rsid w:val="4DB3504A"/>
    <w:rsid w:val="4DB52CE0"/>
    <w:rsid w:val="4DBC3764"/>
    <w:rsid w:val="4DBE31D7"/>
    <w:rsid w:val="4DC26901"/>
    <w:rsid w:val="4DC404CD"/>
    <w:rsid w:val="4DC77F2C"/>
    <w:rsid w:val="4DCC1578"/>
    <w:rsid w:val="4DCD69BF"/>
    <w:rsid w:val="4DD22D04"/>
    <w:rsid w:val="4DDA4CE5"/>
    <w:rsid w:val="4DE2123E"/>
    <w:rsid w:val="4DEB0029"/>
    <w:rsid w:val="4DEE0304"/>
    <w:rsid w:val="4DF65D9F"/>
    <w:rsid w:val="4E046C99"/>
    <w:rsid w:val="4E0535C0"/>
    <w:rsid w:val="4E116453"/>
    <w:rsid w:val="4E1B2451"/>
    <w:rsid w:val="4E1D175A"/>
    <w:rsid w:val="4E1E460B"/>
    <w:rsid w:val="4E2236B2"/>
    <w:rsid w:val="4E25741C"/>
    <w:rsid w:val="4E2E21EC"/>
    <w:rsid w:val="4E3A2BBF"/>
    <w:rsid w:val="4E3C2EAA"/>
    <w:rsid w:val="4E451E6C"/>
    <w:rsid w:val="4E4E70CE"/>
    <w:rsid w:val="4E500B73"/>
    <w:rsid w:val="4E5169E2"/>
    <w:rsid w:val="4E62289F"/>
    <w:rsid w:val="4E716678"/>
    <w:rsid w:val="4E735A79"/>
    <w:rsid w:val="4E7C4AEF"/>
    <w:rsid w:val="4E7E6E87"/>
    <w:rsid w:val="4E806936"/>
    <w:rsid w:val="4E817838"/>
    <w:rsid w:val="4E865E1F"/>
    <w:rsid w:val="4E8D2DBE"/>
    <w:rsid w:val="4E9D491C"/>
    <w:rsid w:val="4EA222B8"/>
    <w:rsid w:val="4EA63E59"/>
    <w:rsid w:val="4EB66438"/>
    <w:rsid w:val="4EBC7BA4"/>
    <w:rsid w:val="4EC66288"/>
    <w:rsid w:val="4ED42FB1"/>
    <w:rsid w:val="4ED51F16"/>
    <w:rsid w:val="4EE60AA3"/>
    <w:rsid w:val="4EE95ABC"/>
    <w:rsid w:val="4EF4550F"/>
    <w:rsid w:val="4F010748"/>
    <w:rsid w:val="4F0F3DCE"/>
    <w:rsid w:val="4F164CFA"/>
    <w:rsid w:val="4F1E452A"/>
    <w:rsid w:val="4F232E8B"/>
    <w:rsid w:val="4F2A51C4"/>
    <w:rsid w:val="4F3609A6"/>
    <w:rsid w:val="4F391364"/>
    <w:rsid w:val="4F4C4C75"/>
    <w:rsid w:val="4F533D48"/>
    <w:rsid w:val="4F5A6570"/>
    <w:rsid w:val="4F604B42"/>
    <w:rsid w:val="4F621137"/>
    <w:rsid w:val="4F755A9B"/>
    <w:rsid w:val="4F755F07"/>
    <w:rsid w:val="4F785119"/>
    <w:rsid w:val="4F7F6611"/>
    <w:rsid w:val="4F8056E8"/>
    <w:rsid w:val="4F82619A"/>
    <w:rsid w:val="4F8A6873"/>
    <w:rsid w:val="4F8E0A00"/>
    <w:rsid w:val="4F907A4E"/>
    <w:rsid w:val="4F927079"/>
    <w:rsid w:val="4F9A06D3"/>
    <w:rsid w:val="4FBA7CD6"/>
    <w:rsid w:val="4FC82315"/>
    <w:rsid w:val="4FD05638"/>
    <w:rsid w:val="4FD87E22"/>
    <w:rsid w:val="4FDC2D5B"/>
    <w:rsid w:val="4FDD4DBE"/>
    <w:rsid w:val="4FDD6516"/>
    <w:rsid w:val="4FEC179E"/>
    <w:rsid w:val="4FED3FC0"/>
    <w:rsid w:val="4FEE38A6"/>
    <w:rsid w:val="4FF55AFA"/>
    <w:rsid w:val="4FFA544C"/>
    <w:rsid w:val="500115A3"/>
    <w:rsid w:val="5002169D"/>
    <w:rsid w:val="50071467"/>
    <w:rsid w:val="500B2D41"/>
    <w:rsid w:val="500B5A98"/>
    <w:rsid w:val="50111506"/>
    <w:rsid w:val="501C3ECE"/>
    <w:rsid w:val="50301EF2"/>
    <w:rsid w:val="503442AC"/>
    <w:rsid w:val="50553C73"/>
    <w:rsid w:val="505C57C5"/>
    <w:rsid w:val="505F69DA"/>
    <w:rsid w:val="50603411"/>
    <w:rsid w:val="50620B0F"/>
    <w:rsid w:val="50631FBD"/>
    <w:rsid w:val="506B4447"/>
    <w:rsid w:val="507132C3"/>
    <w:rsid w:val="50723737"/>
    <w:rsid w:val="507D586F"/>
    <w:rsid w:val="50885C3C"/>
    <w:rsid w:val="50932C85"/>
    <w:rsid w:val="50A47C77"/>
    <w:rsid w:val="50A56CB1"/>
    <w:rsid w:val="50AA4201"/>
    <w:rsid w:val="50AB5B9F"/>
    <w:rsid w:val="50B92FED"/>
    <w:rsid w:val="50BF5CCD"/>
    <w:rsid w:val="50BF6AC2"/>
    <w:rsid w:val="50C41590"/>
    <w:rsid w:val="50C61AF8"/>
    <w:rsid w:val="50C633E9"/>
    <w:rsid w:val="50C84AB4"/>
    <w:rsid w:val="50CC253A"/>
    <w:rsid w:val="50D25760"/>
    <w:rsid w:val="50D72740"/>
    <w:rsid w:val="50E170A2"/>
    <w:rsid w:val="50E77B88"/>
    <w:rsid w:val="50F6301B"/>
    <w:rsid w:val="50FD5FE0"/>
    <w:rsid w:val="510065DD"/>
    <w:rsid w:val="512C420C"/>
    <w:rsid w:val="512C6F4C"/>
    <w:rsid w:val="512D4DA1"/>
    <w:rsid w:val="512E5FA5"/>
    <w:rsid w:val="5137612B"/>
    <w:rsid w:val="513854E7"/>
    <w:rsid w:val="514101E2"/>
    <w:rsid w:val="51426326"/>
    <w:rsid w:val="514352F7"/>
    <w:rsid w:val="515172CA"/>
    <w:rsid w:val="515925CF"/>
    <w:rsid w:val="51651532"/>
    <w:rsid w:val="51691A00"/>
    <w:rsid w:val="51701BAE"/>
    <w:rsid w:val="51751F0F"/>
    <w:rsid w:val="517A5EA1"/>
    <w:rsid w:val="518B1CAD"/>
    <w:rsid w:val="518B5EA5"/>
    <w:rsid w:val="519365B9"/>
    <w:rsid w:val="519810AA"/>
    <w:rsid w:val="519828A7"/>
    <w:rsid w:val="5198532A"/>
    <w:rsid w:val="519E6C32"/>
    <w:rsid w:val="51B518BD"/>
    <w:rsid w:val="51B72FA5"/>
    <w:rsid w:val="51C36C3F"/>
    <w:rsid w:val="51C969CF"/>
    <w:rsid w:val="51E2686B"/>
    <w:rsid w:val="51E8766F"/>
    <w:rsid w:val="51F10DCE"/>
    <w:rsid w:val="51F44856"/>
    <w:rsid w:val="51F4715A"/>
    <w:rsid w:val="51FD35E2"/>
    <w:rsid w:val="52036385"/>
    <w:rsid w:val="52082B33"/>
    <w:rsid w:val="52137D0E"/>
    <w:rsid w:val="5228156D"/>
    <w:rsid w:val="522B287D"/>
    <w:rsid w:val="52341332"/>
    <w:rsid w:val="523972F2"/>
    <w:rsid w:val="523F6E50"/>
    <w:rsid w:val="52505313"/>
    <w:rsid w:val="525435D7"/>
    <w:rsid w:val="52742DDF"/>
    <w:rsid w:val="527F703D"/>
    <w:rsid w:val="528F5047"/>
    <w:rsid w:val="52905E25"/>
    <w:rsid w:val="52913DAF"/>
    <w:rsid w:val="52961FB9"/>
    <w:rsid w:val="529A3F2C"/>
    <w:rsid w:val="52A826F7"/>
    <w:rsid w:val="52AA6E83"/>
    <w:rsid w:val="52AD36E4"/>
    <w:rsid w:val="52BB15D0"/>
    <w:rsid w:val="52BB28DC"/>
    <w:rsid w:val="52C53B9D"/>
    <w:rsid w:val="52C855E8"/>
    <w:rsid w:val="52DF6592"/>
    <w:rsid w:val="52E7541B"/>
    <w:rsid w:val="52F073C5"/>
    <w:rsid w:val="53052F13"/>
    <w:rsid w:val="53065AAA"/>
    <w:rsid w:val="53122FAE"/>
    <w:rsid w:val="53296276"/>
    <w:rsid w:val="533353A6"/>
    <w:rsid w:val="53356E1A"/>
    <w:rsid w:val="533A4AA1"/>
    <w:rsid w:val="5344091B"/>
    <w:rsid w:val="536448B8"/>
    <w:rsid w:val="53770A35"/>
    <w:rsid w:val="5379073A"/>
    <w:rsid w:val="537E55A7"/>
    <w:rsid w:val="537F7C63"/>
    <w:rsid w:val="53853869"/>
    <w:rsid w:val="538A6D90"/>
    <w:rsid w:val="538C3904"/>
    <w:rsid w:val="538F54F6"/>
    <w:rsid w:val="53955B4C"/>
    <w:rsid w:val="539B0803"/>
    <w:rsid w:val="539D1284"/>
    <w:rsid w:val="53AE355F"/>
    <w:rsid w:val="53BB50AC"/>
    <w:rsid w:val="53C07187"/>
    <w:rsid w:val="53C65909"/>
    <w:rsid w:val="53CC27A6"/>
    <w:rsid w:val="53D511A6"/>
    <w:rsid w:val="53D64BCB"/>
    <w:rsid w:val="53EC0BD9"/>
    <w:rsid w:val="54041B2C"/>
    <w:rsid w:val="540956A3"/>
    <w:rsid w:val="5413091F"/>
    <w:rsid w:val="54143A3A"/>
    <w:rsid w:val="541B4981"/>
    <w:rsid w:val="541E54CB"/>
    <w:rsid w:val="542E16B3"/>
    <w:rsid w:val="542E68AD"/>
    <w:rsid w:val="54397FB7"/>
    <w:rsid w:val="5443213D"/>
    <w:rsid w:val="544A6DB4"/>
    <w:rsid w:val="544F55EE"/>
    <w:rsid w:val="546B1B8B"/>
    <w:rsid w:val="54845B20"/>
    <w:rsid w:val="54866DF9"/>
    <w:rsid w:val="5488491F"/>
    <w:rsid w:val="548F103B"/>
    <w:rsid w:val="54907CF5"/>
    <w:rsid w:val="54927FDC"/>
    <w:rsid w:val="54933219"/>
    <w:rsid w:val="549E4844"/>
    <w:rsid w:val="54A354B4"/>
    <w:rsid w:val="54A479A4"/>
    <w:rsid w:val="54A529FA"/>
    <w:rsid w:val="54A77B63"/>
    <w:rsid w:val="54AA0D3A"/>
    <w:rsid w:val="54AA4C87"/>
    <w:rsid w:val="54B4091C"/>
    <w:rsid w:val="54B67B86"/>
    <w:rsid w:val="54D658E7"/>
    <w:rsid w:val="54DA6330"/>
    <w:rsid w:val="54DD5A7F"/>
    <w:rsid w:val="54DE6929"/>
    <w:rsid w:val="54E01F6A"/>
    <w:rsid w:val="54E473F5"/>
    <w:rsid w:val="54E51762"/>
    <w:rsid w:val="54F324AC"/>
    <w:rsid w:val="54F845A7"/>
    <w:rsid w:val="54FD5F5A"/>
    <w:rsid w:val="54FE5688"/>
    <w:rsid w:val="55052CC3"/>
    <w:rsid w:val="550728D9"/>
    <w:rsid w:val="550B1FA2"/>
    <w:rsid w:val="550B4597"/>
    <w:rsid w:val="55113BB4"/>
    <w:rsid w:val="5516017D"/>
    <w:rsid w:val="553B449B"/>
    <w:rsid w:val="553E17BB"/>
    <w:rsid w:val="554144FC"/>
    <w:rsid w:val="55441857"/>
    <w:rsid w:val="554C2D96"/>
    <w:rsid w:val="554D203E"/>
    <w:rsid w:val="554D5B69"/>
    <w:rsid w:val="555E0A5F"/>
    <w:rsid w:val="55675113"/>
    <w:rsid w:val="55714F53"/>
    <w:rsid w:val="55744BF0"/>
    <w:rsid w:val="55813304"/>
    <w:rsid w:val="55833B3E"/>
    <w:rsid w:val="55845D3B"/>
    <w:rsid w:val="558943D7"/>
    <w:rsid w:val="55910011"/>
    <w:rsid w:val="559C2307"/>
    <w:rsid w:val="559C3590"/>
    <w:rsid w:val="55A67AAC"/>
    <w:rsid w:val="55A860E4"/>
    <w:rsid w:val="55AC79AC"/>
    <w:rsid w:val="55B14967"/>
    <w:rsid w:val="55B2673A"/>
    <w:rsid w:val="55C018F1"/>
    <w:rsid w:val="55C33F14"/>
    <w:rsid w:val="55C51D6D"/>
    <w:rsid w:val="55C523B3"/>
    <w:rsid w:val="55C74577"/>
    <w:rsid w:val="55CD1F6F"/>
    <w:rsid w:val="55CF7A91"/>
    <w:rsid w:val="55E20FD9"/>
    <w:rsid w:val="55EE10FA"/>
    <w:rsid w:val="56101070"/>
    <w:rsid w:val="561D553B"/>
    <w:rsid w:val="56213224"/>
    <w:rsid w:val="56244555"/>
    <w:rsid w:val="56277430"/>
    <w:rsid w:val="562E599A"/>
    <w:rsid w:val="562F04C3"/>
    <w:rsid w:val="56313ED1"/>
    <w:rsid w:val="5639469D"/>
    <w:rsid w:val="5641747C"/>
    <w:rsid w:val="56487FFB"/>
    <w:rsid w:val="564C6CE0"/>
    <w:rsid w:val="564F1DD0"/>
    <w:rsid w:val="565D31A8"/>
    <w:rsid w:val="56650FBB"/>
    <w:rsid w:val="56694C24"/>
    <w:rsid w:val="5671356F"/>
    <w:rsid w:val="56751058"/>
    <w:rsid w:val="567F297D"/>
    <w:rsid w:val="568B3C8D"/>
    <w:rsid w:val="56963F1B"/>
    <w:rsid w:val="56964D1D"/>
    <w:rsid w:val="569F5B9C"/>
    <w:rsid w:val="56A43C0D"/>
    <w:rsid w:val="56AF28F7"/>
    <w:rsid w:val="56B10761"/>
    <w:rsid w:val="56B179DD"/>
    <w:rsid w:val="56B52F1D"/>
    <w:rsid w:val="56BA3704"/>
    <w:rsid w:val="56CC174A"/>
    <w:rsid w:val="56D47DAA"/>
    <w:rsid w:val="56E76D43"/>
    <w:rsid w:val="56F04877"/>
    <w:rsid w:val="56F43B79"/>
    <w:rsid w:val="56F4656B"/>
    <w:rsid w:val="56FB0FB3"/>
    <w:rsid w:val="56FD22AA"/>
    <w:rsid w:val="57066AA7"/>
    <w:rsid w:val="57094C12"/>
    <w:rsid w:val="570E6A90"/>
    <w:rsid w:val="571903F8"/>
    <w:rsid w:val="57240988"/>
    <w:rsid w:val="57267197"/>
    <w:rsid w:val="572C1D4D"/>
    <w:rsid w:val="5732255E"/>
    <w:rsid w:val="5738520C"/>
    <w:rsid w:val="57392044"/>
    <w:rsid w:val="573B14C2"/>
    <w:rsid w:val="573C5F8B"/>
    <w:rsid w:val="57417A0B"/>
    <w:rsid w:val="574458B3"/>
    <w:rsid w:val="574B4B48"/>
    <w:rsid w:val="574B7272"/>
    <w:rsid w:val="57572659"/>
    <w:rsid w:val="57587E7C"/>
    <w:rsid w:val="575E405D"/>
    <w:rsid w:val="57613FE3"/>
    <w:rsid w:val="57675A05"/>
    <w:rsid w:val="5769323C"/>
    <w:rsid w:val="577A0E21"/>
    <w:rsid w:val="57807FEA"/>
    <w:rsid w:val="57833DCE"/>
    <w:rsid w:val="57884A60"/>
    <w:rsid w:val="578B2EAF"/>
    <w:rsid w:val="579B2BBB"/>
    <w:rsid w:val="579E7B7C"/>
    <w:rsid w:val="57A529AE"/>
    <w:rsid w:val="57B90B24"/>
    <w:rsid w:val="57B91294"/>
    <w:rsid w:val="57C05E61"/>
    <w:rsid w:val="57C52852"/>
    <w:rsid w:val="57CB63E7"/>
    <w:rsid w:val="57CD1561"/>
    <w:rsid w:val="57D51E20"/>
    <w:rsid w:val="57DA78C0"/>
    <w:rsid w:val="57E02C93"/>
    <w:rsid w:val="57E44D88"/>
    <w:rsid w:val="57E611E8"/>
    <w:rsid w:val="57F145CA"/>
    <w:rsid w:val="57F65D5C"/>
    <w:rsid w:val="57F80D12"/>
    <w:rsid w:val="57F94CA0"/>
    <w:rsid w:val="580044F4"/>
    <w:rsid w:val="58042EB6"/>
    <w:rsid w:val="58087351"/>
    <w:rsid w:val="580B63A1"/>
    <w:rsid w:val="581275AD"/>
    <w:rsid w:val="581A1322"/>
    <w:rsid w:val="58244E33"/>
    <w:rsid w:val="58300776"/>
    <w:rsid w:val="58300E4A"/>
    <w:rsid w:val="5832169E"/>
    <w:rsid w:val="583E3225"/>
    <w:rsid w:val="58420F9B"/>
    <w:rsid w:val="584B6339"/>
    <w:rsid w:val="58521F9E"/>
    <w:rsid w:val="585711A2"/>
    <w:rsid w:val="585B059D"/>
    <w:rsid w:val="585C042A"/>
    <w:rsid w:val="58621F7E"/>
    <w:rsid w:val="5869138A"/>
    <w:rsid w:val="58692147"/>
    <w:rsid w:val="586B42FC"/>
    <w:rsid w:val="587246E1"/>
    <w:rsid w:val="587271C1"/>
    <w:rsid w:val="588562F7"/>
    <w:rsid w:val="588E4E09"/>
    <w:rsid w:val="589936D6"/>
    <w:rsid w:val="58A67C1C"/>
    <w:rsid w:val="58B02697"/>
    <w:rsid w:val="58B34857"/>
    <w:rsid w:val="58BE6380"/>
    <w:rsid w:val="58C800C8"/>
    <w:rsid w:val="58D21838"/>
    <w:rsid w:val="58D5034F"/>
    <w:rsid w:val="58E82F9E"/>
    <w:rsid w:val="58F717F7"/>
    <w:rsid w:val="58F740FA"/>
    <w:rsid w:val="58FB58BB"/>
    <w:rsid w:val="5902195F"/>
    <w:rsid w:val="590B5575"/>
    <w:rsid w:val="59124F2C"/>
    <w:rsid w:val="5918350F"/>
    <w:rsid w:val="591D7A0A"/>
    <w:rsid w:val="592914D2"/>
    <w:rsid w:val="593A697F"/>
    <w:rsid w:val="593F6A60"/>
    <w:rsid w:val="59440359"/>
    <w:rsid w:val="5944340C"/>
    <w:rsid w:val="594B1005"/>
    <w:rsid w:val="59625B5B"/>
    <w:rsid w:val="596E41C9"/>
    <w:rsid w:val="59702FC5"/>
    <w:rsid w:val="59737535"/>
    <w:rsid w:val="597F7206"/>
    <w:rsid w:val="59816F10"/>
    <w:rsid w:val="598335D5"/>
    <w:rsid w:val="59927FEE"/>
    <w:rsid w:val="599454E3"/>
    <w:rsid w:val="5998521B"/>
    <w:rsid w:val="59A65848"/>
    <w:rsid w:val="59A903FD"/>
    <w:rsid w:val="59C10E3B"/>
    <w:rsid w:val="59C261CB"/>
    <w:rsid w:val="59C94729"/>
    <w:rsid w:val="59C96E8A"/>
    <w:rsid w:val="59CA2CED"/>
    <w:rsid w:val="59D3626A"/>
    <w:rsid w:val="59DB3E39"/>
    <w:rsid w:val="59DD4851"/>
    <w:rsid w:val="59DF0B89"/>
    <w:rsid w:val="59E87C47"/>
    <w:rsid w:val="59F32F2D"/>
    <w:rsid w:val="59F56F34"/>
    <w:rsid w:val="59FB3A4A"/>
    <w:rsid w:val="5A0E05F0"/>
    <w:rsid w:val="5A17494B"/>
    <w:rsid w:val="5A1841B6"/>
    <w:rsid w:val="5A1C2BD5"/>
    <w:rsid w:val="5A2C066C"/>
    <w:rsid w:val="5A315424"/>
    <w:rsid w:val="5A31629C"/>
    <w:rsid w:val="5A3F466D"/>
    <w:rsid w:val="5A4B3CAE"/>
    <w:rsid w:val="5A650FC0"/>
    <w:rsid w:val="5A673932"/>
    <w:rsid w:val="5A796880"/>
    <w:rsid w:val="5A8072DC"/>
    <w:rsid w:val="5A8618AE"/>
    <w:rsid w:val="5A8D0F14"/>
    <w:rsid w:val="5A974649"/>
    <w:rsid w:val="5A9756BD"/>
    <w:rsid w:val="5A9C5EA1"/>
    <w:rsid w:val="5AA2476F"/>
    <w:rsid w:val="5AB7537F"/>
    <w:rsid w:val="5ABD4B43"/>
    <w:rsid w:val="5ABD62CE"/>
    <w:rsid w:val="5AC95939"/>
    <w:rsid w:val="5AD0086E"/>
    <w:rsid w:val="5AD7316F"/>
    <w:rsid w:val="5ADB005D"/>
    <w:rsid w:val="5ADD2038"/>
    <w:rsid w:val="5AEC0BE8"/>
    <w:rsid w:val="5AF86ED4"/>
    <w:rsid w:val="5B103576"/>
    <w:rsid w:val="5B1274C8"/>
    <w:rsid w:val="5B1F47EF"/>
    <w:rsid w:val="5B2568B6"/>
    <w:rsid w:val="5B263BC0"/>
    <w:rsid w:val="5B280010"/>
    <w:rsid w:val="5B303DC6"/>
    <w:rsid w:val="5B4A632A"/>
    <w:rsid w:val="5B4C7D76"/>
    <w:rsid w:val="5B546813"/>
    <w:rsid w:val="5B574D68"/>
    <w:rsid w:val="5B5C1FB2"/>
    <w:rsid w:val="5B62573A"/>
    <w:rsid w:val="5B6D4370"/>
    <w:rsid w:val="5B763768"/>
    <w:rsid w:val="5B8552D4"/>
    <w:rsid w:val="5B8829D5"/>
    <w:rsid w:val="5B8A78C3"/>
    <w:rsid w:val="5B8B2E16"/>
    <w:rsid w:val="5B8B4149"/>
    <w:rsid w:val="5B8C4224"/>
    <w:rsid w:val="5B8D1FD6"/>
    <w:rsid w:val="5B904078"/>
    <w:rsid w:val="5B912F28"/>
    <w:rsid w:val="5B9143C6"/>
    <w:rsid w:val="5B950720"/>
    <w:rsid w:val="5B983002"/>
    <w:rsid w:val="5BAA1356"/>
    <w:rsid w:val="5BB055E7"/>
    <w:rsid w:val="5BB64E0F"/>
    <w:rsid w:val="5BB9179D"/>
    <w:rsid w:val="5BCD4EE3"/>
    <w:rsid w:val="5BCD7313"/>
    <w:rsid w:val="5BCF180A"/>
    <w:rsid w:val="5BD934E5"/>
    <w:rsid w:val="5BDC4A3D"/>
    <w:rsid w:val="5BDD5AA5"/>
    <w:rsid w:val="5BDF37E0"/>
    <w:rsid w:val="5BE135B0"/>
    <w:rsid w:val="5BE57919"/>
    <w:rsid w:val="5BE91B7A"/>
    <w:rsid w:val="5BF02FC3"/>
    <w:rsid w:val="5BF20804"/>
    <w:rsid w:val="5BF96315"/>
    <w:rsid w:val="5C007A19"/>
    <w:rsid w:val="5C0316F9"/>
    <w:rsid w:val="5C061599"/>
    <w:rsid w:val="5C075A36"/>
    <w:rsid w:val="5C0A3FE8"/>
    <w:rsid w:val="5C0C69DD"/>
    <w:rsid w:val="5C0F7CEF"/>
    <w:rsid w:val="5C192F91"/>
    <w:rsid w:val="5C28782A"/>
    <w:rsid w:val="5C29499E"/>
    <w:rsid w:val="5C2A09D3"/>
    <w:rsid w:val="5C341225"/>
    <w:rsid w:val="5C3435DF"/>
    <w:rsid w:val="5C366A07"/>
    <w:rsid w:val="5C4921B5"/>
    <w:rsid w:val="5C493933"/>
    <w:rsid w:val="5C531C4F"/>
    <w:rsid w:val="5C564DB9"/>
    <w:rsid w:val="5C6555AC"/>
    <w:rsid w:val="5C697295"/>
    <w:rsid w:val="5C6E2BA7"/>
    <w:rsid w:val="5C713A4E"/>
    <w:rsid w:val="5C7A5843"/>
    <w:rsid w:val="5C7B26FA"/>
    <w:rsid w:val="5C8B3CE0"/>
    <w:rsid w:val="5C8C7C2E"/>
    <w:rsid w:val="5C915592"/>
    <w:rsid w:val="5C986C8C"/>
    <w:rsid w:val="5CA27F25"/>
    <w:rsid w:val="5CA87005"/>
    <w:rsid w:val="5CB76F4D"/>
    <w:rsid w:val="5CB9021B"/>
    <w:rsid w:val="5CBE507C"/>
    <w:rsid w:val="5CC26E3C"/>
    <w:rsid w:val="5CC4696B"/>
    <w:rsid w:val="5CC679CD"/>
    <w:rsid w:val="5CCA3F23"/>
    <w:rsid w:val="5CCA4E85"/>
    <w:rsid w:val="5CCC18B7"/>
    <w:rsid w:val="5CD01F00"/>
    <w:rsid w:val="5CE96177"/>
    <w:rsid w:val="5CEC6D18"/>
    <w:rsid w:val="5CF357A4"/>
    <w:rsid w:val="5CF834E9"/>
    <w:rsid w:val="5D014A4B"/>
    <w:rsid w:val="5D094C2B"/>
    <w:rsid w:val="5D1E62BE"/>
    <w:rsid w:val="5D2240FB"/>
    <w:rsid w:val="5D394E1E"/>
    <w:rsid w:val="5D3A0316"/>
    <w:rsid w:val="5D3F27BC"/>
    <w:rsid w:val="5D405402"/>
    <w:rsid w:val="5D41329E"/>
    <w:rsid w:val="5D4C6B10"/>
    <w:rsid w:val="5D573CAE"/>
    <w:rsid w:val="5D5D7ED7"/>
    <w:rsid w:val="5D67366C"/>
    <w:rsid w:val="5D6D6F6B"/>
    <w:rsid w:val="5D753156"/>
    <w:rsid w:val="5D80303B"/>
    <w:rsid w:val="5D824E2D"/>
    <w:rsid w:val="5D830B7C"/>
    <w:rsid w:val="5D8916F9"/>
    <w:rsid w:val="5DA2115E"/>
    <w:rsid w:val="5DA24670"/>
    <w:rsid w:val="5DA440D0"/>
    <w:rsid w:val="5DA46F33"/>
    <w:rsid w:val="5DA87E54"/>
    <w:rsid w:val="5DAA1DAA"/>
    <w:rsid w:val="5DAD4973"/>
    <w:rsid w:val="5DB815B7"/>
    <w:rsid w:val="5DB828EB"/>
    <w:rsid w:val="5DC170D8"/>
    <w:rsid w:val="5DC726D6"/>
    <w:rsid w:val="5DC91CAB"/>
    <w:rsid w:val="5DDB0240"/>
    <w:rsid w:val="5DE51A4E"/>
    <w:rsid w:val="5DE6209F"/>
    <w:rsid w:val="5DEB6DAA"/>
    <w:rsid w:val="5DFC414B"/>
    <w:rsid w:val="5E0303E5"/>
    <w:rsid w:val="5E112E3A"/>
    <w:rsid w:val="5E144C9F"/>
    <w:rsid w:val="5E272270"/>
    <w:rsid w:val="5E2D6D72"/>
    <w:rsid w:val="5E32322F"/>
    <w:rsid w:val="5E327113"/>
    <w:rsid w:val="5E407C7E"/>
    <w:rsid w:val="5E451DC5"/>
    <w:rsid w:val="5E492982"/>
    <w:rsid w:val="5E4E1292"/>
    <w:rsid w:val="5E501D1F"/>
    <w:rsid w:val="5E5E1542"/>
    <w:rsid w:val="5E602996"/>
    <w:rsid w:val="5E607523"/>
    <w:rsid w:val="5E6120B7"/>
    <w:rsid w:val="5E61260F"/>
    <w:rsid w:val="5E6647E7"/>
    <w:rsid w:val="5E682BDC"/>
    <w:rsid w:val="5E6914BF"/>
    <w:rsid w:val="5E701BB1"/>
    <w:rsid w:val="5E723751"/>
    <w:rsid w:val="5E7319AD"/>
    <w:rsid w:val="5E736640"/>
    <w:rsid w:val="5E801BC7"/>
    <w:rsid w:val="5E853A63"/>
    <w:rsid w:val="5E853E15"/>
    <w:rsid w:val="5E861119"/>
    <w:rsid w:val="5E92224E"/>
    <w:rsid w:val="5E9D6C98"/>
    <w:rsid w:val="5EA855E4"/>
    <w:rsid w:val="5EC842E9"/>
    <w:rsid w:val="5ED12057"/>
    <w:rsid w:val="5ED1337F"/>
    <w:rsid w:val="5ED30052"/>
    <w:rsid w:val="5EE05CDC"/>
    <w:rsid w:val="5EEF38FF"/>
    <w:rsid w:val="5EF255A8"/>
    <w:rsid w:val="5EF32416"/>
    <w:rsid w:val="5EFA3673"/>
    <w:rsid w:val="5EFE2AC0"/>
    <w:rsid w:val="5F0020CC"/>
    <w:rsid w:val="5F0C4F19"/>
    <w:rsid w:val="5F13572D"/>
    <w:rsid w:val="5F3061A5"/>
    <w:rsid w:val="5F356E98"/>
    <w:rsid w:val="5F373469"/>
    <w:rsid w:val="5F497FAD"/>
    <w:rsid w:val="5F4A0DD7"/>
    <w:rsid w:val="5F5879C9"/>
    <w:rsid w:val="5F6863F8"/>
    <w:rsid w:val="5F6E5059"/>
    <w:rsid w:val="5F726337"/>
    <w:rsid w:val="5F7A3694"/>
    <w:rsid w:val="5F7C4067"/>
    <w:rsid w:val="5F907269"/>
    <w:rsid w:val="5F97792E"/>
    <w:rsid w:val="5F993E2F"/>
    <w:rsid w:val="5F9C6526"/>
    <w:rsid w:val="5FA50C64"/>
    <w:rsid w:val="5FA63D9C"/>
    <w:rsid w:val="5FAC6581"/>
    <w:rsid w:val="5FAD3AEA"/>
    <w:rsid w:val="5FB00978"/>
    <w:rsid w:val="5FB16D7D"/>
    <w:rsid w:val="5FB707AE"/>
    <w:rsid w:val="5FD4282A"/>
    <w:rsid w:val="5FD558C2"/>
    <w:rsid w:val="5FDB03C6"/>
    <w:rsid w:val="5FEE7A29"/>
    <w:rsid w:val="5FEF7737"/>
    <w:rsid w:val="60157BC5"/>
    <w:rsid w:val="601D4F9E"/>
    <w:rsid w:val="602A619A"/>
    <w:rsid w:val="602B6AA7"/>
    <w:rsid w:val="60312D7B"/>
    <w:rsid w:val="60430D8F"/>
    <w:rsid w:val="604443B0"/>
    <w:rsid w:val="60464497"/>
    <w:rsid w:val="60506E95"/>
    <w:rsid w:val="60537357"/>
    <w:rsid w:val="606478AE"/>
    <w:rsid w:val="60697C8D"/>
    <w:rsid w:val="607656AE"/>
    <w:rsid w:val="60777F4B"/>
    <w:rsid w:val="607A64DA"/>
    <w:rsid w:val="60884EB9"/>
    <w:rsid w:val="608B3797"/>
    <w:rsid w:val="60902A86"/>
    <w:rsid w:val="60A55C79"/>
    <w:rsid w:val="60AE1BB1"/>
    <w:rsid w:val="60C45117"/>
    <w:rsid w:val="60C520E0"/>
    <w:rsid w:val="60CB7A76"/>
    <w:rsid w:val="60CF3392"/>
    <w:rsid w:val="60CF4F43"/>
    <w:rsid w:val="60D050D9"/>
    <w:rsid w:val="60D1519C"/>
    <w:rsid w:val="60D30B01"/>
    <w:rsid w:val="60D60457"/>
    <w:rsid w:val="60DA71BB"/>
    <w:rsid w:val="60DD3862"/>
    <w:rsid w:val="60E7548A"/>
    <w:rsid w:val="60EB314B"/>
    <w:rsid w:val="60F50A49"/>
    <w:rsid w:val="60F6247C"/>
    <w:rsid w:val="60FD43BF"/>
    <w:rsid w:val="6102390F"/>
    <w:rsid w:val="610A03BD"/>
    <w:rsid w:val="610E2650"/>
    <w:rsid w:val="611A43B1"/>
    <w:rsid w:val="611D2541"/>
    <w:rsid w:val="6123315D"/>
    <w:rsid w:val="612B5363"/>
    <w:rsid w:val="61306D4F"/>
    <w:rsid w:val="61353D4A"/>
    <w:rsid w:val="613D73D3"/>
    <w:rsid w:val="613F224D"/>
    <w:rsid w:val="61414E83"/>
    <w:rsid w:val="61484C0F"/>
    <w:rsid w:val="61655B26"/>
    <w:rsid w:val="61776447"/>
    <w:rsid w:val="61812E22"/>
    <w:rsid w:val="61826B9A"/>
    <w:rsid w:val="61874A08"/>
    <w:rsid w:val="618A57FE"/>
    <w:rsid w:val="619A1C39"/>
    <w:rsid w:val="619C5EAE"/>
    <w:rsid w:val="61A52EA9"/>
    <w:rsid w:val="61A5314A"/>
    <w:rsid w:val="61AA552C"/>
    <w:rsid w:val="61DF3461"/>
    <w:rsid w:val="61E46D57"/>
    <w:rsid w:val="61EC3C34"/>
    <w:rsid w:val="61F37242"/>
    <w:rsid w:val="61F61542"/>
    <w:rsid w:val="61F649E3"/>
    <w:rsid w:val="61F85543"/>
    <w:rsid w:val="61FA6816"/>
    <w:rsid w:val="61FF4C7C"/>
    <w:rsid w:val="62073330"/>
    <w:rsid w:val="62075528"/>
    <w:rsid w:val="620D2908"/>
    <w:rsid w:val="62122B7D"/>
    <w:rsid w:val="621B03CC"/>
    <w:rsid w:val="621D79A3"/>
    <w:rsid w:val="621E4D5E"/>
    <w:rsid w:val="621F5761"/>
    <w:rsid w:val="62311B78"/>
    <w:rsid w:val="623657B8"/>
    <w:rsid w:val="6238661A"/>
    <w:rsid w:val="62444B97"/>
    <w:rsid w:val="624721BC"/>
    <w:rsid w:val="62554F9C"/>
    <w:rsid w:val="6256562A"/>
    <w:rsid w:val="625B2FC4"/>
    <w:rsid w:val="625B7BB1"/>
    <w:rsid w:val="625C5B39"/>
    <w:rsid w:val="626F5DF9"/>
    <w:rsid w:val="627A4A82"/>
    <w:rsid w:val="627B74AB"/>
    <w:rsid w:val="62862020"/>
    <w:rsid w:val="629B73AC"/>
    <w:rsid w:val="62A464DE"/>
    <w:rsid w:val="62AA4ADD"/>
    <w:rsid w:val="62AE1283"/>
    <w:rsid w:val="62B87CBC"/>
    <w:rsid w:val="62C250A2"/>
    <w:rsid w:val="62CC31A9"/>
    <w:rsid w:val="62CE765A"/>
    <w:rsid w:val="62D600AD"/>
    <w:rsid w:val="62E21E92"/>
    <w:rsid w:val="62E319FD"/>
    <w:rsid w:val="62EB776E"/>
    <w:rsid w:val="62F822B8"/>
    <w:rsid w:val="63066ADA"/>
    <w:rsid w:val="630C0BB5"/>
    <w:rsid w:val="630E6ED4"/>
    <w:rsid w:val="6310345E"/>
    <w:rsid w:val="631A66BE"/>
    <w:rsid w:val="631E7E42"/>
    <w:rsid w:val="63264190"/>
    <w:rsid w:val="632C751D"/>
    <w:rsid w:val="6331107E"/>
    <w:rsid w:val="63394B25"/>
    <w:rsid w:val="633A74F8"/>
    <w:rsid w:val="634436DA"/>
    <w:rsid w:val="634761CF"/>
    <w:rsid w:val="63503374"/>
    <w:rsid w:val="635B0EF3"/>
    <w:rsid w:val="63627B28"/>
    <w:rsid w:val="636367F6"/>
    <w:rsid w:val="636B7B77"/>
    <w:rsid w:val="63705E01"/>
    <w:rsid w:val="63766080"/>
    <w:rsid w:val="6388305A"/>
    <w:rsid w:val="639D7752"/>
    <w:rsid w:val="639F596D"/>
    <w:rsid w:val="63A21674"/>
    <w:rsid w:val="63AC41F0"/>
    <w:rsid w:val="63B3794F"/>
    <w:rsid w:val="63B42878"/>
    <w:rsid w:val="63B81B91"/>
    <w:rsid w:val="63C61AA5"/>
    <w:rsid w:val="63CA4565"/>
    <w:rsid w:val="63D06990"/>
    <w:rsid w:val="63D336DD"/>
    <w:rsid w:val="63D8429F"/>
    <w:rsid w:val="63DF1127"/>
    <w:rsid w:val="63E201FF"/>
    <w:rsid w:val="63EA78E2"/>
    <w:rsid w:val="63F253AA"/>
    <w:rsid w:val="63FE67A4"/>
    <w:rsid w:val="63FF13EF"/>
    <w:rsid w:val="63FF7190"/>
    <w:rsid w:val="64002FB4"/>
    <w:rsid w:val="640B491E"/>
    <w:rsid w:val="640D6BEF"/>
    <w:rsid w:val="641259E3"/>
    <w:rsid w:val="641D1635"/>
    <w:rsid w:val="64203AB5"/>
    <w:rsid w:val="642F149C"/>
    <w:rsid w:val="642F4E31"/>
    <w:rsid w:val="643B4202"/>
    <w:rsid w:val="643B4E3B"/>
    <w:rsid w:val="64490F42"/>
    <w:rsid w:val="64552344"/>
    <w:rsid w:val="64563228"/>
    <w:rsid w:val="645A632F"/>
    <w:rsid w:val="64630F05"/>
    <w:rsid w:val="646D0626"/>
    <w:rsid w:val="646D42FB"/>
    <w:rsid w:val="647F655C"/>
    <w:rsid w:val="649E5385"/>
    <w:rsid w:val="649E796C"/>
    <w:rsid w:val="64AE1B7C"/>
    <w:rsid w:val="64AF31D6"/>
    <w:rsid w:val="64B21EF7"/>
    <w:rsid w:val="64B30426"/>
    <w:rsid w:val="64B4185A"/>
    <w:rsid w:val="64C17A83"/>
    <w:rsid w:val="64C202FE"/>
    <w:rsid w:val="64C5315D"/>
    <w:rsid w:val="64C56ADD"/>
    <w:rsid w:val="64CF7B00"/>
    <w:rsid w:val="64D46D4B"/>
    <w:rsid w:val="64E723A4"/>
    <w:rsid w:val="64E77A56"/>
    <w:rsid w:val="64F3053C"/>
    <w:rsid w:val="64F362C3"/>
    <w:rsid w:val="6501239E"/>
    <w:rsid w:val="65073373"/>
    <w:rsid w:val="65085608"/>
    <w:rsid w:val="650B3B7E"/>
    <w:rsid w:val="650C2246"/>
    <w:rsid w:val="650D45DC"/>
    <w:rsid w:val="65136487"/>
    <w:rsid w:val="6524032D"/>
    <w:rsid w:val="65283356"/>
    <w:rsid w:val="65287AF6"/>
    <w:rsid w:val="652E420B"/>
    <w:rsid w:val="652F0DE7"/>
    <w:rsid w:val="65324A77"/>
    <w:rsid w:val="65354B29"/>
    <w:rsid w:val="654620A4"/>
    <w:rsid w:val="65465F20"/>
    <w:rsid w:val="654E7B30"/>
    <w:rsid w:val="6559178C"/>
    <w:rsid w:val="655D3287"/>
    <w:rsid w:val="65640929"/>
    <w:rsid w:val="65792FD8"/>
    <w:rsid w:val="65812033"/>
    <w:rsid w:val="659165D8"/>
    <w:rsid w:val="659264E6"/>
    <w:rsid w:val="65971923"/>
    <w:rsid w:val="659943C1"/>
    <w:rsid w:val="65996D67"/>
    <w:rsid w:val="659A4C69"/>
    <w:rsid w:val="65A920E1"/>
    <w:rsid w:val="65A93985"/>
    <w:rsid w:val="65B61A11"/>
    <w:rsid w:val="65B9781F"/>
    <w:rsid w:val="65BA1670"/>
    <w:rsid w:val="65BD07FC"/>
    <w:rsid w:val="65BF666A"/>
    <w:rsid w:val="65C82055"/>
    <w:rsid w:val="65C8677F"/>
    <w:rsid w:val="65CC4882"/>
    <w:rsid w:val="65D01AC7"/>
    <w:rsid w:val="65D9228E"/>
    <w:rsid w:val="65DA35DE"/>
    <w:rsid w:val="65DA5B91"/>
    <w:rsid w:val="65DC7380"/>
    <w:rsid w:val="65DF525A"/>
    <w:rsid w:val="65E064BA"/>
    <w:rsid w:val="65E60104"/>
    <w:rsid w:val="65EB77B3"/>
    <w:rsid w:val="65F964E7"/>
    <w:rsid w:val="65FB66B6"/>
    <w:rsid w:val="65FC7CE6"/>
    <w:rsid w:val="66012783"/>
    <w:rsid w:val="6605194F"/>
    <w:rsid w:val="66070306"/>
    <w:rsid w:val="661E22B7"/>
    <w:rsid w:val="662238A4"/>
    <w:rsid w:val="66265EE1"/>
    <w:rsid w:val="662B6476"/>
    <w:rsid w:val="66382EC7"/>
    <w:rsid w:val="66451336"/>
    <w:rsid w:val="664F24CC"/>
    <w:rsid w:val="665B55DD"/>
    <w:rsid w:val="665C7523"/>
    <w:rsid w:val="666040F8"/>
    <w:rsid w:val="66666CE6"/>
    <w:rsid w:val="66745BD9"/>
    <w:rsid w:val="667F061F"/>
    <w:rsid w:val="667F52BD"/>
    <w:rsid w:val="66814D52"/>
    <w:rsid w:val="66887883"/>
    <w:rsid w:val="668D4E5B"/>
    <w:rsid w:val="668F17F1"/>
    <w:rsid w:val="668F4BCC"/>
    <w:rsid w:val="66903C84"/>
    <w:rsid w:val="66A57E7A"/>
    <w:rsid w:val="66AA2E1B"/>
    <w:rsid w:val="66AA3789"/>
    <w:rsid w:val="66AD7DF2"/>
    <w:rsid w:val="66B84BED"/>
    <w:rsid w:val="66BC4EDD"/>
    <w:rsid w:val="66C50DC3"/>
    <w:rsid w:val="66C76EAF"/>
    <w:rsid w:val="66D16214"/>
    <w:rsid w:val="66D25ECE"/>
    <w:rsid w:val="66D86216"/>
    <w:rsid w:val="66D947DA"/>
    <w:rsid w:val="66D94921"/>
    <w:rsid w:val="66EA7A2D"/>
    <w:rsid w:val="67017F95"/>
    <w:rsid w:val="6707201B"/>
    <w:rsid w:val="672162C1"/>
    <w:rsid w:val="67272774"/>
    <w:rsid w:val="672F1572"/>
    <w:rsid w:val="67301B70"/>
    <w:rsid w:val="67444DE7"/>
    <w:rsid w:val="6765673D"/>
    <w:rsid w:val="677D0917"/>
    <w:rsid w:val="67810DF0"/>
    <w:rsid w:val="678C7530"/>
    <w:rsid w:val="678C75D6"/>
    <w:rsid w:val="67916B8A"/>
    <w:rsid w:val="67947BE6"/>
    <w:rsid w:val="67A16D3E"/>
    <w:rsid w:val="67AC19E7"/>
    <w:rsid w:val="67AE470C"/>
    <w:rsid w:val="67B13A34"/>
    <w:rsid w:val="67B400FE"/>
    <w:rsid w:val="67B760C0"/>
    <w:rsid w:val="67C020E9"/>
    <w:rsid w:val="67C66474"/>
    <w:rsid w:val="67C761C4"/>
    <w:rsid w:val="67CB32B7"/>
    <w:rsid w:val="67EE2F7F"/>
    <w:rsid w:val="67F52791"/>
    <w:rsid w:val="67F64D7B"/>
    <w:rsid w:val="67FC0B42"/>
    <w:rsid w:val="68091278"/>
    <w:rsid w:val="680C3549"/>
    <w:rsid w:val="681044B7"/>
    <w:rsid w:val="6816694D"/>
    <w:rsid w:val="681C4628"/>
    <w:rsid w:val="681D0B01"/>
    <w:rsid w:val="6837462A"/>
    <w:rsid w:val="68451EFB"/>
    <w:rsid w:val="684921C0"/>
    <w:rsid w:val="68496680"/>
    <w:rsid w:val="684A3EDE"/>
    <w:rsid w:val="68503C5F"/>
    <w:rsid w:val="685662AA"/>
    <w:rsid w:val="6858720E"/>
    <w:rsid w:val="68675A2B"/>
    <w:rsid w:val="686B70E0"/>
    <w:rsid w:val="686E7C18"/>
    <w:rsid w:val="6871070A"/>
    <w:rsid w:val="68786EC6"/>
    <w:rsid w:val="68841906"/>
    <w:rsid w:val="6886382E"/>
    <w:rsid w:val="688867E2"/>
    <w:rsid w:val="68936EA6"/>
    <w:rsid w:val="689A7E1A"/>
    <w:rsid w:val="689E1749"/>
    <w:rsid w:val="68A742ED"/>
    <w:rsid w:val="68AA2317"/>
    <w:rsid w:val="68AF57CA"/>
    <w:rsid w:val="68B27663"/>
    <w:rsid w:val="68B55FE4"/>
    <w:rsid w:val="68B63D46"/>
    <w:rsid w:val="68B71517"/>
    <w:rsid w:val="68CA6CF5"/>
    <w:rsid w:val="68CD70E5"/>
    <w:rsid w:val="68D31C2B"/>
    <w:rsid w:val="68EE0AE2"/>
    <w:rsid w:val="68EE4FFF"/>
    <w:rsid w:val="68F175E3"/>
    <w:rsid w:val="69004988"/>
    <w:rsid w:val="69180FED"/>
    <w:rsid w:val="692148EC"/>
    <w:rsid w:val="693F3A06"/>
    <w:rsid w:val="6956463D"/>
    <w:rsid w:val="695A0B14"/>
    <w:rsid w:val="695B173F"/>
    <w:rsid w:val="69780E8E"/>
    <w:rsid w:val="69787545"/>
    <w:rsid w:val="69911F43"/>
    <w:rsid w:val="699F351D"/>
    <w:rsid w:val="69B06122"/>
    <w:rsid w:val="69C277E9"/>
    <w:rsid w:val="69C8369D"/>
    <w:rsid w:val="69CA4EF9"/>
    <w:rsid w:val="69D31D5A"/>
    <w:rsid w:val="69D55F77"/>
    <w:rsid w:val="69F111F5"/>
    <w:rsid w:val="69F41EE8"/>
    <w:rsid w:val="69F616D6"/>
    <w:rsid w:val="69F74F22"/>
    <w:rsid w:val="69FB4A86"/>
    <w:rsid w:val="6A083C46"/>
    <w:rsid w:val="6A102F95"/>
    <w:rsid w:val="6A104E94"/>
    <w:rsid w:val="6A1457FA"/>
    <w:rsid w:val="6A1975F8"/>
    <w:rsid w:val="6A272403"/>
    <w:rsid w:val="6A3F454C"/>
    <w:rsid w:val="6A3F68F3"/>
    <w:rsid w:val="6A412B25"/>
    <w:rsid w:val="6A460625"/>
    <w:rsid w:val="6A46361D"/>
    <w:rsid w:val="6A4F2F78"/>
    <w:rsid w:val="6A4F3A53"/>
    <w:rsid w:val="6A501578"/>
    <w:rsid w:val="6A5A63E0"/>
    <w:rsid w:val="6A5B4F4E"/>
    <w:rsid w:val="6A6652AB"/>
    <w:rsid w:val="6A7D13B5"/>
    <w:rsid w:val="6A7E784C"/>
    <w:rsid w:val="6A834460"/>
    <w:rsid w:val="6A8B5C19"/>
    <w:rsid w:val="6A8D5266"/>
    <w:rsid w:val="6A8F4802"/>
    <w:rsid w:val="6AA74886"/>
    <w:rsid w:val="6AA869A2"/>
    <w:rsid w:val="6AAC5A3C"/>
    <w:rsid w:val="6AAC6016"/>
    <w:rsid w:val="6ACB45C8"/>
    <w:rsid w:val="6ACB4713"/>
    <w:rsid w:val="6ACD55C9"/>
    <w:rsid w:val="6ADF0BB9"/>
    <w:rsid w:val="6AEF6322"/>
    <w:rsid w:val="6AF50AB2"/>
    <w:rsid w:val="6AFE54AF"/>
    <w:rsid w:val="6B04596C"/>
    <w:rsid w:val="6B065121"/>
    <w:rsid w:val="6B066542"/>
    <w:rsid w:val="6B073CBA"/>
    <w:rsid w:val="6B0A6AC7"/>
    <w:rsid w:val="6B0F5DCE"/>
    <w:rsid w:val="6B164D96"/>
    <w:rsid w:val="6B1F4057"/>
    <w:rsid w:val="6B1F6A82"/>
    <w:rsid w:val="6B202BE8"/>
    <w:rsid w:val="6B2205DC"/>
    <w:rsid w:val="6B2A452A"/>
    <w:rsid w:val="6B3610CD"/>
    <w:rsid w:val="6B366EC8"/>
    <w:rsid w:val="6B3875FD"/>
    <w:rsid w:val="6B387DF8"/>
    <w:rsid w:val="6B3D58CD"/>
    <w:rsid w:val="6B47528C"/>
    <w:rsid w:val="6B4B3F8A"/>
    <w:rsid w:val="6B574A9F"/>
    <w:rsid w:val="6B5A22FA"/>
    <w:rsid w:val="6B6A2BA7"/>
    <w:rsid w:val="6B7074CD"/>
    <w:rsid w:val="6B762CC0"/>
    <w:rsid w:val="6B801D9A"/>
    <w:rsid w:val="6B8046B7"/>
    <w:rsid w:val="6B84372A"/>
    <w:rsid w:val="6B8A6784"/>
    <w:rsid w:val="6B965409"/>
    <w:rsid w:val="6BA76C48"/>
    <w:rsid w:val="6BA7744F"/>
    <w:rsid w:val="6BAF4A30"/>
    <w:rsid w:val="6BB556C1"/>
    <w:rsid w:val="6BB838E4"/>
    <w:rsid w:val="6BB93380"/>
    <w:rsid w:val="6BBC11E2"/>
    <w:rsid w:val="6BC541E0"/>
    <w:rsid w:val="6BC5783D"/>
    <w:rsid w:val="6BDB1118"/>
    <w:rsid w:val="6BDC5B59"/>
    <w:rsid w:val="6BDD2AC9"/>
    <w:rsid w:val="6BE44BFB"/>
    <w:rsid w:val="6BF06994"/>
    <w:rsid w:val="6BF44B49"/>
    <w:rsid w:val="6BFE2B33"/>
    <w:rsid w:val="6BFE34C5"/>
    <w:rsid w:val="6C026B38"/>
    <w:rsid w:val="6C067803"/>
    <w:rsid w:val="6C0706A4"/>
    <w:rsid w:val="6C080E98"/>
    <w:rsid w:val="6C0A0CE6"/>
    <w:rsid w:val="6C0F45CE"/>
    <w:rsid w:val="6C184383"/>
    <w:rsid w:val="6C2213CC"/>
    <w:rsid w:val="6C2878F8"/>
    <w:rsid w:val="6C3550C8"/>
    <w:rsid w:val="6C43606B"/>
    <w:rsid w:val="6C4443DB"/>
    <w:rsid w:val="6C45780A"/>
    <w:rsid w:val="6C4D0C93"/>
    <w:rsid w:val="6C5F4A0C"/>
    <w:rsid w:val="6C6226CE"/>
    <w:rsid w:val="6C6440D1"/>
    <w:rsid w:val="6C6E0447"/>
    <w:rsid w:val="6C7A6553"/>
    <w:rsid w:val="6C7B26E0"/>
    <w:rsid w:val="6C82376B"/>
    <w:rsid w:val="6C863D15"/>
    <w:rsid w:val="6C877A70"/>
    <w:rsid w:val="6C8A543D"/>
    <w:rsid w:val="6C8F2770"/>
    <w:rsid w:val="6C8F396D"/>
    <w:rsid w:val="6C937955"/>
    <w:rsid w:val="6C9736F1"/>
    <w:rsid w:val="6C9A1B93"/>
    <w:rsid w:val="6CA81BAB"/>
    <w:rsid w:val="6CA918BA"/>
    <w:rsid w:val="6CC04222"/>
    <w:rsid w:val="6CC52FAB"/>
    <w:rsid w:val="6CDA2D92"/>
    <w:rsid w:val="6CDF4428"/>
    <w:rsid w:val="6CE30E35"/>
    <w:rsid w:val="6CE711D1"/>
    <w:rsid w:val="6CEA6DDF"/>
    <w:rsid w:val="6CEE5C86"/>
    <w:rsid w:val="6CF163C2"/>
    <w:rsid w:val="6CF555B0"/>
    <w:rsid w:val="6CF8648D"/>
    <w:rsid w:val="6D003795"/>
    <w:rsid w:val="6D023972"/>
    <w:rsid w:val="6D127C0D"/>
    <w:rsid w:val="6D151CC7"/>
    <w:rsid w:val="6D171E64"/>
    <w:rsid w:val="6D1E3E67"/>
    <w:rsid w:val="6D237483"/>
    <w:rsid w:val="6D283B0F"/>
    <w:rsid w:val="6D2A2C7F"/>
    <w:rsid w:val="6D2D5F6A"/>
    <w:rsid w:val="6D34557B"/>
    <w:rsid w:val="6D35229F"/>
    <w:rsid w:val="6D396E69"/>
    <w:rsid w:val="6D416750"/>
    <w:rsid w:val="6D4260C2"/>
    <w:rsid w:val="6D4C1159"/>
    <w:rsid w:val="6D4E25B3"/>
    <w:rsid w:val="6D575167"/>
    <w:rsid w:val="6D580EDE"/>
    <w:rsid w:val="6D5A3A66"/>
    <w:rsid w:val="6D5F34A8"/>
    <w:rsid w:val="6D810EED"/>
    <w:rsid w:val="6D8C4F88"/>
    <w:rsid w:val="6D935989"/>
    <w:rsid w:val="6D9F1D42"/>
    <w:rsid w:val="6DA16A2E"/>
    <w:rsid w:val="6DA37F1E"/>
    <w:rsid w:val="6DA43467"/>
    <w:rsid w:val="6DAA4F0E"/>
    <w:rsid w:val="6DAC5011"/>
    <w:rsid w:val="6DB374DF"/>
    <w:rsid w:val="6DB67DAC"/>
    <w:rsid w:val="6DBB76BC"/>
    <w:rsid w:val="6DBD75DB"/>
    <w:rsid w:val="6DC671F2"/>
    <w:rsid w:val="6DCA03CE"/>
    <w:rsid w:val="6DEB3A0D"/>
    <w:rsid w:val="6DEC3D19"/>
    <w:rsid w:val="6DF528CD"/>
    <w:rsid w:val="6DFB4E16"/>
    <w:rsid w:val="6DFE10C6"/>
    <w:rsid w:val="6DFF1C9E"/>
    <w:rsid w:val="6E013D12"/>
    <w:rsid w:val="6E041B89"/>
    <w:rsid w:val="6E1B63AC"/>
    <w:rsid w:val="6E263F66"/>
    <w:rsid w:val="6E2C1522"/>
    <w:rsid w:val="6E2D011E"/>
    <w:rsid w:val="6E310B8E"/>
    <w:rsid w:val="6E3A0AC0"/>
    <w:rsid w:val="6E3B07FD"/>
    <w:rsid w:val="6E3D1064"/>
    <w:rsid w:val="6E450A66"/>
    <w:rsid w:val="6E455150"/>
    <w:rsid w:val="6E456907"/>
    <w:rsid w:val="6E4F22DD"/>
    <w:rsid w:val="6E516A6D"/>
    <w:rsid w:val="6E590FD0"/>
    <w:rsid w:val="6E5C7FB7"/>
    <w:rsid w:val="6E6209D6"/>
    <w:rsid w:val="6E654A29"/>
    <w:rsid w:val="6E6B2E90"/>
    <w:rsid w:val="6E773F5F"/>
    <w:rsid w:val="6E781D7D"/>
    <w:rsid w:val="6E7B0E75"/>
    <w:rsid w:val="6E85511B"/>
    <w:rsid w:val="6E8D44D0"/>
    <w:rsid w:val="6E8E59C8"/>
    <w:rsid w:val="6E8F6AB7"/>
    <w:rsid w:val="6E9D1075"/>
    <w:rsid w:val="6E9D3265"/>
    <w:rsid w:val="6E9F20B7"/>
    <w:rsid w:val="6EA10E7C"/>
    <w:rsid w:val="6EA2729E"/>
    <w:rsid w:val="6EA27DB2"/>
    <w:rsid w:val="6EAC2091"/>
    <w:rsid w:val="6EBF3031"/>
    <w:rsid w:val="6EC04D6D"/>
    <w:rsid w:val="6EC620FB"/>
    <w:rsid w:val="6EC8180A"/>
    <w:rsid w:val="6ED42267"/>
    <w:rsid w:val="6ED8604B"/>
    <w:rsid w:val="6EDD36BA"/>
    <w:rsid w:val="6EE7256D"/>
    <w:rsid w:val="6EEA1357"/>
    <w:rsid w:val="6EEA4AA3"/>
    <w:rsid w:val="6EF006A0"/>
    <w:rsid w:val="6EFF6BB4"/>
    <w:rsid w:val="6F005670"/>
    <w:rsid w:val="6F0207B8"/>
    <w:rsid w:val="6F097FB5"/>
    <w:rsid w:val="6F0E7CBF"/>
    <w:rsid w:val="6F17791D"/>
    <w:rsid w:val="6F1E1834"/>
    <w:rsid w:val="6F207A32"/>
    <w:rsid w:val="6F33286B"/>
    <w:rsid w:val="6F342E0D"/>
    <w:rsid w:val="6F370C5A"/>
    <w:rsid w:val="6F3A64AC"/>
    <w:rsid w:val="6F3C79CA"/>
    <w:rsid w:val="6F4E5777"/>
    <w:rsid w:val="6F5C3ED1"/>
    <w:rsid w:val="6F5E37F8"/>
    <w:rsid w:val="6F5F65E6"/>
    <w:rsid w:val="6F68774B"/>
    <w:rsid w:val="6F696BD0"/>
    <w:rsid w:val="6F6E72BF"/>
    <w:rsid w:val="6F6F26EE"/>
    <w:rsid w:val="6F712ACE"/>
    <w:rsid w:val="6F721A1D"/>
    <w:rsid w:val="6F8751AE"/>
    <w:rsid w:val="6F885493"/>
    <w:rsid w:val="6F990006"/>
    <w:rsid w:val="6F9B77A5"/>
    <w:rsid w:val="6F9E5B7A"/>
    <w:rsid w:val="6F9F7969"/>
    <w:rsid w:val="6FA57D10"/>
    <w:rsid w:val="6FBB52CE"/>
    <w:rsid w:val="6FC10258"/>
    <w:rsid w:val="6FC82564"/>
    <w:rsid w:val="6FC83DE4"/>
    <w:rsid w:val="6FCA0CA1"/>
    <w:rsid w:val="6FCA17FB"/>
    <w:rsid w:val="6FD74CAA"/>
    <w:rsid w:val="6FDD3497"/>
    <w:rsid w:val="6FE82DDD"/>
    <w:rsid w:val="6FED6C05"/>
    <w:rsid w:val="6FEE0771"/>
    <w:rsid w:val="6FF6672A"/>
    <w:rsid w:val="6FFA60A0"/>
    <w:rsid w:val="6FFD0236"/>
    <w:rsid w:val="6FFE4EBC"/>
    <w:rsid w:val="700621B2"/>
    <w:rsid w:val="700B0AC5"/>
    <w:rsid w:val="700C4AC7"/>
    <w:rsid w:val="70140382"/>
    <w:rsid w:val="70152A9A"/>
    <w:rsid w:val="70153446"/>
    <w:rsid w:val="701546D1"/>
    <w:rsid w:val="701B3E96"/>
    <w:rsid w:val="701F1568"/>
    <w:rsid w:val="70256598"/>
    <w:rsid w:val="7028351B"/>
    <w:rsid w:val="702978D9"/>
    <w:rsid w:val="702E6AA4"/>
    <w:rsid w:val="70343755"/>
    <w:rsid w:val="70352FF4"/>
    <w:rsid w:val="703640BF"/>
    <w:rsid w:val="70392103"/>
    <w:rsid w:val="704961CB"/>
    <w:rsid w:val="705108E7"/>
    <w:rsid w:val="705155E7"/>
    <w:rsid w:val="70543F27"/>
    <w:rsid w:val="70593D07"/>
    <w:rsid w:val="706169BF"/>
    <w:rsid w:val="70696D35"/>
    <w:rsid w:val="706F6FB6"/>
    <w:rsid w:val="707029DF"/>
    <w:rsid w:val="70765B1C"/>
    <w:rsid w:val="70791A97"/>
    <w:rsid w:val="707A166C"/>
    <w:rsid w:val="707E42B2"/>
    <w:rsid w:val="707F2C23"/>
    <w:rsid w:val="708F23E0"/>
    <w:rsid w:val="709E20B7"/>
    <w:rsid w:val="70A923EE"/>
    <w:rsid w:val="70B12FF8"/>
    <w:rsid w:val="70B222D6"/>
    <w:rsid w:val="70B42B92"/>
    <w:rsid w:val="70B42C80"/>
    <w:rsid w:val="70B61689"/>
    <w:rsid w:val="70B667EF"/>
    <w:rsid w:val="70B778B4"/>
    <w:rsid w:val="70B94982"/>
    <w:rsid w:val="70BB200E"/>
    <w:rsid w:val="70BF6BE9"/>
    <w:rsid w:val="70C14FEA"/>
    <w:rsid w:val="70C34D81"/>
    <w:rsid w:val="70C55BFC"/>
    <w:rsid w:val="70C56EDC"/>
    <w:rsid w:val="70CB2A7C"/>
    <w:rsid w:val="70DE3125"/>
    <w:rsid w:val="70E160FF"/>
    <w:rsid w:val="70E44655"/>
    <w:rsid w:val="70E63138"/>
    <w:rsid w:val="70EA5177"/>
    <w:rsid w:val="70EA53DD"/>
    <w:rsid w:val="70EB622C"/>
    <w:rsid w:val="70ED6A0E"/>
    <w:rsid w:val="70ED6EE1"/>
    <w:rsid w:val="70F4346F"/>
    <w:rsid w:val="70F44AB2"/>
    <w:rsid w:val="70F9471D"/>
    <w:rsid w:val="71002FFA"/>
    <w:rsid w:val="71015B90"/>
    <w:rsid w:val="71045367"/>
    <w:rsid w:val="710464C7"/>
    <w:rsid w:val="710C79B5"/>
    <w:rsid w:val="710E7D3D"/>
    <w:rsid w:val="71153587"/>
    <w:rsid w:val="711D3A76"/>
    <w:rsid w:val="711E5F98"/>
    <w:rsid w:val="711F7F62"/>
    <w:rsid w:val="7120760A"/>
    <w:rsid w:val="712C203B"/>
    <w:rsid w:val="7135700E"/>
    <w:rsid w:val="713C2F89"/>
    <w:rsid w:val="7150636D"/>
    <w:rsid w:val="7164006A"/>
    <w:rsid w:val="717A5AA7"/>
    <w:rsid w:val="717A7D1B"/>
    <w:rsid w:val="717D7A04"/>
    <w:rsid w:val="71850DCB"/>
    <w:rsid w:val="7186176B"/>
    <w:rsid w:val="719018FB"/>
    <w:rsid w:val="719466DA"/>
    <w:rsid w:val="719873B6"/>
    <w:rsid w:val="71A94A2A"/>
    <w:rsid w:val="71BA02E1"/>
    <w:rsid w:val="71CE6050"/>
    <w:rsid w:val="71CF2FF9"/>
    <w:rsid w:val="71D73E5A"/>
    <w:rsid w:val="71EB1699"/>
    <w:rsid w:val="71F24A43"/>
    <w:rsid w:val="71F313DD"/>
    <w:rsid w:val="71F34E40"/>
    <w:rsid w:val="71F72600"/>
    <w:rsid w:val="71FE1047"/>
    <w:rsid w:val="721714AB"/>
    <w:rsid w:val="72171998"/>
    <w:rsid w:val="72180310"/>
    <w:rsid w:val="72192C03"/>
    <w:rsid w:val="721D31A6"/>
    <w:rsid w:val="722241B3"/>
    <w:rsid w:val="722332F3"/>
    <w:rsid w:val="724B6551"/>
    <w:rsid w:val="724B6EAE"/>
    <w:rsid w:val="724E0FB5"/>
    <w:rsid w:val="72511E69"/>
    <w:rsid w:val="72597649"/>
    <w:rsid w:val="725D421B"/>
    <w:rsid w:val="72685701"/>
    <w:rsid w:val="72833999"/>
    <w:rsid w:val="728564EA"/>
    <w:rsid w:val="7287629D"/>
    <w:rsid w:val="72906405"/>
    <w:rsid w:val="72916B7F"/>
    <w:rsid w:val="72920998"/>
    <w:rsid w:val="729C2E11"/>
    <w:rsid w:val="72A032FE"/>
    <w:rsid w:val="72A037B9"/>
    <w:rsid w:val="72A171B5"/>
    <w:rsid w:val="72A44BC2"/>
    <w:rsid w:val="72A83C28"/>
    <w:rsid w:val="72AB4D76"/>
    <w:rsid w:val="72AB53A5"/>
    <w:rsid w:val="72B172DF"/>
    <w:rsid w:val="72B9339D"/>
    <w:rsid w:val="72C07BB3"/>
    <w:rsid w:val="72D03618"/>
    <w:rsid w:val="72E2468B"/>
    <w:rsid w:val="72E42667"/>
    <w:rsid w:val="72E77059"/>
    <w:rsid w:val="72FB10B5"/>
    <w:rsid w:val="73062C09"/>
    <w:rsid w:val="73091E6F"/>
    <w:rsid w:val="73092A4F"/>
    <w:rsid w:val="731A30D6"/>
    <w:rsid w:val="73223C44"/>
    <w:rsid w:val="732B7F0D"/>
    <w:rsid w:val="73406B38"/>
    <w:rsid w:val="7342612F"/>
    <w:rsid w:val="73450F08"/>
    <w:rsid w:val="734B14B4"/>
    <w:rsid w:val="73507C5A"/>
    <w:rsid w:val="73563A14"/>
    <w:rsid w:val="73571FD5"/>
    <w:rsid w:val="736B0067"/>
    <w:rsid w:val="736B632D"/>
    <w:rsid w:val="73757C23"/>
    <w:rsid w:val="73765B39"/>
    <w:rsid w:val="738619C1"/>
    <w:rsid w:val="738A200A"/>
    <w:rsid w:val="738A42F1"/>
    <w:rsid w:val="738E3AB9"/>
    <w:rsid w:val="739065BC"/>
    <w:rsid w:val="73923409"/>
    <w:rsid w:val="739B0E90"/>
    <w:rsid w:val="739B168F"/>
    <w:rsid w:val="73A16CFB"/>
    <w:rsid w:val="73A255C1"/>
    <w:rsid w:val="73AF64D8"/>
    <w:rsid w:val="73B334AF"/>
    <w:rsid w:val="73B86888"/>
    <w:rsid w:val="73D4138B"/>
    <w:rsid w:val="73D82E38"/>
    <w:rsid w:val="73E379A7"/>
    <w:rsid w:val="73F314E3"/>
    <w:rsid w:val="73FD6108"/>
    <w:rsid w:val="740833C6"/>
    <w:rsid w:val="740B33DB"/>
    <w:rsid w:val="74340423"/>
    <w:rsid w:val="744646C9"/>
    <w:rsid w:val="744C627E"/>
    <w:rsid w:val="745042EC"/>
    <w:rsid w:val="74505862"/>
    <w:rsid w:val="745132C7"/>
    <w:rsid w:val="74577DD0"/>
    <w:rsid w:val="745946D1"/>
    <w:rsid w:val="746621ED"/>
    <w:rsid w:val="74676B45"/>
    <w:rsid w:val="746D5F5D"/>
    <w:rsid w:val="747D391D"/>
    <w:rsid w:val="74884070"/>
    <w:rsid w:val="748B22B6"/>
    <w:rsid w:val="749173C8"/>
    <w:rsid w:val="74921493"/>
    <w:rsid w:val="74A36E05"/>
    <w:rsid w:val="74AF13CC"/>
    <w:rsid w:val="74B10AB0"/>
    <w:rsid w:val="74B51313"/>
    <w:rsid w:val="74BB0C08"/>
    <w:rsid w:val="74CE5238"/>
    <w:rsid w:val="74E32708"/>
    <w:rsid w:val="74E37335"/>
    <w:rsid w:val="74E91888"/>
    <w:rsid w:val="74EB2FFE"/>
    <w:rsid w:val="74FD4BF3"/>
    <w:rsid w:val="74FE636F"/>
    <w:rsid w:val="75053818"/>
    <w:rsid w:val="75107E41"/>
    <w:rsid w:val="7514475E"/>
    <w:rsid w:val="75193067"/>
    <w:rsid w:val="7520013D"/>
    <w:rsid w:val="75206B3B"/>
    <w:rsid w:val="75241D7F"/>
    <w:rsid w:val="752D5510"/>
    <w:rsid w:val="754674E3"/>
    <w:rsid w:val="75485924"/>
    <w:rsid w:val="75547528"/>
    <w:rsid w:val="755E1D00"/>
    <w:rsid w:val="756643B1"/>
    <w:rsid w:val="75685E27"/>
    <w:rsid w:val="757137F2"/>
    <w:rsid w:val="758F19AF"/>
    <w:rsid w:val="759167FC"/>
    <w:rsid w:val="7593349F"/>
    <w:rsid w:val="759430D6"/>
    <w:rsid w:val="75955D0A"/>
    <w:rsid w:val="75984F37"/>
    <w:rsid w:val="75AE38BE"/>
    <w:rsid w:val="75B36542"/>
    <w:rsid w:val="75BA79F6"/>
    <w:rsid w:val="75BB05C3"/>
    <w:rsid w:val="75C43331"/>
    <w:rsid w:val="75C91039"/>
    <w:rsid w:val="75CE15BB"/>
    <w:rsid w:val="75CF553F"/>
    <w:rsid w:val="75E45F38"/>
    <w:rsid w:val="75EC7E9C"/>
    <w:rsid w:val="75F01F05"/>
    <w:rsid w:val="75FB0F9D"/>
    <w:rsid w:val="75FE6FB3"/>
    <w:rsid w:val="76085578"/>
    <w:rsid w:val="760C61B1"/>
    <w:rsid w:val="761A5134"/>
    <w:rsid w:val="761C0E19"/>
    <w:rsid w:val="76236070"/>
    <w:rsid w:val="76295DF0"/>
    <w:rsid w:val="762A1217"/>
    <w:rsid w:val="762A3631"/>
    <w:rsid w:val="76302A7E"/>
    <w:rsid w:val="763040B0"/>
    <w:rsid w:val="763B1BDB"/>
    <w:rsid w:val="764A31E0"/>
    <w:rsid w:val="76520BEB"/>
    <w:rsid w:val="76527DD2"/>
    <w:rsid w:val="76563BF7"/>
    <w:rsid w:val="765F070B"/>
    <w:rsid w:val="766E602B"/>
    <w:rsid w:val="767A7900"/>
    <w:rsid w:val="767C19B2"/>
    <w:rsid w:val="76805E30"/>
    <w:rsid w:val="76816FC9"/>
    <w:rsid w:val="768A1200"/>
    <w:rsid w:val="7692076A"/>
    <w:rsid w:val="769B3628"/>
    <w:rsid w:val="769C05DC"/>
    <w:rsid w:val="76A11A98"/>
    <w:rsid w:val="76A52E1C"/>
    <w:rsid w:val="76A6331F"/>
    <w:rsid w:val="76B2657C"/>
    <w:rsid w:val="76B949B4"/>
    <w:rsid w:val="76C009DB"/>
    <w:rsid w:val="76C143D4"/>
    <w:rsid w:val="76C62D39"/>
    <w:rsid w:val="76C75180"/>
    <w:rsid w:val="76C832F2"/>
    <w:rsid w:val="76D9371F"/>
    <w:rsid w:val="76DF266D"/>
    <w:rsid w:val="76E35DC4"/>
    <w:rsid w:val="76E73652"/>
    <w:rsid w:val="76F73D82"/>
    <w:rsid w:val="76F9035F"/>
    <w:rsid w:val="76F9356A"/>
    <w:rsid w:val="76FA7664"/>
    <w:rsid w:val="770277DC"/>
    <w:rsid w:val="770A0A43"/>
    <w:rsid w:val="770A77D9"/>
    <w:rsid w:val="770C453C"/>
    <w:rsid w:val="77111E60"/>
    <w:rsid w:val="77144FD9"/>
    <w:rsid w:val="771568A5"/>
    <w:rsid w:val="772E2501"/>
    <w:rsid w:val="7741051E"/>
    <w:rsid w:val="77483CC4"/>
    <w:rsid w:val="7758241F"/>
    <w:rsid w:val="775F0ADE"/>
    <w:rsid w:val="775F6961"/>
    <w:rsid w:val="776D4BF6"/>
    <w:rsid w:val="77807600"/>
    <w:rsid w:val="7789446C"/>
    <w:rsid w:val="7793325C"/>
    <w:rsid w:val="779730C6"/>
    <w:rsid w:val="7798054D"/>
    <w:rsid w:val="77AC296D"/>
    <w:rsid w:val="77B6528F"/>
    <w:rsid w:val="77C04CAE"/>
    <w:rsid w:val="77C27C3F"/>
    <w:rsid w:val="77C90C27"/>
    <w:rsid w:val="77C91F54"/>
    <w:rsid w:val="77CF71D3"/>
    <w:rsid w:val="77D520FE"/>
    <w:rsid w:val="77DC2D61"/>
    <w:rsid w:val="77DE4AC8"/>
    <w:rsid w:val="77E05745"/>
    <w:rsid w:val="77E76C4F"/>
    <w:rsid w:val="77E9059E"/>
    <w:rsid w:val="77EA06D4"/>
    <w:rsid w:val="77F73701"/>
    <w:rsid w:val="780743F5"/>
    <w:rsid w:val="780B759B"/>
    <w:rsid w:val="780B7DB7"/>
    <w:rsid w:val="780D503B"/>
    <w:rsid w:val="781173A2"/>
    <w:rsid w:val="781B5927"/>
    <w:rsid w:val="781E7167"/>
    <w:rsid w:val="7823153E"/>
    <w:rsid w:val="78272AD2"/>
    <w:rsid w:val="782C4112"/>
    <w:rsid w:val="7831284C"/>
    <w:rsid w:val="78434743"/>
    <w:rsid w:val="78450BF6"/>
    <w:rsid w:val="784756B4"/>
    <w:rsid w:val="784A61BA"/>
    <w:rsid w:val="785F5D9A"/>
    <w:rsid w:val="786B12EF"/>
    <w:rsid w:val="786C35A6"/>
    <w:rsid w:val="786C791F"/>
    <w:rsid w:val="786E279C"/>
    <w:rsid w:val="78747991"/>
    <w:rsid w:val="789C178C"/>
    <w:rsid w:val="78A0481B"/>
    <w:rsid w:val="78A37082"/>
    <w:rsid w:val="78A62FD0"/>
    <w:rsid w:val="78A87484"/>
    <w:rsid w:val="78B258F0"/>
    <w:rsid w:val="78B4713E"/>
    <w:rsid w:val="78C00903"/>
    <w:rsid w:val="78C82570"/>
    <w:rsid w:val="78D104B0"/>
    <w:rsid w:val="78D46946"/>
    <w:rsid w:val="78D87374"/>
    <w:rsid w:val="78D94A34"/>
    <w:rsid w:val="78DB1BC9"/>
    <w:rsid w:val="78E12E6A"/>
    <w:rsid w:val="78FB3062"/>
    <w:rsid w:val="79004525"/>
    <w:rsid w:val="79137E3E"/>
    <w:rsid w:val="791B709B"/>
    <w:rsid w:val="792518C1"/>
    <w:rsid w:val="792953F9"/>
    <w:rsid w:val="793624A8"/>
    <w:rsid w:val="793B697A"/>
    <w:rsid w:val="79444E65"/>
    <w:rsid w:val="795127E8"/>
    <w:rsid w:val="79530561"/>
    <w:rsid w:val="79565203"/>
    <w:rsid w:val="795D4643"/>
    <w:rsid w:val="79643EB4"/>
    <w:rsid w:val="79645163"/>
    <w:rsid w:val="797178C2"/>
    <w:rsid w:val="79762F01"/>
    <w:rsid w:val="79787E08"/>
    <w:rsid w:val="797C0332"/>
    <w:rsid w:val="797D0EFA"/>
    <w:rsid w:val="79883F94"/>
    <w:rsid w:val="79913163"/>
    <w:rsid w:val="79921906"/>
    <w:rsid w:val="799B1BAA"/>
    <w:rsid w:val="799E5249"/>
    <w:rsid w:val="79A47D7B"/>
    <w:rsid w:val="79B624C0"/>
    <w:rsid w:val="79BC160D"/>
    <w:rsid w:val="79C869D8"/>
    <w:rsid w:val="79CD6CC2"/>
    <w:rsid w:val="79DB3867"/>
    <w:rsid w:val="79FC2F6B"/>
    <w:rsid w:val="79FF4D98"/>
    <w:rsid w:val="7A056508"/>
    <w:rsid w:val="7A0E7234"/>
    <w:rsid w:val="7A0F25A2"/>
    <w:rsid w:val="7A1730C3"/>
    <w:rsid w:val="7A216A47"/>
    <w:rsid w:val="7A2B7FA8"/>
    <w:rsid w:val="7A3A208F"/>
    <w:rsid w:val="7A3A6FC1"/>
    <w:rsid w:val="7A3B7146"/>
    <w:rsid w:val="7A3E0A64"/>
    <w:rsid w:val="7A406FE4"/>
    <w:rsid w:val="7A444D55"/>
    <w:rsid w:val="7A4814FB"/>
    <w:rsid w:val="7A485A47"/>
    <w:rsid w:val="7A4B0019"/>
    <w:rsid w:val="7A513FB6"/>
    <w:rsid w:val="7A5502B8"/>
    <w:rsid w:val="7A553ABC"/>
    <w:rsid w:val="7A597DBE"/>
    <w:rsid w:val="7A5C2227"/>
    <w:rsid w:val="7A5F69CC"/>
    <w:rsid w:val="7A9262BD"/>
    <w:rsid w:val="7A9A127E"/>
    <w:rsid w:val="7AA17815"/>
    <w:rsid w:val="7AA90E83"/>
    <w:rsid w:val="7AAB270A"/>
    <w:rsid w:val="7AB07079"/>
    <w:rsid w:val="7ABA5186"/>
    <w:rsid w:val="7ABD3A5A"/>
    <w:rsid w:val="7AC43368"/>
    <w:rsid w:val="7ACB31FB"/>
    <w:rsid w:val="7ACC3C99"/>
    <w:rsid w:val="7AD2380C"/>
    <w:rsid w:val="7AD635D1"/>
    <w:rsid w:val="7ADB2991"/>
    <w:rsid w:val="7ADB62FC"/>
    <w:rsid w:val="7ADD4701"/>
    <w:rsid w:val="7AE419D8"/>
    <w:rsid w:val="7AE61E7C"/>
    <w:rsid w:val="7AE661A6"/>
    <w:rsid w:val="7AE8102A"/>
    <w:rsid w:val="7AED4A83"/>
    <w:rsid w:val="7AF710D7"/>
    <w:rsid w:val="7AF91823"/>
    <w:rsid w:val="7B0838BA"/>
    <w:rsid w:val="7B0A12DE"/>
    <w:rsid w:val="7B1038BA"/>
    <w:rsid w:val="7B1509F2"/>
    <w:rsid w:val="7B25353B"/>
    <w:rsid w:val="7B277D89"/>
    <w:rsid w:val="7B2E70E7"/>
    <w:rsid w:val="7B34756A"/>
    <w:rsid w:val="7B3B22DE"/>
    <w:rsid w:val="7B4754A4"/>
    <w:rsid w:val="7B4E03F5"/>
    <w:rsid w:val="7B536A19"/>
    <w:rsid w:val="7B5829EE"/>
    <w:rsid w:val="7B5A6870"/>
    <w:rsid w:val="7B5D715B"/>
    <w:rsid w:val="7B602807"/>
    <w:rsid w:val="7B624DB3"/>
    <w:rsid w:val="7B645BD1"/>
    <w:rsid w:val="7B7D3FA1"/>
    <w:rsid w:val="7B88692C"/>
    <w:rsid w:val="7B907B7C"/>
    <w:rsid w:val="7B947F77"/>
    <w:rsid w:val="7B9664B7"/>
    <w:rsid w:val="7BAB0EF2"/>
    <w:rsid w:val="7BB2194E"/>
    <w:rsid w:val="7BB67714"/>
    <w:rsid w:val="7BB87930"/>
    <w:rsid w:val="7BB96C8D"/>
    <w:rsid w:val="7BC063F8"/>
    <w:rsid w:val="7BC801EF"/>
    <w:rsid w:val="7BD85994"/>
    <w:rsid w:val="7BE06CB6"/>
    <w:rsid w:val="7BE5250D"/>
    <w:rsid w:val="7BE725A8"/>
    <w:rsid w:val="7BE905FB"/>
    <w:rsid w:val="7BF56B78"/>
    <w:rsid w:val="7C052A67"/>
    <w:rsid w:val="7C0573B0"/>
    <w:rsid w:val="7C062B72"/>
    <w:rsid w:val="7C0C3966"/>
    <w:rsid w:val="7C0C7827"/>
    <w:rsid w:val="7C152B1A"/>
    <w:rsid w:val="7C1831CF"/>
    <w:rsid w:val="7C2567FC"/>
    <w:rsid w:val="7C2B02E0"/>
    <w:rsid w:val="7C2D3667"/>
    <w:rsid w:val="7C312183"/>
    <w:rsid w:val="7C312A12"/>
    <w:rsid w:val="7C32169D"/>
    <w:rsid w:val="7C3E167A"/>
    <w:rsid w:val="7C60629D"/>
    <w:rsid w:val="7C6747B5"/>
    <w:rsid w:val="7C726333"/>
    <w:rsid w:val="7C776EA4"/>
    <w:rsid w:val="7C790298"/>
    <w:rsid w:val="7C80111F"/>
    <w:rsid w:val="7C80291E"/>
    <w:rsid w:val="7C8F3CC3"/>
    <w:rsid w:val="7CAE066F"/>
    <w:rsid w:val="7CAF6554"/>
    <w:rsid w:val="7CB035A9"/>
    <w:rsid w:val="7CB30B03"/>
    <w:rsid w:val="7CB628C0"/>
    <w:rsid w:val="7CB71EC4"/>
    <w:rsid w:val="7CBE15FE"/>
    <w:rsid w:val="7CC80EA4"/>
    <w:rsid w:val="7CCA0125"/>
    <w:rsid w:val="7CCD55CF"/>
    <w:rsid w:val="7CD21FCC"/>
    <w:rsid w:val="7CE3569C"/>
    <w:rsid w:val="7CEA1D6C"/>
    <w:rsid w:val="7CF4470B"/>
    <w:rsid w:val="7D0A1C7E"/>
    <w:rsid w:val="7D0E7F32"/>
    <w:rsid w:val="7D1E2D83"/>
    <w:rsid w:val="7D2A0678"/>
    <w:rsid w:val="7D33335B"/>
    <w:rsid w:val="7D437647"/>
    <w:rsid w:val="7D452921"/>
    <w:rsid w:val="7D456622"/>
    <w:rsid w:val="7D5865FD"/>
    <w:rsid w:val="7D624041"/>
    <w:rsid w:val="7D6D391A"/>
    <w:rsid w:val="7D6D601C"/>
    <w:rsid w:val="7D6E545C"/>
    <w:rsid w:val="7D853519"/>
    <w:rsid w:val="7D8A6363"/>
    <w:rsid w:val="7D9B3F1E"/>
    <w:rsid w:val="7DA06484"/>
    <w:rsid w:val="7DA82296"/>
    <w:rsid w:val="7DB149CD"/>
    <w:rsid w:val="7DB766B7"/>
    <w:rsid w:val="7DBE5657"/>
    <w:rsid w:val="7DC8626C"/>
    <w:rsid w:val="7DD94F0B"/>
    <w:rsid w:val="7DE253DF"/>
    <w:rsid w:val="7DE50961"/>
    <w:rsid w:val="7DE82A43"/>
    <w:rsid w:val="7DEB4663"/>
    <w:rsid w:val="7DEE7D58"/>
    <w:rsid w:val="7DF62F66"/>
    <w:rsid w:val="7DF74F04"/>
    <w:rsid w:val="7DFF04D3"/>
    <w:rsid w:val="7E0832DF"/>
    <w:rsid w:val="7E123B46"/>
    <w:rsid w:val="7E1A042F"/>
    <w:rsid w:val="7E1A7AA1"/>
    <w:rsid w:val="7E2750F0"/>
    <w:rsid w:val="7E2D125A"/>
    <w:rsid w:val="7E35729A"/>
    <w:rsid w:val="7E363475"/>
    <w:rsid w:val="7E453946"/>
    <w:rsid w:val="7E573431"/>
    <w:rsid w:val="7E5D0CFB"/>
    <w:rsid w:val="7E663956"/>
    <w:rsid w:val="7E682493"/>
    <w:rsid w:val="7E684DAB"/>
    <w:rsid w:val="7E6C149C"/>
    <w:rsid w:val="7E7057F6"/>
    <w:rsid w:val="7E723DC7"/>
    <w:rsid w:val="7E822261"/>
    <w:rsid w:val="7E8245A2"/>
    <w:rsid w:val="7E8655A5"/>
    <w:rsid w:val="7E8D11B0"/>
    <w:rsid w:val="7E933D3D"/>
    <w:rsid w:val="7E941F07"/>
    <w:rsid w:val="7E947774"/>
    <w:rsid w:val="7E965555"/>
    <w:rsid w:val="7E980E05"/>
    <w:rsid w:val="7E9D2395"/>
    <w:rsid w:val="7E9D29D3"/>
    <w:rsid w:val="7EA402EC"/>
    <w:rsid w:val="7EB85B2F"/>
    <w:rsid w:val="7EBA751C"/>
    <w:rsid w:val="7EC71C88"/>
    <w:rsid w:val="7EC940BF"/>
    <w:rsid w:val="7ECF6F64"/>
    <w:rsid w:val="7EDA7C1F"/>
    <w:rsid w:val="7EEB432E"/>
    <w:rsid w:val="7EF80085"/>
    <w:rsid w:val="7F0013D2"/>
    <w:rsid w:val="7F087EE6"/>
    <w:rsid w:val="7F145E5A"/>
    <w:rsid w:val="7F173E6E"/>
    <w:rsid w:val="7F1B5C9C"/>
    <w:rsid w:val="7F296E2C"/>
    <w:rsid w:val="7F380944"/>
    <w:rsid w:val="7F3E1EFB"/>
    <w:rsid w:val="7F453289"/>
    <w:rsid w:val="7F455D29"/>
    <w:rsid w:val="7F475253"/>
    <w:rsid w:val="7F502FB5"/>
    <w:rsid w:val="7F507E7E"/>
    <w:rsid w:val="7F536167"/>
    <w:rsid w:val="7F551D4B"/>
    <w:rsid w:val="7F56130A"/>
    <w:rsid w:val="7F592236"/>
    <w:rsid w:val="7F635E92"/>
    <w:rsid w:val="7F727B89"/>
    <w:rsid w:val="7F817BC2"/>
    <w:rsid w:val="7F942CCD"/>
    <w:rsid w:val="7F956B58"/>
    <w:rsid w:val="7F9962A7"/>
    <w:rsid w:val="7FA038B7"/>
    <w:rsid w:val="7FA676B9"/>
    <w:rsid w:val="7FAA3F16"/>
    <w:rsid w:val="7FAE1A0C"/>
    <w:rsid w:val="7FD91B3E"/>
    <w:rsid w:val="7FE77193"/>
    <w:rsid w:val="7FF355F3"/>
    <w:rsid w:val="7FF5542B"/>
    <w:rsid w:val="7FFE03C3"/>
    <w:rsid w:val="7FFF65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6"/>
    <w:qFormat/>
    <w:uiPriority w:val="0"/>
    <w:pPr>
      <w:keepNext/>
      <w:keepLines/>
      <w:adjustRightInd w:val="0"/>
      <w:spacing w:before="120" w:line="360" w:lineRule="auto"/>
      <w:jc w:val="center"/>
      <w:textAlignment w:val="baseline"/>
      <w:outlineLvl w:val="0"/>
    </w:pPr>
    <w:rPr>
      <w:b/>
      <w:bCs/>
      <w:kern w:val="44"/>
      <w:sz w:val="32"/>
      <w:szCs w:val="20"/>
    </w:rPr>
  </w:style>
  <w:style w:type="paragraph" w:styleId="6">
    <w:name w:val="heading 2"/>
    <w:basedOn w:val="1"/>
    <w:next w:val="1"/>
    <w:link w:val="57"/>
    <w:qFormat/>
    <w:uiPriority w:val="0"/>
    <w:pPr>
      <w:keepNext/>
      <w:keepLines/>
      <w:spacing w:line="416" w:lineRule="auto"/>
      <w:outlineLvl w:val="1"/>
    </w:pPr>
    <w:rPr>
      <w:rFonts w:ascii="Arial" w:hAnsi="Arial"/>
      <w:b/>
      <w:bCs/>
      <w:szCs w:val="32"/>
    </w:rPr>
  </w:style>
  <w:style w:type="paragraph" w:styleId="7">
    <w:name w:val="heading 3"/>
    <w:basedOn w:val="1"/>
    <w:next w:val="8"/>
    <w:qFormat/>
    <w:uiPriority w:val="0"/>
    <w:pPr>
      <w:keepNext/>
      <w:keepLines/>
      <w:snapToGrid w:val="0"/>
      <w:spacing w:line="360" w:lineRule="auto"/>
      <w:jc w:val="left"/>
      <w:outlineLvl w:val="2"/>
    </w:pPr>
    <w:rPr>
      <w:b/>
      <w:bCs/>
      <w:sz w:val="24"/>
      <w:szCs w:val="32"/>
    </w:rPr>
  </w:style>
  <w:style w:type="paragraph" w:styleId="9">
    <w:name w:val="heading 4"/>
    <w:basedOn w:val="1"/>
    <w:next w:val="1"/>
    <w:link w:val="59"/>
    <w:qFormat/>
    <w:uiPriority w:val="0"/>
    <w:pPr>
      <w:keepNext/>
      <w:keepLines/>
      <w:spacing w:before="280" w:after="290" w:line="376" w:lineRule="auto"/>
      <w:outlineLvl w:val="3"/>
    </w:pPr>
    <w:rPr>
      <w:rFonts w:ascii="Cambria" w:hAnsi="Cambria"/>
      <w:b/>
      <w:bCs/>
      <w:sz w:val="28"/>
      <w:szCs w:val="28"/>
    </w:rPr>
  </w:style>
  <w:style w:type="paragraph" w:styleId="10">
    <w:name w:val="heading 5"/>
    <w:basedOn w:val="1"/>
    <w:next w:val="1"/>
    <w:link w:val="60"/>
    <w:qFormat/>
    <w:uiPriority w:val="0"/>
    <w:pPr>
      <w:keepNext/>
      <w:keepLines/>
      <w:spacing w:before="280" w:after="290" w:line="376" w:lineRule="auto"/>
      <w:outlineLvl w:val="4"/>
    </w:pPr>
    <w:rPr>
      <w:b/>
      <w:bCs/>
      <w:sz w:val="28"/>
      <w:szCs w:val="28"/>
    </w:rPr>
  </w:style>
  <w:style w:type="paragraph" w:styleId="11">
    <w:name w:val="heading 6"/>
    <w:basedOn w:val="1"/>
    <w:next w:val="1"/>
    <w:link w:val="61"/>
    <w:qFormat/>
    <w:uiPriority w:val="0"/>
    <w:pPr>
      <w:keepNext/>
      <w:keepLines/>
      <w:spacing w:before="240" w:after="64" w:line="320" w:lineRule="auto"/>
      <w:outlineLvl w:val="5"/>
    </w:pPr>
    <w:rPr>
      <w:rFonts w:ascii="Cambria" w:hAnsi="Cambria"/>
      <w:b/>
      <w:bCs/>
      <w:sz w:val="24"/>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54"/>
    <w:qFormat/>
    <w:uiPriority w:val="0"/>
    <w:pPr>
      <w:spacing w:after="120"/>
    </w:pPr>
  </w:style>
  <w:style w:type="paragraph" w:styleId="3">
    <w:name w:val="Body Text First Indent"/>
    <w:basedOn w:val="2"/>
    <w:next w:val="4"/>
    <w:link w:val="55"/>
    <w:qFormat/>
    <w:uiPriority w:val="0"/>
    <w:pPr>
      <w:ind w:firstLine="420" w:firstLineChars="100"/>
    </w:pPr>
    <w:rPr>
      <w:szCs w:val="22"/>
    </w:rPr>
  </w:style>
  <w:style w:type="paragraph" w:styleId="4">
    <w:name w:val="toc 6"/>
    <w:basedOn w:val="1"/>
    <w:next w:val="1"/>
    <w:qFormat/>
    <w:uiPriority w:val="0"/>
    <w:pPr>
      <w:ind w:left="2100" w:leftChars="1000"/>
    </w:pPr>
    <w:rPr>
      <w:rFonts w:ascii="Calibri" w:hAnsi="Calibri"/>
      <w:szCs w:val="22"/>
    </w:rPr>
  </w:style>
  <w:style w:type="paragraph" w:styleId="8">
    <w:name w:val="Normal Indent"/>
    <w:basedOn w:val="1"/>
    <w:next w:val="1"/>
    <w:link w:val="58"/>
    <w:qFormat/>
    <w:uiPriority w:val="0"/>
    <w:pPr>
      <w:ind w:firstLine="420"/>
    </w:pPr>
    <w:rPr>
      <w:szCs w:val="20"/>
    </w:rPr>
  </w:style>
  <w:style w:type="paragraph" w:styleId="12">
    <w:name w:val="toc 7"/>
    <w:basedOn w:val="1"/>
    <w:next w:val="1"/>
    <w:qFormat/>
    <w:uiPriority w:val="0"/>
    <w:pPr>
      <w:ind w:left="2520" w:leftChars="1200"/>
    </w:pPr>
    <w:rPr>
      <w:rFonts w:ascii="Calibri" w:hAnsi="Calibri"/>
      <w:szCs w:val="22"/>
    </w:rPr>
  </w:style>
  <w:style w:type="paragraph" w:styleId="13">
    <w:name w:val="List Number"/>
    <w:basedOn w:val="1"/>
    <w:qFormat/>
    <w:uiPriority w:val="0"/>
    <w:pPr>
      <w:widowControl/>
      <w:tabs>
        <w:tab w:val="left" w:pos="454"/>
        <w:tab w:val="left" w:pos="525"/>
        <w:tab w:val="left" w:pos="72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2"/>
    <w:qFormat/>
    <w:uiPriority w:val="0"/>
    <w:rPr>
      <w:rFonts w:ascii="宋体"/>
      <w:sz w:val="18"/>
      <w:szCs w:val="18"/>
    </w:rPr>
  </w:style>
  <w:style w:type="paragraph" w:styleId="16">
    <w:name w:val="annotation text"/>
    <w:basedOn w:val="1"/>
    <w:link w:val="63"/>
    <w:qFormat/>
    <w:uiPriority w:val="0"/>
    <w:pPr>
      <w:jc w:val="left"/>
    </w:pPr>
  </w:style>
  <w:style w:type="paragraph" w:styleId="17">
    <w:name w:val="Body Text 3"/>
    <w:basedOn w:val="1"/>
    <w:link w:val="64"/>
    <w:qFormat/>
    <w:uiPriority w:val="0"/>
    <w:pPr>
      <w:spacing w:after="120"/>
    </w:pPr>
    <w:rPr>
      <w:sz w:val="16"/>
      <w:szCs w:val="16"/>
    </w:rPr>
  </w:style>
  <w:style w:type="paragraph" w:styleId="18">
    <w:name w:val="Body Text Indent"/>
    <w:basedOn w:val="1"/>
    <w:next w:val="1"/>
    <w:link w:val="65"/>
    <w:qFormat/>
    <w:uiPriority w:val="0"/>
    <w:pPr>
      <w:spacing w:after="120"/>
      <w:ind w:left="420" w:leftChars="200"/>
    </w:pPr>
  </w:style>
  <w:style w:type="paragraph" w:styleId="19">
    <w:name w:val="List 2"/>
    <w:basedOn w:val="1"/>
    <w:qFormat/>
    <w:uiPriority w:val="0"/>
    <w:pPr>
      <w:ind w:left="100" w:leftChars="200" w:hanging="200" w:hangingChars="200"/>
    </w:pPr>
  </w:style>
  <w:style w:type="paragraph" w:styleId="20">
    <w:name w:val="toc 5"/>
    <w:basedOn w:val="1"/>
    <w:next w:val="1"/>
    <w:qFormat/>
    <w:uiPriority w:val="0"/>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next w:val="2"/>
    <w:link w:val="66"/>
    <w:qFormat/>
    <w:uiPriority w:val="0"/>
    <w:pPr>
      <w:spacing w:beforeLines="50" w:afterLines="50" w:line="400" w:lineRule="exact"/>
    </w:pPr>
    <w:rPr>
      <w:rFonts w:ascii="宋体" w:hAnsi="Courier New"/>
      <w:sz w:val="24"/>
    </w:rPr>
  </w:style>
  <w:style w:type="paragraph" w:styleId="23">
    <w:name w:val="toc 8"/>
    <w:basedOn w:val="1"/>
    <w:next w:val="1"/>
    <w:qFormat/>
    <w:uiPriority w:val="0"/>
    <w:pPr>
      <w:ind w:left="2940" w:leftChars="1400"/>
    </w:pPr>
    <w:rPr>
      <w:rFonts w:ascii="Calibri" w:hAnsi="Calibri"/>
      <w:szCs w:val="22"/>
    </w:rPr>
  </w:style>
  <w:style w:type="paragraph" w:styleId="24">
    <w:name w:val="Date"/>
    <w:basedOn w:val="1"/>
    <w:next w:val="1"/>
    <w:link w:val="67"/>
    <w:qFormat/>
    <w:uiPriority w:val="0"/>
    <w:pPr>
      <w:ind w:left="100" w:leftChars="2500"/>
    </w:pPr>
  </w:style>
  <w:style w:type="paragraph" w:styleId="25">
    <w:name w:val="Body Text Indent 2"/>
    <w:basedOn w:val="1"/>
    <w:link w:val="68"/>
    <w:qFormat/>
    <w:uiPriority w:val="0"/>
    <w:pPr>
      <w:snapToGrid w:val="0"/>
      <w:ind w:firstLine="542" w:firstLineChars="225"/>
    </w:pPr>
    <w:rPr>
      <w:rFonts w:ascii="仿宋_GB2312" w:hAnsi="宋体"/>
      <w:b/>
      <w:bCs/>
      <w:color w:val="000000"/>
      <w:sz w:val="24"/>
    </w:rPr>
  </w:style>
  <w:style w:type="paragraph" w:styleId="26">
    <w:name w:val="Balloon Text"/>
    <w:basedOn w:val="1"/>
    <w:link w:val="69"/>
    <w:qFormat/>
    <w:uiPriority w:val="0"/>
    <w:rPr>
      <w:sz w:val="18"/>
      <w:szCs w:val="18"/>
    </w:rPr>
  </w:style>
  <w:style w:type="paragraph" w:styleId="27">
    <w:name w:val="footer"/>
    <w:basedOn w:val="1"/>
    <w:link w:val="70"/>
    <w:qFormat/>
    <w:uiPriority w:val="0"/>
    <w:pPr>
      <w:tabs>
        <w:tab w:val="center" w:pos="4153"/>
        <w:tab w:val="right" w:pos="8306"/>
      </w:tabs>
      <w:snapToGrid w:val="0"/>
      <w:jc w:val="left"/>
    </w:pPr>
    <w:rPr>
      <w:rFonts w:eastAsia="黑体"/>
      <w:snapToGrid w:val="0"/>
      <w:kern w:val="0"/>
      <w:sz w:val="18"/>
      <w:szCs w:val="18"/>
    </w:rPr>
  </w:style>
  <w:style w:type="paragraph" w:styleId="28">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9">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9060"/>
      </w:tabs>
      <w:spacing w:before="10" w:after="10"/>
    </w:pPr>
  </w:style>
  <w:style w:type="paragraph" w:styleId="31">
    <w:name w:val="toc 4"/>
    <w:basedOn w:val="1"/>
    <w:next w:val="1"/>
    <w:qFormat/>
    <w:uiPriority w:val="0"/>
    <w:pPr>
      <w:ind w:left="1260" w:leftChars="600"/>
    </w:pPr>
    <w:rPr>
      <w:rFonts w:ascii="Calibri" w:hAnsi="Calibri"/>
      <w:szCs w:val="22"/>
    </w:rPr>
  </w:style>
  <w:style w:type="paragraph" w:styleId="32">
    <w:name w:val="List"/>
    <w:basedOn w:val="1"/>
    <w:qFormat/>
    <w:uiPriority w:val="0"/>
    <w:pPr>
      <w:ind w:left="200" w:hanging="200" w:hangingChars="200"/>
    </w:pPr>
  </w:style>
  <w:style w:type="paragraph" w:styleId="33">
    <w:name w:val="footnote text"/>
    <w:basedOn w:val="1"/>
    <w:link w:val="72"/>
    <w:qFormat/>
    <w:uiPriority w:val="0"/>
    <w:pPr>
      <w:snapToGrid w:val="0"/>
      <w:jc w:val="left"/>
    </w:pPr>
    <w:rPr>
      <w:rFonts w:ascii="Tahoma" w:hAnsi="Tahoma"/>
      <w:sz w:val="18"/>
      <w:szCs w:val="18"/>
    </w:rPr>
  </w:style>
  <w:style w:type="paragraph" w:styleId="34">
    <w:name w:val="Body Text Indent 3"/>
    <w:basedOn w:val="1"/>
    <w:link w:val="73"/>
    <w:qFormat/>
    <w:uiPriority w:val="0"/>
    <w:pPr>
      <w:spacing w:line="360" w:lineRule="auto"/>
      <w:ind w:firstLine="420" w:firstLineChars="200"/>
    </w:pPr>
    <w:rPr>
      <w:szCs w:val="20"/>
    </w:rPr>
  </w:style>
  <w:style w:type="paragraph" w:styleId="35">
    <w:name w:val="toc 2"/>
    <w:basedOn w:val="1"/>
    <w:next w:val="1"/>
    <w:qFormat/>
    <w:uiPriority w:val="39"/>
    <w:pPr>
      <w:tabs>
        <w:tab w:val="left" w:pos="1470"/>
        <w:tab w:val="right" w:leader="dot" w:pos="9060"/>
      </w:tabs>
      <w:ind w:left="420" w:leftChars="200" w:firstLine="430" w:firstLineChars="205"/>
    </w:pPr>
  </w:style>
  <w:style w:type="paragraph" w:styleId="36">
    <w:name w:val="toc 9"/>
    <w:basedOn w:val="1"/>
    <w:next w:val="1"/>
    <w:qFormat/>
    <w:uiPriority w:val="0"/>
    <w:pPr>
      <w:ind w:left="3360" w:leftChars="1600"/>
    </w:pPr>
    <w:rPr>
      <w:rFonts w:ascii="Calibri" w:hAnsi="Calibri"/>
      <w:szCs w:val="22"/>
    </w:rPr>
  </w:style>
  <w:style w:type="paragraph" w:styleId="37">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8">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75"/>
    <w:qFormat/>
    <w:uiPriority w:val="0"/>
    <w:pPr>
      <w:spacing w:before="240" w:after="60"/>
      <w:jc w:val="center"/>
      <w:outlineLvl w:val="0"/>
    </w:pPr>
    <w:rPr>
      <w:rFonts w:ascii="Arial" w:hAnsi="Arial"/>
      <w:b/>
      <w:bCs/>
      <w:sz w:val="32"/>
      <w:szCs w:val="32"/>
    </w:rPr>
  </w:style>
  <w:style w:type="paragraph" w:styleId="40">
    <w:name w:val="annotation subject"/>
    <w:basedOn w:val="16"/>
    <w:next w:val="16"/>
    <w:link w:val="76"/>
    <w:qFormat/>
    <w:uiPriority w:val="0"/>
  </w:style>
  <w:style w:type="paragraph" w:styleId="41">
    <w:name w:val="Body Text First Indent 2"/>
    <w:basedOn w:val="18"/>
    <w:next w:val="1"/>
    <w:link w:val="77"/>
    <w:qFormat/>
    <w:uiPriority w:val="0"/>
    <w:pPr>
      <w:ind w:firstLine="420"/>
    </w:pPr>
    <w:rPr>
      <w:rFonts w:cs="宋体"/>
      <w:szCs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style>
  <w:style w:type="character" w:styleId="46">
    <w:name w:val="page number"/>
    <w:qFormat/>
    <w:uiPriority w:val="0"/>
    <w:rPr>
      <w:rFonts w:ascii="Times New Roman" w:hAnsi="Times New Roman" w:eastAsia="宋体" w:cs="Times New Roman"/>
    </w:rPr>
  </w:style>
  <w:style w:type="character" w:styleId="47">
    <w:name w:val="FollowedHyperlink"/>
    <w:qFormat/>
    <w:uiPriority w:val="0"/>
    <w:rPr>
      <w:rFonts w:ascii="Times New Roman" w:hAnsi="Times New Roman" w:eastAsia="宋体" w:cs="Times New Roman"/>
      <w:color w:val="000000"/>
      <w:u w:val="none"/>
    </w:rPr>
  </w:style>
  <w:style w:type="character" w:styleId="48">
    <w:name w:val="Emphasis"/>
    <w:qFormat/>
    <w:uiPriority w:val="0"/>
    <w:rPr>
      <w:rFonts w:ascii="Times New Roman" w:hAnsi="Times New Roman" w:eastAsia="幼圆" w:cs="Times New Roman"/>
      <w:b/>
      <w:caps/>
      <w:spacing w:val="10"/>
      <w:sz w:val="18"/>
    </w:rPr>
  </w:style>
  <w:style w:type="character" w:styleId="49">
    <w:name w:val="Hyperlink"/>
    <w:qFormat/>
    <w:uiPriority w:val="99"/>
    <w:rPr>
      <w:rFonts w:ascii="Times New Roman" w:hAnsi="Times New Roman" w:eastAsia="宋体" w:cs="Times New Roman"/>
      <w:color w:val="000000"/>
      <w:u w:val="none"/>
    </w:rPr>
  </w:style>
  <w:style w:type="character" w:styleId="50">
    <w:name w:val="HTML Code"/>
    <w:unhideWhenUsed/>
    <w:qFormat/>
    <w:uiPriority w:val="99"/>
    <w:rPr>
      <w:rFonts w:ascii="Courier New" w:hAnsi="Courier New"/>
      <w:sz w:val="20"/>
    </w:rPr>
  </w:style>
  <w:style w:type="character" w:styleId="51">
    <w:name w:val="annotation reference"/>
    <w:qFormat/>
    <w:uiPriority w:val="0"/>
    <w:rPr>
      <w:rFonts w:ascii="Times New Roman" w:hAnsi="Times New Roman" w:eastAsia="宋体" w:cs="Times New Roman"/>
      <w:sz w:val="21"/>
      <w:szCs w:val="21"/>
    </w:rPr>
  </w:style>
  <w:style w:type="character" w:styleId="52">
    <w:name w:val="HTML Cite"/>
    <w:unhideWhenUsed/>
    <w:qFormat/>
    <w:uiPriority w:val="99"/>
  </w:style>
  <w:style w:type="character" w:styleId="53">
    <w:name w:val="footnote reference"/>
    <w:qFormat/>
    <w:uiPriority w:val="0"/>
    <w:rPr>
      <w:rFonts w:ascii="Tahoma" w:hAnsi="Tahoma" w:eastAsia="宋体" w:cs="Times New Roman"/>
      <w:kern w:val="2"/>
      <w:sz w:val="24"/>
      <w:szCs w:val="24"/>
      <w:vertAlign w:val="superscript"/>
      <w:lang w:val="en-US" w:eastAsia="zh-CN" w:bidi="ar-SA"/>
    </w:rPr>
  </w:style>
  <w:style w:type="character" w:customStyle="1" w:styleId="54">
    <w:name w:val="正文文本 Char1"/>
    <w:link w:val="2"/>
    <w:qFormat/>
    <w:uiPriority w:val="0"/>
    <w:rPr>
      <w:rFonts w:ascii="Times New Roman" w:hAnsi="Times New Roman" w:eastAsia="宋体" w:cs="Times New Roman"/>
      <w:kern w:val="2"/>
      <w:sz w:val="21"/>
      <w:szCs w:val="24"/>
    </w:rPr>
  </w:style>
  <w:style w:type="character" w:customStyle="1" w:styleId="55">
    <w:name w:val="正文首行缩进 Char"/>
    <w:link w:val="3"/>
    <w:qFormat/>
    <w:uiPriority w:val="0"/>
    <w:rPr>
      <w:rFonts w:ascii="Times New Roman" w:hAnsi="Times New Roman" w:eastAsia="宋体" w:cs="Times New Roman"/>
      <w:kern w:val="2"/>
      <w:sz w:val="21"/>
      <w:szCs w:val="22"/>
    </w:rPr>
  </w:style>
  <w:style w:type="character" w:customStyle="1" w:styleId="56">
    <w:name w:val="标题 1 Char2"/>
    <w:link w:val="5"/>
    <w:qFormat/>
    <w:uiPriority w:val="0"/>
    <w:rPr>
      <w:rFonts w:ascii="Times New Roman" w:hAnsi="Times New Roman" w:eastAsia="宋体" w:cs="Times New Roman"/>
      <w:b/>
      <w:bCs/>
      <w:kern w:val="44"/>
      <w:sz w:val="32"/>
      <w:lang w:val="en-US" w:eastAsia="zh-CN" w:bidi="ar-SA"/>
    </w:rPr>
  </w:style>
  <w:style w:type="character" w:customStyle="1" w:styleId="57">
    <w:name w:val="标题 2 Char1"/>
    <w:link w:val="6"/>
    <w:qFormat/>
    <w:uiPriority w:val="0"/>
    <w:rPr>
      <w:rFonts w:ascii="Arial" w:hAnsi="Arial" w:eastAsia="宋体" w:cs="Times New Roman"/>
      <w:b/>
      <w:bCs/>
      <w:kern w:val="2"/>
      <w:sz w:val="21"/>
      <w:szCs w:val="32"/>
    </w:rPr>
  </w:style>
  <w:style w:type="character" w:customStyle="1" w:styleId="58">
    <w:name w:val="正文缩进 Char"/>
    <w:link w:val="8"/>
    <w:qFormat/>
    <w:uiPriority w:val="0"/>
    <w:rPr>
      <w:rFonts w:ascii="Times New Roman" w:hAnsi="Times New Roman" w:eastAsia="宋体" w:cs="Times New Roman"/>
      <w:kern w:val="2"/>
      <w:sz w:val="21"/>
      <w:lang w:val="en-US" w:eastAsia="zh-CN" w:bidi="ar-SA"/>
    </w:rPr>
  </w:style>
  <w:style w:type="character" w:customStyle="1" w:styleId="59">
    <w:name w:val="标题 4 Char"/>
    <w:link w:val="9"/>
    <w:qFormat/>
    <w:uiPriority w:val="0"/>
    <w:rPr>
      <w:rFonts w:ascii="Cambria" w:hAnsi="Cambria" w:eastAsia="宋体" w:cs="Times New Roman"/>
      <w:b/>
      <w:bCs/>
      <w:kern w:val="2"/>
      <w:sz w:val="28"/>
      <w:szCs w:val="28"/>
    </w:rPr>
  </w:style>
  <w:style w:type="character" w:customStyle="1" w:styleId="60">
    <w:name w:val="标题 5 Char"/>
    <w:link w:val="10"/>
    <w:qFormat/>
    <w:uiPriority w:val="0"/>
    <w:rPr>
      <w:rFonts w:ascii="Times New Roman" w:hAnsi="Times New Roman" w:eastAsia="宋体" w:cs="Times New Roman"/>
      <w:b/>
      <w:bCs/>
      <w:kern w:val="2"/>
      <w:sz w:val="28"/>
      <w:szCs w:val="28"/>
    </w:rPr>
  </w:style>
  <w:style w:type="character" w:customStyle="1" w:styleId="61">
    <w:name w:val="标题 6 Char"/>
    <w:link w:val="11"/>
    <w:qFormat/>
    <w:uiPriority w:val="0"/>
    <w:rPr>
      <w:rFonts w:ascii="Cambria" w:hAnsi="Cambria" w:eastAsia="宋体" w:cs="Times New Roman"/>
      <w:b/>
      <w:bCs/>
      <w:kern w:val="2"/>
      <w:sz w:val="24"/>
      <w:szCs w:val="24"/>
    </w:rPr>
  </w:style>
  <w:style w:type="character" w:customStyle="1" w:styleId="62">
    <w:name w:val="文档结构图 Char1"/>
    <w:link w:val="15"/>
    <w:qFormat/>
    <w:uiPriority w:val="0"/>
    <w:rPr>
      <w:rFonts w:ascii="宋体" w:hAnsi="Times New Roman" w:eastAsia="宋体" w:cs="Times New Roman"/>
      <w:kern w:val="2"/>
      <w:sz w:val="18"/>
      <w:szCs w:val="18"/>
    </w:rPr>
  </w:style>
  <w:style w:type="character" w:customStyle="1" w:styleId="63">
    <w:name w:val="批注文字 Char"/>
    <w:link w:val="16"/>
    <w:qFormat/>
    <w:uiPriority w:val="0"/>
    <w:rPr>
      <w:rFonts w:ascii="Times New Roman" w:hAnsi="Times New Roman" w:eastAsia="宋体" w:cs="Times New Roman"/>
      <w:kern w:val="2"/>
      <w:sz w:val="21"/>
      <w:szCs w:val="24"/>
    </w:rPr>
  </w:style>
  <w:style w:type="character" w:customStyle="1" w:styleId="64">
    <w:name w:val="正文文本 3 Char"/>
    <w:link w:val="17"/>
    <w:qFormat/>
    <w:uiPriority w:val="0"/>
    <w:rPr>
      <w:rFonts w:ascii="Times New Roman" w:hAnsi="Times New Roman" w:eastAsia="宋体" w:cs="Times New Roman"/>
      <w:kern w:val="2"/>
      <w:sz w:val="16"/>
      <w:szCs w:val="16"/>
    </w:rPr>
  </w:style>
  <w:style w:type="character" w:customStyle="1" w:styleId="65">
    <w:name w:val="正文文本缩进 Char"/>
    <w:link w:val="18"/>
    <w:qFormat/>
    <w:uiPriority w:val="0"/>
    <w:rPr>
      <w:rFonts w:ascii="Times New Roman" w:hAnsi="Times New Roman" w:eastAsia="宋体" w:cs="Times New Roman"/>
      <w:kern w:val="2"/>
      <w:sz w:val="21"/>
      <w:szCs w:val="24"/>
    </w:rPr>
  </w:style>
  <w:style w:type="character" w:customStyle="1" w:styleId="66">
    <w:name w:val="纯文本 Char"/>
    <w:link w:val="22"/>
    <w:qFormat/>
    <w:uiPriority w:val="0"/>
    <w:rPr>
      <w:rFonts w:ascii="宋体" w:hAnsi="Courier New" w:eastAsia="宋体" w:cs="Times New Roman"/>
      <w:kern w:val="2"/>
      <w:sz w:val="24"/>
      <w:szCs w:val="24"/>
      <w:lang w:val="en-US" w:eastAsia="zh-CN" w:bidi="ar-SA"/>
    </w:rPr>
  </w:style>
  <w:style w:type="character" w:customStyle="1" w:styleId="67">
    <w:name w:val="日期 Char1"/>
    <w:link w:val="24"/>
    <w:qFormat/>
    <w:uiPriority w:val="0"/>
    <w:rPr>
      <w:rFonts w:ascii="Times New Roman" w:hAnsi="Times New Roman" w:eastAsia="宋体" w:cs="Times New Roman"/>
      <w:kern w:val="2"/>
      <w:sz w:val="21"/>
      <w:szCs w:val="24"/>
    </w:rPr>
  </w:style>
  <w:style w:type="character" w:customStyle="1" w:styleId="68">
    <w:name w:val="正文文本缩进 2 Char"/>
    <w:link w:val="25"/>
    <w:qFormat/>
    <w:uiPriority w:val="0"/>
    <w:rPr>
      <w:rFonts w:ascii="仿宋_GB2312" w:hAnsi="宋体" w:eastAsia="宋体" w:cs="Arial"/>
      <w:b/>
      <w:bCs/>
      <w:color w:val="000000"/>
      <w:kern w:val="2"/>
      <w:sz w:val="24"/>
      <w:szCs w:val="24"/>
    </w:rPr>
  </w:style>
  <w:style w:type="character" w:customStyle="1" w:styleId="69">
    <w:name w:val="批注框文本 Char"/>
    <w:link w:val="26"/>
    <w:qFormat/>
    <w:uiPriority w:val="0"/>
    <w:rPr>
      <w:rFonts w:ascii="Times New Roman" w:hAnsi="Times New Roman" w:eastAsia="宋体" w:cs="Times New Roman"/>
      <w:kern w:val="2"/>
      <w:sz w:val="18"/>
      <w:szCs w:val="18"/>
    </w:rPr>
  </w:style>
  <w:style w:type="character" w:customStyle="1" w:styleId="70">
    <w:name w:val="页脚 Char"/>
    <w:link w:val="27"/>
    <w:qFormat/>
    <w:uiPriority w:val="0"/>
    <w:rPr>
      <w:rFonts w:ascii="Times New Roman" w:hAnsi="Times New Roman" w:eastAsia="黑体" w:cs="Times New Roman"/>
      <w:snapToGrid w:val="0"/>
      <w:sz w:val="18"/>
      <w:szCs w:val="18"/>
    </w:rPr>
  </w:style>
  <w:style w:type="character" w:customStyle="1" w:styleId="71">
    <w:name w:val="页眉 Char"/>
    <w:link w:val="29"/>
    <w:qFormat/>
    <w:uiPriority w:val="0"/>
    <w:rPr>
      <w:rFonts w:ascii="Times New Roman" w:hAnsi="Times New Roman" w:eastAsia="宋体" w:cs="Times New Roman"/>
      <w:kern w:val="2"/>
      <w:sz w:val="18"/>
      <w:szCs w:val="18"/>
    </w:rPr>
  </w:style>
  <w:style w:type="character" w:customStyle="1" w:styleId="72">
    <w:name w:val="脚注文本 Char"/>
    <w:link w:val="33"/>
    <w:qFormat/>
    <w:uiPriority w:val="0"/>
    <w:rPr>
      <w:rFonts w:ascii="Tahoma" w:hAnsi="Tahoma" w:eastAsia="宋体" w:cs="Times New Roman"/>
      <w:kern w:val="2"/>
      <w:sz w:val="18"/>
      <w:szCs w:val="18"/>
    </w:rPr>
  </w:style>
  <w:style w:type="character" w:customStyle="1" w:styleId="73">
    <w:name w:val="正文文本缩进 3 Char"/>
    <w:link w:val="34"/>
    <w:qFormat/>
    <w:uiPriority w:val="0"/>
    <w:rPr>
      <w:rFonts w:ascii="Times New Roman" w:hAnsi="Times New Roman" w:eastAsia="宋体" w:cs="Times New Roman"/>
      <w:kern w:val="2"/>
      <w:sz w:val="21"/>
    </w:rPr>
  </w:style>
  <w:style w:type="character" w:customStyle="1" w:styleId="74">
    <w:name w:val="HTML 预设格式 Char"/>
    <w:link w:val="37"/>
    <w:qFormat/>
    <w:uiPriority w:val="0"/>
    <w:rPr>
      <w:rFonts w:ascii="Arial" w:hAnsi="Arial" w:eastAsia="宋体" w:cs="Arial"/>
      <w:sz w:val="24"/>
      <w:szCs w:val="24"/>
    </w:rPr>
  </w:style>
  <w:style w:type="character" w:customStyle="1" w:styleId="75">
    <w:name w:val="标题 Char"/>
    <w:link w:val="39"/>
    <w:qFormat/>
    <w:uiPriority w:val="0"/>
    <w:rPr>
      <w:rFonts w:ascii="Arial" w:hAnsi="Arial" w:eastAsia="宋体" w:cs="Arial"/>
      <w:b/>
      <w:bCs/>
      <w:kern w:val="2"/>
      <w:sz w:val="32"/>
      <w:szCs w:val="32"/>
    </w:rPr>
  </w:style>
  <w:style w:type="character" w:customStyle="1" w:styleId="76">
    <w:name w:val="批注主题 Char"/>
    <w:link w:val="40"/>
    <w:qFormat/>
    <w:uiPriority w:val="0"/>
    <w:rPr>
      <w:rFonts w:ascii="Times New Roman" w:hAnsi="Times New Roman" w:eastAsia="宋体" w:cs="Times New Roman"/>
      <w:kern w:val="2"/>
      <w:sz w:val="21"/>
      <w:szCs w:val="24"/>
    </w:rPr>
  </w:style>
  <w:style w:type="character" w:customStyle="1" w:styleId="77">
    <w:name w:val="正文首行缩进 2 Char"/>
    <w:link w:val="41"/>
    <w:qFormat/>
    <w:uiPriority w:val="0"/>
    <w:rPr>
      <w:rFonts w:hint="default" w:ascii="Calibri" w:hAnsi="Calibri" w:eastAsia="宋体" w:cs="Calibri"/>
      <w:kern w:val="2"/>
      <w:sz w:val="21"/>
      <w:szCs w:val="24"/>
      <w:lang w:val="en-US" w:eastAsia="zh-CN"/>
    </w:rPr>
  </w:style>
  <w:style w:type="character" w:customStyle="1" w:styleId="78">
    <w:name w:val="正文缩进 Char1"/>
    <w:link w:val="79"/>
    <w:qFormat/>
    <w:uiPriority w:val="0"/>
    <w:rPr>
      <w:rFonts w:ascii="Times New Roman" w:hAnsi="Times New Roman" w:eastAsia="宋体" w:cs="Times New Roman"/>
    </w:rPr>
  </w:style>
  <w:style w:type="paragraph" w:customStyle="1" w:styleId="79">
    <w:name w:val="正文缩进1"/>
    <w:basedOn w:val="1"/>
    <w:link w:val="78"/>
    <w:qFormat/>
    <w:uiPriority w:val="0"/>
    <w:pPr>
      <w:widowControl/>
      <w:ind w:firstLine="420"/>
      <w:jc w:val="left"/>
    </w:pPr>
    <w:rPr>
      <w:kern w:val="0"/>
      <w:sz w:val="20"/>
      <w:szCs w:val="20"/>
    </w:rPr>
  </w:style>
  <w:style w:type="character" w:customStyle="1" w:styleId="80">
    <w:name w:val="font01"/>
    <w:qFormat/>
    <w:uiPriority w:val="0"/>
    <w:rPr>
      <w:rFonts w:hint="eastAsia" w:ascii="宋体" w:hAnsi="宋体" w:eastAsia="宋体" w:cs="宋体"/>
      <w:color w:val="000000"/>
      <w:kern w:val="0"/>
      <w:sz w:val="24"/>
      <w:szCs w:val="24"/>
      <w:u w:val="none"/>
    </w:rPr>
  </w:style>
  <w:style w:type="character" w:customStyle="1" w:styleId="81">
    <w:name w:val="正文文本缩进 3 Char1"/>
    <w:qFormat/>
    <w:uiPriority w:val="0"/>
    <w:rPr>
      <w:rFonts w:ascii="Times New Roman" w:hAnsi="Times New Roman" w:eastAsia="宋体" w:cs="Times New Roman"/>
      <w:kern w:val="2"/>
      <w:sz w:val="16"/>
      <w:szCs w:val="16"/>
    </w:rPr>
  </w:style>
  <w:style w:type="character" w:customStyle="1" w:styleId="82">
    <w:name w:val="font21"/>
    <w:qFormat/>
    <w:uiPriority w:val="0"/>
    <w:rPr>
      <w:rFonts w:hint="eastAsia" w:ascii="宋体" w:hAnsi="宋体" w:eastAsia="宋体" w:cs="宋体"/>
      <w:color w:val="000000"/>
      <w:sz w:val="21"/>
      <w:szCs w:val="21"/>
      <w:u w:val="none"/>
    </w:rPr>
  </w:style>
  <w:style w:type="character" w:customStyle="1" w:styleId="83">
    <w:name w:val="List Paragraph Char"/>
    <w:link w:val="84"/>
    <w:qFormat/>
    <w:uiPriority w:val="0"/>
    <w:rPr>
      <w:rFonts w:ascii="Calibri" w:hAnsi="Calibri" w:eastAsia="宋体" w:cs="Times New Roman"/>
      <w:kern w:val="2"/>
      <w:sz w:val="21"/>
      <w:szCs w:val="22"/>
    </w:rPr>
  </w:style>
  <w:style w:type="paragraph" w:customStyle="1" w:styleId="84">
    <w:name w:val="列出段落1"/>
    <w:basedOn w:val="1"/>
    <w:link w:val="83"/>
    <w:qFormat/>
    <w:uiPriority w:val="0"/>
    <w:pPr>
      <w:ind w:firstLine="420" w:firstLineChars="200"/>
    </w:pPr>
    <w:rPr>
      <w:rFonts w:ascii="Calibri" w:hAnsi="Calibri"/>
      <w:szCs w:val="22"/>
    </w:rPr>
  </w:style>
  <w:style w:type="character" w:customStyle="1" w:styleId="85">
    <w:name w:val="font31"/>
    <w:qFormat/>
    <w:uiPriority w:val="0"/>
    <w:rPr>
      <w:rFonts w:hint="eastAsia" w:ascii="宋体" w:hAnsi="宋体" w:eastAsia="宋体" w:cs="宋体"/>
      <w:color w:val="000000"/>
      <w:sz w:val="24"/>
      <w:szCs w:val="24"/>
      <w:u w:val="none"/>
    </w:rPr>
  </w:style>
  <w:style w:type="character" w:customStyle="1" w:styleId="86">
    <w:name w:val="标书1 Char"/>
    <w:qFormat/>
    <w:uiPriority w:val="0"/>
    <w:rPr>
      <w:rFonts w:hint="eastAsia" w:ascii="宋体" w:hAnsi="宋体" w:eastAsia="宋体" w:cs="宋体"/>
      <w:bCs/>
      <w:kern w:val="44"/>
      <w:sz w:val="44"/>
      <w:lang w:val="en-US" w:eastAsia="zh-CN"/>
    </w:rPr>
  </w:style>
  <w:style w:type="character" w:customStyle="1" w:styleId="87">
    <w:name w:val="标题 3 Char"/>
    <w:qFormat/>
    <w:uiPriority w:val="0"/>
    <w:rPr>
      <w:rFonts w:ascii="Times New Roman" w:hAnsi="Times New Roman" w:eastAsia="黑体" w:cs="Times New Roman"/>
      <w:b/>
      <w:sz w:val="28"/>
      <w:lang w:val="en-US" w:eastAsia="zh-CN" w:bidi="ar-SA"/>
    </w:rPr>
  </w:style>
  <w:style w:type="character" w:customStyle="1" w:styleId="88">
    <w:name w:val="标题 Char1"/>
    <w:qFormat/>
    <w:uiPriority w:val="0"/>
    <w:rPr>
      <w:rFonts w:ascii="Cambria" w:hAnsi="Cambria" w:eastAsia="宋体" w:cs="Times New Roman"/>
      <w:b/>
      <w:bCs/>
      <w:kern w:val="2"/>
      <w:sz w:val="32"/>
      <w:szCs w:val="32"/>
    </w:rPr>
  </w:style>
  <w:style w:type="character" w:customStyle="1" w:styleId="89">
    <w:name w:val="Heading 2 Hidden Char2"/>
    <w:qFormat/>
    <w:uiPriority w:val="0"/>
    <w:rPr>
      <w:rFonts w:ascii="Arial" w:hAnsi="Arial" w:eastAsia="黑体" w:cs="Times New Roman"/>
      <w:b/>
      <w:bCs/>
      <w:kern w:val="2"/>
      <w:sz w:val="32"/>
      <w:szCs w:val="32"/>
      <w:lang w:val="en-US" w:eastAsia="zh-CN" w:bidi="ar-SA"/>
    </w:rPr>
  </w:style>
  <w:style w:type="character" w:customStyle="1" w:styleId="90">
    <w:name w:val="正文小标题 Char"/>
    <w:qFormat/>
    <w:uiPriority w:val="0"/>
    <w:rPr>
      <w:rFonts w:ascii="Times New Roman" w:hAnsi="Times New Roman" w:eastAsia="宋体" w:cs="Times New Roman"/>
      <w:kern w:val="2"/>
      <w:sz w:val="21"/>
      <w:szCs w:val="24"/>
    </w:rPr>
  </w:style>
  <w:style w:type="character" w:customStyle="1" w:styleId="91">
    <w:name w:val="脚注文本 Char1"/>
    <w:qFormat/>
    <w:uiPriority w:val="0"/>
    <w:rPr>
      <w:rFonts w:ascii="Times New Roman" w:hAnsi="Times New Roman" w:eastAsia="宋体" w:cs="Times New Roman"/>
      <w:kern w:val="2"/>
      <w:sz w:val="18"/>
      <w:szCs w:val="18"/>
    </w:rPr>
  </w:style>
  <w:style w:type="character" w:customStyle="1" w:styleId="92">
    <w:name w:val="列出段落 Char"/>
    <w:link w:val="93"/>
    <w:qFormat/>
    <w:uiPriority w:val="0"/>
    <w:rPr>
      <w:rFonts w:ascii="Times New Roman" w:hAnsi="Times New Roman" w:eastAsia="宋体" w:cs="Times New Roman"/>
      <w:kern w:val="2"/>
      <w:sz w:val="21"/>
      <w:szCs w:val="24"/>
    </w:rPr>
  </w:style>
  <w:style w:type="paragraph" w:customStyle="1" w:styleId="93">
    <w:name w:val="列出段落2"/>
    <w:basedOn w:val="1"/>
    <w:link w:val="92"/>
    <w:qFormat/>
    <w:uiPriority w:val="0"/>
    <w:pPr>
      <w:ind w:firstLine="420" w:firstLineChars="200"/>
    </w:pPr>
  </w:style>
  <w:style w:type="character" w:customStyle="1" w:styleId="94">
    <w:name w:val="h2 Char"/>
    <w:qFormat/>
    <w:uiPriority w:val="0"/>
    <w:rPr>
      <w:rFonts w:ascii="Arial" w:hAnsi="Arial" w:eastAsia="黑体" w:cs="Times New Roman"/>
      <w:b/>
      <w:bCs/>
      <w:kern w:val="2"/>
      <w:sz w:val="32"/>
      <w:szCs w:val="32"/>
      <w:lang w:val="en-US" w:eastAsia="zh-CN" w:bidi="ar-SA"/>
    </w:rPr>
  </w:style>
  <w:style w:type="character" w:customStyle="1" w:styleId="95">
    <w:name w:val="apple-converted-space"/>
    <w:qFormat/>
    <w:uiPriority w:val="0"/>
    <w:rPr>
      <w:rFonts w:ascii="Times New Roman" w:hAnsi="Times New Roman" w:eastAsia="宋体" w:cs="Times New Roman"/>
    </w:rPr>
  </w:style>
  <w:style w:type="character" w:customStyle="1" w:styleId="96">
    <w:name w:val="文档结构图 Char"/>
    <w:link w:val="97"/>
    <w:qFormat/>
    <w:uiPriority w:val="0"/>
    <w:rPr>
      <w:rFonts w:ascii="宋体" w:hAnsi="Times New Roman" w:eastAsia="宋体" w:cs="Times New Roman"/>
      <w:sz w:val="18"/>
      <w:szCs w:val="18"/>
    </w:rPr>
  </w:style>
  <w:style w:type="paragraph" w:customStyle="1" w:styleId="97">
    <w:name w:val="文档结构图1"/>
    <w:basedOn w:val="1"/>
    <w:link w:val="96"/>
    <w:qFormat/>
    <w:uiPriority w:val="0"/>
    <w:rPr>
      <w:rFonts w:ascii="宋体"/>
      <w:kern w:val="0"/>
      <w:sz w:val="18"/>
      <w:szCs w:val="18"/>
    </w:rPr>
  </w:style>
  <w:style w:type="character" w:customStyle="1" w:styleId="98">
    <w:name w:val="标题 1 Char1"/>
    <w:qFormat/>
    <w:uiPriority w:val="0"/>
    <w:rPr>
      <w:rFonts w:ascii="Times New Roman" w:hAnsi="Times New Roman" w:eastAsia="宋体" w:cs="Times New Roman"/>
      <w:b/>
      <w:bCs/>
      <w:kern w:val="44"/>
      <w:sz w:val="32"/>
      <w:lang w:val="en-US" w:eastAsia="zh-CN" w:bidi="ar-SA"/>
    </w:rPr>
  </w:style>
  <w:style w:type="character" w:customStyle="1" w:styleId="99">
    <w:name w:val="p141"/>
    <w:qFormat/>
    <w:uiPriority w:val="0"/>
    <w:rPr>
      <w:rFonts w:ascii="Times New Roman" w:hAnsi="Times New Roman" w:eastAsia="宋体" w:cs="Times New Roman"/>
      <w:sz w:val="21"/>
      <w:szCs w:val="21"/>
      <w:u w:val="none"/>
    </w:rPr>
  </w:style>
  <w:style w:type="character" w:customStyle="1" w:styleId="100">
    <w:name w:val="hui"/>
    <w:qFormat/>
    <w:uiPriority w:val="0"/>
    <w:rPr>
      <w:rFonts w:ascii="Times New Roman" w:hAnsi="Times New Roman" w:eastAsia="宋体" w:cs="Times New Roman"/>
    </w:rPr>
  </w:style>
  <w:style w:type="character" w:customStyle="1" w:styleId="101">
    <w:name w:val="普通文字 Char Char1"/>
    <w:qFormat/>
    <w:uiPriority w:val="0"/>
    <w:rPr>
      <w:rFonts w:hint="eastAsia" w:ascii="宋体" w:hAnsi="Courier New" w:eastAsia="宋体" w:cs="宋体"/>
      <w:kern w:val="2"/>
      <w:sz w:val="24"/>
      <w:szCs w:val="24"/>
      <w:lang w:val="en-US" w:eastAsia="zh-CN"/>
    </w:rPr>
  </w:style>
  <w:style w:type="character" w:styleId="102">
    <w:name w:val="Placeholder Text"/>
    <w:qFormat/>
    <w:uiPriority w:val="0"/>
    <w:rPr>
      <w:rFonts w:ascii="Times New Roman" w:hAnsi="Times New Roman" w:eastAsia="宋体" w:cs="Times New Roman"/>
      <w:color w:val="808080"/>
    </w:rPr>
  </w:style>
  <w:style w:type="character" w:customStyle="1" w:styleId="103">
    <w:name w:val="ca-39"/>
    <w:qFormat/>
    <w:uiPriority w:val="0"/>
    <w:rPr>
      <w:rFonts w:ascii="Times New Roman" w:hAnsi="Times New Roman" w:eastAsia="宋体" w:cs="Times New Roman"/>
    </w:rPr>
  </w:style>
  <w:style w:type="character" w:customStyle="1" w:styleId="104">
    <w:name w:val="font61"/>
    <w:qFormat/>
    <w:uiPriority w:val="0"/>
    <w:rPr>
      <w:rFonts w:hint="eastAsia" w:ascii="微软雅黑" w:hAnsi="微软雅黑" w:eastAsia="微软雅黑" w:cs="微软雅黑"/>
      <w:color w:val="000000"/>
      <w:sz w:val="20"/>
      <w:szCs w:val="20"/>
      <w:u w:val="none"/>
    </w:rPr>
  </w:style>
  <w:style w:type="character" w:customStyle="1" w:styleId="105">
    <w:name w:val="标题 1 Char"/>
    <w:qFormat/>
    <w:uiPriority w:val="0"/>
    <w:rPr>
      <w:rFonts w:ascii="Times New Roman" w:hAnsi="Times New Roman" w:eastAsia="宋体" w:cs="Times New Roman"/>
      <w:b/>
      <w:bCs/>
      <w:kern w:val="44"/>
      <w:sz w:val="32"/>
      <w:lang w:val="en-US" w:eastAsia="zh-CN" w:bidi="ar-SA"/>
    </w:rPr>
  </w:style>
  <w:style w:type="character" w:customStyle="1" w:styleId="106">
    <w:name w:val="正文文本 Char"/>
    <w:qFormat/>
    <w:uiPriority w:val="0"/>
    <w:rPr>
      <w:rFonts w:ascii="Times New Roman" w:hAnsi="Times New Roman" w:eastAsia="宋体" w:cs="Times New Roman"/>
      <w:kern w:val="2"/>
      <w:sz w:val="21"/>
      <w:szCs w:val="24"/>
    </w:rPr>
  </w:style>
  <w:style w:type="character" w:customStyle="1" w:styleId="107">
    <w:name w:val="日期 Char"/>
    <w:qFormat/>
    <w:uiPriority w:val="0"/>
    <w:rPr>
      <w:rFonts w:ascii="Times New Roman" w:hAnsi="Times New Roman" w:eastAsia="宋体" w:cs="Times New Roman"/>
      <w:kern w:val="2"/>
      <w:sz w:val="24"/>
    </w:rPr>
  </w:style>
  <w:style w:type="character" w:customStyle="1" w:styleId="108">
    <w:name w:val="样式 首行缩进:  0.74 厘米 Char"/>
    <w:link w:val="109"/>
    <w:qFormat/>
    <w:uiPriority w:val="0"/>
    <w:rPr>
      <w:rFonts w:ascii="宋体" w:hAnsi="宋体" w:eastAsia="宋体" w:cs="宋体"/>
      <w:b/>
      <w:kern w:val="2"/>
      <w:sz w:val="24"/>
      <w:szCs w:val="24"/>
    </w:rPr>
  </w:style>
  <w:style w:type="paragraph" w:customStyle="1" w:styleId="109">
    <w:name w:val="样式 首行缩进:  0.74 厘米"/>
    <w:basedOn w:val="1"/>
    <w:link w:val="108"/>
    <w:qFormat/>
    <w:uiPriority w:val="0"/>
    <w:pPr>
      <w:tabs>
        <w:tab w:val="left" w:pos="851"/>
      </w:tabs>
      <w:spacing w:line="360" w:lineRule="auto"/>
    </w:pPr>
    <w:rPr>
      <w:rFonts w:ascii="宋体" w:hAnsi="宋体"/>
      <w:b/>
      <w:sz w:val="24"/>
    </w:rPr>
  </w:style>
  <w:style w:type="character" w:customStyle="1" w:styleId="110">
    <w:name w:val="NormalCharacter"/>
    <w:qFormat/>
    <w:uiPriority w:val="0"/>
    <w:rPr>
      <w:rFonts w:ascii="Times New Roman" w:hAnsi="Times New Roman" w:eastAsia="宋体"/>
    </w:rPr>
  </w:style>
  <w:style w:type="character" w:customStyle="1" w:styleId="111">
    <w:name w:val="cpxl1"/>
    <w:qFormat/>
    <w:uiPriority w:val="0"/>
    <w:rPr>
      <w:rFonts w:ascii="Times New Roman" w:hAnsi="Times New Roman" w:eastAsia="宋体" w:cs="Times New Roman"/>
      <w:color w:val="000000"/>
      <w:sz w:val="24"/>
      <w:szCs w:val="24"/>
      <w:u w:val="none"/>
    </w:rPr>
  </w:style>
  <w:style w:type="character" w:customStyle="1" w:styleId="112">
    <w:name w:val="无间距字符"/>
    <w:link w:val="113"/>
    <w:qFormat/>
    <w:uiPriority w:val="0"/>
    <w:rPr>
      <w:rFonts w:ascii="Calibri" w:hAnsi="Calibri"/>
      <w:sz w:val="22"/>
      <w:szCs w:val="22"/>
      <w:lang w:val="en-US" w:eastAsia="zh-CN" w:bidi="ar-SA"/>
    </w:rPr>
  </w:style>
  <w:style w:type="paragraph" w:customStyle="1" w:styleId="113">
    <w:name w:val="无间距"/>
    <w:link w:val="112"/>
    <w:qFormat/>
    <w:uiPriority w:val="0"/>
    <w:rPr>
      <w:rFonts w:ascii="Calibri" w:hAnsi="Calibri" w:eastAsia="宋体" w:cs="Times New Roman"/>
      <w:sz w:val="22"/>
      <w:szCs w:val="22"/>
      <w:lang w:val="en-US" w:eastAsia="zh-CN" w:bidi="ar-SA"/>
    </w:rPr>
  </w:style>
  <w:style w:type="character" w:customStyle="1" w:styleId="114">
    <w:name w:val="批注主题 Char1"/>
    <w:qFormat/>
    <w:uiPriority w:val="0"/>
    <w:rPr>
      <w:rFonts w:ascii="Times New Roman" w:hAnsi="Times New Roman" w:eastAsia="宋体" w:cs="Times New Roman"/>
      <w:b/>
      <w:bCs/>
      <w:kern w:val="2"/>
      <w:sz w:val="21"/>
      <w:szCs w:val="24"/>
    </w:rPr>
  </w:style>
  <w:style w:type="character" w:customStyle="1" w:styleId="115">
    <w:name w:val="纯文本 Char1"/>
    <w:qFormat/>
    <w:uiPriority w:val="0"/>
    <w:rPr>
      <w:rFonts w:ascii="宋体" w:hAnsi="Courier New" w:eastAsia="宋体" w:cs="Times New Roman"/>
      <w:szCs w:val="20"/>
    </w:rPr>
  </w:style>
  <w:style w:type="character" w:customStyle="1" w:styleId="116">
    <w:name w:val="apple-style-span"/>
    <w:qFormat/>
    <w:uiPriority w:val="0"/>
    <w:rPr>
      <w:rFonts w:ascii="Times New Roman" w:hAnsi="Times New Roman" w:eastAsia="宋体" w:cs="Times New Roman"/>
    </w:rPr>
  </w:style>
  <w:style w:type="character" w:customStyle="1" w:styleId="117">
    <w:name w:val="标题 2 Char"/>
    <w:qFormat/>
    <w:uiPriority w:val="0"/>
    <w:rPr>
      <w:rFonts w:hint="eastAsia" w:ascii="文鼎小标宋简" w:hAnsi="Times New Roman" w:eastAsia="文鼎小标宋简" w:cs="Times New Roman"/>
      <w:b/>
      <w:sz w:val="36"/>
      <w:lang w:val="en-US" w:eastAsia="zh-CN" w:bidi="ar-SA"/>
    </w:rPr>
  </w:style>
  <w:style w:type="character" w:customStyle="1" w:styleId="118">
    <w:name w:val="正文二级标题 Char"/>
    <w:qFormat/>
    <w:uiPriority w:val="0"/>
    <w:rPr>
      <w:rFonts w:hint="default" w:ascii="Arial" w:hAnsi="Arial" w:eastAsia="黑体" w:cs="Arial"/>
      <w:b/>
      <w:kern w:val="2"/>
      <w:sz w:val="32"/>
      <w:szCs w:val="32"/>
      <w:lang w:val="en-US" w:eastAsia="zh-CN"/>
    </w:rPr>
  </w:style>
  <w:style w:type="character" w:customStyle="1" w:styleId="119">
    <w:name w:val="标题 1 Char Char"/>
    <w:qFormat/>
    <w:uiPriority w:val="0"/>
    <w:rPr>
      <w:rFonts w:ascii="Times New Roman" w:hAnsi="Times New Roman" w:eastAsia="宋体" w:cs="Times New Roman"/>
      <w:b/>
      <w:spacing w:val="-2"/>
      <w:sz w:val="24"/>
      <w:lang w:val="en-US" w:eastAsia="zh-CN" w:bidi="ar-SA"/>
    </w:rPr>
  </w:style>
  <w:style w:type="paragraph" w:customStyle="1" w:styleId="120">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customStyle="1" w:styleId="121">
    <w:name w:val="Char Char Char"/>
    <w:basedOn w:val="15"/>
    <w:qFormat/>
    <w:uiPriority w:val="0"/>
    <w:pPr>
      <w:shd w:val="clear" w:color="auto" w:fill="000080"/>
    </w:pPr>
    <w:rPr>
      <w:rFonts w:ascii="Times New Roman"/>
      <w:sz w:val="21"/>
      <w:szCs w:val="24"/>
    </w:rPr>
  </w:style>
  <w:style w:type="paragraph" w:customStyle="1" w:styleId="122">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GP正文(首行缩进)"/>
    <w:basedOn w:val="1"/>
    <w:qFormat/>
    <w:uiPriority w:val="0"/>
    <w:pPr>
      <w:spacing w:line="360" w:lineRule="auto"/>
      <w:ind w:firstLine="200" w:firstLineChars="200"/>
      <w:jc w:val="left"/>
    </w:pPr>
    <w:rPr>
      <w:sz w:val="24"/>
      <w:szCs w:val="21"/>
    </w:rPr>
  </w:style>
  <w:style w:type="paragraph" w:customStyle="1" w:styleId="124">
    <w:name w:val="xl8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125">
    <w:name w:val="Table Paragraph"/>
    <w:basedOn w:val="1"/>
    <w:unhideWhenUsed/>
    <w:qFormat/>
    <w:uiPriority w:val="1"/>
    <w:pPr>
      <w:spacing w:before="120"/>
      <w:jc w:val="center"/>
    </w:pPr>
    <w:rPr>
      <w:rFonts w:hint="eastAsia"/>
      <w:sz w:val="24"/>
    </w:rPr>
  </w:style>
  <w:style w:type="paragraph" w:customStyle="1" w:styleId="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b/>
      <w:bCs/>
      <w:kern w:val="0"/>
      <w:sz w:val="20"/>
      <w:szCs w:val="20"/>
    </w:rPr>
  </w:style>
  <w:style w:type="paragraph" w:customStyle="1" w:styleId="12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20"/>
      <w:szCs w:val="20"/>
    </w:rPr>
  </w:style>
  <w:style w:type="paragraph" w:customStyle="1" w:styleId="128">
    <w:name w:val="TableText"/>
    <w:basedOn w:val="1"/>
    <w:qFormat/>
    <w:uiPriority w:val="0"/>
    <w:pPr>
      <w:snapToGrid w:val="0"/>
      <w:spacing w:beforeLines="20" w:afterLines="20"/>
      <w:jc w:val="center"/>
    </w:pPr>
    <w:rPr>
      <w:rFonts w:hint="eastAsia"/>
      <w:szCs w:val="20"/>
    </w:rPr>
  </w:style>
  <w:style w:type="paragraph" w:customStyle="1" w:styleId="129">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30">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List Paragraph"/>
    <w:basedOn w:val="1"/>
    <w:qFormat/>
    <w:uiPriority w:val="0"/>
    <w:pPr>
      <w:ind w:firstLine="420" w:firstLineChars="200"/>
    </w:pPr>
    <w:rPr>
      <w:rFonts w:ascii="Calibri" w:hAnsi="Calibri"/>
      <w:szCs w:val="22"/>
    </w:rPr>
  </w:style>
  <w:style w:type="paragraph" w:customStyle="1" w:styleId="13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33">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34">
    <w:name w:val="font10"/>
    <w:basedOn w:val="1"/>
    <w:qFormat/>
    <w:uiPriority w:val="0"/>
    <w:pPr>
      <w:widowControl/>
      <w:spacing w:before="100" w:beforeAutospacing="1" w:after="100" w:afterAutospacing="1"/>
      <w:jc w:val="left"/>
    </w:pPr>
    <w:rPr>
      <w:rFonts w:ascii="Gulim" w:hAnsi="Gulim" w:eastAsia="Gulim" w:cs="宋体"/>
      <w:b/>
      <w:bCs/>
      <w:kern w:val="0"/>
      <w:sz w:val="20"/>
      <w:szCs w:val="20"/>
    </w:rPr>
  </w:style>
  <w:style w:type="paragraph" w:customStyle="1" w:styleId="135">
    <w:name w:val="cjk"/>
    <w:basedOn w:val="1"/>
    <w:qFormat/>
    <w:uiPriority w:val="0"/>
    <w:pPr>
      <w:jc w:val="left"/>
    </w:pPr>
    <w:rPr>
      <w:rFonts w:hint="eastAsia" w:ascii="宋体" w:hAnsi="宋体"/>
      <w:kern w:val="0"/>
      <w:sz w:val="24"/>
    </w:rPr>
  </w:style>
  <w:style w:type="paragraph" w:customStyle="1" w:styleId="13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37">
    <w:name w:val="a正文"/>
    <w:basedOn w:val="1"/>
    <w:qFormat/>
    <w:uiPriority w:val="0"/>
    <w:pPr>
      <w:spacing w:line="360" w:lineRule="auto"/>
      <w:ind w:firstLine="480" w:firstLineChars="200"/>
    </w:pPr>
    <w:rPr>
      <w:rFonts w:ascii="宋体" w:hAnsi="宋体"/>
      <w:kern w:val="0"/>
      <w:sz w:val="24"/>
      <w:szCs w:val="20"/>
    </w:rPr>
  </w:style>
  <w:style w:type="paragraph" w:customStyle="1" w:styleId="13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20"/>
      <w:szCs w:val="20"/>
    </w:rPr>
  </w:style>
  <w:style w:type="paragraph" w:customStyle="1" w:styleId="139">
    <w:name w:val="xl85"/>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40">
    <w:name w:val="Char Char Char1 Char"/>
    <w:basedOn w:val="1"/>
    <w:qFormat/>
    <w:uiPriority w:val="0"/>
    <w:rPr>
      <w:szCs w:val="20"/>
    </w:rPr>
  </w:style>
  <w:style w:type="paragraph" w:customStyle="1" w:styleId="14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42">
    <w:name w:val="font11"/>
    <w:basedOn w:val="1"/>
    <w:qFormat/>
    <w:uiPriority w:val="0"/>
    <w:pPr>
      <w:widowControl/>
      <w:spacing w:before="100" w:beforeAutospacing="1" w:after="100" w:afterAutospacing="1"/>
      <w:jc w:val="left"/>
    </w:pPr>
    <w:rPr>
      <w:rFonts w:ascii="新宋体" w:hAnsi="新宋体" w:eastAsia="新宋体" w:cs="宋体"/>
      <w:b/>
      <w:bCs/>
      <w:kern w:val="0"/>
      <w:sz w:val="20"/>
      <w:szCs w:val="20"/>
    </w:rPr>
  </w:style>
  <w:style w:type="paragraph" w:customStyle="1" w:styleId="143">
    <w:name w:val="纯文本1"/>
    <w:basedOn w:val="1"/>
    <w:qFormat/>
    <w:uiPriority w:val="0"/>
    <w:pPr>
      <w:adjustRightInd w:val="0"/>
      <w:jc w:val="left"/>
      <w:textAlignment w:val="baseline"/>
    </w:pPr>
    <w:rPr>
      <w:rFonts w:ascii="宋体" w:hAnsi="Courier New"/>
      <w:sz w:val="24"/>
      <w:szCs w:val="20"/>
    </w:rPr>
  </w:style>
  <w:style w:type="paragraph" w:customStyle="1" w:styleId="144">
    <w:name w:val="HT_正文缩进"/>
    <w:basedOn w:val="1"/>
    <w:qFormat/>
    <w:uiPriority w:val="0"/>
    <w:pPr>
      <w:spacing w:beforeLines="50" w:line="300" w:lineRule="auto"/>
      <w:ind w:firstLine="480" w:firstLineChars="200"/>
    </w:pPr>
    <w:rPr>
      <w:sz w:val="24"/>
      <w:szCs w:val="20"/>
    </w:rPr>
  </w:style>
  <w:style w:type="paragraph" w:customStyle="1" w:styleId="145">
    <w:name w:val="列出序号"/>
    <w:basedOn w:val="1"/>
    <w:qFormat/>
    <w:uiPriority w:val="0"/>
    <w:pPr>
      <w:widowControl/>
      <w:numPr>
        <w:ilvl w:val="7"/>
        <w:numId w:val="1"/>
      </w:numPr>
      <w:adjustRightInd w:val="0"/>
      <w:snapToGrid w:val="0"/>
      <w:spacing w:line="360" w:lineRule="auto"/>
    </w:pPr>
    <w:rPr>
      <w:sz w:val="24"/>
    </w:rPr>
  </w:style>
  <w:style w:type="paragraph" w:customStyle="1" w:styleId="146">
    <w:name w:val="Char Char1 Char Char Char Char Char Char Char"/>
    <w:basedOn w:val="1"/>
    <w:qFormat/>
    <w:uiPriority w:val="0"/>
    <w:rPr>
      <w:rFonts w:ascii="Tahoma" w:hAnsi="Tahoma"/>
      <w:sz w:val="24"/>
    </w:rPr>
  </w:style>
  <w:style w:type="paragraph" w:customStyle="1" w:styleId="147">
    <w:name w:val="xl108"/>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48">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149">
    <w:name w:val="pa-18"/>
    <w:basedOn w:val="1"/>
    <w:qFormat/>
    <w:uiPriority w:val="0"/>
    <w:pPr>
      <w:widowControl/>
      <w:spacing w:before="150" w:after="150"/>
      <w:jc w:val="left"/>
    </w:pPr>
    <w:rPr>
      <w:rFonts w:ascii="宋体" w:hAnsi="宋体" w:cs="宋体"/>
      <w:kern w:val="0"/>
      <w:sz w:val="24"/>
    </w:rPr>
  </w:style>
  <w:style w:type="paragraph" w:customStyle="1" w:styleId="150">
    <w:name w:val="彩色底纹 - 强调文字颜色 61"/>
    <w:basedOn w:val="5"/>
    <w:next w:val="1"/>
    <w:qFormat/>
    <w:uiPriority w:val="0"/>
    <w:pPr>
      <w:widowControl/>
      <w:adjustRightInd/>
      <w:spacing w:before="480" w:line="276" w:lineRule="auto"/>
      <w:jc w:val="left"/>
      <w:textAlignment w:val="auto"/>
      <w:outlineLvl w:val="9"/>
    </w:pPr>
    <w:rPr>
      <w:rFonts w:ascii="Cambria" w:hAnsi="Cambria"/>
      <w:b w:val="0"/>
      <w:color w:val="365F91"/>
      <w:kern w:val="0"/>
      <w:sz w:val="28"/>
      <w:szCs w:val="28"/>
    </w:rPr>
  </w:style>
  <w:style w:type="paragraph" w:customStyle="1" w:styleId="151">
    <w:name w:val="正文段"/>
    <w:basedOn w:val="1"/>
    <w:qFormat/>
    <w:uiPriority w:val="0"/>
    <w:pPr>
      <w:widowControl/>
      <w:snapToGrid w:val="0"/>
      <w:spacing w:afterLines="50"/>
      <w:ind w:firstLine="200" w:firstLineChars="200"/>
    </w:pPr>
    <w:rPr>
      <w:kern w:val="0"/>
      <w:sz w:val="24"/>
      <w:szCs w:val="20"/>
    </w:rPr>
  </w:style>
  <w:style w:type="paragraph" w:customStyle="1" w:styleId="152">
    <w:name w:val="Char Char Char Char"/>
    <w:basedOn w:val="1"/>
    <w:qFormat/>
    <w:uiPriority w:val="0"/>
    <w:pPr>
      <w:ind w:left="-48"/>
    </w:pPr>
  </w:style>
  <w:style w:type="paragraph" w:customStyle="1" w:styleId="15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5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二级条标题"/>
    <w:basedOn w:val="1"/>
    <w:next w:val="1"/>
    <w:qFormat/>
    <w:uiPriority w:val="0"/>
    <w:pPr>
      <w:widowControl/>
      <w:numPr>
        <w:ilvl w:val="2"/>
        <w:numId w:val="2"/>
      </w:numPr>
      <w:spacing w:before="50" w:after="50"/>
      <w:jc w:val="left"/>
      <w:outlineLvl w:val="3"/>
    </w:pPr>
    <w:rPr>
      <w:rFonts w:ascii="黑体" w:eastAsia="黑体"/>
      <w:kern w:val="0"/>
      <w:szCs w:val="21"/>
    </w:rPr>
  </w:style>
  <w:style w:type="paragraph" w:customStyle="1" w:styleId="156">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章正文"/>
    <w:basedOn w:val="1"/>
    <w:qFormat/>
    <w:locked/>
    <w:uiPriority w:val="0"/>
    <w:pPr>
      <w:spacing w:beforeLines="50" w:after="120" w:line="300" w:lineRule="auto"/>
      <w:ind w:firstLine="480"/>
    </w:pPr>
    <w:rPr>
      <w:rFonts w:ascii="Helvetica" w:hAnsi="Helvetica"/>
      <w:kern w:val="0"/>
    </w:rPr>
  </w:style>
  <w:style w:type="paragraph" w:customStyle="1" w:styleId="158">
    <w:name w:val="S4-L15-C"/>
    <w:basedOn w:val="1"/>
    <w:qFormat/>
    <w:uiPriority w:val="0"/>
    <w:pPr>
      <w:spacing w:after="120" w:line="360" w:lineRule="auto"/>
      <w:jc w:val="center"/>
    </w:pPr>
    <w:rPr>
      <w:szCs w:val="20"/>
    </w:rPr>
  </w:style>
  <w:style w:type="paragraph" w:customStyle="1" w:styleId="159">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Char2"/>
    <w:basedOn w:val="1"/>
    <w:qFormat/>
    <w:uiPriority w:val="0"/>
    <w:rPr>
      <w:rFonts w:ascii="仿宋_GB2312" w:eastAsia="仿宋_GB2312"/>
      <w:b/>
      <w:sz w:val="32"/>
      <w:szCs w:val="32"/>
    </w:rPr>
  </w:style>
  <w:style w:type="paragraph" w:customStyle="1" w:styleId="161">
    <w:name w:val="Char"/>
    <w:basedOn w:val="1"/>
    <w:qFormat/>
    <w:uiPriority w:val="0"/>
    <w:rPr>
      <w:rFonts w:ascii="仿宋_GB2312" w:eastAsia="仿宋_GB2312"/>
      <w:b/>
      <w:sz w:val="32"/>
      <w:szCs w:val="32"/>
    </w:rPr>
  </w:style>
  <w:style w:type="paragraph" w:customStyle="1" w:styleId="162">
    <w:name w:val="普通(网站)_0"/>
    <w:basedOn w:val="1"/>
    <w:unhideWhenUsed/>
    <w:qFormat/>
    <w:uiPriority w:val="0"/>
    <w:pPr>
      <w:spacing w:before="100" w:beforeAutospacing="1" w:after="100" w:afterAutospacing="1"/>
    </w:pPr>
    <w:rPr>
      <w:rFonts w:ascii="宋体"/>
      <w:sz w:val="24"/>
      <w:szCs w:val="22"/>
    </w:rPr>
  </w:style>
  <w:style w:type="paragraph" w:customStyle="1" w:styleId="1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64">
    <w:name w:val="默认段落字体 Para Char Char Char Char"/>
    <w:basedOn w:val="1"/>
    <w:qFormat/>
    <w:uiPriority w:val="0"/>
  </w:style>
  <w:style w:type="paragraph" w:customStyle="1" w:styleId="16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67">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GP标题2"/>
    <w:basedOn w:val="1"/>
    <w:next w:val="1"/>
    <w:qFormat/>
    <w:uiPriority w:val="0"/>
    <w:pPr>
      <w:spacing w:beforeLines="50" w:afterLines="50" w:line="360" w:lineRule="auto"/>
      <w:jc w:val="left"/>
      <w:outlineLvl w:val="1"/>
    </w:pPr>
    <w:rPr>
      <w:rFonts w:ascii="华文细黑" w:hAnsi="华文细黑" w:eastAsia="华文细黑"/>
      <w:b/>
      <w:sz w:val="32"/>
      <w:szCs w:val="21"/>
    </w:rPr>
  </w:style>
  <w:style w:type="paragraph" w:customStyle="1" w:styleId="169">
    <w:name w:val="HT_列表项目编号2"/>
    <w:basedOn w:val="1"/>
    <w:next w:val="1"/>
    <w:qFormat/>
    <w:uiPriority w:val="0"/>
    <w:pPr>
      <w:spacing w:beforeLines="50" w:line="360" w:lineRule="auto"/>
      <w:contextualSpacing/>
    </w:pPr>
    <w:rPr>
      <w:b/>
      <w:sz w:val="24"/>
      <w:szCs w:val="20"/>
    </w:rPr>
  </w:style>
  <w:style w:type="paragraph" w:customStyle="1" w:styleId="170">
    <w:name w:val="Table - Text"/>
    <w:basedOn w:val="1"/>
    <w:qFormat/>
    <w:uiPriority w:val="0"/>
    <w:pPr>
      <w:widowControl/>
      <w:spacing w:before="60" w:afterLines="50"/>
      <w:jc w:val="left"/>
    </w:pPr>
    <w:rPr>
      <w:kern w:val="0"/>
      <w:szCs w:val="20"/>
      <w:lang w:eastAsia="en-US"/>
    </w:rPr>
  </w:style>
  <w:style w:type="paragraph" w:customStyle="1" w:styleId="171">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样式1"/>
    <w:basedOn w:val="1"/>
    <w:qFormat/>
    <w:uiPriority w:val="0"/>
    <w:pPr>
      <w:tabs>
        <w:tab w:val="left" w:pos="960"/>
      </w:tabs>
      <w:adjustRightInd w:val="0"/>
      <w:ind w:left="960" w:hanging="420"/>
      <w:textAlignment w:val="baseline"/>
    </w:pPr>
    <w:rPr>
      <w:rFonts w:ascii="宋体" w:hAnsi="宋体"/>
      <w:kern w:val="0"/>
      <w:szCs w:val="20"/>
    </w:rPr>
  </w:style>
  <w:style w:type="paragraph" w:customStyle="1" w:styleId="17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6">
    <w:name w:val="_Style 2"/>
    <w:basedOn w:val="1"/>
    <w:qFormat/>
    <w:uiPriority w:val="0"/>
    <w:pPr>
      <w:ind w:firstLine="200" w:firstLineChars="200"/>
    </w:pPr>
    <w:rPr>
      <w:rFonts w:ascii="Calibri" w:hAnsi="Calibri"/>
      <w:sz w:val="28"/>
      <w:szCs w:val="22"/>
    </w:rPr>
  </w:style>
  <w:style w:type="paragraph" w:customStyle="1" w:styleId="177">
    <w:name w:val="彩色列表 - 强调文字颜色 11"/>
    <w:basedOn w:val="1"/>
    <w:qFormat/>
    <w:uiPriority w:val="0"/>
    <w:pPr>
      <w:ind w:firstLine="420" w:firstLineChars="200"/>
    </w:pPr>
    <w:rPr>
      <w:rFonts w:ascii="Calibri" w:hAnsi="Calibri"/>
      <w:sz w:val="24"/>
    </w:rPr>
  </w:style>
  <w:style w:type="paragraph" w:customStyle="1" w:styleId="1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kern w:val="0"/>
      <w:sz w:val="20"/>
      <w:szCs w:val="20"/>
    </w:rPr>
  </w:style>
  <w:style w:type="paragraph" w:customStyle="1" w:styleId="17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80">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81">
    <w:name w:val="文档正文"/>
    <w:basedOn w:val="1"/>
    <w:qFormat/>
    <w:uiPriority w:val="0"/>
    <w:pPr>
      <w:adjustRightInd w:val="0"/>
      <w:spacing w:line="480" w:lineRule="atLeast"/>
      <w:ind w:firstLine="567"/>
      <w:textAlignment w:val="baseline"/>
    </w:pPr>
    <w:rPr>
      <w:rFonts w:ascii="长城仿宋"/>
      <w:kern w:val="0"/>
      <w:sz w:val="24"/>
      <w:szCs w:val="20"/>
    </w:rPr>
  </w:style>
  <w:style w:type="paragraph" w:customStyle="1" w:styleId="182">
    <w:name w:val="UserStyle_61"/>
    <w:qFormat/>
    <w:uiPriority w:val="0"/>
    <w:pPr>
      <w:textAlignment w:val="baseline"/>
    </w:pPr>
    <w:rPr>
      <w:rFonts w:ascii="宋体" w:hAnsi="Calibri" w:eastAsia="等线" w:cs="Times New Roman"/>
      <w:color w:val="000000"/>
      <w:sz w:val="24"/>
      <w:szCs w:val="24"/>
      <w:lang w:val="en-US" w:eastAsia="zh-CN" w:bidi="ar-SA"/>
    </w:rPr>
  </w:style>
  <w:style w:type="paragraph" w:customStyle="1" w:styleId="18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184">
    <w:name w:val="标题3333"/>
    <w:basedOn w:val="1"/>
    <w:qFormat/>
    <w:uiPriority w:val="0"/>
    <w:pPr>
      <w:ind w:left="-171" w:leftChars="-171" w:hanging="359" w:hangingChars="149"/>
    </w:pPr>
    <w:rPr>
      <w:rFonts w:ascii="宋体" w:hAnsi="宋体"/>
      <w:b/>
      <w:sz w:val="24"/>
      <w:szCs w:val="20"/>
    </w:rPr>
  </w:style>
  <w:style w:type="paragraph" w:customStyle="1" w:styleId="185">
    <w:name w:val="纯文本_5_0"/>
    <w:basedOn w:val="1"/>
    <w:qFormat/>
    <w:uiPriority w:val="0"/>
    <w:rPr>
      <w:rFonts w:ascii="宋体" w:hAnsi="Courier New"/>
      <w:szCs w:val="20"/>
    </w:rPr>
  </w:style>
  <w:style w:type="paragraph" w:customStyle="1" w:styleId="1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Gulim" w:hAnsi="Gulim" w:eastAsia="Gulim" w:cs="宋体"/>
      <w:b/>
      <w:bCs/>
      <w:kern w:val="0"/>
      <w:sz w:val="20"/>
      <w:szCs w:val="20"/>
    </w:rPr>
  </w:style>
  <w:style w:type="paragraph" w:customStyle="1" w:styleId="187">
    <w:name w:val="xl9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Gulim" w:hAnsi="Gulim" w:eastAsia="Gulim" w:cs="宋体"/>
      <w:b/>
      <w:bCs/>
      <w:kern w:val="0"/>
      <w:sz w:val="20"/>
      <w:szCs w:val="20"/>
    </w:rPr>
  </w:style>
  <w:style w:type="paragraph" w:customStyle="1" w:styleId="188">
    <w:name w:val="默认段落字体 Para Char Char Char Char Char Char Char Char Char1 Char Char Char Char"/>
    <w:basedOn w:val="1"/>
    <w:qFormat/>
    <w:uiPriority w:val="0"/>
    <w:rPr>
      <w:rFonts w:ascii="Tahoma" w:hAnsi="Tahoma"/>
      <w:sz w:val="24"/>
      <w:szCs w:val="20"/>
    </w:rPr>
  </w:style>
  <w:style w:type="paragraph" w:customStyle="1" w:styleId="1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Normal_21"/>
    <w:qFormat/>
    <w:uiPriority w:val="0"/>
    <w:rPr>
      <w:rFonts w:ascii="黑体" w:hAnsi="黑体" w:eastAsia="黑体" w:cs="Times New Roman"/>
      <w:b/>
      <w:sz w:val="32"/>
      <w:szCs w:val="24"/>
      <w:lang w:val="en-US" w:eastAsia="zh-CN" w:bidi="ar-SA"/>
    </w:rPr>
  </w:style>
  <w:style w:type="paragraph" w:customStyle="1" w:styleId="191">
    <w:name w:val="def正文"/>
    <w:basedOn w:val="2"/>
    <w:qFormat/>
    <w:uiPriority w:val="0"/>
    <w:pPr>
      <w:widowControl/>
      <w:spacing w:after="0" w:line="360" w:lineRule="auto"/>
      <w:ind w:firstLine="510"/>
      <w:jc w:val="left"/>
    </w:pPr>
    <w:rPr>
      <w:rFonts w:hAnsi="Calibri"/>
      <w:kern w:val="0"/>
      <w:sz w:val="24"/>
      <w:szCs w:val="22"/>
    </w:rPr>
  </w:style>
  <w:style w:type="paragraph" w:customStyle="1" w:styleId="19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19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94">
    <w:name w:val="普通(网站)1"/>
    <w:basedOn w:val="1"/>
    <w:qFormat/>
    <w:uiPriority w:val="0"/>
    <w:pPr>
      <w:jc w:val="left"/>
    </w:pPr>
    <w:rPr>
      <w:rFonts w:ascii="Calibri" w:hAnsi="Calibri"/>
      <w:kern w:val="0"/>
      <w:sz w:val="24"/>
    </w:rPr>
  </w:style>
  <w:style w:type="paragraph" w:customStyle="1" w:styleId="19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9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9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98">
    <w:name w:val="Other|1"/>
    <w:basedOn w:val="1"/>
    <w:qFormat/>
    <w:uiPriority w:val="0"/>
    <w:rPr>
      <w:rFonts w:ascii="宋体" w:hAnsi="宋体" w:cs="宋体"/>
      <w:sz w:val="19"/>
      <w:szCs w:val="19"/>
      <w:lang w:val="zh-CN" w:bidi="zh-CN"/>
    </w:rPr>
  </w:style>
  <w:style w:type="paragraph" w:customStyle="1" w:styleId="199">
    <w:name w:val="列出段落3"/>
    <w:basedOn w:val="1"/>
    <w:qFormat/>
    <w:uiPriority w:val="0"/>
    <w:pPr>
      <w:ind w:firstLine="420" w:firstLineChars="200"/>
    </w:pPr>
    <w:rPr>
      <w:rFonts w:ascii="Calibri" w:hAnsi="Calibri"/>
      <w:szCs w:val="22"/>
    </w:rPr>
  </w:style>
  <w:style w:type="paragraph" w:customStyle="1" w:styleId="20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b/>
      <w:bCs/>
      <w:kern w:val="0"/>
      <w:sz w:val="20"/>
      <w:szCs w:val="20"/>
    </w:rPr>
  </w:style>
  <w:style w:type="paragraph" w:customStyle="1" w:styleId="201">
    <w:name w:val="目录 62"/>
    <w:next w:val="1"/>
    <w:qFormat/>
    <w:uiPriority w:val="0"/>
    <w:rPr>
      <w:rFonts w:ascii="Times New Roman" w:hAnsi="Times New Roman" w:eastAsia="宋体" w:cs="Times New Roman"/>
      <w:sz w:val="21"/>
      <w:lang w:val="en-US" w:eastAsia="zh-CN" w:bidi="ar-SA"/>
    </w:rPr>
  </w:style>
  <w:style w:type="paragraph" w:customStyle="1" w:styleId="20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3">
    <w:name w:val="正文_1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BodyText"/>
    <w:basedOn w:val="1"/>
    <w:next w:val="205"/>
    <w:qFormat/>
    <w:uiPriority w:val="0"/>
    <w:pPr>
      <w:spacing w:after="120"/>
    </w:pPr>
    <w:rPr>
      <w:sz w:val="28"/>
    </w:rPr>
  </w:style>
  <w:style w:type="paragraph" w:customStyle="1" w:styleId="205">
    <w:name w:val="BodyText1I"/>
    <w:basedOn w:val="204"/>
    <w:qFormat/>
    <w:uiPriority w:val="0"/>
    <w:pPr>
      <w:spacing w:line="360" w:lineRule="auto"/>
      <w:ind w:firstLine="200" w:firstLineChars="200"/>
      <w:jc w:val="left"/>
    </w:pPr>
    <w:rPr>
      <w:bCs/>
      <w:sz w:val="24"/>
    </w:rPr>
  </w:style>
  <w:style w:type="paragraph" w:customStyle="1" w:styleId="206">
    <w:name w:val="表格文字"/>
    <w:basedOn w:val="22"/>
    <w:next w:val="2"/>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20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09">
    <w:name w:val="纯文本_3"/>
    <w:basedOn w:val="210"/>
    <w:qFormat/>
    <w:uiPriority w:val="0"/>
    <w:rPr>
      <w:rFonts w:ascii="宋体" w:hAnsi="Courier New"/>
      <w:szCs w:val="20"/>
    </w:rPr>
  </w:style>
  <w:style w:type="paragraph" w:customStyle="1" w:styleId="21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Paragraph Text"/>
    <w:basedOn w:val="1"/>
    <w:qFormat/>
    <w:uiPriority w:val="0"/>
    <w:pPr>
      <w:widowControl/>
      <w:spacing w:line="320" w:lineRule="exact"/>
      <w:jc w:val="left"/>
    </w:pPr>
    <w:rPr>
      <w:rFonts w:ascii="Beijing" w:eastAsia="Times New Roman"/>
      <w:kern w:val="0"/>
      <w:sz w:val="18"/>
      <w:szCs w:val="18"/>
    </w:rPr>
  </w:style>
  <w:style w:type="paragraph" w:customStyle="1" w:styleId="212">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表格内容"/>
    <w:basedOn w:val="1"/>
    <w:qFormat/>
    <w:uiPriority w:val="99"/>
    <w:pPr>
      <w:widowControl/>
      <w:jc w:val="center"/>
    </w:pPr>
    <w:rPr>
      <w:kern w:val="0"/>
      <w:sz w:val="24"/>
      <w:szCs w:val="28"/>
    </w:rPr>
  </w:style>
  <w:style w:type="paragraph" w:customStyle="1" w:styleId="21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Gulim" w:hAnsi="Gulim" w:eastAsia="Gulim" w:cs="宋体"/>
      <w:kern w:val="0"/>
      <w:sz w:val="20"/>
      <w:szCs w:val="20"/>
    </w:rPr>
  </w:style>
  <w:style w:type="paragraph" w:customStyle="1" w:styleId="216">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217">
    <w:name w:val="font9"/>
    <w:basedOn w:val="1"/>
    <w:qFormat/>
    <w:uiPriority w:val="0"/>
    <w:pPr>
      <w:widowControl/>
      <w:spacing w:before="100" w:beforeAutospacing="1" w:after="100" w:afterAutospacing="1"/>
      <w:jc w:val="left"/>
    </w:pPr>
    <w:rPr>
      <w:rFonts w:ascii="新宋体" w:hAnsi="新宋体" w:eastAsia="新宋体" w:cs="宋体"/>
      <w:kern w:val="0"/>
      <w:sz w:val="20"/>
      <w:szCs w:val="20"/>
    </w:rPr>
  </w:style>
  <w:style w:type="paragraph" w:customStyle="1" w:styleId="21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kern w:val="0"/>
      <w:sz w:val="20"/>
      <w:szCs w:val="20"/>
    </w:rPr>
  </w:style>
  <w:style w:type="paragraph" w:customStyle="1" w:styleId="219">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0">
    <w:name w:val="正文1"/>
    <w:basedOn w:val="21"/>
    <w:qFormat/>
    <w:uiPriority w:val="0"/>
    <w:pPr>
      <w:widowControl w:val="0"/>
      <w:tabs>
        <w:tab w:val="right" w:leader="dot" w:pos="8268"/>
      </w:tabs>
      <w:adjustRightInd w:val="0"/>
      <w:spacing w:after="0" w:line="460" w:lineRule="exact"/>
      <w:ind w:left="0" w:firstLine="480" w:firstLineChars="200"/>
      <w:jc w:val="both"/>
    </w:pPr>
    <w:rPr>
      <w:rFonts w:ascii="仿宋_GB2312" w:hAnsi="Courier New" w:eastAsia="仿宋_GB2312" w:cs="Times New Roman"/>
      <w:kern w:val="28"/>
      <w:sz w:val="24"/>
      <w:szCs w:val="24"/>
    </w:rPr>
  </w:style>
  <w:style w:type="paragraph" w:styleId="221">
    <w:name w:val="No Spacing"/>
    <w:qFormat/>
    <w:uiPriority w:val="1"/>
    <w:pPr>
      <w:widowControl w:val="0"/>
      <w:jc w:val="both"/>
    </w:pPr>
    <w:rPr>
      <w:rFonts w:ascii="Times New Roman" w:hAnsi="Times New Roman" w:eastAsia="宋体" w:cs="Calibri"/>
      <w:kern w:val="2"/>
      <w:sz w:val="21"/>
      <w:szCs w:val="22"/>
      <w:lang w:val="en-US" w:eastAsia="zh-CN" w:bidi="ar-SA"/>
    </w:rPr>
  </w:style>
  <w:style w:type="paragraph" w:customStyle="1" w:styleId="22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4">
    <w:name w:val="font8"/>
    <w:basedOn w:val="1"/>
    <w:qFormat/>
    <w:uiPriority w:val="0"/>
    <w:pPr>
      <w:widowControl/>
      <w:spacing w:before="100" w:beforeAutospacing="1" w:after="100" w:afterAutospacing="1"/>
      <w:jc w:val="left"/>
    </w:pPr>
    <w:rPr>
      <w:rFonts w:ascii="Gulim" w:hAnsi="Gulim" w:eastAsia="Gulim" w:cs="宋体"/>
      <w:kern w:val="0"/>
      <w:sz w:val="20"/>
      <w:szCs w:val="20"/>
    </w:rPr>
  </w:style>
  <w:style w:type="paragraph" w:customStyle="1" w:styleId="22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普通文字"/>
    <w:basedOn w:val="1"/>
    <w:next w:val="1"/>
    <w:qFormat/>
    <w:uiPriority w:val="0"/>
    <w:rPr>
      <w:rFonts w:ascii="宋体"/>
    </w:rPr>
  </w:style>
  <w:style w:type="paragraph" w:customStyle="1" w:styleId="227">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正文首行缩进2字符"/>
    <w:basedOn w:val="1"/>
    <w:qFormat/>
    <w:locked/>
    <w:uiPriority w:val="99"/>
    <w:pPr>
      <w:widowControl/>
      <w:adjustRightInd w:val="0"/>
      <w:snapToGrid w:val="0"/>
      <w:spacing w:line="360" w:lineRule="auto"/>
      <w:ind w:firstLine="200" w:firstLineChars="200"/>
    </w:pPr>
    <w:rPr>
      <w:sz w:val="24"/>
      <w:szCs w:val="21"/>
    </w:rPr>
  </w:style>
  <w:style w:type="paragraph" w:customStyle="1" w:styleId="231">
    <w:name w:val="正文文字缩进 2"/>
    <w:basedOn w:val="1"/>
    <w:next w:val="1"/>
    <w:qFormat/>
    <w:uiPriority w:val="0"/>
    <w:pPr>
      <w:widowControl/>
      <w:spacing w:after="120" w:line="480" w:lineRule="auto"/>
      <w:ind w:left="420"/>
    </w:pPr>
    <w:rPr>
      <w:color w:val="000000"/>
      <w:szCs w:val="20"/>
    </w:rPr>
  </w:style>
  <w:style w:type="paragraph" w:customStyle="1" w:styleId="232">
    <w:name w:val="Normal Indent"/>
    <w:basedOn w:val="1"/>
    <w:qFormat/>
    <w:uiPriority w:val="0"/>
    <w:pPr>
      <w:widowControl/>
      <w:ind w:firstLine="420"/>
      <w:jc w:val="left"/>
    </w:pPr>
    <w:rPr>
      <w:rFonts w:ascii="Times New Roman" w:hAnsi="Times New Roman"/>
      <w:kern w:val="0"/>
      <w:szCs w:val="20"/>
    </w:rPr>
  </w:style>
  <w:style w:type="paragraph" w:customStyle="1" w:styleId="23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234">
    <w:name w:val="paragraph1"/>
    <w:basedOn w:val="1"/>
    <w:qFormat/>
    <w:uiPriority w:val="0"/>
    <w:pPr>
      <w:spacing w:afterLines="30" w:line="360" w:lineRule="auto"/>
      <w:ind w:firstLine="480" w:firstLineChars="200"/>
    </w:pPr>
    <w:rPr>
      <w:rFonts w:ascii="Arial" w:hAnsi="Arial"/>
      <w:sz w:val="24"/>
    </w:rPr>
  </w:style>
  <w:style w:type="paragraph" w:customStyle="1" w:styleId="235">
    <w:name w:val="正文2"/>
    <w:basedOn w:val="1"/>
    <w:qFormat/>
    <w:uiPriority w:val="0"/>
    <w:pPr>
      <w:spacing w:before="156" w:line="360" w:lineRule="auto"/>
      <w:ind w:firstLine="510" w:firstLineChars="200"/>
    </w:pPr>
    <w:rPr>
      <w:sz w:val="24"/>
      <w:szCs w:val="20"/>
    </w:rPr>
  </w:style>
  <w:style w:type="paragraph" w:customStyle="1" w:styleId="236">
    <w:name w:val="xl8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37">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CMCC</Company>
  <Pages>55</Pages>
  <Words>28169</Words>
  <Characters>30547</Characters>
  <Lines>245</Lines>
  <Paragraphs>69</Paragraphs>
  <TotalTime>21</TotalTime>
  <ScaleCrop>false</ScaleCrop>
  <LinksUpToDate>false</LinksUpToDate>
  <CharactersWithSpaces>32943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2021-11-15T06:42:00Z</dcterms:created>
  <dc:creator>oempc</dc:creator>
  <cp:lastModifiedBy>傻蜜</cp:lastModifiedBy>
  <cp:lastPrinted>2023-03-17T00:47:00Z</cp:lastPrinted>
  <dcterms:modified xsi:type="dcterms:W3CDTF">2023-04-03T06:27:35Z</dcterms:modified>
  <dc:title>缙云县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44EC31C0AB214EB5B642815163934449</vt:lpwstr>
  </property>
</Properties>
</file>