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三亚崖州湾科技城三角梅种质保存与应用基地项目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白蚁防治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采购需求书</w:t>
      </w:r>
    </w:p>
    <w:p>
      <w:pPr>
        <w:spacing w:line="578" w:lineRule="exact"/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578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项目概述</w:t>
      </w:r>
    </w:p>
    <w:p>
      <w:pPr>
        <w:spacing w:line="44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三亚崖州湾科技城三角梅种质保存与应用基地项目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pStyle w:val="3"/>
        <w:ind w:left="48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三亚市崖州区深海科技城区内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具体规模及内容如下:</w:t>
      </w:r>
    </w:p>
    <w:p>
      <w:pPr>
        <w:spacing w:line="578" w:lineRule="exact"/>
        <w:ind w:left="479" w:leftChars="228"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三亚崖州湾科技城三角梅种质保存与应用基地</w:t>
      </w:r>
      <w:r>
        <w:rPr>
          <w:rFonts w:hint="eastAsia" w:ascii="仿宋" w:hAnsi="仿宋" w:eastAsia="仿宋" w:cs="仿宋"/>
          <w:sz w:val="24"/>
          <w:szCs w:val="24"/>
        </w:rPr>
        <w:t>项目位于三亚市崖州区崖州湾科技城片区内，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总面积为126013.00㎡（其中，陆地面积123592.00㎡，水体面积2421.00㎡）。主要建设内容包括新建科研博览中心，建筑面积为8900.00㎡；北侧地块新建公共驿站，建筑面积为441.75㎡；新建迎宾塔1座；新建园路、场地铺装面积23855.00㎡，绿化面积91078.00㎡，景观栈道面积581.34㎡，驳岸长度1007.73m，露天庭院面积200.00㎡；同时配套建设室外座椅13个，景石950t，垃圾桶、标识系统各1项，步行桥4座，机动停车位84个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主要建设内容为土建工程、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木结构工程、膜结构工程、钢结构工程、</w:t>
      </w:r>
      <w:r>
        <w:rPr>
          <w:rFonts w:hint="eastAsia" w:ascii="仿宋" w:hAnsi="仿宋" w:eastAsia="仿宋" w:cs="仿宋"/>
          <w:sz w:val="24"/>
          <w:szCs w:val="24"/>
        </w:rPr>
        <w:t>给排水工程、电气照明工程、暖通工程、弱电工程、装饰工程、电气工程、景观绿化、室外配套工程等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578" w:lineRule="exact"/>
        <w:ind w:left="479" w:leftChars="228"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项目采购人为三亚崖州湾科技城开发建设有限公司，项目工期</w:t>
      </w:r>
      <w:r>
        <w:rPr>
          <w:rFonts w:hint="eastAsia" w:ascii="仿宋_GB2312" w:hAnsi="仿宋_GB2312" w:eastAsia="仿宋_GB2312" w:cs="仿宋_GB2312"/>
          <w:sz w:val="24"/>
          <w:szCs w:val="24"/>
        </w:rPr>
        <w:t>至出具成果文件之日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，资金来源为政府投资。</w:t>
      </w:r>
    </w:p>
    <w:p>
      <w:pPr>
        <w:numPr>
          <w:ilvl w:val="0"/>
          <w:numId w:val="1"/>
        </w:numPr>
        <w:spacing w:line="578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项目采购内容及要求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按照经甲方确认的白蚁防治施工图及甲方的要求进行施工，承包的范围包括但不限于：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（1）建筑物周边室外地面沿墙壁50CM范围内；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（2）建筑物的地坪、内外墙基、桩基、管井等周围土层的防蚁处理；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（3）各建筑物的基础防蚁处理；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（4）电缆沟防处理、室内电缆、槽壁板防蚁处理；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（5）室内所有竖向管道井、电梯井及地坪下面的所有管沟出入口的防蚁处理；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（6）地下室室内砌体墙两侧、首层所有砌体墙两侧、室内地面、二层及以上内外砌体墙内外侧、防蚁处理（含高低压配电室）；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（7）所有的门洞、窗洞防蚁处理；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（8）变形缝（沉降缝、伸缩缝）的防蚁处理；</w:t>
      </w:r>
    </w:p>
    <w:p>
      <w:pPr>
        <w:pStyle w:val="10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项目控制价及参考依据</w:t>
      </w:r>
    </w:p>
    <w:p>
      <w:pPr>
        <w:pStyle w:val="10"/>
        <w:spacing w:after="0" w:line="578" w:lineRule="exact"/>
        <w:ind w:firstLine="5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项目控制价为1.681515万元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，具体见预算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采购方式</w:t>
      </w:r>
      <w:bookmarkStart w:id="0" w:name="_GoBack"/>
      <w:bookmarkEnd w:id="0"/>
    </w:p>
    <w:p>
      <w:pPr>
        <w:spacing w:line="578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电子采购平台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供应商资质要求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登记注册营业执照所经营业务范围符合本次采购项目需求</w:t>
      </w:r>
    </w:p>
    <w:p>
      <w:pPr>
        <w:pStyle w:val="10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工期或工程完工时间</w:t>
      </w:r>
    </w:p>
    <w:p>
      <w:pPr>
        <w:spacing w:line="578" w:lineRule="exac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签订服务合同之日起至出具成果文件之日。</w:t>
      </w:r>
    </w:p>
    <w:p>
      <w:pPr>
        <w:pStyle w:val="10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项目质量、售后等要求</w:t>
      </w:r>
    </w:p>
    <w:p>
      <w:pPr>
        <w:pStyle w:val="10"/>
        <w:spacing w:after="0" w:line="578" w:lineRule="exact"/>
        <w:ind w:left="42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可说明项目质量要求、服务效果、售后等方面要求。</w:t>
      </w:r>
    </w:p>
    <w:p>
      <w:pPr>
        <w:pStyle w:val="10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验收方式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由采购部门组织由有关专业人员按相关的国家标准、质量标准和采购文件所列的各项要求进行验收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其他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24"/>
          <w:szCs w:val="24"/>
          <w:shd w:val="clear" w:color="auto" w:fill="FFFFFF"/>
          <w:lang w:val="en-US" w:eastAsia="zh-CN"/>
        </w:rPr>
        <w:t>无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3DEE0"/>
    <w:multiLevelType w:val="singleLevel"/>
    <w:tmpl w:val="D473DE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UyMTY2MzliNDc1NDJiMzViZWU4Y2RlNzgxNWMifQ=="/>
  </w:docVars>
  <w:rsids>
    <w:rsidRoot w:val="745437A5"/>
    <w:rsid w:val="000B7374"/>
    <w:rsid w:val="000E55A4"/>
    <w:rsid w:val="001908FB"/>
    <w:rsid w:val="00367D89"/>
    <w:rsid w:val="0042562B"/>
    <w:rsid w:val="0047444D"/>
    <w:rsid w:val="0055336C"/>
    <w:rsid w:val="005D2A1F"/>
    <w:rsid w:val="00703164"/>
    <w:rsid w:val="00763B10"/>
    <w:rsid w:val="007F0ECA"/>
    <w:rsid w:val="00886F5B"/>
    <w:rsid w:val="008E3A94"/>
    <w:rsid w:val="008F7403"/>
    <w:rsid w:val="00966353"/>
    <w:rsid w:val="00AF7E61"/>
    <w:rsid w:val="00B12AA2"/>
    <w:rsid w:val="00CD2147"/>
    <w:rsid w:val="00D07CFB"/>
    <w:rsid w:val="00D8424E"/>
    <w:rsid w:val="00DF17A4"/>
    <w:rsid w:val="00EF512A"/>
    <w:rsid w:val="00F1225C"/>
    <w:rsid w:val="00F65716"/>
    <w:rsid w:val="00FC02EF"/>
    <w:rsid w:val="00FE0FEE"/>
    <w:rsid w:val="02D23693"/>
    <w:rsid w:val="1478483E"/>
    <w:rsid w:val="360F0E1E"/>
    <w:rsid w:val="4D9F0F99"/>
    <w:rsid w:val="538C79C9"/>
    <w:rsid w:val="67C309AC"/>
    <w:rsid w:val="6C084046"/>
    <w:rsid w:val="70925B6C"/>
    <w:rsid w:val="7454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崖州区</Company>
  <Pages>2</Pages>
  <Words>890</Words>
  <Characters>949</Characters>
  <Lines>5</Lines>
  <Paragraphs>1</Paragraphs>
  <TotalTime>4</TotalTime>
  <ScaleCrop>false</ScaleCrop>
  <LinksUpToDate>false</LinksUpToDate>
  <CharactersWithSpaces>966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2021-02-19T07:09:00Z</dcterms:created>
  <dc:creator>张威</dc:creator>
  <cp:lastModifiedBy>曼</cp:lastModifiedBy>
  <dcterms:modified xsi:type="dcterms:W3CDTF">2023-03-20T07:55:52Z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BEBA810C78B2484C80E12F0B0D1AC6FE</vt:lpwstr>
  </property>
</Properties>
</file>