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4" w:firstLineChars="98"/>
        <w:rPr>
          <w:b/>
          <w:sz w:val="36"/>
          <w:szCs w:val="36"/>
        </w:rPr>
      </w:pPr>
    </w:p>
    <w:p>
      <w:pPr>
        <w:pStyle w:val="2"/>
      </w:pPr>
    </w:p>
    <w:p>
      <w:pPr>
        <w:rPr>
          <w:rFonts w:hint="eastAsia"/>
          <w:b/>
          <w:sz w:val="52"/>
          <w:szCs w:val="52"/>
        </w:rPr>
      </w:pPr>
    </w:p>
    <w:p>
      <w:pPr>
        <w:rPr>
          <w:rFonts w:hint="eastAsia"/>
          <w:b/>
          <w:sz w:val="52"/>
          <w:szCs w:val="52"/>
        </w:rPr>
      </w:pPr>
    </w:p>
    <w:p>
      <w:pPr>
        <w:ind w:right="-569" w:rightChars="-271" w:firstLine="522" w:firstLineChars="100"/>
        <w:rPr>
          <w:b/>
          <w:sz w:val="52"/>
          <w:szCs w:val="52"/>
        </w:rPr>
      </w:pPr>
      <w:r>
        <w:rPr>
          <w:rFonts w:hint="eastAsia"/>
          <w:b/>
          <w:sz w:val="52"/>
          <w:szCs w:val="52"/>
        </w:rPr>
        <w:t>佛山市高明区白蚁防治工程合同书</w:t>
      </w:r>
    </w:p>
    <w:p>
      <w:pPr>
        <w:rPr>
          <w:sz w:val="36"/>
          <w:szCs w:val="36"/>
        </w:rPr>
      </w:pPr>
    </w:p>
    <w:p/>
    <w:p/>
    <w:p/>
    <w:p/>
    <w:p/>
    <w:p/>
    <w:p/>
    <w:p/>
    <w:p/>
    <w:p/>
    <w:p/>
    <w:p>
      <w:pPr>
        <w:keepNext w:val="0"/>
        <w:keepLines w:val="0"/>
        <w:pageBreakBefore w:val="0"/>
        <w:widowControl w:val="0"/>
        <w:kinsoku/>
        <w:wordWrap/>
        <w:overflowPunct/>
        <w:topLinePunct w:val="0"/>
        <w:autoSpaceDE/>
        <w:autoSpaceDN/>
        <w:bidi w:val="0"/>
        <w:adjustRightInd/>
        <w:snapToGrid/>
        <w:spacing w:line="240" w:lineRule="auto"/>
        <w:ind w:left="1440" w:leftChars="0" w:right="0" w:rightChars="0" w:hanging="1440" w:hangingChars="450"/>
        <w:jc w:val="both"/>
        <w:textAlignment w:val="auto"/>
        <w:outlineLvl w:val="9"/>
        <w:rPr>
          <w:rFonts w:hint="eastAsia"/>
          <w:sz w:val="32"/>
          <w:szCs w:val="32"/>
          <w:highlight w:val="yellow"/>
          <w:u w:val="single"/>
          <w:lang w:val="en-US" w:eastAsia="zh-CN"/>
        </w:rPr>
      </w:pPr>
      <w:r>
        <w:rPr>
          <w:rFonts w:hint="eastAsia"/>
          <w:sz w:val="32"/>
          <w:szCs w:val="32"/>
          <w:lang w:eastAsia="zh-CN"/>
        </w:rPr>
        <w:t>项目名称：</w:t>
      </w:r>
      <w:r>
        <w:rPr>
          <w:rFonts w:hint="eastAsia"/>
          <w:sz w:val="32"/>
          <w:szCs w:val="32"/>
          <w:highlight w:val="none"/>
          <w:u w:val="single"/>
          <w:lang w:val="en-US" w:eastAsia="zh-CN"/>
        </w:rPr>
        <w:t>佛山市高明区西坑水库除险加固工程白蚁防治</w:t>
      </w:r>
    </w:p>
    <w:p>
      <w:pPr>
        <w:ind w:left="1120" w:hanging="1120" w:hangingChars="350"/>
        <w:rPr>
          <w:rFonts w:hint="eastAsia" w:eastAsia="宋体"/>
          <w:sz w:val="32"/>
          <w:szCs w:val="32"/>
          <w:u w:val="single"/>
          <w:lang w:val="en-US" w:eastAsia="zh-CN"/>
        </w:rPr>
      </w:pPr>
      <w:r>
        <w:rPr>
          <w:rFonts w:hint="eastAsia"/>
          <w:sz w:val="32"/>
          <w:szCs w:val="32"/>
        </w:rPr>
        <w:t>甲</w:t>
      </w:r>
      <w:r>
        <w:rPr>
          <w:sz w:val="32"/>
          <w:szCs w:val="32"/>
        </w:rPr>
        <w:t xml:space="preserve">  </w:t>
      </w:r>
      <w:r>
        <w:rPr>
          <w:rFonts w:hint="eastAsia"/>
          <w:sz w:val="32"/>
          <w:szCs w:val="32"/>
          <w:lang w:val="en-US" w:eastAsia="zh-CN"/>
        </w:rPr>
        <w:t xml:space="preserve">  </w:t>
      </w:r>
      <w:r>
        <w:rPr>
          <w:rFonts w:hint="eastAsia"/>
          <w:sz w:val="32"/>
          <w:szCs w:val="32"/>
        </w:rPr>
        <w:t>方：</w:t>
      </w:r>
      <w:r>
        <w:rPr>
          <w:rFonts w:hint="eastAsia"/>
          <w:sz w:val="32"/>
          <w:szCs w:val="32"/>
          <w:u w:val="single"/>
          <w:lang w:val="en-US" w:eastAsia="zh-CN"/>
        </w:rPr>
        <w:t>佛山市高明区水利投资建设有限公司</w:t>
      </w:r>
    </w:p>
    <w:p>
      <w:pPr>
        <w:rPr>
          <w:sz w:val="32"/>
          <w:szCs w:val="32"/>
          <w:u w:val="single"/>
        </w:rPr>
      </w:pPr>
      <w:r>
        <w:rPr>
          <w:rFonts w:hint="eastAsia"/>
          <w:sz w:val="32"/>
          <w:szCs w:val="32"/>
        </w:rPr>
        <w:t>乙</w:t>
      </w:r>
      <w:r>
        <w:rPr>
          <w:sz w:val="32"/>
          <w:szCs w:val="32"/>
        </w:rPr>
        <w:t xml:space="preserve">  </w:t>
      </w:r>
      <w:r>
        <w:rPr>
          <w:rFonts w:hint="eastAsia"/>
          <w:sz w:val="32"/>
          <w:szCs w:val="32"/>
          <w:lang w:val="en-US" w:eastAsia="zh-CN"/>
        </w:rPr>
        <w:t xml:space="preserve">  </w:t>
      </w:r>
      <w:r>
        <w:rPr>
          <w:rFonts w:hint="eastAsia"/>
          <w:sz w:val="32"/>
          <w:szCs w:val="32"/>
        </w:rPr>
        <w:t>方：</w:t>
      </w:r>
    </w:p>
    <w:p>
      <w:pPr>
        <w:rPr>
          <w:rFonts w:hint="eastAsia"/>
          <w:sz w:val="32"/>
          <w:szCs w:val="32"/>
        </w:rPr>
      </w:pPr>
    </w:p>
    <w:p>
      <w:pPr>
        <w:rPr>
          <w:rFonts w:hint="eastAsia"/>
          <w:sz w:val="32"/>
          <w:szCs w:val="32"/>
        </w:rPr>
      </w:pPr>
    </w:p>
    <w:p>
      <w:pPr>
        <w:rPr>
          <w:rFonts w:hint="eastAsia"/>
          <w:sz w:val="32"/>
          <w:szCs w:val="32"/>
        </w:rPr>
      </w:pPr>
    </w:p>
    <w:p>
      <w:pPr>
        <w:ind w:firstLine="2240" w:firstLineChars="700"/>
        <w:rPr>
          <w:sz w:val="32"/>
          <w:szCs w:val="32"/>
        </w:rPr>
      </w:pPr>
      <w:r>
        <w:rPr>
          <w:rFonts w:hint="eastAsia"/>
          <w:sz w:val="32"/>
          <w:szCs w:val="32"/>
        </w:rPr>
        <w:t>签订时间：</w:t>
      </w:r>
      <w:r>
        <w:rPr>
          <w:rFonts w:hint="eastAsia" w:ascii="宋体" w:hAnsi="宋体" w:eastAsia="宋体" w:cs="宋体"/>
          <w:sz w:val="32"/>
          <w:szCs w:val="32"/>
          <w:lang w:val="en-US" w:eastAsia="zh-CN"/>
        </w:rPr>
        <w:t>20</w:t>
      </w:r>
      <w:r>
        <w:rPr>
          <w:rFonts w:hint="eastAsia" w:ascii="宋体" w:hAnsi="宋体" w:cs="宋体"/>
          <w:sz w:val="32"/>
          <w:szCs w:val="32"/>
          <w:lang w:val="en-US" w:eastAsia="zh-CN"/>
        </w:rPr>
        <w:t>23</w:t>
      </w:r>
      <w:r>
        <w:rPr>
          <w:rFonts w:hint="eastAsia"/>
          <w:sz w:val="32"/>
          <w:szCs w:val="32"/>
          <w:lang w:val="en-US" w:eastAsia="zh-CN"/>
        </w:rPr>
        <w:t>年  月  日</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sectPr>
          <w:headerReference r:id="rId3" w:type="default"/>
          <w:footerReference r:id="rId4" w:type="default"/>
          <w:pgSz w:w="11850" w:h="16783"/>
          <w:pgMar w:top="1440" w:right="1803" w:bottom="1440" w:left="1803" w:header="851" w:footer="992" w:gutter="0"/>
          <w:pgNumType w:fmt="decimal" w:start="1"/>
          <w:cols w:space="0" w:num="1"/>
          <w:rtlGutter w:val="0"/>
          <w:docGrid w:type="lines" w:linePitch="317" w:charSpace="0"/>
        </w:sectPr>
      </w:pPr>
    </w:p>
    <w:p>
      <w:pPr>
        <w:pStyle w:val="2"/>
      </w:pPr>
    </w:p>
    <w:p>
      <w:pPr>
        <w:keepNext w:val="0"/>
        <w:keepLines w:val="0"/>
        <w:pageBreakBefore w:val="0"/>
        <w:kinsoku/>
        <w:wordWrap/>
        <w:overflowPunct/>
        <w:topLinePunct w:val="0"/>
        <w:autoSpaceDE/>
        <w:autoSpaceDN/>
        <w:bidi w:val="0"/>
        <w:adjustRightInd/>
        <w:snapToGrid w:val="0"/>
        <w:spacing w:line="360" w:lineRule="auto"/>
        <w:ind w:firstLine="1928" w:firstLineChars="600"/>
        <w:rPr>
          <w:b/>
          <w:sz w:val="32"/>
          <w:szCs w:val="32"/>
        </w:rPr>
      </w:pPr>
      <w:r>
        <w:rPr>
          <w:rFonts w:hint="eastAsia"/>
          <w:b/>
          <w:sz w:val="32"/>
          <w:szCs w:val="32"/>
        </w:rPr>
        <w:t>佛山市高明区白蚁防治工程合同书</w:t>
      </w:r>
    </w:p>
    <w:p>
      <w:pPr>
        <w:keepNext w:val="0"/>
        <w:keepLines w:val="0"/>
        <w:pageBreakBefore w:val="0"/>
        <w:kinsoku/>
        <w:wordWrap/>
        <w:overflowPunct/>
        <w:topLinePunct w:val="0"/>
        <w:autoSpaceDE/>
        <w:autoSpaceDN/>
        <w:bidi w:val="0"/>
        <w:adjustRightInd/>
        <w:snapToGrid w:val="0"/>
        <w:spacing w:line="360" w:lineRule="auto"/>
        <w:rPr>
          <w:sz w:val="32"/>
          <w:szCs w:val="32"/>
          <w:u w:val="single"/>
          <w:lang w:val="en-US"/>
        </w:rPr>
      </w:pPr>
      <w:r>
        <w:rPr>
          <w:rFonts w:hint="eastAsia"/>
          <w:sz w:val="28"/>
          <w:szCs w:val="28"/>
        </w:rPr>
        <w:t>甲方（委托方）：</w:t>
      </w:r>
      <w:r>
        <w:rPr>
          <w:rFonts w:hint="eastAsia"/>
          <w:sz w:val="28"/>
          <w:szCs w:val="28"/>
          <w:u w:val="single"/>
          <w:lang w:eastAsia="zh-CN"/>
        </w:rPr>
        <w:t>佛山市高明区水利投资建设有限公司</w:t>
      </w:r>
      <w:r>
        <w:rPr>
          <w:rFonts w:hint="eastAsia"/>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rPr>
          <w:rFonts w:hint="eastAsia"/>
          <w:sz w:val="28"/>
          <w:szCs w:val="28"/>
          <w:u w:val="single"/>
          <w:lang w:val="en-US" w:eastAsia="zh-CN"/>
        </w:rPr>
      </w:pPr>
      <w:r>
        <w:rPr>
          <w:rFonts w:hint="eastAsia"/>
          <w:sz w:val="28"/>
          <w:szCs w:val="28"/>
        </w:rPr>
        <w:t>乙方（白蚁防治单位）：</w:t>
      </w:r>
    </w:p>
    <w:p>
      <w:pPr>
        <w:keepNext w:val="0"/>
        <w:keepLines w:val="0"/>
        <w:pageBreakBefore w:val="0"/>
        <w:kinsoku/>
        <w:wordWrap/>
        <w:overflowPunct/>
        <w:topLinePunct w:val="0"/>
        <w:autoSpaceDE/>
        <w:autoSpaceDN/>
        <w:bidi w:val="0"/>
        <w:adjustRightInd/>
        <w:snapToGrid w:val="0"/>
        <w:spacing w:line="360" w:lineRule="auto"/>
        <w:rPr>
          <w:rFonts w:hint="eastAsia"/>
          <w:lang w:val="en-US" w:eastAsia="zh-CN"/>
        </w:rPr>
      </w:pPr>
      <w:r>
        <w:rPr>
          <w:rFonts w:hint="eastAsia"/>
          <w:sz w:val="28"/>
          <w:szCs w:val="28"/>
        </w:rPr>
        <w:t>注册地址：</w:t>
      </w:r>
    </w:p>
    <w:p>
      <w:pPr>
        <w:keepNext w:val="0"/>
        <w:keepLines w:val="0"/>
        <w:pageBreakBefore w:val="0"/>
        <w:kinsoku/>
        <w:wordWrap/>
        <w:overflowPunct/>
        <w:topLinePunct w:val="0"/>
        <w:autoSpaceDE/>
        <w:autoSpaceDN/>
        <w:bidi w:val="0"/>
        <w:adjustRightInd/>
        <w:snapToGrid w:val="0"/>
        <w:spacing w:line="360" w:lineRule="auto"/>
        <w:rPr>
          <w:rFonts w:hint="default" w:eastAsia="宋体"/>
          <w:b/>
          <w:sz w:val="28"/>
          <w:szCs w:val="28"/>
          <w:lang w:val="en-US" w:eastAsia="zh-CN"/>
        </w:rPr>
      </w:pPr>
      <w:r>
        <w:rPr>
          <w:rFonts w:hint="eastAsia"/>
          <w:sz w:val="28"/>
          <w:szCs w:val="28"/>
        </w:rPr>
        <w:t>营业执照注册号：</w:t>
      </w:r>
    </w:p>
    <w:p>
      <w:pPr>
        <w:keepNext w:val="0"/>
        <w:keepLines w:val="0"/>
        <w:pageBreakBefore w:val="0"/>
        <w:kinsoku/>
        <w:wordWrap/>
        <w:overflowPunct/>
        <w:topLinePunct w:val="0"/>
        <w:autoSpaceDE/>
        <w:autoSpaceDN/>
        <w:bidi w:val="0"/>
        <w:adjustRightInd/>
        <w:snapToGrid w:val="0"/>
        <w:spacing w:line="360" w:lineRule="auto"/>
        <w:rPr>
          <w:sz w:val="28"/>
          <w:szCs w:val="28"/>
        </w:rPr>
      </w:pPr>
      <w:r>
        <w:rPr>
          <w:rFonts w:hint="eastAsia"/>
          <w:sz w:val="28"/>
          <w:szCs w:val="28"/>
        </w:rPr>
        <w:t>法定代表人：</w:t>
      </w:r>
      <w:r>
        <w:rPr>
          <w:rFonts w:hint="eastAsia"/>
          <w:sz w:val="28"/>
          <w:szCs w:val="28"/>
          <w:lang w:val="en-US" w:eastAsia="zh-CN"/>
        </w:rPr>
        <w:t xml:space="preserve">       </w:t>
      </w:r>
      <w:r>
        <w:rPr>
          <w:rFonts w:hint="eastAsia"/>
          <w:sz w:val="28"/>
          <w:szCs w:val="28"/>
        </w:rPr>
        <w:t>联系电话：</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rFonts w:hint="eastAsia"/>
          <w:sz w:val="28"/>
          <w:szCs w:val="28"/>
        </w:rPr>
        <w:t>根据《中华人民共和国</w:t>
      </w:r>
      <w:r>
        <w:rPr>
          <w:rFonts w:hint="eastAsia"/>
          <w:sz w:val="28"/>
          <w:szCs w:val="28"/>
          <w:lang w:val="en-US" w:eastAsia="zh-CN"/>
        </w:rPr>
        <w:t>民法典</w:t>
      </w:r>
      <w:r>
        <w:rPr>
          <w:rFonts w:hint="eastAsia"/>
          <w:sz w:val="28"/>
          <w:szCs w:val="28"/>
        </w:rPr>
        <w:t>》、</w:t>
      </w:r>
      <w:r>
        <w:rPr>
          <w:rFonts w:hint="eastAsia"/>
          <w:sz w:val="28"/>
          <w:szCs w:val="28"/>
          <w:highlight w:val="none"/>
        </w:rPr>
        <w:t>《广东省水利厅关于水利工程白蚁防治的管理办法》</w:t>
      </w:r>
      <w:r>
        <w:rPr>
          <w:rFonts w:hint="eastAsia"/>
          <w:sz w:val="28"/>
          <w:szCs w:val="28"/>
          <w:highlight w:val="none"/>
          <w:lang w:eastAsia="zh-CN"/>
        </w:rPr>
        <w:t>、</w:t>
      </w:r>
      <w:r>
        <w:rPr>
          <w:rFonts w:hint="eastAsia"/>
          <w:sz w:val="28"/>
          <w:szCs w:val="28"/>
          <w:highlight w:val="none"/>
        </w:rPr>
        <w:t>《广东省水利工程白蚁防治技术指南》等相关精神，遵循平等、自愿、公平、诚实信用原则，经甲乙双方协商一致，</w:t>
      </w:r>
      <w:r>
        <w:rPr>
          <w:rFonts w:hint="eastAsia"/>
          <w:sz w:val="28"/>
          <w:szCs w:val="28"/>
        </w:rPr>
        <w:t>现就白蚁防治工程有关事宜订立本合同，双方共同遵照执行。</w:t>
      </w:r>
    </w:p>
    <w:p>
      <w:pPr>
        <w:pStyle w:val="9"/>
        <w:keepNext w:val="0"/>
        <w:keepLines w:val="0"/>
        <w:pageBreakBefore w:val="0"/>
        <w:numPr>
          <w:ilvl w:val="0"/>
          <w:numId w:val="1"/>
        </w:numPr>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sz w:val="28"/>
          <w:szCs w:val="28"/>
          <w:highlight w:val="none"/>
        </w:rPr>
        <w:t>甲方委托乙方对</w:t>
      </w:r>
      <w:r>
        <w:rPr>
          <w:rFonts w:hint="eastAsia" w:ascii="Calibri" w:hAnsi="Calibri" w:eastAsia="宋体" w:cs="Times New Roman"/>
          <w:kern w:val="2"/>
          <w:sz w:val="28"/>
          <w:szCs w:val="28"/>
          <w:highlight w:val="none"/>
          <w:lang w:val="en-US" w:eastAsia="zh-CN" w:bidi="ar-SA"/>
        </w:rPr>
        <w:t>其在</w:t>
      </w:r>
      <w:r>
        <w:rPr>
          <w:rFonts w:hint="eastAsia" w:cs="Times New Roman"/>
          <w:kern w:val="2"/>
          <w:sz w:val="28"/>
          <w:szCs w:val="28"/>
          <w:highlight w:val="none"/>
          <w:u w:val="single"/>
          <w:lang w:val="en-US" w:eastAsia="zh-CN" w:bidi="ar-SA"/>
        </w:rPr>
        <w:t>佛山市高明区西坑水库除险加固工程</w:t>
      </w:r>
      <w:r>
        <w:rPr>
          <w:rFonts w:hint="eastAsia" w:ascii="Calibri" w:hAnsi="Calibri" w:eastAsia="宋体" w:cs="Times New Roman"/>
          <w:kern w:val="2"/>
          <w:sz w:val="28"/>
          <w:szCs w:val="28"/>
          <w:highlight w:val="none"/>
          <w:u w:val="single"/>
          <w:lang w:val="en-US" w:eastAsia="zh-CN" w:bidi="ar-SA"/>
        </w:rPr>
        <w:t>白蚁防治</w:t>
      </w:r>
      <w:r>
        <w:rPr>
          <w:rFonts w:hint="eastAsia" w:ascii="Calibri" w:hAnsi="Calibri" w:eastAsia="宋体" w:cs="Times New Roman"/>
          <w:kern w:val="2"/>
          <w:sz w:val="28"/>
          <w:szCs w:val="28"/>
          <w:highlight w:val="none"/>
          <w:lang w:val="en-US" w:eastAsia="zh-CN" w:bidi="ar-SA"/>
        </w:rPr>
        <w:t>项目进行白蚁防治处理。</w:t>
      </w:r>
    </w:p>
    <w:p>
      <w:pPr>
        <w:pStyle w:val="9"/>
        <w:keepNext w:val="0"/>
        <w:keepLines w:val="0"/>
        <w:pageBreakBefore w:val="0"/>
        <w:numPr>
          <w:ilvl w:val="0"/>
          <w:numId w:val="1"/>
        </w:numPr>
        <w:kinsoku/>
        <w:wordWrap/>
        <w:overflowPunct/>
        <w:topLinePunct w:val="0"/>
        <w:autoSpaceDE/>
        <w:autoSpaceDN/>
        <w:bidi w:val="0"/>
        <w:adjustRightInd/>
        <w:snapToGrid w:val="0"/>
        <w:spacing w:line="360" w:lineRule="auto"/>
        <w:ind w:left="-420" w:leftChars="-200" w:right="-569" w:rightChars="-271" w:firstLine="627" w:firstLineChars="224"/>
        <w:jc w:val="both"/>
        <w:rPr>
          <w:sz w:val="28"/>
          <w:szCs w:val="28"/>
          <w:highlight w:val="none"/>
        </w:rPr>
      </w:pPr>
      <w:r>
        <w:rPr>
          <w:rFonts w:hint="eastAsia"/>
          <w:sz w:val="28"/>
          <w:szCs w:val="28"/>
          <w:highlight w:val="none"/>
        </w:rPr>
        <w:t>本工程</w:t>
      </w:r>
      <w:r>
        <w:rPr>
          <w:rFonts w:hint="eastAsia"/>
          <w:sz w:val="28"/>
          <w:szCs w:val="28"/>
          <w:highlight w:val="none"/>
          <w:lang w:val="en-US" w:eastAsia="zh-CN"/>
        </w:rPr>
        <w:t>主要建设内容是对西坑水库进行除险加固</w:t>
      </w:r>
      <w:r>
        <w:rPr>
          <w:rFonts w:hint="eastAsia"/>
          <w:sz w:val="28"/>
          <w:szCs w:val="28"/>
          <w:highlight w:val="none"/>
        </w:rPr>
        <w:t>；</w:t>
      </w:r>
      <w:r>
        <w:rPr>
          <w:rFonts w:hint="eastAsia"/>
          <w:sz w:val="28"/>
          <w:szCs w:val="28"/>
          <w:highlight w:val="none"/>
          <w:lang w:val="en-US" w:eastAsia="zh-CN"/>
        </w:rPr>
        <w:t>现</w:t>
      </w:r>
      <w:r>
        <w:rPr>
          <w:rFonts w:hint="eastAsia"/>
          <w:sz w:val="28"/>
          <w:szCs w:val="28"/>
          <w:highlight w:val="none"/>
        </w:rPr>
        <w:t>甲方委托乙方</w:t>
      </w:r>
      <w:r>
        <w:rPr>
          <w:rFonts w:hint="eastAsia"/>
          <w:sz w:val="28"/>
          <w:szCs w:val="28"/>
          <w:highlight w:val="none"/>
          <w:lang w:val="en-US" w:eastAsia="zh-CN"/>
        </w:rPr>
        <w:t>按照</w:t>
      </w:r>
      <w:r>
        <w:rPr>
          <w:rFonts w:hint="eastAsia"/>
          <w:sz w:val="28"/>
          <w:szCs w:val="28"/>
          <w:highlight w:val="none"/>
        </w:rPr>
        <w:t>《广东省水利工程白蚁防治技术指南》对本工程进行白蚁防治处理。</w:t>
      </w:r>
    </w:p>
    <w:p>
      <w:pPr>
        <w:pStyle w:val="9"/>
        <w:keepNext w:val="0"/>
        <w:keepLines w:val="0"/>
        <w:pageBreakBefore w:val="0"/>
        <w:numPr>
          <w:ilvl w:val="0"/>
          <w:numId w:val="1"/>
        </w:numPr>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rPr>
        <w:t>白蚁防治工程施工工期。</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ascii="Calibri" w:hAnsi="Calibri" w:eastAsia="宋体" w:cs="Times New Roman"/>
          <w:kern w:val="2"/>
          <w:sz w:val="28"/>
          <w:szCs w:val="28"/>
          <w:highlight w:val="none"/>
          <w:lang w:val="en-US" w:eastAsia="zh-CN" w:bidi="ar-SA"/>
        </w:rPr>
        <w:t xml:space="preserve">合同签订之日起至除险加固工程单位工程验收之日止。    </w:t>
      </w:r>
      <w:r>
        <w:rPr>
          <w:rFonts w:hint="eastAsia"/>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rPr>
        <w:t>四、白蚁防治范围和施工方案：</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rPr>
        <w:t>本白蚁防治工程是根据白蚁的生物习性与建筑物的特点，使用长效白蚁药剂进行处理，制造不利于白蚁生存的生态环境而达成预防白蚁的目的。</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1、施工方案应符合《广东省水利工程白蚁防治技术指南》及本项目实际要求，经甲方审核同意后实施。自合同签订日起三年内不受白蚁危害，每年复查一次，如发现白蚁蚁害，乙方应无偿及时给予灭治。</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2、白蚁预防施工方案应包括：工程的施工面积、工程概况、施工范围承包方式、工程质量标准、对施工质量的承诺、对建筑物的药物处理要求、药物使用、浓度、用药量、施工程序、施工方法、施工安全措施、验收内容（标准）、白蚁预防工程施工用药表、白蚁预防工程施工记录表、白蚁预防工程验收证明书（表）等内容。</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3、大坝药物处理：在大坝土方开挖及回填前后，使用预防白蚁药剂全面处理土壤，使大坝形成预防白蚁水平屏障。</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4、室内地坪药物处理：建筑物室内地面平整完毕，在铺设混凝土垫层前后，使用预防白蚁药剂全面处理土壤，使建筑物形成预防白蚁水平屏障。</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5、室内墙体药物处理：层室内墙体砌筑完毕，墙体批荡或饰面之前，距地面1米高度以内全面喷洒预防白蚁药剂。</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 xml:space="preserve">6、各伸缩缝、沉降缝洒预防白蚁药剂。                                              </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7、建筑物防蚁线处理：墙边土壤回填平整完毕，沿墙边地面约0.3米宽范围内灌淋预防白蚁药剂，使建筑物形成防白蚁垂直屏障。其他不与土方接触的建筑物也应灌淋预防白蚁药剂，使其形成防白蚁屏障。</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五、质量要求：</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乙方应建立健全白蚁防治质量保证体系，严格按照国家和地方有关水利工程白蚁防治的施工技术规范和操作程序进行防治。严格按照《广东省水利工程白蚁防治技术指南》等规范操作，保证施工质量，确保本工程预防处理不受危害，对每个工程都要进行定期回访。预防处理十五年内，灭治处理三年内出现白蚁危害，白蚁防治机构必须免费进行灭治处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lang w:eastAsia="zh-CN"/>
        </w:rPr>
        <w:t>六</w:t>
      </w:r>
      <w:r>
        <w:rPr>
          <w:rFonts w:hint="eastAsia"/>
          <w:sz w:val="28"/>
          <w:szCs w:val="28"/>
          <w:highlight w:val="none"/>
        </w:rPr>
        <w:t>、验收方法：</w:t>
      </w:r>
    </w:p>
    <w:p>
      <w:pPr>
        <w:pStyle w:val="9"/>
        <w:keepNext w:val="0"/>
        <w:keepLines w:val="0"/>
        <w:pageBreakBefore w:val="0"/>
        <w:widowControl w:val="0"/>
        <w:kinsoku/>
        <w:wordWrap/>
        <w:overflowPunct/>
        <w:topLinePunct w:val="0"/>
        <w:autoSpaceDE/>
        <w:autoSpaceDN/>
        <w:bidi w:val="0"/>
        <w:adjustRightInd/>
        <w:snapToGrid w:val="0"/>
        <w:spacing w:line="360" w:lineRule="auto"/>
        <w:ind w:left="-420" w:leftChars="-200" w:right="-569" w:rightChars="-271" w:firstLine="627" w:firstLineChars="224"/>
        <w:jc w:val="both"/>
        <w:textAlignment w:val="auto"/>
        <w:outlineLvl w:val="9"/>
        <w:rPr>
          <w:rFonts w:ascii="宋体" w:cs="宋体"/>
          <w:color w:val="000000"/>
          <w:kern w:val="0"/>
          <w:sz w:val="28"/>
          <w:szCs w:val="28"/>
          <w:highlight w:val="none"/>
        </w:rPr>
      </w:pPr>
      <w:r>
        <w:rPr>
          <w:rFonts w:hint="eastAsia"/>
          <w:sz w:val="28"/>
          <w:szCs w:val="28"/>
          <w:highlight w:val="none"/>
        </w:rPr>
        <w:t>本工程以白蚁防治工程施工方案、施工现场记录和隐蔽验收记录等作为验收依据，符合《广东省水利厅关于水利工程白蚁防治的管理办法》</w:t>
      </w:r>
      <w:r>
        <w:rPr>
          <w:rFonts w:hint="eastAsia"/>
          <w:sz w:val="28"/>
          <w:szCs w:val="28"/>
          <w:highlight w:val="none"/>
          <w:lang w:eastAsia="zh-CN"/>
        </w:rPr>
        <w:t>、</w:t>
      </w:r>
      <w:r>
        <w:rPr>
          <w:rFonts w:hint="eastAsia"/>
          <w:sz w:val="28"/>
          <w:szCs w:val="28"/>
          <w:highlight w:val="none"/>
        </w:rPr>
        <w:t>《广东省水利工程白蚁防治技术指南》</w:t>
      </w:r>
      <w:r>
        <w:rPr>
          <w:rFonts w:hint="eastAsia"/>
          <w:sz w:val="28"/>
          <w:szCs w:val="28"/>
          <w:highlight w:val="none"/>
          <w:lang w:eastAsia="zh-CN"/>
        </w:rPr>
        <w:t>等文件</w:t>
      </w:r>
      <w:r>
        <w:rPr>
          <w:rFonts w:hint="eastAsia"/>
          <w:sz w:val="28"/>
          <w:szCs w:val="28"/>
          <w:highlight w:val="none"/>
        </w:rPr>
        <w:t>要求。</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lang w:eastAsia="zh-CN"/>
        </w:rPr>
        <w:t>七</w:t>
      </w:r>
      <w:r>
        <w:rPr>
          <w:rFonts w:hint="eastAsia"/>
          <w:sz w:val="28"/>
          <w:szCs w:val="28"/>
          <w:highlight w:val="none"/>
        </w:rPr>
        <w:t>、甲方权利与责任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1</w:t>
      </w:r>
      <w:r>
        <w:rPr>
          <w:rFonts w:hint="eastAsia"/>
          <w:sz w:val="28"/>
          <w:szCs w:val="28"/>
        </w:rPr>
        <w:t>、电缆沟入口详图及乙方设计时需要的图纸（其中给排水管、电力、电话互联网、电视、煤气等地下出入缆沟，管道有变更或未确定时，应明确或及时提供新资料）。</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2</w:t>
      </w:r>
      <w:r>
        <w:rPr>
          <w:rFonts w:hint="eastAsia"/>
          <w:sz w:val="28"/>
          <w:szCs w:val="28"/>
        </w:rPr>
        <w:t>、指派</w:t>
      </w:r>
      <w:r>
        <w:rPr>
          <w:rFonts w:hint="eastAsia"/>
          <w:sz w:val="28"/>
          <w:szCs w:val="28"/>
          <w:u w:val="single"/>
          <w:lang w:val="en-US" w:eastAsia="zh-CN"/>
        </w:rPr>
        <w:t>温学荣</w:t>
      </w:r>
      <w:r>
        <w:rPr>
          <w:rFonts w:hint="eastAsia"/>
          <w:sz w:val="28"/>
          <w:szCs w:val="28"/>
        </w:rPr>
        <w:t>联系电</w:t>
      </w:r>
      <w:r>
        <w:rPr>
          <w:rFonts w:hint="eastAsia"/>
          <w:sz w:val="28"/>
          <w:szCs w:val="28"/>
          <w:highlight w:val="none"/>
        </w:rPr>
        <w:t>话：</w:t>
      </w:r>
      <w:r>
        <w:rPr>
          <w:rFonts w:hint="eastAsia"/>
          <w:sz w:val="28"/>
          <w:szCs w:val="28"/>
          <w:highlight w:val="none"/>
          <w:u w:val="single"/>
          <w:lang w:val="en-US" w:eastAsia="zh-CN"/>
        </w:rPr>
        <w:t>88981163</w:t>
      </w:r>
      <w:r>
        <w:rPr>
          <w:rFonts w:hint="eastAsia"/>
          <w:sz w:val="28"/>
          <w:szCs w:val="28"/>
          <w:highlight w:val="none"/>
        </w:rPr>
        <w:t>为甲</w:t>
      </w:r>
      <w:r>
        <w:rPr>
          <w:rFonts w:hint="eastAsia"/>
          <w:sz w:val="28"/>
          <w:szCs w:val="28"/>
        </w:rPr>
        <w:t>方代表，负责监督合同及施工方案的履行，对白蚁预防工程质量、进度进行监督检查，签署现场施工记录、办理隐蔽验收记录，办理竣工验收和其它有关事宜。</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3</w:t>
      </w:r>
      <w:r>
        <w:rPr>
          <w:rFonts w:hint="eastAsia"/>
          <w:sz w:val="28"/>
          <w:szCs w:val="28"/>
        </w:rPr>
        <w:t>、甲方代表根据土建工程的进度，至少提前二天通知乙方进场施工，确保白蚁预防工程和土建工程顺利衔接及白蚁预防工程的质量。</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4</w:t>
      </w:r>
      <w:r>
        <w:rPr>
          <w:rFonts w:hint="eastAsia"/>
          <w:sz w:val="28"/>
          <w:szCs w:val="28"/>
        </w:rPr>
        <w:t>、协调有关施工协调工作，便于乙方进场施工。</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sz w:val="28"/>
          <w:szCs w:val="28"/>
        </w:rPr>
        <w:t>5</w:t>
      </w:r>
      <w:r>
        <w:rPr>
          <w:rFonts w:hint="eastAsia"/>
          <w:sz w:val="28"/>
          <w:szCs w:val="28"/>
        </w:rPr>
        <w:t>、在本合同有效期内，甲方因故变动房屋结构设计，进行扩建、改建或有木地（模）板、木吊顶、木护墙板等木装饰装修，需提前与乙方联系，经双</w:t>
      </w:r>
      <w:r>
        <w:rPr>
          <w:rFonts w:hint="eastAsia"/>
          <w:sz w:val="28"/>
          <w:szCs w:val="28"/>
          <w:highlight w:val="none"/>
        </w:rPr>
        <w:t>方商量后，另订补充协议。</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lang w:eastAsia="zh-CN"/>
        </w:rPr>
        <w:t>八</w:t>
      </w:r>
      <w:r>
        <w:rPr>
          <w:rFonts w:hint="eastAsia"/>
          <w:sz w:val="28"/>
          <w:szCs w:val="28"/>
          <w:highlight w:val="none"/>
        </w:rPr>
        <w:t>、乙方权利与责任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1</w:t>
      </w:r>
      <w:r>
        <w:rPr>
          <w:rFonts w:hint="eastAsia"/>
          <w:sz w:val="28"/>
          <w:szCs w:val="28"/>
        </w:rPr>
        <w:t>、指派</w:t>
      </w:r>
      <w:r>
        <w:rPr>
          <w:rFonts w:hint="eastAsia"/>
          <w:sz w:val="28"/>
          <w:szCs w:val="28"/>
          <w:u w:val="single"/>
          <w:lang w:val="en-US" w:eastAsia="zh-CN"/>
        </w:rPr>
        <w:t xml:space="preserve">        </w:t>
      </w:r>
      <w:r>
        <w:rPr>
          <w:rFonts w:hint="eastAsia"/>
          <w:sz w:val="28"/>
          <w:szCs w:val="28"/>
        </w:rPr>
        <w:t>联系</w:t>
      </w:r>
      <w:r>
        <w:rPr>
          <w:rFonts w:hint="eastAsia"/>
          <w:sz w:val="28"/>
          <w:szCs w:val="28"/>
          <w:lang w:eastAsia="zh-CN"/>
        </w:rPr>
        <w:t>电话</w:t>
      </w:r>
      <w:r>
        <w:rPr>
          <w:rFonts w:hint="eastAsia"/>
          <w:sz w:val="28"/>
          <w:szCs w:val="28"/>
          <w:u w:val="none"/>
        </w:rPr>
        <w:t>：</w:t>
      </w:r>
      <w:r>
        <w:rPr>
          <w:rFonts w:hint="eastAsia"/>
          <w:sz w:val="28"/>
          <w:szCs w:val="28"/>
          <w:u w:val="none"/>
          <w:lang w:val="en-US" w:eastAsia="zh-CN"/>
        </w:rPr>
        <w:t xml:space="preserve">            </w:t>
      </w:r>
      <w:r>
        <w:rPr>
          <w:rFonts w:hint="eastAsia"/>
          <w:sz w:val="28"/>
          <w:szCs w:val="28"/>
        </w:rPr>
        <w:t>为乙方现场施工代表，负责履行、落实合同及施工方案的要求，确保白蚁防治工程质量，按期完成白蚁预防工程施工任务。</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sz w:val="28"/>
          <w:szCs w:val="28"/>
          <w:highlight w:val="none"/>
        </w:rPr>
        <w:t>2</w:t>
      </w:r>
      <w:r>
        <w:rPr>
          <w:rFonts w:hint="eastAsia"/>
          <w:sz w:val="28"/>
          <w:szCs w:val="28"/>
          <w:highlight w:val="none"/>
        </w:rPr>
        <w:t>、乙方应建立健全白蚁防治质量保证体系，严格按照国家和地方有关城市房屋白蚁防治的施工技术规范和操作程序进行防治。严格按照《广东省水利工程白蚁防治技术指南》操作，保证施工质量，确保新建房屋预防处理不受危害，对每个工程都要进行定期回访。预防处理十五年内，灭治处理三年内出现白蚁危害，白蚁防治机构必须免费进行灭治处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3</w:t>
      </w:r>
      <w:r>
        <w:rPr>
          <w:rFonts w:hint="eastAsia"/>
          <w:sz w:val="28"/>
          <w:szCs w:val="28"/>
        </w:rPr>
        <w:t>、乙方应当使用经国家有关部门批准生产的药剂，并建立药剂进出领料制度，药剂必须转仓储存、专人管理。乙方应严格管理施工现场的白蚁预防药物，防治盗窃及中毒事件发生。</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4</w:t>
      </w:r>
      <w:r>
        <w:rPr>
          <w:rFonts w:hint="eastAsia"/>
          <w:sz w:val="28"/>
          <w:szCs w:val="28"/>
        </w:rPr>
        <w:t>、乙方应当对每次施工情况进行记录，主要部位施工要拍照存档备查验。已施药完成的部位，经自检符合设计要求后，及时提请甲方现场管理人员办理隐蔽验收手续。</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5</w:t>
      </w:r>
      <w:r>
        <w:rPr>
          <w:rFonts w:hint="eastAsia"/>
          <w:sz w:val="28"/>
          <w:szCs w:val="28"/>
        </w:rPr>
        <w:t>、本工程白蚁预防包治期限为</w:t>
      </w:r>
      <w:r>
        <w:rPr>
          <w:sz w:val="28"/>
          <w:szCs w:val="28"/>
        </w:rPr>
        <w:t>15</w:t>
      </w:r>
      <w:r>
        <w:rPr>
          <w:rFonts w:hint="eastAsia"/>
          <w:sz w:val="28"/>
          <w:szCs w:val="28"/>
        </w:rPr>
        <w:t>年（不得少于</w:t>
      </w:r>
      <w:r>
        <w:rPr>
          <w:sz w:val="28"/>
          <w:szCs w:val="28"/>
        </w:rPr>
        <w:t>15</w:t>
      </w:r>
      <w:r>
        <w:rPr>
          <w:rFonts w:hint="eastAsia"/>
          <w:sz w:val="28"/>
          <w:szCs w:val="28"/>
        </w:rPr>
        <w:t>年），包治期限自工程交付使用之日起计算。在此期间，甲方负责人，如发现白蚁迹象，应保护好现场，及时通知乙方处理，乙方接到通知后必须在</w:t>
      </w:r>
      <w:r>
        <w:rPr>
          <w:sz w:val="28"/>
          <w:szCs w:val="28"/>
        </w:rPr>
        <w:t>24</w:t>
      </w:r>
      <w:r>
        <w:rPr>
          <w:rFonts w:hint="eastAsia"/>
          <w:sz w:val="28"/>
          <w:szCs w:val="28"/>
        </w:rPr>
        <w:t>小时内前往灭治，跟进至全巢消灭为止，单位负责人应签字或盖章予以确认。</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6</w:t>
      </w:r>
      <w:r>
        <w:rPr>
          <w:rFonts w:hint="eastAsia"/>
          <w:sz w:val="28"/>
          <w:szCs w:val="28"/>
        </w:rPr>
        <w:t>、每次复查完毕，甲方负责人员或单位签字或盖章确认。乙方不按时回访复查，甲方负责人员等发现有蚁迹，通知乙方</w:t>
      </w:r>
      <w:r>
        <w:rPr>
          <w:sz w:val="28"/>
          <w:szCs w:val="28"/>
        </w:rPr>
        <w:t>24</w:t>
      </w:r>
      <w:r>
        <w:rPr>
          <w:rFonts w:hint="eastAsia"/>
          <w:sz w:val="28"/>
          <w:szCs w:val="28"/>
        </w:rPr>
        <w:t>小时未能前来灭治时，视为违约行为。甲方工程交付使用后二次装修的乙方不包白蚁防治。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lang w:eastAsia="zh-CN"/>
        </w:rPr>
        <w:t>九</w:t>
      </w:r>
      <w:r>
        <w:rPr>
          <w:rFonts w:hint="eastAsia"/>
          <w:sz w:val="28"/>
          <w:szCs w:val="28"/>
          <w:highlight w:val="none"/>
        </w:rPr>
        <w:t>、白蚁</w:t>
      </w:r>
      <w:r>
        <w:rPr>
          <w:rFonts w:hint="eastAsia"/>
          <w:sz w:val="28"/>
          <w:szCs w:val="28"/>
          <w:highlight w:val="none"/>
          <w:lang w:eastAsia="zh-CN"/>
        </w:rPr>
        <w:t>防治</w:t>
      </w:r>
      <w:r>
        <w:rPr>
          <w:rFonts w:hint="eastAsia"/>
          <w:sz w:val="28"/>
          <w:szCs w:val="28"/>
          <w:highlight w:val="none"/>
        </w:rPr>
        <w:t>费用和付款方式：</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420" w:leftChars="-200" w:right="-569" w:rightChars="-271" w:firstLine="627" w:firstLineChars="224"/>
        <w:jc w:val="both"/>
        <w:textAlignment w:val="center"/>
        <w:rPr>
          <w:rFonts w:hint="eastAsia"/>
          <w:sz w:val="28"/>
          <w:szCs w:val="28"/>
          <w:highlight w:val="none"/>
        </w:rPr>
      </w:pPr>
      <w:r>
        <w:rPr>
          <w:sz w:val="28"/>
          <w:szCs w:val="28"/>
          <w:highlight w:val="none"/>
        </w:rPr>
        <w:t>1</w:t>
      </w:r>
      <w:r>
        <w:rPr>
          <w:rFonts w:hint="eastAsia"/>
          <w:sz w:val="28"/>
          <w:szCs w:val="28"/>
          <w:highlight w:val="none"/>
        </w:rPr>
        <w:t>、白蚁</w:t>
      </w:r>
      <w:r>
        <w:rPr>
          <w:rFonts w:hint="eastAsia"/>
          <w:sz w:val="28"/>
          <w:szCs w:val="28"/>
          <w:highlight w:val="none"/>
          <w:lang w:eastAsia="zh-CN"/>
        </w:rPr>
        <w:t>防治</w:t>
      </w:r>
      <w:r>
        <w:rPr>
          <w:rFonts w:hint="eastAsia"/>
          <w:sz w:val="28"/>
          <w:szCs w:val="28"/>
          <w:highlight w:val="none"/>
        </w:rPr>
        <w:t>费用：</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合同价款：</w:t>
      </w:r>
      <w:r>
        <w:rPr>
          <w:rFonts w:hint="eastAsia" w:cs="Times New Roman"/>
          <w:kern w:val="2"/>
          <w:sz w:val="28"/>
          <w:szCs w:val="28"/>
          <w:highlight w:val="none"/>
          <w:lang w:val="en-US" w:eastAsia="zh-CN" w:bidi="ar-SA"/>
        </w:rPr>
        <w:t xml:space="preserve"> 30000 元（大写：人民币叁万元整）</w:t>
      </w:r>
      <w:r>
        <w:rPr>
          <w:rFonts w:hint="eastAsia" w:ascii="Calibri" w:hAnsi="Calibri" w:eastAsia="宋体" w:cs="Times New Roman"/>
          <w:kern w:val="2"/>
          <w:sz w:val="28"/>
          <w:szCs w:val="28"/>
          <w:highlight w:val="none"/>
          <w:lang w:val="en-US" w:eastAsia="zh-CN" w:bidi="ar-SA"/>
        </w:rPr>
        <w:t>，固定总价承包，本合同价款含税。</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2、付款方式：双方同意按以下方式付款。</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乙方完成甲方要求的白蚁防治服务内容（即全部整体</w:t>
      </w:r>
      <w:r>
        <w:rPr>
          <w:rFonts w:hint="eastAsia" w:cs="Times New Roman"/>
          <w:kern w:val="2"/>
          <w:sz w:val="28"/>
          <w:szCs w:val="28"/>
          <w:highlight w:val="none"/>
          <w:lang w:val="en-US" w:eastAsia="zh-CN" w:bidi="ar-SA"/>
        </w:rPr>
        <w:t>防治</w:t>
      </w:r>
      <w:r>
        <w:rPr>
          <w:rFonts w:hint="eastAsia" w:ascii="Calibri" w:hAnsi="Calibri" w:eastAsia="宋体" w:cs="Times New Roman"/>
          <w:kern w:val="2"/>
          <w:sz w:val="28"/>
          <w:szCs w:val="28"/>
          <w:highlight w:val="none"/>
          <w:lang w:val="en-US" w:eastAsia="zh-CN" w:bidi="ar-SA"/>
        </w:rPr>
        <w:t>工程施工完成）并提交验收报告</w:t>
      </w:r>
      <w:r>
        <w:rPr>
          <w:rFonts w:hint="eastAsia" w:cs="Times New Roman"/>
          <w:kern w:val="2"/>
          <w:sz w:val="28"/>
          <w:szCs w:val="28"/>
          <w:highlight w:val="none"/>
          <w:lang w:val="en-US" w:eastAsia="zh-CN" w:bidi="ar-SA"/>
        </w:rPr>
        <w:t>，通过验收</w:t>
      </w:r>
      <w:r>
        <w:rPr>
          <w:rFonts w:hint="eastAsia" w:ascii="Calibri" w:hAnsi="Calibri" w:eastAsia="宋体" w:cs="Times New Roman"/>
          <w:kern w:val="2"/>
          <w:sz w:val="28"/>
          <w:szCs w:val="28"/>
          <w:highlight w:val="none"/>
          <w:lang w:val="en-US" w:eastAsia="zh-CN" w:bidi="ar-SA"/>
        </w:rPr>
        <w:t>后甲方三个月内一次性不计息付清。</w:t>
      </w:r>
    </w:p>
    <w:p>
      <w:pPr>
        <w:pStyle w:val="9"/>
        <w:keepNext w:val="0"/>
        <w:keepLines w:val="0"/>
        <w:pageBreakBefore w:val="0"/>
        <w:kinsoku/>
        <w:wordWrap/>
        <w:overflowPunct/>
        <w:topLinePunct w:val="0"/>
        <w:autoSpaceDE/>
        <w:autoSpaceDN/>
        <w:bidi w:val="0"/>
        <w:adjustRightInd/>
        <w:snapToGrid w:val="0"/>
        <w:spacing w:line="360" w:lineRule="auto"/>
        <w:ind w:left="141" w:leftChars="67" w:right="-569" w:rightChars="-271" w:firstLine="67" w:firstLineChars="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注：</w:t>
      </w:r>
      <w:r>
        <w:rPr>
          <w:rFonts w:hint="eastAsia" w:ascii="Calibri" w:hAnsi="Calibri" w:eastAsia="宋体" w:cs="Times New Roman"/>
          <w:kern w:val="2"/>
          <w:sz w:val="28"/>
          <w:szCs w:val="28"/>
          <w:highlight w:val="none"/>
          <w:lang w:val="en-US" w:eastAsia="zh-CN" w:bidi="ar-SA"/>
        </w:rPr>
        <w:t>乙方收取白蚁</w:t>
      </w:r>
      <w:r>
        <w:rPr>
          <w:rFonts w:hint="eastAsia" w:cs="Times New Roman"/>
          <w:kern w:val="2"/>
          <w:sz w:val="28"/>
          <w:szCs w:val="28"/>
          <w:highlight w:val="none"/>
          <w:lang w:val="en-US" w:eastAsia="zh-CN" w:bidi="ar-SA"/>
        </w:rPr>
        <w:t>防治</w:t>
      </w:r>
      <w:r>
        <w:rPr>
          <w:rFonts w:hint="eastAsia" w:ascii="Calibri" w:hAnsi="Calibri" w:eastAsia="宋体" w:cs="Times New Roman"/>
          <w:kern w:val="2"/>
          <w:sz w:val="28"/>
          <w:szCs w:val="28"/>
          <w:highlight w:val="none"/>
          <w:lang w:val="en-US" w:eastAsia="zh-CN" w:bidi="ar-SA"/>
        </w:rPr>
        <w:t>费用的银行账户名称必须与乙方单位名称一致</w:t>
      </w:r>
      <w:r>
        <w:rPr>
          <w:rFonts w:hint="eastAsia" w:cs="Times New Roman"/>
          <w:kern w:val="2"/>
          <w:sz w:val="28"/>
          <w:szCs w:val="28"/>
          <w:highlight w:val="none"/>
          <w:lang w:val="en-US" w:eastAsia="zh-CN" w:bidi="ar-SA"/>
        </w:rPr>
        <w:t>。</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b/>
          <w:bCs/>
          <w:sz w:val="28"/>
          <w:szCs w:val="28"/>
          <w:highlight w:val="none"/>
          <w:lang w:val="en-US" w:eastAsia="zh-CN"/>
        </w:rPr>
      </w:pPr>
      <w:r>
        <w:rPr>
          <w:rFonts w:hint="eastAsia"/>
          <w:b/>
          <w:bCs/>
          <w:sz w:val="28"/>
          <w:szCs w:val="28"/>
          <w:highlight w:val="none"/>
          <w:lang w:val="en-US" w:eastAsia="zh-CN"/>
        </w:rPr>
        <w:t>支付说明:</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本工程项目使用政府财政资金结算付款，乙方理解并已熟知甲方申请财政付款程序，付款期限由乙方提交申请付款资料之日起计算，付款资料包括：付款申请书、发票</w:t>
      </w:r>
      <w:r>
        <w:rPr>
          <w:rFonts w:hint="eastAsia"/>
          <w:b/>
          <w:bCs/>
          <w:sz w:val="28"/>
          <w:szCs w:val="28"/>
          <w:highlight w:val="none"/>
          <w:lang w:val="en-US" w:eastAsia="zh-CN"/>
        </w:rPr>
        <w:t>（财政部门落实支付款项时提交，乙方未交付对应金额发票给甲方的，按财政支付规定是无法发起支付手续的，因此甲方有权不履行付款义务，甲方对此不承担责任，乙方不得以任何形式向甲方主张权利。）</w:t>
      </w:r>
      <w:r>
        <w:rPr>
          <w:rFonts w:hint="eastAsia"/>
          <w:sz w:val="28"/>
          <w:szCs w:val="28"/>
          <w:highlight w:val="none"/>
          <w:lang w:val="en-US" w:eastAsia="zh-CN"/>
        </w:rPr>
        <w:t>、工程进度表（如有）、结算书（如有）等。甲方在收到乙方提交的申请付款资料后在约定付款期限内向财政部门提出申请办理财政支付手续，即视为甲方已完成合同约定的付款义务，资金具体到账时间以财政部门支付时间为准。如乙方未及时向甲方提交申请付款资料，导致甲方无法向财政部门提出支付手续，造成的经济损失由乙方自行承担。</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lang w:eastAsia="zh-CN"/>
        </w:rPr>
        <w:t>十</w:t>
      </w:r>
      <w:r>
        <w:rPr>
          <w:rFonts w:hint="eastAsia"/>
          <w:sz w:val="28"/>
          <w:szCs w:val="28"/>
          <w:highlight w:val="none"/>
        </w:rPr>
        <w:t>、违约责任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1、合同生效后，甲方非因乙方原因要求终止或解除合同（包括本合同工程停缓建等），乙方未开始白蚁防治工作的，合同预付款（如有）无息退还发包人，已开始白蚁防治工作的，甲方根据乙方已进行的实际工作量支付白蚁防治费用（甲方根据乙方已完成工作量应向乙方支付的白蚁防治费用数额，由甲方、乙方双方参照本合同关于白蚁防治进度要求和白蚁防治费支付进度的相关规定协商确定，但最终以区财政部门审定为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2、如乙方违约，甲方有权要求乙方予以整改，乙方应按整改要求落实整改；如乙方不按甲方要求整改的或整改不到位的，甲方有权终止或解除合同。此情形下，甲方无需根据乙方已进行的实际工作量向乙方支付白蚁防治费，且乙方须返还甲方已支付的全部白蚁防治费用，同时乙方须按本合同总价20%的比例向甲方支付违约金。由此造成甲方损失的，乙方还需另外全额赔偿甲方损失，赔偿总额不含乙方需向甲方支付的违约金。</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3、乙方由于非甲方原因要求终止或解除合同，此情形下，甲方无需根据乙方已进行的实际工作量向乙方支付白蚁防治费，且乙方须返还甲方已支付的全部白蚁防治费用，同时乙方须按本合同总价20%的比例向甲方支付违约金。由此造成甲方损失的，乙方还需另外全额赔偿甲方损失，赔偿总额不含乙方需向甲方支付的违约金。</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4、由于不可抗力导致本合同目的不能实现而终止或解除合同的，各方均无须向对方承担责任，乙方未开始白蚁防治工作的，合同预付款（如有）无息退还甲方；已开始白蚁防治工作的，甲方根据乙方已进行的实际工作量支付白蚁防治费（甲方根据乙方已完成工作量应向乙方支付的白蚁防治费用数额，由甲方、乙方双方参照本合同关于白蚁防治进度要求和白蚁防治费支付进度的相关规定协商确定，但最终以区财政部门审定为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5、在终止或解除合同的情况下，甲方有权利用乙方已完成的工作成果，并且甲方引用乙方工作成果所形成的新的技术成果属于甲方所有，甲方可依法享有该项技术成果取得的精神权利、经济权利和其他一切权利。</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6、未征得甲方的同意，乙方不得将本白蚁防治服务的任何部分予以分包或转包。否则，甲方有权终止或解除合同。此情形下，甲方无需根据乙方已进行的实际工作量向乙方支付白蚁防治费，且乙方须返还甲方已支付的全部白蚁防治费用，同时乙方须按本合同总价20%的比例向甲方支付违约金。</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eastAsia="zh-CN"/>
        </w:rPr>
      </w:pPr>
      <w:r>
        <w:rPr>
          <w:rFonts w:hint="eastAsia"/>
          <w:sz w:val="28"/>
          <w:szCs w:val="28"/>
          <w:highlight w:val="none"/>
        </w:rPr>
        <w:t>十</w:t>
      </w:r>
      <w:r>
        <w:rPr>
          <w:rFonts w:hint="eastAsia"/>
          <w:sz w:val="28"/>
          <w:szCs w:val="28"/>
          <w:highlight w:val="none"/>
          <w:lang w:eastAsia="zh-CN"/>
        </w:rPr>
        <w:t>一</w:t>
      </w:r>
      <w:r>
        <w:rPr>
          <w:rFonts w:hint="eastAsia"/>
          <w:sz w:val="28"/>
          <w:szCs w:val="28"/>
          <w:highlight w:val="none"/>
        </w:rPr>
        <w:t>、</w:t>
      </w:r>
      <w:r>
        <w:rPr>
          <w:rFonts w:hint="eastAsia"/>
          <w:sz w:val="28"/>
          <w:szCs w:val="28"/>
          <w:highlight w:val="none"/>
          <w:lang w:eastAsia="zh-CN"/>
        </w:rPr>
        <w:t>本合同发生争议，甲、乙双方应及时协商解决，也可由当地建设行政主管部门调解，协商或调解不成时，可向本工程所在地人民法院提起诉讼。</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eastAsia="zh-CN"/>
        </w:rPr>
      </w:pPr>
      <w:r>
        <w:rPr>
          <w:rFonts w:hint="eastAsia"/>
          <w:sz w:val="28"/>
          <w:szCs w:val="28"/>
          <w:highlight w:val="none"/>
          <w:lang w:val="en-US" w:eastAsia="zh-CN"/>
        </w:rPr>
        <w:t>十二、根据明城建通[2022]1号（关于印发《佛山市高明区城市重建和项目代建中心服务单位考评管理办法（试行）》的通知）文件精神，需对该项目服务单位进行服务考评，如考评结果不合格或评定为0分，我单位将根据文件规定对项目服务单位作出相应的处理。</w:t>
      </w:r>
      <w:r>
        <w:rPr>
          <w:rFonts w:hint="eastAsia"/>
          <w:sz w:val="28"/>
          <w:szCs w:val="28"/>
          <w:highlight w:val="none"/>
          <w:lang w:val="en-US" w:eastAsia="zh-CN"/>
        </w:rPr>
        <w:br w:type="textWrapping"/>
      </w:r>
      <w:r>
        <w:rPr>
          <w:rFonts w:hint="eastAsia"/>
          <w:sz w:val="28"/>
          <w:szCs w:val="28"/>
          <w:highlight w:val="none"/>
          <w:lang w:val="en-US" w:eastAsia="zh-CN"/>
        </w:rPr>
        <w:t>项目服务单位自愿选择是否参与考评：</w:t>
      </w:r>
      <w:r>
        <w:rPr>
          <w:rFonts w:hint="eastAsia"/>
          <w:sz w:val="28"/>
          <w:szCs w:val="28"/>
          <w:highlight w:val="none"/>
          <w:lang w:val="en-US" w:eastAsia="zh-CN"/>
        </w:rPr>
        <w:br w:type="textWrapping"/>
      </w:r>
      <w:r>
        <w:rPr>
          <w:rFonts w:hint="eastAsia"/>
          <w:sz w:val="28"/>
          <w:szCs w:val="28"/>
          <w:highlight w:val="none"/>
          <w:lang w:val="en-US" w:eastAsia="zh-CN"/>
        </w:rPr>
        <w:t xml:space="preserve">    □参与，并服从考评制度，承担相关责任。</w:t>
      </w:r>
      <w:r>
        <w:rPr>
          <w:rFonts w:hint="eastAsia"/>
          <w:sz w:val="28"/>
          <w:szCs w:val="28"/>
          <w:highlight w:val="none"/>
          <w:lang w:val="en-US" w:eastAsia="zh-CN"/>
        </w:rPr>
        <w:br w:type="textWrapping"/>
      </w:r>
      <w:r>
        <w:rPr>
          <w:rFonts w:hint="eastAsia"/>
          <w:sz w:val="28"/>
          <w:szCs w:val="28"/>
          <w:highlight w:val="none"/>
          <w:lang w:val="en-US" w:eastAsia="zh-CN"/>
        </w:rPr>
        <w:t xml:space="preserve">    □不参与。</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十</w:t>
      </w:r>
      <w:r>
        <w:rPr>
          <w:rFonts w:hint="eastAsia"/>
          <w:sz w:val="28"/>
          <w:szCs w:val="28"/>
          <w:highlight w:val="none"/>
          <w:lang w:val="en-US" w:eastAsia="zh-CN"/>
        </w:rPr>
        <w:t>三</w:t>
      </w:r>
      <w:r>
        <w:rPr>
          <w:rFonts w:hint="eastAsia"/>
          <w:sz w:val="28"/>
          <w:szCs w:val="28"/>
          <w:highlight w:val="none"/>
        </w:rPr>
        <w:t>、本合同一式</w:t>
      </w:r>
      <w:r>
        <w:rPr>
          <w:rFonts w:hint="eastAsia"/>
          <w:sz w:val="28"/>
          <w:szCs w:val="28"/>
          <w:highlight w:val="none"/>
          <w:lang w:val="en-US" w:eastAsia="zh-CN"/>
        </w:rPr>
        <w:t>8</w:t>
      </w:r>
      <w:r>
        <w:rPr>
          <w:rFonts w:hint="eastAsia"/>
          <w:sz w:val="28"/>
          <w:szCs w:val="28"/>
          <w:highlight w:val="none"/>
        </w:rPr>
        <w:t>份，其中甲方执</w:t>
      </w:r>
      <w:r>
        <w:rPr>
          <w:rFonts w:hint="eastAsia"/>
          <w:sz w:val="28"/>
          <w:szCs w:val="28"/>
          <w:highlight w:val="none"/>
          <w:lang w:val="en-US" w:eastAsia="zh-CN"/>
        </w:rPr>
        <w:t>6</w:t>
      </w:r>
      <w:r>
        <w:rPr>
          <w:rFonts w:hint="eastAsia"/>
          <w:sz w:val="28"/>
          <w:szCs w:val="28"/>
          <w:highlight w:val="none"/>
        </w:rPr>
        <w:t>份，乙方执</w:t>
      </w:r>
      <w:r>
        <w:rPr>
          <w:rFonts w:hint="eastAsia"/>
          <w:sz w:val="28"/>
          <w:szCs w:val="28"/>
          <w:highlight w:val="none"/>
          <w:lang w:val="en-US" w:eastAsia="zh-CN"/>
        </w:rPr>
        <w:t>2</w:t>
      </w:r>
      <w:r>
        <w:rPr>
          <w:rFonts w:hint="eastAsia"/>
          <w:sz w:val="28"/>
          <w:szCs w:val="28"/>
          <w:highlight w:val="none"/>
        </w:rPr>
        <w:t>份（</w:t>
      </w:r>
      <w:r>
        <w:rPr>
          <w:rFonts w:hint="eastAsia"/>
          <w:sz w:val="28"/>
          <w:szCs w:val="28"/>
          <w:highlight w:val="none"/>
          <w:lang w:eastAsia="zh-CN"/>
        </w:rPr>
        <w:t>均具有同等法律效力</w:t>
      </w:r>
      <w:r>
        <w:rPr>
          <w:rFonts w:hint="eastAsia"/>
          <w:sz w:val="28"/>
          <w:szCs w:val="28"/>
          <w:highlight w:val="none"/>
        </w:rPr>
        <w:t>）。</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十</w:t>
      </w:r>
      <w:r>
        <w:rPr>
          <w:rFonts w:hint="eastAsia"/>
          <w:sz w:val="28"/>
          <w:szCs w:val="28"/>
          <w:highlight w:val="none"/>
          <w:lang w:val="en-US" w:eastAsia="zh-CN"/>
        </w:rPr>
        <w:t>四</w:t>
      </w:r>
      <w:r>
        <w:rPr>
          <w:rFonts w:hint="eastAsia"/>
          <w:sz w:val="28"/>
          <w:szCs w:val="28"/>
          <w:highlight w:val="none"/>
        </w:rPr>
        <w:t>、双方签字盖章</w:t>
      </w:r>
      <w:r>
        <w:rPr>
          <w:rFonts w:hint="eastAsia"/>
          <w:sz w:val="28"/>
          <w:szCs w:val="28"/>
          <w:highlight w:val="none"/>
          <w:lang w:eastAsia="zh-CN"/>
        </w:rPr>
        <w:t>之</w:t>
      </w:r>
      <w:r>
        <w:rPr>
          <w:rFonts w:hint="eastAsia"/>
          <w:sz w:val="28"/>
          <w:szCs w:val="28"/>
          <w:highlight w:val="none"/>
        </w:rPr>
        <w:t>日起生效。本合同未尽事宜，双方另行协商解决。</w:t>
      </w:r>
    </w:p>
    <w:p>
      <w:pPr>
        <w:pStyle w:val="9"/>
        <w:keepNext w:val="0"/>
        <w:keepLines w:val="0"/>
        <w:pageBreakBefore w:val="0"/>
        <w:kinsoku/>
        <w:wordWrap/>
        <w:overflowPunct/>
        <w:topLinePunct w:val="0"/>
        <w:autoSpaceDE/>
        <w:autoSpaceDN/>
        <w:bidi w:val="0"/>
        <w:adjustRightInd/>
        <w:snapToGrid w:val="0"/>
        <w:spacing w:line="360" w:lineRule="auto"/>
        <w:ind w:firstLine="0" w:firstLineChars="0"/>
        <w:rPr>
          <w:rFonts w:hint="eastAsia" w:ascii="宋体" w:hAnsi="宋体"/>
          <w:sz w:val="28"/>
          <w:szCs w:val="28"/>
          <w:highlight w:val="none"/>
        </w:rPr>
      </w:pPr>
      <w:r>
        <w:rPr>
          <w:rFonts w:hint="eastAsia"/>
          <w:sz w:val="28"/>
          <w:szCs w:val="28"/>
          <w:highlight w:val="none"/>
        </w:rPr>
        <w:t>（以下无正文）。</w:t>
      </w:r>
    </w:p>
    <w:p>
      <w:pPr>
        <w:pStyle w:val="9"/>
        <w:keepNext w:val="0"/>
        <w:keepLines w:val="0"/>
        <w:pageBreakBefore w:val="0"/>
        <w:kinsoku/>
        <w:wordWrap/>
        <w:overflowPunct/>
        <w:topLinePunct w:val="0"/>
        <w:autoSpaceDE/>
        <w:autoSpaceDN/>
        <w:bidi w:val="0"/>
        <w:adjustRightInd/>
        <w:snapToGrid w:val="0"/>
        <w:spacing w:line="360" w:lineRule="auto"/>
        <w:ind w:firstLine="0" w:firstLineChars="0"/>
        <w:rPr>
          <w:rFonts w:hint="eastAsia"/>
          <w:sz w:val="28"/>
          <w:szCs w:val="28"/>
        </w:rPr>
      </w:pPr>
    </w:p>
    <w:p>
      <w:pPr>
        <w:pStyle w:val="9"/>
        <w:keepNext w:val="0"/>
        <w:keepLines w:val="0"/>
        <w:pageBreakBefore w:val="0"/>
        <w:kinsoku/>
        <w:wordWrap/>
        <w:overflowPunct/>
        <w:topLinePunct w:val="0"/>
        <w:autoSpaceDE/>
        <w:autoSpaceDN/>
        <w:bidi w:val="0"/>
        <w:adjustRightInd/>
        <w:snapToGrid w:val="0"/>
        <w:spacing w:line="360" w:lineRule="auto"/>
        <w:ind w:firstLine="0" w:firstLineChars="0"/>
        <w:rPr>
          <w:rFonts w:hint="eastAsia"/>
          <w:sz w:val="28"/>
          <w:szCs w:val="28"/>
        </w:rPr>
      </w:pPr>
    </w:p>
    <w:p>
      <w:pPr>
        <w:pStyle w:val="9"/>
        <w:keepNext w:val="0"/>
        <w:keepLines w:val="0"/>
        <w:pageBreakBefore w:val="0"/>
        <w:kinsoku/>
        <w:wordWrap/>
        <w:overflowPunct/>
        <w:topLinePunct w:val="0"/>
        <w:autoSpaceDE/>
        <w:autoSpaceDN/>
        <w:bidi w:val="0"/>
        <w:adjustRightInd/>
        <w:snapToGrid w:val="0"/>
        <w:spacing w:line="360" w:lineRule="auto"/>
        <w:ind w:firstLine="0" w:firstLineChars="0"/>
        <w:rPr>
          <w:rFonts w:hint="eastAsia"/>
          <w:sz w:val="28"/>
          <w:szCs w:val="28"/>
        </w:rPr>
      </w:pPr>
    </w:p>
    <w:p>
      <w:pPr>
        <w:pStyle w:val="9"/>
        <w:keepNext w:val="0"/>
        <w:keepLines w:val="0"/>
        <w:pageBreakBefore w:val="0"/>
        <w:kinsoku/>
        <w:wordWrap/>
        <w:overflowPunct/>
        <w:topLinePunct w:val="0"/>
        <w:autoSpaceDE/>
        <w:autoSpaceDN/>
        <w:bidi w:val="0"/>
        <w:adjustRightInd/>
        <w:snapToGrid w:val="0"/>
        <w:spacing w:line="360" w:lineRule="auto"/>
        <w:ind w:firstLine="0" w:firstLineChars="0"/>
        <w:rPr>
          <w:rFonts w:hint="eastAsia"/>
          <w:sz w:val="28"/>
          <w:szCs w:val="28"/>
        </w:rPr>
      </w:pPr>
    </w:p>
    <w:tbl>
      <w:tblPr>
        <w:tblStyle w:val="5"/>
        <w:tblpPr w:leftFromText="180" w:rightFromText="180" w:vertAnchor="text" w:horzAnchor="page" w:tblpX="1450" w:tblpY="297"/>
        <w:tblOverlap w:val="never"/>
        <w:tblW w:w="9268" w:type="dxa"/>
        <w:tblInd w:w="0" w:type="dxa"/>
        <w:tblLayout w:type="fixed"/>
        <w:tblCellMar>
          <w:top w:w="0" w:type="dxa"/>
          <w:left w:w="108" w:type="dxa"/>
          <w:bottom w:w="0" w:type="dxa"/>
          <w:right w:w="108" w:type="dxa"/>
        </w:tblCellMar>
      </w:tblPr>
      <w:tblGrid>
        <w:gridCol w:w="4254"/>
        <w:gridCol w:w="567"/>
        <w:gridCol w:w="4447"/>
      </w:tblGrid>
      <w:tr>
        <w:tblPrEx>
          <w:tblCellMar>
            <w:top w:w="0" w:type="dxa"/>
            <w:left w:w="108" w:type="dxa"/>
            <w:bottom w:w="0" w:type="dxa"/>
            <w:right w:w="108" w:type="dxa"/>
          </w:tblCellMar>
        </w:tblPrEx>
        <w:trPr>
          <w:trHeight w:val="842" w:hRule="atLeast"/>
        </w:trPr>
        <w:tc>
          <w:tcPr>
            <w:tcW w:w="4254" w:type="dxa"/>
            <w:vAlign w:val="center"/>
          </w:tcPr>
          <w:p>
            <w:pPr>
              <w:spacing w:line="360" w:lineRule="auto"/>
              <w:jc w:val="left"/>
              <w:rPr>
                <w:rFonts w:hint="eastAsia" w:ascii="宋体" w:hAnsi="宋体"/>
                <w:sz w:val="28"/>
                <w:szCs w:val="28"/>
                <w:highlight w:val="none"/>
              </w:rPr>
            </w:pPr>
            <w:r>
              <w:rPr>
                <w:rFonts w:hint="eastAsia" w:ascii="宋体" w:hAnsi="宋体"/>
                <w:sz w:val="28"/>
                <w:szCs w:val="28"/>
                <w:highlight w:val="none"/>
                <w:lang w:eastAsia="zh-CN"/>
              </w:rPr>
              <w:t>甲　方：（盖公章）</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lang w:val="en-US" w:eastAsia="zh-CN"/>
              </w:rPr>
              <w:t>乙方</w:t>
            </w:r>
            <w:r>
              <w:rPr>
                <w:rFonts w:hint="eastAsia" w:ascii="宋体" w:hAnsi="宋体"/>
                <w:sz w:val="28"/>
                <w:szCs w:val="28"/>
                <w:highlight w:val="none"/>
              </w:rPr>
              <w:t>：（盖公章）</w:t>
            </w:r>
          </w:p>
        </w:tc>
      </w:tr>
      <w:tr>
        <w:tblPrEx>
          <w:tblCellMar>
            <w:top w:w="0" w:type="dxa"/>
            <w:left w:w="108" w:type="dxa"/>
            <w:bottom w:w="0" w:type="dxa"/>
            <w:right w:w="108" w:type="dxa"/>
          </w:tblCellMar>
        </w:tblPrEx>
        <w:trPr>
          <w:trHeight w:val="939" w:hRule="atLeast"/>
        </w:trPr>
        <w:tc>
          <w:tcPr>
            <w:tcW w:w="4254" w:type="dxa"/>
            <w:vAlign w:val="top"/>
          </w:tcPr>
          <w:p>
            <w:pPr>
              <w:spacing w:line="360" w:lineRule="auto"/>
              <w:jc w:val="left"/>
              <w:rPr>
                <w:rFonts w:hint="eastAsia" w:ascii="宋体" w:hAnsi="宋体"/>
                <w:sz w:val="28"/>
                <w:szCs w:val="28"/>
                <w:highlight w:val="none"/>
                <w:lang w:val="zh-CN" w:eastAsia="zh-CN"/>
              </w:rPr>
            </w:pPr>
            <w:r>
              <w:rPr>
                <w:rFonts w:hint="eastAsia" w:ascii="宋体" w:hAnsi="宋体"/>
                <w:sz w:val="28"/>
                <w:szCs w:val="28"/>
                <w:highlight w:val="none"/>
                <w:lang w:val="zh-CN" w:eastAsia="zh-CN"/>
              </w:rPr>
              <w:t>佛山市高明区水利投资建设有限公司</w:t>
            </w:r>
          </w:p>
          <w:p>
            <w:pPr>
              <w:widowControl/>
              <w:spacing w:line="360" w:lineRule="auto"/>
              <w:ind w:left="452" w:leftChars="0" w:hanging="452" w:firstLineChars="0"/>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p>
        </w:tc>
      </w:tr>
      <w:tr>
        <w:tblPrEx>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lang w:val="zh-CN" w:eastAsia="zh-CN"/>
              </w:rPr>
              <w:t>法定代表人</w:t>
            </w:r>
            <w:r>
              <w:rPr>
                <w:rFonts w:hint="eastAsia" w:ascii="宋体" w:hAnsi="宋体"/>
                <w:sz w:val="28"/>
                <w:szCs w:val="28"/>
                <w:highlight w:val="none"/>
                <w:lang w:val="en-US" w:eastAsia="zh-CN"/>
              </w:rPr>
              <w:t>(签名)</w:t>
            </w:r>
            <w:r>
              <w:rPr>
                <w:rFonts w:hint="eastAsia" w:ascii="宋体" w:hAnsi="宋体"/>
                <w:sz w:val="28"/>
                <w:szCs w:val="28"/>
                <w:highlight w:val="none"/>
                <w:lang w:val="zh-CN" w:eastAsia="zh-CN"/>
              </w:rPr>
              <w:t>：</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法定代表人(签</w:t>
            </w:r>
            <w:r>
              <w:rPr>
                <w:rFonts w:hint="eastAsia" w:ascii="宋体" w:hAnsi="宋体"/>
                <w:sz w:val="28"/>
                <w:szCs w:val="28"/>
                <w:highlight w:val="none"/>
                <w:lang w:eastAsia="zh-CN"/>
              </w:rPr>
              <w:t>字</w:t>
            </w:r>
            <w:r>
              <w:rPr>
                <w:rFonts w:hint="eastAsia" w:ascii="宋体" w:hAnsi="宋体"/>
                <w:sz w:val="28"/>
                <w:szCs w:val="28"/>
                <w:highlight w:val="none"/>
              </w:rPr>
              <w:t>):</w:t>
            </w:r>
          </w:p>
        </w:tc>
      </w:tr>
      <w:tr>
        <w:tblPrEx>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both"/>
              <w:rPr>
                <w:rFonts w:hint="eastAsia" w:ascii="宋体" w:hAnsi="宋体"/>
                <w:sz w:val="28"/>
                <w:szCs w:val="28"/>
                <w:highlight w:val="none"/>
              </w:rPr>
            </w:pPr>
            <w:r>
              <w:rPr>
                <w:rFonts w:hint="eastAsia" w:ascii="宋体" w:hAnsi="宋体"/>
                <w:sz w:val="28"/>
                <w:szCs w:val="28"/>
                <w:highlight w:val="none"/>
                <w:lang w:val="en-US" w:eastAsia="zh-CN"/>
              </w:rPr>
              <w:t>委托代理人</w:t>
            </w:r>
            <w:r>
              <w:rPr>
                <w:rFonts w:hint="eastAsia" w:ascii="宋体" w:hAnsi="宋体"/>
                <w:sz w:val="28"/>
                <w:szCs w:val="28"/>
                <w:highlight w:val="none"/>
                <w:lang w:val="zh-CN" w:eastAsia="zh-CN"/>
              </w:rPr>
              <w:t>(签名)</w:t>
            </w:r>
            <w:r>
              <w:rPr>
                <w:rFonts w:hint="eastAsia" w:ascii="宋体" w:hAnsi="宋体"/>
                <w:sz w:val="28"/>
                <w:szCs w:val="28"/>
                <w:highlight w:val="none"/>
                <w:lang w:val="en-US" w:eastAsia="zh-CN"/>
              </w:rPr>
              <w:t>：</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经办人（签</w:t>
            </w:r>
            <w:r>
              <w:rPr>
                <w:rFonts w:hint="eastAsia" w:ascii="宋体" w:hAnsi="宋体"/>
                <w:sz w:val="28"/>
                <w:szCs w:val="28"/>
                <w:highlight w:val="none"/>
                <w:lang w:eastAsia="zh-CN"/>
              </w:rPr>
              <w:t>字</w:t>
            </w:r>
            <w:r>
              <w:rPr>
                <w:rFonts w:hint="eastAsia" w:ascii="宋体" w:hAnsi="宋体"/>
                <w:sz w:val="28"/>
                <w:szCs w:val="28"/>
                <w:highlight w:val="none"/>
              </w:rPr>
              <w:t>）:</w:t>
            </w:r>
          </w:p>
        </w:tc>
      </w:tr>
      <w:tr>
        <w:tblPrEx>
          <w:tblCellMar>
            <w:top w:w="0" w:type="dxa"/>
            <w:left w:w="108" w:type="dxa"/>
            <w:bottom w:w="0" w:type="dxa"/>
            <w:right w:w="108" w:type="dxa"/>
          </w:tblCellMar>
        </w:tblPrEx>
        <w:trPr>
          <w:trHeight w:val="767" w:hRule="atLeast"/>
        </w:trPr>
        <w:tc>
          <w:tcPr>
            <w:tcW w:w="4254" w:type="dxa"/>
            <w:vAlign w:val="top"/>
          </w:tcPr>
          <w:p>
            <w:pPr>
              <w:widowControl/>
              <w:spacing w:line="360" w:lineRule="auto"/>
              <w:jc w:val="both"/>
              <w:rPr>
                <w:rFonts w:hint="eastAsia" w:ascii="宋体" w:hAnsi="宋体"/>
                <w:sz w:val="28"/>
                <w:szCs w:val="28"/>
                <w:highlight w:val="none"/>
              </w:rPr>
            </w:pPr>
            <w:r>
              <w:rPr>
                <w:rFonts w:hint="eastAsia" w:ascii="宋体" w:hAnsi="宋体"/>
                <w:sz w:val="28"/>
                <w:szCs w:val="28"/>
                <w:highlight w:val="none"/>
                <w:lang w:val="en-US" w:eastAsia="zh-CN"/>
              </w:rPr>
              <w:t>经办人(签名)：</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color w:val="auto"/>
                <w:sz w:val="28"/>
                <w:szCs w:val="28"/>
                <w:highlight w:val="none"/>
                <w:lang w:val="en-US" w:eastAsia="zh-CN"/>
              </w:rPr>
              <w:t>统一社会信用</w:t>
            </w:r>
            <w:r>
              <w:rPr>
                <w:rFonts w:hint="eastAsia" w:ascii="宋体" w:hAnsi="宋体"/>
                <w:color w:val="auto"/>
                <w:sz w:val="28"/>
                <w:szCs w:val="28"/>
                <w:highlight w:val="none"/>
              </w:rPr>
              <w:t>代码</w:t>
            </w:r>
            <w:r>
              <w:rPr>
                <w:rFonts w:hint="eastAsia" w:ascii="宋体" w:hAnsi="宋体"/>
                <w:color w:val="auto"/>
                <w:sz w:val="28"/>
                <w:szCs w:val="28"/>
                <w:highlight w:val="none"/>
                <w:lang w:eastAsia="zh-CN"/>
              </w:rPr>
              <w:t>：</w:t>
            </w:r>
          </w:p>
        </w:tc>
      </w:tr>
      <w:tr>
        <w:tblPrEx>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color w:val="auto"/>
                <w:sz w:val="28"/>
                <w:szCs w:val="28"/>
                <w:highlight w:val="none"/>
              </w:rPr>
            </w:pPr>
            <w:r>
              <w:rPr>
                <w:rFonts w:hint="eastAsia" w:ascii="宋体" w:hAnsi="宋体"/>
                <w:color w:val="auto"/>
                <w:sz w:val="28"/>
                <w:szCs w:val="28"/>
                <w:highlight w:val="none"/>
                <w:lang w:eastAsia="zh-CN"/>
              </w:rPr>
              <w:t>公司</w:t>
            </w:r>
            <w:r>
              <w:rPr>
                <w:rFonts w:hint="eastAsia" w:ascii="宋体" w:hAnsi="宋体"/>
                <w:color w:val="auto"/>
                <w:sz w:val="28"/>
                <w:szCs w:val="28"/>
                <w:highlight w:val="none"/>
              </w:rPr>
              <w:t>地址</w:t>
            </w:r>
            <w:r>
              <w:rPr>
                <w:rFonts w:hint="eastAsia" w:ascii="宋体" w:hAnsi="宋体"/>
                <w:color w:val="auto"/>
                <w:sz w:val="28"/>
                <w:szCs w:val="28"/>
                <w:highlight w:val="none"/>
                <w:lang w:eastAsia="zh-CN"/>
              </w:rPr>
              <w:t>：</w:t>
            </w:r>
          </w:p>
        </w:tc>
      </w:tr>
      <w:tr>
        <w:tblPrEx>
          <w:tblCellMar>
            <w:top w:w="0" w:type="dxa"/>
            <w:left w:w="108" w:type="dxa"/>
            <w:bottom w:w="0" w:type="dxa"/>
            <w:right w:w="108" w:type="dxa"/>
          </w:tblCellMar>
        </w:tblPrEx>
        <w:trPr>
          <w:trHeight w:val="812"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color w:val="auto"/>
                <w:sz w:val="28"/>
                <w:szCs w:val="28"/>
                <w:highlight w:val="none"/>
              </w:rPr>
            </w:pPr>
            <w:r>
              <w:rPr>
                <w:rFonts w:hint="eastAsia" w:ascii="宋体" w:hAnsi="宋体"/>
                <w:color w:val="auto"/>
                <w:sz w:val="28"/>
                <w:szCs w:val="28"/>
                <w:highlight w:val="none"/>
              </w:rPr>
              <w:t>邮政编码</w:t>
            </w:r>
            <w:r>
              <w:rPr>
                <w:rFonts w:hint="eastAsia" w:ascii="宋体" w:hAnsi="宋体"/>
                <w:color w:val="auto"/>
                <w:sz w:val="28"/>
                <w:szCs w:val="28"/>
                <w:highlight w:val="none"/>
                <w:lang w:eastAsia="zh-CN"/>
              </w:rPr>
              <w:t>：</w:t>
            </w:r>
          </w:p>
        </w:tc>
      </w:tr>
      <w:tr>
        <w:tblPrEx>
          <w:tblCellMar>
            <w:top w:w="0" w:type="dxa"/>
            <w:left w:w="108" w:type="dxa"/>
            <w:bottom w:w="0" w:type="dxa"/>
            <w:right w:w="108" w:type="dxa"/>
          </w:tblCellMar>
        </w:tblPrEx>
        <w:trPr>
          <w:trHeight w:val="842"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color w:val="auto"/>
                <w:sz w:val="28"/>
                <w:szCs w:val="28"/>
                <w:highlight w:val="none"/>
              </w:rPr>
            </w:pPr>
            <w:r>
              <w:rPr>
                <w:rFonts w:hint="eastAsia" w:ascii="宋体" w:hAnsi="宋体"/>
                <w:color w:val="auto"/>
                <w:sz w:val="28"/>
                <w:szCs w:val="28"/>
                <w:highlight w:val="none"/>
                <w:lang w:eastAsia="zh-CN"/>
              </w:rPr>
              <w:t>联系</w:t>
            </w:r>
            <w:r>
              <w:rPr>
                <w:rFonts w:hint="eastAsia" w:ascii="宋体" w:hAnsi="宋体"/>
                <w:color w:val="auto"/>
                <w:sz w:val="28"/>
                <w:szCs w:val="28"/>
                <w:highlight w:val="none"/>
              </w:rPr>
              <w:t>电话</w:t>
            </w:r>
            <w:r>
              <w:rPr>
                <w:rFonts w:hint="eastAsia" w:ascii="宋体" w:hAnsi="宋体"/>
                <w:color w:val="auto"/>
                <w:sz w:val="28"/>
                <w:szCs w:val="28"/>
                <w:highlight w:val="none"/>
                <w:lang w:eastAsia="zh-CN"/>
              </w:rPr>
              <w:t>：</w:t>
            </w:r>
          </w:p>
        </w:tc>
      </w:tr>
      <w:tr>
        <w:tblPrEx>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color w:val="auto"/>
                <w:sz w:val="28"/>
                <w:szCs w:val="28"/>
                <w:highlight w:val="none"/>
              </w:rPr>
            </w:pPr>
            <w:r>
              <w:rPr>
                <w:rFonts w:hint="eastAsia" w:ascii="宋体" w:hAnsi="宋体"/>
                <w:color w:val="auto"/>
                <w:sz w:val="28"/>
                <w:szCs w:val="28"/>
                <w:highlight w:val="none"/>
              </w:rPr>
              <w:t>电子信箱</w:t>
            </w:r>
            <w:r>
              <w:rPr>
                <w:rFonts w:hint="eastAsia" w:ascii="宋体" w:hAnsi="宋体"/>
                <w:color w:val="auto"/>
                <w:sz w:val="28"/>
                <w:szCs w:val="28"/>
                <w:highlight w:val="none"/>
                <w:lang w:eastAsia="zh-CN"/>
              </w:rPr>
              <w:t>：</w:t>
            </w:r>
          </w:p>
        </w:tc>
      </w:tr>
      <w:tr>
        <w:tblPrEx>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开户银行：</w:t>
            </w:r>
          </w:p>
        </w:tc>
      </w:tr>
      <w:tr>
        <w:tblPrEx>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帐户名称：</w:t>
            </w:r>
          </w:p>
        </w:tc>
      </w:tr>
      <w:tr>
        <w:tblPrEx>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 xml:space="preserve">银行帐号： </w:t>
            </w:r>
          </w:p>
        </w:tc>
      </w:tr>
    </w:tbl>
    <w:p>
      <w:pPr>
        <w:spacing w:line="360" w:lineRule="auto"/>
        <w:rPr>
          <w:rFonts w:hint="eastAsia" w:ascii="宋体" w:hAnsi="宋体" w:cs="宋体"/>
          <w:sz w:val="28"/>
          <w:szCs w:val="28"/>
        </w:rPr>
      </w:pPr>
    </w:p>
    <w:p>
      <w:pPr>
        <w:spacing w:line="360" w:lineRule="auto"/>
        <w:jc w:val="both"/>
        <w:rPr>
          <w:rFonts w:hint="eastAsia"/>
          <w:b/>
          <w:sz w:val="32"/>
          <w:highlight w:val="none"/>
        </w:rPr>
      </w:pPr>
      <w:r>
        <w:rPr>
          <w:rFonts w:hint="eastAsia" w:ascii="宋体" w:hAnsi="宋体"/>
          <w:sz w:val="28"/>
          <w:szCs w:val="28"/>
          <w:u w:val="single"/>
          <w:lang w:eastAsia="zh-CN"/>
        </w:rPr>
        <w:t>签订日期：</w:t>
      </w:r>
      <w:r>
        <w:rPr>
          <w:rFonts w:hint="eastAsia" w:ascii="宋体" w:hAnsi="宋体"/>
          <w:sz w:val="28"/>
          <w:szCs w:val="28"/>
          <w:u w:val="single"/>
          <w:lang w:val="en-US" w:eastAsia="zh-CN"/>
        </w:rPr>
        <w:t>2023年  月  日</w:t>
      </w:r>
    </w:p>
    <w:p>
      <w:pPr>
        <w:spacing w:line="360" w:lineRule="auto"/>
        <w:ind w:firstLine="3534" w:firstLineChars="1100"/>
        <w:jc w:val="both"/>
        <w:rPr>
          <w:rFonts w:hint="eastAsia"/>
          <w:b/>
          <w:sz w:val="32"/>
          <w:highlight w:val="none"/>
        </w:rPr>
      </w:pPr>
      <w:r>
        <w:rPr>
          <w:rFonts w:hint="eastAsia"/>
          <w:b/>
          <w:sz w:val="32"/>
          <w:highlight w:val="none"/>
        </w:rPr>
        <w:t>廉</w:t>
      </w:r>
      <w:r>
        <w:rPr>
          <w:b/>
          <w:sz w:val="32"/>
          <w:highlight w:val="none"/>
        </w:rPr>
        <w:t xml:space="preserve"> </w:t>
      </w:r>
      <w:r>
        <w:rPr>
          <w:rFonts w:hint="eastAsia"/>
          <w:b/>
          <w:sz w:val="32"/>
          <w:highlight w:val="none"/>
        </w:rPr>
        <w:t>政</w:t>
      </w:r>
      <w:r>
        <w:rPr>
          <w:b/>
          <w:sz w:val="32"/>
          <w:highlight w:val="none"/>
        </w:rPr>
        <w:t xml:space="preserve"> </w:t>
      </w:r>
      <w:r>
        <w:rPr>
          <w:rFonts w:hint="eastAsia"/>
          <w:b/>
          <w:sz w:val="32"/>
          <w:highlight w:val="none"/>
        </w:rPr>
        <w:t>合</w:t>
      </w:r>
      <w:r>
        <w:rPr>
          <w:b/>
          <w:sz w:val="32"/>
          <w:highlight w:val="none"/>
        </w:rPr>
        <w:t xml:space="preserve"> </w:t>
      </w:r>
      <w:r>
        <w:rPr>
          <w:rFonts w:hint="eastAsia"/>
          <w:b/>
          <w:sz w:val="32"/>
          <w:highlight w:val="none"/>
        </w:rPr>
        <w:t>同</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发包人</w:t>
      </w:r>
      <w:r>
        <w:rPr>
          <w:rFonts w:hint="eastAsia"/>
          <w:sz w:val="28"/>
          <w:szCs w:val="28"/>
          <w:highlight w:val="none"/>
          <w:lang w:val="en-US" w:eastAsia="zh-CN"/>
        </w:rPr>
        <w:t>:(</w:t>
      </w:r>
      <w:r>
        <w:rPr>
          <w:rFonts w:hint="eastAsia"/>
          <w:sz w:val="28"/>
          <w:szCs w:val="28"/>
          <w:highlight w:val="none"/>
        </w:rPr>
        <w:t>全称</w:t>
      </w:r>
      <w:r>
        <w:rPr>
          <w:rFonts w:hint="eastAsia"/>
          <w:sz w:val="28"/>
          <w:szCs w:val="28"/>
          <w:highlight w:val="none"/>
          <w:lang w:val="en-US" w:eastAsia="zh-CN"/>
        </w:rPr>
        <w:t xml:space="preserve">) </w:t>
      </w:r>
      <w:r>
        <w:rPr>
          <w:rFonts w:hint="eastAsia"/>
          <w:sz w:val="28"/>
          <w:szCs w:val="28"/>
          <w:highlight w:val="none"/>
          <w:u w:val="single"/>
          <w:lang w:eastAsia="zh-CN"/>
        </w:rPr>
        <w:t>佛山市高明区水利投资建设有限公司</w:t>
      </w:r>
      <w:r>
        <w:rPr>
          <w:rFonts w:hint="eastAsia"/>
          <w:sz w:val="28"/>
          <w:szCs w:val="28"/>
          <w:highlight w:val="none"/>
          <w:u w:val="single"/>
          <w:lang w:val="en-US" w:eastAsia="zh-CN"/>
        </w:rPr>
        <w:t xml:space="preserve"> </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承包人</w:t>
      </w:r>
      <w:r>
        <w:rPr>
          <w:rFonts w:hint="eastAsia"/>
          <w:sz w:val="28"/>
          <w:szCs w:val="28"/>
          <w:highlight w:val="none"/>
          <w:lang w:val="en-US" w:eastAsia="zh-CN"/>
        </w:rPr>
        <w:t>:(</w:t>
      </w:r>
      <w:r>
        <w:rPr>
          <w:rFonts w:hint="eastAsia"/>
          <w:sz w:val="28"/>
          <w:szCs w:val="28"/>
          <w:highlight w:val="none"/>
        </w:rPr>
        <w:t>全称</w:t>
      </w:r>
      <w:r>
        <w:rPr>
          <w:rFonts w:hint="eastAsia"/>
          <w:sz w:val="28"/>
          <w:szCs w:val="28"/>
          <w:highlight w:val="none"/>
          <w:lang w:val="en-US" w:eastAsia="zh-CN"/>
        </w:rPr>
        <w:t xml:space="preserve">) </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根据国家、省工程建设和廉政建设的有关规定，为做好合同工程的廉政建设，保证工程质量与施工安全，提高建设资金的有效使用和投资效益，发包人承包人就加强合同工程的廉政建设，订立本合同。</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b/>
          <w:bCs/>
          <w:sz w:val="28"/>
          <w:szCs w:val="28"/>
          <w:highlight w:val="none"/>
        </w:rPr>
      </w:pPr>
      <w:r>
        <w:rPr>
          <w:rFonts w:hint="eastAsia"/>
          <w:b/>
          <w:bCs/>
          <w:sz w:val="28"/>
          <w:szCs w:val="28"/>
          <w:highlight w:val="none"/>
        </w:rPr>
        <w:t>1 双方权利和义务</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1.1 严格遵守国家有关法律法规的规定。</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1.2 严格执行一切合同文件，自觉按合同办事。</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1.3 双方的业务活动坚持公平、公开、公正和诚信的原则（法律认定的商业秘密和合同文件另有规定除外），不得损害国家和集体利益，不得违反工程建设管理规章制度。</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1.4 建立健全廉政制度，开展廉政教育，设立廉政告示牌，公布举报电话，监督并认真查处违法违纪行为。</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1.5 发现对方在业务活动中有违反廉政建设规定的行为，应及时给予提醒和纠正。</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1.6 发现对方严重违反合同的行为，有向其上级部门举报、建议给予处理并要求告知处理结果的权利。</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b/>
          <w:bCs/>
          <w:sz w:val="28"/>
          <w:szCs w:val="28"/>
          <w:highlight w:val="none"/>
        </w:rPr>
      </w:pPr>
      <w:r>
        <w:rPr>
          <w:rFonts w:hint="eastAsia"/>
          <w:b/>
          <w:bCs/>
          <w:sz w:val="28"/>
          <w:szCs w:val="28"/>
          <w:highlight w:val="none"/>
        </w:rPr>
        <w:t>2 发包人义务</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2.1 发包人及其工作人员不得索要或接受承包人的礼金、有价证券和贵重物品，不得在承包人报销任何应由发包人或工作人员个人支付的费用等。</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2.2 发包人及其工作人员不得参加承包人安排的宴请（工作餐除外）和娱乐活动；不得接受承包人提供的通讯工具、交通工具和高档办公用品等。</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2.3 发包人及其工作人员不得要求或者接受承包人为其住房装修、婚丧嫁娶活动、配偶子女的工作安排以及出国出境、旅游等提供方便等。</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2.4 发包人及其工作人员及其配偶、子女不得从事与发包人有关的工程材料设备供应、工程分包、劳务等经济活动。</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2.5 发包人及其工作人员不得以任何理由向承包人推荐分包单位或推销材料，不得要求承包人购买合同约定外的材料和设备。</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2.6 发包人及其工作人员要秉公办事，不准营私舞弊，不准利用职权从事各种个人有偿中介活动和安排个人施工队伍。</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b/>
          <w:bCs/>
          <w:sz w:val="28"/>
          <w:szCs w:val="28"/>
          <w:highlight w:val="none"/>
        </w:rPr>
      </w:pPr>
      <w:r>
        <w:rPr>
          <w:rFonts w:hint="eastAsia"/>
          <w:b/>
          <w:bCs/>
          <w:sz w:val="28"/>
          <w:szCs w:val="28"/>
          <w:highlight w:val="none"/>
        </w:rPr>
        <w:t>3 承包人义务</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3.1 承包人不得以任何理由向发包人及其工作人员行贿或馈赠礼金、有价证券、贵重礼品。</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3.2 承包人不得以任何名义为发包人及其工作人员报销应由发包人或工作人员个人支付的任何费用。</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3.3 承包人不得以任何理由安排发包人及其工作人员参加宴请（工作餐除外）及娱乐活动。</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3.4 承包人不得为发包人和个人购置或提供通讯工具、交通工具和高档办公用品等。</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b/>
          <w:bCs/>
          <w:sz w:val="28"/>
          <w:szCs w:val="28"/>
          <w:highlight w:val="none"/>
        </w:rPr>
      </w:pPr>
      <w:r>
        <w:rPr>
          <w:rFonts w:hint="eastAsia"/>
          <w:b/>
          <w:bCs/>
          <w:sz w:val="28"/>
          <w:szCs w:val="28"/>
          <w:highlight w:val="none"/>
        </w:rPr>
        <w:t>4 违约责任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4.1 发包人及其工作人员违反本合同第1条和第2条规定，应依据有关规定给予廉政建设规定的处分；涉嫌犯罪的，移交司法机关追究刑事责任；给承包人造成经济损失的，应予赔偿。</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4.2 承包人及其工作人员违反本合同第1条和第3条规定，应依据有关规定给予廉政建设规定的处分；给发包人造成经济损失的，应予赔偿；情节严重的，给予承包人一至三年内不得进入工程建设市场的处罚。</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b/>
          <w:bCs/>
          <w:sz w:val="28"/>
          <w:szCs w:val="28"/>
          <w:highlight w:val="none"/>
        </w:rPr>
      </w:pPr>
      <w:r>
        <w:rPr>
          <w:rFonts w:hint="eastAsia"/>
          <w:b/>
          <w:bCs/>
          <w:sz w:val="28"/>
          <w:szCs w:val="28"/>
          <w:highlight w:val="none"/>
          <w:lang w:val="en-US" w:eastAsia="zh-CN"/>
        </w:rPr>
        <w:t xml:space="preserve">5 </w:t>
      </w:r>
      <w:r>
        <w:rPr>
          <w:rFonts w:hint="eastAsia"/>
          <w:b/>
          <w:bCs/>
          <w:sz w:val="28"/>
          <w:szCs w:val="28"/>
          <w:highlight w:val="none"/>
        </w:rPr>
        <w:t>双方约定</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本合同由双方或其上级部门负责监督执行，并由双方或其上级部门相互约请对本合同执行情况进行检查。</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b/>
          <w:bCs/>
          <w:sz w:val="28"/>
          <w:szCs w:val="28"/>
          <w:highlight w:val="none"/>
          <w:lang w:val="en-US" w:eastAsia="zh-CN"/>
        </w:rPr>
      </w:pPr>
      <w:r>
        <w:rPr>
          <w:rFonts w:hint="eastAsia"/>
          <w:b/>
          <w:bCs/>
          <w:sz w:val="28"/>
          <w:szCs w:val="28"/>
          <w:highlight w:val="none"/>
          <w:lang w:val="en-US" w:eastAsia="zh-CN"/>
        </w:rPr>
        <w:t>6 合同生效</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本合同的有效期，自双方签署之日起至</w:t>
      </w:r>
      <w:r>
        <w:rPr>
          <w:rFonts w:hint="eastAsia"/>
          <w:sz w:val="28"/>
          <w:szCs w:val="28"/>
          <w:highlight w:val="none"/>
          <w:lang w:eastAsia="zh-CN"/>
        </w:rPr>
        <w:t>服务合同终止</w:t>
      </w:r>
      <w:r>
        <w:rPr>
          <w:rFonts w:hint="eastAsia"/>
          <w:sz w:val="28"/>
          <w:szCs w:val="28"/>
          <w:highlight w:val="none"/>
        </w:rPr>
        <w:t>之日止。</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b/>
          <w:bCs/>
          <w:sz w:val="28"/>
          <w:szCs w:val="28"/>
          <w:highlight w:val="none"/>
          <w:lang w:val="en-US" w:eastAsia="zh-CN"/>
        </w:rPr>
      </w:pPr>
      <w:r>
        <w:rPr>
          <w:rFonts w:hint="eastAsia"/>
          <w:b/>
          <w:bCs/>
          <w:sz w:val="28"/>
          <w:szCs w:val="28"/>
          <w:highlight w:val="none"/>
          <w:lang w:val="en-US" w:eastAsia="zh-CN"/>
        </w:rPr>
        <w:t>7 合同法律效力</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本合同作为</w:t>
      </w:r>
      <w:r>
        <w:rPr>
          <w:rFonts w:hint="eastAsia"/>
          <w:sz w:val="28"/>
          <w:szCs w:val="28"/>
          <w:highlight w:val="none"/>
          <w:u w:val="single"/>
          <w:lang w:val="en-US" w:eastAsia="zh-CN"/>
        </w:rPr>
        <w:t>佛山市高明区西坑水库除险加固工程白蚁防治</w:t>
      </w:r>
      <w:r>
        <w:rPr>
          <w:rFonts w:hint="eastAsia"/>
          <w:sz w:val="28"/>
          <w:szCs w:val="28"/>
          <w:highlight w:val="none"/>
          <w:u w:val="single"/>
        </w:rPr>
        <w:t>合同</w:t>
      </w:r>
      <w:r>
        <w:rPr>
          <w:rFonts w:hint="eastAsia"/>
          <w:sz w:val="28"/>
          <w:szCs w:val="28"/>
          <w:highlight w:val="none"/>
        </w:rPr>
        <w:t>的附件，与</w:t>
      </w:r>
      <w:r>
        <w:rPr>
          <w:rFonts w:hint="eastAsia"/>
          <w:sz w:val="28"/>
          <w:szCs w:val="28"/>
          <w:highlight w:val="none"/>
          <w:lang w:eastAsia="zh-CN"/>
        </w:rPr>
        <w:t>本项目</w:t>
      </w:r>
      <w:r>
        <w:rPr>
          <w:rFonts w:hint="eastAsia"/>
          <w:sz w:val="28"/>
          <w:szCs w:val="28"/>
          <w:highlight w:val="none"/>
        </w:rPr>
        <w:t>合同具有同等的法律效力，经双方签署后生效。</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bookmarkStart w:id="0" w:name="_GoBack"/>
      <w:bookmarkEnd w:id="0"/>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p>
    <w:p>
      <w:pPr>
        <w:pStyle w:val="9"/>
        <w:keepNext w:val="0"/>
        <w:keepLines w:val="0"/>
        <w:pageBreakBefore w:val="0"/>
        <w:kinsoku/>
        <w:wordWrap/>
        <w:overflowPunct/>
        <w:topLinePunct w:val="0"/>
        <w:autoSpaceDE/>
        <w:autoSpaceDN/>
        <w:bidi w:val="0"/>
        <w:adjustRightInd/>
        <w:snapToGrid w:val="0"/>
        <w:spacing w:line="360" w:lineRule="auto"/>
        <w:ind w:left="0" w:leftChars="0" w:right="-569" w:rightChars="-271" w:firstLine="0" w:firstLineChars="0"/>
        <w:rPr>
          <w:rFonts w:hint="eastAsia"/>
          <w:sz w:val="28"/>
          <w:szCs w:val="28"/>
          <w:highlight w:val="none"/>
        </w:rPr>
      </w:pPr>
      <w:r>
        <w:rPr>
          <w:rFonts w:hint="eastAsia"/>
          <w:sz w:val="28"/>
          <w:szCs w:val="28"/>
          <w:highlight w:val="none"/>
        </w:rPr>
        <w:t>发包人：（公章）             承包人：（公章）</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p>
    <w:p>
      <w:pPr>
        <w:pStyle w:val="9"/>
        <w:keepNext w:val="0"/>
        <w:keepLines w:val="0"/>
        <w:pageBreakBefore w:val="0"/>
        <w:kinsoku/>
        <w:wordWrap/>
        <w:overflowPunct/>
        <w:topLinePunct w:val="0"/>
        <w:autoSpaceDE/>
        <w:autoSpaceDN/>
        <w:bidi w:val="0"/>
        <w:adjustRightInd/>
        <w:snapToGrid w:val="0"/>
        <w:spacing w:line="360" w:lineRule="auto"/>
        <w:ind w:left="0" w:leftChars="0" w:right="-569" w:rightChars="-271" w:firstLine="0" w:firstLineChars="0"/>
        <w:rPr>
          <w:rFonts w:hint="eastAsia"/>
          <w:sz w:val="28"/>
          <w:szCs w:val="28"/>
          <w:highlight w:val="none"/>
        </w:rPr>
      </w:pPr>
      <w:r>
        <w:rPr>
          <w:rFonts w:hint="eastAsia"/>
          <w:sz w:val="28"/>
          <w:szCs w:val="28"/>
          <w:highlight w:val="none"/>
        </w:rPr>
        <w:t xml:space="preserve">法定代表人(签名)：            法定代表人或委托代理人(签名）：     </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default"/>
          <w:sz w:val="28"/>
          <w:szCs w:val="28"/>
          <w:highlight w:val="none"/>
          <w:lang w:val="en-US" w:eastAsia="zh-CN"/>
        </w:rPr>
      </w:pPr>
      <w:r>
        <w:rPr>
          <w:rFonts w:hint="eastAsia"/>
          <w:sz w:val="28"/>
          <w:szCs w:val="28"/>
          <w:highlight w:val="none"/>
          <w:lang w:val="en-US" w:eastAsia="zh-CN"/>
        </w:rPr>
        <w:t xml:space="preserve">                                                    </w:t>
      </w:r>
    </w:p>
    <w:p>
      <w:pPr>
        <w:pStyle w:val="9"/>
        <w:keepNext w:val="0"/>
        <w:keepLines w:val="0"/>
        <w:pageBreakBefore w:val="0"/>
        <w:kinsoku/>
        <w:wordWrap/>
        <w:overflowPunct/>
        <w:topLinePunct w:val="0"/>
        <w:autoSpaceDE/>
        <w:autoSpaceDN/>
        <w:bidi w:val="0"/>
        <w:adjustRightInd/>
        <w:snapToGrid w:val="0"/>
        <w:spacing w:line="360" w:lineRule="auto"/>
        <w:ind w:left="0" w:leftChars="0" w:right="-569" w:rightChars="-271" w:firstLine="0" w:firstLineChars="0"/>
        <w:rPr>
          <w:rFonts w:hint="eastAsia"/>
          <w:sz w:val="28"/>
          <w:szCs w:val="28"/>
          <w:highlight w:val="none"/>
        </w:rPr>
      </w:pPr>
      <w:r>
        <w:rPr>
          <w:rFonts w:hint="eastAsia"/>
          <w:sz w:val="28"/>
          <w:szCs w:val="28"/>
          <w:highlight w:val="none"/>
        </w:rPr>
        <w:t>委托代理人 (签名)</w:t>
      </w:r>
      <w:r>
        <w:rPr>
          <w:rFonts w:hint="eastAsia"/>
          <w:sz w:val="28"/>
          <w:szCs w:val="28"/>
          <w:highlight w:val="none"/>
          <w:lang w:eastAsia="zh-CN"/>
        </w:rPr>
        <w:t>：</w:t>
      </w:r>
      <w:r>
        <w:rPr>
          <w:rFonts w:hint="eastAsia"/>
          <w:sz w:val="28"/>
          <w:szCs w:val="28"/>
          <w:highlight w:val="none"/>
        </w:rPr>
        <w:t xml:space="preserve">                                   </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p>
    <w:p>
      <w:pPr>
        <w:pStyle w:val="9"/>
        <w:keepNext w:val="0"/>
        <w:keepLines w:val="0"/>
        <w:pageBreakBefore w:val="0"/>
        <w:kinsoku/>
        <w:wordWrap/>
        <w:overflowPunct/>
        <w:topLinePunct w:val="0"/>
        <w:autoSpaceDE/>
        <w:autoSpaceDN/>
        <w:bidi w:val="0"/>
        <w:adjustRightInd/>
        <w:snapToGrid w:val="0"/>
        <w:spacing w:line="360" w:lineRule="auto"/>
        <w:ind w:left="0" w:leftChars="0" w:right="-569" w:rightChars="-271" w:firstLine="0" w:firstLineChars="0"/>
        <w:rPr>
          <w:rFonts w:hint="eastAsia"/>
          <w:sz w:val="28"/>
          <w:szCs w:val="28"/>
          <w:highlight w:val="none"/>
          <w:lang w:val="en-US" w:eastAsia="zh-CN"/>
        </w:rPr>
      </w:pPr>
      <w:r>
        <w:rPr>
          <w:rFonts w:hint="eastAsia"/>
          <w:sz w:val="28"/>
          <w:szCs w:val="28"/>
          <w:highlight w:val="none"/>
        </w:rPr>
        <w:t>经办人(签名)：                经办人(签名)：</w:t>
      </w:r>
      <w:r>
        <w:rPr>
          <w:rFonts w:hint="eastAsia"/>
          <w:sz w:val="28"/>
          <w:szCs w:val="28"/>
          <w:highlight w:val="none"/>
          <w:lang w:val="en-US" w:eastAsia="zh-CN"/>
        </w:rPr>
        <w:t xml:space="preserve">  </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 xml:space="preserve">                                        </w:t>
      </w:r>
    </w:p>
    <w:p>
      <w:pPr>
        <w:tabs>
          <w:tab w:val="left" w:pos="525"/>
          <w:tab w:val="left" w:pos="1155"/>
        </w:tabs>
        <w:spacing w:line="360" w:lineRule="auto"/>
        <w:ind w:left="-420" w:leftChars="-200" w:firstLine="420" w:firstLineChars="175"/>
        <w:rPr>
          <w:rFonts w:hint="eastAsia" w:eastAsia="宋体"/>
          <w:sz w:val="28"/>
          <w:szCs w:val="28"/>
          <w:lang w:eastAsia="zh-CN"/>
        </w:rPr>
      </w:pPr>
      <w:r>
        <w:rPr>
          <w:rFonts w:hint="eastAsia" w:ascii="宋体" w:hAnsi="宋体"/>
          <w:sz w:val="24"/>
          <w:highlight w:val="none"/>
          <w:u w:val="single"/>
          <w:lang w:val="en-US" w:eastAsia="zh-CN"/>
        </w:rPr>
        <w:t xml:space="preserve">               </w:t>
      </w: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ind w:left="-840" w:leftChars="-400" w:firstLine="0" w:firstLineChars="0"/>
        <w:contextualSpacing/>
        <w:rPr>
          <w:rFonts w:hint="eastAsia" w:ascii="Calibri" w:hAnsi="Calibri" w:eastAsia="宋体" w:cs="Times New Roman"/>
          <w:kern w:val="2"/>
          <w:sz w:val="28"/>
          <w:szCs w:val="28"/>
          <w:lang w:val="en-US" w:eastAsia="zh-CN" w:bidi="ar-SA"/>
        </w:rPr>
      </w:pPr>
    </w:p>
    <w:p>
      <w:pPr>
        <w:rPr>
          <w:rFonts w:hint="eastAsia" w:ascii="Calibri" w:hAnsi="Calibri" w:eastAsia="宋体" w:cs="Times New Roman"/>
          <w:kern w:val="2"/>
          <w:sz w:val="28"/>
          <w:szCs w:val="28"/>
          <w:lang w:val="en-US" w:eastAsia="zh-CN" w:bidi="ar-SA"/>
        </w:rPr>
      </w:pPr>
    </w:p>
    <w:p>
      <w:pPr>
        <w:tabs>
          <w:tab w:val="left" w:pos="780"/>
        </w:tabs>
        <w:jc w:val="left"/>
        <w:rPr>
          <w:rFonts w:hint="eastAsia" w:cs="Times New Roman"/>
          <w:kern w:val="2"/>
          <w:sz w:val="28"/>
          <w:szCs w:val="28"/>
          <w:lang w:val="en-US" w:eastAsia="zh-CN" w:bidi="ar-SA"/>
        </w:rPr>
      </w:pPr>
      <w:r>
        <w:rPr>
          <w:rFonts w:hint="eastAsia" w:cs="Times New Roman"/>
          <w:kern w:val="2"/>
          <w:sz w:val="28"/>
          <w:szCs w:val="28"/>
          <w:lang w:val="en-US" w:eastAsia="zh-CN" w:bidi="ar-SA"/>
        </w:rPr>
        <w:tab/>
      </w:r>
    </w:p>
    <w:p>
      <w:pPr>
        <w:tabs>
          <w:tab w:val="left" w:pos="780"/>
        </w:tabs>
        <w:jc w:val="left"/>
        <w:rPr>
          <w:rFonts w:hint="eastAsia" w:cs="Times New Roman"/>
          <w:kern w:val="2"/>
          <w:sz w:val="28"/>
          <w:szCs w:val="28"/>
          <w:lang w:val="en-US" w:eastAsia="zh-CN" w:bidi="ar-SA"/>
        </w:rPr>
      </w:pPr>
    </w:p>
    <w:p>
      <w:pPr>
        <w:tabs>
          <w:tab w:val="left" w:pos="780"/>
        </w:tabs>
        <w:jc w:val="left"/>
        <w:rPr>
          <w:rFonts w:hint="eastAsia" w:cs="Times New Roman"/>
          <w:kern w:val="2"/>
          <w:sz w:val="28"/>
          <w:szCs w:val="28"/>
          <w:lang w:val="en-US" w:eastAsia="zh-CN" w:bidi="ar-SA"/>
        </w:rPr>
      </w:pPr>
    </w:p>
    <w:sectPr>
      <w:footerReference r:id="rId5" w:type="default"/>
      <w:pgSz w:w="11850" w:h="16783"/>
      <w:pgMar w:top="1440" w:right="1803" w:bottom="1440" w:left="1803" w:header="851" w:footer="992" w:gutter="0"/>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E63C2"/>
    <w:multiLevelType w:val="multilevel"/>
    <w:tmpl w:val="0A0E63C2"/>
    <w:lvl w:ilvl="0" w:tentative="0">
      <w:start w:val="1"/>
      <w:numFmt w:val="japaneseCounting"/>
      <w:lvlText w:val="%1、"/>
      <w:lvlJc w:val="left"/>
      <w:pPr>
        <w:tabs>
          <w:tab w:val="left" w:pos="420"/>
        </w:tabs>
        <w:ind w:left="420" w:hanging="420"/>
      </w:pPr>
      <w:rPr>
        <w:rFonts w:ascii="Calibri" w:hAnsi="Calibri" w:eastAsia="宋体"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2356"/>
        </w:tabs>
        <w:ind w:left="1984" w:hanging="708"/>
      </w:pPr>
      <w:rPr>
        <w:rFonts w:cs="Times New Roman"/>
      </w:rPr>
    </w:lvl>
    <w:lvl w:ilvl="4" w:tentative="0">
      <w:start w:val="1"/>
      <w:numFmt w:val="decimal"/>
      <w:lvlText w:val="%1.%2.%3.%4.%5"/>
      <w:lvlJc w:val="left"/>
      <w:pPr>
        <w:tabs>
          <w:tab w:val="left" w:pos="2781"/>
        </w:tabs>
        <w:ind w:left="2551" w:hanging="850"/>
      </w:pPr>
      <w:rPr>
        <w:rFonts w:cs="Times New Roman"/>
      </w:rPr>
    </w:lvl>
    <w:lvl w:ilvl="5" w:tentative="0">
      <w:start w:val="1"/>
      <w:numFmt w:val="decimal"/>
      <w:lvlText w:val="%1.%2.%3.%4.%5.%6"/>
      <w:lvlJc w:val="left"/>
      <w:pPr>
        <w:tabs>
          <w:tab w:val="left" w:pos="3566"/>
        </w:tabs>
        <w:ind w:left="3260" w:hanging="1134"/>
      </w:pPr>
      <w:rPr>
        <w:rFonts w:cs="Times New Roman"/>
      </w:rPr>
    </w:lvl>
    <w:lvl w:ilvl="6" w:tentative="0">
      <w:start w:val="1"/>
      <w:numFmt w:val="decimal"/>
      <w:lvlText w:val="%1.%2.%3.%4.%5.%6.%7"/>
      <w:lvlJc w:val="left"/>
      <w:pPr>
        <w:tabs>
          <w:tab w:val="left" w:pos="3991"/>
        </w:tabs>
        <w:ind w:left="3827" w:hanging="1276"/>
      </w:pPr>
      <w:rPr>
        <w:rFonts w:cs="Times New Roman"/>
      </w:rPr>
    </w:lvl>
    <w:lvl w:ilvl="7" w:tentative="0">
      <w:start w:val="1"/>
      <w:numFmt w:val="decimal"/>
      <w:lvlText w:val="%1.%2.%3.%4.%5.%6.%7.%8"/>
      <w:lvlJc w:val="left"/>
      <w:pPr>
        <w:tabs>
          <w:tab w:val="left" w:pos="4776"/>
        </w:tabs>
        <w:ind w:left="4394" w:hanging="1418"/>
      </w:pPr>
      <w:rPr>
        <w:rFonts w:cs="Times New Roman"/>
      </w:rPr>
    </w:lvl>
    <w:lvl w:ilvl="8" w:tentative="0">
      <w:start w:val="1"/>
      <w:numFmt w:val="decimal"/>
      <w:lvlText w:val="%1.%2.%3.%4.%5.%6.%7.%8.%9"/>
      <w:lvlJc w:val="left"/>
      <w:pPr>
        <w:tabs>
          <w:tab w:val="left" w:pos="5562"/>
        </w:tabs>
        <w:ind w:left="5102" w:hanging="17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2U2MmI5NzBhNGZmMzViMWNlMWFhZDc2MjE4OWYifQ=="/>
  </w:docVars>
  <w:rsids>
    <w:rsidRoot w:val="00C16E59"/>
    <w:rsid w:val="00012567"/>
    <w:rsid w:val="00014AD3"/>
    <w:rsid w:val="0004700F"/>
    <w:rsid w:val="00056029"/>
    <w:rsid w:val="0006096D"/>
    <w:rsid w:val="00062D32"/>
    <w:rsid w:val="00096F22"/>
    <w:rsid w:val="000C12D1"/>
    <w:rsid w:val="000D1136"/>
    <w:rsid w:val="00104575"/>
    <w:rsid w:val="00105391"/>
    <w:rsid w:val="00111F83"/>
    <w:rsid w:val="001151C8"/>
    <w:rsid w:val="00125D55"/>
    <w:rsid w:val="00130376"/>
    <w:rsid w:val="0013730F"/>
    <w:rsid w:val="00143700"/>
    <w:rsid w:val="00144167"/>
    <w:rsid w:val="001464DA"/>
    <w:rsid w:val="0016557F"/>
    <w:rsid w:val="00190A2B"/>
    <w:rsid w:val="00194D18"/>
    <w:rsid w:val="00197302"/>
    <w:rsid w:val="001A23E1"/>
    <w:rsid w:val="001B1A7E"/>
    <w:rsid w:val="0022651B"/>
    <w:rsid w:val="00232B86"/>
    <w:rsid w:val="00236E60"/>
    <w:rsid w:val="0025783A"/>
    <w:rsid w:val="00260386"/>
    <w:rsid w:val="00261B56"/>
    <w:rsid w:val="00273A36"/>
    <w:rsid w:val="00286847"/>
    <w:rsid w:val="00287BE7"/>
    <w:rsid w:val="00297710"/>
    <w:rsid w:val="002A1F83"/>
    <w:rsid w:val="002A7652"/>
    <w:rsid w:val="002A7EE1"/>
    <w:rsid w:val="002C252B"/>
    <w:rsid w:val="002D2164"/>
    <w:rsid w:val="002F1DB9"/>
    <w:rsid w:val="00303F01"/>
    <w:rsid w:val="00303FB3"/>
    <w:rsid w:val="00321E28"/>
    <w:rsid w:val="00347ADA"/>
    <w:rsid w:val="00355752"/>
    <w:rsid w:val="00362466"/>
    <w:rsid w:val="00362BD1"/>
    <w:rsid w:val="003637BE"/>
    <w:rsid w:val="00364A8D"/>
    <w:rsid w:val="00376D40"/>
    <w:rsid w:val="00382471"/>
    <w:rsid w:val="00387447"/>
    <w:rsid w:val="003D046F"/>
    <w:rsid w:val="003D3227"/>
    <w:rsid w:val="003D4E70"/>
    <w:rsid w:val="00412689"/>
    <w:rsid w:val="004237F6"/>
    <w:rsid w:val="004253A8"/>
    <w:rsid w:val="004303D2"/>
    <w:rsid w:val="00435950"/>
    <w:rsid w:val="004449EC"/>
    <w:rsid w:val="00454571"/>
    <w:rsid w:val="00461931"/>
    <w:rsid w:val="00486FCF"/>
    <w:rsid w:val="00492A1D"/>
    <w:rsid w:val="00493187"/>
    <w:rsid w:val="00496424"/>
    <w:rsid w:val="004A559F"/>
    <w:rsid w:val="004C5833"/>
    <w:rsid w:val="005313F8"/>
    <w:rsid w:val="00532880"/>
    <w:rsid w:val="005455A1"/>
    <w:rsid w:val="005521CB"/>
    <w:rsid w:val="00555530"/>
    <w:rsid w:val="00561E63"/>
    <w:rsid w:val="00564268"/>
    <w:rsid w:val="00590F51"/>
    <w:rsid w:val="005A2236"/>
    <w:rsid w:val="005C287F"/>
    <w:rsid w:val="005C79AF"/>
    <w:rsid w:val="005D189D"/>
    <w:rsid w:val="005E2900"/>
    <w:rsid w:val="005E7F22"/>
    <w:rsid w:val="00620282"/>
    <w:rsid w:val="00656311"/>
    <w:rsid w:val="00680941"/>
    <w:rsid w:val="00693DC8"/>
    <w:rsid w:val="006A5B4D"/>
    <w:rsid w:val="006B7EED"/>
    <w:rsid w:val="006F1B35"/>
    <w:rsid w:val="006F1E7D"/>
    <w:rsid w:val="006F3E60"/>
    <w:rsid w:val="006F5C6E"/>
    <w:rsid w:val="00700AFA"/>
    <w:rsid w:val="007363F2"/>
    <w:rsid w:val="007419AF"/>
    <w:rsid w:val="00744108"/>
    <w:rsid w:val="007804F8"/>
    <w:rsid w:val="007818DB"/>
    <w:rsid w:val="00784B89"/>
    <w:rsid w:val="00784C90"/>
    <w:rsid w:val="00790E43"/>
    <w:rsid w:val="007A79EA"/>
    <w:rsid w:val="007B6CDB"/>
    <w:rsid w:val="007C0B1D"/>
    <w:rsid w:val="007E343E"/>
    <w:rsid w:val="007F10FA"/>
    <w:rsid w:val="0080115E"/>
    <w:rsid w:val="00802012"/>
    <w:rsid w:val="008057F9"/>
    <w:rsid w:val="00810401"/>
    <w:rsid w:val="00815F6A"/>
    <w:rsid w:val="008565A2"/>
    <w:rsid w:val="008605FA"/>
    <w:rsid w:val="00872EEB"/>
    <w:rsid w:val="00887798"/>
    <w:rsid w:val="00892631"/>
    <w:rsid w:val="008A58CA"/>
    <w:rsid w:val="008A6EB4"/>
    <w:rsid w:val="008B0273"/>
    <w:rsid w:val="008B2B24"/>
    <w:rsid w:val="008B7E95"/>
    <w:rsid w:val="008C43B6"/>
    <w:rsid w:val="008D3AC1"/>
    <w:rsid w:val="008F01CF"/>
    <w:rsid w:val="008F11DE"/>
    <w:rsid w:val="008F5F15"/>
    <w:rsid w:val="008F75AB"/>
    <w:rsid w:val="00911624"/>
    <w:rsid w:val="00911975"/>
    <w:rsid w:val="00925F53"/>
    <w:rsid w:val="00941026"/>
    <w:rsid w:val="00947B17"/>
    <w:rsid w:val="00973264"/>
    <w:rsid w:val="00980073"/>
    <w:rsid w:val="009B7DA4"/>
    <w:rsid w:val="009D5491"/>
    <w:rsid w:val="009D6D99"/>
    <w:rsid w:val="009E6102"/>
    <w:rsid w:val="009F295F"/>
    <w:rsid w:val="009F79E8"/>
    <w:rsid w:val="00A02A9A"/>
    <w:rsid w:val="00A55095"/>
    <w:rsid w:val="00A74D71"/>
    <w:rsid w:val="00A7640A"/>
    <w:rsid w:val="00AA1484"/>
    <w:rsid w:val="00AB0780"/>
    <w:rsid w:val="00AC2433"/>
    <w:rsid w:val="00AC257B"/>
    <w:rsid w:val="00AE264F"/>
    <w:rsid w:val="00AE29CA"/>
    <w:rsid w:val="00AF0E63"/>
    <w:rsid w:val="00B05EF7"/>
    <w:rsid w:val="00B4043A"/>
    <w:rsid w:val="00B471A8"/>
    <w:rsid w:val="00B62143"/>
    <w:rsid w:val="00B66D72"/>
    <w:rsid w:val="00B67F05"/>
    <w:rsid w:val="00B72541"/>
    <w:rsid w:val="00B935B0"/>
    <w:rsid w:val="00BB2BDA"/>
    <w:rsid w:val="00BF0167"/>
    <w:rsid w:val="00BF0249"/>
    <w:rsid w:val="00C03B86"/>
    <w:rsid w:val="00C15B63"/>
    <w:rsid w:val="00C16E59"/>
    <w:rsid w:val="00C23D77"/>
    <w:rsid w:val="00C336EF"/>
    <w:rsid w:val="00C35456"/>
    <w:rsid w:val="00C36020"/>
    <w:rsid w:val="00C745E0"/>
    <w:rsid w:val="00C8003D"/>
    <w:rsid w:val="00C8227A"/>
    <w:rsid w:val="00CA0B86"/>
    <w:rsid w:val="00CA4BB0"/>
    <w:rsid w:val="00CB34A7"/>
    <w:rsid w:val="00CC454A"/>
    <w:rsid w:val="00CC48C9"/>
    <w:rsid w:val="00CC4D1D"/>
    <w:rsid w:val="00CC618F"/>
    <w:rsid w:val="00CD46B2"/>
    <w:rsid w:val="00CD574C"/>
    <w:rsid w:val="00CE2CE3"/>
    <w:rsid w:val="00CE3EA0"/>
    <w:rsid w:val="00CF21A3"/>
    <w:rsid w:val="00D018A2"/>
    <w:rsid w:val="00D21EE6"/>
    <w:rsid w:val="00D26AB1"/>
    <w:rsid w:val="00D4494D"/>
    <w:rsid w:val="00D87499"/>
    <w:rsid w:val="00D874C9"/>
    <w:rsid w:val="00D910D4"/>
    <w:rsid w:val="00DB5190"/>
    <w:rsid w:val="00DB66BA"/>
    <w:rsid w:val="00DC1223"/>
    <w:rsid w:val="00DC537D"/>
    <w:rsid w:val="00DD2B1B"/>
    <w:rsid w:val="00DD667E"/>
    <w:rsid w:val="00DF6FE3"/>
    <w:rsid w:val="00E11105"/>
    <w:rsid w:val="00E14957"/>
    <w:rsid w:val="00E51DA2"/>
    <w:rsid w:val="00E637A0"/>
    <w:rsid w:val="00E72CC0"/>
    <w:rsid w:val="00E92A59"/>
    <w:rsid w:val="00E97D56"/>
    <w:rsid w:val="00EB577C"/>
    <w:rsid w:val="00ED083B"/>
    <w:rsid w:val="00ED1CE0"/>
    <w:rsid w:val="00EE0BCD"/>
    <w:rsid w:val="00EE3E7A"/>
    <w:rsid w:val="00EF7595"/>
    <w:rsid w:val="00F02B56"/>
    <w:rsid w:val="00F218A4"/>
    <w:rsid w:val="00F25563"/>
    <w:rsid w:val="00F27ED0"/>
    <w:rsid w:val="00F316B1"/>
    <w:rsid w:val="00F34039"/>
    <w:rsid w:val="00F403C9"/>
    <w:rsid w:val="00F4777A"/>
    <w:rsid w:val="00F563E0"/>
    <w:rsid w:val="00F65D78"/>
    <w:rsid w:val="00F6670F"/>
    <w:rsid w:val="00F707AE"/>
    <w:rsid w:val="00F801A0"/>
    <w:rsid w:val="00F815C2"/>
    <w:rsid w:val="00F91EA7"/>
    <w:rsid w:val="00FC604B"/>
    <w:rsid w:val="00FE244C"/>
    <w:rsid w:val="01791D84"/>
    <w:rsid w:val="02536BE5"/>
    <w:rsid w:val="041A14F5"/>
    <w:rsid w:val="046A7CEB"/>
    <w:rsid w:val="07271B84"/>
    <w:rsid w:val="08176D19"/>
    <w:rsid w:val="09242826"/>
    <w:rsid w:val="097D1D39"/>
    <w:rsid w:val="0A553365"/>
    <w:rsid w:val="0AB4718A"/>
    <w:rsid w:val="0AC14271"/>
    <w:rsid w:val="0DEA29C9"/>
    <w:rsid w:val="0DF76EAB"/>
    <w:rsid w:val="0E3972DE"/>
    <w:rsid w:val="0ECA1B2E"/>
    <w:rsid w:val="0F441F6E"/>
    <w:rsid w:val="10706DD1"/>
    <w:rsid w:val="10CD186C"/>
    <w:rsid w:val="11BF66D0"/>
    <w:rsid w:val="125C7334"/>
    <w:rsid w:val="126C338C"/>
    <w:rsid w:val="13551286"/>
    <w:rsid w:val="13776919"/>
    <w:rsid w:val="14115ABF"/>
    <w:rsid w:val="14E266FD"/>
    <w:rsid w:val="15183148"/>
    <w:rsid w:val="152F4938"/>
    <w:rsid w:val="154F21B6"/>
    <w:rsid w:val="16277E1B"/>
    <w:rsid w:val="16363CA0"/>
    <w:rsid w:val="166747F5"/>
    <w:rsid w:val="169B5483"/>
    <w:rsid w:val="170870F7"/>
    <w:rsid w:val="177F5167"/>
    <w:rsid w:val="17DD1219"/>
    <w:rsid w:val="18495604"/>
    <w:rsid w:val="18605D5D"/>
    <w:rsid w:val="18B61053"/>
    <w:rsid w:val="18FE32C2"/>
    <w:rsid w:val="1A506EBD"/>
    <w:rsid w:val="1ACF3811"/>
    <w:rsid w:val="1B512494"/>
    <w:rsid w:val="1C6F4110"/>
    <w:rsid w:val="1C7114CE"/>
    <w:rsid w:val="1C8F3611"/>
    <w:rsid w:val="1D497174"/>
    <w:rsid w:val="1EE747BF"/>
    <w:rsid w:val="1F9F779C"/>
    <w:rsid w:val="1FBA24EE"/>
    <w:rsid w:val="20E55704"/>
    <w:rsid w:val="22056FAF"/>
    <w:rsid w:val="2305409E"/>
    <w:rsid w:val="237C7C30"/>
    <w:rsid w:val="23F252E7"/>
    <w:rsid w:val="243C4C8B"/>
    <w:rsid w:val="2495086C"/>
    <w:rsid w:val="2506178C"/>
    <w:rsid w:val="2560485E"/>
    <w:rsid w:val="25FF73E4"/>
    <w:rsid w:val="263353A9"/>
    <w:rsid w:val="26404FD9"/>
    <w:rsid w:val="267366E8"/>
    <w:rsid w:val="27165990"/>
    <w:rsid w:val="273B5B0A"/>
    <w:rsid w:val="278D321B"/>
    <w:rsid w:val="288A29EB"/>
    <w:rsid w:val="28914FE0"/>
    <w:rsid w:val="28BC39FE"/>
    <w:rsid w:val="292B3037"/>
    <w:rsid w:val="297B3998"/>
    <w:rsid w:val="29946721"/>
    <w:rsid w:val="2A6B48A5"/>
    <w:rsid w:val="2A8B5C45"/>
    <w:rsid w:val="2B602202"/>
    <w:rsid w:val="2B960E2B"/>
    <w:rsid w:val="2C170D84"/>
    <w:rsid w:val="2CA92C8E"/>
    <w:rsid w:val="2D03498D"/>
    <w:rsid w:val="2D3B10B9"/>
    <w:rsid w:val="2E6974B4"/>
    <w:rsid w:val="2FAC4173"/>
    <w:rsid w:val="30885529"/>
    <w:rsid w:val="31B021EB"/>
    <w:rsid w:val="31DC6F2A"/>
    <w:rsid w:val="31DF693E"/>
    <w:rsid w:val="32714D9E"/>
    <w:rsid w:val="32C3092C"/>
    <w:rsid w:val="33D32015"/>
    <w:rsid w:val="34134136"/>
    <w:rsid w:val="34E60AA4"/>
    <w:rsid w:val="35F16D29"/>
    <w:rsid w:val="36764E8E"/>
    <w:rsid w:val="36816B6A"/>
    <w:rsid w:val="373E3248"/>
    <w:rsid w:val="38D10F9B"/>
    <w:rsid w:val="39272189"/>
    <w:rsid w:val="39A86BCA"/>
    <w:rsid w:val="3A334FFB"/>
    <w:rsid w:val="3A376C53"/>
    <w:rsid w:val="3CC83746"/>
    <w:rsid w:val="3D3446A0"/>
    <w:rsid w:val="3D871FE4"/>
    <w:rsid w:val="3DE61B9D"/>
    <w:rsid w:val="3E50003E"/>
    <w:rsid w:val="401818A7"/>
    <w:rsid w:val="40BE2CF1"/>
    <w:rsid w:val="44550BB4"/>
    <w:rsid w:val="44AD4739"/>
    <w:rsid w:val="45911DF1"/>
    <w:rsid w:val="461663CC"/>
    <w:rsid w:val="46B7298C"/>
    <w:rsid w:val="472D5EBF"/>
    <w:rsid w:val="47A37C03"/>
    <w:rsid w:val="49145D2B"/>
    <w:rsid w:val="4A440F44"/>
    <w:rsid w:val="4AF55250"/>
    <w:rsid w:val="4B060CD0"/>
    <w:rsid w:val="4CCE7B15"/>
    <w:rsid w:val="4D493A99"/>
    <w:rsid w:val="4DA308B9"/>
    <w:rsid w:val="4E1947D6"/>
    <w:rsid w:val="4E3900D4"/>
    <w:rsid w:val="4E8C2880"/>
    <w:rsid w:val="4F026036"/>
    <w:rsid w:val="4F0E4EF7"/>
    <w:rsid w:val="4FCE1FBA"/>
    <w:rsid w:val="511C24D2"/>
    <w:rsid w:val="51647E1A"/>
    <w:rsid w:val="51B86052"/>
    <w:rsid w:val="52393543"/>
    <w:rsid w:val="52433CF9"/>
    <w:rsid w:val="52814016"/>
    <w:rsid w:val="52944CC8"/>
    <w:rsid w:val="52A93625"/>
    <w:rsid w:val="53477FE2"/>
    <w:rsid w:val="537E5A9C"/>
    <w:rsid w:val="53EB31D6"/>
    <w:rsid w:val="540E0DBB"/>
    <w:rsid w:val="54400F8D"/>
    <w:rsid w:val="5612303D"/>
    <w:rsid w:val="566E4874"/>
    <w:rsid w:val="567A7A66"/>
    <w:rsid w:val="56815D9F"/>
    <w:rsid w:val="56A64B7A"/>
    <w:rsid w:val="57546F51"/>
    <w:rsid w:val="576F1346"/>
    <w:rsid w:val="580A423C"/>
    <w:rsid w:val="58500CB2"/>
    <w:rsid w:val="58577666"/>
    <w:rsid w:val="586D4506"/>
    <w:rsid w:val="587F2097"/>
    <w:rsid w:val="5892127A"/>
    <w:rsid w:val="589E1F8F"/>
    <w:rsid w:val="59DA6DEE"/>
    <w:rsid w:val="59F94B40"/>
    <w:rsid w:val="5B1863ED"/>
    <w:rsid w:val="5B595C05"/>
    <w:rsid w:val="5BA27CB6"/>
    <w:rsid w:val="5C25257B"/>
    <w:rsid w:val="5E0E183E"/>
    <w:rsid w:val="5EF22074"/>
    <w:rsid w:val="5F9A554B"/>
    <w:rsid w:val="605444F1"/>
    <w:rsid w:val="612E01D5"/>
    <w:rsid w:val="61424515"/>
    <w:rsid w:val="61C068DC"/>
    <w:rsid w:val="62B51BB3"/>
    <w:rsid w:val="630A3639"/>
    <w:rsid w:val="630B0BBF"/>
    <w:rsid w:val="63F65C04"/>
    <w:rsid w:val="65A90604"/>
    <w:rsid w:val="65CF0ADB"/>
    <w:rsid w:val="68007893"/>
    <w:rsid w:val="692A4EF0"/>
    <w:rsid w:val="697E36B5"/>
    <w:rsid w:val="6A300EF4"/>
    <w:rsid w:val="6A723278"/>
    <w:rsid w:val="6A951C5A"/>
    <w:rsid w:val="6A994EE4"/>
    <w:rsid w:val="6B2C6550"/>
    <w:rsid w:val="6DA20442"/>
    <w:rsid w:val="6DB7293B"/>
    <w:rsid w:val="6EAD6CC1"/>
    <w:rsid w:val="6EB553F2"/>
    <w:rsid w:val="6F3E063B"/>
    <w:rsid w:val="701E50C9"/>
    <w:rsid w:val="70367F9E"/>
    <w:rsid w:val="70563761"/>
    <w:rsid w:val="712A5A76"/>
    <w:rsid w:val="71AD3C6F"/>
    <w:rsid w:val="71CB19E5"/>
    <w:rsid w:val="72C27123"/>
    <w:rsid w:val="73263338"/>
    <w:rsid w:val="73647032"/>
    <w:rsid w:val="73AD3077"/>
    <w:rsid w:val="74427E74"/>
    <w:rsid w:val="74516F6E"/>
    <w:rsid w:val="75C004C5"/>
    <w:rsid w:val="76743236"/>
    <w:rsid w:val="77035D71"/>
    <w:rsid w:val="770D40E7"/>
    <w:rsid w:val="772C1217"/>
    <w:rsid w:val="77FC5482"/>
    <w:rsid w:val="7A723636"/>
    <w:rsid w:val="7B94380F"/>
    <w:rsid w:val="7C3B4795"/>
    <w:rsid w:val="7C527772"/>
    <w:rsid w:val="7CC16A89"/>
    <w:rsid w:val="7CEB56CE"/>
    <w:rsid w:val="7CFD2C06"/>
    <w:rsid w:val="7E102E50"/>
    <w:rsid w:val="7E5E5C24"/>
    <w:rsid w:val="7E8D6179"/>
    <w:rsid w:val="7EDD3F64"/>
    <w:rsid w:val="7F155088"/>
    <w:rsid w:val="7FEB13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eastAsia="宋体" w:cs="Times New Roman"/>
      <w:kern w:val="2"/>
      <w:sz w:val="21"/>
      <w:lang w:val="en-US" w:eastAsia="zh-CN" w:bidi="ar-SA"/>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semiHidden/>
    <w:qFormat/>
    <w:locked/>
    <w:uiPriority w:val="99"/>
    <w:rPr>
      <w:rFonts w:cs="Times New Roman"/>
      <w:sz w:val="18"/>
      <w:szCs w:val="18"/>
    </w:rPr>
  </w:style>
  <w:style w:type="character" w:customStyle="1" w:styleId="8">
    <w:name w:val="Header Char"/>
    <w:basedOn w:val="6"/>
    <w:link w:val="4"/>
    <w:semiHidden/>
    <w:qFormat/>
    <w:locked/>
    <w:uiPriority w:val="99"/>
    <w:rPr>
      <w:rFonts w:cs="Times New Roman"/>
      <w:sz w:val="18"/>
      <w:szCs w:val="18"/>
    </w:rPr>
  </w:style>
  <w:style w:type="paragraph" w:customStyle="1" w:styleId="9">
    <w:name w:val="列出段落1"/>
    <w:basedOn w:val="1"/>
    <w:qFormat/>
    <w:uiPriority w:val="99"/>
    <w:pPr>
      <w:ind w:firstLine="420" w:firstLineChars="200"/>
    </w:pPr>
  </w:style>
  <w:style w:type="paragraph" w:customStyle="1" w:styleId="10">
    <w:name w:val="样式1"/>
    <w:basedOn w:val="1"/>
    <w:qFormat/>
    <w:uiPriority w:val="0"/>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Pages>
  <Words>520</Words>
  <Characters>2964</Characters>
  <Lines>0</Lines>
  <Paragraphs>0</Paragraphs>
  <TotalTime>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2017-06-29T01:59:00Z</dcterms:created>
  <dc:creator>dreamsummit</dc:creator>
  <cp:lastModifiedBy>Administrator</cp:lastModifiedBy>
  <cp:lastPrinted>2023-01-10T02:22:00Z</cp:lastPrinted>
  <dcterms:modified xsi:type="dcterms:W3CDTF">2023-03-16T07:02:06Z</dcterms:modified>
  <dc:title>佛山市高明区白蚁防治工程合同书</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2B04DB72833C4666AEB5812935930ED0</vt:lpwstr>
  </property>
</Properties>
</file>