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441341-2023-00470</w:t>
      </w:r>
    </w:p>
    <w:p>
      <w:pPr>
        <w:jc w:val="center"/>
      </w:pPr>
      <w:r>
        <w:rPr>
          <w:b/>
          <w:sz w:val="24"/>
        </w:rPr>
        <w:t>采购项目编号：</w:t>
      </w:r>
      <w:r>
        <w:rPr>
          <w:b/>
          <w:sz w:val="24"/>
        </w:rPr>
        <w:t>PGZFCG202302002</w:t>
      </w:r>
    </w:p>
    <w:p>
      <w:pPr>
        <w:jc w:val="center"/>
      </w:pPr>
      <w:r>
        <w:rPr>
          <w:b/>
          <w:sz w:val="24"/>
        </w:rPr>
        <w:t>项目名称：</w:t>
      </w:r>
      <w:r>
        <w:rPr>
          <w:b/>
          <w:sz w:val="24"/>
        </w:rPr>
        <w:t>仲恺高新区中心区（2023年-2025年）除“四害”消杀服务项目</w:t>
      </w:r>
    </w:p>
    <w:p>
      <w:pPr>
        <w:jc w:val="center"/>
      </w:pPr>
      <w:r>
        <w:rPr>
          <w:b/>
          <w:sz w:val="24"/>
        </w:rPr>
        <w:t>采购人：</w:t>
      </w:r>
      <w:r>
        <w:rPr>
          <w:b/>
          <w:sz w:val="24"/>
        </w:rPr>
        <w:t>仲恺高新区城乡环境卫生管理中心</w:t>
      </w:r>
    </w:p>
    <w:p>
      <w:pPr>
        <w:jc w:val="center"/>
      </w:pPr>
      <w:r>
        <w:rPr>
          <w:b/>
          <w:sz w:val="24"/>
        </w:rPr>
        <w:t>采购代理机构：</w:t>
      </w:r>
      <w:r>
        <w:rPr>
          <w:b/>
          <w:sz w:val="24"/>
        </w:rPr>
        <w:t>广东品冠工程顾问有限公司</w:t>
      </w:r>
    </w:p>
    <w:p>
      <w:pPr>
        <w:ind w:firstLine="480"/>
      </w:pPr>
    </w:p>
    <w:p>
      <w:r>
        <w:rPr/>
        <w:t xml:space="preserve"> </w:t>
      </w:r>
    </w:p>
    <w:p/>
    <w:p>
      <w:pPr>
        <w:jc w:val="center"/>
      </w:pPr>
      <w:r>
        <w:rPr>
          <w:b/>
          <w:sz w:val="36"/>
        </w:rPr>
        <w:t>第一章投标邀请</w:t>
      </w:r>
    </w:p>
    <w:p>
      <w:pPr>
        <w:ind w:firstLine="480"/>
      </w:pPr>
      <w:r>
        <w:rPr/>
        <w:t>广东品冠工程顾问有限公司</w:t>
      </w:r>
      <w:r>
        <w:rPr/>
        <w:t>受</w:t>
      </w:r>
      <w:r>
        <w:rPr/>
        <w:t>仲恺高新区城乡环境卫生管理中心</w:t>
      </w:r>
      <w:r>
        <w:rPr/>
        <w:t>的委托，采用</w:t>
      </w:r>
      <w:r>
        <w:rPr/>
        <w:t>公开招标</w:t>
      </w:r>
      <w:r>
        <w:rPr/>
        <w:t>方式组织采购</w:t>
      </w:r>
      <w:r>
        <w:rPr/>
        <w:t>仲恺高新区中心区（2023年-2025年）除“四害”消杀服务项目</w:t>
      </w:r>
      <w:r>
        <w:rPr/>
        <w:t>。欢迎符合资格条件的国内供应商参加投标。</w:t>
      </w:r>
    </w:p>
    <w:p>
      <w:r>
        <w:rPr>
          <w:b/>
          <w:sz w:val="28"/>
        </w:rPr>
        <w:t>一.项目概述</w:t>
      </w:r>
    </w:p>
    <w:p>
      <w:r>
        <w:rPr>
          <w:b/>
          <w:sz w:val="24"/>
        </w:rPr>
        <w:t>1.名称与编号</w:t>
      </w:r>
    </w:p>
    <w:p>
      <w:pPr>
        <w:ind w:firstLine="480"/>
      </w:pPr>
      <w:r>
        <w:rPr/>
        <w:t>项目名称：</w:t>
      </w:r>
      <w:r>
        <w:rPr/>
        <w:t>仲恺高新区中心区（2023年-2025年）除“四害”消杀服务项目</w:t>
      </w:r>
    </w:p>
    <w:p>
      <w:pPr>
        <w:ind w:firstLine="480"/>
      </w:pPr>
      <w:r>
        <w:rPr/>
        <w:t>采购计划编号：</w:t>
      </w:r>
      <w:r>
        <w:rPr/>
        <w:t>441341-2023-00470</w:t>
      </w:r>
    </w:p>
    <w:p>
      <w:pPr>
        <w:ind w:firstLine="480"/>
      </w:pPr>
      <w:r>
        <w:rPr/>
        <w:t>采购项目编号：</w:t>
      </w:r>
      <w:r>
        <w:rPr/>
        <w:t>PGZFCG202302002</w:t>
      </w:r>
    </w:p>
    <w:p>
      <w:pPr>
        <w:ind w:firstLine="480"/>
      </w:pPr>
      <w:r>
        <w:rPr/>
        <w:t>采购方式：</w:t>
      </w:r>
      <w:r>
        <w:rPr/>
        <w:t>公开招标</w:t>
      </w:r>
    </w:p>
    <w:p>
      <w:pPr>
        <w:ind w:firstLine="480"/>
      </w:pPr>
      <w:r>
        <w:rPr/>
        <w:t>预算金额：</w:t>
      </w:r>
      <w:r>
        <w:rPr/>
        <w:t>3,300,000.00</w:t>
      </w:r>
      <w:r>
        <w:rPr/>
        <w:t>元</w:t>
      </w:r>
    </w:p>
    <w:p>
      <w:r>
        <w:rPr>
          <w:b/>
          <w:sz w:val="24"/>
        </w:rPr>
        <w:t>2.项目内容及需求情况（采购项目技术规格、参数及要求）</w:t>
      </w:r>
    </w:p>
    <w:p>
      <w:pPr>
        <w:ind w:firstLine="480"/>
      </w:pPr>
    </w:p>
    <w:p/>
    <w:p>
      <w:r>
        <w:rPr/>
        <w:t>采购包1(仲恺高新区中心区（2023年—2025年）除“四害”消杀服务项目):</w:t>
      </w:r>
    </w:p>
    <w:p>
      <w:r>
        <w:rPr/>
        <w:t>采购包预算金额：3,300,000.00元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其他城镇公共卫生服务</w:t>
            </w:r>
          </w:p>
        </w:tc>
        <w:tc>
          <w:tcPr>
            <w:tcW w:type="dxa" w:w="2136"/>
          </w:tcPr>
          <w:p>
            <w:r>
              <w:rPr/>
              <w:t>仲恺高新区中心区（2023年—2025年）除“四害”消杀服务</w:t>
            </w:r>
          </w:p>
        </w:tc>
        <w:tc>
          <w:tcPr>
            <w:tcW w:type="dxa" w:w="1187"/>
          </w:tcPr>
          <w:p>
            <w:r>
              <w:rPr/>
              <w:t>1.0000(项)</w:t>
            </w:r>
          </w:p>
        </w:tc>
        <w:tc>
          <w:tcPr>
            <w:tcW w:type="dxa" w:w="1187"/>
          </w:tcPr>
          <w:p>
            <w:r>
              <w:rPr/>
              <w:t>详见第二章</w:t>
            </w:r>
          </w:p>
        </w:tc>
        <w:tc>
          <w:tcPr>
            <w:tcW w:type="dxa" w:w="1187"/>
          </w:tcPr>
          <w:p>
            <w:r>
              <w:rPr/>
              <w:t>否</w:t>
            </w:r>
          </w:p>
        </w:tc>
      </w:tr>
    </w:tbl>
    <w:p/>
    <w:p>
      <w:r>
        <w:rPr/>
        <w:t>本采购包不接受联合体投标</w:t>
      </w:r>
    </w:p>
    <w:p/>
    <w:p>
      <w:r>
        <w:rPr/>
        <w:t>合同履行期限：服务期限三年，自合同签订之日起开始计算。</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2）有依法缴纳税收和社会保障资金的良好记录：提供投标截止日前6个月内任意1个月依法缴纳税收和社会保障资金的相关材料。 如依法免税或不需要缴纳社会保障资金的， 提供相应证明材料。</w:t>
      </w:r>
    </w:p>
    <w:p/>
    <w:p>
      <w:r>
        <w:rPr/>
        <w:t>3）具有良好的商业信誉和健全的财务会计制度：供应商必须具有良好的商业信誉和健全的财务会计制度（提供2021年度或2022年度财务状况报告或基本开户行出具的资信证明） 。</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采购包1（仲恺高新区中心区（2023年—2025年）除“四害”消杀服务项目）：</w:t>
      </w:r>
      <w:r>
        <w:rPr/>
        <w:t>参与的供应商（联合体）服务全部由符合政策要求的中小企业承接</w:t>
      </w:r>
    </w:p>
    <w:p/>
    <w:p>
      <w:r>
        <w:rPr>
          <w:b/>
          <w:sz w:val="24"/>
        </w:rPr>
        <w:t>3.本项目特定的资格要求：</w:t>
      </w:r>
    </w:p>
    <w:p>
      <w:pPr>
        <w:ind w:firstLine="480"/>
      </w:pPr>
    </w:p>
    <w:p/>
    <w:p>
      <w:r>
        <w:rPr/>
        <w:t>采购包1（仲恺高新区中心区（2023年—2025年）除“四害”消杀服务项目）：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p>
    <w:p>
      <w:r>
        <w:rPr>
          <w:b/>
          <w:sz w:val="28"/>
        </w:rPr>
        <w:t>六.本项目联系方式：</w:t>
      </w:r>
    </w:p>
    <w:p>
      <w:r>
        <w:rPr>
          <w:b/>
          <w:sz w:val="24"/>
        </w:rPr>
        <w:t>1.采购人信息</w:t>
      </w:r>
    </w:p>
    <w:p>
      <w:pPr>
        <w:ind w:firstLine="480"/>
      </w:pPr>
      <w:r>
        <w:rPr/>
        <w:t>名称：</w:t>
      </w:r>
      <w:r>
        <w:rPr/>
        <w:t>仲恺高新区城乡环境卫生管理中心</w:t>
      </w:r>
    </w:p>
    <w:p>
      <w:pPr>
        <w:ind w:firstLine="480"/>
      </w:pPr>
      <w:r>
        <w:rPr/>
        <w:t>地址：</w:t>
      </w:r>
      <w:r>
        <w:rPr/>
        <w:t>惠州市仲恺高新区和畅五路西8号投资控股大厦10楼</w:t>
      </w:r>
    </w:p>
    <w:p>
      <w:pPr>
        <w:ind w:firstLine="480"/>
      </w:pPr>
      <w:r>
        <w:rPr/>
        <w:t>联系方式：</w:t>
      </w:r>
      <w:r>
        <w:rPr/>
        <w:t>0752-2603796</w:t>
      </w:r>
    </w:p>
    <w:p>
      <w:r>
        <w:rPr>
          <w:b/>
          <w:sz w:val="24"/>
        </w:rPr>
        <w:t>2.采购代理机构信息</w:t>
      </w:r>
    </w:p>
    <w:p>
      <w:pPr>
        <w:ind w:firstLine="480"/>
      </w:pPr>
      <w:r>
        <w:rPr/>
        <w:t>名称：</w:t>
      </w:r>
      <w:r>
        <w:rPr/>
        <w:t>广东品冠工程顾问有限公司</w:t>
      </w:r>
    </w:p>
    <w:p>
      <w:pPr>
        <w:ind w:firstLine="480"/>
      </w:pPr>
      <w:r>
        <w:rPr/>
        <w:t>地址：</w:t>
      </w:r>
      <w:r>
        <w:rPr/>
        <w:t>惠州市惠城区新联路17号</w:t>
      </w:r>
    </w:p>
    <w:p>
      <w:pPr>
        <w:ind w:firstLine="480"/>
      </w:pPr>
      <w:r>
        <w:rPr/>
        <w:t>联系方式：</w:t>
      </w:r>
      <w:r>
        <w:rPr/>
        <w:t>0752-2756963</w:t>
      </w:r>
    </w:p>
    <w:p>
      <w:r>
        <w:rPr>
          <w:b/>
          <w:sz w:val="24"/>
        </w:rPr>
        <w:t>3.项目联系方式</w:t>
      </w:r>
    </w:p>
    <w:p>
      <w:pPr>
        <w:ind w:firstLine="480"/>
      </w:pPr>
      <w:r>
        <w:rPr/>
        <w:t>项目联系人：</w:t>
      </w:r>
      <w:r>
        <w:rPr/>
        <w:t>吴薇林</w:t>
      </w:r>
    </w:p>
    <w:p>
      <w:pPr>
        <w:ind w:firstLine="480"/>
      </w:pPr>
      <w:r>
        <w:rPr/>
        <w:t>电话：</w:t>
      </w:r>
      <w:r>
        <w:rPr/>
        <w:t>0752-2756963</w:t>
      </w:r>
    </w:p>
    <w:p>
      <w:r>
        <w:rPr>
          <w:b/>
          <w:sz w:val="24"/>
        </w:rPr>
        <w:t>4.技术支持联系方式</w:t>
      </w:r>
    </w:p>
    <w:p>
      <w:pPr>
        <w:ind w:firstLine="480"/>
      </w:pPr>
      <w:r>
        <w:rPr/>
        <w:t>云平台联系方式：020-88696588</w:t>
      </w:r>
    </w:p>
    <w:p>
      <w:r>
        <w:rPr/>
        <w:t>采购代理机构：</w:t>
      </w:r>
      <w:r>
        <w:rPr/>
        <w:t>广东品冠工程顾问有限公司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480"/>
        <w:jc w:val="both"/>
      </w:pPr>
      <w:r>
        <w:rPr>
          <w:sz w:val="24"/>
        </w:rPr>
        <w:t>为有效预防控制病媒生物传播疾病的发生和流行，把病媒生物密度控制在国家标准之内，有效控制区域内</w:t>
      </w:r>
      <w:r>
        <w:rPr>
          <w:sz w:val="24"/>
        </w:rPr>
        <w:t>“四害”（鼠、蚊、蝇、蟑）密度，防控登革热等病媒传染病的发生和流行</w:t>
      </w:r>
      <w:r>
        <w:rPr>
          <w:sz w:val="24"/>
        </w:rPr>
        <w:t>，仲恺高新区城乡环境卫生管理中心</w:t>
      </w:r>
      <w:r>
        <w:rPr>
          <w:sz w:val="24"/>
        </w:rPr>
        <w:t>根据《中华人民共和国传染病防治法》《国家突发公共卫生事件应急预案》广东省爱国卫生工作条例（第四条）等相关法律法规，结合工作实际，组织开展</w:t>
      </w:r>
      <w:r>
        <w:rPr>
          <w:sz w:val="24"/>
        </w:rPr>
        <w:t>街道辖区公共环境</w:t>
      </w:r>
      <w:r>
        <w:rPr>
          <w:sz w:val="24"/>
        </w:rPr>
        <w:t>“四害”消杀工作。</w:t>
      </w:r>
    </w:p>
    <w:p>
      <w:pPr>
        <w:ind w:firstLine="480"/>
        <w:jc w:val="both"/>
      </w:pPr>
      <w:r>
        <w:rPr>
          <w:sz w:val="24"/>
        </w:rPr>
        <w:t>本项目拟对仲恺大道以北，河惠莞高速以南，惠新大道以东区域范围内的城中村、公共绿地及社区公园、政府办公大楼（科融创业大厦、投资控大厦、人才服务大厦）、市政公共场所、市政待建工地、</w:t>
      </w:r>
      <w:r>
        <w:rPr>
          <w:sz w:val="24"/>
        </w:rPr>
        <w:t>“四害”严重孳生地等场所的室外区域进行消杀，营造整洁环境，消杀范围面积约为1471万平方米，具体范围详见附件：《消杀范围图</w:t>
      </w:r>
      <w:r>
        <w:rPr>
          <w:sz w:val="24"/>
        </w:rPr>
        <w:t>》</w:t>
      </w:r>
      <w:r>
        <w:rPr>
          <w:sz w:val="24"/>
        </w:rPr>
        <w:t>（应急及临时指定任务服务范围：仲恺高新区全辖区）</w:t>
      </w:r>
      <w:r>
        <w:rPr>
          <w:sz w:val="24"/>
        </w:rPr>
        <w:t>。</w:t>
      </w:r>
    </w:p>
    <w:p/>
    <w:p>
      <w:pPr>
        <w:ind w:firstLine="480"/>
      </w:pPr>
    </w:p>
    <w:p/>
    <w:p>
      <w:r>
        <w:rPr/>
        <w:t>采购包1（仲恺高新区中心区（2023年—2025年）除“四害”消杀服务项目）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服务期限三年，自合同签订之日起开始计算。</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100%,（1）本项目采用按月度平均方式向中标人支付服务费用，经月度检查评分后，由中标人于每月10日之前向采购人提供上月服务费合法有效的应付票据，采购人在收到应付票据后，于每月25日前将上月服务费用汇入中标人指定的符合相关要求的账户。 （2）资金支付以财政资金落实为前提，采购人只负责办理相关付款手续，若因财政资金不到位引起拨款延误不能按合同要求或有关规定拨付的，采购人不承担因拨款延期拨付给中标人造成的各类损失，如利息、连带责任等。</w:t>
            </w:r>
          </w:p>
        </w:tc>
      </w:tr>
      <w:tr>
        <w:tc>
          <w:tcPr>
            <w:tcW w:type="dxa" w:w="4153"/>
          </w:tcPr>
          <w:p>
            <w:r>
              <w:rPr/>
              <w:t>验收要求</w:t>
            </w:r>
          </w:p>
        </w:tc>
        <w:tc>
          <w:tcPr>
            <w:tcW w:type="dxa" w:w="4153"/>
          </w:tcPr>
          <w:p/>
          <w:p/>
          <w:p/>
          <w:p>
            <w:r>
              <w:rPr/>
              <w:t>1期：1.根据招标文件要求和中标人的投标承诺及行业标准、国家标准验收。 2.根据采购项目技术要求中“（七）考评标准和办法”中的《仲恺高新区中心区除“四害”消杀服务质量考核评分表》执行检查扣分标准。</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p>
      <w:r>
        <w:rPr/>
        <w:t>其他商务需求</w:t>
      </w:r>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r>
              <w:rPr/>
              <w:t>★</w:t>
            </w:r>
          </w:p>
        </w:tc>
        <w:tc>
          <w:tcPr>
            <w:tcW w:type="dxa" w:w="2076"/>
          </w:tcPr>
          <w:p>
            <w:pPr>
              <w:jc w:val="center"/>
            </w:pPr>
            <w:r>
              <w:rPr/>
              <w:t>1</w:t>
            </w:r>
          </w:p>
        </w:tc>
        <w:tc>
          <w:tcPr>
            <w:tcW w:type="dxa" w:w="2076"/>
          </w:tcPr>
          <w:p>
            <w:pPr>
              <w:jc w:val="left"/>
            </w:pPr>
            <w:r>
              <w:rPr/>
              <w:t>（一）报价要求</w:t>
            </w:r>
          </w:p>
        </w:tc>
        <w:tc>
          <w:tcPr>
            <w:tcW w:type="dxa" w:w="2076"/>
          </w:tcPr>
          <w:p>
            <w:pPr>
              <w:jc w:val="left"/>
            </w:pPr>
            <w:r>
              <w:rPr/>
              <w:t>1.本项目以总价报价形式进行报价，投标人的报价必须根据本项目的实际情况以及自身的实际情况填报，投标报价不得超过本项目最高投标限价，否则作为无效报价处理。 2.投标报价中必须包括项目全部内容的费用（包括但不限于本项目服务过程的办公费用、车辆及相关设备购置及使用费用、人员工资、社保、保险、福利、管理费、风险费、利润、药品及材料费、机具费、水电费、各种规费、税费等），费用不管是否在报价书中单列，均视为报价中已包括该费用。 3.投标人的报价明显低于其他通过符合性审查投标人的报价，有可能影响产品质量或者不能诚信履约的，评标委员会应当要求其在评标现场合理的时间内提供书面说明和成本清单等相关证明材料；投标人不能证明其报价合理性的，评标委员会应当将其作为无效投标处理</w:t>
            </w:r>
          </w:p>
        </w:tc>
      </w:tr>
      <w:tr>
        <w:tc>
          <w:tcPr>
            <w:tcW w:type="dxa" w:w="2076"/>
          </w:tcPr>
          <w:p>
            <w:pPr>
              <w:jc w:val="center"/>
            </w:pPr>
          </w:p>
        </w:tc>
        <w:tc>
          <w:tcPr>
            <w:tcW w:type="dxa" w:w="2076"/>
          </w:tcPr>
          <w:p>
            <w:pPr>
              <w:jc w:val="center"/>
            </w:pPr>
            <w:r>
              <w:rPr/>
              <w:t>2</w:t>
            </w:r>
          </w:p>
        </w:tc>
        <w:tc>
          <w:tcPr>
            <w:tcW w:type="dxa" w:w="2076"/>
          </w:tcPr>
          <w:p>
            <w:pPr>
              <w:jc w:val="left"/>
            </w:pPr>
            <w:r>
              <w:rPr/>
              <w:t>（二）结算方式</w:t>
            </w:r>
          </w:p>
        </w:tc>
        <w:tc>
          <w:tcPr>
            <w:tcW w:type="dxa" w:w="2076"/>
          </w:tcPr>
          <w:p>
            <w:pPr>
              <w:jc w:val="left"/>
            </w:pPr>
            <w:r>
              <w:rPr/>
              <w:t>结算方式：本项目按月度进行费用结算，中标人在每月检查评比中得分在“良好”（含）以上的，采购人全额划拨服务费；得分达不到“良好”及以上的，将实施扣罚措施，扣款后划拨余额。</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其他城镇公共卫生服务</w:t>
            </w:r>
          </w:p>
        </w:tc>
        <w:tc>
          <w:tcPr>
            <w:tcW w:type="dxa" w:w="933"/>
          </w:tcPr>
          <w:p>
            <w:pPr>
              <w:jc w:val="left"/>
            </w:pPr>
            <w:r>
              <w:rPr/>
              <w:t>仲恺高新区中心区（2023年—2025年）除“四害”消杀服务</w:t>
            </w:r>
          </w:p>
        </w:tc>
        <w:tc>
          <w:tcPr>
            <w:tcW w:type="dxa" w:w="933"/>
          </w:tcPr>
          <w:p>
            <w:pPr>
              <w:jc w:val="left"/>
            </w:pPr>
            <w:r>
              <w:rPr/>
              <w:t>项</w:t>
            </w:r>
          </w:p>
        </w:tc>
        <w:tc>
          <w:tcPr>
            <w:tcW w:type="dxa" w:w="933"/>
          </w:tcPr>
          <w:p>
            <w:pPr>
              <w:jc w:val="right"/>
            </w:pPr>
            <w:r>
              <w:rPr/>
              <w:t>1.00</w:t>
            </w:r>
          </w:p>
        </w:tc>
        <w:tc>
          <w:tcPr>
            <w:tcW w:type="dxa" w:w="933"/>
          </w:tcPr>
          <w:p>
            <w:pPr>
              <w:jc w:val="right"/>
            </w:pPr>
            <w:r>
              <w:rPr/>
              <w:t>3,300,000.00</w:t>
            </w:r>
          </w:p>
        </w:tc>
        <w:tc>
          <w:tcPr>
            <w:tcW w:type="dxa" w:w="933"/>
          </w:tcPr>
          <w:p>
            <w:pPr>
              <w:jc w:val="right"/>
            </w:pPr>
            <w:r>
              <w:rPr/>
              <w:t>3,300,000.00</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仲恺高新区中心区（2023年—2025年）除“四害”消杀服务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ind w:firstLine="482"/>
              <w:jc w:val="left"/>
            </w:pPr>
            <w:r>
              <w:rPr>
                <w:b/>
                <w:sz w:val="24"/>
              </w:rPr>
              <w:t>一、</w:t>
            </w:r>
            <w:r>
              <w:rPr>
                <w:b/>
                <w:sz w:val="24"/>
              </w:rPr>
              <w:t>项目要求</w:t>
            </w:r>
          </w:p>
          <w:p>
            <w:pPr>
              <w:ind w:firstLine="480"/>
              <w:jc w:val="left"/>
            </w:pPr>
            <w:r>
              <w:rPr>
                <w:sz w:val="24"/>
              </w:rPr>
              <w:t>1.</w:t>
            </w:r>
            <w:r>
              <w:rPr>
                <w:sz w:val="24"/>
              </w:rPr>
              <w:t>服务范围内：</w:t>
            </w:r>
          </w:p>
          <w:p>
            <w:pPr>
              <w:ind w:firstLine="480"/>
              <w:jc w:val="left"/>
            </w:pPr>
            <w:r>
              <w:rPr>
                <w:sz w:val="24"/>
              </w:rPr>
              <w:t>（</w:t>
            </w:r>
            <w:r>
              <w:rPr>
                <w:sz w:val="24"/>
              </w:rPr>
              <w:t>1</w:t>
            </w:r>
            <w:r>
              <w:rPr>
                <w:sz w:val="24"/>
              </w:rPr>
              <w:t>）</w:t>
            </w:r>
            <w:r>
              <w:rPr>
                <w:sz w:val="24"/>
              </w:rPr>
              <w:t>日常</w:t>
            </w:r>
            <w:r>
              <w:rPr>
                <w:sz w:val="24"/>
              </w:rPr>
              <w:t>“四害”防制作业；</w:t>
            </w:r>
            <w:r>
              <w:rPr>
                <w:sz w:val="24"/>
              </w:rPr>
              <w:t>（</w:t>
            </w:r>
            <w:r>
              <w:rPr>
                <w:sz w:val="24"/>
              </w:rPr>
              <w:t>2</w:t>
            </w:r>
            <w:r>
              <w:rPr>
                <w:sz w:val="24"/>
              </w:rPr>
              <w:t>）</w:t>
            </w:r>
            <w:r>
              <w:rPr>
                <w:sz w:val="24"/>
              </w:rPr>
              <w:t>应急消杀作业；</w:t>
            </w:r>
            <w:r>
              <w:rPr>
                <w:sz w:val="24"/>
              </w:rPr>
              <w:t>（</w:t>
            </w:r>
            <w:r>
              <w:rPr>
                <w:sz w:val="24"/>
              </w:rPr>
              <w:t>3</w:t>
            </w:r>
            <w:r>
              <w:rPr>
                <w:sz w:val="24"/>
              </w:rPr>
              <w:t>）</w:t>
            </w:r>
            <w:r>
              <w:rPr>
                <w:sz w:val="24"/>
              </w:rPr>
              <w:t>“四害”防制基础设施维护更新；④宣传教育，每月不少于2次；</w:t>
            </w:r>
          </w:p>
          <w:p>
            <w:pPr>
              <w:ind w:firstLine="480"/>
              <w:jc w:val="left"/>
            </w:pPr>
            <w:r>
              <w:rPr>
                <w:sz w:val="24"/>
              </w:rPr>
              <w:t>2.</w:t>
            </w:r>
            <w:r>
              <w:rPr>
                <w:sz w:val="24"/>
              </w:rPr>
              <w:t>临时指定的任务：</w:t>
            </w:r>
          </w:p>
          <w:p>
            <w:pPr>
              <w:jc w:val="both"/>
            </w:pPr>
            <w:r>
              <w:rPr>
                <w:sz w:val="24"/>
              </w:rPr>
              <w:t>（</w:t>
            </w:r>
            <w:r>
              <w:rPr>
                <w:sz w:val="24"/>
              </w:rPr>
              <w:t>1</w:t>
            </w:r>
            <w:r>
              <w:rPr>
                <w:sz w:val="24"/>
              </w:rPr>
              <w:t>）</w:t>
            </w:r>
            <w:r>
              <w:rPr>
                <w:sz w:val="24"/>
              </w:rPr>
              <w:t>进行臭虫、跳蚤、蜱虫、恙虫、蠓虫等其他病媒生物应急处置；</w:t>
            </w:r>
            <w:r>
              <w:rPr>
                <w:sz w:val="24"/>
              </w:rPr>
              <w:t>（</w:t>
            </w:r>
            <w:r>
              <w:rPr>
                <w:sz w:val="24"/>
              </w:rPr>
              <w:t>2</w:t>
            </w:r>
            <w:r>
              <w:rPr>
                <w:sz w:val="24"/>
              </w:rPr>
              <w:t>）</w:t>
            </w:r>
            <w:r>
              <w:rPr>
                <w:sz w:val="24"/>
              </w:rPr>
              <w:t>在重大节假日及上级检查活动时，涉及病媒生物防制的保障性工作；</w:t>
            </w:r>
            <w:r>
              <w:rPr>
                <w:sz w:val="24"/>
              </w:rPr>
              <w:t>（</w:t>
            </w:r>
            <w:r>
              <w:rPr>
                <w:sz w:val="24"/>
              </w:rPr>
              <w:t>3</w:t>
            </w:r>
            <w:r>
              <w:rPr>
                <w:sz w:val="24"/>
              </w:rPr>
              <w:t>）</w:t>
            </w:r>
            <w:r>
              <w:rPr>
                <w:sz w:val="24"/>
              </w:rPr>
              <w:t>因投诉、考核等临时指定范围内任何区域的加强消杀作业。</w:t>
            </w:r>
          </w:p>
        </w:tc>
      </w:tr>
      <w:tr>
        <w:tc>
          <w:tcPr>
            <w:tcW w:type="dxa" w:w="2076"/>
          </w:tcPr>
          <w:p/>
        </w:tc>
        <w:tc>
          <w:tcPr>
            <w:tcW w:type="dxa" w:w="415"/>
          </w:tcPr>
          <w:p>
            <w:r>
              <w:rPr/>
              <w:t>2</w:t>
            </w:r>
          </w:p>
        </w:tc>
        <w:tc>
          <w:tcPr>
            <w:tcW w:type="dxa" w:w="5814"/>
          </w:tcPr>
          <w:p>
            <w:pPr>
              <w:ind w:firstLine="482"/>
              <w:jc w:val="left"/>
            </w:pPr>
            <w:r>
              <w:rPr>
                <w:b/>
                <w:sz w:val="24"/>
              </w:rPr>
              <w:t>二、服务要求</w:t>
            </w:r>
          </w:p>
          <w:p>
            <w:pPr>
              <w:ind w:firstLine="480"/>
            </w:pPr>
            <w:r>
              <w:rPr>
                <w:sz w:val="24"/>
              </w:rPr>
              <w:t>1.日常作业要求：</w:t>
            </w:r>
            <w:r>
              <w:rPr>
                <w:sz w:val="24"/>
              </w:rPr>
              <w:t>以清除孳生地及宣传教育为主、化学消杀为辅。</w:t>
            </w:r>
          </w:p>
          <w:p>
            <w:pPr>
              <w:ind w:firstLine="480"/>
            </w:pPr>
            <w:r>
              <w:rPr>
                <w:sz w:val="24"/>
              </w:rPr>
              <w:t>2.</w:t>
            </w:r>
            <w:r>
              <w:rPr>
                <w:sz w:val="24"/>
              </w:rPr>
              <w:t>应急作业要求：快速降低病媒生物密度，化学消杀为主。室外区域病媒生物控制水平在国家标准</w:t>
            </w:r>
            <w:r>
              <w:rPr>
                <w:sz w:val="24"/>
              </w:rPr>
              <w:t>C级及以上、四害设施维护率达95%；药物、设备符合国家产品质量要求，不得使用国家规定的违禁药品，日常作业不得采用疾控部门公布的具有抗药性的药物。</w:t>
            </w:r>
          </w:p>
          <w:p>
            <w:pPr>
              <w:ind w:firstLine="480"/>
            </w:pPr>
            <w:r>
              <w:rPr>
                <w:sz w:val="24"/>
              </w:rPr>
              <w:t>病媒生物防制评估标准</w:t>
            </w:r>
            <w:r>
              <w:rPr>
                <w:sz w:val="24"/>
              </w:rPr>
              <w:t>GB/T 27770-2011、GB/T 27771-2011、GB/T 27772-2011、GB/T 27773-2011。</w:t>
            </w:r>
          </w:p>
          <w:p>
            <w:pPr>
              <w:ind w:firstLine="480"/>
            </w:pPr>
            <w:r>
              <w:rPr>
                <w:sz w:val="24"/>
              </w:rPr>
              <w:t>执行的监测方法：国家标准</w:t>
            </w:r>
            <w:r>
              <w:rPr>
                <w:sz w:val="24"/>
              </w:rPr>
              <w:t>GB/T 23795-2009、GB/T 23796-2009、GB/T 23797-2009、GB/T 23798-2009。</w:t>
            </w:r>
          </w:p>
          <w:p>
            <w:pPr>
              <w:ind w:firstLine="480"/>
            </w:pPr>
            <w:r>
              <w:rPr>
                <w:sz w:val="24"/>
              </w:rPr>
              <w:t>3.</w:t>
            </w:r>
            <w:r>
              <w:rPr>
                <w:sz w:val="24"/>
              </w:rPr>
              <w:t>具体施工作业要求：</w:t>
            </w:r>
          </w:p>
          <w:p>
            <w:pPr>
              <w:ind w:firstLine="480"/>
            </w:pPr>
            <w:r>
              <w:rPr>
                <w:sz w:val="24"/>
              </w:rPr>
              <w:t>实施杀灭作业前，必须先到现场调查</w:t>
            </w:r>
            <w:r>
              <w:rPr>
                <w:sz w:val="24"/>
              </w:rPr>
              <w:t>“四害”的实际情况，应对卫生害虫种类、栖息部位、密度状况及孳生环境等情况有全面的了解，因地制宜制定合理的害虫综合控制方案。</w:t>
            </w:r>
          </w:p>
          <w:p>
            <w:pPr>
              <w:ind w:firstLine="480"/>
            </w:pPr>
            <w:r>
              <w:rPr>
                <w:sz w:val="24"/>
              </w:rPr>
              <w:t>（</w:t>
            </w:r>
            <w:r>
              <w:rPr>
                <w:sz w:val="24"/>
              </w:rPr>
              <w:t>1）灭鼠作业：项目范围内所有毒鼠屋每月两次统一投放毒鼠（谷）饵料。同时清除旧饵料，投饵量30～50克，未经允许，不得裸投，非环卫冲洗范围不得使用塑料袋装毒饵。硬底化场所的鼠洞需根据实际情况在投药后再用水泥进行封堵。在染蚤区滞留喷洒除蚤类杀虫剂。</w:t>
            </w:r>
          </w:p>
          <w:p>
            <w:pPr>
              <w:ind w:firstLine="480"/>
            </w:pPr>
            <w:r>
              <w:rPr>
                <w:sz w:val="24"/>
              </w:rPr>
              <w:t>（</w:t>
            </w:r>
            <w:r>
              <w:rPr>
                <w:sz w:val="24"/>
              </w:rPr>
              <w:t>2）灭蚊作业：实施防蚊、灭蚊、消灭孳生地作业，作业频次不低于以下规定</w:t>
            </w:r>
            <w:r>
              <w:rPr>
                <w:sz w:val="24"/>
              </w:rPr>
              <w:t>：</w:t>
            </w:r>
            <w:r>
              <w:rPr>
                <w:sz w:val="24"/>
              </w:rPr>
              <w:t>①全面清理孳生地，翻盆倒罐，填平坑洼防积水，每周1次。②积水容器、沟渠、水管渗漏等地表积水应投放杀蚊蚴剂处理，每周1次。③采用滞留喷洒拟除虫菊酯类杀虫剂在成蚊活动路径附近的墙面，每月不低于两次。</w:t>
            </w:r>
          </w:p>
          <w:p>
            <w:pPr>
              <w:ind w:firstLine="480"/>
            </w:pPr>
            <w:r>
              <w:rPr>
                <w:sz w:val="24"/>
              </w:rPr>
              <w:t>（</w:t>
            </w:r>
            <w:r>
              <w:rPr>
                <w:sz w:val="24"/>
              </w:rPr>
              <w:t>3）灭蝇作业：在公厕、垃圾点、肥料堆场等孳生地滞留喷洒有机磷杀虫剂防治，其它</w:t>
            </w:r>
            <w:r>
              <w:rPr>
                <w:sz w:val="24"/>
              </w:rPr>
              <w:t>防治</w:t>
            </w:r>
            <w:r>
              <w:rPr>
                <w:sz w:val="24"/>
              </w:rPr>
              <w:t>方法、作业频率同灭蚊。</w:t>
            </w:r>
          </w:p>
          <w:p>
            <w:pPr>
              <w:ind w:firstLine="480"/>
            </w:pPr>
            <w:r>
              <w:rPr>
                <w:sz w:val="24"/>
              </w:rPr>
              <w:t>（</w:t>
            </w:r>
            <w:r>
              <w:rPr>
                <w:sz w:val="24"/>
              </w:rPr>
              <w:t>4）灭蟑作业：项目范围内所有市政排水管道、沟渠以及可能孳生蟑螂的场所，每月热烟雾喷杀至少两次。</w:t>
            </w:r>
          </w:p>
          <w:p>
            <w:pPr>
              <w:ind w:firstLine="480"/>
            </w:pPr>
            <w:r>
              <w:rPr>
                <w:sz w:val="24"/>
              </w:rPr>
              <w:t>（</w:t>
            </w:r>
            <w:r>
              <w:rPr>
                <w:sz w:val="24"/>
              </w:rPr>
              <w:t>5）对服务范围内的毒鼠屋进行维护和更新。</w:t>
            </w:r>
          </w:p>
          <w:p>
            <w:pPr>
              <w:ind w:firstLine="480"/>
            </w:pPr>
            <w:r>
              <w:rPr>
                <w:sz w:val="24"/>
              </w:rPr>
              <w:t>4.</w:t>
            </w:r>
            <w:r>
              <w:rPr>
                <w:sz w:val="24"/>
              </w:rPr>
              <w:t>配备相应数量的药品、器械和个人防护用品；</w:t>
            </w:r>
          </w:p>
          <w:p>
            <w:pPr>
              <w:ind w:firstLine="480"/>
            </w:pPr>
            <w:r>
              <w:rPr>
                <w:sz w:val="24"/>
              </w:rPr>
              <w:t>5.</w:t>
            </w:r>
            <w:r>
              <w:rPr>
                <w:sz w:val="24"/>
              </w:rPr>
              <w:t>实施消杀作业，应遵守安全操作规定，合理用药，施工到位，保证</w:t>
            </w:r>
            <w:r>
              <w:rPr>
                <w:sz w:val="24"/>
              </w:rPr>
              <w:t>防治效果</w:t>
            </w:r>
            <w:r>
              <w:rPr>
                <w:sz w:val="24"/>
              </w:rPr>
              <w:t>，并防止药物污染环境；</w:t>
            </w:r>
          </w:p>
          <w:p>
            <w:pPr>
              <w:ind w:firstLine="480"/>
            </w:pPr>
            <w:r>
              <w:rPr>
                <w:sz w:val="24"/>
              </w:rPr>
              <w:t>6.</w:t>
            </w:r>
            <w:r>
              <w:rPr>
                <w:sz w:val="24"/>
              </w:rPr>
              <w:t>消杀作业完成后应认真填写除</w:t>
            </w:r>
            <w:r>
              <w:rPr>
                <w:sz w:val="24"/>
              </w:rPr>
              <w:t>“四害”消杀工作记录，并做消杀记录等相关资料的归档和整理。从事消杀的作业人员必须穿着统一公司标识的工作服装，</w:t>
            </w:r>
            <w:r>
              <w:rPr>
                <w:sz w:val="24"/>
              </w:rPr>
              <w:t>佩戴</w:t>
            </w:r>
            <w:r>
              <w:rPr>
                <w:sz w:val="24"/>
              </w:rPr>
              <w:t>《上岗证》。</w:t>
            </w:r>
          </w:p>
          <w:p>
            <w:pPr>
              <w:ind w:firstLine="480"/>
              <w:jc w:val="both"/>
            </w:pPr>
            <w:r>
              <w:rPr>
                <w:sz w:val="24"/>
              </w:rPr>
              <w:t>7.</w:t>
            </w:r>
            <w:r>
              <w:rPr>
                <w:sz w:val="24"/>
              </w:rPr>
              <w:t>根据</w:t>
            </w:r>
            <w:r>
              <w:rPr>
                <w:sz w:val="24"/>
              </w:rPr>
              <w:t>“四害”种类和有关规定，定期进行密度监测或防制效果监测，资料及时统计分析上报并归档保存。</w:t>
            </w:r>
          </w:p>
          <w:p>
            <w:pPr>
              <w:jc w:val="both"/>
            </w:pPr>
            <w:r>
              <w:rPr>
                <w:sz w:val="24"/>
              </w:rPr>
              <w:t>8.全力配合</w:t>
            </w:r>
            <w:r>
              <w:rPr>
                <w:sz w:val="24"/>
              </w:rPr>
              <w:t>采购人</w:t>
            </w:r>
            <w:r>
              <w:rPr>
                <w:sz w:val="24"/>
              </w:rPr>
              <w:t>智慧爱卫平台</w:t>
            </w:r>
            <w:r>
              <w:rPr>
                <w:sz w:val="24"/>
              </w:rPr>
              <w:t>的</w:t>
            </w:r>
            <w:r>
              <w:rPr>
                <w:sz w:val="24"/>
              </w:rPr>
              <w:t>建设及接受</w:t>
            </w:r>
            <w:r>
              <w:rPr>
                <w:sz w:val="24"/>
              </w:rPr>
              <w:t>智慧</w:t>
            </w:r>
            <w:r>
              <w:rPr>
                <w:sz w:val="24"/>
              </w:rPr>
              <w:t>爱卫平台监督，如</w:t>
            </w:r>
            <w:r>
              <w:rPr>
                <w:sz w:val="24"/>
              </w:rPr>
              <w:t>：</w:t>
            </w:r>
            <w:r>
              <w:rPr>
                <w:sz w:val="24"/>
              </w:rPr>
              <w:t>为平台的建设建立</w:t>
            </w:r>
            <w:r>
              <w:rPr>
                <w:sz w:val="24"/>
              </w:rPr>
              <w:t>提供</w:t>
            </w:r>
            <w:r>
              <w:rPr>
                <w:sz w:val="24"/>
              </w:rPr>
              <w:t>数据支撑，对平台反馈问题及时应答、优化等。</w:t>
            </w:r>
          </w:p>
        </w:tc>
      </w:tr>
      <w:tr>
        <w:tc>
          <w:tcPr>
            <w:tcW w:type="dxa" w:w="2076"/>
          </w:tcPr>
          <w:p/>
        </w:tc>
        <w:tc>
          <w:tcPr>
            <w:tcW w:type="dxa" w:w="415"/>
          </w:tcPr>
          <w:p>
            <w:r>
              <w:rPr/>
              <w:t>3</w:t>
            </w:r>
          </w:p>
        </w:tc>
        <w:tc>
          <w:tcPr>
            <w:tcW w:type="dxa" w:w="5814"/>
          </w:tcPr>
          <w:p>
            <w:pPr>
              <w:ind w:firstLine="482"/>
              <w:jc w:val="left"/>
            </w:pPr>
            <w:r>
              <w:rPr>
                <w:b/>
                <w:sz w:val="24"/>
              </w:rPr>
              <w:t>三、</w:t>
            </w:r>
            <w:r>
              <w:rPr>
                <w:b/>
                <w:sz w:val="24"/>
              </w:rPr>
              <w:t>人员及设备要求</w:t>
            </w:r>
          </w:p>
          <w:p>
            <w:pPr>
              <w:ind w:firstLine="480"/>
            </w:pPr>
            <w:r>
              <w:rPr>
                <w:sz w:val="24"/>
              </w:rPr>
              <w:t>1.</w:t>
            </w:r>
            <w:r>
              <w:rPr>
                <w:sz w:val="24"/>
              </w:rPr>
              <w:t>服务人员配备</w:t>
            </w:r>
            <w:r>
              <w:rPr>
                <w:sz w:val="24"/>
              </w:rPr>
              <w:t>要求</w:t>
            </w:r>
            <w:r>
              <w:rPr>
                <w:sz w:val="24"/>
              </w:rPr>
              <w:t>：</w:t>
            </w:r>
            <w:r>
              <w:rPr>
                <w:sz w:val="24"/>
              </w:rPr>
              <w:t>此服务项目需配置</w:t>
            </w:r>
            <w:r>
              <w:rPr>
                <w:sz w:val="24"/>
              </w:rPr>
              <w:t>22名（含）以上专职人员作为服务团队，并指定1名项目负责人。</w:t>
            </w:r>
          </w:p>
          <w:p>
            <w:pPr>
              <w:ind w:firstLine="480"/>
            </w:pPr>
            <w:r>
              <w:rPr>
                <w:sz w:val="24"/>
              </w:rPr>
              <w:t>中标</w:t>
            </w:r>
            <w:r>
              <w:rPr>
                <w:sz w:val="24"/>
              </w:rPr>
              <w:t>人</w:t>
            </w:r>
            <w:r>
              <w:rPr>
                <w:sz w:val="24"/>
              </w:rPr>
              <w:t>在合同履行期间，应当按照投标时承诺的作业人员要求配备，并确保到位，项目实施过程中不得擅自更换作业人员，降低人员配置标准。若出现人员离职离岗情况，须提前向</w:t>
            </w:r>
            <w:r>
              <w:rPr>
                <w:sz w:val="24"/>
              </w:rPr>
              <w:t>采购人</w:t>
            </w:r>
            <w:r>
              <w:rPr>
                <w:sz w:val="24"/>
              </w:rPr>
              <w:t>报备并提供同等或以上资格人员资料备案。否则</w:t>
            </w:r>
            <w:r>
              <w:rPr>
                <w:sz w:val="24"/>
              </w:rPr>
              <w:t>采购人</w:t>
            </w:r>
            <w:r>
              <w:rPr>
                <w:sz w:val="24"/>
              </w:rPr>
              <w:t>有权对中标</w:t>
            </w:r>
            <w:r>
              <w:rPr>
                <w:sz w:val="24"/>
              </w:rPr>
              <w:t>人</w:t>
            </w:r>
            <w:r>
              <w:rPr>
                <w:sz w:val="24"/>
              </w:rPr>
              <w:t>进行</w:t>
            </w:r>
            <w:r>
              <w:rPr>
                <w:sz w:val="24"/>
              </w:rPr>
              <w:t>500</w:t>
            </w:r>
            <w:r>
              <w:rPr>
                <w:sz w:val="24"/>
              </w:rPr>
              <w:t>元</w:t>
            </w:r>
            <w:r>
              <w:rPr>
                <w:sz w:val="24"/>
              </w:rPr>
              <w:t>/人的处罚，并追究由此产生的损失。</w:t>
            </w:r>
          </w:p>
          <w:p>
            <w:pPr>
              <w:ind w:firstLine="480"/>
              <w:jc w:val="both"/>
            </w:pPr>
            <w:r>
              <w:rPr>
                <w:sz w:val="24"/>
              </w:rPr>
              <w:t>2.服务设备配备</w:t>
            </w:r>
            <w:r>
              <w:rPr>
                <w:sz w:val="24"/>
              </w:rPr>
              <w:t>要求：消杀打药车</w:t>
            </w:r>
            <w:r>
              <w:rPr>
                <w:sz w:val="24"/>
              </w:rPr>
              <w:t>5辆，手推式大功率机动打药机5台，机动超低容量打药喷雾机10台，热力烟雾机12台，车载式超低容量喷雾机2台，背负式打药喷雾机10台，</w:t>
            </w:r>
            <w:r>
              <w:rPr>
                <w:sz w:val="24"/>
              </w:rPr>
              <w:t>应急车辆</w:t>
            </w:r>
            <w:r>
              <w:rPr>
                <w:sz w:val="24"/>
              </w:rPr>
              <w:t>1台。</w:t>
            </w:r>
          </w:p>
          <w:p>
            <w:pPr>
              <w:jc w:val="both"/>
            </w:pPr>
            <w:r>
              <w:rPr>
                <w:sz w:val="24"/>
              </w:rPr>
              <w:t>中标</w:t>
            </w:r>
            <w:r>
              <w:rPr>
                <w:sz w:val="24"/>
              </w:rPr>
              <w:t>人</w:t>
            </w:r>
            <w:r>
              <w:rPr>
                <w:sz w:val="24"/>
              </w:rPr>
              <w:t>必须按招标文件要求足额配足车辆及设备专用于本项目，否则</w:t>
            </w:r>
            <w:r>
              <w:rPr>
                <w:sz w:val="24"/>
              </w:rPr>
              <w:t>采购人</w:t>
            </w:r>
            <w:r>
              <w:rPr>
                <w:sz w:val="24"/>
              </w:rPr>
              <w:t>有权对中标</w:t>
            </w:r>
            <w:r>
              <w:rPr>
                <w:sz w:val="24"/>
              </w:rPr>
              <w:t>人</w:t>
            </w:r>
            <w:r>
              <w:rPr>
                <w:sz w:val="24"/>
              </w:rPr>
              <w:t>进行</w:t>
            </w:r>
            <w:r>
              <w:rPr>
                <w:sz w:val="24"/>
              </w:rPr>
              <w:t>500</w:t>
            </w:r>
            <w:r>
              <w:rPr>
                <w:sz w:val="24"/>
              </w:rPr>
              <w:t>元</w:t>
            </w:r>
            <w:r>
              <w:rPr>
                <w:sz w:val="24"/>
              </w:rPr>
              <w:t>/</w:t>
            </w:r>
            <w:r>
              <w:rPr>
                <w:sz w:val="24"/>
              </w:rPr>
              <w:t>台</w:t>
            </w:r>
            <w:r>
              <w:rPr>
                <w:sz w:val="24"/>
              </w:rPr>
              <w:t>的处罚，并追究由此产生的损失。</w:t>
            </w:r>
          </w:p>
        </w:tc>
      </w:tr>
      <w:tr>
        <w:tc>
          <w:tcPr>
            <w:tcW w:type="dxa" w:w="2076"/>
          </w:tcPr>
          <w:p/>
        </w:tc>
        <w:tc>
          <w:tcPr>
            <w:tcW w:type="dxa" w:w="415"/>
          </w:tcPr>
          <w:p>
            <w:r>
              <w:rPr/>
              <w:t>4</w:t>
            </w:r>
          </w:p>
        </w:tc>
        <w:tc>
          <w:tcPr>
            <w:tcW w:type="dxa" w:w="5814"/>
          </w:tcPr>
          <w:p>
            <w:pPr>
              <w:ind w:firstLine="482"/>
              <w:jc w:val="left"/>
            </w:pPr>
            <w:r>
              <w:rPr>
                <w:b/>
                <w:sz w:val="24"/>
              </w:rPr>
              <w:t>四、</w:t>
            </w:r>
            <w:r>
              <w:rPr>
                <w:b/>
                <w:sz w:val="24"/>
              </w:rPr>
              <w:t>投入药物要求</w:t>
            </w:r>
          </w:p>
          <w:tbl>
            <w:tblPr>
              <w:tblBorders>
                <w:top w:val="none" w:color="000000" w:sz="4"/>
                <w:left w:val="none" w:color="000000" w:sz="4"/>
                <w:bottom w:val="none" w:color="000000" w:sz="4"/>
                <w:right w:val="none" w:color="000000" w:sz="4"/>
                <w:insideH w:val="none"/>
                <w:insideV w:val="none"/>
              </w:tblBorders>
            </w:tblPr>
            <w:tblGrid>
              <w:gridCol w:w="414"/>
              <w:gridCol w:w="1192"/>
              <w:gridCol w:w="1380"/>
              <w:gridCol w:w="640"/>
              <w:gridCol w:w="1091"/>
              <w:gridCol w:w="828"/>
            </w:tblGrid>
            <w:tr>
              <w:tc>
                <w:tcPr>
                  <w:tcW w:type="dxa" w:w="414"/>
                  <w:tcBorders>
                    <w:top w:val="single" w:color="000000" w:sz="8"/>
                    <w:left w:val="single" w:color="000000" w:sz="8"/>
                    <w:bottom w:val="single" w:color="000000" w:sz="4"/>
                    <w:right w:val="single" w:color="000000" w:sz="4"/>
                  </w:tcBorders>
                  <w:vAlign w:val="top"/>
                </w:tcPr>
                <w:p>
                  <w:pPr>
                    <w:jc w:val="center"/>
                  </w:pPr>
                  <w:r>
                    <w:rPr>
                      <w:sz w:val="24"/>
                    </w:rPr>
                    <w:t>序号</w:t>
                  </w:r>
                </w:p>
              </w:tc>
              <w:tc>
                <w:tcPr>
                  <w:tcW w:type="dxa" w:w="1192"/>
                  <w:tcBorders>
                    <w:top w:val="single" w:color="000000" w:sz="8"/>
                    <w:left w:val="single" w:color="000000" w:sz="4"/>
                    <w:bottom w:val="single" w:color="000000" w:sz="4"/>
                    <w:right w:val="single" w:color="000000" w:sz="4"/>
                  </w:tcBorders>
                  <w:vAlign w:val="top"/>
                </w:tcPr>
                <w:p>
                  <w:pPr>
                    <w:jc w:val="center"/>
                  </w:pPr>
                  <w:r>
                    <w:rPr>
                      <w:sz w:val="24"/>
                    </w:rPr>
                    <w:t>药品名称</w:t>
                  </w:r>
                </w:p>
              </w:tc>
              <w:tc>
                <w:tcPr>
                  <w:tcW w:type="dxa" w:w="1380"/>
                  <w:tcBorders>
                    <w:top w:val="single" w:color="000000" w:sz="8"/>
                    <w:left w:val="single" w:color="000000" w:sz="4"/>
                    <w:bottom w:val="single" w:color="000000" w:sz="4"/>
                    <w:right w:val="single" w:color="000000" w:sz="4"/>
                  </w:tcBorders>
                  <w:vAlign w:val="top"/>
                </w:tcPr>
                <w:p>
                  <w:pPr>
                    <w:jc w:val="center"/>
                  </w:pPr>
                  <w:r>
                    <w:rPr>
                      <w:sz w:val="24"/>
                    </w:rPr>
                    <w:t>有效成分含量</w:t>
                  </w:r>
                </w:p>
              </w:tc>
              <w:tc>
                <w:tcPr>
                  <w:tcW w:type="dxa" w:w="640"/>
                  <w:tcBorders>
                    <w:top w:val="single" w:color="000000" w:sz="8"/>
                    <w:left w:val="single" w:color="000000" w:sz="4"/>
                    <w:bottom w:val="single" w:color="000000" w:sz="4"/>
                    <w:right w:val="single" w:color="000000" w:sz="4"/>
                  </w:tcBorders>
                  <w:vAlign w:val="top"/>
                </w:tcPr>
                <w:p>
                  <w:pPr>
                    <w:jc w:val="center"/>
                  </w:pPr>
                  <w:r>
                    <w:rPr>
                      <w:sz w:val="24"/>
                    </w:rPr>
                    <w:t>剂型</w:t>
                  </w:r>
                </w:p>
              </w:tc>
              <w:tc>
                <w:tcPr>
                  <w:tcW w:type="dxa" w:w="1091"/>
                  <w:tcBorders>
                    <w:top w:val="single" w:color="000000" w:sz="8"/>
                    <w:left w:val="single" w:color="000000" w:sz="4"/>
                    <w:bottom w:val="single" w:color="000000" w:sz="4"/>
                    <w:right w:val="single" w:color="000000" w:sz="4"/>
                  </w:tcBorders>
                  <w:vAlign w:val="top"/>
                </w:tcPr>
                <w:p>
                  <w:pPr>
                    <w:jc w:val="center"/>
                  </w:pPr>
                  <w:r>
                    <w:rPr>
                      <w:sz w:val="24"/>
                    </w:rPr>
                    <w:t>用途</w:t>
                  </w:r>
                  <w:r>
                    <w:rPr>
                      <w:sz w:val="24"/>
                    </w:rPr>
                    <w:t>说明</w:t>
                  </w:r>
                </w:p>
              </w:tc>
              <w:tc>
                <w:tcPr>
                  <w:tcW w:type="dxa" w:w="828"/>
                  <w:tcBorders>
                    <w:top w:val="single" w:color="000000" w:sz="8"/>
                    <w:left w:val="single" w:color="000000" w:sz="4"/>
                    <w:bottom w:val="single" w:color="000000" w:sz="4"/>
                    <w:right w:val="single" w:color="000000" w:sz="8"/>
                  </w:tcBorders>
                  <w:vAlign w:val="top"/>
                </w:tcPr>
                <w:p>
                  <w:pPr>
                    <w:jc w:val="center"/>
                  </w:pPr>
                  <w:r>
                    <w:rPr>
                      <w:sz w:val="24"/>
                    </w:rPr>
                    <w:t>指标要求</w:t>
                  </w:r>
                </w:p>
              </w:tc>
            </w:tr>
            <w:tr>
              <w:tc>
                <w:tcPr>
                  <w:tcW w:type="dxa" w:w="414"/>
                  <w:tcBorders>
                    <w:top w:val="single" w:color="000000" w:sz="4"/>
                    <w:left w:val="single" w:color="000000" w:sz="8"/>
                    <w:bottom w:val="single" w:color="000000" w:sz="4"/>
                    <w:right w:val="single" w:color="000000" w:sz="4"/>
                  </w:tcBorders>
                  <w:vAlign w:val="top"/>
                </w:tcPr>
                <w:p>
                  <w:pPr>
                    <w:jc w:val="center"/>
                  </w:pPr>
                  <w:r>
                    <w:rPr>
                      <w:sz w:val="24"/>
                    </w:rPr>
                    <w:t>1</w:t>
                  </w:r>
                </w:p>
              </w:tc>
              <w:tc>
                <w:tcPr>
                  <w:tcW w:type="dxa" w:w="1192"/>
                  <w:tcBorders>
                    <w:top w:val="single" w:color="000000" w:sz="4"/>
                    <w:left w:val="single" w:color="000000" w:sz="4"/>
                    <w:bottom w:val="single" w:color="000000" w:sz="4"/>
                    <w:right w:val="single" w:color="000000" w:sz="4"/>
                  </w:tcBorders>
                  <w:vAlign w:val="top"/>
                </w:tcPr>
                <w:p>
                  <w:pPr>
                    <w:jc w:val="center"/>
                  </w:pPr>
                  <w:r>
                    <w:rPr>
                      <w:sz w:val="24"/>
                    </w:rPr>
                    <w:t>高效氯氰菊酯</w:t>
                  </w:r>
                </w:p>
              </w:tc>
              <w:tc>
                <w:tcPr>
                  <w:tcW w:type="dxa" w:w="1380"/>
                  <w:tcBorders>
                    <w:top w:val="single" w:color="000000" w:sz="4"/>
                    <w:left w:val="single" w:color="000000" w:sz="4"/>
                    <w:bottom w:val="single" w:color="000000" w:sz="4"/>
                    <w:right w:val="single" w:color="000000" w:sz="4"/>
                  </w:tcBorders>
                  <w:vAlign w:val="top"/>
                </w:tcPr>
                <w:p>
                  <w:pPr>
                    <w:jc w:val="center"/>
                  </w:pPr>
                  <w:r>
                    <w:rPr>
                      <w:sz w:val="24"/>
                    </w:rPr>
                    <w:t>高效氯氰菊酯含量</w:t>
                  </w:r>
                  <w:r>
                    <w:rPr>
                      <w:sz w:val="24"/>
                    </w:rPr>
                    <w:t>≥4.5%</w:t>
                  </w:r>
                </w:p>
              </w:tc>
              <w:tc>
                <w:tcPr>
                  <w:tcW w:type="dxa" w:w="640"/>
                  <w:tcBorders>
                    <w:top w:val="single" w:color="000000" w:sz="4"/>
                    <w:left w:val="single" w:color="000000" w:sz="4"/>
                    <w:bottom w:val="single" w:color="000000" w:sz="4"/>
                    <w:right w:val="single" w:color="000000" w:sz="4"/>
                  </w:tcBorders>
                  <w:vAlign w:val="top"/>
                </w:tcPr>
                <w:p>
                  <w:pPr>
                    <w:jc w:val="center"/>
                  </w:pPr>
                  <w:r>
                    <w:rPr>
                      <w:sz w:val="24"/>
                    </w:rPr>
                    <w:t>微乳剂、悬浮剂</w:t>
                  </w:r>
                </w:p>
              </w:tc>
              <w:tc>
                <w:tcPr>
                  <w:tcW w:type="dxa" w:w="1091"/>
                  <w:vMerge w:val="restart"/>
                  <w:tcBorders>
                    <w:top w:val="single" w:color="000000" w:sz="4"/>
                    <w:left w:val="single" w:color="000000" w:sz="4"/>
                    <w:bottom w:val="single" w:color="000000" w:sz="4"/>
                    <w:right w:val="single" w:color="000000" w:sz="4"/>
                  </w:tcBorders>
                  <w:vAlign w:val="top"/>
                </w:tcPr>
                <w:p>
                  <w:pPr>
                    <w:jc w:val="center"/>
                  </w:pPr>
                  <w:r>
                    <w:rPr>
                      <w:sz w:val="24"/>
                    </w:rPr>
                    <w:t>室内外灭成蚊、蝇等。</w:t>
                  </w:r>
                </w:p>
              </w:tc>
              <w:tc>
                <w:tcPr>
                  <w:tcW w:type="dxa" w:w="828"/>
                  <w:tcBorders>
                    <w:top w:val="single" w:color="000000" w:sz="4"/>
                    <w:left w:val="single" w:color="000000" w:sz="4"/>
                    <w:bottom w:val="single" w:color="000000" w:sz="4"/>
                    <w:right w:val="single" w:color="000000" w:sz="8"/>
                  </w:tcBorders>
                  <w:vAlign w:val="top"/>
                </w:tcPr>
                <w:p>
                  <w:pPr>
                    <w:jc w:val="center"/>
                  </w:pPr>
                  <w:r>
                    <w:rPr>
                      <w:sz w:val="24"/>
                    </w:rPr>
                    <w:t>▲</w:t>
                  </w:r>
                </w:p>
              </w:tc>
            </w:tr>
            <w:tr>
              <w:tc>
                <w:tcPr>
                  <w:tcW w:type="dxa" w:w="414"/>
                  <w:tcBorders>
                    <w:top w:val="single" w:color="000000" w:sz="4"/>
                    <w:left w:val="single" w:color="000000" w:sz="8"/>
                    <w:bottom w:val="single" w:color="000000" w:sz="4"/>
                    <w:right w:val="single" w:color="000000" w:sz="4"/>
                  </w:tcBorders>
                  <w:vAlign w:val="top"/>
                </w:tcPr>
                <w:p>
                  <w:pPr>
                    <w:jc w:val="center"/>
                  </w:pPr>
                  <w:r>
                    <w:rPr>
                      <w:sz w:val="24"/>
                    </w:rPr>
                    <w:t>2</w:t>
                  </w:r>
                </w:p>
              </w:tc>
              <w:tc>
                <w:tcPr>
                  <w:tcW w:type="dxa" w:w="1192"/>
                  <w:tcBorders>
                    <w:top w:val="single" w:color="000000" w:sz="4"/>
                    <w:left w:val="single" w:color="000000" w:sz="4"/>
                    <w:bottom w:val="single" w:color="000000" w:sz="4"/>
                    <w:right w:val="single" w:color="000000" w:sz="4"/>
                  </w:tcBorders>
                  <w:vAlign w:val="top"/>
                </w:tcPr>
                <w:p>
                  <w:pPr>
                    <w:jc w:val="center"/>
                  </w:pPr>
                  <w:r>
                    <w:rPr>
                      <w:sz w:val="24"/>
                    </w:rPr>
                    <w:t>右胺</w:t>
                  </w:r>
                  <w:r>
                    <w:rPr>
                      <w:sz w:val="24"/>
                    </w:rPr>
                    <w:t>·高氯氟</w:t>
                  </w:r>
                </w:p>
              </w:tc>
              <w:tc>
                <w:tcPr>
                  <w:tcW w:type="dxa" w:w="1380"/>
                  <w:tcBorders>
                    <w:top w:val="single" w:color="000000" w:sz="4"/>
                    <w:left w:val="single" w:color="000000" w:sz="4"/>
                    <w:bottom w:val="single" w:color="000000" w:sz="4"/>
                    <w:right w:val="single" w:color="000000" w:sz="4"/>
                  </w:tcBorders>
                  <w:vAlign w:val="top"/>
                </w:tcPr>
                <w:p>
                  <w:pPr>
                    <w:jc w:val="center"/>
                  </w:pPr>
                  <w:r>
                    <w:rPr>
                      <w:sz w:val="24"/>
                    </w:rPr>
                    <w:t>右旋胺菊酯</w:t>
                  </w:r>
                  <w:r>
                    <w:rPr>
                      <w:sz w:val="24"/>
                    </w:rPr>
                    <w:t>≥2%、高效氯氟氰菊酯≥3%</w:t>
                  </w:r>
                </w:p>
              </w:tc>
              <w:tc>
                <w:tcPr>
                  <w:tcW w:type="dxa" w:w="640"/>
                  <w:tcBorders>
                    <w:top w:val="single" w:color="000000" w:sz="4"/>
                    <w:left w:val="single" w:color="000000" w:sz="4"/>
                    <w:bottom w:val="single" w:color="000000" w:sz="4"/>
                    <w:right w:val="single" w:color="000000" w:sz="4"/>
                  </w:tcBorders>
                  <w:vAlign w:val="top"/>
                </w:tcPr>
                <w:p>
                  <w:pPr>
                    <w:jc w:val="center"/>
                  </w:pPr>
                  <w:r>
                    <w:rPr>
                      <w:sz w:val="24"/>
                    </w:rPr>
                    <w:t>水乳剂</w:t>
                  </w:r>
                </w:p>
              </w:tc>
              <w:tc>
                <w:tcPr>
                  <w:tcW w:type="dxa" w:w="1091"/>
                  <w:vMerge/>
                  <w:tcBorders>
                    <w:top w:val="single" w:color="000000" w:sz="4"/>
                    <w:left w:val="single" w:color="000000" w:sz="4"/>
                    <w:bottom w:val="single" w:color="000000" w:sz="4"/>
                    <w:right w:val="single" w:color="000000" w:sz="4"/>
                  </w:tcBorders>
                </w:tcPr>
                <w:p/>
              </w:tc>
              <w:tc>
                <w:tcPr>
                  <w:tcW w:type="dxa" w:w="828"/>
                  <w:tcBorders>
                    <w:top w:val="single" w:color="000000" w:sz="4"/>
                    <w:left w:val="single" w:color="000000" w:sz="4"/>
                    <w:bottom w:val="single" w:color="000000" w:sz="4"/>
                    <w:right w:val="single" w:color="000000" w:sz="8"/>
                  </w:tcBorders>
                  <w:vAlign w:val="top"/>
                </w:tcPr>
                <w:p>
                  <w:pPr>
                    <w:jc w:val="center"/>
                  </w:pPr>
                  <w:r>
                    <w:rPr>
                      <w:sz w:val="24"/>
                    </w:rPr>
                    <w:t>▲</w:t>
                  </w:r>
                </w:p>
              </w:tc>
            </w:tr>
            <w:tr>
              <w:tc>
                <w:tcPr>
                  <w:tcW w:type="dxa" w:w="414"/>
                  <w:tcBorders>
                    <w:top w:val="single" w:color="000000" w:sz="4"/>
                    <w:left w:val="single" w:color="000000" w:sz="8"/>
                    <w:bottom w:val="single" w:color="000000" w:sz="4"/>
                    <w:right w:val="single" w:color="000000" w:sz="4"/>
                  </w:tcBorders>
                  <w:vAlign w:val="top"/>
                </w:tcPr>
                <w:p>
                  <w:pPr>
                    <w:jc w:val="center"/>
                  </w:pPr>
                  <w:r>
                    <w:rPr>
                      <w:sz w:val="24"/>
                    </w:rPr>
                    <w:t>3</w:t>
                  </w:r>
                </w:p>
              </w:tc>
              <w:tc>
                <w:tcPr>
                  <w:tcW w:type="dxa" w:w="1192"/>
                  <w:tcBorders>
                    <w:top w:val="single" w:color="000000" w:sz="4"/>
                    <w:left w:val="single" w:color="000000" w:sz="4"/>
                    <w:bottom w:val="single" w:color="000000" w:sz="4"/>
                    <w:right w:val="single" w:color="000000" w:sz="4"/>
                  </w:tcBorders>
                  <w:vAlign w:val="top"/>
                </w:tcPr>
                <w:p>
                  <w:pPr>
                    <w:jc w:val="center"/>
                  </w:pPr>
                  <w:r>
                    <w:rPr>
                      <w:sz w:val="24"/>
                    </w:rPr>
                    <w:t>高氯</w:t>
                  </w:r>
                  <w:r>
                    <w:rPr>
                      <w:sz w:val="24"/>
                    </w:rPr>
                    <w:t>·残杀威</w:t>
                  </w:r>
                </w:p>
              </w:tc>
              <w:tc>
                <w:tcPr>
                  <w:tcW w:type="dxa" w:w="1380"/>
                  <w:tcBorders>
                    <w:top w:val="single" w:color="000000" w:sz="4"/>
                    <w:left w:val="single" w:color="000000" w:sz="4"/>
                    <w:bottom w:val="single" w:color="000000" w:sz="4"/>
                    <w:right w:val="single" w:color="000000" w:sz="4"/>
                  </w:tcBorders>
                  <w:vAlign w:val="top"/>
                </w:tcPr>
                <w:p>
                  <w:pPr>
                    <w:jc w:val="center"/>
                  </w:pPr>
                  <w:r>
                    <w:rPr>
                      <w:sz w:val="24"/>
                    </w:rPr>
                    <w:t>混配总含量</w:t>
                  </w:r>
                  <w:r>
                    <w:rPr>
                      <w:sz w:val="24"/>
                    </w:rPr>
                    <w:t>≥10%</w:t>
                  </w:r>
                </w:p>
              </w:tc>
              <w:tc>
                <w:tcPr>
                  <w:tcW w:type="dxa" w:w="640"/>
                  <w:tcBorders>
                    <w:top w:val="single" w:color="000000" w:sz="4"/>
                    <w:left w:val="single" w:color="000000" w:sz="4"/>
                    <w:bottom w:val="single" w:color="000000" w:sz="4"/>
                    <w:right w:val="single" w:color="000000" w:sz="4"/>
                  </w:tcBorders>
                  <w:vAlign w:val="top"/>
                </w:tcPr>
                <w:p>
                  <w:pPr>
                    <w:jc w:val="center"/>
                  </w:pPr>
                  <w:r>
                    <w:rPr>
                      <w:sz w:val="24"/>
                    </w:rPr>
                    <w:t>悬浮剂</w:t>
                  </w:r>
                </w:p>
              </w:tc>
              <w:tc>
                <w:tcPr>
                  <w:tcW w:type="dxa" w:w="1091"/>
                  <w:vMerge/>
                  <w:tcBorders>
                    <w:top w:val="single" w:color="000000" w:sz="4"/>
                    <w:left w:val="single" w:color="000000" w:sz="4"/>
                    <w:bottom w:val="single" w:color="000000" w:sz="4"/>
                    <w:right w:val="single" w:color="000000" w:sz="4"/>
                  </w:tcBorders>
                </w:tcPr>
                <w:p/>
              </w:tc>
              <w:tc>
                <w:tcPr>
                  <w:tcW w:type="dxa" w:w="828"/>
                  <w:tcBorders>
                    <w:top w:val="single" w:color="000000" w:sz="4"/>
                    <w:left w:val="single" w:color="000000" w:sz="4"/>
                    <w:bottom w:val="single" w:color="000000" w:sz="4"/>
                    <w:right w:val="single" w:color="000000" w:sz="8"/>
                  </w:tcBorders>
                  <w:vAlign w:val="top"/>
                </w:tcPr>
                <w:p>
                  <w:pPr>
                    <w:jc w:val="center"/>
                  </w:pPr>
                  <w:r>
                    <w:rPr>
                      <w:sz w:val="24"/>
                    </w:rPr>
                    <w:t>▲</w:t>
                  </w:r>
                </w:p>
              </w:tc>
            </w:tr>
            <w:tr>
              <w:tc>
                <w:tcPr>
                  <w:tcW w:type="dxa" w:w="414"/>
                  <w:tcBorders>
                    <w:top w:val="single" w:color="000000" w:sz="4"/>
                    <w:left w:val="single" w:color="000000" w:sz="8"/>
                    <w:bottom w:val="single" w:color="000000" w:sz="4"/>
                    <w:right w:val="single" w:color="000000" w:sz="4"/>
                  </w:tcBorders>
                  <w:vAlign w:val="top"/>
                </w:tcPr>
                <w:p>
                  <w:pPr>
                    <w:jc w:val="center"/>
                  </w:pPr>
                  <w:r>
                    <w:rPr>
                      <w:sz w:val="24"/>
                    </w:rPr>
                    <w:t>4</w:t>
                  </w:r>
                </w:p>
              </w:tc>
              <w:tc>
                <w:tcPr>
                  <w:tcW w:type="dxa" w:w="1192"/>
                  <w:tcBorders>
                    <w:top w:val="single" w:color="000000" w:sz="4"/>
                    <w:left w:val="single" w:color="000000" w:sz="4"/>
                    <w:bottom w:val="single" w:color="000000" w:sz="4"/>
                    <w:right w:val="single" w:color="000000" w:sz="4"/>
                  </w:tcBorders>
                  <w:vAlign w:val="top"/>
                </w:tcPr>
                <w:p>
                  <w:pPr>
                    <w:jc w:val="center"/>
                  </w:pPr>
                  <w:r>
                    <w:rPr>
                      <w:sz w:val="24"/>
                    </w:rPr>
                    <w:t>烯丙</w:t>
                  </w:r>
                  <w:r>
                    <w:rPr>
                      <w:sz w:val="24"/>
                    </w:rPr>
                    <w:t>·氯菊</w:t>
                  </w:r>
                </w:p>
              </w:tc>
              <w:tc>
                <w:tcPr>
                  <w:tcW w:type="dxa" w:w="1380"/>
                  <w:tcBorders>
                    <w:top w:val="single" w:color="000000" w:sz="4"/>
                    <w:left w:val="single" w:color="000000" w:sz="4"/>
                    <w:bottom w:val="single" w:color="000000" w:sz="4"/>
                    <w:right w:val="single" w:color="000000" w:sz="4"/>
                  </w:tcBorders>
                  <w:vAlign w:val="top"/>
                </w:tcPr>
                <w:p>
                  <w:pPr>
                    <w:jc w:val="center"/>
                  </w:pPr>
                  <w:r>
                    <w:rPr>
                      <w:sz w:val="24"/>
                    </w:rPr>
                    <w:t>富右旋反式烯丙菊酯</w:t>
                  </w:r>
                  <w:r>
                    <w:rPr>
                      <w:sz w:val="24"/>
                    </w:rPr>
                    <w:t>≥4%，氯菊酯≥8%</w:t>
                  </w:r>
                </w:p>
              </w:tc>
              <w:tc>
                <w:tcPr>
                  <w:tcW w:type="dxa" w:w="640"/>
                  <w:tcBorders>
                    <w:top w:val="single" w:color="000000" w:sz="4"/>
                    <w:left w:val="single" w:color="000000" w:sz="4"/>
                    <w:bottom w:val="single" w:color="000000" w:sz="4"/>
                    <w:right w:val="single" w:color="000000" w:sz="4"/>
                  </w:tcBorders>
                  <w:vAlign w:val="top"/>
                </w:tcPr>
                <w:p>
                  <w:pPr>
                    <w:jc w:val="center"/>
                  </w:pPr>
                  <w:r>
                    <w:rPr>
                      <w:sz w:val="24"/>
                    </w:rPr>
                    <w:t>水乳剂</w:t>
                  </w:r>
                </w:p>
              </w:tc>
              <w:tc>
                <w:tcPr>
                  <w:tcW w:type="dxa" w:w="1091"/>
                  <w:tcBorders>
                    <w:top w:val="single" w:color="000000" w:sz="4"/>
                    <w:left w:val="single" w:color="000000" w:sz="4"/>
                    <w:bottom w:val="single" w:color="000000" w:sz="4"/>
                    <w:right w:val="single" w:color="000000" w:sz="4"/>
                  </w:tcBorders>
                  <w:vAlign w:val="top"/>
                </w:tcPr>
                <w:p>
                  <w:pPr>
                    <w:jc w:val="center"/>
                  </w:pPr>
                  <w:r>
                    <w:rPr>
                      <w:sz w:val="24"/>
                    </w:rPr>
                    <w:t>超低容量控制蚊、蝇密度。</w:t>
                  </w:r>
                </w:p>
              </w:tc>
              <w:tc>
                <w:tcPr>
                  <w:tcW w:type="dxa" w:w="828"/>
                  <w:tcBorders>
                    <w:top w:val="single" w:color="000000" w:sz="4"/>
                    <w:left w:val="single" w:color="000000" w:sz="4"/>
                    <w:bottom w:val="single" w:color="000000" w:sz="4"/>
                    <w:right w:val="single" w:color="000000" w:sz="8"/>
                  </w:tcBorders>
                  <w:vAlign w:val="top"/>
                </w:tcPr>
                <w:p>
                  <w:pPr>
                    <w:jc w:val="center"/>
                  </w:pPr>
                  <w:r>
                    <w:rPr>
                      <w:sz w:val="24"/>
                    </w:rPr>
                    <w:t>▲</w:t>
                  </w:r>
                </w:p>
              </w:tc>
            </w:tr>
            <w:tr>
              <w:tc>
                <w:tcPr>
                  <w:tcW w:type="dxa" w:w="414"/>
                  <w:tcBorders>
                    <w:top w:val="single" w:color="000000" w:sz="4"/>
                    <w:left w:val="single" w:color="000000" w:sz="8"/>
                    <w:bottom w:val="single" w:color="000000" w:sz="4"/>
                    <w:right w:val="single" w:color="000000" w:sz="4"/>
                  </w:tcBorders>
                  <w:vAlign w:val="top"/>
                </w:tcPr>
                <w:p>
                  <w:pPr>
                    <w:jc w:val="center"/>
                  </w:pPr>
                  <w:r>
                    <w:rPr>
                      <w:sz w:val="24"/>
                    </w:rPr>
                    <w:t>5</w:t>
                  </w:r>
                </w:p>
              </w:tc>
              <w:tc>
                <w:tcPr>
                  <w:tcW w:type="dxa" w:w="1192"/>
                  <w:tcBorders>
                    <w:top w:val="single" w:color="000000" w:sz="4"/>
                    <w:left w:val="single" w:color="000000" w:sz="4"/>
                    <w:bottom w:val="single" w:color="000000" w:sz="4"/>
                    <w:right w:val="single" w:color="000000" w:sz="4"/>
                  </w:tcBorders>
                  <w:vAlign w:val="top"/>
                </w:tcPr>
                <w:p>
                  <w:pPr>
                    <w:jc w:val="center"/>
                  </w:pPr>
                  <w:r>
                    <w:rPr>
                      <w:sz w:val="24"/>
                    </w:rPr>
                    <w:t>杀虫颗粒剂</w:t>
                  </w:r>
                </w:p>
              </w:tc>
              <w:tc>
                <w:tcPr>
                  <w:tcW w:type="dxa" w:w="1380"/>
                  <w:tcBorders>
                    <w:top w:val="single" w:color="000000" w:sz="4"/>
                    <w:left w:val="single" w:color="000000" w:sz="4"/>
                    <w:bottom w:val="single" w:color="000000" w:sz="4"/>
                    <w:right w:val="single" w:color="000000" w:sz="4"/>
                  </w:tcBorders>
                  <w:vAlign w:val="top"/>
                </w:tcPr>
                <w:p>
                  <w:pPr>
                    <w:jc w:val="center"/>
                  </w:pPr>
                  <w:r>
                    <w:rPr>
                      <w:sz w:val="24"/>
                    </w:rPr>
                    <w:t>倍硫磷</w:t>
                  </w:r>
                  <w:r>
                    <w:rPr>
                      <w:sz w:val="24"/>
                    </w:rPr>
                    <w:t>≥4.5%</w:t>
                  </w:r>
                </w:p>
                <w:p>
                  <w:pPr>
                    <w:jc w:val="center"/>
                  </w:pPr>
                  <w:r>
                    <w:rPr>
                      <w:sz w:val="24"/>
                    </w:rPr>
                    <w:t>吡丙醚</w:t>
                  </w:r>
                  <w:r>
                    <w:rPr>
                      <w:sz w:val="24"/>
                    </w:rPr>
                    <w:t>≥0.5%</w:t>
                  </w:r>
                </w:p>
              </w:tc>
              <w:tc>
                <w:tcPr>
                  <w:tcW w:type="dxa" w:w="640"/>
                  <w:tcBorders>
                    <w:top w:val="single" w:color="000000" w:sz="4"/>
                    <w:left w:val="single" w:color="000000" w:sz="4"/>
                    <w:bottom w:val="single" w:color="000000" w:sz="4"/>
                    <w:right w:val="single" w:color="000000" w:sz="4"/>
                  </w:tcBorders>
                  <w:vAlign w:val="top"/>
                </w:tcPr>
                <w:p>
                  <w:pPr>
                    <w:jc w:val="center"/>
                  </w:pPr>
                  <w:r>
                    <w:rPr>
                      <w:sz w:val="24"/>
                    </w:rPr>
                    <w:t>颗粒剂</w:t>
                  </w:r>
                </w:p>
              </w:tc>
              <w:tc>
                <w:tcPr>
                  <w:tcW w:type="dxa" w:w="1091"/>
                  <w:tcBorders>
                    <w:top w:val="single" w:color="000000" w:sz="4"/>
                    <w:left w:val="single" w:color="000000" w:sz="4"/>
                    <w:bottom w:val="single" w:color="000000" w:sz="4"/>
                    <w:right w:val="single" w:color="000000" w:sz="4"/>
                  </w:tcBorders>
                  <w:vAlign w:val="top"/>
                </w:tcPr>
                <w:p>
                  <w:pPr>
                    <w:jc w:val="center"/>
                  </w:pPr>
                  <w:r>
                    <w:rPr>
                      <w:sz w:val="24"/>
                    </w:rPr>
                    <w:t>化学水体灭蚊幼虫</w:t>
                  </w:r>
                </w:p>
              </w:tc>
              <w:tc>
                <w:tcPr>
                  <w:tcW w:type="dxa" w:w="828"/>
                  <w:tcBorders>
                    <w:top w:val="single" w:color="000000" w:sz="4"/>
                    <w:left w:val="single" w:color="000000" w:sz="4"/>
                    <w:bottom w:val="single" w:color="000000" w:sz="4"/>
                    <w:right w:val="single" w:color="000000" w:sz="8"/>
                  </w:tcBorders>
                  <w:vAlign w:val="top"/>
                </w:tcPr>
                <w:p>
                  <w:pPr>
                    <w:jc w:val="center"/>
                  </w:pPr>
                  <w:r>
                    <w:rPr>
                      <w:sz w:val="24"/>
                    </w:rPr>
                    <w:t>▲</w:t>
                  </w:r>
                </w:p>
              </w:tc>
            </w:tr>
            <w:tr>
              <w:tc>
                <w:tcPr>
                  <w:tcW w:type="dxa" w:w="414"/>
                  <w:tcBorders>
                    <w:top w:val="single" w:color="000000" w:sz="4"/>
                    <w:left w:val="single" w:color="000000" w:sz="8"/>
                    <w:bottom w:val="single" w:color="000000" w:sz="4"/>
                    <w:right w:val="single" w:color="000000" w:sz="4"/>
                  </w:tcBorders>
                  <w:vAlign w:val="top"/>
                </w:tcPr>
                <w:p>
                  <w:pPr>
                    <w:jc w:val="center"/>
                  </w:pPr>
                  <w:r>
                    <w:rPr>
                      <w:sz w:val="24"/>
                    </w:rPr>
                    <w:t>6</w:t>
                  </w:r>
                </w:p>
              </w:tc>
              <w:tc>
                <w:tcPr>
                  <w:tcW w:type="dxa" w:w="1192"/>
                  <w:tcBorders>
                    <w:top w:val="single" w:color="000000" w:sz="4"/>
                    <w:left w:val="single" w:color="000000" w:sz="4"/>
                    <w:bottom w:val="single" w:color="000000" w:sz="4"/>
                    <w:right w:val="single" w:color="000000" w:sz="4"/>
                  </w:tcBorders>
                  <w:vAlign w:val="top"/>
                </w:tcPr>
                <w:p>
                  <w:pPr>
                    <w:jc w:val="center"/>
                  </w:pPr>
                  <w:r>
                    <w:rPr>
                      <w:sz w:val="24"/>
                    </w:rPr>
                    <w:t>苏云金杆菌悬浮剂</w:t>
                  </w:r>
                </w:p>
              </w:tc>
              <w:tc>
                <w:tcPr>
                  <w:tcW w:type="dxa" w:w="1380"/>
                  <w:tcBorders>
                    <w:top w:val="single" w:color="000000" w:sz="4"/>
                    <w:left w:val="single" w:color="000000" w:sz="4"/>
                    <w:bottom w:val="single" w:color="000000" w:sz="4"/>
                    <w:right w:val="single" w:color="000000" w:sz="4"/>
                  </w:tcBorders>
                  <w:vAlign w:val="top"/>
                </w:tcPr>
                <w:p>
                  <w:pPr>
                    <w:jc w:val="center"/>
                  </w:pPr>
                  <w:r>
                    <w:rPr>
                      <w:sz w:val="24"/>
                    </w:rPr>
                    <w:t>苏云金杆菌</w:t>
                  </w:r>
                  <w:r>
                    <w:rPr>
                      <w:sz w:val="24"/>
                    </w:rPr>
                    <w:t>（</w:t>
                  </w:r>
                  <w:r>
                    <w:rPr>
                      <w:sz w:val="24"/>
                    </w:rPr>
                    <w:t>以色列亚种</w:t>
                  </w:r>
                  <w:r>
                    <w:rPr>
                      <w:sz w:val="24"/>
                    </w:rPr>
                    <w:t>）</w:t>
                  </w:r>
                  <w:r>
                    <w:rPr>
                      <w:sz w:val="24"/>
                    </w:rPr>
                    <w:t>≥600ITU/毫克</w:t>
                  </w:r>
                </w:p>
              </w:tc>
              <w:tc>
                <w:tcPr>
                  <w:tcW w:type="dxa" w:w="640"/>
                  <w:tcBorders>
                    <w:top w:val="single" w:color="000000" w:sz="4"/>
                    <w:left w:val="single" w:color="000000" w:sz="4"/>
                    <w:bottom w:val="single" w:color="000000" w:sz="4"/>
                    <w:right w:val="single" w:color="000000" w:sz="4"/>
                  </w:tcBorders>
                  <w:vAlign w:val="top"/>
                </w:tcPr>
                <w:p>
                  <w:pPr>
                    <w:jc w:val="center"/>
                  </w:pPr>
                  <w:r>
                    <w:rPr>
                      <w:sz w:val="24"/>
                    </w:rPr>
                    <w:t>悬浮剂</w:t>
                  </w:r>
                </w:p>
              </w:tc>
              <w:tc>
                <w:tcPr>
                  <w:tcW w:type="dxa" w:w="1091"/>
                  <w:tcBorders>
                    <w:top w:val="single" w:color="000000" w:sz="4"/>
                    <w:left w:val="single" w:color="000000" w:sz="4"/>
                    <w:bottom w:val="single" w:color="000000" w:sz="4"/>
                    <w:right w:val="single" w:color="000000" w:sz="4"/>
                  </w:tcBorders>
                  <w:vAlign w:val="top"/>
                </w:tcPr>
                <w:p>
                  <w:pPr>
                    <w:jc w:val="center"/>
                  </w:pPr>
                  <w:r>
                    <w:rPr>
                      <w:sz w:val="24"/>
                    </w:rPr>
                    <w:t>生物水体灭蚊幼虫</w:t>
                  </w:r>
                </w:p>
              </w:tc>
              <w:tc>
                <w:tcPr>
                  <w:tcW w:type="dxa" w:w="828"/>
                  <w:tcBorders>
                    <w:top w:val="single" w:color="000000" w:sz="4"/>
                    <w:left w:val="single" w:color="000000" w:sz="4"/>
                    <w:bottom w:val="single" w:color="000000" w:sz="4"/>
                    <w:right w:val="single" w:color="000000" w:sz="8"/>
                  </w:tcBorders>
                  <w:vAlign w:val="top"/>
                </w:tcPr>
                <w:p>
                  <w:pPr>
                    <w:jc w:val="center"/>
                  </w:pPr>
                  <w:r>
                    <w:rPr>
                      <w:sz w:val="24"/>
                    </w:rPr>
                    <w:t>▲</w:t>
                  </w:r>
                </w:p>
              </w:tc>
            </w:tr>
            <w:tr>
              <w:tc>
                <w:tcPr>
                  <w:tcW w:type="dxa" w:w="414"/>
                  <w:tcBorders>
                    <w:top w:val="single" w:color="000000" w:sz="4"/>
                    <w:left w:val="single" w:color="000000" w:sz="8"/>
                    <w:bottom w:val="single" w:color="000000" w:sz="4"/>
                    <w:right w:val="single" w:color="000000" w:sz="4"/>
                  </w:tcBorders>
                  <w:vAlign w:val="top"/>
                </w:tcPr>
                <w:p>
                  <w:pPr>
                    <w:jc w:val="center"/>
                  </w:pPr>
                  <w:r>
                    <w:rPr>
                      <w:sz w:val="24"/>
                    </w:rPr>
                    <w:t>7</w:t>
                  </w:r>
                </w:p>
              </w:tc>
              <w:tc>
                <w:tcPr>
                  <w:tcW w:type="dxa" w:w="1192"/>
                  <w:tcBorders>
                    <w:top w:val="single" w:color="000000" w:sz="4"/>
                    <w:left w:val="single" w:color="000000" w:sz="4"/>
                    <w:bottom w:val="single" w:color="000000" w:sz="4"/>
                    <w:right w:val="single" w:color="000000" w:sz="4"/>
                  </w:tcBorders>
                  <w:vAlign w:val="top"/>
                </w:tcPr>
                <w:p>
                  <w:pPr>
                    <w:jc w:val="center"/>
                  </w:pPr>
                  <w:r>
                    <w:rPr>
                      <w:sz w:val="24"/>
                    </w:rPr>
                    <w:t>杀虫饵剂</w:t>
                  </w:r>
                </w:p>
              </w:tc>
              <w:tc>
                <w:tcPr>
                  <w:tcW w:type="dxa" w:w="1380"/>
                  <w:tcBorders>
                    <w:top w:val="single" w:color="000000" w:sz="4"/>
                    <w:left w:val="single" w:color="000000" w:sz="4"/>
                    <w:bottom w:val="single" w:color="000000" w:sz="4"/>
                    <w:right w:val="single" w:color="000000" w:sz="4"/>
                  </w:tcBorders>
                  <w:vAlign w:val="top"/>
                </w:tcPr>
                <w:p>
                  <w:pPr>
                    <w:jc w:val="center"/>
                  </w:pPr>
                  <w:r>
                    <w:rPr>
                      <w:sz w:val="24"/>
                    </w:rPr>
                    <w:t>氟蚁腙</w:t>
                  </w:r>
                  <w:r>
                    <w:rPr>
                      <w:sz w:val="24"/>
                    </w:rPr>
                    <w:t>≥0.05%</w:t>
                  </w:r>
                </w:p>
                <w:p>
                  <w:pPr>
                    <w:jc w:val="center"/>
                  </w:pPr>
                  <w:r>
                    <w:rPr>
                      <w:sz w:val="24"/>
                    </w:rPr>
                    <w:t>吡虫啉</w:t>
                  </w:r>
                  <w:r>
                    <w:rPr>
                      <w:sz w:val="24"/>
                    </w:rPr>
                    <w:t>≥2%</w:t>
                  </w:r>
                </w:p>
              </w:tc>
              <w:tc>
                <w:tcPr>
                  <w:tcW w:type="dxa" w:w="640"/>
                  <w:tcBorders>
                    <w:top w:val="single" w:color="000000" w:sz="4"/>
                    <w:left w:val="single" w:color="000000" w:sz="4"/>
                    <w:bottom w:val="single" w:color="000000" w:sz="4"/>
                    <w:right w:val="single" w:color="000000" w:sz="4"/>
                  </w:tcBorders>
                  <w:vAlign w:val="top"/>
                </w:tcPr>
                <w:p>
                  <w:pPr>
                    <w:jc w:val="center"/>
                  </w:pPr>
                  <w:r>
                    <w:rPr>
                      <w:sz w:val="24"/>
                    </w:rPr>
                    <w:t>饵剂（针剂）</w:t>
                  </w:r>
                </w:p>
              </w:tc>
              <w:tc>
                <w:tcPr>
                  <w:tcW w:type="dxa" w:w="1091"/>
                  <w:tcBorders>
                    <w:top w:val="single" w:color="000000" w:sz="4"/>
                    <w:left w:val="single" w:color="000000" w:sz="4"/>
                    <w:bottom w:val="single" w:color="000000" w:sz="4"/>
                    <w:right w:val="single" w:color="000000" w:sz="4"/>
                  </w:tcBorders>
                  <w:vAlign w:val="top"/>
                </w:tcPr>
                <w:p>
                  <w:pPr>
                    <w:jc w:val="center"/>
                  </w:pPr>
                  <w:r>
                    <w:rPr>
                      <w:sz w:val="24"/>
                    </w:rPr>
                    <w:t>灭蟑螂</w:t>
                  </w:r>
                </w:p>
              </w:tc>
              <w:tc>
                <w:tcPr>
                  <w:tcW w:type="dxa" w:w="828"/>
                  <w:tcBorders>
                    <w:top w:val="single" w:color="000000" w:sz="4"/>
                    <w:left w:val="single" w:color="000000" w:sz="4"/>
                    <w:bottom w:val="single" w:color="000000" w:sz="4"/>
                    <w:right w:val="single" w:color="000000" w:sz="8"/>
                  </w:tcBorders>
                  <w:vAlign w:val="top"/>
                </w:tcPr>
                <w:p>
                  <w:pPr>
                    <w:jc w:val="center"/>
                  </w:pPr>
                  <w:r>
                    <w:rPr>
                      <w:sz w:val="24"/>
                    </w:rPr>
                    <w:t>▲</w:t>
                  </w:r>
                </w:p>
              </w:tc>
            </w:tr>
            <w:tr>
              <w:tc>
                <w:tcPr>
                  <w:tcW w:type="dxa" w:w="414"/>
                  <w:tcBorders>
                    <w:top w:val="single" w:color="000000" w:sz="4"/>
                    <w:left w:val="single" w:color="000000" w:sz="8"/>
                    <w:bottom w:val="single" w:color="000000" w:sz="4"/>
                    <w:right w:val="single" w:color="000000" w:sz="4"/>
                  </w:tcBorders>
                  <w:vAlign w:val="top"/>
                </w:tcPr>
                <w:p>
                  <w:pPr>
                    <w:jc w:val="center"/>
                  </w:pPr>
                  <w:r>
                    <w:rPr>
                      <w:sz w:val="24"/>
                    </w:rPr>
                    <w:t>8</w:t>
                  </w:r>
                </w:p>
              </w:tc>
              <w:tc>
                <w:tcPr>
                  <w:tcW w:type="dxa" w:w="1192"/>
                  <w:tcBorders>
                    <w:top w:val="single" w:color="000000" w:sz="4"/>
                    <w:left w:val="single" w:color="000000" w:sz="4"/>
                    <w:bottom w:val="single" w:color="000000" w:sz="4"/>
                    <w:right w:val="single" w:color="000000" w:sz="4"/>
                  </w:tcBorders>
                  <w:vAlign w:val="top"/>
                </w:tcPr>
                <w:p>
                  <w:pPr>
                    <w:jc w:val="center"/>
                  </w:pPr>
                  <w:r>
                    <w:rPr>
                      <w:sz w:val="24"/>
                    </w:rPr>
                    <w:t>杀虫热雾剂</w:t>
                  </w:r>
                </w:p>
              </w:tc>
              <w:tc>
                <w:tcPr>
                  <w:tcW w:type="dxa" w:w="1380"/>
                  <w:tcBorders>
                    <w:top w:val="single" w:color="000000" w:sz="4"/>
                    <w:left w:val="single" w:color="000000" w:sz="4"/>
                    <w:bottom w:val="single" w:color="000000" w:sz="4"/>
                    <w:right w:val="single" w:color="000000" w:sz="4"/>
                  </w:tcBorders>
                  <w:vAlign w:val="top"/>
                </w:tcPr>
                <w:p>
                  <w:pPr>
                    <w:jc w:val="center"/>
                  </w:pPr>
                  <w:r>
                    <w:rPr>
                      <w:sz w:val="24"/>
                    </w:rPr>
                    <w:t>高效氯氰菊酯</w:t>
                  </w:r>
                  <w:r>
                    <w:rPr>
                      <w:sz w:val="24"/>
                    </w:rPr>
                    <w:t>≥2%、右旋胺菊酯≥0.5%</w:t>
                  </w:r>
                </w:p>
              </w:tc>
              <w:tc>
                <w:tcPr>
                  <w:tcW w:type="dxa" w:w="640"/>
                  <w:tcBorders>
                    <w:top w:val="single" w:color="000000" w:sz="4"/>
                    <w:left w:val="single" w:color="000000" w:sz="4"/>
                    <w:bottom w:val="single" w:color="000000" w:sz="4"/>
                    <w:right w:val="single" w:color="000000" w:sz="4"/>
                  </w:tcBorders>
                  <w:vAlign w:val="top"/>
                </w:tcPr>
                <w:p>
                  <w:pPr>
                    <w:jc w:val="center"/>
                  </w:pPr>
                  <w:r>
                    <w:rPr>
                      <w:sz w:val="24"/>
                    </w:rPr>
                    <w:t>热雾剂</w:t>
                  </w:r>
                </w:p>
              </w:tc>
              <w:tc>
                <w:tcPr>
                  <w:tcW w:type="dxa" w:w="1091"/>
                  <w:tcBorders>
                    <w:top w:val="single" w:color="000000" w:sz="4"/>
                    <w:left w:val="single" w:color="000000" w:sz="4"/>
                    <w:bottom w:val="single" w:color="000000" w:sz="4"/>
                    <w:right w:val="single" w:color="000000" w:sz="4"/>
                  </w:tcBorders>
                  <w:vAlign w:val="top"/>
                </w:tcPr>
                <w:p>
                  <w:pPr>
                    <w:jc w:val="center"/>
                  </w:pPr>
                  <w:r>
                    <w:rPr>
                      <w:sz w:val="24"/>
                    </w:rPr>
                    <w:t>烟熏下水道灭蚊、蟑。</w:t>
                  </w:r>
                </w:p>
              </w:tc>
              <w:tc>
                <w:tcPr>
                  <w:tcW w:type="dxa" w:w="828"/>
                  <w:tcBorders>
                    <w:top w:val="single" w:color="000000" w:sz="4"/>
                    <w:left w:val="single" w:color="000000" w:sz="4"/>
                    <w:bottom w:val="single" w:color="000000" w:sz="4"/>
                    <w:right w:val="single" w:color="000000" w:sz="8"/>
                  </w:tcBorders>
                  <w:vAlign w:val="top"/>
                </w:tcPr>
                <w:p>
                  <w:pPr>
                    <w:jc w:val="center"/>
                  </w:pPr>
                  <w:r>
                    <w:rPr>
                      <w:sz w:val="24"/>
                    </w:rPr>
                    <w:t>▲</w:t>
                  </w:r>
                </w:p>
              </w:tc>
            </w:tr>
            <w:tr>
              <w:tc>
                <w:tcPr>
                  <w:tcW w:type="dxa" w:w="414"/>
                  <w:tcBorders>
                    <w:top w:val="single" w:color="000000" w:sz="4"/>
                    <w:left w:val="single" w:color="000000" w:sz="8"/>
                    <w:bottom w:val="single" w:color="000000" w:sz="4"/>
                    <w:right w:val="single" w:color="000000" w:sz="4"/>
                  </w:tcBorders>
                  <w:vAlign w:val="top"/>
                </w:tcPr>
                <w:p>
                  <w:pPr>
                    <w:jc w:val="center"/>
                  </w:pPr>
                  <w:r>
                    <w:rPr>
                      <w:sz w:val="24"/>
                    </w:rPr>
                    <w:t>9</w:t>
                  </w:r>
                </w:p>
              </w:tc>
              <w:tc>
                <w:tcPr>
                  <w:tcW w:type="dxa" w:w="1192"/>
                  <w:tcBorders>
                    <w:top w:val="single" w:color="000000" w:sz="4"/>
                    <w:left w:val="single" w:color="000000" w:sz="4"/>
                    <w:bottom w:val="single" w:color="000000" w:sz="4"/>
                    <w:right w:val="single" w:color="000000" w:sz="4"/>
                  </w:tcBorders>
                  <w:vAlign w:val="top"/>
                </w:tcPr>
                <w:p>
                  <w:pPr>
                    <w:jc w:val="center"/>
                  </w:pPr>
                  <w:r>
                    <w:rPr>
                      <w:sz w:val="24"/>
                    </w:rPr>
                    <w:t>溴敌隆毒（稻谷）</w:t>
                  </w:r>
                </w:p>
              </w:tc>
              <w:tc>
                <w:tcPr>
                  <w:tcW w:type="dxa" w:w="1380"/>
                  <w:tcBorders>
                    <w:top w:val="single" w:color="000000" w:sz="4"/>
                    <w:left w:val="single" w:color="000000" w:sz="4"/>
                    <w:bottom w:val="single" w:color="000000" w:sz="4"/>
                    <w:right w:val="single" w:color="000000" w:sz="4"/>
                  </w:tcBorders>
                  <w:vAlign w:val="top"/>
                </w:tcPr>
                <w:p>
                  <w:pPr>
                    <w:jc w:val="center"/>
                  </w:pPr>
                  <w:r>
                    <w:rPr>
                      <w:sz w:val="24"/>
                    </w:rPr>
                    <w:t>溴敌隆</w:t>
                  </w:r>
                  <w:r>
                    <w:rPr>
                      <w:sz w:val="24"/>
                    </w:rPr>
                    <w:t>≥0.005%</w:t>
                  </w:r>
                </w:p>
              </w:tc>
              <w:tc>
                <w:tcPr>
                  <w:tcW w:type="dxa" w:w="640"/>
                  <w:tcBorders>
                    <w:top w:val="single" w:color="000000" w:sz="4"/>
                    <w:left w:val="single" w:color="000000" w:sz="4"/>
                    <w:bottom w:val="single" w:color="000000" w:sz="4"/>
                    <w:right w:val="single" w:color="000000" w:sz="4"/>
                  </w:tcBorders>
                  <w:vAlign w:val="top"/>
                </w:tcPr>
                <w:p>
                  <w:pPr>
                    <w:jc w:val="center"/>
                  </w:pPr>
                  <w:r>
                    <w:rPr>
                      <w:sz w:val="24"/>
                    </w:rPr>
                    <w:t>毒饵</w:t>
                  </w:r>
                </w:p>
              </w:tc>
              <w:tc>
                <w:tcPr>
                  <w:tcW w:type="dxa" w:w="1091"/>
                  <w:vMerge w:val="restart"/>
                  <w:tcBorders>
                    <w:top w:val="single" w:color="000000" w:sz="4"/>
                    <w:left w:val="single" w:color="000000" w:sz="4"/>
                    <w:bottom w:val="single" w:color="000000" w:sz="4"/>
                    <w:right w:val="single" w:color="000000" w:sz="4"/>
                  </w:tcBorders>
                  <w:vAlign w:val="top"/>
                </w:tcPr>
                <w:p>
                  <w:pPr>
                    <w:jc w:val="center"/>
                  </w:pPr>
                  <w:r>
                    <w:rPr>
                      <w:sz w:val="24"/>
                    </w:rPr>
                    <w:t>灭鼠类</w:t>
                  </w:r>
                </w:p>
              </w:tc>
              <w:tc>
                <w:tcPr>
                  <w:tcW w:type="dxa" w:w="828"/>
                  <w:tcBorders>
                    <w:top w:val="single" w:color="000000" w:sz="4"/>
                    <w:left w:val="single" w:color="000000" w:sz="4"/>
                    <w:bottom w:val="single" w:color="000000" w:sz="4"/>
                    <w:right w:val="single" w:color="000000" w:sz="8"/>
                  </w:tcBorders>
                  <w:vAlign w:val="top"/>
                </w:tcPr>
                <w:p>
                  <w:pPr>
                    <w:jc w:val="center"/>
                  </w:pPr>
                  <w:r>
                    <w:rPr>
                      <w:sz w:val="24"/>
                    </w:rPr>
                    <w:t>▲</w:t>
                  </w:r>
                </w:p>
              </w:tc>
            </w:tr>
            <w:tr>
              <w:tc>
                <w:tcPr>
                  <w:tcW w:type="dxa" w:w="414"/>
                  <w:tcBorders>
                    <w:top w:val="single" w:color="000000" w:sz="4"/>
                    <w:left w:val="single" w:color="000000" w:sz="8"/>
                    <w:bottom w:val="single" w:color="000000" w:sz="8"/>
                    <w:right w:val="single" w:color="000000" w:sz="4"/>
                  </w:tcBorders>
                  <w:vAlign w:val="top"/>
                </w:tcPr>
                <w:p>
                  <w:pPr>
                    <w:jc w:val="center"/>
                  </w:pPr>
                  <w:r>
                    <w:rPr>
                      <w:sz w:val="24"/>
                    </w:rPr>
                    <w:t>10</w:t>
                  </w:r>
                </w:p>
              </w:tc>
              <w:tc>
                <w:tcPr>
                  <w:tcW w:type="dxa" w:w="1192"/>
                  <w:tcBorders>
                    <w:top w:val="single" w:color="000000" w:sz="4"/>
                    <w:left w:val="single" w:color="000000" w:sz="4"/>
                    <w:bottom w:val="single" w:color="000000" w:sz="8"/>
                    <w:right w:val="single" w:color="000000" w:sz="4"/>
                  </w:tcBorders>
                  <w:vAlign w:val="top"/>
                </w:tcPr>
                <w:p>
                  <w:pPr>
                    <w:jc w:val="center"/>
                  </w:pPr>
                  <w:r>
                    <w:rPr>
                      <w:sz w:val="24"/>
                    </w:rPr>
                    <w:t>溴鼠灵毒（稻谷）</w:t>
                  </w:r>
                </w:p>
              </w:tc>
              <w:tc>
                <w:tcPr>
                  <w:tcW w:type="dxa" w:w="1380"/>
                  <w:tcBorders>
                    <w:top w:val="single" w:color="000000" w:sz="4"/>
                    <w:left w:val="single" w:color="000000" w:sz="4"/>
                    <w:bottom w:val="single" w:color="000000" w:sz="8"/>
                    <w:right w:val="single" w:color="000000" w:sz="4"/>
                  </w:tcBorders>
                  <w:vAlign w:val="top"/>
                </w:tcPr>
                <w:p>
                  <w:pPr>
                    <w:jc w:val="center"/>
                  </w:pPr>
                  <w:r>
                    <w:rPr>
                      <w:sz w:val="24"/>
                    </w:rPr>
                    <w:t>溴鼠灵</w:t>
                  </w:r>
                  <w:r>
                    <w:rPr>
                      <w:sz w:val="24"/>
                    </w:rPr>
                    <w:t>≥0.005%</w:t>
                  </w:r>
                </w:p>
              </w:tc>
              <w:tc>
                <w:tcPr>
                  <w:tcW w:type="dxa" w:w="640"/>
                  <w:tcBorders>
                    <w:top w:val="single" w:color="000000" w:sz="4"/>
                    <w:left w:val="single" w:color="000000" w:sz="4"/>
                    <w:bottom w:val="single" w:color="000000" w:sz="8"/>
                    <w:right w:val="single" w:color="000000" w:sz="4"/>
                  </w:tcBorders>
                  <w:vAlign w:val="top"/>
                </w:tcPr>
                <w:p>
                  <w:pPr>
                    <w:jc w:val="center"/>
                  </w:pPr>
                  <w:r>
                    <w:rPr>
                      <w:sz w:val="24"/>
                    </w:rPr>
                    <w:t>毒饵</w:t>
                  </w:r>
                </w:p>
              </w:tc>
              <w:tc>
                <w:tcPr>
                  <w:tcW w:type="dxa" w:w="1091"/>
                  <w:vMerge/>
                  <w:tcBorders>
                    <w:top w:val="single" w:color="000000" w:sz="4"/>
                    <w:left w:val="single" w:color="000000" w:sz="4"/>
                    <w:bottom w:val="single" w:color="000000" w:sz="4"/>
                    <w:right w:val="single" w:color="000000" w:sz="4"/>
                  </w:tcBorders>
                </w:tcPr>
                <w:p/>
              </w:tc>
              <w:tc>
                <w:tcPr>
                  <w:tcW w:type="dxa" w:w="828"/>
                  <w:tcBorders>
                    <w:top w:val="single" w:color="000000" w:sz="4"/>
                    <w:left w:val="single" w:color="000000" w:sz="4"/>
                    <w:bottom w:val="single" w:color="000000" w:sz="8"/>
                    <w:right w:val="single" w:color="000000" w:sz="8"/>
                  </w:tcBorders>
                  <w:vAlign w:val="top"/>
                </w:tcPr>
                <w:p>
                  <w:pPr>
                    <w:jc w:val="center"/>
                  </w:pPr>
                  <w:r>
                    <w:rPr>
                      <w:sz w:val="24"/>
                    </w:rPr>
                    <w:t>▲</w:t>
                  </w:r>
                </w:p>
              </w:tc>
            </w:tr>
          </w:tbl>
          <w:p>
            <w:pPr>
              <w:ind w:firstLine="480"/>
              <w:jc w:val="both"/>
            </w:pPr>
            <w:r>
              <w:rPr>
                <w:sz w:val="24"/>
              </w:rPr>
              <w:t>注：投标人提供须以下证件扫描件或复印件并加盖农药登记证持有人公章。</w:t>
            </w:r>
          </w:p>
          <w:p>
            <w:pPr>
              <w:ind w:firstLine="480"/>
              <w:jc w:val="both"/>
            </w:pPr>
            <w:r>
              <w:rPr>
                <w:sz w:val="24"/>
              </w:rPr>
              <w:t>①农业部颁发的农药登记证。</w:t>
            </w:r>
          </w:p>
          <w:p>
            <w:pPr>
              <w:ind w:firstLine="480"/>
              <w:jc w:val="both"/>
            </w:pPr>
            <w:r>
              <w:rPr>
                <w:sz w:val="24"/>
              </w:rPr>
              <w:t>②省级农业部门颁发的登记证持有人或委托加工企业农药生产许可证（生产范围包括投标产品剂型）。</w:t>
            </w:r>
          </w:p>
          <w:p>
            <w:pPr>
              <w:ind w:firstLine="480"/>
              <w:jc w:val="both"/>
            </w:pPr>
            <w:r>
              <w:rPr>
                <w:sz w:val="24"/>
              </w:rPr>
              <w:t>③质量技术监督部门或企业标准信息公共服务平台备案的企业标准封面。</w:t>
            </w:r>
          </w:p>
          <w:p>
            <w:pPr>
              <w:ind w:firstLine="480"/>
              <w:jc w:val="both"/>
            </w:pPr>
            <w:r>
              <w:rPr>
                <w:sz w:val="24"/>
              </w:rPr>
              <w:t>④序号①-③资料的备案须在有效期内，续展期顺延三个月。</w:t>
            </w:r>
          </w:p>
          <w:p>
            <w:pPr>
              <w:ind w:firstLine="480"/>
              <w:jc w:val="both"/>
            </w:pPr>
            <w:r>
              <w:rPr>
                <w:sz w:val="24"/>
              </w:rPr>
              <w:t>⑤药品标签。</w:t>
            </w:r>
          </w:p>
          <w:p>
            <w:pPr>
              <w:ind w:firstLine="480"/>
              <w:jc w:val="both"/>
            </w:pPr>
            <w:r>
              <w:rPr>
                <w:sz w:val="24"/>
              </w:rPr>
              <w:t>⑥药品第三方检测报告。</w:t>
            </w:r>
          </w:p>
          <w:p>
            <w:pPr>
              <w:ind w:firstLine="480"/>
              <w:jc w:val="both"/>
            </w:pPr>
            <w:r>
              <w:rPr>
                <w:sz w:val="24"/>
              </w:rPr>
              <w:t>⑦药品化学品安全技术说明书或农药产品安全数据单（MSDS）。</w:t>
            </w:r>
          </w:p>
          <w:p>
            <w:pPr>
              <w:ind w:firstLine="480"/>
              <w:jc w:val="both"/>
            </w:pPr>
            <w:r>
              <w:rPr/>
              <w:t xml:space="preserve"> </w:t>
            </w:r>
          </w:p>
          <w:p>
            <w:pPr>
              <w:ind w:firstLine="480"/>
              <w:jc w:val="both"/>
            </w:pPr>
            <w:r>
              <w:rPr/>
              <w:t xml:space="preserve"> </w:t>
            </w:r>
          </w:p>
          <w:p>
            <w:pPr>
              <w:ind w:firstLine="480"/>
              <w:jc w:val="both"/>
            </w:pPr>
            <w:r>
              <w:rPr/>
              <w:t xml:space="preserve"> </w:t>
            </w:r>
          </w:p>
        </w:tc>
      </w:tr>
      <w:tr>
        <w:tc>
          <w:tcPr>
            <w:tcW w:type="dxa" w:w="2076"/>
          </w:tcPr>
          <w:p/>
        </w:tc>
        <w:tc>
          <w:tcPr>
            <w:tcW w:type="dxa" w:w="415"/>
          </w:tcPr>
          <w:p>
            <w:r>
              <w:rPr/>
              <w:t>5</w:t>
            </w:r>
          </w:p>
        </w:tc>
        <w:tc>
          <w:tcPr>
            <w:tcW w:type="dxa" w:w="5814"/>
          </w:tcPr>
          <w:p>
            <w:pPr>
              <w:ind w:firstLine="482"/>
              <w:jc w:val="left"/>
            </w:pPr>
            <w:r>
              <w:rPr>
                <w:b/>
                <w:sz w:val="24"/>
              </w:rPr>
              <w:t>五、</w:t>
            </w:r>
            <w:r>
              <w:rPr>
                <w:b/>
                <w:sz w:val="24"/>
              </w:rPr>
              <w:t>考评标准和办法</w:t>
            </w:r>
          </w:p>
          <w:p>
            <w:pPr>
              <w:ind w:firstLine="480"/>
              <w:jc w:val="both"/>
            </w:pPr>
            <w:r>
              <w:rPr>
                <w:sz w:val="24"/>
              </w:rPr>
              <w:t>1.</w:t>
            </w:r>
            <w:r>
              <w:rPr>
                <w:sz w:val="24"/>
              </w:rPr>
              <w:t>除虫灭鼠管理和现场操作实行制度化、规范化。</w:t>
            </w:r>
          </w:p>
          <w:p>
            <w:pPr>
              <w:ind w:firstLine="480"/>
              <w:jc w:val="both"/>
            </w:pPr>
            <w:r>
              <w:rPr>
                <w:sz w:val="24"/>
              </w:rPr>
              <w:t>2.</w:t>
            </w:r>
            <w:r>
              <w:rPr>
                <w:sz w:val="24"/>
              </w:rPr>
              <w:t>除虫灭鼠执行新的《全国爱卫会关于印发灭鼠、蚊、绳、蟑螂标准》或参照中华人民共和国国家标准《病媒生物密度监测方法》《病媒生物密度控制水平》。</w:t>
            </w:r>
          </w:p>
          <w:p>
            <w:pPr>
              <w:ind w:firstLine="480"/>
              <w:jc w:val="both"/>
            </w:pPr>
            <w:r>
              <w:rPr>
                <w:sz w:val="24"/>
              </w:rPr>
              <w:t>3.</w:t>
            </w:r>
            <w:r>
              <w:rPr>
                <w:sz w:val="24"/>
              </w:rPr>
              <w:t>灭鼠标准：</w:t>
            </w:r>
            <w:r>
              <w:rPr>
                <w:sz w:val="24"/>
              </w:rPr>
              <w:t>（</w:t>
            </w:r>
            <w:r>
              <w:rPr>
                <w:sz w:val="24"/>
              </w:rPr>
              <w:t>1）</w:t>
            </w:r>
            <w:r>
              <w:rPr>
                <w:sz w:val="24"/>
              </w:rPr>
              <w:t>鼠迹（鼠洞、鼠粪、鼠路、鼠咬痕），有鼠迹房间不超过</w:t>
            </w:r>
            <w:r>
              <w:rPr>
                <w:sz w:val="24"/>
              </w:rPr>
              <w:t>2%；</w:t>
            </w:r>
            <w:r>
              <w:rPr>
                <w:sz w:val="24"/>
              </w:rPr>
              <w:t>(2)</w:t>
            </w:r>
            <w:r>
              <w:rPr>
                <w:sz w:val="24"/>
              </w:rPr>
              <w:t>2000米外环境鼠迹不超过5处；</w:t>
            </w:r>
          </w:p>
          <w:p>
            <w:pPr>
              <w:ind w:firstLine="480"/>
              <w:jc w:val="both"/>
            </w:pPr>
            <w:r>
              <w:rPr>
                <w:sz w:val="24"/>
              </w:rPr>
              <w:t>4.</w:t>
            </w:r>
            <w:r>
              <w:rPr>
                <w:sz w:val="24"/>
              </w:rPr>
              <w:t>灭蚊标准：</w:t>
            </w:r>
            <w:r>
              <w:rPr>
                <w:sz w:val="24"/>
              </w:rPr>
              <w:t>（</w:t>
            </w:r>
            <w:r>
              <w:rPr>
                <w:sz w:val="24"/>
              </w:rPr>
              <w:t>1）</w:t>
            </w:r>
            <w:r>
              <w:rPr>
                <w:sz w:val="24"/>
              </w:rPr>
              <w:t>居民区、单位外环境各种存水容器和积水中的幼蚊及蛹，阳性率低于</w:t>
            </w:r>
            <w:r>
              <w:rPr>
                <w:sz w:val="24"/>
              </w:rPr>
              <w:t>3%；</w:t>
            </w:r>
            <w:r>
              <w:rPr>
                <w:sz w:val="24"/>
              </w:rPr>
              <w:t>(2）</w:t>
            </w:r>
            <w:r>
              <w:rPr>
                <w:sz w:val="24"/>
              </w:rPr>
              <w:t>居民区、单位外环境各种存水容器和积水中的幼蚊及蛹，阳性率低于</w:t>
            </w:r>
            <w:r>
              <w:rPr>
                <w:sz w:val="24"/>
              </w:rPr>
              <w:t>3%；</w:t>
            </w:r>
            <w:r>
              <w:rPr>
                <w:sz w:val="24"/>
              </w:rPr>
              <w:t>(3）</w:t>
            </w:r>
            <w:r>
              <w:rPr>
                <w:sz w:val="24"/>
              </w:rPr>
              <w:t>在特殊场所白天人诱蚊</w:t>
            </w:r>
            <w:r>
              <w:rPr>
                <w:sz w:val="24"/>
              </w:rPr>
              <w:t>60分钟，平均诱获成蚊不超过1只/人次。</w:t>
            </w:r>
          </w:p>
          <w:p>
            <w:pPr>
              <w:ind w:firstLine="480"/>
              <w:jc w:val="both"/>
            </w:pPr>
            <w:r>
              <w:rPr>
                <w:sz w:val="24"/>
              </w:rPr>
              <w:t>4.</w:t>
            </w:r>
            <w:r>
              <w:rPr>
                <w:sz w:val="24"/>
              </w:rPr>
              <w:t>灭蝇标准：</w:t>
            </w:r>
            <w:r>
              <w:rPr>
                <w:sz w:val="24"/>
              </w:rPr>
              <w:t>（</w:t>
            </w:r>
            <w:r>
              <w:rPr>
                <w:sz w:val="24"/>
              </w:rPr>
              <w:t>1）</w:t>
            </w:r>
            <w:r>
              <w:rPr>
                <w:sz w:val="24"/>
              </w:rPr>
              <w:t>重点单位有蝇房间不超过</w:t>
            </w:r>
            <w:r>
              <w:rPr>
                <w:sz w:val="24"/>
              </w:rPr>
              <w:t>1%；</w:t>
            </w:r>
            <w:r>
              <w:rPr>
                <w:sz w:val="24"/>
              </w:rPr>
              <w:t>（</w:t>
            </w:r>
            <w:r>
              <w:rPr>
                <w:sz w:val="24"/>
              </w:rPr>
              <w:t>2）重点单位、</w:t>
            </w:r>
            <w:r>
              <w:rPr>
                <w:sz w:val="24"/>
              </w:rPr>
              <w:t>服务范围加工、销售、存放直接入口食品的场所（如厨房、市场），不得有蝇；</w:t>
            </w:r>
            <w:r>
              <w:rPr>
                <w:sz w:val="24"/>
              </w:rPr>
              <w:t>(3）</w:t>
            </w:r>
            <w:r>
              <w:rPr>
                <w:sz w:val="24"/>
              </w:rPr>
              <w:t>一般单位有蝇房间不超过</w:t>
            </w:r>
            <w:r>
              <w:rPr>
                <w:sz w:val="24"/>
              </w:rPr>
              <w:t>3%；</w:t>
            </w:r>
            <w:r>
              <w:rPr>
                <w:sz w:val="24"/>
              </w:rPr>
              <w:t>(4）</w:t>
            </w:r>
            <w:r>
              <w:rPr>
                <w:sz w:val="24"/>
              </w:rPr>
              <w:t>蝇类孳生地（垃圾容器、垃圾存放地等）得到有效治理，幼虫和蛹的检出率不超过</w:t>
            </w:r>
            <w:r>
              <w:rPr>
                <w:sz w:val="24"/>
              </w:rPr>
              <w:t>3%。</w:t>
            </w:r>
          </w:p>
          <w:p>
            <w:pPr>
              <w:ind w:firstLine="480"/>
              <w:jc w:val="both"/>
            </w:pPr>
            <w:r>
              <w:rPr>
                <w:sz w:val="24"/>
              </w:rPr>
              <w:t>5.</w:t>
            </w:r>
            <w:r>
              <w:rPr>
                <w:sz w:val="24"/>
              </w:rPr>
              <w:t>灭蟑螂标准：</w:t>
            </w:r>
            <w:r>
              <w:rPr>
                <w:sz w:val="24"/>
              </w:rPr>
              <w:t>（</w:t>
            </w:r>
            <w:r>
              <w:rPr>
                <w:sz w:val="24"/>
              </w:rPr>
              <w:t>1）</w:t>
            </w:r>
            <w:r>
              <w:rPr>
                <w:sz w:val="24"/>
              </w:rPr>
              <w:t>检查室内蟑螂成虫或幼虫，阳性房间不超过</w:t>
            </w:r>
            <w:r>
              <w:rPr>
                <w:sz w:val="24"/>
              </w:rPr>
              <w:t>3%</w:t>
            </w:r>
            <w:r>
              <w:rPr>
                <w:sz w:val="24"/>
              </w:rPr>
              <w:t>；（</w:t>
            </w:r>
            <w:r>
              <w:rPr>
                <w:sz w:val="24"/>
              </w:rPr>
              <w:t>2）</w:t>
            </w:r>
            <w:r>
              <w:rPr>
                <w:sz w:val="24"/>
              </w:rPr>
              <w:t>有活蟑螂卵鞘房间，阳性房间不超过</w:t>
            </w:r>
            <w:r>
              <w:rPr>
                <w:sz w:val="24"/>
              </w:rPr>
              <w:t>5%</w:t>
            </w:r>
            <w:r>
              <w:rPr>
                <w:sz w:val="24"/>
              </w:rPr>
              <w:t>；（</w:t>
            </w:r>
            <w:r>
              <w:rPr>
                <w:sz w:val="24"/>
              </w:rPr>
              <w:t>3）</w:t>
            </w:r>
            <w:r>
              <w:rPr>
                <w:sz w:val="24"/>
              </w:rPr>
              <w:t>蟑螂孳生栖息场所的清理，查墙的孔洞、缝隙蟑迹：粪便、蜕皮、蟑尸、空卵鞘等，阳性房间不超过</w:t>
            </w:r>
            <w:r>
              <w:rPr>
                <w:sz w:val="24"/>
              </w:rPr>
              <w:t>5%</w:t>
            </w:r>
            <w:r>
              <w:rPr>
                <w:sz w:val="24"/>
              </w:rPr>
              <w:t>。</w:t>
            </w:r>
          </w:p>
          <w:p>
            <w:pPr>
              <w:ind w:firstLine="480"/>
              <w:jc w:val="both"/>
            </w:pPr>
            <w:r>
              <w:rPr>
                <w:sz w:val="24"/>
              </w:rPr>
              <w:t>6</w:t>
            </w:r>
            <w:r>
              <w:rPr>
                <w:sz w:val="24"/>
              </w:rPr>
              <w:t>、不出现病媒生物引发的疫情。因环境治理，孳生地整治不达标，布雷图指数偏高而引发的疫情除外。</w:t>
            </w:r>
          </w:p>
          <w:p>
            <w:pPr>
              <w:ind w:firstLine="480"/>
              <w:jc w:val="both"/>
            </w:pPr>
            <w:r>
              <w:rPr>
                <w:sz w:val="24"/>
              </w:rPr>
              <w:t>7.考核办法：</w:t>
            </w:r>
          </w:p>
          <w:p>
            <w:pPr>
              <w:ind w:firstLine="480"/>
              <w:jc w:val="left"/>
            </w:pPr>
            <w:r>
              <w:rPr>
                <w:sz w:val="24"/>
              </w:rPr>
              <w:t>（</w:t>
            </w:r>
            <w:r>
              <w:rPr>
                <w:sz w:val="24"/>
              </w:rPr>
              <w:t>1）采购人对中标人承包范围内的除“四害”质量进行检查考核，按照《仲恺高新区中心区除“四害”消杀服务质量考核评分表》（详见附件一）执行。采购人采取百分制记录，每月评分一次，月度满分100分。采购人对中标人的作业质量进行监督检查，每月综合检查4次，综合检查若达不到要求则按规定进行扣分，每月月底进行综合评分，综合评分结果取每次检查评分累加后的平均值减去当月由采购人统计确认被上级通报、市民信访投诉和网络媒体曝光等负面成绩为中标人的月考核成绩。每月检查评分不合格的表明没有遵循本合同要求，中标人应给出详细的整改措施。中标人在一年内累计3个月以上检查评分不合格的，采购人有权立即终止合同。</w:t>
            </w:r>
          </w:p>
          <w:p>
            <w:pPr>
              <w:ind w:firstLine="480"/>
              <w:jc w:val="both"/>
            </w:pPr>
            <w:r>
              <w:rPr>
                <w:sz w:val="24"/>
              </w:rPr>
              <w:t>（</w:t>
            </w:r>
            <w:r>
              <w:rPr>
                <w:sz w:val="24"/>
              </w:rPr>
              <w:t>2）自采购人、中标人双方签订合同后，当月考核成绩分为优秀、良好、合格、不合格四个等级，分值90分（含90分）以上为优秀、90-85（含）分为良好、85-80（含）分为合格、低于80（不含）分为不合格。得分低于85分时，将实施扣罚措施，每低于良好分1分，扣除服务费3000元。</w:t>
            </w:r>
          </w:p>
          <w:p>
            <w:pPr>
              <w:ind w:firstLine="480"/>
              <w:jc w:val="both"/>
            </w:pPr>
            <w:r>
              <w:rPr>
                <w:sz w:val="24"/>
              </w:rPr>
              <w:t>（</w:t>
            </w:r>
            <w:r>
              <w:rPr>
                <w:sz w:val="24"/>
              </w:rPr>
              <w:t>3）发生下述情况的扣款如下：①市、区各级检查发现督办的扣款3000元；②媒体曝光的扣款3000元；③群众对同一地点投诉3次及以上的扣款5000元：④发生流行性出血热、登革热、疟疾（输入性病例除外）等病媒生物传染病的，每发生1例扣款5000元，恙虫病每发生1例扣款5000元：因环境整治，孳生地整治不达标，布雷图指数偏高而引发的病媒生物传染病除外。⑤检查发现缺少消杀记录的或消杀记录未经单位签字确认的，每次扣款2000元。</w:t>
            </w:r>
          </w:p>
          <w:p>
            <w:pPr>
              <w:ind w:firstLine="482"/>
              <w:jc w:val="both"/>
            </w:pPr>
            <w:r>
              <w:rPr>
                <w:b/>
                <w:sz w:val="24"/>
              </w:rPr>
              <w:t>附件一：</w:t>
            </w:r>
          </w:p>
          <w:p>
            <w:pPr>
              <w:ind w:firstLine="482"/>
              <w:jc w:val="center"/>
            </w:pPr>
            <w:r>
              <w:rPr>
                <w:b/>
                <w:sz w:val="24"/>
              </w:rPr>
              <w:t>仲恺高新区中心区除</w:t>
            </w:r>
            <w:r>
              <w:rPr>
                <w:b/>
                <w:sz w:val="24"/>
              </w:rPr>
              <w:t>“四害”消杀服务质量考核评分表</w:t>
            </w:r>
          </w:p>
          <w:tbl>
            <w:tblPr>
              <w:tblInd w:type="dxa" w:w="135"/>
              <w:tblBorders>
                <w:top w:val="none" w:color="000000" w:sz="4"/>
                <w:left w:val="none" w:color="000000" w:sz="4"/>
                <w:bottom w:val="none" w:color="000000" w:sz="4"/>
                <w:right w:val="none" w:color="000000" w:sz="4"/>
                <w:insideH w:val="none"/>
                <w:insideV w:val="none"/>
              </w:tblBorders>
            </w:tblPr>
            <w:tblGrid>
              <w:gridCol w:w="587"/>
              <w:gridCol w:w="747"/>
              <w:gridCol w:w="1518"/>
              <w:gridCol w:w="1261"/>
              <w:gridCol w:w="759"/>
              <w:gridCol w:w="685"/>
            </w:tblGrid>
            <w:tr>
              <w:tc>
                <w:tcPr>
                  <w:tcW w:type="dxa" w:w="587"/>
                  <w:tcBorders>
                    <w:top w:val="single" w:color="000000" w:sz="4"/>
                    <w:left w:val="single" w:color="000000" w:sz="4"/>
                    <w:bottom w:val="single" w:color="000000" w:sz="4"/>
                    <w:right w:val="single" w:color="000000" w:sz="4"/>
                  </w:tcBorders>
                  <w:vAlign w:val="top"/>
                </w:tcPr>
                <w:p>
                  <w:pPr>
                    <w:jc w:val="center"/>
                  </w:pPr>
                  <w:r>
                    <w:rPr>
                      <w:sz w:val="24"/>
                    </w:rPr>
                    <w:t>总分</w:t>
                  </w:r>
                </w:p>
              </w:tc>
              <w:tc>
                <w:tcPr>
                  <w:tcW w:type="dxa" w:w="747"/>
                  <w:tcBorders>
                    <w:top w:val="single" w:color="000000" w:sz="4"/>
                    <w:left w:val="single" w:color="000000" w:sz="4"/>
                    <w:bottom w:val="single" w:color="000000" w:sz="4"/>
                    <w:right w:val="single" w:color="000000" w:sz="4"/>
                  </w:tcBorders>
                  <w:vAlign w:val="top"/>
                </w:tcPr>
                <w:p>
                  <w:pPr>
                    <w:jc w:val="center"/>
                  </w:pPr>
                  <w:r>
                    <w:rPr>
                      <w:sz w:val="24"/>
                    </w:rPr>
                    <w:t>项目</w:t>
                  </w:r>
                </w:p>
              </w:tc>
              <w:tc>
                <w:tcPr>
                  <w:tcW w:type="dxa" w:w="1518"/>
                  <w:tcBorders>
                    <w:top w:val="single" w:color="000000" w:sz="4"/>
                    <w:left w:val="single" w:color="000000" w:sz="4"/>
                    <w:bottom w:val="single" w:color="000000" w:sz="4"/>
                    <w:right w:val="single" w:color="000000" w:sz="4"/>
                  </w:tcBorders>
                  <w:vAlign w:val="top"/>
                </w:tcPr>
                <w:p>
                  <w:pPr>
                    <w:jc w:val="center"/>
                  </w:pPr>
                  <w:r>
                    <w:rPr>
                      <w:sz w:val="24"/>
                    </w:rPr>
                    <w:t>评分标准及依据</w:t>
                  </w:r>
                </w:p>
              </w:tc>
              <w:tc>
                <w:tcPr>
                  <w:tcW w:type="dxa" w:w="1261"/>
                  <w:tcBorders>
                    <w:top w:val="single" w:color="000000" w:sz="4"/>
                    <w:left w:val="single" w:color="000000" w:sz="4"/>
                    <w:bottom w:val="single" w:color="000000" w:sz="4"/>
                    <w:right w:val="single" w:color="000000" w:sz="4"/>
                  </w:tcBorders>
                  <w:vAlign w:val="top"/>
                </w:tcPr>
                <w:p>
                  <w:pPr>
                    <w:jc w:val="center"/>
                  </w:pPr>
                  <w:r>
                    <w:rPr>
                      <w:sz w:val="24"/>
                    </w:rPr>
                    <w:t>扣分方法</w:t>
                  </w:r>
                </w:p>
              </w:tc>
              <w:tc>
                <w:tcPr>
                  <w:tcW w:type="dxa" w:w="759"/>
                  <w:tcBorders>
                    <w:top w:val="single" w:color="000000" w:sz="4"/>
                    <w:left w:val="single" w:color="000000" w:sz="4"/>
                    <w:bottom w:val="single" w:color="000000" w:sz="4"/>
                    <w:right w:val="single" w:color="000000" w:sz="4"/>
                  </w:tcBorders>
                  <w:vAlign w:val="top"/>
                </w:tcPr>
                <w:p>
                  <w:pPr>
                    <w:jc w:val="center"/>
                  </w:pPr>
                  <w:r>
                    <w:rPr>
                      <w:sz w:val="24"/>
                    </w:rPr>
                    <w:t>应得分</w:t>
                  </w:r>
                </w:p>
              </w:tc>
              <w:tc>
                <w:tcPr>
                  <w:tcW w:type="dxa" w:w="685"/>
                  <w:tcBorders>
                    <w:top w:val="single" w:color="000000" w:sz="4"/>
                    <w:left w:val="single" w:color="000000" w:sz="4"/>
                    <w:bottom w:val="single" w:color="000000" w:sz="4"/>
                    <w:right w:val="single" w:color="000000" w:sz="4"/>
                  </w:tcBorders>
                  <w:vAlign w:val="top"/>
                </w:tcPr>
                <w:p>
                  <w:pPr>
                    <w:jc w:val="center"/>
                  </w:pPr>
                  <w:r>
                    <w:rPr>
                      <w:sz w:val="24"/>
                    </w:rPr>
                    <w:t>实得分</w:t>
                  </w:r>
                </w:p>
              </w:tc>
            </w:tr>
            <w:tr>
              <w:tc>
                <w:tcPr>
                  <w:tcW w:type="dxa" w:w="587"/>
                  <w:vMerge w:val="restart"/>
                  <w:tcBorders>
                    <w:top w:val="none" w:color="000000" w:sz="4"/>
                    <w:left w:val="single" w:color="000000" w:sz="4"/>
                    <w:bottom w:val="single" w:color="000000" w:sz="4"/>
                    <w:right w:val="single" w:color="000000" w:sz="4"/>
                  </w:tcBorders>
                  <w:vAlign w:val="top"/>
                </w:tcPr>
                <w:p>
                  <w:pPr>
                    <w:jc w:val="center"/>
                  </w:pPr>
                  <w:r>
                    <w:rPr>
                      <w:sz w:val="24"/>
                    </w:rPr>
                    <w:t>100分</w:t>
                  </w:r>
                </w:p>
              </w:tc>
              <w:tc>
                <w:tcPr>
                  <w:tcW w:type="dxa" w:w="747"/>
                  <w:vMerge w:val="restart"/>
                  <w:tcBorders>
                    <w:top w:val="none" w:color="000000" w:sz="4"/>
                    <w:left w:val="single" w:color="000000" w:sz="4"/>
                    <w:bottom w:val="single" w:color="000000" w:sz="4"/>
                    <w:right w:val="single" w:color="000000" w:sz="4"/>
                  </w:tcBorders>
                  <w:vAlign w:val="top"/>
                </w:tcPr>
                <w:p>
                  <w:pPr>
                    <w:jc w:val="center"/>
                  </w:pPr>
                  <w:r>
                    <w:rPr>
                      <w:sz w:val="24"/>
                    </w:rPr>
                    <w:t>灭鼠</w:t>
                  </w:r>
                </w:p>
              </w:tc>
              <w:tc>
                <w:tcPr>
                  <w:tcW w:type="dxa" w:w="1518"/>
                  <w:tcBorders>
                    <w:top w:val="none" w:color="000000" w:sz="4"/>
                    <w:left w:val="single" w:color="000000" w:sz="4"/>
                    <w:bottom w:val="single" w:color="000000" w:sz="4"/>
                    <w:right w:val="single" w:color="000000" w:sz="4"/>
                  </w:tcBorders>
                  <w:vAlign w:val="top"/>
                </w:tcPr>
                <w:p>
                  <w:pPr>
                    <w:jc w:val="center"/>
                  </w:pPr>
                  <w:r>
                    <w:rPr>
                      <w:sz w:val="24"/>
                    </w:rPr>
                    <w:t>1.鼠密度不超过3%（粉迹法）。</w:t>
                  </w:r>
                </w:p>
              </w:tc>
              <w:tc>
                <w:tcPr>
                  <w:tcW w:type="dxa" w:w="1261"/>
                  <w:tcBorders>
                    <w:top w:val="none" w:color="000000" w:sz="4"/>
                    <w:left w:val="single" w:color="000000" w:sz="4"/>
                    <w:bottom w:val="single" w:color="000000" w:sz="4"/>
                    <w:right w:val="single" w:color="000000" w:sz="4"/>
                  </w:tcBorders>
                  <w:vAlign w:val="top"/>
                </w:tcPr>
                <w:p>
                  <w:pPr>
                    <w:jc w:val="center"/>
                  </w:pPr>
                  <w:r>
                    <w:rPr>
                      <w:sz w:val="24"/>
                    </w:rPr>
                    <w:t>每超出</w:t>
                  </w:r>
                  <w:r>
                    <w:rPr>
                      <w:sz w:val="24"/>
                    </w:rPr>
                    <w:t>0.2%扣2分，扣完为止</w:t>
                  </w:r>
                </w:p>
              </w:tc>
              <w:tc>
                <w:tcPr>
                  <w:tcW w:type="dxa" w:w="759"/>
                  <w:tcBorders>
                    <w:top w:val="none" w:color="000000" w:sz="4"/>
                    <w:left w:val="single" w:color="000000" w:sz="4"/>
                    <w:bottom w:val="single" w:color="000000" w:sz="4"/>
                    <w:right w:val="single" w:color="000000" w:sz="4"/>
                  </w:tcBorders>
                  <w:vAlign w:val="top"/>
                </w:tcPr>
                <w:p>
                  <w:pPr>
                    <w:jc w:val="center"/>
                  </w:pPr>
                  <w:r>
                    <w:rPr>
                      <w:sz w:val="24"/>
                    </w:rPr>
                    <w:t>8</w:t>
                  </w:r>
                </w:p>
              </w:tc>
              <w:tc>
                <w:tcPr>
                  <w:tcW w:type="dxa" w:w="685"/>
                  <w:tcBorders>
                    <w:top w:val="none" w:color="000000" w:sz="4"/>
                    <w:left w:val="single" w:color="000000" w:sz="4"/>
                    <w:bottom w:val="single" w:color="000000" w:sz="4"/>
                    <w:right w:val="single" w:color="000000" w:sz="4"/>
                  </w:tcBorders>
                  <w:vAlign w:val="top"/>
                </w:tcPr>
                <w:p>
                  <w:pPr>
                    <w:jc w:val="both"/>
                  </w:pPr>
                </w:p>
              </w:tc>
            </w:tr>
            <w:tr>
              <w:tc>
                <w:tcPr>
                  <w:tcW w:type="dxa" w:w="587"/>
                  <w:vMerge/>
                  <w:tcBorders>
                    <w:top w:val="none" w:color="000000" w:sz="4"/>
                    <w:left w:val="single" w:color="000000" w:sz="4"/>
                    <w:bottom w:val="single" w:color="000000" w:sz="4"/>
                    <w:right w:val="single" w:color="000000" w:sz="4"/>
                  </w:tcBorders>
                </w:tcPr>
                <w:p/>
              </w:tc>
              <w:tc>
                <w:tcPr>
                  <w:tcW w:type="dxa" w:w="747"/>
                  <w:vMerge/>
                  <w:tcBorders>
                    <w:top w:val="none" w:color="000000" w:sz="4"/>
                    <w:left w:val="single" w:color="000000" w:sz="4"/>
                    <w:bottom w:val="single" w:color="000000" w:sz="4"/>
                    <w:right w:val="single" w:color="000000" w:sz="4"/>
                  </w:tcBorders>
                </w:tcPr>
                <w:p/>
              </w:tc>
              <w:tc>
                <w:tcPr>
                  <w:tcW w:type="dxa" w:w="1518"/>
                  <w:tcBorders>
                    <w:top w:val="none" w:color="000000" w:sz="4"/>
                    <w:left w:val="single" w:color="000000" w:sz="4"/>
                    <w:bottom w:val="single" w:color="000000" w:sz="4"/>
                    <w:right w:val="single" w:color="000000" w:sz="4"/>
                  </w:tcBorders>
                  <w:vAlign w:val="top"/>
                </w:tcPr>
                <w:p>
                  <w:pPr>
                    <w:jc w:val="center"/>
                  </w:pPr>
                  <w:r>
                    <w:rPr>
                      <w:sz w:val="24"/>
                    </w:rPr>
                    <w:t>2.每千米外环境鼠迹不超3处。</w:t>
                  </w:r>
                </w:p>
              </w:tc>
              <w:tc>
                <w:tcPr>
                  <w:tcW w:type="dxa" w:w="1261"/>
                  <w:tcBorders>
                    <w:top w:val="none" w:color="000000" w:sz="4"/>
                    <w:left w:val="single" w:color="000000" w:sz="4"/>
                    <w:bottom w:val="single" w:color="000000" w:sz="4"/>
                    <w:right w:val="single" w:color="000000" w:sz="4"/>
                  </w:tcBorders>
                  <w:vAlign w:val="top"/>
                </w:tcPr>
                <w:p>
                  <w:pPr>
                    <w:jc w:val="center"/>
                  </w:pPr>
                  <w:r>
                    <w:rPr>
                      <w:sz w:val="24"/>
                    </w:rPr>
                    <w:t>每超过</w:t>
                  </w:r>
                  <w:r>
                    <w:rPr>
                      <w:sz w:val="24"/>
                    </w:rPr>
                    <w:t>1处扣2分，扣完为止</w:t>
                  </w:r>
                </w:p>
              </w:tc>
              <w:tc>
                <w:tcPr>
                  <w:tcW w:type="dxa" w:w="759"/>
                  <w:tcBorders>
                    <w:top w:val="none" w:color="000000" w:sz="4"/>
                    <w:left w:val="single" w:color="000000" w:sz="4"/>
                    <w:bottom w:val="single" w:color="000000" w:sz="4"/>
                    <w:right w:val="single" w:color="000000" w:sz="4"/>
                  </w:tcBorders>
                  <w:vAlign w:val="top"/>
                </w:tcPr>
                <w:p>
                  <w:pPr>
                    <w:jc w:val="center"/>
                  </w:pPr>
                  <w:r>
                    <w:rPr>
                      <w:sz w:val="24"/>
                    </w:rPr>
                    <w:t>8</w:t>
                  </w:r>
                </w:p>
              </w:tc>
              <w:tc>
                <w:tcPr>
                  <w:tcW w:type="dxa" w:w="685"/>
                  <w:tcBorders>
                    <w:top w:val="none" w:color="000000" w:sz="4"/>
                    <w:left w:val="single" w:color="000000" w:sz="4"/>
                    <w:bottom w:val="single" w:color="000000" w:sz="4"/>
                    <w:right w:val="single" w:color="000000" w:sz="4"/>
                  </w:tcBorders>
                  <w:vAlign w:val="top"/>
                </w:tcPr>
                <w:p>
                  <w:pPr>
                    <w:jc w:val="both"/>
                  </w:pPr>
                </w:p>
              </w:tc>
            </w:tr>
            <w:tr>
              <w:tc>
                <w:tcPr>
                  <w:tcW w:type="dxa" w:w="587"/>
                  <w:vMerge/>
                  <w:tcBorders>
                    <w:top w:val="none" w:color="000000" w:sz="4"/>
                    <w:left w:val="single" w:color="000000" w:sz="4"/>
                    <w:bottom w:val="single" w:color="000000" w:sz="4"/>
                    <w:right w:val="single" w:color="000000" w:sz="4"/>
                  </w:tcBorders>
                </w:tcPr>
                <w:p/>
              </w:tc>
              <w:tc>
                <w:tcPr>
                  <w:tcW w:type="dxa" w:w="747"/>
                  <w:vMerge/>
                  <w:tcBorders>
                    <w:top w:val="none" w:color="000000" w:sz="4"/>
                    <w:left w:val="single" w:color="000000" w:sz="4"/>
                    <w:bottom w:val="single" w:color="000000" w:sz="4"/>
                    <w:right w:val="single" w:color="000000" w:sz="4"/>
                  </w:tcBorders>
                </w:tcPr>
                <w:p/>
              </w:tc>
              <w:tc>
                <w:tcPr>
                  <w:tcW w:type="dxa" w:w="1518"/>
                  <w:tcBorders>
                    <w:top w:val="none" w:color="000000" w:sz="4"/>
                    <w:left w:val="single" w:color="000000" w:sz="4"/>
                    <w:bottom w:val="single" w:color="000000" w:sz="4"/>
                    <w:right w:val="single" w:color="000000" w:sz="4"/>
                  </w:tcBorders>
                  <w:vAlign w:val="top"/>
                </w:tcPr>
                <w:p>
                  <w:pPr>
                    <w:jc w:val="center"/>
                  </w:pPr>
                  <w:r>
                    <w:rPr>
                      <w:sz w:val="24"/>
                    </w:rPr>
                    <w:t>3.有新鲜鼠洞、鼠粪、鼠咬痕等鼠迹的房间不超过2%。</w:t>
                  </w:r>
                </w:p>
              </w:tc>
              <w:tc>
                <w:tcPr>
                  <w:tcW w:type="dxa" w:w="1261"/>
                  <w:tcBorders>
                    <w:top w:val="none" w:color="000000" w:sz="4"/>
                    <w:left w:val="single" w:color="000000" w:sz="4"/>
                    <w:bottom w:val="single" w:color="000000" w:sz="4"/>
                    <w:right w:val="single" w:color="000000" w:sz="4"/>
                  </w:tcBorders>
                  <w:vAlign w:val="top"/>
                </w:tcPr>
                <w:p>
                  <w:pPr>
                    <w:jc w:val="center"/>
                  </w:pPr>
                  <w:r>
                    <w:rPr>
                      <w:sz w:val="24"/>
                    </w:rPr>
                    <w:t>每超出</w:t>
                  </w:r>
                  <w:r>
                    <w:rPr>
                      <w:sz w:val="24"/>
                    </w:rPr>
                    <w:t>0.2%扣2分，扣完为止</w:t>
                  </w:r>
                </w:p>
              </w:tc>
              <w:tc>
                <w:tcPr>
                  <w:tcW w:type="dxa" w:w="759"/>
                  <w:tcBorders>
                    <w:top w:val="none" w:color="000000" w:sz="4"/>
                    <w:left w:val="single" w:color="000000" w:sz="4"/>
                    <w:bottom w:val="single" w:color="000000" w:sz="4"/>
                    <w:right w:val="single" w:color="000000" w:sz="4"/>
                  </w:tcBorders>
                  <w:vAlign w:val="top"/>
                </w:tcPr>
                <w:p>
                  <w:pPr>
                    <w:jc w:val="center"/>
                  </w:pPr>
                  <w:r>
                    <w:rPr>
                      <w:sz w:val="24"/>
                    </w:rPr>
                    <w:t>8</w:t>
                  </w:r>
                </w:p>
              </w:tc>
              <w:tc>
                <w:tcPr>
                  <w:tcW w:type="dxa" w:w="685"/>
                  <w:tcBorders>
                    <w:top w:val="none" w:color="000000" w:sz="4"/>
                    <w:left w:val="single" w:color="000000" w:sz="4"/>
                    <w:bottom w:val="single" w:color="000000" w:sz="4"/>
                    <w:right w:val="single" w:color="000000" w:sz="4"/>
                  </w:tcBorders>
                  <w:vAlign w:val="top"/>
                </w:tcPr>
                <w:p>
                  <w:pPr>
                    <w:jc w:val="both"/>
                  </w:pPr>
                </w:p>
              </w:tc>
            </w:tr>
            <w:tr>
              <w:tc>
                <w:tcPr>
                  <w:tcW w:type="dxa" w:w="587"/>
                  <w:vMerge/>
                  <w:tcBorders>
                    <w:top w:val="none" w:color="000000" w:sz="4"/>
                    <w:left w:val="single" w:color="000000" w:sz="4"/>
                    <w:bottom w:val="single" w:color="000000" w:sz="4"/>
                    <w:right w:val="single" w:color="000000" w:sz="4"/>
                  </w:tcBorders>
                </w:tcPr>
                <w:p/>
              </w:tc>
              <w:tc>
                <w:tcPr>
                  <w:tcW w:type="dxa" w:w="747"/>
                  <w:vMerge w:val="restart"/>
                  <w:tcBorders>
                    <w:top w:val="none" w:color="000000" w:sz="4"/>
                    <w:left w:val="single" w:color="000000" w:sz="4"/>
                    <w:bottom w:val="single" w:color="000000" w:sz="4"/>
                    <w:right w:val="single" w:color="000000" w:sz="4"/>
                  </w:tcBorders>
                  <w:vAlign w:val="top"/>
                </w:tcPr>
                <w:p>
                  <w:pPr>
                    <w:jc w:val="center"/>
                  </w:pPr>
                  <w:r>
                    <w:rPr>
                      <w:sz w:val="24"/>
                    </w:rPr>
                    <w:t>灭蚊</w:t>
                  </w:r>
                </w:p>
              </w:tc>
              <w:tc>
                <w:tcPr>
                  <w:tcW w:type="dxa" w:w="1518"/>
                  <w:tcBorders>
                    <w:top w:val="none" w:color="000000" w:sz="4"/>
                    <w:left w:val="single" w:color="000000" w:sz="4"/>
                    <w:bottom w:val="single" w:color="000000" w:sz="4"/>
                    <w:right w:val="single" w:color="000000" w:sz="4"/>
                  </w:tcBorders>
                  <w:vAlign w:val="top"/>
                </w:tcPr>
                <w:p>
                  <w:pPr>
                    <w:jc w:val="center"/>
                  </w:pPr>
                  <w:r>
                    <w:rPr>
                      <w:sz w:val="24"/>
                    </w:rPr>
                    <w:t>1</w:t>
                  </w:r>
                  <w:r>
                    <w:rPr>
                      <w:sz w:val="24"/>
                    </w:rPr>
                    <w:t>.</w:t>
                  </w:r>
                  <w:r>
                    <w:rPr>
                      <w:sz w:val="24"/>
                    </w:rPr>
                    <w:t>居民住宅外、单位内外环境各种存水容器和积水中，每千米路径指数阳性率不超过</w:t>
                  </w:r>
                  <w:r>
                    <w:rPr>
                      <w:sz w:val="24"/>
                    </w:rPr>
                    <w:t>0.5处。</w:t>
                  </w:r>
                </w:p>
              </w:tc>
              <w:tc>
                <w:tcPr>
                  <w:tcW w:type="dxa" w:w="1261"/>
                  <w:tcBorders>
                    <w:top w:val="none" w:color="000000" w:sz="4"/>
                    <w:left w:val="single" w:color="000000" w:sz="4"/>
                    <w:bottom w:val="single" w:color="000000" w:sz="4"/>
                    <w:right w:val="single" w:color="000000" w:sz="4"/>
                  </w:tcBorders>
                  <w:vAlign w:val="top"/>
                </w:tcPr>
                <w:p>
                  <w:pPr>
                    <w:jc w:val="center"/>
                  </w:pPr>
                  <w:r>
                    <w:rPr>
                      <w:sz w:val="24"/>
                    </w:rPr>
                    <w:t>每超</w:t>
                  </w:r>
                  <w:r>
                    <w:rPr>
                      <w:sz w:val="24"/>
                    </w:rPr>
                    <w:t>0.1处2扣分，扣完为止</w:t>
                  </w:r>
                </w:p>
              </w:tc>
              <w:tc>
                <w:tcPr>
                  <w:tcW w:type="dxa" w:w="759"/>
                  <w:tcBorders>
                    <w:top w:val="none" w:color="000000" w:sz="4"/>
                    <w:left w:val="single" w:color="000000" w:sz="4"/>
                    <w:bottom w:val="single" w:color="000000" w:sz="4"/>
                    <w:right w:val="single" w:color="000000" w:sz="4"/>
                  </w:tcBorders>
                  <w:vAlign w:val="top"/>
                </w:tcPr>
                <w:p>
                  <w:pPr>
                    <w:jc w:val="center"/>
                  </w:pPr>
                  <w:r>
                    <w:rPr>
                      <w:sz w:val="24"/>
                    </w:rPr>
                    <w:t>8</w:t>
                  </w:r>
                </w:p>
              </w:tc>
              <w:tc>
                <w:tcPr>
                  <w:tcW w:type="dxa" w:w="685"/>
                  <w:tcBorders>
                    <w:top w:val="none" w:color="000000" w:sz="4"/>
                    <w:left w:val="single" w:color="000000" w:sz="4"/>
                    <w:bottom w:val="single" w:color="000000" w:sz="4"/>
                    <w:right w:val="single" w:color="000000" w:sz="4"/>
                  </w:tcBorders>
                  <w:vAlign w:val="top"/>
                </w:tcPr>
                <w:p>
                  <w:pPr>
                    <w:jc w:val="both"/>
                  </w:pPr>
                </w:p>
              </w:tc>
            </w:tr>
            <w:tr>
              <w:tc>
                <w:tcPr>
                  <w:tcW w:type="dxa" w:w="587"/>
                  <w:vMerge/>
                  <w:tcBorders>
                    <w:top w:val="none" w:color="000000" w:sz="4"/>
                    <w:left w:val="single" w:color="000000" w:sz="4"/>
                    <w:bottom w:val="single" w:color="000000" w:sz="4"/>
                    <w:right w:val="single" w:color="000000" w:sz="4"/>
                  </w:tcBorders>
                </w:tcPr>
                <w:p/>
              </w:tc>
              <w:tc>
                <w:tcPr>
                  <w:tcW w:type="dxa" w:w="747"/>
                  <w:vMerge/>
                  <w:tcBorders>
                    <w:top w:val="none" w:color="000000" w:sz="4"/>
                    <w:left w:val="single" w:color="000000" w:sz="4"/>
                    <w:bottom w:val="single" w:color="000000" w:sz="4"/>
                    <w:right w:val="single" w:color="000000" w:sz="4"/>
                  </w:tcBorders>
                </w:tcPr>
                <w:p/>
              </w:tc>
              <w:tc>
                <w:tcPr>
                  <w:tcW w:type="dxa" w:w="1518"/>
                  <w:tcBorders>
                    <w:top w:val="none" w:color="000000" w:sz="4"/>
                    <w:left w:val="single" w:color="000000" w:sz="4"/>
                    <w:bottom w:val="single" w:color="000000" w:sz="4"/>
                    <w:right w:val="single" w:color="000000" w:sz="4"/>
                  </w:tcBorders>
                  <w:vAlign w:val="top"/>
                </w:tcPr>
                <w:p>
                  <w:pPr>
                    <w:jc w:val="center"/>
                  </w:pPr>
                  <w:r>
                    <w:rPr>
                      <w:sz w:val="24"/>
                    </w:rPr>
                    <w:t>2</w:t>
                  </w:r>
                  <w:r>
                    <w:rPr>
                      <w:sz w:val="24"/>
                    </w:rPr>
                    <w:t>.</w:t>
                  </w:r>
                  <w:r>
                    <w:rPr>
                      <w:sz w:val="24"/>
                    </w:rPr>
                    <w:t>用</w:t>
                  </w:r>
                  <w:r>
                    <w:rPr>
                      <w:sz w:val="24"/>
                    </w:rPr>
                    <w:t>500ML收集勺采集城区内大中型水体中的蚊幼及蛹阳性率不超过3%，阳性勺内幼虫和蛹的平均数不超过5只。</w:t>
                  </w:r>
                </w:p>
              </w:tc>
              <w:tc>
                <w:tcPr>
                  <w:tcW w:type="dxa" w:w="1261"/>
                  <w:tcBorders>
                    <w:top w:val="none" w:color="000000" w:sz="4"/>
                    <w:left w:val="single" w:color="000000" w:sz="4"/>
                    <w:bottom w:val="single" w:color="000000" w:sz="4"/>
                    <w:right w:val="single" w:color="000000" w:sz="4"/>
                  </w:tcBorders>
                  <w:vAlign w:val="top"/>
                </w:tcPr>
                <w:p>
                  <w:pPr>
                    <w:jc w:val="center"/>
                  </w:pPr>
                  <w:r>
                    <w:rPr>
                      <w:sz w:val="24"/>
                    </w:rPr>
                    <w:t>每超出</w:t>
                  </w:r>
                  <w:r>
                    <w:rPr>
                      <w:sz w:val="24"/>
                    </w:rPr>
                    <w:t>0.2%或超一只扣2分，扣完为止</w:t>
                  </w:r>
                </w:p>
              </w:tc>
              <w:tc>
                <w:tcPr>
                  <w:tcW w:type="dxa" w:w="759"/>
                  <w:tcBorders>
                    <w:top w:val="none" w:color="000000" w:sz="4"/>
                    <w:left w:val="single" w:color="000000" w:sz="4"/>
                    <w:bottom w:val="single" w:color="000000" w:sz="4"/>
                    <w:right w:val="single" w:color="000000" w:sz="4"/>
                  </w:tcBorders>
                  <w:vAlign w:val="top"/>
                </w:tcPr>
                <w:p>
                  <w:pPr>
                    <w:jc w:val="center"/>
                  </w:pPr>
                  <w:r>
                    <w:rPr>
                      <w:sz w:val="24"/>
                    </w:rPr>
                    <w:t>6</w:t>
                  </w:r>
                </w:p>
              </w:tc>
              <w:tc>
                <w:tcPr>
                  <w:tcW w:type="dxa" w:w="685"/>
                  <w:tcBorders>
                    <w:top w:val="none" w:color="000000" w:sz="4"/>
                    <w:left w:val="single" w:color="000000" w:sz="4"/>
                    <w:bottom w:val="single" w:color="000000" w:sz="4"/>
                    <w:right w:val="single" w:color="000000" w:sz="4"/>
                  </w:tcBorders>
                  <w:vAlign w:val="top"/>
                </w:tcPr>
                <w:p>
                  <w:pPr>
                    <w:jc w:val="both"/>
                  </w:pPr>
                </w:p>
              </w:tc>
            </w:tr>
            <w:tr>
              <w:tc>
                <w:tcPr>
                  <w:tcW w:type="dxa" w:w="587"/>
                  <w:vMerge/>
                  <w:tcBorders>
                    <w:top w:val="none" w:color="000000" w:sz="4"/>
                    <w:left w:val="single" w:color="000000" w:sz="4"/>
                    <w:bottom w:val="single" w:color="000000" w:sz="4"/>
                    <w:right w:val="single" w:color="000000" w:sz="4"/>
                  </w:tcBorders>
                </w:tcPr>
                <w:p/>
              </w:tc>
              <w:tc>
                <w:tcPr>
                  <w:tcW w:type="dxa" w:w="747"/>
                  <w:vMerge/>
                  <w:tcBorders>
                    <w:top w:val="none" w:color="000000" w:sz="4"/>
                    <w:left w:val="single" w:color="000000" w:sz="4"/>
                    <w:bottom w:val="single" w:color="000000" w:sz="4"/>
                    <w:right w:val="single" w:color="000000" w:sz="4"/>
                  </w:tcBorders>
                </w:tcPr>
                <w:p/>
              </w:tc>
              <w:tc>
                <w:tcPr>
                  <w:tcW w:type="dxa" w:w="1518"/>
                  <w:tcBorders>
                    <w:top w:val="none" w:color="000000" w:sz="4"/>
                    <w:left w:val="single" w:color="000000" w:sz="4"/>
                    <w:bottom w:val="single" w:color="000000" w:sz="4"/>
                    <w:right w:val="single" w:color="000000" w:sz="4"/>
                  </w:tcBorders>
                  <w:vAlign w:val="top"/>
                </w:tcPr>
                <w:p>
                  <w:pPr>
                    <w:jc w:val="center"/>
                  </w:pPr>
                  <w:r>
                    <w:rPr>
                      <w:sz w:val="24"/>
                    </w:rPr>
                    <w:t>3、特殊场所白天人诱蚊60分钟，平均每人次诱获成蚊数不超过1只。</w:t>
                  </w:r>
                </w:p>
              </w:tc>
              <w:tc>
                <w:tcPr>
                  <w:tcW w:type="dxa" w:w="1261"/>
                  <w:tcBorders>
                    <w:top w:val="none" w:color="000000" w:sz="4"/>
                    <w:left w:val="single" w:color="000000" w:sz="4"/>
                    <w:bottom w:val="single" w:color="000000" w:sz="4"/>
                    <w:right w:val="single" w:color="000000" w:sz="4"/>
                  </w:tcBorders>
                  <w:vAlign w:val="top"/>
                </w:tcPr>
                <w:p>
                  <w:pPr>
                    <w:jc w:val="center"/>
                  </w:pPr>
                  <w:r>
                    <w:rPr>
                      <w:sz w:val="24"/>
                    </w:rPr>
                    <w:t>每超一只扣</w:t>
                  </w:r>
                  <w:r>
                    <w:rPr>
                      <w:sz w:val="24"/>
                    </w:rPr>
                    <w:t>2分，扣完为止</w:t>
                  </w:r>
                </w:p>
              </w:tc>
              <w:tc>
                <w:tcPr>
                  <w:tcW w:type="dxa" w:w="759"/>
                  <w:tcBorders>
                    <w:top w:val="none" w:color="000000" w:sz="4"/>
                    <w:left w:val="single" w:color="000000" w:sz="4"/>
                    <w:bottom w:val="single" w:color="000000" w:sz="4"/>
                    <w:right w:val="single" w:color="000000" w:sz="4"/>
                  </w:tcBorders>
                  <w:vAlign w:val="top"/>
                </w:tcPr>
                <w:p>
                  <w:pPr>
                    <w:jc w:val="center"/>
                  </w:pPr>
                  <w:r>
                    <w:rPr>
                      <w:sz w:val="24"/>
                    </w:rPr>
                    <w:t>6</w:t>
                  </w:r>
                </w:p>
              </w:tc>
              <w:tc>
                <w:tcPr>
                  <w:tcW w:type="dxa" w:w="685"/>
                  <w:tcBorders>
                    <w:top w:val="none" w:color="000000" w:sz="4"/>
                    <w:left w:val="single" w:color="000000" w:sz="4"/>
                    <w:bottom w:val="single" w:color="000000" w:sz="4"/>
                    <w:right w:val="single" w:color="000000" w:sz="4"/>
                  </w:tcBorders>
                  <w:vAlign w:val="top"/>
                </w:tcPr>
                <w:p>
                  <w:pPr>
                    <w:jc w:val="both"/>
                  </w:pPr>
                </w:p>
              </w:tc>
            </w:tr>
            <w:tr>
              <w:tc>
                <w:tcPr>
                  <w:tcW w:type="dxa" w:w="587"/>
                  <w:vMerge/>
                  <w:tcBorders>
                    <w:top w:val="none" w:color="000000" w:sz="4"/>
                    <w:left w:val="single" w:color="000000" w:sz="4"/>
                    <w:bottom w:val="single" w:color="000000" w:sz="4"/>
                    <w:right w:val="single" w:color="000000" w:sz="4"/>
                  </w:tcBorders>
                </w:tcPr>
                <w:p/>
              </w:tc>
              <w:tc>
                <w:tcPr>
                  <w:tcW w:type="dxa" w:w="747"/>
                  <w:vMerge w:val="restart"/>
                  <w:tcBorders>
                    <w:top w:val="none" w:color="000000" w:sz="4"/>
                    <w:left w:val="single" w:color="000000" w:sz="4"/>
                    <w:bottom w:val="single" w:color="000000" w:sz="4"/>
                    <w:right w:val="single" w:color="000000" w:sz="4"/>
                  </w:tcBorders>
                  <w:vAlign w:val="top"/>
                </w:tcPr>
                <w:p>
                  <w:pPr>
                    <w:jc w:val="center"/>
                  </w:pPr>
                  <w:r>
                    <w:rPr>
                      <w:sz w:val="24"/>
                    </w:rPr>
                    <w:t>灭蝇</w:t>
                  </w:r>
                </w:p>
              </w:tc>
              <w:tc>
                <w:tcPr>
                  <w:tcW w:type="dxa" w:w="1518"/>
                  <w:tcBorders>
                    <w:top w:val="none" w:color="000000" w:sz="4"/>
                    <w:left w:val="single" w:color="000000" w:sz="4"/>
                    <w:bottom w:val="single" w:color="000000" w:sz="4"/>
                    <w:right w:val="single" w:color="000000" w:sz="4"/>
                  </w:tcBorders>
                  <w:vAlign w:val="top"/>
                </w:tcPr>
                <w:p>
                  <w:pPr>
                    <w:jc w:val="center"/>
                  </w:pPr>
                  <w:r>
                    <w:rPr>
                      <w:sz w:val="24"/>
                    </w:rPr>
                    <w:t>1.有苍蝇的房间不超过6%，每阳性房蝇数不超过3只；重点单位饮食、食品加工行业无蝇。</w:t>
                  </w:r>
                </w:p>
              </w:tc>
              <w:tc>
                <w:tcPr>
                  <w:tcW w:type="dxa" w:w="1261"/>
                  <w:tcBorders>
                    <w:top w:val="none" w:color="000000" w:sz="4"/>
                    <w:left w:val="single" w:color="000000" w:sz="4"/>
                    <w:bottom w:val="single" w:color="000000" w:sz="4"/>
                    <w:right w:val="single" w:color="000000" w:sz="4"/>
                  </w:tcBorders>
                  <w:vAlign w:val="top"/>
                </w:tcPr>
                <w:p>
                  <w:pPr>
                    <w:jc w:val="center"/>
                  </w:pPr>
                  <w:r>
                    <w:rPr>
                      <w:sz w:val="24"/>
                    </w:rPr>
                    <w:t>每超出</w:t>
                  </w:r>
                  <w:r>
                    <w:rPr>
                      <w:sz w:val="24"/>
                    </w:rPr>
                    <w:t>0.5%或超出一只扣2分，扣完为止</w:t>
                  </w:r>
                </w:p>
              </w:tc>
              <w:tc>
                <w:tcPr>
                  <w:tcW w:type="dxa" w:w="759"/>
                  <w:tcBorders>
                    <w:top w:val="none" w:color="000000" w:sz="4"/>
                    <w:left w:val="single" w:color="000000" w:sz="4"/>
                    <w:bottom w:val="single" w:color="000000" w:sz="4"/>
                    <w:right w:val="single" w:color="000000" w:sz="4"/>
                  </w:tcBorders>
                  <w:vAlign w:val="top"/>
                </w:tcPr>
                <w:p>
                  <w:pPr>
                    <w:jc w:val="center"/>
                  </w:pPr>
                  <w:r>
                    <w:rPr>
                      <w:sz w:val="24"/>
                    </w:rPr>
                    <w:t>8</w:t>
                  </w:r>
                </w:p>
              </w:tc>
              <w:tc>
                <w:tcPr>
                  <w:tcW w:type="dxa" w:w="685"/>
                  <w:tcBorders>
                    <w:top w:val="none" w:color="000000" w:sz="4"/>
                    <w:left w:val="single" w:color="000000" w:sz="4"/>
                    <w:bottom w:val="single" w:color="000000" w:sz="4"/>
                    <w:right w:val="single" w:color="000000" w:sz="4"/>
                  </w:tcBorders>
                  <w:vAlign w:val="top"/>
                </w:tcPr>
                <w:p>
                  <w:pPr>
                    <w:jc w:val="both"/>
                  </w:pPr>
                </w:p>
              </w:tc>
            </w:tr>
            <w:tr>
              <w:tc>
                <w:tcPr>
                  <w:tcW w:type="dxa" w:w="587"/>
                  <w:vMerge/>
                  <w:tcBorders>
                    <w:top w:val="none" w:color="000000" w:sz="4"/>
                    <w:left w:val="single" w:color="000000" w:sz="4"/>
                    <w:bottom w:val="single" w:color="000000" w:sz="4"/>
                    <w:right w:val="single" w:color="000000" w:sz="4"/>
                  </w:tcBorders>
                </w:tcPr>
                <w:p/>
              </w:tc>
              <w:tc>
                <w:tcPr>
                  <w:tcW w:type="dxa" w:w="747"/>
                  <w:vMerge/>
                  <w:tcBorders>
                    <w:top w:val="none" w:color="000000" w:sz="4"/>
                    <w:left w:val="single" w:color="000000" w:sz="4"/>
                    <w:bottom w:val="single" w:color="000000" w:sz="4"/>
                    <w:right w:val="single" w:color="000000" w:sz="4"/>
                  </w:tcBorders>
                </w:tcPr>
                <w:p/>
              </w:tc>
              <w:tc>
                <w:tcPr>
                  <w:tcW w:type="dxa" w:w="1518"/>
                  <w:tcBorders>
                    <w:top w:val="none" w:color="000000" w:sz="4"/>
                    <w:left w:val="single" w:color="000000" w:sz="4"/>
                    <w:bottom w:val="single" w:color="000000" w:sz="4"/>
                    <w:right w:val="single" w:color="000000" w:sz="4"/>
                  </w:tcBorders>
                  <w:vAlign w:val="top"/>
                </w:tcPr>
                <w:p>
                  <w:pPr>
                    <w:jc w:val="both"/>
                  </w:pPr>
                  <w:r>
                    <w:rPr>
                      <w:sz w:val="24"/>
                    </w:rPr>
                    <w:t>2.蝇的蛆或蛹检出率不超过3%。</w:t>
                  </w:r>
                </w:p>
              </w:tc>
              <w:tc>
                <w:tcPr>
                  <w:tcW w:type="dxa" w:w="1261"/>
                  <w:tcBorders>
                    <w:top w:val="none" w:color="000000" w:sz="4"/>
                    <w:left w:val="single" w:color="000000" w:sz="4"/>
                    <w:bottom w:val="single" w:color="000000" w:sz="4"/>
                    <w:right w:val="single" w:color="000000" w:sz="4"/>
                  </w:tcBorders>
                  <w:vAlign w:val="top"/>
                </w:tcPr>
                <w:p>
                  <w:pPr>
                    <w:jc w:val="center"/>
                  </w:pPr>
                  <w:r>
                    <w:rPr>
                      <w:sz w:val="24"/>
                    </w:rPr>
                    <w:t>每超出</w:t>
                  </w:r>
                  <w:r>
                    <w:rPr>
                      <w:sz w:val="24"/>
                    </w:rPr>
                    <w:t>0.2%扣2分，扣完为止</w:t>
                  </w:r>
                </w:p>
              </w:tc>
              <w:tc>
                <w:tcPr>
                  <w:tcW w:type="dxa" w:w="759"/>
                  <w:tcBorders>
                    <w:top w:val="none" w:color="000000" w:sz="4"/>
                    <w:left w:val="single" w:color="000000" w:sz="4"/>
                    <w:bottom w:val="single" w:color="000000" w:sz="4"/>
                    <w:right w:val="single" w:color="000000" w:sz="4"/>
                  </w:tcBorders>
                  <w:vAlign w:val="top"/>
                </w:tcPr>
                <w:p>
                  <w:pPr>
                    <w:jc w:val="center"/>
                  </w:pPr>
                  <w:r>
                    <w:rPr>
                      <w:sz w:val="24"/>
                    </w:rPr>
                    <w:t>8</w:t>
                  </w:r>
                </w:p>
              </w:tc>
              <w:tc>
                <w:tcPr>
                  <w:tcW w:type="dxa" w:w="685"/>
                  <w:tcBorders>
                    <w:top w:val="none" w:color="000000" w:sz="4"/>
                    <w:left w:val="single" w:color="000000" w:sz="4"/>
                    <w:bottom w:val="single" w:color="000000" w:sz="4"/>
                    <w:right w:val="single" w:color="000000" w:sz="4"/>
                  </w:tcBorders>
                  <w:vAlign w:val="top"/>
                </w:tcPr>
                <w:p>
                  <w:pPr>
                    <w:jc w:val="both"/>
                  </w:pPr>
                </w:p>
              </w:tc>
            </w:tr>
            <w:tr>
              <w:tc>
                <w:tcPr>
                  <w:tcW w:type="dxa" w:w="587"/>
                  <w:vMerge/>
                  <w:tcBorders>
                    <w:top w:val="none" w:color="000000" w:sz="4"/>
                    <w:left w:val="single" w:color="000000" w:sz="4"/>
                    <w:bottom w:val="single" w:color="000000" w:sz="4"/>
                    <w:right w:val="single" w:color="000000" w:sz="4"/>
                  </w:tcBorders>
                </w:tcPr>
                <w:p/>
              </w:tc>
              <w:tc>
                <w:tcPr>
                  <w:tcW w:type="dxa" w:w="747"/>
                  <w:vMerge w:val="restart"/>
                  <w:tcBorders>
                    <w:top w:val="none" w:color="000000" w:sz="4"/>
                    <w:left w:val="single" w:color="000000" w:sz="4"/>
                    <w:bottom w:val="single" w:color="000000" w:sz="4"/>
                    <w:right w:val="single" w:color="000000" w:sz="4"/>
                  </w:tcBorders>
                  <w:vAlign w:val="top"/>
                </w:tcPr>
                <w:p>
                  <w:pPr>
                    <w:jc w:val="center"/>
                  </w:pPr>
                  <w:r>
                    <w:rPr>
                      <w:sz w:val="24"/>
                    </w:rPr>
                    <w:t>灭蟑</w:t>
                  </w:r>
                </w:p>
              </w:tc>
              <w:tc>
                <w:tcPr>
                  <w:tcW w:type="dxa" w:w="1518"/>
                  <w:tcBorders>
                    <w:top w:val="none" w:color="000000" w:sz="4"/>
                    <w:left w:val="single" w:color="000000" w:sz="4"/>
                    <w:bottom w:val="single" w:color="000000" w:sz="4"/>
                    <w:right w:val="single" w:color="000000" w:sz="4"/>
                  </w:tcBorders>
                  <w:vAlign w:val="top"/>
                </w:tcPr>
                <w:p>
                  <w:pPr>
                    <w:jc w:val="both"/>
                  </w:pPr>
                  <w:r>
                    <w:rPr>
                      <w:sz w:val="24"/>
                    </w:rPr>
                    <w:t>1</w:t>
                  </w:r>
                  <w:r>
                    <w:rPr>
                      <w:sz w:val="24"/>
                    </w:rPr>
                    <w:t>.</w:t>
                  </w:r>
                  <w:r>
                    <w:rPr>
                      <w:sz w:val="24"/>
                    </w:rPr>
                    <w:t>单位、住户有蟑迹房间查获率</w:t>
                  </w:r>
                  <w:r>
                    <w:rPr>
                      <w:sz w:val="24"/>
                    </w:rPr>
                    <w:t>5%。</w:t>
                  </w:r>
                </w:p>
              </w:tc>
              <w:tc>
                <w:tcPr>
                  <w:tcW w:type="dxa" w:w="1261"/>
                  <w:tcBorders>
                    <w:top w:val="none" w:color="000000" w:sz="4"/>
                    <w:left w:val="single" w:color="000000" w:sz="4"/>
                    <w:bottom w:val="single" w:color="000000" w:sz="4"/>
                    <w:right w:val="single" w:color="000000" w:sz="4"/>
                  </w:tcBorders>
                  <w:vAlign w:val="top"/>
                </w:tcPr>
                <w:p>
                  <w:pPr>
                    <w:jc w:val="center"/>
                  </w:pPr>
                  <w:r>
                    <w:rPr>
                      <w:sz w:val="24"/>
                    </w:rPr>
                    <w:t>每超出</w:t>
                  </w:r>
                  <w:r>
                    <w:rPr>
                      <w:sz w:val="24"/>
                    </w:rPr>
                    <w:t>0.5%扣2分，扣完为止</w:t>
                  </w:r>
                </w:p>
              </w:tc>
              <w:tc>
                <w:tcPr>
                  <w:tcW w:type="dxa" w:w="759"/>
                  <w:tcBorders>
                    <w:top w:val="none" w:color="000000" w:sz="4"/>
                    <w:left w:val="single" w:color="000000" w:sz="4"/>
                    <w:bottom w:val="single" w:color="000000" w:sz="4"/>
                    <w:right w:val="single" w:color="000000" w:sz="4"/>
                  </w:tcBorders>
                  <w:vAlign w:val="top"/>
                </w:tcPr>
                <w:p>
                  <w:pPr>
                    <w:jc w:val="center"/>
                  </w:pPr>
                  <w:r>
                    <w:rPr>
                      <w:sz w:val="24"/>
                    </w:rPr>
                    <w:t>8</w:t>
                  </w:r>
                </w:p>
              </w:tc>
              <w:tc>
                <w:tcPr>
                  <w:tcW w:type="dxa" w:w="685"/>
                  <w:tcBorders>
                    <w:top w:val="none" w:color="000000" w:sz="4"/>
                    <w:left w:val="single" w:color="000000" w:sz="4"/>
                    <w:bottom w:val="single" w:color="000000" w:sz="4"/>
                    <w:right w:val="single" w:color="000000" w:sz="4"/>
                  </w:tcBorders>
                  <w:vAlign w:val="top"/>
                </w:tcPr>
                <w:p>
                  <w:pPr>
                    <w:jc w:val="both"/>
                  </w:pPr>
                </w:p>
              </w:tc>
            </w:tr>
            <w:tr>
              <w:tc>
                <w:tcPr>
                  <w:tcW w:type="dxa" w:w="587"/>
                  <w:vMerge/>
                  <w:tcBorders>
                    <w:top w:val="none" w:color="000000" w:sz="4"/>
                    <w:left w:val="single" w:color="000000" w:sz="4"/>
                    <w:bottom w:val="single" w:color="000000" w:sz="4"/>
                    <w:right w:val="single" w:color="000000" w:sz="4"/>
                  </w:tcBorders>
                </w:tcPr>
                <w:p/>
              </w:tc>
              <w:tc>
                <w:tcPr>
                  <w:tcW w:type="dxa" w:w="747"/>
                  <w:vMerge/>
                  <w:tcBorders>
                    <w:top w:val="none" w:color="000000" w:sz="4"/>
                    <w:left w:val="single" w:color="000000" w:sz="4"/>
                    <w:bottom w:val="single" w:color="000000" w:sz="4"/>
                    <w:right w:val="single" w:color="000000" w:sz="4"/>
                  </w:tcBorders>
                </w:tcPr>
                <w:p/>
              </w:tc>
              <w:tc>
                <w:tcPr>
                  <w:tcW w:type="dxa" w:w="1518"/>
                  <w:tcBorders>
                    <w:top w:val="none" w:color="000000" w:sz="4"/>
                    <w:left w:val="single" w:color="000000" w:sz="4"/>
                    <w:bottom w:val="single" w:color="000000" w:sz="4"/>
                    <w:right w:val="single" w:color="000000" w:sz="4"/>
                  </w:tcBorders>
                  <w:vAlign w:val="top"/>
                </w:tcPr>
                <w:p>
                  <w:pPr>
                    <w:jc w:val="both"/>
                  </w:pPr>
                  <w:r>
                    <w:rPr>
                      <w:sz w:val="24"/>
                    </w:rPr>
                    <w:t>2</w:t>
                  </w:r>
                  <w:r>
                    <w:rPr>
                      <w:sz w:val="24"/>
                    </w:rPr>
                    <w:t>.</w:t>
                  </w:r>
                  <w:r>
                    <w:rPr>
                      <w:sz w:val="24"/>
                    </w:rPr>
                    <w:t>有蟑螂卵鞘房间不超过</w:t>
                  </w:r>
                  <w:r>
                    <w:rPr>
                      <w:sz w:val="24"/>
                    </w:rPr>
                    <w:t>2%。</w:t>
                  </w:r>
                </w:p>
              </w:tc>
              <w:tc>
                <w:tcPr>
                  <w:tcW w:type="dxa" w:w="1261"/>
                  <w:tcBorders>
                    <w:top w:val="none" w:color="000000" w:sz="4"/>
                    <w:left w:val="single" w:color="000000" w:sz="4"/>
                    <w:bottom w:val="single" w:color="000000" w:sz="4"/>
                    <w:right w:val="single" w:color="000000" w:sz="4"/>
                  </w:tcBorders>
                  <w:vAlign w:val="top"/>
                </w:tcPr>
                <w:p>
                  <w:pPr>
                    <w:jc w:val="center"/>
                  </w:pPr>
                  <w:r>
                    <w:rPr>
                      <w:sz w:val="24"/>
                    </w:rPr>
                    <w:t>每超出</w:t>
                  </w:r>
                  <w:r>
                    <w:rPr>
                      <w:sz w:val="24"/>
                    </w:rPr>
                    <w:t>0.2%扣2分，扣完为止</w:t>
                  </w:r>
                </w:p>
              </w:tc>
              <w:tc>
                <w:tcPr>
                  <w:tcW w:type="dxa" w:w="759"/>
                  <w:tcBorders>
                    <w:top w:val="none" w:color="000000" w:sz="4"/>
                    <w:left w:val="single" w:color="000000" w:sz="4"/>
                    <w:bottom w:val="single" w:color="000000" w:sz="4"/>
                    <w:right w:val="single" w:color="000000" w:sz="4"/>
                  </w:tcBorders>
                  <w:vAlign w:val="top"/>
                </w:tcPr>
                <w:p>
                  <w:pPr>
                    <w:jc w:val="center"/>
                  </w:pPr>
                  <w:r>
                    <w:rPr>
                      <w:sz w:val="24"/>
                    </w:rPr>
                    <w:t>6</w:t>
                  </w:r>
                </w:p>
              </w:tc>
              <w:tc>
                <w:tcPr>
                  <w:tcW w:type="dxa" w:w="685"/>
                  <w:tcBorders>
                    <w:top w:val="none" w:color="000000" w:sz="4"/>
                    <w:left w:val="single" w:color="000000" w:sz="4"/>
                    <w:bottom w:val="single" w:color="000000" w:sz="4"/>
                    <w:right w:val="single" w:color="000000" w:sz="4"/>
                  </w:tcBorders>
                  <w:vAlign w:val="top"/>
                </w:tcPr>
                <w:p>
                  <w:pPr>
                    <w:jc w:val="both"/>
                  </w:pPr>
                </w:p>
              </w:tc>
            </w:tr>
            <w:tr>
              <w:tc>
                <w:tcPr>
                  <w:tcW w:type="dxa" w:w="587"/>
                  <w:vMerge/>
                  <w:tcBorders>
                    <w:top w:val="none" w:color="000000" w:sz="4"/>
                    <w:left w:val="single" w:color="000000" w:sz="4"/>
                    <w:bottom w:val="single" w:color="000000" w:sz="4"/>
                    <w:right w:val="single" w:color="000000" w:sz="4"/>
                  </w:tcBorders>
                </w:tcPr>
                <w:p/>
              </w:tc>
              <w:tc>
                <w:tcPr>
                  <w:tcW w:type="dxa" w:w="747"/>
                  <w:vMerge/>
                  <w:tcBorders>
                    <w:top w:val="none" w:color="000000" w:sz="4"/>
                    <w:left w:val="single" w:color="000000" w:sz="4"/>
                    <w:bottom w:val="single" w:color="000000" w:sz="4"/>
                    <w:right w:val="single" w:color="000000" w:sz="4"/>
                  </w:tcBorders>
                </w:tcPr>
                <w:p/>
              </w:tc>
              <w:tc>
                <w:tcPr>
                  <w:tcW w:type="dxa" w:w="1518"/>
                  <w:tcBorders>
                    <w:top w:val="none" w:color="000000" w:sz="4"/>
                    <w:left w:val="single" w:color="000000" w:sz="4"/>
                    <w:bottom w:val="single" w:color="000000" w:sz="4"/>
                    <w:right w:val="single" w:color="000000" w:sz="4"/>
                  </w:tcBorders>
                  <w:vAlign w:val="top"/>
                </w:tcPr>
                <w:p>
                  <w:pPr>
                    <w:jc w:val="both"/>
                  </w:pPr>
                  <w:r>
                    <w:rPr>
                      <w:sz w:val="24"/>
                    </w:rPr>
                    <w:t>3</w:t>
                  </w:r>
                  <w:r>
                    <w:rPr>
                      <w:sz w:val="24"/>
                    </w:rPr>
                    <w:t>.</w:t>
                  </w:r>
                  <w:r>
                    <w:rPr>
                      <w:sz w:val="24"/>
                    </w:rPr>
                    <w:t>有蟑螂卵鞘房间不超过</w:t>
                  </w:r>
                  <w:r>
                    <w:rPr>
                      <w:sz w:val="24"/>
                    </w:rPr>
                    <w:t>2%。</w:t>
                  </w:r>
                </w:p>
              </w:tc>
              <w:tc>
                <w:tcPr>
                  <w:tcW w:type="dxa" w:w="1261"/>
                  <w:tcBorders>
                    <w:top w:val="none" w:color="000000" w:sz="4"/>
                    <w:left w:val="single" w:color="000000" w:sz="4"/>
                    <w:bottom w:val="single" w:color="000000" w:sz="4"/>
                    <w:right w:val="single" w:color="000000" w:sz="4"/>
                  </w:tcBorders>
                  <w:vAlign w:val="top"/>
                </w:tcPr>
                <w:p>
                  <w:pPr>
                    <w:jc w:val="center"/>
                  </w:pPr>
                  <w:r>
                    <w:rPr>
                      <w:sz w:val="24"/>
                    </w:rPr>
                    <w:t>每超出</w:t>
                  </w:r>
                  <w:r>
                    <w:rPr>
                      <w:sz w:val="24"/>
                    </w:rPr>
                    <w:t>0.2%扣2分</w:t>
                  </w:r>
                </w:p>
              </w:tc>
              <w:tc>
                <w:tcPr>
                  <w:tcW w:type="dxa" w:w="759"/>
                  <w:tcBorders>
                    <w:top w:val="none" w:color="000000" w:sz="4"/>
                    <w:left w:val="single" w:color="000000" w:sz="4"/>
                    <w:bottom w:val="single" w:color="000000" w:sz="4"/>
                    <w:right w:val="single" w:color="000000" w:sz="4"/>
                  </w:tcBorders>
                  <w:vAlign w:val="top"/>
                </w:tcPr>
                <w:p>
                  <w:pPr>
                    <w:jc w:val="center"/>
                  </w:pPr>
                  <w:r>
                    <w:rPr>
                      <w:sz w:val="24"/>
                    </w:rPr>
                    <w:t>6</w:t>
                  </w:r>
                </w:p>
              </w:tc>
              <w:tc>
                <w:tcPr>
                  <w:tcW w:type="dxa" w:w="685"/>
                  <w:tcBorders>
                    <w:top w:val="none" w:color="000000" w:sz="4"/>
                    <w:left w:val="single" w:color="000000" w:sz="4"/>
                    <w:bottom w:val="single" w:color="000000" w:sz="4"/>
                    <w:right w:val="single" w:color="000000" w:sz="4"/>
                  </w:tcBorders>
                  <w:vAlign w:val="top"/>
                </w:tcPr>
                <w:p>
                  <w:pPr>
                    <w:jc w:val="both"/>
                  </w:pPr>
                </w:p>
              </w:tc>
            </w:tr>
            <w:tr>
              <w:tc>
                <w:tcPr>
                  <w:tcW w:type="dxa" w:w="587"/>
                  <w:vMerge/>
                  <w:tcBorders>
                    <w:top w:val="none" w:color="000000" w:sz="4"/>
                    <w:left w:val="single" w:color="000000" w:sz="4"/>
                    <w:bottom w:val="single" w:color="000000" w:sz="4"/>
                    <w:right w:val="single" w:color="000000" w:sz="4"/>
                  </w:tcBorders>
                </w:tcPr>
                <w:p/>
              </w:tc>
              <w:tc>
                <w:tcPr>
                  <w:tcW w:type="dxa" w:w="747"/>
                  <w:vMerge w:val="restart"/>
                  <w:tcBorders>
                    <w:top w:val="none" w:color="000000" w:sz="4"/>
                    <w:left w:val="single" w:color="000000" w:sz="4"/>
                    <w:bottom w:val="single" w:color="000000" w:sz="4"/>
                    <w:right w:val="single" w:color="000000" w:sz="4"/>
                  </w:tcBorders>
                  <w:vAlign w:val="top"/>
                </w:tcPr>
                <w:p>
                  <w:pPr>
                    <w:jc w:val="center"/>
                  </w:pPr>
                  <w:r>
                    <w:rPr>
                      <w:sz w:val="24"/>
                    </w:rPr>
                    <w:t>其他</w:t>
                  </w:r>
                </w:p>
              </w:tc>
              <w:tc>
                <w:tcPr>
                  <w:tcW w:type="dxa" w:w="1518"/>
                  <w:tcBorders>
                    <w:top w:val="none" w:color="000000" w:sz="4"/>
                    <w:left w:val="single" w:color="000000" w:sz="4"/>
                    <w:bottom w:val="single" w:color="000000" w:sz="4"/>
                    <w:right w:val="single" w:color="000000" w:sz="4"/>
                  </w:tcBorders>
                  <w:vAlign w:val="top"/>
                </w:tcPr>
                <w:p>
                  <w:pPr>
                    <w:jc w:val="left"/>
                  </w:pPr>
                  <w:r>
                    <w:rPr>
                      <w:sz w:val="24"/>
                    </w:rPr>
                    <w:t>1</w:t>
                  </w:r>
                  <w:r>
                    <w:rPr>
                      <w:sz w:val="24"/>
                    </w:rPr>
                    <w:t>.</w:t>
                  </w:r>
                  <w:r>
                    <w:rPr>
                      <w:sz w:val="24"/>
                    </w:rPr>
                    <w:t>每月除</w:t>
                  </w:r>
                  <w:r>
                    <w:rPr>
                      <w:sz w:val="24"/>
                    </w:rPr>
                    <w:t>“四害”消杀行动要达2次以上。</w:t>
                  </w:r>
                </w:p>
              </w:tc>
              <w:tc>
                <w:tcPr>
                  <w:tcW w:type="dxa" w:w="1261"/>
                  <w:tcBorders>
                    <w:top w:val="none" w:color="000000" w:sz="4"/>
                    <w:left w:val="single" w:color="000000" w:sz="4"/>
                    <w:bottom w:val="single" w:color="000000" w:sz="4"/>
                    <w:right w:val="single" w:color="000000" w:sz="4"/>
                  </w:tcBorders>
                  <w:vAlign w:val="top"/>
                </w:tcPr>
                <w:p>
                  <w:pPr>
                    <w:jc w:val="left"/>
                  </w:pPr>
                  <w:r>
                    <w:rPr>
                      <w:sz w:val="24"/>
                    </w:rPr>
                    <w:t>每少</w:t>
                  </w:r>
                  <w:r>
                    <w:rPr>
                      <w:sz w:val="24"/>
                    </w:rPr>
                    <w:t>1次扣3分</w:t>
                  </w:r>
                </w:p>
              </w:tc>
              <w:tc>
                <w:tcPr>
                  <w:tcW w:type="dxa" w:w="759"/>
                  <w:tcBorders>
                    <w:top w:val="none" w:color="000000" w:sz="4"/>
                    <w:left w:val="single" w:color="000000" w:sz="4"/>
                    <w:bottom w:val="single" w:color="000000" w:sz="4"/>
                    <w:right w:val="single" w:color="000000" w:sz="4"/>
                  </w:tcBorders>
                  <w:vAlign w:val="top"/>
                </w:tcPr>
                <w:p>
                  <w:pPr>
                    <w:jc w:val="center"/>
                  </w:pPr>
                  <w:r>
                    <w:rPr>
                      <w:sz w:val="24"/>
                    </w:rPr>
                    <w:t>3</w:t>
                  </w:r>
                </w:p>
              </w:tc>
              <w:tc>
                <w:tcPr>
                  <w:tcW w:type="dxa" w:w="685"/>
                  <w:tcBorders>
                    <w:top w:val="none" w:color="000000" w:sz="4"/>
                    <w:left w:val="single" w:color="000000" w:sz="4"/>
                    <w:bottom w:val="single" w:color="000000" w:sz="4"/>
                    <w:right w:val="single" w:color="000000" w:sz="4"/>
                  </w:tcBorders>
                  <w:vAlign w:val="top"/>
                </w:tcPr>
                <w:p>
                  <w:pPr>
                    <w:jc w:val="both"/>
                  </w:pPr>
                </w:p>
              </w:tc>
            </w:tr>
            <w:tr>
              <w:tc>
                <w:tcPr>
                  <w:tcW w:type="dxa" w:w="587"/>
                  <w:vMerge/>
                  <w:tcBorders>
                    <w:top w:val="none" w:color="000000" w:sz="4"/>
                    <w:left w:val="single" w:color="000000" w:sz="4"/>
                    <w:bottom w:val="single" w:color="000000" w:sz="4"/>
                    <w:right w:val="single" w:color="000000" w:sz="4"/>
                  </w:tcBorders>
                </w:tcPr>
                <w:p/>
              </w:tc>
              <w:tc>
                <w:tcPr>
                  <w:tcW w:type="dxa" w:w="747"/>
                  <w:vMerge/>
                  <w:tcBorders>
                    <w:top w:val="none" w:color="000000" w:sz="4"/>
                    <w:left w:val="single" w:color="000000" w:sz="4"/>
                    <w:bottom w:val="single" w:color="000000" w:sz="4"/>
                    <w:right w:val="single" w:color="000000" w:sz="4"/>
                  </w:tcBorders>
                </w:tcPr>
                <w:p/>
              </w:tc>
              <w:tc>
                <w:tcPr>
                  <w:tcW w:type="dxa" w:w="1518"/>
                  <w:tcBorders>
                    <w:top w:val="none" w:color="000000" w:sz="4"/>
                    <w:left w:val="single" w:color="000000" w:sz="4"/>
                    <w:bottom w:val="single" w:color="000000" w:sz="4"/>
                    <w:right w:val="single" w:color="000000" w:sz="4"/>
                  </w:tcBorders>
                  <w:vAlign w:val="top"/>
                </w:tcPr>
                <w:p>
                  <w:pPr>
                    <w:jc w:val="left"/>
                  </w:pPr>
                  <w:r>
                    <w:rPr>
                      <w:sz w:val="24"/>
                    </w:rPr>
                    <w:t>2</w:t>
                  </w:r>
                  <w:r>
                    <w:rPr>
                      <w:sz w:val="24"/>
                    </w:rPr>
                    <w:t>.</w:t>
                  </w:r>
                  <w:r>
                    <w:rPr>
                      <w:sz w:val="24"/>
                    </w:rPr>
                    <w:t>工作人员数量与投标文件承诺的数量不符。</w:t>
                  </w:r>
                </w:p>
              </w:tc>
              <w:tc>
                <w:tcPr>
                  <w:tcW w:type="dxa" w:w="1261"/>
                  <w:tcBorders>
                    <w:top w:val="none" w:color="000000" w:sz="4"/>
                    <w:left w:val="single" w:color="000000" w:sz="4"/>
                    <w:bottom w:val="single" w:color="000000" w:sz="4"/>
                    <w:right w:val="single" w:color="000000" w:sz="4"/>
                  </w:tcBorders>
                  <w:vAlign w:val="top"/>
                </w:tcPr>
                <w:p>
                  <w:pPr>
                    <w:jc w:val="left"/>
                  </w:pPr>
                  <w:r>
                    <w:rPr>
                      <w:sz w:val="24"/>
                    </w:rPr>
                    <w:t>每少</w:t>
                  </w:r>
                  <w:r>
                    <w:rPr>
                      <w:sz w:val="24"/>
                    </w:rPr>
                    <w:t>1人扣1分，扣完为止</w:t>
                  </w:r>
                </w:p>
              </w:tc>
              <w:tc>
                <w:tcPr>
                  <w:tcW w:type="dxa" w:w="759"/>
                  <w:tcBorders>
                    <w:top w:val="none" w:color="000000" w:sz="4"/>
                    <w:left w:val="single" w:color="000000" w:sz="4"/>
                    <w:bottom w:val="single" w:color="000000" w:sz="4"/>
                    <w:right w:val="single" w:color="000000" w:sz="4"/>
                  </w:tcBorders>
                  <w:vAlign w:val="top"/>
                </w:tcPr>
                <w:p>
                  <w:pPr>
                    <w:jc w:val="center"/>
                  </w:pPr>
                  <w:r>
                    <w:rPr>
                      <w:sz w:val="24"/>
                    </w:rPr>
                    <w:t>3</w:t>
                  </w:r>
                </w:p>
              </w:tc>
              <w:tc>
                <w:tcPr>
                  <w:tcW w:type="dxa" w:w="685"/>
                  <w:tcBorders>
                    <w:top w:val="none" w:color="000000" w:sz="4"/>
                    <w:left w:val="single" w:color="000000" w:sz="4"/>
                    <w:bottom w:val="single" w:color="000000" w:sz="4"/>
                    <w:right w:val="single" w:color="000000" w:sz="4"/>
                  </w:tcBorders>
                  <w:vAlign w:val="top"/>
                </w:tcPr>
                <w:p>
                  <w:pPr>
                    <w:jc w:val="both"/>
                  </w:pPr>
                </w:p>
              </w:tc>
            </w:tr>
            <w:tr>
              <w:tc>
                <w:tcPr>
                  <w:tcW w:type="dxa" w:w="587"/>
                  <w:vMerge/>
                  <w:tcBorders>
                    <w:top w:val="none" w:color="000000" w:sz="4"/>
                    <w:left w:val="single" w:color="000000" w:sz="4"/>
                    <w:bottom w:val="single" w:color="000000" w:sz="4"/>
                    <w:right w:val="single" w:color="000000" w:sz="4"/>
                  </w:tcBorders>
                </w:tcPr>
                <w:p/>
              </w:tc>
              <w:tc>
                <w:tcPr>
                  <w:tcW w:type="dxa" w:w="747"/>
                  <w:vMerge/>
                  <w:tcBorders>
                    <w:top w:val="none" w:color="000000" w:sz="4"/>
                    <w:left w:val="single" w:color="000000" w:sz="4"/>
                    <w:bottom w:val="single" w:color="000000" w:sz="4"/>
                    <w:right w:val="single" w:color="000000" w:sz="4"/>
                  </w:tcBorders>
                </w:tcPr>
                <w:p/>
              </w:tc>
              <w:tc>
                <w:tcPr>
                  <w:tcW w:type="dxa" w:w="1518"/>
                  <w:tcBorders>
                    <w:top w:val="none" w:color="000000" w:sz="4"/>
                    <w:left w:val="single" w:color="000000" w:sz="4"/>
                    <w:bottom w:val="single" w:color="000000" w:sz="4"/>
                    <w:right w:val="single" w:color="000000" w:sz="4"/>
                  </w:tcBorders>
                  <w:vAlign w:val="top"/>
                </w:tcPr>
                <w:p>
                  <w:pPr>
                    <w:jc w:val="left"/>
                  </w:pPr>
                  <w:r>
                    <w:rPr>
                      <w:sz w:val="24"/>
                    </w:rPr>
                    <w:t>3</w:t>
                  </w:r>
                  <w:r>
                    <w:rPr>
                      <w:sz w:val="24"/>
                    </w:rPr>
                    <w:t>.</w:t>
                  </w:r>
                  <w:r>
                    <w:rPr>
                      <w:sz w:val="24"/>
                    </w:rPr>
                    <w:t>投入设备与投标文件承诺的数量不符。</w:t>
                  </w:r>
                </w:p>
              </w:tc>
              <w:tc>
                <w:tcPr>
                  <w:tcW w:type="dxa" w:w="1261"/>
                  <w:tcBorders>
                    <w:top w:val="none" w:color="000000" w:sz="4"/>
                    <w:left w:val="single" w:color="000000" w:sz="4"/>
                    <w:bottom w:val="single" w:color="000000" w:sz="4"/>
                    <w:right w:val="single" w:color="000000" w:sz="4"/>
                  </w:tcBorders>
                  <w:vAlign w:val="top"/>
                </w:tcPr>
                <w:p>
                  <w:pPr>
                    <w:jc w:val="left"/>
                  </w:pPr>
                  <w:r>
                    <w:rPr>
                      <w:sz w:val="24"/>
                    </w:rPr>
                    <w:t>每少</w:t>
                  </w:r>
                  <w:r>
                    <w:rPr>
                      <w:sz w:val="24"/>
                    </w:rPr>
                    <w:t>1台（件）扣1分，扣完为止</w:t>
                  </w:r>
                </w:p>
              </w:tc>
              <w:tc>
                <w:tcPr>
                  <w:tcW w:type="dxa" w:w="759"/>
                  <w:tcBorders>
                    <w:top w:val="none" w:color="000000" w:sz="4"/>
                    <w:left w:val="single" w:color="000000" w:sz="4"/>
                    <w:bottom w:val="single" w:color="000000" w:sz="4"/>
                    <w:right w:val="single" w:color="000000" w:sz="4"/>
                  </w:tcBorders>
                  <w:vAlign w:val="top"/>
                </w:tcPr>
                <w:p>
                  <w:pPr>
                    <w:jc w:val="center"/>
                  </w:pPr>
                  <w:r>
                    <w:rPr>
                      <w:sz w:val="24"/>
                    </w:rPr>
                    <w:t>3</w:t>
                  </w:r>
                </w:p>
              </w:tc>
              <w:tc>
                <w:tcPr>
                  <w:tcW w:type="dxa" w:w="685"/>
                  <w:tcBorders>
                    <w:top w:val="none" w:color="000000" w:sz="4"/>
                    <w:left w:val="single" w:color="000000" w:sz="4"/>
                    <w:bottom w:val="single" w:color="000000" w:sz="4"/>
                    <w:right w:val="single" w:color="000000" w:sz="4"/>
                  </w:tcBorders>
                  <w:vAlign w:val="top"/>
                </w:tcPr>
                <w:p>
                  <w:pPr>
                    <w:jc w:val="both"/>
                  </w:pPr>
                </w:p>
              </w:tc>
            </w:tr>
            <w:tr>
              <w:tc>
                <w:tcPr>
                  <w:tcW w:type="dxa" w:w="587"/>
                  <w:vMerge/>
                  <w:tcBorders>
                    <w:top w:val="none" w:color="000000" w:sz="4"/>
                    <w:left w:val="single" w:color="000000" w:sz="4"/>
                    <w:bottom w:val="single" w:color="000000" w:sz="4"/>
                    <w:right w:val="single" w:color="000000" w:sz="4"/>
                  </w:tcBorders>
                </w:tcPr>
                <w:p/>
              </w:tc>
              <w:tc>
                <w:tcPr>
                  <w:tcW w:type="dxa" w:w="747"/>
                  <w:vMerge/>
                  <w:tcBorders>
                    <w:top w:val="none" w:color="000000" w:sz="4"/>
                    <w:left w:val="single" w:color="000000" w:sz="4"/>
                    <w:bottom w:val="single" w:color="000000" w:sz="4"/>
                    <w:right w:val="single" w:color="000000" w:sz="4"/>
                  </w:tcBorders>
                </w:tcPr>
                <w:p/>
              </w:tc>
              <w:tc>
                <w:tcPr>
                  <w:tcW w:type="dxa" w:w="1518"/>
                  <w:tcBorders>
                    <w:top w:val="none" w:color="000000" w:sz="4"/>
                    <w:left w:val="single" w:color="000000" w:sz="4"/>
                    <w:bottom w:val="single" w:color="000000" w:sz="4"/>
                    <w:right w:val="single" w:color="000000" w:sz="4"/>
                  </w:tcBorders>
                  <w:vAlign w:val="top"/>
                </w:tcPr>
                <w:p>
                  <w:pPr>
                    <w:jc w:val="left"/>
                  </w:pPr>
                  <w:r>
                    <w:rPr>
                      <w:sz w:val="24"/>
                    </w:rPr>
                    <w:t>4</w:t>
                  </w:r>
                  <w:r>
                    <w:rPr>
                      <w:sz w:val="24"/>
                    </w:rPr>
                    <w:t>.</w:t>
                  </w:r>
                  <w:r>
                    <w:rPr>
                      <w:sz w:val="24"/>
                    </w:rPr>
                    <w:t>除</w:t>
                  </w:r>
                  <w:r>
                    <w:rPr>
                      <w:sz w:val="24"/>
                    </w:rPr>
                    <w:t>“四害”工作要确保使用的药物有质量合格证明，作业方式正确。</w:t>
                  </w:r>
                </w:p>
              </w:tc>
              <w:tc>
                <w:tcPr>
                  <w:tcW w:type="dxa" w:w="1261"/>
                  <w:tcBorders>
                    <w:top w:val="none" w:color="000000" w:sz="4"/>
                    <w:left w:val="single" w:color="000000" w:sz="4"/>
                    <w:bottom w:val="single" w:color="000000" w:sz="4"/>
                    <w:right w:val="single" w:color="000000" w:sz="4"/>
                  </w:tcBorders>
                  <w:vAlign w:val="top"/>
                </w:tcPr>
                <w:p>
                  <w:pPr>
                    <w:jc w:val="left"/>
                  </w:pPr>
                  <w:r>
                    <w:rPr>
                      <w:sz w:val="24"/>
                    </w:rPr>
                    <w:t>达不到要求的，每次扣</w:t>
                  </w:r>
                  <w:r>
                    <w:rPr>
                      <w:sz w:val="24"/>
                    </w:rPr>
                    <w:t>1分，扣完为止</w:t>
                  </w:r>
                </w:p>
              </w:tc>
              <w:tc>
                <w:tcPr>
                  <w:tcW w:type="dxa" w:w="759"/>
                  <w:tcBorders>
                    <w:top w:val="none" w:color="000000" w:sz="4"/>
                    <w:left w:val="single" w:color="000000" w:sz="4"/>
                    <w:bottom w:val="single" w:color="000000" w:sz="4"/>
                    <w:right w:val="single" w:color="000000" w:sz="4"/>
                  </w:tcBorders>
                  <w:vAlign w:val="top"/>
                </w:tcPr>
                <w:p>
                  <w:pPr>
                    <w:jc w:val="center"/>
                  </w:pPr>
                  <w:r>
                    <w:rPr>
                      <w:sz w:val="24"/>
                    </w:rPr>
                    <w:t>3</w:t>
                  </w:r>
                </w:p>
              </w:tc>
              <w:tc>
                <w:tcPr>
                  <w:tcW w:type="dxa" w:w="685"/>
                  <w:tcBorders>
                    <w:top w:val="none" w:color="000000" w:sz="4"/>
                    <w:left w:val="single" w:color="000000" w:sz="4"/>
                    <w:bottom w:val="single" w:color="000000" w:sz="4"/>
                    <w:right w:val="single" w:color="000000" w:sz="4"/>
                  </w:tcBorders>
                  <w:vAlign w:val="top"/>
                </w:tcPr>
                <w:p>
                  <w:pPr>
                    <w:jc w:val="both"/>
                  </w:pPr>
                </w:p>
              </w:tc>
            </w:tr>
            <w:tr>
              <w:tc>
                <w:tcPr>
                  <w:tcW w:type="dxa" w:w="587"/>
                  <w:vMerge/>
                  <w:tcBorders>
                    <w:top w:val="none" w:color="000000" w:sz="4"/>
                    <w:left w:val="single" w:color="000000" w:sz="4"/>
                    <w:bottom w:val="single" w:color="000000" w:sz="4"/>
                    <w:right w:val="single" w:color="000000" w:sz="4"/>
                  </w:tcBorders>
                </w:tcPr>
                <w:p/>
              </w:tc>
              <w:tc>
                <w:tcPr>
                  <w:tcW w:type="dxa" w:w="747"/>
                  <w:vMerge/>
                  <w:tcBorders>
                    <w:top w:val="none" w:color="000000" w:sz="4"/>
                    <w:left w:val="single" w:color="000000" w:sz="4"/>
                    <w:bottom w:val="single" w:color="000000" w:sz="4"/>
                    <w:right w:val="single" w:color="000000" w:sz="4"/>
                  </w:tcBorders>
                </w:tcPr>
                <w:p/>
              </w:tc>
              <w:tc>
                <w:tcPr>
                  <w:tcW w:type="dxa" w:w="1518"/>
                  <w:tcBorders>
                    <w:top w:val="none" w:color="000000" w:sz="4"/>
                    <w:left w:val="single" w:color="000000" w:sz="4"/>
                    <w:bottom w:val="single" w:color="000000" w:sz="4"/>
                    <w:right w:val="single" w:color="000000" w:sz="4"/>
                  </w:tcBorders>
                  <w:vAlign w:val="top"/>
                </w:tcPr>
                <w:p>
                  <w:pPr>
                    <w:jc w:val="left"/>
                  </w:pPr>
                  <w:r>
                    <w:rPr>
                      <w:sz w:val="24"/>
                    </w:rPr>
                    <w:t>5</w:t>
                  </w:r>
                  <w:r>
                    <w:rPr>
                      <w:sz w:val="24"/>
                    </w:rPr>
                    <w:t>.</w:t>
                  </w:r>
                  <w:r>
                    <w:rPr>
                      <w:sz w:val="24"/>
                    </w:rPr>
                    <w:t>配合甲方做好相关的检查工作，能及时处理突发事件。不发生被市、区批评或媒体曝光情况。</w:t>
                  </w:r>
                </w:p>
              </w:tc>
              <w:tc>
                <w:tcPr>
                  <w:tcW w:type="dxa" w:w="1261"/>
                  <w:tcBorders>
                    <w:top w:val="none" w:color="000000" w:sz="4"/>
                    <w:left w:val="single" w:color="000000" w:sz="4"/>
                    <w:bottom w:val="single" w:color="000000" w:sz="4"/>
                    <w:right w:val="single" w:color="000000" w:sz="4"/>
                  </w:tcBorders>
                  <w:vAlign w:val="top"/>
                </w:tcPr>
                <w:p>
                  <w:pPr>
                    <w:jc w:val="left"/>
                  </w:pPr>
                  <w:r>
                    <w:rPr>
                      <w:sz w:val="24"/>
                    </w:rPr>
                    <w:t>未按要求配合的，或出现批评、投诉、曝光情况属实的每次扣</w:t>
                  </w:r>
                  <w:r>
                    <w:rPr>
                      <w:sz w:val="24"/>
                    </w:rPr>
                    <w:t>4分</w:t>
                  </w:r>
                </w:p>
              </w:tc>
              <w:tc>
                <w:tcPr>
                  <w:tcW w:type="dxa" w:w="759"/>
                  <w:tcBorders>
                    <w:top w:val="none" w:color="000000" w:sz="4"/>
                    <w:left w:val="single" w:color="000000" w:sz="4"/>
                    <w:bottom w:val="single" w:color="000000" w:sz="4"/>
                    <w:right w:val="single" w:color="000000" w:sz="4"/>
                  </w:tcBorders>
                  <w:vAlign w:val="top"/>
                </w:tcPr>
                <w:p>
                  <w:pPr>
                    <w:jc w:val="center"/>
                  </w:pPr>
                  <w:r>
                    <w:rPr>
                      <w:sz w:val="24"/>
                    </w:rPr>
                    <w:t>8</w:t>
                  </w:r>
                </w:p>
              </w:tc>
              <w:tc>
                <w:tcPr>
                  <w:tcW w:type="dxa" w:w="685"/>
                  <w:tcBorders>
                    <w:top w:val="none" w:color="000000" w:sz="4"/>
                    <w:left w:val="single" w:color="000000" w:sz="4"/>
                    <w:bottom w:val="single" w:color="000000" w:sz="4"/>
                    <w:right w:val="single" w:color="000000" w:sz="4"/>
                  </w:tcBorders>
                  <w:vAlign w:val="top"/>
                </w:tcPr>
                <w:p>
                  <w:pPr>
                    <w:jc w:val="both"/>
                  </w:pPr>
                </w:p>
              </w:tc>
            </w:tr>
          </w:tbl>
        </w:tc>
      </w:tr>
      <w:tr>
        <w:tc>
          <w:tcPr>
            <w:tcW w:type="dxa" w:w="2076"/>
          </w:tcPr>
          <w:p/>
        </w:tc>
        <w:tc>
          <w:tcPr>
            <w:tcW w:type="dxa" w:w="415"/>
          </w:tcPr>
          <w:p>
            <w:r>
              <w:rPr/>
              <w:t>6</w:t>
            </w:r>
          </w:p>
        </w:tc>
        <w:tc>
          <w:tcPr>
            <w:tcW w:type="dxa" w:w="5814"/>
          </w:tcPr>
          <w:p>
            <w:pPr>
              <w:ind w:firstLine="482"/>
              <w:jc w:val="left"/>
            </w:pPr>
            <w:r>
              <w:rPr>
                <w:b/>
                <w:sz w:val="24"/>
              </w:rPr>
              <w:t>六、</w:t>
            </w:r>
            <w:r>
              <w:rPr>
                <w:b/>
                <w:sz w:val="24"/>
              </w:rPr>
              <w:t>其他要求</w:t>
            </w:r>
          </w:p>
          <w:p>
            <w:pPr>
              <w:ind w:firstLine="480"/>
            </w:pPr>
            <w:r>
              <w:rPr>
                <w:color w:val="000000"/>
                <w:sz w:val="24"/>
              </w:rPr>
              <w:t>1.</w:t>
            </w:r>
            <w:r>
              <w:rPr>
                <w:color w:val="000000"/>
                <w:sz w:val="24"/>
              </w:rPr>
              <w:t>劳动保障要求：</w:t>
            </w:r>
            <w:r>
              <w:rPr>
                <w:color w:val="000000"/>
                <w:sz w:val="24"/>
              </w:rPr>
              <w:t>中标人</w:t>
            </w:r>
            <w:r>
              <w:rPr>
                <w:color w:val="000000"/>
                <w:sz w:val="24"/>
              </w:rPr>
              <w:t>要严格《劳动法》，与</w:t>
            </w:r>
            <w:r>
              <w:rPr>
                <w:color w:val="000000"/>
                <w:sz w:val="24"/>
              </w:rPr>
              <w:t>员工签订</w:t>
            </w:r>
            <w:r>
              <w:rPr>
                <w:color w:val="000000"/>
                <w:sz w:val="24"/>
              </w:rPr>
              <w:t>书面劳动合同，购买社会保险。工资标准须符合惠州市最低工资标准，并根据当年最低标准的变动作出调整；从业人员有正常休息的时间。</w:t>
            </w:r>
          </w:p>
          <w:p>
            <w:pPr>
              <w:ind w:firstLine="480"/>
            </w:pPr>
            <w:r>
              <w:rPr>
                <w:color w:val="000000"/>
                <w:sz w:val="24"/>
              </w:rPr>
              <w:t>2</w:t>
            </w:r>
            <w:r>
              <w:rPr>
                <w:color w:val="000000"/>
                <w:sz w:val="24"/>
              </w:rPr>
              <w:t>.</w:t>
            </w:r>
            <w:r>
              <w:rPr>
                <w:color w:val="000000"/>
                <w:sz w:val="24"/>
              </w:rPr>
              <w:t>中标人</w:t>
            </w:r>
            <w:r>
              <w:rPr>
                <w:color w:val="000000"/>
                <w:sz w:val="24"/>
              </w:rPr>
              <w:t>在服务期间，必须严格遵守国家法律、法规，做好安全生产工作，因违规使用药物或施工不当造成人员伤亡及经济损失的，中标人承担一切经济损失和法律责任，且采购方有权立即终止合同。</w:t>
            </w:r>
          </w:p>
          <w:p>
            <w:pPr>
              <w:jc w:val="both"/>
            </w:pPr>
            <w:r>
              <w:rPr>
                <w:color w:val="000000"/>
                <w:sz w:val="24"/>
              </w:rPr>
              <w:t>3.</w:t>
            </w:r>
            <w:r>
              <w:rPr>
                <w:color w:val="000000"/>
                <w:sz w:val="24"/>
              </w:rPr>
              <w:t>积极配合主管单位开展爱国卫生运动，服从采购方因特殊情况下对消杀范围作相应调整的安排，增加投药范围或使用指定药物。</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1.采购代理机构：本项目是指广东品冠工程顾问有限公司，负责整个采购活动的组织，依法负责编制和发布招标文件，对招标文件拥有最终的解释权，不以任何身份出任评标委员会成员。</w:t>
      </w:r>
    </w:p>
    <w:p>
      <w:pPr>
        <w:ind w:firstLine="480"/>
      </w:pPr>
      <w:r>
        <w:rPr/>
        <w:t>2.采购人：本项目是指</w:t>
      </w:r>
      <w:r>
        <w:rPr/>
        <w:t>仲恺高新区城乡环境卫生管理中心</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0</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ind w:firstLine="480"/>
            </w:pP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采购机构代理服务收费标准：参照《招标代理服务收费管理暂行办法》（计价格[2002]1980号）的规定收取。</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纸质投标文件要求，中标人须在中标公告发布后三个工作日内打印投标文件，一式二份（纸质投标文件应与电子投标文件一致，装订成册，无须密封），交至采购代理机构。中标人以外的投标人无需递交。</w:t>
            </w:r>
          </w:p>
        </w:tc>
      </w:tr>
      <w:tr>
        <w:tc>
          <w:tcPr>
            <w:tcW w:type="dxa" w:w="1051"/>
          </w:tcPr>
          <w:p>
            <w:r>
              <w:rPr/>
              <w:t>19</w:t>
            </w:r>
          </w:p>
        </w:tc>
        <w:tc>
          <w:tcPr>
            <w:tcW w:type="dxa" w:w="2252"/>
          </w:tcPr>
          <w:p>
            <w:r>
              <w:rPr/>
              <w:t>开标解密时长</w:t>
            </w:r>
          </w:p>
        </w:tc>
        <w:tc>
          <w:tcPr>
            <w:tcW w:type="dxa" w:w="5004"/>
          </w:tcPr>
          <w:p>
            <w:r>
              <w:rPr/>
              <w:t>30分钟</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广东品冠工程顾问有限公司</w:t>
      </w:r>
      <w:r>
        <w:rPr/>
        <w:t>代收。具体操作要求详见</w:t>
      </w:r>
      <w:r>
        <w:rPr/>
        <w:t>广东品冠工程顾问有限公司</w:t>
      </w:r>
      <w:r>
        <w:rPr/>
        <w:t>有关指引，递交事宜请自行咨询</w:t>
      </w:r>
      <w:r>
        <w:rPr/>
        <w:t>广东品冠工程顾问有限公司</w:t>
      </w:r>
      <w:r>
        <w:rPr/>
        <w:t>；请各投标人在投标文件递交截止时间前按须知前附表规定的金额递交至</w:t>
      </w:r>
      <w:r>
        <w:rPr/>
        <w:t>广东品冠工程顾问有限公司</w:t>
      </w:r>
      <w:r>
        <w:rPr/>
        <w:t>，到账情况以开标时</w:t>
      </w:r>
      <w:r>
        <w:rPr/>
        <w:t>广东品冠工程顾问有限公司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吴小姐</w:t>
      </w:r>
    </w:p>
    <w:p>
      <w:pPr>
        <w:ind w:firstLine="480"/>
      </w:pPr>
      <w:r>
        <w:rPr/>
        <w:t>电话：</w:t>
      </w:r>
      <w:r>
        <w:rPr/>
        <w:t>0752-2756963</w:t>
      </w:r>
    </w:p>
    <w:p>
      <w:pPr>
        <w:ind w:firstLine="480"/>
      </w:pPr>
      <w:r>
        <w:rPr/>
        <w:t>传真：</w:t>
      </w:r>
      <w:r>
        <w:rPr/>
        <w:t>0752-2756963</w:t>
      </w:r>
    </w:p>
    <w:p>
      <w:pPr>
        <w:ind w:firstLine="480"/>
      </w:pPr>
      <w:r>
        <w:rPr/>
        <w:t>邮箱：</w:t>
      </w:r>
      <w:r>
        <w:rPr/>
        <w:t>gdpggc@163.com</w:t>
      </w:r>
    </w:p>
    <w:p>
      <w:pPr>
        <w:ind w:firstLine="480"/>
      </w:pPr>
      <w:r>
        <w:rPr/>
        <w:t>地址：</w:t>
      </w:r>
      <w:r>
        <w:rPr/>
        <w:t>惠州市惠城区金榜花园1栋2层01号</w:t>
      </w:r>
    </w:p>
    <w:p>
      <w:pPr>
        <w:ind w:firstLine="480"/>
      </w:pPr>
      <w:r>
        <w:rPr/>
        <w:t>邮编：</w:t>
      </w:r>
      <w:r>
        <w:rPr/>
        <w:t>516000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政府采购监督管理机构名称：惠州仲恺高新区监督评价与政府采购监管科</w:t>
      </w:r>
    </w:p>
    <w:p>
      <w:r>
        <w:rPr/>
        <w:t>地  址：惠州仲恺高新区和畅五路人才服务大厦</w:t>
      </w:r>
    </w:p>
    <w:p>
      <w:r>
        <w:rPr/>
        <w:t>电  话：0752-3278355</w:t>
      </w:r>
    </w:p>
    <w:p>
      <w:r>
        <w:rPr/>
        <w:t>邮  编：516006</w:t>
      </w:r>
    </w:p>
    <w:p>
      <w:r>
        <w:rPr/>
        <w:t>传  真：0752-2652120</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仲恺高新区中心区（2023年—2025年）除“四害”消杀服务项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广东品冠工程顾问有限公司</w:t>
      </w:r>
      <w:r>
        <w:rPr/>
        <w:t>统一对外发布。</w:t>
      </w:r>
    </w:p>
    <w:p>
      <w:pPr>
        <w:ind w:firstLine="480"/>
      </w:pPr>
      <w:r>
        <w:rPr/>
        <w:t>（2）对</w:t>
      </w:r>
      <w:r>
        <w:rPr/>
        <w:t>广东品冠工程顾问有限公司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采购包1（仲恺高新区中心区（2023年—2025年）除“四害”消杀服务项目）：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采购包1（仲恺高新区中心区（2023年—2025年）除“四害”消杀服务项目）：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供应商必须具有良好的商业信誉和健全的财务会计制度（提供2021年度或2022年度财务状况报告或基本开户行出具的资信证明）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本采购包专门面向中小企业采购</w:t>
            </w:r>
          </w:p>
        </w:tc>
        <w:tc>
          <w:tcPr>
            <w:tcW w:type="dxa" w:w="4238"/>
          </w:tcPr>
          <w:p>
            <w:r>
              <w:rPr/>
              <w:t>参与的供应商（联合体）服务全部由符合政策要求的中小企业承接</w:t>
            </w:r>
          </w:p>
        </w:tc>
      </w:tr>
    </w:tbl>
    <w:p/>
    <w:p>
      <w:pPr>
        <w:ind w:firstLine="480"/>
      </w:pPr>
      <w:r>
        <w:rPr/>
        <w:t>表二符合性审查表：</w:t>
      </w:r>
    </w:p>
    <w:p>
      <w:pPr>
        <w:ind w:firstLine="480"/>
      </w:pPr>
    </w:p>
    <w:p/>
    <w:p>
      <w:r>
        <w:rPr/>
        <w:t>采购包1（仲恺高新区中心区（2023年—2025年）除“四害”消杀服务项目）：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投标报价</w:t>
            </w:r>
          </w:p>
        </w:tc>
        <w:tc>
          <w:tcPr>
            <w:tcW w:type="dxa" w:w="4238"/>
          </w:tcPr>
          <w:p>
            <w:r>
              <w:rPr/>
              <w:t>投标未超出本项目采购预算金额或者最高限价</w:t>
            </w:r>
          </w:p>
        </w:tc>
      </w:tr>
      <w:tr>
        <w:tc>
          <w:tcPr>
            <w:tcW w:type="dxa" w:w="890"/>
          </w:tcPr>
          <w:p>
            <w:r>
              <w:rPr/>
              <w:t>2</w:t>
            </w:r>
          </w:p>
        </w:tc>
        <w:tc>
          <w:tcPr>
            <w:tcW w:type="dxa" w:w="3178"/>
          </w:tcPr>
          <w:p>
            <w:r>
              <w:rPr/>
              <w:t>招标文件签署要求</w:t>
            </w:r>
          </w:p>
        </w:tc>
        <w:tc>
          <w:tcPr>
            <w:tcW w:type="dxa" w:w="4238"/>
          </w:tcPr>
          <w:p>
            <w:r>
              <w:rPr/>
              <w:t>投标文件符合招标文件规定的式样和签署、盖章要求</w:t>
            </w:r>
          </w:p>
        </w:tc>
      </w:tr>
      <w:tr>
        <w:tc>
          <w:tcPr>
            <w:tcW w:type="dxa" w:w="890"/>
          </w:tcPr>
          <w:p>
            <w:r>
              <w:rPr/>
              <w:t>3</w:t>
            </w:r>
          </w:p>
        </w:tc>
        <w:tc>
          <w:tcPr>
            <w:tcW w:type="dxa" w:w="3178"/>
          </w:tcPr>
          <w:p>
            <w:r>
              <w:rPr/>
              <w:t>有效授权</w:t>
            </w:r>
          </w:p>
        </w:tc>
        <w:tc>
          <w:tcPr>
            <w:tcW w:type="dxa" w:w="4238"/>
          </w:tcPr>
          <w:p>
            <w:r>
              <w:rPr/>
              <w:t>投标文件有法定代表人签字或签字人有法定代表人的有效授权</w:t>
            </w:r>
          </w:p>
        </w:tc>
      </w:tr>
      <w:tr>
        <w:tc>
          <w:tcPr>
            <w:tcW w:type="dxa" w:w="890"/>
          </w:tcPr>
          <w:p>
            <w:r>
              <w:rPr/>
              <w:t>4</w:t>
            </w:r>
          </w:p>
        </w:tc>
        <w:tc>
          <w:tcPr>
            <w:tcW w:type="dxa" w:w="3178"/>
          </w:tcPr>
          <w:p>
            <w:r>
              <w:rPr/>
              <w:t>技术商务条款响应情况</w:t>
            </w:r>
          </w:p>
        </w:tc>
        <w:tc>
          <w:tcPr>
            <w:tcW w:type="dxa" w:w="4238"/>
          </w:tcPr>
          <w:p>
            <w:r>
              <w:rPr/>
              <w:t>投标文件对招标文件的实质性技术商务条款（即标注★号条款）未产生偏离</w:t>
            </w:r>
          </w:p>
        </w:tc>
      </w:tr>
      <w:tr>
        <w:tc>
          <w:tcPr>
            <w:tcW w:type="dxa" w:w="890"/>
          </w:tcPr>
          <w:p>
            <w:r>
              <w:rPr/>
              <w:t>5</w:t>
            </w:r>
          </w:p>
        </w:tc>
        <w:tc>
          <w:tcPr>
            <w:tcW w:type="dxa" w:w="3178"/>
          </w:tcPr>
          <w:p>
            <w:r>
              <w:rPr/>
              <w:t>其他实质要求</w:t>
            </w:r>
          </w:p>
        </w:tc>
        <w:tc>
          <w:tcPr>
            <w:tcW w:type="dxa" w:w="4238"/>
          </w:tcPr>
          <w:p>
            <w:r>
              <w:rPr/>
              <w:t>无不符合法律、法规规定的其他实质性要求</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仲恺高新区中心区（2023年—2025年）除“四害”消杀服务项目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商务部分40.0分</w:t>
            </w:r>
          </w:p>
          <w:p>
            <w:r>
              <w:rPr/>
              <w:t>技术部分50.0分</w:t>
            </w:r>
          </w:p>
          <w:p>
            <w:r>
              <w:rPr/>
              <w:t>报价得分10.0分</w:t>
            </w:r>
          </w:p>
        </w:tc>
      </w:tr>
      <w:tr>
        <w:tc>
          <w:tcPr>
            <w:tcW w:type="dxa" w:w="922"/>
            <w:gridSpan w:val="2"/>
            <w:vMerge w:val="restart"/>
          </w:tcPr>
          <w:p>
            <w:pPr>
              <w:jc w:val="center"/>
            </w:pPr>
            <w:r>
              <w:rPr/>
              <w:t>技术部分</w:t>
            </w:r>
          </w:p>
        </w:tc>
        <w:tc>
          <w:tcPr>
            <w:tcW w:type="dxa" w:w="2307"/>
          </w:tcPr>
          <w:p>
            <w:pPr>
              <w:jc w:val="left"/>
            </w:pPr>
            <w:r>
              <w:rPr/>
              <w:t>已标识主要技术指标满足采购需求程度 (20.0分)</w:t>
            </w:r>
          </w:p>
        </w:tc>
        <w:tc>
          <w:tcPr>
            <w:tcW w:type="dxa" w:w="5076"/>
          </w:tcPr>
          <w:p>
            <w:pPr>
              <w:jc w:val="left"/>
            </w:pPr>
            <w:r>
              <w:rPr/>
              <w:t>根据本项目投标人所投服务的技术指标情况进行评审。全部满足本项目中带有“▲”服务要求的，得20分，有一项不满足或负偏离的每项扣2分，直至本项分数扣完为止。 注：投标人需按招标文件要求提供有效的证明文件来予以佐证技术指标符合招标要求，无提供相关证明材料的视为不满足。</w:t>
            </w:r>
          </w:p>
        </w:tc>
      </w:tr>
      <w:tr>
        <w:tc>
          <w:tcPr>
            <w:tcW w:type="dxa" w:w="922"/>
            <w:gridSpan w:val="2"/>
            <w:vMerge/>
          </w:tcPr>
          <w:p/>
        </w:tc>
        <w:tc>
          <w:tcPr>
            <w:tcW w:type="dxa" w:w="2307"/>
          </w:tcPr>
          <w:p>
            <w:pPr>
              <w:jc w:val="left"/>
            </w:pPr>
            <w:r>
              <w:rPr/>
              <w:t>实施方案 (10.0分)</w:t>
            </w:r>
          </w:p>
        </w:tc>
        <w:tc>
          <w:tcPr>
            <w:tcW w:type="dxa" w:w="5076"/>
          </w:tcPr>
          <w:p>
            <w:pPr>
              <w:jc w:val="left"/>
            </w:pPr>
            <w:r>
              <w:rPr/>
              <w:t>根据投标人提供的实施方案（包括但不限于病媒生物防制工作方案，质量管理、人员安排、服务内容、安全管理等），根据方案的完整性、全面性进行评分： 优：方案完整详细、科学合理、可行性强的，得10分； 良：方案较完整、较为合理、可行性较强的，得7分； 中：方案基本完整、基本合理、可行性一般的，得4分； 差：方案不完整、可行性不强的，得1分； 无提供不得分。</w:t>
            </w:r>
          </w:p>
        </w:tc>
      </w:tr>
      <w:tr>
        <w:tc>
          <w:tcPr>
            <w:tcW w:type="dxa" w:w="922"/>
            <w:gridSpan w:val="2"/>
            <w:vMerge/>
          </w:tcPr>
          <w:p/>
        </w:tc>
        <w:tc>
          <w:tcPr>
            <w:tcW w:type="dxa" w:w="2307"/>
          </w:tcPr>
          <w:p>
            <w:pPr>
              <w:jc w:val="left"/>
            </w:pPr>
            <w:r>
              <w:rPr/>
              <w:t>项目内容的熟悉程度 (10.0分)</w:t>
            </w:r>
          </w:p>
        </w:tc>
        <w:tc>
          <w:tcPr>
            <w:tcW w:type="dxa" w:w="5076"/>
          </w:tcPr>
          <w:p>
            <w:pPr>
              <w:jc w:val="left"/>
            </w:pPr>
            <w:r>
              <w:rPr/>
              <w:t>根据投标人对本项目实施环境现状和服务内容的重点难点分析、应对措施及相关的合理化建议方案，进行评分： 优：重点难点分析准确、应对措施合理、可行，得10分； 良：重点难点分析较准确、应对措施较合理、可行，得7分； 中：重点难点分析一般、应对措施建议一般，得4分； 差：重点难点分析不准确、应对措施不合理，得1分； 无提供不得分。</w:t>
            </w:r>
          </w:p>
        </w:tc>
      </w:tr>
      <w:tr>
        <w:tc>
          <w:tcPr>
            <w:tcW w:type="dxa" w:w="922"/>
            <w:gridSpan w:val="2"/>
            <w:vMerge/>
          </w:tcPr>
          <w:p/>
        </w:tc>
        <w:tc>
          <w:tcPr>
            <w:tcW w:type="dxa" w:w="2307"/>
          </w:tcPr>
          <w:p>
            <w:pPr>
              <w:jc w:val="left"/>
            </w:pPr>
            <w:r>
              <w:rPr/>
              <w:t>应急处置方案 (10.0分)</w:t>
            </w:r>
          </w:p>
        </w:tc>
        <w:tc>
          <w:tcPr>
            <w:tcW w:type="dxa" w:w="5076"/>
          </w:tcPr>
          <w:p>
            <w:pPr>
              <w:jc w:val="left"/>
            </w:pPr>
            <w:r>
              <w:rPr/>
              <w:t>根据投标人针对突发事件而建立完善的应急处理方法，评委会对所有投标人制定的应急处置方案，进行评分： 优：应急服务方案完善、合理，应急响应最快，得10分； 良：应急服务方案基本合理但不够完善，应急服务响应较快，得7分； 中：应急服务方案合理性一般或应急服务响应一般，得4分； 差：应急服务方案合理性差或应急服务响应较慢，得1分； 无提供不得分。</w:t>
            </w:r>
          </w:p>
        </w:tc>
      </w:tr>
      <w:tr>
        <w:tc>
          <w:tcPr>
            <w:tcW w:type="dxa" w:w="922"/>
            <w:gridSpan w:val="2"/>
            <w:vMerge w:val="restart"/>
          </w:tcPr>
          <w:p>
            <w:pPr>
              <w:jc w:val="center"/>
            </w:pPr>
            <w:r>
              <w:rPr/>
              <w:t>商务部分</w:t>
            </w:r>
          </w:p>
        </w:tc>
        <w:tc>
          <w:tcPr>
            <w:tcW w:type="dxa" w:w="2307"/>
          </w:tcPr>
          <w:p>
            <w:pPr>
              <w:jc w:val="left"/>
            </w:pPr>
            <w:r>
              <w:rPr/>
              <w:t>拟投入项目人员 (12.0分)</w:t>
            </w:r>
          </w:p>
        </w:tc>
        <w:tc>
          <w:tcPr>
            <w:tcW w:type="dxa" w:w="5076"/>
          </w:tcPr>
          <w:p>
            <w:pPr>
              <w:jc w:val="left"/>
            </w:pPr>
            <w:r>
              <w:rPr/>
              <w:t>1.拟派项目负责人具有有害生物防制员类高级（三级）或以上证书的，得4分； 2.拟派的其他项目作业人员（不含项目负责人）具有有害生物防制员类中级（四级）或以上证书的，每提供1名得2分，最高得8分。 须提供相关人员资格证书及投标人为其购买的开标当月之前半年内任意一个月社保记录证明文件，无提供不得分。</w:t>
            </w:r>
          </w:p>
        </w:tc>
      </w:tr>
      <w:tr>
        <w:tc>
          <w:tcPr>
            <w:tcW w:type="dxa" w:w="922"/>
            <w:gridSpan w:val="2"/>
            <w:vMerge/>
          </w:tcPr>
          <w:p/>
        </w:tc>
        <w:tc>
          <w:tcPr>
            <w:tcW w:type="dxa" w:w="2307"/>
          </w:tcPr>
          <w:p>
            <w:pPr>
              <w:jc w:val="left"/>
            </w:pPr>
            <w:r>
              <w:rPr/>
              <w:t>体系认证 (8.0分)</w:t>
            </w:r>
          </w:p>
        </w:tc>
        <w:tc>
          <w:tcPr>
            <w:tcW w:type="dxa" w:w="5076"/>
          </w:tcPr>
          <w:p>
            <w:pPr>
              <w:jc w:val="left"/>
            </w:pPr>
            <w:r>
              <w:rPr/>
              <w:t>投标人具有由国家认证认可监督管理部门批准设立的认证机构颁发并在有效期内的质量管理体系认证证书、环境管理体系认证证书、职业健康安全管理体系认证证书、诚信管理体系认证证书，每提供一个得2分，最高得8分。 须提供有效期内的认证证书扫描件及在国家认证认可监督管理委员会官网（http://www.cnca.gov.cn/)查询截图,无提供不得分。</w:t>
            </w:r>
          </w:p>
        </w:tc>
      </w:tr>
      <w:tr>
        <w:tc>
          <w:tcPr>
            <w:tcW w:type="dxa" w:w="922"/>
            <w:gridSpan w:val="2"/>
            <w:vMerge/>
          </w:tcPr>
          <w:p/>
        </w:tc>
        <w:tc>
          <w:tcPr>
            <w:tcW w:type="dxa" w:w="2307"/>
          </w:tcPr>
          <w:p>
            <w:pPr>
              <w:jc w:val="left"/>
            </w:pPr>
            <w:r>
              <w:rPr/>
              <w:t>同类业绩 (8.0分)</w:t>
            </w:r>
          </w:p>
        </w:tc>
        <w:tc>
          <w:tcPr>
            <w:tcW w:type="dxa" w:w="5076"/>
          </w:tcPr>
          <w:p>
            <w:pPr>
              <w:jc w:val="left"/>
            </w:pPr>
            <w:r>
              <w:rPr/>
              <w:t>根据投标人提供2020年1月1日至今承接的同类项目业绩进行评分，每提供一个得2分，本项最高得8分。 须提供合同关键页扫描件，时间以合同签订为准，无提供不得分。</w:t>
            </w:r>
          </w:p>
        </w:tc>
      </w:tr>
      <w:tr>
        <w:tc>
          <w:tcPr>
            <w:tcW w:type="dxa" w:w="922"/>
            <w:gridSpan w:val="2"/>
            <w:vMerge/>
          </w:tcPr>
          <w:p/>
        </w:tc>
        <w:tc>
          <w:tcPr>
            <w:tcW w:type="dxa" w:w="2307"/>
          </w:tcPr>
          <w:p>
            <w:pPr>
              <w:jc w:val="left"/>
            </w:pPr>
            <w:r>
              <w:rPr/>
              <w:t>投入设备情况 (6.0分)</w:t>
            </w:r>
          </w:p>
        </w:tc>
        <w:tc>
          <w:tcPr>
            <w:tcW w:type="dxa" w:w="5076"/>
          </w:tcPr>
          <w:p>
            <w:pPr>
              <w:jc w:val="left"/>
            </w:pPr>
            <w:r>
              <w:rPr/>
              <w:t>投标人拟投入本项目的设备设施全部属于自有设备： 1.背负式超低容量喷雾器5台（含5台）以上得2分，每少1台减0.5分； 2.热烟雾机4台（含4台）以上得2分，每少1台减0.5分； 3.应急车辆1台得2分。 投标人需提供设备设施类购买发票扫描件，应急车辆须提供车辆行驶证扫描件，无提供不得分。</w:t>
            </w:r>
          </w:p>
        </w:tc>
      </w:tr>
      <w:tr>
        <w:tc>
          <w:tcPr>
            <w:tcW w:type="dxa" w:w="922"/>
            <w:gridSpan w:val="2"/>
            <w:vMerge/>
          </w:tcPr>
          <w:p/>
        </w:tc>
        <w:tc>
          <w:tcPr>
            <w:tcW w:type="dxa" w:w="2307"/>
          </w:tcPr>
          <w:p>
            <w:pPr>
              <w:jc w:val="left"/>
            </w:pPr>
            <w:r>
              <w:rPr/>
              <w:t>服务便利性 (6.0分)</w:t>
            </w:r>
          </w:p>
        </w:tc>
        <w:tc>
          <w:tcPr>
            <w:tcW w:type="dxa" w:w="5076"/>
          </w:tcPr>
          <w:p>
            <w:pPr>
              <w:jc w:val="left"/>
            </w:pPr>
            <w:r>
              <w:rPr/>
              <w:t>根据各投标人提供的服务便利性进行评分： 优：提供服务最便利，服务效率最快的，得6分； 良：提供服务较便利，服务效率较快的，得4分； 一般：提供服务便利性一般，服务效率一般的，得1分； 无提供不得分。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r>
        <w:rPr>
          <w:b/>
        </w:rPr>
        <w:t xml:space="preserve"> </w:t>
      </w:r>
    </w:p>
    <w:p>
      <w:pPr>
        <w:jc w:val="center"/>
      </w:pPr>
      <w:r>
        <w:rPr>
          <w:b/>
        </w:rPr>
        <w:t xml:space="preserve"> </w:t>
      </w:r>
    </w:p>
    <w:p>
      <w:pPr>
        <w:jc w:val="center"/>
      </w:pPr>
      <w:r>
        <w:rPr>
          <w:b/>
        </w:rPr>
        <w:t xml:space="preserve"> </w:t>
      </w:r>
    </w:p>
    <w:p>
      <w:pPr>
        <w:jc w:val="center"/>
      </w:pPr>
      <w:r>
        <w:rPr>
          <w:b/>
        </w:rPr>
        <w:t xml:space="preserve"> </w:t>
      </w:r>
    </w:p>
    <w:p>
      <w:pPr>
        <w:jc w:val="center"/>
      </w:pPr>
      <w:r>
        <w:rPr>
          <w:b/>
        </w:rPr>
        <w:t>广东省政府采购</w:t>
      </w:r>
    </w:p>
    <w:p>
      <w:pPr>
        <w:jc w:val="both"/>
      </w:pPr>
      <w:r>
        <w:rPr>
          <w:color w:val="222222"/>
          <w:sz w:val="27"/>
        </w:rPr>
        <w:t xml:space="preserve"> </w:t>
      </w:r>
    </w:p>
    <w:p>
      <w:pPr>
        <w:jc w:val="center"/>
      </w:pPr>
      <w:r>
        <w:rPr>
          <w:b/>
        </w:rPr>
        <w:t>合　同　书</w:t>
      </w:r>
    </w:p>
    <w:p>
      <w:pPr>
        <w:jc w:val="center"/>
      </w:pPr>
      <w:r>
        <w:br/>
      </w:r>
      <w:r>
        <w:br/>
      </w:r>
      <w:r>
        <w:br/>
      </w:r>
      <w:r>
        <w:br/>
      </w:r>
      <w:r>
        <w:br/>
      </w:r>
      <w:r>
        <w:rPr/>
        <w:t xml:space="preserve"> </w:t>
      </w:r>
    </w:p>
    <w:p>
      <w:pPr>
        <w:jc w:val="center"/>
      </w:pPr>
      <w:r>
        <w:rPr/>
        <w:t xml:space="preserve"> </w:t>
      </w:r>
    </w:p>
    <w:p>
      <w:pPr>
        <w:jc w:val="center"/>
      </w:pPr>
      <w:r>
        <w:rPr/>
        <w:t xml:space="preserve"> </w:t>
      </w:r>
    </w:p>
    <w:p>
      <w:pPr>
        <w:jc w:val="center"/>
      </w:pPr>
      <w:r>
        <w:br/>
      </w:r>
      <w:r>
        <w:br/>
      </w:r>
      <w:r>
        <w:rPr>
          <w:color w:val="222222"/>
          <w:sz w:val="27"/>
        </w:rPr>
        <w:t xml:space="preserve"> </w:t>
      </w:r>
    </w:p>
    <w:p>
      <w:pPr>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pPr>
        <w:jc w:val="both"/>
      </w:pPr>
      <w:r>
        <w:br/>
      </w:r>
      <w:r>
        <w:rPr>
          <w:color w:val="222222"/>
          <w:sz w:val="27"/>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b/>
        </w:rPr>
        <w:t>甲方：</w:t>
      </w:r>
      <w:r>
        <w:rPr>
          <w:b/>
        </w:rPr>
        <w:t xml:space="preserve"> </w:t>
      </w:r>
      <w:r>
        <w:rPr>
          <w:u w:val="single"/>
        </w:rPr>
        <w:t>　　　　　</w:t>
      </w:r>
      <w:r>
        <w:rPr>
          <w:u w:val="single"/>
        </w:rPr>
        <w:t xml:space="preserve"> </w:t>
      </w:r>
      <w:r>
        <w:rPr>
          <w:u w:val="single"/>
        </w:rPr>
        <w:t xml:space="preserve"> </w:t>
      </w:r>
    </w:p>
    <w:p>
      <w:pPr>
        <w:jc w:val="both"/>
      </w:pPr>
      <w:r>
        <w:rPr>
          <w:color w:val="222222"/>
          <w:sz w:val="27"/>
        </w:rPr>
        <w:t>电话：</w:t>
      </w:r>
      <w:r>
        <w:rPr>
          <w:color w:val="222222"/>
          <w:sz w:val="27"/>
        </w:rPr>
        <w:t xml:space="preserve"> </w:t>
      </w:r>
      <w:r>
        <w:rPr>
          <w:u w:val="single"/>
        </w:rPr>
        <w:t>　　　　</w:t>
      </w:r>
      <w:r>
        <w:rPr>
          <w:u w:val="single"/>
        </w:rPr>
        <w:t xml:space="preserve"> </w:t>
      </w:r>
      <w:r>
        <w:rPr>
          <w:u w:val="single"/>
        </w:rPr>
        <w:t xml:space="preserve"> </w:t>
      </w:r>
      <w:r>
        <w:rPr>
          <w:color w:val="222222"/>
          <w:sz w:val="27"/>
        </w:rPr>
        <w:t>传真</w:t>
      </w:r>
      <w:r>
        <w:rPr>
          <w:color w:val="222222"/>
          <w:sz w:val="27"/>
        </w:rPr>
        <w:t xml:space="preserve"> </w:t>
      </w:r>
      <w:r>
        <w:rPr>
          <w:color w:val="222222"/>
          <w:sz w:val="27"/>
        </w:rPr>
        <w:t>：</w:t>
      </w:r>
      <w:r>
        <w:rPr>
          <w:color w:val="222222"/>
          <w:sz w:val="27"/>
        </w:rPr>
        <w:t xml:space="preserve"> </w:t>
      </w:r>
      <w:r>
        <w:rPr>
          <w:u w:val="single"/>
        </w:rPr>
        <w:t>　　　</w:t>
      </w:r>
      <w:r>
        <w:rPr>
          <w:u w:val="single"/>
        </w:rPr>
        <w:t xml:space="preserve"> </w:t>
      </w:r>
      <w:r>
        <w:rPr>
          <w:u w:val="single"/>
        </w:rPr>
        <w:t xml:space="preserve"> </w:t>
      </w:r>
      <w:r>
        <w:rPr>
          <w:color w:val="222222"/>
          <w:sz w:val="27"/>
        </w:rPr>
        <w:t>地址：</w:t>
      </w:r>
      <w:r>
        <w:rPr>
          <w:color w:val="222222"/>
          <w:sz w:val="27"/>
        </w:rPr>
        <w:t xml:space="preserve"> </w:t>
      </w:r>
      <w:r>
        <w:rPr>
          <w:u w:val="single"/>
        </w:rPr>
        <w:t>　　　</w:t>
      </w:r>
      <w:r>
        <w:rPr>
          <w:u w:val="single"/>
        </w:rPr>
        <w:t xml:space="preserve"> </w:t>
      </w:r>
      <w:r>
        <w:rPr>
          <w:u w:val="single"/>
        </w:rPr>
        <w:t xml:space="preserve"> </w:t>
      </w:r>
      <w:r>
        <w:rPr>
          <w:u w:val="single"/>
        </w:rPr>
        <w:t xml:space="preserve"> </w:t>
      </w:r>
    </w:p>
    <w:p>
      <w:pPr>
        <w:jc w:val="both"/>
      </w:pPr>
      <w:r>
        <w:rPr>
          <w:b/>
        </w:rPr>
        <w:t>乙方：</w:t>
      </w:r>
      <w:r>
        <w:rPr>
          <w:b/>
        </w:rPr>
        <w:t xml:space="preserve"> </w:t>
      </w:r>
      <w:r>
        <w:rPr>
          <w:u w:val="single"/>
        </w:rPr>
        <w:t>　　　　　</w:t>
      </w:r>
      <w:r>
        <w:rPr>
          <w:u w:val="single"/>
        </w:rPr>
        <w:t xml:space="preserve"> </w:t>
      </w:r>
      <w:r>
        <w:rPr>
          <w:u w:val="single"/>
        </w:rPr>
        <w:t xml:space="preserve"> </w:t>
      </w:r>
    </w:p>
    <w:p>
      <w:pPr>
        <w:jc w:val="both"/>
      </w:pPr>
      <w:r>
        <w:rPr>
          <w:color w:val="222222"/>
          <w:sz w:val="27"/>
        </w:rPr>
        <w:t>电话：</w:t>
      </w:r>
      <w:r>
        <w:rPr>
          <w:color w:val="222222"/>
          <w:sz w:val="27"/>
        </w:rPr>
        <w:t xml:space="preserve"> </w:t>
      </w:r>
      <w:r>
        <w:rPr>
          <w:u w:val="single"/>
        </w:rPr>
        <w:t>　　　　</w:t>
      </w:r>
      <w:r>
        <w:rPr>
          <w:u w:val="single"/>
        </w:rPr>
        <w:t xml:space="preserve"> </w:t>
      </w:r>
      <w:r>
        <w:rPr>
          <w:u w:val="single"/>
        </w:rPr>
        <w:t xml:space="preserve"> </w:t>
      </w:r>
      <w:r>
        <w:rPr>
          <w:u w:val="single"/>
        </w:rPr>
        <w:t xml:space="preserve"> </w:t>
      </w:r>
      <w:r>
        <w:rPr>
          <w:color w:val="222222"/>
          <w:sz w:val="27"/>
        </w:rPr>
        <w:t>传真：</w:t>
      </w:r>
      <w:r>
        <w:rPr>
          <w:u w:val="single"/>
        </w:rPr>
        <w:t>　　　</w:t>
      </w:r>
      <w:r>
        <w:rPr>
          <w:u w:val="single"/>
        </w:rPr>
        <w:t xml:space="preserve"> </w:t>
      </w:r>
      <w:r>
        <w:rPr>
          <w:u w:val="single"/>
        </w:rPr>
        <w:t xml:space="preserve"> </w:t>
      </w:r>
      <w:r>
        <w:rPr>
          <w:u w:val="single"/>
        </w:rPr>
        <w:t xml:space="preserve"> </w:t>
      </w:r>
      <w:r>
        <w:rPr>
          <w:color w:val="222222"/>
          <w:sz w:val="27"/>
        </w:rPr>
        <w:t>地址：</w:t>
      </w:r>
      <w:r>
        <w:rPr>
          <w:color w:val="222222"/>
          <w:sz w:val="27"/>
        </w:rPr>
        <w:t xml:space="preserve"> </w:t>
      </w:r>
      <w:r>
        <w:rPr>
          <w:u w:val="single"/>
        </w:rPr>
        <w:t>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both"/>
      </w:pPr>
      <w:r>
        <w:rPr>
          <w:color w:val="222222"/>
          <w:sz w:val="27"/>
        </w:rPr>
        <w:t xml:space="preserve"> </w:t>
      </w:r>
      <w:r>
        <w:rPr>
          <w:color w:val="222222"/>
          <w:sz w:val="27"/>
        </w:rPr>
        <w:t xml:space="preserve"> </w:t>
      </w:r>
      <w:r>
        <w:rPr>
          <w:color w:val="222222"/>
          <w:sz w:val="27"/>
        </w:rPr>
        <w:t>根据</w:t>
      </w:r>
      <w:r>
        <w:rPr>
          <w:color w:val="222222"/>
          <w:sz w:val="27"/>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项目</w:t>
      </w:r>
      <w:r>
        <w:rPr>
          <w:u w:val="single"/>
        </w:rPr>
        <w:t xml:space="preserve"> </w:t>
      </w:r>
      <w:r>
        <w:rPr>
          <w:color w:val="222222"/>
          <w:sz w:val="27"/>
        </w:rPr>
        <w:t>的采购结果，按照《中华人民共和国政府采购法》，《</w:t>
      </w:r>
      <w:r>
        <w:rPr>
          <w:color w:val="222222"/>
          <w:sz w:val="27"/>
        </w:rPr>
        <w:t>中华人民共和国民法典(合同编)</w:t>
      </w:r>
      <w:r>
        <w:rPr>
          <w:color w:val="222222"/>
          <w:sz w:val="27"/>
        </w:rPr>
        <w:t>》的规定，经双方协商，本着平等互利和诚实信用的原则，一致同意遵守本合同如下。</w:t>
      </w:r>
    </w:p>
    <w:p>
      <w:pPr>
        <w:jc w:val="both"/>
      </w:pPr>
      <w:r>
        <w:rPr>
          <w:b/>
        </w:rPr>
        <w:t>一、合同金额</w:t>
      </w:r>
    </w:p>
    <w:p>
      <w:pPr>
        <w:jc w:val="both"/>
      </w:pPr>
      <w:r>
        <w:rPr>
          <w:color w:val="222222"/>
          <w:sz w:val="27"/>
        </w:rPr>
        <w:t>　　合同金额为（大写）：_____________元（￥_________元）人民币。</w:t>
      </w:r>
    </w:p>
    <w:p>
      <w:pPr>
        <w:jc w:val="both"/>
      </w:pPr>
      <w:r>
        <w:rPr>
          <w:b/>
        </w:rPr>
        <w:t>二、服务范围</w:t>
      </w:r>
    </w:p>
    <w:p>
      <w:pPr>
        <w:jc w:val="both"/>
      </w:pPr>
      <w:r>
        <w:rPr>
          <w:color w:val="222222"/>
          <w:sz w:val="27"/>
        </w:rPr>
        <w:t>　　甲方聘请乙方提供以下服务：</w:t>
      </w:r>
    </w:p>
    <w:p>
      <w:pPr>
        <w:jc w:val="both"/>
      </w:pPr>
      <w:r>
        <w:rPr>
          <w:color w:val="222222"/>
          <w:sz w:val="27"/>
        </w:rPr>
        <w:t>　　1．</w:t>
      </w:r>
      <w:r>
        <w:rPr>
          <w:u w:val="single"/>
        </w:rPr>
        <w:t>　　　　　　　　　　　</w:t>
      </w:r>
      <w:r>
        <w:rPr>
          <w:color w:val="222222"/>
          <w:sz w:val="27"/>
        </w:rPr>
        <w:t>。</w:t>
      </w:r>
    </w:p>
    <w:p>
      <w:pPr>
        <w:jc w:val="both"/>
      </w:pPr>
      <w:r>
        <w:rPr>
          <w:color w:val="222222"/>
          <w:sz w:val="27"/>
        </w:rPr>
        <w:t>　　2．</w:t>
      </w:r>
      <w:r>
        <w:rPr>
          <w:u w:val="single"/>
        </w:rPr>
        <w:t>　　　　　　　　　　　</w:t>
      </w:r>
    </w:p>
    <w:p>
      <w:pPr>
        <w:jc w:val="both"/>
      </w:pPr>
      <w:r>
        <w:rPr>
          <w:color w:val="222222"/>
          <w:sz w:val="27"/>
        </w:rPr>
        <w:t>……</w:t>
      </w:r>
    </w:p>
    <w:p>
      <w:pPr>
        <w:jc w:val="both"/>
      </w:pPr>
      <w:r>
        <w:rPr>
          <w:b/>
        </w:rPr>
        <w:t>三、甲方乙方的权利和义务</w:t>
      </w:r>
    </w:p>
    <w:p>
      <w:pPr>
        <w:jc w:val="both"/>
      </w:pPr>
      <w:r>
        <w:rPr>
          <w:color w:val="222222"/>
          <w:sz w:val="27"/>
        </w:rPr>
        <w:t>　　1.甲方的权利和义务</w:t>
      </w:r>
    </w:p>
    <w:p>
      <w:pPr>
        <w:jc w:val="both"/>
      </w:pPr>
      <w:r>
        <w:rPr>
          <w:color w:val="222222"/>
          <w:sz w:val="27"/>
        </w:rPr>
        <w:t>　　2.乙方的权利和义务</w:t>
      </w:r>
    </w:p>
    <w:p>
      <w:pPr>
        <w:jc w:val="both"/>
      </w:pPr>
      <w:r>
        <w:rPr>
          <w:b/>
        </w:rPr>
        <w:t>四、服务期间（项目完成期限）</w:t>
      </w:r>
    </w:p>
    <w:p>
      <w:pPr>
        <w:jc w:val="both"/>
      </w:pPr>
      <w:r>
        <w:rPr>
          <w:color w:val="222222"/>
          <w:sz w:val="27"/>
        </w:rPr>
        <w:t>　　1.委托服务期间自______年______月至______年______月止。</w:t>
      </w:r>
    </w:p>
    <w:p>
      <w:pPr>
        <w:jc w:val="both"/>
      </w:pPr>
      <w:r>
        <w:rPr>
          <w:b/>
        </w:rPr>
        <w:t>五、付款方式</w:t>
      </w:r>
    </w:p>
    <w:p>
      <w:pPr>
        <w:jc w:val="both"/>
      </w:pPr>
      <w:r>
        <w:rPr>
          <w:color w:val="222222"/>
          <w:sz w:val="27"/>
        </w:rPr>
        <w:t>　　由甲方按下列程序在</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color w:val="222222"/>
          <w:sz w:val="27"/>
        </w:rPr>
        <w:t xml:space="preserve"> </w:t>
      </w:r>
      <w:r>
        <w:rPr>
          <w:color w:val="222222"/>
          <w:sz w:val="27"/>
        </w:rPr>
        <w:t>内付款：</w:t>
      </w:r>
    </w:p>
    <w:p>
      <w:pPr>
        <w:jc w:val="both"/>
      </w:pPr>
      <w:r>
        <w:rPr>
          <w:color w:val="222222"/>
          <w:sz w:val="27"/>
        </w:rPr>
        <w:t>　　1.在合同实施及服务人员到达服务地后__天内，甲方应将第一次付　　款总服务费的__(-%)付给乙方。</w:t>
      </w:r>
    </w:p>
    <w:p>
      <w:pPr>
        <w:jc w:val="both"/>
      </w:pPr>
      <w:r>
        <w:rPr>
          <w:color w:val="222222"/>
          <w:sz w:val="27"/>
        </w:rPr>
        <w:t>　　2.第二次付款额应为总服务费的__(-%)，甲方应在乙方已经准备好，并递交了服务报告及其它相关文件，而这些报告和文件符合合同附件上的要求并被甲方验收后付给乙方。</w:t>
      </w:r>
    </w:p>
    <w:p>
      <w:pPr>
        <w:jc w:val="both"/>
      </w:pPr>
      <w:r>
        <w:rPr>
          <w:color w:val="222222"/>
          <w:sz w:val="27"/>
        </w:rPr>
        <w:t>　　3.最后一次付款额应为总服务费的__(-%)，甲方应在乙方递交了服务总结报告和说明并完全履行合同完毕_________日内付给乙方。</w:t>
      </w:r>
    </w:p>
    <w:p>
      <w:pPr>
        <w:jc w:val="both"/>
      </w:pPr>
      <w:r>
        <w:rPr>
          <w:color w:val="222222"/>
          <w:sz w:val="27"/>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jc w:val="both"/>
      </w:pPr>
      <w:r>
        <w:rPr>
          <w:b/>
        </w:rPr>
        <w:t>六、知识产权归属</w:t>
      </w:r>
    </w:p>
    <w:p>
      <w:pPr>
        <w:jc w:val="both"/>
      </w:pPr>
      <w:r>
        <w:rPr>
          <w:b/>
        </w:rPr>
        <w:t>七、保密</w:t>
      </w:r>
    </w:p>
    <w:p>
      <w:pPr>
        <w:jc w:val="both"/>
      </w:pPr>
      <w:r>
        <w:rPr>
          <w:b/>
        </w:rPr>
        <w:t>八、违约责任与赔偿损失</w:t>
      </w:r>
    </w:p>
    <w:p>
      <w:pPr>
        <w:jc w:val="both"/>
      </w:pPr>
      <w:r>
        <w:rPr>
          <w:color w:val="222222"/>
          <w:sz w:val="27"/>
        </w:rPr>
        <w:t>　　1.乙方提供的服务不符合本合同规定的，甲方有权拒收，并且乙方须向甲方方支付本合同总价5%的违约金。</w:t>
      </w:r>
    </w:p>
    <w:p>
      <w:pPr>
        <w:jc w:val="both"/>
      </w:pPr>
      <w:r>
        <w:rPr>
          <w:color w:val="222222"/>
          <w:sz w:val="27"/>
        </w:rPr>
        <w:t>　　2.乙方未能按本合同规定的交货时间提供服务，从逾期之日起每日按本合同总价3‰的数额向甲方支付违约金；逾期半个月以上的，甲方有权终止合同，由此造成的甲方经济损失由乙方承担。</w:t>
      </w:r>
    </w:p>
    <w:p>
      <w:pPr>
        <w:jc w:val="both"/>
      </w:pPr>
      <w:r>
        <w:rPr>
          <w:color w:val="222222"/>
          <w:sz w:val="27"/>
        </w:rPr>
        <w:t>　　3.甲方无正当理由拒收接受服务，到期拒付服务款项的，甲方向乙方偿付本合同总的5%的违约金。甲方人逾期付款，则每日按本合同总价的3‰向乙方偿付违约金。</w:t>
      </w:r>
    </w:p>
    <w:p>
      <w:pPr>
        <w:jc w:val="both"/>
      </w:pPr>
      <w:r>
        <w:rPr>
          <w:color w:val="222222"/>
          <w:sz w:val="27"/>
        </w:rPr>
        <w:t>　　4.对于因甲方原因导致变更、中止或者终止政府采购合同的，甲方应当依照以下合同约定对供应商受到的损失予以赔偿或者补偿：</w:t>
      </w:r>
    </w:p>
    <w:p>
      <w:pPr>
        <w:jc w:val="both"/>
      </w:pP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5.其它违约责任按《</w:t>
      </w:r>
      <w:r>
        <w:rPr>
          <w:color w:val="222222"/>
          <w:sz w:val="27"/>
        </w:rPr>
        <w:t>中华人民共和国民法典(合同编)</w:t>
      </w:r>
      <w:r>
        <w:rPr>
          <w:color w:val="222222"/>
          <w:sz w:val="27"/>
        </w:rPr>
        <w:t>》处理。</w:t>
      </w:r>
    </w:p>
    <w:p>
      <w:pPr>
        <w:jc w:val="both"/>
      </w:pPr>
      <w:r>
        <w:rPr>
          <w:b/>
        </w:rPr>
        <w:t>九、争议的解决</w:t>
      </w:r>
    </w:p>
    <w:p>
      <w:pPr>
        <w:ind w:firstLine="400"/>
        <w:jc w:val="both"/>
      </w:pPr>
      <w:r>
        <w:rPr>
          <w:color w:val="222222"/>
          <w:sz w:val="27"/>
        </w:rPr>
        <w:t>合同执行过程中发生的任何争议，如双方不能通过友好协商解决，按相关法律法规处理。</w:t>
      </w:r>
      <w:r>
        <w:rPr>
          <w:color w:val="222222"/>
          <w:sz w:val="27"/>
        </w:rPr>
        <w:t xml:space="preserve"> </w:t>
      </w:r>
      <w:r>
        <w:rPr>
          <w:color w:val="222222"/>
          <w:sz w:val="27"/>
        </w:rPr>
        <w:t xml:space="preserve"> </w:t>
      </w:r>
      <w:r>
        <w:rPr>
          <w:color w:val="222222"/>
          <w:sz w:val="27"/>
        </w:rPr>
        <w:t xml:space="preserve"> </w:t>
      </w:r>
      <w:r>
        <w:rPr>
          <w:color w:val="222222"/>
          <w:sz w:val="27"/>
        </w:rPr>
        <w:t xml:space="preserve"> </w:t>
      </w:r>
      <w:r>
        <w:rPr>
          <w:color w:val="222222"/>
          <w:sz w:val="27"/>
        </w:rPr>
        <w:t xml:space="preserve"> </w:t>
      </w:r>
    </w:p>
    <w:p>
      <w:pPr>
        <w:jc w:val="both"/>
      </w:pPr>
      <w:r>
        <w:rPr>
          <w:b/>
        </w:rPr>
        <w:t>十、不可抗力</w:t>
      </w:r>
    </w:p>
    <w:p>
      <w:pPr>
        <w:jc w:val="both"/>
      </w:pPr>
      <w:r>
        <w:rPr>
          <w:color w:val="222222"/>
          <w:sz w:val="27"/>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jc w:val="both"/>
      </w:pPr>
      <w:r>
        <w:rPr>
          <w:b/>
        </w:rPr>
        <w:t>十一、税费</w:t>
      </w:r>
    </w:p>
    <w:p>
      <w:pPr>
        <w:jc w:val="both"/>
      </w:pPr>
      <w:r>
        <w:rPr>
          <w:color w:val="222222"/>
          <w:sz w:val="27"/>
        </w:rPr>
        <w:t>　　在中国境内、外发生的与本合同执行有关的一切税费均由乙方负担。</w:t>
      </w:r>
    </w:p>
    <w:p>
      <w:pPr>
        <w:jc w:val="both"/>
      </w:pPr>
      <w:r>
        <w:rPr>
          <w:b/>
        </w:rPr>
        <w:t>十二、其它</w:t>
      </w:r>
    </w:p>
    <w:p>
      <w:pPr>
        <w:jc w:val="both"/>
      </w:pPr>
      <w:r>
        <w:rPr>
          <w:color w:val="222222"/>
          <w:sz w:val="27"/>
        </w:rPr>
        <w:t>　　1.本合同所有附件、招标文件、投标文件、中标通知书均为合同的有效组成部分，与本合同具有同等法律效力。</w:t>
      </w:r>
    </w:p>
    <w:p>
      <w:pPr>
        <w:jc w:val="both"/>
      </w:pPr>
      <w:r>
        <w:rPr>
          <w:color w:val="222222"/>
          <w:sz w:val="27"/>
        </w:rPr>
        <w:t>　　2.在执行本合同的过程中，所有经双方签署确认的文件（包括会议纪要、补充协议、往来信函）即成为本合同的有效组成部分。</w:t>
      </w:r>
    </w:p>
    <w:p>
      <w:pPr>
        <w:jc w:val="both"/>
      </w:pPr>
      <w:r>
        <w:rPr>
          <w:color w:val="222222"/>
          <w:sz w:val="27"/>
        </w:rPr>
        <w:t>　　3.如一方地址、电话、传真号码有变更，应在变更当日内书面通知对方，否则，应承担相应责任。</w:t>
      </w:r>
    </w:p>
    <w:p>
      <w:pPr>
        <w:jc w:val="both"/>
      </w:pPr>
      <w:r>
        <w:rPr>
          <w:color w:val="222222"/>
          <w:sz w:val="27"/>
        </w:rPr>
        <w:t>　　4.除甲方事先书面同意外，乙方不得部分或全部转让其应履行的合同项下的义务。</w:t>
      </w:r>
    </w:p>
    <w:p>
      <w:pPr>
        <w:jc w:val="both"/>
      </w:pPr>
      <w:r>
        <w:rPr>
          <w:b/>
        </w:rPr>
        <w:t>十三、合同生效</w:t>
      </w:r>
    </w:p>
    <w:p>
      <w:pPr>
        <w:jc w:val="both"/>
      </w:pPr>
      <w:r>
        <w:rPr>
          <w:color w:val="222222"/>
          <w:sz w:val="27"/>
        </w:rPr>
        <w:t>　　1.本合同在甲乙双方法人代表或其授权代表签字盖章后生效。</w:t>
      </w:r>
    </w:p>
    <w:p>
      <w:pPr>
        <w:jc w:val="both"/>
      </w:pPr>
      <w:r>
        <w:rPr>
          <w:color w:val="222222"/>
          <w:sz w:val="27"/>
        </w:rPr>
        <w:t>　　2.合同一式</w:t>
      </w:r>
      <w:r>
        <w:rPr>
          <w:u w:val="single"/>
        </w:rPr>
        <w:t xml:space="preserve"> </w:t>
      </w:r>
      <w:r>
        <w:rPr>
          <w:u w:val="single"/>
        </w:rPr>
        <w:t xml:space="preserve"> </w:t>
      </w:r>
      <w:r>
        <w:rPr>
          <w:u w:val="single"/>
        </w:rPr>
        <w:t xml:space="preserve"> </w:t>
      </w:r>
      <w:r>
        <w:rPr>
          <w:color w:val="222222"/>
          <w:sz w:val="27"/>
        </w:rPr>
        <w:t xml:space="preserve"> </w:t>
      </w:r>
      <w:r>
        <w:rPr>
          <w:color w:val="222222"/>
          <w:sz w:val="27"/>
        </w:rPr>
        <w:t>份。</w:t>
      </w:r>
    </w:p>
    <w:p>
      <w:pPr>
        <w:jc w:val="both"/>
      </w:pPr>
      <w:r>
        <w:rPr>
          <w:color w:val="222222"/>
          <w:sz w:val="27"/>
        </w:rPr>
        <w:t xml:space="preserve"> </w:t>
      </w:r>
    </w:p>
    <w:p>
      <w:pPr>
        <w:jc w:val="both"/>
      </w:pPr>
      <w:r>
        <w:rPr>
          <w:b/>
        </w:rPr>
        <w:t>甲方（盖章）：</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乙方（盖章）：</w:t>
      </w:r>
    </w:p>
    <w:p>
      <w:pPr>
        <w:jc w:val="both"/>
      </w:pPr>
      <w:r>
        <w:rPr>
          <w:b/>
        </w:rPr>
        <w:t>代表：</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代表：</w:t>
      </w:r>
    </w:p>
    <w:p>
      <w:pPr>
        <w:jc w:val="both"/>
      </w:pPr>
      <w:r>
        <w:rPr>
          <w:color w:val="222222"/>
          <w:sz w:val="27"/>
        </w:rPr>
        <w:t>签订地点：</w:t>
      </w:r>
    </w:p>
    <w:p>
      <w:pPr>
        <w:jc w:val="both"/>
      </w:pPr>
      <w:r>
        <w:rPr>
          <w:color w:val="222222"/>
          <w:sz w:val="27"/>
        </w:rPr>
        <w:t>签订日期：　　　年　　月　　日</w:t>
      </w:r>
      <w:r>
        <w:rPr>
          <w:color w:val="222222"/>
          <w:sz w:val="27"/>
        </w:rPr>
        <w:t xml:space="preserve"> </w:t>
      </w:r>
      <w:r>
        <w:rPr>
          <w:color w:val="222222"/>
          <w:sz w:val="27"/>
        </w:rPr>
        <w:t>签订日期：　　　年　　月　　日</w:t>
      </w:r>
    </w:p>
    <w:p>
      <w:pPr>
        <w:jc w:val="both"/>
      </w:pPr>
      <w:r>
        <w:rPr>
          <w:color w:val="222222"/>
          <w:sz w:val="27"/>
        </w:rPr>
        <w:t>开户名称：</w:t>
      </w:r>
    </w:p>
    <w:p>
      <w:pPr>
        <w:jc w:val="both"/>
      </w:pPr>
      <w:r>
        <w:rPr>
          <w:color w:val="222222"/>
          <w:sz w:val="27"/>
        </w:rPr>
        <w:t>银行帐号：</w:t>
      </w:r>
    </w:p>
    <w:p>
      <w:pPr>
        <w:jc w:val="both"/>
      </w:pPr>
      <w:r>
        <w:rPr>
          <w:color w:val="222222"/>
          <w:sz w:val="27"/>
        </w:rPr>
        <w:t>开 户 行：</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441341-2023-00470</w:t>
      </w:r>
    </w:p>
    <w:p>
      <w:pPr>
        <w:jc w:val="center"/>
      </w:pPr>
      <w:r>
        <w:rPr>
          <w:b/>
          <w:sz w:val="24"/>
        </w:rPr>
        <w:t>采购项目编号：</w:t>
      </w:r>
      <w:r>
        <w:rPr>
          <w:b/>
          <w:sz w:val="24"/>
        </w:rPr>
        <w:t>PGZFCG202302002</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r>
        <w:rPr>
          <w:b/>
          <w:sz w:val="24"/>
        </w:rPr>
        <w:t>投标函</w:t>
      </w:r>
    </w:p>
    <w:p>
      <w:pPr>
        <w:ind w:firstLine="480"/>
      </w:pPr>
      <w:r>
        <w:rPr/>
        <w:t>致：</w:t>
      </w:r>
      <w:r>
        <w:rPr>
          <w:u w:val="single"/>
        </w:rPr>
        <w:t>广东品冠工程顾问有限公司</w:t>
      </w:r>
    </w:p>
    <w:p>
      <w:pPr>
        <w:ind w:firstLine="480"/>
      </w:pPr>
      <w:r>
        <w:rPr/>
        <w:t>你方组织的</w:t>
      </w:r>
      <w:r>
        <w:rPr>
          <w:u w:val="single"/>
        </w:rPr>
        <w:t>“</w:t>
      </w:r>
      <w:r>
        <w:rPr>
          <w:u w:val="single"/>
        </w:rPr>
        <w:t>仲恺高新区中心区（2023年-2025年）除“四害”消杀服务项目</w:t>
      </w:r>
      <w:r>
        <w:rPr>
          <w:u w:val="single"/>
        </w:rPr>
        <w:t>”</w:t>
      </w:r>
      <w:r>
        <w:rPr/>
        <w:t>项目的招标[采购项目编号为：</w:t>
      </w:r>
      <w:r>
        <w:rPr>
          <w:u w:val="single"/>
        </w:rPr>
        <w:t>PGZFCG202302002</w:t>
      </w:r>
      <w:r>
        <w:rPr/>
        <w:t>]，我方愿参与投标。</w:t>
      </w:r>
    </w:p>
    <w:p>
      <w:pPr>
        <w:ind w:firstLine="480"/>
      </w:pPr>
      <w:r>
        <w:rPr/>
        <w:t>我方确认收到贵方提供的</w:t>
      </w:r>
      <w:r>
        <w:rPr>
          <w:u w:val="single"/>
        </w:rPr>
        <w:t>“</w:t>
      </w:r>
      <w:r>
        <w:rPr>
          <w:u w:val="single"/>
        </w:rPr>
        <w:t>仲恺高新区中心区（2023年-2025年）除“四害”消杀服务项目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广东品冠工程顾问有限公司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仲恺高新区中心区（2023年-2025年）除“四害”消杀服务项目</w:t>
      </w:r>
      <w:r>
        <w:rPr/>
        <w:t>”项目采购[采购项目编号为</w:t>
      </w:r>
      <w:r>
        <w:rPr/>
        <w:t>PGZFCG202302002</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仲恺高新区城乡环境卫生管理中心</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广东品冠工程顾问有限公司</w:t>
      </w:r>
    </w:p>
    <w:p>
      <w:pPr>
        <w:ind w:firstLine="480"/>
      </w:pPr>
      <w:r>
        <w:rPr/>
        <w:t>如果我方在贵采购代理机构组织的</w:t>
      </w:r>
      <w:r>
        <w:rPr/>
        <w:t>仲恺高新区中心区（2023年-2025年）除“四害”消杀服务项目</w:t>
      </w:r>
      <w:r>
        <w:rPr/>
        <w:t>招标中获中标（采购项目编号：</w:t>
      </w:r>
      <w:r>
        <w:rPr/>
        <w:t>PGZFCG202302002</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广东品冠工程顾问有限公司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广东品冠工程顾问有限公司</w:t>
      </w:r>
    </w:p>
    <w:p>
      <w:pPr>
        <w:ind w:firstLine="480"/>
      </w:pPr>
      <w:r>
        <w:rPr/>
        <w:t>我单位已登记并准备参与“</w:t>
      </w:r>
      <w:r>
        <w:rPr/>
        <w:t>仲恺高新区中心区（2023年-2025年）除“四害”消杀服务项目</w:t>
      </w:r>
      <w:r>
        <w:rPr/>
        <w:t>”项目（采购项目编号：</w:t>
      </w:r>
      <w:r>
        <w:rPr/>
        <w:t>PGZFCG202302002</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