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color w:val="auto"/>
          <w:highlight w:val="none"/>
        </w:rPr>
      </w:pPr>
    </w:p>
    <w:p>
      <w:pPr>
        <w:pStyle w:val="6"/>
        <w:rPr>
          <w:rFonts w:ascii="宋体" w:hAnsi="宋体" w:eastAsia="宋体" w:cs="宋体"/>
          <w:color w:val="auto"/>
          <w:highlight w:val="none"/>
        </w:rPr>
      </w:pPr>
    </w:p>
    <w:p>
      <w:pPr>
        <w:rPr>
          <w:color w:val="auto"/>
          <w:highlight w:val="none"/>
        </w:rPr>
      </w:pPr>
    </w:p>
    <w:p>
      <w:pPr>
        <w:jc w:val="center"/>
        <w:rPr>
          <w:rFonts w:hint="eastAsia" w:ascii="宋体" w:eastAsia="宋体"/>
          <w:b/>
          <w:bCs/>
          <w:color w:val="auto"/>
          <w:spacing w:val="0"/>
          <w:sz w:val="44"/>
          <w:szCs w:val="44"/>
          <w:highlight w:val="none"/>
          <w:lang w:eastAsia="zh-CN"/>
        </w:rPr>
      </w:pPr>
      <w:bookmarkStart w:id="370" w:name="_GoBack"/>
      <w:r>
        <w:rPr>
          <w:rFonts w:hint="eastAsia" w:ascii="宋体" w:eastAsia="宋体"/>
          <w:b/>
          <w:bCs/>
          <w:color w:val="auto"/>
          <w:spacing w:val="0"/>
          <w:sz w:val="44"/>
          <w:szCs w:val="44"/>
          <w:highlight w:val="none"/>
          <w:lang w:val="zh-CN" w:eastAsia="zh-CN"/>
        </w:rPr>
        <w:t>浦阳江流域一线堤防白蚁防治项目</w:t>
      </w:r>
      <w:bookmarkEnd w:id="370"/>
    </w:p>
    <w:p>
      <w:pPr>
        <w:pStyle w:val="6"/>
        <w:tabs>
          <w:tab w:val="left" w:pos="432"/>
        </w:tabs>
        <w:rPr>
          <w:rFonts w:ascii="宋体" w:hAnsi="宋体" w:eastAsia="宋体" w:cs="宋体"/>
          <w:color w:val="auto"/>
          <w:highlight w:val="none"/>
        </w:rPr>
      </w:pPr>
    </w:p>
    <w:p>
      <w:pPr>
        <w:rPr>
          <w:rFonts w:ascii="宋体" w:hAnsi="宋体" w:eastAsia="宋体" w:cs="宋体"/>
          <w:color w:val="auto"/>
          <w:highlight w:val="none"/>
        </w:rPr>
      </w:pPr>
    </w:p>
    <w:p>
      <w:pPr>
        <w:spacing w:line="360" w:lineRule="auto"/>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交易文件</w:t>
      </w:r>
    </w:p>
    <w:p>
      <w:pPr>
        <w:spacing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w:t>
      </w:r>
      <w:r>
        <w:rPr>
          <w:rFonts w:hint="eastAsia" w:ascii="宋体" w:hAnsi="宋体" w:eastAsia="宋体" w:cs="宋体"/>
          <w:b/>
          <w:color w:val="auto"/>
          <w:sz w:val="44"/>
          <w:szCs w:val="44"/>
          <w:highlight w:val="none"/>
          <w:lang w:val="en-US" w:eastAsia="zh-CN"/>
        </w:rPr>
        <w:t>交易</w:t>
      </w:r>
      <w:r>
        <w:rPr>
          <w:rFonts w:hint="eastAsia" w:ascii="宋体" w:hAnsi="宋体" w:eastAsia="宋体" w:cs="宋体"/>
          <w:b/>
          <w:color w:val="auto"/>
          <w:sz w:val="44"/>
          <w:szCs w:val="44"/>
          <w:highlight w:val="none"/>
        </w:rPr>
        <w:t>）</w:t>
      </w:r>
    </w:p>
    <w:p>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 xml:space="preserve">编号: 2023--008 </w:t>
      </w:r>
    </w:p>
    <w:p>
      <w:pPr>
        <w:spacing w:line="360" w:lineRule="auto"/>
        <w:rPr>
          <w:rFonts w:ascii="宋体" w:hAnsi="宋体" w:eastAsia="宋体" w:cs="宋体"/>
          <w:color w:val="auto"/>
          <w:sz w:val="28"/>
          <w:szCs w:val="20"/>
          <w:highlight w:val="none"/>
        </w:rPr>
      </w:pPr>
    </w:p>
    <w:p>
      <w:pPr>
        <w:spacing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rPr>
          <w:rFonts w:ascii="宋体" w:hAnsi="宋体" w:eastAsia="宋体" w:cs="宋体"/>
          <w:color w:val="auto"/>
          <w:highlight w:val="none"/>
        </w:rPr>
      </w:pPr>
    </w:p>
    <w:p>
      <w:pPr>
        <w:spacing w:line="360" w:lineRule="auto"/>
        <w:jc w:val="center"/>
        <w:rPr>
          <w:rFonts w:ascii="宋体" w:hAnsi="宋体" w:eastAsia="宋体" w:cs="宋体"/>
          <w:color w:val="auto"/>
          <w:highlight w:val="none"/>
        </w:rPr>
      </w:pPr>
    </w:p>
    <w:p>
      <w:pPr>
        <w:spacing w:line="360" w:lineRule="auto"/>
        <w:rPr>
          <w:rFonts w:ascii="宋体" w:hAnsi="宋体" w:eastAsia="宋体" w:cs="宋体"/>
          <w:color w:val="auto"/>
          <w:sz w:val="32"/>
          <w:szCs w:val="32"/>
          <w:highlight w:val="none"/>
        </w:rPr>
      </w:pPr>
    </w:p>
    <w:p>
      <w:pPr>
        <w:snapToGrid w:val="0"/>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杭州市萧山区浦阳江流域管理中心</w:t>
      </w:r>
    </w:p>
    <w:p>
      <w:pPr>
        <w:snapToGrid w:val="0"/>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天盛浙创工程咨询有限公司</w:t>
      </w:r>
    </w:p>
    <w:p>
      <w:pPr>
        <w:snapToGrid w:val="0"/>
        <w:spacing w:line="360" w:lineRule="auto"/>
        <w:jc w:val="center"/>
        <w:rPr>
          <w:rFonts w:ascii="宋体" w:hAnsi="宋体" w:eastAsia="宋体" w:cs="宋体"/>
          <w:bCs/>
          <w:color w:val="auto"/>
          <w:sz w:val="32"/>
          <w:szCs w:val="32"/>
          <w:highlight w:val="none"/>
        </w:rPr>
      </w:pPr>
      <w:r>
        <w:rPr>
          <w:rFonts w:hint="eastAsia" w:ascii="宋体" w:hAnsi="宋体" w:eastAsia="宋体" w:cs="宋体"/>
          <w:b/>
          <w:bCs/>
          <w:color w:val="auto"/>
          <w:sz w:val="32"/>
          <w:szCs w:val="32"/>
          <w:highlight w:val="none"/>
        </w:rPr>
        <w:t>二〇二</w:t>
      </w:r>
      <w:r>
        <w:rPr>
          <w:rFonts w:hint="eastAsia" w:ascii="宋体" w:hAnsi="宋体" w:eastAsia="宋体" w:cs="宋体"/>
          <w:b/>
          <w:bCs/>
          <w:color w:val="auto"/>
          <w:sz w:val="32"/>
          <w:szCs w:val="32"/>
          <w:highlight w:val="none"/>
          <w:lang w:eastAsia="zh-CN"/>
        </w:rPr>
        <w:t>三</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日</w:t>
      </w:r>
    </w:p>
    <w:p>
      <w:pPr>
        <w:spacing w:line="276" w:lineRule="auto"/>
        <w:rPr>
          <w:rFonts w:ascii="宋体" w:hAnsi="宋体" w:eastAsia="宋体" w:cs="宋体"/>
          <w:b/>
          <w:smallCaps/>
          <w:color w:val="auto"/>
          <w:spacing w:val="5"/>
          <w:sz w:val="36"/>
          <w:szCs w:val="36"/>
          <w:highlight w:val="none"/>
        </w:rPr>
      </w:pPr>
      <w:r>
        <w:rPr>
          <w:rFonts w:hint="eastAsia" w:ascii="宋体" w:hAnsi="宋体" w:eastAsia="宋体" w:cs="宋体"/>
          <w:color w:val="auto"/>
          <w:highlight w:val="none"/>
        </w:rPr>
        <w:br w:type="page"/>
      </w:r>
    </w:p>
    <w:p>
      <w:pPr>
        <w:pStyle w:val="5"/>
        <w:rPr>
          <w:rFonts w:ascii="宋体" w:hAnsi="宋体" w:eastAsia="宋体" w:cs="宋体"/>
          <w:color w:val="auto"/>
          <w:highlight w:val="none"/>
        </w:rPr>
      </w:pPr>
      <w:r>
        <w:rPr>
          <w:rFonts w:hint="eastAsia" w:ascii="宋体" w:hAnsi="宋体" w:eastAsia="宋体" w:cs="宋体"/>
          <w:color w:val="auto"/>
          <w:highlight w:val="none"/>
        </w:rPr>
        <w:t>目  录</w:t>
      </w: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sz w:val="32"/>
          <w:highlight w:val="none"/>
        </w:rPr>
      </w:pPr>
      <w:r>
        <w:rPr>
          <w:rFonts w:hint="eastAsia" w:ascii="宋体" w:hAnsi="宋体" w:eastAsia="宋体" w:cs="宋体"/>
          <w:color w:val="auto"/>
          <w:sz w:val="32"/>
          <w:highlight w:val="none"/>
        </w:rPr>
        <w:t xml:space="preserve">第一部分      </w:t>
      </w:r>
      <w:r>
        <w:rPr>
          <w:rFonts w:hint="eastAsia" w:ascii="宋体" w:hAnsi="宋体" w:eastAsia="宋体" w:cs="宋体"/>
          <w:color w:val="auto"/>
          <w:sz w:val="32"/>
          <w:highlight w:val="none"/>
          <w:lang w:val="en-US" w:eastAsia="zh-CN"/>
        </w:rPr>
        <w:t>交易</w:t>
      </w:r>
      <w:r>
        <w:rPr>
          <w:rFonts w:hint="eastAsia" w:ascii="宋体" w:hAnsi="宋体" w:eastAsia="宋体" w:cs="宋体"/>
          <w:color w:val="auto"/>
          <w:sz w:val="32"/>
          <w:highlight w:val="none"/>
        </w:rPr>
        <w:t>公告</w:t>
      </w:r>
    </w:p>
    <w:p>
      <w:pPr>
        <w:rPr>
          <w:rFonts w:ascii="宋体" w:hAnsi="宋体" w:eastAsia="宋体" w:cs="宋体"/>
          <w:color w:val="auto"/>
          <w:sz w:val="32"/>
          <w:highlight w:val="none"/>
        </w:rPr>
      </w:pPr>
      <w:r>
        <w:rPr>
          <w:rFonts w:hint="eastAsia" w:ascii="宋体" w:hAnsi="宋体" w:eastAsia="宋体" w:cs="宋体"/>
          <w:color w:val="auto"/>
          <w:sz w:val="32"/>
          <w:highlight w:val="none"/>
        </w:rPr>
        <w:t xml:space="preserve">第二部分      </w:t>
      </w:r>
      <w:r>
        <w:rPr>
          <w:rFonts w:hint="eastAsia" w:ascii="宋体" w:hAnsi="宋体" w:eastAsia="宋体" w:cs="宋体"/>
          <w:color w:val="auto"/>
          <w:sz w:val="32"/>
          <w:highlight w:val="none"/>
          <w:lang w:eastAsia="zh-CN"/>
        </w:rPr>
        <w:t>供应商</w:t>
      </w:r>
      <w:r>
        <w:rPr>
          <w:rFonts w:hint="eastAsia" w:ascii="宋体" w:hAnsi="宋体" w:eastAsia="宋体" w:cs="宋体"/>
          <w:color w:val="auto"/>
          <w:sz w:val="32"/>
          <w:highlight w:val="none"/>
        </w:rPr>
        <w:t>须知</w:t>
      </w:r>
    </w:p>
    <w:p>
      <w:pPr>
        <w:rPr>
          <w:rFonts w:ascii="宋体" w:hAnsi="宋体" w:eastAsia="宋体" w:cs="宋体"/>
          <w:color w:val="auto"/>
          <w:sz w:val="32"/>
          <w:highlight w:val="none"/>
        </w:rPr>
      </w:pPr>
      <w:r>
        <w:rPr>
          <w:rFonts w:hint="eastAsia" w:ascii="宋体" w:hAnsi="宋体" w:eastAsia="宋体" w:cs="宋体"/>
          <w:color w:val="auto"/>
          <w:sz w:val="32"/>
          <w:highlight w:val="none"/>
        </w:rPr>
        <w:t>第三部分      采购需求</w:t>
      </w:r>
    </w:p>
    <w:p>
      <w:pPr>
        <w:rPr>
          <w:rFonts w:ascii="宋体" w:hAnsi="宋体" w:eastAsia="宋体" w:cs="宋体"/>
          <w:color w:val="auto"/>
          <w:sz w:val="32"/>
          <w:highlight w:val="none"/>
        </w:rPr>
      </w:pPr>
      <w:r>
        <w:rPr>
          <w:rFonts w:hint="eastAsia" w:ascii="宋体" w:hAnsi="宋体" w:eastAsia="宋体" w:cs="宋体"/>
          <w:color w:val="auto"/>
          <w:sz w:val="32"/>
          <w:highlight w:val="none"/>
        </w:rPr>
        <w:t>第四部分      评</w:t>
      </w:r>
      <w:r>
        <w:rPr>
          <w:rFonts w:hint="eastAsia" w:ascii="宋体" w:hAnsi="宋体" w:eastAsia="宋体" w:cs="宋体"/>
          <w:color w:val="auto"/>
          <w:sz w:val="32"/>
          <w:highlight w:val="none"/>
          <w:lang w:val="en-US" w:eastAsia="zh-CN"/>
        </w:rPr>
        <w:t>审</w:t>
      </w:r>
      <w:r>
        <w:rPr>
          <w:rFonts w:hint="eastAsia" w:ascii="宋体" w:hAnsi="宋体" w:eastAsia="宋体" w:cs="宋体"/>
          <w:color w:val="auto"/>
          <w:sz w:val="32"/>
          <w:highlight w:val="none"/>
        </w:rPr>
        <w:t>办法</w:t>
      </w:r>
    </w:p>
    <w:p>
      <w:pPr>
        <w:rPr>
          <w:rFonts w:ascii="宋体" w:hAnsi="宋体" w:eastAsia="宋体" w:cs="宋体"/>
          <w:color w:val="auto"/>
          <w:sz w:val="32"/>
          <w:highlight w:val="none"/>
        </w:rPr>
      </w:pPr>
      <w:r>
        <w:rPr>
          <w:rFonts w:hint="eastAsia" w:ascii="宋体" w:hAnsi="宋体" w:eastAsia="宋体" w:cs="宋体"/>
          <w:color w:val="auto"/>
          <w:sz w:val="32"/>
          <w:highlight w:val="none"/>
        </w:rPr>
        <w:t>第五部分      应提交的有关格式范例</w:t>
      </w:r>
    </w:p>
    <w:p>
      <w:pPr>
        <w:rPr>
          <w:rFonts w:ascii="宋体" w:hAnsi="宋体" w:eastAsia="宋体" w:cs="宋体"/>
          <w:color w:val="auto"/>
          <w:sz w:val="32"/>
          <w:highlight w:val="none"/>
        </w:rPr>
      </w:pPr>
      <w:r>
        <w:rPr>
          <w:rFonts w:hint="eastAsia" w:ascii="宋体" w:hAnsi="宋体" w:eastAsia="宋体" w:cs="宋体"/>
          <w:color w:val="auto"/>
          <w:sz w:val="32"/>
          <w:highlight w:val="none"/>
        </w:rPr>
        <w:t xml:space="preserve">   </w:t>
      </w:r>
    </w:p>
    <w:p>
      <w:pPr>
        <w:spacing w:line="276" w:lineRule="auto"/>
        <w:rPr>
          <w:rFonts w:ascii="宋体" w:hAnsi="宋体" w:eastAsia="宋体" w:cs="宋体"/>
          <w:color w:val="auto"/>
          <w:sz w:val="32"/>
          <w:highlight w:val="none"/>
        </w:rPr>
      </w:pPr>
    </w:p>
    <w:p>
      <w:pPr>
        <w:spacing w:line="276" w:lineRule="auto"/>
        <w:rPr>
          <w:rFonts w:ascii="宋体" w:hAnsi="宋体" w:eastAsia="宋体" w:cs="宋体"/>
          <w:b/>
          <w:smallCaps/>
          <w:color w:val="auto"/>
          <w:spacing w:val="5"/>
          <w:sz w:val="36"/>
          <w:szCs w:val="36"/>
          <w:highlight w:val="none"/>
        </w:rPr>
      </w:pPr>
      <w:r>
        <w:rPr>
          <w:rFonts w:hint="eastAsia" w:ascii="宋体" w:hAnsi="宋体" w:eastAsia="宋体" w:cs="宋体"/>
          <w:color w:val="auto"/>
          <w:highlight w:val="none"/>
        </w:rPr>
        <w:br w:type="page"/>
      </w:r>
    </w:p>
    <w:p>
      <w:pPr>
        <w:pStyle w:val="5"/>
        <w:rPr>
          <w:rFonts w:ascii="宋体" w:hAnsi="宋体" w:eastAsia="宋体" w:cs="宋体"/>
          <w:color w:val="auto"/>
          <w:highlight w:val="none"/>
        </w:rPr>
      </w:pPr>
      <w:r>
        <w:rPr>
          <w:rFonts w:hint="eastAsia" w:ascii="宋体" w:hAnsi="宋体" w:eastAsia="宋体" w:cs="宋体"/>
          <w:color w:val="auto"/>
          <w:highlight w:val="none"/>
        </w:rPr>
        <w:t xml:space="preserve">第一部分 </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公告</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line="400" w:lineRule="exact"/>
              <w:rPr>
                <w:rFonts w:ascii="宋体" w:hAnsi="宋体" w:eastAsia="宋体" w:cs="宋体"/>
                <w:color w:val="auto"/>
                <w:highlight w:val="none"/>
              </w:rPr>
            </w:pPr>
            <w:r>
              <w:rPr>
                <w:rFonts w:hint="eastAsia" w:ascii="宋体" w:hAnsi="宋体" w:eastAsia="宋体" w:cs="宋体"/>
                <w:color w:val="auto"/>
                <w:highlight w:val="none"/>
              </w:rPr>
              <w:t>项目概况</w:t>
            </w:r>
          </w:p>
          <w:p>
            <w:pPr>
              <w:spacing w:after="0" w:line="400" w:lineRule="exact"/>
              <w:ind w:firstLine="480" w:firstLineChars="200"/>
              <w:rPr>
                <w:rFonts w:ascii="宋体" w:hAnsi="宋体" w:eastAsia="宋体" w:cs="宋体"/>
                <w:color w:val="auto"/>
                <w:highlight w:val="none"/>
              </w:rPr>
            </w:pPr>
            <w:r>
              <w:rPr>
                <w:rFonts w:hint="eastAsia" w:ascii="宋体" w:eastAsia="宋体"/>
                <w:color w:val="auto"/>
                <w:highlight w:val="none"/>
                <w:u w:val="single"/>
                <w:lang w:eastAsia="zh-CN"/>
              </w:rPr>
              <w:t>浦阳江流域一线堤防白蚁防治项目</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项目的潜在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应在</w:t>
            </w:r>
            <w:r>
              <w:rPr>
                <w:rFonts w:hint="eastAsia" w:ascii="宋体" w:hAnsi="宋体" w:eastAsia="宋体" w:cs="宋体"/>
                <w:color w:val="auto"/>
                <w:highlight w:val="none"/>
                <w:lang w:eastAsia="zh-CN"/>
              </w:rPr>
              <w:t>萧</w:t>
            </w:r>
            <w:r>
              <w:rPr>
                <w:rFonts w:hint="eastAsia" w:ascii="宋体" w:hAnsi="宋体" w:eastAsia="宋体" w:cs="宋体"/>
                <w:color w:val="auto"/>
                <w:highlight w:val="none"/>
              </w:rPr>
              <w:t>采云平台（https://xsnbsc.lecaiyun.com/）（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42"/>
                <w:rFonts w:hint="eastAsia" w:ascii="宋体" w:hAnsi="宋体" w:eastAsia="宋体" w:cs="宋体"/>
                <w:snapToGrid/>
                <w:color w:val="auto"/>
                <w:kern w:val="2"/>
                <w:sz w:val="24"/>
                <w:szCs w:val="24"/>
                <w:highlight w:val="none"/>
              </w:rPr>
              <w:t>获取（下载）</w:t>
            </w:r>
            <w:r>
              <w:rPr>
                <w:rStyle w:val="42"/>
                <w:rFonts w:hint="eastAsia" w:ascii="宋体" w:hAnsi="宋体" w:eastAsia="宋体" w:cs="宋体"/>
                <w:snapToGrid/>
                <w:color w:val="auto"/>
                <w:kern w:val="2"/>
                <w:sz w:val="24"/>
                <w:szCs w:val="24"/>
                <w:highlight w:val="none"/>
                <w:lang w:eastAsia="zh-CN"/>
              </w:rPr>
              <w:t>交易文件</w:t>
            </w:r>
            <w:r>
              <w:rPr>
                <w:rStyle w:val="42"/>
                <w:rFonts w:hint="eastAsia" w:ascii="宋体" w:hAnsi="宋体" w:eastAsia="宋体" w:cs="宋体"/>
                <w:snapToGrid/>
                <w:color w:val="auto"/>
                <w:kern w:val="2"/>
                <w:sz w:val="24"/>
                <w:szCs w:val="24"/>
                <w:highlight w:val="none"/>
              </w:rPr>
              <w:t>，并于</w:t>
            </w:r>
            <w:r>
              <w:rPr>
                <w:rFonts w:hint="eastAsia" w:ascii="宋体" w:hAnsi="宋体" w:eastAsia="宋体" w:cs="宋体"/>
                <w:color w:val="auto"/>
                <w:highlight w:val="none"/>
                <w:u w:val="single"/>
              </w:rPr>
              <w:t>202</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年</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月</w:t>
            </w:r>
            <w:r>
              <w:rPr>
                <w:rFonts w:hint="eastAsia" w:ascii="宋体" w:hAnsi="宋体" w:eastAsia="宋体" w:cs="宋体"/>
                <w:color w:val="auto"/>
                <w:highlight w:val="none"/>
                <w:u w:val="single"/>
                <w:lang w:val="en-US" w:eastAsia="zh-CN"/>
              </w:rPr>
              <w:t>22</w:t>
            </w:r>
            <w:r>
              <w:rPr>
                <w:rFonts w:hint="eastAsia" w:ascii="宋体" w:hAnsi="宋体" w:eastAsia="宋体" w:cs="宋体"/>
                <w:color w:val="auto"/>
                <w:highlight w:val="none"/>
                <w:u w:val="single"/>
              </w:rPr>
              <w:t>日</w:t>
            </w:r>
            <w:r>
              <w:rPr>
                <w:rFonts w:hint="eastAsia" w:ascii="宋体" w:hAnsi="宋体" w:eastAsia="宋体" w:cs="宋体"/>
                <w:color w:val="auto"/>
                <w:highlight w:val="none"/>
                <w:u w:val="single"/>
                <w:lang w:val="en-US" w:eastAsia="zh-CN"/>
              </w:rPr>
              <w:t>14</w:t>
            </w:r>
            <w:r>
              <w:rPr>
                <w:rFonts w:hint="eastAsia" w:ascii="宋体" w:hAnsi="宋体" w:eastAsia="宋体" w:cs="宋体"/>
                <w:color w:val="auto"/>
                <w:highlight w:val="none"/>
                <w:u w:val="single"/>
              </w:rPr>
              <w:t>点</w:t>
            </w:r>
            <w:r>
              <w:rPr>
                <w:rFonts w:hint="eastAsia" w:ascii="宋体" w:hAnsi="宋体" w:eastAsia="宋体" w:cs="宋体"/>
                <w:color w:val="auto"/>
                <w:highlight w:val="none"/>
                <w:u w:val="single"/>
                <w:lang w:val="en-US" w:eastAsia="zh-CN"/>
              </w:rPr>
              <w:t>30</w:t>
            </w:r>
            <w:r>
              <w:rPr>
                <w:rFonts w:hint="eastAsia" w:ascii="宋体" w:hAnsi="宋体" w:eastAsia="宋体" w:cs="宋体"/>
                <w:color w:val="auto"/>
                <w:highlight w:val="none"/>
                <w:u w:val="single"/>
              </w:rPr>
              <w:t>分</w:t>
            </w:r>
            <w:r>
              <w:rPr>
                <w:rFonts w:hint="eastAsia" w:ascii="宋体" w:hAnsi="宋体" w:eastAsia="宋体" w:cs="宋体"/>
                <w:bCs/>
                <w:color w:val="auto"/>
                <w:highlight w:val="none"/>
                <w:u w:val="single"/>
              </w:rPr>
              <w:t>00秒</w:t>
            </w:r>
            <w:r>
              <w:rPr>
                <w:rFonts w:hint="eastAsia" w:ascii="宋体" w:hAnsi="宋体" w:eastAsia="宋体" w:cs="宋体"/>
                <w:bCs/>
                <w:color w:val="auto"/>
                <w:highlight w:val="none"/>
                <w:u w:val="single"/>
              </w:rPr>
              <w:fldChar w:fldCharType="end"/>
            </w:r>
            <w:r>
              <w:rPr>
                <w:rFonts w:hint="eastAsia" w:ascii="宋体" w:hAnsi="宋体" w:eastAsia="宋体" w:cs="宋体"/>
                <w:bCs/>
                <w:color w:val="auto"/>
                <w:highlight w:val="none"/>
              </w:rPr>
              <w:t>（北京时间）前</w:t>
            </w:r>
            <w:r>
              <w:rPr>
                <w:rFonts w:hint="eastAsia" w:ascii="宋体" w:hAnsi="宋体" w:eastAsia="宋体" w:cs="宋体"/>
                <w:color w:val="auto"/>
                <w:highlight w:val="none"/>
              </w:rPr>
              <w:t>递交（上传）</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p>
        </w:tc>
      </w:tr>
    </w:tbl>
    <w:p>
      <w:pPr>
        <w:rPr>
          <w:rFonts w:hint="eastAsia" w:ascii="宋体" w:hAnsi="宋体" w:eastAsia="宋体" w:cs="宋体"/>
          <w:color w:val="auto"/>
          <w:highlight w:val="none"/>
        </w:rPr>
      </w:pPr>
      <w:r>
        <w:rPr>
          <w:rFonts w:hint="eastAsia" w:ascii="宋体" w:hAnsi="宋体" w:eastAsia="宋体" w:cs="宋体"/>
          <w:b/>
          <w:color w:val="auto"/>
          <w:highlight w:val="none"/>
        </w:rPr>
        <w:t xml:space="preserve">一、项目基本情况  </w:t>
      </w:r>
      <w:r>
        <w:rPr>
          <w:rFonts w:hint="eastAsia" w:ascii="宋体" w:hAnsi="宋体" w:eastAsia="宋体" w:cs="宋体"/>
          <w:color w:val="auto"/>
          <w:highlight w:val="none"/>
        </w:rPr>
        <w:t xml:space="preserve">                                          </w:t>
      </w:r>
    </w:p>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项目编号：</w:t>
      </w:r>
      <w:r>
        <w:rPr>
          <w:rFonts w:hint="eastAsia" w:ascii="宋体" w:hAnsi="宋体" w:eastAsia="宋体" w:cs="宋体"/>
          <w:color w:val="auto"/>
          <w:highlight w:val="none"/>
          <w:lang w:val="en-US" w:eastAsia="zh-CN"/>
        </w:rPr>
        <w:t xml:space="preserve">2023--008 </w:t>
      </w:r>
    </w:p>
    <w:p>
      <w:pPr>
        <w:rPr>
          <w:rFonts w:hint="eastAsia" w:ascii="宋体" w:eastAsia="宋体"/>
          <w:color w:val="auto"/>
          <w:highlight w:val="none"/>
          <w:lang w:eastAsia="zh-CN"/>
        </w:rPr>
      </w:pPr>
      <w:r>
        <w:rPr>
          <w:rFonts w:hint="eastAsia" w:ascii="宋体" w:hAnsi="宋体" w:eastAsia="宋体" w:cs="宋体"/>
          <w:color w:val="auto"/>
          <w:highlight w:val="none"/>
        </w:rPr>
        <w:t>项目名称：</w:t>
      </w:r>
      <w:r>
        <w:rPr>
          <w:rFonts w:hint="eastAsia" w:ascii="宋体" w:eastAsia="宋体"/>
          <w:color w:val="auto"/>
          <w:highlight w:val="none"/>
          <w:lang w:eastAsia="zh-CN"/>
        </w:rPr>
        <w:t>浦阳江流域一线堤防白蚁防治项目</w:t>
      </w:r>
    </w:p>
    <w:p>
      <w:pPr>
        <w:rPr>
          <w:rFonts w:ascii="宋体" w:hAnsi="宋体" w:eastAsia="宋体" w:cs="宋体"/>
          <w:color w:val="auto"/>
          <w:highlight w:val="none"/>
        </w:rPr>
      </w:pPr>
      <w:r>
        <w:rPr>
          <w:rFonts w:hint="eastAsia" w:ascii="宋体" w:hAnsi="宋体" w:eastAsia="宋体" w:cs="宋体"/>
          <w:color w:val="auto"/>
          <w:highlight w:val="none"/>
        </w:rPr>
        <w:t>预算金额（元）：</w:t>
      </w:r>
      <w:r>
        <w:rPr>
          <w:rFonts w:hint="eastAsia" w:ascii="宋体" w:hAnsi="宋体" w:eastAsia="宋体" w:cs="宋体"/>
          <w:color w:val="auto"/>
          <w:highlight w:val="none"/>
          <w:lang w:val="en-US" w:eastAsia="zh-CN"/>
        </w:rPr>
        <w:t>360000</w:t>
      </w:r>
      <w:r>
        <w:rPr>
          <w:rFonts w:hint="eastAsia" w:ascii="宋体" w:hAnsi="宋体" w:eastAsia="宋体" w:cs="宋体"/>
          <w:color w:val="auto"/>
          <w:highlight w:val="none"/>
        </w:rPr>
        <w:t xml:space="preserve">元  </w:t>
      </w:r>
    </w:p>
    <w:p>
      <w:pPr>
        <w:rPr>
          <w:rFonts w:ascii="宋体" w:hAnsi="宋体" w:eastAsia="宋体" w:cs="宋体"/>
          <w:color w:val="auto"/>
          <w:highlight w:val="none"/>
        </w:rPr>
      </w:pPr>
      <w:r>
        <w:rPr>
          <w:rFonts w:hint="eastAsia" w:ascii="宋体" w:hAnsi="宋体" w:eastAsia="宋体" w:cs="宋体"/>
          <w:color w:val="auto"/>
          <w:highlight w:val="none"/>
        </w:rPr>
        <w:t>最高限价（元）：</w:t>
      </w:r>
      <w:r>
        <w:rPr>
          <w:rFonts w:hint="eastAsia" w:ascii="宋体" w:hAnsi="宋体" w:eastAsia="宋体" w:cs="宋体"/>
          <w:color w:val="auto"/>
          <w:highlight w:val="none"/>
          <w:lang w:val="en-US" w:eastAsia="zh-CN"/>
        </w:rPr>
        <w:t>360000</w:t>
      </w:r>
      <w:r>
        <w:rPr>
          <w:rFonts w:hint="eastAsia" w:ascii="宋体" w:hAnsi="宋体" w:eastAsia="宋体" w:cs="宋体"/>
          <w:color w:val="auto"/>
          <w:highlight w:val="none"/>
        </w:rPr>
        <w:t xml:space="preserve">元  </w:t>
      </w:r>
    </w:p>
    <w:p>
      <w:pPr>
        <w:rPr>
          <w:rFonts w:ascii="宋体" w:hAnsi="宋体" w:eastAsia="宋体" w:cs="宋体"/>
          <w:color w:val="auto"/>
          <w:highlight w:val="none"/>
        </w:rPr>
      </w:pPr>
      <w:r>
        <w:rPr>
          <w:rFonts w:hint="eastAsia" w:ascii="宋体" w:hAnsi="宋体" w:eastAsia="宋体" w:cs="宋体"/>
          <w:color w:val="auto"/>
          <w:highlight w:val="none"/>
        </w:rPr>
        <w:t>采购需求：</w:t>
      </w:r>
    </w:p>
    <w:p>
      <w:pPr>
        <w:rPr>
          <w:rFonts w:hint="eastAsia" w:ascii="宋体" w:eastAsia="宋体"/>
          <w:color w:val="auto"/>
          <w:highlight w:val="none"/>
          <w:lang w:eastAsia="zh-CN"/>
        </w:rPr>
      </w:pPr>
      <w:r>
        <w:rPr>
          <w:rFonts w:hint="eastAsia" w:ascii="宋体" w:hAnsi="宋体" w:eastAsia="宋体" w:cs="宋体"/>
          <w:color w:val="auto"/>
          <w:highlight w:val="none"/>
        </w:rPr>
        <w:t>标项名称：</w:t>
      </w:r>
      <w:r>
        <w:rPr>
          <w:rFonts w:hint="eastAsia" w:ascii="宋体" w:eastAsia="宋体"/>
          <w:color w:val="auto"/>
          <w:highlight w:val="none"/>
          <w:lang w:eastAsia="zh-CN"/>
        </w:rPr>
        <w:t>浦阳江流域一线堤防白蚁防治项目</w:t>
      </w:r>
    </w:p>
    <w:p>
      <w:pPr>
        <w:rPr>
          <w:rFonts w:ascii="宋体" w:hAnsi="宋体" w:eastAsia="宋体" w:cs="宋体"/>
          <w:color w:val="auto"/>
          <w:highlight w:val="none"/>
        </w:rPr>
      </w:pPr>
      <w:r>
        <w:rPr>
          <w:rFonts w:hint="eastAsia" w:ascii="宋体" w:hAnsi="宋体" w:eastAsia="宋体" w:cs="宋体"/>
          <w:color w:val="auto"/>
          <w:highlight w:val="none"/>
        </w:rPr>
        <w:t xml:space="preserve">数量: 1  </w:t>
      </w:r>
      <w:r>
        <w:rPr>
          <w:rFonts w:hint="eastAsia" w:ascii="宋体" w:hAnsi="宋体" w:eastAsia="宋体" w:cs="宋体"/>
          <w:color w:val="auto"/>
          <w:highlight w:val="none"/>
          <w:lang w:val="en-US" w:eastAsia="zh-CN"/>
        </w:rPr>
        <w:t>360000</w:t>
      </w:r>
      <w:r>
        <w:rPr>
          <w:rFonts w:hint="eastAsia" w:ascii="宋体" w:hAnsi="宋体" w:eastAsia="宋体" w:cs="宋体"/>
          <w:color w:val="auto"/>
          <w:highlight w:val="none"/>
        </w:rPr>
        <w:t xml:space="preserve">元 </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简要规格描述或项目基本概况介绍、用途：详见</w:t>
      </w:r>
      <w:r>
        <w:rPr>
          <w:rFonts w:hint="eastAsia" w:ascii="宋体" w:hAnsi="宋体" w:eastAsia="宋体" w:cs="宋体"/>
          <w:color w:val="auto"/>
          <w:highlight w:val="none"/>
          <w:lang w:eastAsia="zh-CN"/>
        </w:rPr>
        <w:t>交易文件</w:t>
      </w:r>
    </w:p>
    <w:p>
      <w:pPr>
        <w:rPr>
          <w:rFonts w:ascii="宋体" w:hAnsi="宋体" w:eastAsia="宋体" w:cs="宋体"/>
          <w:color w:val="auto"/>
          <w:highlight w:val="none"/>
        </w:rPr>
      </w:pPr>
      <w:r>
        <w:rPr>
          <w:rFonts w:hint="eastAsia" w:ascii="宋体" w:hAnsi="宋体" w:eastAsia="宋体" w:cs="宋体"/>
          <w:color w:val="auto"/>
          <w:highlight w:val="none"/>
        </w:rPr>
        <w:t xml:space="preserve">备注： </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合同履约期限：详见</w:t>
      </w:r>
      <w:r>
        <w:rPr>
          <w:rFonts w:hint="eastAsia" w:ascii="宋体" w:hAnsi="宋体" w:eastAsia="宋体" w:cs="宋体"/>
          <w:color w:val="auto"/>
          <w:highlight w:val="none"/>
          <w:lang w:eastAsia="zh-CN"/>
        </w:rPr>
        <w:t>交易文件</w:t>
      </w:r>
    </w:p>
    <w:p>
      <w:pPr>
        <w:rPr>
          <w:rFonts w:ascii="宋体" w:hAnsi="宋体" w:eastAsia="宋体" w:cs="宋体"/>
          <w:color w:val="auto"/>
          <w:highlight w:val="none"/>
        </w:rPr>
      </w:pPr>
      <w:r>
        <w:rPr>
          <w:rFonts w:hint="eastAsia" w:ascii="宋体" w:hAnsi="宋体" w:eastAsia="宋体" w:cs="宋体"/>
          <w:color w:val="auto"/>
          <w:highlight w:val="none"/>
        </w:rPr>
        <w:t>本项目接受联合体</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 ）是；（√）否 。</w:t>
      </w:r>
    </w:p>
    <w:p>
      <w:pPr>
        <w:rPr>
          <w:rFonts w:ascii="宋体" w:hAnsi="宋体" w:eastAsia="宋体" w:cs="宋体"/>
          <w:color w:val="auto"/>
          <w:highlight w:val="none"/>
        </w:rPr>
      </w:pPr>
      <w:r>
        <w:rPr>
          <w:rFonts w:hint="eastAsia" w:ascii="宋体" w:hAnsi="宋体" w:eastAsia="宋体" w:cs="宋体"/>
          <w:b/>
          <w:color w:val="auto"/>
          <w:highlight w:val="none"/>
        </w:rPr>
        <w:t>二、申请人的资格要求</w:t>
      </w:r>
      <w:r>
        <w:rPr>
          <w:rFonts w:hint="eastAsia" w:ascii="宋体" w:hAnsi="宋体" w:eastAsia="宋体" w:cs="宋体"/>
          <w:color w:val="auto"/>
          <w:highlight w:val="none"/>
        </w:rPr>
        <w:t>：</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）无；</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（√）专门面向中小企业</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）货物全部由符合政策要求的中小企业制造，提供中小企业声明函；</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）货物全部由符合政策要求的小微企业制造，提供中小企业声明函；</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（√）服务全部由符合政策要求的中小企业承接，提供中小企业声明函；</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）服务全部由符合政策要求的小微企业承接，提供中小企业声明函；</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）要求以联合体形式参加，提供联合协议和中小企业声明函，联合协议中中小企业合同金额应当达到  %，小微企业合同金额应当达到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如果供应商本身提供所有标的均由中小企业制造、承建或承接，视同符合了资格条件，无需再与其他中小企业组成联合体参加政府采购活动，无需提供联合协议；</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）要求合同分包，提供分包意向协议和中小企业声明函，分包意向协议中中小企业合同金额应当达到达到  % ，小微企业合同金额应当达到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如果供应商本身提供所有标的均由中小企业制造、承建或承接，视同符合了资格条件，无需再向中小企业分包，无需提供分包意向协议；</w:t>
      </w:r>
    </w:p>
    <w:p>
      <w:pPr>
        <w:ind w:firstLine="480" w:firstLineChars="200"/>
        <w:rPr>
          <w:rFonts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本项目的特定资格要求：</w:t>
      </w:r>
      <w:r>
        <w:rPr>
          <w:rFonts w:hint="eastAsia" w:ascii="宋体" w:hAnsi="宋体" w:eastAsia="宋体" w:cs="宋体"/>
          <w:color w:val="auto"/>
          <w:sz w:val="24"/>
          <w:szCs w:val="28"/>
          <w:highlight w:val="none"/>
          <w:lang w:eastAsia="zh-CN"/>
        </w:rPr>
        <w:t>无</w:t>
      </w:r>
      <w:r>
        <w:rPr>
          <w:rFonts w:hint="eastAsia" w:ascii="宋体" w:hAnsi="宋体" w:eastAsia="宋体" w:cs="宋体"/>
          <w:color w:val="auto"/>
          <w:highlight w:val="none"/>
        </w:rPr>
        <w:t>；</w:t>
      </w:r>
    </w:p>
    <w:p>
      <w:pPr>
        <w:rPr>
          <w:rFonts w:ascii="宋体" w:hAnsi="宋体" w:eastAsia="宋体" w:cs="宋体"/>
          <w:b/>
          <w:color w:val="auto"/>
          <w:highlight w:val="none"/>
        </w:rPr>
      </w:pPr>
      <w:r>
        <w:rPr>
          <w:rFonts w:hint="eastAsia" w:ascii="宋体" w:hAnsi="宋体" w:eastAsia="宋体" w:cs="宋体"/>
          <w:b/>
          <w:color w:val="auto"/>
          <w:highlight w:val="none"/>
        </w:rPr>
        <w:t>三、获取</w:t>
      </w:r>
      <w:r>
        <w:rPr>
          <w:rFonts w:hint="eastAsia" w:ascii="宋体" w:hAnsi="宋体" w:eastAsia="宋体" w:cs="宋体"/>
          <w:b/>
          <w:color w:val="auto"/>
          <w:highlight w:val="none"/>
          <w:lang w:eastAsia="zh-CN"/>
        </w:rPr>
        <w:t>交易文件</w:t>
      </w:r>
      <w:r>
        <w:rPr>
          <w:rFonts w:hint="eastAsia" w:ascii="宋体" w:hAnsi="宋体" w:eastAsia="宋体" w:cs="宋体"/>
          <w:b/>
          <w:color w:val="auto"/>
          <w:highlight w:val="none"/>
        </w:rPr>
        <w:t xml:space="preserve"> </w:t>
      </w:r>
    </w:p>
    <w:p>
      <w:pPr>
        <w:rPr>
          <w:rFonts w:ascii="宋体" w:hAnsi="宋体" w:eastAsia="宋体" w:cs="宋体"/>
          <w:color w:val="auto"/>
          <w:highlight w:val="none"/>
        </w:rPr>
      </w:pPr>
      <w:r>
        <w:rPr>
          <w:rFonts w:hint="eastAsia" w:ascii="宋体" w:hAnsi="宋体" w:eastAsia="宋体" w:cs="宋体"/>
          <w:color w:val="auto"/>
          <w:highlight w:val="none"/>
        </w:rPr>
        <w:t>时间：/至202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22</w:t>
      </w:r>
      <w:r>
        <w:rPr>
          <w:rFonts w:hint="eastAsia" w:ascii="宋体" w:hAnsi="宋体" w:eastAsia="宋体" w:cs="宋体"/>
          <w:color w:val="auto"/>
          <w:highlight w:val="none"/>
        </w:rPr>
        <w:t>日，每天上午00:00至12:00 ，下午12:00至23:59（北京时间，线上获取法定节假日均可，线下获取文件法定节假日除外）</w:t>
      </w:r>
    </w:p>
    <w:p>
      <w:pPr>
        <w:rPr>
          <w:rFonts w:ascii="宋体" w:hAnsi="宋体" w:eastAsia="宋体" w:cs="宋体"/>
          <w:color w:val="auto"/>
          <w:highlight w:val="none"/>
        </w:rPr>
      </w:pPr>
      <w:r>
        <w:rPr>
          <w:rFonts w:hint="eastAsia" w:ascii="宋体" w:hAnsi="宋体" w:eastAsia="宋体" w:cs="宋体"/>
          <w:color w:val="auto"/>
          <w:highlight w:val="none"/>
        </w:rPr>
        <w:t>地点（网址）：</w:t>
      </w:r>
      <w:r>
        <w:rPr>
          <w:rFonts w:hint="eastAsia" w:ascii="宋体" w:hAnsi="宋体" w:eastAsia="宋体" w:cs="宋体"/>
          <w:color w:val="auto"/>
          <w:highlight w:val="none"/>
          <w:lang w:eastAsia="zh-CN"/>
        </w:rPr>
        <w:t>萧</w:t>
      </w:r>
      <w:r>
        <w:rPr>
          <w:rFonts w:hint="eastAsia" w:ascii="宋体" w:hAnsi="宋体" w:eastAsia="宋体" w:cs="宋体"/>
          <w:color w:val="auto"/>
          <w:highlight w:val="none"/>
        </w:rPr>
        <w:t xml:space="preserve">采云平台（https://xsnbsc.lecaiyun.com/） </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方式：供应商登录</w:t>
      </w:r>
      <w:r>
        <w:rPr>
          <w:rFonts w:hint="eastAsia" w:ascii="宋体" w:hAnsi="宋体" w:eastAsia="宋体" w:cs="宋体"/>
          <w:color w:val="auto"/>
          <w:highlight w:val="none"/>
          <w:lang w:eastAsia="zh-CN"/>
        </w:rPr>
        <w:t>萧</w:t>
      </w:r>
      <w:r>
        <w:rPr>
          <w:rFonts w:hint="eastAsia" w:ascii="宋体" w:hAnsi="宋体" w:eastAsia="宋体" w:cs="宋体"/>
          <w:color w:val="auto"/>
          <w:highlight w:val="none"/>
        </w:rPr>
        <w:t xml:space="preserve">采云平台（https://xsnbsc.lecaiyun.com/）在线申请获取采购文件（进入“项目采购”应用，在获取采购文件菜单中选择项目，申请获取采购文件）。 </w:t>
      </w:r>
    </w:p>
    <w:p>
      <w:pPr>
        <w:rPr>
          <w:rFonts w:ascii="宋体" w:hAnsi="宋体" w:eastAsia="宋体" w:cs="宋体"/>
          <w:color w:val="auto"/>
          <w:highlight w:val="none"/>
        </w:rPr>
      </w:pPr>
      <w:r>
        <w:rPr>
          <w:rFonts w:hint="eastAsia" w:ascii="宋体" w:hAnsi="宋体" w:eastAsia="宋体" w:cs="宋体"/>
          <w:color w:val="auto"/>
          <w:highlight w:val="none"/>
        </w:rPr>
        <w:t xml:space="preserve">售价（元）：0 </w:t>
      </w:r>
      <w:r>
        <w:rPr>
          <w:rFonts w:hint="eastAsia" w:ascii="宋体" w:hAnsi="宋体" w:eastAsia="宋体" w:cs="宋体"/>
          <w:color w:val="auto"/>
          <w:highlight w:val="none"/>
        </w:rPr>
        <w:tab/>
      </w:r>
    </w:p>
    <w:p>
      <w:pPr>
        <w:rPr>
          <w:rFonts w:ascii="宋体" w:hAnsi="宋体" w:eastAsia="宋体" w:cs="宋体"/>
          <w:b/>
          <w:color w:val="auto"/>
          <w:highlight w:val="none"/>
        </w:rPr>
      </w:pPr>
      <w:r>
        <w:rPr>
          <w:rFonts w:hint="eastAsia" w:ascii="宋体" w:hAnsi="宋体" w:eastAsia="宋体" w:cs="宋体"/>
          <w:b/>
          <w:color w:val="auto"/>
          <w:highlight w:val="none"/>
        </w:rPr>
        <w:t>四、提交</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截止时间、</w:t>
      </w:r>
      <w:r>
        <w:rPr>
          <w:rFonts w:hint="eastAsia" w:ascii="宋体" w:hAnsi="宋体" w:eastAsia="宋体" w:cs="宋体"/>
          <w:b/>
          <w:color w:val="auto"/>
          <w:highlight w:val="none"/>
          <w:lang w:val="en-US" w:eastAsia="zh-CN"/>
        </w:rPr>
        <w:t>交易</w:t>
      </w:r>
      <w:r>
        <w:rPr>
          <w:rFonts w:hint="eastAsia" w:ascii="宋体" w:hAnsi="宋体" w:eastAsia="宋体" w:cs="宋体"/>
          <w:b/>
          <w:color w:val="auto"/>
          <w:highlight w:val="none"/>
        </w:rPr>
        <w:t>时间和地点</w:t>
      </w:r>
    </w:p>
    <w:p>
      <w:pPr>
        <w:rPr>
          <w:rFonts w:ascii="宋体" w:hAnsi="宋体" w:eastAsia="宋体" w:cs="宋体"/>
          <w:color w:val="auto"/>
          <w:highlight w:val="none"/>
        </w:rPr>
      </w:pPr>
      <w:r>
        <w:rPr>
          <w:rFonts w:hint="eastAsia" w:ascii="宋体" w:hAnsi="宋体" w:eastAsia="宋体" w:cs="宋体"/>
          <w:color w:val="auto"/>
          <w:highlight w:val="none"/>
        </w:rPr>
        <w:t>提交</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截止时间：202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22</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点</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分（北京时间）</w:t>
      </w:r>
    </w:p>
    <w:p>
      <w:pPr>
        <w:rPr>
          <w:rFonts w:ascii="宋体" w:hAnsi="宋体" w:eastAsia="宋体" w:cs="宋体"/>
          <w:color w:val="auto"/>
          <w:highlight w:val="none"/>
        </w:rPr>
      </w:pP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地点（网址）：</w:t>
      </w:r>
      <w:r>
        <w:rPr>
          <w:rFonts w:hint="eastAsia" w:ascii="宋体" w:hAnsi="宋体" w:eastAsia="宋体" w:cs="宋体"/>
          <w:color w:val="auto"/>
          <w:highlight w:val="none"/>
          <w:lang w:eastAsia="zh-CN"/>
        </w:rPr>
        <w:t>萧</w:t>
      </w:r>
      <w:r>
        <w:rPr>
          <w:rFonts w:hint="eastAsia" w:ascii="宋体" w:hAnsi="宋体" w:eastAsia="宋体" w:cs="宋体"/>
          <w:color w:val="auto"/>
          <w:highlight w:val="none"/>
        </w:rPr>
        <w:t xml:space="preserve">采云平台（https://xsnbsc.lecaiyun.com/） </w:t>
      </w:r>
    </w:p>
    <w:p>
      <w:pPr>
        <w:rPr>
          <w:rFonts w:ascii="宋体" w:hAnsi="宋体" w:eastAsia="宋体" w:cs="宋体"/>
          <w:color w:val="auto"/>
          <w:highlight w:val="none"/>
        </w:rPr>
      </w:pP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时间：202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22</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点</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 xml:space="preserve">分 </w:t>
      </w:r>
    </w:p>
    <w:p>
      <w:pPr>
        <w:rPr>
          <w:rFonts w:ascii="宋体" w:hAnsi="宋体" w:eastAsia="宋体" w:cs="宋体"/>
          <w:color w:val="auto"/>
          <w:highlight w:val="none"/>
        </w:rPr>
      </w:pP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地点（网址）：</w:t>
      </w:r>
      <w:r>
        <w:rPr>
          <w:rFonts w:hint="eastAsia" w:ascii="宋体" w:hAnsi="宋体" w:eastAsia="宋体" w:cs="宋体"/>
          <w:color w:val="auto"/>
          <w:highlight w:val="none"/>
          <w:lang w:eastAsia="zh-CN"/>
        </w:rPr>
        <w:t>萧</w:t>
      </w:r>
      <w:r>
        <w:rPr>
          <w:rFonts w:hint="eastAsia" w:ascii="宋体" w:hAnsi="宋体" w:eastAsia="宋体" w:cs="宋体"/>
          <w:color w:val="auto"/>
          <w:highlight w:val="none"/>
        </w:rPr>
        <w:t>采云平台（https://xsnbsc.lecaiyun.com/）</w:t>
      </w:r>
    </w:p>
    <w:p>
      <w:pPr>
        <w:rPr>
          <w:rFonts w:ascii="宋体" w:hAnsi="宋体" w:eastAsia="宋体" w:cs="宋体"/>
          <w:b/>
          <w:color w:val="auto"/>
          <w:highlight w:val="none"/>
        </w:rPr>
      </w:pPr>
      <w:r>
        <w:rPr>
          <w:rFonts w:hint="eastAsia" w:ascii="宋体" w:hAnsi="宋体" w:eastAsia="宋体" w:cs="宋体"/>
          <w:b/>
          <w:color w:val="auto"/>
          <w:highlight w:val="none"/>
        </w:rPr>
        <w:t xml:space="preserve">五、公告期限 </w:t>
      </w:r>
    </w:p>
    <w:p>
      <w:pPr>
        <w:rPr>
          <w:rFonts w:ascii="宋体" w:hAnsi="宋体" w:eastAsia="宋体" w:cs="宋体"/>
          <w:color w:val="auto"/>
          <w:highlight w:val="none"/>
        </w:rPr>
      </w:pPr>
      <w:r>
        <w:rPr>
          <w:rFonts w:hint="eastAsia" w:ascii="宋体" w:hAnsi="宋体" w:eastAsia="宋体" w:cs="宋体"/>
          <w:color w:val="auto"/>
          <w:highlight w:val="none"/>
        </w:rPr>
        <w:t>自本公告发布之日起</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日。</w:t>
      </w:r>
    </w:p>
    <w:p>
      <w:pPr>
        <w:rPr>
          <w:rFonts w:ascii="宋体" w:hAnsi="宋体" w:eastAsia="宋体" w:cs="宋体"/>
          <w:b/>
          <w:color w:val="auto"/>
          <w:highlight w:val="none"/>
        </w:rPr>
      </w:pPr>
      <w:r>
        <w:rPr>
          <w:rFonts w:hint="eastAsia" w:ascii="宋体" w:hAnsi="宋体" w:eastAsia="宋体" w:cs="宋体"/>
          <w:b/>
          <w:color w:val="auto"/>
          <w:highlight w:val="none"/>
        </w:rPr>
        <w:t>六、其他补充事宜</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1.供应商认为</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使自己的权益受到损害的，可以自获取</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之日或者</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公告期限届满之日（公告期限届满后获取</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的，以公告期限届满之日为准）起</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2.其他事项：电子交易（招</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）的说明：①电子交易：本项目以数据电文形式，依托“</w:t>
      </w:r>
      <w:r>
        <w:rPr>
          <w:rFonts w:hint="eastAsia" w:ascii="宋体" w:hAnsi="宋体" w:eastAsia="宋体" w:cs="宋体"/>
          <w:color w:val="auto"/>
          <w:highlight w:val="none"/>
          <w:lang w:eastAsia="zh-CN"/>
        </w:rPr>
        <w:t>萧</w:t>
      </w:r>
      <w:r>
        <w:rPr>
          <w:rFonts w:hint="eastAsia" w:ascii="宋体" w:hAnsi="宋体" w:eastAsia="宋体" w:cs="宋体"/>
          <w:color w:val="auto"/>
          <w:highlight w:val="none"/>
        </w:rPr>
        <w:t>采云平台（https://xsnbsc.lecaiyun.com/）”进行交易活动，不接受纸质响应文件；②交易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采购）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-政府采购项目电子交易管理操作指南-供应商”。</w:t>
      </w:r>
    </w:p>
    <w:p>
      <w:pPr>
        <w:rPr>
          <w:rFonts w:ascii="宋体" w:hAnsi="宋体" w:eastAsia="宋体" w:cs="宋体"/>
          <w:b/>
          <w:color w:val="auto"/>
          <w:highlight w:val="none"/>
        </w:rPr>
      </w:pPr>
      <w:r>
        <w:rPr>
          <w:rFonts w:hint="eastAsia" w:ascii="宋体" w:hAnsi="宋体" w:eastAsia="宋体" w:cs="宋体"/>
          <w:b/>
          <w:color w:val="auto"/>
          <w:highlight w:val="none"/>
        </w:rPr>
        <w:t>七、对本次采购提出询问、质疑、投诉，请按以下方式联系</w:t>
      </w:r>
    </w:p>
    <w:p>
      <w:pPr>
        <w:rPr>
          <w:rFonts w:ascii="宋体" w:hAnsi="宋体" w:eastAsia="宋体" w:cs="宋体"/>
          <w:color w:val="auto"/>
          <w:highlight w:val="none"/>
        </w:rPr>
      </w:pPr>
      <w:r>
        <w:rPr>
          <w:rFonts w:hint="eastAsia" w:ascii="宋体" w:hAnsi="宋体" w:eastAsia="宋体" w:cs="宋体"/>
          <w:color w:val="auto"/>
          <w:highlight w:val="none"/>
        </w:rPr>
        <w:t>1.采购人信息</w:t>
      </w:r>
    </w:p>
    <w:p>
      <w:pPr>
        <w:rPr>
          <w:rFonts w:hint="eastAsia" w:ascii="宋体" w:hAnsi="宋体" w:eastAsia="宋体" w:cs="宋体"/>
          <w:color w:val="auto"/>
          <w:highlight w:val="none"/>
          <w:lang w:eastAsia="zh-CN"/>
        </w:rPr>
      </w:pPr>
      <w:bookmarkStart w:id="0" w:name="_Toc28359009"/>
      <w:bookmarkStart w:id="1" w:name="_Toc28359086"/>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杭州市萧山区浦阳江流域管理中心</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萧山区临浦镇人民路28号</w:t>
      </w:r>
    </w:p>
    <w:p>
      <w:pPr>
        <w:rPr>
          <w:rFonts w:hint="eastAsia" w:ascii="宋体" w:hAnsi="宋体" w:eastAsia="宋体" w:cs="宋体"/>
          <w:color w:val="auto"/>
          <w:highlight w:val="none"/>
        </w:rPr>
      </w:pPr>
      <w:r>
        <w:rPr>
          <w:rFonts w:hint="eastAsia" w:ascii="宋体" w:hAnsi="宋体" w:eastAsia="宋体" w:cs="宋体"/>
          <w:color w:val="auto"/>
          <w:highlight w:val="none"/>
        </w:rPr>
        <w:t>项目联系人（询问）：</w:t>
      </w:r>
      <w:r>
        <w:rPr>
          <w:rFonts w:hint="eastAsia" w:ascii="宋体" w:hAnsi="宋体" w:eastAsia="宋体" w:cs="宋体"/>
          <w:color w:val="auto"/>
          <w:highlight w:val="none"/>
          <w:lang w:eastAsia="zh-CN"/>
        </w:rPr>
        <w:t>朱勤</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pPr>
        <w:rPr>
          <w:rFonts w:hint="default" w:ascii="宋体" w:hAnsi="宋体" w:eastAsia="宋体" w:cs="宋体"/>
          <w:color w:val="auto"/>
          <w:highlight w:val="none"/>
          <w:lang w:val="en-US"/>
        </w:rPr>
      </w:pPr>
      <w:r>
        <w:rPr>
          <w:rFonts w:hint="eastAsia" w:ascii="宋体" w:hAnsi="宋体" w:eastAsia="宋体" w:cs="宋体"/>
          <w:color w:val="auto"/>
          <w:highlight w:val="none"/>
        </w:rPr>
        <w:t>项目联系方式（询问）：</w:t>
      </w:r>
      <w:r>
        <w:rPr>
          <w:rFonts w:hint="eastAsia" w:asciiTheme="majorEastAsia" w:hAnsiTheme="majorEastAsia" w:eastAsiaTheme="majorEastAsia" w:cstheme="majorEastAsia"/>
          <w:color w:val="auto"/>
          <w:highlight w:val="none"/>
        </w:rPr>
        <w:t>0571-</w:t>
      </w:r>
      <w:r>
        <w:rPr>
          <w:rFonts w:hint="eastAsia" w:asciiTheme="majorEastAsia" w:hAnsiTheme="majorEastAsia" w:eastAsiaTheme="majorEastAsia" w:cstheme="majorEastAsia"/>
          <w:color w:val="auto"/>
          <w:highlight w:val="none"/>
          <w:lang w:val="en-US" w:eastAsia="zh-CN"/>
        </w:rPr>
        <w:t>82481801</w:t>
      </w:r>
    </w:p>
    <w:p>
      <w:pPr>
        <w:rPr>
          <w:rFonts w:ascii="宋体" w:hAnsi="宋体" w:eastAsia="宋体" w:cs="宋体"/>
          <w:color w:val="auto"/>
          <w:highlight w:val="none"/>
        </w:rPr>
      </w:pPr>
      <w:r>
        <w:rPr>
          <w:rFonts w:hint="eastAsia" w:ascii="宋体" w:hAnsi="宋体" w:eastAsia="宋体" w:cs="宋体"/>
          <w:color w:val="auto"/>
          <w:highlight w:val="none"/>
        </w:rPr>
        <w:t>2.采购代理机构信息</w:t>
      </w:r>
      <w:bookmarkEnd w:id="0"/>
      <w:bookmarkEnd w:id="1"/>
      <w:r>
        <w:rPr>
          <w:rFonts w:hint="eastAsia" w:ascii="宋体" w:hAnsi="宋体" w:eastAsia="宋体" w:cs="宋体"/>
          <w:color w:val="auto"/>
          <w:highlight w:val="none"/>
          <w:lang w:eastAsia="zh-CN"/>
        </w:rPr>
        <w:t>咨询</w:t>
      </w:r>
    </w:p>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名 称：</w:t>
      </w:r>
      <w:r>
        <w:rPr>
          <w:rFonts w:hint="eastAsia" w:ascii="宋体" w:hAnsi="宋体" w:eastAsia="宋体" w:cs="宋体"/>
          <w:color w:val="auto"/>
          <w:highlight w:val="none"/>
          <w:lang w:val="en-US" w:eastAsia="zh-CN"/>
        </w:rPr>
        <w:t>天盛浙创工程咨询有限公司</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val="en-US" w:eastAsia="zh-CN"/>
        </w:rPr>
        <w:t>萧山区盈丰街道民和路481号联合中心1幢602室</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项目联系人（询问）：</w:t>
      </w:r>
      <w:r>
        <w:rPr>
          <w:rFonts w:hint="eastAsia" w:ascii="宋体" w:hAnsi="宋体" w:eastAsia="宋体" w:cs="宋体"/>
          <w:color w:val="auto"/>
          <w:highlight w:val="none"/>
          <w:lang w:val="en-US" w:eastAsia="zh-CN"/>
        </w:rPr>
        <w:t>吴燕红</w:t>
      </w:r>
    </w:p>
    <w:p>
      <w:pPr>
        <w:rPr>
          <w:rFonts w:hint="default" w:ascii="宋体" w:hAnsi="宋体" w:eastAsia="宋体" w:cs="宋体"/>
          <w:color w:val="auto"/>
          <w:highlight w:val="none"/>
          <w:lang w:val="en-US"/>
        </w:rPr>
      </w:pPr>
      <w:r>
        <w:rPr>
          <w:rFonts w:hint="eastAsia" w:ascii="宋体" w:hAnsi="宋体" w:eastAsia="宋体" w:cs="宋体"/>
          <w:color w:val="auto"/>
          <w:highlight w:val="none"/>
        </w:rPr>
        <w:t>项目联系方式（询问）：0571-</w:t>
      </w:r>
      <w:r>
        <w:rPr>
          <w:rFonts w:hint="eastAsia" w:ascii="宋体" w:hAnsi="宋体" w:eastAsia="宋体" w:cs="宋体"/>
          <w:color w:val="auto"/>
          <w:highlight w:val="none"/>
          <w:lang w:val="en-US" w:eastAsia="zh-CN"/>
        </w:rPr>
        <w:t>82838566</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w:t>
      </w:r>
      <w:r>
        <w:rPr>
          <w:rFonts w:hint="eastAsia" w:ascii="宋体" w:hAnsi="宋体" w:eastAsia="宋体" w:cs="宋体"/>
          <w:color w:val="auto"/>
          <w:highlight w:val="none"/>
          <w:lang w:eastAsia="zh-CN"/>
        </w:rPr>
        <w:t>萧</w:t>
      </w:r>
      <w:r>
        <w:rPr>
          <w:rFonts w:hint="eastAsia" w:ascii="宋体" w:hAnsi="宋体" w:eastAsia="宋体" w:cs="宋体"/>
          <w:color w:val="auto"/>
          <w:highlight w:val="none"/>
        </w:rPr>
        <w:t>采云平台（https://xsnbsc.lecaiyun.com/），点击右侧咨询小采，获取采小蜜智能服务管家帮助，或拨打政采云服务热线400-881-7190获取热线服务帮助。</w:t>
      </w:r>
    </w:p>
    <w:p>
      <w:pPr>
        <w:rPr>
          <w:rFonts w:ascii="宋体" w:hAnsi="宋体" w:eastAsia="宋体" w:cs="宋体"/>
          <w:color w:val="auto"/>
          <w:highlight w:val="none"/>
        </w:rPr>
      </w:pPr>
      <w:r>
        <w:rPr>
          <w:rFonts w:hint="eastAsia" w:ascii="宋体" w:hAnsi="宋体" w:eastAsia="宋体" w:cs="宋体"/>
          <w:color w:val="auto"/>
          <w:highlight w:val="none"/>
        </w:rPr>
        <w:t>CA问题联系电话（人工）：汇信CA 400-888-4636；天谷CA 400-087-8198。</w:t>
      </w:r>
    </w:p>
    <w:p>
      <w:pPr>
        <w:spacing w:line="276" w:lineRule="auto"/>
        <w:rPr>
          <w:rFonts w:ascii="宋体" w:hAnsi="宋体" w:eastAsia="宋体" w:cs="宋体"/>
          <w:color w:val="auto"/>
          <w:highlight w:val="none"/>
        </w:rPr>
      </w:pPr>
      <w:r>
        <w:rPr>
          <w:rFonts w:hint="eastAsia" w:ascii="宋体" w:hAnsi="宋体" w:eastAsia="宋体" w:cs="宋体"/>
          <w:color w:val="auto"/>
          <w:highlight w:val="none"/>
        </w:rPr>
        <w:br w:type="page"/>
      </w:r>
    </w:p>
    <w:p>
      <w:pPr>
        <w:pStyle w:val="5"/>
        <w:rPr>
          <w:rFonts w:ascii="宋体" w:hAnsi="宋体" w:eastAsia="宋体" w:cs="宋体"/>
          <w:color w:val="auto"/>
          <w:highlight w:val="none"/>
        </w:rPr>
      </w:pPr>
      <w:r>
        <w:rPr>
          <w:rFonts w:hint="eastAsia" w:ascii="宋体" w:hAnsi="宋体" w:eastAsia="宋体" w:cs="宋体"/>
          <w:color w:val="auto"/>
          <w:highlight w:val="none"/>
        </w:rPr>
        <w:t xml:space="preserve">第二部分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w:t>
      </w:r>
    </w:p>
    <w:p>
      <w:pPr>
        <w:pStyle w:val="6"/>
        <w:rPr>
          <w:rFonts w:ascii="宋体" w:hAnsi="宋体" w:eastAsia="宋体" w:cs="宋体"/>
          <w:color w:val="auto"/>
          <w:highlight w:val="none"/>
        </w:rPr>
      </w:pPr>
      <w:r>
        <w:rPr>
          <w:rFonts w:hint="eastAsia" w:ascii="宋体" w:hAnsi="宋体" w:eastAsia="宋体" w:cs="宋体"/>
          <w:color w:val="auto"/>
          <w:highlight w:val="none"/>
        </w:rPr>
        <w:t>前附表</w:t>
      </w:r>
    </w:p>
    <w:tbl>
      <w:tblPr>
        <w:tblStyle w:val="36"/>
        <w:tblW w:w="52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746"/>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0"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967"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事项</w:t>
            </w:r>
          </w:p>
        </w:tc>
        <w:tc>
          <w:tcPr>
            <w:tcW w:w="3733"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00"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967"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项目属性与核心产品</w:t>
            </w:r>
          </w:p>
        </w:tc>
        <w:tc>
          <w:tcPr>
            <w:tcW w:w="3733" w:type="pct"/>
            <w:vAlign w:val="center"/>
          </w:tcPr>
          <w:p>
            <w:pPr>
              <w:spacing w:after="0"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)A货物类，单一产品或核心产品为：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after="0"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300"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967"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采购标的对应的中小企业划分标准所属行业</w:t>
            </w:r>
          </w:p>
        </w:tc>
        <w:tc>
          <w:tcPr>
            <w:tcW w:w="3733" w:type="pct"/>
            <w:vAlign w:val="center"/>
          </w:tcPr>
          <w:p>
            <w:pPr>
              <w:spacing w:after="0" w:line="360" w:lineRule="exact"/>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（1）标的：</w:t>
            </w:r>
            <w:r>
              <w:rPr>
                <w:rFonts w:hint="eastAsia" w:ascii="宋体" w:eastAsia="宋体"/>
                <w:color w:val="auto"/>
                <w:sz w:val="22"/>
                <w:szCs w:val="22"/>
                <w:highlight w:val="none"/>
                <w:u w:val="single"/>
                <w:lang w:eastAsia="zh-CN"/>
              </w:rPr>
              <w:t>浦阳江流域一线堤防白蚁防治项目</w:t>
            </w:r>
            <w:r>
              <w:rPr>
                <w:rFonts w:hint="eastAsia" w:ascii="宋体" w:hAnsi="宋体" w:eastAsia="宋体" w:cs="宋体"/>
                <w:bCs/>
                <w:color w:val="auto"/>
                <w:sz w:val="22"/>
                <w:szCs w:val="22"/>
                <w:highlight w:val="none"/>
              </w:rPr>
              <w:t>，属于</w:t>
            </w:r>
            <w:r>
              <w:rPr>
                <w:rFonts w:hint="eastAsia" w:ascii="宋体" w:hAnsi="宋体" w:eastAsia="宋体" w:cs="宋体"/>
                <w:bCs/>
                <w:color w:val="auto"/>
                <w:sz w:val="22"/>
                <w:szCs w:val="22"/>
                <w:highlight w:val="none"/>
                <w:u w:val="single"/>
              </w:rPr>
              <w:t>其他未列明</w:t>
            </w:r>
            <w:r>
              <w:rPr>
                <w:rFonts w:hint="eastAsia" w:ascii="宋体" w:hAnsi="宋体" w:eastAsia="宋体" w:cs="宋体"/>
                <w:bCs/>
                <w:color w:val="auto"/>
                <w:sz w:val="22"/>
                <w:szCs w:val="22"/>
                <w:highlight w:val="none"/>
              </w:rPr>
              <w:t>行业；</w:t>
            </w:r>
          </w:p>
          <w:p>
            <w:pPr>
              <w:spacing w:after="0" w:line="360" w:lineRule="exact"/>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行业划分标准：</w:t>
            </w:r>
          </w:p>
          <w:p>
            <w:pPr>
              <w:spacing w:after="0" w:line="360" w:lineRule="exact"/>
              <w:rPr>
                <w:rFonts w:ascii="宋体" w:hAnsi="宋体" w:eastAsia="宋体" w:cs="宋体"/>
                <w:color w:val="auto"/>
                <w:sz w:val="22"/>
                <w:szCs w:val="22"/>
                <w:highlight w:val="none"/>
              </w:rPr>
            </w:pPr>
            <w:r>
              <w:rPr>
                <w:rFonts w:hint="eastAsia" w:ascii="宋体" w:hAnsi="宋体" w:eastAsia="宋体" w:cs="宋体"/>
                <w:bCs/>
                <w:color w:val="auto"/>
                <w:sz w:val="22"/>
                <w:szCs w:val="22"/>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0"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967"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是否允许采购进口产品</w:t>
            </w:r>
          </w:p>
        </w:tc>
        <w:tc>
          <w:tcPr>
            <w:tcW w:w="3733" w:type="pct"/>
            <w:vAlign w:val="center"/>
          </w:tcPr>
          <w:p>
            <w:pPr>
              <w:spacing w:after="0" w:line="360" w:lineRule="exact"/>
              <w:rPr>
                <w:rFonts w:ascii="宋体" w:hAnsi="宋体" w:eastAsia="宋体" w:cs="宋体"/>
                <w:color w:val="auto"/>
                <w:sz w:val="22"/>
                <w:szCs w:val="22"/>
                <w:highlight w:val="none"/>
              </w:rPr>
            </w:pPr>
            <w:r>
              <w:rPr>
                <w:rFonts w:hint="eastAsia" w:ascii="宋体" w:hAnsi="宋体" w:eastAsia="宋体" w:cs="宋体"/>
                <w:bCs/>
                <w:color w:val="auto"/>
                <w:sz w:val="22"/>
                <w:szCs w:val="2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00"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967"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分包</w:t>
            </w:r>
          </w:p>
        </w:tc>
        <w:tc>
          <w:tcPr>
            <w:tcW w:w="3733" w:type="pct"/>
            <w:vAlign w:val="center"/>
          </w:tcPr>
          <w:p>
            <w:pPr>
              <w:spacing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00"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967"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lang w:val="en-US" w:eastAsia="zh-CN"/>
              </w:rPr>
              <w:t>交易</w:t>
            </w:r>
            <w:r>
              <w:rPr>
                <w:rFonts w:hint="eastAsia" w:ascii="宋体" w:hAnsi="宋体" w:eastAsia="宋体" w:cs="宋体"/>
                <w:b/>
                <w:color w:val="auto"/>
                <w:sz w:val="22"/>
                <w:szCs w:val="22"/>
                <w:highlight w:val="none"/>
              </w:rPr>
              <w:t>前答疑会或现场考察</w:t>
            </w:r>
          </w:p>
        </w:tc>
        <w:tc>
          <w:tcPr>
            <w:tcW w:w="3733" w:type="pct"/>
            <w:vAlign w:val="center"/>
          </w:tcPr>
          <w:p>
            <w:pPr>
              <w:spacing w:after="0"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00"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967"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样品提供</w:t>
            </w:r>
          </w:p>
        </w:tc>
        <w:tc>
          <w:tcPr>
            <w:tcW w:w="3733" w:type="pct"/>
            <w:vAlign w:val="center"/>
          </w:tcPr>
          <w:p>
            <w:pPr>
              <w:spacing w:after="0" w:line="360" w:lineRule="exact"/>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967"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方案讲解演示</w:t>
            </w:r>
          </w:p>
        </w:tc>
        <w:tc>
          <w:tcPr>
            <w:tcW w:w="3733" w:type="pct"/>
            <w:vAlign w:val="center"/>
          </w:tcPr>
          <w:p>
            <w:pPr>
              <w:spacing w:after="0" w:line="360" w:lineRule="exact"/>
              <w:rPr>
                <w:rFonts w:ascii="宋体" w:hAnsi="宋体" w:eastAsia="宋体" w:cs="宋体"/>
                <w:color w:val="auto"/>
                <w:sz w:val="22"/>
                <w:szCs w:val="22"/>
                <w:highlight w:val="none"/>
              </w:rPr>
            </w:pPr>
            <w:r>
              <w:rPr>
                <w:rFonts w:hint="eastAsia" w:ascii="宋体" w:hAnsi="宋体" w:eastAsia="宋体" w:cs="宋体"/>
                <w:bCs/>
                <w:color w:val="auto"/>
                <w:sz w:val="22"/>
                <w:szCs w:val="22"/>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00"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967"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lang w:eastAsia="zh-CN"/>
              </w:rPr>
              <w:t>供应商</w:t>
            </w:r>
            <w:r>
              <w:rPr>
                <w:rFonts w:hint="eastAsia" w:ascii="宋体" w:hAnsi="宋体" w:eastAsia="宋体" w:cs="宋体"/>
                <w:b/>
                <w:color w:val="auto"/>
                <w:sz w:val="22"/>
                <w:szCs w:val="22"/>
                <w:highlight w:val="none"/>
              </w:rPr>
              <w:t>应当提供的资格、资信证明文件</w:t>
            </w:r>
          </w:p>
        </w:tc>
        <w:tc>
          <w:tcPr>
            <w:tcW w:w="3733" w:type="pct"/>
            <w:vAlign w:val="center"/>
          </w:tcPr>
          <w:p>
            <w:pPr>
              <w:spacing w:after="0"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（1）资格证明文件：见</w:t>
            </w:r>
            <w:r>
              <w:rPr>
                <w:rFonts w:hint="eastAsia" w:ascii="宋体" w:hAnsi="宋体" w:eastAsia="宋体" w:cs="宋体"/>
                <w:color w:val="auto"/>
                <w:sz w:val="22"/>
                <w:szCs w:val="22"/>
                <w:highlight w:val="none"/>
                <w:lang w:eastAsia="zh-CN"/>
              </w:rPr>
              <w:t>交易文件</w:t>
            </w:r>
            <w:r>
              <w:rPr>
                <w:rFonts w:hint="eastAsia" w:ascii="宋体" w:hAnsi="宋体" w:eastAsia="宋体" w:cs="宋体"/>
                <w:color w:val="auto"/>
                <w:sz w:val="22"/>
                <w:szCs w:val="22"/>
                <w:highlight w:val="none"/>
              </w:rPr>
              <w:t>第二部分11.1。</w:t>
            </w:r>
          </w:p>
          <w:p>
            <w:pPr>
              <w:spacing w:after="0" w:line="360" w:lineRule="exact"/>
              <w:rPr>
                <w:rFonts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供应商未提供有效的资格证明文件的，视为供应商不具备交易文件中规定的资格要求，</w:t>
            </w:r>
            <w:r>
              <w:rPr>
                <w:rFonts w:hint="eastAsia" w:ascii="宋体" w:hAnsi="宋体" w:eastAsia="宋体" w:cs="宋体"/>
                <w:color w:val="auto"/>
                <w:sz w:val="22"/>
                <w:szCs w:val="22"/>
                <w:highlight w:val="none"/>
                <w:lang w:val="en-US" w:eastAsia="zh-CN"/>
              </w:rPr>
              <w:t>交易</w:t>
            </w:r>
            <w:r>
              <w:rPr>
                <w:rFonts w:hint="eastAsia" w:ascii="宋体" w:hAnsi="宋体" w:eastAsia="宋体" w:cs="宋体"/>
                <w:color w:val="auto"/>
                <w:sz w:val="22"/>
                <w:szCs w:val="22"/>
                <w:highlight w:val="none"/>
                <w:lang w:val="zh-CN"/>
              </w:rPr>
              <w:t>无效。</w:t>
            </w:r>
          </w:p>
          <w:p>
            <w:pPr>
              <w:spacing w:after="0"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（2）资信证明文件：根据</w:t>
            </w:r>
            <w:r>
              <w:rPr>
                <w:rFonts w:hint="eastAsia" w:ascii="宋体" w:hAnsi="宋体" w:eastAsia="宋体" w:cs="宋体"/>
                <w:color w:val="auto"/>
                <w:sz w:val="22"/>
                <w:szCs w:val="22"/>
                <w:highlight w:val="none"/>
                <w:lang w:eastAsia="zh-CN"/>
              </w:rPr>
              <w:t>交易文件</w:t>
            </w:r>
            <w:r>
              <w:rPr>
                <w:rFonts w:hint="eastAsia" w:ascii="宋体" w:hAnsi="宋体" w:eastAsia="宋体" w:cs="宋体"/>
                <w:color w:val="auto"/>
                <w:sz w:val="22"/>
                <w:szCs w:val="22"/>
                <w:highlight w:val="none"/>
              </w:rPr>
              <w:t>第四部分评</w:t>
            </w:r>
            <w:r>
              <w:rPr>
                <w:rFonts w:hint="eastAsia" w:ascii="宋体" w:hAnsi="宋体" w:eastAsia="宋体" w:cs="宋体"/>
                <w:color w:val="auto"/>
                <w:sz w:val="22"/>
                <w:szCs w:val="22"/>
                <w:highlight w:val="none"/>
                <w:lang w:val="en-US" w:eastAsia="zh-CN"/>
              </w:rPr>
              <w:t>审</w:t>
            </w:r>
            <w:r>
              <w:rPr>
                <w:rFonts w:hint="eastAsia" w:ascii="宋体" w:hAnsi="宋体" w:eastAsia="宋体" w:cs="宋体"/>
                <w:color w:val="auto"/>
                <w:sz w:val="22"/>
                <w:szCs w:val="22"/>
                <w:highlight w:val="none"/>
              </w:rPr>
              <w:t>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00"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967"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报价要求</w:t>
            </w:r>
          </w:p>
        </w:tc>
        <w:tc>
          <w:tcPr>
            <w:tcW w:w="3733" w:type="pct"/>
            <w:vAlign w:val="center"/>
          </w:tcPr>
          <w:p>
            <w:pPr>
              <w:spacing w:after="0" w:line="360" w:lineRule="exact"/>
              <w:ind w:firstLine="440" w:firstLineChars="200"/>
              <w:rPr>
                <w:rFonts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有关本项目实施所需的所有费用（含税费）均计入报价。</w:t>
            </w:r>
            <w:r>
              <w:rPr>
                <w:rFonts w:hint="eastAsia" w:ascii="宋体" w:hAnsi="宋体" w:eastAsia="宋体" w:cs="宋体"/>
                <w:bCs/>
                <w:color w:val="auto"/>
                <w:sz w:val="22"/>
                <w:szCs w:val="22"/>
                <w:highlight w:val="none"/>
                <w:lang w:eastAsia="zh-CN"/>
              </w:rPr>
              <w:t>交易一览表</w:t>
            </w:r>
            <w:r>
              <w:rPr>
                <w:rFonts w:hint="eastAsia" w:ascii="宋体" w:hAnsi="宋体" w:eastAsia="宋体" w:cs="宋体"/>
                <w:bCs/>
                <w:color w:val="auto"/>
                <w:sz w:val="22"/>
                <w:szCs w:val="22"/>
                <w:highlight w:val="none"/>
              </w:rPr>
              <w:t>（报价表）是报价的唯一载体</w:t>
            </w:r>
            <w:r>
              <w:rPr>
                <w:rFonts w:hint="eastAsia" w:ascii="宋体" w:hAnsi="宋体" w:eastAsia="宋体" w:cs="宋体"/>
                <w:bCs/>
                <w:color w:val="auto"/>
                <w:sz w:val="22"/>
                <w:szCs w:val="22"/>
                <w:highlight w:val="none"/>
                <w:lang w:val="zh-CN"/>
              </w:rPr>
              <w:t>。响应文件中价格全部采用人民币报价。交易文件未列明，而供应商认为必需的费用也需列入报价。</w:t>
            </w:r>
          </w:p>
          <w:p>
            <w:pPr>
              <w:spacing w:after="0" w:line="360" w:lineRule="exact"/>
              <w:rPr>
                <w:rFonts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响应报价出现下列情形的，</w:t>
            </w:r>
            <w:r>
              <w:rPr>
                <w:rFonts w:hint="eastAsia" w:ascii="宋体" w:hAnsi="宋体" w:eastAsia="宋体" w:cs="宋体"/>
                <w:bCs/>
                <w:color w:val="auto"/>
                <w:sz w:val="22"/>
                <w:szCs w:val="22"/>
                <w:highlight w:val="none"/>
                <w:lang w:val="en-US" w:eastAsia="zh-CN"/>
              </w:rPr>
              <w:t>交易</w:t>
            </w:r>
            <w:r>
              <w:rPr>
                <w:rFonts w:hint="eastAsia" w:ascii="宋体" w:hAnsi="宋体" w:eastAsia="宋体" w:cs="宋体"/>
                <w:bCs/>
                <w:color w:val="auto"/>
                <w:sz w:val="22"/>
                <w:szCs w:val="22"/>
                <w:highlight w:val="none"/>
                <w:lang w:val="zh-CN"/>
              </w:rPr>
              <w:t>无效：</w:t>
            </w:r>
          </w:p>
          <w:p>
            <w:pPr>
              <w:spacing w:after="0" w:line="360" w:lineRule="exact"/>
              <w:ind w:firstLine="440" w:firstLineChars="200"/>
              <w:rPr>
                <w:rFonts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响应文件出现不是唯一的、有选择性响应报价的；</w:t>
            </w:r>
          </w:p>
          <w:p>
            <w:pPr>
              <w:spacing w:after="0" w:line="360" w:lineRule="exact"/>
              <w:ind w:firstLine="440" w:firstLineChars="200"/>
              <w:rPr>
                <w:rFonts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响应报价超过交易文件中规定的预算金额或者最高限价的;</w:t>
            </w:r>
          </w:p>
          <w:p>
            <w:pPr>
              <w:spacing w:after="0" w:line="360" w:lineRule="exact"/>
              <w:ind w:firstLine="440" w:firstLineChars="200"/>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报价明显低于其他通过符合性审查</w:t>
            </w:r>
            <w:r>
              <w:rPr>
                <w:rFonts w:hint="eastAsia" w:ascii="宋体" w:hAnsi="宋体" w:eastAsia="宋体" w:cs="宋体"/>
                <w:bCs/>
                <w:color w:val="auto"/>
                <w:sz w:val="22"/>
                <w:szCs w:val="22"/>
                <w:highlight w:val="none"/>
                <w:lang w:eastAsia="zh-CN"/>
              </w:rPr>
              <w:t>供应商</w:t>
            </w:r>
            <w:r>
              <w:rPr>
                <w:rFonts w:hint="eastAsia" w:ascii="宋体" w:hAnsi="宋体" w:eastAsia="宋体" w:cs="宋体"/>
                <w:bCs/>
                <w:color w:val="auto"/>
                <w:sz w:val="22"/>
                <w:szCs w:val="22"/>
                <w:highlight w:val="none"/>
              </w:rPr>
              <w:t>的报价，有可能影响产品质量或者不能诚信履约的，未能按要求提供书面说明或者提交相关证明材料证明其报价合理性的;</w:t>
            </w:r>
          </w:p>
          <w:p>
            <w:pPr>
              <w:spacing w:after="0" w:line="360" w:lineRule="exact"/>
              <w:ind w:firstLine="440" w:firstLineChars="200"/>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供应商</w:t>
            </w:r>
            <w:r>
              <w:rPr>
                <w:rFonts w:hint="eastAsia" w:ascii="宋体" w:hAnsi="宋体" w:eastAsia="宋体" w:cs="宋体"/>
                <w:bCs/>
                <w:color w:val="auto"/>
                <w:sz w:val="22"/>
                <w:szCs w:val="22"/>
                <w:highlight w:val="none"/>
              </w:rPr>
              <w:t>对根据修正原则修正后的报价不确认的。</w:t>
            </w:r>
          </w:p>
          <w:p>
            <w:pPr>
              <w:spacing w:after="0" w:line="360" w:lineRule="exact"/>
              <w:ind w:firstLine="440" w:firstLineChars="200"/>
              <w:rPr>
                <w:rFonts w:ascii="宋体" w:hAnsi="宋体" w:eastAsia="宋体" w:cs="宋体"/>
                <w:color w:val="auto"/>
                <w:sz w:val="22"/>
                <w:szCs w:val="22"/>
                <w:highlight w:val="none"/>
              </w:rPr>
            </w:pPr>
            <w:r>
              <w:rPr>
                <w:rFonts w:hint="eastAsia" w:ascii="宋体" w:hAnsi="宋体" w:eastAsia="宋体" w:cs="宋体"/>
                <w:bCs/>
                <w:color w:val="auto"/>
                <w:sz w:val="22"/>
                <w:szCs w:val="22"/>
                <w:highlight w:val="none"/>
              </w:rPr>
              <w:t>资格文件、商务技术文件与报价文件未分开制作。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00"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967" w:type="pct"/>
            <w:vAlign w:val="center"/>
          </w:tcPr>
          <w:p>
            <w:pPr>
              <w:spacing w:after="0"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b/>
                <w:color w:val="auto"/>
                <w:sz w:val="22"/>
                <w:szCs w:val="22"/>
                <w:highlight w:val="none"/>
              </w:rPr>
              <w:t>备份</w:t>
            </w:r>
            <w:r>
              <w:rPr>
                <w:rFonts w:hint="eastAsia" w:ascii="宋体" w:hAnsi="宋体" w:eastAsia="宋体" w:cs="宋体"/>
                <w:b/>
                <w:color w:val="auto"/>
                <w:sz w:val="22"/>
                <w:szCs w:val="22"/>
                <w:highlight w:val="none"/>
                <w:lang w:eastAsia="zh-CN"/>
              </w:rPr>
              <w:t>响应文件</w:t>
            </w:r>
          </w:p>
        </w:tc>
        <w:tc>
          <w:tcPr>
            <w:tcW w:w="3733" w:type="pct"/>
            <w:vAlign w:val="center"/>
          </w:tcPr>
          <w:p>
            <w:pPr>
              <w:spacing w:after="0" w:line="360" w:lineRule="exact"/>
              <w:rPr>
                <w:rFonts w:ascii="宋体" w:hAnsi="宋体" w:eastAsia="宋体" w:cs="宋体"/>
                <w:color w:val="auto"/>
                <w:sz w:val="22"/>
                <w:szCs w:val="22"/>
                <w:highlight w:val="none"/>
              </w:rPr>
            </w:pPr>
            <w:r>
              <w:rPr>
                <w:rFonts w:hint="eastAsia" w:ascii="宋体" w:hAnsi="宋体" w:eastAsia="宋体" w:cs="宋体"/>
                <w:color w:val="auto"/>
                <w:kern w:val="28"/>
                <w:sz w:val="22"/>
                <w:szCs w:val="22"/>
                <w:highlight w:val="none"/>
              </w:rPr>
              <w:t>备份文件是否收取：不收取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300"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967"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采购机构代理费用</w:t>
            </w:r>
          </w:p>
        </w:tc>
        <w:tc>
          <w:tcPr>
            <w:tcW w:w="3733" w:type="pct"/>
            <w:vAlign w:val="center"/>
          </w:tcPr>
          <w:p>
            <w:pPr>
              <w:spacing w:after="0" w:line="360" w:lineRule="exact"/>
              <w:rPr>
                <w:rFonts w:hint="eastAsia" w:ascii="宋体" w:hAnsi="宋体" w:eastAsia="宋体" w:cs="宋体"/>
                <w:b w:val="0"/>
                <w:bCs/>
                <w:color w:val="auto"/>
                <w:kern w:val="0"/>
                <w:sz w:val="22"/>
                <w:szCs w:val="22"/>
                <w:highlight w:val="none"/>
                <w:lang w:val="en-US" w:eastAsia="zh-CN"/>
              </w:rPr>
            </w:pPr>
            <w:r>
              <w:rPr>
                <w:rFonts w:hint="eastAsia" w:ascii="宋体" w:hAnsi="宋体" w:eastAsia="宋体" w:cs="宋体"/>
                <w:b w:val="0"/>
                <w:bCs/>
                <w:color w:val="auto"/>
                <w:kern w:val="0"/>
                <w:sz w:val="22"/>
                <w:szCs w:val="22"/>
                <w:highlight w:val="none"/>
                <w:lang w:eastAsia="zh-CN"/>
              </w:rPr>
              <w:t>采购人支付。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0"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967"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履约保证金</w:t>
            </w:r>
          </w:p>
        </w:tc>
        <w:tc>
          <w:tcPr>
            <w:tcW w:w="3733" w:type="pct"/>
            <w:vAlign w:val="center"/>
          </w:tcPr>
          <w:p>
            <w:pPr>
              <w:pStyle w:val="21"/>
              <w:widowControl/>
              <w:adjustRightInd/>
              <w:spacing w:line="360" w:lineRule="exact"/>
              <w:ind w:hanging="4"/>
              <w:rPr>
                <w:rFonts w:hAnsi="宋体" w:cs="宋体"/>
                <w:color w:val="auto"/>
                <w:sz w:val="22"/>
                <w:szCs w:val="22"/>
                <w:highlight w:val="none"/>
              </w:rPr>
            </w:pPr>
            <w:r>
              <w:rPr>
                <w:rFonts w:hint="eastAsia" w:hAnsi="宋体" w:cs="宋体"/>
                <w:color w:val="auto"/>
                <w:sz w:val="22"/>
                <w:szCs w:val="22"/>
                <w:highlight w:val="none"/>
              </w:rPr>
              <w:t>履约保证金：收取1%，合同签订后支付，履约完成后无息退还。</w:t>
            </w:r>
          </w:p>
          <w:p>
            <w:pPr>
              <w:spacing w:after="0"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0"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967"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资格审查和信用信息审查</w:t>
            </w:r>
          </w:p>
        </w:tc>
        <w:tc>
          <w:tcPr>
            <w:tcW w:w="3733" w:type="pct"/>
            <w:vAlign w:val="center"/>
          </w:tcPr>
          <w:p>
            <w:pPr>
              <w:spacing w:after="0"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trPr>
        <w:tc>
          <w:tcPr>
            <w:tcW w:w="300"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967"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质疑接收人及答复</w:t>
            </w:r>
          </w:p>
        </w:tc>
        <w:tc>
          <w:tcPr>
            <w:tcW w:w="3733" w:type="pct"/>
            <w:vAlign w:val="center"/>
          </w:tcPr>
          <w:p>
            <w:pPr>
              <w:spacing w:after="0"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采购人质疑接收人：</w:t>
            </w:r>
            <w:r>
              <w:rPr>
                <w:rFonts w:hint="eastAsia" w:ascii="宋体" w:hAnsi="宋体" w:eastAsia="宋体" w:cs="宋体"/>
                <w:color w:val="auto"/>
                <w:sz w:val="22"/>
                <w:szCs w:val="22"/>
                <w:highlight w:val="none"/>
                <w:u w:val="single"/>
                <w:lang w:val="en-US" w:eastAsia="zh-CN"/>
              </w:rPr>
              <w:t xml:space="preserve"> 周玲娜 </w:t>
            </w:r>
            <w:r>
              <w:rPr>
                <w:rFonts w:hint="eastAsia" w:ascii="宋体" w:hAnsi="宋体" w:eastAsia="宋体" w:cs="宋体"/>
                <w:color w:val="auto"/>
                <w:sz w:val="22"/>
                <w:szCs w:val="22"/>
                <w:highlight w:val="none"/>
              </w:rPr>
              <w:t xml:space="preserve"> 联系方式：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0571-82485635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u w:val="single"/>
                <w:lang w:val="en-US" w:eastAsia="zh-CN"/>
              </w:rPr>
              <w:t xml:space="preserve">萧山区临浦镇人民路28号  </w:t>
            </w:r>
            <w:r>
              <w:rPr>
                <w:rFonts w:hint="eastAsia" w:ascii="宋体" w:hAnsi="宋体" w:eastAsia="宋体" w:cs="宋体"/>
                <w:color w:val="auto"/>
                <w:sz w:val="22"/>
                <w:szCs w:val="22"/>
                <w:highlight w:val="none"/>
              </w:rPr>
              <w:t>邮箱：</w:t>
            </w:r>
            <w:r>
              <w:rPr>
                <w:rFonts w:hint="eastAsia" w:ascii="宋体" w:hAnsi="宋体" w:eastAsia="宋体" w:cs="宋体"/>
                <w:color w:val="auto"/>
                <w:sz w:val="22"/>
                <w:szCs w:val="22"/>
                <w:highlight w:val="none"/>
                <w:u w:val="single"/>
                <w:lang w:val="en-US" w:eastAsia="zh-CN"/>
              </w:rPr>
              <w:t>379789901@qq.com</w:t>
            </w:r>
          </w:p>
          <w:p>
            <w:pP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采购机构质疑接收人：</w:t>
            </w:r>
            <w:r>
              <w:rPr>
                <w:rFonts w:hint="eastAsia" w:ascii="宋体" w:hAnsi="宋体" w:eastAsia="宋体" w:cs="宋体"/>
                <w:color w:val="auto"/>
                <w:sz w:val="22"/>
                <w:szCs w:val="22"/>
                <w:highlight w:val="none"/>
                <w:u w:val="single"/>
                <w:lang w:eastAsia="zh-CN"/>
              </w:rPr>
              <w:t>吴嘉禾</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联系方式：</w:t>
            </w:r>
            <w:r>
              <w:rPr>
                <w:rFonts w:hint="eastAsia" w:ascii="宋体" w:hAnsi="宋体" w:eastAsia="宋体" w:cs="宋体"/>
                <w:color w:val="auto"/>
                <w:sz w:val="22"/>
                <w:szCs w:val="22"/>
                <w:highlight w:val="none"/>
                <w:u w:val="single"/>
              </w:rPr>
              <w:t xml:space="preserve"> 0571-</w:t>
            </w:r>
            <w:r>
              <w:rPr>
                <w:rFonts w:hint="eastAsia" w:ascii="宋体" w:hAnsi="宋体" w:eastAsia="宋体" w:cs="宋体"/>
                <w:color w:val="auto"/>
                <w:sz w:val="22"/>
                <w:szCs w:val="22"/>
                <w:highlight w:val="none"/>
                <w:u w:val="single"/>
                <w:lang w:val="en-US" w:eastAsia="zh-CN"/>
              </w:rPr>
              <w:t>82838566</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u w:val="single"/>
                <w:lang w:val="en-US" w:eastAsia="zh-CN"/>
              </w:rPr>
              <w:t xml:space="preserve">萧山区盈丰街道民和路481号联合中心1幢602室 </w:t>
            </w:r>
            <w:r>
              <w:rPr>
                <w:rFonts w:hint="eastAsia" w:ascii="宋体" w:hAnsi="宋体" w:eastAsia="宋体" w:cs="宋体"/>
                <w:color w:val="auto"/>
                <w:sz w:val="22"/>
                <w:szCs w:val="22"/>
                <w:highlight w:val="none"/>
              </w:rPr>
              <w:t>邮箱：</w:t>
            </w:r>
            <w:r>
              <w:rPr>
                <w:rFonts w:hint="eastAsia" w:ascii="宋体" w:hAnsi="宋体" w:eastAsia="宋体" w:cs="宋体"/>
                <w:color w:val="auto"/>
                <w:sz w:val="22"/>
                <w:szCs w:val="22"/>
                <w:highlight w:val="none"/>
                <w:u w:val="single"/>
                <w:lang w:val="en-US" w:eastAsia="zh-CN"/>
              </w:rPr>
              <w:t>5172807316</w:t>
            </w:r>
            <w:r>
              <w:rPr>
                <w:rFonts w:hint="eastAsia" w:ascii="宋体" w:hAnsi="宋体" w:eastAsia="宋体" w:cs="宋体"/>
                <w:color w:val="auto"/>
                <w:sz w:val="22"/>
                <w:szCs w:val="22"/>
                <w:highlight w:val="none"/>
                <w:u w:val="single"/>
              </w:rPr>
              <w:t>@qq.com</w:t>
            </w:r>
            <w:r>
              <w:rPr>
                <w:rFonts w:hint="eastAsia" w:ascii="宋体" w:hAnsi="宋体" w:eastAsia="宋体" w:cs="宋体"/>
                <w:color w:val="auto"/>
                <w:sz w:val="22"/>
                <w:szCs w:val="22"/>
                <w:highlight w:val="none"/>
              </w:rPr>
              <w:t xml:space="preserve">  </w:t>
            </w:r>
          </w:p>
          <w:p>
            <w:pPr>
              <w:spacing w:after="0" w:line="360" w:lineRule="exact"/>
              <w:rPr>
                <w:color w:val="auto"/>
                <w:sz w:val="22"/>
                <w:szCs w:val="22"/>
                <w:highlight w:val="none"/>
              </w:rPr>
            </w:pPr>
            <w:r>
              <w:rPr>
                <w:rFonts w:hint="eastAsia" w:ascii="宋体" w:hAnsi="宋体" w:eastAsia="宋体" w:cs="宋体"/>
                <w:color w:val="auto"/>
                <w:sz w:val="22"/>
                <w:szCs w:val="22"/>
                <w:highlight w:val="none"/>
              </w:rPr>
              <w:t>如通过邮箱方式发送质疑，须提交符合法规及</w:t>
            </w:r>
            <w:r>
              <w:rPr>
                <w:rFonts w:hint="eastAsia" w:ascii="宋体" w:hAnsi="宋体" w:eastAsia="宋体" w:cs="宋体"/>
                <w:color w:val="auto"/>
                <w:sz w:val="22"/>
                <w:szCs w:val="22"/>
                <w:highlight w:val="none"/>
                <w:lang w:eastAsia="zh-CN"/>
              </w:rPr>
              <w:t>交易文件</w:t>
            </w:r>
            <w:r>
              <w:rPr>
                <w:rFonts w:hint="eastAsia" w:ascii="宋体" w:hAnsi="宋体" w:eastAsia="宋体" w:cs="宋体"/>
                <w:color w:val="auto"/>
                <w:sz w:val="22"/>
                <w:szCs w:val="22"/>
                <w:highlight w:val="none"/>
              </w:rPr>
              <w:t>要求的质疑文件（参考附件2），盖章扫描后发送，质疑的受理按答复主体划分以采购人或采购机构邮箱回复确认受理为准。</w:t>
            </w:r>
          </w:p>
          <w:p>
            <w:pPr>
              <w:spacing w:after="0"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本项目涉及资格条件、采购需求、评分办法及采购过程中有关现场考察或</w:t>
            </w:r>
            <w:r>
              <w:rPr>
                <w:rFonts w:hint="eastAsia" w:ascii="宋体" w:hAnsi="宋体" w:eastAsia="宋体" w:cs="宋体"/>
                <w:color w:val="auto"/>
                <w:sz w:val="22"/>
                <w:szCs w:val="22"/>
                <w:highlight w:val="none"/>
                <w:lang w:val="en-US" w:eastAsia="zh-CN"/>
              </w:rPr>
              <w:t>交易</w:t>
            </w:r>
            <w:r>
              <w:rPr>
                <w:rFonts w:hint="eastAsia" w:ascii="宋体" w:hAnsi="宋体" w:eastAsia="宋体" w:cs="宋体"/>
                <w:color w:val="auto"/>
                <w:sz w:val="22"/>
                <w:szCs w:val="22"/>
                <w:highlight w:val="none"/>
              </w:rPr>
              <w:t>前答疑会事项由采购人进行答复。</w:t>
            </w:r>
          </w:p>
          <w:p>
            <w:pPr>
              <w:spacing w:after="0" w:line="36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300"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967" w:type="pct"/>
            <w:vAlign w:val="center"/>
          </w:tcPr>
          <w:p>
            <w:pPr>
              <w:spacing w:after="0" w:line="360" w:lineRule="exact"/>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特别说明</w:t>
            </w:r>
          </w:p>
        </w:tc>
        <w:tc>
          <w:tcPr>
            <w:tcW w:w="3733" w:type="pct"/>
            <w:vAlign w:val="center"/>
          </w:tcPr>
          <w:p>
            <w:pPr>
              <w:spacing w:after="0" w:line="360" w:lineRule="exact"/>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本项目通用总则条款与前附表等专用特别规定有冲突之处，以专用条款（特别规定）为准</w:t>
            </w:r>
          </w:p>
        </w:tc>
      </w:tr>
    </w:tbl>
    <w:p>
      <w:pPr>
        <w:rPr>
          <w:rFonts w:ascii="宋体" w:hAnsi="宋体" w:eastAsia="宋体" w:cs="宋体"/>
          <w:color w:val="auto"/>
          <w:highlight w:val="none"/>
        </w:rPr>
      </w:pPr>
    </w:p>
    <w:p>
      <w:pPr>
        <w:spacing w:line="276" w:lineRule="auto"/>
        <w:rPr>
          <w:rFonts w:ascii="宋体" w:hAnsi="宋体" w:eastAsia="宋体" w:cs="宋体"/>
          <w:color w:val="auto"/>
          <w:highlight w:val="none"/>
        </w:rPr>
      </w:pPr>
      <w:r>
        <w:rPr>
          <w:rFonts w:hint="eastAsia" w:ascii="宋体" w:hAnsi="宋体" w:eastAsia="宋体" w:cs="宋体"/>
          <w:color w:val="auto"/>
          <w:highlight w:val="none"/>
        </w:rPr>
        <w:br w:type="page"/>
      </w:r>
    </w:p>
    <w:p>
      <w:pPr>
        <w:pStyle w:val="6"/>
        <w:rPr>
          <w:rFonts w:ascii="宋体" w:hAnsi="宋体" w:eastAsia="宋体" w:cs="宋体"/>
          <w:color w:val="auto"/>
          <w:highlight w:val="none"/>
        </w:rPr>
      </w:pPr>
      <w:r>
        <w:rPr>
          <w:rFonts w:hint="eastAsia" w:ascii="宋体" w:hAnsi="宋体" w:eastAsia="宋体" w:cs="宋体"/>
          <w:color w:val="auto"/>
          <w:highlight w:val="none"/>
        </w:rPr>
        <w:t>一、总则</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1. 适用范围</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本</w:t>
      </w:r>
      <w:r>
        <w:rPr>
          <w:rFonts w:hint="eastAsia" w:hAnsi="宋体" w:cs="宋体"/>
          <w:color w:val="auto"/>
          <w:sz w:val="24"/>
          <w:szCs w:val="24"/>
          <w:highlight w:val="none"/>
          <w:lang w:eastAsia="zh-CN"/>
        </w:rPr>
        <w:t>交易文件</w:t>
      </w:r>
      <w:r>
        <w:rPr>
          <w:rFonts w:hint="eastAsia" w:hAnsi="宋体" w:cs="宋体"/>
          <w:color w:val="auto"/>
          <w:sz w:val="24"/>
          <w:szCs w:val="24"/>
          <w:highlight w:val="none"/>
        </w:rPr>
        <w:t>适用于该项目的</w:t>
      </w:r>
      <w:r>
        <w:rPr>
          <w:rFonts w:hint="eastAsia" w:hAnsi="宋体" w:cs="宋体"/>
          <w:color w:val="auto"/>
          <w:sz w:val="24"/>
          <w:szCs w:val="24"/>
          <w:highlight w:val="none"/>
          <w:lang w:val="en-US" w:eastAsia="zh-CN"/>
        </w:rPr>
        <w:t>交易</w:t>
      </w:r>
      <w:r>
        <w:rPr>
          <w:rFonts w:hint="eastAsia" w:hAnsi="宋体" w:cs="宋体"/>
          <w:color w:val="auto"/>
          <w:sz w:val="24"/>
          <w:szCs w:val="24"/>
          <w:highlight w:val="none"/>
        </w:rPr>
        <w:t>、资格审查及信用信息查询、评</w:t>
      </w:r>
      <w:r>
        <w:rPr>
          <w:rFonts w:hint="eastAsia" w:hAnsi="宋体" w:cs="宋体"/>
          <w:color w:val="auto"/>
          <w:sz w:val="24"/>
          <w:szCs w:val="24"/>
          <w:highlight w:val="none"/>
          <w:lang w:val="en-US" w:eastAsia="zh-CN"/>
        </w:rPr>
        <w:t>审</w:t>
      </w:r>
      <w:r>
        <w:rPr>
          <w:rFonts w:hint="eastAsia" w:hAnsi="宋体" w:cs="宋体"/>
          <w:color w:val="auto"/>
          <w:sz w:val="24"/>
          <w:szCs w:val="24"/>
          <w:highlight w:val="none"/>
        </w:rPr>
        <w:t>、定标、合同、验收等行为（法律、法规另有规定的，从其规定）。</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2.定义</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2.1 “采购人”系指</w:t>
      </w:r>
      <w:r>
        <w:rPr>
          <w:rFonts w:hint="eastAsia" w:hAnsi="宋体" w:cs="宋体"/>
          <w:color w:val="auto"/>
          <w:sz w:val="24"/>
          <w:szCs w:val="24"/>
          <w:highlight w:val="none"/>
          <w:lang w:val="en-US" w:eastAsia="zh-CN"/>
        </w:rPr>
        <w:t>交易</w:t>
      </w:r>
      <w:r>
        <w:rPr>
          <w:rFonts w:hint="eastAsia" w:hAnsi="宋体" w:cs="宋体"/>
          <w:color w:val="auto"/>
          <w:sz w:val="24"/>
          <w:szCs w:val="24"/>
          <w:highlight w:val="none"/>
        </w:rPr>
        <w:t>公告中载明的本项目的采购人。</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2.2 “采购机构”系指</w:t>
      </w:r>
      <w:r>
        <w:rPr>
          <w:rFonts w:hint="eastAsia" w:hAnsi="宋体" w:cs="宋体"/>
          <w:color w:val="auto"/>
          <w:sz w:val="24"/>
          <w:szCs w:val="24"/>
          <w:highlight w:val="none"/>
          <w:lang w:val="en-US" w:eastAsia="zh-CN"/>
        </w:rPr>
        <w:t>交易</w:t>
      </w:r>
      <w:r>
        <w:rPr>
          <w:rFonts w:hint="eastAsia" w:hAnsi="宋体" w:cs="宋体"/>
          <w:color w:val="auto"/>
          <w:sz w:val="24"/>
          <w:szCs w:val="24"/>
          <w:highlight w:val="none"/>
        </w:rPr>
        <w:t>公告中载明的本项目的采购机构。</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2.3 “</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”系指是指响应</w:t>
      </w:r>
      <w:r>
        <w:rPr>
          <w:rFonts w:hint="eastAsia" w:hAnsi="宋体" w:cs="宋体"/>
          <w:color w:val="auto"/>
          <w:sz w:val="24"/>
          <w:szCs w:val="24"/>
          <w:highlight w:val="none"/>
          <w:lang w:val="en-US" w:eastAsia="zh-CN"/>
        </w:rPr>
        <w:t>交易</w:t>
      </w:r>
      <w:r>
        <w:rPr>
          <w:rFonts w:hint="eastAsia" w:hAnsi="宋体" w:cs="宋体"/>
          <w:color w:val="auto"/>
          <w:sz w:val="24"/>
          <w:szCs w:val="24"/>
          <w:highlight w:val="none"/>
        </w:rPr>
        <w:t>、参加</w:t>
      </w:r>
      <w:r>
        <w:rPr>
          <w:rFonts w:hint="eastAsia" w:hAnsi="宋体" w:cs="宋体"/>
          <w:color w:val="auto"/>
          <w:sz w:val="24"/>
          <w:szCs w:val="24"/>
          <w:highlight w:val="none"/>
          <w:lang w:val="en-US" w:eastAsia="zh-CN"/>
        </w:rPr>
        <w:t>交易</w:t>
      </w:r>
      <w:r>
        <w:rPr>
          <w:rFonts w:hint="eastAsia" w:hAnsi="宋体" w:cs="宋体"/>
          <w:color w:val="auto"/>
          <w:sz w:val="24"/>
          <w:szCs w:val="24"/>
          <w:highlight w:val="none"/>
        </w:rPr>
        <w:t>竞争的法人、其他组织或者自然人。</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2.4 “负责人”系指法人企业的法定负责人，或其他组织为法律、行政法规规定代表单位行使职权的主要负责人，或自然人本人。</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2.5“电子签名”系指数据电文中以电子形式所含、所附用于识别签名人身份并表明签名人认可其中内容的数据，</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电子签名指</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电子公章；“公章”系指单位法定名称章。因特殊原因需要使用冠以法定名称的业务专用章的，</w:t>
      </w:r>
      <w:r>
        <w:rPr>
          <w:rFonts w:hint="eastAsia" w:hAnsi="宋体" w:cs="宋体"/>
          <w:color w:val="auto"/>
          <w:sz w:val="24"/>
          <w:szCs w:val="24"/>
          <w:highlight w:val="none"/>
          <w:lang w:val="en-US" w:eastAsia="zh-CN"/>
        </w:rPr>
        <w:t>交易</w:t>
      </w:r>
      <w:r>
        <w:rPr>
          <w:rFonts w:hint="eastAsia" w:hAnsi="宋体" w:cs="宋体"/>
          <w:color w:val="auto"/>
          <w:sz w:val="24"/>
          <w:szCs w:val="24"/>
          <w:highlight w:val="none"/>
        </w:rPr>
        <w:t>时须提供《业务专用章使用说明函》（附件4）。</w:t>
      </w:r>
    </w:p>
    <w:p>
      <w:pPr>
        <w:pStyle w:val="21"/>
        <w:widowControl/>
        <w:adjustRightInd/>
        <w:spacing w:line="460" w:lineRule="exact"/>
        <w:ind w:hanging="6"/>
        <w:rPr>
          <w:rFonts w:hint="eastAsia" w:hAnsi="宋体" w:cs="宋体"/>
          <w:color w:val="auto"/>
          <w:sz w:val="24"/>
          <w:szCs w:val="24"/>
          <w:highlight w:val="none"/>
        </w:rPr>
      </w:pPr>
      <w:r>
        <w:rPr>
          <w:rFonts w:hint="eastAsia" w:hAnsi="宋体" w:cs="宋体"/>
          <w:color w:val="auto"/>
          <w:sz w:val="24"/>
          <w:szCs w:val="24"/>
          <w:highlight w:val="none"/>
        </w:rPr>
        <w:t>2.6“电子交易平台”是指本项目采购活动所依托的</w:t>
      </w:r>
      <w:r>
        <w:rPr>
          <w:rFonts w:hint="eastAsia" w:hAnsi="宋体" w:cs="宋体"/>
          <w:color w:val="auto"/>
          <w:sz w:val="24"/>
          <w:szCs w:val="24"/>
          <w:highlight w:val="none"/>
          <w:lang w:eastAsia="zh-CN"/>
        </w:rPr>
        <w:t>萧</w:t>
      </w:r>
      <w:r>
        <w:rPr>
          <w:rFonts w:hint="eastAsia" w:hAnsi="宋体" w:cs="宋体"/>
          <w:color w:val="auto"/>
          <w:sz w:val="24"/>
          <w:szCs w:val="24"/>
          <w:highlight w:val="none"/>
        </w:rPr>
        <w:t>采云平台（https://xsnbsc.lecaiyun.com/）。</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2.7 “▲” 系指实质性要求条款，“（√）” 系指适用本项目的要求，“（  ）”系指不适用本项目的要求。</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3. 采购项目需要落实的采购政策：</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3.2 支持绿色发展</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交易文件要求提供相关产品认证证书。▲采购人拟采购的产品属于政府强制采购的节能产品品目清单范围的，供应商未按交易文件要求提供国家确定的认证机构出具的、处于有效期之内的节能产品认证证书的，交易无效。</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3.2.2 修缮、装修类项目采购建材的，采购人应将绿色建筑和绿色建材性能、指标等作为实质性条件纳入交易文件和合同。</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3.2.3为助力打好污染防治攻坚战，推广使用绿色包装，采购货物、工程和服务项目中涉及商品包装和快递包装的，供应商提供产品及相关快递服务的具体包装要求要参考《商品包装政府采购需求标准（试行）》、《快递包装政府采购需求标准（试行）》。</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3.3支持中小企业发展</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符合中小企业划分标准的个体工商户，在采购活动中视同中小企业。</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3.3.2在采购活动中，供应商提供的货物、工程或者服务符合下列情形的，享受中小企业扶持政策：</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3.3.2.1在货物采购项目中，货物由中小企业制造，即货物由中小企业生产且使用该中小企业商号或者注册商标；</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3.3.2.2在工程采购项目中，工程由中小企业承建，即工程施工单位为中小企业；</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3.3.2.3在服务采购项目中，服务由中小企业承接，即提供服务的人员为中小企业依照《中华人民共和国劳动合同法》订立劳动合同的从业人员。</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在货物采购项目中，供应商提供的货物既有中小企业制造货物，也有大型企业制造货物的，不享受中小企业扶持政策。</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以联合体形式参加采购活动，联合体各方均为中小企业的，联合体视同中小企业。其中，联合体各方均为小微企业的，联合体视同小微企业。</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3.3.3对于未预留份额专门面向中小企业的采购货物或服务项目，以及预留份额采购货物或服务项目中的非预留部分标项，对小型和微型企业的响应报价给予20%的扣除，用扣除后的价格参与评审。接受大中型企业与小微企业组成联合体或者允许大中型企业向一家或者多家小微企业分包的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3.3.6可享受中小企业扶持政策的供应商应按照交易文件格式要求提供《中小企业声明函》，供应商提供的《中小企业声明函》与实际情况不符的，不享受中小企业扶持政策。声明内容不实的，属于提供虚假材料谋取成交的，依法承担法律责任。</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3.3.7中小企业享受扶持政策获得采购合同的，小微企业不得将合同分包给大中型企业，中型企业不得将合同分包给大型企业。</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3.4支持创新发展</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3.4.1 采购人优先采购被认定为首台套产品和“制造精品”的自主创新产品。</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采购活动时业绩分值为满分。</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4. 询问、质疑、投诉</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4.1供应商询问</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4.2供应商质疑</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4.2.1提出质疑的供应商应当是参与所质疑项目采购活动的供应商。潜在供应商已依法获取其可质疑的交易文件的，可以对该文件提出质疑。</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4.2.2供应商认为交易文件、采购过程和成交结果使自己的权益受到损害的，可以在知道或者应知其权益受到损害之日起3日内，以书面形式向采购人或者采购机构提出质疑，否则，采购人或者采购机构不予受理：</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4.2.2.1对交易文件提出质疑的，质疑期限为供应商获得交易文件之日或者交易文件公告期限届满之日起计算。</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4.2.2.2对采购过程提出质疑的，质疑期限为各采购程序环节结束之日起计算。对同一采购程序环节的质疑，供应商须一次性提出。</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4.2.2.3对采购结果提出质疑的，质疑期限自采购结果公告期限届满之日起计算。</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4.2.3供应商提出质疑应当提交质疑函和必要的证明材料。质疑函应当包括下列内容：</w:t>
      </w:r>
    </w:p>
    <w:p>
      <w:pPr>
        <w:spacing w:line="360" w:lineRule="exact"/>
        <w:rPr>
          <w:rFonts w:ascii="宋体" w:hAnsi="宋体" w:eastAsia="宋体" w:cs="宋体"/>
          <w:snapToGrid w:val="0"/>
          <w:color w:val="auto"/>
          <w:kern w:val="2"/>
          <w:highlight w:val="none"/>
        </w:rPr>
      </w:pPr>
      <w:r>
        <w:rPr>
          <w:rFonts w:hint="eastAsia" w:ascii="宋体" w:hAnsi="宋体" w:eastAsia="宋体" w:cs="宋体"/>
          <w:snapToGrid w:val="0"/>
          <w:color w:val="auto"/>
          <w:kern w:val="2"/>
          <w:highlight w:val="none"/>
        </w:rPr>
        <w:t>　　4.2.3.1供应商的姓名或者名称、地址、邮编、联系人及联系电话；</w:t>
      </w:r>
    </w:p>
    <w:p>
      <w:pPr>
        <w:spacing w:line="360" w:lineRule="exact"/>
        <w:rPr>
          <w:rFonts w:ascii="宋体" w:hAnsi="宋体" w:eastAsia="宋体" w:cs="宋体"/>
          <w:snapToGrid w:val="0"/>
          <w:color w:val="auto"/>
          <w:kern w:val="2"/>
          <w:highlight w:val="none"/>
        </w:rPr>
      </w:pPr>
      <w:r>
        <w:rPr>
          <w:rFonts w:hint="eastAsia" w:ascii="宋体" w:hAnsi="宋体" w:eastAsia="宋体" w:cs="宋体"/>
          <w:snapToGrid w:val="0"/>
          <w:color w:val="auto"/>
          <w:kern w:val="2"/>
          <w:highlight w:val="none"/>
        </w:rPr>
        <w:t>　　4.2.3.2质疑项目的名称、编号；</w:t>
      </w:r>
    </w:p>
    <w:p>
      <w:pPr>
        <w:spacing w:line="360" w:lineRule="exact"/>
        <w:rPr>
          <w:rFonts w:ascii="宋体" w:hAnsi="宋体" w:eastAsia="宋体" w:cs="宋体"/>
          <w:snapToGrid w:val="0"/>
          <w:color w:val="auto"/>
          <w:kern w:val="2"/>
          <w:highlight w:val="none"/>
        </w:rPr>
      </w:pPr>
      <w:r>
        <w:rPr>
          <w:rFonts w:hint="eastAsia" w:ascii="宋体" w:hAnsi="宋体" w:eastAsia="宋体" w:cs="宋体"/>
          <w:snapToGrid w:val="0"/>
          <w:color w:val="auto"/>
          <w:kern w:val="2"/>
          <w:highlight w:val="none"/>
        </w:rPr>
        <w:t>　　4.2.3.3具体、明确的质疑事项和与质疑事项相关的请求；</w:t>
      </w:r>
    </w:p>
    <w:p>
      <w:pPr>
        <w:spacing w:line="360" w:lineRule="exact"/>
        <w:rPr>
          <w:rFonts w:ascii="宋体" w:hAnsi="宋体" w:eastAsia="宋体" w:cs="宋体"/>
          <w:snapToGrid w:val="0"/>
          <w:color w:val="auto"/>
          <w:kern w:val="2"/>
          <w:highlight w:val="none"/>
        </w:rPr>
      </w:pPr>
      <w:r>
        <w:rPr>
          <w:rFonts w:hint="eastAsia" w:ascii="宋体" w:hAnsi="宋体" w:eastAsia="宋体" w:cs="宋体"/>
          <w:snapToGrid w:val="0"/>
          <w:color w:val="auto"/>
          <w:kern w:val="2"/>
          <w:highlight w:val="none"/>
        </w:rPr>
        <w:t>　　4.2.3.4事实依据；</w:t>
      </w:r>
    </w:p>
    <w:p>
      <w:pPr>
        <w:spacing w:line="360" w:lineRule="exact"/>
        <w:rPr>
          <w:rFonts w:ascii="宋体" w:hAnsi="宋体" w:eastAsia="宋体" w:cs="宋体"/>
          <w:snapToGrid w:val="0"/>
          <w:color w:val="auto"/>
          <w:kern w:val="2"/>
          <w:highlight w:val="none"/>
        </w:rPr>
      </w:pPr>
      <w:r>
        <w:rPr>
          <w:rFonts w:hint="eastAsia" w:ascii="宋体" w:hAnsi="宋体" w:eastAsia="宋体" w:cs="宋体"/>
          <w:snapToGrid w:val="0"/>
          <w:color w:val="auto"/>
          <w:kern w:val="2"/>
          <w:highlight w:val="none"/>
        </w:rPr>
        <w:t>　　4.2.3.5必要的法律依据；</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4.2.3.6提出质疑的日期。</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质疑函范本及制作说明详见附件2。</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4.2.4采购人或者采购机构应当在收到供应商的书面质疑后2日内作出答复，并以书面形式通知质疑供应商和其他与质疑处理结果有利害关系的采购当事人，但答复的内容不得涉及商业秘密。</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4.2.5询问或者质疑事项可能影响采购结果的，采购人应当暂停签订合同，已经签订合同的，应当中止履行合同。</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4.3供应商投诉</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4.3.1质疑供应商对采购人、采购机构的答复不满意或者采购人、采购机构未在规定的时间内作出答复的，可以在答复期满后十五个工作日内向同级采购监督管理部门提出投诉。</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4.3.2供应商投诉的事项不得超出已质疑事项的范围，基于质疑答复内容提出的投诉事项除外。</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4.3.3供应商投诉应当有明确的请求和必要的证明材料。</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4.3.4 以联合体形式参加采购活动的，其投诉应当由组成联合体的所有供应商共同提出。</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投诉书范本及制作说明详见附件3。</w:t>
      </w:r>
    </w:p>
    <w:p>
      <w:pPr>
        <w:pStyle w:val="6"/>
        <w:spacing w:line="360" w:lineRule="exact"/>
        <w:rPr>
          <w:rFonts w:ascii="宋体" w:hAnsi="宋体" w:eastAsia="宋体" w:cs="宋体"/>
          <w:color w:val="auto"/>
          <w:highlight w:val="none"/>
        </w:rPr>
      </w:pPr>
      <w:r>
        <w:rPr>
          <w:rFonts w:hint="eastAsia" w:ascii="宋体" w:hAnsi="宋体" w:eastAsia="宋体" w:cs="宋体"/>
          <w:color w:val="auto"/>
          <w:highlight w:val="none"/>
        </w:rPr>
        <w:t>二、交易文件的构成、澄清、修改</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5．交易文件的构成</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5.1 交易文件包括下列文件及附件：</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5.1.1交易公告；</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5.1.2供应商须知；</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5.1.3采购需求；</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5.1.4评审办法；</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5.1.5应提交的有关格式范例。</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5.2与本项目有关的澄清或者修改的内容为交易文件的组成部分。</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6. 交易文件的澄清、修改</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6.1已获取交易文件的潜在供应商，若有问题需要澄清，应于交易截止时间前，以书面形式向采购机构提出。</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6.2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pPr>
        <w:pStyle w:val="6"/>
        <w:spacing w:line="360" w:lineRule="exact"/>
        <w:rPr>
          <w:rFonts w:ascii="宋体" w:hAnsi="宋体" w:eastAsia="宋体" w:cs="宋体"/>
          <w:color w:val="auto"/>
          <w:highlight w:val="none"/>
        </w:rPr>
      </w:pPr>
      <w:r>
        <w:rPr>
          <w:rFonts w:hint="eastAsia" w:ascii="宋体" w:hAnsi="宋体" w:eastAsia="宋体" w:cs="宋体"/>
          <w:color w:val="auto"/>
          <w:highlight w:val="none"/>
        </w:rPr>
        <w:t>三、交易</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7. 交易文件的获取</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详见交易公告中获取交易文件的时间期限、地点、方式及交易文件售价。</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8.交易前答疑会或现场考察</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采购人组织潜在供应商现场考察或者召开交易前答疑会的，潜在供应商按第二部分供应商须知前附表的规定参加现场考察或者交易前答疑会。</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9.交易保证金</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本项目不需缴纳交易保证金。</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10. 响应文件的语言</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响应文件及供应商与采购有关的来往通知、函件和文件均应使用中文。</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11. 响应文件的组成</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11.1资格文件：</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11.1.1符合参加采购活动应当具备的一般条件的承诺函；</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11.1.2落实采购政策需满足的资格要求；</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11.1.3本项目的特定资格要求。</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11.2  商务技术文件：</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 xml:space="preserve">11.2.1响应函； </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11.2.2授权委托书或法定代表人（单位负责人、自然人本人）身份证明；</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11.2.3符合性审查资料；</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11.2.4评审标准相应的商务技术资料；</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11.2.5交易标的清单；</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11.2.6商务技术偏离表；</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11.2.7采购供应商廉洁自律承诺书；</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 xml:space="preserve">11.3报价文件： </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11.3.1交易一览表（报价表）；</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11.3.2中小企业声明函。</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响应文件含有采购人不能接受的附加条件的，交易无效；</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供应商提供虚假材料交易的，交易无效。</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12. 响应文件的编制</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12.1响应文件分为资格文件、商务技术文件、报价文件三部分。各供应商在编制响应文件时请按照交易文件第五部分规定的格式进行，混乱的编排导致响应文件被误读或评审委员会查找不到有效文件是供应商的风险。</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12.2供应商进行电子交易应安装客户端软件—“政采云电子交易客户端”，并按照交易文件和电子交易平台的要求编制并加密响应文件。供应商未按规定加密的响应文件，电子交易平台将拒收并提示。</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12.3使用“政采云电子交易客户端”需要提前申领CA数字证书，申领流程请自行前往“浙江政府采购网-下载专区-电子交易客户端-CA驱动和申领流程”进行查阅。</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13.响应文件的签署、盖章</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13.1响应文件按照交易文件第五部分格式要求进行签署、盖章。▲供应商的响应文件未按照交易文件要求签署、盖章的，其交易无效。</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13.2为确保网上操作合法、有效和安全，供应商应当在交易截止时间前完成在“政府采购云平台”的身份认证，确保在电子交易过程中能够对相关数据电文进行加密和使用电子签名。</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13.3交易文件对响应文件签署、盖章的要求适用于电子签名。</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14. 响应文件的提交、补充、修改、撤回</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14.1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14.2电子交易平台收到响应文件，将妥善保存并即时向供应商发出确认回执通知。在交易截止时间前，除供应商补充、修改或者撤回响应文件外，任何单位和个人不得解密或提取响应文件。</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14.3采购人、采购机构可以视情况延长响应文件提交的截止时间。在上述情况下，采购机构与供应商以前在交易截止期方面的全部权利、责任和义务，将适用于延长至新的交易截止期。</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15.备份响应文件</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15.1供应商在电子交易平台传输递交响应文件后，还可以在交易截止时间前直接提交或者以邮政快递方式递交备份响应文件1份，但采购人、采购机构不强制或变相强制供应商提交备份响应文件。</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15.2备份响应文件须在“政采云</w:t>
      </w:r>
      <w:r>
        <w:rPr>
          <w:rFonts w:hint="eastAsia" w:hAnsi="宋体" w:cs="宋体"/>
          <w:color w:val="auto"/>
          <w:sz w:val="24"/>
          <w:szCs w:val="24"/>
          <w:highlight w:val="none"/>
          <w:lang w:eastAsia="zh-CN"/>
        </w:rPr>
        <w:t>响应</w:t>
      </w:r>
      <w:r>
        <w:rPr>
          <w:rFonts w:hint="eastAsia" w:hAnsi="宋体" w:cs="宋体"/>
          <w:color w:val="auto"/>
          <w:sz w:val="24"/>
          <w:szCs w:val="24"/>
          <w:highlight w:val="none"/>
        </w:rPr>
        <w:t>客户端”制作生成，并储存在DVD光盘中。备份响应文件应当密封包装并在包装上加盖公章并注明交易项目名称，供应商名称(联合体交易的，包装物封面需注明联合体交易，并注明联合体成员各方的名称和联合协议中约定的牵头人的名称)。不符合上述制作、存储、密封规定的备份响应文件将被视为无效或者被拒绝接收。</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15.3直接提交备份响应文件的，供应商应于交易截止时间前在交易公告中载明的交易地点将备份响应文件提交给采购机构，采购机构将拒绝接受逾期送达的备份响应文件。</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交易截止时间之前送达交易文件第二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15.5供应商仅提交备份响应文件，未在电子交易平台传输递交响应文件的，交易无效。</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16.响应文件的无效处理</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有交易文件第四部分4.2规定的情形之一的，交易无效：</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17.交易有效期</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17.1交易有效期为从提交响应文件的截止之日起90天。▲供应商的响应文件中承诺的交易有效期少于交易文件中载明的交易有效期的，交易无效。</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17.2响应文件合格投递后，自交易截止日期起，在交易有效期内有效。</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17.3在原定交易有效期满之前，如果出现特殊情况，采购机构可以以书面形式通知供应商延长交易有效期。供应商同意延长的，不得要求或被允许修改其响应文件，供应商拒绝延长的，其交易无效。</w:t>
      </w:r>
    </w:p>
    <w:p>
      <w:pPr>
        <w:pStyle w:val="6"/>
        <w:spacing w:line="360" w:lineRule="exact"/>
        <w:rPr>
          <w:rFonts w:ascii="宋体" w:hAnsi="宋体" w:eastAsia="宋体" w:cs="宋体"/>
          <w:color w:val="auto"/>
          <w:highlight w:val="none"/>
        </w:rPr>
      </w:pPr>
      <w:r>
        <w:rPr>
          <w:rFonts w:hint="eastAsia" w:ascii="宋体" w:hAnsi="宋体" w:eastAsia="宋体" w:cs="宋体"/>
          <w:color w:val="auto"/>
          <w:highlight w:val="none"/>
        </w:rPr>
        <w:t>四、交易、资格审查与信用信息查询</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 xml:space="preserve">18.交易 </w:t>
      </w:r>
    </w:p>
    <w:p>
      <w:pPr>
        <w:pStyle w:val="21"/>
        <w:widowControl/>
        <w:adjustRightInd/>
        <w:spacing w:line="460" w:lineRule="exact"/>
        <w:ind w:firstLine="240"/>
        <w:rPr>
          <w:rFonts w:hAnsi="宋体" w:cs="宋体"/>
          <w:color w:val="auto"/>
          <w:sz w:val="24"/>
          <w:szCs w:val="24"/>
          <w:highlight w:val="none"/>
        </w:rPr>
      </w:pPr>
      <w:r>
        <w:rPr>
          <w:rFonts w:hint="eastAsia" w:hAnsi="宋体" w:cs="宋体"/>
          <w:color w:val="auto"/>
          <w:sz w:val="24"/>
          <w:szCs w:val="24"/>
          <w:highlight w:val="none"/>
        </w:rPr>
        <w:t>18.1采购机构按照交易文件规定的时间通过电子交易平台组织交易，所有供应商均应当准时在线参加。供应商不足3家的，不得交易。</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　18.2交易时，电子交易平台按交易时间自动提取所有响应文件。采购机构依托电子交易平台发起开始解密指令，供应商按照平台提示和交易文件的规定在半小时内完成在线解密。</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　18.3响应文件未按时解密，供应商提供了备份响应文件的，以备份响应文件作为依据，否则视为响应文件撤回。响应文件已按时解密的，备份响应文件自动失效。</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19、资格审查</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19.1交易后，采购人或采购机构将依法对供应商的资格进行审查。</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19.2采购人或采购机构依据法律法规和交易文件的规定，对供应商的基本资格条件、特定资格条件进行审查。</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19.3供应商未按照交易文件要求提供与基本资格条件、特定资格条件相应的有效资格证明材料的，视为供应商不具备交易文件中规定的资格要求，其交易无效。</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19.4对未通过资格审查的供应商，采购人或采购机构告知其未通过的原因。</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19.5合格供应商不足3家的，不再评审。</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20、信用信息查询</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20.1信用信息查询渠道及截止时间：采购机构将通过“信用中国”网站(www.creditchina.gov.cn)、中国政府采购网(www.ccgp.gov.cn)渠道查询供应商交易截止时间当天的信用记录。</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20.2信用信息查询记录和证据留存的具体方式：现场查询的供应商的信用记录、查询结果经确认后将与采购文件一起存档。</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20.3信用信息的使用规则：经查询列入失信被执行人名单、重大税收违法案件当事人名单（税收违法黑名单）、政府采购严重违法失信行为记录名单的供应商将被拒绝参与采购活动。</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pPr>
        <w:pStyle w:val="6"/>
        <w:spacing w:line="360" w:lineRule="exact"/>
        <w:rPr>
          <w:rFonts w:ascii="宋体" w:hAnsi="宋体" w:eastAsia="宋体" w:cs="宋体"/>
          <w:color w:val="auto"/>
          <w:highlight w:val="none"/>
        </w:rPr>
      </w:pPr>
      <w:r>
        <w:rPr>
          <w:rFonts w:hint="eastAsia" w:ascii="宋体" w:hAnsi="宋体" w:eastAsia="宋体" w:cs="宋体"/>
          <w:color w:val="auto"/>
          <w:highlight w:val="none"/>
        </w:rPr>
        <w:t>五、评审</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21. 评审</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评审委员会将根据交易文件和有关规定，履行评审工作职责，并按照评审方法及评分标准，全面衡量各供应商对交易文件的响应情况。对实质上响应交易文件的供应商，按照评审因素的量化指标排出推荐成交的供应商的先后顺序，并按顺序提出授标建议。详见交易文件第四部分评审办法。</w:t>
      </w:r>
    </w:p>
    <w:p>
      <w:pPr>
        <w:pStyle w:val="6"/>
        <w:spacing w:line="360" w:lineRule="exact"/>
        <w:rPr>
          <w:rFonts w:ascii="宋体" w:hAnsi="宋体" w:eastAsia="宋体" w:cs="宋体"/>
          <w:color w:val="auto"/>
          <w:highlight w:val="none"/>
        </w:rPr>
      </w:pPr>
      <w:r>
        <w:rPr>
          <w:rFonts w:hint="eastAsia" w:ascii="宋体" w:hAnsi="宋体" w:eastAsia="宋体" w:cs="宋体"/>
          <w:color w:val="auto"/>
          <w:highlight w:val="none"/>
        </w:rPr>
        <w:t>六、定 标</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22. 确定成交供应商</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采购人将自收到评审报告之日起5个工作日内通过电子交易平台在评审报告推荐的成交候选人中按顺序确定成交供应商。</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23. 成交通知与成交结果公告</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23.1自成交人确定之日起2个工作日内，采购机构通过电子交易平台向成交人发出成交通知书，同时编制发布采购结果公告。采购机构</w:t>
      </w:r>
      <w:r>
        <w:rPr>
          <w:rFonts w:hint="eastAsia" w:hAnsi="宋体" w:cs="宋体"/>
          <w:color w:val="auto"/>
          <w:sz w:val="24"/>
          <w:szCs w:val="24"/>
          <w:highlight w:val="none"/>
          <w:lang w:eastAsia="zh-CN"/>
        </w:rPr>
        <w:t>或采购人</w:t>
      </w:r>
      <w:r>
        <w:rPr>
          <w:rFonts w:hint="eastAsia" w:hAnsi="宋体" w:cs="宋体"/>
          <w:color w:val="auto"/>
          <w:sz w:val="24"/>
          <w:szCs w:val="24"/>
          <w:highlight w:val="none"/>
        </w:rPr>
        <w:t>也可以以纸质形式进行成交通知。</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23.2成交结果公告内容包括采购人及其委托的采购机构的名称、地址、联系方式，项目名称和项目编号，成交人名称、地址和成交金额。</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23.3公告期限为1个工作日。</w:t>
      </w:r>
    </w:p>
    <w:p>
      <w:pPr>
        <w:pStyle w:val="6"/>
        <w:spacing w:line="360" w:lineRule="exact"/>
        <w:rPr>
          <w:rFonts w:ascii="宋体" w:hAnsi="宋体" w:eastAsia="宋体" w:cs="宋体"/>
          <w:color w:val="auto"/>
          <w:highlight w:val="none"/>
        </w:rPr>
      </w:pPr>
      <w:r>
        <w:rPr>
          <w:rFonts w:hint="eastAsia" w:ascii="宋体" w:hAnsi="宋体" w:eastAsia="宋体" w:cs="宋体"/>
          <w:color w:val="auto"/>
          <w:highlight w:val="none"/>
        </w:rPr>
        <w:t>七、合同授予</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24. 合同的签订</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24.1 采购人与成交人应当在成交通知书发出之日起三十日内，按照交易文件确定的事项签订采购合同。</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24.2成交人按规定的日期、时间、地点，由法定代表人或其授权代表与采购人代表签订合同。如成交人为联合体的，由联合体成员各方法定代表人或其授权代表与采购人代表签订合同。</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24.3如签订合同并生效后，供应商无故拒绝或延期，除按照合同条款处理外，列入不良行为记录一次，并给予通报。</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24.4成交供应商拒绝与采购人签订合同的，采购人可以按照评审报告推荐的成交或者成交候选人名单排序，确定下一候选人为成交供应商，也可以重新开展采购活动。</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24.5采购合同由采购人与成交供应商根据交易文件、响应文件等内容签订。</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25. 履约保证金</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拟签订的合同文本要求成交供应商提交履约保证金的，供应商应当以支票、汇票、本票或者金融机构、担保机构出具的保函等非现金形式提交。履约保证金的数额为采购合同金额的1%。</w:t>
      </w:r>
    </w:p>
    <w:p>
      <w:pPr>
        <w:pStyle w:val="6"/>
        <w:spacing w:line="360" w:lineRule="exact"/>
        <w:rPr>
          <w:rFonts w:ascii="宋体" w:hAnsi="宋体" w:eastAsia="宋体" w:cs="宋体"/>
          <w:color w:val="auto"/>
          <w:highlight w:val="none"/>
        </w:rPr>
      </w:pPr>
      <w:r>
        <w:rPr>
          <w:rFonts w:hint="eastAsia" w:ascii="宋体" w:hAnsi="宋体" w:eastAsia="宋体" w:cs="宋体"/>
          <w:color w:val="auto"/>
          <w:highlight w:val="none"/>
        </w:rPr>
        <w:t>八、电子交易活动的中止</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26. 电子交易活动的中止。</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采购过程中出现以下情形，导致电子交易平台无法正常运行，或者无法保证电子交易的公平、公正和安全时，采购机构可中止电子交易活动：</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 xml:space="preserve">26.1电子交易平台发生故障而无法登录访问的； </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26.2电子交易平台应用或数据库出现错误，不能进行正常操作的；</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26.3电子交易平台发现严重安全漏洞，有潜在泄密危险的；</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 xml:space="preserve">26.4病毒发作导致不能进行正常操作的； </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26.5其他无法保证电子交易的公平、公正和安全的情况。</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pPr>
        <w:pStyle w:val="6"/>
        <w:spacing w:line="360" w:lineRule="exact"/>
        <w:rPr>
          <w:rFonts w:ascii="宋体" w:hAnsi="宋体" w:eastAsia="宋体" w:cs="宋体"/>
          <w:color w:val="auto"/>
          <w:highlight w:val="none"/>
        </w:rPr>
      </w:pPr>
      <w:r>
        <w:rPr>
          <w:rFonts w:hint="eastAsia" w:ascii="宋体" w:hAnsi="宋体" w:eastAsia="宋体" w:cs="宋体"/>
          <w:color w:val="auto"/>
          <w:highlight w:val="none"/>
        </w:rPr>
        <w:t>九、验收</w:t>
      </w:r>
    </w:p>
    <w:p>
      <w:pPr>
        <w:pStyle w:val="21"/>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28.验收</w:t>
      </w:r>
    </w:p>
    <w:p>
      <w:pPr>
        <w:pStyle w:val="21"/>
        <w:widowControl/>
        <w:adjustRightInd/>
        <w:spacing w:line="460" w:lineRule="exact"/>
        <w:ind w:hanging="6"/>
        <w:rPr>
          <w:rFonts w:hAnsi="宋体" w:cs="宋体"/>
          <w:color w:val="auto"/>
          <w:sz w:val="24"/>
          <w:szCs w:val="24"/>
          <w:highlight w:val="none"/>
        </w:rPr>
      </w:pPr>
      <w:r>
        <w:rPr>
          <w:rFonts w:hint="eastAsia" w:hAnsi="宋体" w:cs="宋体"/>
          <w:color w:val="auto"/>
          <w:sz w:val="24"/>
          <w:szCs w:val="24"/>
          <w:highlight w:val="none"/>
        </w:rPr>
        <w:t>28.1采购人应当组织对供应商履约的验收。</w:t>
      </w:r>
    </w:p>
    <w:p>
      <w:pPr>
        <w:spacing w:line="360" w:lineRule="exact"/>
        <w:rPr>
          <w:rFonts w:ascii="宋体" w:hAnsi="宋体" w:eastAsia="宋体" w:cs="宋体"/>
          <w:color w:val="auto"/>
          <w:highlight w:val="none"/>
        </w:rPr>
      </w:pPr>
      <w:r>
        <w:rPr>
          <w:rFonts w:hint="eastAsia" w:ascii="宋体" w:hAnsi="宋体" w:eastAsia="宋体" w:cs="宋体"/>
          <w:color w:val="auto"/>
          <w:highlight w:val="none"/>
        </w:rPr>
        <w:br w:type="page"/>
      </w:r>
    </w:p>
    <w:p>
      <w:pPr>
        <w:pStyle w:val="5"/>
        <w:rPr>
          <w:rFonts w:ascii="宋体" w:hAnsi="宋体" w:eastAsia="宋体" w:cs="宋体"/>
          <w:color w:val="auto"/>
          <w:highlight w:val="none"/>
        </w:rPr>
      </w:pPr>
      <w:r>
        <w:rPr>
          <w:rFonts w:hint="eastAsia" w:ascii="宋体" w:hAnsi="宋体" w:eastAsia="宋体" w:cs="宋体"/>
          <w:color w:val="auto"/>
          <w:highlight w:val="none"/>
        </w:rPr>
        <w:t>第三部分   采购需求</w:t>
      </w:r>
    </w:p>
    <w:p>
      <w:pPr>
        <w:snapToGrid w:val="0"/>
        <w:rPr>
          <w:rStyle w:val="69"/>
          <w:rFonts w:ascii="宋体" w:hAnsi="宋体" w:eastAsia="宋体" w:cs="宋体"/>
          <w:i w:val="0"/>
          <w:iCs w:val="0"/>
          <w:color w:val="auto"/>
          <w:highlight w:val="none"/>
        </w:rPr>
      </w:pPr>
      <w:r>
        <w:rPr>
          <w:rStyle w:val="69"/>
          <w:rFonts w:hint="eastAsia" w:ascii="宋体" w:hAnsi="宋体" w:eastAsia="宋体" w:cs="宋体"/>
          <w:i w:val="0"/>
          <w:iCs w:val="0"/>
          <w:color w:val="auto"/>
          <w:highlight w:val="none"/>
        </w:rPr>
        <w:t>属于实质性要求条款的，请用符号“▲”标明，否则属于非实质性要求。</w:t>
      </w:r>
    </w:p>
    <w:p>
      <w:pPr>
        <w:snapToGrid w:val="0"/>
        <w:rPr>
          <w:rStyle w:val="69"/>
          <w:rFonts w:ascii="宋体" w:hAnsi="宋体" w:eastAsia="宋体" w:cs="宋体"/>
          <w:i w:val="0"/>
          <w:iCs w:val="0"/>
          <w:color w:val="auto"/>
          <w:highlight w:val="none"/>
        </w:rPr>
      </w:pPr>
      <w:r>
        <w:rPr>
          <w:rStyle w:val="69"/>
          <w:rFonts w:hint="eastAsia" w:ascii="宋体" w:hAnsi="宋体" w:eastAsia="宋体" w:cs="宋体"/>
          <w:i w:val="0"/>
          <w:iCs w:val="0"/>
          <w:color w:val="auto"/>
          <w:highlight w:val="none"/>
        </w:rPr>
        <w:t>“★”系产品采购项目中单一产品或核心产品。</w:t>
      </w:r>
    </w:p>
    <w:p>
      <w:pPr>
        <w:pStyle w:val="6"/>
        <w:numPr>
          <w:ilvl w:val="0"/>
          <w:numId w:val="1"/>
        </w:numPr>
        <w:rPr>
          <w:rFonts w:ascii="宋体" w:hAnsi="宋体" w:eastAsia="宋体" w:cs="宋体"/>
          <w:color w:val="auto"/>
          <w:highlight w:val="none"/>
        </w:rPr>
      </w:pP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一览表</w:t>
      </w:r>
    </w:p>
    <w:p>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标项：1</w:t>
      </w:r>
    </w:p>
    <w:tbl>
      <w:tblPr>
        <w:tblStyle w:val="36"/>
        <w:tblpPr w:leftFromText="180" w:rightFromText="180" w:vertAnchor="text" w:horzAnchor="page" w:tblpXSpec="center" w:tblpY="8"/>
        <w:tblOverlap w:val="never"/>
        <w:tblW w:w="9054" w:type="dxa"/>
        <w:jc w:val="center"/>
        <w:tblLayout w:type="fixed"/>
        <w:tblCellMar>
          <w:top w:w="0" w:type="dxa"/>
          <w:left w:w="0" w:type="dxa"/>
          <w:bottom w:w="0" w:type="dxa"/>
          <w:right w:w="0" w:type="dxa"/>
        </w:tblCellMar>
      </w:tblPr>
      <w:tblGrid>
        <w:gridCol w:w="730"/>
        <w:gridCol w:w="3372"/>
        <w:gridCol w:w="2050"/>
        <w:gridCol w:w="967"/>
        <w:gridCol w:w="967"/>
        <w:gridCol w:w="968"/>
      </w:tblGrid>
      <w:tr>
        <w:tblPrEx>
          <w:tblCellMar>
            <w:top w:w="0" w:type="dxa"/>
            <w:left w:w="0" w:type="dxa"/>
            <w:bottom w:w="0" w:type="dxa"/>
            <w:right w:w="0" w:type="dxa"/>
          </w:tblCellMar>
        </w:tblPrEx>
        <w:trPr>
          <w:cantSplit/>
          <w:trHeight w:val="663" w:hRule="atLeast"/>
          <w:jc w:val="center"/>
        </w:trPr>
        <w:tc>
          <w:tcPr>
            <w:tcW w:w="73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val="0"/>
              <w:spacing w:after="0"/>
              <w:jc w:val="center"/>
              <w:rPr>
                <w:rFonts w:ascii="宋体" w:hAnsi="宋体" w:eastAsia="宋体" w:cs="宋体"/>
                <w:color w:val="auto"/>
                <w:kern w:val="2"/>
                <w:highlight w:val="none"/>
              </w:rPr>
            </w:pPr>
            <w:r>
              <w:rPr>
                <w:rFonts w:hint="eastAsia" w:ascii="宋体" w:hAnsi="宋体" w:eastAsia="宋体" w:cs="宋体"/>
                <w:color w:val="auto"/>
                <w:kern w:val="2"/>
                <w:highlight w:val="none"/>
              </w:rPr>
              <w:t>序号</w:t>
            </w:r>
          </w:p>
        </w:tc>
        <w:tc>
          <w:tcPr>
            <w:tcW w:w="337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val="0"/>
              <w:spacing w:after="0"/>
              <w:jc w:val="center"/>
              <w:rPr>
                <w:rFonts w:ascii="宋体" w:hAnsi="宋体" w:eastAsia="宋体" w:cs="宋体"/>
                <w:color w:val="auto"/>
                <w:kern w:val="2"/>
                <w:highlight w:val="none"/>
              </w:rPr>
            </w:pPr>
            <w:r>
              <w:rPr>
                <w:rFonts w:hint="eastAsia" w:ascii="宋体" w:hAnsi="宋体" w:eastAsia="宋体" w:cs="宋体"/>
                <w:color w:val="auto"/>
                <w:kern w:val="2"/>
                <w:highlight w:val="none"/>
              </w:rPr>
              <w:t>名称</w:t>
            </w:r>
          </w:p>
        </w:tc>
        <w:tc>
          <w:tcPr>
            <w:tcW w:w="20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val="0"/>
              <w:spacing w:after="0"/>
              <w:jc w:val="center"/>
              <w:rPr>
                <w:rFonts w:ascii="宋体" w:hAnsi="宋体" w:eastAsia="宋体" w:cs="宋体"/>
                <w:color w:val="auto"/>
                <w:kern w:val="2"/>
                <w:highlight w:val="none"/>
              </w:rPr>
            </w:pPr>
            <w:r>
              <w:rPr>
                <w:rFonts w:hint="eastAsia" w:ascii="宋体" w:hAnsi="宋体" w:eastAsia="宋体" w:cs="宋体"/>
                <w:color w:val="auto"/>
                <w:kern w:val="2"/>
                <w:highlight w:val="none"/>
              </w:rPr>
              <w:t>规格型号与参数</w:t>
            </w:r>
          </w:p>
        </w:tc>
        <w:tc>
          <w:tcPr>
            <w:tcW w:w="9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val="0"/>
              <w:spacing w:after="0"/>
              <w:jc w:val="center"/>
              <w:rPr>
                <w:rFonts w:ascii="宋体" w:hAnsi="宋体" w:eastAsia="宋体" w:cs="宋体"/>
                <w:color w:val="auto"/>
                <w:kern w:val="2"/>
                <w:highlight w:val="none"/>
              </w:rPr>
            </w:pPr>
            <w:r>
              <w:rPr>
                <w:rFonts w:hint="eastAsia" w:ascii="宋体" w:hAnsi="宋体" w:eastAsia="宋体" w:cs="宋体"/>
                <w:color w:val="auto"/>
                <w:kern w:val="2"/>
                <w:highlight w:val="none"/>
              </w:rPr>
              <w:t>单位</w:t>
            </w:r>
          </w:p>
        </w:tc>
        <w:tc>
          <w:tcPr>
            <w:tcW w:w="96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val="0"/>
              <w:spacing w:after="0"/>
              <w:jc w:val="center"/>
              <w:rPr>
                <w:rFonts w:ascii="宋体" w:hAnsi="宋体" w:eastAsia="宋体" w:cs="宋体"/>
                <w:color w:val="auto"/>
                <w:kern w:val="2"/>
                <w:highlight w:val="none"/>
              </w:rPr>
            </w:pPr>
            <w:r>
              <w:rPr>
                <w:rFonts w:hint="eastAsia" w:ascii="宋体" w:hAnsi="宋体" w:eastAsia="宋体" w:cs="宋体"/>
                <w:color w:val="auto"/>
                <w:kern w:val="2"/>
                <w:highlight w:val="none"/>
              </w:rPr>
              <w:t>数量</w:t>
            </w:r>
          </w:p>
        </w:tc>
        <w:tc>
          <w:tcPr>
            <w:tcW w:w="968" w:type="dxa"/>
            <w:tcBorders>
              <w:top w:val="single" w:color="auto" w:sz="4" w:space="0"/>
              <w:left w:val="nil"/>
              <w:bottom w:val="single" w:color="auto" w:sz="4" w:space="0"/>
              <w:right w:val="single" w:color="auto" w:sz="4" w:space="0"/>
            </w:tcBorders>
            <w:noWrap/>
            <w:vAlign w:val="center"/>
          </w:tcPr>
          <w:p>
            <w:pPr>
              <w:widowControl w:val="0"/>
              <w:spacing w:after="0"/>
              <w:jc w:val="center"/>
              <w:rPr>
                <w:rFonts w:ascii="宋体" w:hAnsi="宋体" w:eastAsia="宋体" w:cs="宋体"/>
                <w:color w:val="auto"/>
                <w:kern w:val="2"/>
                <w:highlight w:val="none"/>
              </w:rPr>
            </w:pPr>
            <w:r>
              <w:rPr>
                <w:rFonts w:hint="eastAsia" w:ascii="宋体" w:hAnsi="宋体" w:eastAsia="宋体" w:cs="宋体"/>
                <w:color w:val="auto"/>
                <w:kern w:val="2"/>
                <w:highlight w:val="none"/>
              </w:rPr>
              <w:t>备注</w:t>
            </w:r>
          </w:p>
        </w:tc>
      </w:tr>
      <w:tr>
        <w:tblPrEx>
          <w:tblCellMar>
            <w:top w:w="0" w:type="dxa"/>
            <w:left w:w="0" w:type="dxa"/>
            <w:bottom w:w="0" w:type="dxa"/>
            <w:right w:w="0" w:type="dxa"/>
          </w:tblCellMar>
        </w:tblPrEx>
        <w:trPr>
          <w:cantSplit/>
          <w:trHeight w:val="927" w:hRule="atLeast"/>
          <w:jc w:val="center"/>
        </w:trPr>
        <w:tc>
          <w:tcPr>
            <w:tcW w:w="73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val="0"/>
              <w:spacing w:after="0"/>
              <w:jc w:val="center"/>
              <w:rPr>
                <w:rFonts w:ascii="宋体" w:hAnsi="宋体" w:eastAsia="宋体" w:cs="宋体"/>
                <w:color w:val="auto"/>
                <w:kern w:val="2"/>
                <w:highlight w:val="none"/>
              </w:rPr>
            </w:pPr>
            <w:r>
              <w:rPr>
                <w:rFonts w:hint="eastAsia" w:ascii="宋体" w:hAnsi="宋体" w:eastAsia="宋体" w:cs="宋体"/>
                <w:color w:val="auto"/>
                <w:kern w:val="2"/>
                <w:highlight w:val="none"/>
              </w:rPr>
              <w:t>1</w:t>
            </w:r>
          </w:p>
        </w:tc>
        <w:tc>
          <w:tcPr>
            <w:tcW w:w="337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val="0"/>
              <w:spacing w:after="0"/>
              <w:ind w:left="120" w:leftChars="50" w:right="101" w:rightChars="42"/>
              <w:jc w:val="center"/>
              <w:rPr>
                <w:rFonts w:hint="eastAsia" w:ascii="宋体" w:hAnsi="宋体" w:eastAsia="宋体" w:cs="宋体"/>
                <w:color w:val="auto"/>
                <w:kern w:val="2"/>
                <w:highlight w:val="none"/>
                <w:lang w:eastAsia="zh-CN"/>
              </w:rPr>
            </w:pPr>
            <w:r>
              <w:rPr>
                <w:rFonts w:hint="eastAsia" w:ascii="宋体" w:eastAsia="宋体"/>
                <w:color w:val="auto"/>
                <w:highlight w:val="none"/>
                <w:lang w:eastAsia="zh-CN"/>
              </w:rPr>
              <w:t>浦阳江流域一线堤防白蚁防治项目</w:t>
            </w:r>
            <w:r>
              <w:rPr>
                <w:rFonts w:hint="eastAsia" w:ascii="宋体" w:hAnsi="宋体" w:eastAsia="宋体" w:cs="宋体"/>
                <w:color w:val="auto"/>
                <w:sz w:val="22"/>
                <w:szCs w:val="22"/>
                <w:highlight w:val="none"/>
              </w:rPr>
              <w:t xml:space="preserve"> </w:t>
            </w:r>
          </w:p>
        </w:tc>
        <w:tc>
          <w:tcPr>
            <w:tcW w:w="20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val="0"/>
              <w:spacing w:after="0"/>
              <w:jc w:val="center"/>
              <w:rPr>
                <w:rFonts w:ascii="宋体" w:hAnsi="宋体" w:eastAsia="宋体" w:cs="宋体"/>
                <w:color w:val="auto"/>
                <w:kern w:val="2"/>
                <w:highlight w:val="none"/>
              </w:rPr>
            </w:pPr>
            <w:r>
              <w:rPr>
                <w:rFonts w:hint="eastAsia" w:ascii="宋体" w:hAnsi="宋体" w:eastAsia="宋体" w:cs="宋体"/>
                <w:color w:val="auto"/>
                <w:kern w:val="2"/>
                <w:highlight w:val="none"/>
              </w:rPr>
              <w:t>详见</w:t>
            </w:r>
            <w:r>
              <w:rPr>
                <w:rFonts w:hint="eastAsia" w:ascii="宋体" w:hAnsi="宋体" w:eastAsia="宋体" w:cs="宋体"/>
                <w:color w:val="auto"/>
                <w:kern w:val="2"/>
                <w:highlight w:val="none"/>
                <w:lang w:val="en-US" w:eastAsia="zh-CN"/>
              </w:rPr>
              <w:t>交易</w:t>
            </w:r>
            <w:r>
              <w:rPr>
                <w:rFonts w:hint="eastAsia" w:ascii="宋体" w:hAnsi="宋体" w:eastAsia="宋体" w:cs="宋体"/>
                <w:color w:val="auto"/>
                <w:kern w:val="2"/>
                <w:highlight w:val="none"/>
              </w:rPr>
              <w:t>需求</w:t>
            </w:r>
          </w:p>
        </w:tc>
        <w:tc>
          <w:tcPr>
            <w:tcW w:w="9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val="0"/>
              <w:spacing w:after="0"/>
              <w:jc w:val="center"/>
              <w:rPr>
                <w:rFonts w:ascii="宋体" w:hAnsi="宋体" w:eastAsia="宋体" w:cs="宋体"/>
                <w:color w:val="auto"/>
                <w:kern w:val="2"/>
                <w:highlight w:val="none"/>
              </w:rPr>
            </w:pPr>
            <w:r>
              <w:rPr>
                <w:rFonts w:hint="eastAsia" w:ascii="宋体" w:hAnsi="宋体" w:eastAsia="宋体" w:cs="宋体"/>
                <w:color w:val="auto"/>
                <w:kern w:val="2"/>
                <w:highlight w:val="none"/>
              </w:rPr>
              <w:t>项</w:t>
            </w:r>
          </w:p>
        </w:tc>
        <w:tc>
          <w:tcPr>
            <w:tcW w:w="96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val="0"/>
              <w:spacing w:after="0"/>
              <w:ind w:firstLine="48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1</w:t>
            </w:r>
          </w:p>
        </w:tc>
        <w:tc>
          <w:tcPr>
            <w:tcW w:w="968" w:type="dxa"/>
            <w:tcBorders>
              <w:top w:val="single" w:color="auto" w:sz="4" w:space="0"/>
              <w:left w:val="nil"/>
              <w:bottom w:val="single" w:color="auto" w:sz="4" w:space="0"/>
              <w:right w:val="single" w:color="auto" w:sz="4" w:space="0"/>
            </w:tcBorders>
            <w:noWrap/>
            <w:vAlign w:val="center"/>
          </w:tcPr>
          <w:p>
            <w:pPr>
              <w:widowControl w:val="0"/>
              <w:spacing w:after="0"/>
              <w:ind w:firstLine="480" w:firstLineChars="200"/>
              <w:rPr>
                <w:rFonts w:ascii="宋体" w:hAnsi="宋体" w:eastAsia="宋体" w:cs="宋体"/>
                <w:color w:val="auto"/>
                <w:kern w:val="2"/>
                <w:highlight w:val="none"/>
              </w:rPr>
            </w:pPr>
          </w:p>
        </w:tc>
      </w:tr>
    </w:tbl>
    <w:p>
      <w:pPr>
        <w:widowControl w:val="0"/>
        <w:spacing w:after="0" w:line="360" w:lineRule="auto"/>
        <w:ind w:firstLine="482" w:firstLineChars="200"/>
        <w:rPr>
          <w:rFonts w:ascii="宋体" w:hAnsi="宋体" w:eastAsia="宋体" w:cs="宋体"/>
          <w:b/>
          <w:bCs/>
          <w:color w:val="auto"/>
          <w:kern w:val="2"/>
          <w:highlight w:val="none"/>
        </w:rPr>
      </w:pPr>
    </w:p>
    <w:p>
      <w:pPr>
        <w:pStyle w:val="7"/>
        <w:tabs>
          <w:tab w:val="left" w:pos="900"/>
        </w:tabs>
        <w:jc w:val="center"/>
        <w:rPr>
          <w:rFonts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需求</w:t>
      </w:r>
    </w:p>
    <w:p>
      <w:pPr>
        <w:pStyle w:val="64"/>
        <w:numPr>
          <w:ilvl w:val="0"/>
          <w:numId w:val="0"/>
        </w:numPr>
        <w:spacing w:line="360" w:lineRule="auto"/>
        <w:ind w:leftChars="0"/>
        <w:rPr>
          <w:rFonts w:ascii="黑体" w:hAnsi="黑体" w:eastAsia="黑体"/>
          <w:color w:val="auto"/>
          <w:sz w:val="28"/>
          <w:szCs w:val="28"/>
          <w:highlight w:val="none"/>
        </w:rPr>
      </w:pPr>
      <w:r>
        <w:rPr>
          <w:rFonts w:hint="eastAsia" w:ascii="宋体" w:hAnsi="宋体" w:eastAsia="宋体" w:cs="宋体"/>
          <w:b/>
          <w:color w:val="auto"/>
          <w:highlight w:val="none"/>
        </w:rPr>
        <w:t>（一）技术需求</w:t>
      </w:r>
    </w:p>
    <w:p>
      <w:pPr>
        <w:adjustRightInd/>
        <w:spacing w:line="24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1.1</w:t>
      </w:r>
      <w:r>
        <w:rPr>
          <w:rFonts w:hint="eastAsia" w:ascii="宋体" w:hAnsi="宋体" w:eastAsia="宋体" w:cs="宋体"/>
          <w:b/>
          <w:bCs/>
          <w:color w:val="auto"/>
          <w:sz w:val="24"/>
          <w:highlight w:val="none"/>
          <w:lang w:eastAsia="zh-CN"/>
        </w:rPr>
        <w:t>服务目标</w:t>
      </w:r>
    </w:p>
    <w:p>
      <w:pPr>
        <w:pStyle w:val="3"/>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在堤塘背水坡表面安装白蚁监测桩（装置），监测白蚁的活动情况，及时进行灭治处理；</w:t>
      </w:r>
    </w:p>
    <w:p>
      <w:pPr>
        <w:pStyle w:val="3"/>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经监测灭治，杜绝堤防工程上的白蚁，并将管理范围内的白蚁密度控制在低水平之下；</w:t>
      </w:r>
    </w:p>
    <w:p>
      <w:pPr>
        <w:pStyle w:val="3"/>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对蚁害严重的堤塘，进行灌浆处理(灌浆处理费用另计)。</w:t>
      </w:r>
    </w:p>
    <w:p>
      <w:pPr>
        <w:pStyle w:val="31"/>
        <w:numPr>
          <w:ilvl w:val="0"/>
          <w:numId w:val="0"/>
        </w:numPr>
        <w:spacing w:line="360" w:lineRule="auto"/>
        <w:ind w:left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1.2服务内容</w:t>
      </w:r>
    </w:p>
    <w:p>
      <w:pPr>
        <w:pStyle w:val="31"/>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对甲方管理的浦阳江流域</w:t>
      </w:r>
      <w:r>
        <w:rPr>
          <w:rFonts w:hint="eastAsia" w:ascii="宋体" w:hAnsi="宋体" w:eastAsia="宋体" w:cs="宋体"/>
          <w:b w:val="0"/>
          <w:bCs w:val="0"/>
          <w:color w:val="auto"/>
          <w:sz w:val="24"/>
          <w:highlight w:val="none"/>
          <w:u w:val="single"/>
          <w:lang w:val="en-US" w:eastAsia="zh-CN"/>
        </w:rPr>
        <w:t>97.23</w:t>
      </w:r>
      <w:r>
        <w:rPr>
          <w:rFonts w:hint="eastAsia" w:ascii="宋体" w:hAnsi="宋体" w:eastAsia="宋体" w:cs="宋体"/>
          <w:b w:val="0"/>
          <w:bCs w:val="0"/>
          <w:color w:val="auto"/>
          <w:sz w:val="24"/>
          <w:highlight w:val="none"/>
          <w:lang w:val="en-US" w:eastAsia="zh-CN"/>
        </w:rPr>
        <w:t>公里堤塘(其中浦阳江堤防</w:t>
      </w:r>
      <w:r>
        <w:rPr>
          <w:rFonts w:hint="eastAsia" w:ascii="宋体" w:hAnsi="宋体" w:eastAsia="宋体" w:cs="宋体"/>
          <w:b w:val="0"/>
          <w:bCs w:val="0"/>
          <w:color w:val="auto"/>
          <w:sz w:val="24"/>
          <w:highlight w:val="none"/>
          <w:u w:val="single"/>
          <w:lang w:val="en-US" w:eastAsia="zh-CN"/>
        </w:rPr>
        <w:t>46.32</w:t>
      </w:r>
      <w:r>
        <w:rPr>
          <w:rFonts w:hint="eastAsia" w:ascii="宋体" w:hAnsi="宋体" w:eastAsia="宋体" w:cs="宋体"/>
          <w:b w:val="0"/>
          <w:bCs w:val="0"/>
          <w:color w:val="auto"/>
          <w:sz w:val="24"/>
          <w:highlight w:val="none"/>
          <w:lang w:val="en-US" w:eastAsia="zh-CN"/>
        </w:rPr>
        <w:t>KM,永兴河堤防</w:t>
      </w:r>
      <w:r>
        <w:rPr>
          <w:rFonts w:hint="eastAsia" w:ascii="宋体" w:hAnsi="宋体" w:eastAsia="宋体" w:cs="宋体"/>
          <w:b w:val="0"/>
          <w:bCs w:val="0"/>
          <w:color w:val="auto"/>
          <w:sz w:val="24"/>
          <w:highlight w:val="none"/>
          <w:u w:val="single"/>
          <w:lang w:val="en-US" w:eastAsia="zh-CN"/>
        </w:rPr>
        <w:t>30.3</w:t>
      </w:r>
      <w:r>
        <w:rPr>
          <w:rFonts w:hint="eastAsia" w:ascii="宋体" w:hAnsi="宋体" w:eastAsia="宋体" w:cs="宋体"/>
          <w:b w:val="0"/>
          <w:bCs w:val="0"/>
          <w:color w:val="auto"/>
          <w:sz w:val="24"/>
          <w:highlight w:val="none"/>
          <w:lang w:val="en-US" w:eastAsia="zh-CN"/>
        </w:rPr>
        <w:t>KM,凰桐江堤防11.1KM,南河堤防6.78KM，富春江堤防2.73KM)进行白蚁防治和监测灭治处理。</w:t>
      </w:r>
    </w:p>
    <w:p>
      <w:pPr>
        <w:pStyle w:val="31"/>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1.3服务方式</w:t>
      </w:r>
    </w:p>
    <w:p>
      <w:pPr>
        <w:pStyle w:val="31"/>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由供应商提供人员、技术和药物等对堤塘进行白蚁预防和监测灭治处理。</w:t>
      </w:r>
    </w:p>
    <w:p>
      <w:pPr>
        <w:pStyle w:val="31"/>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供应商经对采购人所管辖的堤塘进行白蚁危害情况勘察，结合白蚁的生物特性，制定治理方案。</w:t>
      </w:r>
    </w:p>
    <w:p>
      <w:pPr>
        <w:pStyle w:val="31"/>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治理方法:采用白蚁监测控制系统，及时发现白蚁危害，将白蚁密度控制在低水平之下。</w:t>
      </w:r>
    </w:p>
    <w:p>
      <w:pPr>
        <w:pStyle w:val="31"/>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A:安装监测桩(装置)检测白蚁活动情况并及时进行灭治处理。</w:t>
      </w:r>
    </w:p>
    <w:p>
      <w:pPr>
        <w:pStyle w:val="31"/>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B:蚁害严重的堤塘，根据监测情况，配合甲方进行灌浆处理。</w:t>
      </w:r>
    </w:p>
    <w:p>
      <w:pPr>
        <w:pStyle w:val="31"/>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1.4验收标准</w:t>
      </w:r>
    </w:p>
    <w:p>
      <w:pPr>
        <w:pStyle w:val="31"/>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合同期满前一个月双方进行共同验收，经监测灭治后，堤塘基本控制蚁害。</w:t>
      </w:r>
    </w:p>
    <w:p>
      <w:pPr>
        <w:pStyle w:val="31"/>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A:堤塘内土栖白蚁危害特征(泥被、泥线等)逐年减少，基本挖制蚁害。</w:t>
      </w:r>
    </w:p>
    <w:p>
      <w:pPr>
        <w:pStyle w:val="31"/>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B:堤脚治理范围白蚁上树危害(树表皮泥被泥线包裹)率低于5%。</w:t>
      </w:r>
    </w:p>
    <w:p>
      <w:pPr>
        <w:pStyle w:val="31"/>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C:在治理过程中，必要时根据死亡蚁巢指示物解剖蚁巢。</w:t>
      </w:r>
    </w:p>
    <w:p>
      <w:pPr>
        <w:pStyle w:val="31"/>
        <w:numPr>
          <w:ilvl w:val="0"/>
          <w:numId w:val="0"/>
        </w:num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1.5验收方法</w:t>
      </w:r>
    </w:p>
    <w:p>
      <w:pPr>
        <w:pStyle w:val="31"/>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采购人与供应商双方到堤塘现场进行共同验收和评定。根据采购人要求，由供应商邀请省内有关专家参与验收。</w:t>
      </w:r>
    </w:p>
    <w:p>
      <w:pPr>
        <w:snapToGrid w:val="0"/>
        <w:ind w:firstLine="482" w:firstLineChars="200"/>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1.6防治效果考核办法</w:t>
      </w:r>
    </w:p>
    <w:p>
      <w:pPr>
        <w:spacing w:line="360" w:lineRule="auto"/>
        <w:ind w:firstLine="480" w:firstLineChars="20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根据《水利工程白蚁防治技术规程》DB 34/T 2182-2014和《堤坝白蚁防治管理规范》DB3301/T 0204-2018文件要求，为切实推进浦阳江流域</w:t>
      </w:r>
      <w:r>
        <w:rPr>
          <w:rFonts w:hint="eastAsia" w:ascii="宋体" w:eastAsia="宋体"/>
          <w:color w:val="auto"/>
          <w:highlight w:val="none"/>
          <w:lang w:eastAsia="zh-CN"/>
        </w:rPr>
        <w:t>堤防</w:t>
      </w:r>
      <w:r>
        <w:rPr>
          <w:rFonts w:hint="eastAsia" w:ascii="宋体" w:hAnsi="宋体" w:eastAsia="宋体" w:cs="宋体"/>
          <w:b w:val="0"/>
          <w:bCs w:val="0"/>
          <w:color w:val="auto"/>
          <w:sz w:val="24"/>
          <w:szCs w:val="24"/>
          <w:highlight w:val="none"/>
          <w:lang w:val="en-US" w:eastAsia="zh-CN" w:bidi="ar-SA"/>
        </w:rPr>
        <w:t>的白蚁防治工作，确保水利工程良性长效运行，实现白蚁“零容忍”目标，现制定浦阳江流域</w:t>
      </w:r>
      <w:r>
        <w:rPr>
          <w:rFonts w:hint="eastAsia" w:ascii="宋体" w:eastAsia="宋体"/>
          <w:color w:val="auto"/>
          <w:highlight w:val="none"/>
          <w:lang w:eastAsia="zh-CN"/>
        </w:rPr>
        <w:t>堤防</w:t>
      </w:r>
      <w:r>
        <w:rPr>
          <w:rFonts w:hint="eastAsia" w:ascii="宋体" w:hAnsi="宋体" w:eastAsia="宋体" w:cs="宋体"/>
          <w:b w:val="0"/>
          <w:bCs w:val="0"/>
          <w:color w:val="auto"/>
          <w:sz w:val="24"/>
          <w:szCs w:val="24"/>
          <w:highlight w:val="none"/>
          <w:lang w:val="en-US" w:eastAsia="zh-CN" w:bidi="ar-SA"/>
        </w:rPr>
        <w:t>白蚁防治考核办法。</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1.6.1</w:t>
      </w:r>
      <w:r>
        <w:rPr>
          <w:rFonts w:hint="eastAsia" w:ascii="宋体" w:hAnsi="宋体" w:eastAsia="宋体" w:cs="宋体"/>
          <w:b/>
          <w:color w:val="auto"/>
          <w:sz w:val="24"/>
          <w:highlight w:val="none"/>
        </w:rPr>
        <w:t>、考核内容和指标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结合</w:t>
      </w:r>
      <w:r>
        <w:rPr>
          <w:rFonts w:hint="eastAsia" w:ascii="宋体" w:hAnsi="宋体" w:eastAsia="宋体" w:cs="宋体"/>
          <w:color w:val="auto"/>
          <w:sz w:val="24"/>
          <w:highlight w:val="none"/>
          <w:lang w:eastAsia="zh-CN"/>
        </w:rPr>
        <w:t>堤防</w:t>
      </w:r>
      <w:r>
        <w:rPr>
          <w:rFonts w:hint="eastAsia" w:ascii="宋体" w:hAnsi="宋体" w:eastAsia="宋体" w:cs="宋体"/>
          <w:color w:val="auto"/>
          <w:sz w:val="24"/>
          <w:highlight w:val="none"/>
        </w:rPr>
        <w:t>实际情况，白蚁防治工作考核主要</w:t>
      </w:r>
      <w:r>
        <w:rPr>
          <w:rFonts w:hint="eastAsia" w:ascii="宋体" w:hAnsi="宋体" w:eastAsia="宋体" w:cs="宋体"/>
          <w:color w:val="auto"/>
          <w:sz w:val="24"/>
          <w:highlight w:val="none"/>
          <w:lang w:eastAsia="zh-CN"/>
        </w:rPr>
        <w:t>侧重目标导向</w:t>
      </w:r>
      <w:r>
        <w:rPr>
          <w:rFonts w:hint="eastAsia" w:ascii="宋体" w:hAnsi="宋体" w:eastAsia="宋体" w:cs="宋体"/>
          <w:color w:val="auto"/>
          <w:sz w:val="24"/>
          <w:highlight w:val="none"/>
        </w:rPr>
        <w:t>，具体考核指标见</w:t>
      </w:r>
      <w:r>
        <w:rPr>
          <w:rFonts w:hint="eastAsia" w:ascii="宋体" w:hAnsi="宋体" w:eastAsia="宋体" w:cs="宋体"/>
          <w:color w:val="auto"/>
          <w:sz w:val="24"/>
          <w:highlight w:val="none"/>
          <w:lang w:eastAsia="zh-CN"/>
        </w:rPr>
        <w:t>考核表（附表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1.6.2</w:t>
      </w:r>
      <w:r>
        <w:rPr>
          <w:rFonts w:hint="eastAsia" w:ascii="宋体" w:hAnsi="宋体" w:eastAsia="宋体" w:cs="宋体"/>
          <w:b/>
          <w:color w:val="auto"/>
          <w:sz w:val="24"/>
          <w:highlight w:val="none"/>
        </w:rPr>
        <w:t>考核方法和程序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（一）考核办法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白蚁防治工作考核每季度一次，第四季度的考核为年度考核。考核方法采取资料审查与现场抽查相结合的方式。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（二）考核程序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（1）资料上交。每季度结束前一个星期，白蚁防治单位需整理好该季度白蚁防治工作的台账资料，并上交给浦阳江流域管理中心审查。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（2）资料审核。</w:t>
      </w:r>
      <w:r>
        <w:rPr>
          <w:rFonts w:hint="eastAsia" w:ascii="宋体" w:hAnsi="宋体" w:eastAsia="宋体" w:cs="宋体"/>
          <w:color w:val="auto"/>
          <w:sz w:val="24"/>
          <w:highlight w:val="none"/>
          <w:lang w:eastAsia="zh-CN"/>
        </w:rPr>
        <w:t>浦阳江流域管理中心</w:t>
      </w:r>
      <w:r>
        <w:rPr>
          <w:rFonts w:hint="eastAsia" w:ascii="宋体" w:hAnsi="宋体" w:eastAsia="宋体" w:cs="宋体"/>
          <w:color w:val="auto"/>
          <w:sz w:val="24"/>
          <w:highlight w:val="none"/>
        </w:rPr>
        <w:t>组织人员对白蚁防治工作台账资料进行审查，针对台账资料的完整性、内容详实性、图文结合性以及工作成效性等综合评判打分。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（3）综合评定。随机选取10%~20%的</w:t>
      </w:r>
      <w:r>
        <w:rPr>
          <w:rFonts w:hint="eastAsia" w:ascii="宋体" w:eastAsia="宋体"/>
          <w:color w:val="auto"/>
          <w:highlight w:val="none"/>
          <w:lang w:eastAsia="zh-CN"/>
        </w:rPr>
        <w:t>堤防</w:t>
      </w:r>
      <w:r>
        <w:rPr>
          <w:rFonts w:hint="eastAsia" w:ascii="宋体" w:hAnsi="宋体" w:eastAsia="宋体" w:cs="宋体"/>
          <w:color w:val="auto"/>
          <w:sz w:val="24"/>
          <w:highlight w:val="none"/>
        </w:rPr>
        <w:t>进行现场抽查，按照“白蚁防治工作考核</w:t>
      </w:r>
      <w:r>
        <w:rPr>
          <w:rFonts w:hint="eastAsia" w:ascii="宋体" w:hAnsi="宋体" w:eastAsia="宋体" w:cs="宋体"/>
          <w:color w:val="auto"/>
          <w:sz w:val="24"/>
          <w:highlight w:val="none"/>
          <w:lang w:eastAsia="zh-CN"/>
        </w:rPr>
        <w:t>表</w:t>
      </w:r>
      <w:r>
        <w:rPr>
          <w:rFonts w:hint="eastAsia" w:ascii="宋体" w:hAnsi="宋体" w:eastAsia="宋体" w:cs="宋体"/>
          <w:color w:val="auto"/>
          <w:sz w:val="24"/>
          <w:highlight w:val="none"/>
        </w:rPr>
        <w:t>”进行现场评分（附</w:t>
      </w:r>
      <w:r>
        <w:rPr>
          <w:rFonts w:hint="eastAsia" w:ascii="宋体" w:hAnsi="宋体" w:eastAsia="宋体" w:cs="宋体"/>
          <w:color w:val="auto"/>
          <w:sz w:val="24"/>
          <w:highlight w:val="none"/>
          <w:lang w:eastAsia="zh-CN"/>
        </w:rPr>
        <w:t>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），抽查结果</w:t>
      </w:r>
      <w:r>
        <w:rPr>
          <w:rFonts w:hint="eastAsia" w:ascii="宋体" w:hAnsi="宋体" w:eastAsia="宋体" w:cs="宋体"/>
          <w:color w:val="auto"/>
          <w:sz w:val="24"/>
          <w:highlight w:val="none"/>
          <w:lang w:eastAsia="zh-CN"/>
        </w:rPr>
        <w:t>结合台账情况</w:t>
      </w:r>
      <w:r>
        <w:rPr>
          <w:rFonts w:hint="eastAsia" w:ascii="宋体" w:hAnsi="宋体" w:eastAsia="宋体" w:cs="宋体"/>
          <w:color w:val="auto"/>
          <w:sz w:val="24"/>
          <w:highlight w:val="none"/>
        </w:rPr>
        <w:t>作为白蚁防治单位该季度白蚁防治的</w:t>
      </w:r>
      <w:r>
        <w:rPr>
          <w:rFonts w:hint="eastAsia" w:ascii="宋体" w:hAnsi="宋体" w:eastAsia="宋体" w:cs="宋体"/>
          <w:color w:val="auto"/>
          <w:sz w:val="24"/>
          <w:highlight w:val="none"/>
          <w:lang w:eastAsia="zh-CN"/>
        </w:rPr>
        <w:t>考核</w:t>
      </w:r>
      <w:r>
        <w:rPr>
          <w:rFonts w:hint="eastAsia" w:ascii="宋体" w:hAnsi="宋体" w:eastAsia="宋体" w:cs="宋体"/>
          <w:color w:val="auto"/>
          <w:sz w:val="24"/>
          <w:highlight w:val="none"/>
        </w:rPr>
        <w:t>得分</w:t>
      </w:r>
      <w:r>
        <w:rPr>
          <w:rFonts w:hint="eastAsia" w:ascii="宋体" w:hAnsi="宋体" w:eastAsia="宋体" w:cs="宋体"/>
          <w:color w:val="auto"/>
          <w:sz w:val="24"/>
          <w:highlight w:val="none"/>
          <w:lang w:eastAsia="zh-CN"/>
        </w:rPr>
        <w:t>，确定考核等级</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（三）考核等级确定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考核办法采用标准分制，满分100分，其中20分为专项加分项。评价结果分为3个等级，60分以上分为优秀、合格，其中90以上（含90分）为优秀，其余为合格，60分以下为不合格。</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　　</w:t>
      </w:r>
      <w:r>
        <w:rPr>
          <w:rFonts w:hint="eastAsia" w:ascii="宋体" w:hAnsi="宋体" w:eastAsia="宋体" w:cs="宋体"/>
          <w:b/>
          <w:color w:val="auto"/>
          <w:sz w:val="24"/>
          <w:szCs w:val="24"/>
          <w:highlight w:val="none"/>
          <w:lang w:val="en-US" w:eastAsia="zh-CN"/>
        </w:rPr>
        <w:t>1.6.3</w:t>
      </w:r>
      <w:r>
        <w:rPr>
          <w:rFonts w:hint="eastAsia" w:ascii="宋体" w:hAnsi="宋体" w:eastAsia="宋体" w:cs="宋体"/>
          <w:b/>
          <w:color w:val="auto"/>
          <w:sz w:val="24"/>
          <w:szCs w:val="24"/>
          <w:highlight w:val="none"/>
        </w:rPr>
        <w:t>考核奖惩措施</w:t>
      </w:r>
    </w:p>
    <w:p>
      <w:pPr>
        <w:numPr>
          <w:ilvl w:val="0"/>
          <w:numId w:val="2"/>
        </w:num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每</w:t>
      </w:r>
      <w:r>
        <w:rPr>
          <w:rFonts w:hint="eastAsia" w:ascii="宋体" w:hAnsi="宋体" w:eastAsia="宋体" w:cs="宋体"/>
          <w:bCs/>
          <w:color w:val="auto"/>
          <w:sz w:val="24"/>
          <w:szCs w:val="24"/>
          <w:highlight w:val="none"/>
          <w:lang w:eastAsia="zh-CN"/>
        </w:rPr>
        <w:t>季</w:t>
      </w:r>
      <w:r>
        <w:rPr>
          <w:rFonts w:hint="eastAsia" w:ascii="宋体" w:hAnsi="宋体" w:eastAsia="宋体" w:cs="宋体"/>
          <w:bCs/>
          <w:color w:val="auto"/>
          <w:sz w:val="24"/>
          <w:szCs w:val="24"/>
          <w:highlight w:val="none"/>
        </w:rPr>
        <w:t>考核成绩低于90分，每1分扣</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000元；低于85分，每1分扣</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000元</w:t>
      </w:r>
      <w:r>
        <w:rPr>
          <w:rFonts w:hint="eastAsia" w:ascii="宋体" w:hAnsi="宋体" w:eastAsia="宋体" w:cs="宋体"/>
          <w:color w:val="auto"/>
          <w:sz w:val="24"/>
          <w:szCs w:val="24"/>
          <w:highlight w:val="none"/>
        </w:rPr>
        <w:t>。服务期内累计两次月考核不合格的，</w:t>
      </w:r>
      <w:r>
        <w:rPr>
          <w:rFonts w:hint="eastAsia" w:ascii="宋体" w:hAnsi="宋体" w:eastAsia="宋体" w:cs="宋体"/>
          <w:color w:val="auto"/>
          <w:sz w:val="24"/>
          <w:szCs w:val="24"/>
          <w:highlight w:val="none"/>
          <w:lang w:eastAsia="zh-CN"/>
        </w:rPr>
        <w:t>业主</w:t>
      </w:r>
      <w:r>
        <w:rPr>
          <w:rFonts w:hint="eastAsia" w:ascii="宋体" w:hAnsi="宋体" w:eastAsia="宋体" w:cs="宋体"/>
          <w:color w:val="auto"/>
          <w:sz w:val="24"/>
          <w:szCs w:val="24"/>
          <w:highlight w:val="none"/>
        </w:rPr>
        <w:t>有权终止与</w:t>
      </w:r>
      <w:r>
        <w:rPr>
          <w:rFonts w:hint="eastAsia" w:ascii="宋体" w:hAnsi="宋体" w:eastAsia="宋体" w:cs="宋体"/>
          <w:color w:val="auto"/>
          <w:sz w:val="24"/>
          <w:highlight w:val="none"/>
        </w:rPr>
        <w:t>白蚁防治单位</w:t>
      </w:r>
      <w:r>
        <w:rPr>
          <w:rFonts w:hint="eastAsia" w:ascii="宋体" w:hAnsi="宋体" w:eastAsia="宋体" w:cs="宋体"/>
          <w:color w:val="auto"/>
          <w:sz w:val="24"/>
          <w:szCs w:val="24"/>
          <w:highlight w:val="none"/>
        </w:rPr>
        <w:t>的合同，并清算劳务费，解除合同。</w:t>
      </w:r>
    </w:p>
    <w:p>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szCs w:val="24"/>
          <w:highlight w:val="none"/>
        </w:rPr>
        <w:t>被上级部门通报批评、抄告单或区级以上媒体曝光的，经调查核实后，如责任在</w:t>
      </w:r>
      <w:r>
        <w:rPr>
          <w:rFonts w:hint="eastAsia" w:ascii="宋体" w:hAnsi="宋体" w:eastAsia="宋体" w:cs="宋体"/>
          <w:color w:val="auto"/>
          <w:sz w:val="24"/>
          <w:highlight w:val="none"/>
        </w:rPr>
        <w:t>白蚁防治单位</w:t>
      </w:r>
      <w:r>
        <w:rPr>
          <w:rFonts w:hint="eastAsia" w:ascii="宋体" w:hAnsi="宋体" w:eastAsia="宋体" w:cs="宋体"/>
          <w:color w:val="auto"/>
          <w:sz w:val="24"/>
          <w:szCs w:val="24"/>
          <w:highlight w:val="none"/>
        </w:rPr>
        <w:t>，则扣除中标价的1%。</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szCs w:val="24"/>
          <w:highlight w:val="none"/>
        </w:rPr>
        <w:t>发生重大安全生产有责事故，经调查核实后，如责任在</w:t>
      </w:r>
      <w:r>
        <w:rPr>
          <w:rFonts w:hint="eastAsia" w:ascii="宋体" w:hAnsi="宋体" w:eastAsia="宋体" w:cs="宋体"/>
          <w:color w:val="auto"/>
          <w:sz w:val="24"/>
          <w:highlight w:val="none"/>
        </w:rPr>
        <w:t>白蚁防治单位</w:t>
      </w:r>
      <w:r>
        <w:rPr>
          <w:rFonts w:hint="eastAsia" w:ascii="宋体" w:hAnsi="宋体" w:eastAsia="宋体" w:cs="宋体"/>
          <w:color w:val="auto"/>
          <w:sz w:val="24"/>
          <w:szCs w:val="24"/>
          <w:highlight w:val="none"/>
        </w:rPr>
        <w:t>，终止合同，并承担相应责任。</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val="0"/>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28"/>
          <w:szCs w:val="28"/>
          <w:highlight w:val="none"/>
        </w:rPr>
        <w:t>附</w:t>
      </w:r>
      <w:r>
        <w:rPr>
          <w:rFonts w:hint="eastAsia" w:ascii="宋体" w:hAnsi="宋体" w:eastAsia="宋体" w:cs="宋体"/>
          <w:b/>
          <w:bCs w:val="0"/>
          <w:color w:val="auto"/>
          <w:sz w:val="28"/>
          <w:szCs w:val="28"/>
          <w:highlight w:val="none"/>
          <w:lang w:eastAsia="zh-CN"/>
        </w:rPr>
        <w:t>表</w:t>
      </w:r>
      <w:r>
        <w:rPr>
          <w:rFonts w:hint="eastAsia" w:ascii="宋体" w:hAnsi="宋体" w:eastAsia="宋体" w:cs="宋体"/>
          <w:b/>
          <w:bCs w:val="0"/>
          <w:color w:val="auto"/>
          <w:sz w:val="28"/>
          <w:szCs w:val="28"/>
          <w:highlight w:val="none"/>
          <w:lang w:val="en-US" w:eastAsia="zh-CN"/>
        </w:rPr>
        <w:t>1</w:t>
      </w:r>
      <w:r>
        <w:rPr>
          <w:rFonts w:hint="eastAsia" w:ascii="宋体" w:hAnsi="宋体" w:eastAsia="宋体" w:cs="宋体"/>
          <w:b/>
          <w:bCs w:val="0"/>
          <w:color w:val="auto"/>
          <w:sz w:val="28"/>
          <w:szCs w:val="28"/>
          <w:highlight w:val="none"/>
        </w:rPr>
        <w:t xml:space="preserve"> </w:t>
      </w:r>
      <w:r>
        <w:rPr>
          <w:rFonts w:hint="eastAsia" w:ascii="宋体" w:hAnsi="宋体" w:eastAsia="宋体" w:cs="宋体"/>
          <w:b/>
          <w:bCs w:val="0"/>
          <w:color w:val="auto"/>
          <w:sz w:val="32"/>
          <w:szCs w:val="32"/>
          <w:highlight w:val="none"/>
        </w:rPr>
        <w:t xml:space="preserve">       白蚁防治工作考核</w:t>
      </w:r>
      <w:r>
        <w:rPr>
          <w:rFonts w:hint="eastAsia" w:ascii="宋体" w:hAnsi="宋体" w:eastAsia="宋体" w:cs="宋体"/>
          <w:b/>
          <w:bCs w:val="0"/>
          <w:color w:val="auto"/>
          <w:sz w:val="32"/>
          <w:szCs w:val="32"/>
          <w:highlight w:val="none"/>
          <w:lang w:eastAsia="zh-CN"/>
        </w:rPr>
        <w:t>表</w:t>
      </w:r>
    </w:p>
    <w:p>
      <w:pPr>
        <w:keepNext w:val="0"/>
        <w:keepLines w:val="0"/>
        <w:pageBreakBefore w:val="0"/>
        <w:widowControl/>
        <w:kinsoku/>
        <w:wordWrap/>
        <w:overflowPunct/>
        <w:topLinePunct w:val="0"/>
        <w:bidi w:val="0"/>
        <w:adjustRightInd/>
        <w:snapToGrid/>
        <w:spacing w:line="2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时间：      年   月   日</w:t>
      </w:r>
    </w:p>
    <w:tbl>
      <w:tblPr>
        <w:tblStyle w:val="36"/>
        <w:tblW w:w="4998" w:type="pct"/>
        <w:jc w:val="center"/>
        <w:tblLayout w:type="autofit"/>
        <w:tblCellMar>
          <w:top w:w="0" w:type="dxa"/>
          <w:left w:w="108" w:type="dxa"/>
          <w:bottom w:w="0" w:type="dxa"/>
          <w:right w:w="108" w:type="dxa"/>
        </w:tblCellMar>
      </w:tblPr>
      <w:tblGrid>
        <w:gridCol w:w="705"/>
        <w:gridCol w:w="3150"/>
        <w:gridCol w:w="4764"/>
      </w:tblGrid>
      <w:tr>
        <w:tblPrEx>
          <w:tblCellMar>
            <w:top w:w="0" w:type="dxa"/>
            <w:left w:w="108" w:type="dxa"/>
            <w:bottom w:w="0" w:type="dxa"/>
            <w:right w:w="108" w:type="dxa"/>
          </w:tblCellMar>
        </w:tblPrEx>
        <w:trPr>
          <w:trHeight w:val="651" w:hRule="atLeast"/>
          <w:tblHeader/>
          <w:jc w:val="center"/>
        </w:trPr>
        <w:tc>
          <w:tcPr>
            <w:tcW w:w="4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b/>
                <w:color w:val="auto"/>
                <w:kern w:val="0"/>
                <w:sz w:val="22"/>
                <w:highlight w:val="none"/>
              </w:rPr>
            </w:pPr>
            <w:r>
              <w:rPr>
                <w:rFonts w:hint="eastAsia" w:ascii="宋体" w:hAnsi="宋体" w:eastAsia="宋体" w:cs="宋体"/>
                <w:b/>
                <w:color w:val="auto"/>
                <w:kern w:val="0"/>
                <w:sz w:val="22"/>
                <w:highlight w:val="none"/>
              </w:rPr>
              <w:t>项目</w:t>
            </w: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b/>
                <w:color w:val="auto"/>
                <w:kern w:val="0"/>
                <w:sz w:val="22"/>
                <w:highlight w:val="none"/>
              </w:rPr>
            </w:pPr>
            <w:r>
              <w:rPr>
                <w:rFonts w:hint="eastAsia" w:ascii="宋体" w:hAnsi="宋体" w:eastAsia="宋体" w:cs="宋体"/>
                <w:b/>
                <w:color w:val="auto"/>
                <w:kern w:val="0"/>
                <w:sz w:val="22"/>
                <w:highlight w:val="none"/>
              </w:rPr>
              <w:t>考核标准</w:t>
            </w:r>
          </w:p>
        </w:tc>
        <w:tc>
          <w:tcPr>
            <w:tcW w:w="2763" w:type="pct"/>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b/>
                <w:color w:val="auto"/>
                <w:kern w:val="0"/>
                <w:sz w:val="22"/>
                <w:highlight w:val="none"/>
              </w:rPr>
            </w:pPr>
            <w:r>
              <w:rPr>
                <w:rFonts w:hint="eastAsia" w:ascii="宋体" w:hAnsi="宋体" w:eastAsia="宋体" w:cs="宋体"/>
                <w:b/>
                <w:color w:val="auto"/>
                <w:kern w:val="0"/>
                <w:sz w:val="22"/>
                <w:highlight w:val="none"/>
                <w:lang w:eastAsia="zh-CN"/>
              </w:rPr>
              <w:t>得分</w:t>
            </w:r>
          </w:p>
        </w:tc>
      </w:tr>
      <w:tr>
        <w:tblPrEx>
          <w:tblCellMar>
            <w:top w:w="0" w:type="dxa"/>
            <w:left w:w="108" w:type="dxa"/>
            <w:bottom w:w="0" w:type="dxa"/>
            <w:right w:w="108" w:type="dxa"/>
          </w:tblCellMar>
        </w:tblPrEx>
        <w:trPr>
          <w:trHeight w:val="850" w:hRule="exact"/>
          <w:jc w:val="center"/>
        </w:trPr>
        <w:tc>
          <w:tcPr>
            <w:tcW w:w="409"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迎水坡、背水坡坡面</w:t>
            </w:r>
            <w:r>
              <w:rPr>
                <w:rFonts w:hint="eastAsia" w:ascii="宋体" w:hAnsi="宋体" w:eastAsia="宋体" w:cs="宋体"/>
                <w:color w:val="auto"/>
                <w:kern w:val="0"/>
                <w:sz w:val="22"/>
                <w:highlight w:val="none"/>
                <w:lang w:val="en-US" w:eastAsia="zh-CN"/>
              </w:rPr>
              <w:t>（40分）</w:t>
            </w: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1、杂草、垃圾或其他利于白蚁滋生的植物是否清除干净</w:t>
            </w:r>
            <w:r>
              <w:rPr>
                <w:rFonts w:hint="eastAsia" w:ascii="宋体" w:hAnsi="宋体" w:eastAsia="宋体" w:cs="宋体"/>
                <w:color w:val="auto"/>
                <w:kern w:val="0"/>
                <w:sz w:val="22"/>
                <w:highlight w:val="none"/>
                <w:lang w:val="en-US" w:eastAsia="zh-CN"/>
              </w:rPr>
              <w:t>（10分）</w:t>
            </w:r>
          </w:p>
        </w:tc>
        <w:tc>
          <w:tcPr>
            <w:tcW w:w="2763"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pPr>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634" w:hRule="exact"/>
          <w:jc w:val="center"/>
        </w:trPr>
        <w:tc>
          <w:tcPr>
            <w:tcW w:w="409"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2、坡面是否有白蚁活动迹象、巢位指示物等 </w:t>
            </w:r>
            <w:r>
              <w:rPr>
                <w:rFonts w:hint="eastAsia" w:ascii="宋体" w:hAnsi="宋体" w:eastAsia="宋体" w:cs="宋体"/>
                <w:color w:val="auto"/>
                <w:kern w:val="0"/>
                <w:sz w:val="22"/>
                <w:highlight w:val="none"/>
                <w:lang w:val="en-US" w:eastAsia="zh-CN"/>
              </w:rPr>
              <w:t>（10分）</w:t>
            </w:r>
          </w:p>
        </w:tc>
        <w:tc>
          <w:tcPr>
            <w:tcW w:w="27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1075" w:hRule="exact"/>
          <w:jc w:val="center"/>
        </w:trPr>
        <w:tc>
          <w:tcPr>
            <w:tcW w:w="409"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3、坡面现场白蚁检测装置或引诱堆、引诱桩、引诱坑、检查盒、诱杀包等是否按标准设置</w:t>
            </w:r>
            <w:r>
              <w:rPr>
                <w:rFonts w:hint="eastAsia" w:ascii="宋体" w:hAnsi="宋体" w:eastAsia="宋体" w:cs="宋体"/>
                <w:color w:val="auto"/>
                <w:kern w:val="0"/>
                <w:sz w:val="22"/>
                <w:highlight w:val="none"/>
                <w:lang w:val="en-US" w:eastAsia="zh-CN"/>
              </w:rPr>
              <w:t>（10分）</w:t>
            </w:r>
          </w:p>
        </w:tc>
        <w:tc>
          <w:tcPr>
            <w:tcW w:w="27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1030" w:hRule="exact"/>
          <w:jc w:val="center"/>
        </w:trPr>
        <w:tc>
          <w:tcPr>
            <w:tcW w:w="409" w:type="pct"/>
            <w:vMerge w:val="continue"/>
            <w:tcBorders>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4、坡面现场白蚁检测装置或引诱堆、引诱桩、引诱坑、检查盒、诱杀包等是否损坏、遗失</w:t>
            </w:r>
            <w:r>
              <w:rPr>
                <w:rFonts w:hint="eastAsia" w:ascii="宋体" w:hAnsi="宋体" w:eastAsia="宋体" w:cs="宋体"/>
                <w:color w:val="auto"/>
                <w:kern w:val="0"/>
                <w:sz w:val="22"/>
                <w:highlight w:val="none"/>
                <w:lang w:val="en-US" w:eastAsia="zh-CN"/>
              </w:rPr>
              <w:t>（10分）</w:t>
            </w:r>
          </w:p>
        </w:tc>
        <w:tc>
          <w:tcPr>
            <w:tcW w:w="27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850" w:hRule="exact"/>
          <w:jc w:val="center"/>
        </w:trPr>
        <w:tc>
          <w:tcPr>
            <w:tcW w:w="409"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大坝两端及管理范围</w:t>
            </w:r>
            <w:r>
              <w:rPr>
                <w:rFonts w:hint="eastAsia" w:ascii="宋体" w:hAnsi="宋体" w:eastAsia="宋体" w:cs="宋体"/>
                <w:color w:val="auto"/>
                <w:kern w:val="0"/>
                <w:sz w:val="22"/>
                <w:highlight w:val="none"/>
                <w:lang w:val="en-US" w:eastAsia="zh-CN"/>
              </w:rPr>
              <w:t>（30分）</w:t>
            </w: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1、管理范围内杂草、高</w:t>
            </w:r>
            <w:r>
              <w:rPr>
                <w:rFonts w:hint="eastAsia" w:ascii="宋体" w:hAnsi="宋体" w:eastAsia="宋体" w:cs="宋体"/>
                <w:color w:val="auto"/>
                <w:kern w:val="0"/>
                <w:sz w:val="22"/>
                <w:highlight w:val="none"/>
                <w:lang w:eastAsia="zh-CN"/>
              </w:rPr>
              <w:t>杆</w:t>
            </w:r>
            <w:r>
              <w:rPr>
                <w:rFonts w:hint="eastAsia" w:ascii="宋体" w:hAnsi="宋体" w:eastAsia="宋体" w:cs="宋体"/>
                <w:color w:val="auto"/>
                <w:kern w:val="0"/>
                <w:sz w:val="22"/>
                <w:highlight w:val="none"/>
              </w:rPr>
              <w:t>作物等其他利于白蚁滋生的植物是否清除干净</w:t>
            </w:r>
            <w:r>
              <w:rPr>
                <w:rFonts w:hint="eastAsia" w:ascii="宋体" w:hAnsi="宋体" w:eastAsia="宋体" w:cs="宋体"/>
                <w:color w:val="auto"/>
                <w:kern w:val="0"/>
                <w:sz w:val="22"/>
                <w:highlight w:val="none"/>
                <w:lang w:val="en-US" w:eastAsia="zh-CN"/>
              </w:rPr>
              <w:t>（10分）</w:t>
            </w:r>
          </w:p>
        </w:tc>
        <w:tc>
          <w:tcPr>
            <w:tcW w:w="2763"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pPr>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pPr>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670" w:hRule="exact"/>
          <w:jc w:val="center"/>
        </w:trPr>
        <w:tc>
          <w:tcPr>
            <w:tcW w:w="409"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2、管理范围内是否有白蚁活动迹象或巢位指示物</w:t>
            </w:r>
            <w:r>
              <w:rPr>
                <w:rFonts w:hint="eastAsia" w:ascii="宋体" w:hAnsi="宋体" w:eastAsia="宋体" w:cs="宋体"/>
                <w:color w:val="auto"/>
                <w:kern w:val="0"/>
                <w:sz w:val="22"/>
                <w:highlight w:val="none"/>
                <w:lang w:val="en-US" w:eastAsia="zh-CN"/>
              </w:rPr>
              <w:t>（10分）</w:t>
            </w:r>
          </w:p>
        </w:tc>
        <w:tc>
          <w:tcPr>
            <w:tcW w:w="27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pPr>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pPr>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1020" w:hRule="exact"/>
          <w:jc w:val="center"/>
        </w:trPr>
        <w:tc>
          <w:tcPr>
            <w:tcW w:w="409"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3、管理范围内现场白蚁检测装置或引诱堆、引诱桩、引诱坑、检查盒、诱杀包等是否按标准设置，是否损坏、遗失</w:t>
            </w:r>
            <w:r>
              <w:rPr>
                <w:rFonts w:hint="eastAsia" w:ascii="宋体" w:hAnsi="宋体" w:eastAsia="宋体" w:cs="宋体"/>
                <w:color w:val="auto"/>
                <w:kern w:val="0"/>
                <w:sz w:val="22"/>
                <w:highlight w:val="none"/>
                <w:lang w:val="en-US" w:eastAsia="zh-CN"/>
              </w:rPr>
              <w:t>（10分）</w:t>
            </w:r>
          </w:p>
        </w:tc>
        <w:tc>
          <w:tcPr>
            <w:tcW w:w="27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pPr>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850" w:hRule="exact"/>
          <w:jc w:val="center"/>
        </w:trPr>
        <w:tc>
          <w:tcPr>
            <w:tcW w:w="409"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人员设备</w:t>
            </w:r>
          </w:p>
          <w:p>
            <w:pPr>
              <w:pStyle w:val="2"/>
              <w:keepNext w:val="0"/>
              <w:keepLines w:val="0"/>
              <w:pageBreakBefore w:val="0"/>
              <w:widowControl/>
              <w:kinsoku/>
              <w:wordWrap/>
              <w:overflowPunct/>
              <w:topLinePunct w:val="0"/>
              <w:autoSpaceDE/>
              <w:autoSpaceDN/>
              <w:bidi w:val="0"/>
              <w:adjustRightInd/>
              <w:snapToGrid/>
              <w:spacing w:after="0" w:line="240" w:lineRule="exact"/>
              <w:ind w:firstLine="0"/>
              <w:textAlignment w:val="auto"/>
              <w:rPr>
                <w:rFonts w:hint="eastAsia" w:ascii="宋体" w:hAnsi="宋体" w:eastAsia="宋体" w:cs="宋体"/>
                <w:color w:val="auto"/>
                <w:highlight w:val="none"/>
              </w:rPr>
            </w:pPr>
            <w:r>
              <w:rPr>
                <w:rFonts w:hint="eastAsia" w:ascii="宋体" w:hAnsi="宋体" w:eastAsia="宋体" w:cs="宋体"/>
                <w:color w:val="auto"/>
                <w:kern w:val="0"/>
                <w:sz w:val="22"/>
                <w:highlight w:val="none"/>
                <w:lang w:val="en-US" w:eastAsia="zh-CN"/>
              </w:rPr>
              <w:t>（21分）</w:t>
            </w: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1、防治人员是否按册及时到岗，使用设备是否符合规程</w:t>
            </w:r>
            <w:r>
              <w:rPr>
                <w:rFonts w:hint="eastAsia" w:ascii="宋体" w:hAnsi="宋体" w:eastAsia="宋体" w:cs="宋体"/>
                <w:color w:val="auto"/>
                <w:kern w:val="0"/>
                <w:sz w:val="22"/>
                <w:highlight w:val="none"/>
                <w:lang w:val="en-US" w:eastAsia="zh-CN"/>
              </w:rPr>
              <w:t>（7分）</w:t>
            </w:r>
          </w:p>
        </w:tc>
        <w:tc>
          <w:tcPr>
            <w:tcW w:w="27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pPr>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730" w:hRule="exact"/>
          <w:jc w:val="center"/>
        </w:trPr>
        <w:tc>
          <w:tcPr>
            <w:tcW w:w="409"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2、白蚁防治设备按名录储备齐全</w:t>
            </w:r>
            <w:r>
              <w:rPr>
                <w:rFonts w:hint="eastAsia" w:ascii="宋体" w:hAnsi="宋体" w:eastAsia="宋体" w:cs="宋体"/>
                <w:color w:val="auto"/>
                <w:kern w:val="0"/>
                <w:sz w:val="22"/>
                <w:highlight w:val="none"/>
                <w:lang w:val="en-US" w:eastAsia="zh-CN"/>
              </w:rPr>
              <w:t>（7分）</w:t>
            </w:r>
          </w:p>
        </w:tc>
        <w:tc>
          <w:tcPr>
            <w:tcW w:w="27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pPr>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850" w:hRule="exact"/>
          <w:jc w:val="center"/>
        </w:trPr>
        <w:tc>
          <w:tcPr>
            <w:tcW w:w="409"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3、药物使用及喷洒投放是否符合规程，是否在投药位置设置醒目的警示牌</w:t>
            </w:r>
            <w:r>
              <w:rPr>
                <w:rFonts w:hint="eastAsia" w:ascii="宋体" w:hAnsi="宋体" w:eastAsia="宋体" w:cs="宋体"/>
                <w:color w:val="auto"/>
                <w:kern w:val="0"/>
                <w:sz w:val="22"/>
                <w:highlight w:val="none"/>
                <w:lang w:val="en-US" w:eastAsia="zh-CN"/>
              </w:rPr>
              <w:t>（7分）</w:t>
            </w:r>
          </w:p>
        </w:tc>
        <w:tc>
          <w:tcPr>
            <w:tcW w:w="27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pPr>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565" w:hRule="atLeast"/>
          <w:jc w:val="center"/>
        </w:trPr>
        <w:tc>
          <w:tcPr>
            <w:tcW w:w="40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维养台账</w:t>
            </w:r>
            <w:r>
              <w:rPr>
                <w:rFonts w:hint="eastAsia" w:ascii="宋体" w:hAnsi="宋体" w:eastAsia="宋体" w:cs="宋体"/>
                <w:color w:val="auto"/>
                <w:kern w:val="0"/>
                <w:sz w:val="22"/>
                <w:highlight w:val="none"/>
                <w:lang w:val="en-US" w:eastAsia="zh-CN"/>
              </w:rPr>
              <w:t>（9分）</w:t>
            </w: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考核标准</w:t>
            </w:r>
          </w:p>
        </w:tc>
        <w:tc>
          <w:tcPr>
            <w:tcW w:w="2763" w:type="pct"/>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未按要求开展巡查，巡查、维养未做好各类记录的，每项扣3分</w:t>
            </w:r>
          </w:p>
        </w:tc>
      </w:tr>
      <w:tr>
        <w:tblPrEx>
          <w:tblCellMar>
            <w:top w:w="0" w:type="dxa"/>
            <w:left w:w="108" w:type="dxa"/>
            <w:bottom w:w="0" w:type="dxa"/>
            <w:right w:w="108" w:type="dxa"/>
          </w:tblCellMar>
        </w:tblPrEx>
        <w:trPr>
          <w:trHeight w:val="530" w:hRule="atLeast"/>
          <w:jc w:val="center"/>
        </w:trPr>
        <w:tc>
          <w:tcPr>
            <w:tcW w:w="409" w:type="pct"/>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p>
        </w:tc>
        <w:tc>
          <w:tcPr>
            <w:tcW w:w="182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是否按要求开展</w:t>
            </w:r>
            <w:r>
              <w:rPr>
                <w:rFonts w:hint="eastAsia" w:ascii="宋体" w:hAnsi="宋体" w:eastAsia="宋体" w:cs="宋体"/>
                <w:color w:val="auto"/>
                <w:kern w:val="0"/>
                <w:sz w:val="22"/>
                <w:highlight w:val="none"/>
                <w:lang w:eastAsia="zh-CN"/>
              </w:rPr>
              <w:t>作业区</w:t>
            </w:r>
            <w:r>
              <w:rPr>
                <w:rFonts w:hint="eastAsia" w:ascii="宋体" w:hAnsi="宋体" w:eastAsia="宋体" w:cs="宋体"/>
                <w:color w:val="auto"/>
                <w:kern w:val="0"/>
                <w:sz w:val="22"/>
                <w:highlight w:val="none"/>
              </w:rPr>
              <w:t>巡查，并做好各类记录</w:t>
            </w:r>
          </w:p>
        </w:tc>
        <w:tc>
          <w:tcPr>
            <w:tcW w:w="27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855" w:hRule="atLeast"/>
          <w:jc w:val="center"/>
        </w:trPr>
        <w:tc>
          <w:tcPr>
            <w:tcW w:w="409" w:type="pct"/>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考核结果</w:t>
            </w:r>
          </w:p>
        </w:tc>
        <w:tc>
          <w:tcPr>
            <w:tcW w:w="4590" w:type="pct"/>
            <w:gridSpan w:val="2"/>
            <w:tcBorders>
              <w:top w:val="nil"/>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2"/>
                <w:highlight w:val="none"/>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本次考核总</w:t>
            </w:r>
            <w:r>
              <w:rPr>
                <w:rFonts w:hint="eastAsia" w:ascii="宋体" w:hAnsi="宋体" w:eastAsia="宋体" w:cs="宋体"/>
                <w:color w:val="auto"/>
                <w:kern w:val="0"/>
                <w:sz w:val="22"/>
                <w:highlight w:val="none"/>
                <w:lang w:eastAsia="zh-CN"/>
              </w:rPr>
              <w:t>得</w:t>
            </w:r>
            <w:r>
              <w:rPr>
                <w:rFonts w:hint="eastAsia" w:ascii="宋体" w:hAnsi="宋体" w:eastAsia="宋体" w:cs="宋体"/>
                <w:color w:val="auto"/>
                <w:kern w:val="0"/>
                <w:sz w:val="22"/>
                <w:highlight w:val="none"/>
              </w:rPr>
              <w:t>分：</w:t>
            </w:r>
            <w:r>
              <w:rPr>
                <w:rFonts w:hint="eastAsia"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rPr>
              <w:t xml:space="preserve">分     </w:t>
            </w:r>
            <w:r>
              <w:rPr>
                <w:rFonts w:hint="eastAsia" w:ascii="宋体" w:hAnsi="宋体" w:eastAsia="宋体" w:cs="宋体"/>
                <w:color w:val="auto"/>
                <w:kern w:val="0"/>
                <w:sz w:val="22"/>
                <w:highlight w:val="none"/>
                <w:lang w:eastAsia="zh-CN"/>
              </w:rPr>
              <w:t>参加</w:t>
            </w:r>
            <w:r>
              <w:rPr>
                <w:rFonts w:hint="eastAsia" w:ascii="宋体" w:hAnsi="宋体" w:eastAsia="宋体" w:cs="宋体"/>
                <w:color w:val="auto"/>
                <w:kern w:val="0"/>
                <w:sz w:val="22"/>
                <w:highlight w:val="none"/>
              </w:rPr>
              <w:t>考核</w:t>
            </w:r>
            <w:r>
              <w:rPr>
                <w:rFonts w:hint="eastAsia" w:ascii="宋体" w:hAnsi="宋体" w:eastAsia="宋体" w:cs="宋体"/>
                <w:color w:val="auto"/>
                <w:kern w:val="0"/>
                <w:sz w:val="22"/>
                <w:highlight w:val="none"/>
                <w:lang w:eastAsia="zh-CN"/>
              </w:rPr>
              <w:t>人员</w:t>
            </w:r>
            <w:r>
              <w:rPr>
                <w:rFonts w:hint="eastAsia" w:ascii="宋体" w:hAnsi="宋体" w:eastAsia="宋体" w:cs="宋体"/>
                <w:color w:val="auto"/>
                <w:kern w:val="0"/>
                <w:sz w:val="22"/>
                <w:highlight w:val="none"/>
              </w:rPr>
              <w:t>：</w:t>
            </w:r>
            <w:r>
              <w:rPr>
                <w:rFonts w:hint="eastAsia"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u w:val="single"/>
                <w:lang w:val="en-US" w:eastAsia="zh-CN"/>
              </w:rPr>
              <w:t xml:space="preserve">        </w:t>
            </w:r>
            <w:r>
              <w:rPr>
                <w:rFonts w:hint="eastAsia"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u w:val="single"/>
                <w:lang w:val="en-US" w:eastAsia="zh-CN"/>
              </w:rPr>
              <w:t xml:space="preserve">      </w:t>
            </w:r>
            <w:r>
              <w:rPr>
                <w:rFonts w:hint="eastAsia"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rPr>
              <w:t xml:space="preserve">  </w:t>
            </w:r>
          </w:p>
        </w:tc>
      </w:tr>
    </w:tbl>
    <w:p>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注：1.扣分要提供照片和简要的文字说明；</w:t>
      </w:r>
    </w:p>
    <w:p>
      <w:pPr>
        <w:keepNext w:val="0"/>
        <w:keepLines w:val="0"/>
        <w:pageBreakBefore w:val="0"/>
        <w:widowControl/>
        <w:numPr>
          <w:ilvl w:val="-1"/>
          <w:numId w:val="0"/>
        </w:numPr>
        <w:kinsoku/>
        <w:wordWrap/>
        <w:overflowPunct/>
        <w:topLinePunct w:val="0"/>
        <w:autoSpaceDE/>
        <w:autoSpaceDN/>
        <w:bidi w:val="0"/>
        <w:adjustRightInd/>
        <w:snapToGrid/>
        <w:spacing w:after="0" w:line="240" w:lineRule="exact"/>
        <w:ind w:firstLine="440" w:firstLineChars="200"/>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2.</w:t>
      </w:r>
      <w:r>
        <w:rPr>
          <w:rFonts w:hint="eastAsia" w:ascii="宋体" w:hAnsi="宋体" w:eastAsia="宋体" w:cs="宋体"/>
          <w:color w:val="auto"/>
          <w:kern w:val="0"/>
          <w:sz w:val="22"/>
          <w:highlight w:val="none"/>
        </w:rPr>
        <w:t>考核结果根据得分，满分100分，90分（含）以上为优秀、75（含）~90分为良好，60（含）~75分为合格，60分以下为不合格；</w:t>
      </w:r>
    </w:p>
    <w:p>
      <w:pPr>
        <w:widowControl w:val="0"/>
        <w:adjustRightInd w:val="0"/>
        <w:spacing w:after="0" w:line="360" w:lineRule="auto"/>
        <w:ind w:firstLine="482" w:firstLineChars="200"/>
        <w:jc w:val="both"/>
        <w:rPr>
          <w:rFonts w:hint="eastAsia" w:ascii="宋体" w:hAnsi="宋体" w:eastAsia="宋体" w:cs="宋体"/>
          <w:b/>
          <w:bCs/>
          <w:color w:val="auto"/>
          <w:kern w:val="2"/>
          <w:sz w:val="24"/>
          <w:highlight w:val="none"/>
          <w:lang w:eastAsia="zh-CN"/>
        </w:rPr>
      </w:pPr>
    </w:p>
    <w:p>
      <w:pPr>
        <w:widowControl w:val="0"/>
        <w:adjustRightInd w:val="0"/>
        <w:spacing w:after="0" w:line="360" w:lineRule="auto"/>
        <w:ind w:firstLine="482" w:firstLineChars="200"/>
        <w:jc w:val="both"/>
        <w:rPr>
          <w:rFonts w:hint="eastAsia" w:ascii="宋体" w:hAnsi="宋体" w:eastAsia="宋体" w:cs="宋体"/>
          <w:b/>
          <w:bCs/>
          <w:color w:val="auto"/>
          <w:kern w:val="2"/>
          <w:sz w:val="24"/>
          <w:highlight w:val="none"/>
        </w:rPr>
      </w:pPr>
      <w:r>
        <w:rPr>
          <w:rFonts w:hint="eastAsia" w:ascii="宋体" w:hAnsi="宋体" w:eastAsia="宋体" w:cs="宋体"/>
          <w:b/>
          <w:bCs/>
          <w:color w:val="auto"/>
          <w:kern w:val="2"/>
          <w:sz w:val="24"/>
          <w:highlight w:val="none"/>
          <w:lang w:eastAsia="zh-CN"/>
        </w:rPr>
        <w:t>（二）</w:t>
      </w:r>
      <w:r>
        <w:rPr>
          <w:rFonts w:hint="eastAsia" w:ascii="宋体" w:hAnsi="宋体" w:eastAsia="宋体" w:cs="宋体"/>
          <w:b/>
          <w:bCs/>
          <w:color w:val="auto"/>
          <w:kern w:val="2"/>
          <w:sz w:val="24"/>
          <w:highlight w:val="none"/>
        </w:rPr>
        <w:t>、商务需求</w:t>
      </w:r>
    </w:p>
    <w:p>
      <w:pPr>
        <w:widowControl w:val="0"/>
        <w:adjustRightInd w:val="0"/>
        <w:spacing w:after="0" w:line="360" w:lineRule="auto"/>
        <w:ind w:firstLine="480" w:firstLineChars="200"/>
        <w:jc w:val="both"/>
        <w:rPr>
          <w:rFonts w:hint="eastAsia" w:ascii="宋体" w:hAnsi="宋体" w:eastAsia="宋体" w:cs="宋体"/>
          <w:color w:val="auto"/>
          <w:kern w:val="2"/>
          <w:sz w:val="24"/>
          <w:highlight w:val="none"/>
        </w:rPr>
      </w:pPr>
      <w:r>
        <w:rPr>
          <w:rFonts w:hint="eastAsia" w:ascii="宋体" w:hAnsi="宋体" w:eastAsia="宋体" w:cs="宋体"/>
          <w:color w:val="auto"/>
          <w:highlight w:val="none"/>
        </w:rPr>
        <w:t>▲</w:t>
      </w:r>
      <w:r>
        <w:rPr>
          <w:rFonts w:hint="eastAsia" w:ascii="宋体" w:hAnsi="宋体" w:eastAsia="宋体" w:cs="宋体"/>
          <w:color w:val="auto"/>
          <w:kern w:val="2"/>
          <w:sz w:val="24"/>
          <w:highlight w:val="none"/>
        </w:rPr>
        <w:t>2.1</w:t>
      </w:r>
      <w:r>
        <w:rPr>
          <w:rFonts w:hint="eastAsia" w:ascii="宋体" w:hAnsi="宋体" w:eastAsia="宋体" w:cs="宋体"/>
          <w:b/>
          <w:bCs/>
          <w:color w:val="auto"/>
          <w:kern w:val="2"/>
          <w:sz w:val="24"/>
          <w:highlight w:val="none"/>
        </w:rPr>
        <w:t>服务期限</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1年（具体起止日期以合同签订时间为准）</w:t>
      </w:r>
      <w:r>
        <w:rPr>
          <w:rFonts w:hint="eastAsia" w:ascii="宋体" w:hAnsi="宋体" w:eastAsia="宋体" w:cs="宋体"/>
          <w:color w:val="auto"/>
          <w:kern w:val="2"/>
          <w:sz w:val="24"/>
          <w:highlight w:val="none"/>
        </w:rPr>
        <w:t>。</w:t>
      </w:r>
    </w:p>
    <w:p>
      <w:pPr>
        <w:widowControl w:val="0"/>
        <w:adjustRightInd w:val="0"/>
        <w:spacing w:after="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rPr>
        <w:t>.2</w:t>
      </w:r>
      <w:r>
        <w:rPr>
          <w:rFonts w:hint="eastAsia" w:ascii="宋体" w:hAnsi="宋体" w:eastAsia="宋体" w:cs="宋体"/>
          <w:b/>
          <w:bCs/>
          <w:color w:val="auto"/>
          <w:kern w:val="2"/>
          <w:sz w:val="24"/>
          <w:highlight w:val="none"/>
        </w:rPr>
        <w:t>服务地点：</w:t>
      </w:r>
      <w:r>
        <w:rPr>
          <w:rFonts w:hint="eastAsia" w:ascii="宋体" w:hAnsi="宋体" w:eastAsia="宋体" w:cs="宋体"/>
          <w:color w:val="auto"/>
          <w:kern w:val="2"/>
          <w:sz w:val="24"/>
          <w:highlight w:val="none"/>
        </w:rPr>
        <w:t>采购人指定地点。</w:t>
      </w:r>
    </w:p>
    <w:p>
      <w:pPr>
        <w:widowControl w:val="0"/>
        <w:adjustRightInd w:val="0"/>
        <w:spacing w:after="0" w:line="360" w:lineRule="auto"/>
        <w:ind w:firstLine="480" w:firstLineChars="200"/>
        <w:jc w:val="both"/>
        <w:rPr>
          <w:rFonts w:hint="eastAsia" w:ascii="宋体" w:hAnsi="宋体" w:eastAsia="宋体" w:cs="宋体"/>
          <w:color w:val="auto"/>
          <w:kern w:val="2"/>
          <w:sz w:val="24"/>
          <w:highlight w:val="none"/>
        </w:rPr>
      </w:pPr>
      <w:r>
        <w:rPr>
          <w:rFonts w:hint="eastAsia" w:ascii="宋体" w:hAnsi="宋体" w:eastAsia="宋体" w:cs="宋体"/>
          <w:color w:val="auto"/>
          <w:highlight w:val="none"/>
        </w:rPr>
        <w:t>▲</w:t>
      </w: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3</w:t>
      </w:r>
      <w:r>
        <w:rPr>
          <w:rFonts w:hint="eastAsia" w:ascii="宋体" w:hAnsi="宋体" w:eastAsia="宋体" w:cs="宋体"/>
          <w:b/>
          <w:bCs/>
          <w:color w:val="auto"/>
          <w:kern w:val="2"/>
          <w:sz w:val="24"/>
          <w:highlight w:val="none"/>
        </w:rPr>
        <w:t>付款方式</w:t>
      </w:r>
      <w:r>
        <w:rPr>
          <w:rFonts w:hint="eastAsia" w:ascii="宋体" w:hAnsi="宋体" w:eastAsia="宋体" w:cs="宋体"/>
          <w:color w:val="auto"/>
          <w:kern w:val="2"/>
          <w:sz w:val="24"/>
          <w:highlight w:val="none"/>
        </w:rPr>
        <w:t>：</w:t>
      </w:r>
    </w:p>
    <w:p>
      <w:pPr>
        <w:widowControl w:val="0"/>
        <w:adjustRightInd w:val="0"/>
        <w:spacing w:after="0" w:line="360" w:lineRule="auto"/>
        <w:ind w:firstLine="480" w:firstLineChars="200"/>
        <w:jc w:val="both"/>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合同签订且缴纳履约保证金后，根据考核结果分</w:t>
      </w:r>
      <w:r>
        <w:rPr>
          <w:rFonts w:hint="eastAsia" w:ascii="宋体" w:hAnsi="宋体" w:eastAsia="宋体" w:cs="宋体"/>
          <w:color w:val="auto"/>
          <w:kern w:val="2"/>
          <w:sz w:val="24"/>
          <w:highlight w:val="none"/>
          <w:lang w:val="en-US" w:eastAsia="zh-CN"/>
        </w:rPr>
        <w:t>4</w:t>
      </w:r>
      <w:r>
        <w:rPr>
          <w:rFonts w:hint="eastAsia" w:ascii="宋体" w:hAnsi="宋体" w:eastAsia="宋体" w:cs="宋体"/>
          <w:color w:val="auto"/>
          <w:kern w:val="2"/>
          <w:sz w:val="24"/>
          <w:highlight w:val="none"/>
        </w:rPr>
        <w:t>次结算支付：第一次支付：合同签订后支付合同金额的</w:t>
      </w:r>
      <w:r>
        <w:rPr>
          <w:rFonts w:hint="eastAsia" w:ascii="宋体" w:hAnsi="宋体" w:eastAsia="宋体" w:cs="宋体"/>
          <w:color w:val="auto"/>
          <w:kern w:val="2"/>
          <w:sz w:val="24"/>
          <w:highlight w:val="none"/>
          <w:lang w:val="en-US" w:eastAsia="zh-CN"/>
        </w:rPr>
        <w:t>25</w:t>
      </w:r>
      <w:r>
        <w:rPr>
          <w:rFonts w:hint="eastAsia" w:ascii="宋体" w:hAnsi="宋体" w:eastAsia="宋体" w:cs="宋体"/>
          <w:color w:val="auto"/>
          <w:kern w:val="2"/>
          <w:sz w:val="24"/>
          <w:highlight w:val="none"/>
        </w:rPr>
        <w:t>%预付款（第一季度不再另行支付）；第二次支付：第二季度末支付合同金额的</w:t>
      </w:r>
      <w:r>
        <w:rPr>
          <w:rFonts w:hint="eastAsia" w:ascii="宋体" w:hAnsi="宋体" w:eastAsia="宋体" w:cs="宋体"/>
          <w:color w:val="auto"/>
          <w:kern w:val="2"/>
          <w:sz w:val="24"/>
          <w:highlight w:val="none"/>
          <w:lang w:val="en-US" w:eastAsia="zh-CN"/>
        </w:rPr>
        <w:t>25</w:t>
      </w:r>
      <w:r>
        <w:rPr>
          <w:rFonts w:hint="eastAsia" w:ascii="宋体" w:hAnsi="宋体" w:eastAsia="宋体" w:cs="宋体"/>
          <w:color w:val="auto"/>
          <w:kern w:val="2"/>
          <w:sz w:val="24"/>
          <w:highlight w:val="none"/>
        </w:rPr>
        <w:t>%；第三次支付：第三季度末支付合同金额的</w:t>
      </w:r>
      <w:r>
        <w:rPr>
          <w:rFonts w:hint="eastAsia" w:ascii="宋体" w:hAnsi="宋体" w:eastAsia="宋体" w:cs="宋体"/>
          <w:color w:val="auto"/>
          <w:kern w:val="2"/>
          <w:sz w:val="24"/>
          <w:highlight w:val="none"/>
          <w:lang w:val="en-US" w:eastAsia="zh-CN"/>
        </w:rPr>
        <w:t>25</w:t>
      </w:r>
      <w:r>
        <w:rPr>
          <w:rFonts w:hint="eastAsia" w:ascii="宋体" w:hAnsi="宋体" w:eastAsia="宋体" w:cs="宋体"/>
          <w:color w:val="auto"/>
          <w:kern w:val="2"/>
          <w:sz w:val="24"/>
          <w:highlight w:val="none"/>
        </w:rPr>
        <w:t>%；第四次支付：第四季度末</w:t>
      </w:r>
      <w:r>
        <w:rPr>
          <w:rFonts w:hint="eastAsia" w:ascii="宋体" w:hAnsi="宋体" w:eastAsia="宋体" w:cs="宋体"/>
          <w:color w:val="auto"/>
          <w:kern w:val="2"/>
          <w:sz w:val="24"/>
          <w:highlight w:val="none"/>
          <w:lang w:eastAsia="zh-CN"/>
        </w:rPr>
        <w:t>且验收通过后</w:t>
      </w:r>
      <w:r>
        <w:rPr>
          <w:rFonts w:hint="eastAsia" w:ascii="宋体" w:hAnsi="宋体" w:eastAsia="宋体" w:cs="宋体"/>
          <w:color w:val="auto"/>
          <w:kern w:val="2"/>
          <w:sz w:val="24"/>
          <w:highlight w:val="none"/>
        </w:rPr>
        <w:t>支付合同金额的</w:t>
      </w:r>
      <w:r>
        <w:rPr>
          <w:rFonts w:hint="eastAsia" w:ascii="宋体" w:hAnsi="宋体" w:eastAsia="宋体" w:cs="宋体"/>
          <w:color w:val="auto"/>
          <w:kern w:val="2"/>
          <w:sz w:val="24"/>
          <w:highlight w:val="none"/>
          <w:lang w:val="en-US" w:eastAsia="zh-CN"/>
        </w:rPr>
        <w:t>25</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eastAsia="zh-CN"/>
        </w:rPr>
        <w:t>。如有季度考核低于</w:t>
      </w:r>
      <w:r>
        <w:rPr>
          <w:rFonts w:hint="eastAsia" w:ascii="宋体" w:hAnsi="宋体" w:eastAsia="宋体" w:cs="宋体"/>
          <w:color w:val="auto"/>
          <w:kern w:val="2"/>
          <w:sz w:val="24"/>
          <w:highlight w:val="none"/>
          <w:lang w:val="en-US" w:eastAsia="zh-CN"/>
        </w:rPr>
        <w:t>90分的，则支付费用为扣除罚金后的金额。</w:t>
      </w:r>
    </w:p>
    <w:p>
      <w:pPr>
        <w:widowControl w:val="0"/>
        <w:adjustRightInd w:val="0"/>
        <w:spacing w:after="0" w:line="360" w:lineRule="auto"/>
        <w:ind w:firstLine="480" w:firstLineChars="200"/>
        <w:jc w:val="both"/>
        <w:rPr>
          <w:rFonts w:hint="eastAsia" w:ascii="宋体" w:hAnsi="宋体" w:eastAsia="宋体" w:cs="宋体"/>
          <w:color w:val="auto"/>
          <w:kern w:val="2"/>
          <w:sz w:val="24"/>
          <w:highlight w:val="none"/>
        </w:rPr>
      </w:pPr>
    </w:p>
    <w:p>
      <w:pPr>
        <w:spacing w:line="360" w:lineRule="exact"/>
        <w:rPr>
          <w:rFonts w:ascii="宋体" w:hAnsi="宋体" w:eastAsia="宋体" w:cs="宋体"/>
          <w:color w:val="auto"/>
          <w:highlight w:val="none"/>
        </w:rPr>
      </w:pPr>
      <w:r>
        <w:rPr>
          <w:rFonts w:hint="eastAsia" w:ascii="宋体" w:hAnsi="宋体" w:eastAsia="宋体" w:cs="宋体"/>
          <w:color w:val="auto"/>
          <w:highlight w:val="none"/>
        </w:rPr>
        <w:t>注：</w:t>
      </w:r>
    </w:p>
    <w:p>
      <w:pPr>
        <w:spacing w:line="36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1、打▲内容为实质性要求，不允许有负偏离，否则将以涉及无效</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条款作无效</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w:t>
      </w:r>
    </w:p>
    <w:p>
      <w:pPr>
        <w:spacing w:line="3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所提供的货物、服务须与</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承诺一致，不得以次充好、偷工减料，若在项目验收中发现有上述情况，将向有关部门举报，根据相关规定进行处理。</w:t>
      </w:r>
    </w:p>
    <w:p>
      <w:pPr>
        <w:rPr>
          <w:rFonts w:ascii="宋体" w:hAnsi="宋体" w:eastAsia="宋体" w:cs="宋体"/>
          <w:color w:val="auto"/>
          <w:highlight w:val="none"/>
        </w:rPr>
      </w:pPr>
      <w:r>
        <w:rPr>
          <w:rFonts w:hint="eastAsia" w:ascii="宋体" w:hAnsi="宋体" w:eastAsia="宋体" w:cs="宋体"/>
          <w:color w:val="auto"/>
          <w:highlight w:val="none"/>
        </w:rPr>
        <w:br w:type="page"/>
      </w:r>
    </w:p>
    <w:p>
      <w:pPr>
        <w:pStyle w:val="5"/>
        <w:rPr>
          <w:rFonts w:ascii="宋体" w:hAnsi="宋体" w:eastAsia="宋体" w:cs="宋体"/>
          <w:color w:val="auto"/>
          <w:highlight w:val="none"/>
        </w:rPr>
      </w:pPr>
      <w:r>
        <w:rPr>
          <w:rFonts w:hint="eastAsia" w:ascii="宋体" w:hAnsi="宋体" w:eastAsia="宋体" w:cs="宋体"/>
          <w:color w:val="auto"/>
          <w:highlight w:val="none"/>
        </w:rPr>
        <w:t xml:space="preserve">第四部分   </w:t>
      </w:r>
      <w:bookmarkStart w:id="2" w:name="_Toc184313276"/>
      <w:bookmarkEnd w:id="2"/>
      <w:bookmarkStart w:id="3" w:name="_Toc184310286"/>
      <w:bookmarkEnd w:id="3"/>
      <w:bookmarkStart w:id="4" w:name="_Toc184314440"/>
      <w:bookmarkEnd w:id="4"/>
      <w:bookmarkStart w:id="5" w:name="_Toc184314449"/>
      <w:bookmarkEnd w:id="5"/>
      <w:bookmarkStart w:id="6" w:name="_Toc184312068"/>
      <w:bookmarkEnd w:id="6"/>
      <w:bookmarkStart w:id="7" w:name="_Toc184308100"/>
      <w:bookmarkEnd w:id="7"/>
      <w:bookmarkStart w:id="8" w:name="_Toc184313245"/>
      <w:bookmarkEnd w:id="8"/>
      <w:bookmarkStart w:id="9" w:name="_Toc184314438"/>
      <w:bookmarkEnd w:id="9"/>
      <w:bookmarkStart w:id="10" w:name="_Toc184308057"/>
      <w:bookmarkEnd w:id="10"/>
      <w:bookmarkStart w:id="11" w:name="_Toc184313293"/>
      <w:bookmarkEnd w:id="11"/>
      <w:bookmarkStart w:id="12" w:name="_Toc184312079"/>
      <w:bookmarkEnd w:id="12"/>
      <w:bookmarkStart w:id="13" w:name="_Toc184308039"/>
      <w:bookmarkEnd w:id="13"/>
      <w:bookmarkStart w:id="14" w:name="_Toc184310273"/>
      <w:bookmarkEnd w:id="14"/>
      <w:bookmarkStart w:id="15" w:name="_Toc184308098"/>
      <w:bookmarkEnd w:id="15"/>
      <w:bookmarkStart w:id="16" w:name="_Toc184313252"/>
      <w:bookmarkEnd w:id="16"/>
      <w:bookmarkStart w:id="17" w:name="_Toc184312073"/>
      <w:bookmarkEnd w:id="17"/>
      <w:bookmarkStart w:id="18" w:name="_Toc184312088"/>
      <w:bookmarkEnd w:id="18"/>
      <w:bookmarkStart w:id="19" w:name="_Toc184308086"/>
      <w:bookmarkEnd w:id="19"/>
      <w:bookmarkStart w:id="20" w:name="_Toc184310294"/>
      <w:bookmarkEnd w:id="20"/>
      <w:bookmarkStart w:id="21" w:name="_Toc184308069"/>
      <w:bookmarkEnd w:id="21"/>
      <w:bookmarkStart w:id="22" w:name="_Toc184314418"/>
      <w:bookmarkEnd w:id="22"/>
      <w:bookmarkStart w:id="23" w:name="_Toc184308060"/>
      <w:bookmarkEnd w:id="23"/>
      <w:bookmarkStart w:id="24" w:name="_Toc184314434"/>
      <w:bookmarkEnd w:id="24"/>
      <w:bookmarkStart w:id="25" w:name="_Toc184314467"/>
      <w:bookmarkEnd w:id="25"/>
      <w:bookmarkStart w:id="26" w:name="_Toc184312083"/>
      <w:bookmarkEnd w:id="26"/>
      <w:bookmarkStart w:id="27" w:name="_Toc184312070"/>
      <w:bookmarkEnd w:id="27"/>
      <w:bookmarkStart w:id="28" w:name="_Toc184310290"/>
      <w:bookmarkEnd w:id="28"/>
      <w:bookmarkStart w:id="29" w:name="_Toc184310302"/>
      <w:bookmarkEnd w:id="29"/>
      <w:bookmarkStart w:id="30" w:name="_Toc184312139"/>
      <w:bookmarkEnd w:id="30"/>
      <w:bookmarkStart w:id="31" w:name="_Toc184308099"/>
      <w:bookmarkEnd w:id="31"/>
      <w:bookmarkStart w:id="32" w:name="_Toc184310295"/>
      <w:bookmarkEnd w:id="32"/>
      <w:bookmarkStart w:id="33" w:name="_Toc184312124"/>
      <w:bookmarkEnd w:id="33"/>
      <w:bookmarkStart w:id="34" w:name="_Toc184310285"/>
      <w:bookmarkEnd w:id="34"/>
      <w:bookmarkStart w:id="35" w:name="_Toc184312096"/>
      <w:bookmarkEnd w:id="35"/>
      <w:bookmarkStart w:id="36" w:name="_Toc184313269"/>
      <w:bookmarkEnd w:id="36"/>
      <w:bookmarkStart w:id="37" w:name="_Toc184313307"/>
      <w:bookmarkEnd w:id="37"/>
      <w:bookmarkStart w:id="38" w:name="_Toc184308077"/>
      <w:bookmarkEnd w:id="38"/>
      <w:bookmarkStart w:id="39" w:name="_Toc184310293"/>
      <w:bookmarkEnd w:id="39"/>
      <w:bookmarkStart w:id="40" w:name="_Toc184310324"/>
      <w:bookmarkEnd w:id="40"/>
      <w:bookmarkStart w:id="41" w:name="_Toc184313277"/>
      <w:bookmarkEnd w:id="41"/>
      <w:bookmarkStart w:id="42" w:name="_Toc184308064"/>
      <w:bookmarkEnd w:id="42"/>
      <w:bookmarkStart w:id="43" w:name="_Toc184308056"/>
      <w:bookmarkEnd w:id="43"/>
      <w:bookmarkStart w:id="44" w:name="_Toc184314474"/>
      <w:bookmarkEnd w:id="44"/>
      <w:bookmarkStart w:id="45" w:name="_Toc184308068"/>
      <w:bookmarkEnd w:id="45"/>
      <w:bookmarkStart w:id="46" w:name="_Toc184313309"/>
      <w:bookmarkEnd w:id="46"/>
      <w:bookmarkStart w:id="47" w:name="_Toc184314460"/>
      <w:bookmarkEnd w:id="47"/>
      <w:bookmarkStart w:id="48" w:name="_Toc184313290"/>
      <w:bookmarkEnd w:id="48"/>
      <w:bookmarkStart w:id="49" w:name="_Toc184313238"/>
      <w:bookmarkEnd w:id="49"/>
      <w:bookmarkStart w:id="50" w:name="_Toc184308102"/>
      <w:bookmarkEnd w:id="50"/>
      <w:bookmarkStart w:id="51" w:name="_Toc184313246"/>
      <w:bookmarkEnd w:id="51"/>
      <w:bookmarkStart w:id="52" w:name="_Toc184310312"/>
      <w:bookmarkEnd w:id="52"/>
      <w:bookmarkStart w:id="53" w:name="_Toc184308083"/>
      <w:bookmarkEnd w:id="53"/>
      <w:bookmarkStart w:id="54" w:name="_Toc184310317"/>
      <w:bookmarkEnd w:id="54"/>
      <w:bookmarkStart w:id="55" w:name="_Toc184313249"/>
      <w:bookmarkEnd w:id="55"/>
      <w:bookmarkStart w:id="56" w:name="_Toc184310279"/>
      <w:bookmarkEnd w:id="56"/>
      <w:bookmarkStart w:id="57" w:name="_Toc184313297"/>
      <w:bookmarkEnd w:id="57"/>
      <w:bookmarkStart w:id="58" w:name="_Toc184314410"/>
      <w:bookmarkEnd w:id="58"/>
      <w:bookmarkStart w:id="59" w:name="_Toc184314425"/>
      <w:bookmarkEnd w:id="59"/>
      <w:bookmarkStart w:id="60" w:name="_Toc184312131"/>
      <w:bookmarkEnd w:id="60"/>
      <w:bookmarkStart w:id="61" w:name="_Toc184310342"/>
      <w:bookmarkEnd w:id="61"/>
      <w:bookmarkStart w:id="62" w:name="_Toc184313279"/>
      <w:bookmarkEnd w:id="62"/>
      <w:bookmarkStart w:id="63" w:name="_Toc184313303"/>
      <w:bookmarkEnd w:id="63"/>
      <w:bookmarkStart w:id="64" w:name="_Toc184313239"/>
      <w:bookmarkEnd w:id="64"/>
      <w:bookmarkStart w:id="65" w:name="_Toc184314442"/>
      <w:bookmarkEnd w:id="65"/>
      <w:bookmarkStart w:id="66" w:name="_Toc184310328"/>
      <w:bookmarkEnd w:id="66"/>
      <w:bookmarkStart w:id="67" w:name="_Toc184310335"/>
      <w:bookmarkEnd w:id="67"/>
      <w:bookmarkStart w:id="68" w:name="_Toc184312129"/>
      <w:bookmarkEnd w:id="68"/>
      <w:bookmarkStart w:id="69" w:name="_Toc184313287"/>
      <w:bookmarkEnd w:id="69"/>
      <w:bookmarkStart w:id="70" w:name="_Toc184310297"/>
      <w:bookmarkEnd w:id="70"/>
      <w:bookmarkStart w:id="71" w:name="_Toc184313263"/>
      <w:bookmarkEnd w:id="71"/>
      <w:bookmarkStart w:id="72" w:name="_Toc184313288"/>
      <w:bookmarkEnd w:id="72"/>
      <w:bookmarkStart w:id="73" w:name="_Toc184308067"/>
      <w:bookmarkEnd w:id="73"/>
      <w:bookmarkStart w:id="74" w:name="_Toc184308074"/>
      <w:bookmarkEnd w:id="74"/>
      <w:bookmarkStart w:id="75" w:name="_Toc184310339"/>
      <w:bookmarkEnd w:id="75"/>
      <w:bookmarkStart w:id="76" w:name="_Toc184312123"/>
      <w:bookmarkEnd w:id="76"/>
      <w:bookmarkStart w:id="77" w:name="_Toc184314443"/>
      <w:bookmarkEnd w:id="77"/>
      <w:bookmarkStart w:id="78" w:name="_Toc184308089"/>
      <w:bookmarkEnd w:id="78"/>
      <w:bookmarkStart w:id="79" w:name="_Toc184308044"/>
      <w:bookmarkEnd w:id="79"/>
      <w:bookmarkStart w:id="80" w:name="_Toc184312125"/>
      <w:bookmarkEnd w:id="80"/>
      <w:bookmarkStart w:id="81" w:name="_Toc184310277"/>
      <w:bookmarkEnd w:id="81"/>
      <w:bookmarkStart w:id="82" w:name="_Toc184313244"/>
      <w:bookmarkEnd w:id="82"/>
      <w:bookmarkStart w:id="83" w:name="_Toc184308072"/>
      <w:bookmarkEnd w:id="83"/>
      <w:bookmarkStart w:id="84" w:name="_Toc184312121"/>
      <w:bookmarkEnd w:id="84"/>
      <w:bookmarkStart w:id="85" w:name="_Toc184312119"/>
      <w:bookmarkEnd w:id="85"/>
      <w:bookmarkStart w:id="86" w:name="_Toc184314445"/>
      <w:bookmarkEnd w:id="86"/>
      <w:bookmarkStart w:id="87" w:name="_Toc184313242"/>
      <w:bookmarkEnd w:id="87"/>
      <w:bookmarkStart w:id="88" w:name="_Toc184310275"/>
      <w:bookmarkEnd w:id="88"/>
      <w:bookmarkStart w:id="89" w:name="_Toc184314433"/>
      <w:bookmarkEnd w:id="89"/>
      <w:bookmarkStart w:id="90" w:name="_Toc184310300"/>
      <w:bookmarkEnd w:id="90"/>
      <w:bookmarkStart w:id="91" w:name="_Toc184314464"/>
      <w:bookmarkEnd w:id="91"/>
      <w:bookmarkStart w:id="92" w:name="_Toc184313253"/>
      <w:bookmarkEnd w:id="92"/>
      <w:bookmarkStart w:id="93" w:name="_Toc184313259"/>
      <w:bookmarkEnd w:id="93"/>
      <w:bookmarkStart w:id="94" w:name="_Toc184310320"/>
      <w:bookmarkEnd w:id="94"/>
      <w:bookmarkStart w:id="95" w:name="_Toc184314463"/>
      <w:bookmarkEnd w:id="95"/>
      <w:bookmarkStart w:id="96" w:name="_Toc184314429"/>
      <w:bookmarkEnd w:id="96"/>
      <w:bookmarkStart w:id="97" w:name="_Toc184310298"/>
      <w:bookmarkEnd w:id="97"/>
      <w:bookmarkStart w:id="98" w:name="_Toc184314420"/>
      <w:bookmarkEnd w:id="98"/>
      <w:bookmarkStart w:id="99" w:name="_Toc184308062"/>
      <w:bookmarkEnd w:id="99"/>
      <w:bookmarkStart w:id="100" w:name="_Toc184310296"/>
      <w:bookmarkEnd w:id="100"/>
      <w:bookmarkStart w:id="101" w:name="_Toc184313282"/>
      <w:bookmarkEnd w:id="101"/>
      <w:bookmarkStart w:id="102" w:name="_Toc184312120"/>
      <w:bookmarkEnd w:id="102"/>
      <w:bookmarkStart w:id="103" w:name="_Toc184308090"/>
      <w:bookmarkEnd w:id="103"/>
      <w:bookmarkStart w:id="104" w:name="_Toc184314470"/>
      <w:bookmarkEnd w:id="104"/>
      <w:bookmarkStart w:id="105" w:name="_Toc184310284"/>
      <w:bookmarkEnd w:id="105"/>
      <w:bookmarkStart w:id="106" w:name="_Toc184314432"/>
      <w:bookmarkEnd w:id="106"/>
      <w:bookmarkStart w:id="107" w:name="_Toc184308070"/>
      <w:bookmarkEnd w:id="107"/>
      <w:bookmarkStart w:id="108" w:name="_Toc184312105"/>
      <w:bookmarkEnd w:id="108"/>
      <w:bookmarkStart w:id="109" w:name="_Toc184312078"/>
      <w:bookmarkEnd w:id="109"/>
      <w:bookmarkStart w:id="110" w:name="_Toc184313294"/>
      <w:bookmarkEnd w:id="110"/>
      <w:bookmarkStart w:id="111" w:name="_Toc184312103"/>
      <w:bookmarkEnd w:id="111"/>
      <w:bookmarkStart w:id="112" w:name="_Toc184314450"/>
      <w:bookmarkEnd w:id="112"/>
      <w:bookmarkStart w:id="113" w:name="_Toc184313284"/>
      <w:bookmarkEnd w:id="113"/>
      <w:bookmarkStart w:id="114" w:name="_Toc184314473"/>
      <w:bookmarkEnd w:id="114"/>
      <w:bookmarkStart w:id="115" w:name="_Toc184314451"/>
      <w:bookmarkEnd w:id="115"/>
      <w:bookmarkStart w:id="116" w:name="_Toc184312094"/>
      <w:bookmarkEnd w:id="116"/>
      <w:bookmarkStart w:id="117" w:name="_Toc184312067"/>
      <w:bookmarkEnd w:id="117"/>
      <w:bookmarkStart w:id="118" w:name="_Toc184308052"/>
      <w:bookmarkEnd w:id="118"/>
      <w:bookmarkStart w:id="119" w:name="_Toc184308085"/>
      <w:bookmarkEnd w:id="119"/>
      <w:bookmarkStart w:id="120" w:name="_Toc184310276"/>
      <w:bookmarkEnd w:id="120"/>
      <w:bookmarkStart w:id="121" w:name="_Toc184312071"/>
      <w:bookmarkEnd w:id="121"/>
      <w:bookmarkStart w:id="122" w:name="_Toc184312126"/>
      <w:bookmarkEnd w:id="122"/>
      <w:bookmarkStart w:id="123" w:name="_Toc184313300"/>
      <w:bookmarkEnd w:id="123"/>
      <w:bookmarkStart w:id="124" w:name="_Toc184310329"/>
      <w:bookmarkEnd w:id="124"/>
      <w:bookmarkStart w:id="125" w:name="_Toc184310344"/>
      <w:bookmarkEnd w:id="125"/>
      <w:bookmarkStart w:id="126" w:name="_Toc184308105"/>
      <w:bookmarkEnd w:id="126"/>
      <w:bookmarkStart w:id="127" w:name="_Toc184312115"/>
      <w:bookmarkEnd w:id="127"/>
      <w:bookmarkStart w:id="128" w:name="_Toc184313261"/>
      <w:bookmarkEnd w:id="128"/>
      <w:bookmarkStart w:id="129" w:name="_Toc184313278"/>
      <w:bookmarkEnd w:id="129"/>
      <w:bookmarkStart w:id="130" w:name="_Toc184314461"/>
      <w:bookmarkEnd w:id="130"/>
      <w:bookmarkStart w:id="131" w:name="_Toc184308042"/>
      <w:bookmarkEnd w:id="131"/>
      <w:bookmarkStart w:id="132" w:name="_Toc184308038"/>
      <w:bookmarkEnd w:id="132"/>
      <w:bookmarkStart w:id="133" w:name="_Toc184308059"/>
      <w:bookmarkEnd w:id="133"/>
      <w:bookmarkStart w:id="134" w:name="_Toc184313286"/>
      <w:bookmarkEnd w:id="134"/>
      <w:bookmarkStart w:id="135" w:name="_Toc184314426"/>
      <w:bookmarkEnd w:id="135"/>
      <w:bookmarkStart w:id="136" w:name="_Toc184312069"/>
      <w:bookmarkEnd w:id="136"/>
      <w:bookmarkStart w:id="137" w:name="_Toc184314444"/>
      <w:bookmarkEnd w:id="137"/>
      <w:bookmarkStart w:id="138" w:name="_Toc184312084"/>
      <w:bookmarkEnd w:id="138"/>
      <w:bookmarkStart w:id="139" w:name="_Toc184310311"/>
      <w:bookmarkEnd w:id="139"/>
      <w:bookmarkStart w:id="140" w:name="_Toc184310341"/>
      <w:bookmarkEnd w:id="140"/>
      <w:bookmarkStart w:id="141" w:name="_Toc184313265"/>
      <w:bookmarkEnd w:id="141"/>
      <w:bookmarkStart w:id="142" w:name="_Toc184313260"/>
      <w:bookmarkEnd w:id="142"/>
      <w:bookmarkStart w:id="143" w:name="_Toc184313250"/>
      <w:bookmarkEnd w:id="143"/>
      <w:bookmarkStart w:id="144" w:name="_Toc184310325"/>
      <w:bookmarkEnd w:id="144"/>
      <w:bookmarkStart w:id="145" w:name="_Toc184313281"/>
      <w:bookmarkEnd w:id="145"/>
      <w:bookmarkStart w:id="146" w:name="_Toc184310340"/>
      <w:bookmarkEnd w:id="146"/>
      <w:bookmarkStart w:id="147" w:name="_Toc184308054"/>
      <w:bookmarkEnd w:id="147"/>
      <w:bookmarkStart w:id="148" w:name="_Toc184310310"/>
      <w:bookmarkEnd w:id="148"/>
      <w:bookmarkStart w:id="149" w:name="_Toc184310305"/>
      <w:bookmarkEnd w:id="149"/>
      <w:bookmarkStart w:id="150" w:name="_Toc184308063"/>
      <w:bookmarkEnd w:id="150"/>
      <w:bookmarkStart w:id="151" w:name="_Toc184310308"/>
      <w:bookmarkEnd w:id="151"/>
      <w:bookmarkStart w:id="152" w:name="_Toc184308053"/>
      <w:bookmarkEnd w:id="152"/>
      <w:bookmarkStart w:id="153" w:name="_Toc184308108"/>
      <w:bookmarkEnd w:id="153"/>
      <w:bookmarkStart w:id="154" w:name="_Toc184312085"/>
      <w:bookmarkEnd w:id="154"/>
      <w:bookmarkStart w:id="155" w:name="_Toc184313306"/>
      <w:bookmarkEnd w:id="155"/>
      <w:bookmarkStart w:id="156" w:name="_Toc184312136"/>
      <w:bookmarkEnd w:id="156"/>
      <w:bookmarkStart w:id="157" w:name="_Toc184314454"/>
      <w:bookmarkEnd w:id="157"/>
      <w:bookmarkStart w:id="158" w:name="_Toc184312133"/>
      <w:bookmarkEnd w:id="158"/>
      <w:bookmarkStart w:id="159" w:name="_Toc184312093"/>
      <w:bookmarkEnd w:id="159"/>
      <w:bookmarkStart w:id="160" w:name="_Toc184313266"/>
      <w:bookmarkEnd w:id="160"/>
      <w:bookmarkStart w:id="161" w:name="_Toc184313248"/>
      <w:bookmarkEnd w:id="161"/>
      <w:bookmarkStart w:id="162" w:name="_Toc184314468"/>
      <w:bookmarkEnd w:id="162"/>
      <w:bookmarkStart w:id="163" w:name="_Toc184314435"/>
      <w:bookmarkEnd w:id="163"/>
      <w:bookmarkStart w:id="164" w:name="_Toc184310315"/>
      <w:bookmarkEnd w:id="164"/>
      <w:bookmarkStart w:id="165" w:name="_Toc184308080"/>
      <w:bookmarkEnd w:id="165"/>
      <w:bookmarkStart w:id="166" w:name="_Toc184314436"/>
      <w:bookmarkEnd w:id="166"/>
      <w:bookmarkStart w:id="167" w:name="_Toc184313275"/>
      <w:bookmarkEnd w:id="167"/>
      <w:bookmarkStart w:id="168" w:name="_Toc184310272"/>
      <w:bookmarkEnd w:id="168"/>
      <w:bookmarkStart w:id="169" w:name="_Toc184313272"/>
      <w:bookmarkEnd w:id="169"/>
      <w:bookmarkStart w:id="170" w:name="_Toc184308084"/>
      <w:bookmarkEnd w:id="170"/>
      <w:bookmarkStart w:id="171" w:name="_Toc184314478"/>
      <w:bookmarkEnd w:id="171"/>
      <w:bookmarkStart w:id="172" w:name="_Toc184312114"/>
      <w:bookmarkEnd w:id="172"/>
      <w:bookmarkStart w:id="173" w:name="_Toc184314465"/>
      <w:bookmarkEnd w:id="173"/>
      <w:bookmarkStart w:id="174" w:name="_Toc184310282"/>
      <w:bookmarkEnd w:id="174"/>
      <w:bookmarkStart w:id="175" w:name="_Toc184310299"/>
      <w:bookmarkEnd w:id="175"/>
      <w:bookmarkStart w:id="176" w:name="_Toc184312138"/>
      <w:bookmarkEnd w:id="176"/>
      <w:bookmarkStart w:id="177" w:name="_Toc184314482"/>
      <w:bookmarkEnd w:id="177"/>
      <w:bookmarkStart w:id="178" w:name="_Toc184310314"/>
      <w:bookmarkEnd w:id="178"/>
      <w:bookmarkStart w:id="179" w:name="_Toc184313280"/>
      <w:bookmarkEnd w:id="179"/>
      <w:bookmarkStart w:id="180" w:name="_Toc184313295"/>
      <w:bookmarkEnd w:id="180"/>
      <w:bookmarkStart w:id="181" w:name="_Toc184310313"/>
      <w:bookmarkEnd w:id="181"/>
      <w:bookmarkStart w:id="182" w:name="_Toc184310343"/>
      <w:bookmarkEnd w:id="182"/>
      <w:bookmarkStart w:id="183" w:name="_Toc184314430"/>
      <w:bookmarkEnd w:id="183"/>
      <w:bookmarkStart w:id="184" w:name="_Toc184314422"/>
      <w:bookmarkEnd w:id="184"/>
      <w:bookmarkStart w:id="185" w:name="_Toc184313251"/>
      <w:bookmarkEnd w:id="185"/>
      <w:bookmarkStart w:id="186" w:name="_Toc184310319"/>
      <w:bookmarkEnd w:id="186"/>
      <w:bookmarkStart w:id="187" w:name="_Toc184310292"/>
      <w:bookmarkEnd w:id="187"/>
      <w:bookmarkStart w:id="188" w:name="_Toc184308065"/>
      <w:bookmarkEnd w:id="188"/>
      <w:bookmarkStart w:id="189" w:name="_Toc184310307"/>
      <w:bookmarkEnd w:id="189"/>
      <w:bookmarkStart w:id="190" w:name="_Toc184312132"/>
      <w:bookmarkEnd w:id="190"/>
      <w:bookmarkStart w:id="191" w:name="_Toc184314457"/>
      <w:bookmarkEnd w:id="191"/>
      <w:bookmarkStart w:id="192" w:name="_Toc184313256"/>
      <w:bookmarkEnd w:id="192"/>
      <w:bookmarkStart w:id="193" w:name="_Toc184314448"/>
      <w:bookmarkEnd w:id="193"/>
      <w:bookmarkStart w:id="194" w:name="_Toc184310283"/>
      <w:bookmarkEnd w:id="194"/>
      <w:bookmarkStart w:id="195" w:name="_Toc184308050"/>
      <w:bookmarkEnd w:id="195"/>
      <w:bookmarkStart w:id="196" w:name="_Toc184314459"/>
      <w:bookmarkEnd w:id="196"/>
      <w:bookmarkStart w:id="197" w:name="_Toc184312090"/>
      <w:bookmarkEnd w:id="197"/>
      <w:bookmarkStart w:id="198" w:name="_Toc184313283"/>
      <w:bookmarkEnd w:id="198"/>
      <w:bookmarkStart w:id="199" w:name="_Toc184314441"/>
      <w:bookmarkEnd w:id="199"/>
      <w:bookmarkStart w:id="200" w:name="_Toc184310321"/>
      <w:bookmarkEnd w:id="200"/>
      <w:bookmarkStart w:id="201" w:name="_Toc184312117"/>
      <w:bookmarkEnd w:id="201"/>
      <w:bookmarkStart w:id="202" w:name="_Toc184310309"/>
      <w:bookmarkEnd w:id="202"/>
      <w:bookmarkStart w:id="203" w:name="_Toc184308047"/>
      <w:bookmarkEnd w:id="203"/>
      <w:bookmarkStart w:id="204" w:name="_Toc184314431"/>
      <w:bookmarkEnd w:id="204"/>
      <w:bookmarkStart w:id="205" w:name="_Toc184314416"/>
      <w:bookmarkEnd w:id="205"/>
      <w:bookmarkStart w:id="206" w:name="_Toc184310334"/>
      <w:bookmarkEnd w:id="206"/>
      <w:bookmarkStart w:id="207" w:name="_Toc184314476"/>
      <w:bookmarkEnd w:id="207"/>
      <w:bookmarkStart w:id="208" w:name="_Toc184310274"/>
      <w:bookmarkEnd w:id="208"/>
      <w:bookmarkStart w:id="209" w:name="_Toc184312122"/>
      <w:bookmarkEnd w:id="209"/>
      <w:bookmarkStart w:id="210" w:name="_Toc184314411"/>
      <w:bookmarkEnd w:id="210"/>
      <w:bookmarkStart w:id="211" w:name="_Toc184310291"/>
      <w:bookmarkEnd w:id="211"/>
      <w:bookmarkStart w:id="212" w:name="_Toc184313308"/>
      <w:bookmarkEnd w:id="212"/>
      <w:bookmarkStart w:id="213" w:name="_Toc184312116"/>
      <w:bookmarkEnd w:id="213"/>
      <w:bookmarkStart w:id="214" w:name="_Toc184310330"/>
      <w:bookmarkEnd w:id="214"/>
      <w:bookmarkStart w:id="215" w:name="_Toc184308097"/>
      <w:bookmarkEnd w:id="215"/>
      <w:bookmarkStart w:id="216" w:name="_Toc184310318"/>
      <w:bookmarkEnd w:id="216"/>
      <w:bookmarkStart w:id="217" w:name="_Toc184310327"/>
      <w:bookmarkEnd w:id="217"/>
      <w:bookmarkStart w:id="218" w:name="_Toc184313240"/>
      <w:bookmarkEnd w:id="218"/>
      <w:bookmarkStart w:id="219" w:name="_Toc184314419"/>
      <w:bookmarkEnd w:id="219"/>
      <w:bookmarkStart w:id="220" w:name="_Toc184312086"/>
      <w:bookmarkEnd w:id="220"/>
      <w:bookmarkStart w:id="221" w:name="_Toc184313273"/>
      <w:bookmarkEnd w:id="221"/>
      <w:bookmarkStart w:id="222" w:name="_Toc184313254"/>
      <w:bookmarkEnd w:id="222"/>
      <w:bookmarkStart w:id="223" w:name="_Toc184314480"/>
      <w:bookmarkEnd w:id="223"/>
      <w:bookmarkStart w:id="224" w:name="_Toc184312098"/>
      <w:bookmarkEnd w:id="224"/>
      <w:bookmarkStart w:id="225" w:name="_Toc184308040"/>
      <w:bookmarkEnd w:id="225"/>
      <w:bookmarkStart w:id="226" w:name="_Toc184313257"/>
      <w:bookmarkEnd w:id="226"/>
      <w:bookmarkStart w:id="227" w:name="_Toc184312091"/>
      <w:bookmarkEnd w:id="227"/>
      <w:bookmarkStart w:id="228" w:name="_Toc184312080"/>
      <w:bookmarkEnd w:id="228"/>
      <w:bookmarkStart w:id="229" w:name="_Toc184313296"/>
      <w:bookmarkEnd w:id="229"/>
      <w:bookmarkStart w:id="230" w:name="_Toc184308066"/>
      <w:bookmarkEnd w:id="230"/>
      <w:bookmarkStart w:id="231" w:name="_Toc184312111"/>
      <w:bookmarkEnd w:id="231"/>
      <w:bookmarkStart w:id="232" w:name="_Toc184312104"/>
      <w:bookmarkEnd w:id="232"/>
      <w:bookmarkStart w:id="233" w:name="_Toc184314481"/>
      <w:bookmarkEnd w:id="233"/>
      <w:bookmarkStart w:id="234" w:name="_Toc184310332"/>
      <w:bookmarkEnd w:id="234"/>
      <w:bookmarkStart w:id="235" w:name="_Toc184308093"/>
      <w:bookmarkEnd w:id="235"/>
      <w:bookmarkStart w:id="236" w:name="_Toc184313301"/>
      <w:bookmarkEnd w:id="236"/>
      <w:bookmarkStart w:id="237" w:name="_Toc184312118"/>
      <w:bookmarkEnd w:id="237"/>
      <w:bookmarkStart w:id="238" w:name="_Toc184312092"/>
      <w:bookmarkEnd w:id="238"/>
      <w:bookmarkStart w:id="239" w:name="_Toc184312113"/>
      <w:bookmarkEnd w:id="239"/>
      <w:bookmarkStart w:id="240" w:name="_Toc184314413"/>
      <w:bookmarkEnd w:id="240"/>
      <w:bookmarkStart w:id="241" w:name="_Toc184310316"/>
      <w:bookmarkEnd w:id="241"/>
      <w:bookmarkStart w:id="242" w:name="_Toc184313262"/>
      <w:bookmarkEnd w:id="242"/>
      <w:bookmarkStart w:id="243" w:name="_Toc184314427"/>
      <w:bookmarkEnd w:id="243"/>
      <w:bookmarkStart w:id="244" w:name="_Toc184308104"/>
      <w:bookmarkEnd w:id="244"/>
      <w:bookmarkStart w:id="245" w:name="_Toc184310336"/>
      <w:bookmarkEnd w:id="245"/>
      <w:bookmarkStart w:id="246" w:name="_Toc184313255"/>
      <w:bookmarkEnd w:id="246"/>
      <w:bookmarkStart w:id="247" w:name="_Toc184312100"/>
      <w:bookmarkEnd w:id="247"/>
      <w:bookmarkStart w:id="248" w:name="_Toc184308095"/>
      <w:bookmarkEnd w:id="248"/>
      <w:bookmarkStart w:id="249" w:name="_Toc184314456"/>
      <w:bookmarkEnd w:id="249"/>
      <w:bookmarkStart w:id="250" w:name="_Toc184308046"/>
      <w:bookmarkEnd w:id="250"/>
      <w:bookmarkStart w:id="251" w:name="_Toc184314428"/>
      <w:bookmarkEnd w:id="251"/>
      <w:bookmarkStart w:id="252" w:name="_Toc184308043"/>
      <w:bookmarkEnd w:id="252"/>
      <w:bookmarkStart w:id="253" w:name="_Toc184314471"/>
      <w:bookmarkEnd w:id="253"/>
      <w:bookmarkStart w:id="254" w:name="_Toc184310303"/>
      <w:bookmarkEnd w:id="254"/>
      <w:bookmarkStart w:id="255" w:name="_Toc184308079"/>
      <w:bookmarkEnd w:id="255"/>
      <w:bookmarkStart w:id="256" w:name="_Toc184314475"/>
      <w:bookmarkEnd w:id="256"/>
      <w:bookmarkStart w:id="257" w:name="_Toc184313285"/>
      <w:bookmarkEnd w:id="257"/>
      <w:bookmarkStart w:id="258" w:name="_Toc184313305"/>
      <w:bookmarkEnd w:id="258"/>
      <w:bookmarkStart w:id="259" w:name="_Toc184312087"/>
      <w:bookmarkEnd w:id="259"/>
      <w:bookmarkStart w:id="260" w:name="_Toc184308087"/>
      <w:bookmarkEnd w:id="260"/>
      <w:bookmarkStart w:id="261" w:name="_Toc184308094"/>
      <w:bookmarkEnd w:id="261"/>
      <w:bookmarkStart w:id="262" w:name="_Toc184310333"/>
      <w:bookmarkEnd w:id="262"/>
      <w:bookmarkStart w:id="263" w:name="_Toc184312108"/>
      <w:bookmarkEnd w:id="263"/>
      <w:bookmarkStart w:id="264" w:name="_Toc184310288"/>
      <w:bookmarkEnd w:id="264"/>
      <w:bookmarkStart w:id="265" w:name="_Toc184313291"/>
      <w:bookmarkEnd w:id="265"/>
      <w:bookmarkStart w:id="266" w:name="_Toc184313247"/>
      <w:bookmarkEnd w:id="266"/>
      <w:bookmarkStart w:id="267" w:name="_Toc184313298"/>
      <w:bookmarkEnd w:id="267"/>
      <w:bookmarkStart w:id="268" w:name="_Toc184312074"/>
      <w:bookmarkEnd w:id="268"/>
      <w:bookmarkStart w:id="269" w:name="_Toc184310280"/>
      <w:bookmarkEnd w:id="269"/>
      <w:bookmarkStart w:id="270" w:name="_Toc184312102"/>
      <w:bookmarkEnd w:id="270"/>
      <w:bookmarkStart w:id="271" w:name="_Toc184313292"/>
      <w:bookmarkEnd w:id="271"/>
      <w:bookmarkStart w:id="272" w:name="_Toc184312107"/>
      <w:bookmarkEnd w:id="272"/>
      <w:bookmarkStart w:id="273" w:name="_Toc184313264"/>
      <w:bookmarkEnd w:id="273"/>
      <w:bookmarkStart w:id="274" w:name="_Toc184308101"/>
      <w:bookmarkEnd w:id="274"/>
      <w:bookmarkStart w:id="275" w:name="_Toc184313271"/>
      <w:bookmarkEnd w:id="275"/>
      <w:bookmarkStart w:id="276" w:name="_Toc184313302"/>
      <w:bookmarkEnd w:id="276"/>
      <w:bookmarkStart w:id="277" w:name="_Toc184308049"/>
      <w:bookmarkEnd w:id="277"/>
      <w:bookmarkStart w:id="278" w:name="_Toc184308075"/>
      <w:bookmarkEnd w:id="278"/>
      <w:bookmarkStart w:id="279" w:name="_Toc184314479"/>
      <w:bookmarkEnd w:id="279"/>
      <w:bookmarkStart w:id="280" w:name="_Toc184313289"/>
      <w:bookmarkEnd w:id="280"/>
      <w:bookmarkStart w:id="281" w:name="_Toc184312101"/>
      <w:bookmarkEnd w:id="281"/>
      <w:bookmarkStart w:id="282" w:name="_Toc184308106"/>
      <w:bookmarkEnd w:id="282"/>
      <w:bookmarkStart w:id="283" w:name="_Toc184312127"/>
      <w:bookmarkEnd w:id="283"/>
      <w:bookmarkStart w:id="284" w:name="_Toc184308073"/>
      <w:bookmarkEnd w:id="284"/>
      <w:bookmarkStart w:id="285" w:name="_Toc184308092"/>
      <w:bookmarkEnd w:id="285"/>
      <w:bookmarkStart w:id="286" w:name="_Toc184312089"/>
      <w:bookmarkEnd w:id="286"/>
      <w:bookmarkStart w:id="287" w:name="_Toc184310337"/>
      <w:bookmarkEnd w:id="287"/>
      <w:bookmarkStart w:id="288" w:name="_Toc184308103"/>
      <w:bookmarkEnd w:id="288"/>
      <w:bookmarkStart w:id="289" w:name="_Toc184313267"/>
      <w:bookmarkEnd w:id="289"/>
      <w:bookmarkStart w:id="290" w:name="_Toc184310338"/>
      <w:bookmarkEnd w:id="290"/>
      <w:bookmarkStart w:id="291" w:name="_Toc184308081"/>
      <w:bookmarkEnd w:id="291"/>
      <w:bookmarkStart w:id="292" w:name="_Toc184308055"/>
      <w:bookmarkEnd w:id="292"/>
      <w:bookmarkStart w:id="293" w:name="_Toc184314447"/>
      <w:bookmarkEnd w:id="293"/>
      <w:bookmarkStart w:id="294" w:name="_Toc184312110"/>
      <w:bookmarkEnd w:id="294"/>
      <w:bookmarkStart w:id="295" w:name="_Toc184308091"/>
      <w:bookmarkEnd w:id="295"/>
      <w:bookmarkStart w:id="296" w:name="_Toc184312130"/>
      <w:bookmarkEnd w:id="296"/>
      <w:bookmarkStart w:id="297" w:name="_Toc184312106"/>
      <w:bookmarkEnd w:id="297"/>
      <w:bookmarkStart w:id="298" w:name="_Toc184312097"/>
      <w:bookmarkEnd w:id="298"/>
      <w:bookmarkStart w:id="299" w:name="_Toc184308107"/>
      <w:bookmarkEnd w:id="299"/>
      <w:bookmarkStart w:id="300" w:name="_Toc184308051"/>
      <w:bookmarkEnd w:id="300"/>
      <w:bookmarkStart w:id="301" w:name="_Toc184314412"/>
      <w:bookmarkEnd w:id="301"/>
      <w:bookmarkStart w:id="302" w:name="_Toc184308037"/>
      <w:bookmarkEnd w:id="302"/>
      <w:bookmarkStart w:id="303" w:name="_Toc184313268"/>
      <w:bookmarkEnd w:id="303"/>
      <w:bookmarkStart w:id="304" w:name="_Toc184314458"/>
      <w:bookmarkEnd w:id="304"/>
      <w:bookmarkStart w:id="305" w:name="_Toc184313241"/>
      <w:bookmarkEnd w:id="305"/>
      <w:bookmarkStart w:id="306" w:name="_Toc184314452"/>
      <w:bookmarkEnd w:id="306"/>
      <w:bookmarkStart w:id="307" w:name="_Toc184308088"/>
      <w:bookmarkEnd w:id="307"/>
      <w:bookmarkStart w:id="308" w:name="_Toc184312082"/>
      <w:bookmarkEnd w:id="308"/>
      <w:bookmarkStart w:id="309" w:name="_Toc184310304"/>
      <w:bookmarkEnd w:id="309"/>
      <w:bookmarkStart w:id="310" w:name="_Toc184308076"/>
      <w:bookmarkEnd w:id="310"/>
      <w:bookmarkStart w:id="311" w:name="_Toc184308071"/>
      <w:bookmarkEnd w:id="311"/>
      <w:bookmarkStart w:id="312" w:name="_Toc184308036"/>
      <w:bookmarkEnd w:id="312"/>
      <w:bookmarkStart w:id="313" w:name="_Toc184314424"/>
      <w:bookmarkEnd w:id="313"/>
      <w:bookmarkStart w:id="314" w:name="_Toc184308058"/>
      <w:bookmarkEnd w:id="314"/>
      <w:bookmarkStart w:id="315" w:name="_Toc184314415"/>
      <w:bookmarkEnd w:id="315"/>
      <w:bookmarkStart w:id="316" w:name="_Toc184314437"/>
      <w:bookmarkEnd w:id="316"/>
      <w:bookmarkStart w:id="317" w:name="_Toc184308061"/>
      <w:bookmarkEnd w:id="317"/>
      <w:bookmarkStart w:id="318" w:name="_Toc184312135"/>
      <w:bookmarkEnd w:id="318"/>
      <w:bookmarkStart w:id="319" w:name="_Toc184314462"/>
      <w:bookmarkEnd w:id="319"/>
      <w:bookmarkStart w:id="320" w:name="_Toc184312077"/>
      <w:bookmarkEnd w:id="320"/>
      <w:bookmarkStart w:id="321" w:name="_Toc184312109"/>
      <w:bookmarkEnd w:id="321"/>
      <w:bookmarkStart w:id="322" w:name="_Toc184310331"/>
      <w:bookmarkEnd w:id="322"/>
      <w:bookmarkStart w:id="323" w:name="_Toc184313243"/>
      <w:bookmarkEnd w:id="323"/>
      <w:bookmarkStart w:id="324" w:name="_Toc184314455"/>
      <w:bookmarkEnd w:id="324"/>
      <w:bookmarkStart w:id="325" w:name="_Toc184310287"/>
      <w:bookmarkEnd w:id="325"/>
      <w:bookmarkStart w:id="326" w:name="_Toc184312099"/>
      <w:bookmarkEnd w:id="326"/>
      <w:bookmarkStart w:id="327" w:name="_Toc184314417"/>
      <w:bookmarkEnd w:id="327"/>
      <w:bookmarkStart w:id="328" w:name="_Toc184308078"/>
      <w:bookmarkEnd w:id="328"/>
      <w:bookmarkStart w:id="329" w:name="_Toc184312081"/>
      <w:bookmarkEnd w:id="329"/>
      <w:bookmarkStart w:id="330" w:name="_Toc184314469"/>
      <w:bookmarkEnd w:id="330"/>
      <w:bookmarkStart w:id="331" w:name="_Toc184310301"/>
      <w:bookmarkEnd w:id="331"/>
      <w:bookmarkStart w:id="332" w:name="_Toc184310278"/>
      <w:bookmarkEnd w:id="332"/>
      <w:bookmarkStart w:id="333" w:name="_Toc184310326"/>
      <w:bookmarkEnd w:id="333"/>
      <w:bookmarkStart w:id="334" w:name="_Toc184312075"/>
      <w:bookmarkEnd w:id="334"/>
      <w:bookmarkStart w:id="335" w:name="_Toc184308041"/>
      <w:bookmarkEnd w:id="335"/>
      <w:bookmarkStart w:id="336" w:name="_Toc184314466"/>
      <w:bookmarkEnd w:id="336"/>
      <w:bookmarkStart w:id="337" w:name="_Toc184310322"/>
      <w:bookmarkEnd w:id="337"/>
      <w:bookmarkStart w:id="338" w:name="_Toc184308096"/>
      <w:bookmarkEnd w:id="338"/>
      <w:bookmarkStart w:id="339" w:name="_Toc184310323"/>
      <w:bookmarkEnd w:id="339"/>
      <w:bookmarkStart w:id="340" w:name="_Toc184314423"/>
      <w:bookmarkEnd w:id="340"/>
      <w:bookmarkStart w:id="341" w:name="_Toc184313258"/>
      <w:bookmarkEnd w:id="341"/>
      <w:bookmarkStart w:id="342" w:name="_Toc184308082"/>
      <w:bookmarkEnd w:id="342"/>
      <w:bookmarkStart w:id="343" w:name="_Toc184312072"/>
      <w:bookmarkEnd w:id="343"/>
      <w:bookmarkStart w:id="344" w:name="_Toc184310306"/>
      <w:bookmarkEnd w:id="344"/>
      <w:bookmarkStart w:id="345" w:name="_Toc184314472"/>
      <w:bookmarkEnd w:id="345"/>
      <w:bookmarkStart w:id="346" w:name="_Toc184308048"/>
      <w:bookmarkEnd w:id="346"/>
      <w:bookmarkStart w:id="347" w:name="_Toc184314421"/>
      <w:bookmarkEnd w:id="347"/>
      <w:bookmarkStart w:id="348" w:name="_Toc184313310"/>
      <w:bookmarkEnd w:id="348"/>
      <w:bookmarkStart w:id="349" w:name="_Toc184310281"/>
      <w:bookmarkEnd w:id="349"/>
      <w:bookmarkStart w:id="350" w:name="_Toc184312095"/>
      <w:bookmarkEnd w:id="350"/>
      <w:bookmarkStart w:id="351" w:name="_Toc184313270"/>
      <w:bookmarkEnd w:id="351"/>
      <w:bookmarkStart w:id="352" w:name="_Toc184308045"/>
      <w:bookmarkEnd w:id="352"/>
      <w:bookmarkStart w:id="353" w:name="_Toc184313299"/>
      <w:bookmarkEnd w:id="353"/>
      <w:bookmarkStart w:id="354" w:name="_Toc184313274"/>
      <w:bookmarkEnd w:id="354"/>
      <w:bookmarkStart w:id="355" w:name="_Toc184313304"/>
      <w:bookmarkEnd w:id="355"/>
      <w:bookmarkStart w:id="356" w:name="_Toc184314414"/>
      <w:bookmarkEnd w:id="356"/>
      <w:bookmarkStart w:id="357" w:name="_Toc184314477"/>
      <w:bookmarkEnd w:id="357"/>
      <w:bookmarkStart w:id="358" w:name="_Toc184314446"/>
      <w:bookmarkEnd w:id="358"/>
      <w:bookmarkStart w:id="359" w:name="_Toc184312134"/>
      <w:bookmarkEnd w:id="359"/>
      <w:bookmarkStart w:id="360" w:name="_Toc184314453"/>
      <w:bookmarkEnd w:id="360"/>
      <w:bookmarkStart w:id="361" w:name="_Toc184314439"/>
      <w:bookmarkEnd w:id="361"/>
      <w:bookmarkStart w:id="362" w:name="_Toc184312128"/>
      <w:bookmarkEnd w:id="362"/>
      <w:bookmarkStart w:id="363" w:name="_Toc184310289"/>
      <w:bookmarkEnd w:id="363"/>
      <w:bookmarkStart w:id="364" w:name="_Toc184312112"/>
      <w:bookmarkEnd w:id="364"/>
      <w:bookmarkStart w:id="365" w:name="_Toc184312137"/>
      <w:bookmarkEnd w:id="365"/>
      <w:bookmarkStart w:id="366" w:name="_Toc184312076"/>
      <w:bookmarkEnd w:id="366"/>
      <w:r>
        <w:rPr>
          <w:rFonts w:hint="eastAsia" w:ascii="宋体" w:hAnsi="宋体" w:eastAsia="宋体" w:cs="宋体"/>
          <w:color w:val="auto"/>
          <w:highlight w:val="none"/>
        </w:rPr>
        <w:t>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rPr>
        <w:t>办法</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rPr>
        <w:t>办法前附表</w:t>
      </w:r>
    </w:p>
    <w:p>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商务技术部分（</w:t>
      </w:r>
      <w:r>
        <w:rPr>
          <w:rFonts w:hint="eastAsia" w:ascii="宋体" w:hAnsi="宋体" w:eastAsia="宋体" w:cs="宋体"/>
          <w:b/>
          <w:bCs/>
          <w:color w:val="auto"/>
          <w:sz w:val="24"/>
          <w:highlight w:val="none"/>
          <w:lang w:val="en-US" w:eastAsia="zh-CN"/>
        </w:rPr>
        <w:t>85</w:t>
      </w:r>
      <w:r>
        <w:rPr>
          <w:rFonts w:hint="eastAsia" w:ascii="宋体" w:hAnsi="宋体" w:eastAsia="宋体" w:cs="宋体"/>
          <w:b/>
          <w:bCs/>
          <w:color w:val="auto"/>
          <w:sz w:val="24"/>
          <w:highlight w:val="none"/>
        </w:rPr>
        <w:t>分）</w:t>
      </w:r>
    </w:p>
    <w:p>
      <w:pPr>
        <w:widowControl/>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1.1商务资信（7.5分）</w:t>
      </w:r>
    </w:p>
    <w:tbl>
      <w:tblPr>
        <w:tblStyle w:val="36"/>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23"/>
        <w:gridCol w:w="6600"/>
        <w:gridCol w:w="88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55"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7123" w:type="dxa"/>
            <w:gridSpan w:val="2"/>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评分内容和标准</w:t>
            </w:r>
          </w:p>
        </w:tc>
        <w:tc>
          <w:tcPr>
            <w:tcW w:w="883"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分值区间</w:t>
            </w:r>
          </w:p>
        </w:tc>
        <w:tc>
          <w:tcPr>
            <w:tcW w:w="977"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855" w:type="dxa"/>
            <w:vMerge w:val="restart"/>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商务资信分（7.5分）</w:t>
            </w:r>
          </w:p>
          <w:p>
            <w:pPr>
              <w:widowControl/>
              <w:spacing w:line="360" w:lineRule="auto"/>
              <w:jc w:val="center"/>
              <w:rPr>
                <w:rFonts w:hint="eastAsia" w:ascii="宋体" w:hAnsi="宋体" w:eastAsia="宋体" w:cs="宋体"/>
                <w:color w:val="auto"/>
                <w:sz w:val="24"/>
                <w:highlight w:val="none"/>
                <w:lang w:val="en-US" w:eastAsia="zh-CN"/>
              </w:rPr>
            </w:pPr>
          </w:p>
        </w:tc>
        <w:tc>
          <w:tcPr>
            <w:tcW w:w="523"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660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1、供应商自2020年1月1日以来（以合同签订时间为准）具有同类业绩的每个得0.5分，最高得1分。【证明材料：提供中标通知书和合同，不提供不得分】</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color w:val="auto"/>
                <w:highlight w:val="none"/>
                <w:lang w:val="en-US" w:eastAsia="zh-CN"/>
              </w:rPr>
            </w:pPr>
            <w:r>
              <w:rPr>
                <w:rFonts w:hint="eastAsia" w:ascii="宋体" w:hAnsi="宋体" w:eastAsia="宋体" w:cs="宋体"/>
                <w:color w:val="auto"/>
                <w:sz w:val="24"/>
                <w:highlight w:val="none"/>
                <w:lang w:val="en-US" w:eastAsia="zh-CN"/>
              </w:rPr>
              <w:t>2、拟派项目负责人自2020年1月1日以来（以合同签订时间为准）具有同类业绩的，每个业绩得0.5分，最高得0.5分。（提供中标通知书和合同，若合同和中标通知书中都未体现项目负责人的，还需提供业主证明文件，未提供不得分。）</w:t>
            </w:r>
          </w:p>
        </w:tc>
        <w:tc>
          <w:tcPr>
            <w:tcW w:w="883" w:type="dxa"/>
            <w:noWrap w:val="0"/>
            <w:vAlign w:val="center"/>
          </w:tcPr>
          <w:p>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0-1.5</w:t>
            </w:r>
          </w:p>
        </w:tc>
        <w:tc>
          <w:tcPr>
            <w:tcW w:w="977"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55"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523"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660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供应商具有白蚁防治机构等级证书，一级得3分；二级得2分；三级得1分。【证明材料：提供证书复印件，不提供不得分】</w:t>
            </w:r>
          </w:p>
        </w:tc>
        <w:tc>
          <w:tcPr>
            <w:tcW w:w="883"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0-3</w:t>
            </w:r>
          </w:p>
        </w:tc>
        <w:tc>
          <w:tcPr>
            <w:tcW w:w="977"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855"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523"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6600" w:type="dxa"/>
            <w:noWrap w:val="0"/>
            <w:vAlign w:val="center"/>
          </w:tcPr>
          <w:p>
            <w:pPr>
              <w:widowControl/>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供应商具有质量保证体系认证证书、环境管理体系认证证书、职业健康安全管理体系认证证书（证书须在有效期内），每提供一个得1分，本项最高得3分。【证明材料：</w:t>
            </w:r>
            <w:r>
              <w:rPr>
                <w:rFonts w:hint="eastAsia" w:ascii="宋体" w:hAnsi="宋体" w:eastAsia="宋体" w:cs="宋体"/>
                <w:color w:val="auto"/>
                <w:sz w:val="24"/>
                <w:highlight w:val="none"/>
                <w:lang w:val="zh-CN" w:eastAsia="zh-CN"/>
              </w:rPr>
              <w:t>提供认证证书复印件，不提供不得分】</w:t>
            </w:r>
          </w:p>
        </w:tc>
        <w:tc>
          <w:tcPr>
            <w:tcW w:w="883"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0-3</w:t>
            </w:r>
          </w:p>
        </w:tc>
        <w:tc>
          <w:tcPr>
            <w:tcW w:w="977"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bl>
    <w:p>
      <w:pPr>
        <w:widowControl/>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1.2技术和服务方案（77.5分）</w:t>
      </w:r>
    </w:p>
    <w:tbl>
      <w:tblPr>
        <w:tblStyle w:val="36"/>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695"/>
        <w:gridCol w:w="6171"/>
        <w:gridCol w:w="120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1"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6866" w:type="dxa"/>
            <w:gridSpan w:val="2"/>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评分内容和标准</w:t>
            </w:r>
          </w:p>
        </w:tc>
        <w:tc>
          <w:tcPr>
            <w:tcW w:w="1200"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分值区间</w:t>
            </w:r>
          </w:p>
        </w:tc>
        <w:tc>
          <w:tcPr>
            <w:tcW w:w="940"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vMerge w:val="restart"/>
            <w:noWrap w:val="0"/>
            <w:vAlign w:val="center"/>
          </w:tcPr>
          <w:p>
            <w:pPr>
              <w:widowControl/>
              <w:spacing w:line="360" w:lineRule="auto"/>
              <w:jc w:val="center"/>
              <w:rPr>
                <w:rFonts w:hint="eastAsia" w:ascii="宋体" w:hAnsi="宋体" w:eastAsia="宋体" w:cs="宋体"/>
                <w:color w:val="auto"/>
                <w:sz w:val="24"/>
                <w:highlight w:val="none"/>
                <w:lang w:val="en-US" w:eastAsia="zh-CN"/>
              </w:rPr>
            </w:pPr>
          </w:p>
          <w:p>
            <w:pPr>
              <w:widowControl/>
              <w:spacing w:line="360" w:lineRule="auto"/>
              <w:jc w:val="center"/>
              <w:rPr>
                <w:rFonts w:hint="eastAsia" w:ascii="宋体" w:hAnsi="宋体" w:eastAsia="宋体" w:cs="宋体"/>
                <w:color w:val="auto"/>
                <w:sz w:val="24"/>
                <w:highlight w:val="none"/>
                <w:lang w:val="en-US" w:eastAsia="zh-CN"/>
              </w:rPr>
            </w:pPr>
          </w:p>
          <w:p>
            <w:pPr>
              <w:widowControl/>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技术分（77.5分）</w:t>
            </w:r>
          </w:p>
        </w:tc>
        <w:tc>
          <w:tcPr>
            <w:tcW w:w="695"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6171"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白蚁综合治理流程及保证措施是否具有针对性、科学合理、施工部署全面与可行性等综合评定。（8分）</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0-8</w:t>
            </w:r>
          </w:p>
        </w:tc>
        <w:tc>
          <w:tcPr>
            <w:tcW w:w="94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695" w:type="dxa"/>
            <w:noWrap w:val="0"/>
            <w:vAlign w:val="center"/>
          </w:tcPr>
          <w:p>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6171"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选用技术、实施方案：</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（1）白蚁治理技术科学有效的（3分）、新型环保的（2分）；</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（2）白蚁防治项目实施方案完整且符合实际情况的（3分），预期防治效果好的（4分）。</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0-12</w:t>
            </w:r>
          </w:p>
        </w:tc>
        <w:tc>
          <w:tcPr>
            <w:tcW w:w="94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61"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695" w:type="dxa"/>
            <w:noWrap w:val="0"/>
            <w:vAlign w:val="center"/>
          </w:tcPr>
          <w:p>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6171"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投标人提供的白蚁防治项目施工组织设计方案岗位分工设置细致符合实际（3分）、人员配备齐全，工作经验丰富（3分）、施工安排和施工实际措施合理高效的（4分）、验收方案完整（3分）</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0-13</w:t>
            </w:r>
          </w:p>
        </w:tc>
        <w:tc>
          <w:tcPr>
            <w:tcW w:w="94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61"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695" w:type="dxa"/>
            <w:noWrap w:val="0"/>
            <w:vAlign w:val="center"/>
          </w:tcPr>
          <w:p>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6171"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 xml:space="preserve">白蚁防治项目技术服务质量保障措施详细、科学（4分）、人员安全措施装备齐全（4分） </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0-8</w:t>
            </w:r>
          </w:p>
        </w:tc>
        <w:tc>
          <w:tcPr>
            <w:tcW w:w="94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61"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695" w:type="dxa"/>
            <w:noWrap w:val="0"/>
            <w:vAlign w:val="center"/>
          </w:tcPr>
          <w:p>
            <w:pPr>
              <w:widowControl/>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6171"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kern w:val="0"/>
                <w:sz w:val="24"/>
                <w:szCs w:val="24"/>
                <w:highlight w:val="none"/>
                <w:lang w:val="en-US" w:eastAsia="zh-CN"/>
              </w:rPr>
              <w:t>根据办公场所、仓储场所合理性，配套设施齐全性等进行日常管理的情况进行</w:t>
            </w:r>
            <w:r>
              <w:rPr>
                <w:rFonts w:hint="eastAsia" w:ascii="宋体" w:hAnsi="宋体" w:eastAsia="宋体" w:cs="宋体"/>
                <w:bCs/>
                <w:color w:val="auto"/>
                <w:sz w:val="24"/>
                <w:highlight w:val="none"/>
                <w:shd w:val="clear" w:color="auto" w:fill="auto"/>
                <w:lang w:val="en-US" w:eastAsia="zh-CN"/>
              </w:rPr>
              <w:t>综合评定</w:t>
            </w:r>
            <w:r>
              <w:rPr>
                <w:rFonts w:hint="eastAsia" w:ascii="宋体" w:hAnsi="宋体" w:eastAsia="宋体" w:cs="宋体"/>
                <w:color w:val="auto"/>
                <w:kern w:val="0"/>
                <w:sz w:val="24"/>
                <w:szCs w:val="24"/>
                <w:highlight w:val="none"/>
                <w:lang w:val="en-US" w:eastAsia="zh-CN"/>
              </w:rPr>
              <w:t>。</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0-4</w:t>
            </w:r>
          </w:p>
        </w:tc>
        <w:tc>
          <w:tcPr>
            <w:tcW w:w="94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61"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695" w:type="dxa"/>
            <w:noWrap w:val="0"/>
            <w:vAlign w:val="center"/>
          </w:tcPr>
          <w:p>
            <w:pPr>
              <w:widowControl/>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6171"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供应商具有白蚁探测仪的得1.5分。【证明材料：提供购买发票复印件盖供应商公章。】</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0-1.5</w:t>
            </w:r>
          </w:p>
        </w:tc>
        <w:tc>
          <w:tcPr>
            <w:tcW w:w="94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61"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695" w:type="dxa"/>
            <w:noWrap w:val="0"/>
            <w:vAlign w:val="center"/>
          </w:tcPr>
          <w:p>
            <w:pPr>
              <w:widowControl/>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6171"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供应商具有2辆常驻白蚁防治巡查工作车辆（成交后车身喷涂“白蚁防治”字样标识）的，得1分；每增加1辆，另加1分，本项最高得2分。</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有效证明材料：自有的需提供购置发票、行驶证、供应商营业执照复印件加盖供应商公章，要求发票抬头、行驶证所有人与供应商营业执照名称保持一致，年检过期的车辆不计分；若租赁的需提供有效的租赁合同。自本项目公告发布后购买或租赁或转入投标人的二手（过户）车辆均不计分。】</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0-2</w:t>
            </w:r>
          </w:p>
        </w:tc>
        <w:tc>
          <w:tcPr>
            <w:tcW w:w="94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861"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695" w:type="dxa"/>
            <w:noWrap w:val="0"/>
            <w:vAlign w:val="center"/>
          </w:tcPr>
          <w:p>
            <w:pPr>
              <w:widowControl/>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w:t>
            </w:r>
          </w:p>
        </w:tc>
        <w:tc>
          <w:tcPr>
            <w:tcW w:w="6171"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华文仿宋" w:hAnsi="华文仿宋" w:eastAsia="华文仿宋" w:cs="华文仿宋"/>
                <w:color w:val="auto"/>
                <w:highlight w:val="none"/>
              </w:rPr>
            </w:pPr>
            <w:r>
              <w:rPr>
                <w:rFonts w:hint="eastAsia" w:ascii="宋体" w:hAnsi="宋体" w:eastAsia="宋体" w:cs="宋体"/>
                <w:color w:val="auto"/>
                <w:sz w:val="24"/>
                <w:highlight w:val="none"/>
                <w:lang w:val="en-US" w:eastAsia="zh-CN"/>
              </w:rPr>
              <w:t>根据供应商提供的设备配备情况，从采用的白蚁防治药物、药包、监测装置及其他设备的先进性、有效性、安全性进行综合评分。</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0-6</w:t>
            </w:r>
          </w:p>
        </w:tc>
        <w:tc>
          <w:tcPr>
            <w:tcW w:w="94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61"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695" w:type="dxa"/>
            <w:noWrap w:val="0"/>
            <w:vAlign w:val="center"/>
          </w:tcPr>
          <w:p>
            <w:pPr>
              <w:widowControl/>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highlight w:val="none"/>
                <w:lang w:val="en-US" w:eastAsia="zh-CN"/>
              </w:rPr>
              <w:t>12</w:t>
            </w:r>
          </w:p>
        </w:tc>
        <w:tc>
          <w:tcPr>
            <w:tcW w:w="6171"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项目负责人及团队要求：</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（1）项目负责人具有白蚁防治专业高级及以上工程师职称的得3分</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eastAsia="zh-CN"/>
              </w:rPr>
              <w:t>白蚁防治专业</w:t>
            </w:r>
            <w:r>
              <w:rPr>
                <w:rFonts w:hint="eastAsia" w:ascii="宋体" w:hAnsi="宋体" w:eastAsia="宋体" w:cs="宋体"/>
                <w:color w:val="auto"/>
                <w:sz w:val="24"/>
                <w:highlight w:val="none"/>
                <w:lang w:val="en-US" w:eastAsia="zh-CN"/>
              </w:rPr>
              <w:t>中级工程师</w:t>
            </w:r>
            <w:r>
              <w:rPr>
                <w:rFonts w:hint="eastAsia" w:ascii="宋体" w:hAnsi="宋体" w:eastAsia="宋体" w:cs="宋体"/>
                <w:color w:val="auto"/>
                <w:sz w:val="24"/>
                <w:highlight w:val="none"/>
                <w:lang w:val="zh-CN" w:eastAsia="zh-CN"/>
              </w:rPr>
              <w:t>职称的得2分</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eastAsia="zh-CN"/>
              </w:rPr>
              <w:t>白蚁防治专业助理工程职称的得1分。本项最高得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分。</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（2）项目组成员中（除项目负责人外）具备白蚁行业相关专业</w:t>
            </w:r>
            <w:r>
              <w:rPr>
                <w:rFonts w:hint="eastAsia" w:ascii="宋体" w:hAnsi="宋体" w:eastAsia="宋体" w:cs="宋体"/>
                <w:color w:val="auto"/>
                <w:sz w:val="24"/>
                <w:highlight w:val="none"/>
                <w:lang w:val="en-US" w:eastAsia="zh-CN"/>
              </w:rPr>
              <w:t>职业资格证书</w:t>
            </w:r>
            <w:r>
              <w:rPr>
                <w:rFonts w:hint="eastAsia" w:ascii="宋体" w:hAnsi="宋体" w:eastAsia="宋体" w:cs="宋体"/>
                <w:color w:val="auto"/>
                <w:sz w:val="24"/>
                <w:highlight w:val="none"/>
                <w:lang w:val="zh-CN" w:eastAsia="zh-CN"/>
              </w:rPr>
              <w:t>的，每个得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分，</w:t>
            </w:r>
            <w:r>
              <w:rPr>
                <w:rFonts w:hint="eastAsia" w:ascii="宋体" w:hAnsi="宋体" w:eastAsia="宋体" w:cs="宋体"/>
                <w:color w:val="auto"/>
                <w:sz w:val="24"/>
                <w:highlight w:val="none"/>
                <w:lang w:val="en-US" w:eastAsia="zh-CN"/>
              </w:rPr>
              <w:t>本项</w:t>
            </w:r>
            <w:r>
              <w:rPr>
                <w:rFonts w:hint="eastAsia" w:ascii="宋体" w:hAnsi="宋体" w:eastAsia="宋体" w:cs="宋体"/>
                <w:color w:val="auto"/>
                <w:sz w:val="24"/>
                <w:highlight w:val="none"/>
                <w:lang w:val="zh-CN" w:eastAsia="zh-CN"/>
              </w:rPr>
              <w:t>最高得6分。（同一人员同时具</w:t>
            </w:r>
            <w:r>
              <w:rPr>
                <w:rFonts w:hint="eastAsia" w:ascii="宋体" w:hAnsi="宋体" w:eastAsia="宋体" w:cs="宋体"/>
                <w:color w:val="auto"/>
                <w:sz w:val="24"/>
                <w:highlight w:val="none"/>
                <w:lang w:val="en-US" w:eastAsia="zh-CN"/>
              </w:rPr>
              <w:t>有</w:t>
            </w:r>
            <w:r>
              <w:rPr>
                <w:rFonts w:hint="eastAsia" w:ascii="宋体" w:hAnsi="宋体" w:eastAsia="宋体" w:cs="宋体"/>
                <w:color w:val="auto"/>
                <w:sz w:val="24"/>
                <w:highlight w:val="none"/>
                <w:lang w:val="zh-CN" w:eastAsia="zh-CN"/>
              </w:rPr>
              <w:t>两种</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lang w:val="zh-CN" w:eastAsia="zh-CN"/>
              </w:rPr>
              <w:t>以上证书的，按</w:t>
            </w:r>
            <w:r>
              <w:rPr>
                <w:rFonts w:hint="eastAsia" w:ascii="宋体" w:hAnsi="宋体" w:eastAsia="宋体" w:cs="宋体"/>
                <w:color w:val="auto"/>
                <w:sz w:val="24"/>
                <w:highlight w:val="none"/>
                <w:lang w:val="en-US" w:eastAsia="zh-CN"/>
              </w:rPr>
              <w:t>高计取</w:t>
            </w:r>
            <w:r>
              <w:rPr>
                <w:rFonts w:hint="eastAsia" w:ascii="宋体" w:hAnsi="宋体" w:eastAsia="宋体" w:cs="宋体"/>
                <w:color w:val="auto"/>
                <w:sz w:val="24"/>
                <w:highlight w:val="none"/>
                <w:lang w:val="zh-CN" w:eastAsia="zh-CN"/>
              </w:rPr>
              <w:t>，不重复计分。）</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color w:val="auto"/>
                <w:highlight w:val="none"/>
                <w:lang w:val="en-US" w:eastAsia="zh-CN"/>
              </w:rPr>
            </w:pPr>
            <w:r>
              <w:rPr>
                <w:rFonts w:hint="eastAsia" w:ascii="宋体" w:hAnsi="宋体" w:eastAsia="宋体" w:cs="宋体"/>
                <w:color w:val="auto"/>
                <w:sz w:val="24"/>
                <w:highlight w:val="none"/>
                <w:lang w:val="zh-CN" w:eastAsia="zh-CN"/>
              </w:rPr>
              <w:t>【证明材料：提供职称证书、</w:t>
            </w:r>
            <w:r>
              <w:rPr>
                <w:rFonts w:hint="eastAsia" w:ascii="宋体" w:hAnsi="宋体" w:eastAsia="宋体" w:cs="宋体"/>
                <w:color w:val="auto"/>
                <w:sz w:val="24"/>
                <w:highlight w:val="none"/>
                <w:lang w:val="en-US" w:eastAsia="zh-CN"/>
              </w:rPr>
              <w:t>职业</w:t>
            </w:r>
            <w:r>
              <w:rPr>
                <w:rFonts w:hint="eastAsia" w:ascii="宋体" w:hAnsi="宋体" w:eastAsia="宋体" w:cs="宋体"/>
                <w:color w:val="auto"/>
                <w:sz w:val="24"/>
                <w:highlight w:val="none"/>
                <w:lang w:val="zh-CN" w:eastAsia="zh-CN"/>
              </w:rPr>
              <w:t>资格证书</w:t>
            </w:r>
            <w:r>
              <w:rPr>
                <w:rFonts w:hint="eastAsia" w:ascii="宋体" w:hAnsi="宋体" w:eastAsia="宋体" w:cs="宋体"/>
                <w:color w:val="auto"/>
                <w:sz w:val="24"/>
                <w:highlight w:val="none"/>
                <w:lang w:val="en-US" w:eastAsia="zh-CN"/>
              </w:rPr>
              <w:t>及在本企业缴纳的有效社会保险证明。社会保险证明：应由社保部门出具且需满足最近连续三个月（2022年12月、2023年1月、2023年2月）在本企业缴纳的时间要求。若人员已退休但仍可执业的，可凭社保部门出具的退休证明及聘用合同替代，响应文件中可使用复印件但须同时加盖供应商印章。】</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0-9</w:t>
            </w:r>
          </w:p>
        </w:tc>
        <w:tc>
          <w:tcPr>
            <w:tcW w:w="940"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1"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695" w:type="dxa"/>
            <w:noWrap w:val="0"/>
            <w:vAlign w:val="center"/>
          </w:tcPr>
          <w:p>
            <w:pPr>
              <w:widowControl/>
              <w:spacing w:line="360" w:lineRule="auto"/>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w:t>
            </w:r>
          </w:p>
        </w:tc>
        <w:tc>
          <w:tcPr>
            <w:tcW w:w="6171"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根据供应商提供的售后服务方案、售后服务承诺的可行性、完整性以及服务承诺落实的保障措施，在项目实施有效期内的后续技术支持能力情况等情况综合评定。</w:t>
            </w:r>
          </w:p>
        </w:tc>
        <w:tc>
          <w:tcPr>
            <w:tcW w:w="1200" w:type="dxa"/>
            <w:noWrap w:val="0"/>
            <w:vAlign w:val="center"/>
          </w:tcPr>
          <w:p>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0-6</w:t>
            </w:r>
          </w:p>
        </w:tc>
        <w:tc>
          <w:tcPr>
            <w:tcW w:w="940"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61" w:type="dxa"/>
            <w:vMerge w:val="continue"/>
            <w:noWrap w:val="0"/>
            <w:vAlign w:val="center"/>
          </w:tcPr>
          <w:p>
            <w:pPr>
              <w:widowControl/>
              <w:spacing w:line="360" w:lineRule="auto"/>
              <w:jc w:val="center"/>
              <w:rPr>
                <w:rFonts w:hint="eastAsia" w:ascii="宋体" w:hAnsi="宋体" w:eastAsia="宋体" w:cs="宋体"/>
                <w:color w:val="auto"/>
                <w:sz w:val="24"/>
                <w:highlight w:val="none"/>
                <w:lang w:val="en-US" w:eastAsia="zh-CN"/>
              </w:rPr>
            </w:pPr>
          </w:p>
        </w:tc>
        <w:tc>
          <w:tcPr>
            <w:tcW w:w="695" w:type="dxa"/>
            <w:noWrap w:val="0"/>
            <w:vAlign w:val="center"/>
          </w:tcPr>
          <w:p>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61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对突发事件的应急预案及应对措施（如自然灾害、重大活动等）等情况综合评定。</w:t>
            </w:r>
          </w:p>
        </w:tc>
        <w:tc>
          <w:tcPr>
            <w:tcW w:w="1200" w:type="dxa"/>
            <w:noWrap w:val="0"/>
            <w:vAlign w:val="center"/>
          </w:tcPr>
          <w:p>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w:t>
            </w:r>
          </w:p>
        </w:tc>
        <w:tc>
          <w:tcPr>
            <w:tcW w:w="940" w:type="dxa"/>
            <w:noWrap w:val="0"/>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主观分</w:t>
            </w:r>
          </w:p>
        </w:tc>
      </w:tr>
    </w:tbl>
    <w:p>
      <w:pPr>
        <w:widowControl/>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注：1、评分条款中涉及的业绩、荣誉、人员、社保等分公司均有效。</w:t>
      </w:r>
    </w:p>
    <w:p>
      <w:pPr>
        <w:widowControl/>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pPr>
        <w:widowControl/>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1.3价格分（15分）</w:t>
      </w:r>
    </w:p>
    <w:tbl>
      <w:tblPr>
        <w:tblStyle w:val="3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89"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价格分</w:t>
            </w:r>
          </w:p>
        </w:tc>
        <w:tc>
          <w:tcPr>
            <w:tcW w:w="6430" w:type="dxa"/>
            <w:noWrap w:val="0"/>
            <w:vAlign w:val="center"/>
          </w:tcPr>
          <w:p>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089" w:type="dxa"/>
            <w:noWrap w:val="0"/>
            <w:vAlign w:val="center"/>
          </w:tcPr>
          <w:p>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价格权值=0.15</w:t>
            </w:r>
          </w:p>
        </w:tc>
        <w:tc>
          <w:tcPr>
            <w:tcW w:w="6430" w:type="dxa"/>
            <w:noWrap w:val="0"/>
            <w:vAlign w:val="center"/>
          </w:tcPr>
          <w:p>
            <w:pPr>
              <w:widowControl/>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最低有效响应价格为评标基准价</w:t>
            </w:r>
          </w:p>
          <w:p>
            <w:pPr>
              <w:widowControl/>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响应报价得分=(评标基准价／响应报价)×价格权值×100 </w:t>
            </w:r>
          </w:p>
          <w:p>
            <w:pPr>
              <w:widowControl/>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（计算得分保留小数点后2位）</w:t>
            </w:r>
          </w:p>
        </w:tc>
      </w:tr>
    </w:tbl>
    <w:p>
      <w:pPr>
        <w:widowControl/>
        <w:spacing w:line="360" w:lineRule="auto"/>
        <w:rPr>
          <w:rFonts w:hint="eastAsia" w:ascii="宋体" w:hAnsi="宋体" w:eastAsia="宋体" w:cs="宋体"/>
          <w:color w:val="auto"/>
          <w:sz w:val="24"/>
          <w:highlight w:val="none"/>
          <w:lang w:val="en-US" w:eastAsia="zh-CN"/>
        </w:rPr>
      </w:pPr>
    </w:p>
    <w:p>
      <w:pPr>
        <w:widowControl/>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备注：1、评分条款中涉及的业绩、荣誉、人员、社保等分公司均有效。</w:t>
      </w:r>
    </w:p>
    <w:p>
      <w:pPr>
        <w:widowControl/>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pPr>
        <w:widowControl/>
        <w:spacing w:line="360" w:lineRule="auto"/>
        <w:rPr>
          <w:rFonts w:cs="仿宋_GB2312"/>
          <w:color w:val="auto"/>
          <w:highlight w:val="none"/>
        </w:rPr>
      </w:pPr>
      <w:r>
        <w:rPr>
          <w:rFonts w:hint="eastAsia" w:ascii="宋体" w:hAnsi="宋体" w:eastAsia="宋体" w:cs="宋体"/>
          <w:color w:val="auto"/>
          <w:sz w:val="24"/>
          <w:highlight w:val="none"/>
          <w:lang w:val="en-US" w:eastAsia="zh-CN"/>
        </w:rPr>
        <w:t>3、供应商编制响应文件（商务技术文件部分）时，建议按此目录（序号和内容）提供评标标准相应的商务技术资料。</w:t>
      </w:r>
      <w:r>
        <w:rPr>
          <w:rFonts w:cs="仿宋_GB2312"/>
          <w:color w:val="auto"/>
          <w:highlight w:val="none"/>
        </w:rPr>
        <w:t> </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rPr>
          <w:rFonts w:ascii="宋体" w:hAnsi="宋体" w:eastAsia="宋体" w:cs="宋体"/>
          <w:color w:val="auto"/>
          <w:highlight w:val="none"/>
        </w:rPr>
      </w:pPr>
      <w:r>
        <w:rPr>
          <w:rFonts w:hint="eastAsia" w:ascii="宋体" w:hAnsi="宋体" w:eastAsia="宋体" w:cs="宋体"/>
          <w:color w:val="auto"/>
          <w:highlight w:val="none"/>
        </w:rPr>
        <w:t>一、评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rPr>
        <w:t>方法</w:t>
      </w:r>
    </w:p>
    <w:p>
      <w:pPr>
        <w:spacing w:line="360" w:lineRule="auto"/>
        <w:ind w:firstLine="472" w:firstLineChars="196"/>
        <w:rPr>
          <w:rFonts w:ascii="宋体" w:hAnsi="宋体" w:eastAsia="宋体" w:cs="宋体"/>
          <w:color w:val="auto"/>
          <w:highlight w:val="none"/>
        </w:rPr>
      </w:pPr>
      <w:r>
        <w:rPr>
          <w:rStyle w:val="46"/>
          <w:rFonts w:hint="eastAsia" w:ascii="宋体" w:hAnsi="宋体" w:eastAsia="宋体" w:cs="宋体"/>
          <w:color w:val="auto"/>
          <w:highlight w:val="none"/>
        </w:rPr>
        <w:t>1.本项目采用综合评分法。</w:t>
      </w:r>
      <w:r>
        <w:rPr>
          <w:rFonts w:hint="eastAsia" w:ascii="宋体" w:hAnsi="宋体" w:eastAsia="宋体" w:cs="宋体"/>
          <w:color w:val="auto"/>
          <w:highlight w:val="none"/>
        </w:rPr>
        <w:t>综合评分法，是指</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满足</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全部实质性要求，且按照评审因素的量化指标评审得分最高的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w:t>
      </w:r>
      <w:r>
        <w:rPr>
          <w:rFonts w:hint="eastAsia" w:ascii="宋体" w:hAnsi="宋体" w:eastAsia="宋体" w:cs="宋体"/>
          <w:color w:val="auto"/>
          <w:highlight w:val="none"/>
          <w:lang w:eastAsia="zh-CN"/>
        </w:rPr>
        <w:t>成交候选人</w:t>
      </w:r>
      <w:r>
        <w:rPr>
          <w:rFonts w:hint="eastAsia" w:ascii="宋体" w:hAnsi="宋体" w:eastAsia="宋体" w:cs="宋体"/>
          <w:color w:val="auto"/>
          <w:highlight w:val="none"/>
        </w:rPr>
        <w:t>的评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rPr>
        <w:t>方法。</w:t>
      </w:r>
    </w:p>
    <w:p>
      <w:pPr>
        <w:pStyle w:val="6"/>
        <w:rPr>
          <w:rFonts w:ascii="宋体" w:hAnsi="宋体" w:eastAsia="宋体" w:cs="宋体"/>
          <w:color w:val="auto"/>
          <w:sz w:val="24"/>
          <w:highlight w:val="none"/>
        </w:rPr>
      </w:pPr>
      <w:r>
        <w:rPr>
          <w:rFonts w:hint="eastAsia" w:ascii="宋体" w:hAnsi="宋体" w:eastAsia="宋体" w:cs="宋体"/>
          <w:color w:val="auto"/>
          <w:highlight w:val="none"/>
        </w:rPr>
        <w:t>二、评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rPr>
        <w:t>标准</w:t>
      </w:r>
    </w:p>
    <w:p>
      <w:pPr>
        <w:spacing w:line="360" w:lineRule="auto"/>
        <w:ind w:firstLine="472" w:firstLineChars="196"/>
        <w:rPr>
          <w:rFonts w:ascii="宋体" w:hAnsi="宋体" w:eastAsia="宋体" w:cs="宋体"/>
          <w:b/>
          <w:color w:val="auto"/>
          <w:highlight w:val="none"/>
        </w:rPr>
      </w:pPr>
      <w:r>
        <w:rPr>
          <w:rStyle w:val="46"/>
          <w:rFonts w:hint="eastAsia" w:ascii="宋体" w:hAnsi="宋体" w:eastAsia="宋体" w:cs="宋体"/>
          <w:color w:val="auto"/>
          <w:highlight w:val="none"/>
        </w:rPr>
        <w:t>2. 评</w:t>
      </w:r>
      <w:r>
        <w:rPr>
          <w:rStyle w:val="46"/>
          <w:rFonts w:hint="eastAsia" w:ascii="宋体" w:hAnsi="宋体" w:eastAsia="宋体" w:cs="宋体"/>
          <w:color w:val="auto"/>
          <w:highlight w:val="none"/>
          <w:lang w:val="en-US" w:eastAsia="zh-CN"/>
        </w:rPr>
        <w:t>审</w:t>
      </w:r>
      <w:r>
        <w:rPr>
          <w:rStyle w:val="46"/>
          <w:rFonts w:hint="eastAsia" w:ascii="宋体" w:hAnsi="宋体" w:eastAsia="宋体" w:cs="宋体"/>
          <w:color w:val="auto"/>
          <w:highlight w:val="none"/>
        </w:rPr>
        <w:t>标准：</w:t>
      </w:r>
      <w:r>
        <w:rPr>
          <w:rFonts w:hint="eastAsia" w:ascii="宋体" w:hAnsi="宋体" w:eastAsia="宋体" w:cs="宋体"/>
          <w:color w:val="auto"/>
          <w:highlight w:val="none"/>
        </w:rPr>
        <w:t>见评</w:t>
      </w:r>
      <w:r>
        <w:rPr>
          <w:rFonts w:hint="eastAsia" w:ascii="宋体" w:hAnsi="宋体" w:eastAsia="宋体" w:cs="宋体"/>
          <w:color w:val="auto"/>
          <w:highlight w:val="none"/>
          <w:lang w:val="en-US" w:eastAsia="zh-CN"/>
        </w:rPr>
        <w:t>审</w:t>
      </w:r>
      <w:r>
        <w:rPr>
          <w:rFonts w:hint="eastAsia" w:ascii="宋体" w:hAnsi="宋体" w:eastAsia="宋体" w:cs="宋体"/>
          <w:color w:val="auto"/>
          <w:highlight w:val="none"/>
        </w:rPr>
        <w:t>办法前附表。</w:t>
      </w:r>
    </w:p>
    <w:p>
      <w:pPr>
        <w:pStyle w:val="6"/>
        <w:rPr>
          <w:rFonts w:ascii="宋体" w:hAnsi="宋体" w:eastAsia="宋体" w:cs="宋体"/>
          <w:color w:val="auto"/>
          <w:highlight w:val="none"/>
        </w:rPr>
      </w:pPr>
      <w:r>
        <w:rPr>
          <w:rFonts w:hint="eastAsia" w:ascii="宋体" w:hAnsi="宋体" w:eastAsia="宋体" w:cs="宋体"/>
          <w:color w:val="auto"/>
          <w:highlight w:val="none"/>
        </w:rPr>
        <w:t>三、</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程序</w:t>
      </w:r>
    </w:p>
    <w:p>
      <w:pPr>
        <w:spacing w:line="360" w:lineRule="auto"/>
        <w:ind w:firstLine="472" w:firstLineChars="196"/>
        <w:rPr>
          <w:rFonts w:ascii="宋体" w:hAnsi="宋体" w:eastAsia="宋体" w:cs="宋体"/>
          <w:color w:val="auto"/>
          <w:highlight w:val="none"/>
        </w:rPr>
      </w:pPr>
      <w:r>
        <w:rPr>
          <w:rStyle w:val="46"/>
          <w:rFonts w:hint="eastAsia" w:ascii="宋体" w:hAnsi="宋体" w:eastAsia="宋体" w:cs="宋体"/>
          <w:color w:val="auto"/>
          <w:highlight w:val="none"/>
        </w:rPr>
        <w:t>3.1符合性审查。</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应当对符合资格的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进行符合性审查，以确定其是否满足</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的实质性要求。不满足</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的实质性要求的，</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无效。</w:t>
      </w:r>
    </w:p>
    <w:p>
      <w:pPr>
        <w:spacing w:line="360" w:lineRule="auto"/>
        <w:ind w:firstLine="472" w:firstLineChars="196"/>
        <w:rPr>
          <w:rFonts w:ascii="宋体" w:hAnsi="宋体" w:eastAsia="宋体" w:cs="宋体"/>
          <w:color w:val="auto"/>
          <w:highlight w:val="none"/>
        </w:rPr>
      </w:pPr>
      <w:r>
        <w:rPr>
          <w:rStyle w:val="46"/>
          <w:rFonts w:hint="eastAsia" w:ascii="宋体" w:hAnsi="宋体" w:eastAsia="宋体" w:cs="宋体"/>
          <w:color w:val="auto"/>
          <w:highlight w:val="none"/>
        </w:rPr>
        <w:t>3.2 比较与评价。</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应当按照</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中规定的</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方法和标准，对符合性审查合格的</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进行商务和技术评估，综合比较与评价。</w:t>
      </w:r>
    </w:p>
    <w:p>
      <w:pPr>
        <w:spacing w:line="360" w:lineRule="auto"/>
        <w:ind w:firstLine="472" w:firstLineChars="196"/>
        <w:rPr>
          <w:rFonts w:ascii="宋体" w:hAnsi="宋体" w:eastAsia="宋体" w:cs="宋体"/>
          <w:color w:val="auto"/>
          <w:highlight w:val="none"/>
        </w:rPr>
      </w:pPr>
      <w:r>
        <w:rPr>
          <w:rStyle w:val="46"/>
          <w:rFonts w:hint="eastAsia" w:ascii="宋体" w:hAnsi="宋体" w:eastAsia="宋体" w:cs="宋体"/>
          <w:color w:val="auto"/>
          <w:highlight w:val="none"/>
        </w:rPr>
        <w:t>3.3汇总商务技术得分。</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各成员应当独立对每个</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的商务和技术文件进行评价，并汇总商务技术得分情况。</w:t>
      </w:r>
    </w:p>
    <w:p>
      <w:pPr>
        <w:pStyle w:val="7"/>
        <w:rPr>
          <w:rFonts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3.4报价评审。</w:t>
      </w:r>
    </w:p>
    <w:p>
      <w:pPr>
        <w:pStyle w:val="77"/>
        <w:rPr>
          <w:rFonts w:ascii="宋体" w:hAnsi="宋体" w:eastAsia="宋体" w:cs="宋体"/>
          <w:color w:val="auto"/>
          <w:highlight w:val="none"/>
        </w:rPr>
      </w:pPr>
      <w:r>
        <w:rPr>
          <w:rFonts w:hint="eastAsia" w:ascii="宋体" w:hAnsi="宋体" w:eastAsia="宋体" w:cs="宋体"/>
          <w:color w:val="auto"/>
          <w:highlight w:val="none"/>
        </w:rPr>
        <w:t>3.4.1</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报价出现前后不一致的，按照下列规定修正：</w:t>
      </w:r>
    </w:p>
    <w:p>
      <w:pPr>
        <w:pStyle w:val="77"/>
        <w:rPr>
          <w:rFonts w:ascii="宋体" w:hAnsi="宋体" w:eastAsia="宋体" w:cs="宋体"/>
          <w:color w:val="auto"/>
          <w:highlight w:val="none"/>
        </w:rPr>
      </w:pPr>
      <w:r>
        <w:rPr>
          <w:rFonts w:hint="eastAsia" w:ascii="宋体" w:hAnsi="宋体" w:eastAsia="宋体" w:cs="宋体"/>
          <w:color w:val="auto"/>
          <w:highlight w:val="none"/>
        </w:rPr>
        <w:t>3.4.1.1</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中</w:t>
      </w:r>
      <w:r>
        <w:rPr>
          <w:rFonts w:hint="eastAsia" w:ascii="宋体" w:hAnsi="宋体" w:eastAsia="宋体" w:cs="宋体"/>
          <w:color w:val="auto"/>
          <w:highlight w:val="none"/>
          <w:lang w:eastAsia="zh-CN"/>
        </w:rPr>
        <w:t>交易一览表</w:t>
      </w:r>
      <w:r>
        <w:rPr>
          <w:rFonts w:hint="eastAsia" w:ascii="宋体" w:hAnsi="宋体" w:eastAsia="宋体" w:cs="宋体"/>
          <w:color w:val="auto"/>
          <w:highlight w:val="none"/>
        </w:rPr>
        <w:t>(报价表)内容与</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中相应内容不一致的，以</w:t>
      </w:r>
      <w:r>
        <w:rPr>
          <w:rFonts w:hint="eastAsia" w:ascii="宋体" w:hAnsi="宋体" w:eastAsia="宋体" w:cs="宋体"/>
          <w:color w:val="auto"/>
          <w:highlight w:val="none"/>
          <w:lang w:eastAsia="zh-CN"/>
        </w:rPr>
        <w:t>交易一览表</w:t>
      </w:r>
      <w:r>
        <w:rPr>
          <w:rFonts w:hint="eastAsia" w:ascii="宋体" w:hAnsi="宋体" w:eastAsia="宋体" w:cs="宋体"/>
          <w:color w:val="auto"/>
          <w:highlight w:val="none"/>
        </w:rPr>
        <w:t>(报价表)为准;</w:t>
      </w:r>
    </w:p>
    <w:p>
      <w:pPr>
        <w:pStyle w:val="77"/>
        <w:rPr>
          <w:rFonts w:hint="eastAsia" w:ascii="宋体" w:hAnsi="宋体" w:eastAsia="宋体" w:cs="宋体"/>
          <w:color w:val="auto"/>
          <w:highlight w:val="none"/>
          <w:lang w:eastAsia="zh-CN"/>
        </w:rPr>
      </w:pPr>
      <w:r>
        <w:rPr>
          <w:rFonts w:hint="eastAsia" w:ascii="宋体" w:hAnsi="宋体" w:eastAsia="宋体" w:cs="宋体"/>
          <w:color w:val="auto"/>
          <w:highlight w:val="none"/>
        </w:rPr>
        <w:t>3.4.1.2大写金额和小写金额不一致的，以大写金额为准</w:t>
      </w:r>
      <w:r>
        <w:rPr>
          <w:rFonts w:hint="eastAsia" w:ascii="宋体" w:hAnsi="宋体" w:eastAsia="宋体" w:cs="宋体"/>
          <w:color w:val="auto"/>
          <w:highlight w:val="none"/>
          <w:lang w:eastAsia="zh-CN"/>
        </w:rPr>
        <w:t>；</w:t>
      </w:r>
    </w:p>
    <w:p>
      <w:pPr>
        <w:pStyle w:val="77"/>
        <w:rPr>
          <w:rFonts w:hint="eastAsia" w:ascii="宋体" w:hAnsi="宋体" w:eastAsia="宋体" w:cs="宋体"/>
          <w:color w:val="auto"/>
          <w:highlight w:val="none"/>
          <w:lang w:eastAsia="zh-CN"/>
        </w:rPr>
      </w:pPr>
      <w:r>
        <w:rPr>
          <w:rFonts w:hint="eastAsia" w:ascii="宋体" w:hAnsi="宋体" w:eastAsia="宋体" w:cs="宋体"/>
          <w:color w:val="auto"/>
          <w:highlight w:val="none"/>
        </w:rPr>
        <w:t>3.4.1.3单价金额小数点或者百分比有明显错位的，以</w:t>
      </w:r>
      <w:r>
        <w:rPr>
          <w:rFonts w:hint="eastAsia" w:ascii="宋体" w:hAnsi="宋体" w:eastAsia="宋体" w:cs="宋体"/>
          <w:color w:val="auto"/>
          <w:highlight w:val="none"/>
          <w:lang w:eastAsia="zh-CN"/>
        </w:rPr>
        <w:t>交易一览表</w:t>
      </w:r>
      <w:r>
        <w:rPr>
          <w:rFonts w:hint="eastAsia" w:ascii="宋体" w:hAnsi="宋体" w:eastAsia="宋体" w:cs="宋体"/>
          <w:color w:val="auto"/>
          <w:highlight w:val="none"/>
        </w:rPr>
        <w:t>的总价为准，并修改单价</w:t>
      </w:r>
      <w:r>
        <w:rPr>
          <w:rFonts w:hint="eastAsia" w:ascii="宋体" w:hAnsi="宋体" w:eastAsia="宋体" w:cs="宋体"/>
          <w:color w:val="auto"/>
          <w:highlight w:val="none"/>
          <w:lang w:eastAsia="zh-CN"/>
        </w:rPr>
        <w:t>；</w:t>
      </w:r>
    </w:p>
    <w:p>
      <w:pPr>
        <w:pStyle w:val="77"/>
        <w:rPr>
          <w:rFonts w:ascii="宋体" w:hAnsi="宋体" w:eastAsia="宋体" w:cs="宋体"/>
          <w:color w:val="auto"/>
          <w:highlight w:val="none"/>
        </w:rPr>
      </w:pPr>
      <w:r>
        <w:rPr>
          <w:rFonts w:hint="eastAsia" w:ascii="宋体" w:hAnsi="宋体" w:eastAsia="宋体" w:cs="宋体"/>
          <w:color w:val="auto"/>
          <w:highlight w:val="none"/>
        </w:rPr>
        <w:t>3.4.1.4总价金额与按单价汇总金额不一致的，以单价金额计算结果为准。</w:t>
      </w:r>
    </w:p>
    <w:p>
      <w:pPr>
        <w:pStyle w:val="77"/>
        <w:rPr>
          <w:rFonts w:ascii="宋体" w:hAnsi="宋体" w:eastAsia="宋体" w:cs="宋体"/>
          <w:color w:val="auto"/>
          <w:highlight w:val="none"/>
        </w:rPr>
      </w:pPr>
      <w:r>
        <w:rPr>
          <w:rFonts w:hint="eastAsia" w:ascii="宋体" w:hAnsi="宋体" w:eastAsia="宋体" w:cs="宋体"/>
          <w:color w:val="auto"/>
          <w:highlight w:val="none"/>
        </w:rPr>
        <w:t>3.4.1.5同时出现两种以上不一致的，</w:t>
      </w:r>
      <w:r>
        <w:rPr>
          <w:rFonts w:hint="eastAsia" w:ascii="宋体" w:hAnsi="宋体" w:eastAsia="宋体" w:cs="宋体"/>
          <w:color w:val="auto"/>
          <w:highlight w:val="none"/>
          <w:lang w:eastAsia="zh-CN"/>
        </w:rPr>
        <w:t>参</w:t>
      </w:r>
      <w:r>
        <w:rPr>
          <w:rFonts w:hint="eastAsia" w:ascii="宋体" w:hAnsi="宋体" w:eastAsia="宋体" w:cs="宋体"/>
          <w:color w:val="auto"/>
          <w:highlight w:val="none"/>
        </w:rPr>
        <w:t>照3.4.1规定的顺序修正。修正后的报价按照财政部第87号令 《政府采购货物和服务招标</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管理办法》第五十一条第二款的规定经</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确认后产生约束力。</w:t>
      </w:r>
    </w:p>
    <w:p>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3.4.2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出现不是唯一的、有选择性</w:t>
      </w:r>
      <w:r>
        <w:rPr>
          <w:rFonts w:hint="eastAsia" w:ascii="宋体" w:hAnsi="宋体" w:eastAsia="宋体" w:cs="宋体"/>
          <w:color w:val="auto"/>
          <w:highlight w:val="none"/>
          <w:lang w:eastAsia="zh-CN"/>
        </w:rPr>
        <w:t>响应报价</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无效。</w:t>
      </w:r>
    </w:p>
    <w:p>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3.4.3</w:t>
      </w:r>
      <w:r>
        <w:rPr>
          <w:rFonts w:hint="eastAsia" w:ascii="宋体" w:hAnsi="宋体" w:eastAsia="宋体" w:cs="宋体"/>
          <w:color w:val="auto"/>
          <w:highlight w:val="none"/>
          <w:lang w:eastAsia="zh-CN"/>
        </w:rPr>
        <w:t>响应报价</w:t>
      </w:r>
      <w:r>
        <w:rPr>
          <w:rFonts w:hint="eastAsia" w:ascii="宋体" w:hAnsi="宋体" w:eastAsia="宋体" w:cs="宋体"/>
          <w:color w:val="auto"/>
          <w:highlight w:val="none"/>
        </w:rPr>
        <w:t>超过</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中规定的预算金额或者最高限价的，</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无效。</w:t>
      </w:r>
    </w:p>
    <w:p>
      <w:pPr>
        <w:pStyle w:val="77"/>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3.4.4</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认为</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的报价明显低于其他通过符合性审查</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不能证明其报价合理性的，</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应当将其作为无效</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处理。</w:t>
      </w:r>
    </w:p>
    <w:p>
      <w:pPr>
        <w:pStyle w:val="77"/>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3.4.5对于未预留份额专门面向中小企业的采购货物或服务项目，以及预留份额采购货物或服务项目中的非预留部分标项，对小型和微型企业的响应报价给予20%的扣除，用扣除后的价格参与评审。接受大中型企业与小微企业组成联合体或者允许大中型企业向一家或者多家小微企业分包的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eastAsia="宋体" w:cs="宋体"/>
          <w:color w:val="auto"/>
          <w:highlight w:val="none"/>
        </w:rPr>
      </w:pPr>
      <w:r>
        <w:rPr>
          <w:rStyle w:val="46"/>
          <w:rFonts w:hint="eastAsia" w:ascii="宋体" w:hAnsi="宋体" w:eastAsia="宋体" w:cs="宋体"/>
          <w:color w:val="auto"/>
          <w:highlight w:val="none"/>
        </w:rPr>
        <w:t>3.5排序与推荐。</w:t>
      </w:r>
      <w:r>
        <w:rPr>
          <w:rFonts w:hint="eastAsia" w:ascii="宋体" w:hAnsi="宋体" w:eastAsia="宋体" w:cs="宋体"/>
          <w:color w:val="auto"/>
          <w:highlight w:val="none"/>
        </w:rPr>
        <w:t>采用综合评分法的，</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结果按评审后得分由高到低顺序排列。得分相同的，按</w:t>
      </w:r>
      <w:r>
        <w:rPr>
          <w:rFonts w:hint="eastAsia" w:ascii="宋体" w:hAnsi="宋体" w:eastAsia="宋体" w:cs="宋体"/>
          <w:color w:val="auto"/>
          <w:highlight w:val="none"/>
          <w:lang w:eastAsia="zh-CN"/>
        </w:rPr>
        <w:t>响应报价</w:t>
      </w:r>
      <w:r>
        <w:rPr>
          <w:rFonts w:hint="eastAsia" w:ascii="宋体" w:hAnsi="宋体" w:eastAsia="宋体" w:cs="宋体"/>
          <w:color w:val="auto"/>
          <w:highlight w:val="none"/>
        </w:rPr>
        <w:t>由低到高顺序排列。得分且</w:t>
      </w:r>
      <w:r>
        <w:rPr>
          <w:rFonts w:hint="eastAsia" w:ascii="宋体" w:hAnsi="宋体" w:eastAsia="宋体" w:cs="宋体"/>
          <w:color w:val="auto"/>
          <w:highlight w:val="none"/>
          <w:lang w:eastAsia="zh-CN"/>
        </w:rPr>
        <w:t>响应报价</w:t>
      </w:r>
      <w:r>
        <w:rPr>
          <w:rFonts w:hint="eastAsia" w:ascii="宋体" w:hAnsi="宋体" w:eastAsia="宋体" w:cs="宋体"/>
          <w:color w:val="auto"/>
          <w:highlight w:val="none"/>
        </w:rPr>
        <w:t>相同的并列。</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满足</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全部实质性要求，且按照评审因素的量化指标评审得分最高的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为排名第一的</w:t>
      </w:r>
      <w:r>
        <w:rPr>
          <w:rFonts w:hint="eastAsia" w:ascii="宋体" w:hAnsi="宋体" w:eastAsia="宋体" w:cs="宋体"/>
          <w:color w:val="auto"/>
          <w:highlight w:val="none"/>
          <w:lang w:eastAsia="zh-CN"/>
        </w:rPr>
        <w:t>成交候选人</w:t>
      </w:r>
      <w:r>
        <w:rPr>
          <w:rFonts w:hint="eastAsia" w:ascii="宋体" w:hAnsi="宋体" w:eastAsia="宋体" w:cs="宋体"/>
          <w:color w:val="auto"/>
          <w:highlight w:val="none"/>
        </w:rPr>
        <w:t>。</w:t>
      </w:r>
    </w:p>
    <w:p>
      <w:pPr>
        <w:spacing w:line="360" w:lineRule="auto"/>
        <w:rPr>
          <w:rFonts w:ascii="宋体" w:hAnsi="宋体" w:eastAsia="宋体" w:cs="宋体"/>
          <w:b/>
          <w:color w:val="auto"/>
          <w:highlight w:val="none"/>
        </w:rPr>
      </w:pPr>
      <w:r>
        <w:rPr>
          <w:rFonts w:hint="eastAsia" w:ascii="宋体" w:hAnsi="宋体" w:eastAsia="宋体" w:cs="宋体"/>
          <w:color w:val="auto"/>
          <w:highlight w:val="none"/>
        </w:rPr>
        <w:t>多家</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提供相同品牌产品（单一产品采购项目中的该产品或者非单一产品采购项目的核心产品）且通过资格审查、符合性审查的不同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参加同一合同项下</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的，按一家</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计算，评审后得分最高的同品牌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获得</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推荐资格；评审得分相同的，采取随机抽取方式确定，其他同品牌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不作为</w:t>
      </w:r>
      <w:r>
        <w:rPr>
          <w:rFonts w:hint="eastAsia" w:ascii="宋体" w:hAnsi="宋体" w:eastAsia="宋体" w:cs="宋体"/>
          <w:color w:val="auto"/>
          <w:highlight w:val="none"/>
          <w:lang w:eastAsia="zh-CN"/>
        </w:rPr>
        <w:t>成交候选人</w:t>
      </w:r>
      <w:r>
        <w:rPr>
          <w:rFonts w:hint="eastAsia" w:ascii="宋体" w:hAnsi="宋体" w:eastAsia="宋体" w:cs="宋体"/>
          <w:color w:val="auto"/>
          <w:highlight w:val="none"/>
        </w:rPr>
        <w:t>。</w:t>
      </w:r>
    </w:p>
    <w:p>
      <w:pPr>
        <w:spacing w:line="360" w:lineRule="auto"/>
        <w:ind w:firstLine="472" w:firstLineChars="196"/>
        <w:rPr>
          <w:rFonts w:ascii="宋体" w:hAnsi="宋体" w:eastAsia="宋体" w:cs="宋体"/>
          <w:color w:val="auto"/>
          <w:highlight w:val="none"/>
        </w:rPr>
      </w:pPr>
      <w:r>
        <w:rPr>
          <w:rStyle w:val="46"/>
          <w:rFonts w:hint="eastAsia" w:ascii="宋体" w:hAnsi="宋体" w:eastAsia="宋体" w:cs="宋体"/>
          <w:color w:val="auto"/>
          <w:highlight w:val="none"/>
        </w:rPr>
        <w:t>3.6编写</w:t>
      </w:r>
      <w:r>
        <w:rPr>
          <w:rStyle w:val="46"/>
          <w:rFonts w:hint="eastAsia" w:ascii="宋体" w:hAnsi="宋体" w:eastAsia="宋体" w:cs="宋体"/>
          <w:color w:val="auto"/>
          <w:highlight w:val="none"/>
          <w:lang w:eastAsia="zh-CN"/>
        </w:rPr>
        <w:t>评审</w:t>
      </w:r>
      <w:r>
        <w:rPr>
          <w:rStyle w:val="46"/>
          <w:rFonts w:hint="eastAsia" w:ascii="宋体" w:hAnsi="宋体" w:eastAsia="宋体" w:cs="宋体"/>
          <w:color w:val="auto"/>
          <w:highlight w:val="none"/>
        </w:rPr>
        <w:t>报告。</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根据全体</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成员签字的原始</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记录和</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结果编写</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报告。</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成员对需要共同认定的事项存在争议的，应当按照少数服从多数的原则作出结论。持不同意见的</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成员应当在</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报告上签署不同意见及理由，否则视为同意</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报告。</w:t>
      </w:r>
    </w:p>
    <w:p>
      <w:pPr>
        <w:pStyle w:val="6"/>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中的其他事项</w:t>
      </w:r>
    </w:p>
    <w:p>
      <w:pPr>
        <w:pStyle w:val="77"/>
        <w:rPr>
          <w:rFonts w:ascii="宋体" w:hAnsi="宋体" w:eastAsia="宋体" w:cs="宋体"/>
          <w:color w:val="auto"/>
          <w:highlight w:val="none"/>
        </w:rPr>
      </w:pPr>
      <w:r>
        <w:rPr>
          <w:rStyle w:val="46"/>
          <w:rFonts w:hint="eastAsia" w:ascii="宋体" w:hAnsi="宋体" w:eastAsia="宋体" w:cs="宋体"/>
          <w:color w:val="auto"/>
          <w:highlight w:val="none"/>
        </w:rPr>
        <w:t>4.1</w:t>
      </w:r>
      <w:r>
        <w:rPr>
          <w:rStyle w:val="46"/>
          <w:rFonts w:hint="eastAsia" w:ascii="宋体" w:hAnsi="宋体" w:eastAsia="宋体" w:cs="宋体"/>
          <w:color w:val="auto"/>
          <w:highlight w:val="none"/>
          <w:lang w:eastAsia="zh-CN"/>
        </w:rPr>
        <w:t>供应商</w:t>
      </w:r>
      <w:r>
        <w:rPr>
          <w:rStyle w:val="46"/>
          <w:rFonts w:hint="eastAsia" w:ascii="宋体" w:hAnsi="宋体" w:eastAsia="宋体" w:cs="宋体"/>
          <w:color w:val="auto"/>
          <w:highlight w:val="none"/>
        </w:rPr>
        <w:t>澄清、说明或者补正。</w:t>
      </w:r>
      <w:r>
        <w:rPr>
          <w:rFonts w:hint="eastAsia" w:ascii="宋体" w:hAnsi="宋体" w:eastAsia="宋体" w:cs="宋体"/>
          <w:color w:val="auto"/>
          <w:highlight w:val="none"/>
        </w:rPr>
        <w:t>对于</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中含义不明确、同类问题表述不一致或者有明显文字和计算错误的内容需要</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作出必要的澄清、说明或者补正的，</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和</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通过电子交易平台交换数据电文，</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提交使用电子签名的相关数据电文或通过平台上传加盖公章的扫描件。给予</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提交澄清、说明或补正的时间不得少于半小时，</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已经明确表示澄清说明或补正完毕的除外。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的澄清、说明或者补正不得超出</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的范围或者改变</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的实质性内容。</w:t>
      </w:r>
    </w:p>
    <w:p>
      <w:pPr>
        <w:pStyle w:val="15"/>
        <w:spacing w:line="360" w:lineRule="auto"/>
        <w:ind w:left="1021" w:leftChars="226" w:hanging="479" w:firstLineChars="0"/>
        <w:rPr>
          <w:rFonts w:cs="宋体"/>
          <w:color w:val="auto"/>
          <w:szCs w:val="21"/>
          <w:highlight w:val="none"/>
        </w:rPr>
      </w:pPr>
      <w:r>
        <w:rPr>
          <w:rStyle w:val="46"/>
          <w:rFonts w:hint="eastAsia" w:ascii="宋体" w:hAnsi="宋体" w:eastAsia="宋体" w:cs="宋体"/>
          <w:color w:val="auto"/>
          <w:highlight w:val="none"/>
        </w:rPr>
        <w:t>4.2</w:t>
      </w:r>
      <w:r>
        <w:rPr>
          <w:rStyle w:val="46"/>
          <w:rFonts w:hint="eastAsia" w:cs="宋体"/>
          <w:color w:val="auto"/>
          <w:highlight w:val="none"/>
          <w:lang w:val="en-US" w:eastAsia="zh-CN"/>
        </w:rPr>
        <w:t>交易</w:t>
      </w:r>
      <w:r>
        <w:rPr>
          <w:rStyle w:val="46"/>
          <w:rFonts w:hint="eastAsia" w:ascii="宋体" w:hAnsi="宋体" w:eastAsia="宋体" w:cs="宋体"/>
          <w:color w:val="auto"/>
          <w:highlight w:val="none"/>
        </w:rPr>
        <w:t>无效。</w:t>
      </w:r>
      <w:r>
        <w:rPr>
          <w:rFonts w:hint="eastAsia" w:cs="宋体"/>
          <w:color w:val="auto"/>
          <w:szCs w:val="21"/>
          <w:highlight w:val="none"/>
        </w:rPr>
        <w:t>有下列情形之一的，</w:t>
      </w:r>
      <w:r>
        <w:rPr>
          <w:rFonts w:hint="eastAsia" w:cs="宋体"/>
          <w:color w:val="auto"/>
          <w:szCs w:val="21"/>
          <w:highlight w:val="none"/>
          <w:lang w:val="en-US" w:eastAsia="zh-CN"/>
        </w:rPr>
        <w:t>交易</w:t>
      </w:r>
      <w:r>
        <w:rPr>
          <w:rFonts w:hint="eastAsia" w:cs="宋体"/>
          <w:color w:val="auto"/>
          <w:szCs w:val="21"/>
          <w:highlight w:val="none"/>
        </w:rPr>
        <w:t>无效：</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4.2.1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不具备</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中规定的资格要求的（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未提供有效的资格文件的，视为</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不具备</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中规定的资格要求）；</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4.2.2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未按照</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要求签署、盖章的；</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4.2.3采购人拟采购的产品属于政府强制采购的节能产品品目清单范围的，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未按</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要求提供国家确定的认证机构出具的、处于有效期之内的节能产品认证证书的；</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4.2.4</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含有采购人不能接受的附加条件的；</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4.2.5</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中承诺的</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有效期少于</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中载明的</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有效期的；</w:t>
      </w:r>
    </w:p>
    <w:p>
      <w:pPr>
        <w:snapToGrid w:val="0"/>
        <w:spacing w:line="360" w:lineRule="auto"/>
        <w:ind w:firstLine="120" w:firstLineChars="50"/>
        <w:rPr>
          <w:rFonts w:ascii="宋体" w:hAnsi="宋体" w:eastAsia="宋体" w:cs="宋体"/>
          <w:color w:val="auto"/>
          <w:highlight w:val="none"/>
        </w:rPr>
      </w:pPr>
      <w:r>
        <w:rPr>
          <w:rFonts w:hint="eastAsia" w:ascii="宋体" w:hAnsi="宋体" w:eastAsia="宋体" w:cs="宋体"/>
          <w:color w:val="auto"/>
          <w:highlight w:val="none"/>
        </w:rPr>
        <w:t xml:space="preserve">   4.2.6</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出现不是唯一的、有选择性</w:t>
      </w:r>
      <w:r>
        <w:rPr>
          <w:rFonts w:hint="eastAsia" w:ascii="宋体" w:hAnsi="宋体" w:eastAsia="宋体" w:cs="宋体"/>
          <w:color w:val="auto"/>
          <w:highlight w:val="none"/>
          <w:lang w:eastAsia="zh-CN"/>
        </w:rPr>
        <w:t>响应报价</w:t>
      </w:r>
      <w:r>
        <w:rPr>
          <w:rFonts w:hint="eastAsia" w:ascii="宋体" w:hAnsi="宋体" w:eastAsia="宋体" w:cs="宋体"/>
          <w:color w:val="auto"/>
          <w:highlight w:val="none"/>
        </w:rPr>
        <w:t>的;</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4.2.7</w:t>
      </w:r>
      <w:r>
        <w:rPr>
          <w:rFonts w:hint="eastAsia" w:ascii="宋体" w:hAnsi="宋体" w:eastAsia="宋体" w:cs="宋体"/>
          <w:color w:val="auto"/>
          <w:highlight w:val="none"/>
          <w:lang w:eastAsia="zh-CN"/>
        </w:rPr>
        <w:t>响应报价</w:t>
      </w:r>
      <w:r>
        <w:rPr>
          <w:rFonts w:hint="eastAsia" w:ascii="宋体" w:hAnsi="宋体" w:eastAsia="宋体" w:cs="宋体"/>
          <w:color w:val="auto"/>
          <w:highlight w:val="none"/>
        </w:rPr>
        <w:t>超过</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中规定的预算金额或者最高限价的;</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4.2.8报价明显低于其他通过符合性审查</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4.2.9</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对根据修正原则修正后的报价不确认的；</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4.2.10</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提供虚假材料</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的；</w:t>
      </w:r>
    </w:p>
    <w:p>
      <w:pPr>
        <w:spacing w:line="360" w:lineRule="auto"/>
        <w:ind w:firstLine="240" w:firstLineChars="100"/>
        <w:rPr>
          <w:rFonts w:ascii="宋体" w:hAnsi="宋体" w:eastAsia="宋体" w:cs="宋体"/>
          <w:color w:val="auto"/>
          <w:highlight w:val="none"/>
        </w:rPr>
      </w:pPr>
      <w:r>
        <w:rPr>
          <w:rFonts w:hint="eastAsia" w:ascii="宋体" w:hAnsi="宋体" w:eastAsia="宋体" w:cs="宋体"/>
          <w:color w:val="auto"/>
          <w:highlight w:val="none"/>
        </w:rPr>
        <w:t xml:space="preserve">  4.2.11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有恶意串通、妨碍其他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的竞争行为、损害采购人或者其他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的合法权益情形的；</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4.2.12</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仅提交备份</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，未在电子交易平台传输递交</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无效；</w:t>
      </w:r>
    </w:p>
    <w:p>
      <w:pPr>
        <w:ind w:firstLine="480" w:firstLineChars="200"/>
        <w:rPr>
          <w:rFonts w:ascii="宋体" w:hAnsi="宋体" w:eastAsia="宋体" w:cs="宋体"/>
          <w:b/>
          <w:bCs/>
          <w:color w:val="auto"/>
          <w:highlight w:val="none"/>
        </w:rPr>
      </w:pPr>
      <w:r>
        <w:rPr>
          <w:rFonts w:hint="eastAsia" w:ascii="宋体" w:hAnsi="宋体" w:eastAsia="宋体" w:cs="宋体"/>
          <w:color w:val="auto"/>
          <w:highlight w:val="none"/>
        </w:rPr>
        <w:t xml:space="preserve">4.2.13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不满足</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的其它实质性要求的；</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4.2.14法律、法规、规章（适用本市的）及省级以上规范性文件（适用本市的）规定的其他无效情形。</w:t>
      </w:r>
    </w:p>
    <w:p>
      <w:pPr>
        <w:pStyle w:val="15"/>
        <w:snapToGrid w:val="0"/>
        <w:spacing w:line="360" w:lineRule="auto"/>
        <w:ind w:firstLine="472" w:firstLineChars="196"/>
        <w:rPr>
          <w:rFonts w:cs="宋体"/>
          <w:color w:val="auto"/>
          <w:highlight w:val="none"/>
        </w:rPr>
      </w:pPr>
      <w:r>
        <w:rPr>
          <w:rStyle w:val="46"/>
          <w:rFonts w:hint="eastAsia" w:ascii="宋体" w:hAnsi="宋体" w:eastAsia="宋体" w:cs="宋体"/>
          <w:color w:val="auto"/>
          <w:highlight w:val="none"/>
        </w:rPr>
        <w:t>5.废标。</w:t>
      </w:r>
      <w:r>
        <w:rPr>
          <w:rFonts w:hint="eastAsia" w:cs="宋体"/>
          <w:color w:val="auto"/>
          <w:highlight w:val="none"/>
          <w:lang w:eastAsia="zh-CN"/>
        </w:rPr>
        <w:t>参照</w:t>
      </w:r>
      <w:r>
        <w:rPr>
          <w:rFonts w:hint="eastAsia" w:cs="宋体"/>
          <w:color w:val="auto"/>
          <w:highlight w:val="none"/>
        </w:rPr>
        <w:t>《中华人民共和国政府采购法》第三十六条之规定，在采购中，出现下列情形之一的，应予废标：</w:t>
      </w:r>
    </w:p>
    <w:p>
      <w:pPr>
        <w:pStyle w:val="15"/>
        <w:snapToGrid w:val="0"/>
        <w:spacing w:line="360" w:lineRule="auto"/>
        <w:rPr>
          <w:rFonts w:cs="宋体"/>
          <w:color w:val="auto"/>
          <w:highlight w:val="none"/>
        </w:rPr>
      </w:pPr>
      <w:r>
        <w:rPr>
          <w:rFonts w:hint="eastAsia" w:cs="宋体"/>
          <w:color w:val="auto"/>
          <w:highlight w:val="none"/>
        </w:rPr>
        <w:t>5.1符合专业条件的供应商或者对</w:t>
      </w:r>
      <w:r>
        <w:rPr>
          <w:rFonts w:hint="eastAsia" w:cs="宋体"/>
          <w:color w:val="auto"/>
          <w:highlight w:val="none"/>
          <w:lang w:eastAsia="zh-CN"/>
        </w:rPr>
        <w:t>交易文件</w:t>
      </w:r>
      <w:r>
        <w:rPr>
          <w:rFonts w:hint="eastAsia" w:cs="宋体"/>
          <w:color w:val="auto"/>
          <w:highlight w:val="none"/>
        </w:rPr>
        <w:t>作实质响应的供应商不足3家的；</w:t>
      </w:r>
    </w:p>
    <w:p>
      <w:pPr>
        <w:pStyle w:val="1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15"/>
        <w:snapToGrid w:val="0"/>
        <w:spacing w:line="360" w:lineRule="auto"/>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pPr>
        <w:pStyle w:val="15"/>
        <w:snapToGrid w:val="0"/>
        <w:spacing w:line="360" w:lineRule="auto"/>
        <w:rPr>
          <w:rFonts w:cs="宋体"/>
          <w:color w:val="auto"/>
          <w:highlight w:val="none"/>
        </w:rPr>
      </w:pPr>
      <w:r>
        <w:rPr>
          <w:rFonts w:hint="eastAsia" w:cs="宋体"/>
          <w:color w:val="auto"/>
          <w:highlight w:val="none"/>
        </w:rPr>
        <w:t>5.4因重大变故，采购任务取消的。</w:t>
      </w:r>
    </w:p>
    <w:p>
      <w:pPr>
        <w:pStyle w:val="15"/>
        <w:snapToGrid w:val="0"/>
        <w:spacing w:line="360" w:lineRule="auto"/>
        <w:rPr>
          <w:rFonts w:cs="宋体"/>
          <w:color w:val="auto"/>
          <w:highlight w:val="none"/>
        </w:rPr>
      </w:pPr>
      <w:r>
        <w:rPr>
          <w:rFonts w:hint="eastAsia" w:cs="宋体"/>
          <w:color w:val="auto"/>
          <w:highlight w:val="none"/>
        </w:rPr>
        <w:t>废标后，采购机构应当将废标理由通知所有</w:t>
      </w:r>
      <w:r>
        <w:rPr>
          <w:rFonts w:hint="eastAsia" w:cs="宋体"/>
          <w:color w:val="auto"/>
          <w:highlight w:val="none"/>
          <w:lang w:eastAsia="zh-CN"/>
        </w:rPr>
        <w:t>供应商</w:t>
      </w:r>
      <w:r>
        <w:rPr>
          <w:rFonts w:hint="eastAsia" w:cs="宋体"/>
          <w:color w:val="auto"/>
          <w:highlight w:val="none"/>
        </w:rPr>
        <w:t>。</w:t>
      </w:r>
    </w:p>
    <w:p>
      <w:pPr>
        <w:pStyle w:val="15"/>
        <w:snapToGrid w:val="0"/>
        <w:spacing w:line="360" w:lineRule="auto"/>
        <w:ind w:firstLine="590" w:firstLineChars="245"/>
        <w:rPr>
          <w:rFonts w:cs="宋体"/>
          <w:color w:val="auto"/>
          <w:highlight w:val="none"/>
        </w:rPr>
      </w:pPr>
      <w:r>
        <w:rPr>
          <w:rStyle w:val="46"/>
          <w:rFonts w:hint="eastAsia" w:ascii="宋体" w:hAnsi="宋体" w:eastAsia="宋体" w:cs="宋体"/>
          <w:color w:val="auto"/>
          <w:highlight w:val="none"/>
        </w:rPr>
        <w:t>6.修改</w:t>
      </w:r>
      <w:r>
        <w:rPr>
          <w:rStyle w:val="46"/>
          <w:rFonts w:hint="eastAsia" w:cs="宋体"/>
          <w:color w:val="auto"/>
          <w:highlight w:val="none"/>
          <w:lang w:eastAsia="zh-CN"/>
        </w:rPr>
        <w:t>交易文件</w:t>
      </w:r>
      <w:r>
        <w:rPr>
          <w:rStyle w:val="46"/>
          <w:rFonts w:hint="eastAsia" w:ascii="宋体" w:hAnsi="宋体" w:eastAsia="宋体" w:cs="宋体"/>
          <w:color w:val="auto"/>
          <w:highlight w:val="none"/>
        </w:rPr>
        <w:t>，重新组织采购活动。</w:t>
      </w:r>
      <w:r>
        <w:rPr>
          <w:rFonts w:hint="eastAsia" w:cs="宋体"/>
          <w:color w:val="auto"/>
          <w:highlight w:val="none"/>
          <w:lang w:eastAsia="zh-CN"/>
        </w:rPr>
        <w:t>评审委员会</w:t>
      </w:r>
      <w:r>
        <w:rPr>
          <w:rFonts w:hint="eastAsia" w:cs="宋体"/>
          <w:color w:val="auto"/>
          <w:highlight w:val="none"/>
        </w:rPr>
        <w:t>发现</w:t>
      </w:r>
      <w:r>
        <w:rPr>
          <w:rFonts w:hint="eastAsia" w:cs="宋体"/>
          <w:color w:val="auto"/>
          <w:highlight w:val="none"/>
          <w:lang w:eastAsia="zh-CN"/>
        </w:rPr>
        <w:t>交易文件</w:t>
      </w:r>
      <w:r>
        <w:rPr>
          <w:rFonts w:hint="eastAsia" w:cs="宋体"/>
          <w:color w:val="auto"/>
          <w:highlight w:val="none"/>
        </w:rPr>
        <w:t>存在歧义、重大缺陷导致</w:t>
      </w:r>
      <w:r>
        <w:rPr>
          <w:rFonts w:hint="eastAsia" w:cs="宋体"/>
          <w:color w:val="auto"/>
          <w:highlight w:val="none"/>
          <w:lang w:eastAsia="zh-CN"/>
        </w:rPr>
        <w:t>评审</w:t>
      </w:r>
      <w:r>
        <w:rPr>
          <w:rFonts w:hint="eastAsia" w:cs="宋体"/>
          <w:color w:val="auto"/>
          <w:highlight w:val="none"/>
        </w:rPr>
        <w:t>工作无法进行，或者</w:t>
      </w:r>
      <w:r>
        <w:rPr>
          <w:rFonts w:hint="eastAsia" w:cs="宋体"/>
          <w:color w:val="auto"/>
          <w:highlight w:val="none"/>
          <w:lang w:eastAsia="zh-CN"/>
        </w:rPr>
        <w:t>交易文件</w:t>
      </w:r>
      <w:r>
        <w:rPr>
          <w:rFonts w:hint="eastAsia" w:cs="宋体"/>
          <w:color w:val="auto"/>
          <w:highlight w:val="none"/>
        </w:rPr>
        <w:t>内容违反国家有关强制性规定的，将停止</w:t>
      </w:r>
      <w:r>
        <w:rPr>
          <w:rFonts w:hint="eastAsia" w:cs="宋体"/>
          <w:color w:val="auto"/>
          <w:highlight w:val="none"/>
          <w:lang w:eastAsia="zh-CN"/>
        </w:rPr>
        <w:t>评审</w:t>
      </w:r>
      <w:r>
        <w:rPr>
          <w:rFonts w:hint="eastAsia" w:cs="宋体"/>
          <w:color w:val="auto"/>
          <w:highlight w:val="none"/>
        </w:rPr>
        <w:t>工作，并与采购人、采购机构沟通并作书面记录。采购人、采购机构确认后，将修改</w:t>
      </w:r>
      <w:r>
        <w:rPr>
          <w:rFonts w:hint="eastAsia" w:cs="宋体"/>
          <w:color w:val="auto"/>
          <w:highlight w:val="none"/>
          <w:lang w:eastAsia="zh-CN"/>
        </w:rPr>
        <w:t>交易文件</w:t>
      </w:r>
      <w:r>
        <w:rPr>
          <w:rFonts w:hint="eastAsia" w:cs="宋体"/>
          <w:color w:val="auto"/>
          <w:highlight w:val="none"/>
        </w:rPr>
        <w:t>，重新组织采购活动。</w:t>
      </w:r>
    </w:p>
    <w:p>
      <w:pPr>
        <w:pStyle w:val="15"/>
        <w:snapToGrid w:val="0"/>
        <w:spacing w:line="360" w:lineRule="auto"/>
        <w:ind w:firstLine="590" w:firstLineChars="245"/>
        <w:rPr>
          <w:rFonts w:cs="宋体"/>
          <w:color w:val="auto"/>
          <w:highlight w:val="none"/>
        </w:rPr>
      </w:pPr>
      <w:r>
        <w:rPr>
          <w:rStyle w:val="46"/>
          <w:rFonts w:hint="eastAsia" w:ascii="宋体" w:hAnsi="宋体" w:eastAsia="宋体" w:cs="宋体"/>
          <w:color w:val="auto"/>
          <w:highlight w:val="none"/>
        </w:rPr>
        <w:t>7.重新开展采购。</w:t>
      </w:r>
      <w:r>
        <w:rPr>
          <w:rFonts w:hint="eastAsia" w:cs="宋体"/>
          <w:color w:val="auto"/>
          <w:highlight w:val="none"/>
          <w:lang w:eastAsia="zh-CN"/>
        </w:rPr>
        <w:t>参照</w:t>
      </w:r>
      <w:r>
        <w:rPr>
          <w:rFonts w:hint="eastAsia" w:cs="宋体"/>
          <w:color w:val="auto"/>
          <w:highlight w:val="none"/>
        </w:rPr>
        <w:t>政府采购法第七十一条、第七十二条规定的违法行为之一，影响或者可能影响成交结果的，依照下列规定处理：</w:t>
      </w:r>
    </w:p>
    <w:p>
      <w:pPr>
        <w:pStyle w:val="15"/>
        <w:snapToGrid w:val="0"/>
        <w:spacing w:line="360" w:lineRule="auto"/>
        <w:ind w:firstLine="600" w:firstLineChars="250"/>
        <w:rPr>
          <w:rFonts w:cs="宋体"/>
          <w:color w:val="auto"/>
          <w:highlight w:val="none"/>
        </w:rPr>
      </w:pPr>
      <w:r>
        <w:rPr>
          <w:rFonts w:hint="eastAsia" w:cs="宋体"/>
          <w:color w:val="auto"/>
          <w:highlight w:val="none"/>
        </w:rPr>
        <w:t>7.1未确定</w:t>
      </w:r>
      <w:r>
        <w:rPr>
          <w:rFonts w:hint="eastAsia" w:cs="宋体"/>
          <w:color w:val="auto"/>
          <w:highlight w:val="none"/>
          <w:lang w:val="en-US" w:eastAsia="zh-CN"/>
        </w:rPr>
        <w:t>成交价</w:t>
      </w:r>
      <w:r>
        <w:rPr>
          <w:rFonts w:hint="eastAsia" w:cs="宋体"/>
          <w:color w:val="auto"/>
          <w:highlight w:val="none"/>
        </w:rPr>
        <w:t>或者</w:t>
      </w:r>
      <w:r>
        <w:rPr>
          <w:rFonts w:hint="eastAsia" w:cs="宋体"/>
          <w:color w:val="auto"/>
          <w:highlight w:val="none"/>
          <w:lang w:eastAsia="zh-CN"/>
        </w:rPr>
        <w:t>成交人</w:t>
      </w:r>
      <w:r>
        <w:rPr>
          <w:rFonts w:hint="eastAsia" w:cs="宋体"/>
          <w:color w:val="auto"/>
          <w:highlight w:val="none"/>
        </w:rPr>
        <w:t>的，终止本次采购活动，重新开展采购活动。</w:t>
      </w:r>
    </w:p>
    <w:p>
      <w:pPr>
        <w:pStyle w:val="15"/>
        <w:snapToGrid w:val="0"/>
        <w:spacing w:line="360" w:lineRule="auto"/>
        <w:ind w:firstLine="600" w:firstLineChars="250"/>
        <w:rPr>
          <w:rFonts w:cs="宋体"/>
          <w:color w:val="auto"/>
          <w:highlight w:val="none"/>
        </w:rPr>
      </w:pPr>
      <w:r>
        <w:rPr>
          <w:rFonts w:hint="eastAsia" w:cs="宋体"/>
          <w:color w:val="auto"/>
          <w:highlight w:val="none"/>
        </w:rPr>
        <w:t>7.2已确定</w:t>
      </w:r>
      <w:r>
        <w:rPr>
          <w:rFonts w:hint="eastAsia" w:cs="宋体"/>
          <w:color w:val="auto"/>
          <w:highlight w:val="none"/>
          <w:lang w:val="en-US" w:eastAsia="zh-CN"/>
        </w:rPr>
        <w:t>成交</w:t>
      </w:r>
      <w:r>
        <w:rPr>
          <w:rFonts w:hint="eastAsia" w:cs="宋体"/>
          <w:color w:val="auto"/>
          <w:highlight w:val="none"/>
        </w:rPr>
        <w:t>或者</w:t>
      </w:r>
      <w:r>
        <w:rPr>
          <w:rFonts w:hint="eastAsia" w:cs="宋体"/>
          <w:color w:val="auto"/>
          <w:highlight w:val="none"/>
          <w:lang w:eastAsia="zh-CN"/>
        </w:rPr>
        <w:t>成交人</w:t>
      </w:r>
      <w:r>
        <w:rPr>
          <w:rFonts w:hint="eastAsia" w:cs="宋体"/>
          <w:color w:val="auto"/>
          <w:highlight w:val="none"/>
        </w:rPr>
        <w:t>但尚未签订采购合同的，</w:t>
      </w:r>
      <w:r>
        <w:rPr>
          <w:rFonts w:hint="eastAsia" w:cs="宋体"/>
          <w:color w:val="auto"/>
          <w:highlight w:val="none"/>
          <w:lang w:val="en-US" w:eastAsia="zh-CN"/>
        </w:rPr>
        <w:t>成交</w:t>
      </w:r>
      <w:r>
        <w:rPr>
          <w:rFonts w:hint="eastAsia" w:cs="宋体"/>
          <w:color w:val="auto"/>
          <w:highlight w:val="none"/>
        </w:rPr>
        <w:t>或者成交结果无效，从合格的</w:t>
      </w:r>
      <w:r>
        <w:rPr>
          <w:rFonts w:hint="eastAsia" w:cs="宋体"/>
          <w:color w:val="auto"/>
          <w:highlight w:val="none"/>
          <w:lang w:val="en-US" w:eastAsia="zh-CN"/>
        </w:rPr>
        <w:t>成交</w:t>
      </w:r>
      <w:r>
        <w:rPr>
          <w:rFonts w:hint="eastAsia" w:cs="宋体"/>
          <w:color w:val="auto"/>
          <w:highlight w:val="none"/>
        </w:rPr>
        <w:t>或者成交候选人中另行确定</w:t>
      </w:r>
      <w:r>
        <w:rPr>
          <w:rFonts w:hint="eastAsia" w:cs="宋体"/>
          <w:color w:val="auto"/>
          <w:highlight w:val="none"/>
          <w:lang w:val="en-US" w:eastAsia="zh-CN"/>
        </w:rPr>
        <w:t>成交</w:t>
      </w:r>
      <w:r>
        <w:rPr>
          <w:rFonts w:hint="eastAsia" w:cs="宋体"/>
          <w:color w:val="auto"/>
          <w:highlight w:val="none"/>
        </w:rPr>
        <w:t>或者</w:t>
      </w:r>
      <w:r>
        <w:rPr>
          <w:rFonts w:hint="eastAsia" w:cs="宋体"/>
          <w:color w:val="auto"/>
          <w:highlight w:val="none"/>
          <w:lang w:eastAsia="zh-CN"/>
        </w:rPr>
        <w:t>成交人</w:t>
      </w:r>
      <w:r>
        <w:rPr>
          <w:rFonts w:hint="eastAsia" w:cs="宋体"/>
          <w:color w:val="auto"/>
          <w:highlight w:val="none"/>
        </w:rPr>
        <w:t>；没有合格的</w:t>
      </w:r>
      <w:r>
        <w:rPr>
          <w:rFonts w:hint="eastAsia" w:cs="宋体"/>
          <w:color w:val="auto"/>
          <w:highlight w:val="none"/>
          <w:lang w:val="en-US" w:eastAsia="zh-CN"/>
        </w:rPr>
        <w:t>成交</w:t>
      </w:r>
      <w:r>
        <w:rPr>
          <w:rFonts w:hint="eastAsia" w:cs="宋体"/>
          <w:color w:val="auto"/>
          <w:highlight w:val="none"/>
        </w:rPr>
        <w:t>或者成交候选人的，重新开展采购活动。</w:t>
      </w:r>
    </w:p>
    <w:p>
      <w:pPr>
        <w:pStyle w:val="15"/>
        <w:snapToGrid w:val="0"/>
        <w:spacing w:line="360" w:lineRule="auto"/>
        <w:ind w:firstLine="600" w:firstLineChars="250"/>
        <w:rPr>
          <w:rFonts w:cs="宋体"/>
          <w:color w:val="auto"/>
          <w:highlight w:val="none"/>
        </w:rPr>
      </w:pPr>
      <w:r>
        <w:rPr>
          <w:rFonts w:hint="eastAsia" w:cs="宋体"/>
          <w:color w:val="auto"/>
          <w:highlight w:val="none"/>
        </w:rPr>
        <w:t>7.3采购合同已签订但尚未履行的，撤销合同，从合格的</w:t>
      </w:r>
      <w:r>
        <w:rPr>
          <w:rFonts w:hint="eastAsia" w:cs="宋体"/>
          <w:color w:val="auto"/>
          <w:highlight w:val="none"/>
          <w:lang w:val="en-US" w:eastAsia="zh-CN"/>
        </w:rPr>
        <w:t>成交</w:t>
      </w:r>
      <w:r>
        <w:rPr>
          <w:rFonts w:hint="eastAsia" w:cs="宋体"/>
          <w:color w:val="auto"/>
          <w:highlight w:val="none"/>
        </w:rPr>
        <w:t>或者成交候选人中另行确定</w:t>
      </w:r>
      <w:r>
        <w:rPr>
          <w:rFonts w:hint="eastAsia" w:cs="宋体"/>
          <w:color w:val="auto"/>
          <w:highlight w:val="none"/>
          <w:lang w:val="en-US" w:eastAsia="zh-CN"/>
        </w:rPr>
        <w:t>成交</w:t>
      </w:r>
      <w:r>
        <w:rPr>
          <w:rFonts w:hint="eastAsia" w:cs="宋体"/>
          <w:color w:val="auto"/>
          <w:highlight w:val="none"/>
        </w:rPr>
        <w:t>或者</w:t>
      </w:r>
      <w:r>
        <w:rPr>
          <w:rFonts w:hint="eastAsia" w:cs="宋体"/>
          <w:color w:val="auto"/>
          <w:highlight w:val="none"/>
          <w:lang w:eastAsia="zh-CN"/>
        </w:rPr>
        <w:t>成交人</w:t>
      </w:r>
      <w:r>
        <w:rPr>
          <w:rFonts w:hint="eastAsia" w:cs="宋体"/>
          <w:color w:val="auto"/>
          <w:highlight w:val="none"/>
        </w:rPr>
        <w:t>；没有合格的</w:t>
      </w:r>
      <w:r>
        <w:rPr>
          <w:rFonts w:hint="eastAsia" w:cs="宋体"/>
          <w:color w:val="auto"/>
          <w:highlight w:val="none"/>
          <w:lang w:val="en-US" w:eastAsia="zh-CN"/>
        </w:rPr>
        <w:t>成交</w:t>
      </w:r>
      <w:r>
        <w:rPr>
          <w:rFonts w:hint="eastAsia" w:cs="宋体"/>
          <w:color w:val="auto"/>
          <w:highlight w:val="none"/>
        </w:rPr>
        <w:t>或者成交候选人的，重新开展采购活动。</w:t>
      </w:r>
    </w:p>
    <w:p>
      <w:pPr>
        <w:pStyle w:val="15"/>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pPr>
        <w:pStyle w:val="15"/>
        <w:snapToGrid w:val="0"/>
        <w:spacing w:line="360" w:lineRule="auto"/>
        <w:rPr>
          <w:rFonts w:cs="宋体"/>
          <w:color w:val="auto"/>
          <w:highlight w:val="none"/>
        </w:rPr>
      </w:pPr>
      <w:r>
        <w:rPr>
          <w:rFonts w:hint="eastAsia" w:cs="宋体"/>
          <w:color w:val="auto"/>
          <w:highlight w:val="none"/>
        </w:rPr>
        <w:t>7.5采购当事人有其他违反</w:t>
      </w:r>
      <w:r>
        <w:rPr>
          <w:rFonts w:hint="eastAsia" w:cs="宋体"/>
          <w:color w:val="auto"/>
          <w:kern w:val="0"/>
          <w:highlight w:val="none"/>
        </w:rPr>
        <w:t>法律法规规定</w:t>
      </w:r>
      <w:r>
        <w:rPr>
          <w:rFonts w:hint="eastAsia" w:cs="宋体"/>
          <w:color w:val="auto"/>
          <w:highlight w:val="none"/>
        </w:rPr>
        <w:t>的行为，经改正后仍然影响或者可能影响成交结果或者依法被认定为成交无效的，依照7.1-7.4规定处理。</w:t>
      </w:r>
    </w:p>
    <w:p>
      <w:pPr>
        <w:spacing w:line="276" w:lineRule="auto"/>
        <w:rPr>
          <w:rFonts w:ascii="宋体" w:hAnsi="宋体" w:eastAsia="宋体" w:cs="宋体"/>
          <w:b/>
          <w:smallCaps/>
          <w:color w:val="auto"/>
          <w:spacing w:val="5"/>
          <w:sz w:val="36"/>
          <w:szCs w:val="36"/>
          <w:highlight w:val="none"/>
        </w:rPr>
      </w:pPr>
      <w:r>
        <w:rPr>
          <w:rFonts w:hint="eastAsia" w:ascii="宋体" w:hAnsi="宋体" w:eastAsia="宋体" w:cs="宋体"/>
          <w:color w:val="auto"/>
          <w:highlight w:val="none"/>
        </w:rPr>
        <w:br w:type="page"/>
      </w:r>
    </w:p>
    <w:p>
      <w:pPr>
        <w:pStyle w:val="5"/>
        <w:rPr>
          <w:rFonts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部分 应提交的有关格式范例</w:t>
      </w:r>
    </w:p>
    <w:p>
      <w:pPr>
        <w:pStyle w:val="6"/>
        <w:rPr>
          <w:rFonts w:ascii="宋体" w:hAnsi="宋体" w:eastAsia="宋体" w:cs="宋体"/>
          <w:color w:val="auto"/>
          <w:highlight w:val="none"/>
        </w:rPr>
      </w:pPr>
      <w:r>
        <w:rPr>
          <w:rFonts w:hint="eastAsia" w:ascii="宋体" w:hAnsi="宋体" w:eastAsia="宋体" w:cs="宋体"/>
          <w:color w:val="auto"/>
          <w:highlight w:val="none"/>
        </w:rPr>
        <w:t>资格文件部分</w:t>
      </w:r>
    </w:p>
    <w:p>
      <w:pPr>
        <w:jc w:val="center"/>
        <w:rPr>
          <w:rFonts w:ascii="宋体" w:hAnsi="宋体" w:eastAsia="宋体" w:cs="宋体"/>
          <w:b/>
          <w:color w:val="auto"/>
          <w:sz w:val="40"/>
          <w:highlight w:val="none"/>
        </w:rPr>
      </w:pPr>
      <w:r>
        <w:rPr>
          <w:rFonts w:hint="eastAsia" w:ascii="宋体" w:hAnsi="宋体" w:eastAsia="宋体" w:cs="宋体"/>
          <w:b/>
          <w:color w:val="auto"/>
          <w:sz w:val="40"/>
          <w:highlight w:val="none"/>
        </w:rPr>
        <w:t>目录</w:t>
      </w:r>
    </w:p>
    <w:p>
      <w:pPr>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rPr>
        <w:t>（1）符合参加采购活动应当具备的一般条件的承诺函…………………（页码）</w:t>
      </w:r>
    </w:p>
    <w:p>
      <w:pPr>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rPr>
        <w:t>（2）落实采购政策需满足的资格要求………………………………（页码）</w:t>
      </w:r>
    </w:p>
    <w:p>
      <w:pPr>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rPr>
        <w:t>（3）本项目的特定资格要求………………………………………………（页码）</w:t>
      </w:r>
    </w:p>
    <w:p>
      <w:pPr>
        <w:spacing w:line="276" w:lineRule="auto"/>
        <w:rPr>
          <w:rFonts w:ascii="宋体" w:hAnsi="宋体" w:eastAsia="宋体" w:cs="宋体"/>
          <w:color w:val="auto"/>
          <w:highlight w:val="none"/>
        </w:rPr>
      </w:pPr>
      <w:r>
        <w:rPr>
          <w:rFonts w:hint="eastAsia" w:ascii="宋体" w:hAnsi="宋体" w:eastAsia="宋体" w:cs="宋体"/>
          <w:color w:val="auto"/>
          <w:highlight w:val="none"/>
        </w:rPr>
        <w:br w:type="page"/>
      </w:r>
    </w:p>
    <w:p>
      <w:pPr>
        <w:pStyle w:val="6"/>
        <w:rPr>
          <w:rFonts w:ascii="宋体" w:hAnsi="宋体" w:eastAsia="宋体" w:cs="宋体"/>
          <w:color w:val="auto"/>
          <w:highlight w:val="none"/>
        </w:rPr>
      </w:pPr>
      <w:r>
        <w:rPr>
          <w:rFonts w:hint="eastAsia" w:ascii="宋体" w:hAnsi="宋体" w:eastAsia="宋体" w:cs="宋体"/>
          <w:color w:val="auto"/>
          <w:highlight w:val="none"/>
        </w:rPr>
        <w:t>一、 符合参加采购活动应当具备的一般条件的承诺函</w:t>
      </w:r>
    </w:p>
    <w:p>
      <w:pPr>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rPr>
        <w:t>（采购人）、（采购代理机构）：</w:t>
      </w:r>
    </w:p>
    <w:p>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我方参与（项目名称）【</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编号：（采购编号）】采购活动，郑重承诺：</w:t>
      </w:r>
    </w:p>
    <w:p>
      <w:pPr>
        <w:snapToGrid w:val="0"/>
        <w:spacing w:line="360" w:lineRule="auto"/>
        <w:ind w:firstLine="360" w:firstLineChars="150"/>
        <w:rPr>
          <w:rFonts w:ascii="宋体" w:hAnsi="宋体" w:eastAsia="宋体" w:cs="宋体"/>
          <w:color w:val="auto"/>
          <w:highlight w:val="none"/>
        </w:rPr>
      </w:pPr>
      <w:r>
        <w:rPr>
          <w:rFonts w:hint="eastAsia" w:ascii="宋体" w:hAnsi="宋体" w:eastAsia="宋体" w:cs="宋体"/>
          <w:color w:val="auto"/>
          <w:highlight w:val="none"/>
        </w:rPr>
        <w:t>（一）具备</w:t>
      </w:r>
      <w:r>
        <w:rPr>
          <w:rFonts w:hint="eastAsia" w:ascii="宋体" w:hAnsi="宋体" w:eastAsia="宋体" w:cs="宋体"/>
          <w:color w:val="auto"/>
          <w:highlight w:val="none"/>
          <w:lang w:eastAsia="zh-CN"/>
        </w:rPr>
        <w:t>以下</w:t>
      </w:r>
      <w:r>
        <w:rPr>
          <w:rFonts w:hint="eastAsia" w:ascii="宋体" w:hAnsi="宋体" w:eastAsia="宋体" w:cs="宋体"/>
          <w:color w:val="auto"/>
          <w:highlight w:val="none"/>
        </w:rPr>
        <w:t>规定的条件：</w:t>
      </w:r>
    </w:p>
    <w:p>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2、具有良好的商业信誉和健全的财务会计制度； </w:t>
      </w:r>
    </w:p>
    <w:p>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5、参加采购活动前三年内，在经营活动中没有重大违法记录；</w:t>
      </w:r>
    </w:p>
    <w:p>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6、具有法律、行政法规规定的其他条件。</w:t>
      </w:r>
    </w:p>
    <w:p>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（三）不存在以下情况：</w:t>
      </w:r>
    </w:p>
    <w:p>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1、单位负责人为同一人或者存在直接控股、管理关系的不同供应商参加同一合同项下的采购活动的；</w:t>
      </w:r>
    </w:p>
    <w:p>
      <w:pPr>
        <w:snapToGrid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eastAsia="宋体" w:cs="宋体"/>
          <w:color w:val="auto"/>
          <w:highlight w:val="none"/>
        </w:rPr>
      </w:pPr>
      <w:r>
        <w:rPr>
          <w:rFonts w:hint="eastAsia" w:ascii="宋体" w:hAnsi="宋体" w:eastAsia="宋体" w:cs="宋体"/>
          <w:color w:val="auto"/>
          <w:highlight w:val="none"/>
          <w:lang w:val="zh-CN"/>
        </w:rPr>
        <w:t>供应商名称(电子签名)：</w:t>
      </w:r>
    </w:p>
    <w:p>
      <w:pPr>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pPr>
        <w:snapToGrid w:val="0"/>
        <w:spacing w:line="360" w:lineRule="auto"/>
        <w:ind w:right="480"/>
        <w:jc w:val="center"/>
        <w:rPr>
          <w:rFonts w:ascii="宋体" w:hAnsi="宋体" w:eastAsia="宋体" w:cs="宋体"/>
          <w:b/>
          <w:color w:val="auto"/>
          <w:sz w:val="32"/>
          <w:szCs w:val="32"/>
          <w:highlight w:val="none"/>
        </w:rPr>
      </w:pPr>
    </w:p>
    <w:p>
      <w:pPr>
        <w:rPr>
          <w:rFonts w:ascii="宋体" w:hAnsi="宋体" w:eastAsia="宋体" w:cs="宋体"/>
          <w:color w:val="auto"/>
          <w:highlight w:val="none"/>
        </w:rPr>
      </w:pPr>
      <w:r>
        <w:rPr>
          <w:rFonts w:hint="eastAsia" w:ascii="宋体" w:hAnsi="宋体" w:eastAsia="宋体" w:cs="宋体"/>
          <w:color w:val="auto"/>
          <w:highlight w:val="none"/>
        </w:rPr>
        <w:br w:type="page"/>
      </w:r>
    </w:p>
    <w:p>
      <w:pPr>
        <w:pStyle w:val="6"/>
        <w:rPr>
          <w:rFonts w:ascii="宋体" w:hAnsi="宋体" w:eastAsia="宋体" w:cs="宋体"/>
          <w:color w:val="auto"/>
          <w:highlight w:val="none"/>
        </w:rPr>
      </w:pPr>
      <w:r>
        <w:rPr>
          <w:rFonts w:hint="eastAsia" w:ascii="宋体" w:hAnsi="宋体" w:eastAsia="宋体" w:cs="宋体"/>
          <w:color w:val="auto"/>
          <w:highlight w:val="none"/>
        </w:rPr>
        <w:t>二、落实采购政策需满足的资格要求</w:t>
      </w:r>
    </w:p>
    <w:p>
      <w:pPr>
        <w:rPr>
          <w:rFonts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公告落实采购政策需满足的资格要求选择提供相应的材料；未要求的，无需提供）</w:t>
      </w:r>
    </w:p>
    <w:p>
      <w:pPr>
        <w:pStyle w:val="6"/>
        <w:rPr>
          <w:rFonts w:ascii="宋体" w:hAnsi="宋体" w:eastAsia="宋体" w:cs="宋体"/>
          <w:color w:val="auto"/>
          <w:highlight w:val="none"/>
        </w:rPr>
      </w:pPr>
    </w:p>
    <w:p>
      <w:pPr>
        <w:pStyle w:val="6"/>
        <w:rPr>
          <w:rFonts w:ascii="宋体" w:hAnsi="宋体" w:eastAsia="宋体" w:cs="宋体"/>
          <w:color w:val="auto"/>
          <w:highlight w:val="none"/>
        </w:rPr>
      </w:pPr>
    </w:p>
    <w:p>
      <w:pPr>
        <w:pStyle w:val="6"/>
        <w:rPr>
          <w:rFonts w:ascii="宋体" w:hAnsi="宋体" w:eastAsia="宋体" w:cs="宋体"/>
          <w:color w:val="auto"/>
          <w:highlight w:val="none"/>
        </w:rPr>
      </w:pPr>
    </w:p>
    <w:p>
      <w:pPr>
        <w:pStyle w:val="6"/>
        <w:rPr>
          <w:rFonts w:ascii="宋体" w:hAnsi="宋体" w:eastAsia="宋体" w:cs="宋体"/>
          <w:color w:val="auto"/>
          <w:highlight w:val="none"/>
        </w:rPr>
      </w:pPr>
      <w:r>
        <w:rPr>
          <w:rFonts w:hint="eastAsia" w:ascii="宋体" w:hAnsi="宋体" w:eastAsia="宋体" w:cs="宋体"/>
          <w:color w:val="auto"/>
          <w:highlight w:val="none"/>
        </w:rPr>
        <w:t>三、本项目的特定资格要求</w:t>
      </w:r>
    </w:p>
    <w:p>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公告本项目的特定资格要求提供相应的材料；未要求的，无需提供）</w:t>
      </w:r>
    </w:p>
    <w:p>
      <w:pPr>
        <w:spacing w:line="276" w:lineRule="auto"/>
        <w:rPr>
          <w:rFonts w:ascii="宋体" w:hAnsi="宋体" w:eastAsia="宋体" w:cs="宋体"/>
          <w:color w:val="auto"/>
          <w:highlight w:val="none"/>
        </w:rPr>
      </w:pPr>
      <w:r>
        <w:rPr>
          <w:rFonts w:hint="eastAsia" w:ascii="宋体" w:hAnsi="宋体" w:eastAsia="宋体" w:cs="宋体"/>
          <w:color w:val="auto"/>
          <w:highlight w:val="none"/>
        </w:rPr>
        <w:br w:type="page"/>
      </w:r>
    </w:p>
    <w:p>
      <w:pPr>
        <w:pStyle w:val="6"/>
        <w:rPr>
          <w:rFonts w:ascii="宋体" w:hAnsi="宋体" w:eastAsia="宋体" w:cs="宋体"/>
          <w:color w:val="auto"/>
          <w:sz w:val="40"/>
          <w:szCs w:val="40"/>
          <w:highlight w:val="none"/>
        </w:rPr>
      </w:pPr>
      <w:r>
        <w:rPr>
          <w:rFonts w:hint="eastAsia" w:ascii="宋体" w:hAnsi="宋体" w:eastAsia="宋体" w:cs="宋体"/>
          <w:color w:val="auto"/>
          <w:sz w:val="40"/>
          <w:szCs w:val="40"/>
          <w:highlight w:val="none"/>
        </w:rPr>
        <w:t>商务技术文件部分</w:t>
      </w:r>
    </w:p>
    <w:p>
      <w:pPr>
        <w:jc w:val="center"/>
        <w:rPr>
          <w:rFonts w:ascii="宋体" w:hAnsi="宋体" w:eastAsia="宋体" w:cs="宋体"/>
          <w:color w:val="auto"/>
          <w:sz w:val="40"/>
          <w:highlight w:val="none"/>
        </w:rPr>
      </w:pPr>
    </w:p>
    <w:p>
      <w:pPr>
        <w:jc w:val="center"/>
        <w:rPr>
          <w:rFonts w:ascii="宋体" w:hAnsi="宋体" w:eastAsia="宋体" w:cs="宋体"/>
          <w:color w:val="auto"/>
          <w:sz w:val="40"/>
          <w:highlight w:val="none"/>
        </w:rPr>
      </w:pPr>
      <w:r>
        <w:rPr>
          <w:rFonts w:hint="eastAsia" w:ascii="宋体" w:hAnsi="宋体" w:eastAsia="宋体" w:cs="宋体"/>
          <w:color w:val="auto"/>
          <w:sz w:val="40"/>
          <w:highlight w:val="none"/>
        </w:rPr>
        <w:t>目录</w:t>
      </w:r>
    </w:p>
    <w:p>
      <w:pPr>
        <w:numPr>
          <w:ilvl w:val="0"/>
          <w:numId w:val="3"/>
        </w:numPr>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函……………………………………………………………………（页码）</w:t>
      </w:r>
    </w:p>
    <w:p>
      <w:pPr>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rPr>
        <w:t>（2）授权委托书或法定代表人（单位负责人、自然人本人）身份证明……（页码）</w:t>
      </w:r>
    </w:p>
    <w:p>
      <w:pPr>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rPr>
        <w:t>（3）符合性审查资料……………………………………………………………（页码）</w:t>
      </w:r>
    </w:p>
    <w:p>
      <w:pPr>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标准相应的商务技术资料……………………………………………（页码</w:t>
      </w:r>
      <w:r>
        <w:rPr>
          <w:rFonts w:hint="eastAsia" w:ascii="宋体" w:hAnsi="宋体" w:cs="宋体"/>
          <w:color w:val="auto"/>
          <w:highlight w:val="none"/>
        </w:rPr>
        <w:t>）</w:t>
      </w:r>
    </w:p>
    <w:p>
      <w:pPr>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标的清单………………………………………………………………（页码）</w:t>
      </w:r>
    </w:p>
    <w:p>
      <w:pPr>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rPr>
        <w:t>（7）商务技术偏离表……………………………………………………………（页码）</w:t>
      </w:r>
    </w:p>
    <w:p>
      <w:pPr>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rPr>
        <w:t>（8）</w:t>
      </w:r>
      <w:r>
        <w:rPr>
          <w:rFonts w:hint="eastAsia" w:ascii="宋体" w:hAnsi="宋体" w:eastAsia="宋体" w:cs="宋体"/>
          <w:color w:val="auto"/>
          <w:highlight w:val="none"/>
          <w:lang w:val="zh-CN"/>
        </w:rPr>
        <w:t>采购供应商廉洁自律承诺书</w:t>
      </w:r>
      <w:r>
        <w:rPr>
          <w:rFonts w:hint="eastAsia" w:ascii="宋体" w:hAnsi="宋体" w:eastAsia="宋体" w:cs="宋体"/>
          <w:color w:val="auto"/>
          <w:highlight w:val="none"/>
        </w:rPr>
        <w:t>………………………………………………（页码）</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br w:type="page"/>
      </w:r>
    </w:p>
    <w:p>
      <w:pPr>
        <w:pStyle w:val="6"/>
        <w:rPr>
          <w:rFonts w:ascii="宋体" w:hAnsi="宋体" w:eastAsia="宋体" w:cs="宋体"/>
          <w:color w:val="auto"/>
          <w:highlight w:val="none"/>
        </w:rPr>
      </w:pPr>
      <w:r>
        <w:rPr>
          <w:rFonts w:hint="eastAsia" w:ascii="宋体" w:hAnsi="宋体" w:eastAsia="宋体" w:cs="宋体"/>
          <w:color w:val="auto"/>
          <w:highlight w:val="none"/>
        </w:rPr>
        <w:t>一、</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函</w:t>
      </w:r>
    </w:p>
    <w:p>
      <w:pPr>
        <w:rPr>
          <w:rFonts w:ascii="宋体" w:hAnsi="宋体" w:eastAsia="宋体" w:cs="宋体"/>
          <w:color w:val="auto"/>
          <w:highlight w:val="none"/>
        </w:rPr>
      </w:pPr>
      <w:r>
        <w:rPr>
          <w:rFonts w:hint="eastAsia" w:ascii="宋体" w:hAnsi="宋体" w:eastAsia="宋体" w:cs="宋体"/>
          <w:color w:val="auto"/>
          <w:highlight w:val="none"/>
        </w:rPr>
        <w:t>（采购人）、（采购代理机构）：</w:t>
      </w:r>
    </w:p>
    <w:p>
      <w:pPr>
        <w:rPr>
          <w:rFonts w:ascii="宋体" w:hAnsi="宋体" w:eastAsia="宋体" w:cs="宋体"/>
          <w:color w:val="auto"/>
          <w:highlight w:val="none"/>
        </w:rPr>
      </w:pPr>
      <w:r>
        <w:rPr>
          <w:rFonts w:hint="eastAsia" w:ascii="宋体" w:hAnsi="宋体" w:eastAsia="宋体" w:cs="宋体"/>
          <w:color w:val="auto"/>
          <w:highlight w:val="none"/>
        </w:rPr>
        <w:t>我方参加你方组织的（项目名称）【</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编号：（采购编号）】</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的有关活动，并对此项目进行</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。为此：</w:t>
      </w:r>
    </w:p>
    <w:p>
      <w:pPr>
        <w:rPr>
          <w:rFonts w:ascii="宋体" w:hAnsi="宋体" w:eastAsia="宋体" w:cs="宋体"/>
          <w:color w:val="auto"/>
          <w:highlight w:val="none"/>
        </w:rPr>
      </w:pPr>
      <w:r>
        <w:rPr>
          <w:rFonts w:hint="eastAsia" w:ascii="宋体" w:hAnsi="宋体" w:eastAsia="宋体" w:cs="宋体"/>
          <w:color w:val="auto"/>
          <w:highlight w:val="none"/>
        </w:rPr>
        <w:t>1、我方承诺</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有效期从提交</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天（不少于90天），本</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在</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有效期满之前均具有约束力。</w:t>
      </w:r>
    </w:p>
    <w:p>
      <w:pPr>
        <w:rPr>
          <w:rFonts w:ascii="宋体" w:hAnsi="宋体" w:eastAsia="宋体" w:cs="宋体"/>
          <w:color w:val="auto"/>
          <w:highlight w:val="none"/>
        </w:rPr>
      </w:pPr>
      <w:r>
        <w:rPr>
          <w:rFonts w:hint="eastAsia" w:ascii="宋体" w:hAnsi="宋体" w:eastAsia="宋体" w:cs="宋体"/>
          <w:color w:val="auto"/>
          <w:highlight w:val="none"/>
        </w:rPr>
        <w:t>2、我方的</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包括以下内容：</w:t>
      </w:r>
    </w:p>
    <w:p>
      <w:pPr>
        <w:rPr>
          <w:rFonts w:ascii="宋体" w:hAnsi="宋体" w:eastAsia="宋体" w:cs="宋体"/>
          <w:color w:val="auto"/>
          <w:highlight w:val="none"/>
        </w:rPr>
      </w:pPr>
      <w:r>
        <w:rPr>
          <w:rFonts w:hint="eastAsia" w:ascii="宋体" w:hAnsi="宋体" w:eastAsia="宋体" w:cs="宋体"/>
          <w:color w:val="auto"/>
          <w:highlight w:val="none"/>
        </w:rPr>
        <w:t>2.1资格文件：</w:t>
      </w:r>
    </w:p>
    <w:p>
      <w:pPr>
        <w:rPr>
          <w:rFonts w:ascii="宋体" w:hAnsi="宋体" w:eastAsia="宋体" w:cs="宋体"/>
          <w:color w:val="auto"/>
          <w:highlight w:val="none"/>
        </w:rPr>
      </w:pPr>
      <w:r>
        <w:rPr>
          <w:rFonts w:hint="eastAsia" w:ascii="宋体" w:hAnsi="宋体" w:eastAsia="宋体" w:cs="宋体"/>
          <w:color w:val="auto"/>
          <w:highlight w:val="none"/>
        </w:rPr>
        <w:t>2.1.1承诺函；</w:t>
      </w:r>
    </w:p>
    <w:p>
      <w:pPr>
        <w:rPr>
          <w:rFonts w:ascii="宋体" w:hAnsi="宋体" w:eastAsia="宋体" w:cs="宋体"/>
          <w:color w:val="auto"/>
          <w:highlight w:val="none"/>
        </w:rPr>
      </w:pPr>
      <w:r>
        <w:rPr>
          <w:rFonts w:hint="eastAsia" w:ascii="宋体" w:hAnsi="宋体" w:eastAsia="宋体" w:cs="宋体"/>
          <w:color w:val="auto"/>
          <w:highlight w:val="none"/>
        </w:rPr>
        <w:t>2.1.2落实采购政策需满足的资格要求（如果有）；</w:t>
      </w:r>
    </w:p>
    <w:p>
      <w:pPr>
        <w:rPr>
          <w:rFonts w:ascii="宋体" w:hAnsi="宋体" w:eastAsia="宋体" w:cs="宋体"/>
          <w:color w:val="auto"/>
          <w:highlight w:val="none"/>
        </w:rPr>
      </w:pPr>
      <w:r>
        <w:rPr>
          <w:rFonts w:hint="eastAsia" w:ascii="宋体" w:hAnsi="宋体" w:eastAsia="宋体" w:cs="宋体"/>
          <w:color w:val="auto"/>
          <w:highlight w:val="none"/>
        </w:rPr>
        <w:t>2.1.3本项目的特定资格要求（如果有）。</w:t>
      </w:r>
    </w:p>
    <w:p>
      <w:pPr>
        <w:rPr>
          <w:rFonts w:ascii="宋体" w:hAnsi="宋体" w:eastAsia="宋体" w:cs="宋体"/>
          <w:color w:val="auto"/>
          <w:highlight w:val="none"/>
          <w:lang w:val="zh-CN"/>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2</w:t>
      </w: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商务技术</w:t>
      </w:r>
      <w:r>
        <w:rPr>
          <w:rFonts w:hint="eastAsia" w:ascii="宋体" w:hAnsi="宋体" w:eastAsia="宋体" w:cs="宋体"/>
          <w:color w:val="auto"/>
          <w:highlight w:val="none"/>
          <w:lang w:val="zh-CN"/>
        </w:rPr>
        <w:t>文件：</w:t>
      </w:r>
    </w:p>
    <w:p>
      <w:pPr>
        <w:rPr>
          <w:rFonts w:ascii="宋体" w:hAnsi="宋体" w:eastAsia="宋体" w:cs="宋体"/>
          <w:color w:val="auto"/>
          <w:highlight w:val="none"/>
        </w:rPr>
      </w:pPr>
      <w:r>
        <w:rPr>
          <w:rFonts w:hint="eastAsia" w:ascii="宋体" w:hAnsi="宋体" w:eastAsia="宋体" w:cs="宋体"/>
          <w:color w:val="auto"/>
          <w:highlight w:val="none"/>
        </w:rPr>
        <w:t>2.2.1</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函；</w:t>
      </w:r>
      <w:r>
        <w:rPr>
          <w:rFonts w:hint="eastAsia" w:ascii="宋体" w:hAnsi="宋体" w:eastAsia="宋体" w:cs="宋体"/>
          <w:color w:val="auto"/>
          <w:highlight w:val="none"/>
          <w:lang w:val="zh-CN"/>
        </w:rPr>
        <w:t xml:space="preserve"> </w:t>
      </w:r>
    </w:p>
    <w:p>
      <w:pPr>
        <w:rPr>
          <w:rFonts w:ascii="宋体" w:hAnsi="宋体" w:eastAsia="宋体" w:cs="宋体"/>
          <w:color w:val="auto"/>
          <w:highlight w:val="none"/>
        </w:rPr>
      </w:pPr>
      <w:r>
        <w:rPr>
          <w:rFonts w:hint="eastAsia" w:ascii="宋体" w:hAnsi="宋体" w:eastAsia="宋体" w:cs="宋体"/>
          <w:color w:val="auto"/>
          <w:highlight w:val="none"/>
        </w:rPr>
        <w:t>2.2.2授权委托书或法定代表人（单位负责人）身份证明；</w:t>
      </w:r>
    </w:p>
    <w:p>
      <w:pPr>
        <w:rPr>
          <w:rFonts w:ascii="宋体" w:hAnsi="宋体" w:eastAsia="宋体" w:cs="宋体"/>
          <w:color w:val="auto"/>
          <w:highlight w:val="none"/>
        </w:rPr>
      </w:pPr>
      <w:r>
        <w:rPr>
          <w:rFonts w:hint="eastAsia" w:ascii="宋体" w:hAnsi="宋体" w:eastAsia="宋体" w:cs="宋体"/>
          <w:color w:val="auto"/>
          <w:highlight w:val="none"/>
        </w:rPr>
        <w:t>2.2.3 符合性审查资料；</w:t>
      </w:r>
    </w:p>
    <w:p>
      <w:pPr>
        <w:rPr>
          <w:rFonts w:ascii="宋体" w:hAnsi="宋体" w:eastAsia="宋体" w:cs="宋体"/>
          <w:color w:val="auto"/>
          <w:highlight w:val="none"/>
        </w:rPr>
      </w:pPr>
      <w:r>
        <w:rPr>
          <w:rFonts w:hint="eastAsia" w:ascii="宋体" w:hAnsi="宋体" w:eastAsia="宋体" w:cs="宋体"/>
          <w:color w:val="auto"/>
          <w:highlight w:val="none"/>
        </w:rPr>
        <w:t xml:space="preserve">2.2.4 </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标准相应的商务技术资料；</w:t>
      </w:r>
    </w:p>
    <w:p>
      <w:pPr>
        <w:rPr>
          <w:rFonts w:ascii="宋体" w:hAnsi="宋体" w:eastAsia="宋体" w:cs="宋体"/>
          <w:color w:val="auto"/>
          <w:highlight w:val="none"/>
        </w:rPr>
      </w:pPr>
      <w:r>
        <w:rPr>
          <w:rFonts w:hint="eastAsia" w:ascii="宋体" w:hAnsi="宋体" w:eastAsia="宋体" w:cs="宋体"/>
          <w:color w:val="auto"/>
          <w:highlight w:val="none"/>
        </w:rPr>
        <w:t>2.2.5</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标的清单；</w:t>
      </w:r>
    </w:p>
    <w:p>
      <w:pPr>
        <w:rPr>
          <w:rFonts w:ascii="宋体" w:hAnsi="宋体" w:eastAsia="宋体" w:cs="宋体"/>
          <w:color w:val="auto"/>
          <w:highlight w:val="none"/>
        </w:rPr>
      </w:pPr>
      <w:r>
        <w:rPr>
          <w:rFonts w:hint="eastAsia" w:ascii="宋体" w:hAnsi="宋体" w:eastAsia="宋体" w:cs="宋体"/>
          <w:color w:val="auto"/>
          <w:highlight w:val="none"/>
        </w:rPr>
        <w:t>2.2.6商务技术偏离表；</w:t>
      </w:r>
    </w:p>
    <w:p>
      <w:pPr>
        <w:rPr>
          <w:rFonts w:ascii="宋体" w:hAnsi="宋体" w:eastAsia="宋体" w:cs="宋体"/>
          <w:color w:val="auto"/>
          <w:highlight w:val="none"/>
        </w:rPr>
      </w:pPr>
      <w:r>
        <w:rPr>
          <w:rFonts w:hint="eastAsia" w:ascii="宋体" w:hAnsi="宋体" w:eastAsia="宋体" w:cs="宋体"/>
          <w:color w:val="auto"/>
          <w:highlight w:val="none"/>
        </w:rPr>
        <w:t>2.2.7</w:t>
      </w:r>
      <w:r>
        <w:rPr>
          <w:rFonts w:hint="eastAsia" w:ascii="宋体" w:hAnsi="宋体" w:eastAsia="宋体" w:cs="宋体"/>
          <w:color w:val="auto"/>
          <w:highlight w:val="none"/>
          <w:lang w:val="zh-CN"/>
        </w:rPr>
        <w:t>采购供应商廉洁自律承诺书；</w:t>
      </w:r>
    </w:p>
    <w:p>
      <w:pPr>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3报价文件</w:t>
      </w:r>
    </w:p>
    <w:p>
      <w:pPr>
        <w:rPr>
          <w:rFonts w:ascii="宋体" w:hAnsi="宋体" w:eastAsia="宋体" w:cs="宋体"/>
          <w:color w:val="auto"/>
          <w:highlight w:val="none"/>
        </w:rPr>
      </w:pPr>
      <w:r>
        <w:rPr>
          <w:rFonts w:hint="eastAsia" w:ascii="宋体" w:hAnsi="宋体" w:eastAsia="宋体" w:cs="宋体"/>
          <w:color w:val="auto"/>
          <w:highlight w:val="none"/>
        </w:rPr>
        <w:t>2.3.1</w:t>
      </w:r>
      <w:r>
        <w:rPr>
          <w:rFonts w:hint="eastAsia" w:ascii="宋体" w:hAnsi="宋体" w:eastAsia="宋体" w:cs="宋体"/>
          <w:color w:val="auto"/>
          <w:highlight w:val="none"/>
          <w:lang w:eastAsia="zh-CN"/>
        </w:rPr>
        <w:t>交易一览表</w:t>
      </w:r>
      <w:r>
        <w:rPr>
          <w:rFonts w:hint="eastAsia" w:ascii="宋体" w:hAnsi="宋体" w:eastAsia="宋体" w:cs="宋体"/>
          <w:color w:val="auto"/>
          <w:highlight w:val="none"/>
        </w:rPr>
        <w:t>（报价表）；</w:t>
      </w:r>
    </w:p>
    <w:p>
      <w:pPr>
        <w:rPr>
          <w:rFonts w:ascii="宋体" w:hAnsi="宋体" w:eastAsia="宋体" w:cs="宋体"/>
          <w:color w:val="auto"/>
          <w:highlight w:val="none"/>
        </w:rPr>
      </w:pPr>
      <w:r>
        <w:rPr>
          <w:rFonts w:hint="eastAsia" w:ascii="宋体" w:hAnsi="宋体" w:eastAsia="宋体" w:cs="宋体"/>
          <w:color w:val="auto"/>
          <w:highlight w:val="none"/>
        </w:rPr>
        <w:t>2.3.2中小企业声明函（如果有）。</w:t>
      </w:r>
    </w:p>
    <w:p>
      <w:pPr>
        <w:rPr>
          <w:rFonts w:ascii="宋体" w:hAnsi="宋体" w:eastAsia="宋体" w:cs="宋体"/>
          <w:color w:val="auto"/>
          <w:highlight w:val="none"/>
        </w:rPr>
      </w:pPr>
      <w:r>
        <w:rPr>
          <w:rFonts w:hint="eastAsia" w:ascii="宋体" w:hAnsi="宋体" w:eastAsia="宋体" w:cs="宋体"/>
          <w:color w:val="auto"/>
          <w:highlight w:val="none"/>
        </w:rPr>
        <w:t>3、我方承诺除商务技术偏离表列出的偏离外，我方响应</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的全部要求。</w:t>
      </w:r>
    </w:p>
    <w:p>
      <w:pPr>
        <w:rPr>
          <w:rFonts w:ascii="宋体" w:hAnsi="宋体" w:eastAsia="宋体" w:cs="宋体"/>
          <w:color w:val="auto"/>
          <w:highlight w:val="none"/>
        </w:rPr>
      </w:pPr>
      <w:r>
        <w:rPr>
          <w:rFonts w:hint="eastAsia" w:ascii="宋体" w:hAnsi="宋体" w:eastAsia="宋体" w:cs="宋体"/>
          <w:color w:val="auto"/>
          <w:highlight w:val="none"/>
        </w:rPr>
        <w:t>4、如我方</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，我方承诺：</w:t>
      </w:r>
    </w:p>
    <w:p>
      <w:pPr>
        <w:rPr>
          <w:rFonts w:ascii="宋体" w:hAnsi="宋体" w:eastAsia="宋体" w:cs="宋体"/>
          <w:color w:val="auto"/>
          <w:highlight w:val="none"/>
        </w:rPr>
      </w:pPr>
      <w:r>
        <w:rPr>
          <w:rFonts w:hint="eastAsia" w:ascii="宋体" w:hAnsi="宋体" w:eastAsia="宋体" w:cs="宋体"/>
          <w:color w:val="auto"/>
          <w:highlight w:val="none"/>
        </w:rPr>
        <w:t>4.1在收到</w:t>
      </w:r>
      <w:r>
        <w:rPr>
          <w:rFonts w:hint="eastAsia" w:ascii="宋体" w:hAnsi="宋体" w:eastAsia="宋体" w:cs="宋体"/>
          <w:color w:val="auto"/>
          <w:highlight w:val="none"/>
          <w:lang w:eastAsia="zh-CN"/>
        </w:rPr>
        <w:t>成交通知书</w:t>
      </w:r>
      <w:r>
        <w:rPr>
          <w:rFonts w:hint="eastAsia" w:ascii="宋体" w:hAnsi="宋体" w:eastAsia="宋体" w:cs="宋体"/>
          <w:color w:val="auto"/>
          <w:highlight w:val="none"/>
        </w:rPr>
        <w:t>后，在</w:t>
      </w:r>
      <w:r>
        <w:rPr>
          <w:rFonts w:hint="eastAsia" w:ascii="宋体" w:hAnsi="宋体" w:eastAsia="宋体" w:cs="宋体"/>
          <w:color w:val="auto"/>
          <w:highlight w:val="none"/>
          <w:lang w:eastAsia="zh-CN"/>
        </w:rPr>
        <w:t>成交通知书</w:t>
      </w:r>
      <w:r>
        <w:rPr>
          <w:rFonts w:hint="eastAsia" w:ascii="宋体" w:hAnsi="宋体" w:eastAsia="宋体" w:cs="宋体"/>
          <w:color w:val="auto"/>
          <w:highlight w:val="none"/>
        </w:rPr>
        <w:t xml:space="preserve">规定的期限内与你方签订合同； </w:t>
      </w:r>
    </w:p>
    <w:p>
      <w:pPr>
        <w:rPr>
          <w:rFonts w:ascii="宋体" w:hAnsi="宋体" w:eastAsia="宋体" w:cs="宋体"/>
          <w:color w:val="auto"/>
          <w:highlight w:val="none"/>
        </w:rPr>
      </w:pPr>
      <w:r>
        <w:rPr>
          <w:rFonts w:hint="eastAsia" w:ascii="宋体" w:hAnsi="宋体" w:eastAsia="宋体" w:cs="宋体"/>
          <w:color w:val="auto"/>
          <w:highlight w:val="none"/>
        </w:rPr>
        <w:t xml:space="preserve">4.2在签订合同时不向你方提出附加条件； </w:t>
      </w:r>
    </w:p>
    <w:p>
      <w:pPr>
        <w:rPr>
          <w:rFonts w:ascii="宋体" w:hAnsi="宋体" w:eastAsia="宋体" w:cs="宋体"/>
          <w:color w:val="auto"/>
          <w:highlight w:val="none"/>
        </w:rPr>
      </w:pPr>
      <w:r>
        <w:rPr>
          <w:rFonts w:hint="eastAsia" w:ascii="宋体" w:hAnsi="宋体" w:eastAsia="宋体" w:cs="宋体"/>
          <w:color w:val="auto"/>
          <w:highlight w:val="none"/>
        </w:rPr>
        <w:t>4.3按照</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 xml:space="preserve">要求提交履约保证金； </w:t>
      </w:r>
    </w:p>
    <w:p>
      <w:pPr>
        <w:rPr>
          <w:rFonts w:ascii="宋体" w:hAnsi="宋体" w:eastAsia="宋体" w:cs="宋体"/>
          <w:color w:val="auto"/>
          <w:highlight w:val="none"/>
        </w:rPr>
      </w:pPr>
      <w:r>
        <w:rPr>
          <w:rFonts w:hint="eastAsia" w:ascii="宋体" w:hAnsi="宋体" w:eastAsia="宋体" w:cs="宋体"/>
          <w:color w:val="auto"/>
          <w:highlight w:val="none"/>
        </w:rPr>
        <w:t xml:space="preserve">4.4在合同约定的期限内完成合同规定的全部义务。 </w:t>
      </w:r>
    </w:p>
    <w:p>
      <w:pPr>
        <w:rPr>
          <w:rFonts w:ascii="宋体" w:hAnsi="宋体" w:eastAsia="宋体" w:cs="宋体"/>
          <w:color w:val="auto"/>
          <w:highlight w:val="none"/>
        </w:rPr>
      </w:pPr>
      <w:r>
        <w:rPr>
          <w:rFonts w:hint="eastAsia" w:ascii="宋体" w:hAnsi="宋体" w:eastAsia="宋体" w:cs="宋体"/>
          <w:color w:val="auto"/>
          <w:highlight w:val="none"/>
        </w:rPr>
        <w:t>5、其他补充说明: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rPr>
          <w:rFonts w:ascii="宋体" w:hAnsi="宋体" w:eastAsia="宋体" w:cs="宋体"/>
          <w:color w:val="auto"/>
          <w:highlight w:val="none"/>
        </w:rPr>
      </w:pPr>
    </w:p>
    <w:p>
      <w:pPr>
        <w:rPr>
          <w:rFonts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 xml:space="preserve">名称（电子签名）：                          </w:t>
      </w:r>
    </w:p>
    <w:p>
      <w:pPr>
        <w:rPr>
          <w:rFonts w:ascii="宋体" w:hAnsi="宋体" w:eastAsia="宋体" w:cs="宋体"/>
          <w:color w:val="auto"/>
          <w:highlight w:val="none"/>
        </w:rPr>
      </w:pPr>
      <w:r>
        <w:rPr>
          <w:rFonts w:hint="eastAsia" w:ascii="宋体" w:hAnsi="宋体" w:eastAsia="宋体" w:cs="宋体"/>
          <w:color w:val="auto"/>
          <w:highlight w:val="none"/>
        </w:rPr>
        <w:t xml:space="preserve">     日期：  年   月   日</w:t>
      </w:r>
    </w:p>
    <w:p>
      <w:pPr>
        <w:rPr>
          <w:rFonts w:ascii="宋体" w:hAnsi="宋体" w:eastAsia="宋体" w:cs="宋体"/>
          <w:color w:val="auto"/>
          <w:highlight w:val="none"/>
          <w:u w:val="single"/>
        </w:rPr>
      </w:pPr>
    </w:p>
    <w:p>
      <w:pPr>
        <w:rPr>
          <w:rFonts w:ascii="宋体" w:hAnsi="宋体" w:eastAsia="宋体" w:cs="宋体"/>
          <w:color w:val="auto"/>
          <w:highlight w:val="none"/>
        </w:rPr>
      </w:pPr>
      <w:r>
        <w:rPr>
          <w:rFonts w:hint="eastAsia" w:ascii="宋体" w:hAnsi="宋体" w:eastAsia="宋体" w:cs="宋体"/>
          <w:color w:val="auto"/>
          <w:highlight w:val="none"/>
        </w:rPr>
        <w:t>注：按本格式和要求提供。</w:t>
      </w:r>
    </w:p>
    <w:p>
      <w:pPr>
        <w:spacing w:line="276" w:lineRule="auto"/>
        <w:rPr>
          <w:rFonts w:ascii="宋体" w:hAnsi="宋体" w:eastAsia="宋体" w:cs="宋体"/>
          <w:color w:val="auto"/>
          <w:highlight w:val="none"/>
        </w:rPr>
      </w:pPr>
      <w:r>
        <w:rPr>
          <w:rFonts w:hint="eastAsia" w:ascii="宋体" w:hAnsi="宋体" w:eastAsia="宋体" w:cs="宋体"/>
          <w:color w:val="auto"/>
          <w:highlight w:val="none"/>
        </w:rPr>
        <w:br w:type="page"/>
      </w:r>
    </w:p>
    <w:p>
      <w:pPr>
        <w:jc w:val="center"/>
        <w:rPr>
          <w:rFonts w:hint="eastAsia" w:ascii="宋体" w:hAnsi="宋体" w:eastAsia="宋体" w:cs="宋体"/>
          <w:b/>
          <w:color w:val="auto"/>
          <w:sz w:val="32"/>
          <w:szCs w:val="32"/>
          <w:highlight w:val="none"/>
          <w:lang w:val="zh-CN"/>
        </w:rPr>
      </w:pPr>
    </w:p>
    <w:p>
      <w:pPr>
        <w:jc w:val="center"/>
        <w:rPr>
          <w:rFonts w:hint="eastAsia" w:ascii="仿宋" w:hAnsi="仿宋" w:eastAsia="仿宋" w:cs="仿宋"/>
          <w:color w:val="auto"/>
          <w:sz w:val="24"/>
          <w:highlight w:val="none"/>
        </w:rPr>
      </w:pPr>
      <w:r>
        <w:rPr>
          <w:rFonts w:hint="eastAsia" w:ascii="宋体" w:hAnsi="宋体" w:eastAsia="宋体" w:cs="宋体"/>
          <w:b/>
          <w:color w:val="auto"/>
          <w:sz w:val="32"/>
          <w:szCs w:val="32"/>
          <w:highlight w:val="none"/>
          <w:lang w:val="zh-CN"/>
        </w:rPr>
        <w:t>二、</w:t>
      </w:r>
      <w:r>
        <w:rPr>
          <w:rFonts w:hint="eastAsia" w:ascii="仿宋" w:hAnsi="仿宋" w:eastAsia="仿宋" w:cs="仿宋"/>
          <w:b/>
          <w:color w:val="auto"/>
          <w:kern w:val="0"/>
          <w:sz w:val="32"/>
          <w:szCs w:val="32"/>
          <w:highlight w:val="none"/>
          <w:lang w:val="zh-CN"/>
        </w:rPr>
        <w:t>授权委托书或法定代表人（单位负责人、自然人本人）身份证明</w:t>
      </w:r>
      <w:r>
        <w:rPr>
          <w:rFonts w:hint="eastAsia" w:ascii="仿宋" w:hAnsi="仿宋" w:eastAsia="仿宋" w:cs="仿宋"/>
          <w:color w:val="auto"/>
          <w:sz w:val="24"/>
          <w:highlight w:val="none"/>
        </w:rPr>
        <w:t xml:space="preserve">                                </w:t>
      </w:r>
    </w:p>
    <w:p>
      <w:pPr>
        <w:snapToGrid w:val="0"/>
        <w:spacing w:line="360" w:lineRule="auto"/>
        <w:ind w:left="0" w:leftChars="0" w:firstLine="0" w:firstLineChars="0"/>
        <w:jc w:val="center"/>
        <w:rPr>
          <w:rFonts w:hint="eastAsia" w:ascii="仿宋" w:hAnsi="仿宋" w:eastAsia="仿宋" w:cs="仿宋"/>
          <w:b/>
          <w:color w:val="auto"/>
          <w:kern w:val="0"/>
          <w:sz w:val="32"/>
          <w:szCs w:val="32"/>
          <w:highlight w:val="none"/>
          <w:lang w:val="zh-CN"/>
        </w:rPr>
      </w:pPr>
    </w:p>
    <w:p>
      <w:pPr>
        <w:snapToGrid w:val="0"/>
        <w:spacing w:line="360" w:lineRule="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（项目名称）【招标编号：（采购编号）】</w:t>
      </w:r>
      <w:r>
        <w:rPr>
          <w:rFonts w:hint="eastAsia" w:ascii="宋体" w:hAnsi="宋体" w:eastAsia="宋体" w:cs="宋体"/>
          <w:color w:val="auto"/>
          <w:kern w:val="0"/>
          <w:sz w:val="24"/>
          <w:highlight w:val="none"/>
          <w:lang w:val="zh-CN"/>
        </w:rPr>
        <w:t>采购交易的一切事项，其法律后果由我方承担。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特此告知。</w:t>
      </w:r>
    </w:p>
    <w:p>
      <w:pPr>
        <w:pStyle w:val="35"/>
        <w:rPr>
          <w:rFonts w:hint="eastAsia"/>
          <w:color w:val="auto"/>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rPr>
          <w:rFonts w:hint="eastAsia" w:ascii="宋体" w:hAnsi="宋体" w:eastAsia="宋体" w:cs="宋体"/>
          <w:b/>
          <w:color w:val="auto"/>
          <w:sz w:val="32"/>
          <w:szCs w:val="32"/>
          <w:highlight w:val="none"/>
          <w:lang w:val="zh-CN"/>
        </w:rPr>
      </w:pPr>
    </w:p>
    <w:p>
      <w:pPr>
        <w:rPr>
          <w:rFonts w:hint="eastAsia"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lang w:val="zh-CN"/>
        </w:rPr>
        <w:br w:type="page"/>
      </w:r>
    </w:p>
    <w:p>
      <w:pPr>
        <w:rPr>
          <w:rFonts w:ascii="宋体" w:hAnsi="宋体" w:eastAsia="宋体" w:cs="宋体"/>
          <w:b/>
          <w:color w:val="auto"/>
          <w:highlight w:val="none"/>
        </w:rPr>
      </w:pPr>
      <w:r>
        <w:rPr>
          <w:rFonts w:hint="eastAsia" w:ascii="宋体" w:hAnsi="宋体" w:eastAsia="宋体" w:cs="宋体"/>
          <w:b/>
          <w:color w:val="auto"/>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参加</w:t>
      </w:r>
      <w:r>
        <w:rPr>
          <w:rFonts w:hint="eastAsia" w:ascii="宋体" w:hAnsi="宋体" w:eastAsia="宋体" w:cs="宋体"/>
          <w:b/>
          <w:color w:val="auto"/>
          <w:sz w:val="30"/>
          <w:szCs w:val="30"/>
          <w:highlight w:val="none"/>
          <w:lang w:val="en-US" w:eastAsia="zh-CN"/>
        </w:rPr>
        <w:t>交易</w:t>
      </w:r>
      <w:r>
        <w:rPr>
          <w:rFonts w:hint="eastAsia" w:ascii="宋体" w:hAnsi="宋体" w:eastAsia="宋体" w:cs="宋体"/>
          <w:b/>
          <w:color w:val="auto"/>
          <w:sz w:val="30"/>
          <w:szCs w:val="30"/>
          <w:highlight w:val="none"/>
        </w:rPr>
        <w:t>）</w:t>
      </w:r>
    </w:p>
    <w:p>
      <w:pPr>
        <w:pStyle w:val="88"/>
        <w:spacing w:line="360" w:lineRule="auto"/>
        <w:rPr>
          <w:rFonts w:hAnsi="宋体" w:eastAsia="宋体" w:cs="宋体"/>
          <w:bCs/>
          <w:color w:val="auto"/>
          <w:sz w:val="24"/>
          <w:highlight w:val="none"/>
        </w:rPr>
      </w:pPr>
      <w:r>
        <w:rPr>
          <w:rFonts w:hint="eastAsia" w:hAnsi="宋体" w:eastAsia="宋体" w:cs="宋体"/>
          <w:bCs/>
          <w:color w:val="auto"/>
          <w:sz w:val="24"/>
          <w:highlight w:val="none"/>
        </w:rPr>
        <w:t>身份证件扫描件：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7" w:hRule="atLeast"/>
          <w:jc w:val="center"/>
        </w:trPr>
        <w:tc>
          <w:tcPr>
            <w:tcW w:w="9207" w:type="dxa"/>
          </w:tcPr>
          <w:p>
            <w:pPr>
              <w:pStyle w:val="88"/>
              <w:adjustRightInd w:val="0"/>
              <w:spacing w:line="360" w:lineRule="auto"/>
              <w:rPr>
                <w:rFonts w:hAnsi="宋体" w:eastAsia="宋体" w:cs="宋体"/>
                <w:bCs/>
                <w:color w:val="auto"/>
                <w:sz w:val="24"/>
                <w:highlight w:val="none"/>
              </w:rPr>
            </w:pPr>
            <w:r>
              <w:rPr>
                <w:rFonts w:hint="eastAsia" w:hAnsi="宋体" w:eastAsia="宋体" w:cs="宋体"/>
                <w:bCs/>
                <w:color w:val="auto"/>
                <w:sz w:val="24"/>
                <w:highlight w:val="none"/>
              </w:rPr>
              <w:t>正面：                                 反面：</w:t>
            </w:r>
          </w:p>
          <w:p>
            <w:pPr>
              <w:pStyle w:val="88"/>
              <w:adjustRightInd w:val="0"/>
              <w:spacing w:line="360" w:lineRule="auto"/>
              <w:rPr>
                <w:rFonts w:hAnsi="宋体" w:eastAsia="宋体" w:cs="宋体"/>
                <w:bCs/>
                <w:color w:val="auto"/>
                <w:sz w:val="24"/>
                <w:highlight w:val="none"/>
              </w:rPr>
            </w:pPr>
          </w:p>
        </w:tc>
      </w:tr>
    </w:tbl>
    <w:p>
      <w:pPr>
        <w:snapToGrid w:val="0"/>
        <w:ind w:firstLine="576"/>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pPr>
        <w:snapToGrid w:val="0"/>
        <w:spacing w:line="360" w:lineRule="auto"/>
        <w:ind w:firstLine="576"/>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 xml:space="preserve">                  供应商名称(电子签名)：                              </w:t>
      </w:r>
    </w:p>
    <w:p>
      <w:pPr>
        <w:spacing w:line="360" w:lineRule="auto"/>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 xml:space="preserve">                   日期：  年  月  日</w:t>
      </w:r>
      <w:r>
        <w:rPr>
          <w:rFonts w:hint="eastAsia" w:ascii="宋体" w:hAnsi="宋体" w:eastAsia="宋体" w:cs="宋体"/>
          <w:color w:val="auto"/>
          <w:highlight w:val="none"/>
          <w:lang w:val="zh-CN"/>
        </w:rPr>
        <w:br w:type="page"/>
      </w:r>
    </w:p>
    <w:p>
      <w:pPr>
        <w:pStyle w:val="6"/>
        <w:rPr>
          <w:rFonts w:ascii="宋体" w:hAnsi="宋体" w:eastAsia="宋体" w:cs="宋体"/>
          <w:color w:val="auto"/>
          <w:highlight w:val="none"/>
        </w:rPr>
      </w:pPr>
      <w:r>
        <w:rPr>
          <w:rFonts w:hint="eastAsia" w:ascii="宋体" w:hAnsi="宋体" w:eastAsia="宋体" w:cs="宋体"/>
          <w:color w:val="auto"/>
          <w:highlight w:val="none"/>
        </w:rPr>
        <w:t>三、符合性审查资料</w:t>
      </w:r>
    </w:p>
    <w:tbl>
      <w:tblPr>
        <w:tblStyle w:val="3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574"/>
        <w:gridCol w:w="29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eastAsia="宋体" w:cs="宋体"/>
                <w:b/>
                <w:color w:val="auto"/>
                <w:highlight w:val="none"/>
              </w:rPr>
            </w:pPr>
            <w:r>
              <w:rPr>
                <w:rFonts w:hint="eastAsia" w:ascii="宋体" w:hAnsi="宋体" w:eastAsia="宋体" w:cs="宋体"/>
                <w:b/>
                <w:color w:val="auto"/>
                <w:highlight w:val="none"/>
              </w:rPr>
              <w:t>序号</w:t>
            </w:r>
          </w:p>
        </w:tc>
        <w:tc>
          <w:tcPr>
            <w:tcW w:w="3574" w:type="dxa"/>
            <w:vAlign w:val="center"/>
          </w:tcPr>
          <w:p>
            <w:pPr>
              <w:snapToGrid w:val="0"/>
              <w:spacing w:line="240" w:lineRule="atLeast"/>
              <w:jc w:val="center"/>
              <w:rPr>
                <w:rFonts w:ascii="宋体" w:hAnsi="宋体" w:eastAsia="宋体" w:cs="宋体"/>
                <w:b/>
                <w:color w:val="auto"/>
                <w:highlight w:val="none"/>
              </w:rPr>
            </w:pPr>
            <w:r>
              <w:rPr>
                <w:rFonts w:hint="eastAsia" w:ascii="宋体" w:hAnsi="宋体" w:eastAsia="宋体" w:cs="宋体"/>
                <w:b/>
                <w:color w:val="auto"/>
                <w:highlight w:val="none"/>
              </w:rPr>
              <w:t>实质性要求</w:t>
            </w:r>
          </w:p>
        </w:tc>
        <w:tc>
          <w:tcPr>
            <w:tcW w:w="2976" w:type="dxa"/>
            <w:vAlign w:val="center"/>
          </w:tcPr>
          <w:p>
            <w:pPr>
              <w:snapToGrid w:val="0"/>
              <w:spacing w:line="240" w:lineRule="atLeast"/>
              <w:jc w:val="center"/>
              <w:rPr>
                <w:rFonts w:ascii="宋体" w:hAnsi="宋体" w:eastAsia="宋体" w:cs="宋体"/>
                <w:b/>
                <w:color w:val="auto"/>
                <w:highlight w:val="none"/>
              </w:rPr>
            </w:pPr>
            <w:r>
              <w:rPr>
                <w:rFonts w:hint="eastAsia" w:ascii="宋体" w:hAnsi="宋体" w:eastAsia="宋体" w:cs="宋体"/>
                <w:b/>
                <w:color w:val="auto"/>
                <w:highlight w:val="none"/>
              </w:rPr>
              <w:t>需要提供的符合性审查资料</w:t>
            </w:r>
          </w:p>
        </w:tc>
        <w:tc>
          <w:tcPr>
            <w:tcW w:w="1701" w:type="dxa"/>
            <w:vAlign w:val="center"/>
          </w:tcPr>
          <w:p>
            <w:pPr>
              <w:snapToGrid w:val="0"/>
              <w:spacing w:line="240" w:lineRule="atLeast"/>
              <w:jc w:val="center"/>
              <w:rPr>
                <w:rFonts w:ascii="宋体" w:hAnsi="宋体" w:eastAsia="宋体" w:cs="宋体"/>
                <w:b/>
                <w:color w:val="auto"/>
                <w:highlight w:val="none"/>
              </w:rPr>
            </w:pP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中的</w:t>
            </w:r>
          </w:p>
          <w:p>
            <w:pPr>
              <w:snapToGrid w:val="0"/>
              <w:spacing w:line="240" w:lineRule="atLeast"/>
              <w:jc w:val="center"/>
              <w:rPr>
                <w:rFonts w:ascii="宋体" w:hAnsi="宋体" w:eastAsia="宋体" w:cs="宋体"/>
                <w:b/>
                <w:color w:val="auto"/>
                <w:highlight w:val="none"/>
              </w:rPr>
            </w:pPr>
            <w:r>
              <w:rPr>
                <w:rFonts w:hint="eastAsia" w:ascii="宋体" w:hAnsi="宋体" w:eastAsia="宋体" w:cs="宋体"/>
                <w:b/>
                <w:color w:val="auto"/>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3574" w:type="dxa"/>
            <w:vAlign w:val="center"/>
          </w:tcPr>
          <w:p>
            <w:pPr>
              <w:jc w:val="both"/>
              <w:rPr>
                <w:rFonts w:ascii="宋体" w:hAnsi="宋体" w:eastAsia="宋体" w:cs="宋体"/>
                <w:color w:val="auto"/>
                <w:highlight w:val="none"/>
              </w:rPr>
            </w:pP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按照</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要求签署、盖章。</w:t>
            </w:r>
          </w:p>
        </w:tc>
        <w:tc>
          <w:tcPr>
            <w:tcW w:w="2976" w:type="dxa"/>
            <w:vAlign w:val="center"/>
          </w:tcPr>
          <w:p>
            <w:pPr>
              <w:rPr>
                <w:rFonts w:ascii="宋体" w:hAnsi="宋体" w:eastAsia="宋体" w:cs="宋体"/>
                <w:color w:val="auto"/>
                <w:highlight w:val="none"/>
              </w:rPr>
            </w:pPr>
            <w:r>
              <w:rPr>
                <w:rFonts w:hint="eastAsia" w:ascii="宋体" w:hAnsi="宋体" w:eastAsia="宋体" w:cs="宋体"/>
                <w:color w:val="auto"/>
                <w:highlight w:val="none"/>
              </w:rPr>
              <w:t>需要使用电子签名或者签字盖章的</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的组成部分</w:t>
            </w:r>
          </w:p>
        </w:tc>
        <w:tc>
          <w:tcPr>
            <w:tcW w:w="1701" w:type="dxa"/>
            <w:vAlign w:val="center"/>
          </w:tcPr>
          <w:p>
            <w:pPr>
              <w:jc w:val="center"/>
              <w:rPr>
                <w:rFonts w:ascii="宋体" w:hAnsi="宋体" w:eastAsia="宋体" w:cs="宋体"/>
                <w:color w:val="auto"/>
                <w:highlight w:val="none"/>
              </w:rPr>
            </w:pPr>
          </w:p>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见</w:t>
            </w:r>
            <w:r>
              <w:rPr>
                <w:rFonts w:hint="eastAsia" w:ascii="宋体" w:hAnsi="宋体" w:eastAsia="宋体" w:cs="宋体"/>
                <w:color w:val="auto"/>
                <w:highlight w:val="none"/>
                <w:lang w:eastAsia="zh-CN"/>
              </w:rPr>
              <w:t>响应文件</w:t>
            </w:r>
          </w:p>
          <w:p>
            <w:pPr>
              <w:jc w:val="center"/>
              <w:rPr>
                <w:rFonts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3574" w:type="dxa"/>
            <w:vAlign w:val="center"/>
          </w:tcPr>
          <w:p>
            <w:pPr>
              <w:jc w:val="both"/>
              <w:rPr>
                <w:rFonts w:ascii="宋体" w:hAnsi="宋体" w:eastAsia="宋体" w:cs="宋体"/>
                <w:color w:val="auto"/>
                <w:highlight w:val="none"/>
              </w:rPr>
            </w:pP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中承诺的</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有效期不少于</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中载明的</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有效期。</w:t>
            </w:r>
          </w:p>
        </w:tc>
        <w:tc>
          <w:tcPr>
            <w:tcW w:w="2976" w:type="dxa"/>
            <w:vAlign w:val="center"/>
          </w:tcPr>
          <w:p>
            <w:pPr>
              <w:rPr>
                <w:rFonts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函</w:t>
            </w:r>
          </w:p>
        </w:tc>
        <w:tc>
          <w:tcPr>
            <w:tcW w:w="1701" w:type="dxa"/>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见</w:t>
            </w:r>
            <w:r>
              <w:rPr>
                <w:rFonts w:hint="eastAsia" w:ascii="宋体" w:hAnsi="宋体" w:eastAsia="宋体" w:cs="宋体"/>
                <w:color w:val="auto"/>
                <w:highlight w:val="none"/>
                <w:lang w:eastAsia="zh-CN"/>
              </w:rPr>
              <w:t>响应文件</w:t>
            </w:r>
          </w:p>
          <w:p>
            <w:pPr>
              <w:jc w:val="center"/>
              <w:rPr>
                <w:rFonts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3574" w:type="dxa"/>
            <w:vAlign w:val="center"/>
          </w:tcPr>
          <w:p>
            <w:pPr>
              <w:jc w:val="both"/>
              <w:rPr>
                <w:rFonts w:ascii="宋体" w:hAnsi="宋体" w:eastAsia="宋体" w:cs="宋体"/>
                <w:color w:val="auto"/>
                <w:highlight w:val="none"/>
              </w:rPr>
            </w:pP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满足</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的其它实质性要求。</w:t>
            </w:r>
          </w:p>
        </w:tc>
        <w:tc>
          <w:tcPr>
            <w:tcW w:w="2976" w:type="dxa"/>
            <w:vAlign w:val="center"/>
          </w:tcPr>
          <w:p>
            <w:pPr>
              <w:rPr>
                <w:rFonts w:ascii="宋体" w:hAnsi="宋体" w:eastAsia="宋体" w:cs="宋体"/>
                <w:color w:val="auto"/>
                <w:highlight w:val="none"/>
              </w:rPr>
            </w:pP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其它实质性要求相应的材料（“▲” 系指实质性要求条款，</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无其它实质性要求的，无需提供）</w:t>
            </w:r>
          </w:p>
        </w:tc>
        <w:tc>
          <w:tcPr>
            <w:tcW w:w="1701" w:type="dxa"/>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见</w:t>
            </w:r>
            <w:r>
              <w:rPr>
                <w:rFonts w:hint="eastAsia" w:ascii="宋体" w:hAnsi="宋体" w:eastAsia="宋体" w:cs="宋体"/>
                <w:color w:val="auto"/>
                <w:highlight w:val="none"/>
                <w:lang w:eastAsia="zh-CN"/>
              </w:rPr>
              <w:t>响应文件</w:t>
            </w:r>
          </w:p>
          <w:p>
            <w:pPr>
              <w:jc w:val="center"/>
              <w:rPr>
                <w:rFonts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页</w:t>
            </w:r>
          </w:p>
        </w:tc>
      </w:tr>
    </w:tbl>
    <w:p>
      <w:pPr>
        <w:rPr>
          <w:rFonts w:ascii="宋体" w:hAnsi="宋体" w:eastAsia="宋体" w:cs="宋体"/>
          <w:color w:val="auto"/>
          <w:highlight w:val="none"/>
        </w:rPr>
      </w:pPr>
      <w:r>
        <w:rPr>
          <w:rFonts w:hint="eastAsia" w:ascii="宋体" w:hAnsi="宋体" w:eastAsia="宋体" w:cs="宋体"/>
          <w:color w:val="auto"/>
          <w:highlight w:val="none"/>
        </w:rPr>
        <w:t>注：按本格式和要求提供。</w:t>
      </w:r>
    </w:p>
    <w:p>
      <w:pPr>
        <w:rPr>
          <w:rFonts w:ascii="宋体" w:hAnsi="宋体" w:eastAsia="宋体" w:cs="宋体"/>
          <w:color w:val="auto"/>
          <w:highlight w:val="none"/>
        </w:rPr>
      </w:pPr>
      <w:r>
        <w:rPr>
          <w:rFonts w:hint="eastAsia" w:ascii="宋体" w:hAnsi="宋体" w:eastAsia="宋体" w:cs="宋体"/>
          <w:color w:val="auto"/>
          <w:highlight w:val="none"/>
        </w:rPr>
        <w:br w:type="page"/>
      </w:r>
    </w:p>
    <w:p>
      <w:pPr>
        <w:pStyle w:val="6"/>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标准相应的商务技术资料</w:t>
      </w:r>
    </w:p>
    <w:p>
      <w:pPr>
        <w:snapToGrid w:val="0"/>
        <w:spacing w:line="360" w:lineRule="auto"/>
        <w:rPr>
          <w:rFonts w:ascii="宋体" w:hAnsi="宋体" w:eastAsia="宋体" w:cs="宋体"/>
          <w:b/>
          <w:color w:val="auto"/>
          <w:highlight w:val="none"/>
        </w:rPr>
      </w:pPr>
      <w:r>
        <w:rPr>
          <w:rFonts w:hint="eastAsia" w:ascii="宋体" w:hAnsi="宋体" w:eastAsia="宋体" w:cs="宋体"/>
          <w:b/>
          <w:color w:val="auto"/>
          <w:highlight w:val="none"/>
        </w:rPr>
        <w:t>（按</w:t>
      </w:r>
      <w:r>
        <w:rPr>
          <w:rFonts w:hint="eastAsia" w:ascii="宋体" w:hAnsi="宋体" w:eastAsia="宋体" w:cs="宋体"/>
          <w:b/>
          <w:color w:val="auto"/>
          <w:highlight w:val="none"/>
          <w:lang w:eastAsia="zh-CN"/>
        </w:rPr>
        <w:t>交易文件</w:t>
      </w:r>
      <w:r>
        <w:rPr>
          <w:rFonts w:hint="eastAsia" w:ascii="宋体" w:hAnsi="宋体" w:eastAsia="宋体" w:cs="宋体"/>
          <w:b/>
          <w:color w:val="auto"/>
          <w:highlight w:val="none"/>
        </w:rPr>
        <w:t>第四部分</w:t>
      </w:r>
      <w:r>
        <w:rPr>
          <w:rFonts w:hint="eastAsia" w:ascii="宋体" w:hAnsi="宋体" w:eastAsia="宋体" w:cs="宋体"/>
          <w:b/>
          <w:color w:val="auto"/>
          <w:highlight w:val="none"/>
          <w:lang w:eastAsia="zh-CN"/>
        </w:rPr>
        <w:t>评审</w:t>
      </w:r>
      <w:r>
        <w:rPr>
          <w:rFonts w:hint="eastAsia" w:ascii="宋体" w:hAnsi="宋体" w:eastAsia="宋体" w:cs="宋体"/>
          <w:b/>
          <w:color w:val="auto"/>
          <w:highlight w:val="none"/>
        </w:rPr>
        <w:t>办法前附表中“</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中</w:t>
      </w:r>
      <w:r>
        <w:rPr>
          <w:rFonts w:hint="eastAsia" w:ascii="宋体" w:hAnsi="宋体" w:eastAsia="宋体" w:cs="宋体"/>
          <w:b/>
          <w:color w:val="auto"/>
          <w:highlight w:val="none"/>
          <w:lang w:eastAsia="zh-CN"/>
        </w:rPr>
        <w:t>评审</w:t>
      </w:r>
      <w:r>
        <w:rPr>
          <w:rFonts w:hint="eastAsia" w:ascii="宋体" w:hAnsi="宋体" w:eastAsia="宋体" w:cs="宋体"/>
          <w:b/>
          <w:color w:val="auto"/>
          <w:highlight w:val="none"/>
        </w:rPr>
        <w:t>标准相应的商务技术资料目录”提供资料。）</w:t>
      </w:r>
    </w:p>
    <w:p>
      <w:pPr>
        <w:spacing w:line="276" w:lineRule="auto"/>
        <w:rPr>
          <w:rFonts w:ascii="宋体" w:hAnsi="宋体" w:eastAsia="宋体" w:cs="宋体"/>
          <w:b/>
          <w:color w:val="auto"/>
          <w:highlight w:val="none"/>
        </w:rPr>
      </w:pPr>
      <w:r>
        <w:rPr>
          <w:rFonts w:hint="eastAsia" w:ascii="宋体" w:hAnsi="宋体" w:eastAsia="宋体" w:cs="宋体"/>
          <w:b/>
          <w:color w:val="auto"/>
          <w:highlight w:val="none"/>
        </w:rPr>
        <w:br w:type="page"/>
      </w:r>
    </w:p>
    <w:p>
      <w:pPr>
        <w:pStyle w:val="6"/>
        <w:rPr>
          <w:rFonts w:ascii="宋体" w:hAnsi="宋体" w:eastAsia="宋体" w:cs="宋体"/>
          <w:color w:val="auto"/>
          <w:highlight w:val="none"/>
        </w:rPr>
      </w:pPr>
      <w:r>
        <w:rPr>
          <w:rFonts w:hint="eastAsia" w:ascii="宋体" w:hAnsi="宋体" w:eastAsia="宋体" w:cs="宋体"/>
          <w:color w:val="auto"/>
          <w:highlight w:val="none"/>
        </w:rPr>
        <w:t>五、</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标的清单</w:t>
      </w:r>
    </w:p>
    <w:tbl>
      <w:tblPr>
        <w:tblStyle w:val="3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r>
    </w:tbl>
    <w:p>
      <w:pPr>
        <w:rPr>
          <w:rFonts w:ascii="宋体" w:hAnsi="宋体" w:eastAsia="宋体" w:cs="宋体"/>
          <w:color w:val="auto"/>
          <w:highlight w:val="none"/>
        </w:rPr>
      </w:pPr>
      <w:r>
        <w:rPr>
          <w:rFonts w:hint="eastAsia" w:ascii="宋体" w:hAnsi="宋体" w:eastAsia="宋体" w:cs="宋体"/>
          <w:color w:val="auto"/>
          <w:highlight w:val="none"/>
        </w:rPr>
        <w:t>注：按本格式和要求提供。</w:t>
      </w:r>
    </w:p>
    <w:p>
      <w:pPr>
        <w:pStyle w:val="6"/>
        <w:rPr>
          <w:rFonts w:ascii="宋体" w:hAnsi="宋体" w:eastAsia="宋体" w:cs="宋体"/>
          <w:color w:val="auto"/>
          <w:highlight w:val="none"/>
        </w:rPr>
      </w:pPr>
      <w:r>
        <w:rPr>
          <w:rFonts w:hint="eastAsia" w:ascii="宋体" w:hAnsi="宋体" w:eastAsia="宋体" w:cs="宋体"/>
          <w:color w:val="auto"/>
          <w:highlight w:val="none"/>
        </w:rPr>
        <w:t>六、商务技术偏离表</w:t>
      </w:r>
    </w:p>
    <w:tbl>
      <w:tblPr>
        <w:tblStyle w:val="36"/>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ind w:firstLine="14"/>
              <w:jc w:val="center"/>
              <w:rPr>
                <w:rFonts w:ascii="宋体" w:hAnsi="宋体" w:eastAsia="宋体" w:cs="宋体"/>
                <w:b/>
                <w:bCs/>
                <w:color w:val="auto"/>
                <w:highlight w:val="none"/>
              </w:rPr>
            </w:pPr>
            <w:r>
              <w:rPr>
                <w:rFonts w:hint="eastAsia" w:ascii="宋体" w:hAnsi="宋体" w:eastAsia="宋体" w:cs="宋体"/>
                <w:b/>
                <w:bCs/>
                <w:color w:val="auto"/>
                <w:highlight w:val="none"/>
              </w:rPr>
              <w:t>序号</w:t>
            </w:r>
          </w:p>
        </w:tc>
        <w:tc>
          <w:tcPr>
            <w:tcW w:w="3683" w:type="dxa"/>
          </w:tcPr>
          <w:p>
            <w:pPr>
              <w:spacing w:after="0"/>
              <w:ind w:firstLine="14"/>
              <w:jc w:val="center"/>
              <w:rPr>
                <w:rFonts w:ascii="宋体" w:hAnsi="宋体" w:eastAsia="宋体" w:cs="宋体"/>
                <w:b/>
                <w:bCs/>
                <w:color w:val="auto"/>
                <w:highlight w:val="none"/>
              </w:rPr>
            </w:pPr>
            <w:r>
              <w:rPr>
                <w:rFonts w:hint="eastAsia" w:ascii="宋体" w:hAnsi="宋体" w:eastAsia="宋体" w:cs="宋体"/>
                <w:b/>
                <w:bCs/>
                <w:color w:val="auto"/>
                <w:highlight w:val="none"/>
                <w:lang w:eastAsia="zh-CN"/>
              </w:rPr>
              <w:t>交易文件</w:t>
            </w:r>
            <w:r>
              <w:rPr>
                <w:rFonts w:hint="eastAsia" w:ascii="宋体" w:hAnsi="宋体" w:eastAsia="宋体" w:cs="宋体"/>
                <w:b/>
                <w:bCs/>
                <w:color w:val="auto"/>
                <w:highlight w:val="none"/>
              </w:rPr>
              <w:t>章节及具体内容</w:t>
            </w:r>
          </w:p>
        </w:tc>
        <w:tc>
          <w:tcPr>
            <w:tcW w:w="3546" w:type="dxa"/>
          </w:tcPr>
          <w:p>
            <w:pPr>
              <w:spacing w:after="0"/>
              <w:ind w:firstLine="14"/>
              <w:jc w:val="center"/>
              <w:rPr>
                <w:rFonts w:ascii="宋体" w:hAnsi="宋体" w:eastAsia="宋体" w:cs="宋体"/>
                <w:b/>
                <w:bCs/>
                <w:color w:val="auto"/>
                <w:highlight w:val="none"/>
              </w:rPr>
            </w:pPr>
            <w:r>
              <w:rPr>
                <w:rFonts w:hint="eastAsia" w:ascii="宋体" w:hAnsi="宋体" w:eastAsia="宋体" w:cs="宋体"/>
                <w:b/>
                <w:bCs/>
                <w:color w:val="auto"/>
                <w:highlight w:val="none"/>
                <w:lang w:eastAsia="zh-CN"/>
              </w:rPr>
              <w:t>响应文件</w:t>
            </w:r>
            <w:r>
              <w:rPr>
                <w:rFonts w:hint="eastAsia" w:ascii="宋体" w:hAnsi="宋体" w:eastAsia="宋体" w:cs="宋体"/>
                <w:b/>
                <w:bCs/>
                <w:color w:val="auto"/>
                <w:highlight w:val="none"/>
              </w:rPr>
              <w:t>章节及具体内容</w:t>
            </w:r>
          </w:p>
        </w:tc>
        <w:tc>
          <w:tcPr>
            <w:tcW w:w="1276" w:type="dxa"/>
          </w:tcPr>
          <w:p>
            <w:pPr>
              <w:spacing w:after="0"/>
              <w:ind w:firstLine="14"/>
              <w:jc w:val="center"/>
              <w:rPr>
                <w:rFonts w:ascii="宋体" w:hAnsi="宋体" w:eastAsia="宋体" w:cs="宋体"/>
                <w:b/>
                <w:bCs/>
                <w:color w:val="auto"/>
                <w:highlight w:val="none"/>
              </w:rPr>
            </w:pPr>
            <w:r>
              <w:rPr>
                <w:rFonts w:hint="eastAsia" w:ascii="宋体" w:hAnsi="宋体" w:eastAsia="宋体" w:cs="宋体"/>
                <w:b/>
                <w:bCs/>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ind w:firstLine="14"/>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3683" w:type="dxa"/>
          </w:tcPr>
          <w:p>
            <w:pPr>
              <w:spacing w:after="0"/>
              <w:ind w:firstLine="14"/>
              <w:jc w:val="center"/>
              <w:rPr>
                <w:rFonts w:ascii="宋体" w:hAnsi="宋体" w:eastAsia="宋体" w:cs="宋体"/>
                <w:b/>
                <w:color w:val="auto"/>
                <w:sz w:val="32"/>
                <w:szCs w:val="32"/>
                <w:highlight w:val="none"/>
              </w:rPr>
            </w:pPr>
          </w:p>
        </w:tc>
        <w:tc>
          <w:tcPr>
            <w:tcW w:w="3546" w:type="dxa"/>
          </w:tcPr>
          <w:p>
            <w:pPr>
              <w:spacing w:after="0"/>
              <w:ind w:firstLine="14"/>
              <w:jc w:val="center"/>
              <w:rPr>
                <w:rFonts w:ascii="宋体" w:hAnsi="宋体" w:eastAsia="宋体" w:cs="宋体"/>
                <w:b/>
                <w:color w:val="auto"/>
                <w:sz w:val="32"/>
                <w:szCs w:val="32"/>
                <w:highlight w:val="none"/>
              </w:rPr>
            </w:pPr>
          </w:p>
        </w:tc>
        <w:tc>
          <w:tcPr>
            <w:tcW w:w="1276" w:type="dxa"/>
          </w:tcPr>
          <w:p>
            <w:pPr>
              <w:spacing w:after="0"/>
              <w:ind w:firstLine="14"/>
              <w:jc w:val="center"/>
              <w:rPr>
                <w:rFonts w:ascii="宋体" w:hAnsi="宋体" w:eastAsia="宋体" w:cs="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ind w:firstLine="14"/>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3683" w:type="dxa"/>
          </w:tcPr>
          <w:p>
            <w:pPr>
              <w:spacing w:after="0"/>
              <w:ind w:firstLine="14"/>
              <w:jc w:val="center"/>
              <w:rPr>
                <w:rFonts w:ascii="宋体" w:hAnsi="宋体" w:eastAsia="宋体" w:cs="宋体"/>
                <w:b/>
                <w:color w:val="auto"/>
                <w:sz w:val="32"/>
                <w:szCs w:val="32"/>
                <w:highlight w:val="none"/>
              </w:rPr>
            </w:pPr>
          </w:p>
        </w:tc>
        <w:tc>
          <w:tcPr>
            <w:tcW w:w="3546" w:type="dxa"/>
          </w:tcPr>
          <w:p>
            <w:pPr>
              <w:spacing w:after="0"/>
              <w:ind w:firstLine="14"/>
              <w:jc w:val="center"/>
              <w:rPr>
                <w:rFonts w:ascii="宋体" w:hAnsi="宋体" w:eastAsia="宋体" w:cs="宋体"/>
                <w:b/>
                <w:color w:val="auto"/>
                <w:sz w:val="32"/>
                <w:szCs w:val="32"/>
                <w:highlight w:val="none"/>
              </w:rPr>
            </w:pPr>
          </w:p>
        </w:tc>
        <w:tc>
          <w:tcPr>
            <w:tcW w:w="1276" w:type="dxa"/>
          </w:tcPr>
          <w:p>
            <w:pPr>
              <w:spacing w:after="0"/>
              <w:ind w:firstLine="14"/>
              <w:jc w:val="center"/>
              <w:rPr>
                <w:rFonts w:ascii="宋体" w:hAnsi="宋体" w:eastAsia="宋体" w:cs="宋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ind w:firstLine="14"/>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3683" w:type="dxa"/>
          </w:tcPr>
          <w:p>
            <w:pPr>
              <w:spacing w:after="0"/>
              <w:ind w:firstLine="14"/>
              <w:jc w:val="center"/>
              <w:rPr>
                <w:rFonts w:ascii="宋体" w:hAnsi="宋体" w:eastAsia="宋体" w:cs="宋体"/>
                <w:b/>
                <w:color w:val="auto"/>
                <w:sz w:val="32"/>
                <w:szCs w:val="32"/>
                <w:highlight w:val="none"/>
              </w:rPr>
            </w:pPr>
          </w:p>
        </w:tc>
        <w:tc>
          <w:tcPr>
            <w:tcW w:w="3546" w:type="dxa"/>
          </w:tcPr>
          <w:p>
            <w:pPr>
              <w:spacing w:after="0"/>
              <w:ind w:firstLine="14"/>
              <w:jc w:val="center"/>
              <w:rPr>
                <w:rFonts w:ascii="宋体" w:hAnsi="宋体" w:eastAsia="宋体" w:cs="宋体"/>
                <w:b/>
                <w:color w:val="auto"/>
                <w:sz w:val="32"/>
                <w:szCs w:val="32"/>
                <w:highlight w:val="none"/>
              </w:rPr>
            </w:pPr>
          </w:p>
        </w:tc>
        <w:tc>
          <w:tcPr>
            <w:tcW w:w="1276" w:type="dxa"/>
          </w:tcPr>
          <w:p>
            <w:pPr>
              <w:spacing w:after="0"/>
              <w:ind w:firstLine="14"/>
              <w:jc w:val="center"/>
              <w:rPr>
                <w:rFonts w:ascii="宋体" w:hAnsi="宋体" w:eastAsia="宋体" w:cs="宋体"/>
                <w:b/>
                <w:color w:val="auto"/>
                <w:sz w:val="32"/>
                <w:szCs w:val="32"/>
                <w:highlight w:val="none"/>
              </w:rPr>
            </w:pPr>
          </w:p>
        </w:tc>
      </w:tr>
    </w:tbl>
    <w:p>
      <w:pPr>
        <w:rPr>
          <w:rFonts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保证：除商务技术偏离表列出的偏离外，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响应</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的全部要求</w:t>
      </w:r>
    </w:p>
    <w:p>
      <w:pPr>
        <w:spacing w:line="360" w:lineRule="auto"/>
        <w:ind w:right="420"/>
        <w:rPr>
          <w:rFonts w:ascii="宋体" w:hAnsi="宋体" w:eastAsia="宋体" w:cs="宋体"/>
          <w:color w:val="auto"/>
          <w:highlight w:val="none"/>
        </w:rPr>
      </w:pPr>
      <w:r>
        <w:rPr>
          <w:rFonts w:hint="eastAsia" w:ascii="宋体" w:hAnsi="宋体" w:eastAsia="宋体" w:cs="宋体"/>
          <w:color w:val="auto"/>
          <w:highlight w:val="none"/>
        </w:rPr>
        <w:t>注：按本格式和要求提供。</w:t>
      </w:r>
    </w:p>
    <w:p>
      <w:pPr>
        <w:spacing w:line="276" w:lineRule="auto"/>
        <w:rPr>
          <w:rFonts w:ascii="宋体" w:hAnsi="宋体" w:eastAsia="宋体" w:cs="宋体"/>
          <w:b/>
          <w:color w:val="auto"/>
          <w:highlight w:val="none"/>
        </w:rPr>
      </w:pPr>
      <w:r>
        <w:rPr>
          <w:rFonts w:hint="eastAsia" w:ascii="宋体" w:hAnsi="宋体" w:eastAsia="宋体" w:cs="宋体"/>
          <w:b/>
          <w:color w:val="auto"/>
          <w:highlight w:val="none"/>
        </w:rPr>
        <w:br w:type="page"/>
      </w:r>
    </w:p>
    <w:p>
      <w:pPr>
        <w:pStyle w:val="6"/>
        <w:rPr>
          <w:rFonts w:ascii="宋体" w:hAnsi="宋体" w:eastAsia="宋体" w:cs="宋体"/>
          <w:color w:val="auto"/>
          <w:highlight w:val="none"/>
        </w:rPr>
      </w:pPr>
      <w:r>
        <w:rPr>
          <w:rFonts w:hint="eastAsia" w:ascii="宋体" w:hAnsi="宋体" w:eastAsia="宋体" w:cs="宋体"/>
          <w:bCs/>
          <w:color w:val="auto"/>
          <w:highlight w:val="none"/>
        </w:rPr>
        <w:t>九</w:t>
      </w:r>
      <w:r>
        <w:rPr>
          <w:rFonts w:hint="eastAsia" w:ascii="宋体" w:hAnsi="宋体" w:eastAsia="宋体" w:cs="宋体"/>
          <w:color w:val="auto"/>
          <w:highlight w:val="none"/>
        </w:rPr>
        <w:t>、</w:t>
      </w:r>
      <w:r>
        <w:rPr>
          <w:rFonts w:hint="eastAsia" w:ascii="宋体" w:hAnsi="宋体" w:eastAsia="宋体" w:cs="宋体"/>
          <w:color w:val="auto"/>
          <w:highlight w:val="none"/>
          <w:lang w:val="zh-CN"/>
        </w:rPr>
        <w:t>采购供应商廉洁自律承诺书</w:t>
      </w:r>
    </w:p>
    <w:p>
      <w:pPr>
        <w:rPr>
          <w:rFonts w:ascii="宋体" w:hAnsi="宋体" w:eastAsia="宋体" w:cs="宋体"/>
          <w:color w:val="auto"/>
          <w:highlight w:val="none"/>
        </w:rPr>
      </w:pPr>
      <w:r>
        <w:rPr>
          <w:rFonts w:hint="eastAsia" w:ascii="宋体" w:hAnsi="宋体" w:eastAsia="宋体" w:cs="宋体"/>
          <w:color w:val="auto"/>
          <w:highlight w:val="none"/>
        </w:rPr>
        <w:t>（采购人）、（采购代理机构）</w:t>
      </w:r>
      <w:r>
        <w:rPr>
          <w:rFonts w:hint="eastAsia" w:ascii="宋体" w:hAnsi="宋体" w:eastAsia="宋体" w:cs="宋体"/>
          <w:color w:val="auto"/>
          <w:highlight w:val="none"/>
          <w:lang w:val="zh-CN"/>
        </w:rPr>
        <w:t>：</w:t>
      </w:r>
    </w:p>
    <w:p>
      <w:pPr>
        <w:rPr>
          <w:rFonts w:ascii="宋体" w:hAnsi="宋体" w:eastAsia="宋体" w:cs="宋体"/>
          <w:color w:val="auto"/>
          <w:highlight w:val="none"/>
          <w:lang w:val="zh-CN"/>
        </w:rPr>
      </w:pPr>
      <w:r>
        <w:rPr>
          <w:rFonts w:hint="eastAsia" w:ascii="宋体" w:hAnsi="宋体" w:eastAsia="宋体" w:cs="宋体"/>
          <w:color w:val="auto"/>
          <w:highlight w:val="none"/>
          <w:lang w:val="zh-CN"/>
        </w:rPr>
        <w:t>我单位响应你</w:t>
      </w:r>
      <w:r>
        <w:rPr>
          <w:rFonts w:hint="eastAsia" w:ascii="宋体" w:hAnsi="宋体" w:eastAsia="宋体" w:cs="宋体"/>
          <w:color w:val="auto"/>
          <w:highlight w:val="none"/>
        </w:rPr>
        <w:t>单位</w:t>
      </w:r>
      <w:r>
        <w:rPr>
          <w:rFonts w:hint="eastAsia" w:ascii="宋体" w:hAnsi="宋体" w:eastAsia="宋体" w:cs="宋体"/>
          <w:color w:val="auto"/>
          <w:highlight w:val="none"/>
          <w:lang w:val="zh-CN"/>
        </w:rPr>
        <w:t>项目</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lang w:val="zh-CN"/>
        </w:rPr>
        <w:t>要求参加</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val="zh-CN"/>
        </w:rPr>
        <w:t>。在这次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lang w:val="zh-CN"/>
        </w:rPr>
        <w:t>过程中和</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lang w:val="zh-CN"/>
        </w:rPr>
        <w:t>后，我们将严格遵守国家法律法规要求，并郑重承诺：</w:t>
      </w:r>
    </w:p>
    <w:p>
      <w:pPr>
        <w:rPr>
          <w:rFonts w:ascii="宋体" w:hAnsi="宋体" w:eastAsia="宋体" w:cs="宋体"/>
          <w:color w:val="auto"/>
          <w:highlight w:val="none"/>
          <w:lang w:val="zh-CN"/>
        </w:rPr>
      </w:pPr>
      <w:r>
        <w:rPr>
          <w:rFonts w:hint="eastAsia" w:ascii="宋体" w:hAnsi="宋体" w:eastAsia="宋体" w:cs="宋体"/>
          <w:color w:val="auto"/>
          <w:highlight w:val="none"/>
          <w:lang w:val="zh-CN"/>
        </w:rPr>
        <w:t xml:space="preserve">一、不向项目有关人员及部门赠送礼金礼物、有价证券、回扣以及中介费、介绍费、咨询费等好处费； </w:t>
      </w:r>
    </w:p>
    <w:p>
      <w:pPr>
        <w:rPr>
          <w:rFonts w:ascii="宋体" w:hAnsi="宋体" w:eastAsia="宋体" w:cs="宋体"/>
          <w:color w:val="auto"/>
          <w:highlight w:val="none"/>
          <w:lang w:val="zh-CN"/>
        </w:rPr>
      </w:pPr>
      <w:r>
        <w:rPr>
          <w:rFonts w:hint="eastAsia" w:ascii="宋体" w:hAnsi="宋体" w:eastAsia="宋体" w:cs="宋体"/>
          <w:color w:val="auto"/>
          <w:highlight w:val="none"/>
          <w:lang w:val="zh-CN"/>
        </w:rPr>
        <w:t xml:space="preserve">二、不为项目有关人员及部门报销应由你方单位或个人支付的费用； </w:t>
      </w:r>
    </w:p>
    <w:p>
      <w:pPr>
        <w:rPr>
          <w:rFonts w:ascii="宋体" w:hAnsi="宋体" w:eastAsia="宋体" w:cs="宋体"/>
          <w:color w:val="auto"/>
          <w:highlight w:val="none"/>
          <w:lang w:val="zh-CN"/>
        </w:rPr>
      </w:pPr>
      <w:r>
        <w:rPr>
          <w:rFonts w:hint="eastAsia" w:ascii="宋体" w:hAnsi="宋体" w:eastAsia="宋体" w:cs="宋体"/>
          <w:color w:val="auto"/>
          <w:highlight w:val="none"/>
          <w:lang w:val="zh-CN"/>
        </w:rPr>
        <w:t xml:space="preserve">三、不向项目有关人员及部门提供有可能影响公正的宴请和健身娱乐等活动； </w:t>
      </w:r>
    </w:p>
    <w:p>
      <w:pPr>
        <w:rPr>
          <w:rFonts w:ascii="宋体" w:hAnsi="宋体" w:eastAsia="宋体" w:cs="宋体"/>
          <w:color w:val="auto"/>
          <w:highlight w:val="none"/>
          <w:lang w:val="zh-CN"/>
        </w:rPr>
      </w:pPr>
      <w:r>
        <w:rPr>
          <w:rFonts w:hint="eastAsia" w:ascii="宋体" w:hAnsi="宋体" w:eastAsia="宋体" w:cs="宋体"/>
          <w:color w:val="auto"/>
          <w:highlight w:val="none"/>
          <w:lang w:val="zh-CN"/>
        </w:rPr>
        <w:t>四、不为项目有关人员及部门出国（境）、旅游等提供方便；</w:t>
      </w:r>
    </w:p>
    <w:p>
      <w:pPr>
        <w:rPr>
          <w:rFonts w:ascii="宋体" w:hAnsi="宋体" w:eastAsia="宋体" w:cs="宋体"/>
          <w:color w:val="auto"/>
          <w:highlight w:val="none"/>
          <w:lang w:val="zh-CN"/>
        </w:rPr>
      </w:pPr>
      <w:r>
        <w:rPr>
          <w:rFonts w:hint="eastAsia" w:ascii="宋体" w:hAnsi="宋体" w:eastAsia="宋体" w:cs="宋体"/>
          <w:color w:val="auto"/>
          <w:highlight w:val="none"/>
          <w:lang w:val="zh-CN"/>
        </w:rPr>
        <w:t>五、不为项目有关人员个人装修住房、婚丧嫁娶、配偶子女工作安排等提供</w:t>
      </w:r>
    </w:p>
    <w:p>
      <w:pPr>
        <w:rPr>
          <w:rFonts w:ascii="宋体" w:hAnsi="宋体" w:eastAsia="宋体" w:cs="宋体"/>
          <w:color w:val="auto"/>
          <w:highlight w:val="none"/>
          <w:lang w:val="zh-CN"/>
        </w:rPr>
      </w:pPr>
      <w:r>
        <w:rPr>
          <w:rFonts w:hint="eastAsia" w:ascii="宋体" w:hAnsi="宋体" w:eastAsia="宋体" w:cs="宋体"/>
          <w:color w:val="auto"/>
          <w:highlight w:val="none"/>
          <w:lang w:val="zh-CN"/>
        </w:rPr>
        <w:t>好处；</w:t>
      </w:r>
    </w:p>
    <w:p>
      <w:pPr>
        <w:rPr>
          <w:rFonts w:ascii="宋体" w:hAnsi="宋体" w:eastAsia="宋体" w:cs="宋体"/>
          <w:color w:val="auto"/>
          <w:highlight w:val="none"/>
          <w:lang w:val="zh-CN"/>
        </w:rPr>
      </w:pPr>
      <w:r>
        <w:rPr>
          <w:rFonts w:hint="eastAsia" w:ascii="宋体" w:hAnsi="宋体" w:eastAsia="宋体" w:cs="宋体"/>
          <w:color w:val="auto"/>
          <w:highlight w:val="none"/>
          <w:lang w:val="zh-CN"/>
        </w:rPr>
        <w:t>六、严格遵守</w:t>
      </w:r>
      <w:r>
        <w:rPr>
          <w:rFonts w:hint="eastAsia" w:ascii="宋体" w:hAnsi="宋体" w:eastAsia="宋体" w:cs="宋体"/>
          <w:color w:val="auto"/>
          <w:highlight w:val="none"/>
          <w:lang w:val="en-US" w:eastAsia="zh-CN"/>
        </w:rPr>
        <w:t>相关</w:t>
      </w:r>
      <w:r>
        <w:rPr>
          <w:rFonts w:hint="eastAsia" w:ascii="宋体" w:hAnsi="宋体" w:eastAsia="宋体" w:cs="宋体"/>
          <w:color w:val="auto"/>
          <w:highlight w:val="none"/>
          <w:lang w:val="zh-CN"/>
        </w:rPr>
        <w:t xml:space="preserve">法律法规，诚实守信，合法经营，坚决抵制各种违法违纪行为。 </w:t>
      </w:r>
    </w:p>
    <w:p>
      <w:pPr>
        <w:rPr>
          <w:rFonts w:ascii="宋体" w:hAnsi="宋体" w:eastAsia="宋体" w:cs="宋体"/>
          <w:color w:val="auto"/>
          <w:highlight w:val="none"/>
          <w:lang w:val="zh-CN"/>
        </w:rPr>
      </w:pPr>
      <w:r>
        <w:rPr>
          <w:rFonts w:hint="eastAsia" w:ascii="宋体" w:hAnsi="宋体" w:eastAsia="宋体" w:cs="宋体"/>
          <w:color w:val="auto"/>
          <w:highlight w:val="none"/>
          <w:lang w:val="zh-CN"/>
        </w:rPr>
        <w:t>如违反上述承诺，你</w:t>
      </w:r>
      <w:r>
        <w:rPr>
          <w:rFonts w:hint="eastAsia" w:ascii="宋体" w:hAnsi="宋体" w:eastAsia="宋体" w:cs="宋体"/>
          <w:color w:val="auto"/>
          <w:highlight w:val="none"/>
        </w:rPr>
        <w:t>单位</w:t>
      </w:r>
      <w:r>
        <w:rPr>
          <w:rFonts w:hint="eastAsia" w:ascii="宋体" w:hAnsi="宋体" w:eastAsia="宋体" w:cs="宋体"/>
          <w:color w:val="auto"/>
          <w:highlight w:val="none"/>
          <w:lang w:val="zh-CN"/>
        </w:rPr>
        <w:t>有权立即取消我单位</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lang w:val="zh-CN"/>
        </w:rPr>
        <w:t>或在建项目的建设资格，有权拒绝我单位在一定时期内进入你</w:t>
      </w:r>
      <w:r>
        <w:rPr>
          <w:rFonts w:hint="eastAsia" w:ascii="宋体" w:hAnsi="宋体" w:eastAsia="宋体" w:cs="宋体"/>
          <w:color w:val="auto"/>
          <w:highlight w:val="none"/>
        </w:rPr>
        <w:t>单位</w:t>
      </w:r>
      <w:r>
        <w:rPr>
          <w:rFonts w:hint="eastAsia" w:ascii="宋体" w:hAnsi="宋体" w:eastAsia="宋体" w:cs="宋体"/>
          <w:color w:val="auto"/>
          <w:highlight w:val="none"/>
          <w:lang w:val="zh-CN"/>
        </w:rPr>
        <w:t>进行项目建设或其他经营活动，并通报市财政局。由此引起的相应损失均由我单位承担。</w:t>
      </w:r>
    </w:p>
    <w:p>
      <w:pPr>
        <w:rPr>
          <w:rFonts w:ascii="宋体" w:hAnsi="宋体" w:eastAsia="宋体" w:cs="宋体"/>
          <w:color w:val="auto"/>
          <w:highlight w:val="none"/>
          <w:lang w:val="zh-CN"/>
        </w:rPr>
      </w:pPr>
    </w:p>
    <w:p>
      <w:pPr>
        <w:rPr>
          <w:rFonts w:ascii="宋体" w:hAnsi="宋体" w:eastAsia="宋体" w:cs="宋体"/>
          <w:color w:val="auto"/>
          <w:highlight w:val="none"/>
          <w:lang w:val="zh-CN"/>
        </w:rPr>
      </w:pPr>
    </w:p>
    <w:p>
      <w:pPr>
        <w:jc w:val="right"/>
        <w:rPr>
          <w:rFonts w:ascii="宋体" w:hAnsi="宋体" w:eastAsia="宋体" w:cs="宋体"/>
          <w:color w:val="auto"/>
          <w:highlight w:val="none"/>
          <w:lang w:val="zh-CN"/>
        </w:rPr>
      </w:pPr>
      <w:r>
        <w:rPr>
          <w:rFonts w:hint="eastAsia" w:ascii="宋体" w:hAnsi="宋体" w:eastAsia="宋体" w:cs="宋体"/>
          <w:color w:val="auto"/>
          <w:highlight w:val="none"/>
          <w:lang w:val="zh-CN"/>
        </w:rPr>
        <w:t>供应商名称（</w:t>
      </w:r>
      <w:r>
        <w:rPr>
          <w:rFonts w:hint="eastAsia" w:ascii="宋体" w:hAnsi="宋体" w:eastAsia="宋体" w:cs="宋体"/>
          <w:color w:val="auto"/>
          <w:highlight w:val="none"/>
        </w:rPr>
        <w:t>电子签名</w:t>
      </w:r>
      <w:r>
        <w:rPr>
          <w:rFonts w:hint="eastAsia" w:ascii="宋体" w:hAnsi="宋体" w:eastAsia="宋体" w:cs="宋体"/>
          <w:color w:val="auto"/>
          <w:highlight w:val="none"/>
          <w:lang w:val="zh-CN"/>
        </w:rPr>
        <w:t xml:space="preserve">）： </w:t>
      </w:r>
    </w:p>
    <w:p>
      <w:pPr>
        <w:jc w:val="right"/>
        <w:rPr>
          <w:rFonts w:ascii="宋体" w:hAnsi="宋体" w:eastAsia="宋体" w:cs="宋体"/>
          <w:color w:val="auto"/>
          <w:highlight w:val="none"/>
        </w:rPr>
      </w:pPr>
      <w:r>
        <w:rPr>
          <w:rFonts w:hint="eastAsia" w:ascii="宋体" w:hAnsi="宋体" w:eastAsia="宋体" w:cs="宋体"/>
          <w:color w:val="auto"/>
          <w:highlight w:val="none"/>
          <w:lang w:val="zh-CN"/>
        </w:rPr>
        <w:t>日期</w:t>
      </w:r>
      <w:r>
        <w:rPr>
          <w:rFonts w:hint="eastAsia" w:ascii="宋体" w:hAnsi="宋体" w:eastAsia="宋体" w:cs="宋体"/>
          <w:color w:val="auto"/>
          <w:highlight w:val="none"/>
        </w:rPr>
        <w:t>：</w:t>
      </w:r>
      <w:r>
        <w:rPr>
          <w:rFonts w:hint="eastAsia" w:ascii="宋体" w:hAnsi="宋体" w:eastAsia="宋体" w:cs="宋体"/>
          <w:color w:val="auto"/>
          <w:highlight w:val="none"/>
          <w:lang w:val="zh-CN"/>
        </w:rPr>
        <w:t xml:space="preserve">   年   月   日</w:t>
      </w:r>
    </w:p>
    <w:p>
      <w:pPr>
        <w:rPr>
          <w:rFonts w:ascii="宋体" w:hAnsi="宋体" w:eastAsia="宋体" w:cs="宋体"/>
          <w:b/>
          <w:bCs/>
          <w:color w:val="auto"/>
          <w:highlight w:val="none"/>
        </w:rPr>
      </w:pPr>
    </w:p>
    <w:p>
      <w:pPr>
        <w:rPr>
          <w:rFonts w:ascii="宋体" w:hAnsi="宋体" w:eastAsia="宋体" w:cs="宋体"/>
          <w:color w:val="auto"/>
          <w:highlight w:val="none"/>
        </w:rPr>
      </w:pPr>
      <w:r>
        <w:rPr>
          <w:rFonts w:hint="eastAsia" w:ascii="宋体" w:hAnsi="宋体" w:eastAsia="宋体" w:cs="宋体"/>
          <w:color w:val="auto"/>
          <w:highlight w:val="none"/>
        </w:rPr>
        <w:t>注：按本格式和要求提供。</w:t>
      </w:r>
    </w:p>
    <w:p>
      <w:pPr>
        <w:spacing w:line="276" w:lineRule="auto"/>
        <w:rPr>
          <w:rFonts w:ascii="宋体" w:hAnsi="宋体" w:eastAsia="宋体" w:cs="宋体"/>
          <w:color w:val="auto"/>
          <w:highlight w:val="none"/>
        </w:rPr>
      </w:pPr>
      <w:r>
        <w:rPr>
          <w:rFonts w:hint="eastAsia" w:ascii="宋体" w:hAnsi="宋体" w:eastAsia="宋体" w:cs="宋体"/>
          <w:color w:val="auto"/>
          <w:highlight w:val="none"/>
        </w:rPr>
        <w:br w:type="page"/>
      </w:r>
    </w:p>
    <w:p>
      <w:pPr>
        <w:pStyle w:val="6"/>
        <w:rPr>
          <w:rFonts w:ascii="宋体" w:hAnsi="宋体" w:eastAsia="宋体" w:cs="宋体"/>
          <w:color w:val="auto"/>
          <w:highlight w:val="none"/>
        </w:rPr>
      </w:pPr>
      <w:r>
        <w:rPr>
          <w:rFonts w:hint="eastAsia" w:ascii="宋体" w:hAnsi="宋体" w:eastAsia="宋体" w:cs="宋体"/>
          <w:color w:val="auto"/>
          <w:highlight w:val="none"/>
        </w:rPr>
        <w:t>报价文件部分</w:t>
      </w:r>
    </w:p>
    <w:p>
      <w:pPr>
        <w:jc w:val="center"/>
        <w:rPr>
          <w:rFonts w:ascii="宋体" w:hAnsi="宋体" w:eastAsia="宋体" w:cs="宋体"/>
          <w:color w:val="auto"/>
          <w:sz w:val="40"/>
          <w:highlight w:val="none"/>
        </w:rPr>
      </w:pPr>
      <w:r>
        <w:rPr>
          <w:rFonts w:hint="eastAsia" w:ascii="宋体" w:hAnsi="宋体" w:eastAsia="宋体" w:cs="宋体"/>
          <w:color w:val="auto"/>
          <w:sz w:val="40"/>
          <w:highlight w:val="none"/>
        </w:rPr>
        <w:t>目录</w:t>
      </w:r>
    </w:p>
    <w:p>
      <w:pPr>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交易一览表</w:t>
      </w:r>
      <w:r>
        <w:rPr>
          <w:rFonts w:hint="eastAsia" w:ascii="宋体" w:hAnsi="宋体" w:eastAsia="宋体" w:cs="宋体"/>
          <w:color w:val="auto"/>
          <w:highlight w:val="none"/>
        </w:rPr>
        <w:t>（报价表）…………………………………………………（页码）</w:t>
      </w:r>
    </w:p>
    <w:p>
      <w:pPr>
        <w:rPr>
          <w:rFonts w:ascii="宋体" w:hAnsi="宋体" w:eastAsia="宋体" w:cs="宋体"/>
          <w:color w:val="auto"/>
          <w:highlight w:val="none"/>
        </w:rPr>
      </w:pPr>
      <w:r>
        <w:rPr>
          <w:rFonts w:hint="eastAsia" w:ascii="宋体" w:hAnsi="宋体" w:eastAsia="宋体" w:cs="宋体"/>
          <w:color w:val="auto"/>
          <w:highlight w:val="none"/>
        </w:rPr>
        <w:t>（2）中小企业声明函…………………………………………………………（页码）</w:t>
      </w:r>
    </w:p>
    <w:p>
      <w:pPr>
        <w:snapToGrid w:val="0"/>
        <w:spacing w:line="360" w:lineRule="auto"/>
        <w:ind w:right="480"/>
        <w:jc w:val="center"/>
        <w:rPr>
          <w:rFonts w:ascii="宋体" w:hAnsi="宋体" w:eastAsia="宋体" w:cs="宋体"/>
          <w:b/>
          <w:color w:val="auto"/>
          <w:sz w:val="32"/>
          <w:szCs w:val="32"/>
          <w:highlight w:val="none"/>
        </w:rPr>
      </w:pPr>
    </w:p>
    <w:p>
      <w:pPr>
        <w:pStyle w:val="8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4" w:type="default"/>
          <w:footerReference r:id="rId5" w:type="default"/>
          <w:pgSz w:w="11906" w:h="16838"/>
          <w:pgMar w:top="1440" w:right="1700" w:bottom="1440" w:left="1800" w:header="851" w:footer="992" w:gutter="0"/>
          <w:cols w:space="425" w:num="1"/>
          <w:docGrid w:type="lines" w:linePitch="312" w:charSpace="0"/>
        </w:sectPr>
      </w:pPr>
    </w:p>
    <w:p>
      <w:pPr>
        <w:pStyle w:val="6"/>
        <w:rPr>
          <w:rFonts w:ascii="宋体" w:hAnsi="宋体" w:eastAsia="宋体" w:cs="宋体"/>
          <w:color w:val="auto"/>
          <w:highlight w:val="none"/>
        </w:rPr>
      </w:pPr>
      <w:r>
        <w:rPr>
          <w:rFonts w:hint="eastAsia" w:ascii="宋体" w:hAnsi="宋体" w:eastAsia="宋体" w:cs="宋体"/>
          <w:color w:val="auto"/>
          <w:highlight w:val="none"/>
        </w:rPr>
        <w:t>一、</w:t>
      </w:r>
      <w:r>
        <w:rPr>
          <w:rFonts w:hint="eastAsia" w:ascii="宋体" w:hAnsi="宋体" w:eastAsia="宋体" w:cs="宋体"/>
          <w:color w:val="auto"/>
          <w:highlight w:val="none"/>
          <w:lang w:eastAsia="zh-CN"/>
        </w:rPr>
        <w:t>交易一览表</w:t>
      </w:r>
      <w:r>
        <w:rPr>
          <w:rFonts w:hint="eastAsia" w:ascii="宋体" w:hAnsi="宋体" w:eastAsia="宋体" w:cs="宋体"/>
          <w:color w:val="auto"/>
          <w:highlight w:val="none"/>
        </w:rPr>
        <w:t>（报价表）</w:t>
      </w:r>
    </w:p>
    <w:p>
      <w:pPr>
        <w:rPr>
          <w:rFonts w:ascii="宋体" w:hAnsi="宋体" w:eastAsia="宋体" w:cs="宋体"/>
          <w:color w:val="auto"/>
          <w:highlight w:val="none"/>
        </w:rPr>
      </w:pPr>
      <w:r>
        <w:rPr>
          <w:rFonts w:hint="eastAsia" w:ascii="宋体" w:hAnsi="宋体" w:eastAsia="宋体" w:cs="宋体"/>
          <w:color w:val="auto"/>
          <w:highlight w:val="none"/>
        </w:rPr>
        <w:t>（采购人）、（采购代理机构）</w:t>
      </w:r>
      <w:r>
        <w:rPr>
          <w:rFonts w:hint="eastAsia" w:ascii="宋体" w:hAnsi="宋体" w:eastAsia="宋体" w:cs="宋体"/>
          <w:color w:val="auto"/>
          <w:highlight w:val="none"/>
          <w:lang w:val="zh-CN"/>
        </w:rPr>
        <w:t>：</w:t>
      </w:r>
    </w:p>
    <w:p>
      <w:pPr>
        <w:rPr>
          <w:rFonts w:ascii="宋体" w:hAnsi="宋体" w:eastAsia="宋体" w:cs="宋体"/>
          <w:color w:val="auto"/>
          <w:highlight w:val="none"/>
          <w:lang w:val="zh-CN"/>
        </w:rPr>
      </w:pPr>
      <w:r>
        <w:rPr>
          <w:rFonts w:hint="eastAsia" w:ascii="宋体" w:hAnsi="宋体" w:eastAsia="宋体" w:cs="宋体"/>
          <w:color w:val="auto"/>
          <w:highlight w:val="none"/>
          <w:lang w:val="zh-CN"/>
        </w:rPr>
        <w:t>按你方交易文件要求，我们，本响应文件签字方，谨此向你方发出要约如下：如你方接受本</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lang w:val="zh-CN"/>
        </w:rPr>
        <w:t>，我方承诺按照如下交易一览表（报价表）的价格完成</w:t>
      </w:r>
      <w:r>
        <w:rPr>
          <w:rFonts w:hint="eastAsia" w:ascii="宋体" w:hAnsi="宋体" w:eastAsia="宋体" w:cs="宋体"/>
          <w:color w:val="auto"/>
          <w:highlight w:val="none"/>
        </w:rPr>
        <w:t>（项目名称）</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lang w:val="zh-CN"/>
        </w:rPr>
        <w:t>编号：</w:t>
      </w:r>
      <w:r>
        <w:rPr>
          <w:rFonts w:hint="eastAsia" w:ascii="宋体" w:hAnsi="宋体" w:eastAsia="宋体" w:cs="宋体"/>
          <w:color w:val="auto"/>
          <w:highlight w:val="none"/>
        </w:rPr>
        <w:t>（采购编号）】的实施</w:t>
      </w:r>
      <w:r>
        <w:rPr>
          <w:rFonts w:hint="eastAsia" w:ascii="宋体" w:hAnsi="宋体" w:eastAsia="宋体" w:cs="宋体"/>
          <w:color w:val="auto"/>
          <w:highlight w:val="none"/>
          <w:lang w:val="zh-CN"/>
        </w:rPr>
        <w:t>。</w:t>
      </w:r>
    </w:p>
    <w:p>
      <w:pPr>
        <w:jc w:val="center"/>
        <w:rPr>
          <w:rFonts w:ascii="宋体" w:hAnsi="宋体" w:eastAsia="宋体" w:cs="宋体"/>
          <w:b/>
          <w:color w:val="auto"/>
          <w:highlight w:val="none"/>
          <w:lang w:val="zh-CN"/>
        </w:rPr>
      </w:pPr>
      <w:r>
        <w:rPr>
          <w:rFonts w:hint="eastAsia" w:ascii="宋体" w:hAnsi="宋体" w:eastAsia="宋体" w:cs="宋体"/>
          <w:b/>
          <w:color w:val="auto"/>
          <w:highlight w:val="none"/>
          <w:lang w:val="zh-CN"/>
        </w:rPr>
        <w:t>交易一览表（报价表）(单位均为人民币元)</w:t>
      </w:r>
    </w:p>
    <w:tbl>
      <w:tblPr>
        <w:tblStyle w:val="3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jc w:val="center"/>
              <w:rPr>
                <w:rFonts w:ascii="宋体" w:hAnsi="宋体" w:eastAsia="宋体" w:cs="宋体"/>
                <w:b/>
                <w:color w:val="auto"/>
                <w:highlight w:val="none"/>
              </w:rPr>
            </w:pPr>
            <w:r>
              <w:rPr>
                <w:rFonts w:hint="eastAsia" w:ascii="宋体" w:hAnsi="宋体" w:eastAsia="宋体" w:cs="宋体"/>
                <w:b/>
                <w:color w:val="auto"/>
                <w:highlight w:val="none"/>
              </w:rPr>
              <w:t>序号</w:t>
            </w:r>
          </w:p>
        </w:tc>
        <w:tc>
          <w:tcPr>
            <w:tcW w:w="1417" w:type="dxa"/>
            <w:vAlign w:val="center"/>
          </w:tcPr>
          <w:p>
            <w:pPr>
              <w:jc w:val="center"/>
              <w:rPr>
                <w:rFonts w:ascii="宋体" w:hAnsi="宋体" w:eastAsia="宋体" w:cs="宋体"/>
                <w:b/>
                <w:color w:val="auto"/>
                <w:highlight w:val="none"/>
              </w:rPr>
            </w:pPr>
            <w:r>
              <w:rPr>
                <w:rFonts w:hint="eastAsia" w:ascii="宋体" w:hAnsi="宋体" w:eastAsia="宋体" w:cs="宋体"/>
                <w:b/>
                <w:color w:val="auto"/>
                <w:highlight w:val="none"/>
              </w:rPr>
              <w:t>名称</w:t>
            </w:r>
          </w:p>
        </w:tc>
        <w:tc>
          <w:tcPr>
            <w:tcW w:w="1843" w:type="dxa"/>
          </w:tcPr>
          <w:p>
            <w:pPr>
              <w:jc w:val="center"/>
              <w:rPr>
                <w:rFonts w:ascii="宋体" w:hAnsi="宋体" w:eastAsia="宋体" w:cs="宋体"/>
                <w:b/>
                <w:color w:val="auto"/>
                <w:highlight w:val="none"/>
              </w:rPr>
            </w:pPr>
          </w:p>
          <w:p>
            <w:pPr>
              <w:jc w:val="center"/>
              <w:rPr>
                <w:rFonts w:ascii="宋体" w:hAnsi="宋体" w:eastAsia="宋体" w:cs="宋体"/>
                <w:b/>
                <w:color w:val="auto"/>
                <w:highlight w:val="none"/>
              </w:rPr>
            </w:pPr>
            <w:r>
              <w:rPr>
                <w:rFonts w:hint="eastAsia" w:ascii="宋体" w:hAnsi="宋体" w:eastAsia="宋体" w:cs="宋体"/>
                <w:b/>
                <w:color w:val="auto"/>
                <w:highlight w:val="none"/>
              </w:rPr>
              <w:t>品牌（如果有）</w:t>
            </w:r>
          </w:p>
        </w:tc>
        <w:tc>
          <w:tcPr>
            <w:tcW w:w="3118" w:type="dxa"/>
            <w:vAlign w:val="center"/>
          </w:tcPr>
          <w:p>
            <w:pPr>
              <w:jc w:val="center"/>
              <w:rPr>
                <w:rFonts w:ascii="宋体" w:hAnsi="宋体" w:eastAsia="宋体" w:cs="宋体"/>
                <w:b/>
                <w:color w:val="auto"/>
                <w:highlight w:val="none"/>
              </w:rPr>
            </w:pPr>
            <w:r>
              <w:rPr>
                <w:rFonts w:hint="eastAsia" w:ascii="宋体" w:hAnsi="宋体" w:eastAsia="宋体" w:cs="宋体"/>
                <w:b/>
                <w:color w:val="auto"/>
                <w:highlight w:val="none"/>
              </w:rPr>
              <w:t>规格型号（或具体服务）</w:t>
            </w:r>
          </w:p>
        </w:tc>
        <w:tc>
          <w:tcPr>
            <w:tcW w:w="993" w:type="dxa"/>
            <w:vAlign w:val="center"/>
          </w:tcPr>
          <w:p>
            <w:pPr>
              <w:jc w:val="center"/>
              <w:rPr>
                <w:rFonts w:ascii="宋体" w:hAnsi="宋体" w:eastAsia="宋体" w:cs="宋体"/>
                <w:b/>
                <w:color w:val="auto"/>
                <w:highlight w:val="none"/>
              </w:rPr>
            </w:pPr>
            <w:r>
              <w:rPr>
                <w:rFonts w:hint="eastAsia" w:ascii="宋体" w:hAnsi="宋体" w:eastAsia="宋体" w:cs="宋体"/>
                <w:b/>
                <w:color w:val="auto"/>
                <w:highlight w:val="none"/>
              </w:rPr>
              <w:t>数量</w:t>
            </w:r>
          </w:p>
        </w:tc>
        <w:tc>
          <w:tcPr>
            <w:tcW w:w="1559" w:type="dxa"/>
            <w:vAlign w:val="center"/>
          </w:tcPr>
          <w:p>
            <w:pPr>
              <w:jc w:val="center"/>
              <w:rPr>
                <w:rFonts w:ascii="宋体" w:hAnsi="宋体" w:eastAsia="宋体" w:cs="宋体"/>
                <w:b/>
                <w:color w:val="auto"/>
                <w:highlight w:val="none"/>
              </w:rPr>
            </w:pPr>
            <w:r>
              <w:rPr>
                <w:rFonts w:hint="eastAsia" w:ascii="宋体" w:hAnsi="宋体" w:eastAsia="宋体" w:cs="宋体"/>
                <w:b/>
                <w:color w:val="auto"/>
                <w:highlight w:val="none"/>
              </w:rPr>
              <w:t>单价</w:t>
            </w:r>
          </w:p>
        </w:tc>
        <w:tc>
          <w:tcPr>
            <w:tcW w:w="1984" w:type="dxa"/>
            <w:vAlign w:val="center"/>
          </w:tcPr>
          <w:p>
            <w:pPr>
              <w:jc w:val="center"/>
              <w:rPr>
                <w:rFonts w:ascii="宋体" w:hAnsi="宋体" w:eastAsia="宋体" w:cs="宋体"/>
                <w:b/>
                <w:color w:val="auto"/>
                <w:highlight w:val="none"/>
              </w:rPr>
            </w:pPr>
            <w:r>
              <w:rPr>
                <w:rFonts w:hint="eastAsia" w:ascii="宋体" w:hAnsi="宋体" w:eastAsia="宋体" w:cs="宋体"/>
                <w:b/>
                <w:color w:val="auto"/>
                <w:highlight w:val="none"/>
              </w:rPr>
              <w:t>总价</w:t>
            </w:r>
          </w:p>
        </w:tc>
        <w:tc>
          <w:tcPr>
            <w:tcW w:w="3119" w:type="dxa"/>
            <w:vAlign w:val="center"/>
          </w:tcPr>
          <w:p>
            <w:pPr>
              <w:jc w:val="center"/>
              <w:rPr>
                <w:rFonts w:ascii="宋体" w:hAnsi="宋体" w:eastAsia="宋体" w:cs="宋体"/>
                <w:b/>
                <w:color w:val="auto"/>
                <w:highlight w:val="none"/>
              </w:rPr>
            </w:pPr>
          </w:p>
          <w:p>
            <w:pPr>
              <w:jc w:val="center"/>
              <w:rPr>
                <w:rFonts w:ascii="宋体" w:hAnsi="宋体" w:eastAsia="宋体" w:cs="宋体"/>
                <w:b/>
                <w:color w:val="auto"/>
                <w:highlight w:val="none"/>
              </w:rPr>
            </w:pPr>
            <w:r>
              <w:rPr>
                <w:rFonts w:hint="eastAsia" w:ascii="宋体" w:hAnsi="宋体" w:eastAsia="宋体" w:cs="宋体"/>
                <w:b/>
                <w:color w:val="auto"/>
                <w:highlight w:val="none"/>
              </w:rPr>
              <w:t>服务时间</w:t>
            </w:r>
          </w:p>
          <w:p>
            <w:pPr>
              <w:jc w:val="center"/>
              <w:rPr>
                <w:rFonts w:ascii="宋体" w:hAnsi="宋体" w:eastAsia="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rPr>
                <w:rFonts w:ascii="宋体" w:hAnsi="宋体" w:eastAsia="宋体" w:cs="宋体"/>
                <w:color w:val="auto"/>
                <w:highlight w:val="none"/>
              </w:rPr>
            </w:pPr>
            <w:r>
              <w:rPr>
                <w:rFonts w:hint="eastAsia" w:ascii="宋体" w:hAnsi="宋体" w:eastAsia="宋体" w:cs="宋体"/>
                <w:color w:val="auto"/>
                <w:highlight w:val="none"/>
              </w:rPr>
              <w:t>1</w:t>
            </w:r>
          </w:p>
        </w:tc>
        <w:tc>
          <w:tcPr>
            <w:tcW w:w="1417" w:type="dxa"/>
            <w:vAlign w:val="center"/>
          </w:tcPr>
          <w:p>
            <w:pPr>
              <w:rPr>
                <w:rFonts w:ascii="宋体" w:hAnsi="宋体" w:eastAsia="宋体" w:cs="宋体"/>
                <w:color w:val="auto"/>
                <w:highlight w:val="none"/>
              </w:rPr>
            </w:pPr>
          </w:p>
        </w:tc>
        <w:tc>
          <w:tcPr>
            <w:tcW w:w="1843" w:type="dxa"/>
            <w:vAlign w:val="center"/>
          </w:tcPr>
          <w:p>
            <w:pPr>
              <w:rPr>
                <w:rFonts w:ascii="宋体" w:hAnsi="宋体" w:eastAsia="宋体" w:cs="宋体"/>
                <w:color w:val="auto"/>
                <w:highlight w:val="none"/>
              </w:rPr>
            </w:pPr>
          </w:p>
        </w:tc>
        <w:tc>
          <w:tcPr>
            <w:tcW w:w="3118" w:type="dxa"/>
            <w:vAlign w:val="center"/>
          </w:tcPr>
          <w:p>
            <w:pPr>
              <w:rPr>
                <w:rFonts w:ascii="宋体" w:hAnsi="宋体" w:eastAsia="宋体" w:cs="宋体"/>
                <w:color w:val="auto"/>
                <w:highlight w:val="none"/>
              </w:rPr>
            </w:pPr>
          </w:p>
        </w:tc>
        <w:tc>
          <w:tcPr>
            <w:tcW w:w="993" w:type="dxa"/>
            <w:vAlign w:val="center"/>
          </w:tcPr>
          <w:p>
            <w:pPr>
              <w:rPr>
                <w:rFonts w:ascii="宋体" w:hAnsi="宋体" w:eastAsia="宋体" w:cs="宋体"/>
                <w:color w:val="auto"/>
                <w:highlight w:val="none"/>
              </w:rPr>
            </w:pPr>
          </w:p>
        </w:tc>
        <w:tc>
          <w:tcPr>
            <w:tcW w:w="1559" w:type="dxa"/>
            <w:vAlign w:val="center"/>
          </w:tcPr>
          <w:p>
            <w:pPr>
              <w:rPr>
                <w:rFonts w:ascii="宋体" w:hAnsi="宋体" w:eastAsia="宋体" w:cs="宋体"/>
                <w:color w:val="auto"/>
                <w:highlight w:val="none"/>
              </w:rPr>
            </w:pPr>
          </w:p>
        </w:tc>
        <w:tc>
          <w:tcPr>
            <w:tcW w:w="1984" w:type="dxa"/>
            <w:vAlign w:val="center"/>
          </w:tcPr>
          <w:p>
            <w:pPr>
              <w:rPr>
                <w:rFonts w:ascii="宋体" w:hAnsi="宋体" w:eastAsia="宋体" w:cs="宋体"/>
                <w:color w:val="auto"/>
                <w:highlight w:val="none"/>
              </w:rPr>
            </w:pPr>
          </w:p>
        </w:tc>
        <w:tc>
          <w:tcPr>
            <w:tcW w:w="3119" w:type="dxa"/>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ascii="宋体" w:hAnsi="宋体" w:eastAsia="宋体" w:cs="宋体"/>
                <w:color w:val="auto"/>
                <w:highlight w:val="none"/>
              </w:rPr>
            </w:pPr>
            <w:r>
              <w:rPr>
                <w:rFonts w:hint="eastAsia" w:ascii="宋体" w:hAnsi="宋体" w:eastAsia="宋体" w:cs="宋体"/>
                <w:color w:val="auto"/>
                <w:highlight w:val="none"/>
              </w:rPr>
              <w:t>2</w:t>
            </w:r>
          </w:p>
        </w:tc>
        <w:tc>
          <w:tcPr>
            <w:tcW w:w="1417" w:type="dxa"/>
            <w:vAlign w:val="center"/>
          </w:tcPr>
          <w:p>
            <w:pPr>
              <w:rPr>
                <w:rFonts w:ascii="宋体" w:hAnsi="宋体" w:eastAsia="宋体" w:cs="宋体"/>
                <w:color w:val="auto"/>
                <w:highlight w:val="none"/>
              </w:rPr>
            </w:pPr>
          </w:p>
        </w:tc>
        <w:tc>
          <w:tcPr>
            <w:tcW w:w="1843" w:type="dxa"/>
            <w:vAlign w:val="center"/>
          </w:tcPr>
          <w:p>
            <w:pPr>
              <w:rPr>
                <w:rFonts w:ascii="宋体" w:hAnsi="宋体" w:eastAsia="宋体" w:cs="宋体"/>
                <w:color w:val="auto"/>
                <w:highlight w:val="none"/>
              </w:rPr>
            </w:pPr>
          </w:p>
        </w:tc>
        <w:tc>
          <w:tcPr>
            <w:tcW w:w="3118" w:type="dxa"/>
            <w:vAlign w:val="center"/>
          </w:tcPr>
          <w:p>
            <w:pPr>
              <w:rPr>
                <w:rFonts w:ascii="宋体" w:hAnsi="宋体" w:eastAsia="宋体" w:cs="宋体"/>
                <w:color w:val="auto"/>
                <w:highlight w:val="none"/>
              </w:rPr>
            </w:pPr>
          </w:p>
        </w:tc>
        <w:tc>
          <w:tcPr>
            <w:tcW w:w="993" w:type="dxa"/>
            <w:vAlign w:val="center"/>
          </w:tcPr>
          <w:p>
            <w:pPr>
              <w:rPr>
                <w:rFonts w:ascii="宋体" w:hAnsi="宋体" w:eastAsia="宋体" w:cs="宋体"/>
                <w:color w:val="auto"/>
                <w:highlight w:val="none"/>
              </w:rPr>
            </w:pPr>
          </w:p>
        </w:tc>
        <w:tc>
          <w:tcPr>
            <w:tcW w:w="1559" w:type="dxa"/>
            <w:vAlign w:val="center"/>
          </w:tcPr>
          <w:p>
            <w:pPr>
              <w:rPr>
                <w:rFonts w:ascii="宋体" w:hAnsi="宋体" w:eastAsia="宋体" w:cs="宋体"/>
                <w:color w:val="auto"/>
                <w:highlight w:val="none"/>
              </w:rPr>
            </w:pPr>
          </w:p>
        </w:tc>
        <w:tc>
          <w:tcPr>
            <w:tcW w:w="1984" w:type="dxa"/>
            <w:vAlign w:val="center"/>
          </w:tcPr>
          <w:p>
            <w:pPr>
              <w:rPr>
                <w:rFonts w:ascii="宋体" w:hAnsi="宋体" w:eastAsia="宋体" w:cs="宋体"/>
                <w:color w:val="auto"/>
                <w:highlight w:val="none"/>
              </w:rPr>
            </w:pPr>
          </w:p>
        </w:tc>
        <w:tc>
          <w:tcPr>
            <w:tcW w:w="3119" w:type="dxa"/>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ascii="宋体" w:hAnsi="宋体" w:eastAsia="宋体" w:cs="宋体"/>
                <w:color w:val="auto"/>
                <w:highlight w:val="none"/>
              </w:rPr>
            </w:pPr>
            <w:r>
              <w:rPr>
                <w:rFonts w:hint="eastAsia" w:ascii="宋体" w:hAnsi="宋体" w:eastAsia="宋体" w:cs="宋体"/>
                <w:color w:val="auto"/>
                <w:highlight w:val="none"/>
              </w:rPr>
              <w:t>…</w:t>
            </w:r>
          </w:p>
        </w:tc>
        <w:tc>
          <w:tcPr>
            <w:tcW w:w="1417" w:type="dxa"/>
            <w:vAlign w:val="center"/>
          </w:tcPr>
          <w:p>
            <w:pPr>
              <w:rPr>
                <w:rFonts w:ascii="宋体" w:hAnsi="宋体" w:eastAsia="宋体" w:cs="宋体"/>
                <w:color w:val="auto"/>
                <w:highlight w:val="none"/>
              </w:rPr>
            </w:pPr>
          </w:p>
        </w:tc>
        <w:tc>
          <w:tcPr>
            <w:tcW w:w="1843" w:type="dxa"/>
            <w:vAlign w:val="center"/>
          </w:tcPr>
          <w:p>
            <w:pPr>
              <w:rPr>
                <w:rFonts w:ascii="宋体" w:hAnsi="宋体" w:eastAsia="宋体" w:cs="宋体"/>
                <w:color w:val="auto"/>
                <w:highlight w:val="none"/>
              </w:rPr>
            </w:pPr>
          </w:p>
        </w:tc>
        <w:tc>
          <w:tcPr>
            <w:tcW w:w="3118" w:type="dxa"/>
            <w:vAlign w:val="center"/>
          </w:tcPr>
          <w:p>
            <w:pPr>
              <w:rPr>
                <w:rFonts w:ascii="宋体" w:hAnsi="宋体" w:eastAsia="宋体" w:cs="宋体"/>
                <w:color w:val="auto"/>
                <w:highlight w:val="none"/>
              </w:rPr>
            </w:pPr>
          </w:p>
        </w:tc>
        <w:tc>
          <w:tcPr>
            <w:tcW w:w="993" w:type="dxa"/>
            <w:vAlign w:val="center"/>
          </w:tcPr>
          <w:p>
            <w:pPr>
              <w:rPr>
                <w:rFonts w:ascii="宋体" w:hAnsi="宋体" w:eastAsia="宋体" w:cs="宋体"/>
                <w:color w:val="auto"/>
                <w:highlight w:val="none"/>
              </w:rPr>
            </w:pPr>
          </w:p>
        </w:tc>
        <w:tc>
          <w:tcPr>
            <w:tcW w:w="1559" w:type="dxa"/>
            <w:vAlign w:val="center"/>
          </w:tcPr>
          <w:p>
            <w:pPr>
              <w:rPr>
                <w:rFonts w:ascii="宋体" w:hAnsi="宋体" w:eastAsia="宋体" w:cs="宋体"/>
                <w:color w:val="auto"/>
                <w:highlight w:val="none"/>
              </w:rPr>
            </w:pPr>
          </w:p>
        </w:tc>
        <w:tc>
          <w:tcPr>
            <w:tcW w:w="1984" w:type="dxa"/>
            <w:vAlign w:val="center"/>
          </w:tcPr>
          <w:p>
            <w:pPr>
              <w:rPr>
                <w:rFonts w:ascii="宋体" w:hAnsi="宋体" w:eastAsia="宋体" w:cs="宋体"/>
                <w:color w:val="auto"/>
                <w:highlight w:val="none"/>
              </w:rPr>
            </w:pPr>
          </w:p>
        </w:tc>
        <w:tc>
          <w:tcPr>
            <w:tcW w:w="3119" w:type="dxa"/>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ascii="宋体" w:hAnsi="宋体" w:eastAsia="宋体" w:cs="宋体"/>
                <w:color w:val="auto"/>
                <w:highlight w:val="none"/>
              </w:rPr>
            </w:pPr>
          </w:p>
        </w:tc>
        <w:tc>
          <w:tcPr>
            <w:tcW w:w="1417" w:type="dxa"/>
            <w:vAlign w:val="center"/>
          </w:tcPr>
          <w:p>
            <w:pPr>
              <w:rPr>
                <w:rFonts w:ascii="宋体" w:hAnsi="宋体" w:eastAsia="宋体" w:cs="宋体"/>
                <w:color w:val="auto"/>
                <w:highlight w:val="none"/>
              </w:rPr>
            </w:pPr>
          </w:p>
        </w:tc>
        <w:tc>
          <w:tcPr>
            <w:tcW w:w="1843" w:type="dxa"/>
            <w:vAlign w:val="center"/>
          </w:tcPr>
          <w:p>
            <w:pPr>
              <w:rPr>
                <w:rFonts w:ascii="宋体" w:hAnsi="宋体" w:eastAsia="宋体" w:cs="宋体"/>
                <w:color w:val="auto"/>
                <w:highlight w:val="none"/>
              </w:rPr>
            </w:pPr>
          </w:p>
        </w:tc>
        <w:tc>
          <w:tcPr>
            <w:tcW w:w="3118" w:type="dxa"/>
            <w:vAlign w:val="center"/>
          </w:tcPr>
          <w:p>
            <w:pPr>
              <w:rPr>
                <w:rFonts w:ascii="宋体" w:hAnsi="宋体" w:eastAsia="宋体" w:cs="宋体"/>
                <w:color w:val="auto"/>
                <w:highlight w:val="none"/>
              </w:rPr>
            </w:pPr>
          </w:p>
        </w:tc>
        <w:tc>
          <w:tcPr>
            <w:tcW w:w="993" w:type="dxa"/>
            <w:vAlign w:val="center"/>
          </w:tcPr>
          <w:p>
            <w:pPr>
              <w:rPr>
                <w:rFonts w:ascii="宋体" w:hAnsi="宋体" w:eastAsia="宋体" w:cs="宋体"/>
                <w:color w:val="auto"/>
                <w:highlight w:val="none"/>
              </w:rPr>
            </w:pPr>
          </w:p>
        </w:tc>
        <w:tc>
          <w:tcPr>
            <w:tcW w:w="1559" w:type="dxa"/>
            <w:vAlign w:val="center"/>
          </w:tcPr>
          <w:p>
            <w:pPr>
              <w:rPr>
                <w:rFonts w:ascii="宋体" w:hAnsi="宋体" w:eastAsia="宋体" w:cs="宋体"/>
                <w:color w:val="auto"/>
                <w:highlight w:val="none"/>
              </w:rPr>
            </w:pPr>
          </w:p>
        </w:tc>
        <w:tc>
          <w:tcPr>
            <w:tcW w:w="1984" w:type="dxa"/>
            <w:vAlign w:val="center"/>
          </w:tcPr>
          <w:p>
            <w:pPr>
              <w:rPr>
                <w:rFonts w:ascii="宋体" w:hAnsi="宋体" w:eastAsia="宋体" w:cs="宋体"/>
                <w:color w:val="auto"/>
                <w:highlight w:val="none"/>
              </w:rPr>
            </w:pPr>
          </w:p>
        </w:tc>
        <w:tc>
          <w:tcPr>
            <w:tcW w:w="3119" w:type="dxa"/>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ascii="宋体" w:hAnsi="宋体" w:eastAsia="宋体" w:cs="宋体"/>
                <w:color w:val="auto"/>
                <w:highlight w:val="none"/>
              </w:rPr>
            </w:pPr>
          </w:p>
        </w:tc>
        <w:tc>
          <w:tcPr>
            <w:tcW w:w="1417" w:type="dxa"/>
            <w:vAlign w:val="center"/>
          </w:tcPr>
          <w:p>
            <w:pPr>
              <w:rPr>
                <w:rFonts w:ascii="宋体" w:hAnsi="宋体" w:eastAsia="宋体" w:cs="宋体"/>
                <w:color w:val="auto"/>
                <w:highlight w:val="none"/>
              </w:rPr>
            </w:pPr>
          </w:p>
        </w:tc>
        <w:tc>
          <w:tcPr>
            <w:tcW w:w="1843" w:type="dxa"/>
            <w:vAlign w:val="center"/>
          </w:tcPr>
          <w:p>
            <w:pPr>
              <w:rPr>
                <w:rFonts w:ascii="宋体" w:hAnsi="宋体" w:eastAsia="宋体" w:cs="宋体"/>
                <w:color w:val="auto"/>
                <w:highlight w:val="none"/>
              </w:rPr>
            </w:pPr>
          </w:p>
        </w:tc>
        <w:tc>
          <w:tcPr>
            <w:tcW w:w="3118" w:type="dxa"/>
            <w:vAlign w:val="center"/>
          </w:tcPr>
          <w:p>
            <w:pPr>
              <w:rPr>
                <w:rFonts w:ascii="宋体" w:hAnsi="宋体" w:eastAsia="宋体" w:cs="宋体"/>
                <w:color w:val="auto"/>
                <w:highlight w:val="none"/>
              </w:rPr>
            </w:pPr>
          </w:p>
        </w:tc>
        <w:tc>
          <w:tcPr>
            <w:tcW w:w="993" w:type="dxa"/>
            <w:vAlign w:val="center"/>
          </w:tcPr>
          <w:p>
            <w:pPr>
              <w:rPr>
                <w:rFonts w:ascii="宋体" w:hAnsi="宋体" w:eastAsia="宋体" w:cs="宋体"/>
                <w:color w:val="auto"/>
                <w:highlight w:val="none"/>
              </w:rPr>
            </w:pPr>
          </w:p>
        </w:tc>
        <w:tc>
          <w:tcPr>
            <w:tcW w:w="1559" w:type="dxa"/>
            <w:vAlign w:val="center"/>
          </w:tcPr>
          <w:p>
            <w:pPr>
              <w:rPr>
                <w:rFonts w:ascii="宋体" w:hAnsi="宋体" w:eastAsia="宋体" w:cs="宋体"/>
                <w:color w:val="auto"/>
                <w:highlight w:val="none"/>
              </w:rPr>
            </w:pPr>
          </w:p>
        </w:tc>
        <w:tc>
          <w:tcPr>
            <w:tcW w:w="1984" w:type="dxa"/>
            <w:vAlign w:val="center"/>
          </w:tcPr>
          <w:p>
            <w:pPr>
              <w:rPr>
                <w:rFonts w:ascii="宋体" w:hAnsi="宋体" w:eastAsia="宋体" w:cs="宋体"/>
                <w:color w:val="auto"/>
                <w:highlight w:val="none"/>
              </w:rPr>
            </w:pPr>
          </w:p>
        </w:tc>
        <w:tc>
          <w:tcPr>
            <w:tcW w:w="3119" w:type="dxa"/>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rFonts w:ascii="宋体" w:hAnsi="宋体" w:eastAsia="宋体" w:cs="宋体"/>
                <w:b/>
                <w:color w:val="auto"/>
                <w:highlight w:val="none"/>
              </w:rPr>
            </w:pPr>
            <w:r>
              <w:rPr>
                <w:rFonts w:hint="eastAsia" w:ascii="宋体" w:hAnsi="宋体" w:eastAsia="宋体" w:cs="宋体"/>
                <w:b/>
                <w:color w:val="auto"/>
                <w:highlight w:val="none"/>
              </w:rPr>
              <w:t>响应报价（小写）</w:t>
            </w:r>
          </w:p>
        </w:tc>
        <w:tc>
          <w:tcPr>
            <w:tcW w:w="7655" w:type="dxa"/>
            <w:gridSpan w:val="4"/>
            <w:vAlign w:val="center"/>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rFonts w:ascii="宋体" w:hAnsi="宋体" w:eastAsia="宋体" w:cs="宋体"/>
                <w:b/>
                <w:color w:val="auto"/>
                <w:highlight w:val="none"/>
              </w:rPr>
            </w:pPr>
            <w:r>
              <w:rPr>
                <w:rFonts w:hint="eastAsia" w:ascii="宋体" w:hAnsi="宋体" w:eastAsia="宋体" w:cs="宋体"/>
                <w:b/>
                <w:color w:val="auto"/>
                <w:highlight w:val="none"/>
              </w:rPr>
              <w:t>响应报价（大写）</w:t>
            </w:r>
          </w:p>
        </w:tc>
        <w:tc>
          <w:tcPr>
            <w:tcW w:w="7655" w:type="dxa"/>
            <w:gridSpan w:val="4"/>
            <w:vAlign w:val="center"/>
          </w:tcPr>
          <w:p>
            <w:pPr>
              <w:rPr>
                <w:rFonts w:ascii="宋体" w:hAnsi="宋体" w:eastAsia="宋体" w:cs="宋体"/>
                <w:color w:val="auto"/>
                <w:highlight w:val="none"/>
              </w:rPr>
            </w:pPr>
          </w:p>
        </w:tc>
      </w:tr>
    </w:tbl>
    <w:p>
      <w:pPr>
        <w:rPr>
          <w:rFonts w:ascii="宋体" w:hAnsi="宋体" w:eastAsia="宋体" w:cs="宋体"/>
          <w:b/>
          <w:color w:val="auto"/>
          <w:highlight w:val="none"/>
          <w:lang w:val="zh-CN"/>
        </w:rPr>
      </w:pPr>
      <w:r>
        <w:rPr>
          <w:rFonts w:hint="eastAsia" w:ascii="宋体" w:hAnsi="宋体" w:eastAsia="宋体" w:cs="宋体"/>
          <w:b/>
          <w:color w:val="auto"/>
          <w:highlight w:val="none"/>
          <w:lang w:val="zh-CN"/>
        </w:rPr>
        <w:t>注：</w:t>
      </w:r>
    </w:p>
    <w:p>
      <w:pPr>
        <w:rPr>
          <w:rFonts w:ascii="宋体" w:hAnsi="宋体" w:eastAsia="宋体" w:cs="宋体"/>
          <w:color w:val="auto"/>
          <w:highlight w:val="none"/>
          <w:lang w:val="zh-CN"/>
        </w:rPr>
      </w:pPr>
      <w:r>
        <w:rPr>
          <w:rFonts w:hint="eastAsia" w:ascii="宋体" w:hAnsi="宋体" w:eastAsia="宋体" w:cs="宋体"/>
          <w:color w:val="auto"/>
          <w:highlight w:val="none"/>
          <w:lang w:val="zh-CN"/>
        </w:rPr>
        <w:t>1、供应商需按本表格式填写，不得自行更改。</w:t>
      </w:r>
      <w:r>
        <w:rPr>
          <w:rFonts w:hint="eastAsia" w:ascii="宋体" w:hAnsi="宋体" w:eastAsia="宋体" w:cs="宋体"/>
          <w:color w:val="auto"/>
          <w:highlight w:val="none"/>
          <w:lang w:val="zh-CN"/>
        </w:rPr>
        <w:tab/>
      </w:r>
    </w:p>
    <w:p>
      <w:pPr>
        <w:rPr>
          <w:rFonts w:ascii="宋体" w:hAnsi="宋体" w:eastAsia="宋体" w:cs="宋体"/>
          <w:color w:val="auto"/>
          <w:highlight w:val="none"/>
        </w:rPr>
      </w:pPr>
      <w:r>
        <w:rPr>
          <w:rFonts w:hint="eastAsia" w:ascii="宋体" w:hAnsi="宋体" w:eastAsia="宋体" w:cs="宋体"/>
          <w:color w:val="auto"/>
          <w:highlight w:val="none"/>
          <w:lang w:val="zh-CN"/>
        </w:rPr>
        <w:t>2、有关本项目实施所涉及的一切费用均计入报价。</w:t>
      </w:r>
      <w:r>
        <w:rPr>
          <w:rFonts w:hint="eastAsia" w:ascii="宋体" w:hAnsi="宋体" w:eastAsia="宋体" w:cs="宋体"/>
          <w:b/>
          <w:color w:val="auto"/>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highlight w:val="none"/>
          <w:lang w:val="zh-CN"/>
        </w:rPr>
        <w:t>，</w:t>
      </w:r>
      <w:r>
        <w:rPr>
          <w:rFonts w:hint="eastAsia" w:ascii="宋体" w:hAnsi="宋体" w:eastAsia="宋体" w:cs="宋体"/>
          <w:b/>
          <w:color w:val="auto"/>
          <w:highlight w:val="none"/>
          <w:lang w:val="zh-CN"/>
        </w:rPr>
        <w:t>不得出现“0元”“免费赠送”等形式的无偿报价，</w:t>
      </w:r>
      <w:r>
        <w:rPr>
          <w:rFonts w:hint="eastAsia" w:ascii="宋体" w:hAnsi="宋体" w:eastAsia="宋体" w:cs="宋体"/>
          <w:b/>
          <w:color w:val="auto"/>
          <w:highlight w:val="none"/>
        </w:rPr>
        <w:t>否则视为</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含有采购人不能接受的附加条件的，</w:t>
      </w:r>
      <w:r>
        <w:rPr>
          <w:rFonts w:hint="eastAsia" w:ascii="宋体" w:hAnsi="宋体" w:eastAsia="宋体" w:cs="宋体"/>
          <w:b/>
          <w:color w:val="auto"/>
          <w:highlight w:val="none"/>
          <w:lang w:val="en-US" w:eastAsia="zh-CN"/>
        </w:rPr>
        <w:t>交易</w:t>
      </w:r>
      <w:r>
        <w:rPr>
          <w:rFonts w:hint="eastAsia" w:ascii="宋体" w:hAnsi="宋体" w:eastAsia="宋体" w:cs="宋体"/>
          <w:b/>
          <w:color w:val="auto"/>
          <w:highlight w:val="none"/>
        </w:rPr>
        <w:t>无效</w:t>
      </w:r>
      <w:r>
        <w:rPr>
          <w:rFonts w:hint="eastAsia" w:ascii="宋体" w:hAnsi="宋体" w:eastAsia="宋体" w:cs="宋体"/>
          <w:b/>
          <w:color w:val="auto"/>
          <w:highlight w:val="none"/>
          <w:lang w:val="zh-CN"/>
        </w:rPr>
        <w:t>；采购内容未包含在《交易一览表（报价表）》名称栏中，供应商不能作出合理解释的，</w:t>
      </w:r>
      <w:r>
        <w:rPr>
          <w:rFonts w:hint="eastAsia" w:ascii="宋体" w:hAnsi="宋体" w:eastAsia="宋体" w:cs="宋体"/>
          <w:b/>
          <w:color w:val="auto"/>
          <w:highlight w:val="none"/>
        </w:rPr>
        <w:t>视为</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含有采购人不能接受的附加条件的，</w:t>
      </w:r>
      <w:r>
        <w:rPr>
          <w:rFonts w:hint="eastAsia" w:ascii="宋体" w:hAnsi="宋体" w:eastAsia="宋体" w:cs="宋体"/>
          <w:b/>
          <w:color w:val="auto"/>
          <w:highlight w:val="none"/>
          <w:lang w:val="en-US" w:eastAsia="zh-CN"/>
        </w:rPr>
        <w:t>交易</w:t>
      </w:r>
      <w:r>
        <w:rPr>
          <w:rFonts w:hint="eastAsia" w:ascii="宋体" w:hAnsi="宋体" w:eastAsia="宋体" w:cs="宋体"/>
          <w:b/>
          <w:color w:val="auto"/>
          <w:highlight w:val="none"/>
        </w:rPr>
        <w:t>无效。</w:t>
      </w:r>
    </w:p>
    <w:p>
      <w:pPr>
        <w:rPr>
          <w:rFonts w:ascii="宋体" w:hAnsi="宋体" w:eastAsia="宋体" w:cs="宋体"/>
          <w:color w:val="auto"/>
          <w:highlight w:val="none"/>
          <w:lang w:val="zh-CN"/>
        </w:rPr>
      </w:pPr>
      <w:r>
        <w:rPr>
          <w:rFonts w:hint="eastAsia" w:ascii="宋体" w:hAnsi="宋体" w:eastAsia="宋体" w:cs="宋体"/>
          <w:color w:val="auto"/>
          <w:highlight w:val="none"/>
          <w:lang w:val="zh-CN"/>
        </w:rPr>
        <w:t>3、以上表格要求细分项目及报价，在“规格型号（或具体服务）”一栏中，货物类项目填写规格型号，服务类项目填写具体服务。</w:t>
      </w:r>
    </w:p>
    <w:p>
      <w:pPr>
        <w:rPr>
          <w:rFonts w:ascii="宋体" w:hAnsi="宋体" w:eastAsia="宋体" w:cs="宋体"/>
          <w:b/>
          <w:color w:val="auto"/>
          <w:highlight w:val="none"/>
        </w:rPr>
      </w:pPr>
      <w:r>
        <w:rPr>
          <w:rFonts w:hint="eastAsia" w:ascii="宋体" w:hAnsi="宋体" w:eastAsia="宋体" w:cs="宋体"/>
          <w:color w:val="auto"/>
          <w:highlight w:val="none"/>
          <w:lang w:val="zh-CN"/>
        </w:rPr>
        <w:t>4、特别提示：采购机构将对项目名称和项目编号，</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lang w:val="zh-CN"/>
        </w:rPr>
        <w:t>供应商名称、地址和</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lang w:val="zh-CN"/>
        </w:rPr>
        <w:t>金额等予以公示。</w:t>
      </w:r>
    </w:p>
    <w:p>
      <w:pPr>
        <w:rPr>
          <w:rFonts w:hint="eastAsia" w:ascii="宋体" w:hAnsi="宋体" w:eastAsia="宋体" w:cs="宋体"/>
          <w:color w:val="auto"/>
          <w:highlight w:val="none"/>
          <w:lang w:val="zh-CN"/>
        </w:rPr>
        <w:sectPr>
          <w:pgSz w:w="16838" w:h="11906" w:orient="landscape"/>
          <w:pgMar w:top="1800" w:right="1440" w:bottom="1700" w:left="1440" w:header="851" w:footer="992" w:gutter="0"/>
          <w:cols w:space="425" w:num="1"/>
          <w:docGrid w:type="lines" w:linePitch="326" w:charSpace="0"/>
        </w:sect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符合交易文件中列明的可享受中小企业扶持政策的供应商，请填写中小企业声明函。注：供应商提供的中小企业声明函内容不实的，属于提供虚假材料谋取成交，参照《中华人民共和国政府采购法》等国家有关规定追究相应责任</w:t>
      </w:r>
    </w:p>
    <w:p>
      <w:pPr>
        <w:pStyle w:val="6"/>
        <w:rPr>
          <w:rFonts w:ascii="宋体" w:hAnsi="宋体" w:eastAsia="宋体" w:cs="宋体"/>
          <w:color w:val="auto"/>
          <w:highlight w:val="none"/>
        </w:rPr>
      </w:pPr>
      <w:r>
        <w:rPr>
          <w:rFonts w:hint="eastAsia" w:ascii="宋体" w:hAnsi="宋体" w:eastAsia="宋体" w:cs="宋体"/>
          <w:color w:val="auto"/>
          <w:kern w:val="2"/>
          <w:highlight w:val="none"/>
        </w:rPr>
        <w:t>二、</w:t>
      </w:r>
      <w:r>
        <w:rPr>
          <w:rFonts w:hint="eastAsia" w:ascii="宋体" w:hAnsi="宋体" w:eastAsia="宋体" w:cs="宋体"/>
          <w:color w:val="auto"/>
          <w:highlight w:val="none"/>
        </w:rPr>
        <w:t>中小企业声明函</w:t>
      </w:r>
    </w:p>
    <w:p>
      <w:pPr>
        <w:spacing w:line="360" w:lineRule="auto"/>
        <w:ind w:firstLine="120" w:firstLineChars="50"/>
        <w:rPr>
          <w:rFonts w:ascii="宋体" w:hAnsi="宋体" w:eastAsia="宋体" w:cs="宋体"/>
          <w:b/>
          <w:color w:val="auto"/>
          <w:highlight w:val="none"/>
        </w:rPr>
      </w:pPr>
      <w:r>
        <w:rPr>
          <w:rFonts w:hint="eastAsia" w:ascii="宋体" w:hAnsi="宋体" w:eastAsia="宋体" w:cs="宋体"/>
          <w:b/>
          <w:color w:val="auto"/>
          <w:highlight w:val="none"/>
        </w:rPr>
        <w:t>[交易公告落实采购政策需满足的资格要求为“无”即本项目或标项未预留份额专门面向中小企业时，符合《政府采购促进中小企业发展管理办法》规定的小微企业拟享受价格扣除政策的，需提供中小企业声明函（附件5）。]</w:t>
      </w:r>
    </w:p>
    <w:p>
      <w:pPr>
        <w:spacing w:line="276" w:lineRule="auto"/>
        <w:rPr>
          <w:rFonts w:ascii="宋体" w:hAnsi="宋体" w:eastAsia="宋体" w:cs="宋体"/>
          <w:b/>
          <w:color w:val="auto"/>
          <w:highlight w:val="none"/>
        </w:rPr>
      </w:pPr>
      <w:r>
        <w:rPr>
          <w:rFonts w:hint="eastAsia" w:ascii="宋体" w:hAnsi="宋体" w:eastAsia="宋体" w:cs="宋体"/>
          <w:b/>
          <w:color w:val="auto"/>
          <w:highlight w:val="none"/>
        </w:rPr>
        <w:br w:type="page"/>
      </w:r>
    </w:p>
    <w:p>
      <w:pPr>
        <w:pStyle w:val="5"/>
        <w:jc w:val="left"/>
        <w:rPr>
          <w:rFonts w:ascii="宋体" w:hAnsi="宋体" w:eastAsia="宋体" w:cs="宋体"/>
          <w:color w:val="auto"/>
          <w:highlight w:val="none"/>
        </w:rPr>
      </w:pPr>
      <w:bookmarkStart w:id="367" w:name="_Toc465665161"/>
      <w:r>
        <w:rPr>
          <w:rFonts w:hint="eastAsia" w:ascii="宋体" w:hAnsi="宋体" w:eastAsia="宋体" w:cs="宋体"/>
          <w:color w:val="auto"/>
          <w:highlight w:val="none"/>
        </w:rPr>
        <w:t>附件</w:t>
      </w:r>
      <w:bookmarkEnd w:id="367"/>
    </w:p>
    <w:p>
      <w:pPr>
        <w:pStyle w:val="6"/>
        <w:jc w:val="left"/>
        <w:rPr>
          <w:rFonts w:ascii="宋体" w:hAnsi="宋体" w:eastAsia="宋体" w:cs="宋体"/>
          <w:color w:val="auto"/>
          <w:highlight w:val="none"/>
        </w:rPr>
      </w:pPr>
      <w:r>
        <w:rPr>
          <w:rFonts w:hint="eastAsia" w:ascii="宋体" w:hAnsi="宋体" w:eastAsia="宋体" w:cs="宋体"/>
          <w:color w:val="auto"/>
          <w:highlight w:val="none"/>
        </w:rPr>
        <w:t>附件1：残疾人福利性单位声明函</w:t>
      </w:r>
    </w:p>
    <w:p>
      <w:pPr>
        <w:spacing w:line="360" w:lineRule="auto"/>
        <w:jc w:val="center"/>
        <w:rPr>
          <w:rFonts w:ascii="宋体" w:hAnsi="宋体" w:eastAsia="宋体" w:cs="宋体"/>
          <w:b/>
          <w:color w:val="auto"/>
          <w:spacing w:val="6"/>
          <w:sz w:val="32"/>
          <w:szCs w:val="32"/>
          <w:highlight w:val="none"/>
        </w:rPr>
      </w:pPr>
      <w:bookmarkStart w:id="368" w:name="OLE_LINK13"/>
      <w:bookmarkStart w:id="369" w:name="OLE_LINK14"/>
      <w:r>
        <w:rPr>
          <w:rFonts w:hint="eastAsia" w:ascii="宋体" w:hAnsi="宋体" w:eastAsia="宋体" w:cs="宋体"/>
          <w:b/>
          <w:color w:val="auto"/>
          <w:spacing w:val="6"/>
          <w:sz w:val="32"/>
          <w:szCs w:val="32"/>
          <w:highlight w:val="none"/>
        </w:rPr>
        <w:t>残疾人福利性单位声明函</w:t>
      </w:r>
    </w:p>
    <w:bookmarkEnd w:id="368"/>
    <w:bookmarkEnd w:id="369"/>
    <w:p>
      <w:pPr>
        <w:spacing w:line="360" w:lineRule="auto"/>
        <w:rPr>
          <w:rFonts w:ascii="宋体" w:hAnsi="宋体" w:eastAsia="宋体" w:cs="宋体"/>
          <w:b/>
          <w:color w:val="auto"/>
          <w:spacing w:val="6"/>
          <w:sz w:val="30"/>
          <w:szCs w:val="30"/>
          <w:highlight w:val="none"/>
        </w:rPr>
      </w:pPr>
    </w:p>
    <w:p>
      <w:pPr>
        <w:pStyle w:val="77"/>
        <w:rPr>
          <w:rFonts w:ascii="宋体" w:hAnsi="宋体" w:eastAsia="宋体" w:cs="宋体"/>
          <w:color w:val="auto"/>
          <w:highlight w:val="none"/>
        </w:rPr>
      </w:pPr>
      <w:r>
        <w:rPr>
          <w:rFonts w:hint="eastAsia" w:ascii="宋体" w:hAnsi="宋体" w:eastAsia="宋体" w:cs="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77"/>
        <w:rPr>
          <w:rFonts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pPr>
        <w:pStyle w:val="77"/>
        <w:rPr>
          <w:rFonts w:ascii="宋体" w:hAnsi="宋体" w:eastAsia="宋体" w:cs="宋体"/>
          <w:color w:val="auto"/>
          <w:highlight w:val="none"/>
        </w:rPr>
      </w:pPr>
    </w:p>
    <w:p>
      <w:pPr>
        <w:pStyle w:val="77"/>
        <w:rPr>
          <w:rFonts w:ascii="宋体" w:hAnsi="宋体" w:eastAsia="宋体" w:cs="宋体"/>
          <w:color w:val="auto"/>
          <w:highlight w:val="none"/>
        </w:rPr>
      </w:pPr>
    </w:p>
    <w:p>
      <w:pPr>
        <w:pStyle w:val="77"/>
        <w:jc w:val="right"/>
        <w:rPr>
          <w:rFonts w:ascii="宋体" w:hAnsi="宋体" w:eastAsia="宋体" w:cs="宋体"/>
          <w:color w:val="auto"/>
          <w:highlight w:val="none"/>
        </w:rPr>
      </w:pPr>
      <w:r>
        <w:rPr>
          <w:rFonts w:hint="eastAsia" w:ascii="宋体" w:hAnsi="宋体" w:eastAsia="宋体" w:cs="宋体"/>
          <w:color w:val="auto"/>
          <w:highlight w:val="none"/>
        </w:rPr>
        <w:t>供应商名称（电子签名）：</w:t>
      </w:r>
    </w:p>
    <w:p>
      <w:pPr>
        <w:pStyle w:val="77"/>
        <w:jc w:val="right"/>
        <w:rPr>
          <w:rFonts w:ascii="宋体" w:hAnsi="宋体" w:eastAsia="宋体" w:cs="宋体"/>
          <w:color w:val="auto"/>
          <w:highlight w:val="none"/>
        </w:rPr>
      </w:pPr>
      <w:r>
        <w:rPr>
          <w:rFonts w:hint="eastAsia" w:ascii="宋体" w:hAnsi="宋体" w:eastAsia="宋体" w:cs="宋体"/>
          <w:color w:val="auto"/>
          <w:highlight w:val="none"/>
        </w:rPr>
        <w:t>日  期：</w:t>
      </w:r>
    </w:p>
    <w:p>
      <w:pPr>
        <w:spacing w:line="276" w:lineRule="auto"/>
        <w:rPr>
          <w:rFonts w:ascii="宋体" w:hAnsi="宋体" w:eastAsia="宋体" w:cs="宋体"/>
          <w:color w:val="auto"/>
          <w:highlight w:val="none"/>
        </w:rPr>
      </w:pPr>
      <w:r>
        <w:rPr>
          <w:rFonts w:hint="eastAsia" w:ascii="宋体" w:hAnsi="宋体" w:eastAsia="宋体" w:cs="宋体"/>
          <w:color w:val="auto"/>
          <w:highlight w:val="none"/>
        </w:rPr>
        <w:br w:type="page"/>
      </w:r>
    </w:p>
    <w:p>
      <w:pPr>
        <w:pStyle w:val="6"/>
        <w:jc w:val="left"/>
        <w:rPr>
          <w:rFonts w:ascii="宋体" w:hAnsi="宋体" w:eastAsia="宋体" w:cs="宋体"/>
          <w:color w:val="auto"/>
          <w:highlight w:val="none"/>
        </w:rPr>
      </w:pPr>
      <w:r>
        <w:rPr>
          <w:rFonts w:hint="eastAsia" w:ascii="宋体" w:hAnsi="宋体" w:eastAsia="宋体" w:cs="宋体"/>
          <w:color w:val="auto"/>
          <w:highlight w:val="none"/>
        </w:rPr>
        <w:t>附件2：质疑函范本及制作说明</w:t>
      </w:r>
    </w:p>
    <w:p>
      <w:pPr>
        <w:spacing w:line="360" w:lineRule="auto"/>
        <w:jc w:val="center"/>
        <w:rPr>
          <w:rFonts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pStyle w:val="77"/>
        <w:rPr>
          <w:rFonts w:ascii="宋体" w:hAnsi="宋体" w:eastAsia="宋体" w:cs="宋体"/>
          <w:color w:val="auto"/>
          <w:highlight w:val="none"/>
        </w:rPr>
      </w:pPr>
      <w:r>
        <w:rPr>
          <w:rFonts w:hint="eastAsia" w:ascii="宋体" w:hAnsi="宋体" w:eastAsia="宋体" w:cs="宋体"/>
          <w:color w:val="auto"/>
          <w:highlight w:val="none"/>
        </w:rPr>
        <w:t>一、质疑供应商基本信息</w:t>
      </w:r>
    </w:p>
    <w:p>
      <w:pPr>
        <w:pStyle w:val="77"/>
        <w:rPr>
          <w:rFonts w:ascii="宋体" w:hAnsi="宋体" w:eastAsia="宋体" w:cs="宋体"/>
          <w:color w:val="auto"/>
          <w:highlight w:val="none"/>
          <w:u w:val="dotted"/>
        </w:rPr>
      </w:pPr>
      <w:r>
        <w:rPr>
          <w:rFonts w:hint="eastAsia" w:ascii="宋体" w:hAnsi="宋体" w:eastAsia="宋体" w:cs="宋体"/>
          <w:color w:val="auto"/>
          <w:highlight w:val="none"/>
        </w:rPr>
        <w:t>质疑供应商：</w:t>
      </w:r>
      <w:r>
        <w:rPr>
          <w:rFonts w:hint="eastAsia" w:ascii="宋体" w:hAnsi="宋体" w:eastAsia="宋体" w:cs="宋体"/>
          <w:color w:val="auto"/>
          <w:highlight w:val="none"/>
          <w:u w:val="dotted"/>
        </w:rPr>
        <w:t xml:space="preserve">                                        </w:t>
      </w:r>
    </w:p>
    <w:p>
      <w:pPr>
        <w:pStyle w:val="77"/>
        <w:rPr>
          <w:rFonts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p>
    <w:p>
      <w:pPr>
        <w:pStyle w:val="77"/>
        <w:rPr>
          <w:rFonts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p>
    <w:p>
      <w:pPr>
        <w:pStyle w:val="77"/>
        <w:rPr>
          <w:rFonts w:ascii="宋体" w:hAnsi="宋体" w:eastAsia="宋体" w:cs="宋体"/>
          <w:color w:val="auto"/>
          <w:highlight w:val="none"/>
          <w:u w:val="dotted"/>
        </w:rPr>
      </w:pPr>
      <w:r>
        <w:rPr>
          <w:rFonts w:hint="eastAsia" w:ascii="宋体" w:hAnsi="宋体" w:eastAsia="宋体" w:cs="宋体"/>
          <w:color w:val="auto"/>
          <w:highlight w:val="none"/>
        </w:rPr>
        <w:t>授权代表：</w:t>
      </w:r>
      <w:r>
        <w:rPr>
          <w:rFonts w:hint="eastAsia" w:ascii="宋体" w:hAnsi="宋体" w:eastAsia="宋体" w:cs="宋体"/>
          <w:color w:val="auto"/>
          <w:highlight w:val="none"/>
          <w:u w:val="dotted"/>
        </w:rPr>
        <w:t xml:space="preserve">                                          </w:t>
      </w:r>
    </w:p>
    <w:p>
      <w:pPr>
        <w:pStyle w:val="77"/>
        <w:rPr>
          <w:rFonts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pPr>
        <w:pStyle w:val="77"/>
        <w:rPr>
          <w:rFonts w:ascii="宋体" w:hAnsi="宋体" w:eastAsia="宋体" w:cs="宋体"/>
          <w:color w:val="auto"/>
          <w:highlight w:val="none"/>
        </w:rPr>
      </w:pPr>
      <w:r>
        <w:rPr>
          <w:rFonts w:hint="eastAsia" w:ascii="宋体" w:hAnsi="宋体" w:eastAsia="宋体" w:cs="宋体"/>
          <w:color w:val="auto"/>
          <w:highlight w:val="none"/>
        </w:rPr>
        <w:t xml:space="preserve">地址： </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p>
    <w:p>
      <w:pPr>
        <w:pStyle w:val="77"/>
        <w:rPr>
          <w:rFonts w:ascii="宋体" w:hAnsi="宋体" w:eastAsia="宋体" w:cs="宋体"/>
          <w:color w:val="auto"/>
          <w:highlight w:val="none"/>
        </w:rPr>
      </w:pPr>
      <w:r>
        <w:rPr>
          <w:rFonts w:hint="eastAsia" w:ascii="宋体" w:hAnsi="宋体" w:eastAsia="宋体" w:cs="宋体"/>
          <w:color w:val="auto"/>
          <w:highlight w:val="none"/>
        </w:rPr>
        <w:t>二、质疑项目基本情况</w:t>
      </w:r>
    </w:p>
    <w:p>
      <w:pPr>
        <w:pStyle w:val="77"/>
        <w:rPr>
          <w:rFonts w:ascii="宋体" w:hAnsi="宋体" w:eastAsia="宋体" w:cs="宋体"/>
          <w:color w:val="auto"/>
          <w:highlight w:val="none"/>
        </w:rPr>
      </w:pPr>
      <w:r>
        <w:rPr>
          <w:rFonts w:hint="eastAsia" w:ascii="宋体" w:hAnsi="宋体" w:eastAsia="宋体" w:cs="宋体"/>
          <w:color w:val="auto"/>
          <w:highlight w:val="none"/>
        </w:rPr>
        <w:t>质疑项目的名称：</w:t>
      </w:r>
      <w:r>
        <w:rPr>
          <w:rFonts w:hint="eastAsia" w:ascii="宋体" w:hAnsi="宋体" w:eastAsia="宋体" w:cs="宋体"/>
          <w:color w:val="auto"/>
          <w:highlight w:val="none"/>
          <w:u w:val="dotted"/>
        </w:rPr>
        <w:t xml:space="preserve">                                      </w:t>
      </w:r>
    </w:p>
    <w:p>
      <w:pPr>
        <w:pStyle w:val="77"/>
        <w:rPr>
          <w:rFonts w:ascii="宋体" w:hAnsi="宋体" w:eastAsia="宋体" w:cs="宋体"/>
          <w:color w:val="auto"/>
          <w:highlight w:val="none"/>
        </w:rPr>
      </w:pPr>
      <w:r>
        <w:rPr>
          <w:rFonts w:hint="eastAsia" w:ascii="宋体" w:hAnsi="宋体" w:eastAsia="宋体" w:cs="宋体"/>
          <w:color w:val="auto"/>
          <w:highlight w:val="none"/>
        </w:rPr>
        <w:t>质疑项目的编号：</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包号：</w:t>
      </w:r>
      <w:r>
        <w:rPr>
          <w:rFonts w:hint="eastAsia" w:ascii="宋体" w:hAnsi="宋体" w:eastAsia="宋体" w:cs="宋体"/>
          <w:color w:val="auto"/>
          <w:highlight w:val="none"/>
          <w:u w:val="dotted"/>
        </w:rPr>
        <w:t xml:space="preserve">                 </w:t>
      </w:r>
    </w:p>
    <w:p>
      <w:pPr>
        <w:pStyle w:val="77"/>
        <w:rPr>
          <w:rFonts w:ascii="宋体" w:hAnsi="宋体" w:eastAsia="宋体" w:cs="宋体"/>
          <w:color w:val="auto"/>
          <w:highlight w:val="none"/>
          <w:u w:val="dotted"/>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dotted"/>
        </w:rPr>
        <w:t xml:space="preserve">                                         </w:t>
      </w:r>
    </w:p>
    <w:p>
      <w:pPr>
        <w:pStyle w:val="77"/>
        <w:rPr>
          <w:rFonts w:ascii="宋体" w:hAnsi="宋体" w:eastAsia="宋体" w:cs="宋体"/>
          <w:color w:val="auto"/>
          <w:highlight w:val="none"/>
        </w:rPr>
      </w:pPr>
      <w:r>
        <w:rPr>
          <w:rFonts w:hint="eastAsia" w:ascii="宋体" w:hAnsi="宋体" w:eastAsia="宋体" w:cs="宋体"/>
          <w:color w:val="auto"/>
          <w:highlight w:val="none"/>
        </w:rPr>
        <w:t>采购文件获取日期：</w:t>
      </w:r>
      <w:r>
        <w:rPr>
          <w:rFonts w:hint="eastAsia" w:ascii="宋体" w:hAnsi="宋体" w:eastAsia="宋体" w:cs="宋体"/>
          <w:color w:val="auto"/>
          <w:highlight w:val="none"/>
          <w:u w:val="dotted"/>
        </w:rPr>
        <w:t xml:space="preserve">                                           </w:t>
      </w:r>
    </w:p>
    <w:p>
      <w:pPr>
        <w:pStyle w:val="77"/>
        <w:rPr>
          <w:rFonts w:ascii="宋体" w:hAnsi="宋体" w:eastAsia="宋体" w:cs="宋体"/>
          <w:color w:val="auto"/>
          <w:highlight w:val="none"/>
        </w:rPr>
      </w:pPr>
      <w:r>
        <w:rPr>
          <w:rFonts w:hint="eastAsia" w:ascii="宋体" w:hAnsi="宋体" w:eastAsia="宋体" w:cs="宋体"/>
          <w:color w:val="auto"/>
          <w:highlight w:val="none"/>
        </w:rPr>
        <w:t>三、质疑事项具体内容</w:t>
      </w:r>
    </w:p>
    <w:p>
      <w:pPr>
        <w:pStyle w:val="77"/>
        <w:rPr>
          <w:rFonts w:ascii="宋体" w:hAnsi="宋体" w:eastAsia="宋体" w:cs="宋体"/>
          <w:color w:val="auto"/>
          <w:highlight w:val="none"/>
          <w:u w:val="dotted"/>
        </w:rPr>
      </w:pPr>
      <w:r>
        <w:rPr>
          <w:rFonts w:hint="eastAsia" w:ascii="宋体" w:hAnsi="宋体" w:eastAsia="宋体" w:cs="宋体"/>
          <w:color w:val="auto"/>
          <w:highlight w:val="none"/>
        </w:rPr>
        <w:t>质疑事项1：</w:t>
      </w:r>
      <w:r>
        <w:rPr>
          <w:rFonts w:hint="eastAsia" w:ascii="宋体" w:hAnsi="宋体" w:eastAsia="宋体" w:cs="宋体"/>
          <w:color w:val="auto"/>
          <w:highlight w:val="none"/>
          <w:u w:val="dotted"/>
        </w:rPr>
        <w:t xml:space="preserve">                                         </w:t>
      </w:r>
    </w:p>
    <w:p>
      <w:pPr>
        <w:pStyle w:val="77"/>
        <w:rPr>
          <w:rFonts w:ascii="宋体" w:hAnsi="宋体" w:eastAsia="宋体" w:cs="宋体"/>
          <w:color w:val="auto"/>
          <w:highlight w:val="none"/>
          <w:u w:val="dotted"/>
        </w:rPr>
      </w:pPr>
      <w:r>
        <w:rPr>
          <w:rFonts w:hint="eastAsia" w:ascii="宋体" w:hAnsi="宋体" w:eastAsia="宋体" w:cs="宋体"/>
          <w:color w:val="auto"/>
          <w:highlight w:val="none"/>
        </w:rPr>
        <w:t>事实依据：</w:t>
      </w:r>
      <w:r>
        <w:rPr>
          <w:rFonts w:hint="eastAsia" w:ascii="宋体" w:hAnsi="宋体" w:eastAsia="宋体" w:cs="宋体"/>
          <w:color w:val="auto"/>
          <w:highlight w:val="none"/>
          <w:u w:val="dotted"/>
        </w:rPr>
        <w:t xml:space="preserve">                                          </w:t>
      </w:r>
    </w:p>
    <w:p>
      <w:pPr>
        <w:pStyle w:val="77"/>
        <w:rPr>
          <w:rFonts w:ascii="宋体" w:hAnsi="宋体" w:eastAsia="宋体" w:cs="宋体"/>
          <w:color w:val="auto"/>
          <w:highlight w:val="none"/>
        </w:rPr>
      </w:pPr>
      <w:r>
        <w:rPr>
          <w:rFonts w:hint="eastAsia" w:ascii="宋体" w:hAnsi="宋体" w:eastAsia="宋体" w:cs="宋体"/>
          <w:color w:val="auto"/>
          <w:highlight w:val="none"/>
          <w:u w:val="dotted"/>
        </w:rPr>
        <w:t xml:space="preserve">                                                       </w:t>
      </w:r>
    </w:p>
    <w:p>
      <w:pPr>
        <w:pStyle w:val="77"/>
        <w:rPr>
          <w:rFonts w:ascii="宋体" w:hAnsi="宋体" w:eastAsia="宋体" w:cs="宋体"/>
          <w:color w:val="auto"/>
          <w:highlight w:val="none"/>
          <w:u w:val="dotted"/>
        </w:rPr>
      </w:pPr>
      <w:r>
        <w:rPr>
          <w:rFonts w:hint="eastAsia" w:ascii="宋体" w:hAnsi="宋体" w:eastAsia="宋体" w:cs="宋体"/>
          <w:color w:val="auto"/>
          <w:highlight w:val="none"/>
        </w:rPr>
        <w:t>法律依据：</w:t>
      </w:r>
      <w:r>
        <w:rPr>
          <w:rFonts w:hint="eastAsia" w:ascii="宋体" w:hAnsi="宋体" w:eastAsia="宋体" w:cs="宋体"/>
          <w:color w:val="auto"/>
          <w:highlight w:val="none"/>
          <w:u w:val="dotted"/>
        </w:rPr>
        <w:t xml:space="preserve">                                          </w:t>
      </w:r>
    </w:p>
    <w:p>
      <w:pPr>
        <w:pStyle w:val="77"/>
        <w:rPr>
          <w:rFonts w:ascii="宋体" w:hAnsi="宋体" w:eastAsia="宋体" w:cs="宋体"/>
          <w:color w:val="auto"/>
          <w:highlight w:val="none"/>
          <w:u w:val="dotted"/>
        </w:rPr>
      </w:pPr>
      <w:r>
        <w:rPr>
          <w:rFonts w:hint="eastAsia" w:ascii="宋体" w:hAnsi="宋体" w:eastAsia="宋体" w:cs="宋体"/>
          <w:color w:val="auto"/>
          <w:highlight w:val="none"/>
          <w:u w:val="dotted"/>
        </w:rPr>
        <w:t xml:space="preserve">                                                     </w:t>
      </w:r>
    </w:p>
    <w:p>
      <w:pPr>
        <w:pStyle w:val="77"/>
        <w:rPr>
          <w:rFonts w:ascii="宋体" w:hAnsi="宋体" w:eastAsia="宋体" w:cs="宋体"/>
          <w:color w:val="auto"/>
          <w:highlight w:val="none"/>
          <w:u w:val="dotted"/>
        </w:rPr>
      </w:pPr>
      <w:r>
        <w:rPr>
          <w:rFonts w:hint="eastAsia" w:ascii="宋体" w:hAnsi="宋体" w:eastAsia="宋体" w:cs="宋体"/>
          <w:color w:val="auto"/>
          <w:highlight w:val="none"/>
        </w:rPr>
        <w:t>质疑事项2</w:t>
      </w:r>
    </w:p>
    <w:p>
      <w:pPr>
        <w:pStyle w:val="77"/>
        <w:rPr>
          <w:rFonts w:ascii="宋体" w:hAnsi="宋体" w:eastAsia="宋体" w:cs="宋体"/>
          <w:color w:val="auto"/>
          <w:highlight w:val="none"/>
        </w:rPr>
      </w:pPr>
      <w:r>
        <w:rPr>
          <w:rFonts w:hint="eastAsia" w:ascii="宋体" w:hAnsi="宋体" w:eastAsia="宋体" w:cs="宋体"/>
          <w:color w:val="auto"/>
          <w:highlight w:val="none"/>
        </w:rPr>
        <w:t>……</w:t>
      </w:r>
    </w:p>
    <w:p>
      <w:pPr>
        <w:pStyle w:val="77"/>
        <w:rPr>
          <w:rFonts w:ascii="宋体" w:hAnsi="宋体" w:eastAsia="宋体" w:cs="宋体"/>
          <w:color w:val="auto"/>
          <w:highlight w:val="none"/>
        </w:rPr>
      </w:pPr>
      <w:r>
        <w:rPr>
          <w:rFonts w:hint="eastAsia" w:ascii="宋体" w:hAnsi="宋体" w:eastAsia="宋体" w:cs="宋体"/>
          <w:color w:val="auto"/>
          <w:highlight w:val="none"/>
        </w:rPr>
        <w:t>四、与质疑事项相关的质疑请求</w:t>
      </w:r>
    </w:p>
    <w:p>
      <w:pPr>
        <w:pStyle w:val="77"/>
        <w:rPr>
          <w:rFonts w:ascii="宋体" w:hAnsi="宋体" w:eastAsia="宋体" w:cs="宋体"/>
          <w:color w:val="auto"/>
          <w:highlight w:val="none"/>
          <w:u w:val="dotted"/>
        </w:rPr>
      </w:pPr>
      <w:r>
        <w:rPr>
          <w:rFonts w:hint="eastAsia" w:ascii="宋体" w:hAnsi="宋体" w:eastAsia="宋体" w:cs="宋体"/>
          <w:color w:val="auto"/>
          <w:highlight w:val="none"/>
        </w:rPr>
        <w:t>请求：</w:t>
      </w:r>
      <w:r>
        <w:rPr>
          <w:rFonts w:hint="eastAsia" w:ascii="宋体" w:hAnsi="宋体" w:eastAsia="宋体" w:cs="宋体"/>
          <w:color w:val="auto"/>
          <w:highlight w:val="none"/>
          <w:u w:val="dotted"/>
        </w:rPr>
        <w:t xml:space="preserve">                                               </w:t>
      </w:r>
    </w:p>
    <w:p>
      <w:pPr>
        <w:pStyle w:val="77"/>
        <w:rPr>
          <w:rFonts w:ascii="宋体" w:hAnsi="宋体" w:eastAsia="宋体" w:cs="宋体"/>
          <w:color w:val="auto"/>
          <w:highlight w:val="none"/>
        </w:rPr>
      </w:pPr>
      <w:r>
        <w:rPr>
          <w:rFonts w:hint="eastAsia" w:ascii="宋体" w:hAnsi="宋体" w:eastAsia="宋体" w:cs="宋体"/>
          <w:color w:val="auto"/>
          <w:highlight w:val="none"/>
        </w:rPr>
        <w:t xml:space="preserve">签字(签章)：                   公章：                      </w:t>
      </w:r>
    </w:p>
    <w:p>
      <w:pPr>
        <w:pStyle w:val="77"/>
        <w:rPr>
          <w:rFonts w:ascii="宋体" w:hAnsi="宋体" w:eastAsia="宋体" w:cs="宋体"/>
          <w:color w:val="auto"/>
          <w:highlight w:val="none"/>
        </w:rPr>
      </w:pPr>
      <w:r>
        <w:rPr>
          <w:rFonts w:hint="eastAsia" w:ascii="宋体" w:hAnsi="宋体" w:eastAsia="宋体" w:cs="宋体"/>
          <w:color w:val="auto"/>
          <w:highlight w:val="none"/>
        </w:rPr>
        <w:t xml:space="preserve">日期：    </w:t>
      </w:r>
    </w:p>
    <w:p>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质疑函制作说明：</w:t>
      </w:r>
    </w:p>
    <w:p>
      <w:pPr>
        <w:pStyle w:val="77"/>
        <w:rPr>
          <w:rFonts w:ascii="宋体" w:hAnsi="宋体" w:eastAsia="宋体" w:cs="宋体"/>
          <w:color w:val="auto"/>
          <w:highlight w:val="none"/>
        </w:rPr>
      </w:pPr>
      <w:r>
        <w:rPr>
          <w:rFonts w:hint="eastAsia" w:ascii="宋体" w:hAnsi="宋体" w:eastAsia="宋体" w:cs="宋体"/>
          <w:color w:val="auto"/>
          <w:highlight w:val="none"/>
        </w:rPr>
        <w:t>1.供应商提出质疑时，应提交质疑函和必要的证明材料。</w:t>
      </w:r>
    </w:p>
    <w:p>
      <w:pPr>
        <w:pStyle w:val="77"/>
        <w:rPr>
          <w:rFonts w:ascii="宋体" w:hAnsi="宋体" w:eastAsia="宋体" w:cs="宋体"/>
          <w:color w:val="auto"/>
          <w:highlight w:val="none"/>
        </w:rPr>
      </w:pPr>
      <w:r>
        <w:rPr>
          <w:rFonts w:hint="eastAsia" w:ascii="宋体" w:hAnsi="宋体" w:eastAsia="宋体" w:cs="宋体"/>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77"/>
        <w:rPr>
          <w:rFonts w:ascii="宋体" w:hAnsi="宋体" w:eastAsia="宋体" w:cs="宋体"/>
          <w:color w:val="auto"/>
          <w:highlight w:val="none"/>
        </w:rPr>
      </w:pPr>
      <w:r>
        <w:rPr>
          <w:rFonts w:hint="eastAsia" w:ascii="宋体" w:hAnsi="宋体" w:eastAsia="宋体" w:cs="宋体"/>
          <w:color w:val="auto"/>
          <w:highlight w:val="none"/>
        </w:rPr>
        <w:t>3.质疑供应商若对项目的某一分包进行质疑，质疑函中应列明具体分包号。</w:t>
      </w:r>
    </w:p>
    <w:p>
      <w:pPr>
        <w:pStyle w:val="77"/>
        <w:rPr>
          <w:rFonts w:ascii="宋体" w:hAnsi="宋体" w:eastAsia="宋体" w:cs="宋体"/>
          <w:color w:val="auto"/>
          <w:highlight w:val="none"/>
        </w:rPr>
      </w:pPr>
      <w:r>
        <w:rPr>
          <w:rFonts w:hint="eastAsia" w:ascii="宋体" w:hAnsi="宋体" w:eastAsia="宋体" w:cs="宋体"/>
          <w:color w:val="auto"/>
          <w:highlight w:val="none"/>
        </w:rPr>
        <w:t>4.质疑函的质疑事项应具体、明确，并有必要的事实依据和法律依据。</w:t>
      </w:r>
    </w:p>
    <w:p>
      <w:pPr>
        <w:pStyle w:val="77"/>
        <w:rPr>
          <w:rFonts w:ascii="宋体" w:hAnsi="宋体" w:eastAsia="宋体" w:cs="宋体"/>
          <w:color w:val="auto"/>
          <w:highlight w:val="none"/>
        </w:rPr>
      </w:pPr>
      <w:r>
        <w:rPr>
          <w:rFonts w:hint="eastAsia" w:ascii="宋体" w:hAnsi="宋体" w:eastAsia="宋体" w:cs="宋体"/>
          <w:color w:val="auto"/>
          <w:highlight w:val="none"/>
        </w:rPr>
        <w:t>5.质疑函的质疑请求应与质疑事项相关。</w:t>
      </w:r>
    </w:p>
    <w:p>
      <w:pPr>
        <w:pStyle w:val="77"/>
        <w:rPr>
          <w:rFonts w:ascii="宋体" w:hAnsi="宋体" w:eastAsia="宋体" w:cs="宋体"/>
          <w:color w:val="auto"/>
          <w:highlight w:val="none"/>
        </w:rPr>
      </w:pPr>
      <w:r>
        <w:rPr>
          <w:rFonts w:hint="eastAsia" w:ascii="宋体" w:hAnsi="宋体" w:eastAsia="宋体" w:cs="宋体"/>
          <w:color w:val="auto"/>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ind w:firstLine="600" w:firstLineChars="200"/>
        <w:rPr>
          <w:rFonts w:ascii="宋体" w:hAnsi="宋体" w:eastAsia="宋体" w:cs="宋体"/>
          <w:color w:val="auto"/>
          <w:sz w:val="30"/>
          <w:szCs w:val="30"/>
          <w:highlight w:val="none"/>
        </w:rPr>
      </w:pPr>
    </w:p>
    <w:p>
      <w:pPr>
        <w:spacing w:line="360" w:lineRule="auto"/>
        <w:jc w:val="center"/>
        <w:rPr>
          <w:rFonts w:ascii="宋体" w:hAnsi="宋体" w:eastAsia="宋体" w:cs="宋体"/>
          <w:b/>
          <w:color w:val="auto"/>
          <w:spacing w:val="6"/>
          <w:sz w:val="32"/>
          <w:szCs w:val="32"/>
          <w:highlight w:val="none"/>
        </w:rPr>
      </w:pPr>
    </w:p>
    <w:p>
      <w:pPr>
        <w:spacing w:line="360" w:lineRule="auto"/>
        <w:jc w:val="center"/>
        <w:rPr>
          <w:rFonts w:ascii="宋体" w:hAnsi="宋体" w:eastAsia="宋体" w:cs="宋体"/>
          <w:b/>
          <w:color w:val="auto"/>
          <w:spacing w:val="6"/>
          <w:sz w:val="32"/>
          <w:szCs w:val="32"/>
          <w:highlight w:val="none"/>
        </w:rPr>
      </w:pPr>
    </w:p>
    <w:p>
      <w:pPr>
        <w:spacing w:after="0"/>
        <w:rPr>
          <w:rFonts w:ascii="宋体" w:hAnsi="宋体" w:eastAsia="宋体" w:cs="宋体"/>
          <w:b/>
          <w:smallCaps/>
          <w:color w:val="auto"/>
          <w:sz w:val="28"/>
          <w:szCs w:val="28"/>
          <w:highlight w:val="none"/>
        </w:rPr>
      </w:pPr>
      <w:r>
        <w:rPr>
          <w:rFonts w:ascii="宋体" w:hAnsi="宋体" w:eastAsia="宋体" w:cs="宋体"/>
          <w:color w:val="auto"/>
          <w:highlight w:val="none"/>
        </w:rPr>
        <w:br w:type="page"/>
      </w:r>
    </w:p>
    <w:p>
      <w:pPr>
        <w:pStyle w:val="6"/>
        <w:jc w:val="left"/>
        <w:rPr>
          <w:rFonts w:ascii="宋体" w:hAnsi="宋体" w:eastAsia="宋体" w:cs="宋体"/>
          <w:color w:val="auto"/>
          <w:highlight w:val="none"/>
        </w:rPr>
      </w:pPr>
      <w:r>
        <w:rPr>
          <w:rFonts w:hint="eastAsia" w:ascii="宋体" w:hAnsi="宋体" w:eastAsia="宋体" w:cs="宋体"/>
          <w:color w:val="auto"/>
          <w:highlight w:val="none"/>
        </w:rPr>
        <w:t>附件3：投诉书范本及制作说明</w:t>
      </w:r>
    </w:p>
    <w:p>
      <w:pPr>
        <w:spacing w:line="360" w:lineRule="auto"/>
        <w:jc w:val="center"/>
        <w:rPr>
          <w:rFonts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rPr>
          <w:rFonts w:ascii="宋体" w:hAnsi="宋体" w:eastAsia="宋体" w:cs="宋体"/>
          <w:color w:val="auto"/>
          <w:highlight w:val="none"/>
        </w:rPr>
      </w:pPr>
      <w:r>
        <w:rPr>
          <w:rFonts w:hint="eastAsia" w:ascii="宋体" w:hAnsi="宋体" w:eastAsia="宋体" w:cs="宋体"/>
          <w:color w:val="auto"/>
          <w:highlight w:val="none"/>
        </w:rPr>
        <w:t>一、投诉相关主体基本情况</w:t>
      </w:r>
    </w:p>
    <w:p>
      <w:pPr>
        <w:rPr>
          <w:rFonts w:ascii="宋体" w:hAnsi="宋体" w:eastAsia="宋体" w:cs="宋体"/>
          <w:color w:val="auto"/>
          <w:highlight w:val="none"/>
          <w:u w:val="dotted"/>
        </w:rPr>
      </w:pPr>
      <w:r>
        <w:rPr>
          <w:rFonts w:hint="eastAsia" w:ascii="宋体" w:hAnsi="宋体" w:eastAsia="宋体" w:cs="宋体"/>
          <w:color w:val="auto"/>
          <w:highlight w:val="none"/>
        </w:rPr>
        <w:t>投诉人：</w:t>
      </w:r>
      <w:r>
        <w:rPr>
          <w:rFonts w:hint="eastAsia" w:ascii="宋体" w:hAnsi="宋体" w:eastAsia="宋体" w:cs="宋体"/>
          <w:color w:val="auto"/>
          <w:highlight w:val="none"/>
          <w:u w:val="dotted"/>
        </w:rPr>
        <w:t xml:space="preserve">                                               </w:t>
      </w:r>
    </w:p>
    <w:p>
      <w:pPr>
        <w:rPr>
          <w:rFonts w:ascii="宋体" w:hAnsi="宋体" w:eastAsia="宋体" w:cs="宋体"/>
          <w:color w:val="auto"/>
          <w:highlight w:val="none"/>
          <w:u w:val="single"/>
        </w:rPr>
      </w:pPr>
      <w:r>
        <w:rPr>
          <w:rFonts w:hint="eastAsia" w:ascii="宋体" w:hAnsi="宋体" w:eastAsia="宋体" w:cs="宋体"/>
          <w:color w:val="auto"/>
          <w:highlight w:val="none"/>
        </w:rPr>
        <w:t>地     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pPr>
        <w:tabs>
          <w:tab w:val="left" w:pos="6510"/>
        </w:tabs>
        <w:rPr>
          <w:rFonts w:ascii="宋体" w:hAnsi="宋体" w:eastAsia="宋体" w:cs="宋体"/>
          <w:color w:val="auto"/>
          <w:highlight w:val="none"/>
        </w:rPr>
      </w:pPr>
      <w:r>
        <w:rPr>
          <w:rFonts w:hint="eastAsia" w:ascii="宋体" w:hAnsi="宋体" w:eastAsia="宋体" w:cs="宋体"/>
          <w:color w:val="auto"/>
          <w:highlight w:val="none"/>
        </w:rPr>
        <w:t>法定代表人/主要负责人：</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pPr>
        <w:tabs>
          <w:tab w:val="left" w:pos="6510"/>
        </w:tabs>
        <w:rPr>
          <w:rFonts w:ascii="宋体" w:hAnsi="宋体" w:eastAsia="宋体" w:cs="宋体"/>
          <w:color w:val="auto"/>
          <w:highlight w:val="none"/>
          <w:u w:val="dotted"/>
        </w:rPr>
      </w:pP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p>
    <w:p>
      <w:pPr>
        <w:rPr>
          <w:rFonts w:ascii="宋体" w:hAnsi="宋体" w:eastAsia="宋体" w:cs="宋体"/>
          <w:color w:val="auto"/>
          <w:highlight w:val="none"/>
          <w:u w:val="dotted"/>
        </w:rPr>
      </w:pPr>
      <w:r>
        <w:rPr>
          <w:rFonts w:hint="eastAsia" w:ascii="宋体" w:hAnsi="宋体" w:eastAsia="宋体" w:cs="宋体"/>
          <w:color w:val="auto"/>
          <w:highlight w:val="none"/>
        </w:rPr>
        <w:t>授权代表：</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p>
    <w:p>
      <w:pPr>
        <w:rPr>
          <w:rFonts w:ascii="宋体" w:hAnsi="宋体" w:eastAsia="宋体" w:cs="宋体"/>
          <w:color w:val="auto"/>
          <w:highlight w:val="none"/>
          <w:u w:val="dotted"/>
        </w:rPr>
      </w:pPr>
      <w:r>
        <w:rPr>
          <w:rFonts w:hint="eastAsia" w:ascii="宋体" w:hAnsi="宋体" w:eastAsia="宋体" w:cs="宋体"/>
          <w:color w:val="auto"/>
          <w:highlight w:val="none"/>
        </w:rPr>
        <w:t>地     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dotted"/>
        </w:rPr>
        <w:t xml:space="preserve">                   </w:t>
      </w:r>
    </w:p>
    <w:p>
      <w:pPr>
        <w:rPr>
          <w:rFonts w:ascii="宋体" w:hAnsi="宋体" w:eastAsia="宋体" w:cs="宋体"/>
          <w:color w:val="auto"/>
          <w:highlight w:val="none"/>
          <w:u w:val="single"/>
        </w:rPr>
      </w:pPr>
      <w:r>
        <w:rPr>
          <w:rFonts w:hint="eastAsia" w:ascii="宋体" w:hAnsi="宋体" w:eastAsia="宋体" w:cs="宋体"/>
          <w:color w:val="auto"/>
          <w:highlight w:val="none"/>
        </w:rPr>
        <w:t>被投诉人1：</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pPr>
        <w:rPr>
          <w:rFonts w:ascii="宋体" w:hAnsi="宋体" w:eastAsia="宋体" w:cs="宋体"/>
          <w:color w:val="auto"/>
          <w:highlight w:val="none"/>
          <w:u w:val="single"/>
        </w:rPr>
      </w:pPr>
      <w:r>
        <w:rPr>
          <w:rFonts w:hint="eastAsia" w:ascii="宋体" w:hAnsi="宋体" w:eastAsia="宋体" w:cs="宋体"/>
          <w:color w:val="auto"/>
          <w:highlight w:val="none"/>
        </w:rPr>
        <w:t>地     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pPr>
        <w:rPr>
          <w:rFonts w:ascii="宋体" w:hAnsi="宋体" w:eastAsia="宋体" w:cs="宋体"/>
          <w:color w:val="auto"/>
          <w:highlight w:val="none"/>
          <w:u w:val="single"/>
        </w:rPr>
      </w:pPr>
      <w:r>
        <w:rPr>
          <w:rFonts w:hint="eastAsia" w:ascii="宋体" w:hAnsi="宋体" w:eastAsia="宋体" w:cs="宋体"/>
          <w:color w:val="auto"/>
          <w:highlight w:val="none"/>
        </w:rPr>
        <w:t>联系人：</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pPr>
        <w:rPr>
          <w:rFonts w:ascii="宋体" w:hAnsi="宋体" w:eastAsia="宋体" w:cs="宋体"/>
          <w:color w:val="auto"/>
          <w:highlight w:val="none"/>
        </w:rPr>
      </w:pPr>
      <w:r>
        <w:rPr>
          <w:rFonts w:hint="eastAsia" w:ascii="宋体" w:hAnsi="宋体" w:eastAsia="宋体" w:cs="宋体"/>
          <w:color w:val="auto"/>
          <w:highlight w:val="none"/>
        </w:rPr>
        <w:t>被投诉人2</w:t>
      </w:r>
    </w:p>
    <w:p>
      <w:pPr>
        <w:rPr>
          <w:rFonts w:ascii="宋体" w:hAnsi="宋体" w:eastAsia="宋体" w:cs="宋体"/>
          <w:color w:val="auto"/>
          <w:highlight w:val="none"/>
          <w:u w:val="dotted"/>
        </w:rPr>
      </w:pPr>
      <w:r>
        <w:rPr>
          <w:rFonts w:hint="eastAsia" w:ascii="宋体" w:hAnsi="宋体" w:eastAsia="宋体" w:cs="宋体"/>
          <w:color w:val="auto"/>
          <w:highlight w:val="none"/>
        </w:rPr>
        <w:t>……</w:t>
      </w:r>
    </w:p>
    <w:p>
      <w:pPr>
        <w:rPr>
          <w:rFonts w:ascii="宋体" w:hAnsi="宋体" w:eastAsia="宋体" w:cs="宋体"/>
          <w:color w:val="auto"/>
          <w:highlight w:val="none"/>
          <w:u w:val="single"/>
        </w:rPr>
      </w:pPr>
      <w:r>
        <w:rPr>
          <w:rFonts w:hint="eastAsia" w:ascii="宋体" w:hAnsi="宋体" w:eastAsia="宋体" w:cs="宋体"/>
          <w:color w:val="auto"/>
          <w:highlight w:val="none"/>
        </w:rPr>
        <w:t>相关供应商：</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pPr>
        <w:rPr>
          <w:rFonts w:ascii="宋体" w:hAnsi="宋体" w:eastAsia="宋体" w:cs="宋体"/>
          <w:color w:val="auto"/>
          <w:highlight w:val="none"/>
          <w:u w:val="single"/>
        </w:rPr>
      </w:pPr>
      <w:r>
        <w:rPr>
          <w:rFonts w:hint="eastAsia" w:ascii="宋体" w:hAnsi="宋体" w:eastAsia="宋体" w:cs="宋体"/>
          <w:color w:val="auto"/>
          <w:highlight w:val="none"/>
        </w:rPr>
        <w:t>地     址：</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邮编：</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pPr>
        <w:rPr>
          <w:rFonts w:ascii="宋体" w:hAnsi="宋体" w:eastAsia="宋体" w:cs="宋体"/>
          <w:color w:val="auto"/>
          <w:highlight w:val="none"/>
          <w:u w:val="single"/>
        </w:rPr>
      </w:pPr>
      <w:r>
        <w:rPr>
          <w:rFonts w:hint="eastAsia" w:ascii="宋体" w:hAnsi="宋体" w:eastAsia="宋体" w:cs="宋体"/>
          <w:color w:val="auto"/>
          <w:highlight w:val="none"/>
        </w:rPr>
        <w:t>联系人：</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pPr>
        <w:rPr>
          <w:rFonts w:ascii="宋体" w:hAnsi="宋体" w:eastAsia="宋体" w:cs="宋体"/>
          <w:color w:val="auto"/>
          <w:highlight w:val="none"/>
        </w:rPr>
      </w:pPr>
      <w:r>
        <w:rPr>
          <w:rFonts w:hint="eastAsia" w:ascii="宋体" w:hAnsi="宋体" w:eastAsia="宋体" w:cs="宋体"/>
          <w:color w:val="auto"/>
          <w:highlight w:val="none"/>
        </w:rPr>
        <w:t>二、投诉项目基本情况</w:t>
      </w:r>
    </w:p>
    <w:p>
      <w:pPr>
        <w:rPr>
          <w:rFonts w:ascii="宋体" w:hAnsi="宋体" w:eastAsia="宋体" w:cs="宋体"/>
          <w:color w:val="auto"/>
          <w:highlight w:val="none"/>
          <w:u w:val="dotted"/>
        </w:rPr>
      </w:pPr>
      <w:r>
        <w:rPr>
          <w:rFonts w:hint="eastAsia" w:ascii="宋体" w:hAnsi="宋体" w:eastAsia="宋体" w:cs="宋体"/>
          <w:color w:val="auto"/>
          <w:highlight w:val="none"/>
        </w:rPr>
        <w:t>采购项目名称：</w:t>
      </w:r>
      <w:r>
        <w:rPr>
          <w:rFonts w:hint="eastAsia" w:ascii="宋体" w:hAnsi="宋体" w:eastAsia="宋体" w:cs="宋体"/>
          <w:color w:val="auto"/>
          <w:highlight w:val="none"/>
          <w:u w:val="dotted"/>
        </w:rPr>
        <w:t xml:space="preserve">                                        </w:t>
      </w:r>
    </w:p>
    <w:p>
      <w:pPr>
        <w:rPr>
          <w:rFonts w:ascii="宋体" w:hAnsi="宋体" w:eastAsia="宋体" w:cs="宋体"/>
          <w:color w:val="auto"/>
          <w:highlight w:val="none"/>
          <w:u w:val="single"/>
        </w:rPr>
      </w:pPr>
      <w:r>
        <w:rPr>
          <w:rFonts w:hint="eastAsia" w:ascii="宋体" w:hAnsi="宋体" w:eastAsia="宋体" w:cs="宋体"/>
          <w:color w:val="auto"/>
          <w:highlight w:val="none"/>
        </w:rPr>
        <w:t>采购项目编号：</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包号：</w:t>
      </w:r>
      <w:r>
        <w:rPr>
          <w:rFonts w:hint="eastAsia" w:ascii="宋体" w:hAnsi="宋体" w:eastAsia="宋体" w:cs="宋体"/>
          <w:color w:val="auto"/>
          <w:highlight w:val="none"/>
          <w:u w:val="dotted"/>
        </w:rPr>
        <w:t xml:space="preserve">              </w:t>
      </w:r>
    </w:p>
    <w:p>
      <w:pPr>
        <w:rPr>
          <w:rFonts w:ascii="宋体" w:hAnsi="宋体" w:eastAsia="宋体" w:cs="宋体"/>
          <w:color w:val="auto"/>
          <w:highlight w:val="none"/>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u w:val="single"/>
        </w:rPr>
        <w:t xml:space="preserve">  </w:t>
      </w:r>
    </w:p>
    <w:p>
      <w:pPr>
        <w:rPr>
          <w:rFonts w:ascii="宋体" w:hAnsi="宋体" w:eastAsia="宋体" w:cs="宋体"/>
          <w:color w:val="auto"/>
          <w:highlight w:val="none"/>
          <w:u w:val="single"/>
        </w:rPr>
      </w:pPr>
      <w:r>
        <w:rPr>
          <w:rFonts w:hint="eastAsia" w:ascii="宋体" w:hAnsi="宋体" w:eastAsia="宋体" w:cs="宋体"/>
          <w:color w:val="auto"/>
          <w:highlight w:val="none"/>
        </w:rPr>
        <w:t>代理机构名称：</w:t>
      </w:r>
      <w:r>
        <w:rPr>
          <w:rFonts w:hint="eastAsia" w:ascii="宋体" w:hAnsi="宋体" w:eastAsia="宋体" w:cs="宋体"/>
          <w:color w:val="auto"/>
          <w:highlight w:val="none"/>
          <w:u w:val="dotted"/>
        </w:rPr>
        <w:t xml:space="preserve">                                         </w:t>
      </w:r>
    </w:p>
    <w:p>
      <w:pPr>
        <w:rPr>
          <w:rFonts w:ascii="宋体" w:hAnsi="宋体" w:eastAsia="宋体" w:cs="宋体"/>
          <w:color w:val="auto"/>
          <w:highlight w:val="none"/>
          <w:u w:val="dotted"/>
        </w:rPr>
      </w:pPr>
      <w:r>
        <w:rPr>
          <w:rFonts w:hint="eastAsia" w:ascii="宋体" w:hAnsi="宋体" w:eastAsia="宋体" w:cs="宋体"/>
          <w:color w:val="auto"/>
          <w:highlight w:val="none"/>
        </w:rPr>
        <w:t>采购文件公告:</w:t>
      </w:r>
      <w:r>
        <w:rPr>
          <w:rFonts w:hint="eastAsia" w:ascii="宋体" w:hAnsi="宋体" w:eastAsia="宋体" w:cs="宋体"/>
          <w:color w:val="auto"/>
          <w:highlight w:val="none"/>
          <w:u w:val="dotted"/>
        </w:rPr>
        <w:t xml:space="preserve">是/否 </w:t>
      </w:r>
      <w:r>
        <w:rPr>
          <w:rFonts w:hint="eastAsia" w:ascii="宋体" w:hAnsi="宋体" w:eastAsia="宋体" w:cs="宋体"/>
          <w:color w:val="auto"/>
          <w:highlight w:val="none"/>
        </w:rPr>
        <w:t>公告期限：</w:t>
      </w:r>
      <w:r>
        <w:rPr>
          <w:rFonts w:hint="eastAsia" w:ascii="宋体" w:hAnsi="宋体" w:eastAsia="宋体" w:cs="宋体"/>
          <w:color w:val="auto"/>
          <w:highlight w:val="none"/>
          <w:u w:val="dotted"/>
        </w:rPr>
        <w:t xml:space="preserve">                                 </w:t>
      </w:r>
    </w:p>
    <w:p>
      <w:pPr>
        <w:rPr>
          <w:rFonts w:ascii="宋体" w:hAnsi="宋体" w:eastAsia="宋体" w:cs="宋体"/>
          <w:color w:val="auto"/>
          <w:highlight w:val="none"/>
          <w:u w:val="single"/>
        </w:rPr>
      </w:pPr>
      <w:r>
        <w:rPr>
          <w:rFonts w:hint="eastAsia" w:ascii="宋体" w:hAnsi="宋体" w:eastAsia="宋体" w:cs="宋体"/>
          <w:color w:val="auto"/>
          <w:highlight w:val="none"/>
        </w:rPr>
        <w:t>采购结果公告:</w:t>
      </w:r>
      <w:r>
        <w:rPr>
          <w:rFonts w:hint="eastAsia" w:ascii="宋体" w:hAnsi="宋体" w:eastAsia="宋体" w:cs="宋体"/>
          <w:color w:val="auto"/>
          <w:highlight w:val="none"/>
          <w:u w:val="dotted"/>
        </w:rPr>
        <w:t xml:space="preserve">是/否 </w:t>
      </w:r>
      <w:r>
        <w:rPr>
          <w:rFonts w:hint="eastAsia" w:ascii="宋体" w:hAnsi="宋体" w:eastAsia="宋体" w:cs="宋体"/>
          <w:color w:val="auto"/>
          <w:highlight w:val="none"/>
        </w:rPr>
        <w:t>公告期限：</w:t>
      </w:r>
      <w:r>
        <w:rPr>
          <w:rFonts w:hint="eastAsia" w:ascii="宋体" w:hAnsi="宋体" w:eastAsia="宋体" w:cs="宋体"/>
          <w:color w:val="auto"/>
          <w:highlight w:val="none"/>
          <w:u w:val="dotted"/>
        </w:rPr>
        <w:t xml:space="preserve">                        </w:t>
      </w:r>
    </w:p>
    <w:p>
      <w:pPr>
        <w:rPr>
          <w:rFonts w:ascii="宋体" w:hAnsi="宋体" w:eastAsia="宋体" w:cs="宋体"/>
          <w:color w:val="auto"/>
          <w:highlight w:val="none"/>
        </w:rPr>
      </w:pPr>
      <w:r>
        <w:rPr>
          <w:rFonts w:hint="eastAsia" w:ascii="宋体" w:hAnsi="宋体" w:eastAsia="宋体" w:cs="宋体"/>
          <w:color w:val="auto"/>
          <w:highlight w:val="none"/>
        </w:rPr>
        <w:t>三、质疑基本情况</w:t>
      </w:r>
    </w:p>
    <w:p>
      <w:pPr>
        <w:ind w:firstLine="480" w:firstLineChars="200"/>
        <w:rPr>
          <w:rFonts w:ascii="宋体" w:hAnsi="宋体" w:eastAsia="宋体" w:cs="宋体"/>
          <w:color w:val="auto"/>
          <w:highlight w:val="none"/>
          <w:u w:val="dotted"/>
        </w:rPr>
      </w:pPr>
      <w:r>
        <w:rPr>
          <w:rFonts w:hint="eastAsia" w:ascii="宋体" w:hAnsi="宋体" w:eastAsia="宋体" w:cs="宋体"/>
          <w:color w:val="auto"/>
          <w:highlight w:val="none"/>
        </w:rPr>
        <w:t>投诉人于</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日,向</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提出质疑，质疑事项为：</w:t>
      </w:r>
      <w:r>
        <w:rPr>
          <w:rFonts w:hint="eastAsia" w:ascii="宋体" w:hAnsi="宋体" w:eastAsia="宋体" w:cs="宋体"/>
          <w:color w:val="auto"/>
          <w:highlight w:val="none"/>
          <w:u w:val="dotted"/>
        </w:rPr>
        <w:t xml:space="preserve">                                </w:t>
      </w:r>
    </w:p>
    <w:p>
      <w:pPr>
        <w:rPr>
          <w:rFonts w:ascii="宋体" w:hAnsi="宋体" w:eastAsia="宋体" w:cs="宋体"/>
          <w:color w:val="auto"/>
          <w:highlight w:val="none"/>
          <w:u w:val="dotted"/>
        </w:rPr>
      </w:pP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pPr>
        <w:ind w:firstLine="360" w:firstLineChars="150"/>
        <w:rPr>
          <w:rFonts w:ascii="宋体" w:hAnsi="宋体" w:eastAsia="宋体" w:cs="宋体"/>
          <w:color w:val="auto"/>
          <w:highlight w:val="none"/>
        </w:rPr>
      </w:pPr>
      <w:r>
        <w:rPr>
          <w:rFonts w:hint="eastAsia" w:ascii="宋体" w:hAnsi="宋体" w:eastAsia="宋体" w:cs="宋体"/>
          <w:color w:val="auto"/>
          <w:highlight w:val="none"/>
          <w:u w:val="dotted"/>
        </w:rPr>
        <w:t>采购人/代理机构</w:t>
      </w:r>
      <w:r>
        <w:rPr>
          <w:rFonts w:hint="eastAsia" w:ascii="宋体" w:hAnsi="宋体" w:eastAsia="宋体" w:cs="宋体"/>
          <w:color w:val="auto"/>
          <w:highlight w:val="none"/>
        </w:rPr>
        <w:t>于</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日,就质疑事项作出了答复/没有在法定期限内作出答复。</w:t>
      </w:r>
    </w:p>
    <w:p>
      <w:pPr>
        <w:rPr>
          <w:rFonts w:ascii="宋体" w:hAnsi="宋体" w:eastAsia="宋体" w:cs="宋体"/>
          <w:color w:val="auto"/>
          <w:highlight w:val="none"/>
        </w:rPr>
      </w:pPr>
      <w:r>
        <w:rPr>
          <w:rFonts w:hint="eastAsia" w:ascii="宋体" w:hAnsi="宋体" w:eastAsia="宋体" w:cs="宋体"/>
          <w:color w:val="auto"/>
          <w:highlight w:val="none"/>
        </w:rPr>
        <w:t>四、投诉事项具体内容</w:t>
      </w:r>
    </w:p>
    <w:p>
      <w:pPr>
        <w:rPr>
          <w:rFonts w:ascii="宋体" w:hAnsi="宋体" w:eastAsia="宋体" w:cs="宋体"/>
          <w:color w:val="auto"/>
          <w:highlight w:val="none"/>
          <w:u w:val="single"/>
        </w:rPr>
      </w:pPr>
      <w:r>
        <w:rPr>
          <w:rFonts w:hint="eastAsia" w:ascii="宋体" w:hAnsi="宋体" w:eastAsia="宋体" w:cs="宋体"/>
          <w:color w:val="auto"/>
          <w:highlight w:val="none"/>
        </w:rPr>
        <w:t>投诉事项 1：</w:t>
      </w:r>
      <w:r>
        <w:rPr>
          <w:rFonts w:hint="eastAsia" w:ascii="宋体" w:hAnsi="宋体" w:eastAsia="宋体" w:cs="宋体"/>
          <w:color w:val="auto"/>
          <w:highlight w:val="none"/>
          <w:u w:val="dotted"/>
        </w:rPr>
        <w:t xml:space="preserve">                                       </w:t>
      </w:r>
    </w:p>
    <w:p>
      <w:pPr>
        <w:rPr>
          <w:rFonts w:ascii="宋体" w:hAnsi="宋体" w:eastAsia="宋体" w:cs="宋体"/>
          <w:color w:val="auto"/>
          <w:highlight w:val="none"/>
        </w:rPr>
      </w:pPr>
      <w:r>
        <w:rPr>
          <w:rFonts w:hint="eastAsia" w:ascii="宋体" w:hAnsi="宋体" w:eastAsia="宋体" w:cs="宋体"/>
          <w:color w:val="auto"/>
          <w:highlight w:val="none"/>
        </w:rPr>
        <w:t>事实依据：</w:t>
      </w:r>
      <w:r>
        <w:rPr>
          <w:rFonts w:hint="eastAsia" w:ascii="宋体" w:hAnsi="宋体" w:eastAsia="宋体" w:cs="宋体"/>
          <w:color w:val="auto"/>
          <w:highlight w:val="none"/>
          <w:u w:val="dotted"/>
        </w:rPr>
        <w:t xml:space="preserve">                                         </w:t>
      </w:r>
    </w:p>
    <w:p>
      <w:pPr>
        <w:rPr>
          <w:rFonts w:ascii="宋体" w:hAnsi="宋体" w:eastAsia="宋体" w:cs="宋体"/>
          <w:color w:val="auto"/>
          <w:highlight w:val="none"/>
          <w:u w:val="dotted"/>
        </w:rPr>
      </w:pPr>
      <w:r>
        <w:rPr>
          <w:rFonts w:hint="eastAsia" w:ascii="宋体" w:hAnsi="宋体" w:eastAsia="宋体" w:cs="宋体"/>
          <w:color w:val="auto"/>
          <w:highlight w:val="none"/>
          <w:u w:val="dotted"/>
        </w:rPr>
        <w:t xml:space="preserve">                                                      </w:t>
      </w:r>
    </w:p>
    <w:p>
      <w:pPr>
        <w:rPr>
          <w:rFonts w:ascii="宋体" w:hAnsi="宋体" w:eastAsia="宋体" w:cs="宋体"/>
          <w:color w:val="auto"/>
          <w:highlight w:val="none"/>
          <w:u w:val="single"/>
        </w:rPr>
      </w:pPr>
      <w:r>
        <w:rPr>
          <w:rFonts w:hint="eastAsia" w:ascii="宋体" w:hAnsi="宋体" w:eastAsia="宋体" w:cs="宋体"/>
          <w:color w:val="auto"/>
          <w:highlight w:val="none"/>
        </w:rPr>
        <w:t>法律依据：</w:t>
      </w:r>
      <w:r>
        <w:rPr>
          <w:rFonts w:hint="eastAsia" w:ascii="宋体" w:hAnsi="宋体" w:eastAsia="宋体" w:cs="宋体"/>
          <w:color w:val="auto"/>
          <w:highlight w:val="none"/>
          <w:u w:val="dotted"/>
        </w:rPr>
        <w:t xml:space="preserve">                                          </w:t>
      </w:r>
    </w:p>
    <w:p>
      <w:pPr>
        <w:rPr>
          <w:rFonts w:ascii="宋体" w:hAnsi="宋体" w:eastAsia="宋体" w:cs="宋体"/>
          <w:color w:val="auto"/>
          <w:highlight w:val="none"/>
          <w:u w:val="dotted"/>
        </w:rPr>
      </w:pPr>
      <w:r>
        <w:rPr>
          <w:rFonts w:hint="eastAsia" w:ascii="宋体" w:hAnsi="宋体" w:eastAsia="宋体" w:cs="宋体"/>
          <w:color w:val="auto"/>
          <w:highlight w:val="none"/>
          <w:u w:val="dotted"/>
        </w:rPr>
        <w:t xml:space="preserve">                                                      </w:t>
      </w:r>
    </w:p>
    <w:p>
      <w:pPr>
        <w:rPr>
          <w:rFonts w:ascii="宋体" w:hAnsi="宋体" w:eastAsia="宋体" w:cs="宋体"/>
          <w:color w:val="auto"/>
          <w:highlight w:val="none"/>
        </w:rPr>
      </w:pPr>
      <w:r>
        <w:rPr>
          <w:rFonts w:hint="eastAsia" w:ascii="宋体" w:hAnsi="宋体" w:eastAsia="宋体" w:cs="宋体"/>
          <w:color w:val="auto"/>
          <w:highlight w:val="none"/>
        </w:rPr>
        <w:t>投诉事项2</w:t>
      </w:r>
    </w:p>
    <w:p>
      <w:pPr>
        <w:rPr>
          <w:rFonts w:ascii="宋体" w:hAnsi="宋体" w:eastAsia="宋体" w:cs="宋体"/>
          <w:color w:val="auto"/>
          <w:highlight w:val="none"/>
          <w:u w:val="dotted"/>
        </w:rPr>
      </w:pPr>
      <w:r>
        <w:rPr>
          <w:rFonts w:hint="eastAsia" w:ascii="宋体" w:hAnsi="宋体" w:eastAsia="宋体" w:cs="宋体"/>
          <w:color w:val="auto"/>
          <w:highlight w:val="none"/>
        </w:rPr>
        <w:t>……</w:t>
      </w:r>
    </w:p>
    <w:p>
      <w:pPr>
        <w:rPr>
          <w:rFonts w:ascii="宋体" w:hAnsi="宋体" w:eastAsia="宋体" w:cs="宋体"/>
          <w:color w:val="auto"/>
          <w:highlight w:val="none"/>
        </w:rPr>
      </w:pPr>
      <w:r>
        <w:rPr>
          <w:rFonts w:hint="eastAsia" w:ascii="宋体" w:hAnsi="宋体" w:eastAsia="宋体" w:cs="宋体"/>
          <w:color w:val="auto"/>
          <w:highlight w:val="none"/>
        </w:rPr>
        <w:t>五、与投诉事项相关的投诉请求</w:t>
      </w:r>
    </w:p>
    <w:p>
      <w:pPr>
        <w:rPr>
          <w:rFonts w:ascii="宋体" w:hAnsi="宋体" w:eastAsia="宋体" w:cs="宋体"/>
          <w:color w:val="auto"/>
          <w:highlight w:val="none"/>
        </w:rPr>
      </w:pPr>
      <w:r>
        <w:rPr>
          <w:rFonts w:hint="eastAsia" w:ascii="宋体" w:hAnsi="宋体" w:eastAsia="宋体" w:cs="宋体"/>
          <w:color w:val="auto"/>
          <w:highlight w:val="none"/>
        </w:rPr>
        <w:t>请求：</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pPr>
        <w:rPr>
          <w:rFonts w:ascii="宋体" w:hAnsi="宋体" w:eastAsia="宋体" w:cs="宋体"/>
          <w:color w:val="auto"/>
          <w:highlight w:val="none"/>
          <w:u w:val="single"/>
        </w:rPr>
      </w:pPr>
      <w:r>
        <w:rPr>
          <w:rFonts w:hint="eastAsia" w:ascii="宋体" w:hAnsi="宋体" w:eastAsia="宋体" w:cs="宋体"/>
          <w:color w:val="auto"/>
          <w:highlight w:val="none"/>
        </w:rPr>
        <w:t xml:space="preserve">                                                                                                    </w:t>
      </w:r>
    </w:p>
    <w:p>
      <w:pPr>
        <w:rPr>
          <w:rFonts w:ascii="宋体" w:hAnsi="宋体" w:eastAsia="宋体" w:cs="宋体"/>
          <w:color w:val="auto"/>
          <w:highlight w:val="none"/>
        </w:rPr>
      </w:pPr>
      <w:r>
        <w:rPr>
          <w:rFonts w:hint="eastAsia" w:ascii="宋体" w:hAnsi="宋体" w:eastAsia="宋体" w:cs="宋体"/>
          <w:color w:val="auto"/>
          <w:highlight w:val="none"/>
        </w:rPr>
        <w:t xml:space="preserve">签字(签章)：                   公章：                      </w:t>
      </w:r>
    </w:p>
    <w:p>
      <w:pPr>
        <w:rPr>
          <w:rFonts w:ascii="宋体" w:hAnsi="宋体" w:eastAsia="宋体" w:cs="宋体"/>
          <w:color w:val="auto"/>
          <w:highlight w:val="none"/>
        </w:rPr>
      </w:pPr>
      <w:r>
        <w:rPr>
          <w:rFonts w:hint="eastAsia" w:ascii="宋体" w:hAnsi="宋体" w:eastAsia="宋体" w:cs="宋体"/>
          <w:color w:val="auto"/>
          <w:highlight w:val="none"/>
        </w:rPr>
        <w:t xml:space="preserve">日期：    </w:t>
      </w:r>
    </w:p>
    <w:p>
      <w:pPr>
        <w:spacing w:line="360" w:lineRule="auto"/>
        <w:rPr>
          <w:rFonts w:ascii="宋体" w:hAnsi="宋体" w:eastAsia="宋体" w:cs="宋体"/>
          <w:b/>
          <w:color w:val="auto"/>
          <w:highlight w:val="none"/>
        </w:rPr>
      </w:pPr>
    </w:p>
    <w:p>
      <w:pPr>
        <w:spacing w:line="360" w:lineRule="auto"/>
        <w:rPr>
          <w:rFonts w:ascii="宋体" w:hAnsi="宋体" w:eastAsia="宋体" w:cs="宋体"/>
          <w:b/>
          <w:color w:val="auto"/>
          <w:highlight w:val="none"/>
        </w:rPr>
      </w:pPr>
    </w:p>
    <w:p>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投诉书制作说明：</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1.投诉人提起投诉时，应当提交投诉书和必要的证明材料，并按照被投诉人和与投诉事项有关的供应商数量提供投诉书副本。</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3.投诉人若对项目的某一分包进行投诉，投诉书应列明具体分包号。</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4.投诉书应简要列明质疑事项，质疑函、质疑答复等作为附件材料提供。</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5.投诉书的投诉事项应具体、明确，并有必要的事实依据和法律依据。</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6.投诉书的投诉请求应与投诉事项相关。</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7.投诉人为自然人的，投诉书应当由本人签字；投诉人为法人或者其他组织的，投诉书应当由法定代表人、主要负责人，或者其授权代表签字或者盖章，并加盖公章。</w:t>
      </w:r>
    </w:p>
    <w:p>
      <w:pPr>
        <w:spacing w:line="276" w:lineRule="auto"/>
        <w:rPr>
          <w:rFonts w:ascii="宋体" w:hAnsi="宋体" w:eastAsia="宋体" w:cs="宋体"/>
          <w:b/>
          <w:color w:val="auto"/>
          <w:highlight w:val="none"/>
        </w:rPr>
      </w:pPr>
      <w:r>
        <w:rPr>
          <w:rFonts w:hint="eastAsia" w:ascii="宋体" w:hAnsi="宋体" w:eastAsia="宋体" w:cs="宋体"/>
          <w:b/>
          <w:color w:val="auto"/>
          <w:highlight w:val="none"/>
        </w:rPr>
        <w:br w:type="page"/>
      </w:r>
    </w:p>
    <w:p>
      <w:pPr>
        <w:pStyle w:val="6"/>
        <w:jc w:val="left"/>
        <w:rPr>
          <w:rFonts w:ascii="宋体" w:hAnsi="宋体" w:eastAsia="宋体" w:cs="宋体"/>
          <w:color w:val="auto"/>
          <w:highlight w:val="none"/>
        </w:rPr>
      </w:pPr>
      <w:r>
        <w:rPr>
          <w:rFonts w:hint="eastAsia" w:ascii="宋体" w:hAnsi="宋体" w:eastAsia="宋体" w:cs="宋体"/>
          <w:color w:val="auto"/>
          <w:spacing w:val="6"/>
          <w:highlight w:val="none"/>
        </w:rPr>
        <w:t>附件4：</w:t>
      </w:r>
      <w:r>
        <w:rPr>
          <w:rFonts w:hint="eastAsia" w:ascii="宋体" w:hAnsi="宋体" w:eastAsia="宋体" w:cs="宋体"/>
          <w:color w:val="auto"/>
          <w:highlight w:val="none"/>
        </w:rPr>
        <w:t>业务专用章使用说明函</w:t>
      </w:r>
    </w:p>
    <w:p>
      <w:pPr>
        <w:spacing w:line="276" w:lineRule="auto"/>
        <w:jc w:val="center"/>
        <w:rPr>
          <w:rFonts w:ascii="宋体" w:hAnsi="宋体" w:eastAsia="宋体" w:cs="宋体"/>
          <w:b/>
          <w:smallCaps/>
          <w:color w:val="auto"/>
          <w:spacing w:val="6"/>
          <w:sz w:val="36"/>
          <w:szCs w:val="28"/>
          <w:highlight w:val="none"/>
        </w:rPr>
      </w:pPr>
      <w:r>
        <w:rPr>
          <w:rFonts w:hint="eastAsia" w:ascii="宋体" w:hAnsi="宋体" w:eastAsia="宋体" w:cs="宋体"/>
          <w:b/>
          <w:color w:val="auto"/>
          <w:sz w:val="32"/>
          <w:highlight w:val="none"/>
        </w:rPr>
        <w:t>业务专用章使用说明函</w:t>
      </w:r>
    </w:p>
    <w:p>
      <w:pPr>
        <w:spacing w:line="360" w:lineRule="auto"/>
        <w:rPr>
          <w:rFonts w:ascii="宋体" w:hAnsi="宋体" w:eastAsia="宋体" w:cs="宋体"/>
          <w:color w:val="auto"/>
          <w:highlight w:val="none"/>
        </w:rPr>
      </w:pPr>
      <w:r>
        <w:rPr>
          <w:rFonts w:hint="eastAsia" w:ascii="宋体" w:hAnsi="宋体" w:eastAsia="宋体" w:cs="宋体"/>
          <w:color w:val="auto"/>
          <w:highlight w:val="none"/>
          <w:u w:val="single"/>
        </w:rPr>
        <w:t>（采购人）、（采购代理机构）</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lang w:val="zh-CN"/>
        </w:rPr>
        <w:t>我方</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rPr>
        <w:t>(供应商全称)是中华人民共和国依法登记注册的合法企业，</w:t>
      </w:r>
      <w:r>
        <w:rPr>
          <w:rFonts w:hint="eastAsia" w:ascii="宋体" w:hAnsi="宋体" w:eastAsia="宋体" w:cs="宋体"/>
          <w:bCs/>
          <w:color w:val="auto"/>
          <w:highlight w:val="none"/>
        </w:rPr>
        <w:t>在参加</w:t>
      </w:r>
      <w:r>
        <w:rPr>
          <w:rFonts w:hint="eastAsia" w:ascii="宋体" w:hAnsi="宋体" w:eastAsia="宋体" w:cs="宋体"/>
          <w:color w:val="auto"/>
          <w:highlight w:val="none"/>
        </w:rPr>
        <w:t>你方组织的（项目名称）项目【交易编号：（采购编号）】</w:t>
      </w:r>
      <w:r>
        <w:rPr>
          <w:rFonts w:hint="eastAsia" w:ascii="宋体" w:hAnsi="宋体" w:eastAsia="宋体" w:cs="宋体"/>
          <w:bCs/>
          <w:color w:val="auto"/>
          <w:highlight w:val="none"/>
        </w:rPr>
        <w:t>交易活动中作如下说明：</w:t>
      </w:r>
      <w:r>
        <w:rPr>
          <w:rFonts w:hint="eastAsia" w:ascii="宋体" w:hAnsi="宋体" w:eastAsia="宋体" w:cs="宋体"/>
          <w:color w:val="auto"/>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特此说明。</w:t>
      </w:r>
    </w:p>
    <w:p>
      <w:pPr>
        <w:spacing w:line="360" w:lineRule="auto"/>
        <w:ind w:firstLine="494"/>
        <w:rPr>
          <w:rFonts w:ascii="宋体" w:hAnsi="宋体" w:eastAsia="宋体" w:cs="宋体"/>
          <w:color w:val="auto"/>
          <w:highlight w:val="none"/>
        </w:rPr>
      </w:pPr>
    </w:p>
    <w:p>
      <w:pPr>
        <w:spacing w:line="360" w:lineRule="auto"/>
        <w:ind w:firstLine="494"/>
        <w:rPr>
          <w:rFonts w:ascii="宋体" w:hAnsi="宋体" w:eastAsia="宋体" w:cs="宋体"/>
          <w:color w:val="auto"/>
          <w:highlight w:val="none"/>
        </w:rPr>
      </w:pPr>
    </w:p>
    <w:p>
      <w:pPr>
        <w:spacing w:line="360" w:lineRule="auto"/>
        <w:ind w:right="480" w:firstLine="4080" w:firstLineChars="1700"/>
        <w:rPr>
          <w:rFonts w:ascii="宋体" w:hAnsi="宋体" w:eastAsia="宋体" w:cs="宋体"/>
          <w:color w:val="auto"/>
          <w:highlight w:val="none"/>
        </w:rPr>
      </w:pPr>
      <w:r>
        <w:rPr>
          <w:rFonts w:hint="eastAsia" w:ascii="宋体" w:hAnsi="宋体" w:eastAsia="宋体" w:cs="宋体"/>
          <w:color w:val="auto"/>
          <w:highlight w:val="none"/>
        </w:rPr>
        <w:t>供应商单位（法定名称章）：</w:t>
      </w:r>
    </w:p>
    <w:p>
      <w:pPr>
        <w:ind w:right="1440" w:firstLine="494"/>
        <w:jc w:val="center"/>
        <w:rPr>
          <w:rFonts w:ascii="宋体" w:hAnsi="宋体" w:eastAsia="宋体" w:cs="宋体"/>
          <w:color w:val="auto"/>
          <w:highlight w:val="none"/>
        </w:rPr>
      </w:pPr>
      <w:r>
        <w:rPr>
          <w:rFonts w:hint="eastAsia" w:ascii="宋体" w:hAnsi="宋体" w:eastAsia="宋体" w:cs="宋体"/>
          <w:color w:val="auto"/>
          <w:highlight w:val="none"/>
        </w:rPr>
        <w:t xml:space="preserve">                              日期：       年     月     日</w:t>
      </w:r>
    </w:p>
    <w:p>
      <w:pPr>
        <w:rPr>
          <w:rFonts w:ascii="宋体" w:hAnsi="宋体" w:eastAsia="宋体" w:cs="宋体"/>
          <w:color w:val="auto"/>
          <w:highlight w:val="none"/>
        </w:rPr>
      </w:pPr>
      <w:r>
        <w:rPr>
          <w:rFonts w:hint="eastAsia" w:ascii="宋体" w:hAnsi="宋体" w:eastAsia="宋体" w:cs="宋体"/>
          <w:b/>
          <w:bCs/>
          <w:color w:val="auto"/>
          <w:highlight w:val="none"/>
        </w:rPr>
        <w:t>附：</w:t>
      </w:r>
    </w:p>
    <w:p>
      <w:pPr>
        <w:spacing w:line="360" w:lineRule="auto"/>
        <w:rPr>
          <w:rFonts w:ascii="宋体" w:hAnsi="宋体" w:eastAsia="宋体" w:cs="宋体"/>
          <w:bCs/>
          <w:color w:val="auto"/>
          <w:highlight w:val="none"/>
        </w:rPr>
      </w:pPr>
      <w:r>
        <w:rPr>
          <w:rFonts w:ascii="宋体" w:hAnsi="宋体" w:eastAsia="宋体" w:cs="宋体"/>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pPr>
                        <w:jc w:val="center"/>
                      </w:pPr>
                    </w:p>
                  </w:txbxContent>
                </v:textbox>
              </v:rect>
            </w:pict>
          </mc:Fallback>
        </mc:AlternateContent>
      </w:r>
      <w:r>
        <w:rPr>
          <w:rFonts w:ascii="宋体" w:hAnsi="宋体" w:eastAsia="宋体" w:cs="宋体"/>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highlight w:val="none"/>
        </w:rPr>
        <w:t>供应商法定名称章（印模）                供应商“XX专用章”（印模）</w:t>
      </w:r>
    </w:p>
    <w:p>
      <w:pPr>
        <w:spacing w:line="276" w:lineRule="auto"/>
        <w:rPr>
          <w:rFonts w:ascii="宋体" w:hAnsi="宋体" w:eastAsia="宋体" w:cs="宋体"/>
          <w:b/>
          <w:color w:val="auto"/>
          <w:spacing w:val="6"/>
          <w:sz w:val="32"/>
          <w:szCs w:val="32"/>
          <w:highlight w:val="none"/>
        </w:rPr>
      </w:pPr>
    </w:p>
    <w:p>
      <w:pPr>
        <w:spacing w:line="276" w:lineRule="auto"/>
        <w:rPr>
          <w:rFonts w:ascii="宋体" w:hAnsi="宋体" w:eastAsia="宋体" w:cs="宋体"/>
          <w:b/>
          <w:smallCaps/>
          <w:color w:val="auto"/>
          <w:spacing w:val="6"/>
          <w:sz w:val="28"/>
          <w:szCs w:val="28"/>
          <w:highlight w:val="none"/>
        </w:rPr>
      </w:pPr>
    </w:p>
    <w:p>
      <w:pPr>
        <w:spacing w:line="276" w:lineRule="auto"/>
        <w:rPr>
          <w:rFonts w:ascii="宋体" w:hAnsi="宋体" w:eastAsia="宋体" w:cs="宋体"/>
          <w:b/>
          <w:smallCaps/>
          <w:color w:val="auto"/>
          <w:spacing w:val="6"/>
          <w:sz w:val="28"/>
          <w:szCs w:val="28"/>
          <w:highlight w:val="none"/>
        </w:rPr>
      </w:pPr>
      <w:r>
        <w:rPr>
          <w:rFonts w:hint="eastAsia" w:ascii="宋体" w:hAnsi="宋体" w:eastAsia="宋体" w:cs="宋体"/>
          <w:color w:val="auto"/>
          <w:spacing w:val="6"/>
          <w:highlight w:val="none"/>
        </w:rPr>
        <w:br w:type="page"/>
      </w:r>
    </w:p>
    <w:p>
      <w:pPr>
        <w:pStyle w:val="6"/>
        <w:jc w:val="left"/>
        <w:rPr>
          <w:rFonts w:ascii="宋体" w:hAnsi="宋体" w:eastAsia="宋体" w:cs="宋体"/>
          <w:bCs/>
          <w:color w:val="auto"/>
          <w:highlight w:val="none"/>
        </w:rPr>
      </w:pPr>
      <w:r>
        <w:rPr>
          <w:rFonts w:hint="eastAsia" w:ascii="宋体" w:hAnsi="宋体" w:eastAsia="宋体" w:cs="宋体"/>
          <w:color w:val="auto"/>
          <w:spacing w:val="6"/>
          <w:highlight w:val="none"/>
        </w:rPr>
        <w:t>附件5：</w:t>
      </w:r>
      <w:r>
        <w:rPr>
          <w:rFonts w:hint="eastAsia" w:ascii="宋体" w:hAnsi="宋体" w:eastAsia="宋体" w:cs="宋体"/>
          <w:color w:val="auto"/>
          <w:highlight w:val="none"/>
        </w:rPr>
        <w:t>中小企业声明函</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pPr>
        <w:spacing w:line="360" w:lineRule="auto"/>
        <w:rPr>
          <w:rFonts w:ascii="宋体" w:hAnsi="宋体" w:eastAsia="宋体" w:cs="宋体"/>
          <w:color w:val="auto"/>
          <w:highlight w:val="none"/>
        </w:rPr>
      </w:pPr>
    </w:p>
    <w:p>
      <w:pPr>
        <w:spacing w:line="360" w:lineRule="auto"/>
        <w:ind w:firstLine="360" w:firstLineChars="150"/>
        <w:rPr>
          <w:rFonts w:ascii="宋体" w:hAnsi="宋体" w:eastAsia="宋体" w:cs="宋体"/>
          <w:color w:val="auto"/>
          <w:highlight w:val="none"/>
        </w:rPr>
      </w:pPr>
      <w:r>
        <w:rPr>
          <w:rFonts w:hint="eastAsia" w:ascii="宋体" w:hAnsi="宋体" w:eastAsia="宋体" w:cs="宋体"/>
          <w:color w:val="auto"/>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highlight w:val="none"/>
          <w:u w:val="single"/>
        </w:rPr>
        <w:t xml:space="preserve">（单位名称）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 xml:space="preserve">，属于 </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 xml:space="preserve"> ；承建（承接）企业为 </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（中型企业、小型企业、微型企业） </w:t>
      </w:r>
      <w:r>
        <w:rPr>
          <w:rFonts w:hint="eastAsia" w:ascii="宋体" w:hAnsi="宋体" w:eastAsia="宋体" w:cs="宋体"/>
          <w:color w:val="auto"/>
          <w:highlight w:val="none"/>
        </w:rPr>
        <w:t>；</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2. </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 xml:space="preserve">，属于 </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 xml:space="preserve"> ；承建（承接）企业为 </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（中型企业、小型企业、微型企业） </w:t>
      </w:r>
      <w:r>
        <w:rPr>
          <w:rFonts w:hint="eastAsia" w:ascii="宋体" w:hAnsi="宋体" w:eastAsia="宋体" w:cs="宋体"/>
          <w:color w:val="auto"/>
          <w:highlight w:val="none"/>
        </w:rPr>
        <w:t>；</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spacing w:line="360" w:lineRule="auto"/>
        <w:ind w:right="1760"/>
        <w:jc w:val="right"/>
        <w:rPr>
          <w:rFonts w:ascii="宋体" w:hAnsi="宋体" w:eastAsia="宋体" w:cs="宋体"/>
          <w:color w:val="auto"/>
          <w:highlight w:val="none"/>
        </w:rPr>
      </w:pPr>
      <w:r>
        <w:rPr>
          <w:rFonts w:hint="eastAsia" w:ascii="宋体" w:hAnsi="宋体" w:eastAsia="宋体" w:cs="宋体"/>
          <w:color w:val="auto"/>
          <w:highlight w:val="none"/>
        </w:rPr>
        <w:t>供应商名称（电子签名）：</w:t>
      </w:r>
    </w:p>
    <w:p>
      <w:pPr>
        <w:spacing w:line="360" w:lineRule="auto"/>
        <w:ind w:right="1120" w:firstLine="4680" w:firstLineChars="1950"/>
        <w:rPr>
          <w:rFonts w:ascii="宋体" w:hAnsi="宋体" w:eastAsia="宋体" w:cs="宋体"/>
          <w:color w:val="auto"/>
          <w:highlight w:val="none"/>
        </w:rPr>
      </w:pPr>
      <w:r>
        <w:rPr>
          <w:rFonts w:hint="eastAsia" w:ascii="宋体" w:hAnsi="宋体" w:eastAsia="宋体" w:cs="宋体"/>
          <w:color w:val="auto"/>
          <w:highlight w:val="none"/>
        </w:rPr>
        <w:t>日 期：</w:t>
      </w:r>
    </w:p>
    <w:p>
      <w:pPr>
        <w:spacing w:line="360" w:lineRule="auto"/>
        <w:ind w:firstLine="354" w:firstLineChars="147"/>
        <w:rPr>
          <w:rFonts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eastAsia="宋体" w:cs="宋体"/>
          <w:color w:val="auto"/>
          <w:highlight w:val="none"/>
        </w:rPr>
      </w:pPr>
    </w:p>
    <w:p>
      <w:pPr>
        <w:spacing w:line="360" w:lineRule="auto"/>
        <w:ind w:right="420"/>
        <w:rPr>
          <w:rFonts w:ascii="宋体" w:hAnsi="宋体" w:eastAsia="宋体" w:cs="宋体"/>
          <w:color w:val="auto"/>
          <w:highlight w:val="none"/>
        </w:rPr>
      </w:pPr>
      <w:r>
        <w:rPr>
          <w:rFonts w:hint="eastAsia" w:ascii="宋体" w:hAnsi="宋体" w:eastAsia="宋体" w:cs="宋体"/>
          <w:color w:val="auto"/>
          <w:highlight w:val="none"/>
        </w:rPr>
        <w:t xml:space="preserve">   注：</w:t>
      </w:r>
    </w:p>
    <w:p>
      <w:pPr>
        <w:spacing w:line="360" w:lineRule="auto"/>
        <w:ind w:right="420" w:firstLine="480" w:firstLineChars="200"/>
        <w:rPr>
          <w:rFonts w:ascii="宋体" w:hAnsi="宋体" w:eastAsia="宋体" w:cs="宋体"/>
          <w:color w:val="auto"/>
          <w:highlight w:val="none"/>
        </w:rPr>
      </w:pPr>
      <w:r>
        <w:rPr>
          <w:rFonts w:hint="eastAsia" w:ascii="宋体" w:hAnsi="宋体" w:eastAsia="宋体" w:cs="宋体"/>
          <w:color w:val="auto"/>
          <w:highlight w:val="none"/>
        </w:rPr>
        <w:t>1、填写要求：①“标的名称”、“采购文件中明确的所属行业”依据交易文件第二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pPr>
        <w:spacing w:line="360" w:lineRule="auto"/>
        <w:ind w:right="420" w:firstLine="720" w:firstLineChars="300"/>
        <w:rPr>
          <w:rFonts w:ascii="宋体" w:hAnsi="宋体" w:eastAsia="宋体" w:cs="宋体"/>
          <w:color w:val="auto"/>
          <w:highlight w:val="none"/>
        </w:rPr>
      </w:pPr>
      <w:r>
        <w:rPr>
          <w:rFonts w:hint="eastAsia" w:ascii="宋体" w:hAnsi="宋体" w:eastAsia="宋体" w:cs="宋体"/>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276" w:lineRule="auto"/>
        <w:rPr>
          <w:rFonts w:ascii="宋体" w:hAnsi="宋体" w:eastAsia="宋体" w:cs="宋体"/>
          <w:color w:val="auto"/>
          <w:highlight w:val="none"/>
        </w:rPr>
      </w:pPr>
    </w:p>
    <w:sectPr>
      <w:headerReference r:id="rId6" w:type="default"/>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36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81</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Fonts w:hint="eastAsia" w:eastAsia="仿宋"/>
        <w:lang w:eastAsia="zh-CN"/>
      </w:rPr>
    </w:pPr>
    <w:r>
      <w:rPr>
        <w:rFonts w:hint="eastAsia"/>
      </w:rPr>
      <w:t xml:space="preserve"> </w:t>
    </w:r>
    <w:r>
      <w:rPr>
        <w:rFonts w:hint="eastAsia"/>
        <w:lang w:eastAsia="zh-CN"/>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rPr>
        <w:rFonts w:hint="eastAsia"/>
      </w:rPr>
      <w:t xml:space="preserve"> 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5813E"/>
    <w:multiLevelType w:val="singleLevel"/>
    <w:tmpl w:val="DEA5813E"/>
    <w:lvl w:ilvl="0" w:tentative="0">
      <w:start w:val="1"/>
      <w:numFmt w:val="decimal"/>
      <w:suff w:val="nothing"/>
      <w:lvlText w:val="（%1）"/>
      <w:lvlJc w:val="left"/>
    </w:lvl>
  </w:abstractNum>
  <w:abstractNum w:abstractNumId="1">
    <w:nsid w:val="FAB7D0B6"/>
    <w:multiLevelType w:val="singleLevel"/>
    <w:tmpl w:val="FAB7D0B6"/>
    <w:lvl w:ilvl="0" w:tentative="0">
      <w:start w:val="1"/>
      <w:numFmt w:val="decimal"/>
      <w:suff w:val="nothing"/>
      <w:lvlText w:val="（%1）"/>
      <w:lvlJc w:val="left"/>
    </w:lvl>
  </w:abstractNum>
  <w:abstractNum w:abstractNumId="2">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OGRhZjRmMTdmMWYzMTQzMzcxNzRkZTdjODZjYzMifQ=="/>
  </w:docVars>
  <w:rsids>
    <w:rsidRoot w:val="004A31C0"/>
    <w:rsid w:val="000226D4"/>
    <w:rsid w:val="00040E44"/>
    <w:rsid w:val="000506FE"/>
    <w:rsid w:val="00052F13"/>
    <w:rsid w:val="00062A5D"/>
    <w:rsid w:val="00083EEE"/>
    <w:rsid w:val="000845BD"/>
    <w:rsid w:val="000849B6"/>
    <w:rsid w:val="000B29FE"/>
    <w:rsid w:val="000C67BA"/>
    <w:rsid w:val="000E5E5D"/>
    <w:rsid w:val="000E75F8"/>
    <w:rsid w:val="001375DB"/>
    <w:rsid w:val="001448FA"/>
    <w:rsid w:val="001478DA"/>
    <w:rsid w:val="00173428"/>
    <w:rsid w:val="001A3CF6"/>
    <w:rsid w:val="00240685"/>
    <w:rsid w:val="0024401D"/>
    <w:rsid w:val="002534A7"/>
    <w:rsid w:val="002974F1"/>
    <w:rsid w:val="002E02E0"/>
    <w:rsid w:val="003169BC"/>
    <w:rsid w:val="0035778E"/>
    <w:rsid w:val="003755EF"/>
    <w:rsid w:val="00380ED1"/>
    <w:rsid w:val="00381B1D"/>
    <w:rsid w:val="003A3435"/>
    <w:rsid w:val="003B2DA2"/>
    <w:rsid w:val="003F23CE"/>
    <w:rsid w:val="004105E2"/>
    <w:rsid w:val="00424619"/>
    <w:rsid w:val="00424A1D"/>
    <w:rsid w:val="004A31C0"/>
    <w:rsid w:val="004B5BE2"/>
    <w:rsid w:val="00501CA3"/>
    <w:rsid w:val="0052611C"/>
    <w:rsid w:val="00527DB4"/>
    <w:rsid w:val="00560908"/>
    <w:rsid w:val="00581054"/>
    <w:rsid w:val="00594542"/>
    <w:rsid w:val="005A325A"/>
    <w:rsid w:val="005A3BF2"/>
    <w:rsid w:val="0060320D"/>
    <w:rsid w:val="006511DA"/>
    <w:rsid w:val="00652051"/>
    <w:rsid w:val="0065383E"/>
    <w:rsid w:val="00661973"/>
    <w:rsid w:val="006657BD"/>
    <w:rsid w:val="006F2568"/>
    <w:rsid w:val="006F282E"/>
    <w:rsid w:val="00706DC6"/>
    <w:rsid w:val="00711092"/>
    <w:rsid w:val="00716529"/>
    <w:rsid w:val="00725C59"/>
    <w:rsid w:val="00726EFB"/>
    <w:rsid w:val="00734973"/>
    <w:rsid w:val="00742C93"/>
    <w:rsid w:val="007B07B1"/>
    <w:rsid w:val="007E4CA5"/>
    <w:rsid w:val="00817ACB"/>
    <w:rsid w:val="00825212"/>
    <w:rsid w:val="00843A59"/>
    <w:rsid w:val="00852E70"/>
    <w:rsid w:val="00872DA1"/>
    <w:rsid w:val="00873B8A"/>
    <w:rsid w:val="008B1281"/>
    <w:rsid w:val="008C3320"/>
    <w:rsid w:val="008F729B"/>
    <w:rsid w:val="009040D0"/>
    <w:rsid w:val="009064F4"/>
    <w:rsid w:val="00915111"/>
    <w:rsid w:val="0092626D"/>
    <w:rsid w:val="009305E5"/>
    <w:rsid w:val="009823B1"/>
    <w:rsid w:val="009863A6"/>
    <w:rsid w:val="0098739B"/>
    <w:rsid w:val="009B7259"/>
    <w:rsid w:val="009E6B47"/>
    <w:rsid w:val="00A5394E"/>
    <w:rsid w:val="00A53D3D"/>
    <w:rsid w:val="00A5791C"/>
    <w:rsid w:val="00A955FA"/>
    <w:rsid w:val="00AB3C03"/>
    <w:rsid w:val="00AC5A89"/>
    <w:rsid w:val="00B34428"/>
    <w:rsid w:val="00B50722"/>
    <w:rsid w:val="00B638D9"/>
    <w:rsid w:val="00C555C7"/>
    <w:rsid w:val="00CA5372"/>
    <w:rsid w:val="00CD63A1"/>
    <w:rsid w:val="00CF35F3"/>
    <w:rsid w:val="00D03E3B"/>
    <w:rsid w:val="00D34EF5"/>
    <w:rsid w:val="00D743B5"/>
    <w:rsid w:val="00D901E0"/>
    <w:rsid w:val="00DE3EC2"/>
    <w:rsid w:val="00DE7F9D"/>
    <w:rsid w:val="00E01C27"/>
    <w:rsid w:val="00E428C8"/>
    <w:rsid w:val="00E716AC"/>
    <w:rsid w:val="00E81776"/>
    <w:rsid w:val="00E86749"/>
    <w:rsid w:val="00E910A9"/>
    <w:rsid w:val="00E94AF3"/>
    <w:rsid w:val="00ED389E"/>
    <w:rsid w:val="00EE2D23"/>
    <w:rsid w:val="00F577A9"/>
    <w:rsid w:val="00F66F6C"/>
    <w:rsid w:val="00F66F95"/>
    <w:rsid w:val="00F82240"/>
    <w:rsid w:val="00F872C5"/>
    <w:rsid w:val="00F906B9"/>
    <w:rsid w:val="00FD5896"/>
    <w:rsid w:val="014A51C2"/>
    <w:rsid w:val="018F6A3E"/>
    <w:rsid w:val="01B95422"/>
    <w:rsid w:val="02992BE8"/>
    <w:rsid w:val="02CB7F49"/>
    <w:rsid w:val="02FC0103"/>
    <w:rsid w:val="031311C4"/>
    <w:rsid w:val="03A13922"/>
    <w:rsid w:val="03E351A1"/>
    <w:rsid w:val="041163C6"/>
    <w:rsid w:val="041B280B"/>
    <w:rsid w:val="045C60EE"/>
    <w:rsid w:val="04935247"/>
    <w:rsid w:val="04F145E6"/>
    <w:rsid w:val="050251FA"/>
    <w:rsid w:val="057809CB"/>
    <w:rsid w:val="067B57E2"/>
    <w:rsid w:val="0698411F"/>
    <w:rsid w:val="06B07599"/>
    <w:rsid w:val="07562E3C"/>
    <w:rsid w:val="07C54C87"/>
    <w:rsid w:val="087C451F"/>
    <w:rsid w:val="09D05E45"/>
    <w:rsid w:val="09FF374E"/>
    <w:rsid w:val="0A344626"/>
    <w:rsid w:val="0A8638F7"/>
    <w:rsid w:val="0AEF441C"/>
    <w:rsid w:val="0AF562F3"/>
    <w:rsid w:val="0BA019C5"/>
    <w:rsid w:val="0C2D0589"/>
    <w:rsid w:val="0C3C0D6D"/>
    <w:rsid w:val="0CA91BFA"/>
    <w:rsid w:val="0CCE0070"/>
    <w:rsid w:val="0D2A4C64"/>
    <w:rsid w:val="0DA33162"/>
    <w:rsid w:val="0DB45A77"/>
    <w:rsid w:val="0E1852B8"/>
    <w:rsid w:val="0E7C23DC"/>
    <w:rsid w:val="0E7D37C9"/>
    <w:rsid w:val="0EDE1004"/>
    <w:rsid w:val="0EF369D7"/>
    <w:rsid w:val="0F0A73CB"/>
    <w:rsid w:val="10155B38"/>
    <w:rsid w:val="106113A8"/>
    <w:rsid w:val="10CD247C"/>
    <w:rsid w:val="11362B7A"/>
    <w:rsid w:val="11395683"/>
    <w:rsid w:val="113E3BE5"/>
    <w:rsid w:val="119D36A8"/>
    <w:rsid w:val="11C6025A"/>
    <w:rsid w:val="12203E79"/>
    <w:rsid w:val="12397831"/>
    <w:rsid w:val="12A4067A"/>
    <w:rsid w:val="12F44A4A"/>
    <w:rsid w:val="1345139F"/>
    <w:rsid w:val="13633C7A"/>
    <w:rsid w:val="13BC7394"/>
    <w:rsid w:val="141E6C3D"/>
    <w:rsid w:val="14240F95"/>
    <w:rsid w:val="145266DD"/>
    <w:rsid w:val="1461426A"/>
    <w:rsid w:val="14DA31F1"/>
    <w:rsid w:val="14F91A33"/>
    <w:rsid w:val="153C5486"/>
    <w:rsid w:val="15C76767"/>
    <w:rsid w:val="15F217D2"/>
    <w:rsid w:val="166100D8"/>
    <w:rsid w:val="16764AA2"/>
    <w:rsid w:val="170A0E30"/>
    <w:rsid w:val="170B4961"/>
    <w:rsid w:val="17C76287"/>
    <w:rsid w:val="18334CD6"/>
    <w:rsid w:val="184D01B3"/>
    <w:rsid w:val="188E3DBA"/>
    <w:rsid w:val="19361319"/>
    <w:rsid w:val="1A9577FE"/>
    <w:rsid w:val="1AB345D3"/>
    <w:rsid w:val="1AFA71C6"/>
    <w:rsid w:val="1B0A768F"/>
    <w:rsid w:val="1BAF0E0C"/>
    <w:rsid w:val="1BC3229F"/>
    <w:rsid w:val="1BEF2AA3"/>
    <w:rsid w:val="1C0C3C95"/>
    <w:rsid w:val="1CAE0268"/>
    <w:rsid w:val="1CC214FE"/>
    <w:rsid w:val="1CDF6673"/>
    <w:rsid w:val="1D20704D"/>
    <w:rsid w:val="1D8C2087"/>
    <w:rsid w:val="1E1722EE"/>
    <w:rsid w:val="1EA26E5F"/>
    <w:rsid w:val="1EF8087E"/>
    <w:rsid w:val="1F113105"/>
    <w:rsid w:val="1F142E33"/>
    <w:rsid w:val="2010342E"/>
    <w:rsid w:val="20B03C25"/>
    <w:rsid w:val="20C61C74"/>
    <w:rsid w:val="21BA5DE1"/>
    <w:rsid w:val="21F229A5"/>
    <w:rsid w:val="2250591D"/>
    <w:rsid w:val="225A2921"/>
    <w:rsid w:val="226521CD"/>
    <w:rsid w:val="22E84906"/>
    <w:rsid w:val="23631CBA"/>
    <w:rsid w:val="24AF655A"/>
    <w:rsid w:val="25064C26"/>
    <w:rsid w:val="25164BFC"/>
    <w:rsid w:val="259F1255"/>
    <w:rsid w:val="25B414C6"/>
    <w:rsid w:val="26CC7E7B"/>
    <w:rsid w:val="271B466B"/>
    <w:rsid w:val="271B474C"/>
    <w:rsid w:val="271B7AB1"/>
    <w:rsid w:val="27382A0D"/>
    <w:rsid w:val="2758774E"/>
    <w:rsid w:val="27780BF9"/>
    <w:rsid w:val="27CA3014"/>
    <w:rsid w:val="28EE369A"/>
    <w:rsid w:val="292A4DB5"/>
    <w:rsid w:val="294555D1"/>
    <w:rsid w:val="29915199"/>
    <w:rsid w:val="29C76E0D"/>
    <w:rsid w:val="2AC33130"/>
    <w:rsid w:val="2AF7592B"/>
    <w:rsid w:val="2B41674B"/>
    <w:rsid w:val="2BA06CC2"/>
    <w:rsid w:val="2BAB52C4"/>
    <w:rsid w:val="2C0827A0"/>
    <w:rsid w:val="2CCD0296"/>
    <w:rsid w:val="2D8F1DD6"/>
    <w:rsid w:val="2E2B7D01"/>
    <w:rsid w:val="2E4771DE"/>
    <w:rsid w:val="2F213E76"/>
    <w:rsid w:val="2FC91369"/>
    <w:rsid w:val="2FCF1754"/>
    <w:rsid w:val="30422FD5"/>
    <w:rsid w:val="304E7940"/>
    <w:rsid w:val="30A41E58"/>
    <w:rsid w:val="30C10112"/>
    <w:rsid w:val="30D273EB"/>
    <w:rsid w:val="313414D2"/>
    <w:rsid w:val="313A681E"/>
    <w:rsid w:val="31627EA4"/>
    <w:rsid w:val="318E0F20"/>
    <w:rsid w:val="32861A63"/>
    <w:rsid w:val="328F5F4B"/>
    <w:rsid w:val="32E14B14"/>
    <w:rsid w:val="331A50B6"/>
    <w:rsid w:val="337309C8"/>
    <w:rsid w:val="33901B7E"/>
    <w:rsid w:val="33995376"/>
    <w:rsid w:val="33F51B5E"/>
    <w:rsid w:val="34B75A07"/>
    <w:rsid w:val="34EE524E"/>
    <w:rsid w:val="352C0508"/>
    <w:rsid w:val="359B3391"/>
    <w:rsid w:val="35DB358E"/>
    <w:rsid w:val="35F04FF6"/>
    <w:rsid w:val="36D93783"/>
    <w:rsid w:val="37721F27"/>
    <w:rsid w:val="379E3486"/>
    <w:rsid w:val="37D050DF"/>
    <w:rsid w:val="39044A9E"/>
    <w:rsid w:val="39D1683C"/>
    <w:rsid w:val="3A152A23"/>
    <w:rsid w:val="3A4B4EF0"/>
    <w:rsid w:val="3B9D456F"/>
    <w:rsid w:val="3BB840E2"/>
    <w:rsid w:val="3BBA2AA9"/>
    <w:rsid w:val="3D2B4DF3"/>
    <w:rsid w:val="3D2D6B2F"/>
    <w:rsid w:val="3DB1604C"/>
    <w:rsid w:val="3DF930F4"/>
    <w:rsid w:val="3E61304D"/>
    <w:rsid w:val="3F1510EC"/>
    <w:rsid w:val="3F514D57"/>
    <w:rsid w:val="3F83190E"/>
    <w:rsid w:val="3FC934BC"/>
    <w:rsid w:val="3FDB2873"/>
    <w:rsid w:val="3FF7445C"/>
    <w:rsid w:val="40050E8C"/>
    <w:rsid w:val="40155C28"/>
    <w:rsid w:val="404331CF"/>
    <w:rsid w:val="40566CBE"/>
    <w:rsid w:val="408739D6"/>
    <w:rsid w:val="415E636C"/>
    <w:rsid w:val="41601281"/>
    <w:rsid w:val="41BB1943"/>
    <w:rsid w:val="41EF31AC"/>
    <w:rsid w:val="420024A4"/>
    <w:rsid w:val="4220287E"/>
    <w:rsid w:val="42381FFE"/>
    <w:rsid w:val="4272683E"/>
    <w:rsid w:val="42FD791A"/>
    <w:rsid w:val="433172F4"/>
    <w:rsid w:val="4359067E"/>
    <w:rsid w:val="438020AF"/>
    <w:rsid w:val="43CE117B"/>
    <w:rsid w:val="43CE753D"/>
    <w:rsid w:val="442E49C7"/>
    <w:rsid w:val="445E32F8"/>
    <w:rsid w:val="4492782B"/>
    <w:rsid w:val="449367EE"/>
    <w:rsid w:val="45660C13"/>
    <w:rsid w:val="46485F2E"/>
    <w:rsid w:val="46E06194"/>
    <w:rsid w:val="47754751"/>
    <w:rsid w:val="47830694"/>
    <w:rsid w:val="485912D4"/>
    <w:rsid w:val="486E1F78"/>
    <w:rsid w:val="486F624E"/>
    <w:rsid w:val="4897015E"/>
    <w:rsid w:val="489D31A8"/>
    <w:rsid w:val="48E97F66"/>
    <w:rsid w:val="49137CE0"/>
    <w:rsid w:val="49457E1A"/>
    <w:rsid w:val="49601B81"/>
    <w:rsid w:val="4AB34B18"/>
    <w:rsid w:val="4B33124A"/>
    <w:rsid w:val="4C0E41EC"/>
    <w:rsid w:val="4C492ADE"/>
    <w:rsid w:val="4C783AB0"/>
    <w:rsid w:val="4DD46695"/>
    <w:rsid w:val="4E73201C"/>
    <w:rsid w:val="4EE74D90"/>
    <w:rsid w:val="4F0029C6"/>
    <w:rsid w:val="4F5166AD"/>
    <w:rsid w:val="4F6532A9"/>
    <w:rsid w:val="4FA05DBE"/>
    <w:rsid w:val="4FAF2FEB"/>
    <w:rsid w:val="50661F8E"/>
    <w:rsid w:val="508B64AF"/>
    <w:rsid w:val="51A16867"/>
    <w:rsid w:val="51C25640"/>
    <w:rsid w:val="51E02DAE"/>
    <w:rsid w:val="527A282D"/>
    <w:rsid w:val="529733BC"/>
    <w:rsid w:val="52ED0F99"/>
    <w:rsid w:val="538F1421"/>
    <w:rsid w:val="5433477D"/>
    <w:rsid w:val="54716F76"/>
    <w:rsid w:val="54A56287"/>
    <w:rsid w:val="54D9517B"/>
    <w:rsid w:val="54F2623D"/>
    <w:rsid w:val="55305B68"/>
    <w:rsid w:val="558D50A4"/>
    <w:rsid w:val="55AD4074"/>
    <w:rsid w:val="55BD4A9D"/>
    <w:rsid w:val="55CE4B80"/>
    <w:rsid w:val="56031EEE"/>
    <w:rsid w:val="56A95FEA"/>
    <w:rsid w:val="56AD61CD"/>
    <w:rsid w:val="572A2E9E"/>
    <w:rsid w:val="574802B9"/>
    <w:rsid w:val="579C1911"/>
    <w:rsid w:val="57D95943"/>
    <w:rsid w:val="57E4537B"/>
    <w:rsid w:val="58396616"/>
    <w:rsid w:val="585B234B"/>
    <w:rsid w:val="58EB1921"/>
    <w:rsid w:val="595956A1"/>
    <w:rsid w:val="59D15906"/>
    <w:rsid w:val="59EF3692"/>
    <w:rsid w:val="5A3A2B60"/>
    <w:rsid w:val="5B286E5C"/>
    <w:rsid w:val="5B8932F0"/>
    <w:rsid w:val="5C110814"/>
    <w:rsid w:val="5C902DEB"/>
    <w:rsid w:val="5C99003F"/>
    <w:rsid w:val="5CB528EF"/>
    <w:rsid w:val="5CC22998"/>
    <w:rsid w:val="5CC9164A"/>
    <w:rsid w:val="5CD30020"/>
    <w:rsid w:val="5D1457C4"/>
    <w:rsid w:val="5DCB3ACF"/>
    <w:rsid w:val="5E463021"/>
    <w:rsid w:val="5E496662"/>
    <w:rsid w:val="5E520EAE"/>
    <w:rsid w:val="5E6C4C9D"/>
    <w:rsid w:val="5E9D26E6"/>
    <w:rsid w:val="5EB30644"/>
    <w:rsid w:val="5FA51708"/>
    <w:rsid w:val="60297EE2"/>
    <w:rsid w:val="60573350"/>
    <w:rsid w:val="60627E5B"/>
    <w:rsid w:val="612956DC"/>
    <w:rsid w:val="641C1DF7"/>
    <w:rsid w:val="64471F5E"/>
    <w:rsid w:val="646B39EA"/>
    <w:rsid w:val="647D6FB8"/>
    <w:rsid w:val="64AB28C4"/>
    <w:rsid w:val="64FA2692"/>
    <w:rsid w:val="650869CE"/>
    <w:rsid w:val="654C2F43"/>
    <w:rsid w:val="659F5D29"/>
    <w:rsid w:val="65F157DD"/>
    <w:rsid w:val="66314711"/>
    <w:rsid w:val="66495B9B"/>
    <w:rsid w:val="67BD26DA"/>
    <w:rsid w:val="67C41CBB"/>
    <w:rsid w:val="67DD4B2A"/>
    <w:rsid w:val="68466B73"/>
    <w:rsid w:val="684D2ECD"/>
    <w:rsid w:val="69D3148B"/>
    <w:rsid w:val="69F12255"/>
    <w:rsid w:val="6A017BA8"/>
    <w:rsid w:val="6A133D56"/>
    <w:rsid w:val="6A2E78BF"/>
    <w:rsid w:val="6B152DB3"/>
    <w:rsid w:val="6BF830C3"/>
    <w:rsid w:val="6C406AD0"/>
    <w:rsid w:val="6DFF3A26"/>
    <w:rsid w:val="6E2C7881"/>
    <w:rsid w:val="6F0B5A60"/>
    <w:rsid w:val="6F60051B"/>
    <w:rsid w:val="6FAA734A"/>
    <w:rsid w:val="70384CF8"/>
    <w:rsid w:val="703B565C"/>
    <w:rsid w:val="70986E39"/>
    <w:rsid w:val="70E45E86"/>
    <w:rsid w:val="71446580"/>
    <w:rsid w:val="7175088F"/>
    <w:rsid w:val="71774F78"/>
    <w:rsid w:val="719E6164"/>
    <w:rsid w:val="74081181"/>
    <w:rsid w:val="75276888"/>
    <w:rsid w:val="754B3B05"/>
    <w:rsid w:val="757C0C4A"/>
    <w:rsid w:val="75BA59B3"/>
    <w:rsid w:val="770D2D5E"/>
    <w:rsid w:val="77EB2B08"/>
    <w:rsid w:val="782C7A47"/>
    <w:rsid w:val="789B0E23"/>
    <w:rsid w:val="78F25C57"/>
    <w:rsid w:val="79492020"/>
    <w:rsid w:val="794B7915"/>
    <w:rsid w:val="797C731D"/>
    <w:rsid w:val="79817A0B"/>
    <w:rsid w:val="7998384D"/>
    <w:rsid w:val="79D20267"/>
    <w:rsid w:val="7A023844"/>
    <w:rsid w:val="7A470B85"/>
    <w:rsid w:val="7A7362FE"/>
    <w:rsid w:val="7AAF29BB"/>
    <w:rsid w:val="7AF06FC9"/>
    <w:rsid w:val="7B0A23AE"/>
    <w:rsid w:val="7B680F59"/>
    <w:rsid w:val="7B754C8D"/>
    <w:rsid w:val="7BBB58BA"/>
    <w:rsid w:val="7C26349E"/>
    <w:rsid w:val="7CFB165D"/>
    <w:rsid w:val="7D453655"/>
    <w:rsid w:val="7D81626D"/>
    <w:rsid w:val="7DA207AB"/>
    <w:rsid w:val="7DA76917"/>
    <w:rsid w:val="7DC10D1E"/>
    <w:rsid w:val="7DE074FE"/>
    <w:rsid w:val="7EBA1133"/>
    <w:rsid w:val="7ED226BF"/>
    <w:rsid w:val="7F1A1E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5">
    <w:name w:val="heading 1"/>
    <w:basedOn w:val="1"/>
    <w:next w:val="1"/>
    <w:link w:val="44"/>
    <w:qFormat/>
    <w:uiPriority w:val="9"/>
    <w:pPr>
      <w:spacing w:before="480" w:after="0"/>
      <w:contextualSpacing/>
      <w:jc w:val="center"/>
      <w:outlineLvl w:val="0"/>
    </w:pPr>
    <w:rPr>
      <w:rFonts w:ascii="仿宋_GB2312" w:eastAsia="仿宋_GB2312"/>
      <w:b/>
      <w:smallCaps/>
      <w:spacing w:val="5"/>
      <w:sz w:val="36"/>
      <w:szCs w:val="36"/>
    </w:rPr>
  </w:style>
  <w:style w:type="paragraph" w:styleId="6">
    <w:name w:val="heading 2"/>
    <w:basedOn w:val="1"/>
    <w:next w:val="1"/>
    <w:link w:val="45"/>
    <w:unhideWhenUsed/>
    <w:qFormat/>
    <w:uiPriority w:val="9"/>
    <w:pPr>
      <w:spacing w:before="200" w:after="0" w:line="271" w:lineRule="auto"/>
      <w:jc w:val="center"/>
      <w:outlineLvl w:val="1"/>
    </w:pPr>
    <w:rPr>
      <w:b/>
      <w:smallCaps/>
      <w:sz w:val="28"/>
      <w:szCs w:val="28"/>
    </w:rPr>
  </w:style>
  <w:style w:type="paragraph" w:styleId="7">
    <w:name w:val="heading 3"/>
    <w:basedOn w:val="1"/>
    <w:next w:val="1"/>
    <w:link w:val="46"/>
    <w:unhideWhenUsed/>
    <w:qFormat/>
    <w:uiPriority w:val="0"/>
    <w:pPr>
      <w:outlineLvl w:val="2"/>
    </w:pPr>
    <w:rPr>
      <w:b/>
    </w:rPr>
  </w:style>
  <w:style w:type="paragraph" w:styleId="8">
    <w:name w:val="heading 4"/>
    <w:basedOn w:val="1"/>
    <w:next w:val="1"/>
    <w:link w:val="47"/>
    <w:unhideWhenUsed/>
    <w:qFormat/>
    <w:uiPriority w:val="9"/>
    <w:pPr>
      <w:spacing w:after="0" w:line="271" w:lineRule="auto"/>
      <w:outlineLvl w:val="3"/>
    </w:pPr>
    <w:rPr>
      <w:b/>
      <w:bCs/>
      <w:spacing w:val="5"/>
    </w:rPr>
  </w:style>
  <w:style w:type="paragraph" w:styleId="9">
    <w:name w:val="heading 5"/>
    <w:basedOn w:val="1"/>
    <w:next w:val="1"/>
    <w:link w:val="48"/>
    <w:unhideWhenUsed/>
    <w:qFormat/>
    <w:uiPriority w:val="9"/>
    <w:pPr>
      <w:spacing w:after="0" w:line="271" w:lineRule="auto"/>
      <w:outlineLvl w:val="4"/>
    </w:pPr>
    <w:rPr>
      <w:i/>
      <w:iCs/>
    </w:rPr>
  </w:style>
  <w:style w:type="paragraph" w:styleId="10">
    <w:name w:val="heading 6"/>
    <w:basedOn w:val="1"/>
    <w:next w:val="1"/>
    <w:link w:val="49"/>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11">
    <w:name w:val="heading 7"/>
    <w:basedOn w:val="1"/>
    <w:next w:val="1"/>
    <w:link w:val="50"/>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2">
    <w:name w:val="heading 8"/>
    <w:basedOn w:val="1"/>
    <w:next w:val="1"/>
    <w:link w:val="51"/>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3">
    <w:name w:val="heading 9"/>
    <w:basedOn w:val="1"/>
    <w:next w:val="1"/>
    <w:link w:val="52"/>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pPr>
    <w:rPr>
      <w:rFonts w:hAnsi="Calibri" w:cs="Times New Roman"/>
      <w:szCs w:val="20"/>
    </w:rPr>
  </w:style>
  <w:style w:type="paragraph" w:styleId="3">
    <w:name w:val="Body Text"/>
    <w:basedOn w:val="1"/>
    <w:next w:val="2"/>
    <w:qFormat/>
    <w:uiPriority w:val="0"/>
    <w:pPr>
      <w:spacing w:after="120"/>
    </w:pPr>
  </w:style>
  <w:style w:type="paragraph" w:styleId="4">
    <w:name w:val="toc 6"/>
    <w:basedOn w:val="1"/>
    <w:next w:val="1"/>
    <w:qFormat/>
    <w:uiPriority w:val="0"/>
    <w:pPr>
      <w:ind w:left="2100" w:leftChars="1000"/>
    </w:pPr>
  </w:style>
  <w:style w:type="paragraph" w:styleId="14">
    <w:name w:val="Normal Indent"/>
    <w:basedOn w:val="1"/>
    <w:next w:val="15"/>
    <w:link w:val="53"/>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5">
    <w:name w:val="Body Text Indent"/>
    <w:basedOn w:val="1"/>
    <w:next w:val="14"/>
    <w:link w:val="54"/>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6">
    <w:name w:val="caption"/>
    <w:basedOn w:val="1"/>
    <w:next w:val="1"/>
    <w:semiHidden/>
    <w:unhideWhenUsed/>
    <w:qFormat/>
    <w:uiPriority w:val="35"/>
    <w:rPr>
      <w:b/>
      <w:bCs/>
      <w:caps/>
      <w:sz w:val="16"/>
      <w:szCs w:val="18"/>
    </w:rPr>
  </w:style>
  <w:style w:type="paragraph" w:styleId="17">
    <w:name w:val="Document Map"/>
    <w:basedOn w:val="1"/>
    <w:link w:val="92"/>
    <w:qFormat/>
    <w:uiPriority w:val="0"/>
    <w:pPr>
      <w:widowControl w:val="0"/>
      <w:spacing w:after="0"/>
      <w:jc w:val="both"/>
    </w:pPr>
    <w:rPr>
      <w:rFonts w:ascii="宋体" w:hAnsi="Times New Roman" w:eastAsia="宋体" w:cs="Times New Roman"/>
      <w:kern w:val="2"/>
    </w:rPr>
  </w:style>
  <w:style w:type="paragraph" w:styleId="18">
    <w:name w:val="annotation text"/>
    <w:basedOn w:val="1"/>
    <w:link w:val="93"/>
    <w:qFormat/>
    <w:uiPriority w:val="0"/>
    <w:pPr>
      <w:widowControl w:val="0"/>
      <w:spacing w:after="0"/>
    </w:pPr>
    <w:rPr>
      <w:rFonts w:ascii="Times New Roman" w:hAnsi="Times New Roman" w:eastAsia="宋体" w:cs="Times New Roman"/>
      <w:kern w:val="2"/>
      <w:sz w:val="21"/>
    </w:rPr>
  </w:style>
  <w:style w:type="paragraph" w:styleId="1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0">
    <w:name w:val="toc 3"/>
    <w:basedOn w:val="1"/>
    <w:next w:val="1"/>
    <w:qFormat/>
    <w:uiPriority w:val="0"/>
    <w:pPr>
      <w:widowControl w:val="0"/>
      <w:tabs>
        <w:tab w:val="right" w:leader="hyphen" w:pos="9192"/>
      </w:tabs>
      <w:spacing w:after="0"/>
      <w:ind w:left="420"/>
    </w:pPr>
    <w:rPr>
      <w:rFonts w:ascii="等线" w:hAnsi="Times New Roman" w:eastAsia="等线" w:cs="Times New Roman"/>
      <w:i/>
      <w:iCs/>
      <w:kern w:val="2"/>
      <w:sz w:val="20"/>
      <w:szCs w:val="20"/>
    </w:rPr>
  </w:style>
  <w:style w:type="paragraph" w:styleId="21">
    <w:name w:val="Plain Text"/>
    <w:basedOn w:val="1"/>
    <w:link w:val="55"/>
    <w:qFormat/>
    <w:uiPriority w:val="0"/>
    <w:pPr>
      <w:widowControl w:val="0"/>
      <w:adjustRightInd w:val="0"/>
      <w:spacing w:after="0"/>
      <w:jc w:val="both"/>
    </w:pPr>
    <w:rPr>
      <w:rFonts w:ascii="宋体" w:hAnsi="Courier New" w:eastAsia="宋体" w:cs="Arial"/>
      <w:snapToGrid w:val="0"/>
      <w:kern w:val="2"/>
      <w:sz w:val="21"/>
      <w:szCs w:val="21"/>
    </w:rPr>
  </w:style>
  <w:style w:type="paragraph" w:styleId="22">
    <w:name w:val="Body Text Indent 2"/>
    <w:basedOn w:val="1"/>
    <w:qFormat/>
    <w:uiPriority w:val="0"/>
    <w:pPr>
      <w:spacing w:line="360" w:lineRule="auto"/>
      <w:ind w:firstLine="601"/>
      <w:textAlignment w:val="baseline"/>
    </w:pPr>
    <w:rPr>
      <w:rFonts w:ascii="宋体"/>
      <w:sz w:val="28"/>
      <w:szCs w:val="20"/>
    </w:rPr>
  </w:style>
  <w:style w:type="paragraph" w:styleId="23">
    <w:name w:val="endnote text"/>
    <w:basedOn w:val="1"/>
    <w:semiHidden/>
    <w:qFormat/>
    <w:uiPriority w:val="0"/>
    <w:pPr>
      <w:snapToGrid w:val="0"/>
      <w:jc w:val="left"/>
    </w:pPr>
  </w:style>
  <w:style w:type="paragraph" w:styleId="24">
    <w:name w:val="Balloon Text"/>
    <w:basedOn w:val="1"/>
    <w:link w:val="56"/>
    <w:unhideWhenUsed/>
    <w:qFormat/>
    <w:uiPriority w:val="0"/>
    <w:pPr>
      <w:spacing w:after="0"/>
    </w:pPr>
    <w:rPr>
      <w:sz w:val="18"/>
      <w:szCs w:val="18"/>
    </w:rPr>
  </w:style>
  <w:style w:type="paragraph" w:styleId="25">
    <w:name w:val="footer"/>
    <w:basedOn w:val="1"/>
    <w:link w:val="57"/>
    <w:unhideWhenUsed/>
    <w:qFormat/>
    <w:uiPriority w:val="0"/>
    <w:pPr>
      <w:tabs>
        <w:tab w:val="center" w:pos="4153"/>
        <w:tab w:val="right" w:pos="8306"/>
      </w:tabs>
      <w:snapToGrid w:val="0"/>
    </w:pPr>
    <w:rPr>
      <w:sz w:val="18"/>
      <w:szCs w:val="18"/>
    </w:rPr>
  </w:style>
  <w:style w:type="paragraph" w:styleId="26">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widowControl w:val="0"/>
      <w:spacing w:before="120" w:after="120"/>
    </w:pPr>
    <w:rPr>
      <w:rFonts w:ascii="等线" w:hAnsi="Times New Roman" w:eastAsia="等线" w:cs="Times New Roman"/>
      <w:b/>
      <w:bCs/>
      <w:caps/>
      <w:kern w:val="2"/>
      <w:sz w:val="20"/>
      <w:szCs w:val="20"/>
    </w:rPr>
  </w:style>
  <w:style w:type="paragraph" w:styleId="28">
    <w:name w:val="Subtitle"/>
    <w:basedOn w:val="1"/>
    <w:next w:val="1"/>
    <w:link w:val="59"/>
    <w:qFormat/>
    <w:uiPriority w:val="11"/>
    <w:rPr>
      <w:i/>
      <w:iCs/>
      <w:smallCaps/>
      <w:spacing w:val="10"/>
      <w:sz w:val="28"/>
      <w:szCs w:val="28"/>
    </w:rPr>
  </w:style>
  <w:style w:type="paragraph" w:styleId="29">
    <w:name w:val="Body Text Indent 3"/>
    <w:basedOn w:val="1"/>
    <w:link w:val="94"/>
    <w:qFormat/>
    <w:uiPriority w:val="0"/>
    <w:pPr>
      <w:widowControl w:val="0"/>
      <w:spacing w:after="120"/>
      <w:ind w:left="420" w:leftChars="200"/>
      <w:jc w:val="both"/>
    </w:pPr>
    <w:rPr>
      <w:rFonts w:ascii="Times New Roman" w:hAnsi="Times New Roman" w:eastAsia="宋体" w:cs="Times New Roman"/>
      <w:kern w:val="2"/>
      <w:sz w:val="16"/>
      <w:szCs w:val="16"/>
    </w:rPr>
  </w:style>
  <w:style w:type="paragraph" w:styleId="30">
    <w:name w:val="toc 2"/>
    <w:basedOn w:val="1"/>
    <w:next w:val="1"/>
    <w:qFormat/>
    <w:uiPriority w:val="0"/>
    <w:pPr>
      <w:widowControl w:val="0"/>
      <w:spacing w:after="0"/>
      <w:ind w:left="210"/>
    </w:pPr>
    <w:rPr>
      <w:rFonts w:ascii="等线" w:hAnsi="Times New Roman" w:eastAsia="等线" w:cs="Times New Roman"/>
      <w:smallCaps/>
      <w:kern w:val="2"/>
      <w:sz w:val="20"/>
      <w:szCs w:val="20"/>
    </w:rPr>
  </w:style>
  <w:style w:type="paragraph" w:styleId="31">
    <w:name w:val="Body Text 2"/>
    <w:basedOn w:val="1"/>
    <w:qFormat/>
    <w:uiPriority w:val="0"/>
    <w:pPr>
      <w:spacing w:after="120" w:line="480" w:lineRule="auto"/>
    </w:pPr>
  </w:style>
  <w:style w:type="paragraph" w:styleId="32">
    <w:name w:val="Normal (Web)"/>
    <w:basedOn w:val="1"/>
    <w:unhideWhenUsed/>
    <w:qFormat/>
    <w:uiPriority w:val="99"/>
    <w:pPr>
      <w:spacing w:before="100" w:beforeAutospacing="1" w:after="100" w:afterAutospacing="1"/>
    </w:pPr>
    <w:rPr>
      <w:rFonts w:ascii="宋体" w:hAnsi="宋体" w:eastAsia="宋体" w:cs="宋体"/>
    </w:rPr>
  </w:style>
  <w:style w:type="paragraph" w:styleId="33">
    <w:name w:val="Title"/>
    <w:basedOn w:val="1"/>
    <w:next w:val="1"/>
    <w:link w:val="60"/>
    <w:qFormat/>
    <w:uiPriority w:val="10"/>
    <w:pPr>
      <w:spacing w:after="300"/>
      <w:contextualSpacing/>
    </w:pPr>
    <w:rPr>
      <w:smallCaps/>
      <w:sz w:val="52"/>
      <w:szCs w:val="52"/>
    </w:rPr>
  </w:style>
  <w:style w:type="paragraph" w:styleId="34">
    <w:name w:val="annotation subject"/>
    <w:basedOn w:val="18"/>
    <w:next w:val="18"/>
    <w:link w:val="95"/>
    <w:qFormat/>
    <w:uiPriority w:val="0"/>
    <w:rPr>
      <w:b/>
      <w:bCs/>
    </w:rPr>
  </w:style>
  <w:style w:type="paragraph" w:styleId="35">
    <w:name w:val="Body Text First Indent 2"/>
    <w:basedOn w:val="15"/>
    <w:qFormat/>
    <w:uiPriority w:val="0"/>
    <w:pPr>
      <w:adjustRightInd/>
      <w:spacing w:after="120" w:line="240" w:lineRule="auto"/>
      <w:ind w:left="420" w:leftChars="200" w:firstLine="210"/>
    </w:pPr>
    <w:rPr>
      <w:sz w:val="21"/>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22"/>
    <w:rPr>
      <w:b/>
      <w:bCs/>
    </w:rPr>
  </w:style>
  <w:style w:type="character" w:styleId="40">
    <w:name w:val="page number"/>
    <w:qFormat/>
    <w:uiPriority w:val="0"/>
  </w:style>
  <w:style w:type="character" w:styleId="41">
    <w:name w:val="Emphasis"/>
    <w:qFormat/>
    <w:uiPriority w:val="20"/>
    <w:rPr>
      <w:b/>
      <w:bCs/>
      <w:i/>
      <w:iCs/>
      <w:spacing w:val="10"/>
    </w:rPr>
  </w:style>
  <w:style w:type="character" w:styleId="42">
    <w:name w:val="Hyperlink"/>
    <w:qFormat/>
    <w:uiPriority w:val="0"/>
    <w:rPr>
      <w:rFonts w:ascii="Arial" w:hAnsi="Arial" w:eastAsia="黑体" w:cs="Arial"/>
      <w:snapToGrid w:val="0"/>
      <w:color w:val="000000"/>
      <w:kern w:val="0"/>
      <w:sz w:val="18"/>
      <w:szCs w:val="18"/>
      <w:u w:val="none"/>
    </w:rPr>
  </w:style>
  <w:style w:type="character" w:styleId="43">
    <w:name w:val="annotation reference"/>
    <w:qFormat/>
    <w:uiPriority w:val="0"/>
    <w:rPr>
      <w:sz w:val="21"/>
      <w:szCs w:val="21"/>
    </w:rPr>
  </w:style>
  <w:style w:type="character" w:customStyle="1" w:styleId="44">
    <w:name w:val="标题 1 Char"/>
    <w:basedOn w:val="38"/>
    <w:link w:val="5"/>
    <w:qFormat/>
    <w:uiPriority w:val="9"/>
    <w:rPr>
      <w:rFonts w:ascii="仿宋_GB2312" w:hAnsi="仿宋" w:eastAsia="仿宋_GB2312"/>
      <w:b/>
      <w:smallCaps/>
      <w:spacing w:val="5"/>
      <w:sz w:val="36"/>
      <w:szCs w:val="36"/>
    </w:rPr>
  </w:style>
  <w:style w:type="character" w:customStyle="1" w:styleId="45">
    <w:name w:val="标题 2 Char"/>
    <w:basedOn w:val="38"/>
    <w:link w:val="6"/>
    <w:qFormat/>
    <w:uiPriority w:val="9"/>
    <w:rPr>
      <w:rFonts w:ascii="仿宋" w:hAnsi="仿宋" w:eastAsia="仿宋"/>
      <w:b/>
      <w:smallCaps/>
      <w:sz w:val="28"/>
      <w:szCs w:val="28"/>
    </w:rPr>
  </w:style>
  <w:style w:type="character" w:customStyle="1" w:styleId="46">
    <w:name w:val="标题 3 Char"/>
    <w:basedOn w:val="38"/>
    <w:link w:val="7"/>
    <w:qFormat/>
    <w:uiPriority w:val="0"/>
    <w:rPr>
      <w:rFonts w:ascii="仿宋" w:hAnsi="仿宋" w:eastAsia="仿宋"/>
      <w:b/>
      <w:sz w:val="24"/>
      <w:szCs w:val="24"/>
    </w:rPr>
  </w:style>
  <w:style w:type="character" w:customStyle="1" w:styleId="47">
    <w:name w:val="标题 4 Char"/>
    <w:basedOn w:val="38"/>
    <w:link w:val="8"/>
    <w:qFormat/>
    <w:uiPriority w:val="9"/>
    <w:rPr>
      <w:b/>
      <w:bCs/>
      <w:spacing w:val="5"/>
      <w:sz w:val="24"/>
      <w:szCs w:val="24"/>
    </w:rPr>
  </w:style>
  <w:style w:type="character" w:customStyle="1" w:styleId="48">
    <w:name w:val="标题 5 Char"/>
    <w:basedOn w:val="38"/>
    <w:link w:val="9"/>
    <w:qFormat/>
    <w:uiPriority w:val="9"/>
    <w:rPr>
      <w:i/>
      <w:iCs/>
      <w:sz w:val="24"/>
      <w:szCs w:val="24"/>
    </w:rPr>
  </w:style>
  <w:style w:type="character" w:customStyle="1" w:styleId="49">
    <w:name w:val="标题 6 Char"/>
    <w:basedOn w:val="38"/>
    <w:link w:val="10"/>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50">
    <w:name w:val="标题 7 Char"/>
    <w:basedOn w:val="38"/>
    <w:link w:val="11"/>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51">
    <w:name w:val="标题 8 Char"/>
    <w:basedOn w:val="38"/>
    <w:link w:val="12"/>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52">
    <w:name w:val="标题 9 Char"/>
    <w:basedOn w:val="38"/>
    <w:link w:val="13"/>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53">
    <w:name w:val="正文缩进 Char"/>
    <w:link w:val="14"/>
    <w:qFormat/>
    <w:uiPriority w:val="0"/>
    <w:rPr>
      <w:rFonts w:ascii="宋体" w:hAnsi="Times New Roman" w:eastAsia="宋体" w:cs="Times New Roman"/>
      <w:snapToGrid w:val="0"/>
      <w:color w:val="000000"/>
      <w:kern w:val="28"/>
      <w:sz w:val="28"/>
      <w:szCs w:val="20"/>
    </w:rPr>
  </w:style>
  <w:style w:type="character" w:customStyle="1" w:styleId="54">
    <w:name w:val="正文文本缩进 Char1"/>
    <w:link w:val="15"/>
    <w:qFormat/>
    <w:uiPriority w:val="0"/>
    <w:rPr>
      <w:rFonts w:ascii="宋体" w:hAnsi="宋体" w:eastAsia="宋体" w:cs="Times New Roman"/>
      <w:kern w:val="2"/>
      <w:sz w:val="24"/>
      <w:szCs w:val="24"/>
    </w:rPr>
  </w:style>
  <w:style w:type="character" w:customStyle="1" w:styleId="55">
    <w:name w:val="纯文本 Char"/>
    <w:basedOn w:val="38"/>
    <w:link w:val="21"/>
    <w:qFormat/>
    <w:uiPriority w:val="0"/>
    <w:rPr>
      <w:rFonts w:ascii="宋体" w:hAnsi="Courier New" w:eastAsia="宋体" w:cs="Arial"/>
      <w:snapToGrid w:val="0"/>
      <w:kern w:val="2"/>
      <w:sz w:val="21"/>
      <w:szCs w:val="21"/>
    </w:rPr>
  </w:style>
  <w:style w:type="character" w:customStyle="1" w:styleId="56">
    <w:name w:val="批注框文本 Char"/>
    <w:basedOn w:val="38"/>
    <w:link w:val="24"/>
    <w:qFormat/>
    <w:uiPriority w:val="0"/>
    <w:rPr>
      <w:rFonts w:ascii="仿宋" w:hAnsi="仿宋" w:eastAsia="仿宋"/>
      <w:sz w:val="18"/>
      <w:szCs w:val="18"/>
    </w:rPr>
  </w:style>
  <w:style w:type="character" w:customStyle="1" w:styleId="57">
    <w:name w:val="页脚 Char"/>
    <w:basedOn w:val="38"/>
    <w:link w:val="25"/>
    <w:qFormat/>
    <w:uiPriority w:val="0"/>
    <w:rPr>
      <w:sz w:val="18"/>
      <w:szCs w:val="18"/>
    </w:rPr>
  </w:style>
  <w:style w:type="character" w:customStyle="1" w:styleId="58">
    <w:name w:val="页眉 Char"/>
    <w:basedOn w:val="38"/>
    <w:link w:val="26"/>
    <w:qFormat/>
    <w:uiPriority w:val="99"/>
    <w:rPr>
      <w:sz w:val="18"/>
      <w:szCs w:val="18"/>
    </w:rPr>
  </w:style>
  <w:style w:type="character" w:customStyle="1" w:styleId="59">
    <w:name w:val="副标题 Char"/>
    <w:basedOn w:val="38"/>
    <w:link w:val="28"/>
    <w:qFormat/>
    <w:uiPriority w:val="11"/>
    <w:rPr>
      <w:i/>
      <w:iCs/>
      <w:smallCaps/>
      <w:spacing w:val="10"/>
      <w:sz w:val="28"/>
      <w:szCs w:val="28"/>
    </w:rPr>
  </w:style>
  <w:style w:type="character" w:customStyle="1" w:styleId="60">
    <w:name w:val="标题 Char"/>
    <w:basedOn w:val="38"/>
    <w:link w:val="33"/>
    <w:qFormat/>
    <w:uiPriority w:val="10"/>
    <w:rPr>
      <w:smallCaps/>
      <w:sz w:val="52"/>
      <w:szCs w:val="52"/>
    </w:rPr>
  </w:style>
  <w:style w:type="paragraph" w:customStyle="1" w:styleId="61">
    <w:name w:val="[Normal]"/>
    <w:qFormat/>
    <w:uiPriority w:val="0"/>
    <w:rPr>
      <w:rFonts w:ascii="宋体" w:hAnsi="宋体" w:eastAsia="宋体" w:cs="Times New Roman"/>
      <w:sz w:val="24"/>
      <w:szCs w:val="22"/>
      <w:lang w:val="zh-CN" w:eastAsia="zh-CN" w:bidi="ar-SA"/>
    </w:rPr>
  </w:style>
  <w:style w:type="paragraph" w:styleId="62">
    <w:name w:val="No Spacing"/>
    <w:basedOn w:val="1"/>
    <w:link w:val="63"/>
    <w:qFormat/>
    <w:uiPriority w:val="1"/>
    <w:pPr>
      <w:spacing w:after="0"/>
    </w:pPr>
  </w:style>
  <w:style w:type="character" w:customStyle="1" w:styleId="63">
    <w:name w:val="无间隔 Char"/>
    <w:basedOn w:val="38"/>
    <w:link w:val="62"/>
    <w:qFormat/>
    <w:uiPriority w:val="1"/>
  </w:style>
  <w:style w:type="paragraph" w:styleId="64">
    <w:name w:val="List Paragraph"/>
    <w:basedOn w:val="1"/>
    <w:qFormat/>
    <w:uiPriority w:val="34"/>
    <w:pPr>
      <w:ind w:left="720"/>
      <w:contextualSpacing/>
    </w:pPr>
  </w:style>
  <w:style w:type="paragraph" w:styleId="65">
    <w:name w:val="Quote"/>
    <w:basedOn w:val="1"/>
    <w:next w:val="1"/>
    <w:link w:val="66"/>
    <w:qFormat/>
    <w:uiPriority w:val="29"/>
    <w:rPr>
      <w:i/>
      <w:iCs/>
    </w:rPr>
  </w:style>
  <w:style w:type="character" w:customStyle="1" w:styleId="66">
    <w:name w:val="引用 Char"/>
    <w:basedOn w:val="38"/>
    <w:link w:val="65"/>
    <w:qFormat/>
    <w:uiPriority w:val="29"/>
    <w:rPr>
      <w:i/>
      <w:iCs/>
    </w:rPr>
  </w:style>
  <w:style w:type="paragraph" w:styleId="67">
    <w:name w:val="Intense Quote"/>
    <w:basedOn w:val="1"/>
    <w:next w:val="1"/>
    <w:link w:val="68"/>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68">
    <w:name w:val="明显引用 Char"/>
    <w:basedOn w:val="38"/>
    <w:link w:val="67"/>
    <w:qFormat/>
    <w:uiPriority w:val="30"/>
    <w:rPr>
      <w:i/>
      <w:iCs/>
    </w:rPr>
  </w:style>
  <w:style w:type="character" w:customStyle="1" w:styleId="69">
    <w:name w:val="不明显强调1"/>
    <w:qFormat/>
    <w:uiPriority w:val="19"/>
    <w:rPr>
      <w:i/>
      <w:iCs/>
    </w:rPr>
  </w:style>
  <w:style w:type="character" w:customStyle="1" w:styleId="70">
    <w:name w:val="明显强调1"/>
    <w:qFormat/>
    <w:uiPriority w:val="21"/>
    <w:rPr>
      <w:b/>
      <w:bCs/>
      <w:i/>
      <w:iCs/>
    </w:rPr>
  </w:style>
  <w:style w:type="character" w:customStyle="1" w:styleId="71">
    <w:name w:val="不明显参考1"/>
    <w:basedOn w:val="38"/>
    <w:qFormat/>
    <w:uiPriority w:val="31"/>
    <w:rPr>
      <w:smallCaps/>
    </w:rPr>
  </w:style>
  <w:style w:type="character" w:customStyle="1" w:styleId="72">
    <w:name w:val="明显参考1"/>
    <w:qFormat/>
    <w:uiPriority w:val="32"/>
    <w:rPr>
      <w:b/>
      <w:bCs/>
      <w:smallCaps/>
    </w:rPr>
  </w:style>
  <w:style w:type="character" w:customStyle="1" w:styleId="73">
    <w:name w:val="书籍标题1"/>
    <w:basedOn w:val="38"/>
    <w:qFormat/>
    <w:uiPriority w:val="33"/>
    <w:rPr>
      <w:i/>
      <w:iCs/>
      <w:smallCaps/>
      <w:spacing w:val="5"/>
    </w:rPr>
  </w:style>
  <w:style w:type="paragraph" w:customStyle="1" w:styleId="74">
    <w:name w:val="TOC 标题1"/>
    <w:basedOn w:val="5"/>
    <w:next w:val="1"/>
    <w:semiHidden/>
    <w:unhideWhenUsed/>
    <w:qFormat/>
    <w:uiPriority w:val="39"/>
    <w:pPr>
      <w:outlineLvl w:val="9"/>
    </w:pPr>
    <w:rPr>
      <w:lang w:bidi="en-US"/>
    </w:rPr>
  </w:style>
  <w:style w:type="paragraph" w:customStyle="1" w:styleId="75">
    <w:name w:val="Personal Name"/>
    <w:basedOn w:val="33"/>
    <w:qFormat/>
    <w:uiPriority w:val="0"/>
    <w:rPr>
      <w:b/>
      <w:caps/>
      <w:color w:val="000000"/>
      <w:sz w:val="28"/>
      <w:szCs w:val="28"/>
    </w:rPr>
  </w:style>
  <w:style w:type="character" w:customStyle="1" w:styleId="76">
    <w:name w:val="正文2 Char Char"/>
    <w:link w:val="77"/>
    <w:qFormat/>
    <w:uiPriority w:val="0"/>
    <w:rPr>
      <w:rFonts w:ascii="仿宋" w:hAnsi="仿宋" w:eastAsia="仿宋"/>
      <w:sz w:val="24"/>
      <w:szCs w:val="24"/>
    </w:rPr>
  </w:style>
  <w:style w:type="paragraph" w:customStyle="1" w:styleId="77">
    <w:name w:val="正文2"/>
    <w:basedOn w:val="1"/>
    <w:link w:val="76"/>
    <w:qFormat/>
    <w:uiPriority w:val="0"/>
    <w:pPr>
      <w:spacing w:line="360" w:lineRule="auto"/>
    </w:pPr>
  </w:style>
  <w:style w:type="character" w:customStyle="1" w:styleId="78">
    <w:name w:val="正文文本缩进 Char"/>
    <w:basedOn w:val="38"/>
    <w:semiHidden/>
    <w:qFormat/>
    <w:uiPriority w:val="99"/>
    <w:rPr>
      <w:rFonts w:ascii="仿宋" w:hAnsi="仿宋" w:eastAsia="仿宋"/>
      <w:sz w:val="24"/>
      <w:szCs w:val="24"/>
    </w:rPr>
  </w:style>
  <w:style w:type="character" w:customStyle="1" w:styleId="79">
    <w:name w:val="标题 Char2"/>
    <w:qFormat/>
    <w:uiPriority w:val="10"/>
    <w:rPr>
      <w:b/>
      <w:sz w:val="24"/>
      <w:lang w:val="en-GB"/>
    </w:rPr>
  </w:style>
  <w:style w:type="character" w:customStyle="1" w:styleId="80">
    <w:name w:val="纯文本 Char1"/>
    <w:link w:val="81"/>
    <w:qFormat/>
    <w:uiPriority w:val="0"/>
    <w:rPr>
      <w:rFonts w:ascii="宋体" w:hAnsi="Courier New"/>
    </w:rPr>
  </w:style>
  <w:style w:type="paragraph" w:customStyle="1" w:styleId="81">
    <w:name w:val="纯文本1"/>
    <w:basedOn w:val="1"/>
    <w:link w:val="80"/>
    <w:qFormat/>
    <w:uiPriority w:val="0"/>
    <w:pPr>
      <w:widowControl w:val="0"/>
      <w:spacing w:after="0"/>
      <w:jc w:val="both"/>
    </w:pPr>
    <w:rPr>
      <w:rFonts w:ascii="宋体" w:hAnsi="Courier New" w:eastAsiaTheme="majorEastAsia"/>
      <w:sz w:val="22"/>
      <w:szCs w:val="22"/>
    </w:rPr>
  </w:style>
  <w:style w:type="character" w:customStyle="1" w:styleId="82">
    <w:name w:val="页脚 Char2"/>
    <w:qFormat/>
    <w:locked/>
    <w:uiPriority w:val="99"/>
    <w:rPr>
      <w:kern w:val="2"/>
      <w:sz w:val="18"/>
      <w:szCs w:val="18"/>
    </w:rPr>
  </w:style>
  <w:style w:type="character" w:customStyle="1" w:styleId="83">
    <w:name w:val="页眉 Char2"/>
    <w:qFormat/>
    <w:uiPriority w:val="99"/>
    <w:rPr>
      <w:kern w:val="2"/>
      <w:sz w:val="18"/>
      <w:szCs w:val="18"/>
    </w:rPr>
  </w:style>
  <w:style w:type="paragraph" w:customStyle="1" w:styleId="84">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85">
    <w:name w:val="正文缩进1"/>
    <w:basedOn w:val="1"/>
    <w:next w:val="15"/>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86">
    <w:name w:val="text-tag"/>
    <w:basedOn w:val="1"/>
    <w:semiHidden/>
    <w:qFormat/>
    <w:uiPriority w:val="99"/>
    <w:pPr>
      <w:spacing w:before="100" w:beforeAutospacing="1" w:after="100" w:afterAutospacing="1"/>
    </w:pPr>
    <w:rPr>
      <w:rFonts w:ascii="宋体" w:hAnsi="宋体" w:eastAsia="宋体" w:cs="宋体"/>
    </w:rPr>
  </w:style>
  <w:style w:type="character" w:customStyle="1" w:styleId="87">
    <w:name w:val="纯文本 Char_0"/>
    <w:link w:val="88"/>
    <w:qFormat/>
    <w:uiPriority w:val="0"/>
    <w:rPr>
      <w:rFonts w:ascii="宋体" w:hAnsi="Courier New"/>
      <w:kern w:val="2"/>
      <w:sz w:val="21"/>
      <w:szCs w:val="21"/>
    </w:rPr>
  </w:style>
  <w:style w:type="paragraph" w:customStyle="1" w:styleId="88">
    <w:name w:val="纯文本_0_0"/>
    <w:basedOn w:val="1"/>
    <w:link w:val="87"/>
    <w:qFormat/>
    <w:uiPriority w:val="0"/>
    <w:pPr>
      <w:widowControl w:val="0"/>
      <w:spacing w:after="0"/>
      <w:jc w:val="both"/>
    </w:pPr>
    <w:rPr>
      <w:rFonts w:ascii="宋体" w:hAnsi="Courier New" w:eastAsiaTheme="majorEastAsia"/>
      <w:kern w:val="2"/>
      <w:sz w:val="21"/>
      <w:szCs w:val="21"/>
    </w:rPr>
  </w:style>
  <w:style w:type="paragraph" w:customStyle="1" w:styleId="89">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paragraph" w:customStyle="1" w:styleId="90">
    <w:name w:val="缺省文本"/>
    <w:basedOn w:val="1"/>
    <w:qFormat/>
    <w:uiPriority w:val="0"/>
    <w:pPr>
      <w:overflowPunct w:val="0"/>
      <w:autoSpaceDE w:val="0"/>
      <w:autoSpaceDN w:val="0"/>
      <w:spacing w:line="360" w:lineRule="auto"/>
      <w:ind w:firstLine="720" w:firstLineChars="200"/>
      <w:textAlignment w:val="baseline"/>
    </w:pPr>
    <w:rPr>
      <w:rFonts w:ascii="宋体" w:eastAsia="仿宋_GB2312"/>
      <w:sz w:val="28"/>
      <w:szCs w:val="20"/>
    </w:rPr>
  </w:style>
  <w:style w:type="paragraph" w:customStyle="1" w:styleId="91">
    <w:name w:val="表格文字"/>
    <w:basedOn w:val="1"/>
    <w:next w:val="3"/>
    <w:qFormat/>
    <w:uiPriority w:val="0"/>
    <w:pPr>
      <w:ind w:firstLine="200" w:firstLineChars="200"/>
    </w:pPr>
    <w:rPr>
      <w:rFonts w:ascii="Arial" w:hAnsi="Arial"/>
      <w:spacing w:val="-5"/>
      <w:szCs w:val="20"/>
    </w:rPr>
  </w:style>
  <w:style w:type="character" w:customStyle="1" w:styleId="92">
    <w:name w:val="文档结构图 Char"/>
    <w:basedOn w:val="38"/>
    <w:link w:val="17"/>
    <w:qFormat/>
    <w:uiPriority w:val="0"/>
    <w:rPr>
      <w:rFonts w:ascii="宋体"/>
      <w:kern w:val="2"/>
      <w:sz w:val="24"/>
      <w:szCs w:val="24"/>
    </w:rPr>
  </w:style>
  <w:style w:type="character" w:customStyle="1" w:styleId="93">
    <w:name w:val="批注文字 Char"/>
    <w:basedOn w:val="38"/>
    <w:link w:val="18"/>
    <w:qFormat/>
    <w:uiPriority w:val="0"/>
    <w:rPr>
      <w:kern w:val="2"/>
      <w:sz w:val="21"/>
      <w:szCs w:val="24"/>
    </w:rPr>
  </w:style>
  <w:style w:type="character" w:customStyle="1" w:styleId="94">
    <w:name w:val="正文文本缩进 3 Char"/>
    <w:basedOn w:val="38"/>
    <w:link w:val="29"/>
    <w:qFormat/>
    <w:uiPriority w:val="0"/>
    <w:rPr>
      <w:kern w:val="2"/>
      <w:sz w:val="16"/>
      <w:szCs w:val="16"/>
    </w:rPr>
  </w:style>
  <w:style w:type="character" w:customStyle="1" w:styleId="95">
    <w:name w:val="批注主题 Char"/>
    <w:basedOn w:val="93"/>
    <w:link w:val="34"/>
    <w:qFormat/>
    <w:uiPriority w:val="0"/>
    <w:rPr>
      <w:b/>
      <w:bCs/>
    </w:rPr>
  </w:style>
  <w:style w:type="character" w:customStyle="1" w:styleId="96">
    <w:name w:val="font31"/>
    <w:qFormat/>
    <w:uiPriority w:val="0"/>
    <w:rPr>
      <w:rFonts w:hint="eastAsia" w:ascii="宋体" w:hAnsi="宋体" w:eastAsia="宋体" w:cs="宋体"/>
      <w:b/>
      <w:color w:val="000000"/>
      <w:sz w:val="22"/>
      <w:szCs w:val="22"/>
      <w:u w:val="none"/>
    </w:rPr>
  </w:style>
  <w:style w:type="character" w:customStyle="1" w:styleId="97">
    <w:name w:val="ca-1"/>
    <w:qFormat/>
    <w:uiPriority w:val="0"/>
  </w:style>
  <w:style w:type="paragraph" w:customStyle="1" w:styleId="98">
    <w:name w:val="公开招标文件"/>
    <w:basedOn w:val="1"/>
    <w:qFormat/>
    <w:uiPriority w:val="0"/>
    <w:pPr>
      <w:widowControl w:val="0"/>
      <w:spacing w:after="0" w:line="1000" w:lineRule="exact"/>
      <w:jc w:val="center"/>
    </w:pPr>
    <w:rPr>
      <w:rFonts w:ascii="宋体" w:hAnsi="宋体" w:eastAsia="宋体" w:cs="宋体"/>
      <w:b/>
      <w:bCs/>
      <w:kern w:val="2"/>
      <w:sz w:val="92"/>
      <w:szCs w:val="20"/>
    </w:rPr>
  </w:style>
  <w:style w:type="paragraph" w:customStyle="1" w:styleId="99">
    <w:name w:val="封面编号"/>
    <w:basedOn w:val="1"/>
    <w:qFormat/>
    <w:uiPriority w:val="0"/>
    <w:pPr>
      <w:widowControl w:val="0"/>
      <w:spacing w:after="0" w:line="360" w:lineRule="auto"/>
      <w:jc w:val="center"/>
    </w:pPr>
    <w:rPr>
      <w:rFonts w:ascii="黑体" w:hAnsi="宋体" w:eastAsia="黑体" w:cs="宋体"/>
      <w:b/>
      <w:bCs/>
      <w:kern w:val="2"/>
      <w:sz w:val="38"/>
      <w:szCs w:val="20"/>
    </w:rPr>
  </w:style>
  <w:style w:type="paragraph" w:customStyle="1" w:styleId="100">
    <w:name w:val="列出段落1"/>
    <w:basedOn w:val="1"/>
    <w:qFormat/>
    <w:uiPriority w:val="0"/>
    <w:pPr>
      <w:widowControl w:val="0"/>
      <w:spacing w:after="0"/>
      <w:ind w:firstLine="420" w:firstLineChars="200"/>
      <w:jc w:val="both"/>
    </w:pPr>
    <w:rPr>
      <w:rFonts w:ascii="Times New Roman" w:hAnsi="Times New Roman" w:eastAsia="宋体" w:cs="Times New Roman"/>
      <w:kern w:val="2"/>
      <w:sz w:val="21"/>
      <w:szCs w:val="22"/>
    </w:rPr>
  </w:style>
  <w:style w:type="paragraph" w:customStyle="1" w:styleId="101">
    <w:name w:val="TOC Heading1"/>
    <w:basedOn w:val="5"/>
    <w:next w:val="1"/>
    <w:qFormat/>
    <w:uiPriority w:val="0"/>
    <w:pPr>
      <w:keepNext/>
      <w:keepLines/>
      <w:spacing w:before="240" w:line="259" w:lineRule="auto"/>
      <w:contextualSpacing w:val="0"/>
      <w:jc w:val="left"/>
      <w:outlineLvl w:val="9"/>
    </w:pPr>
    <w:rPr>
      <w:rFonts w:ascii="等线 Light" w:hAnsi="等线 Light" w:eastAsia="等线 Light" w:cs="Times New Roman"/>
      <w:b w:val="0"/>
      <w:smallCaps w:val="0"/>
      <w:color w:val="2F5496"/>
      <w:spacing w:val="0"/>
      <w:sz w:val="32"/>
      <w:szCs w:val="32"/>
    </w:rPr>
  </w:style>
  <w:style w:type="paragraph" w:customStyle="1" w:styleId="102">
    <w:name w:val="封面第一行"/>
    <w:basedOn w:val="1"/>
    <w:qFormat/>
    <w:uiPriority w:val="0"/>
    <w:pPr>
      <w:widowControl w:val="0"/>
      <w:spacing w:after="0" w:line="360" w:lineRule="auto"/>
      <w:jc w:val="center"/>
    </w:pPr>
    <w:rPr>
      <w:rFonts w:ascii="黑体" w:hAnsi="宋体" w:eastAsia="黑体" w:cs="宋体"/>
      <w:kern w:val="2"/>
      <w:sz w:val="56"/>
      <w:szCs w:val="20"/>
    </w:rPr>
  </w:style>
  <w:style w:type="paragraph" w:customStyle="1" w:styleId="103">
    <w:name w:val="正文文本 21"/>
    <w:basedOn w:val="1"/>
    <w:qFormat/>
    <w:uiPriority w:val="0"/>
    <w:pPr>
      <w:widowControl w:val="0"/>
      <w:adjustRightInd w:val="0"/>
      <w:spacing w:after="0" w:line="300" w:lineRule="auto"/>
      <w:jc w:val="center"/>
      <w:textAlignment w:val="baseline"/>
    </w:pPr>
    <w:rPr>
      <w:rFonts w:ascii="宋体" w:hAnsi="宋体" w:eastAsia="宋体" w:cs="Times New Roman"/>
      <w:kern w:val="2"/>
      <w:szCs w:val="20"/>
    </w:rPr>
  </w:style>
  <w:style w:type="paragraph" w:customStyle="1" w:styleId="104">
    <w:name w:val="正文段"/>
    <w:basedOn w:val="1"/>
    <w:qFormat/>
    <w:uiPriority w:val="0"/>
    <w:pPr>
      <w:widowControl/>
      <w:snapToGrid w:val="0"/>
      <w:spacing w:after="156"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520DC9-96A8-46E0-83BB-CFF26CFF9D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23182</Words>
  <Characters>24737</Characters>
  <Lines>293</Lines>
  <Paragraphs>82</Paragraphs>
  <TotalTime>3</TotalTime>
  <ScaleCrop>false</ScaleCrop>
  <LinksUpToDate>false</LinksUpToDate>
  <CharactersWithSpaces>27799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天盛浙创工程咨询有限公司</cp:lastModifiedBy>
  <cp:lastPrinted>2023-03-02T10:29:00Z</cp:lastPrinted>
  <dcterms:modified xsi:type="dcterms:W3CDTF">2023-03-06T02:51:36Z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D9FFDE744C684BF88D9419F046657889</vt:lpwstr>
  </property>
</Properties>
</file>