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三亚崖州湾科技城采后热带保鲜应用研究实验室项目</w:t>
      </w: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白蚁防治采购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需求书</w:t>
      </w:r>
    </w:p>
    <w:p>
      <w:pPr>
        <w:spacing w:line="578" w:lineRule="exact"/>
        <w:jc w:val="center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</w:p>
    <w:p>
      <w:pPr>
        <w:numPr>
          <w:ilvl w:val="0"/>
          <w:numId w:val="1"/>
        </w:numPr>
        <w:spacing w:line="578" w:lineRule="exact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项目概述</w:t>
      </w:r>
    </w:p>
    <w:p>
      <w:pPr>
        <w:jc w:val="center"/>
        <w:rPr>
          <w:rFonts w:hint="eastAsia" w:ascii="仿宋_GB2312" w:hAnsi="仿宋_GB2312" w:eastAsia="仿宋_GB2312" w:cs="仿宋_GB2312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4"/>
          <w:szCs w:val="24"/>
          <w:lang w:val="en-US" w:eastAsia="zh-CN" w:bidi="ar-SA"/>
        </w:rPr>
        <w:t>项目名称：三亚崖州湾科技城采后热带保鲜应用研究实验室项目白蚁防治。</w:t>
      </w:r>
    </w:p>
    <w:p>
      <w:pPr>
        <w:pStyle w:val="3"/>
        <w:ind w:left="480"/>
        <w:rPr>
          <w:rFonts w:hint="eastAsia" w:ascii="仿宋_GB2312" w:hAnsi="仿宋_GB2312" w:eastAsia="仿宋_GB2312" w:cs="仿宋_GB2312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4"/>
          <w:szCs w:val="24"/>
          <w:lang w:val="en-US" w:eastAsia="zh-CN" w:bidi="ar-SA"/>
        </w:rPr>
        <w:t>项目地点：三亚崖州湾科技城</w:t>
      </w:r>
    </w:p>
    <w:p>
      <w:pPr>
        <w:spacing w:line="578" w:lineRule="exact"/>
        <w:ind w:firstLine="480" w:firstLineChars="200"/>
        <w:rPr>
          <w:rFonts w:hint="eastAsia" w:ascii="仿宋_GB2312" w:hAnsi="仿宋_GB2312" w:eastAsia="仿宋_GB2312" w:cs="仿宋_GB2312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4"/>
          <w:szCs w:val="24"/>
          <w:lang w:val="en-US" w:eastAsia="zh-CN" w:bidi="ar-SA"/>
        </w:rPr>
        <w:t>主要建设内容：该项目总用地面积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kern w:val="2"/>
          <w:sz w:val="24"/>
          <w:szCs w:val="24"/>
          <w:lang w:val="en-US" w:eastAsia="zh-CN" w:bidi="ar-SA"/>
        </w:rPr>
        <w:t>约6243.86m(约9.37亩)，总建筑面积约</w:t>
      </w:r>
    </w:p>
    <w:p>
      <w:pPr>
        <w:spacing w:line="578" w:lineRule="exact"/>
        <w:ind w:firstLine="480" w:firstLineChars="200"/>
        <w:rPr>
          <w:rFonts w:hint="eastAsia" w:ascii="仿宋_GB2312" w:hAnsi="仿宋_GB2312" w:eastAsia="仿宋_GB2312" w:cs="仿宋_GB2312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4"/>
          <w:szCs w:val="24"/>
          <w:lang w:val="en-US" w:eastAsia="zh-CN" w:bidi="ar-SA"/>
        </w:rPr>
        <w:t>7416.00 m(其中地上建筑面积为 7149.76㎡，地下建筑面积为266.24㎡)。主要包括新建一栋地上4层TAP 中心大楼，建筑面积约7117.36㎡;新建一栋地下1层门卫室，建筑面积约32.40m;新建一栋地下1层消防水箱间，建筑面积约 266.24 m;同时配售建设室外景观绿化工程、室外道路广场工程、围墙工程、大门工程、一体化污水处理站、给排水工程、电气工程以及机械停车库、实验室设备购置等。装配式建筑面积约7117.36m(装配式最终面积以通过专家评审会的实际面积为准)。</w:t>
      </w:r>
    </w:p>
    <w:p>
      <w:pPr>
        <w:spacing w:line="578" w:lineRule="exact"/>
        <w:ind w:firstLine="480" w:firstLineChars="200"/>
        <w:rPr>
          <w:rFonts w:hint="eastAsia" w:ascii="仿宋_GB2312" w:hAnsi="仿宋_GB2312" w:eastAsia="仿宋_GB2312" w:cs="仿宋_GB2312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4"/>
          <w:szCs w:val="24"/>
          <w:lang w:val="en-US" w:eastAsia="zh-CN" w:bidi="ar-SA"/>
        </w:rPr>
        <w:t>项目采购人为三亚崖州湾科技城开发建设有限公司，项目工期至出具成果文件之日，资金来源为政府投资。</w:t>
      </w:r>
    </w:p>
    <w:p>
      <w:pPr>
        <w:numPr>
          <w:ilvl w:val="0"/>
          <w:numId w:val="1"/>
        </w:numPr>
        <w:spacing w:line="578" w:lineRule="exact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项目采购内容及要求</w:t>
      </w:r>
    </w:p>
    <w:p>
      <w:pPr>
        <w:adjustRightInd w:val="0"/>
        <w:snapToGrid w:val="0"/>
        <w:spacing w:before="156" w:beforeLines="50" w:after="156" w:afterLines="50" w:line="360" w:lineRule="auto"/>
        <w:ind w:firstLine="480" w:firstLineChars="200"/>
        <w:rPr>
          <w:rFonts w:hint="eastAsia" w:ascii="仿宋_GB2312" w:hAnsi="仿宋_GB2312" w:eastAsia="仿宋_GB2312" w:cs="仿宋_GB2312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</w:rPr>
        <w:t>按照经甲方确认的白蚁防治施工图及甲方的要求进行施工，承包的范围包括但不限于：</w:t>
      </w:r>
    </w:p>
    <w:p>
      <w:pPr>
        <w:adjustRightInd w:val="0"/>
        <w:snapToGrid w:val="0"/>
        <w:spacing w:before="156" w:beforeLines="50" w:after="156" w:afterLines="50" w:line="360" w:lineRule="auto"/>
        <w:ind w:firstLine="480" w:firstLineChars="200"/>
        <w:rPr>
          <w:rFonts w:hint="eastAsia" w:ascii="仿宋_GB2312" w:hAnsi="仿宋_GB2312" w:eastAsia="仿宋_GB2312" w:cs="仿宋_GB2312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</w:rPr>
        <w:t>（1）建筑物周边室外地面沿墙壁50CM范围内；</w:t>
      </w:r>
    </w:p>
    <w:p>
      <w:pPr>
        <w:adjustRightInd w:val="0"/>
        <w:snapToGrid w:val="0"/>
        <w:spacing w:before="156" w:beforeLines="50" w:after="156" w:afterLines="50" w:line="360" w:lineRule="auto"/>
        <w:rPr>
          <w:rFonts w:hint="eastAsia" w:ascii="仿宋_GB2312" w:hAnsi="仿宋_GB2312" w:eastAsia="仿宋_GB2312" w:cs="仿宋_GB2312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</w:rPr>
        <w:t xml:space="preserve">    （2）建筑物的地坪、内外墙基、桩基、管井等周围土层的防蚁处理；</w:t>
      </w:r>
    </w:p>
    <w:p>
      <w:pPr>
        <w:adjustRightInd w:val="0"/>
        <w:snapToGrid w:val="0"/>
        <w:spacing w:before="156" w:beforeLines="50" w:after="156" w:afterLines="50" w:line="360" w:lineRule="auto"/>
        <w:ind w:firstLine="480" w:firstLineChars="200"/>
        <w:rPr>
          <w:rFonts w:hint="eastAsia" w:ascii="仿宋_GB2312" w:hAnsi="仿宋_GB2312" w:eastAsia="仿宋_GB2312" w:cs="仿宋_GB2312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</w:rPr>
        <w:t>（3）各建筑物的基础防蚁处理；</w:t>
      </w:r>
    </w:p>
    <w:p>
      <w:pPr>
        <w:adjustRightInd w:val="0"/>
        <w:snapToGrid w:val="0"/>
        <w:spacing w:before="156" w:beforeLines="50" w:after="156" w:afterLines="50" w:line="360" w:lineRule="auto"/>
        <w:ind w:firstLine="480" w:firstLineChars="200"/>
        <w:rPr>
          <w:rFonts w:hint="eastAsia" w:ascii="仿宋_GB2312" w:hAnsi="仿宋_GB2312" w:eastAsia="仿宋_GB2312" w:cs="仿宋_GB2312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</w:rPr>
        <w:t>（4）电缆沟防处理、室内电缆、槽壁板防蚁处理；</w:t>
      </w:r>
    </w:p>
    <w:p>
      <w:pPr>
        <w:adjustRightInd w:val="0"/>
        <w:snapToGrid w:val="0"/>
        <w:spacing w:before="156" w:beforeLines="50" w:after="156" w:afterLines="50" w:line="360" w:lineRule="auto"/>
        <w:ind w:firstLine="480" w:firstLineChars="200"/>
        <w:rPr>
          <w:rFonts w:hint="eastAsia" w:ascii="仿宋_GB2312" w:hAnsi="仿宋_GB2312" w:eastAsia="仿宋_GB2312" w:cs="仿宋_GB2312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</w:rPr>
        <w:t>（5）室内所有竖向管道井、电梯井及地坪下面的所有管沟出入口的防蚁处理；</w:t>
      </w:r>
    </w:p>
    <w:p>
      <w:pPr>
        <w:adjustRightInd w:val="0"/>
        <w:snapToGrid w:val="0"/>
        <w:spacing w:before="156" w:beforeLines="50" w:after="156" w:afterLines="50" w:line="360" w:lineRule="auto"/>
        <w:ind w:firstLine="480" w:firstLineChars="200"/>
        <w:rPr>
          <w:rFonts w:hint="eastAsia" w:ascii="仿宋_GB2312" w:hAnsi="仿宋_GB2312" w:eastAsia="仿宋_GB2312" w:cs="仿宋_GB2312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</w:rPr>
        <w:t>（6）地下室室内砌体墙两侧、首层所有砌体墙两侧、室内地面、二层及以上内外砌体墙内外侧、防蚁处理（含高低压配电室）；</w:t>
      </w:r>
    </w:p>
    <w:p>
      <w:pPr>
        <w:adjustRightInd w:val="0"/>
        <w:snapToGrid w:val="0"/>
        <w:spacing w:before="156" w:beforeLines="50" w:after="156" w:afterLines="50" w:line="360" w:lineRule="auto"/>
        <w:ind w:firstLine="480" w:firstLineChars="200"/>
        <w:rPr>
          <w:rFonts w:hint="eastAsia" w:ascii="仿宋_GB2312" w:hAnsi="仿宋_GB2312" w:eastAsia="仿宋_GB2312" w:cs="仿宋_GB2312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</w:rPr>
        <w:t>（7）所有的门洞、窗洞防蚁处理；</w:t>
      </w:r>
    </w:p>
    <w:p>
      <w:pPr>
        <w:adjustRightInd w:val="0"/>
        <w:snapToGrid w:val="0"/>
        <w:spacing w:before="156" w:beforeLines="50" w:after="156" w:afterLines="50" w:line="360" w:lineRule="auto"/>
        <w:ind w:firstLine="480" w:firstLineChars="200"/>
        <w:rPr>
          <w:rFonts w:hint="eastAsia" w:ascii="仿宋_GB2312" w:hAnsi="仿宋_GB2312" w:eastAsia="仿宋_GB2312" w:cs="仿宋_GB2312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</w:rPr>
        <w:t>（8）变形缝（沉降缝、伸缩缝）的防蚁处理；</w:t>
      </w:r>
    </w:p>
    <w:p>
      <w:pPr>
        <w:adjustRightInd w:val="0"/>
        <w:snapToGrid w:val="0"/>
        <w:spacing w:before="156" w:beforeLines="50" w:after="156" w:afterLines="50" w:line="360" w:lineRule="auto"/>
        <w:ind w:firstLine="480" w:firstLineChars="200"/>
        <w:rPr>
          <w:rFonts w:hint="eastAsia" w:ascii="仿宋_GB2312" w:hAnsi="仿宋_GB2312" w:eastAsia="仿宋_GB2312" w:cs="仿宋_GB2312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</w:rPr>
        <w:t>（9）所有木构件的防蚁处理；</w:t>
      </w:r>
    </w:p>
    <w:p>
      <w:pPr>
        <w:pStyle w:val="6"/>
        <w:ind w:left="480" w:firstLine="0"/>
        <w:jc w:val="both"/>
        <w:rPr>
          <w:rFonts w:hint="eastAsia" w:ascii="仿宋_GB2312" w:hAnsi="仿宋_GB2312" w:eastAsia="仿宋_GB2312" w:cs="仿宋_GB2312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</w:rPr>
        <w:t>（10）室内外绿化带的防蚁处理等。</w:t>
      </w:r>
    </w:p>
    <w:p>
      <w:pPr>
        <w:pStyle w:val="6"/>
        <w:ind w:left="480" w:firstLine="0"/>
        <w:jc w:val="both"/>
        <w:rPr>
          <w:rFonts w:hint="eastAsia" w:ascii="仿宋_GB2312" w:hAnsi="仿宋_GB2312" w:eastAsia="仿宋_GB2312" w:cs="仿宋_GB2312"/>
          <w:sz w:val="24"/>
          <w:szCs w:val="24"/>
          <w:lang w:val="en-US" w:eastAsia="zh-CN" w:bidi="ar-SA"/>
        </w:rPr>
      </w:pPr>
    </w:p>
    <w:p>
      <w:pPr>
        <w:pStyle w:val="7"/>
        <w:numPr>
          <w:ilvl w:val="0"/>
          <w:numId w:val="1"/>
        </w:numPr>
        <w:spacing w:after="0" w:line="578" w:lineRule="exact"/>
        <w:ind w:firstLine="0" w:firstLineChars="0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项目控制价及参考依据</w:t>
      </w:r>
    </w:p>
    <w:p>
      <w:pPr>
        <w:pStyle w:val="7"/>
        <w:spacing w:after="0" w:line="578" w:lineRule="exact"/>
        <w:ind w:firstLine="56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预算上限价12869.00元，下限价0万元</w:t>
      </w:r>
      <w:r>
        <w:rPr>
          <w:rFonts w:hint="eastAsia" w:ascii="仿宋_GB2312" w:hAnsi="仿宋_GB2312" w:eastAsia="仿宋_GB2312" w:cs="仿宋_GB2312"/>
          <w:sz w:val="24"/>
          <w:szCs w:val="24"/>
        </w:rPr>
        <w:t>，具体见预算表。</w:t>
      </w:r>
    </w:p>
    <w:p>
      <w:pPr>
        <w:pStyle w:val="7"/>
        <w:numPr>
          <w:ilvl w:val="0"/>
          <w:numId w:val="1"/>
        </w:numPr>
        <w:spacing w:after="0" w:line="578" w:lineRule="exact"/>
        <w:ind w:firstLine="0" w:firstLineChars="0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采购方式</w:t>
      </w:r>
    </w:p>
    <w:p>
      <w:pPr>
        <w:spacing w:line="578" w:lineRule="exact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 电子采购平台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。</w:t>
      </w:r>
    </w:p>
    <w:p>
      <w:pPr>
        <w:pStyle w:val="7"/>
        <w:numPr>
          <w:ilvl w:val="0"/>
          <w:numId w:val="1"/>
        </w:numPr>
        <w:spacing w:after="0" w:line="578" w:lineRule="exact"/>
        <w:ind w:firstLine="0" w:firstLineChars="0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供应商资质要求</w:t>
      </w:r>
    </w:p>
    <w:p>
      <w:pPr>
        <w:spacing w:line="578" w:lineRule="exact"/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登记注册营业执照所经营业务范围符合本次采购项目需求</w:t>
      </w:r>
    </w:p>
    <w:p>
      <w:pPr>
        <w:pStyle w:val="7"/>
        <w:numPr>
          <w:ilvl w:val="0"/>
          <w:numId w:val="1"/>
        </w:numPr>
        <w:spacing w:after="0" w:line="578" w:lineRule="exact"/>
        <w:ind w:firstLine="0" w:firstLineChars="0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工期或工程完工时间</w:t>
      </w:r>
    </w:p>
    <w:p>
      <w:pPr>
        <w:spacing w:line="578" w:lineRule="exact"/>
        <w:rPr>
          <w:rFonts w:hint="eastAsia" w:ascii="仿宋_GB2312" w:hAnsi="仿宋_GB2312" w:eastAsia="仿宋_GB2312" w:cs="仿宋_GB2312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</w:rPr>
        <w:t xml:space="preserve">   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签订服务合同之日起至出具成果文件之日。</w:t>
      </w:r>
    </w:p>
    <w:p>
      <w:pPr>
        <w:pStyle w:val="7"/>
        <w:numPr>
          <w:ilvl w:val="0"/>
          <w:numId w:val="1"/>
        </w:numPr>
        <w:spacing w:after="0" w:line="578" w:lineRule="exact"/>
        <w:ind w:firstLine="0" w:firstLineChars="0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项目质量、售后等要求</w:t>
      </w:r>
    </w:p>
    <w:p>
      <w:pPr>
        <w:pStyle w:val="7"/>
        <w:spacing w:after="0" w:line="578" w:lineRule="exact"/>
        <w:ind w:left="420" w:firstLine="0" w:firstLineChars="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可说明项目质量要求、服务效果、售后等方面要求。</w:t>
      </w:r>
    </w:p>
    <w:p>
      <w:pPr>
        <w:pStyle w:val="7"/>
        <w:numPr>
          <w:ilvl w:val="0"/>
          <w:numId w:val="1"/>
        </w:numPr>
        <w:spacing w:after="0" w:line="578" w:lineRule="exact"/>
        <w:ind w:firstLine="0" w:firstLineChars="0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验收方式</w:t>
      </w:r>
    </w:p>
    <w:p>
      <w:pPr>
        <w:spacing w:line="578" w:lineRule="exact"/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由采购部门组织由有关专业人员按相关的国家标准、质量标准和采购文件所列的各项要求进行验收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。</w:t>
      </w:r>
    </w:p>
    <w:p>
      <w:pPr>
        <w:pStyle w:val="7"/>
        <w:numPr>
          <w:ilvl w:val="0"/>
          <w:numId w:val="1"/>
        </w:numPr>
        <w:spacing w:after="0" w:line="578" w:lineRule="exact"/>
        <w:ind w:firstLine="0" w:firstLineChars="0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其他</w:t>
      </w:r>
    </w:p>
    <w:p>
      <w:pPr>
        <w:spacing w:line="578" w:lineRule="exact"/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121212"/>
          <w:sz w:val="24"/>
          <w:szCs w:val="24"/>
          <w:shd w:val="clear" w:color="auto" w:fill="FFFFFF"/>
          <w:lang w:val="en-US" w:eastAsia="zh-CN"/>
        </w:rPr>
        <w:t>无</w:t>
      </w:r>
    </w:p>
    <w:p/>
    <w:sectPr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473DEE0"/>
    <w:multiLevelType w:val="singleLevel"/>
    <w:tmpl w:val="D473DEE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2NmMyYzUwY2QzZDFhZWViZDc3YTRlMTBmYmZjYmMifQ=="/>
  </w:docVars>
  <w:rsids>
    <w:rsidRoot w:val="3195140E"/>
    <w:rsid w:val="0F6E7CCF"/>
    <w:rsid w:val="3195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/>
    </w:pPr>
    <w:rPr>
      <w:szCs w:val="20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customStyle="1" w:styleId="6">
    <w:name w:val="列出段落1"/>
    <w:basedOn w:val="1"/>
    <w:qFormat/>
    <w:uiPriority w:val="34"/>
    <w:pPr>
      <w:ind w:firstLine="420"/>
    </w:pPr>
  </w:style>
  <w:style w:type="paragraph" w:styleId="7">
    <w:name w:val="List Paragraph"/>
    <w:qFormat/>
    <w:uiPriority w:val="34"/>
    <w:pPr>
      <w:adjustRightInd w:val="0"/>
      <w:snapToGrid w:val="0"/>
      <w:spacing w:after="200"/>
      <w:ind w:firstLine="420" w:firstLineChars="200"/>
    </w:pPr>
    <w:rPr>
      <w:rFonts w:ascii="Tahoma" w:hAnsi="Tahoma" w:eastAsia="微软雅黑" w:cs="Times New Roman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2023-01-30T09:15:00Z</dcterms:created>
  <dc:creator>虫控荣15008984645</dc:creator>
  <cp:lastModifiedBy>曼</cp:lastModifiedBy>
  <dcterms:modified xsi:type="dcterms:W3CDTF">2023-02-07T04:00:59Z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A94A91C81077495BB5F385E225AA991B</vt:lpwstr>
  </property>
</Properties>
</file>