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9"/>
        <w:rPr>
          <w:rFonts w:ascii="仿宋" w:hAnsi="仿宋" w:eastAsia="仿宋"/>
          <w:b/>
          <w:color w:val="auto"/>
          <w:sz w:val="100"/>
          <w:highlight w:val="none"/>
        </w:rPr>
      </w:pPr>
    </w:p>
    <w:p>
      <w:pPr>
        <w:pStyle w:val="8"/>
        <w:jc w:val="center"/>
        <w:rPr>
          <w:rFonts w:hint="eastAsia" w:ascii="仿宋" w:hAnsi="仿宋" w:eastAsia="仿宋" w:cs="仿宋"/>
          <w:b/>
          <w:bCs w:val="0"/>
          <w:color w:val="auto"/>
          <w:sz w:val="64"/>
          <w:szCs w:val="64"/>
          <w:highlight w:val="none"/>
        </w:rPr>
      </w:pPr>
    </w:p>
    <w:p>
      <w:pPr>
        <w:pStyle w:val="8"/>
        <w:jc w:val="center"/>
        <w:rPr>
          <w:rFonts w:hint="eastAsia" w:ascii="仿宋" w:hAnsi="仿宋" w:eastAsia="仿宋" w:cs="仿宋"/>
          <w:b/>
          <w:bCs w:val="0"/>
          <w:color w:val="auto"/>
          <w:sz w:val="64"/>
          <w:szCs w:val="64"/>
          <w:highlight w:val="none"/>
        </w:rPr>
      </w:pPr>
    </w:p>
    <w:p>
      <w:pPr>
        <w:pStyle w:val="8"/>
        <w:jc w:val="center"/>
        <w:outlineLvl w:val="0"/>
        <w:rPr>
          <w:rFonts w:hint="eastAsia" w:ascii="仿宋" w:hAnsi="仿宋" w:eastAsia="仿宋" w:cs="仿宋"/>
          <w:b/>
          <w:bCs w:val="0"/>
          <w:color w:val="auto"/>
          <w:sz w:val="56"/>
          <w:szCs w:val="56"/>
          <w:highlight w:val="none"/>
        </w:rPr>
      </w:pPr>
      <w:bookmarkStart w:id="0" w:name="_Toc5673"/>
      <w:bookmarkStart w:id="1" w:name="_Toc6072"/>
      <w:r>
        <w:rPr>
          <w:rFonts w:hint="eastAsia" w:ascii="仿宋" w:hAnsi="仿宋" w:eastAsia="仿宋" w:cs="仿宋"/>
          <w:b/>
          <w:bCs w:val="0"/>
          <w:color w:val="auto"/>
          <w:sz w:val="64"/>
          <w:szCs w:val="64"/>
          <w:highlight w:val="none"/>
        </w:rPr>
        <w:t>重庆</w:t>
      </w:r>
      <w:r>
        <w:rPr>
          <w:rFonts w:hint="eastAsia" w:ascii="仿宋" w:hAnsi="仿宋" w:eastAsia="仿宋" w:cs="仿宋"/>
          <w:b/>
          <w:bCs w:val="0"/>
          <w:color w:val="auto"/>
          <w:sz w:val="64"/>
          <w:szCs w:val="64"/>
          <w:highlight w:val="none"/>
          <w:lang w:val="en-US" w:eastAsia="zh-CN"/>
        </w:rPr>
        <w:t>市</w:t>
      </w:r>
      <w:r>
        <w:rPr>
          <w:rFonts w:hint="eastAsia" w:ascii="仿宋" w:hAnsi="仿宋" w:eastAsia="仿宋" w:cs="仿宋"/>
          <w:b/>
          <w:bCs w:val="0"/>
          <w:color w:val="auto"/>
          <w:sz w:val="64"/>
          <w:szCs w:val="64"/>
          <w:highlight w:val="none"/>
        </w:rPr>
        <w:t>政府采购</w:t>
      </w:r>
      <w:r>
        <w:rPr>
          <w:rFonts w:hint="eastAsia" w:ascii="仿宋" w:hAnsi="仿宋" w:eastAsia="仿宋" w:cs="仿宋"/>
          <w:b/>
          <w:bCs w:val="0"/>
          <w:color w:val="auto"/>
          <w:sz w:val="64"/>
          <w:szCs w:val="64"/>
          <w:highlight w:val="none"/>
          <w:lang w:eastAsia="zh-CN"/>
        </w:rPr>
        <w:t>云平台网上竞采</w:t>
      </w:r>
      <w:bookmarkEnd w:id="0"/>
      <w:bookmarkEnd w:id="1"/>
    </w:p>
    <w:p>
      <w:pPr>
        <w:pStyle w:val="8"/>
        <w:jc w:val="center"/>
        <w:rPr>
          <w:rFonts w:hint="eastAsia" w:ascii="仿宋" w:hAnsi="仿宋" w:eastAsia="仿宋" w:cs="仿宋"/>
          <w:b/>
          <w:bCs w:val="0"/>
          <w:color w:val="auto"/>
          <w:sz w:val="64"/>
          <w:szCs w:val="64"/>
          <w:highlight w:val="none"/>
        </w:rPr>
      </w:pPr>
      <w:r>
        <w:rPr>
          <w:rFonts w:hint="eastAsia" w:ascii="仿宋" w:hAnsi="仿宋" w:eastAsia="仿宋" w:cs="仿宋"/>
          <w:b/>
          <w:bCs w:val="0"/>
          <w:color w:val="auto"/>
          <w:sz w:val="64"/>
          <w:szCs w:val="64"/>
          <w:highlight w:val="none"/>
        </w:rPr>
        <w:t>采购文件</w:t>
      </w:r>
    </w:p>
    <w:p>
      <w:pPr>
        <w:pStyle w:val="8"/>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（综 合 评 分 法）</w:t>
      </w:r>
    </w:p>
    <w:p>
      <w:pPr>
        <w:pStyle w:val="10"/>
        <w:spacing w:line="500" w:lineRule="exact"/>
        <w:ind w:left="0"/>
        <w:rPr>
          <w:rFonts w:ascii="仿宋" w:hAnsi="仿宋" w:eastAsia="仿宋"/>
          <w:color w:val="auto"/>
          <w:sz w:val="32"/>
          <w:highlight w:val="none"/>
        </w:rPr>
      </w:pPr>
    </w:p>
    <w:p>
      <w:pPr>
        <w:pStyle w:val="10"/>
        <w:spacing w:line="500" w:lineRule="exact"/>
        <w:ind w:left="0"/>
        <w:rPr>
          <w:rFonts w:ascii="仿宋" w:hAnsi="仿宋" w:eastAsia="仿宋"/>
          <w:color w:val="auto"/>
          <w:sz w:val="32"/>
          <w:highlight w:val="none"/>
        </w:rPr>
      </w:pPr>
    </w:p>
    <w:p>
      <w:pPr>
        <w:pStyle w:val="10"/>
        <w:spacing w:line="500" w:lineRule="exact"/>
        <w:ind w:left="0"/>
        <w:rPr>
          <w:rFonts w:ascii="仿宋" w:hAnsi="仿宋" w:eastAsia="仿宋"/>
          <w:color w:val="auto"/>
          <w:sz w:val="32"/>
          <w:highlight w:val="none"/>
        </w:rPr>
      </w:pPr>
    </w:p>
    <w:p>
      <w:pPr>
        <w:pStyle w:val="10"/>
        <w:spacing w:line="500" w:lineRule="exact"/>
        <w:ind w:left="0"/>
        <w:rPr>
          <w:rFonts w:ascii="仿宋" w:hAnsi="仿宋" w:eastAsia="仿宋"/>
          <w:color w:val="auto"/>
          <w:sz w:val="32"/>
          <w:highlight w:val="none"/>
        </w:rPr>
      </w:pPr>
    </w:p>
    <w:p>
      <w:pPr>
        <w:pStyle w:val="10"/>
        <w:spacing w:line="500" w:lineRule="exact"/>
        <w:ind w:left="0"/>
        <w:jc w:val="center"/>
        <w:rPr>
          <w:rFonts w:ascii="仿宋" w:hAnsi="仿宋" w:eastAsia="仿宋"/>
          <w:color w:val="auto"/>
          <w:sz w:val="32"/>
          <w:highlight w:val="none"/>
        </w:rPr>
      </w:pPr>
    </w:p>
    <w:p>
      <w:pPr>
        <w:pStyle w:val="6"/>
        <w:spacing w:line="360" w:lineRule="auto"/>
        <w:ind w:firstLine="640" w:firstLineChars="200"/>
        <w:jc w:val="left"/>
        <w:outlineLvl w:val="0"/>
        <w:rPr>
          <w:rFonts w:hint="eastAsia" w:ascii="仿宋" w:hAnsi="仿宋" w:eastAsia="仿宋" w:cs="Times New Roman"/>
          <w:color w:val="auto"/>
          <w:sz w:val="32"/>
          <w:szCs w:val="22"/>
          <w:highlight w:val="none"/>
          <w:lang w:val="en-US" w:eastAsia="zh-CN"/>
        </w:rPr>
      </w:pPr>
      <w:bookmarkStart w:id="2" w:name="_Toc15805"/>
      <w:bookmarkStart w:id="3" w:name="_Toc4417"/>
      <w:r>
        <w:rPr>
          <w:rFonts w:hint="eastAsia" w:ascii="仿宋" w:hAnsi="仿宋" w:eastAsia="仿宋"/>
          <w:color w:val="auto"/>
          <w:sz w:val="32"/>
          <w:highlight w:val="none"/>
        </w:rPr>
        <w:t>采购</w:t>
      </w:r>
      <w:r>
        <w:rPr>
          <w:rFonts w:hint="eastAsia" w:ascii="仿宋" w:hAnsi="仿宋" w:eastAsia="仿宋" w:cs="Times New Roman"/>
          <w:color w:val="auto"/>
          <w:sz w:val="32"/>
          <w:szCs w:val="22"/>
          <w:highlight w:val="none"/>
        </w:rPr>
        <w:t>项目名称：马鞍山片区公房白蚁防治</w:t>
      </w:r>
      <w:r>
        <w:rPr>
          <w:rFonts w:hint="eastAsia" w:ascii="仿宋" w:hAnsi="仿宋" w:eastAsia="仿宋" w:cs="Times New Roman"/>
          <w:color w:val="auto"/>
          <w:sz w:val="32"/>
          <w:szCs w:val="22"/>
          <w:highlight w:val="none"/>
          <w:lang w:val="en-US" w:eastAsia="zh-CN"/>
        </w:rPr>
        <w:t>项目</w:t>
      </w:r>
      <w:bookmarkEnd w:id="2"/>
      <w:bookmarkEnd w:id="3"/>
    </w:p>
    <w:p>
      <w:pPr>
        <w:spacing w:line="500" w:lineRule="exact"/>
        <w:ind w:firstLine="2080" w:firstLineChars="650"/>
        <w:outlineLvl w:val="9"/>
        <w:rPr>
          <w:rFonts w:ascii="仿宋" w:hAnsi="仿宋" w:eastAsia="仿宋"/>
          <w:color w:val="auto"/>
          <w:sz w:val="32"/>
          <w:highlight w:val="none"/>
        </w:rPr>
      </w:pPr>
    </w:p>
    <w:p>
      <w:pPr>
        <w:pStyle w:val="10"/>
        <w:spacing w:line="500" w:lineRule="exact"/>
        <w:ind w:left="0"/>
        <w:jc w:val="center"/>
        <w:rPr>
          <w:rFonts w:ascii="仿宋" w:hAnsi="仿宋" w:eastAsia="仿宋"/>
          <w:color w:val="auto"/>
          <w:sz w:val="32"/>
          <w:highlight w:val="none"/>
        </w:rPr>
      </w:pPr>
    </w:p>
    <w:p>
      <w:pPr>
        <w:pStyle w:val="10"/>
        <w:spacing w:line="500" w:lineRule="exact"/>
        <w:ind w:left="0" w:leftChars="0" w:firstLine="0" w:firstLineChars="0"/>
        <w:jc w:val="left"/>
        <w:rPr>
          <w:rFonts w:hint="eastAsia" w:ascii="仿宋" w:hAnsi="仿宋" w:eastAsia="仿宋"/>
          <w:color w:val="auto"/>
          <w:sz w:val="32"/>
          <w:highlight w:val="none"/>
        </w:rPr>
      </w:pPr>
    </w:p>
    <w:p>
      <w:pPr>
        <w:pStyle w:val="10"/>
        <w:spacing w:line="500" w:lineRule="exact"/>
        <w:ind w:left="0" w:leftChars="0" w:firstLine="0" w:firstLineChars="0"/>
        <w:jc w:val="left"/>
        <w:rPr>
          <w:rFonts w:hint="eastAsia" w:ascii="仿宋" w:hAnsi="仿宋" w:eastAsia="仿宋"/>
          <w:color w:val="auto"/>
          <w:sz w:val="32"/>
          <w:highlight w:val="none"/>
        </w:rPr>
      </w:pPr>
    </w:p>
    <w:p>
      <w:pPr>
        <w:pStyle w:val="10"/>
        <w:spacing w:line="500" w:lineRule="exact"/>
        <w:ind w:left="0" w:firstLine="1280" w:firstLineChars="400"/>
        <w:jc w:val="left"/>
        <w:rPr>
          <w:rFonts w:hint="eastAsia" w:ascii="仿宋" w:hAnsi="仿宋" w:eastAsia="仿宋"/>
          <w:color w:val="auto"/>
          <w:sz w:val="32"/>
          <w:highlight w:val="none"/>
        </w:rPr>
      </w:pPr>
    </w:p>
    <w:p>
      <w:pPr>
        <w:pStyle w:val="10"/>
        <w:spacing w:line="500" w:lineRule="exact"/>
        <w:ind w:left="0" w:firstLine="1280" w:firstLineChars="400"/>
        <w:jc w:val="left"/>
        <w:outlineLvl w:val="0"/>
        <w:rPr>
          <w:rFonts w:hint="eastAsia" w:ascii="仿宋" w:hAnsi="仿宋" w:eastAsia="仿宋" w:cs="Times New Roman"/>
          <w:color w:val="auto"/>
          <w:sz w:val="32"/>
          <w:szCs w:val="22"/>
          <w:highlight w:val="none"/>
          <w:lang w:val="en-US" w:eastAsia="zh-CN"/>
        </w:rPr>
      </w:pPr>
      <w:bookmarkStart w:id="4" w:name="_Toc29169"/>
      <w:bookmarkStart w:id="5" w:name="_Toc31681"/>
      <w:r>
        <w:rPr>
          <w:rFonts w:hint="eastAsia" w:ascii="仿宋" w:hAnsi="仿宋" w:eastAsia="仿宋"/>
          <w:color w:val="auto"/>
          <w:sz w:val="32"/>
          <w:highlight w:val="none"/>
        </w:rPr>
        <w:t>采</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购</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人：</w:t>
      </w:r>
      <w:r>
        <w:rPr>
          <w:rFonts w:hint="eastAsia" w:ascii="仿宋" w:hAnsi="仿宋" w:eastAsia="仿宋" w:cs="Times New Roman"/>
          <w:color w:val="auto"/>
          <w:sz w:val="32"/>
          <w:szCs w:val="22"/>
          <w:highlight w:val="none"/>
          <w:lang w:val="en-US" w:eastAsia="zh-CN"/>
        </w:rPr>
        <w:t>重庆市南岸区上新街房管所</w:t>
      </w:r>
      <w:bookmarkEnd w:id="4"/>
      <w:bookmarkEnd w:id="5"/>
    </w:p>
    <w:p>
      <w:pPr>
        <w:pStyle w:val="10"/>
        <w:spacing w:line="500" w:lineRule="exact"/>
        <w:ind w:left="0" w:firstLine="1280" w:firstLineChars="400"/>
        <w:jc w:val="left"/>
        <w:rPr>
          <w:rFonts w:hint="eastAsia" w:ascii="仿宋" w:hAnsi="仿宋" w:eastAsia="仿宋" w:cs="Times New Roman"/>
          <w:color w:val="auto"/>
          <w:sz w:val="32"/>
          <w:szCs w:val="22"/>
          <w:highlight w:val="none"/>
          <w:lang w:val="en-US" w:eastAsia="zh-CN"/>
        </w:rPr>
      </w:pPr>
      <w:r>
        <w:rPr>
          <w:rFonts w:hint="eastAsia" w:ascii="仿宋" w:hAnsi="仿宋" w:eastAsia="仿宋"/>
          <w:color w:val="auto"/>
          <w:sz w:val="32"/>
          <w:highlight w:val="none"/>
        </w:rPr>
        <w:t>采购代理机构</w:t>
      </w:r>
      <w:r>
        <w:rPr>
          <w:rFonts w:hint="eastAsia" w:ascii="仿宋" w:hAnsi="仿宋" w:eastAsia="仿宋" w:cs="Times New Roman"/>
          <w:color w:val="auto"/>
          <w:sz w:val="32"/>
          <w:szCs w:val="22"/>
          <w:highlight w:val="none"/>
          <w:lang w:val="en-US" w:eastAsia="zh-CN"/>
        </w:rPr>
        <w:t xml:space="preserve">：重庆普聚工程咨询有限公司 </w:t>
      </w:r>
    </w:p>
    <w:p>
      <w:pPr>
        <w:pStyle w:val="8"/>
        <w:rPr>
          <w:color w:val="auto"/>
          <w:highlight w:val="none"/>
        </w:rPr>
      </w:pPr>
    </w:p>
    <w:p>
      <w:pPr>
        <w:snapToGrid w:val="0"/>
        <w:spacing w:line="500" w:lineRule="exact"/>
        <w:jc w:val="center"/>
        <w:rPr>
          <w:rFonts w:ascii="仿宋" w:hAnsi="仿宋" w:eastAsia="仿宋"/>
          <w:color w:val="auto"/>
          <w:sz w:val="44"/>
          <w:szCs w:val="28"/>
          <w:highlight w:val="none"/>
        </w:rPr>
      </w:pPr>
      <w:r>
        <w:rPr>
          <w:rFonts w:hint="eastAsia" w:ascii="仿宋" w:hAnsi="仿宋" w:eastAsia="仿宋"/>
          <w:color w:val="auto"/>
          <w:sz w:val="32"/>
          <w:szCs w:val="32"/>
          <w:highlight w:val="none"/>
        </w:rPr>
        <w:t>二○二</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二</w:t>
      </w:r>
      <w:bookmarkStart w:id="433" w:name="_GoBack"/>
      <w:bookmarkEnd w:id="433"/>
      <w:r>
        <w:rPr>
          <w:rFonts w:hint="eastAsia" w:ascii="仿宋" w:hAnsi="仿宋" w:eastAsia="仿宋"/>
          <w:color w:val="auto"/>
          <w:sz w:val="32"/>
          <w:szCs w:val="32"/>
          <w:highlight w:val="none"/>
        </w:rPr>
        <w:t>月</w:t>
      </w:r>
    </w:p>
    <w:p>
      <w:pPr>
        <w:rPr>
          <w:rFonts w:ascii="仿宋" w:hAnsi="仿宋" w:eastAsia="仿宋"/>
          <w:color w:val="auto"/>
          <w:sz w:val="44"/>
          <w:szCs w:val="28"/>
          <w:highlight w:val="none"/>
        </w:rPr>
      </w:pPr>
      <w:r>
        <w:rPr>
          <w:rFonts w:hint="eastAsia" w:ascii="仿宋" w:hAnsi="仿宋" w:eastAsia="仿宋"/>
          <w:color w:val="auto"/>
          <w:sz w:val="44"/>
          <w:szCs w:val="28"/>
          <w:highlight w:val="none"/>
        </w:rPr>
        <w:br w:type="page"/>
      </w:r>
    </w:p>
    <w:p>
      <w:pPr>
        <w:keepNext w:val="0"/>
        <w:keepLines w:val="0"/>
        <w:pageBreakBefore w:val="0"/>
        <w:widowControl w:val="0"/>
        <w:tabs>
          <w:tab w:val="right" w:leader="dot" w:pos="9402"/>
        </w:tabs>
        <w:kinsoku/>
        <w:wordWrap/>
        <w:overflowPunct/>
        <w:topLinePunct w:val="0"/>
        <w:autoSpaceDE/>
        <w:autoSpaceDN/>
        <w:bidi w:val="0"/>
        <w:adjustRightInd/>
        <w:snapToGrid/>
        <w:spacing w:line="480" w:lineRule="exact"/>
        <w:ind w:left="0" w:leftChars="0" w:firstLine="0" w:firstLineChars="0"/>
        <w:jc w:val="center"/>
        <w:textAlignment w:val="auto"/>
        <w:outlineLvl w:val="0"/>
        <w:rPr>
          <w:rFonts w:hint="eastAsia" w:ascii="仿宋" w:hAnsi="仿宋" w:eastAsia="仿宋"/>
          <w:color w:val="auto"/>
          <w:sz w:val="44"/>
          <w:szCs w:val="28"/>
          <w:highlight w:val="none"/>
        </w:rPr>
      </w:pPr>
      <w:bookmarkStart w:id="6" w:name="_Toc15527"/>
      <w:bookmarkStart w:id="7" w:name="_Toc2350"/>
      <w:r>
        <w:rPr>
          <w:rFonts w:hint="eastAsia" w:ascii="仿宋" w:hAnsi="仿宋" w:eastAsia="仿宋"/>
          <w:color w:val="auto"/>
          <w:sz w:val="44"/>
          <w:szCs w:val="28"/>
          <w:highlight w:val="none"/>
        </w:rPr>
        <w:t>目   录</w:t>
      </w:r>
      <w:bookmarkEnd w:id="6"/>
      <w:bookmarkEnd w:id="7"/>
    </w:p>
    <w:sdt>
      <w:sdtPr>
        <w:rPr>
          <w:rFonts w:ascii="宋体" w:hAnsi="宋体" w:eastAsia="宋体" w:cs="Times New Roman"/>
          <w:kern w:val="2"/>
          <w:sz w:val="21"/>
          <w:lang w:val="en-US" w:eastAsia="zh-CN" w:bidi="ar-SA"/>
        </w:rPr>
        <w:id w:val="147464703"/>
        <w15:color w:val="DBDBDB"/>
        <w:docPartObj>
          <w:docPartGallery w:val="Table of Contents"/>
          <w:docPartUnique/>
        </w:docPartObj>
      </w:sdtPr>
      <w:sdtEndPr>
        <w:rPr>
          <w:rFonts w:ascii="Calibri" w:hAnsi="Calibri" w:eastAsia="宋体" w:cs="Times New Roman"/>
          <w:kern w:val="2"/>
          <w:sz w:val="28"/>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"1-3" \h \u </w:instrText>
          </w:r>
          <w:r>
            <w:fldChar w:fldCharType="separate"/>
          </w:r>
        </w:p>
        <w:p>
          <w:pPr>
            <w:pStyle w:val="2"/>
            <w:tabs>
              <w:tab w:val="right" w:leader="dot" w:pos="9412"/>
            </w:tabs>
            <w:spacing w:line="360" w:lineRule="auto"/>
          </w:pPr>
          <w:r>
            <w:fldChar w:fldCharType="begin"/>
          </w:r>
          <w:r>
            <w:instrText xml:space="preserve"> HYPERLINK \l _Toc17259 </w:instrText>
          </w:r>
          <w:r>
            <w:fldChar w:fldCharType="separate"/>
          </w:r>
          <w:r>
            <w:rPr>
              <w:rFonts w:hint="eastAsia" w:ascii="仿宋" w:hAnsi="仿宋" w:eastAsia="仿宋"/>
              <w:bCs/>
              <w:szCs w:val="30"/>
              <w:highlight w:val="none"/>
            </w:rPr>
            <w:t>第一篇 采购邀请书</w:t>
          </w:r>
          <w:r>
            <w:tab/>
          </w:r>
          <w:r>
            <w:fldChar w:fldCharType="begin"/>
          </w:r>
          <w:r>
            <w:instrText xml:space="preserve"> PAGEREF _Toc17259 \h </w:instrText>
          </w:r>
          <w:r>
            <w:fldChar w:fldCharType="separate"/>
          </w:r>
          <w:r>
            <w:t>1</w:t>
          </w:r>
          <w:r>
            <w:fldChar w:fldCharType="end"/>
          </w:r>
          <w:r>
            <w:fldChar w:fldCharType="end"/>
          </w:r>
        </w:p>
        <w:p>
          <w:pPr>
            <w:pStyle w:val="2"/>
            <w:tabs>
              <w:tab w:val="right" w:leader="dot" w:pos="9412"/>
            </w:tabs>
            <w:spacing w:line="360" w:lineRule="auto"/>
          </w:pPr>
          <w:r>
            <w:fldChar w:fldCharType="begin"/>
          </w:r>
          <w:r>
            <w:instrText xml:space="preserve"> HYPERLINK \l _Toc14358 </w:instrText>
          </w:r>
          <w:r>
            <w:fldChar w:fldCharType="separate"/>
          </w:r>
          <w:r>
            <w:rPr>
              <w:rFonts w:hint="eastAsia" w:ascii="仿宋" w:hAnsi="仿宋" w:eastAsia="仿宋"/>
              <w:bCs w:val="0"/>
              <w:szCs w:val="30"/>
            </w:rPr>
            <w:t xml:space="preserve">第二篇 </w:t>
          </w:r>
          <w:r>
            <w:rPr>
              <w:rFonts w:hint="eastAsia" w:ascii="仿宋" w:hAnsi="仿宋" w:eastAsia="仿宋"/>
              <w:bCs w:val="0"/>
              <w:szCs w:val="30"/>
              <w:highlight w:val="none"/>
              <w:lang w:val="en-US" w:eastAsia="zh-CN"/>
            </w:rPr>
            <w:t>采购</w:t>
          </w:r>
          <w:r>
            <w:rPr>
              <w:rFonts w:hint="eastAsia" w:ascii="仿宋" w:hAnsi="仿宋" w:eastAsia="仿宋"/>
              <w:bCs w:val="0"/>
              <w:szCs w:val="30"/>
              <w:highlight w:val="none"/>
            </w:rPr>
            <w:t>项目</w:t>
          </w:r>
          <w:r>
            <w:rPr>
              <w:rFonts w:hint="eastAsia" w:ascii="仿宋" w:hAnsi="仿宋" w:eastAsia="仿宋"/>
              <w:bCs w:val="0"/>
              <w:szCs w:val="30"/>
              <w:highlight w:val="none"/>
              <w:lang w:val="en-US" w:eastAsia="zh-CN"/>
            </w:rPr>
            <w:t>服务</w:t>
          </w:r>
          <w:r>
            <w:rPr>
              <w:rFonts w:hint="eastAsia" w:ascii="仿宋" w:hAnsi="仿宋" w:eastAsia="仿宋"/>
              <w:bCs w:val="0"/>
              <w:szCs w:val="30"/>
              <w:highlight w:val="none"/>
            </w:rPr>
            <w:t>需求</w:t>
          </w:r>
          <w:r>
            <w:tab/>
          </w:r>
          <w:r>
            <w:fldChar w:fldCharType="begin"/>
          </w:r>
          <w:r>
            <w:instrText xml:space="preserve"> PAGEREF _Toc14358 \h </w:instrText>
          </w:r>
          <w:r>
            <w:fldChar w:fldCharType="separate"/>
          </w:r>
          <w:r>
            <w:t>3</w:t>
          </w:r>
          <w:r>
            <w:fldChar w:fldCharType="end"/>
          </w:r>
          <w:r>
            <w:fldChar w:fldCharType="end"/>
          </w:r>
        </w:p>
        <w:p>
          <w:pPr>
            <w:pStyle w:val="2"/>
            <w:tabs>
              <w:tab w:val="right" w:leader="dot" w:pos="9412"/>
            </w:tabs>
            <w:spacing w:line="360" w:lineRule="auto"/>
          </w:pPr>
          <w:r>
            <w:fldChar w:fldCharType="begin"/>
          </w:r>
          <w:r>
            <w:instrText xml:space="preserve"> HYPERLINK \l _Toc29140 </w:instrText>
          </w:r>
          <w:r>
            <w:fldChar w:fldCharType="separate"/>
          </w:r>
          <w:r>
            <w:rPr>
              <w:rFonts w:hint="eastAsia" w:ascii="仿宋" w:hAnsi="仿宋" w:eastAsia="仿宋"/>
              <w:bCs w:val="0"/>
              <w:szCs w:val="30"/>
              <w:highlight w:val="none"/>
            </w:rPr>
            <w:t>第三篇 采购项目商务需求</w:t>
          </w:r>
          <w:r>
            <w:tab/>
          </w:r>
          <w:r>
            <w:fldChar w:fldCharType="begin"/>
          </w:r>
          <w:r>
            <w:instrText xml:space="preserve"> PAGEREF _Toc29140 \h </w:instrText>
          </w:r>
          <w:r>
            <w:fldChar w:fldCharType="separate"/>
          </w:r>
          <w:r>
            <w:t>5</w:t>
          </w:r>
          <w:r>
            <w:fldChar w:fldCharType="end"/>
          </w:r>
          <w:r>
            <w:fldChar w:fldCharType="end"/>
          </w:r>
        </w:p>
        <w:p>
          <w:pPr>
            <w:pStyle w:val="2"/>
            <w:tabs>
              <w:tab w:val="right" w:leader="dot" w:pos="9412"/>
            </w:tabs>
            <w:spacing w:line="360" w:lineRule="auto"/>
          </w:pPr>
          <w:r>
            <w:fldChar w:fldCharType="begin"/>
          </w:r>
          <w:r>
            <w:instrText xml:space="preserve"> HYPERLINK \l _Toc10090 </w:instrText>
          </w:r>
          <w:r>
            <w:fldChar w:fldCharType="separate"/>
          </w:r>
          <w:r>
            <w:rPr>
              <w:rFonts w:hint="eastAsia" w:ascii="仿宋" w:hAnsi="仿宋" w:eastAsia="仿宋"/>
              <w:bCs/>
              <w:spacing w:val="-11"/>
              <w:szCs w:val="30"/>
              <w:highlight w:val="none"/>
            </w:rPr>
            <w:t xml:space="preserve">第四篇  </w:t>
          </w:r>
          <w:r>
            <w:rPr>
              <w:rFonts w:hint="eastAsia" w:ascii="仿宋" w:hAnsi="仿宋" w:eastAsia="仿宋"/>
              <w:bCs/>
              <w:spacing w:val="-11"/>
              <w:szCs w:val="30"/>
              <w:highlight w:val="none"/>
              <w:lang w:val="en-US" w:eastAsia="zh-CN"/>
            </w:rPr>
            <w:t>资格审查及评标办法</w:t>
          </w:r>
          <w:r>
            <w:tab/>
          </w:r>
          <w:r>
            <w:fldChar w:fldCharType="begin"/>
          </w:r>
          <w:r>
            <w:instrText xml:space="preserve"> PAGEREF _Toc10090 \h </w:instrText>
          </w:r>
          <w:r>
            <w:fldChar w:fldCharType="separate"/>
          </w:r>
          <w:r>
            <w:t>7</w:t>
          </w:r>
          <w:r>
            <w:fldChar w:fldCharType="end"/>
          </w:r>
          <w:r>
            <w:fldChar w:fldCharType="end"/>
          </w:r>
        </w:p>
        <w:p>
          <w:pPr>
            <w:pStyle w:val="2"/>
            <w:tabs>
              <w:tab w:val="right" w:leader="dot" w:pos="9412"/>
            </w:tabs>
            <w:spacing w:line="360" w:lineRule="auto"/>
          </w:pPr>
          <w:r>
            <w:fldChar w:fldCharType="begin"/>
          </w:r>
          <w:r>
            <w:instrText xml:space="preserve"> HYPERLINK \l _Toc21379 </w:instrText>
          </w:r>
          <w:r>
            <w:fldChar w:fldCharType="separate"/>
          </w:r>
          <w:r>
            <w:rPr>
              <w:rFonts w:hint="eastAsia" w:ascii="仿宋" w:hAnsi="仿宋" w:eastAsia="仿宋" w:cs="Times New Roman"/>
              <w:bCs/>
              <w:spacing w:val="-11"/>
              <w:kern w:val="2"/>
              <w:szCs w:val="30"/>
              <w:highlight w:val="none"/>
              <w:lang w:val="en-US" w:eastAsia="zh-CN" w:bidi="ar-SA"/>
            </w:rPr>
            <w:t>第五篇  供应商须知</w:t>
          </w:r>
          <w:r>
            <w:tab/>
          </w:r>
          <w:r>
            <w:fldChar w:fldCharType="begin"/>
          </w:r>
          <w:r>
            <w:instrText xml:space="preserve"> PAGEREF _Toc21379 \h </w:instrText>
          </w:r>
          <w:r>
            <w:fldChar w:fldCharType="separate"/>
          </w:r>
          <w:r>
            <w:t>12</w:t>
          </w:r>
          <w:r>
            <w:fldChar w:fldCharType="end"/>
          </w:r>
          <w:r>
            <w:fldChar w:fldCharType="end"/>
          </w:r>
        </w:p>
        <w:p>
          <w:pPr>
            <w:pStyle w:val="2"/>
            <w:tabs>
              <w:tab w:val="right" w:leader="dot" w:pos="9412"/>
            </w:tabs>
            <w:spacing w:line="360" w:lineRule="auto"/>
          </w:pPr>
          <w:r>
            <w:fldChar w:fldCharType="begin"/>
          </w:r>
          <w:r>
            <w:instrText xml:space="preserve"> HYPERLINK \l _Toc9842 </w:instrText>
          </w:r>
          <w:r>
            <w:fldChar w:fldCharType="separate"/>
          </w:r>
          <w:r>
            <w:rPr>
              <w:rFonts w:hint="eastAsia" w:ascii="仿宋" w:hAnsi="仿宋" w:eastAsia="仿宋"/>
              <w:bCs/>
              <w:szCs w:val="30"/>
              <w:highlight w:val="none"/>
            </w:rPr>
            <w:t>第六篇 合同草案条款和格式合同</w:t>
          </w:r>
          <w:r>
            <w:tab/>
          </w:r>
          <w:r>
            <w:fldChar w:fldCharType="begin"/>
          </w:r>
          <w:r>
            <w:instrText xml:space="preserve"> PAGEREF _Toc9842 \h </w:instrText>
          </w:r>
          <w:r>
            <w:fldChar w:fldCharType="separate"/>
          </w:r>
          <w:r>
            <w:t>16</w:t>
          </w:r>
          <w:r>
            <w:fldChar w:fldCharType="end"/>
          </w:r>
          <w:r>
            <w:fldChar w:fldCharType="end"/>
          </w:r>
        </w:p>
        <w:p>
          <w:pPr>
            <w:pStyle w:val="2"/>
            <w:tabs>
              <w:tab w:val="right" w:leader="dot" w:pos="9412"/>
            </w:tabs>
            <w:spacing w:line="360" w:lineRule="auto"/>
          </w:pPr>
          <w:r>
            <w:fldChar w:fldCharType="begin"/>
          </w:r>
          <w:r>
            <w:instrText xml:space="preserve"> HYPERLINK \l _Toc27892 </w:instrText>
          </w:r>
          <w:r>
            <w:fldChar w:fldCharType="separate"/>
          </w:r>
          <w:r>
            <w:rPr>
              <w:rFonts w:hint="eastAsia" w:ascii="仿宋" w:hAnsi="仿宋" w:eastAsia="仿宋"/>
              <w:bCs/>
              <w:szCs w:val="30"/>
              <w:highlight w:val="none"/>
            </w:rPr>
            <w:t>第七篇 响应文件编制要求</w:t>
          </w:r>
          <w:r>
            <w:tab/>
          </w:r>
          <w:r>
            <w:fldChar w:fldCharType="begin"/>
          </w:r>
          <w:r>
            <w:instrText xml:space="preserve"> PAGEREF _Toc27892 \h </w:instrText>
          </w:r>
          <w:r>
            <w:fldChar w:fldCharType="separate"/>
          </w:r>
          <w:r>
            <w:t>17</w:t>
          </w:r>
          <w:r>
            <w:fldChar w:fldCharType="end"/>
          </w:r>
          <w:r>
            <w:fldChar w:fldCharType="end"/>
          </w:r>
        </w:p>
        <w:p>
          <w:pPr>
            <w:pStyle w:val="2"/>
            <w:tabs>
              <w:tab w:val="right" w:leader="dot" w:pos="9412"/>
            </w:tabs>
          </w:pPr>
        </w:p>
        <w:p>
          <w:pPr>
            <w:pStyle w:val="2"/>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fldChar w:fldCharType="end"/>
          </w:r>
        </w:p>
      </w:sdtContent>
    </w:sdt>
    <w:p>
      <w:pPr>
        <w:pStyle w:val="3"/>
        <w:pageBreakBefore w:val="0"/>
        <w:kinsoku/>
        <w:wordWrap/>
        <w:overflowPunct/>
        <w:topLinePunct w:val="0"/>
        <w:autoSpaceDE/>
        <w:autoSpaceDN/>
        <w:bidi w:val="0"/>
        <w:adjustRightInd/>
        <w:spacing w:line="312" w:lineRule="auto"/>
        <w:jc w:val="center"/>
        <w:outlineLvl w:val="0"/>
        <w:rPr>
          <w:rFonts w:ascii="仿宋" w:hAnsi="仿宋" w:eastAsia="仿宋"/>
          <w:b/>
          <w:bCs/>
          <w:color w:val="auto"/>
          <w:szCs w:val="30"/>
          <w:highlight w:val="none"/>
        </w:rPr>
      </w:pPr>
      <w:bookmarkStart w:id="8" w:name="_Toc11641050"/>
      <w:bookmarkStart w:id="9" w:name="_Toc32389"/>
      <w:bookmarkStart w:id="10" w:name="_Toc17259"/>
      <w:bookmarkStart w:id="11" w:name="_Toc12789052"/>
      <w:bookmarkStart w:id="12" w:name="_Toc1569"/>
      <w:bookmarkStart w:id="13" w:name="_Toc11812"/>
      <w:r>
        <w:rPr>
          <w:rFonts w:hint="eastAsia" w:ascii="仿宋" w:hAnsi="仿宋" w:eastAsia="仿宋"/>
          <w:b/>
          <w:bCs/>
          <w:color w:val="auto"/>
          <w:sz w:val="36"/>
          <w:szCs w:val="30"/>
          <w:highlight w:val="none"/>
        </w:rPr>
        <w:t>第一篇  采购邀请书</w:t>
      </w:r>
      <w:bookmarkEnd w:id="8"/>
      <w:bookmarkEnd w:id="9"/>
      <w:bookmarkEnd w:id="10"/>
      <w:bookmarkEnd w:id="11"/>
      <w:bookmarkEnd w:id="12"/>
      <w:bookmarkEnd w:id="13"/>
    </w:p>
    <w:p>
      <w:pPr>
        <w:pageBreakBefore w:val="0"/>
        <w:kinsoku/>
        <w:wordWrap/>
        <w:overflowPunct/>
        <w:topLinePunct w:val="0"/>
        <w:autoSpaceDE/>
        <w:autoSpaceDN/>
        <w:bidi w:val="0"/>
        <w:adjustRightInd/>
        <w:snapToGrid w:val="0"/>
        <w:spacing w:line="312" w:lineRule="auto"/>
        <w:ind w:firstLine="480" w:firstLineChars="200"/>
        <w:rPr>
          <w:rFonts w:ascii="仿宋" w:hAnsi="仿宋" w:eastAsia="仿宋"/>
          <w:color w:val="auto"/>
          <w:sz w:val="24"/>
          <w:szCs w:val="24"/>
          <w:highlight w:val="none"/>
        </w:rPr>
      </w:pPr>
      <w:r>
        <w:rPr>
          <w:rFonts w:hint="eastAsia" w:ascii="仿宋" w:hAnsi="仿宋" w:eastAsia="仿宋" w:cs="Times New Roman"/>
          <w:color w:val="auto"/>
          <w:sz w:val="24"/>
          <w:szCs w:val="24"/>
          <w:highlight w:val="none"/>
          <w:u w:val="single"/>
        </w:rPr>
        <w:t>重庆</w:t>
      </w:r>
      <w:r>
        <w:rPr>
          <w:rFonts w:hint="eastAsia" w:ascii="仿宋" w:hAnsi="仿宋" w:eastAsia="仿宋" w:cs="Times New Roman"/>
          <w:color w:val="auto"/>
          <w:sz w:val="24"/>
          <w:szCs w:val="24"/>
          <w:highlight w:val="none"/>
          <w:u w:val="single"/>
          <w:lang w:val="en-US" w:eastAsia="zh-CN"/>
        </w:rPr>
        <w:t>普聚</w:t>
      </w:r>
      <w:r>
        <w:rPr>
          <w:rFonts w:hint="eastAsia" w:ascii="仿宋" w:hAnsi="仿宋" w:eastAsia="仿宋" w:cs="Times New Roman"/>
          <w:color w:val="auto"/>
          <w:sz w:val="24"/>
          <w:szCs w:val="24"/>
          <w:highlight w:val="none"/>
          <w:u w:val="single"/>
          <w:lang w:eastAsia="zh-CN"/>
        </w:rPr>
        <w:t>工程咨询有限公司</w:t>
      </w:r>
      <w:r>
        <w:rPr>
          <w:rFonts w:hint="eastAsia" w:ascii="仿宋" w:hAnsi="仿宋" w:eastAsia="仿宋" w:cs="Times New Roman"/>
          <w:color w:val="auto"/>
          <w:sz w:val="24"/>
          <w:szCs w:val="24"/>
          <w:highlight w:val="none"/>
        </w:rPr>
        <w:t>（以下简称：采购代理机构）接受</w:t>
      </w:r>
      <w:r>
        <w:rPr>
          <w:rFonts w:hint="eastAsia" w:ascii="仿宋" w:hAnsi="仿宋" w:eastAsia="仿宋" w:cs="Times New Roman"/>
          <w:color w:val="auto"/>
          <w:sz w:val="24"/>
          <w:szCs w:val="24"/>
          <w:highlight w:val="none"/>
          <w:lang w:eastAsia="zh-CN"/>
        </w:rPr>
        <w:t>重庆市南岸区上新街房管所</w:t>
      </w:r>
      <w:r>
        <w:rPr>
          <w:rFonts w:hint="eastAsia" w:ascii="仿宋" w:hAnsi="仿宋" w:eastAsia="仿宋" w:cs="Times New Roman"/>
          <w:color w:val="auto"/>
          <w:sz w:val="24"/>
          <w:szCs w:val="24"/>
          <w:highlight w:val="none"/>
        </w:rPr>
        <w:t>的委托，对</w:t>
      </w:r>
      <w:r>
        <w:rPr>
          <w:rFonts w:hint="eastAsia" w:ascii="仿宋" w:hAnsi="仿宋" w:eastAsia="仿宋" w:cs="Times New Roman"/>
          <w:color w:val="auto"/>
          <w:sz w:val="24"/>
          <w:szCs w:val="24"/>
          <w:highlight w:val="none"/>
          <w:u w:val="single"/>
          <w:lang w:val="en-US" w:eastAsia="zh-CN"/>
        </w:rPr>
        <w:t>马鞍山片区公房白蚁防治项目</w:t>
      </w:r>
      <w:r>
        <w:rPr>
          <w:rFonts w:hint="eastAsia" w:ascii="仿宋" w:hAnsi="仿宋" w:eastAsia="仿宋" w:cs="Times New Roman"/>
          <w:color w:val="auto"/>
          <w:sz w:val="24"/>
          <w:szCs w:val="24"/>
          <w:highlight w:val="none"/>
          <w:u w:val="none"/>
          <w:lang w:val="en-US" w:eastAsia="zh-CN"/>
        </w:rPr>
        <w:t>项目</w:t>
      </w:r>
      <w:r>
        <w:rPr>
          <w:rFonts w:hint="eastAsia" w:ascii="仿宋" w:hAnsi="仿宋" w:eastAsia="仿宋" w:cs="Times New Roman"/>
          <w:color w:val="auto"/>
          <w:sz w:val="24"/>
          <w:szCs w:val="24"/>
          <w:highlight w:val="none"/>
        </w:rPr>
        <w:t>进行网上竞采。欢迎有资格的供应商前来参与网上竞采。</w:t>
      </w:r>
    </w:p>
    <w:p>
      <w:pPr>
        <w:pStyle w:val="4"/>
        <w:pageBreakBefore w:val="0"/>
        <w:numPr>
          <w:ilvl w:val="0"/>
          <w:numId w:val="1"/>
        </w:numPr>
        <w:kinsoku/>
        <w:wordWrap/>
        <w:overflowPunct/>
        <w:topLinePunct w:val="0"/>
        <w:autoSpaceDE/>
        <w:autoSpaceDN/>
        <w:bidi w:val="0"/>
        <w:adjustRightInd/>
        <w:spacing w:beforeLines="100" w:after="0" w:line="312" w:lineRule="auto"/>
        <w:outlineLvl w:val="0"/>
        <w:rPr>
          <w:rFonts w:ascii="仿宋" w:hAnsi="仿宋" w:eastAsia="仿宋"/>
          <w:color w:val="auto"/>
          <w:sz w:val="24"/>
          <w:szCs w:val="24"/>
          <w:highlight w:val="none"/>
        </w:rPr>
      </w:pPr>
      <w:bookmarkStart w:id="14" w:name="_Toc12335"/>
      <w:bookmarkStart w:id="15" w:name="_Toc601"/>
      <w:bookmarkStart w:id="16" w:name="_Toc23805"/>
      <w:bookmarkStart w:id="17" w:name="_Toc6765"/>
      <w:bookmarkStart w:id="18" w:name="_Toc317775175"/>
      <w:bookmarkStart w:id="19" w:name="_Toc2406"/>
      <w:bookmarkStart w:id="20" w:name="_Toc313893526"/>
      <w:bookmarkStart w:id="21" w:name="_Toc373860293"/>
      <w:bookmarkStart w:id="22" w:name="_Toc317775178"/>
      <w:r>
        <w:rPr>
          <w:rFonts w:hint="eastAsia" w:ascii="仿宋" w:hAnsi="仿宋" w:eastAsia="仿宋"/>
          <w:color w:val="auto"/>
          <w:sz w:val="24"/>
          <w:szCs w:val="24"/>
          <w:highlight w:val="none"/>
        </w:rPr>
        <w:t>采购内容</w:t>
      </w:r>
      <w:bookmarkEnd w:id="14"/>
      <w:bookmarkEnd w:id="15"/>
      <w:bookmarkEnd w:id="16"/>
      <w:bookmarkEnd w:id="17"/>
      <w:bookmarkEnd w:id="18"/>
      <w:bookmarkEnd w:id="19"/>
      <w:bookmarkEnd w:id="20"/>
    </w:p>
    <w:tbl>
      <w:tblPr>
        <w:tblStyle w:val="19"/>
        <w:tblW w:w="89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71"/>
        <w:gridCol w:w="1290"/>
        <w:gridCol w:w="1560"/>
        <w:gridCol w:w="1163"/>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jc w:val="center"/>
        </w:trPr>
        <w:tc>
          <w:tcPr>
            <w:tcW w:w="247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b/>
                <w:bCs/>
                <w:color w:val="auto"/>
                <w:sz w:val="24"/>
                <w:szCs w:val="24"/>
                <w:highlight w:val="none"/>
              </w:rPr>
            </w:pPr>
            <w:r>
              <w:rPr>
                <w:rStyle w:val="24"/>
                <w:rFonts w:hint="eastAsia" w:ascii="仿宋" w:hAnsi="仿宋" w:eastAsia="仿宋" w:cs="仿宋"/>
                <w:b/>
                <w:bCs/>
                <w:color w:val="auto"/>
                <w:sz w:val="24"/>
                <w:szCs w:val="24"/>
                <w:highlight w:val="none"/>
              </w:rPr>
              <w:t>项目名称</w:t>
            </w:r>
          </w:p>
        </w:tc>
        <w:tc>
          <w:tcPr>
            <w:tcW w:w="129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b/>
                <w:bCs/>
                <w:color w:val="auto"/>
                <w:sz w:val="24"/>
                <w:szCs w:val="24"/>
                <w:highlight w:val="none"/>
              </w:rPr>
            </w:pPr>
            <w:r>
              <w:rPr>
                <w:rStyle w:val="24"/>
                <w:rFonts w:hint="eastAsia" w:ascii="仿宋" w:hAnsi="仿宋" w:eastAsia="仿宋" w:cs="仿宋"/>
                <w:b/>
                <w:bCs/>
                <w:color w:val="auto"/>
                <w:sz w:val="24"/>
                <w:szCs w:val="24"/>
                <w:highlight w:val="none"/>
                <w:lang w:val="en-US" w:eastAsia="zh-CN"/>
              </w:rPr>
              <w:t>采购预算</w:t>
            </w:r>
            <w:r>
              <w:rPr>
                <w:rStyle w:val="24"/>
                <w:rFonts w:hint="eastAsia" w:ascii="仿宋" w:hAnsi="仿宋" w:eastAsia="仿宋" w:cs="仿宋"/>
                <w:b/>
                <w:bCs/>
                <w:color w:val="auto"/>
                <w:sz w:val="24"/>
                <w:szCs w:val="24"/>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b/>
                <w:bCs/>
                <w:color w:val="auto"/>
                <w:sz w:val="24"/>
                <w:szCs w:val="24"/>
                <w:highlight w:val="none"/>
              </w:rPr>
            </w:pPr>
            <w:r>
              <w:rPr>
                <w:rStyle w:val="24"/>
                <w:rFonts w:hint="eastAsia" w:ascii="仿宋" w:hAnsi="仿宋" w:eastAsia="仿宋" w:cs="仿宋"/>
                <w:b/>
                <w:bCs/>
                <w:color w:val="auto"/>
                <w:sz w:val="24"/>
                <w:szCs w:val="24"/>
                <w:highlight w:val="none"/>
              </w:rPr>
              <w:t>成交供应商</w:t>
            </w:r>
          </w:p>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b/>
                <w:bCs/>
                <w:color w:val="auto"/>
                <w:sz w:val="24"/>
                <w:szCs w:val="24"/>
                <w:highlight w:val="none"/>
              </w:rPr>
            </w:pPr>
            <w:r>
              <w:rPr>
                <w:rStyle w:val="24"/>
                <w:rFonts w:hint="eastAsia" w:ascii="仿宋" w:hAnsi="仿宋" w:eastAsia="仿宋" w:cs="仿宋"/>
                <w:b/>
                <w:bCs/>
                <w:color w:val="auto"/>
                <w:sz w:val="24"/>
                <w:szCs w:val="24"/>
                <w:highlight w:val="none"/>
              </w:rPr>
              <w:t>数量（名）</w:t>
            </w:r>
          </w:p>
        </w:tc>
        <w:tc>
          <w:tcPr>
            <w:tcW w:w="11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b/>
                <w:bCs/>
                <w:color w:val="auto"/>
                <w:sz w:val="24"/>
                <w:szCs w:val="24"/>
                <w:highlight w:val="none"/>
              </w:rPr>
            </w:pPr>
            <w:r>
              <w:rPr>
                <w:rStyle w:val="24"/>
                <w:rFonts w:hint="eastAsia" w:ascii="仿宋" w:hAnsi="仿宋" w:eastAsia="仿宋" w:cs="仿宋"/>
                <w:b/>
                <w:bCs/>
                <w:color w:val="auto"/>
                <w:sz w:val="24"/>
                <w:szCs w:val="24"/>
                <w:highlight w:val="none"/>
              </w:rPr>
              <w:t>备注</w:t>
            </w:r>
          </w:p>
        </w:tc>
        <w:tc>
          <w:tcPr>
            <w:tcW w:w="2507"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wordWrap/>
              <w:overflowPunct/>
              <w:topLinePunct w:val="0"/>
              <w:autoSpaceDE/>
              <w:autoSpaceDN/>
              <w:bidi w:val="0"/>
              <w:spacing w:line="420" w:lineRule="exact"/>
              <w:ind w:left="0" w:leftChars="0"/>
              <w:jc w:val="center"/>
              <w:textAlignment w:val="auto"/>
              <w:outlineLvl w:val="0"/>
              <w:rPr>
                <w:rStyle w:val="24"/>
                <w:rFonts w:hint="eastAsia" w:ascii="仿宋" w:hAnsi="仿宋" w:eastAsia="仿宋" w:cs="仿宋"/>
                <w:b/>
                <w:bCs/>
                <w:color w:val="auto"/>
                <w:sz w:val="24"/>
                <w:szCs w:val="24"/>
                <w:highlight w:val="none"/>
              </w:rPr>
            </w:pPr>
            <w:bookmarkStart w:id="23" w:name="_Toc32015"/>
            <w:bookmarkStart w:id="24" w:name="_Toc7670"/>
            <w:r>
              <w:rPr>
                <w:rFonts w:hint="eastAsia" w:ascii="仿宋" w:hAnsi="仿宋" w:eastAsia="仿宋" w:cs="仿宋"/>
                <w:b/>
                <w:bCs/>
                <w:color w:val="auto"/>
                <w:kern w:val="0"/>
                <w:sz w:val="24"/>
                <w:szCs w:val="24"/>
                <w:highlight w:val="none"/>
                <w:lang w:val="en-US" w:eastAsia="zh-CN" w:bidi="ar-SA"/>
              </w:rPr>
              <w:t>采购标的对应的中小企业划分标准所属行业</w:t>
            </w:r>
            <w:bookmarkEnd w:id="23"/>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47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马鞍山片区公房</w:t>
            </w:r>
          </w:p>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白蚁防治项目</w:t>
            </w:r>
          </w:p>
        </w:tc>
        <w:tc>
          <w:tcPr>
            <w:tcW w:w="1290" w:type="dxa"/>
            <w:tcBorders>
              <w:top w:val="single" w:color="000000" w:sz="4" w:space="0"/>
              <w:left w:val="single" w:color="000000" w:sz="4" w:space="0"/>
              <w:bottom w:val="single" w:color="000000" w:sz="4" w:space="0"/>
              <w:right w:val="single" w:color="000000" w:sz="4" w:space="0"/>
            </w:tcBorders>
            <w:vAlign w:val="center"/>
          </w:tcPr>
          <w:p>
            <w:pPr>
              <w:pStyle w:val="25"/>
              <w:pageBreakBefore w:val="0"/>
              <w:kinsoku/>
              <w:wordWrap/>
              <w:overflowPunct/>
              <w:topLinePunct w:val="0"/>
              <w:autoSpaceDE/>
              <w:autoSpaceDN/>
              <w:bidi w:val="0"/>
              <w:adjustRightInd/>
              <w:spacing w:line="312" w:lineRule="auto"/>
              <w:ind w:firstLine="0" w:firstLineChars="0"/>
              <w:jc w:val="center"/>
              <w:rPr>
                <w:rStyle w:val="24"/>
                <w:rFonts w:hint="default" w:ascii="仿宋" w:hAnsi="仿宋" w:eastAsia="仿宋" w:cs="仿宋"/>
                <w:color w:val="auto"/>
                <w:sz w:val="24"/>
                <w:szCs w:val="24"/>
                <w:highlight w:val="none"/>
                <w:lang w:val="en-US"/>
              </w:rPr>
            </w:pPr>
            <w:r>
              <w:rPr>
                <w:rFonts w:hint="eastAsia"/>
                <w:color w:val="auto"/>
                <w:sz w:val="24"/>
                <w:szCs w:val="24"/>
                <w:highlight w:val="none"/>
                <w:lang w:val="en-US" w:eastAsia="zh-CN"/>
              </w:rPr>
              <w:t>15</w:t>
            </w: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jc w:val="center"/>
              <w:rPr>
                <w:rStyle w:val="24"/>
                <w:rFonts w:hint="eastAsia" w:ascii="仿宋" w:hAnsi="仿宋" w:eastAsia="仿宋" w:cs="仿宋"/>
                <w:color w:val="auto"/>
                <w:sz w:val="24"/>
                <w:szCs w:val="24"/>
                <w:highlight w:val="none"/>
                <w:lang w:val="en-US" w:eastAsia="zh-CN"/>
              </w:rPr>
            </w:pPr>
            <w:r>
              <w:rPr>
                <w:rStyle w:val="24"/>
                <w:rFonts w:hint="eastAsia" w:ascii="仿宋" w:hAnsi="仿宋" w:eastAsia="仿宋" w:cs="仿宋"/>
                <w:color w:val="auto"/>
                <w:sz w:val="24"/>
                <w:szCs w:val="24"/>
                <w:highlight w:val="none"/>
                <w:lang w:val="en-US" w:eastAsia="zh-CN"/>
              </w:rPr>
              <w:t>1</w:t>
            </w:r>
          </w:p>
        </w:tc>
        <w:tc>
          <w:tcPr>
            <w:tcW w:w="11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val="0"/>
              <w:spacing w:line="312" w:lineRule="auto"/>
              <w:ind w:firstLine="480" w:firstLineChars="200"/>
              <w:jc w:val="left"/>
              <w:rPr>
                <w:rStyle w:val="24"/>
                <w:rFonts w:hint="eastAsia" w:ascii="仿宋" w:hAnsi="仿宋" w:eastAsia="仿宋" w:cs="仿宋"/>
                <w:color w:val="auto"/>
                <w:sz w:val="24"/>
                <w:szCs w:val="24"/>
                <w:highlight w:val="none"/>
                <w:lang w:eastAsia="zh-CN"/>
              </w:rPr>
            </w:pPr>
          </w:p>
        </w:tc>
        <w:tc>
          <w:tcPr>
            <w:tcW w:w="2507" w:type="dxa"/>
            <w:tcBorders>
              <w:top w:val="single" w:color="000000" w:sz="4" w:space="0"/>
              <w:left w:val="single" w:color="000000" w:sz="4" w:space="0"/>
              <w:bottom w:val="single" w:color="000000" w:sz="4" w:space="0"/>
              <w:right w:val="single" w:color="000000" w:sz="4" w:space="0"/>
            </w:tcBorders>
            <w:vAlign w:val="center"/>
          </w:tcPr>
          <w:p>
            <w:pPr>
              <w:pStyle w:val="7"/>
              <w:pageBreakBefore w:val="0"/>
              <w:kinsoku/>
              <w:wordWrap/>
              <w:overflowPunct/>
              <w:topLinePunct w:val="0"/>
              <w:autoSpaceDE/>
              <w:autoSpaceDN/>
              <w:bidi w:val="0"/>
              <w:spacing w:line="420" w:lineRule="exact"/>
              <w:ind w:firstLine="0" w:firstLineChars="0"/>
              <w:jc w:val="center"/>
              <w:textAlignment w:val="auto"/>
              <w:outlineLvl w:val="0"/>
              <w:rPr>
                <w:rStyle w:val="24"/>
                <w:rFonts w:hint="eastAsia" w:ascii="仿宋" w:hAnsi="仿宋" w:eastAsia="仿宋" w:cs="仿宋"/>
                <w:color w:val="auto"/>
                <w:sz w:val="24"/>
                <w:szCs w:val="24"/>
                <w:highlight w:val="none"/>
                <w:lang w:eastAsia="zh-CN"/>
              </w:rPr>
            </w:pPr>
            <w:r>
              <w:rPr>
                <w:rFonts w:hint="eastAsia" w:ascii="仿宋" w:hAnsi="仿宋" w:eastAsia="仿宋" w:cs="仿宋"/>
                <w:color w:val="FF0000"/>
                <w:kern w:val="2"/>
                <w:sz w:val="24"/>
                <w:szCs w:val="24"/>
                <w:highlight w:val="none"/>
                <w:lang w:val="en-US" w:eastAsia="zh-CN" w:bidi="ar-SA"/>
              </w:rPr>
              <w:t xml:space="preserve"> </w:t>
            </w:r>
            <w:bookmarkStart w:id="25" w:name="_Toc11313"/>
            <w:bookmarkStart w:id="26" w:name="_Toc9502"/>
            <w:r>
              <w:rPr>
                <w:rFonts w:hint="eastAsia" w:ascii="仿宋" w:hAnsi="仿宋" w:eastAsia="仿宋" w:cs="仿宋"/>
                <w:color w:val="auto"/>
                <w:kern w:val="2"/>
                <w:sz w:val="24"/>
                <w:szCs w:val="24"/>
                <w:highlight w:val="none"/>
                <w:lang w:val="en-US" w:eastAsia="zh-CN" w:bidi="ar-SA"/>
              </w:rPr>
              <w:t>其他未列明行业</w:t>
            </w:r>
            <w:bookmarkEnd w:id="25"/>
            <w:bookmarkEnd w:id="26"/>
            <w:r>
              <w:rPr>
                <w:rFonts w:hint="eastAsia" w:ascii="仿宋" w:hAnsi="仿宋" w:eastAsia="仿宋" w:cs="仿宋"/>
                <w:color w:val="auto"/>
                <w:kern w:val="2"/>
                <w:sz w:val="24"/>
                <w:szCs w:val="24"/>
                <w:highlight w:val="none"/>
                <w:lang w:val="en-US" w:eastAsia="zh-CN" w:bidi="ar-SA"/>
              </w:rPr>
              <w:t xml:space="preserve"> </w:t>
            </w:r>
          </w:p>
        </w:tc>
      </w:tr>
    </w:tbl>
    <w:p>
      <w:pPr>
        <w:pStyle w:val="4"/>
        <w:pageBreakBefore w:val="0"/>
        <w:kinsoku/>
        <w:wordWrap/>
        <w:overflowPunct/>
        <w:topLinePunct w:val="0"/>
        <w:autoSpaceDE/>
        <w:autoSpaceDN/>
        <w:bidi w:val="0"/>
        <w:adjustRightInd/>
        <w:spacing w:before="0" w:after="0" w:line="312" w:lineRule="auto"/>
        <w:outlineLvl w:val="0"/>
        <w:rPr>
          <w:rFonts w:ascii="仿宋" w:hAnsi="仿宋" w:eastAsia="仿宋"/>
          <w:color w:val="auto"/>
          <w:sz w:val="24"/>
          <w:szCs w:val="24"/>
          <w:highlight w:val="none"/>
        </w:rPr>
      </w:pPr>
      <w:bookmarkStart w:id="27" w:name="_Toc1752"/>
      <w:bookmarkStart w:id="28" w:name="_Toc28618"/>
      <w:bookmarkStart w:id="29" w:name="_Toc32148"/>
      <w:bookmarkStart w:id="30" w:name="_Toc26702"/>
      <w:bookmarkStart w:id="31" w:name="_Toc8441"/>
      <w:r>
        <w:rPr>
          <w:rFonts w:hint="eastAsia" w:ascii="仿宋" w:hAnsi="仿宋" w:eastAsia="仿宋"/>
          <w:color w:val="auto"/>
          <w:sz w:val="24"/>
          <w:szCs w:val="24"/>
          <w:highlight w:val="none"/>
        </w:rPr>
        <w:t>二、资金来源</w:t>
      </w:r>
      <w:bookmarkEnd w:id="27"/>
      <w:bookmarkEnd w:id="28"/>
      <w:bookmarkEnd w:id="29"/>
      <w:bookmarkEnd w:id="30"/>
      <w:bookmarkEnd w:id="31"/>
    </w:p>
    <w:p>
      <w:pPr>
        <w:pageBreakBefore w:val="0"/>
        <w:kinsoku/>
        <w:wordWrap/>
        <w:overflowPunct/>
        <w:topLinePunct w:val="0"/>
        <w:autoSpaceDE/>
        <w:autoSpaceDN/>
        <w:bidi w:val="0"/>
        <w:adjustRightInd/>
        <w:spacing w:line="312" w:lineRule="auto"/>
        <w:ind w:firstLine="480" w:firstLineChars="200"/>
        <w:rPr>
          <w:rFonts w:hint="eastAsia" w:ascii="仿宋" w:hAnsi="仿宋" w:eastAsia="仿宋"/>
          <w:color w:val="auto"/>
          <w:sz w:val="24"/>
          <w:szCs w:val="24"/>
          <w:highlight w:val="none"/>
        </w:rPr>
      </w:pPr>
      <w:bookmarkStart w:id="32" w:name="_Toc26446"/>
      <w:bookmarkStart w:id="33" w:name="_Toc16625"/>
      <w:bookmarkStart w:id="34" w:name="_Toc29745"/>
      <w:bookmarkStart w:id="35" w:name="_Toc23776"/>
      <w:bookmarkStart w:id="36" w:name="_Toc8484"/>
      <w:bookmarkStart w:id="37" w:name="_Toc23434"/>
      <w:bookmarkStart w:id="38" w:name="_Toc30662"/>
      <w:bookmarkStart w:id="39" w:name="_Toc1996"/>
      <w:bookmarkStart w:id="40" w:name="_Toc11839"/>
      <w:bookmarkStart w:id="41" w:name="_Toc4555"/>
      <w:bookmarkStart w:id="42" w:name="_Toc11934"/>
      <w:bookmarkStart w:id="43" w:name="_Toc494"/>
      <w:bookmarkStart w:id="44" w:name="_Toc4768"/>
      <w:bookmarkStart w:id="45" w:name="_Toc29447"/>
      <w:bookmarkStart w:id="46" w:name="_Toc27801"/>
      <w:bookmarkStart w:id="47" w:name="_Toc6630"/>
      <w:bookmarkStart w:id="48" w:name="_Toc12915"/>
      <w:r>
        <w:rPr>
          <w:rFonts w:hint="eastAsia" w:ascii="仿宋" w:hAnsi="仿宋" w:eastAsia="仿宋"/>
          <w:color w:val="auto"/>
          <w:sz w:val="24"/>
          <w:szCs w:val="24"/>
          <w:highlight w:val="none"/>
        </w:rPr>
        <w:t>财政预算资金，预算金额</w:t>
      </w:r>
      <w:r>
        <w:rPr>
          <w:rFonts w:hint="eastAsia" w:ascii="仿宋" w:hAnsi="仿宋" w:eastAsia="仿宋"/>
          <w:color w:val="auto"/>
          <w:sz w:val="24"/>
          <w:szCs w:val="24"/>
          <w:highlight w:val="none"/>
          <w:lang w:val="en-US" w:eastAsia="zh-CN"/>
        </w:rPr>
        <w:t>为15</w:t>
      </w:r>
      <w:r>
        <w:rPr>
          <w:rFonts w:hint="eastAsia" w:ascii="仿宋" w:hAnsi="仿宋" w:eastAsia="仿宋"/>
          <w:color w:val="auto"/>
          <w:sz w:val="24"/>
          <w:szCs w:val="24"/>
          <w:highlight w:val="none"/>
        </w:rPr>
        <w:t>万元。</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4"/>
        <w:pageBreakBefore w:val="0"/>
        <w:kinsoku/>
        <w:wordWrap/>
        <w:overflowPunct/>
        <w:topLinePunct w:val="0"/>
        <w:autoSpaceDE/>
        <w:autoSpaceDN/>
        <w:bidi w:val="0"/>
        <w:adjustRightInd/>
        <w:spacing w:beforeLines="100" w:after="0" w:line="312" w:lineRule="auto"/>
        <w:outlineLvl w:val="0"/>
        <w:rPr>
          <w:rFonts w:ascii="仿宋" w:hAnsi="仿宋" w:eastAsia="仿宋"/>
          <w:color w:val="auto"/>
          <w:sz w:val="24"/>
          <w:szCs w:val="24"/>
          <w:highlight w:val="none"/>
        </w:rPr>
      </w:pPr>
      <w:bookmarkStart w:id="49" w:name="_Toc27496"/>
      <w:bookmarkStart w:id="50" w:name="_Toc18111"/>
      <w:bookmarkStart w:id="51" w:name="_Toc2955"/>
      <w:bookmarkStart w:id="52" w:name="_Toc8401"/>
      <w:bookmarkStart w:id="53" w:name="_Toc20265"/>
      <w:r>
        <w:rPr>
          <w:rFonts w:hint="eastAsia" w:ascii="仿宋" w:hAnsi="仿宋" w:eastAsia="仿宋"/>
          <w:color w:val="auto"/>
          <w:sz w:val="24"/>
          <w:szCs w:val="24"/>
          <w:highlight w:val="none"/>
        </w:rPr>
        <w:t>三、供应商资格条件</w:t>
      </w:r>
      <w:bookmarkEnd w:id="49"/>
      <w:bookmarkEnd w:id="50"/>
      <w:bookmarkEnd w:id="51"/>
      <w:bookmarkEnd w:id="52"/>
      <w:bookmarkEnd w:id="53"/>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供应商是指向采购人提供服务或者货物的法人、其他组织或者自然人。合格的供应商应首先符合《政府采购法》第二十二条规定的基本资格条件。</w:t>
      </w:r>
    </w:p>
    <w:p>
      <w:pPr>
        <w:pageBreakBefore w:val="0"/>
        <w:kinsoku/>
        <w:wordWrap/>
        <w:overflowPunct/>
        <w:topLinePunct w:val="0"/>
        <w:autoSpaceDE/>
        <w:autoSpaceDN/>
        <w:bidi w:val="0"/>
        <w:adjustRightInd/>
        <w:spacing w:line="312" w:lineRule="auto"/>
        <w:ind w:firstLine="480" w:firstLineChars="200"/>
        <w:outlineLvl w:val="1"/>
        <w:rPr>
          <w:rFonts w:ascii="仿宋" w:hAnsi="仿宋" w:eastAsia="仿宋"/>
          <w:color w:val="auto"/>
          <w:sz w:val="24"/>
          <w:szCs w:val="24"/>
          <w:highlight w:val="none"/>
        </w:rPr>
      </w:pPr>
      <w:bookmarkStart w:id="54" w:name="_Toc15413"/>
      <w:bookmarkStart w:id="55" w:name="_Toc5250"/>
      <w:r>
        <w:rPr>
          <w:rFonts w:hint="eastAsia" w:ascii="仿宋" w:hAnsi="仿宋" w:eastAsia="仿宋"/>
          <w:color w:val="auto"/>
          <w:sz w:val="24"/>
          <w:szCs w:val="24"/>
          <w:highlight w:val="none"/>
        </w:rPr>
        <w:t>（一）基本资格条件</w:t>
      </w:r>
      <w:bookmarkEnd w:id="54"/>
      <w:bookmarkEnd w:id="55"/>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1.具有独立承担民事责任的能力；</w:t>
      </w:r>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2.具有良好的商业信誉和健全的财务会计制度；</w:t>
      </w:r>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3.具有履行合同所必需的设备和专业技术能力；</w:t>
      </w:r>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4.有依法缴纳税收和社会保障资金的良好记录；</w:t>
      </w:r>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5.参加采购活动前三年内，在经营活动中没有重大违法记录；</w:t>
      </w:r>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6.法律、行政法规规定的其他条件。</w:t>
      </w:r>
    </w:p>
    <w:p>
      <w:pPr>
        <w:pageBreakBefore w:val="0"/>
        <w:kinsoku/>
        <w:wordWrap/>
        <w:overflowPunct/>
        <w:topLinePunct w:val="0"/>
        <w:autoSpaceDE/>
        <w:autoSpaceDN/>
        <w:bidi w:val="0"/>
        <w:adjustRightInd/>
        <w:spacing w:line="312" w:lineRule="auto"/>
        <w:ind w:firstLine="480" w:firstLineChars="200"/>
        <w:outlineLvl w:val="1"/>
        <w:rPr>
          <w:rFonts w:ascii="仿宋" w:hAnsi="仿宋" w:eastAsia="仿宋"/>
          <w:color w:val="auto"/>
          <w:sz w:val="24"/>
          <w:szCs w:val="24"/>
          <w:highlight w:val="none"/>
        </w:rPr>
      </w:pPr>
      <w:bookmarkStart w:id="56" w:name="_Toc31284"/>
      <w:bookmarkStart w:id="57" w:name="_Toc14193"/>
      <w:r>
        <w:rPr>
          <w:rFonts w:hint="eastAsia" w:ascii="仿宋" w:hAnsi="仿宋" w:eastAsia="仿宋"/>
          <w:color w:val="auto"/>
          <w:sz w:val="24"/>
          <w:szCs w:val="24"/>
          <w:highlight w:val="none"/>
        </w:rPr>
        <w:t>（二）特定资格条件：无</w:t>
      </w:r>
      <w:bookmarkEnd w:id="56"/>
      <w:bookmarkEnd w:id="57"/>
    </w:p>
    <w:p>
      <w:pPr>
        <w:pStyle w:val="4"/>
        <w:pageBreakBefore w:val="0"/>
        <w:kinsoku/>
        <w:wordWrap/>
        <w:overflowPunct/>
        <w:topLinePunct w:val="0"/>
        <w:autoSpaceDE/>
        <w:autoSpaceDN/>
        <w:bidi w:val="0"/>
        <w:adjustRightInd/>
        <w:spacing w:before="0" w:after="0" w:line="312" w:lineRule="auto"/>
        <w:outlineLvl w:val="0"/>
        <w:rPr>
          <w:rFonts w:ascii="仿宋" w:hAnsi="仿宋" w:eastAsia="仿宋"/>
          <w:color w:val="auto"/>
          <w:sz w:val="24"/>
          <w:szCs w:val="24"/>
          <w:highlight w:val="none"/>
        </w:rPr>
      </w:pPr>
      <w:bookmarkStart w:id="58" w:name="_Toc5003"/>
      <w:bookmarkStart w:id="59" w:name="_Toc11506"/>
      <w:bookmarkStart w:id="60" w:name="_Toc10926"/>
      <w:bookmarkStart w:id="61" w:name="_Toc19019"/>
      <w:r>
        <w:rPr>
          <w:rFonts w:hint="eastAsia" w:ascii="仿宋" w:hAnsi="仿宋" w:eastAsia="仿宋"/>
          <w:color w:val="auto"/>
          <w:sz w:val="24"/>
          <w:szCs w:val="24"/>
          <w:highlight w:val="none"/>
        </w:rPr>
        <w:t>四、采购有关说明</w:t>
      </w:r>
      <w:bookmarkEnd w:id="21"/>
      <w:bookmarkEnd w:id="58"/>
      <w:bookmarkEnd w:id="59"/>
      <w:bookmarkEnd w:id="60"/>
      <w:bookmarkEnd w:id="61"/>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bookmarkStart w:id="62" w:name="_Toc373860294"/>
      <w:r>
        <w:rPr>
          <w:rFonts w:hint="eastAsia" w:ascii="仿宋" w:hAnsi="仿宋" w:eastAsia="仿宋"/>
          <w:color w:val="auto"/>
          <w:sz w:val="24"/>
          <w:szCs w:val="24"/>
          <w:highlight w:val="none"/>
        </w:rPr>
        <w:t>（</w:t>
      </w:r>
      <w:r>
        <w:rPr>
          <w:rFonts w:hint="eastAsia" w:ascii="仿宋" w:hAnsi="仿宋" w:eastAsia="仿宋" w:cs="仿宋"/>
          <w:color w:val="auto"/>
          <w:sz w:val="24"/>
          <w:szCs w:val="24"/>
          <w:highlight w:val="none"/>
        </w:rPr>
        <w:t>一）供应商应通过重庆市政府采购网（</w:t>
      </w:r>
      <w:r>
        <w:rPr>
          <w:color w:val="auto"/>
          <w:highlight w:val="none"/>
        </w:rPr>
        <w:fldChar w:fldCharType="begin"/>
      </w:r>
      <w:r>
        <w:rPr>
          <w:color w:val="auto"/>
          <w:highlight w:val="none"/>
        </w:rPr>
        <w:instrText xml:space="preserve">HYPERLINK "http://www.cqgp.gov.cn"</w:instrText>
      </w:r>
      <w:r>
        <w:rPr>
          <w:color w:val="auto"/>
          <w:highlight w:val="none"/>
        </w:rPr>
        <w:fldChar w:fldCharType="separate"/>
      </w:r>
      <w:r>
        <w:rPr>
          <w:rFonts w:hint="eastAsia" w:ascii="仿宋" w:hAnsi="仿宋" w:eastAsia="仿宋" w:cs="仿宋"/>
          <w:color w:val="auto"/>
          <w:sz w:val="24"/>
          <w:szCs w:val="24"/>
          <w:highlight w:val="none"/>
        </w:rPr>
        <w:t>www.ccgp-chongqing.gov.cn</w:t>
      </w:r>
      <w:r>
        <w:rPr>
          <w:color w:val="auto"/>
          <w:highlight w:val="none"/>
        </w:rPr>
        <w:fldChar w:fldCharType="end"/>
      </w:r>
      <w:r>
        <w:rPr>
          <w:rFonts w:hint="eastAsia" w:ascii="仿宋" w:hAnsi="仿宋" w:eastAsia="仿宋" w:cs="仿宋"/>
          <w:color w:val="auto"/>
          <w:sz w:val="24"/>
          <w:szCs w:val="24"/>
          <w:highlight w:val="none"/>
        </w:rPr>
        <w:t>）登记加入“重庆市政府采购供应商库”。</w:t>
      </w:r>
    </w:p>
    <w:p>
      <w:pPr>
        <w:pageBreakBefore w:val="0"/>
        <w:kinsoku/>
        <w:wordWrap/>
        <w:overflowPunct/>
        <w:topLinePunct w:val="0"/>
        <w:autoSpaceDE/>
        <w:autoSpaceDN/>
        <w:bidi w:val="0"/>
        <w:adjustRightInd/>
        <w:spacing w:line="312" w:lineRule="auto"/>
        <w:ind w:right="-168" w:rightChars="-6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w:t>
      </w:r>
      <w:r>
        <w:rPr>
          <w:rFonts w:hint="eastAsia" w:ascii="仿宋" w:hAnsi="仿宋" w:eastAsia="仿宋" w:cs="仿宋"/>
          <w:color w:val="auto"/>
          <w:sz w:val="24"/>
          <w:szCs w:val="24"/>
          <w:highlight w:val="none"/>
        </w:rPr>
        <w:t>凡有意参加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的供应商，请于公告发布之日起至提交首次响应文件截止时间之前，在“</w:t>
      </w:r>
      <w:r>
        <w:rPr>
          <w:rFonts w:hint="eastAsia" w:ascii="仿宋" w:hAnsi="仿宋" w:eastAsia="仿宋" w:cs="仿宋"/>
          <w:color w:val="auto"/>
          <w:sz w:val="24"/>
          <w:szCs w:val="24"/>
          <w:highlight w:val="none"/>
          <w:lang w:eastAsia="zh-CN"/>
        </w:rPr>
        <w:t>重庆市政府采购云平台网上竞</w:t>
      </w:r>
      <w:r>
        <w:rPr>
          <w:rFonts w:hint="eastAsia" w:ascii="仿宋" w:hAnsi="仿宋" w:eastAsia="仿宋" w:cs="仿宋"/>
          <w:color w:val="auto"/>
          <w:sz w:val="24"/>
          <w:szCs w:val="24"/>
          <w:highlight w:val="none"/>
          <w:lang w:val="en-US" w:eastAsia="zh-CN"/>
        </w:rPr>
        <w:t>采</w:t>
      </w:r>
      <w:r>
        <w:rPr>
          <w:rFonts w:hint="eastAsia" w:ascii="仿宋" w:hAnsi="仿宋" w:eastAsia="仿宋" w:cs="仿宋"/>
          <w:color w:val="auto"/>
          <w:sz w:val="24"/>
          <w:szCs w:val="24"/>
          <w:highlight w:val="none"/>
          <w:lang w:eastAsia="zh-CN"/>
        </w:rPr>
        <w:t>（https://xj.ccgp-chongqing.gov.cn/ge/）</w:t>
      </w:r>
      <w:r>
        <w:rPr>
          <w:rFonts w:hint="eastAsia" w:ascii="仿宋" w:hAnsi="仿宋" w:eastAsia="仿宋" w:cs="仿宋"/>
          <w:color w:val="auto"/>
          <w:sz w:val="24"/>
          <w:szCs w:val="24"/>
          <w:highlight w:val="none"/>
        </w:rPr>
        <w:t>”下载本项目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前公布的所有项目资料，无论供应商下载与否，均视为已知晓所有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实质性要求内容</w:t>
      </w:r>
      <w:r>
        <w:rPr>
          <w:rFonts w:hint="eastAsia" w:ascii="仿宋" w:hAnsi="仿宋" w:eastAsia="仿宋"/>
          <w:color w:val="auto"/>
          <w:sz w:val="24"/>
          <w:szCs w:val="24"/>
          <w:highlight w:val="none"/>
        </w:rPr>
        <w:t>。</w:t>
      </w:r>
    </w:p>
    <w:p>
      <w:pPr>
        <w:pageBreakBefore w:val="0"/>
        <w:kinsoku/>
        <w:wordWrap/>
        <w:overflowPunct/>
        <w:topLinePunct w:val="0"/>
        <w:autoSpaceDE/>
        <w:autoSpaceDN/>
        <w:bidi w:val="0"/>
        <w:adjustRightInd/>
        <w:spacing w:line="312" w:lineRule="auto"/>
        <w:ind w:firstLine="480" w:firstLineChars="200"/>
        <w:outlineLvl w:val="1"/>
        <w:rPr>
          <w:rFonts w:ascii="仿宋" w:hAnsi="仿宋" w:eastAsia="仿宋"/>
          <w:color w:val="auto"/>
          <w:sz w:val="24"/>
          <w:szCs w:val="24"/>
          <w:highlight w:val="none"/>
        </w:rPr>
      </w:pPr>
      <w:bookmarkStart w:id="63" w:name="_Toc13241"/>
      <w:bookmarkStart w:id="64" w:name="_Toc5302"/>
      <w:r>
        <w:rPr>
          <w:rFonts w:hint="eastAsia" w:ascii="仿宋" w:hAnsi="仿宋" w:eastAsia="仿宋"/>
          <w:color w:val="auto"/>
          <w:sz w:val="24"/>
          <w:szCs w:val="24"/>
          <w:highlight w:val="none"/>
        </w:rPr>
        <w:t>（三）线上报价</w:t>
      </w:r>
      <w:bookmarkEnd w:id="63"/>
      <w:bookmarkEnd w:id="64"/>
    </w:p>
    <w:p>
      <w:pPr>
        <w:pageBreakBefore w:val="0"/>
        <w:kinsoku/>
        <w:wordWrap/>
        <w:overflowPunct/>
        <w:topLinePunct w:val="0"/>
        <w:autoSpaceDE/>
        <w:autoSpaceDN/>
        <w:bidi w:val="0"/>
        <w:adjustRightInd/>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1.线上报价时间：按本项目网上公告规定的报价截止时间为准。</w:t>
      </w:r>
    </w:p>
    <w:p>
      <w:pPr>
        <w:pageBreakBefore w:val="0"/>
        <w:kinsoku/>
        <w:wordWrap/>
        <w:overflowPunct/>
        <w:topLinePunct w:val="0"/>
        <w:autoSpaceDE/>
        <w:autoSpaceDN/>
        <w:bidi w:val="0"/>
        <w:adjustRightInd/>
        <w:snapToGrid w:val="0"/>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2.线上报价要求：按本项目规定的时间在重庆市政府采购云平台</w:t>
      </w:r>
      <w:r>
        <w:rPr>
          <w:rFonts w:ascii="仿宋" w:hAnsi="仿宋" w:eastAsia="仿宋"/>
          <w:color w:val="auto"/>
          <w:sz w:val="24"/>
          <w:szCs w:val="24"/>
          <w:highlight w:val="none"/>
        </w:rPr>
        <w:t>.</w:t>
      </w:r>
      <w:r>
        <w:rPr>
          <w:rFonts w:hint="eastAsia" w:ascii="仿宋" w:hAnsi="仿宋" w:eastAsia="仿宋"/>
          <w:color w:val="auto"/>
          <w:sz w:val="24"/>
          <w:szCs w:val="24"/>
          <w:highlight w:val="none"/>
        </w:rPr>
        <w:t>网上竞采中心（</w:t>
      </w:r>
      <w:r>
        <w:rPr>
          <w:rFonts w:ascii="仿宋" w:hAnsi="仿宋" w:eastAsia="仿宋"/>
          <w:color w:val="auto"/>
          <w:sz w:val="24"/>
          <w:szCs w:val="24"/>
          <w:highlight w:val="none"/>
        </w:rPr>
        <w:t>https://xj.ccgp-chongqing.gov.cn/ge/</w:t>
      </w:r>
      <w:r>
        <w:rPr>
          <w:rFonts w:hint="eastAsia" w:ascii="仿宋" w:hAnsi="仿宋" w:eastAsia="仿宋"/>
          <w:color w:val="auto"/>
          <w:sz w:val="24"/>
          <w:szCs w:val="24"/>
          <w:highlight w:val="none"/>
        </w:rPr>
        <w:t>）进行网上报价，并在规定的时间内上传响应文件电子文档。未在规定时间内报价和上传响应文件电子文档的供应商不具备竞标资格。</w:t>
      </w:r>
    </w:p>
    <w:p>
      <w:pPr>
        <w:pageBreakBefore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）本项目不举行现场开标仪式，采购人将以</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在线上平台上传的响应文件</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lang w:eastAsia="zh-CN"/>
        </w:rPr>
        <w:t>作为评审依据。</w:t>
      </w:r>
    </w:p>
    <w:p>
      <w:pPr>
        <w:pageBreakBefore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供应商制作的响应文件电子文档，须按照要求制作，规定签字、盖章的地方必须按其规定签字、盖章，未按要求制作响应文件的进行废标处理。</w:t>
      </w:r>
    </w:p>
    <w:p>
      <w:pPr>
        <w:pStyle w:val="4"/>
        <w:pageBreakBefore w:val="0"/>
        <w:kinsoku/>
        <w:wordWrap/>
        <w:overflowPunct/>
        <w:topLinePunct w:val="0"/>
        <w:autoSpaceDE/>
        <w:autoSpaceDN/>
        <w:bidi w:val="0"/>
        <w:adjustRightInd/>
        <w:spacing w:before="0" w:after="0" w:line="312" w:lineRule="auto"/>
        <w:outlineLvl w:val="0"/>
        <w:rPr>
          <w:rFonts w:ascii="仿宋" w:hAnsi="仿宋" w:eastAsia="仿宋"/>
          <w:color w:val="auto"/>
          <w:sz w:val="24"/>
          <w:szCs w:val="24"/>
          <w:highlight w:val="none"/>
        </w:rPr>
      </w:pPr>
      <w:bookmarkStart w:id="65" w:name="_Toc27696"/>
      <w:bookmarkStart w:id="66" w:name="_Toc19170"/>
      <w:bookmarkStart w:id="67" w:name="_Toc25667"/>
      <w:bookmarkStart w:id="68" w:name="_Toc29110"/>
      <w:r>
        <w:rPr>
          <w:rFonts w:hint="eastAsia" w:ascii="仿宋" w:hAnsi="仿宋" w:eastAsia="仿宋"/>
          <w:color w:val="auto"/>
          <w:sz w:val="24"/>
          <w:szCs w:val="24"/>
          <w:highlight w:val="none"/>
        </w:rPr>
        <w:t>五、</w:t>
      </w:r>
      <w:bookmarkEnd w:id="22"/>
      <w:bookmarkEnd w:id="62"/>
      <w:bookmarkStart w:id="69" w:name="_Toc480466699"/>
      <w:r>
        <w:rPr>
          <w:rFonts w:hint="eastAsia" w:ascii="仿宋" w:hAnsi="仿宋" w:eastAsia="仿宋"/>
          <w:color w:val="auto"/>
          <w:sz w:val="24"/>
          <w:szCs w:val="24"/>
          <w:highlight w:val="none"/>
        </w:rPr>
        <w:t>其它有关规定</w:t>
      </w:r>
      <w:bookmarkEnd w:id="65"/>
      <w:bookmarkEnd w:id="66"/>
      <w:bookmarkEnd w:id="67"/>
      <w:bookmarkEnd w:id="68"/>
      <w:bookmarkEnd w:id="69"/>
    </w:p>
    <w:p>
      <w:pPr>
        <w:pageBreakBefore w:val="0"/>
        <w:kinsoku/>
        <w:wordWrap/>
        <w:overflowPunct/>
        <w:topLinePunct w:val="0"/>
        <w:autoSpaceDE/>
        <w:autoSpaceDN/>
        <w:bidi w:val="0"/>
        <w:adjustRightInd/>
        <w:snapToGrid w:val="0"/>
        <w:spacing w:line="312" w:lineRule="auto"/>
        <w:ind w:firstLine="360" w:firstLineChars="150"/>
        <w:rPr>
          <w:rFonts w:ascii="仿宋" w:hAnsi="仿宋" w:eastAsia="仿宋"/>
          <w:color w:val="auto"/>
          <w:sz w:val="24"/>
          <w:szCs w:val="24"/>
          <w:highlight w:val="none"/>
        </w:rPr>
      </w:pPr>
      <w:bookmarkStart w:id="70" w:name="_Toc480466700"/>
      <w:r>
        <w:rPr>
          <w:rFonts w:hint="eastAsia" w:ascii="仿宋" w:hAnsi="仿宋" w:eastAsia="仿宋"/>
          <w:color w:val="auto"/>
          <w:sz w:val="24"/>
          <w:szCs w:val="24"/>
          <w:highlight w:val="none"/>
        </w:rPr>
        <w:t>（一）单位负责人为同一人或者存在直接控股、管理关系的不同供应商，</w:t>
      </w:r>
      <w:r>
        <w:rPr>
          <w:rFonts w:ascii="仿宋" w:hAnsi="仿宋" w:eastAsia="仿宋"/>
          <w:color w:val="auto"/>
          <w:sz w:val="24"/>
          <w:szCs w:val="24"/>
          <w:highlight w:val="none"/>
        </w:rPr>
        <w:t>不得参加同一合同项</w:t>
      </w:r>
      <w:r>
        <w:rPr>
          <w:rFonts w:hint="eastAsia" w:ascii="仿宋" w:hAnsi="仿宋" w:eastAsia="仿宋"/>
          <w:color w:val="auto"/>
          <w:sz w:val="24"/>
          <w:szCs w:val="24"/>
          <w:highlight w:val="none"/>
        </w:rPr>
        <w:t>（分包）</w:t>
      </w:r>
      <w:r>
        <w:rPr>
          <w:rFonts w:ascii="仿宋" w:hAnsi="仿宋" w:eastAsia="仿宋"/>
          <w:color w:val="auto"/>
          <w:sz w:val="24"/>
          <w:szCs w:val="24"/>
          <w:highlight w:val="none"/>
        </w:rPr>
        <w:t>下的政府采购活动</w:t>
      </w:r>
      <w:r>
        <w:rPr>
          <w:rFonts w:hint="eastAsia" w:ascii="仿宋" w:hAnsi="仿宋" w:eastAsia="仿宋"/>
          <w:color w:val="auto"/>
          <w:sz w:val="24"/>
          <w:szCs w:val="24"/>
          <w:highlight w:val="none"/>
        </w:rPr>
        <w:t>，否则均为响应无效。</w:t>
      </w:r>
    </w:p>
    <w:p>
      <w:pPr>
        <w:pageBreakBefore w:val="0"/>
        <w:kinsoku/>
        <w:wordWrap/>
        <w:overflowPunct/>
        <w:topLinePunct w:val="0"/>
        <w:autoSpaceDE/>
        <w:autoSpaceDN/>
        <w:bidi w:val="0"/>
        <w:adjustRightInd/>
        <w:snapToGrid w:val="0"/>
        <w:spacing w:line="312"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二）本项目的补遗文件（如果有）一律在重庆市政府采购云平台.网上竞采中心（https://xj.ccgp-chongqing.gov.cn/ge/）上发布，请各供应商注意下载；无论供应商下载与否，均视同供应商已知晓本项目补遗文件（如果有）的内容。</w:t>
      </w:r>
    </w:p>
    <w:p>
      <w:pPr>
        <w:pageBreakBefore w:val="0"/>
        <w:kinsoku/>
        <w:wordWrap/>
        <w:overflowPunct/>
        <w:topLinePunct w:val="0"/>
        <w:autoSpaceDE/>
        <w:autoSpaceDN/>
        <w:bidi w:val="0"/>
        <w:adjustRightInd/>
        <w:snapToGrid w:val="0"/>
        <w:spacing w:line="312" w:lineRule="auto"/>
        <w:ind w:firstLine="360" w:firstLineChars="1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（三）网上竞采费用：无论网上竞采结果如何，供应商参与本项目网上竞采的所有费用均应由供应商自行承担。</w:t>
      </w:r>
    </w:p>
    <w:p>
      <w:pPr>
        <w:pageBreakBefore w:val="0"/>
        <w:kinsoku/>
        <w:wordWrap/>
        <w:overflowPunct/>
        <w:topLinePunct w:val="0"/>
        <w:autoSpaceDE/>
        <w:autoSpaceDN/>
        <w:bidi w:val="0"/>
        <w:adjustRightInd/>
        <w:snapToGrid w:val="0"/>
        <w:spacing w:line="312" w:lineRule="auto"/>
        <w:ind w:firstLine="361" w:firstLineChars="150"/>
        <w:outlineLvl w:val="1"/>
        <w:rPr>
          <w:rFonts w:ascii="仿宋" w:hAnsi="仿宋" w:eastAsia="仿宋"/>
          <w:b/>
          <w:bCs/>
          <w:color w:val="auto"/>
          <w:sz w:val="24"/>
          <w:szCs w:val="24"/>
          <w:highlight w:val="none"/>
        </w:rPr>
      </w:pPr>
      <w:bookmarkStart w:id="71" w:name="_Toc4208"/>
      <w:bookmarkStart w:id="72" w:name="_Toc22433"/>
      <w:r>
        <w:rPr>
          <w:rFonts w:hint="eastAsia" w:ascii="仿宋" w:hAnsi="仿宋" w:eastAsia="仿宋"/>
          <w:b/>
          <w:bCs/>
          <w:color w:val="auto"/>
          <w:sz w:val="24"/>
          <w:szCs w:val="24"/>
          <w:highlight w:val="none"/>
        </w:rPr>
        <w:t>（四）本项目不接受联合体参与网上竞采。</w:t>
      </w:r>
      <w:bookmarkEnd w:id="71"/>
      <w:bookmarkEnd w:id="72"/>
    </w:p>
    <w:p>
      <w:pPr>
        <w:pageBreakBefore w:val="0"/>
        <w:kinsoku/>
        <w:wordWrap/>
        <w:overflowPunct/>
        <w:topLinePunct w:val="0"/>
        <w:autoSpaceDE/>
        <w:autoSpaceDN/>
        <w:bidi w:val="0"/>
        <w:adjustRightInd/>
        <w:snapToGrid w:val="0"/>
        <w:spacing w:line="312"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pageBreakBefore w:val="0"/>
        <w:kinsoku/>
        <w:wordWrap/>
        <w:overflowPunct/>
        <w:topLinePunct w:val="0"/>
        <w:autoSpaceDE/>
        <w:autoSpaceDN/>
        <w:bidi w:val="0"/>
        <w:adjustRightInd/>
        <w:spacing w:before="0" w:after="0" w:line="312" w:lineRule="auto"/>
        <w:outlineLvl w:val="0"/>
        <w:rPr>
          <w:rFonts w:ascii="仿宋" w:hAnsi="仿宋" w:eastAsia="仿宋"/>
          <w:color w:val="auto"/>
          <w:sz w:val="24"/>
          <w:szCs w:val="24"/>
          <w:highlight w:val="none"/>
        </w:rPr>
      </w:pPr>
      <w:bookmarkStart w:id="73" w:name="_Toc26615"/>
      <w:bookmarkStart w:id="74" w:name="_Toc16437"/>
      <w:bookmarkStart w:id="75" w:name="_Toc14255"/>
      <w:bookmarkStart w:id="76" w:name="_Toc31888"/>
      <w:r>
        <w:rPr>
          <w:rFonts w:hint="eastAsia" w:ascii="仿宋" w:hAnsi="仿宋" w:eastAsia="仿宋"/>
          <w:color w:val="auto"/>
          <w:sz w:val="24"/>
          <w:szCs w:val="24"/>
          <w:highlight w:val="none"/>
          <w:lang w:val="en-US" w:eastAsia="zh-CN"/>
        </w:rPr>
        <w:t>六</w:t>
      </w:r>
      <w:r>
        <w:rPr>
          <w:rFonts w:hint="eastAsia" w:ascii="仿宋" w:hAnsi="仿宋" w:eastAsia="仿宋"/>
          <w:color w:val="auto"/>
          <w:sz w:val="24"/>
          <w:szCs w:val="24"/>
          <w:highlight w:val="none"/>
        </w:rPr>
        <w:t>、联系方式</w:t>
      </w:r>
      <w:bookmarkEnd w:id="70"/>
      <w:bookmarkEnd w:id="73"/>
      <w:bookmarkEnd w:id="74"/>
      <w:bookmarkEnd w:id="75"/>
      <w:bookmarkEnd w:id="76"/>
    </w:p>
    <w:p>
      <w:pPr>
        <w:pageBreakBefore w:val="0"/>
        <w:kinsoku/>
        <w:wordWrap/>
        <w:overflowPunct/>
        <w:topLinePunct w:val="0"/>
        <w:autoSpaceDE/>
        <w:autoSpaceDN/>
        <w:bidi w:val="0"/>
        <w:adjustRightInd/>
        <w:snapToGrid w:val="0"/>
        <w:spacing w:line="312" w:lineRule="auto"/>
        <w:ind w:firstLine="480" w:firstLineChars="200"/>
        <w:outlineLvl w:val="1"/>
        <w:rPr>
          <w:rFonts w:hint="eastAsia" w:ascii="仿宋" w:hAnsi="仿宋" w:eastAsia="仿宋" w:cs="仿宋"/>
          <w:color w:val="auto"/>
          <w:sz w:val="24"/>
          <w:szCs w:val="24"/>
          <w:highlight w:val="none"/>
          <w:lang w:eastAsia="zh-CN"/>
        </w:rPr>
      </w:pPr>
      <w:bookmarkStart w:id="77" w:name="_Toc24944"/>
      <w:bookmarkStart w:id="78" w:name="_Toc32633"/>
      <w:bookmarkStart w:id="79" w:name="_Toc18586"/>
      <w:bookmarkStart w:id="80" w:name="_Toc12789058"/>
      <w:r>
        <w:rPr>
          <w:rFonts w:hint="eastAsia" w:ascii="仿宋" w:hAnsi="仿宋" w:eastAsia="仿宋"/>
          <w:color w:val="auto"/>
          <w:sz w:val="24"/>
          <w:szCs w:val="24"/>
          <w:highlight w:val="none"/>
        </w:rPr>
        <w:t>（一）</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重庆市南岸区上新街房管所</w:t>
      </w:r>
      <w:bookmarkEnd w:id="77"/>
      <w:bookmarkEnd w:id="78"/>
    </w:p>
    <w:p>
      <w:pPr>
        <w:pageBreakBefore w:val="0"/>
        <w:kinsoku/>
        <w:wordWrap/>
        <w:overflowPunct/>
        <w:topLinePunct w:val="0"/>
        <w:autoSpaceDE/>
        <w:autoSpaceDN/>
        <w:bidi w:val="0"/>
        <w:adjustRightInd/>
        <w:snapToGrid w:val="0"/>
        <w:spacing w:line="312" w:lineRule="auto"/>
        <w:ind w:firstLine="1200" w:firstLineChars="5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蒋先生</w:t>
      </w:r>
    </w:p>
    <w:p>
      <w:pPr>
        <w:pageBreakBefore w:val="0"/>
        <w:kinsoku/>
        <w:wordWrap/>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rPr>
        <w:t>023-62871162</w:t>
      </w:r>
    </w:p>
    <w:p>
      <w:pPr>
        <w:pageBreakBefore w:val="0"/>
        <w:kinsoku/>
        <w:wordWrap/>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rPr>
        <w:t>重庆市南岸区上新街43-47号</w:t>
      </w:r>
    </w:p>
    <w:p>
      <w:pPr>
        <w:pageBreakBefore w:val="0"/>
        <w:kinsoku/>
        <w:wordWrap/>
        <w:overflowPunct/>
        <w:topLinePunct w:val="0"/>
        <w:autoSpaceDE/>
        <w:autoSpaceDN/>
        <w:bidi w:val="0"/>
        <w:adjustRightInd/>
        <w:snapToGrid w:val="0"/>
        <w:spacing w:line="312" w:lineRule="auto"/>
        <w:ind w:firstLine="480" w:firstLineChars="200"/>
        <w:rPr>
          <w:rFonts w:hint="eastAsia" w:ascii="仿宋" w:hAnsi="仿宋" w:eastAsia="仿宋"/>
          <w:color w:val="auto"/>
          <w:sz w:val="24"/>
          <w:szCs w:val="24"/>
          <w:highlight w:val="none"/>
        </w:rPr>
      </w:pPr>
    </w:p>
    <w:p>
      <w:pPr>
        <w:pageBreakBefore w:val="0"/>
        <w:kinsoku/>
        <w:wordWrap/>
        <w:overflowPunct/>
        <w:topLinePunct w:val="0"/>
        <w:autoSpaceDE/>
        <w:autoSpaceDN/>
        <w:bidi w:val="0"/>
        <w:adjustRightInd/>
        <w:snapToGrid w:val="0"/>
        <w:spacing w:line="312" w:lineRule="auto"/>
        <w:ind w:firstLine="480" w:firstLineChars="200"/>
        <w:outlineLvl w:val="1"/>
        <w:rPr>
          <w:rFonts w:ascii="仿宋" w:hAnsi="仿宋" w:eastAsia="仿宋"/>
          <w:color w:val="auto"/>
          <w:sz w:val="24"/>
          <w:szCs w:val="24"/>
          <w:highlight w:val="none"/>
        </w:rPr>
      </w:pPr>
      <w:bookmarkStart w:id="81" w:name="_Toc27048"/>
      <w:bookmarkStart w:id="82" w:name="_Toc22583"/>
      <w:r>
        <w:rPr>
          <w:rFonts w:hint="eastAsia" w:ascii="仿宋" w:hAnsi="仿宋" w:eastAsia="仿宋"/>
          <w:color w:val="auto"/>
          <w:sz w:val="24"/>
          <w:szCs w:val="24"/>
          <w:highlight w:val="none"/>
        </w:rPr>
        <w:t>（二）采购代理机构：</w:t>
      </w:r>
      <w:r>
        <w:rPr>
          <w:rFonts w:hint="eastAsia" w:ascii="仿宋" w:hAnsi="仿宋" w:eastAsia="仿宋" w:cs="仿宋"/>
          <w:color w:val="auto"/>
          <w:sz w:val="24"/>
          <w:szCs w:val="24"/>
          <w:highlight w:val="none"/>
          <w:lang w:val="en-US" w:eastAsia="zh-CN"/>
        </w:rPr>
        <w:t>重庆普聚工程咨询有限公司</w:t>
      </w:r>
      <w:bookmarkEnd w:id="81"/>
      <w:bookmarkEnd w:id="82"/>
    </w:p>
    <w:p>
      <w:pPr>
        <w:pageBreakBefore w:val="0"/>
        <w:kinsoku/>
        <w:wordWrap/>
        <w:overflowPunct/>
        <w:topLinePunct w:val="0"/>
        <w:autoSpaceDE/>
        <w:autoSpaceDN/>
        <w:bidi w:val="0"/>
        <w:adjustRightInd/>
        <w:snapToGrid w:val="0"/>
        <w:spacing w:line="312" w:lineRule="auto"/>
        <w:ind w:firstLine="1200" w:firstLineChars="5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val="en-US" w:eastAsia="zh-CN"/>
        </w:rPr>
        <w:t>赵女士</w:t>
      </w:r>
    </w:p>
    <w:p>
      <w:pPr>
        <w:pageBreakBefore w:val="0"/>
        <w:kinsoku/>
        <w:wordWrap/>
        <w:overflowPunct/>
        <w:topLinePunct w:val="0"/>
        <w:autoSpaceDE/>
        <w:autoSpaceDN/>
        <w:bidi w:val="0"/>
        <w:adjustRightInd/>
        <w:snapToGrid w:val="0"/>
        <w:spacing w:line="312" w:lineRule="auto"/>
        <w:ind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023-62482276</w:t>
      </w:r>
    </w:p>
    <w:p>
      <w:pPr>
        <w:pageBreakBefore w:val="0"/>
        <w:kinsoku/>
        <w:wordWrap/>
        <w:overflowPunct/>
        <w:topLinePunct w:val="0"/>
        <w:autoSpaceDE/>
        <w:autoSpaceDN/>
        <w:bidi w:val="0"/>
        <w:adjustRightInd/>
        <w:snapToGrid w:val="0"/>
        <w:spacing w:line="312" w:lineRule="auto"/>
        <w:ind w:firstLine="1200" w:firstLineChars="500"/>
        <w:rPr>
          <w:rFonts w:ascii="仿宋" w:hAnsi="仿宋" w:eastAsia="仿宋"/>
          <w:b/>
          <w:color w:val="auto"/>
          <w:sz w:val="24"/>
          <w:szCs w:val="24"/>
          <w:highlight w:val="none"/>
        </w:rPr>
        <w:sectPr>
          <w:footerReference r:id="rId7" w:type="default"/>
          <w:pgSz w:w="11907" w:h="16840"/>
          <w:pgMar w:top="1134" w:right="1418" w:bottom="1134" w:left="1418" w:header="397" w:footer="992" w:gutter="0"/>
          <w:pgNumType w:fmt="decimal" w:start="1"/>
          <w:cols w:space="720" w:num="1"/>
          <w:docGrid w:linePitch="312" w:charSpace="0"/>
        </w:sect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val="zh-TW" w:eastAsia="zh-TW"/>
        </w:rPr>
        <w:t>重庆市</w:t>
      </w:r>
      <w:r>
        <w:rPr>
          <w:rFonts w:hint="eastAsia" w:ascii="仿宋" w:hAnsi="仿宋" w:eastAsia="仿宋"/>
          <w:color w:val="auto"/>
          <w:sz w:val="24"/>
          <w:szCs w:val="24"/>
          <w:highlight w:val="none"/>
          <w:lang w:val="en-US" w:eastAsia="zh-CN"/>
        </w:rPr>
        <w:t>南岸</w:t>
      </w:r>
      <w:r>
        <w:rPr>
          <w:rFonts w:hint="eastAsia" w:ascii="仿宋" w:hAnsi="仿宋" w:eastAsia="仿宋"/>
          <w:color w:val="auto"/>
          <w:sz w:val="24"/>
          <w:szCs w:val="24"/>
          <w:highlight w:val="none"/>
          <w:lang w:val="zh-TW" w:eastAsia="zh-TW"/>
        </w:rPr>
        <w:t>区</w:t>
      </w:r>
      <w:r>
        <w:rPr>
          <w:rFonts w:hint="eastAsia" w:ascii="仿宋" w:hAnsi="仿宋" w:eastAsia="仿宋"/>
          <w:color w:val="auto"/>
          <w:sz w:val="24"/>
          <w:szCs w:val="24"/>
          <w:highlight w:val="none"/>
          <w:lang w:val="en-US" w:eastAsia="zh-CN"/>
        </w:rPr>
        <w:t>南城大道199号正联大厦17楼</w:t>
      </w:r>
    </w:p>
    <w:p>
      <w:pPr>
        <w:pStyle w:val="3"/>
        <w:numPr>
          <w:ilvl w:val="0"/>
          <w:numId w:val="2"/>
        </w:numPr>
        <w:spacing w:line="360" w:lineRule="auto"/>
        <w:jc w:val="center"/>
        <w:outlineLvl w:val="0"/>
        <w:rPr>
          <w:rFonts w:hint="eastAsia" w:ascii="仿宋" w:hAnsi="仿宋" w:eastAsia="仿宋"/>
          <w:b/>
          <w:bCs w:val="0"/>
          <w:color w:val="auto"/>
          <w:sz w:val="36"/>
          <w:szCs w:val="30"/>
          <w:highlight w:val="none"/>
        </w:rPr>
      </w:pPr>
      <w:r>
        <w:rPr>
          <w:rFonts w:hint="eastAsia" w:ascii="仿宋" w:hAnsi="仿宋" w:eastAsia="仿宋"/>
          <w:b/>
          <w:bCs w:val="0"/>
          <w:color w:val="auto"/>
          <w:sz w:val="36"/>
          <w:szCs w:val="30"/>
          <w:highlight w:val="none"/>
        </w:rPr>
        <w:t xml:space="preserve"> </w:t>
      </w:r>
      <w:bookmarkStart w:id="83" w:name="_Toc11054"/>
      <w:bookmarkStart w:id="84" w:name="_Toc25180"/>
      <w:bookmarkStart w:id="85" w:name="_Toc23813"/>
      <w:bookmarkStart w:id="86" w:name="_Toc14358"/>
      <w:r>
        <w:rPr>
          <w:rFonts w:hint="eastAsia" w:ascii="仿宋" w:hAnsi="仿宋" w:eastAsia="仿宋"/>
          <w:b/>
          <w:bCs w:val="0"/>
          <w:color w:val="auto"/>
          <w:sz w:val="36"/>
          <w:szCs w:val="30"/>
          <w:highlight w:val="none"/>
          <w:lang w:val="en-US" w:eastAsia="zh-CN"/>
        </w:rPr>
        <w:t>采购</w:t>
      </w:r>
      <w:r>
        <w:rPr>
          <w:rFonts w:hint="eastAsia" w:ascii="仿宋" w:hAnsi="仿宋" w:eastAsia="仿宋"/>
          <w:b/>
          <w:bCs w:val="0"/>
          <w:color w:val="auto"/>
          <w:sz w:val="36"/>
          <w:szCs w:val="30"/>
          <w:highlight w:val="none"/>
        </w:rPr>
        <w:t>项目</w:t>
      </w:r>
      <w:r>
        <w:rPr>
          <w:rFonts w:hint="eastAsia" w:ascii="仿宋" w:hAnsi="仿宋" w:eastAsia="仿宋"/>
          <w:b/>
          <w:bCs w:val="0"/>
          <w:color w:val="auto"/>
          <w:sz w:val="36"/>
          <w:szCs w:val="30"/>
          <w:highlight w:val="none"/>
          <w:lang w:val="en-US" w:eastAsia="zh-CN"/>
        </w:rPr>
        <w:t>服务</w:t>
      </w:r>
      <w:r>
        <w:rPr>
          <w:rFonts w:hint="eastAsia" w:ascii="仿宋" w:hAnsi="仿宋" w:eastAsia="仿宋"/>
          <w:b/>
          <w:bCs w:val="0"/>
          <w:color w:val="auto"/>
          <w:sz w:val="36"/>
          <w:szCs w:val="30"/>
          <w:highlight w:val="none"/>
        </w:rPr>
        <w:t>需求</w:t>
      </w:r>
      <w:bookmarkEnd w:id="79"/>
      <w:bookmarkEnd w:id="83"/>
      <w:bookmarkEnd w:id="84"/>
      <w:bookmarkEnd w:id="85"/>
      <w:bookmarkEnd w:id="86"/>
    </w:p>
    <w:p>
      <w:pPr>
        <w:pStyle w:val="26"/>
        <w:snapToGrid w:val="0"/>
        <w:spacing w:line="360" w:lineRule="auto"/>
        <w:ind w:left="0" w:leftChars="0" w:firstLine="0" w:firstLineChars="0"/>
        <w:jc w:val="left"/>
        <w:outlineLvl w:val="0"/>
        <w:rPr>
          <w:rStyle w:val="24"/>
          <w:rFonts w:hint="eastAsia" w:ascii="仿宋" w:hAnsi="仿宋" w:eastAsia="仿宋" w:cs="宋体"/>
          <w:b/>
          <w:bCs w:val="0"/>
          <w:color w:val="auto"/>
          <w:szCs w:val="21"/>
          <w:highlight w:val="none"/>
          <w:lang w:val="en-US" w:eastAsia="zh-CN"/>
        </w:rPr>
      </w:pPr>
      <w:bookmarkStart w:id="87" w:name="_Toc7284"/>
      <w:bookmarkStart w:id="88" w:name="_Toc22285"/>
      <w:r>
        <w:rPr>
          <w:rStyle w:val="24"/>
          <w:rFonts w:hint="eastAsia" w:ascii="仿宋" w:hAnsi="仿宋" w:eastAsia="仿宋" w:cs="宋体"/>
          <w:b/>
          <w:bCs w:val="0"/>
          <w:color w:val="auto"/>
          <w:szCs w:val="21"/>
          <w:highlight w:val="none"/>
          <w:lang w:val="en-US" w:eastAsia="zh-CN"/>
        </w:rPr>
        <w:t>一、项目概况</w:t>
      </w:r>
      <w:bookmarkEnd w:id="87"/>
      <w:bookmarkEnd w:id="88"/>
    </w:p>
    <w:p>
      <w:pPr>
        <w:pStyle w:val="26"/>
        <w:snapToGrid w:val="0"/>
        <w:spacing w:line="360" w:lineRule="auto"/>
        <w:ind w:firstLine="480"/>
        <w:jc w:val="left"/>
        <w:rPr>
          <w:rStyle w:val="24"/>
          <w:rFonts w:hint="default"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（一）防治范围</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采购人管辖南岸区马鞍山片区的房屋总面积共计10436平方米，共265户。（详见防治区域明细表）</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drawing>
          <wp:inline distT="0" distB="0" distL="114300" distR="114300">
            <wp:extent cx="5974080" cy="2887980"/>
            <wp:effectExtent l="0" t="0" r="7620" b="7620"/>
            <wp:docPr id="4" name="图片 4" descr="f0804dd041c42212084743dd6572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0804dd041c42212084743dd65728aa"/>
                    <pic:cNvPicPr>
                      <a:picLocks noChangeAspect="1"/>
                    </pic:cNvPicPr>
                  </pic:nvPicPr>
                  <pic:blipFill>
                    <a:blip r:embed="rId13"/>
                    <a:stretch>
                      <a:fillRect/>
                    </a:stretch>
                  </pic:blipFill>
                  <pic:spPr>
                    <a:xfrm>
                      <a:off x="0" y="0"/>
                      <a:ext cx="5974080" cy="2887980"/>
                    </a:xfrm>
                    <a:prstGeom prst="rect">
                      <a:avLst/>
                    </a:prstGeom>
                  </pic:spPr>
                </pic:pic>
              </a:graphicData>
            </a:graphic>
          </wp:inline>
        </w:drawing>
      </w:r>
    </w:p>
    <w:p>
      <w:pPr>
        <w:pStyle w:val="26"/>
        <w:snapToGrid w:val="0"/>
        <w:spacing w:line="360" w:lineRule="auto"/>
        <w:ind w:left="0" w:leftChars="0" w:firstLine="480" w:firstLineChars="20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（二）使用药剂</w:t>
      </w:r>
    </w:p>
    <w:p>
      <w:pPr>
        <w:pStyle w:val="26"/>
        <w:snapToGrid w:val="0"/>
        <w:spacing w:line="360" w:lineRule="auto"/>
        <w:ind w:firstLine="720" w:firstLineChars="30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1、选用药剂原则：遵循“高效、低毒、对环境友好”的原则，必须符合国家和地方有关现行规定的白蚁防治专用药剂。</w:t>
      </w:r>
    </w:p>
    <w:p>
      <w:pPr>
        <w:pStyle w:val="26"/>
        <w:snapToGrid w:val="0"/>
        <w:spacing w:line="360" w:lineRule="auto"/>
        <w:ind w:firstLine="720" w:firstLineChars="30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2、本项目白蚁防治药剂选用须符合《中华人民共和国农药管理条例》。</w:t>
      </w:r>
    </w:p>
    <w:p>
      <w:pPr>
        <w:pStyle w:val="26"/>
        <w:snapToGrid w:val="0"/>
        <w:spacing w:line="360" w:lineRule="auto"/>
        <w:ind w:left="0" w:leftChars="0" w:firstLine="0" w:firstLineChars="0"/>
        <w:jc w:val="left"/>
        <w:outlineLvl w:val="0"/>
        <w:rPr>
          <w:rStyle w:val="24"/>
          <w:rFonts w:hint="eastAsia" w:ascii="仿宋" w:hAnsi="仿宋" w:eastAsia="仿宋" w:cs="宋体"/>
          <w:b/>
          <w:bCs w:val="0"/>
          <w:color w:val="auto"/>
          <w:szCs w:val="21"/>
          <w:highlight w:val="none"/>
          <w:lang w:val="en-US" w:eastAsia="zh-CN"/>
        </w:rPr>
      </w:pPr>
      <w:bookmarkStart w:id="89" w:name="_Toc14533"/>
      <w:bookmarkStart w:id="90" w:name="_Toc2005"/>
      <w:r>
        <w:rPr>
          <w:rStyle w:val="24"/>
          <w:rFonts w:hint="eastAsia" w:ascii="仿宋" w:hAnsi="仿宋" w:eastAsia="仿宋" w:cs="宋体"/>
          <w:b/>
          <w:bCs w:val="0"/>
          <w:color w:val="auto"/>
          <w:szCs w:val="21"/>
          <w:highlight w:val="none"/>
          <w:lang w:val="en-US" w:eastAsia="zh-CN"/>
        </w:rPr>
        <w:t>二、质量要求</w:t>
      </w:r>
      <w:bookmarkEnd w:id="89"/>
      <w:bookmarkEnd w:id="90"/>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（一）本项目白蚁整治服务完成，自检合格后，报采购人共同组织验收。</w:t>
      </w:r>
    </w:p>
    <w:p>
      <w:pPr>
        <w:pStyle w:val="26"/>
        <w:snapToGrid w:val="0"/>
        <w:spacing w:line="360" w:lineRule="auto"/>
        <w:ind w:firstLine="480"/>
        <w:jc w:val="left"/>
        <w:outlineLvl w:val="1"/>
        <w:rPr>
          <w:rStyle w:val="24"/>
          <w:rFonts w:hint="eastAsia" w:ascii="仿宋" w:hAnsi="仿宋" w:eastAsia="仿宋" w:cs="宋体"/>
          <w:bCs/>
          <w:color w:val="auto"/>
          <w:szCs w:val="21"/>
          <w:highlight w:val="none"/>
          <w:lang w:val="en-US" w:eastAsia="zh-CN"/>
        </w:rPr>
      </w:pPr>
      <w:bookmarkStart w:id="91" w:name="_Toc1826"/>
      <w:bookmarkStart w:id="92" w:name="_Toc18291"/>
      <w:r>
        <w:rPr>
          <w:rStyle w:val="24"/>
          <w:rFonts w:hint="eastAsia" w:ascii="仿宋" w:hAnsi="仿宋" w:eastAsia="仿宋" w:cs="宋体"/>
          <w:bCs/>
          <w:color w:val="auto"/>
          <w:szCs w:val="21"/>
          <w:highlight w:val="none"/>
          <w:lang w:val="en-US" w:eastAsia="zh-CN"/>
        </w:rPr>
        <w:t>（二）质量验收分为过程验收和竣工验收两部分。</w:t>
      </w:r>
      <w:bookmarkEnd w:id="91"/>
      <w:bookmarkEnd w:id="92"/>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（三）防治单位在每个服务阶段，按标准要求填写防治记录，采购人签字认可，作为过程验收资料。</w:t>
      </w:r>
    </w:p>
    <w:p>
      <w:pPr>
        <w:pStyle w:val="26"/>
        <w:snapToGrid w:val="0"/>
        <w:spacing w:line="360" w:lineRule="auto"/>
        <w:ind w:firstLine="480"/>
        <w:jc w:val="left"/>
        <w:outlineLvl w:val="1"/>
        <w:rPr>
          <w:rStyle w:val="24"/>
          <w:rFonts w:hint="eastAsia" w:ascii="仿宋" w:hAnsi="仿宋" w:eastAsia="仿宋" w:cs="宋体"/>
          <w:bCs/>
          <w:color w:val="auto"/>
          <w:szCs w:val="21"/>
          <w:highlight w:val="none"/>
          <w:lang w:val="en-US" w:eastAsia="zh-CN"/>
        </w:rPr>
      </w:pPr>
      <w:bookmarkStart w:id="93" w:name="_Toc25664"/>
      <w:bookmarkStart w:id="94" w:name="_Toc26165"/>
      <w:r>
        <w:rPr>
          <w:rStyle w:val="24"/>
          <w:rFonts w:hint="eastAsia" w:ascii="仿宋" w:hAnsi="仿宋" w:eastAsia="仿宋" w:cs="宋体"/>
          <w:bCs/>
          <w:color w:val="auto"/>
          <w:szCs w:val="21"/>
          <w:highlight w:val="none"/>
          <w:lang w:val="en-US" w:eastAsia="zh-CN"/>
        </w:rPr>
        <w:t>（四）过程验收应包括下列内容：</w:t>
      </w:r>
      <w:bookmarkEnd w:id="93"/>
      <w:bookmarkEnd w:id="94"/>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1、住户及绿地白蚁危害检查。</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2、不同白蚁种类的灭治措施。</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3、预防措施。</w:t>
      </w:r>
    </w:p>
    <w:p>
      <w:pPr>
        <w:pStyle w:val="26"/>
        <w:snapToGrid w:val="0"/>
        <w:spacing w:line="360" w:lineRule="auto"/>
        <w:ind w:firstLine="480"/>
        <w:jc w:val="left"/>
        <w:outlineLvl w:val="1"/>
        <w:rPr>
          <w:rStyle w:val="24"/>
          <w:rFonts w:hint="eastAsia" w:ascii="仿宋" w:hAnsi="仿宋" w:eastAsia="仿宋" w:cs="宋体"/>
          <w:bCs/>
          <w:color w:val="auto"/>
          <w:szCs w:val="21"/>
          <w:highlight w:val="none"/>
          <w:lang w:val="en-US" w:eastAsia="zh-CN"/>
        </w:rPr>
      </w:pPr>
      <w:bookmarkStart w:id="95" w:name="_Toc19460"/>
      <w:bookmarkStart w:id="96" w:name="_Toc2175"/>
      <w:r>
        <w:rPr>
          <w:rStyle w:val="24"/>
          <w:rFonts w:hint="eastAsia" w:ascii="仿宋" w:hAnsi="仿宋" w:eastAsia="仿宋" w:cs="宋体"/>
          <w:bCs/>
          <w:color w:val="auto"/>
          <w:szCs w:val="21"/>
          <w:highlight w:val="none"/>
          <w:lang w:val="en-US" w:eastAsia="zh-CN"/>
        </w:rPr>
        <w:t>（五）竣工验收：</w:t>
      </w:r>
      <w:bookmarkEnd w:id="95"/>
      <w:bookmarkEnd w:id="96"/>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1、现场检查验收: 现场防治效果验收标准：不再新出现白蚁活动迹象（蛀蚀点、蚁路、泥线、排泄物、通气孔、分群孔等），防治效果达到95%及以上即为验收合格。</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2、竣工资料应包含：服务合同、防治单位证件、白蚁危害检查资料、服务方案、药物质量证明文件、防治记录、过程验收记录、现场检查验收记录、竣工验收证明等，具体按采购人要求执行。</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3、施工质量验收合格后，应将验收资料整理装订成册，一式两份、防治单位、采购人各执壹份存档。”</w:t>
      </w:r>
    </w:p>
    <w:p>
      <w:pPr>
        <w:pStyle w:val="26"/>
        <w:snapToGrid w:val="0"/>
        <w:spacing w:line="360" w:lineRule="auto"/>
        <w:ind w:left="0" w:leftChars="0" w:firstLine="0" w:firstLineChars="0"/>
        <w:jc w:val="left"/>
        <w:outlineLvl w:val="0"/>
        <w:rPr>
          <w:rStyle w:val="24"/>
          <w:rFonts w:hint="eastAsia" w:ascii="仿宋" w:hAnsi="仿宋" w:eastAsia="仿宋" w:cs="宋体"/>
          <w:b/>
          <w:bCs w:val="0"/>
          <w:color w:val="auto"/>
          <w:szCs w:val="21"/>
          <w:highlight w:val="none"/>
          <w:lang w:val="en-US" w:eastAsia="zh-CN"/>
        </w:rPr>
      </w:pPr>
      <w:bookmarkStart w:id="97" w:name="_Toc9936"/>
      <w:bookmarkStart w:id="98" w:name="_Toc18722"/>
      <w:r>
        <w:rPr>
          <w:rStyle w:val="24"/>
          <w:rFonts w:hint="eastAsia" w:ascii="仿宋" w:hAnsi="仿宋" w:eastAsia="仿宋" w:cs="宋体"/>
          <w:b/>
          <w:bCs w:val="0"/>
          <w:color w:val="auto"/>
          <w:szCs w:val="21"/>
          <w:highlight w:val="none"/>
          <w:lang w:val="en-US" w:eastAsia="zh-CN"/>
        </w:rPr>
        <w:t>三、施工要求</w:t>
      </w:r>
      <w:bookmarkEnd w:id="97"/>
      <w:bookmarkEnd w:id="98"/>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（一）按国家标准《建设工程白蚁危害评定标准》GB/T51253-2017、重庆市地方标准《白蚁防治施工技术标准》DBJ50/T-034-2018执行。</w:t>
      </w:r>
    </w:p>
    <w:p>
      <w:pPr>
        <w:pStyle w:val="26"/>
        <w:snapToGrid w:val="0"/>
        <w:spacing w:line="360" w:lineRule="auto"/>
        <w:ind w:firstLine="480"/>
        <w:jc w:val="left"/>
        <w:rPr>
          <w:rStyle w:val="24"/>
          <w:rFonts w:hint="eastAsia" w:ascii="仿宋" w:hAnsi="仿宋" w:eastAsia="仿宋" w:cs="宋体"/>
          <w:bCs/>
          <w:color w:val="auto"/>
          <w:szCs w:val="21"/>
          <w:highlight w:val="none"/>
          <w:lang w:val="en-US" w:eastAsia="zh-CN"/>
        </w:rPr>
      </w:pPr>
      <w:r>
        <w:rPr>
          <w:rStyle w:val="24"/>
          <w:rFonts w:hint="eastAsia" w:ascii="仿宋" w:hAnsi="仿宋" w:eastAsia="仿宋" w:cs="宋体"/>
          <w:bCs/>
          <w:color w:val="auto"/>
          <w:szCs w:val="21"/>
          <w:highlight w:val="none"/>
          <w:lang w:val="en-US" w:eastAsia="zh-CN"/>
        </w:rPr>
        <w:t>（二）灭治：根据不同危害现场的白蚁种类、现场环境实际情况可选用挖剿灭治法、施药灭杀法、诱杀灭治。</w:t>
      </w:r>
    </w:p>
    <w:p>
      <w:pPr>
        <w:pStyle w:val="26"/>
        <w:snapToGrid w:val="0"/>
        <w:spacing w:line="360" w:lineRule="auto"/>
        <w:ind w:firstLine="480"/>
        <w:jc w:val="left"/>
        <w:rPr>
          <w:rFonts w:ascii="仿宋" w:hAnsi="仿宋" w:eastAsia="仿宋"/>
          <w:color w:val="auto"/>
          <w:sz w:val="36"/>
          <w:szCs w:val="30"/>
          <w:highlight w:val="none"/>
        </w:rPr>
      </w:pPr>
      <w:r>
        <w:rPr>
          <w:rStyle w:val="24"/>
          <w:rFonts w:hint="eastAsia" w:ascii="仿宋" w:hAnsi="仿宋" w:eastAsia="仿宋" w:cs="宋体"/>
          <w:bCs/>
          <w:color w:val="auto"/>
          <w:szCs w:val="21"/>
          <w:highlight w:val="none"/>
          <w:lang w:val="en-US" w:eastAsia="zh-CN"/>
        </w:rPr>
        <w:t>（三）预防：灭治施工结束并达至灭治效果后再对住户及绿地进行施药预防处理。</w:t>
      </w:r>
      <w:r>
        <w:rPr>
          <w:rFonts w:hint="eastAsia" w:ascii="仿宋" w:hAnsi="仿宋" w:eastAsia="仿宋"/>
          <w:color w:val="auto"/>
          <w:sz w:val="36"/>
          <w:szCs w:val="30"/>
          <w:highlight w:val="none"/>
        </w:rPr>
        <w:br w:type="page"/>
      </w:r>
    </w:p>
    <w:bookmarkEnd w:id="80"/>
    <w:p>
      <w:pPr>
        <w:pStyle w:val="3"/>
        <w:spacing w:before="0" w:after="0" w:line="360" w:lineRule="auto"/>
        <w:jc w:val="center"/>
        <w:outlineLvl w:val="1"/>
        <w:rPr>
          <w:rFonts w:ascii="仿宋" w:hAnsi="仿宋" w:eastAsia="仿宋"/>
          <w:b/>
          <w:bCs w:val="0"/>
          <w:color w:val="auto"/>
          <w:sz w:val="36"/>
          <w:szCs w:val="30"/>
          <w:highlight w:val="none"/>
        </w:rPr>
      </w:pPr>
      <w:bookmarkStart w:id="99" w:name="_Toc29140"/>
      <w:bookmarkStart w:id="100" w:name="_Toc6015"/>
      <w:bookmarkStart w:id="101" w:name="_Toc26403"/>
      <w:r>
        <w:rPr>
          <w:rFonts w:hint="eastAsia" w:ascii="仿宋" w:hAnsi="仿宋" w:eastAsia="仿宋"/>
          <w:b/>
          <w:bCs w:val="0"/>
          <w:color w:val="auto"/>
          <w:sz w:val="36"/>
          <w:szCs w:val="30"/>
          <w:highlight w:val="none"/>
        </w:rPr>
        <w:t>第三篇  采购项目商务需求</w:t>
      </w:r>
      <w:bookmarkEnd w:id="99"/>
      <w:bookmarkEnd w:id="100"/>
      <w:bookmarkEnd w:id="101"/>
    </w:p>
    <w:p>
      <w:pPr>
        <w:pStyle w:val="4"/>
        <w:spacing w:beforeLines="100" w:after="0" w:line="360" w:lineRule="auto"/>
        <w:outlineLvl w:val="0"/>
        <w:rPr>
          <w:rFonts w:hint="eastAsia" w:ascii="仿宋" w:hAnsi="仿宋" w:eastAsia="仿宋" w:cs="Times New Roman"/>
          <w:color w:val="auto"/>
          <w:sz w:val="24"/>
          <w:szCs w:val="24"/>
          <w:highlight w:val="none"/>
          <w:lang w:val="en-US" w:eastAsia="zh-CN"/>
        </w:rPr>
      </w:pPr>
      <w:bookmarkStart w:id="102" w:name="_Toc3549"/>
      <w:bookmarkStart w:id="103" w:name="_Toc6230"/>
      <w:bookmarkStart w:id="104" w:name="_Toc10777"/>
      <w:bookmarkStart w:id="105" w:name="_Toc2437"/>
      <w:bookmarkStart w:id="106" w:name="_Toc9339"/>
      <w:bookmarkStart w:id="107" w:name="_Toc344475123"/>
      <w:bookmarkStart w:id="108" w:name="_Toc513145917"/>
      <w:bookmarkStart w:id="109" w:name="_Toc414610283"/>
      <w:bookmarkStart w:id="110" w:name="_Toc16683570"/>
      <w:bookmarkStart w:id="111" w:name="_Toc43125367"/>
      <w:bookmarkStart w:id="112" w:name="_Toc43195294"/>
      <w:r>
        <w:rPr>
          <w:rFonts w:hint="eastAsia" w:ascii="仿宋" w:hAnsi="仿宋" w:eastAsia="仿宋" w:cs="Times New Roman"/>
          <w:color w:val="auto"/>
          <w:sz w:val="24"/>
          <w:szCs w:val="24"/>
          <w:highlight w:val="none"/>
          <w:lang w:val="en-US" w:eastAsia="zh-CN"/>
        </w:rPr>
        <w:t>一、服务时间、地点及验收方式</w:t>
      </w:r>
      <w:bookmarkEnd w:id="102"/>
      <w:bookmarkEnd w:id="103"/>
      <w:bookmarkEnd w:id="104"/>
      <w:bookmarkEnd w:id="105"/>
    </w:p>
    <w:p>
      <w:pPr>
        <w:snapToGrid w:val="0"/>
        <w:spacing w:line="360" w:lineRule="auto"/>
        <w:ind w:firstLine="420"/>
        <w:rPr>
          <w:rStyle w:val="24"/>
          <w:rFonts w:hint="default" w:ascii="仿宋" w:hAnsi="仿宋" w:eastAsia="仿宋" w:cs="Times New Roman"/>
          <w:color w:val="auto"/>
          <w:szCs w:val="24"/>
          <w:highlight w:val="none"/>
          <w:lang w:val="en-US" w:eastAsia="zh-CN"/>
        </w:rPr>
      </w:pPr>
      <w:r>
        <w:rPr>
          <w:rStyle w:val="24"/>
          <w:rFonts w:hint="eastAsia" w:ascii="仿宋" w:hAnsi="仿宋" w:eastAsia="仿宋" w:cs="Times New Roman"/>
          <w:color w:val="auto"/>
          <w:szCs w:val="24"/>
          <w:highlight w:val="none"/>
          <w:lang w:eastAsia="zh-CN"/>
        </w:rPr>
        <w:t>（一）</w:t>
      </w:r>
      <w:r>
        <w:rPr>
          <w:rStyle w:val="24"/>
          <w:rFonts w:ascii="仿宋" w:hAnsi="仿宋" w:eastAsia="仿宋" w:cs="Times New Roman"/>
          <w:color w:val="auto"/>
          <w:szCs w:val="24"/>
          <w:highlight w:val="none"/>
          <w:lang w:eastAsia="zh-CN"/>
        </w:rPr>
        <w:t>服务时间：</w:t>
      </w:r>
      <w:r>
        <w:rPr>
          <w:rStyle w:val="24"/>
          <w:rFonts w:hint="eastAsia" w:ascii="仿宋" w:hAnsi="仿宋" w:eastAsia="仿宋" w:cs="Times New Roman"/>
          <w:color w:val="auto"/>
          <w:szCs w:val="24"/>
          <w:highlight w:val="none"/>
          <w:lang w:val="en-US" w:eastAsia="zh-CN"/>
        </w:rPr>
        <w:t>在</w:t>
      </w:r>
      <w:r>
        <w:rPr>
          <w:rStyle w:val="24"/>
          <w:rFonts w:ascii="仿宋" w:hAnsi="仿宋" w:eastAsia="仿宋" w:cs="Times New Roman"/>
          <w:color w:val="auto"/>
          <w:szCs w:val="24"/>
          <w:highlight w:val="none"/>
          <w:lang w:eastAsia="zh-CN"/>
        </w:rPr>
        <w:t>合同签订之日起</w:t>
      </w:r>
      <w:r>
        <w:rPr>
          <w:rStyle w:val="24"/>
          <w:rFonts w:hint="eastAsia" w:ascii="仿宋" w:hAnsi="仿宋" w:eastAsia="仿宋" w:cs="Times New Roman"/>
          <w:color w:val="auto"/>
          <w:szCs w:val="24"/>
          <w:highlight w:val="none"/>
          <w:lang w:val="en-US" w:eastAsia="zh-CN"/>
        </w:rPr>
        <w:t>60日内完成白蚁防治工作。总服务期为3年（从合同签订之日起算，总服务期包含60日的白蚁防治时间）。</w:t>
      </w:r>
    </w:p>
    <w:p>
      <w:pPr>
        <w:snapToGrid w:val="0"/>
        <w:spacing w:line="360" w:lineRule="auto"/>
        <w:ind w:firstLine="420"/>
        <w:rPr>
          <w:rStyle w:val="24"/>
          <w:rFonts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eastAsia="zh-CN"/>
        </w:rPr>
        <w:t>（</w:t>
      </w:r>
      <w:r>
        <w:rPr>
          <w:rStyle w:val="24"/>
          <w:rFonts w:hint="eastAsia" w:ascii="仿宋" w:hAnsi="仿宋" w:eastAsia="仿宋" w:cs="Times New Roman"/>
          <w:color w:val="auto"/>
          <w:szCs w:val="24"/>
          <w:highlight w:val="none"/>
          <w:lang w:val="en-US" w:eastAsia="zh-CN"/>
        </w:rPr>
        <w:t>二</w:t>
      </w:r>
      <w:r>
        <w:rPr>
          <w:rStyle w:val="24"/>
          <w:rFonts w:hint="eastAsia" w:ascii="仿宋" w:hAnsi="仿宋" w:eastAsia="仿宋" w:cs="Times New Roman"/>
          <w:color w:val="auto"/>
          <w:szCs w:val="24"/>
          <w:highlight w:val="none"/>
          <w:lang w:eastAsia="zh-CN"/>
        </w:rPr>
        <w:t>）</w:t>
      </w:r>
      <w:r>
        <w:rPr>
          <w:rStyle w:val="24"/>
          <w:rFonts w:ascii="仿宋" w:hAnsi="仿宋" w:eastAsia="仿宋" w:cs="Times New Roman"/>
          <w:color w:val="auto"/>
          <w:szCs w:val="24"/>
          <w:highlight w:val="none"/>
          <w:lang w:eastAsia="zh-CN"/>
        </w:rPr>
        <w:t>服务地点：采购人指定地点。</w:t>
      </w:r>
    </w:p>
    <w:p>
      <w:pPr>
        <w:snapToGrid w:val="0"/>
        <w:spacing w:line="360" w:lineRule="auto"/>
        <w:ind w:firstLine="420"/>
        <w:rPr>
          <w:rStyle w:val="24"/>
          <w:rFonts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eastAsia="zh-CN"/>
        </w:rPr>
        <w:t>（</w:t>
      </w:r>
      <w:r>
        <w:rPr>
          <w:rStyle w:val="24"/>
          <w:rFonts w:hint="eastAsia" w:ascii="仿宋" w:hAnsi="仿宋" w:eastAsia="仿宋" w:cs="Times New Roman"/>
          <w:color w:val="auto"/>
          <w:szCs w:val="24"/>
          <w:highlight w:val="none"/>
          <w:lang w:val="en-US" w:eastAsia="zh-CN"/>
        </w:rPr>
        <w:t>三</w:t>
      </w:r>
      <w:r>
        <w:rPr>
          <w:rStyle w:val="24"/>
          <w:rFonts w:hint="eastAsia" w:ascii="仿宋" w:hAnsi="仿宋" w:eastAsia="仿宋" w:cs="Times New Roman"/>
          <w:color w:val="auto"/>
          <w:szCs w:val="24"/>
          <w:highlight w:val="none"/>
          <w:lang w:eastAsia="zh-CN"/>
        </w:rPr>
        <w:t>）</w:t>
      </w:r>
      <w:r>
        <w:rPr>
          <w:rStyle w:val="24"/>
          <w:rFonts w:ascii="仿宋" w:hAnsi="仿宋" w:eastAsia="仿宋" w:cs="Times New Roman"/>
          <w:color w:val="auto"/>
          <w:szCs w:val="24"/>
          <w:highlight w:val="none"/>
          <w:lang w:eastAsia="zh-CN"/>
        </w:rPr>
        <w:t>验收方式：</w:t>
      </w:r>
    </w:p>
    <w:p>
      <w:pPr>
        <w:snapToGrid w:val="0"/>
        <w:spacing w:line="360" w:lineRule="auto"/>
        <w:ind w:firstLine="420"/>
        <w:rPr>
          <w:rStyle w:val="24"/>
          <w:rFonts w:hint="eastAsia"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eastAsia="zh-CN"/>
        </w:rPr>
        <w:t>1、按国家行业标准《建设工程白蚁危害评定标准》GB/T51253-2017、重庆市地方标准《白蚁防治施工技术标准》DBJ50/T-034-2018的标准要求验收。</w:t>
      </w:r>
    </w:p>
    <w:p>
      <w:pPr>
        <w:snapToGrid w:val="0"/>
        <w:spacing w:line="360" w:lineRule="auto"/>
        <w:ind w:firstLine="420"/>
        <w:rPr>
          <w:rStyle w:val="24"/>
          <w:rFonts w:ascii="仿宋" w:hAnsi="仿宋" w:eastAsia="仿宋"/>
          <w:color w:val="auto"/>
          <w:szCs w:val="24"/>
          <w:highlight w:val="none"/>
          <w:lang w:eastAsia="zh-CN"/>
        </w:rPr>
      </w:pPr>
      <w:r>
        <w:rPr>
          <w:rStyle w:val="24"/>
          <w:rFonts w:hint="eastAsia" w:ascii="仿宋" w:hAnsi="仿宋" w:eastAsia="仿宋" w:cs="Times New Roman"/>
          <w:color w:val="auto"/>
          <w:szCs w:val="24"/>
          <w:highlight w:val="none"/>
          <w:lang w:eastAsia="zh-CN"/>
        </w:rPr>
        <w:t>2、现场防治效果验收标准：不再新出现白蚁活动迹象（蛀蚀点、蚁路、泥线、排泄物、通气孔、分群孔等），防治效果达到95%及以上即为验收合格。</w:t>
      </w:r>
    </w:p>
    <w:p>
      <w:pPr>
        <w:pStyle w:val="4"/>
        <w:spacing w:beforeLines="100" w:after="0" w:line="360" w:lineRule="auto"/>
        <w:outlineLvl w:val="0"/>
        <w:rPr>
          <w:rFonts w:hint="eastAsia" w:ascii="仿宋" w:hAnsi="仿宋" w:eastAsia="仿宋" w:cs="Times New Roman"/>
          <w:color w:val="auto"/>
          <w:sz w:val="24"/>
          <w:szCs w:val="24"/>
          <w:highlight w:val="none"/>
          <w:lang w:val="en-US" w:eastAsia="zh-CN"/>
        </w:rPr>
      </w:pPr>
      <w:bookmarkStart w:id="113" w:name="_Toc8517"/>
      <w:bookmarkStart w:id="114" w:name="_Toc30566"/>
      <w:bookmarkStart w:id="115" w:name="_Toc5177"/>
      <w:bookmarkStart w:id="116" w:name="_Toc7892"/>
      <w:r>
        <w:rPr>
          <w:rFonts w:hint="eastAsia" w:ascii="仿宋" w:hAnsi="仿宋" w:eastAsia="仿宋" w:cs="Times New Roman"/>
          <w:color w:val="auto"/>
          <w:sz w:val="24"/>
          <w:szCs w:val="24"/>
          <w:highlight w:val="none"/>
          <w:lang w:val="en-US" w:eastAsia="zh-CN"/>
        </w:rPr>
        <w:t>二、报价要求</w:t>
      </w:r>
      <w:bookmarkEnd w:id="113"/>
      <w:bookmarkEnd w:id="114"/>
      <w:bookmarkEnd w:id="115"/>
      <w:bookmarkEnd w:id="116"/>
    </w:p>
    <w:p>
      <w:pPr>
        <w:snapToGrid w:val="0"/>
        <w:spacing w:line="360" w:lineRule="auto"/>
        <w:ind w:firstLine="420"/>
        <w:rPr>
          <w:rStyle w:val="24"/>
          <w:rFonts w:ascii="仿宋" w:hAnsi="仿宋" w:eastAsia="仿宋"/>
          <w:color w:val="auto"/>
          <w:szCs w:val="24"/>
          <w:highlight w:val="none"/>
          <w:lang w:eastAsia="zh-CN"/>
        </w:rPr>
      </w:pPr>
      <w:r>
        <w:rPr>
          <w:rStyle w:val="24"/>
          <w:rFonts w:hint="eastAsia" w:ascii="仿宋" w:hAnsi="仿宋" w:eastAsia="仿宋"/>
          <w:color w:val="auto"/>
          <w:szCs w:val="24"/>
          <w:highlight w:val="none"/>
          <w:lang w:eastAsia="zh-CN"/>
        </w:rPr>
        <w:t>（</w:t>
      </w:r>
      <w:r>
        <w:rPr>
          <w:rStyle w:val="24"/>
          <w:rFonts w:hint="eastAsia" w:ascii="仿宋" w:hAnsi="仿宋" w:eastAsia="仿宋"/>
          <w:color w:val="auto"/>
          <w:szCs w:val="24"/>
          <w:highlight w:val="none"/>
          <w:lang w:val="en-US" w:eastAsia="zh-CN"/>
        </w:rPr>
        <w:t>一</w:t>
      </w:r>
      <w:r>
        <w:rPr>
          <w:rStyle w:val="24"/>
          <w:rFonts w:hint="eastAsia" w:ascii="仿宋" w:hAnsi="仿宋" w:eastAsia="仿宋"/>
          <w:color w:val="auto"/>
          <w:szCs w:val="24"/>
          <w:highlight w:val="none"/>
          <w:lang w:eastAsia="zh-CN"/>
        </w:rPr>
        <w:t>）</w:t>
      </w:r>
      <w:r>
        <w:rPr>
          <w:rStyle w:val="24"/>
          <w:rFonts w:ascii="仿宋" w:hAnsi="仿宋" w:eastAsia="仿宋"/>
          <w:color w:val="auto"/>
          <w:szCs w:val="24"/>
          <w:highlight w:val="none"/>
          <w:lang w:eastAsia="zh-CN"/>
        </w:rPr>
        <w:t>本次报价为固定金额报价，供应商结合自身经营实际情况自主填报</w:t>
      </w:r>
      <w:r>
        <w:rPr>
          <w:rStyle w:val="24"/>
          <w:rFonts w:hint="eastAsia" w:ascii="仿宋" w:hAnsi="仿宋" w:eastAsia="仿宋"/>
          <w:color w:val="auto"/>
          <w:szCs w:val="24"/>
          <w:highlight w:val="none"/>
          <w:lang w:val="en-US" w:eastAsia="zh-CN"/>
        </w:rPr>
        <w:t>投标</w:t>
      </w:r>
      <w:r>
        <w:rPr>
          <w:rStyle w:val="24"/>
          <w:rFonts w:ascii="仿宋" w:hAnsi="仿宋" w:eastAsia="仿宋"/>
          <w:color w:val="auto"/>
          <w:szCs w:val="24"/>
          <w:highlight w:val="none"/>
          <w:lang w:eastAsia="zh-CN"/>
        </w:rPr>
        <w:t>报价。供应商填报的报价不得高于</w:t>
      </w:r>
      <w:r>
        <w:rPr>
          <w:rStyle w:val="24"/>
          <w:rFonts w:hint="eastAsia" w:ascii="仿宋" w:hAnsi="仿宋" w:eastAsia="仿宋"/>
          <w:color w:val="auto"/>
          <w:szCs w:val="24"/>
          <w:highlight w:val="none"/>
          <w:lang w:val="en-US" w:eastAsia="zh-CN"/>
        </w:rPr>
        <w:t>采购预算金额</w:t>
      </w:r>
      <w:r>
        <w:rPr>
          <w:rStyle w:val="24"/>
          <w:rFonts w:ascii="仿宋" w:hAnsi="仿宋" w:eastAsia="仿宋"/>
          <w:color w:val="auto"/>
          <w:szCs w:val="24"/>
          <w:highlight w:val="none"/>
          <w:lang w:eastAsia="zh-CN"/>
        </w:rPr>
        <w:t>。</w:t>
      </w:r>
    </w:p>
    <w:p>
      <w:pPr>
        <w:snapToGrid w:val="0"/>
        <w:spacing w:line="360" w:lineRule="auto"/>
        <w:ind w:firstLine="420"/>
        <w:rPr>
          <w:rFonts w:hint="eastAsia" w:ascii="仿宋" w:hAnsi="仿宋" w:eastAsia="仿宋" w:cs="Times New Roman"/>
          <w:color w:val="auto"/>
          <w:sz w:val="24"/>
          <w:szCs w:val="24"/>
          <w:highlight w:val="none"/>
        </w:rPr>
      </w:pPr>
      <w:r>
        <w:rPr>
          <w:rStyle w:val="24"/>
          <w:rFonts w:hint="eastAsia" w:ascii="仿宋" w:hAnsi="仿宋" w:eastAsia="仿宋"/>
          <w:color w:val="auto"/>
          <w:szCs w:val="24"/>
          <w:highlight w:val="none"/>
          <w:lang w:val="en-US" w:eastAsia="zh-CN"/>
        </w:rPr>
        <w:t>（二）</w:t>
      </w:r>
      <w:r>
        <w:rPr>
          <w:rStyle w:val="24"/>
          <w:rFonts w:ascii="仿宋" w:hAnsi="仿宋" w:eastAsia="仿宋"/>
          <w:color w:val="auto"/>
          <w:szCs w:val="24"/>
          <w:highlight w:val="none"/>
          <w:lang w:eastAsia="zh-CN"/>
        </w:rPr>
        <w:t>供应商的报价应</w:t>
      </w:r>
      <w:r>
        <w:rPr>
          <w:rFonts w:hint="eastAsia" w:ascii="仿宋" w:hAnsi="仿宋" w:eastAsia="仿宋" w:cs="Times New Roman"/>
          <w:color w:val="auto"/>
          <w:sz w:val="24"/>
          <w:szCs w:val="24"/>
          <w:highlight w:val="none"/>
        </w:rPr>
        <w:t>包括但不限于人员工资、奖金、药剂费、</w:t>
      </w:r>
      <w:r>
        <w:rPr>
          <w:rFonts w:hint="eastAsia" w:ascii="仿宋" w:hAnsi="仿宋" w:eastAsia="仿宋" w:cs="Times New Roman"/>
          <w:color w:val="auto"/>
          <w:sz w:val="24"/>
          <w:szCs w:val="24"/>
          <w:highlight w:val="none"/>
          <w:lang w:val="en-US" w:eastAsia="zh-CN"/>
        </w:rPr>
        <w:t>设备费、交通运输费、差旅费、</w:t>
      </w:r>
      <w:r>
        <w:rPr>
          <w:rFonts w:hint="eastAsia" w:ascii="仿宋" w:hAnsi="仿宋" w:eastAsia="仿宋" w:cs="Times New Roman"/>
          <w:color w:val="auto"/>
          <w:sz w:val="24"/>
          <w:szCs w:val="24"/>
          <w:highlight w:val="none"/>
        </w:rPr>
        <w:t>社保等费用</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以及利润、税金、各种风险等履行完本项目的所有费用。因成交供应商自身原因造成漏报、少报皆由其自行承担责任，采购</w:t>
      </w:r>
      <w:r>
        <w:rPr>
          <w:rFonts w:hint="eastAsia" w:ascii="仿宋" w:hAnsi="仿宋" w:eastAsia="仿宋" w:cs="Times New Roman"/>
          <w:color w:val="auto"/>
          <w:sz w:val="24"/>
          <w:szCs w:val="24"/>
          <w:highlight w:val="none"/>
          <w:lang w:eastAsia="zh-CN"/>
        </w:rPr>
        <w:t>人</w:t>
      </w:r>
      <w:r>
        <w:rPr>
          <w:rFonts w:hint="eastAsia" w:ascii="仿宋" w:hAnsi="仿宋" w:eastAsia="仿宋" w:cs="Times New Roman"/>
          <w:color w:val="auto"/>
          <w:sz w:val="24"/>
          <w:szCs w:val="24"/>
          <w:highlight w:val="none"/>
        </w:rPr>
        <w:t>不再另行支付其他</w:t>
      </w:r>
      <w:r>
        <w:rPr>
          <w:rFonts w:hint="eastAsia" w:ascii="仿宋" w:hAnsi="仿宋" w:eastAsia="仿宋" w:cs="Times New Roman"/>
          <w:color w:val="auto"/>
          <w:sz w:val="24"/>
          <w:szCs w:val="24"/>
          <w:highlight w:val="none"/>
          <w:lang w:val="en-US" w:eastAsia="zh-CN"/>
        </w:rPr>
        <w:t>任何</w:t>
      </w:r>
      <w:r>
        <w:rPr>
          <w:rFonts w:hint="eastAsia" w:ascii="仿宋" w:hAnsi="仿宋" w:eastAsia="仿宋" w:cs="Times New Roman"/>
          <w:color w:val="auto"/>
          <w:sz w:val="24"/>
          <w:szCs w:val="24"/>
          <w:highlight w:val="none"/>
        </w:rPr>
        <w:t>费用。供应商的报价不得超过</w:t>
      </w:r>
      <w:r>
        <w:rPr>
          <w:rFonts w:hint="eastAsia" w:ascii="仿宋" w:hAnsi="仿宋" w:eastAsia="仿宋" w:cs="Times New Roman"/>
          <w:color w:val="auto"/>
          <w:sz w:val="24"/>
          <w:szCs w:val="24"/>
          <w:highlight w:val="none"/>
          <w:lang w:val="en-US" w:eastAsia="zh-CN"/>
        </w:rPr>
        <w:t>采购人公布的最高限价</w:t>
      </w:r>
      <w:r>
        <w:rPr>
          <w:rFonts w:hint="eastAsia" w:ascii="仿宋" w:hAnsi="仿宋" w:eastAsia="仿宋" w:cs="Times New Roman"/>
          <w:color w:val="auto"/>
          <w:sz w:val="24"/>
          <w:szCs w:val="24"/>
          <w:highlight w:val="none"/>
        </w:rPr>
        <w:t>，否则按无效投标处理。</w:t>
      </w:r>
    </w:p>
    <w:p>
      <w:pPr>
        <w:pStyle w:val="4"/>
        <w:spacing w:beforeLines="100" w:after="0" w:line="360" w:lineRule="auto"/>
        <w:outlineLvl w:val="0"/>
        <w:rPr>
          <w:rFonts w:hint="eastAsia" w:ascii="仿宋" w:hAnsi="仿宋" w:eastAsia="仿宋" w:cs="Times New Roman"/>
          <w:color w:val="auto"/>
          <w:sz w:val="24"/>
          <w:szCs w:val="24"/>
          <w:highlight w:val="none"/>
          <w:lang w:val="en-US" w:eastAsia="zh-CN"/>
        </w:rPr>
      </w:pPr>
      <w:bookmarkStart w:id="117" w:name="_Toc29010"/>
      <w:bookmarkStart w:id="118" w:name="_Toc25284"/>
      <w:bookmarkStart w:id="119" w:name="_Toc24322"/>
      <w:bookmarkStart w:id="120" w:name="_Toc18999"/>
      <w:r>
        <w:rPr>
          <w:rFonts w:hint="eastAsia" w:ascii="仿宋" w:hAnsi="仿宋" w:eastAsia="仿宋" w:cs="Times New Roman"/>
          <w:color w:val="auto"/>
          <w:sz w:val="24"/>
          <w:szCs w:val="24"/>
          <w:highlight w:val="none"/>
          <w:lang w:val="en-US" w:eastAsia="zh-CN"/>
        </w:rPr>
        <w:t>三、付款方式</w:t>
      </w:r>
      <w:bookmarkEnd w:id="117"/>
      <w:bookmarkEnd w:id="118"/>
      <w:bookmarkEnd w:id="119"/>
      <w:bookmarkEnd w:id="120"/>
    </w:p>
    <w:p>
      <w:pPr>
        <w:snapToGrid w:val="0"/>
        <w:spacing w:line="360" w:lineRule="auto"/>
        <w:ind w:firstLine="420"/>
        <w:rPr>
          <w:rFonts w:hint="eastAsia" w:ascii="仿宋" w:hAnsi="仿宋" w:eastAsia="仿宋" w:cs="Times New Roman"/>
          <w:color w:val="auto"/>
          <w:sz w:val="24"/>
          <w:szCs w:val="24"/>
          <w:highlight w:val="none"/>
          <w:lang w:val="en-US" w:eastAsia="zh-CN"/>
        </w:rPr>
      </w:pPr>
      <w:bookmarkStart w:id="121" w:name="_Toc19135"/>
      <w:r>
        <w:rPr>
          <w:rFonts w:hint="eastAsia" w:ascii="仿宋" w:hAnsi="仿宋" w:eastAsia="仿宋" w:cs="Times New Roman"/>
          <w:color w:val="auto"/>
          <w:sz w:val="24"/>
          <w:szCs w:val="24"/>
          <w:highlight w:val="none"/>
          <w:lang w:val="en-US" w:eastAsia="zh-CN"/>
        </w:rPr>
        <w:t>本项目防治完工并验收合格后，中标人30日内开具有效的正规发票，采购人支付至合同金额的97%；剩余3%作为质保金，质保服务期满后无息退还。</w:t>
      </w:r>
    </w:p>
    <w:bookmarkEnd w:id="121"/>
    <w:p>
      <w:pPr>
        <w:numPr>
          <w:ilvl w:val="0"/>
          <w:numId w:val="3"/>
        </w:numPr>
        <w:snapToGrid w:val="0"/>
        <w:spacing w:line="360" w:lineRule="auto"/>
        <w:outlineLvl w:val="0"/>
        <w:rPr>
          <w:rStyle w:val="24"/>
          <w:rFonts w:hint="eastAsia" w:ascii="仿宋" w:hAnsi="仿宋" w:eastAsia="仿宋"/>
          <w:b/>
          <w:bCs/>
          <w:color w:val="auto"/>
          <w:szCs w:val="24"/>
          <w:highlight w:val="none"/>
          <w:lang w:val="en-US" w:eastAsia="zh-CN"/>
        </w:rPr>
      </w:pPr>
      <w:bookmarkStart w:id="122" w:name="_Toc15520"/>
      <w:bookmarkStart w:id="123" w:name="_Toc20883"/>
      <w:r>
        <w:rPr>
          <w:rStyle w:val="24"/>
          <w:rFonts w:hint="eastAsia" w:ascii="仿宋" w:hAnsi="仿宋" w:eastAsia="仿宋"/>
          <w:b/>
          <w:bCs/>
          <w:color w:val="auto"/>
          <w:szCs w:val="24"/>
          <w:highlight w:val="none"/>
          <w:lang w:val="en-US" w:eastAsia="zh-CN"/>
        </w:rPr>
        <w:t>结算方式</w:t>
      </w:r>
      <w:bookmarkEnd w:id="122"/>
      <w:bookmarkEnd w:id="123"/>
    </w:p>
    <w:p>
      <w:pPr>
        <w:snapToGrid w:val="0"/>
        <w:spacing w:line="360" w:lineRule="auto"/>
        <w:ind w:firstLine="42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结算金额=中标金额</w:t>
      </w:r>
    </w:p>
    <w:p>
      <w:pPr>
        <w:pStyle w:val="4"/>
        <w:spacing w:beforeLines="100" w:after="0" w:line="360" w:lineRule="auto"/>
        <w:outlineLvl w:val="0"/>
        <w:rPr>
          <w:rFonts w:hint="eastAsia" w:ascii="仿宋" w:hAnsi="仿宋" w:eastAsia="仿宋" w:cs="Times New Roman"/>
          <w:color w:val="auto"/>
          <w:sz w:val="24"/>
          <w:szCs w:val="24"/>
          <w:highlight w:val="none"/>
          <w:lang w:val="en-US" w:eastAsia="zh-CN"/>
        </w:rPr>
      </w:pPr>
      <w:bookmarkStart w:id="124" w:name="_Toc29806"/>
      <w:bookmarkStart w:id="125" w:name="_Toc15538"/>
      <w:bookmarkStart w:id="126" w:name="_Toc4561"/>
      <w:bookmarkStart w:id="127" w:name="_Toc7146"/>
      <w:bookmarkStart w:id="128" w:name="_Toc7561"/>
      <w:r>
        <w:rPr>
          <w:rFonts w:hint="eastAsia" w:ascii="仿宋" w:hAnsi="仿宋" w:eastAsia="仿宋" w:cs="Times New Roman"/>
          <w:color w:val="auto"/>
          <w:sz w:val="24"/>
          <w:szCs w:val="24"/>
          <w:highlight w:val="none"/>
          <w:lang w:val="en-US" w:eastAsia="zh-CN"/>
        </w:rPr>
        <w:t>五、质量保证及售后服务</w:t>
      </w:r>
      <w:bookmarkEnd w:id="124"/>
      <w:bookmarkEnd w:id="125"/>
      <w:bookmarkEnd w:id="126"/>
      <w:bookmarkEnd w:id="127"/>
      <w:bookmarkEnd w:id="128"/>
    </w:p>
    <w:p>
      <w:pPr>
        <w:snapToGrid w:val="0"/>
        <w:spacing w:line="360" w:lineRule="auto"/>
        <w:ind w:firstLine="42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（一）本项目质保服务期从竣工验收之日起进行计算，至总服务期结束为止，在质保期内发现白蚁，中标人须及时免费治理，并达到合同中规定的治理效果。</w:t>
      </w:r>
    </w:p>
    <w:p>
      <w:pPr>
        <w:snapToGrid w:val="0"/>
        <w:spacing w:line="360" w:lineRule="auto"/>
        <w:ind w:firstLine="42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（二）后续如因国家法律法规或上级政策变动而引起采购服务内容或数量减少的，中标人须无条件接受，供应商须考虑相关风险。</w:t>
      </w:r>
    </w:p>
    <w:p>
      <w:pPr>
        <w:pStyle w:val="4"/>
        <w:spacing w:beforeLines="100" w:after="0" w:line="360" w:lineRule="auto"/>
        <w:outlineLvl w:val="0"/>
        <w:rPr>
          <w:rFonts w:ascii="仿宋" w:hAnsi="仿宋" w:eastAsia="仿宋"/>
          <w:color w:val="auto"/>
          <w:sz w:val="24"/>
          <w:szCs w:val="24"/>
          <w:highlight w:val="none"/>
        </w:rPr>
      </w:pPr>
      <w:bookmarkStart w:id="129" w:name="_Toc13793"/>
      <w:bookmarkStart w:id="130" w:name="_Toc9"/>
      <w:bookmarkStart w:id="131" w:name="_Toc28639"/>
      <w:bookmarkStart w:id="132" w:name="_Toc12911"/>
      <w:r>
        <w:rPr>
          <w:rFonts w:hint="eastAsia" w:ascii="仿宋" w:hAnsi="仿宋" w:eastAsia="仿宋"/>
          <w:color w:val="auto"/>
          <w:sz w:val="24"/>
          <w:szCs w:val="24"/>
          <w:highlight w:val="none"/>
          <w:lang w:val="en-US" w:eastAsia="zh-CN"/>
        </w:rPr>
        <w:t>六、</w:t>
      </w:r>
      <w:r>
        <w:rPr>
          <w:rFonts w:hint="eastAsia" w:ascii="仿宋" w:hAnsi="仿宋" w:eastAsia="仿宋"/>
          <w:color w:val="auto"/>
          <w:sz w:val="24"/>
          <w:szCs w:val="24"/>
          <w:highlight w:val="none"/>
        </w:rPr>
        <w:t>知识产权</w:t>
      </w:r>
      <w:bookmarkEnd w:id="106"/>
      <w:bookmarkEnd w:id="107"/>
      <w:bookmarkEnd w:id="108"/>
      <w:bookmarkEnd w:id="109"/>
      <w:bookmarkEnd w:id="110"/>
      <w:bookmarkEnd w:id="111"/>
      <w:bookmarkEnd w:id="112"/>
      <w:bookmarkEnd w:id="129"/>
      <w:bookmarkEnd w:id="130"/>
      <w:bookmarkEnd w:id="131"/>
      <w:bookmarkEnd w:id="132"/>
    </w:p>
    <w:p>
      <w:pPr>
        <w:pStyle w:val="1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4"/>
        <w:spacing w:beforeLines="100" w:after="0" w:line="360" w:lineRule="auto"/>
        <w:outlineLvl w:val="0"/>
        <w:rPr>
          <w:rFonts w:ascii="仿宋" w:hAnsi="仿宋" w:eastAsia="仿宋"/>
          <w:color w:val="auto"/>
          <w:sz w:val="24"/>
          <w:szCs w:val="24"/>
          <w:highlight w:val="none"/>
        </w:rPr>
      </w:pPr>
      <w:bookmarkStart w:id="133" w:name="_Toc16683571"/>
      <w:bookmarkStart w:id="134" w:name="_Toc43195295"/>
      <w:bookmarkStart w:id="135" w:name="_Toc414610285"/>
      <w:bookmarkStart w:id="136" w:name="_Toc2471"/>
      <w:bookmarkStart w:id="137" w:name="_Toc43125368"/>
      <w:bookmarkStart w:id="138" w:name="_Toc7686"/>
      <w:bookmarkStart w:id="139" w:name="_Toc4222"/>
      <w:bookmarkStart w:id="140" w:name="_Toc656"/>
      <w:bookmarkStart w:id="141" w:name="_Toc513145918"/>
      <w:bookmarkStart w:id="142" w:name="_Toc16420"/>
      <w:bookmarkStart w:id="143" w:name="_Toc344475125"/>
      <w:r>
        <w:rPr>
          <w:rFonts w:hint="eastAsia" w:ascii="仿宋" w:hAnsi="仿宋" w:eastAsia="仿宋"/>
          <w:color w:val="auto"/>
          <w:sz w:val="24"/>
          <w:szCs w:val="24"/>
          <w:highlight w:val="none"/>
          <w:lang w:val="en-US" w:eastAsia="zh-CN"/>
        </w:rPr>
        <w:t>七、</w:t>
      </w:r>
      <w:r>
        <w:rPr>
          <w:rFonts w:hint="eastAsia" w:ascii="仿宋" w:hAnsi="仿宋" w:eastAsia="仿宋"/>
          <w:color w:val="auto"/>
          <w:sz w:val="24"/>
          <w:szCs w:val="24"/>
          <w:highlight w:val="none"/>
        </w:rPr>
        <w:t>其他</w:t>
      </w:r>
      <w:bookmarkEnd w:id="133"/>
      <w:bookmarkEnd w:id="134"/>
      <w:bookmarkEnd w:id="135"/>
      <w:bookmarkEnd w:id="136"/>
      <w:bookmarkEnd w:id="137"/>
      <w:bookmarkEnd w:id="138"/>
      <w:bookmarkEnd w:id="139"/>
      <w:bookmarkEnd w:id="140"/>
      <w:bookmarkEnd w:id="141"/>
      <w:bookmarkEnd w:id="142"/>
    </w:p>
    <w:bookmarkEnd w:id="143"/>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安全要求：在治理前，中标人应对现场人员进行安全防护措施教育，并有文字存根以备检查，不得安排未经教育的员工进入现场；中标人所使用的工具、设备等应对其安全防护措施负责并承担安全责任；在治理过程中，出现的一切安全事故，由中标人自行承担全部责任，发生的一切安全事故费用由中标人承担。</w:t>
      </w:r>
    </w:p>
    <w:p>
      <w:pPr>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供应商自行负责踏勘现场，参加本项目响应后视为已自行踏勘现场，对现场环境</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条件已充分了解。</w:t>
      </w:r>
    </w:p>
    <w:p>
      <w:pPr>
        <w:pStyle w:val="14"/>
        <w:spacing w:line="360" w:lineRule="auto"/>
        <w:ind w:firstLine="480" w:firstLineChars="200"/>
        <w:outlineLvl w:val="1"/>
        <w:rPr>
          <w:rFonts w:hint="eastAsia" w:ascii="仿宋" w:hAnsi="仿宋" w:eastAsia="仿宋" w:cs="仿宋"/>
          <w:color w:val="auto"/>
          <w:sz w:val="24"/>
          <w:szCs w:val="24"/>
          <w:highlight w:val="none"/>
        </w:rPr>
      </w:pPr>
      <w:bookmarkStart w:id="144" w:name="_Toc10457"/>
      <w:bookmarkStart w:id="145" w:name="_Toc3994"/>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）其他未尽事宜由供需双方在采购合同中详细约定。</w:t>
      </w:r>
      <w:bookmarkEnd w:id="144"/>
      <w:bookmarkEnd w:id="145"/>
    </w:p>
    <w:p>
      <w:pPr>
        <w:pStyle w:val="8"/>
      </w:pPr>
    </w:p>
    <w:p>
      <w:pPr>
        <w:pStyle w:val="3"/>
        <w:pageBreakBefore/>
        <w:spacing w:before="0" w:after="0" w:line="360" w:lineRule="auto"/>
        <w:jc w:val="center"/>
        <w:outlineLvl w:val="0"/>
        <w:rPr>
          <w:rFonts w:hint="default" w:ascii="仿宋" w:hAnsi="仿宋" w:eastAsia="仿宋"/>
          <w:b/>
          <w:bCs/>
          <w:color w:val="auto"/>
          <w:spacing w:val="-11"/>
          <w:sz w:val="36"/>
          <w:szCs w:val="30"/>
          <w:highlight w:val="none"/>
          <w:lang w:val="en-US" w:eastAsia="zh-CN"/>
        </w:rPr>
      </w:pPr>
      <w:bookmarkStart w:id="146" w:name="_Toc10090"/>
      <w:bookmarkStart w:id="147" w:name="_Toc8603"/>
      <w:bookmarkStart w:id="148" w:name="_Toc31308"/>
      <w:bookmarkStart w:id="149" w:name="_Toc23755"/>
      <w:r>
        <w:rPr>
          <w:rFonts w:hint="eastAsia" w:ascii="仿宋" w:hAnsi="仿宋" w:eastAsia="仿宋"/>
          <w:b/>
          <w:bCs/>
          <w:color w:val="auto"/>
          <w:spacing w:val="-11"/>
          <w:sz w:val="36"/>
          <w:szCs w:val="30"/>
          <w:highlight w:val="none"/>
        </w:rPr>
        <w:t xml:space="preserve">第四篇  </w:t>
      </w:r>
      <w:r>
        <w:rPr>
          <w:rFonts w:hint="eastAsia" w:ascii="仿宋" w:hAnsi="仿宋" w:eastAsia="仿宋"/>
          <w:b/>
          <w:bCs/>
          <w:color w:val="auto"/>
          <w:spacing w:val="-11"/>
          <w:sz w:val="36"/>
          <w:szCs w:val="30"/>
          <w:highlight w:val="none"/>
          <w:lang w:val="en-US" w:eastAsia="zh-CN"/>
        </w:rPr>
        <w:t>资格审查及评标办法</w:t>
      </w:r>
      <w:bookmarkEnd w:id="146"/>
      <w:bookmarkEnd w:id="147"/>
      <w:bookmarkEnd w:id="148"/>
      <w:bookmarkEnd w:id="149"/>
    </w:p>
    <w:p>
      <w:pPr>
        <w:pStyle w:val="4"/>
        <w:bidi w:val="0"/>
        <w:spacing w:line="240" w:lineRule="auto"/>
        <w:outlineLvl w:val="0"/>
        <w:rPr>
          <w:rFonts w:hint="eastAsia" w:ascii="仿宋" w:hAnsi="仿宋" w:eastAsia="仿宋" w:cs="仿宋"/>
          <w:color w:val="auto"/>
          <w:sz w:val="28"/>
          <w:szCs w:val="18"/>
          <w:highlight w:val="none"/>
          <w:lang w:val="en-US" w:eastAsia="zh-CN"/>
        </w:rPr>
      </w:pPr>
      <w:bookmarkStart w:id="150" w:name="_Toc24609"/>
      <w:bookmarkStart w:id="151" w:name="_Toc6805"/>
      <w:bookmarkStart w:id="152" w:name="_Toc26132"/>
      <w:bookmarkStart w:id="153" w:name="_Toc7575"/>
      <w:bookmarkStart w:id="154" w:name="_Toc15929"/>
      <w:r>
        <w:rPr>
          <w:rFonts w:hint="eastAsia" w:ascii="仿宋" w:hAnsi="仿宋" w:eastAsia="仿宋" w:cs="仿宋"/>
          <w:color w:val="auto"/>
          <w:sz w:val="28"/>
          <w:szCs w:val="18"/>
          <w:highlight w:val="none"/>
          <w:lang w:val="en-US" w:eastAsia="zh-CN"/>
        </w:rPr>
        <w:t>一、资格性符合性检查</w:t>
      </w:r>
      <w:bookmarkEnd w:id="150"/>
      <w:bookmarkEnd w:id="151"/>
      <w:bookmarkEnd w:id="152"/>
      <w:bookmarkEnd w:id="153"/>
      <w:bookmarkEnd w:id="154"/>
    </w:p>
    <w:p>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资格性检查。依据法律法规和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的规定，对响应文件中的资格证明等进行审查，以确定供应商是否具备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93"/>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4278"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检查因素</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593"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rPr>
              <w:t>供应商</w:t>
            </w:r>
            <w:r>
              <w:rPr>
                <w:rFonts w:hint="eastAsia" w:ascii="仿宋" w:hAnsi="仿宋" w:eastAsia="仿宋" w:cs="仿宋_GB2312"/>
                <w:color w:val="auto"/>
                <w:sz w:val="24"/>
                <w:szCs w:val="24"/>
                <w:highlight w:val="none"/>
                <w:lang w:val="zh-CN"/>
              </w:rPr>
              <w:t>应符合的基本资格条件</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（1）具有独立承担民事责任的能力</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供应商法人营业执照（副本）或事业单位法人证书（副本）或个体工商户营业执照或有效的自然人身份证明、组织机构代码证复印件（注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p>
        </w:tc>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s="仿宋_GB2312"/>
                <w:color w:val="auto"/>
                <w:sz w:val="24"/>
                <w:szCs w:val="24"/>
                <w:highlight w:val="none"/>
                <w:lang w:val="zh-CN"/>
              </w:rPr>
              <w:t>（2）</w:t>
            </w:r>
            <w:r>
              <w:rPr>
                <w:rFonts w:hint="eastAsia" w:ascii="仿宋" w:hAnsi="仿宋" w:eastAsia="仿宋"/>
                <w:color w:val="auto"/>
                <w:sz w:val="24"/>
                <w:szCs w:val="24"/>
                <w:highlight w:val="none"/>
              </w:rPr>
              <w:t>具有良好的商业信誉和健全的财务会计制度</w:t>
            </w:r>
          </w:p>
        </w:tc>
        <w:tc>
          <w:tcPr>
            <w:tcW w:w="4558"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供应商提供“</w:t>
            </w:r>
            <w:r>
              <w:rPr>
                <w:rFonts w:ascii="仿宋" w:hAnsi="仿宋" w:eastAsia="仿宋" w:cs="仿宋"/>
                <w:color w:val="auto"/>
                <w:sz w:val="24"/>
                <w:szCs w:val="24"/>
                <w:highlight w:val="none"/>
              </w:rPr>
              <w:t>基本资格条件承诺函</w:t>
            </w:r>
            <w:r>
              <w:rPr>
                <w:rFonts w:hint="eastAsia" w:ascii="仿宋" w:hAnsi="仿宋" w:eastAsia="仿宋" w:cs="仿宋"/>
                <w:color w:val="auto"/>
                <w:sz w:val="24"/>
                <w:szCs w:val="24"/>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p>
        </w:tc>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lang w:val="zh-CN"/>
              </w:rPr>
              <w:t>（3）具有履行合同所必需的设备和专业技术能力</w:t>
            </w:r>
          </w:p>
        </w:tc>
        <w:tc>
          <w:tcPr>
            <w:tcW w:w="455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p>
        </w:tc>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lang w:val="zh-CN"/>
              </w:rPr>
              <w:t>（4）有依法缴纳税收和社会保障金的良好记录</w:t>
            </w:r>
          </w:p>
        </w:tc>
        <w:tc>
          <w:tcPr>
            <w:tcW w:w="455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p>
        </w:tc>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r>
              <w:rPr>
                <w:rFonts w:hint="eastAsia" w:ascii="仿宋" w:hAnsi="仿宋" w:eastAsia="仿宋"/>
                <w:color w:val="auto"/>
                <w:sz w:val="24"/>
                <w:szCs w:val="24"/>
                <w:highlight w:val="none"/>
              </w:rPr>
              <w:t>（5）参加政府采购活动前三年内，在经营活动中没有重大违法记录（注</w:t>
            </w:r>
            <w:r>
              <w:rPr>
                <w:rFonts w:hint="eastAsia" w:ascii="仿宋" w:hAnsi="仿宋" w:eastAsia="仿宋" w:cs="仿宋"/>
                <w:color w:val="auto"/>
                <w:kern w:val="0"/>
                <w:sz w:val="24"/>
                <w:szCs w:val="24"/>
                <w:highlight w:val="none"/>
              </w:rPr>
              <w:sym w:font="Wingdings" w:char="F082"/>
            </w:r>
            <w:r>
              <w:rPr>
                <w:rFonts w:hint="eastAsia" w:ascii="仿宋" w:hAnsi="仿宋" w:eastAsia="仿宋"/>
                <w:color w:val="auto"/>
                <w:sz w:val="24"/>
                <w:szCs w:val="24"/>
                <w:highlight w:val="none"/>
              </w:rPr>
              <w:t>）</w:t>
            </w:r>
          </w:p>
        </w:tc>
        <w:tc>
          <w:tcPr>
            <w:tcW w:w="455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p>
        </w:tc>
        <w:tc>
          <w:tcPr>
            <w:tcW w:w="593"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_GB2312"/>
                <w:color w:val="auto"/>
                <w:sz w:val="24"/>
                <w:szCs w:val="24"/>
                <w:highlight w:val="none"/>
                <w:lang w:val="zh-CN"/>
              </w:rPr>
            </w:pP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（6）法律、行政法规规定的其他条件</w:t>
            </w:r>
          </w:p>
        </w:tc>
        <w:tc>
          <w:tcPr>
            <w:tcW w:w="4558"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4278"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特定资格条件</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本项目按网上竞采文件规定的特定资格条件要求提供相关文件（如有）。</w:t>
            </w:r>
          </w:p>
        </w:tc>
      </w:tr>
    </w:tbl>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sym w:font="Wingdings" w:char="F081"/>
      </w:r>
      <w:r>
        <w:rPr>
          <w:rFonts w:hint="eastAsia" w:ascii="仿宋" w:hAnsi="仿宋" w:eastAsia="仿宋" w:cs="宋体"/>
          <w:color w:val="auto"/>
          <w:kern w:val="0"/>
          <w:sz w:val="24"/>
          <w:szCs w:val="24"/>
          <w:highlight w:val="none"/>
        </w:rPr>
        <w:t>供应商按“多证合一”登记制度办理营业执照的，组织机构代码证、税务登记证（副本）和社会保险登记证以供应商所提供的营业执照（副本）复印件为准。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宋体"/>
          <w:color w:val="auto"/>
          <w:kern w:val="0"/>
          <w:sz w:val="24"/>
          <w:szCs w:val="24"/>
          <w:highlight w:val="none"/>
        </w:rPr>
      </w:pPr>
      <w:r>
        <w:rPr>
          <w:rFonts w:hint="eastAsia" w:ascii="仿宋" w:hAnsi="仿宋" w:eastAsia="仿宋" w:cs="仿宋"/>
          <w:color w:val="auto"/>
          <w:kern w:val="0"/>
          <w:sz w:val="24"/>
          <w:szCs w:val="24"/>
          <w:highlight w:val="none"/>
        </w:rPr>
        <w:sym w:font="Wingdings" w:char="F082"/>
      </w:r>
      <w:r>
        <w:rPr>
          <w:rFonts w:hint="eastAsia" w:ascii="仿宋" w:hAnsi="仿宋" w:eastAsia="仿宋"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color w:val="auto"/>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符合性检查。依据</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的实质性要求作出响应。符合性检查资料表如下：</w:t>
      </w:r>
    </w:p>
    <w:tbl>
      <w:tblPr>
        <w:tblStyle w:val="19"/>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每个分包只能有一个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_GB2312"/>
                <w:color w:val="auto"/>
                <w:sz w:val="24"/>
                <w:szCs w:val="24"/>
                <w:highlight w:val="none"/>
                <w:lang w:val="zh-CN"/>
              </w:rPr>
              <w:t>只能在</w:t>
            </w:r>
            <w:r>
              <w:rPr>
                <w:rFonts w:hint="eastAsia" w:ascii="仿宋" w:hAnsi="仿宋" w:eastAsia="仿宋" w:cs="仿宋_GB2312"/>
                <w:color w:val="auto"/>
                <w:sz w:val="24"/>
                <w:szCs w:val="24"/>
                <w:highlight w:val="none"/>
                <w:lang w:val="en-US" w:eastAsia="zh-CN"/>
              </w:rPr>
              <w:t>最高限价</w:t>
            </w:r>
            <w:r>
              <w:rPr>
                <w:rFonts w:hint="eastAsia" w:ascii="仿宋" w:hAnsi="仿宋" w:eastAsia="仿宋" w:cs="仿宋_GB2312"/>
                <w:color w:val="auto"/>
                <w:sz w:val="24"/>
                <w:szCs w:val="24"/>
                <w:highlight w:val="none"/>
                <w:lang w:val="zh-CN"/>
              </w:rPr>
              <w:t>范围内报价，</w:t>
            </w:r>
            <w:r>
              <w:rPr>
                <w:rFonts w:hint="eastAsia" w:ascii="仿宋" w:hAnsi="仿宋" w:eastAsia="仿宋"/>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篇、第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pacing w:before="260" w:after="260" w:line="360" w:lineRule="auto"/>
              <w:jc w:val="left"/>
              <w:textAlignment w:val="auto"/>
              <w:outlineLvl w:val="9"/>
              <w:rPr>
                <w:rFonts w:hint="eastAsia" w:ascii="仿宋" w:hAnsi="仿宋" w:eastAsia="仿宋" w:cs="仿宋"/>
                <w:color w:val="auto"/>
                <w:sz w:val="24"/>
                <w:szCs w:val="24"/>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sz w:val="24"/>
                <w:szCs w:val="24"/>
                <w:highlight w:val="none"/>
                <w:lang w:val="zh-CN"/>
              </w:rPr>
              <w:t>规定。</w:t>
            </w:r>
          </w:p>
        </w:tc>
      </w:tr>
    </w:tbl>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rPr>
      </w:pPr>
    </w:p>
    <w:p>
      <w:pPr>
        <w:pageBreakBefore w:val="0"/>
        <w:widowControl w:val="0"/>
        <w:kinsoku/>
        <w:wordWrap/>
        <w:overflowPunct/>
        <w:topLinePunct w:val="0"/>
        <w:autoSpaceDE/>
        <w:autoSpaceDN/>
        <w:bidi w:val="0"/>
        <w:adjustRightInd/>
        <w:snapToGrid w:val="0"/>
        <w:spacing w:line="520" w:lineRule="exact"/>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在</w:t>
      </w:r>
      <w:r>
        <w:rPr>
          <w:rFonts w:hint="eastAsia" w:ascii="仿宋" w:hAnsi="仿宋" w:eastAsia="仿宋" w:cs="仿宋"/>
          <w:color w:val="auto"/>
          <w:spacing w:val="-6"/>
          <w:sz w:val="24"/>
          <w:szCs w:val="24"/>
          <w:highlight w:val="none"/>
          <w:lang w:eastAsia="zh-CN"/>
        </w:rPr>
        <w:t>投标</w:t>
      </w:r>
      <w:r>
        <w:rPr>
          <w:rFonts w:hint="eastAsia" w:ascii="仿宋" w:hAnsi="仿宋" w:eastAsia="仿宋" w:cs="仿宋"/>
          <w:color w:val="auto"/>
          <w:spacing w:val="-6"/>
          <w:sz w:val="24"/>
          <w:szCs w:val="24"/>
          <w:highlight w:val="none"/>
        </w:rPr>
        <w:t>过程中的任何一方不得向他人透露与</w:t>
      </w:r>
      <w:r>
        <w:rPr>
          <w:rFonts w:hint="eastAsia" w:ascii="仿宋" w:hAnsi="仿宋" w:eastAsia="仿宋" w:cs="仿宋"/>
          <w:color w:val="auto"/>
          <w:spacing w:val="-6"/>
          <w:sz w:val="24"/>
          <w:szCs w:val="24"/>
          <w:highlight w:val="none"/>
          <w:lang w:eastAsia="zh-CN"/>
        </w:rPr>
        <w:t>本项目</w:t>
      </w:r>
      <w:r>
        <w:rPr>
          <w:rFonts w:hint="eastAsia" w:ascii="仿宋" w:hAnsi="仿宋" w:eastAsia="仿宋" w:cs="仿宋"/>
          <w:color w:val="auto"/>
          <w:spacing w:val="-6"/>
          <w:sz w:val="24"/>
          <w:szCs w:val="24"/>
          <w:highlight w:val="none"/>
        </w:rPr>
        <w:t>有关的技术资料、价格或其他信息。</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对供应商的响应文件和报价进行综合评分。综合评分法，是指响应文件满足</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文件全部实质性要求且按照评审因素的量化指标评审得分最高的供应商为成交候选供应商的评审方法。供应商总得分为价格、</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、商务等评定因素分别按照相应权重值计算分项得分后相加，满分为100分。</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rPr>
        <w:t>综合得分排名前三的</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为本项目</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w:t>
      </w:r>
      <w:r>
        <w:rPr>
          <w:rFonts w:hint="eastAsia" w:ascii="仿宋" w:hAnsi="仿宋" w:eastAsia="仿宋" w:cs="仿宋"/>
          <w:color w:val="auto"/>
          <w:sz w:val="24"/>
          <w:szCs w:val="24"/>
          <w:highlight w:val="none"/>
        </w:rPr>
        <w:t>，并编写评审报告。若供应商的评审得分相同的，按照</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报价由低到高的顺序排列推荐。评审得分且</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报价相同的，按照</w:t>
      </w:r>
      <w:r>
        <w:rPr>
          <w:rFonts w:hint="eastAsia" w:ascii="仿宋" w:hAnsi="仿宋" w:eastAsia="仿宋" w:cs="仿宋"/>
          <w:color w:val="auto"/>
          <w:sz w:val="24"/>
          <w:szCs w:val="24"/>
          <w:highlight w:val="none"/>
          <w:lang w:val="en-US" w:eastAsia="zh-CN"/>
        </w:rPr>
        <w:t>服务部分得分由高到底的</w:t>
      </w:r>
      <w:r>
        <w:rPr>
          <w:rFonts w:hint="eastAsia" w:ascii="仿宋" w:hAnsi="仿宋" w:eastAsia="仿宋" w:cs="仿宋"/>
          <w:color w:val="auto"/>
          <w:sz w:val="24"/>
          <w:szCs w:val="24"/>
          <w:highlight w:val="none"/>
        </w:rPr>
        <w:t>顺序排列推荐。以上都相同的，按商务</w:t>
      </w:r>
      <w:r>
        <w:rPr>
          <w:rFonts w:hint="eastAsia" w:ascii="仿宋" w:hAnsi="仿宋" w:eastAsia="仿宋" w:cs="仿宋"/>
          <w:color w:val="auto"/>
          <w:sz w:val="24"/>
          <w:szCs w:val="24"/>
          <w:highlight w:val="none"/>
          <w:lang w:val="en-US" w:eastAsia="zh-CN"/>
        </w:rPr>
        <w:t>部分得分由高到低的</w:t>
      </w:r>
      <w:r>
        <w:rPr>
          <w:rFonts w:hint="eastAsia" w:ascii="仿宋" w:hAnsi="仿宋" w:eastAsia="仿宋" w:cs="仿宋"/>
          <w:color w:val="auto"/>
          <w:sz w:val="24"/>
          <w:szCs w:val="24"/>
          <w:highlight w:val="none"/>
        </w:rPr>
        <w:t>顺序排列推荐。</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部分得分为0分的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，将失去成为</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候选人的资格。</w:t>
      </w:r>
    </w:p>
    <w:p>
      <w:pPr>
        <w:pStyle w:val="4"/>
        <w:pageBreakBefore w:val="0"/>
        <w:widowControl w:val="0"/>
        <w:numPr>
          <w:ilvl w:val="0"/>
          <w:numId w:val="0"/>
        </w:numPr>
        <w:kinsoku/>
        <w:wordWrap/>
        <w:overflowPunct/>
        <w:topLinePunct w:val="0"/>
        <w:autoSpaceDE/>
        <w:autoSpaceDN/>
        <w:bidi w:val="0"/>
        <w:adjustRightInd/>
        <w:spacing w:before="0" w:after="0" w:line="520" w:lineRule="exact"/>
        <w:textAlignment w:val="auto"/>
        <w:outlineLvl w:val="0"/>
        <w:rPr>
          <w:color w:val="auto"/>
          <w:highlight w:val="none"/>
        </w:rPr>
      </w:pPr>
      <w:bookmarkStart w:id="155" w:name="_Toc32525"/>
      <w:bookmarkStart w:id="156" w:name="_Toc27056"/>
      <w:bookmarkStart w:id="157" w:name="_Toc20552"/>
      <w:bookmarkStart w:id="158" w:name="_Toc19959"/>
      <w:r>
        <w:rPr>
          <w:rFonts w:hint="eastAsia" w:ascii="仿宋" w:hAnsi="仿宋" w:eastAsia="仿宋" w:cs="Times New Roman"/>
          <w:color w:val="auto"/>
          <w:sz w:val="24"/>
          <w:szCs w:val="24"/>
          <w:highlight w:val="none"/>
          <w:lang w:val="en-US" w:eastAsia="zh-CN"/>
        </w:rPr>
        <w:t>二、</w:t>
      </w:r>
      <w:r>
        <w:rPr>
          <w:rFonts w:hint="eastAsia" w:ascii="仿宋" w:hAnsi="仿宋" w:eastAsia="仿宋" w:cs="Times New Roman"/>
          <w:color w:val="auto"/>
          <w:sz w:val="24"/>
          <w:szCs w:val="24"/>
          <w:highlight w:val="none"/>
        </w:rPr>
        <w:t>评审标准</w:t>
      </w:r>
      <w:r>
        <w:rPr>
          <w:color w:val="auto"/>
          <w:highlight w:val="none"/>
        </w:rPr>
        <w:br w:type="page"/>
      </w:r>
      <w:bookmarkEnd w:id="155"/>
      <w:bookmarkEnd w:id="156"/>
      <w:bookmarkEnd w:id="157"/>
      <w:bookmarkEnd w:id="158"/>
    </w:p>
    <w:tbl>
      <w:tblPr>
        <w:tblStyle w:val="19"/>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996"/>
        <w:gridCol w:w="4302"/>
        <w:gridCol w:w="2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28" w:lineRule="auto"/>
              <w:jc w:val="center"/>
              <w:rPr>
                <w:rStyle w:val="24"/>
                <w:rFonts w:ascii="仿宋" w:hAnsi="仿宋" w:eastAsia="仿宋"/>
                <w:b/>
                <w:color w:val="auto"/>
                <w:szCs w:val="24"/>
                <w:highlight w:val="none"/>
              </w:rPr>
            </w:pPr>
            <w:r>
              <w:rPr>
                <w:rStyle w:val="24"/>
                <w:rFonts w:ascii="仿宋" w:hAnsi="仿宋" w:eastAsia="仿宋"/>
                <w:b/>
                <w:color w:val="auto"/>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28" w:lineRule="auto"/>
              <w:jc w:val="center"/>
              <w:rPr>
                <w:rStyle w:val="24"/>
                <w:rFonts w:ascii="仿宋" w:hAnsi="仿宋" w:eastAsia="仿宋"/>
                <w:b/>
                <w:color w:val="auto"/>
                <w:szCs w:val="24"/>
                <w:highlight w:val="none"/>
              </w:rPr>
            </w:pPr>
            <w:r>
              <w:rPr>
                <w:rStyle w:val="24"/>
                <w:rFonts w:ascii="仿宋" w:hAnsi="仿宋" w:eastAsia="仿宋"/>
                <w:b/>
                <w:color w:val="auto"/>
                <w:szCs w:val="24"/>
                <w:highlight w:val="none"/>
              </w:rPr>
              <w:t>评分因素及权重</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28" w:lineRule="auto"/>
              <w:jc w:val="center"/>
              <w:rPr>
                <w:rStyle w:val="24"/>
                <w:rFonts w:ascii="仿宋" w:hAnsi="仿宋" w:eastAsia="仿宋"/>
                <w:b/>
                <w:color w:val="auto"/>
                <w:szCs w:val="24"/>
                <w:highlight w:val="none"/>
              </w:rPr>
            </w:pPr>
            <w:r>
              <w:rPr>
                <w:rStyle w:val="24"/>
                <w:rFonts w:ascii="仿宋" w:hAnsi="仿宋" w:eastAsia="仿宋"/>
                <w:b/>
                <w:color w:val="auto"/>
                <w:szCs w:val="24"/>
                <w:highlight w:val="none"/>
              </w:rPr>
              <w:t>分值</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28" w:lineRule="auto"/>
              <w:ind w:firstLine="422"/>
              <w:jc w:val="center"/>
              <w:rPr>
                <w:rStyle w:val="24"/>
                <w:rFonts w:ascii="仿宋" w:hAnsi="仿宋" w:eastAsia="仿宋"/>
                <w:b/>
                <w:color w:val="auto"/>
                <w:szCs w:val="24"/>
                <w:highlight w:val="none"/>
              </w:rPr>
            </w:pPr>
            <w:r>
              <w:rPr>
                <w:rStyle w:val="24"/>
                <w:rFonts w:ascii="仿宋" w:hAnsi="仿宋" w:eastAsia="仿宋"/>
                <w:b/>
                <w:color w:val="auto"/>
                <w:szCs w:val="24"/>
                <w:highlight w:val="none"/>
              </w:rPr>
              <w:t>评分标准</w:t>
            </w:r>
          </w:p>
        </w:tc>
        <w:tc>
          <w:tcPr>
            <w:tcW w:w="2781" w:type="dxa"/>
            <w:tcBorders>
              <w:top w:val="single" w:color="000000" w:sz="4" w:space="0"/>
              <w:left w:val="single" w:color="000000" w:sz="4" w:space="0"/>
              <w:bottom w:val="single" w:color="000000" w:sz="4" w:space="0"/>
              <w:right w:val="single" w:color="000000" w:sz="4" w:space="0"/>
            </w:tcBorders>
            <w:vAlign w:val="center"/>
          </w:tcPr>
          <w:p>
            <w:pPr>
              <w:pStyle w:val="27"/>
              <w:keepNext w:val="0"/>
              <w:keepLines w:val="0"/>
              <w:pageBreakBefore w:val="0"/>
              <w:kinsoku/>
              <w:wordWrap/>
              <w:overflowPunct/>
              <w:topLinePunct w:val="0"/>
              <w:autoSpaceDE/>
              <w:autoSpaceDN/>
              <w:bidi w:val="0"/>
              <w:adjustRightInd/>
              <w:snapToGrid w:val="0"/>
              <w:spacing w:before="0" w:after="0" w:line="228" w:lineRule="auto"/>
              <w:ind w:firstLine="482"/>
              <w:rPr>
                <w:rStyle w:val="24"/>
                <w:rFonts w:ascii="仿宋" w:hAnsi="仿宋" w:eastAsia="仿宋"/>
                <w:color w:val="auto"/>
                <w:highlight w:val="none"/>
              </w:rPr>
            </w:pPr>
            <w:r>
              <w:rPr>
                <w:rStyle w:val="24"/>
                <w:rFonts w:ascii="仿宋" w:hAnsi="仿宋" w:eastAsia="仿宋"/>
                <w:color w:val="auto"/>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1</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hint="eastAsia" w:ascii="仿宋" w:hAnsi="仿宋" w:eastAsia="仿宋"/>
                <w:color w:val="auto"/>
                <w:szCs w:val="24"/>
                <w:highlight w:val="none"/>
                <w:lang w:val="en-US" w:eastAsia="zh-CN"/>
              </w:rPr>
              <w:t>投标</w:t>
            </w:r>
            <w:r>
              <w:rPr>
                <w:rStyle w:val="24"/>
                <w:rFonts w:ascii="仿宋" w:hAnsi="仿宋" w:eastAsia="仿宋"/>
                <w:color w:val="auto"/>
                <w:szCs w:val="24"/>
                <w:highlight w:val="none"/>
              </w:rPr>
              <w:t>报价</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w:t>
            </w:r>
            <w:r>
              <w:rPr>
                <w:rStyle w:val="24"/>
                <w:rFonts w:hint="eastAsia" w:ascii="仿宋" w:hAnsi="仿宋" w:eastAsia="仿宋"/>
                <w:color w:val="auto"/>
                <w:szCs w:val="24"/>
                <w:highlight w:val="none"/>
                <w:lang w:val="en-US" w:eastAsia="zh-CN"/>
              </w:rPr>
              <w:t>30</w:t>
            </w:r>
            <w:r>
              <w:rPr>
                <w:rStyle w:val="24"/>
                <w:rFonts w:ascii="仿宋" w:hAnsi="仿宋" w:eastAsia="仿宋"/>
                <w:color w:val="auto"/>
                <w:szCs w:val="24"/>
                <w:highlight w:val="none"/>
              </w:rPr>
              <w:t>%）</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hint="eastAsia" w:ascii="仿宋" w:hAnsi="仿宋" w:eastAsia="仿宋"/>
                <w:color w:val="auto"/>
                <w:szCs w:val="24"/>
                <w:highlight w:val="none"/>
                <w:lang w:val="en-US" w:eastAsia="zh-CN"/>
              </w:rPr>
              <w:t>30</w:t>
            </w:r>
            <w:r>
              <w:rPr>
                <w:rStyle w:val="24"/>
                <w:rFonts w:ascii="仿宋" w:hAnsi="仿宋" w:eastAsia="仿宋"/>
                <w:color w:val="auto"/>
                <w:szCs w:val="24"/>
                <w:highlight w:val="none"/>
              </w:rPr>
              <w:t>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有效的投标报价中的</w:t>
            </w:r>
            <w:r>
              <w:rPr>
                <w:rFonts w:hint="eastAsia" w:ascii="仿宋" w:hAnsi="仿宋" w:eastAsia="仿宋" w:cs="仿宋"/>
                <w:color w:val="auto"/>
                <w:sz w:val="24"/>
                <w:szCs w:val="24"/>
                <w:highlight w:val="none"/>
              </w:rPr>
              <w:t>最低</w:t>
            </w:r>
            <w:r>
              <w:rPr>
                <w:rFonts w:hint="eastAsia" w:ascii="仿宋" w:hAnsi="仿宋" w:eastAsia="仿宋" w:cs="仿宋"/>
                <w:color w:val="auto"/>
                <w:sz w:val="24"/>
                <w:szCs w:val="24"/>
                <w:highlight w:val="none"/>
                <w:lang w:eastAsia="zh-CN"/>
              </w:rPr>
              <w:t>价为评标</w:t>
            </w:r>
            <w:r>
              <w:rPr>
                <w:rFonts w:hint="eastAsia" w:ascii="仿宋" w:hAnsi="仿宋" w:eastAsia="仿宋" w:cs="仿宋"/>
                <w:color w:val="auto"/>
                <w:sz w:val="24"/>
                <w:szCs w:val="24"/>
                <w:highlight w:val="none"/>
              </w:rPr>
              <w:t>基准价，按照下列公式计算每个供应商的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报价得分。</w:t>
            </w:r>
          </w:p>
          <w:p>
            <w:pPr>
              <w:keepNext w:val="0"/>
              <w:keepLines w:val="0"/>
              <w:pageBreakBefore w:val="0"/>
              <w:widowControl w:val="0"/>
              <w:kinsoku/>
              <w:wordWrap/>
              <w:overflowPunct/>
              <w:topLinePunct w:val="0"/>
              <w:autoSpaceDE/>
              <w:autoSpaceDN/>
              <w:bidi w:val="0"/>
              <w:adjustRightInd/>
              <w:snapToGrid w:val="0"/>
              <w:spacing w:line="264" w:lineRule="auto"/>
              <w:ind w:firstLine="240" w:firstLineChars="100"/>
              <w:textAlignment w:val="auto"/>
              <w:rPr>
                <w:rStyle w:val="24"/>
                <w:rFonts w:ascii="仿宋" w:hAnsi="仿宋" w:eastAsia="仿宋"/>
                <w:color w:val="auto"/>
                <w:szCs w:val="24"/>
                <w:highlight w:val="none"/>
                <w:lang w:eastAsia="zh-CN"/>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报价）×价格权</w:t>
            </w:r>
            <w:r>
              <w:rPr>
                <w:rFonts w:hint="eastAsia" w:ascii="仿宋" w:hAnsi="仿宋" w:eastAsia="仿宋" w:cs="仿宋"/>
                <w:color w:val="auto"/>
                <w:sz w:val="24"/>
                <w:szCs w:val="24"/>
                <w:highlight w:val="none"/>
                <w:lang w:eastAsia="zh-CN"/>
              </w:rPr>
              <w:t>重</w:t>
            </w:r>
            <w:r>
              <w:rPr>
                <w:rFonts w:hint="eastAsia" w:ascii="仿宋" w:hAnsi="仿宋" w:eastAsia="仿宋" w:cs="仿宋"/>
                <w:color w:val="auto"/>
                <w:sz w:val="24"/>
                <w:szCs w:val="24"/>
                <w:highlight w:val="none"/>
              </w:rPr>
              <w:t>×100</w:t>
            </w:r>
          </w:p>
        </w:tc>
        <w:tc>
          <w:tcPr>
            <w:tcW w:w="2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480" w:firstLineChars="200"/>
              <w:textAlignment w:val="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对小型和微型企业产品的价格给予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2</w:t>
            </w:r>
          </w:p>
        </w:tc>
        <w:tc>
          <w:tcPr>
            <w:tcW w:w="109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default" w:ascii="仿宋" w:hAnsi="仿宋" w:eastAsia="仿宋"/>
                <w:color w:val="auto"/>
                <w:szCs w:val="24"/>
                <w:highlight w:val="none"/>
                <w:lang w:val="en-US" w:eastAsia="zh-CN"/>
              </w:rPr>
            </w:pPr>
            <w:r>
              <w:rPr>
                <w:rStyle w:val="24"/>
                <w:rFonts w:hint="eastAsia" w:ascii="仿宋" w:hAnsi="仿宋" w:eastAsia="仿宋"/>
                <w:color w:val="auto"/>
                <w:szCs w:val="24"/>
                <w:highlight w:val="none"/>
                <w:lang w:val="en-US" w:eastAsia="zh-CN"/>
              </w:rPr>
              <w:t>服务部分（40%）</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服务方案</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（5分）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对本项目任务了解透彻，服务方案全面、具体，提供针对性防控重点难点分析，对白蚁防控技术方法科学先进。</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Style w:val="24"/>
                <w:rFonts w:ascii="仿宋" w:hAnsi="仿宋" w:eastAsia="仿宋"/>
                <w:color w:val="auto"/>
                <w:szCs w:val="24"/>
                <w:highlight w:val="none"/>
                <w:lang w:eastAsia="zh-CN"/>
              </w:rPr>
            </w:pPr>
            <w:r>
              <w:rPr>
                <w:rFonts w:hint="eastAsia" w:ascii="仿宋" w:hAnsi="仿宋" w:eastAsia="仿宋" w:cs="仿宋"/>
                <w:color w:val="auto"/>
                <w:sz w:val="24"/>
                <w:szCs w:val="24"/>
                <w:highlight w:val="none"/>
              </w:rPr>
              <w:t>优得5分；良得3分；一般得1分；差或缺项得0分。</w:t>
            </w:r>
          </w:p>
        </w:tc>
        <w:tc>
          <w:tcPr>
            <w:tcW w:w="278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供应商根据评分标准</w:t>
            </w:r>
            <w:r>
              <w:rPr>
                <w:rFonts w:hint="eastAsia" w:ascii="仿宋" w:hAnsi="仿宋" w:eastAsia="仿宋" w:cs="仿宋"/>
                <w:color w:val="auto"/>
                <w:sz w:val="24"/>
                <w:szCs w:val="24"/>
                <w:highlight w:val="none"/>
              </w:rPr>
              <w:t>提供服务方案，格式自定。</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Style w:val="24"/>
                <w:rFonts w:ascii="仿宋" w:hAnsi="仿宋" w:eastAsia="仿宋"/>
                <w:color w:val="auto"/>
                <w:szCs w:val="24"/>
                <w:highlight w:val="none"/>
                <w:lang w:eastAsia="zh-CN"/>
              </w:rPr>
            </w:pPr>
            <w:r>
              <w:rPr>
                <w:rFonts w:hint="eastAsia" w:ascii="仿宋" w:hAnsi="仿宋" w:eastAsia="仿宋" w:cs="仿宋"/>
                <w:color w:val="auto"/>
                <w:sz w:val="24"/>
                <w:szCs w:val="24"/>
                <w:highlight w:val="none"/>
              </w:rPr>
              <w:t>2.方案科学合理，有针对性，符合项目实际情况且表述清晰有逻辑性的为“优”；方案科学合理，有针对性，符合项目实际情况且表述清晰有逻辑性，但稍有不足的为“良”；方案基本符合项目情况，有针对性但逻辑性和表述有欠缺的，为“一般”；方案科学合理性不足，或针对性不足，或存在不符合项目实际情况或表述模糊无逻辑性的，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109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default" w:ascii="仿宋" w:hAnsi="仿宋" w:eastAsia="仿宋"/>
                <w:color w:val="auto"/>
                <w:szCs w:val="24"/>
                <w:highlight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eastAsia" w:ascii="仿宋" w:hAnsi="仿宋" w:eastAsia="仿宋"/>
                <w:color w:val="auto"/>
                <w:szCs w:val="24"/>
                <w:highlight w:val="none"/>
                <w:lang w:val="en-US" w:eastAsia="zh-CN"/>
              </w:rPr>
            </w:pPr>
            <w:r>
              <w:rPr>
                <w:rStyle w:val="24"/>
                <w:rFonts w:hint="eastAsia" w:ascii="仿宋" w:hAnsi="仿宋" w:eastAsia="仿宋"/>
                <w:color w:val="auto"/>
                <w:szCs w:val="24"/>
                <w:highlight w:val="none"/>
                <w:lang w:val="en-US" w:eastAsia="zh-CN"/>
              </w:rPr>
              <w:t>项目管理方案</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default" w:ascii="仿宋" w:hAnsi="仿宋" w:eastAsia="仿宋"/>
                <w:color w:val="auto"/>
                <w:szCs w:val="24"/>
                <w:highlight w:val="none"/>
                <w:lang w:val="en-US" w:eastAsia="zh-CN"/>
              </w:rPr>
            </w:pPr>
            <w:r>
              <w:rPr>
                <w:rStyle w:val="24"/>
                <w:rFonts w:hint="eastAsia" w:ascii="仿宋" w:hAnsi="仿宋" w:eastAsia="仿宋"/>
                <w:color w:val="auto"/>
                <w:szCs w:val="24"/>
                <w:highlight w:val="none"/>
                <w:lang w:val="en-US" w:eastAsia="zh-CN"/>
              </w:rPr>
              <w:t>（15分）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项目管理方案清晰详细，可操作性强，施工进度安排合理，人员培训及设备安排合理。管理实施要求包括以下内容：</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进场后现场踏勘阶段的人员、时间安排，以及向采购人提交的现场调查报告大纲；</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（优得5分；良得3分；一般得1分；差或缺项得0分）。</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施工作业阶段人员配置、药剂选择、机具使用的计划；</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（优得5分；良得3分；一般得1分；差或缺项得0分）。</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在第一次验收后的质保阶段的质保方案、复查方案、补治措施等）</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Style w:val="24"/>
                <w:rFonts w:ascii="仿宋" w:hAnsi="仿宋" w:eastAsia="仿宋"/>
                <w:color w:val="auto"/>
                <w:szCs w:val="24"/>
                <w:highlight w:val="none"/>
                <w:lang w:eastAsia="zh-CN"/>
              </w:rPr>
            </w:pPr>
            <w:r>
              <w:rPr>
                <w:rFonts w:hint="eastAsia" w:ascii="仿宋" w:hAnsi="仿宋" w:eastAsia="仿宋" w:cs="仿宋"/>
                <w:color w:val="auto"/>
                <w:sz w:val="24"/>
                <w:szCs w:val="24"/>
                <w:highlight w:val="none"/>
              </w:rPr>
              <w:t>（优得5分；良得3分；一般得1分；差或缺项得0分）。</w:t>
            </w:r>
          </w:p>
        </w:tc>
        <w:tc>
          <w:tcPr>
            <w:tcW w:w="278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textAlignment w:val="auto"/>
              <w:rPr>
                <w:rStyle w:val="24"/>
                <w:rFonts w:ascii="仿宋" w:hAnsi="仿宋" w:eastAsia="仿宋"/>
                <w:color w:val="auto"/>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109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default" w:ascii="仿宋" w:hAnsi="仿宋" w:eastAsia="仿宋"/>
                <w:color w:val="auto"/>
                <w:szCs w:val="24"/>
                <w:highlight w:val="none"/>
                <w:lang w:val="en-US" w:eastAsia="zh-CN"/>
              </w:rPr>
            </w:pPr>
            <w:r>
              <w:rPr>
                <w:rStyle w:val="24"/>
                <w:rFonts w:hint="eastAsia" w:ascii="仿宋" w:hAnsi="仿宋" w:eastAsia="仿宋"/>
                <w:color w:val="auto"/>
                <w:szCs w:val="24"/>
                <w:highlight w:val="none"/>
                <w:lang w:val="en-US" w:eastAsia="zh-CN"/>
              </w:rPr>
              <w:t>防治及监管措施（10分）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对白蚁生活习性掌握透彻，监测、防制的方式科学先进，对不同蚁种、环境用药方法及操作安全合理，药剂符合国家有关规定并能完全满足本次项目要求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（措施包含以下内容：白蚁综合治理与防治措施，质量监管措施）。要求方案内容完整、结合实际、科学实用。</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白蚁综合治理与防治措施；</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（优得5分；良得3分；一般得1分；差或缺项得0分）。</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质量监管措施。</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（优得5分；良得3分；一般得1分；差或缺项得0分）。</w:t>
            </w:r>
          </w:p>
        </w:tc>
        <w:tc>
          <w:tcPr>
            <w:tcW w:w="278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textAlignment w:val="auto"/>
              <w:rPr>
                <w:rStyle w:val="24"/>
                <w:rFonts w:ascii="仿宋" w:hAnsi="仿宋" w:eastAsia="仿宋"/>
                <w:color w:val="auto"/>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109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应急处理方案</w:t>
            </w:r>
          </w:p>
          <w:p>
            <w:pPr>
              <w:keepNext w:val="0"/>
              <w:keepLines w:val="0"/>
              <w:pageBreakBefore w:val="0"/>
              <w:widowControl w:val="0"/>
              <w:kinsoku/>
              <w:wordWrap/>
              <w:overflowPunct/>
              <w:topLinePunct w:val="0"/>
              <w:autoSpaceDE/>
              <w:autoSpaceDN/>
              <w:bidi w:val="0"/>
              <w:adjustRightInd/>
              <w:spacing w:line="264" w:lineRule="auto"/>
              <w:jc w:val="center"/>
              <w:textAlignment w:val="auto"/>
              <w:rPr>
                <w:rFonts w:hint="default"/>
                <w:color w:val="auto"/>
                <w:lang w:val="en-US" w:eastAsia="zh-CN"/>
              </w:rPr>
            </w:pPr>
            <w:r>
              <w:rPr>
                <w:rFonts w:hint="eastAsia" w:ascii="仿宋" w:hAnsi="仿宋" w:eastAsia="仿宋" w:cs="仿宋"/>
                <w:color w:val="auto"/>
                <w:sz w:val="24"/>
                <w:szCs w:val="24"/>
                <w:highlight w:val="none"/>
                <w:lang w:val="en-US" w:eastAsia="zh-CN"/>
              </w:rPr>
              <w:t>（5分）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有应急抢险机构，配置相应的应急人员和机具设备，应急事件处理方案详细具体，可操作性强，应急响应工作迅速。措施内容全面、可行性与科学实用性强。</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（优得5分；良得3分；一般得1分；差或缺项得0分）。</w:t>
            </w:r>
          </w:p>
        </w:tc>
        <w:tc>
          <w:tcPr>
            <w:tcW w:w="278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textAlignment w:val="auto"/>
              <w:rPr>
                <w:rStyle w:val="24"/>
                <w:rFonts w:ascii="仿宋" w:hAnsi="仿宋" w:eastAsia="仿宋"/>
                <w:color w:val="auto"/>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109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eastAsia" w:ascii="仿宋" w:hAnsi="仿宋" w:eastAsia="仿宋"/>
                <w:color w:val="auto"/>
                <w:szCs w:val="24"/>
                <w:highlight w:val="none"/>
                <w:lang w:val="en-US" w:eastAsia="zh-CN"/>
              </w:rPr>
            </w:pPr>
            <w:r>
              <w:rPr>
                <w:rStyle w:val="24"/>
                <w:rFonts w:hint="eastAsia" w:ascii="仿宋" w:hAnsi="仿宋" w:eastAsia="仿宋"/>
                <w:color w:val="auto"/>
                <w:szCs w:val="24"/>
                <w:highlight w:val="none"/>
                <w:lang w:val="en-US" w:eastAsia="zh-CN"/>
              </w:rPr>
              <w:t>安全生产方案</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default" w:ascii="仿宋" w:hAnsi="仿宋" w:eastAsia="仿宋"/>
                <w:color w:val="auto"/>
                <w:szCs w:val="24"/>
                <w:highlight w:val="none"/>
                <w:lang w:val="en-US" w:eastAsia="zh-CN"/>
              </w:rPr>
            </w:pPr>
            <w:r>
              <w:rPr>
                <w:rStyle w:val="24"/>
                <w:rFonts w:hint="eastAsia" w:ascii="仿宋" w:hAnsi="仿宋" w:eastAsia="仿宋"/>
                <w:color w:val="auto"/>
                <w:szCs w:val="24"/>
                <w:highlight w:val="none"/>
                <w:lang w:val="en-US" w:eastAsia="zh-CN"/>
              </w:rPr>
              <w:t>（5分）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有专职人员配置和安全机具配备，健全的安全生产制度，有安全生产应急预案和安全事故善后承诺。方案内容完整、结合实际、科学实用。</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方正仿宋_GBK" w:hAnsi="宋体" w:eastAsia="方正仿宋_GBK"/>
                <w:color w:val="auto"/>
                <w:sz w:val="21"/>
                <w:szCs w:val="21"/>
              </w:rPr>
            </w:pPr>
            <w:r>
              <w:rPr>
                <w:rFonts w:hint="eastAsia" w:ascii="仿宋" w:hAnsi="仿宋" w:eastAsia="仿宋" w:cs="仿宋"/>
                <w:color w:val="auto"/>
                <w:sz w:val="24"/>
                <w:szCs w:val="24"/>
                <w:highlight w:val="none"/>
              </w:rPr>
              <w:t>（优得5分；良得3分；一般得1分；差或缺项得0分）。</w:t>
            </w:r>
          </w:p>
        </w:tc>
        <w:tc>
          <w:tcPr>
            <w:tcW w:w="278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textAlignment w:val="auto"/>
              <w:rPr>
                <w:rStyle w:val="24"/>
                <w:rFonts w:ascii="仿宋" w:hAnsi="仿宋" w:eastAsia="仿宋"/>
                <w:color w:val="auto"/>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3</w:t>
            </w:r>
          </w:p>
        </w:tc>
        <w:tc>
          <w:tcPr>
            <w:tcW w:w="109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商务部分（3</w:t>
            </w:r>
            <w:r>
              <w:rPr>
                <w:rStyle w:val="24"/>
                <w:rFonts w:hint="eastAsia" w:ascii="仿宋" w:hAnsi="仿宋" w:eastAsia="仿宋"/>
                <w:color w:val="auto"/>
                <w:szCs w:val="24"/>
                <w:highlight w:val="none"/>
                <w:lang w:val="en-US" w:eastAsia="zh-CN"/>
              </w:rPr>
              <w:t>0</w:t>
            </w:r>
            <w:r>
              <w:rPr>
                <w:rStyle w:val="24"/>
                <w:rFonts w:ascii="仿宋" w:hAnsi="仿宋" w:eastAsia="仿宋"/>
                <w:color w:val="auto"/>
                <w:szCs w:val="24"/>
                <w:highlight w:val="none"/>
              </w:rPr>
              <w:t>%）</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人员配备</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w:t>
            </w:r>
            <w:r>
              <w:rPr>
                <w:rStyle w:val="24"/>
                <w:rFonts w:hint="eastAsia" w:ascii="仿宋" w:hAnsi="仿宋" w:eastAsia="仿宋"/>
                <w:color w:val="auto"/>
                <w:szCs w:val="24"/>
                <w:highlight w:val="none"/>
                <w:lang w:val="en-US" w:eastAsia="zh-CN"/>
              </w:rPr>
              <w:t>7</w:t>
            </w:r>
            <w:r>
              <w:rPr>
                <w:rStyle w:val="24"/>
                <w:rFonts w:ascii="仿宋" w:hAnsi="仿宋" w:eastAsia="仿宋"/>
                <w:color w:val="auto"/>
                <w:szCs w:val="24"/>
                <w:highlight w:val="none"/>
              </w:rPr>
              <w:t>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投入本项目</w:t>
            </w:r>
            <w:r>
              <w:rPr>
                <w:rFonts w:hint="eastAsia" w:ascii="仿宋" w:hAnsi="仿宋" w:eastAsia="仿宋" w:cs="仿宋"/>
                <w:color w:val="auto"/>
                <w:sz w:val="24"/>
                <w:szCs w:val="24"/>
                <w:highlight w:val="none"/>
              </w:rPr>
              <w:t>的服务人员具有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有害生物防治</w:t>
            </w:r>
            <w:r>
              <w:rPr>
                <w:rFonts w:hint="eastAsia" w:ascii="仿宋" w:hAnsi="仿宋" w:eastAsia="仿宋" w:cs="仿宋"/>
                <w:color w:val="auto"/>
                <w:sz w:val="24"/>
                <w:szCs w:val="24"/>
                <w:highlight w:val="none"/>
                <w:lang w:val="en-US" w:eastAsia="zh-CN"/>
              </w:rPr>
              <w:t>工资格证书</w:t>
            </w:r>
            <w:r>
              <w:rPr>
                <w:rFonts w:hint="eastAsia" w:ascii="仿宋" w:hAnsi="仿宋" w:eastAsia="仿宋" w:cs="仿宋"/>
                <w:color w:val="auto"/>
                <w:sz w:val="24"/>
                <w:szCs w:val="24"/>
                <w:highlight w:val="none"/>
              </w:rPr>
              <w:t>或白蚁防治</w:t>
            </w:r>
            <w:r>
              <w:rPr>
                <w:rFonts w:hint="eastAsia" w:ascii="仿宋" w:hAnsi="仿宋" w:eastAsia="仿宋" w:cs="仿宋"/>
                <w:color w:val="auto"/>
                <w:sz w:val="24"/>
                <w:szCs w:val="24"/>
                <w:highlight w:val="none"/>
                <w:lang w:val="en-US" w:eastAsia="zh-CN"/>
              </w:rPr>
              <w:t>员岗位</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，每提供一个</w:t>
            </w:r>
            <w:r>
              <w:rPr>
                <w:rFonts w:hint="eastAsia" w:ascii="仿宋" w:hAnsi="仿宋" w:eastAsia="仿宋" w:cs="仿宋"/>
                <w:color w:val="auto"/>
                <w:sz w:val="24"/>
                <w:szCs w:val="24"/>
                <w:highlight w:val="none"/>
                <w:lang w:val="en-US" w:eastAsia="zh-CN"/>
              </w:rPr>
              <w:t>高级</w:t>
            </w:r>
            <w:r>
              <w:rPr>
                <w:rFonts w:hint="eastAsia" w:ascii="仿宋" w:hAnsi="仿宋" w:eastAsia="仿宋" w:cs="仿宋"/>
                <w:color w:val="auto"/>
                <w:sz w:val="24"/>
                <w:szCs w:val="24"/>
                <w:highlight w:val="none"/>
              </w:rPr>
              <w:t>证书的，得4分，</w:t>
            </w:r>
            <w:r>
              <w:rPr>
                <w:rFonts w:hint="eastAsia" w:ascii="仿宋" w:hAnsi="仿宋" w:eastAsia="仿宋" w:cs="仿宋"/>
                <w:color w:val="auto"/>
                <w:sz w:val="24"/>
                <w:szCs w:val="24"/>
                <w:highlight w:val="none"/>
                <w:lang w:val="en-US" w:eastAsia="zh-CN"/>
              </w:rPr>
              <w:t>每提供一个</w:t>
            </w:r>
            <w:r>
              <w:rPr>
                <w:rFonts w:hint="eastAsia" w:ascii="仿宋" w:hAnsi="仿宋" w:eastAsia="仿宋" w:cs="仿宋"/>
                <w:color w:val="auto"/>
                <w:sz w:val="24"/>
                <w:szCs w:val="24"/>
                <w:highlight w:val="none"/>
              </w:rPr>
              <w:t>中级</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的得2分，</w:t>
            </w:r>
            <w:r>
              <w:rPr>
                <w:rFonts w:hint="eastAsia" w:ascii="仿宋" w:hAnsi="仿宋" w:eastAsia="仿宋" w:cs="仿宋"/>
                <w:color w:val="auto"/>
                <w:sz w:val="24"/>
                <w:szCs w:val="24"/>
                <w:highlight w:val="none"/>
                <w:lang w:val="en-US" w:eastAsia="zh-CN"/>
              </w:rPr>
              <w:t>每提供一个</w:t>
            </w:r>
            <w:r>
              <w:rPr>
                <w:rFonts w:hint="eastAsia" w:ascii="仿宋" w:hAnsi="仿宋" w:eastAsia="仿宋" w:cs="仿宋"/>
                <w:color w:val="auto"/>
                <w:sz w:val="24"/>
                <w:szCs w:val="24"/>
                <w:highlight w:val="none"/>
              </w:rPr>
              <w:t>初级</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的得1分，本项累计最</w:t>
            </w:r>
            <w:r>
              <w:rPr>
                <w:rFonts w:hint="eastAsia" w:ascii="仿宋" w:hAnsi="仿宋" w:eastAsia="仿宋" w:cs="仿宋"/>
                <w:color w:val="auto"/>
                <w:sz w:val="24"/>
                <w:szCs w:val="24"/>
                <w:highlight w:val="none"/>
                <w:lang w:val="en-US" w:eastAsia="zh-CN"/>
              </w:rPr>
              <w:t>多</w:t>
            </w:r>
            <w:r>
              <w:rPr>
                <w:rFonts w:hint="eastAsia" w:ascii="仿宋" w:hAnsi="仿宋" w:eastAsia="仿宋" w:cs="仿宋"/>
                <w:color w:val="auto"/>
                <w:sz w:val="24"/>
                <w:szCs w:val="24"/>
                <w:highlight w:val="none"/>
              </w:rPr>
              <w:t>得7分，未提供得不得分。</w:t>
            </w:r>
          </w:p>
        </w:tc>
        <w:tc>
          <w:tcPr>
            <w:tcW w:w="2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提供证书复印件，并加盖供应商公章。（原件核查）</w:t>
            </w:r>
          </w:p>
          <w:p>
            <w:pPr>
              <w:keepNext w:val="0"/>
              <w:keepLines w:val="0"/>
              <w:pageBreakBefore w:val="0"/>
              <w:widowControl w:val="0"/>
              <w:kinsoku/>
              <w:wordWrap/>
              <w:overflowPunct/>
              <w:topLinePunct w:val="0"/>
              <w:autoSpaceDE/>
              <w:autoSpaceDN/>
              <w:bidi w:val="0"/>
              <w:adjustRightInd/>
              <w:spacing w:line="264" w:lineRule="auto"/>
              <w:ind w:firstLine="240" w:firstLineChars="1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同一人具有两种资格证书的，按单项得分高的计算。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6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lang w:eastAsia="zh-CN"/>
              </w:rPr>
            </w:pPr>
          </w:p>
        </w:tc>
        <w:tc>
          <w:tcPr>
            <w:tcW w:w="109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lang w:eastAsia="zh-CN"/>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业绩</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rPr>
            </w:pPr>
            <w:r>
              <w:rPr>
                <w:rStyle w:val="24"/>
                <w:rFonts w:ascii="仿宋" w:hAnsi="仿宋" w:eastAsia="仿宋"/>
                <w:color w:val="auto"/>
                <w:szCs w:val="24"/>
                <w:highlight w:val="none"/>
              </w:rPr>
              <w:t>（20分）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Style w:val="24"/>
                <w:rFonts w:hint="eastAsia"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eastAsia="zh-CN"/>
              </w:rPr>
              <w:t>供应商提供自2018年</w:t>
            </w:r>
            <w:r>
              <w:rPr>
                <w:rStyle w:val="24"/>
                <w:rFonts w:hint="eastAsia" w:ascii="仿宋" w:hAnsi="仿宋" w:eastAsia="仿宋" w:cs="Times New Roman"/>
                <w:color w:val="auto"/>
                <w:szCs w:val="24"/>
                <w:highlight w:val="none"/>
                <w:lang w:val="en-US" w:eastAsia="zh-CN"/>
              </w:rPr>
              <w:t>1月1日</w:t>
            </w:r>
            <w:r>
              <w:rPr>
                <w:rStyle w:val="24"/>
                <w:rFonts w:hint="eastAsia" w:ascii="仿宋" w:hAnsi="仿宋" w:eastAsia="仿宋" w:cs="Times New Roman"/>
                <w:color w:val="auto"/>
                <w:szCs w:val="24"/>
                <w:highlight w:val="none"/>
                <w:lang w:eastAsia="zh-CN"/>
              </w:rPr>
              <w:t>以来（</w:t>
            </w:r>
            <w:r>
              <w:rPr>
                <w:rStyle w:val="24"/>
                <w:rFonts w:hint="eastAsia" w:ascii="仿宋" w:hAnsi="仿宋" w:eastAsia="仿宋" w:cs="Times New Roman"/>
                <w:color w:val="auto"/>
                <w:szCs w:val="24"/>
                <w:highlight w:val="none"/>
                <w:lang w:val="en-US" w:eastAsia="zh-CN"/>
              </w:rPr>
              <w:t>以合同签订时间为准</w:t>
            </w:r>
            <w:r>
              <w:rPr>
                <w:rStyle w:val="24"/>
                <w:rFonts w:hint="eastAsia" w:ascii="仿宋" w:hAnsi="仿宋" w:eastAsia="仿宋" w:cs="Times New Roman"/>
                <w:color w:val="auto"/>
                <w:szCs w:val="24"/>
                <w:highlight w:val="none"/>
                <w:lang w:eastAsia="zh-CN"/>
              </w:rPr>
              <w:t>）房屋白蚁灭治项目业绩，每提供1个得</w:t>
            </w:r>
            <w:r>
              <w:rPr>
                <w:rStyle w:val="24"/>
                <w:rFonts w:hint="eastAsia" w:ascii="仿宋" w:hAnsi="仿宋" w:eastAsia="仿宋" w:cs="Times New Roman"/>
                <w:color w:val="auto"/>
                <w:szCs w:val="24"/>
                <w:highlight w:val="none"/>
                <w:lang w:val="en-US" w:eastAsia="zh-CN"/>
              </w:rPr>
              <w:t>3</w:t>
            </w:r>
            <w:r>
              <w:rPr>
                <w:rStyle w:val="24"/>
                <w:rFonts w:hint="eastAsia" w:ascii="仿宋" w:hAnsi="仿宋" w:eastAsia="仿宋" w:cs="Times New Roman"/>
                <w:color w:val="auto"/>
                <w:szCs w:val="24"/>
                <w:highlight w:val="none"/>
                <w:lang w:eastAsia="zh-CN"/>
              </w:rPr>
              <w:t>分；其他白蚁防治项目每提供1个得2分，累计最</w:t>
            </w:r>
            <w:r>
              <w:rPr>
                <w:rStyle w:val="24"/>
                <w:rFonts w:hint="eastAsia" w:ascii="仿宋" w:hAnsi="仿宋" w:eastAsia="仿宋" w:cs="Times New Roman"/>
                <w:color w:val="auto"/>
                <w:szCs w:val="24"/>
                <w:highlight w:val="none"/>
                <w:lang w:val="en-US" w:eastAsia="zh-CN"/>
              </w:rPr>
              <w:t>多</w:t>
            </w:r>
            <w:r>
              <w:rPr>
                <w:rStyle w:val="24"/>
                <w:rFonts w:hint="eastAsia" w:ascii="仿宋" w:hAnsi="仿宋" w:eastAsia="仿宋" w:cs="Times New Roman"/>
                <w:color w:val="auto"/>
                <w:szCs w:val="24"/>
                <w:highlight w:val="none"/>
                <w:lang w:eastAsia="zh-CN"/>
              </w:rPr>
              <w:t>得20分。</w:t>
            </w:r>
          </w:p>
        </w:tc>
        <w:tc>
          <w:tcPr>
            <w:tcW w:w="2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ind w:firstLine="240" w:firstLineChars="100"/>
              <w:textAlignment w:val="auto"/>
              <w:rPr>
                <w:rStyle w:val="24"/>
                <w:rFonts w:hint="eastAsia"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eastAsia="zh-CN"/>
              </w:rPr>
              <w:t>提供合同复印件，并加盖供应商公章。中标后原件核验备查。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6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lang w:eastAsia="zh-CN"/>
              </w:rPr>
            </w:pPr>
            <w:bookmarkStart w:id="159" w:name="_Toc342913394"/>
            <w:bookmarkStart w:id="160" w:name="_Toc102227320"/>
          </w:p>
        </w:tc>
        <w:tc>
          <w:tcPr>
            <w:tcW w:w="109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ascii="仿宋" w:hAnsi="仿宋" w:eastAsia="仿宋"/>
                <w:color w:val="auto"/>
                <w:szCs w:val="24"/>
                <w:highlight w:val="none"/>
                <w:lang w:eastAsia="zh-CN"/>
              </w:rPr>
            </w:pP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Style w:val="24"/>
                <w:rFonts w:hint="eastAsia" w:ascii="仿宋" w:hAnsi="仿宋" w:eastAsia="仿宋" w:cs="Times New Roman"/>
                <w:color w:val="auto"/>
                <w:szCs w:val="24"/>
                <w:highlight w:val="none"/>
                <w:lang w:val="en-US" w:eastAsia="zh-CN"/>
              </w:rPr>
            </w:pPr>
            <w:r>
              <w:rPr>
                <w:rStyle w:val="24"/>
                <w:rFonts w:hint="eastAsia" w:ascii="仿宋" w:hAnsi="仿宋" w:eastAsia="仿宋" w:cs="Times New Roman"/>
                <w:color w:val="auto"/>
                <w:szCs w:val="24"/>
                <w:highlight w:val="none"/>
                <w:lang w:val="en-US" w:eastAsia="zh-CN"/>
              </w:rPr>
              <w:t>质量管理体系</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default"/>
                <w:color w:val="auto"/>
                <w:lang w:val="en-US" w:eastAsia="zh-CN"/>
              </w:rPr>
            </w:pPr>
            <w:r>
              <w:rPr>
                <w:rStyle w:val="24"/>
                <w:rFonts w:hint="eastAsia" w:ascii="仿宋" w:hAnsi="仿宋" w:eastAsia="仿宋" w:cs="Times New Roman"/>
                <w:color w:val="auto"/>
                <w:szCs w:val="24"/>
                <w:highlight w:val="none"/>
                <w:lang w:val="en-US" w:eastAsia="zh-CN"/>
              </w:rPr>
              <w:t>（3分）</w:t>
            </w:r>
          </w:p>
        </w:tc>
        <w:tc>
          <w:tcPr>
            <w:tcW w:w="4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Style w:val="24"/>
                <w:rFonts w:hint="eastAsia" w:ascii="仿宋" w:hAnsi="仿宋" w:eastAsia="仿宋" w:cs="Times New Roman"/>
                <w:color w:val="auto"/>
                <w:szCs w:val="24"/>
                <w:highlight w:val="none"/>
                <w:lang w:val="en-US" w:eastAsia="zh-CN"/>
              </w:rPr>
            </w:pPr>
            <w:r>
              <w:rPr>
                <w:rStyle w:val="24"/>
                <w:rFonts w:hint="eastAsia" w:ascii="仿宋" w:hAnsi="仿宋" w:eastAsia="仿宋" w:cs="Times New Roman"/>
                <w:color w:val="auto"/>
                <w:szCs w:val="24"/>
                <w:highlight w:val="none"/>
                <w:lang w:val="en-US" w:eastAsia="zh-CN"/>
              </w:rPr>
              <w:t xml:space="preserve">1. 供应商具有有效期内的质量管理体系认证证书的，得1分，否则不得分。 </w:t>
            </w:r>
          </w:p>
          <w:p>
            <w:pPr>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Style w:val="24"/>
                <w:rFonts w:hint="eastAsia" w:ascii="仿宋" w:hAnsi="仿宋" w:eastAsia="仿宋" w:cs="Times New Roman"/>
                <w:color w:val="auto"/>
                <w:szCs w:val="24"/>
                <w:highlight w:val="none"/>
                <w:lang w:val="en-US" w:eastAsia="zh-CN"/>
              </w:rPr>
            </w:pPr>
            <w:r>
              <w:rPr>
                <w:rStyle w:val="24"/>
                <w:rFonts w:hint="eastAsia" w:ascii="仿宋" w:hAnsi="仿宋" w:eastAsia="仿宋" w:cs="Times New Roman"/>
                <w:color w:val="auto"/>
                <w:szCs w:val="24"/>
                <w:highlight w:val="none"/>
                <w:lang w:val="en-US" w:eastAsia="zh-CN"/>
              </w:rPr>
              <w:t xml:space="preserve">2. 供应商具有有效期内的环境管理体系认证证书的，得1分，否则不得分。 </w:t>
            </w:r>
          </w:p>
          <w:p>
            <w:pPr>
              <w:keepNext w:val="0"/>
              <w:keepLines w:val="0"/>
              <w:pageBreakBefore w:val="0"/>
              <w:widowControl w:val="0"/>
              <w:kinsoku/>
              <w:wordWrap/>
              <w:overflowPunct/>
              <w:topLinePunct w:val="0"/>
              <w:autoSpaceDE/>
              <w:autoSpaceDN/>
              <w:bidi w:val="0"/>
              <w:adjustRightInd/>
              <w:snapToGrid w:val="0"/>
              <w:spacing w:line="264" w:lineRule="auto"/>
              <w:ind w:firstLine="480" w:firstLineChars="200"/>
              <w:textAlignment w:val="auto"/>
              <w:rPr>
                <w:rStyle w:val="24"/>
                <w:rFonts w:hint="eastAsia"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val="en-US" w:eastAsia="zh-CN"/>
              </w:rPr>
              <w:t xml:space="preserve">3. 供应商具有有限期内的职业健康安全管理体系认证证书的，得1分，否则不得分。 </w:t>
            </w:r>
          </w:p>
        </w:tc>
        <w:tc>
          <w:tcPr>
            <w:tcW w:w="2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4" w:lineRule="auto"/>
              <w:ind w:firstLine="240" w:firstLineChars="100"/>
              <w:textAlignment w:val="auto"/>
              <w:rPr>
                <w:rStyle w:val="24"/>
                <w:rFonts w:hint="eastAsia" w:ascii="仿宋" w:hAnsi="仿宋" w:eastAsia="仿宋" w:cs="Times New Roman"/>
                <w:color w:val="auto"/>
                <w:szCs w:val="24"/>
                <w:highlight w:val="none"/>
                <w:lang w:eastAsia="zh-CN"/>
              </w:rPr>
            </w:pPr>
            <w:r>
              <w:rPr>
                <w:rStyle w:val="24"/>
                <w:rFonts w:hint="eastAsia" w:ascii="仿宋" w:hAnsi="仿宋" w:eastAsia="仿宋" w:cs="Times New Roman"/>
                <w:color w:val="auto"/>
                <w:szCs w:val="24"/>
                <w:highlight w:val="none"/>
                <w:lang w:eastAsia="zh-CN"/>
              </w:rPr>
              <w:t>提供</w:t>
            </w:r>
            <w:r>
              <w:rPr>
                <w:rStyle w:val="24"/>
                <w:rFonts w:hint="eastAsia" w:ascii="仿宋" w:hAnsi="仿宋" w:eastAsia="仿宋" w:cs="Times New Roman"/>
                <w:color w:val="auto"/>
                <w:szCs w:val="24"/>
                <w:highlight w:val="none"/>
                <w:lang w:val="en-US" w:eastAsia="zh-CN"/>
              </w:rPr>
              <w:t>证书</w:t>
            </w:r>
            <w:r>
              <w:rPr>
                <w:rStyle w:val="24"/>
                <w:rFonts w:hint="eastAsia" w:ascii="仿宋" w:hAnsi="仿宋" w:eastAsia="仿宋" w:cs="Times New Roman"/>
                <w:color w:val="auto"/>
                <w:szCs w:val="24"/>
                <w:highlight w:val="none"/>
                <w:lang w:eastAsia="zh-CN"/>
              </w:rPr>
              <w:t>复印件，并加盖供应商公章。</w:t>
            </w:r>
          </w:p>
        </w:tc>
      </w:tr>
    </w:tbl>
    <w:p>
      <w:pPr>
        <w:pageBreakBefore w:val="0"/>
        <w:widowControl w:val="0"/>
        <w:kinsoku/>
        <w:wordWrap/>
        <w:overflowPunct/>
        <w:topLinePunct w:val="0"/>
        <w:autoSpaceDE/>
        <w:autoSpaceDN/>
        <w:bidi w:val="0"/>
        <w:adjustRightInd/>
        <w:snapToGrid w:val="0"/>
        <w:spacing w:line="324" w:lineRule="auto"/>
        <w:textAlignment w:val="auto"/>
        <w:outlineLvl w:val="1"/>
        <w:rPr>
          <w:rFonts w:hint="eastAsia" w:ascii="仿宋" w:hAnsi="仿宋" w:eastAsia="仿宋" w:cs="仿宋"/>
          <w:b/>
          <w:bCs/>
          <w:color w:val="auto"/>
          <w:sz w:val="24"/>
          <w:szCs w:val="24"/>
          <w:highlight w:val="none"/>
        </w:rPr>
      </w:pPr>
      <w:bookmarkStart w:id="161" w:name="_Toc14647"/>
      <w:bookmarkStart w:id="162" w:name="_Toc19026"/>
      <w:r>
        <w:rPr>
          <w:rFonts w:hint="eastAsia" w:ascii="仿宋" w:hAnsi="仿宋" w:eastAsia="仿宋" w:cs="仿宋"/>
          <w:b/>
          <w:bCs/>
          <w:color w:val="auto"/>
          <w:sz w:val="24"/>
          <w:szCs w:val="24"/>
          <w:highlight w:val="none"/>
        </w:rPr>
        <w:t>（一）关于小微企业报价扣除比例说明</w:t>
      </w:r>
      <w:bookmarkEnd w:id="161"/>
      <w:bookmarkEnd w:id="162"/>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为非联合体投标的，对小微型企业给予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10</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的扣除，以扣除后的报价参与评审。</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2.监狱企业、残疾人福利性单位视同小型、微型企业。</w:t>
      </w:r>
    </w:p>
    <w:p>
      <w:pPr>
        <w:pageBreakBefore w:val="0"/>
        <w:widowControl w:val="0"/>
        <w:kinsoku/>
        <w:wordWrap/>
        <w:overflowPunct/>
        <w:topLinePunct w:val="0"/>
        <w:autoSpaceDE/>
        <w:autoSpaceDN/>
        <w:bidi w:val="0"/>
        <w:adjustRightInd/>
        <w:snapToGrid w:val="0"/>
        <w:spacing w:line="324" w:lineRule="auto"/>
        <w:textAlignment w:val="auto"/>
        <w:outlineLvl w:val="1"/>
        <w:rPr>
          <w:rFonts w:hint="eastAsia" w:ascii="仿宋" w:hAnsi="仿宋" w:eastAsia="仿宋" w:cs="仿宋"/>
          <w:b/>
          <w:bCs/>
          <w:color w:val="auto"/>
          <w:sz w:val="24"/>
          <w:szCs w:val="24"/>
          <w:highlight w:val="none"/>
        </w:rPr>
      </w:pPr>
      <w:bookmarkStart w:id="163" w:name="_Toc426965635"/>
      <w:bookmarkStart w:id="164" w:name="_Toc487204784"/>
      <w:bookmarkStart w:id="165" w:name="_Toc11873"/>
      <w:bookmarkStart w:id="166" w:name="_Toc12303"/>
      <w:r>
        <w:rPr>
          <w:rFonts w:hint="eastAsia" w:ascii="仿宋" w:hAnsi="仿宋" w:eastAsia="仿宋" w:cs="仿宋"/>
          <w:b/>
          <w:bCs/>
          <w:color w:val="auto"/>
          <w:sz w:val="24"/>
          <w:szCs w:val="24"/>
          <w:highlight w:val="none"/>
        </w:rPr>
        <w:t>（二）成交标准</w:t>
      </w:r>
      <w:bookmarkEnd w:id="163"/>
      <w:bookmarkEnd w:id="164"/>
      <w:bookmarkEnd w:id="165"/>
      <w:bookmarkEnd w:id="166"/>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认为供应商的报价明显低于其他通过符合性审查供应商的报价，有可能影响产品质量或者不能诚信履约的，应当将其作为无效投标处理。</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实质性响应要求且</w:t>
      </w:r>
      <w:r>
        <w:rPr>
          <w:rFonts w:hint="eastAsia" w:ascii="仿宋" w:hAnsi="仿宋" w:eastAsia="仿宋" w:cs="仿宋"/>
          <w:color w:val="auto"/>
          <w:sz w:val="24"/>
          <w:szCs w:val="24"/>
          <w:highlight w:val="none"/>
          <w:lang w:eastAsia="zh-CN"/>
        </w:rPr>
        <w:t>综合得分最高的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成交供应商。采购人逾期未确定成交供应商且不提出异议的，视为确定评审报告提出的</w:t>
      </w:r>
      <w:r>
        <w:rPr>
          <w:rFonts w:hint="eastAsia" w:ascii="仿宋" w:hAnsi="仿宋" w:eastAsia="仿宋" w:cs="仿宋"/>
          <w:color w:val="auto"/>
          <w:sz w:val="24"/>
          <w:szCs w:val="24"/>
          <w:highlight w:val="none"/>
          <w:lang w:eastAsia="zh-CN"/>
        </w:rPr>
        <w:t>排名第一</w:t>
      </w:r>
      <w:r>
        <w:rPr>
          <w:rFonts w:hint="eastAsia" w:ascii="仿宋" w:hAnsi="仿宋" w:eastAsia="仿宋" w:cs="仿宋"/>
          <w:color w:val="auto"/>
          <w:sz w:val="24"/>
          <w:szCs w:val="24"/>
          <w:highlight w:val="none"/>
        </w:rPr>
        <w:t>的供应商为成交供应商。</w:t>
      </w:r>
    </w:p>
    <w:p>
      <w:pPr>
        <w:pStyle w:val="4"/>
        <w:pageBreakBefore w:val="0"/>
        <w:widowControl w:val="0"/>
        <w:kinsoku/>
        <w:wordWrap/>
        <w:overflowPunct/>
        <w:topLinePunct w:val="0"/>
        <w:autoSpaceDE/>
        <w:autoSpaceDN/>
        <w:bidi w:val="0"/>
        <w:adjustRightInd/>
        <w:spacing w:line="324" w:lineRule="auto"/>
        <w:textAlignment w:val="auto"/>
        <w:outlineLvl w:val="0"/>
        <w:rPr>
          <w:rFonts w:hint="eastAsia" w:ascii="仿宋" w:hAnsi="仿宋" w:eastAsia="仿宋" w:cs="仿宋"/>
          <w:color w:val="auto"/>
          <w:sz w:val="24"/>
          <w:szCs w:val="16"/>
          <w:highlight w:val="none"/>
          <w:lang w:val="en-US" w:eastAsia="zh-CN"/>
        </w:rPr>
      </w:pPr>
      <w:bookmarkStart w:id="167" w:name="_Toc24419"/>
      <w:bookmarkStart w:id="168" w:name="_Toc1902"/>
      <w:bookmarkStart w:id="169" w:name="_Toc13979"/>
      <w:bookmarkStart w:id="170" w:name="_Toc16445"/>
      <w:bookmarkStart w:id="171" w:name="_Toc5608"/>
      <w:bookmarkStart w:id="172" w:name="_Toc1719"/>
      <w:bookmarkStart w:id="173" w:name="_Toc20051"/>
      <w:r>
        <w:rPr>
          <w:rFonts w:hint="eastAsia" w:ascii="仿宋" w:hAnsi="仿宋" w:eastAsia="仿宋" w:cs="仿宋"/>
          <w:color w:val="auto"/>
          <w:sz w:val="24"/>
          <w:szCs w:val="16"/>
          <w:highlight w:val="none"/>
          <w:lang w:val="en-US" w:eastAsia="zh-CN"/>
        </w:rPr>
        <w:t>三、评审依据</w:t>
      </w:r>
      <w:bookmarkEnd w:id="167"/>
      <w:bookmarkEnd w:id="168"/>
      <w:bookmarkEnd w:id="169"/>
      <w:bookmarkEnd w:id="170"/>
      <w:bookmarkEnd w:id="171"/>
      <w:bookmarkEnd w:id="172"/>
      <w:bookmarkEnd w:id="173"/>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评审的依据为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和响应文件（含有效的补充文件）。</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判断响应文件对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的响应，仅基于响应文件本身而不靠外部证据。</w:t>
      </w:r>
    </w:p>
    <w:p>
      <w:pPr>
        <w:pStyle w:val="4"/>
        <w:pageBreakBefore w:val="0"/>
        <w:widowControl w:val="0"/>
        <w:kinsoku/>
        <w:wordWrap/>
        <w:overflowPunct/>
        <w:topLinePunct w:val="0"/>
        <w:autoSpaceDE/>
        <w:autoSpaceDN/>
        <w:bidi w:val="0"/>
        <w:adjustRightInd/>
        <w:spacing w:line="324" w:lineRule="auto"/>
        <w:textAlignment w:val="auto"/>
        <w:outlineLvl w:val="0"/>
        <w:rPr>
          <w:rFonts w:hint="eastAsia" w:ascii="仿宋" w:hAnsi="仿宋" w:eastAsia="仿宋" w:cs="仿宋"/>
          <w:color w:val="auto"/>
          <w:sz w:val="24"/>
          <w:szCs w:val="16"/>
          <w:highlight w:val="none"/>
          <w:lang w:val="en-US" w:eastAsia="zh-CN"/>
        </w:rPr>
      </w:pPr>
      <w:bookmarkStart w:id="174" w:name="_Toc3113"/>
      <w:bookmarkStart w:id="175" w:name="_Toc16365"/>
      <w:bookmarkStart w:id="176" w:name="_Toc18696"/>
      <w:bookmarkStart w:id="177" w:name="_Toc493506301"/>
      <w:bookmarkStart w:id="178" w:name="_Toc27958"/>
      <w:bookmarkStart w:id="179" w:name="_Toc24909"/>
      <w:bookmarkStart w:id="180" w:name="_Toc16238"/>
      <w:bookmarkStart w:id="181" w:name="_Toc492721018"/>
      <w:bookmarkStart w:id="182" w:name="_Toc426965636"/>
      <w:bookmarkStart w:id="183" w:name="_Toc487204785"/>
      <w:r>
        <w:rPr>
          <w:rFonts w:hint="eastAsia" w:ascii="仿宋" w:hAnsi="仿宋" w:eastAsia="仿宋" w:cs="仿宋"/>
          <w:color w:val="auto"/>
          <w:sz w:val="24"/>
          <w:szCs w:val="16"/>
          <w:highlight w:val="none"/>
          <w:lang w:val="en-US" w:eastAsia="zh-CN"/>
        </w:rPr>
        <w:t>四、无效投标条款</w:t>
      </w:r>
      <w:bookmarkEnd w:id="174"/>
      <w:bookmarkEnd w:id="175"/>
      <w:bookmarkEnd w:id="176"/>
      <w:bookmarkEnd w:id="177"/>
      <w:bookmarkEnd w:id="178"/>
      <w:bookmarkEnd w:id="179"/>
      <w:bookmarkEnd w:id="180"/>
      <w:bookmarkEnd w:id="181"/>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人或其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文件出现下列情况之一者，应为无效投标：</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文件要求签署、盖章的；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）不具备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文件中规定的资格要求的；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）报价超过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文件中规定的预算金额或者最高限价的；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文件含有采购人不能接受的附加条件的；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串通投标的；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Style w:val="23"/>
          <w:rFonts w:hint="eastAsia" w:ascii="仿宋" w:hAnsi="仿宋" w:eastAsia="仿宋" w:cs="仿宋"/>
          <w:color w:val="auto"/>
          <w:sz w:val="24"/>
          <w:szCs w:val="24"/>
          <w:highlight w:val="none"/>
        </w:rPr>
        <w:t>组成联合体投标的</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）法律、法规和招标文件规定的其他无效情形。</w:t>
      </w:r>
    </w:p>
    <w:p>
      <w:pPr>
        <w:pStyle w:val="4"/>
        <w:pageBreakBefore w:val="0"/>
        <w:widowControl w:val="0"/>
        <w:kinsoku/>
        <w:wordWrap/>
        <w:overflowPunct/>
        <w:topLinePunct w:val="0"/>
        <w:autoSpaceDE/>
        <w:autoSpaceDN/>
        <w:bidi w:val="0"/>
        <w:adjustRightInd/>
        <w:spacing w:line="324" w:lineRule="auto"/>
        <w:textAlignment w:val="auto"/>
        <w:outlineLvl w:val="0"/>
        <w:rPr>
          <w:rFonts w:hint="eastAsia" w:ascii="仿宋" w:hAnsi="仿宋" w:eastAsia="仿宋" w:cs="仿宋"/>
          <w:color w:val="auto"/>
          <w:sz w:val="24"/>
          <w:szCs w:val="16"/>
          <w:highlight w:val="none"/>
          <w:lang w:val="en-US" w:eastAsia="zh-CN"/>
        </w:rPr>
      </w:pPr>
      <w:bookmarkStart w:id="184" w:name="_Toc16493"/>
      <w:bookmarkStart w:id="185" w:name="_Toc31071"/>
      <w:bookmarkStart w:id="186" w:name="_Toc25738"/>
      <w:bookmarkStart w:id="187" w:name="_Toc16529"/>
      <w:bookmarkStart w:id="188" w:name="_Toc17596"/>
      <w:bookmarkStart w:id="189" w:name="_Toc31428"/>
      <w:r>
        <w:rPr>
          <w:rFonts w:hint="eastAsia" w:ascii="仿宋" w:hAnsi="仿宋" w:eastAsia="仿宋" w:cs="仿宋"/>
          <w:color w:val="auto"/>
          <w:sz w:val="24"/>
          <w:szCs w:val="16"/>
          <w:highlight w:val="none"/>
          <w:lang w:val="en-US" w:eastAsia="zh-CN"/>
        </w:rPr>
        <w:t>五、废标条款</w:t>
      </w:r>
      <w:bookmarkEnd w:id="184"/>
      <w:bookmarkEnd w:id="185"/>
      <w:bookmarkEnd w:id="186"/>
      <w:bookmarkEnd w:id="187"/>
      <w:bookmarkEnd w:id="188"/>
      <w:bookmarkEnd w:id="189"/>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评标委员会评审时出现以下情况之一的，应予废标：</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w:t>
      </w:r>
      <w:r>
        <w:rPr>
          <w:rFonts w:hint="eastAsia" w:ascii="仿宋" w:hAnsi="仿宋" w:eastAsia="仿宋" w:cs="仿宋"/>
          <w:color w:val="auto"/>
          <w:sz w:val="24"/>
          <w:szCs w:val="24"/>
          <w:highlight w:val="none"/>
          <w:lang w:val="en-US" w:eastAsia="zh-CN"/>
        </w:rPr>
        <w:t>资格</w:t>
      </w:r>
      <w:r>
        <w:rPr>
          <w:rFonts w:hint="eastAsia" w:ascii="仿宋" w:hAnsi="仿宋" w:eastAsia="仿宋" w:cs="仿宋"/>
          <w:color w:val="auto"/>
          <w:sz w:val="24"/>
          <w:szCs w:val="24"/>
          <w:highlight w:val="none"/>
        </w:rPr>
        <w:t>条件的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或者对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文件作实质响应的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不足三家的；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的报价均超过了采购预算，采购人不能支付的；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pPr>
        <w:pageBreakBefore w:val="0"/>
        <w:widowControl w:val="0"/>
        <w:kinsoku/>
        <w:wordWrap/>
        <w:overflowPunct/>
        <w:topLinePunct w:val="0"/>
        <w:autoSpaceDE/>
        <w:autoSpaceDN/>
        <w:bidi w:val="0"/>
        <w:adjustRightInd/>
        <w:snapToGrid w:val="0"/>
        <w:spacing w:line="324"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废标后，除采购任务取消情形外，应当重新组织采购。</w:t>
      </w:r>
    </w:p>
    <w:p>
      <w:pPr>
        <w:pStyle w:val="4"/>
        <w:pageBreakBefore w:val="0"/>
        <w:widowControl w:val="0"/>
        <w:kinsoku/>
        <w:wordWrap/>
        <w:overflowPunct/>
        <w:topLinePunct w:val="0"/>
        <w:autoSpaceDE/>
        <w:autoSpaceDN/>
        <w:bidi w:val="0"/>
        <w:adjustRightInd/>
        <w:spacing w:line="324" w:lineRule="auto"/>
        <w:textAlignment w:val="auto"/>
        <w:outlineLvl w:val="0"/>
        <w:rPr>
          <w:rFonts w:hint="eastAsia" w:ascii="仿宋" w:hAnsi="仿宋" w:eastAsia="仿宋" w:cs="仿宋"/>
          <w:color w:val="auto"/>
          <w:sz w:val="24"/>
          <w:szCs w:val="16"/>
          <w:highlight w:val="none"/>
          <w:lang w:val="en-US" w:eastAsia="zh-CN"/>
        </w:rPr>
      </w:pPr>
      <w:bookmarkStart w:id="190" w:name="_Toc21308"/>
      <w:bookmarkStart w:id="191" w:name="_Toc8760"/>
      <w:bookmarkStart w:id="192" w:name="_Toc10521"/>
      <w:bookmarkStart w:id="193" w:name="_Toc22019"/>
      <w:bookmarkStart w:id="194" w:name="_Toc8502"/>
      <w:bookmarkStart w:id="195" w:name="_Toc22758"/>
      <w:r>
        <w:rPr>
          <w:rFonts w:hint="eastAsia" w:ascii="仿宋" w:hAnsi="仿宋" w:eastAsia="仿宋" w:cs="仿宋"/>
          <w:color w:val="auto"/>
          <w:sz w:val="24"/>
          <w:szCs w:val="16"/>
          <w:highlight w:val="none"/>
          <w:lang w:val="en-US" w:eastAsia="zh-CN"/>
        </w:rPr>
        <w:t>六、成交通知</w:t>
      </w:r>
      <w:bookmarkEnd w:id="182"/>
      <w:bookmarkEnd w:id="183"/>
      <w:bookmarkEnd w:id="190"/>
      <w:bookmarkEnd w:id="191"/>
      <w:bookmarkEnd w:id="192"/>
      <w:bookmarkEnd w:id="193"/>
      <w:bookmarkEnd w:id="194"/>
      <w:bookmarkEnd w:id="195"/>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重庆市政府采购云平台网上竞采（https://xj.ccgp-chongqing.gov.cn/ge/）</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上发布成交结果公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outlineLvl w:val="1"/>
        <w:rPr>
          <w:rFonts w:hint="eastAsia" w:ascii="仿宋" w:hAnsi="仿宋" w:eastAsia="仿宋" w:cs="仿宋"/>
          <w:color w:val="auto"/>
          <w:sz w:val="24"/>
          <w:szCs w:val="24"/>
          <w:highlight w:val="none"/>
        </w:rPr>
      </w:pPr>
      <w:bookmarkStart w:id="196" w:name="_Toc8114"/>
      <w:bookmarkStart w:id="197" w:name="_Toc26849"/>
      <w:r>
        <w:rPr>
          <w:rFonts w:hint="eastAsia" w:ascii="仿宋" w:hAnsi="仿宋" w:eastAsia="仿宋" w:cs="仿宋"/>
          <w:color w:val="auto"/>
          <w:sz w:val="24"/>
          <w:szCs w:val="24"/>
          <w:highlight w:val="none"/>
        </w:rPr>
        <w:t>（三）《成交通知书》将作为签订合同的依据。</w:t>
      </w:r>
      <w:bookmarkEnd w:id="196"/>
      <w:bookmarkEnd w:id="197"/>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pPr>
        <w:pStyle w:val="4"/>
        <w:pageBreakBefore w:val="0"/>
        <w:widowControl w:val="0"/>
        <w:kinsoku/>
        <w:wordWrap/>
        <w:overflowPunct/>
        <w:topLinePunct w:val="0"/>
        <w:autoSpaceDE/>
        <w:autoSpaceDN/>
        <w:bidi w:val="0"/>
        <w:adjustRightInd/>
        <w:spacing w:line="324" w:lineRule="auto"/>
        <w:textAlignment w:val="auto"/>
        <w:outlineLvl w:val="0"/>
        <w:rPr>
          <w:rFonts w:hint="eastAsia" w:ascii="仿宋" w:hAnsi="仿宋" w:eastAsia="仿宋" w:cs="仿宋"/>
          <w:color w:val="auto"/>
          <w:sz w:val="24"/>
          <w:szCs w:val="16"/>
          <w:highlight w:val="none"/>
          <w:lang w:val="en-US" w:eastAsia="zh-CN"/>
        </w:rPr>
      </w:pPr>
      <w:bookmarkStart w:id="198" w:name="_Toc487204786"/>
      <w:bookmarkStart w:id="199" w:name="_Toc25555"/>
      <w:bookmarkStart w:id="200" w:name="_Toc16615"/>
      <w:bookmarkStart w:id="201" w:name="_Toc20217"/>
      <w:bookmarkStart w:id="202" w:name="_Toc13866"/>
      <w:bookmarkStart w:id="203" w:name="_Toc12662"/>
      <w:bookmarkStart w:id="204" w:name="_Toc426965637"/>
      <w:bookmarkStart w:id="205" w:name="_Toc31626"/>
      <w:bookmarkStart w:id="206" w:name="_Toc3695"/>
      <w:r>
        <w:rPr>
          <w:rFonts w:hint="eastAsia" w:ascii="仿宋" w:hAnsi="仿宋" w:eastAsia="仿宋" w:cs="仿宋"/>
          <w:color w:val="auto"/>
          <w:sz w:val="24"/>
          <w:szCs w:val="16"/>
          <w:highlight w:val="none"/>
          <w:lang w:val="en-US" w:eastAsia="zh-CN"/>
        </w:rPr>
        <w:t>七、关于质疑和投诉</w:t>
      </w:r>
      <w:bookmarkEnd w:id="198"/>
      <w:bookmarkEnd w:id="199"/>
      <w:bookmarkEnd w:id="200"/>
      <w:bookmarkEnd w:id="201"/>
      <w:bookmarkEnd w:id="202"/>
      <w:bookmarkEnd w:id="203"/>
      <w:bookmarkEnd w:id="204"/>
      <w:bookmarkEnd w:id="205"/>
      <w:bookmarkEnd w:id="206"/>
    </w:p>
    <w:p>
      <w:pPr>
        <w:pageBreakBefore w:val="0"/>
        <w:widowControl w:val="0"/>
        <w:kinsoku/>
        <w:wordWrap/>
        <w:overflowPunct/>
        <w:topLinePunct w:val="0"/>
        <w:autoSpaceDE/>
        <w:autoSpaceDN/>
        <w:bidi w:val="0"/>
        <w:adjustRightInd/>
        <w:snapToGrid w:val="0"/>
        <w:spacing w:line="324" w:lineRule="auto"/>
        <w:ind w:firstLine="480" w:firstLineChars="200"/>
        <w:textAlignment w:val="auto"/>
        <w:outlineLvl w:val="1"/>
        <w:rPr>
          <w:rFonts w:hint="eastAsia" w:ascii="仿宋" w:hAnsi="仿宋" w:eastAsia="仿宋" w:cs="仿宋"/>
          <w:color w:val="auto"/>
          <w:sz w:val="24"/>
          <w:szCs w:val="24"/>
          <w:highlight w:val="none"/>
        </w:rPr>
      </w:pPr>
      <w:bookmarkStart w:id="207" w:name="_Toc13289"/>
      <w:bookmarkStart w:id="208" w:name="_Toc18137"/>
      <w:r>
        <w:rPr>
          <w:rFonts w:hint="eastAsia" w:ascii="仿宋" w:hAnsi="仿宋" w:eastAsia="仿宋" w:cs="仿宋"/>
          <w:color w:val="auto"/>
          <w:sz w:val="24"/>
          <w:szCs w:val="24"/>
          <w:highlight w:val="none"/>
        </w:rPr>
        <w:t>（一）质疑内容、时限</w:t>
      </w:r>
      <w:bookmarkEnd w:id="207"/>
      <w:bookmarkEnd w:id="208"/>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1、供应商对成交结果有异议的，应当在</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发布之日起七个工作日内以书面形式向采购人、采购代理机构提出质疑，并附相关证明材料。</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中供应商特定资格条件、技术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和商务要求、评审标准及评审细则有异议的，应主要向采购人提出质疑，其他问题可向采购代理机构提出质疑。</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outlineLvl w:val="1"/>
        <w:rPr>
          <w:rFonts w:hint="eastAsia" w:ascii="仿宋" w:hAnsi="仿宋" w:eastAsia="仿宋" w:cs="仿宋"/>
          <w:color w:val="auto"/>
          <w:sz w:val="24"/>
          <w:szCs w:val="24"/>
          <w:highlight w:val="none"/>
        </w:rPr>
      </w:pPr>
      <w:bookmarkStart w:id="209" w:name="_Toc12066"/>
      <w:bookmarkStart w:id="210" w:name="_Toc6773"/>
      <w:r>
        <w:rPr>
          <w:rFonts w:hint="eastAsia" w:ascii="仿宋" w:hAnsi="仿宋" w:eastAsia="仿宋" w:cs="仿宋"/>
          <w:color w:val="auto"/>
          <w:sz w:val="24"/>
          <w:szCs w:val="24"/>
          <w:highlight w:val="none"/>
        </w:rPr>
        <w:t>（二）质疑答复</w:t>
      </w:r>
      <w:bookmarkEnd w:id="209"/>
      <w:bookmarkEnd w:id="210"/>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采购人、采购代理机构将参照《重庆市政府采购供应商质疑投诉处理暂行规定》的相关规定对质疑内容作出答复和处理。</w:t>
      </w:r>
    </w:p>
    <w:p>
      <w:pPr>
        <w:pStyle w:val="4"/>
        <w:pageBreakBefore w:val="0"/>
        <w:widowControl w:val="0"/>
        <w:kinsoku/>
        <w:wordWrap/>
        <w:overflowPunct/>
        <w:topLinePunct w:val="0"/>
        <w:autoSpaceDE/>
        <w:autoSpaceDN/>
        <w:bidi w:val="0"/>
        <w:adjustRightInd/>
        <w:spacing w:line="324" w:lineRule="auto"/>
        <w:textAlignment w:val="auto"/>
        <w:outlineLvl w:val="0"/>
        <w:rPr>
          <w:rFonts w:hint="eastAsia" w:ascii="仿宋" w:hAnsi="仿宋" w:eastAsia="仿宋" w:cs="仿宋"/>
          <w:color w:val="auto"/>
          <w:sz w:val="24"/>
          <w:szCs w:val="16"/>
          <w:highlight w:val="none"/>
          <w:lang w:val="en-US" w:eastAsia="zh-CN"/>
        </w:rPr>
      </w:pPr>
      <w:bookmarkStart w:id="211" w:name="_Toc487204787"/>
      <w:bookmarkStart w:id="212" w:name="_Toc15991"/>
      <w:bookmarkStart w:id="213" w:name="_Toc23427"/>
      <w:bookmarkStart w:id="214" w:name="_Toc3959"/>
      <w:bookmarkStart w:id="215" w:name="_Toc426965638"/>
      <w:bookmarkStart w:id="216" w:name="_Toc12608"/>
      <w:bookmarkStart w:id="217" w:name="_Toc5044"/>
      <w:bookmarkStart w:id="218" w:name="_Toc12368"/>
      <w:bookmarkStart w:id="219" w:name="_Toc18646"/>
      <w:r>
        <w:rPr>
          <w:rFonts w:hint="eastAsia" w:ascii="仿宋" w:hAnsi="仿宋" w:eastAsia="仿宋" w:cs="仿宋"/>
          <w:color w:val="auto"/>
          <w:sz w:val="24"/>
          <w:szCs w:val="16"/>
          <w:highlight w:val="none"/>
          <w:lang w:val="en-US" w:eastAsia="zh-CN"/>
        </w:rPr>
        <w:t>八、签订合同</w:t>
      </w:r>
      <w:bookmarkEnd w:id="211"/>
      <w:bookmarkEnd w:id="212"/>
      <w:bookmarkEnd w:id="213"/>
      <w:bookmarkEnd w:id="214"/>
      <w:bookmarkEnd w:id="215"/>
      <w:bookmarkEnd w:id="216"/>
      <w:bookmarkEnd w:id="217"/>
      <w:bookmarkEnd w:id="218"/>
      <w:bookmarkEnd w:id="219"/>
    </w:p>
    <w:p>
      <w:pPr>
        <w:pageBreakBefore w:val="0"/>
        <w:widowControl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通知书发出之日起三十日内，按照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rPr>
        <w:t>文件的约定，与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rPr>
        <w:t>文件作实质性修改。</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、成交供应商的响应文件及有效承诺文件等，均为签订合同的依据。</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（三）成交供应商未按照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确定的事项签订合同，或者与采购人另行订立背离合同实质性内容协议的，将承担相关法律责任。</w:t>
      </w:r>
    </w:p>
    <w:p>
      <w:pPr>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（四）采购人不得向成交供应商提出超出</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以外的任何要求作为签订合同的条件，不得与成交供应商订立背离</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确定的合同文本以及采购标的、采购金额、采购数量、技术和服务要求等实质性内容的协议。</w:t>
      </w:r>
    </w:p>
    <w:p>
      <w:pPr>
        <w:pageBreakBefore w:val="0"/>
        <w:widowControl w:val="0"/>
        <w:kinsoku/>
        <w:wordWrap/>
        <w:overflowPunct/>
        <w:topLinePunct w:val="0"/>
        <w:autoSpaceDE/>
        <w:autoSpaceDN/>
        <w:bidi w:val="0"/>
        <w:adjustRightInd/>
        <w:snapToGrid w:val="0"/>
        <w:spacing w:line="324" w:lineRule="auto"/>
        <w:ind w:firstLine="480" w:firstLineChars="200"/>
        <w:jc w:val="center"/>
        <w:textAlignment w:val="auto"/>
        <w:outlineLvl w:val="0"/>
        <w:rPr>
          <w:color w:val="auto"/>
          <w:highlight w:val="none"/>
        </w:rPr>
      </w:pPr>
      <w:bookmarkStart w:id="220" w:name="_Toc16743"/>
      <w:bookmarkStart w:id="221" w:name="_Toc2137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）除不可抗力等因素外，成交通知书发出后，采购人改变成交结果，或者成交供应商无正当理由拒绝签订采购合同的，应当承担相应的法律责任。</w:t>
      </w:r>
      <w:bookmarkEnd w:id="159"/>
      <w:bookmarkEnd w:id="160"/>
      <w:bookmarkStart w:id="222" w:name="_Toc102227313"/>
      <w:r>
        <w:rPr>
          <w:rFonts w:hint="eastAsia"/>
          <w:color w:val="auto"/>
          <w:highlight w:val="none"/>
        </w:rPr>
        <w:br w:type="page"/>
      </w:r>
      <w:r>
        <w:rPr>
          <w:rFonts w:hint="eastAsia" w:ascii="仿宋" w:hAnsi="仿宋" w:eastAsia="仿宋" w:cs="Times New Roman"/>
          <w:b/>
          <w:bCs/>
          <w:color w:val="auto"/>
          <w:spacing w:val="-11"/>
          <w:kern w:val="2"/>
          <w:sz w:val="36"/>
          <w:szCs w:val="30"/>
          <w:highlight w:val="none"/>
          <w:lang w:val="en-US" w:eastAsia="zh-CN" w:bidi="ar-SA"/>
        </w:rPr>
        <w:t>第五篇  供应商须知</w:t>
      </w:r>
      <w:bookmarkEnd w:id="220"/>
      <w:bookmarkEnd w:id="221"/>
      <w:bookmarkEnd w:id="222"/>
    </w:p>
    <w:p>
      <w:pPr>
        <w:pStyle w:val="4"/>
        <w:pageBreakBefore w:val="0"/>
        <w:widowControl w:val="0"/>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rPr>
      </w:pPr>
      <w:bookmarkStart w:id="223" w:name="_Toc3202"/>
      <w:bookmarkStart w:id="224" w:name="_Toc32192"/>
      <w:bookmarkStart w:id="225" w:name="_Toc18600"/>
      <w:bookmarkStart w:id="226" w:name="_Toc426965630"/>
      <w:bookmarkStart w:id="227" w:name="_Toc32059"/>
      <w:bookmarkStart w:id="228" w:name="_Toc487204779"/>
      <w:bookmarkStart w:id="229" w:name="_Toc20643"/>
      <w:bookmarkStart w:id="230" w:name="_Toc22786"/>
      <w:bookmarkStart w:id="231" w:name="_Toc342913389"/>
      <w:bookmarkStart w:id="232" w:name="_Toc26599"/>
      <w:bookmarkStart w:id="233" w:name="_Toc13443"/>
      <w:bookmarkStart w:id="234" w:name="_Toc27139866"/>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费用</w:t>
      </w:r>
      <w:bookmarkEnd w:id="223"/>
      <w:bookmarkEnd w:id="224"/>
      <w:bookmarkEnd w:id="225"/>
      <w:bookmarkEnd w:id="226"/>
      <w:bookmarkEnd w:id="227"/>
      <w:bookmarkEnd w:id="228"/>
      <w:bookmarkEnd w:id="229"/>
      <w:bookmarkEnd w:id="230"/>
      <w:bookmarkEnd w:id="231"/>
      <w:bookmarkEnd w:id="232"/>
      <w:bookmarkEnd w:id="233"/>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参与采购的供应商应承担其编制响应文件与递交响应文件所涉及的一切费用，不论采购结果如何，采购人和采购代理机构在任何情况下无义务也无责任承担这些费用。</w:t>
      </w:r>
    </w:p>
    <w:p>
      <w:pPr>
        <w:pStyle w:val="4"/>
        <w:pageBreakBefore w:val="0"/>
        <w:widowControl w:val="0"/>
        <w:tabs>
          <w:tab w:val="left" w:pos="2640"/>
        </w:tabs>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rPr>
      </w:pPr>
      <w:bookmarkStart w:id="235" w:name="_Toc342913391"/>
      <w:bookmarkStart w:id="236" w:name="_Toc426965631"/>
      <w:bookmarkStart w:id="237" w:name="_Toc487204780"/>
      <w:bookmarkStart w:id="238" w:name="_Toc7850"/>
      <w:bookmarkStart w:id="239" w:name="_Toc1616"/>
      <w:bookmarkStart w:id="240" w:name="_Toc18383"/>
      <w:bookmarkStart w:id="241" w:name="_Toc18894"/>
      <w:bookmarkStart w:id="242" w:name="_Toc15664"/>
      <w:bookmarkStart w:id="243" w:name="_Toc29624"/>
      <w:bookmarkStart w:id="244" w:name="_Toc23045"/>
      <w:bookmarkStart w:id="245" w:name="_Toc3307"/>
      <w:r>
        <w:rPr>
          <w:rFonts w:hint="eastAsia" w:ascii="仿宋" w:hAnsi="仿宋" w:eastAsia="仿宋" w:cs="仿宋"/>
          <w:color w:val="auto"/>
          <w:sz w:val="24"/>
          <w:szCs w:val="24"/>
          <w:highlight w:val="none"/>
        </w:rPr>
        <w:t>二、</w:t>
      </w:r>
      <w:bookmarkEnd w:id="235"/>
      <w:bookmarkEnd w:id="236"/>
      <w:bookmarkEnd w:id="237"/>
      <w:bookmarkEnd w:id="238"/>
      <w:r>
        <w:rPr>
          <w:rFonts w:hint="eastAsia" w:ascii="仿宋" w:hAnsi="仿宋" w:eastAsia="仿宋" w:cs="仿宋"/>
          <w:color w:val="auto"/>
          <w:sz w:val="24"/>
          <w:szCs w:val="24"/>
          <w:highlight w:val="none"/>
          <w:lang w:eastAsia="zh-CN"/>
        </w:rPr>
        <w:t>采购文件</w:t>
      </w:r>
      <w:bookmarkEnd w:id="239"/>
      <w:bookmarkEnd w:id="240"/>
      <w:bookmarkEnd w:id="241"/>
      <w:bookmarkEnd w:id="242"/>
      <w:bookmarkEnd w:id="243"/>
      <w:bookmarkEnd w:id="244"/>
      <w:bookmarkEnd w:id="245"/>
      <w:r>
        <w:rPr>
          <w:rFonts w:hint="eastAsia" w:ascii="仿宋" w:hAnsi="仿宋" w:eastAsia="仿宋" w:cs="仿宋"/>
          <w:color w:val="auto"/>
          <w:sz w:val="24"/>
          <w:szCs w:val="24"/>
          <w:highlight w:val="none"/>
        </w:rPr>
        <w:tab/>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（一）采购文件由采购公告、项目服务需求、项目商务要求、资格审查及评标办法、供应商须知、合同主要条款和格式合同（样本）、响应文件格式要求七部分组成。</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（二）采购人（或采购代理机构）所作的一切有效的书面通知、修改及补充，都是采购文件不可分割的部分。</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1"/>
        <w:rPr>
          <w:rFonts w:hint="eastAsia" w:ascii="仿宋" w:hAnsi="仿宋" w:eastAsia="仿宋" w:cs="仿宋"/>
          <w:color w:val="auto"/>
          <w:sz w:val="24"/>
          <w:szCs w:val="24"/>
          <w:highlight w:val="none"/>
          <w:lang w:val="en-US" w:eastAsia="zh-CN"/>
        </w:rPr>
      </w:pPr>
      <w:bookmarkStart w:id="246" w:name="_Toc11670"/>
      <w:bookmarkStart w:id="247" w:name="_Toc27779"/>
      <w:r>
        <w:rPr>
          <w:rFonts w:hint="eastAsia" w:ascii="仿宋" w:hAnsi="仿宋" w:eastAsia="仿宋" w:cs="仿宋"/>
          <w:color w:val="auto"/>
          <w:sz w:val="24"/>
          <w:szCs w:val="24"/>
          <w:highlight w:val="none"/>
          <w:lang w:val="en-US" w:eastAsia="zh-CN"/>
        </w:rPr>
        <w:t>（三）采购文件的解释</w:t>
      </w:r>
      <w:bookmarkEnd w:id="246"/>
      <w:bookmarkEnd w:id="247"/>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如对采购文件有疑问，必须以书面形式在提交响应文件截止时间1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248" w:name="_Toc318159160"/>
      <w:bookmarkStart w:id="249" w:name="_Toc318159780"/>
      <w:bookmarkStart w:id="250" w:name="_Toc318159349"/>
      <w:bookmarkStart w:id="251" w:name="_Toc318166429"/>
    </w:p>
    <w:bookmarkEnd w:id="248"/>
    <w:bookmarkEnd w:id="249"/>
    <w:bookmarkEnd w:id="250"/>
    <w:bookmarkEnd w:id="251"/>
    <w:p>
      <w:pPr>
        <w:pStyle w:val="4"/>
        <w:pageBreakBefore w:val="0"/>
        <w:widowControl w:val="0"/>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rPr>
      </w:pPr>
      <w:bookmarkStart w:id="252" w:name="_Toc28026"/>
      <w:bookmarkStart w:id="253" w:name="_Toc21681"/>
      <w:bookmarkStart w:id="254" w:name="_Toc102227318"/>
      <w:bookmarkStart w:id="255" w:name="_Toc26774"/>
      <w:bookmarkStart w:id="256" w:name="_Toc487204781"/>
      <w:bookmarkStart w:id="257" w:name="_Toc15424"/>
      <w:bookmarkStart w:id="258" w:name="_Toc32448"/>
      <w:bookmarkStart w:id="259" w:name="_Toc24864"/>
      <w:bookmarkStart w:id="260" w:name="_Toc342913392"/>
      <w:bookmarkStart w:id="261" w:name="_Toc426965632"/>
      <w:bookmarkStart w:id="262" w:name="_Toc18927"/>
      <w:bookmarkStart w:id="263" w:name="_Toc179714297"/>
      <w:bookmarkStart w:id="264" w:name="_Toc2933"/>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要求</w:t>
      </w:r>
      <w:bookmarkEnd w:id="252"/>
      <w:bookmarkEnd w:id="253"/>
      <w:bookmarkEnd w:id="254"/>
      <w:bookmarkEnd w:id="255"/>
      <w:bookmarkEnd w:id="256"/>
      <w:bookmarkEnd w:id="257"/>
      <w:bookmarkEnd w:id="258"/>
      <w:bookmarkEnd w:id="259"/>
      <w:bookmarkEnd w:id="260"/>
      <w:bookmarkEnd w:id="261"/>
      <w:bookmarkEnd w:id="262"/>
      <w:bookmarkEnd w:id="263"/>
      <w:bookmarkEnd w:id="264"/>
    </w:p>
    <w:p>
      <w:pPr>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1"/>
        <w:rPr>
          <w:rFonts w:hint="eastAsia" w:ascii="仿宋" w:hAnsi="仿宋" w:eastAsia="仿宋" w:cs="仿宋"/>
          <w:color w:val="auto"/>
          <w:sz w:val="24"/>
          <w:szCs w:val="24"/>
          <w:highlight w:val="none"/>
        </w:rPr>
      </w:pPr>
      <w:bookmarkStart w:id="265" w:name="_Toc23733"/>
      <w:bookmarkStart w:id="266" w:name="_Toc10537"/>
      <w:r>
        <w:rPr>
          <w:rFonts w:hint="eastAsia" w:ascii="仿宋" w:hAnsi="仿宋" w:eastAsia="仿宋" w:cs="仿宋"/>
          <w:color w:val="auto"/>
          <w:sz w:val="24"/>
          <w:szCs w:val="24"/>
          <w:highlight w:val="none"/>
        </w:rPr>
        <w:t>（一）响应文件</w:t>
      </w:r>
      <w:bookmarkEnd w:id="265"/>
      <w:bookmarkEnd w:id="266"/>
    </w:p>
    <w:p>
      <w:pPr>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投标供应商须在规定时间内完成</w:t>
      </w:r>
      <w:r>
        <w:rPr>
          <w:rFonts w:hint="eastAsia" w:ascii="仿宋" w:hAnsi="仿宋" w:eastAsia="仿宋" w:cs="仿宋"/>
          <w:b/>
          <w:bCs/>
          <w:color w:val="auto"/>
          <w:sz w:val="24"/>
          <w:szCs w:val="24"/>
          <w:highlight w:val="none"/>
          <w:lang w:eastAsia="zh-CN"/>
        </w:rPr>
        <w:t>线上</w:t>
      </w:r>
      <w:r>
        <w:rPr>
          <w:rFonts w:hint="eastAsia" w:ascii="仿宋" w:hAnsi="仿宋" w:eastAsia="仿宋" w:cs="仿宋"/>
          <w:b/>
          <w:bCs/>
          <w:color w:val="auto"/>
          <w:sz w:val="24"/>
          <w:szCs w:val="24"/>
          <w:highlight w:val="none"/>
        </w:rPr>
        <w:t>平台的响应文件提交，</w:t>
      </w:r>
      <w:r>
        <w:rPr>
          <w:rFonts w:hint="eastAsia" w:ascii="仿宋" w:hAnsi="仿宋" w:eastAsia="仿宋" w:cs="仿宋"/>
          <w:b/>
          <w:bCs/>
          <w:color w:val="auto"/>
          <w:sz w:val="24"/>
          <w:szCs w:val="24"/>
          <w:highlight w:val="none"/>
          <w:lang w:eastAsia="zh-CN"/>
        </w:rPr>
        <w:t>否则</w:t>
      </w:r>
      <w:r>
        <w:rPr>
          <w:rFonts w:hint="eastAsia" w:ascii="仿宋" w:hAnsi="仿宋" w:eastAsia="仿宋" w:cs="仿宋"/>
          <w:b/>
          <w:bCs/>
          <w:color w:val="auto"/>
          <w:sz w:val="24"/>
          <w:szCs w:val="24"/>
          <w:highlight w:val="none"/>
        </w:rPr>
        <w:t>视为无效响应</w:t>
      </w:r>
      <w:r>
        <w:rPr>
          <w:rFonts w:hint="eastAsia" w:ascii="仿宋" w:hAnsi="仿宋" w:eastAsia="仿宋" w:cs="仿宋"/>
          <w:b/>
          <w:bCs/>
          <w:color w:val="auto"/>
          <w:sz w:val="24"/>
          <w:szCs w:val="24"/>
          <w:highlight w:val="none"/>
          <w:lang w:eastAsia="zh-CN"/>
        </w:rPr>
        <w:t>。</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的要求编制响应文件，并对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提出的要求和条件作出实质性响应，响应文件应编制完整的页码、目录。</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篇“响应文件格式要求”规定的部分和供应商所作的一切有效补充、修改和承诺等文件组成，供应商应按照第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篇“响应文件格式”规定的目录顺序组织编写和装订，也可在基本格式基础上对表格进行扩展，未规定格式的由供应商自定格式。</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w:t>
      </w:r>
    </w:p>
    <w:p>
      <w:pPr>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本项目不接受联合体</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w:t>
      </w:r>
    </w:p>
    <w:p>
      <w:pPr>
        <w:pageBreakBefore w:val="0"/>
        <w:widowControl w:val="0"/>
        <w:numPr>
          <w:ilvl w:val="0"/>
          <w:numId w:val="4"/>
        </w:numPr>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有效期：响应文件及有关承诺文件有效期为提交响应文件截止时间起90天。</w:t>
      </w:r>
    </w:p>
    <w:p>
      <w:pPr>
        <w:pageBreakBefore w:val="0"/>
        <w:widowControl w:val="0"/>
        <w:numPr>
          <w:ilvl w:val="0"/>
          <w:numId w:val="0"/>
        </w:numPr>
        <w:kinsoku/>
        <w:wordWrap/>
        <w:overflowPunct/>
        <w:topLinePunct w:val="0"/>
        <w:autoSpaceDE/>
        <w:autoSpaceDN/>
        <w:bidi w:val="0"/>
        <w:adjustRightInd/>
        <w:snapToGrid w:val="0"/>
        <w:spacing w:line="336" w:lineRule="auto"/>
        <w:ind w:firstLine="240" w:firstLineChars="100"/>
        <w:textAlignment w:val="auto"/>
        <w:outlineLvl w:val="1"/>
        <w:rPr>
          <w:rFonts w:hint="eastAsia" w:ascii="仿宋" w:hAnsi="仿宋" w:eastAsia="仿宋" w:cs="仿宋"/>
          <w:color w:val="auto"/>
          <w:sz w:val="24"/>
          <w:szCs w:val="24"/>
          <w:highlight w:val="none"/>
        </w:rPr>
      </w:pPr>
      <w:bookmarkStart w:id="267" w:name="_Toc9812"/>
      <w:bookmarkStart w:id="268" w:name="_Toc30293"/>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）报价要求</w:t>
      </w:r>
      <w:bookmarkEnd w:id="267"/>
      <w:bookmarkEnd w:id="268"/>
    </w:p>
    <w:p>
      <w:pPr>
        <w:pageBreakBefore w:val="0"/>
        <w:widowControl w:val="0"/>
        <w:kinsoku/>
        <w:wordWrap/>
        <w:overflowPunct/>
        <w:topLinePunct w:val="0"/>
        <w:autoSpaceDE/>
        <w:autoSpaceDN/>
        <w:bidi w:val="0"/>
        <w:adjustRightInd/>
        <w:snapToGrid w:val="0"/>
        <w:spacing w:line="336"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本项目为总价包干价。本次报价须为人民币报价，报价应包括但不限于人员工资、奖金、福利、</w:t>
      </w:r>
      <w:r>
        <w:rPr>
          <w:rFonts w:hint="eastAsia" w:ascii="仿宋" w:hAnsi="仿宋" w:eastAsia="仿宋"/>
          <w:color w:val="auto"/>
          <w:sz w:val="24"/>
          <w:szCs w:val="24"/>
          <w:highlight w:val="none"/>
          <w:lang w:val="en-US" w:eastAsia="zh-CN"/>
        </w:rPr>
        <w:t>差旅费、</w:t>
      </w:r>
      <w:r>
        <w:rPr>
          <w:rFonts w:hint="eastAsia" w:ascii="仿宋" w:hAnsi="仿宋" w:eastAsia="仿宋"/>
          <w:color w:val="auto"/>
          <w:sz w:val="24"/>
          <w:szCs w:val="24"/>
          <w:highlight w:val="none"/>
        </w:rPr>
        <w:t>社保等费用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以及利润、税金、各种风险等履行完本项目的所有费用。因成交供应商自身原因造成漏报、少报皆由其自行承担责任，</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不再另行支付其他</w:t>
      </w:r>
      <w:r>
        <w:rPr>
          <w:rFonts w:hint="eastAsia" w:ascii="仿宋" w:hAnsi="仿宋" w:eastAsia="仿宋" w:cs="仿宋"/>
          <w:color w:val="auto"/>
          <w:sz w:val="24"/>
          <w:szCs w:val="24"/>
          <w:highlight w:val="none"/>
          <w:lang w:val="en-US" w:eastAsia="zh-CN"/>
        </w:rPr>
        <w:t>任何</w:t>
      </w:r>
      <w:r>
        <w:rPr>
          <w:rFonts w:hint="eastAsia" w:ascii="仿宋" w:hAnsi="仿宋" w:eastAsia="仿宋" w:cs="仿宋"/>
          <w:color w:val="auto"/>
          <w:sz w:val="24"/>
          <w:szCs w:val="24"/>
          <w:highlight w:val="none"/>
        </w:rPr>
        <w:t>费用</w:t>
      </w:r>
      <w:r>
        <w:rPr>
          <w:rFonts w:hint="eastAsia" w:ascii="仿宋" w:hAnsi="仿宋" w:eastAsia="仿宋"/>
          <w:color w:val="auto"/>
          <w:sz w:val="24"/>
          <w:szCs w:val="24"/>
          <w:highlight w:val="none"/>
        </w:rPr>
        <w:t>。</w:t>
      </w:r>
      <w:r>
        <w:rPr>
          <w:rFonts w:hint="eastAsia" w:ascii="仿宋" w:hAnsi="仿宋" w:eastAsia="仿宋" w:cs="仿宋"/>
          <w:color w:val="auto"/>
          <w:sz w:val="24"/>
          <w:szCs w:val="24"/>
          <w:highlight w:val="none"/>
        </w:rPr>
        <w:t>供应商的报价不得超过</w:t>
      </w:r>
      <w:r>
        <w:rPr>
          <w:rFonts w:hint="eastAsia" w:ascii="仿宋" w:hAnsi="仿宋" w:eastAsia="仿宋" w:cs="仿宋"/>
          <w:color w:val="auto"/>
          <w:sz w:val="24"/>
          <w:szCs w:val="24"/>
          <w:highlight w:val="none"/>
          <w:lang w:val="en-US" w:eastAsia="zh-CN"/>
        </w:rPr>
        <w:t>所投分包对应的最高限价</w:t>
      </w:r>
      <w:r>
        <w:rPr>
          <w:rFonts w:hint="eastAsia" w:ascii="仿宋" w:hAnsi="仿宋" w:eastAsia="仿宋" w:cs="仿宋"/>
          <w:color w:val="auto"/>
          <w:sz w:val="24"/>
          <w:szCs w:val="24"/>
          <w:highlight w:val="none"/>
        </w:rPr>
        <w:t>，否则按无效投标处理。</w:t>
      </w:r>
    </w:p>
    <w:p>
      <w:pPr>
        <w:pageBreakBefore w:val="0"/>
        <w:widowControl w:val="0"/>
        <w:kinsoku/>
        <w:wordWrap/>
        <w:overflowPunct/>
        <w:topLinePunct w:val="0"/>
        <w:autoSpaceDE/>
        <w:autoSpaceDN/>
        <w:bidi w:val="0"/>
        <w:adjustRightInd/>
        <w:snapToGrid w:val="0"/>
        <w:spacing w:line="336" w:lineRule="auto"/>
        <w:ind w:firstLine="240" w:firstLineChars="100"/>
        <w:textAlignment w:val="auto"/>
        <w:outlineLvl w:val="1"/>
        <w:rPr>
          <w:rFonts w:hint="eastAsia" w:ascii="仿宋" w:hAnsi="仿宋" w:eastAsia="仿宋" w:cs="仿宋"/>
          <w:color w:val="auto"/>
          <w:sz w:val="24"/>
          <w:szCs w:val="24"/>
          <w:highlight w:val="none"/>
        </w:rPr>
      </w:pPr>
      <w:bookmarkStart w:id="269" w:name="_Toc30533"/>
      <w:bookmarkStart w:id="270" w:name="_Toc31348"/>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）修正错误</w:t>
      </w:r>
      <w:bookmarkEnd w:id="269"/>
      <w:bookmarkEnd w:id="270"/>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若响应文件出现计算或表达上的错误，修正错误的原则如下：</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1.响应文件中报价函的内容与响应文件中相应内容不一致的，以报价函为准；</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3.单价金额小数点或者百分比有明显错位的，以报价函总价为准，并修改单价；</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若供应商所上传的响应文件中报价函价格与</w:t>
      </w:r>
      <w:r>
        <w:rPr>
          <w:rFonts w:hint="eastAsia" w:ascii="仿宋" w:hAnsi="仿宋" w:eastAsia="仿宋" w:cs="仿宋"/>
          <w:color w:val="auto"/>
          <w:sz w:val="24"/>
          <w:szCs w:val="24"/>
          <w:highlight w:val="none"/>
          <w:lang w:eastAsia="zh-CN"/>
        </w:rPr>
        <w:t>重庆市政府采购云平台网上竞采</w:t>
      </w:r>
      <w:r>
        <w:rPr>
          <w:rFonts w:hint="eastAsia" w:ascii="仿宋" w:hAnsi="仿宋" w:eastAsia="仿宋" w:cs="仿宋"/>
          <w:color w:val="auto"/>
          <w:sz w:val="24"/>
          <w:szCs w:val="24"/>
          <w:highlight w:val="none"/>
        </w:rPr>
        <w:t>所填报的价格不一致，以</w:t>
      </w:r>
      <w:r>
        <w:rPr>
          <w:rFonts w:hint="eastAsia" w:ascii="仿宋" w:hAnsi="仿宋" w:eastAsia="仿宋" w:cs="仿宋"/>
          <w:color w:val="auto"/>
          <w:sz w:val="24"/>
          <w:szCs w:val="24"/>
          <w:highlight w:val="none"/>
          <w:lang w:eastAsia="zh-CN"/>
        </w:rPr>
        <w:t>重庆市政府采购云平台网上竞采</w:t>
      </w:r>
      <w:r>
        <w:rPr>
          <w:rFonts w:hint="eastAsia" w:ascii="仿宋" w:hAnsi="仿宋" w:eastAsia="仿宋" w:cs="仿宋"/>
          <w:color w:val="auto"/>
          <w:sz w:val="24"/>
          <w:szCs w:val="24"/>
          <w:highlight w:val="none"/>
        </w:rPr>
        <w:t>为准。</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1"/>
        <w:rPr>
          <w:rFonts w:hint="eastAsia" w:ascii="仿宋" w:hAnsi="仿宋" w:eastAsia="仿宋" w:cs="仿宋"/>
          <w:color w:val="auto"/>
          <w:sz w:val="24"/>
          <w:szCs w:val="24"/>
          <w:highlight w:val="none"/>
        </w:rPr>
      </w:pPr>
      <w:bookmarkStart w:id="271" w:name="_Toc8845"/>
      <w:bookmarkStart w:id="272" w:name="_Toc17998"/>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响应文件的签署和递交</w:t>
      </w:r>
      <w:bookmarkEnd w:id="271"/>
      <w:bookmarkEnd w:id="272"/>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供应商须在线上上传盖章后的电子文档一份。</w:t>
      </w:r>
      <w:r>
        <w:rPr>
          <w:rFonts w:hint="eastAsia" w:ascii="仿宋" w:hAnsi="仿宋" w:eastAsia="仿宋" w:cs="仿宋"/>
          <w:color w:val="auto"/>
          <w:sz w:val="24"/>
          <w:szCs w:val="24"/>
          <w:highlight w:val="none"/>
        </w:rPr>
        <w:t>采购人将以</w:t>
      </w:r>
      <w:r>
        <w:rPr>
          <w:rFonts w:hint="eastAsia" w:ascii="仿宋" w:hAnsi="仿宋" w:eastAsia="仿宋" w:cs="仿宋"/>
          <w:color w:val="auto"/>
          <w:sz w:val="24"/>
          <w:szCs w:val="24"/>
          <w:highlight w:val="none"/>
          <w:lang w:eastAsia="zh-CN"/>
        </w:rPr>
        <w:t>供应商在线上</w:t>
      </w:r>
      <w:r>
        <w:rPr>
          <w:rFonts w:hint="eastAsia" w:ascii="仿宋" w:hAnsi="仿宋" w:eastAsia="仿宋" w:cs="仿宋"/>
          <w:color w:val="auto"/>
          <w:sz w:val="24"/>
          <w:szCs w:val="24"/>
          <w:highlight w:val="none"/>
        </w:rPr>
        <w:t>平台</w:t>
      </w:r>
      <w:r>
        <w:rPr>
          <w:rFonts w:hint="eastAsia" w:ascii="仿宋" w:hAnsi="仿宋" w:eastAsia="仿宋" w:cs="仿宋"/>
          <w:color w:val="auto"/>
          <w:sz w:val="24"/>
          <w:szCs w:val="24"/>
          <w:highlight w:val="none"/>
          <w:lang w:eastAsia="zh-CN"/>
        </w:rPr>
        <w:t>上传的响应文件</w:t>
      </w:r>
      <w:r>
        <w:rPr>
          <w:rFonts w:hint="eastAsia" w:ascii="仿宋" w:hAnsi="仿宋" w:eastAsia="仿宋" w:cs="仿宋"/>
          <w:color w:val="auto"/>
          <w:sz w:val="24"/>
          <w:szCs w:val="24"/>
          <w:highlight w:val="none"/>
        </w:rPr>
        <w:t>作为评</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CN"/>
        </w:rPr>
        <w:t>。</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）响应文件语言：简体中文</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）无效响应</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1、供应商不符合资格要求的；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2、供应商所提交的响应文件不按规定签字、盖章的；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3、供应商的报价超过采购预算（若有采购预算单价，则含采购预算单价）的；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4、供应商响应文件附有采购人无法接受的条件的；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5、供应商串通投标的；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6、供应商组成联合体投标的；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7、法律、法规和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规定的其他无效情形。</w:t>
      </w:r>
      <w:bookmarkStart w:id="273" w:name="_Toc493506302"/>
      <w:bookmarkStart w:id="274" w:name="_Toc492721019"/>
    </w:p>
    <w:p>
      <w:pPr>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1"/>
        <w:rPr>
          <w:rFonts w:hint="eastAsia" w:ascii="仿宋" w:hAnsi="仿宋" w:eastAsia="仿宋" w:cs="仿宋"/>
          <w:color w:val="auto"/>
          <w:sz w:val="24"/>
          <w:szCs w:val="24"/>
          <w:highlight w:val="none"/>
          <w:lang w:eastAsia="zh-CN"/>
        </w:rPr>
      </w:pPr>
      <w:bookmarkStart w:id="275" w:name="_Toc14469"/>
      <w:bookmarkStart w:id="276" w:name="_Toc8223"/>
      <w:r>
        <w:rPr>
          <w:rFonts w:hint="eastAsia" w:ascii="仿宋" w:hAnsi="仿宋" w:eastAsia="仿宋" w:cs="仿宋"/>
          <w:color w:val="auto"/>
          <w:sz w:val="24"/>
          <w:szCs w:val="24"/>
          <w:highlight w:val="none"/>
          <w:lang w:eastAsia="zh-CN"/>
        </w:rPr>
        <w:t>（七）废标条款</w:t>
      </w:r>
      <w:bookmarkEnd w:id="273"/>
      <w:bookmarkEnd w:id="274"/>
      <w:bookmarkEnd w:id="275"/>
      <w:bookmarkEnd w:id="276"/>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出现下列情形之一的，采购人或者采购代理机构应当终止采购活动，发布项目终止公告并说明原因，重新开展采购活动：</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1、因情况变化，不再符合规定的采购方式适用情形的；</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2、出现影响采购公正的违法、违规行为的；</w:t>
      </w:r>
    </w:p>
    <w:p>
      <w:pPr>
        <w:pageBreakBefore w:val="0"/>
        <w:widowControl w:val="0"/>
        <w:kinsoku/>
        <w:wordWrap/>
        <w:overflowPunct/>
        <w:topLinePunct w:val="0"/>
        <w:autoSpaceDE/>
        <w:autoSpaceDN/>
        <w:bidi w:val="0"/>
        <w:adjustRightInd/>
        <w:snapToGrid w:val="0"/>
        <w:spacing w:line="336" w:lineRule="auto"/>
        <w:ind w:firstLine="960" w:firstLineChars="4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废标后，除采购任务取消情形外，应当重新组织采购。</w:t>
      </w:r>
    </w:p>
    <w:p>
      <w:pPr>
        <w:pageBreakBefore w:val="0"/>
        <w:widowControl w:val="0"/>
        <w:numPr>
          <w:ilvl w:val="0"/>
          <w:numId w:val="5"/>
        </w:numPr>
        <w:kinsoku/>
        <w:wordWrap/>
        <w:overflowPunct/>
        <w:topLinePunct w:val="0"/>
        <w:autoSpaceDE/>
        <w:autoSpaceDN/>
        <w:bidi w:val="0"/>
        <w:adjustRightInd/>
        <w:snapToGrid w:val="0"/>
        <w:spacing w:line="336" w:lineRule="auto"/>
        <w:ind w:firstLine="480" w:firstLineChars="200"/>
        <w:textAlignment w:val="auto"/>
        <w:outlineLvl w:val="1"/>
        <w:rPr>
          <w:rFonts w:hint="default" w:ascii="仿宋" w:hAnsi="仿宋" w:eastAsia="仿宋" w:cs="仿宋"/>
          <w:color w:val="auto"/>
          <w:sz w:val="24"/>
          <w:szCs w:val="24"/>
          <w:highlight w:val="none"/>
          <w:lang w:val="en-US" w:eastAsia="zh-CN"/>
        </w:rPr>
      </w:pPr>
      <w:bookmarkStart w:id="277" w:name="_Toc5438"/>
      <w:bookmarkStart w:id="278" w:name="_Toc19477"/>
      <w:r>
        <w:rPr>
          <w:rFonts w:hint="eastAsia" w:ascii="仿宋" w:hAnsi="仿宋" w:eastAsia="仿宋" w:cs="仿宋"/>
          <w:color w:val="auto"/>
          <w:sz w:val="24"/>
          <w:szCs w:val="24"/>
          <w:highlight w:val="none"/>
          <w:lang w:eastAsia="zh-CN"/>
        </w:rPr>
        <w:t>采购代理服务费</w:t>
      </w:r>
      <w:bookmarkEnd w:id="277"/>
      <w:bookmarkEnd w:id="278"/>
      <w:bookmarkStart w:id="279" w:name="_Toc426965633"/>
      <w:bookmarkStart w:id="280" w:name="_Toc31741"/>
      <w:bookmarkStart w:id="281" w:name="_Toc342913393"/>
      <w:bookmarkStart w:id="282" w:name="_Toc487204782"/>
      <w:bookmarkStart w:id="283" w:name="_Toc179714298"/>
      <w:bookmarkStart w:id="284" w:name="_Toc102227319"/>
    </w:p>
    <w:p>
      <w:pPr>
        <w:pageBreakBefore w:val="0"/>
        <w:widowControl w:val="0"/>
        <w:numPr>
          <w:ilvl w:val="0"/>
          <w:numId w:val="0"/>
        </w:numPr>
        <w:kinsoku/>
        <w:wordWrap/>
        <w:overflowPunct/>
        <w:topLinePunct w:val="0"/>
        <w:autoSpaceDE/>
        <w:autoSpaceDN/>
        <w:bidi w:val="0"/>
        <w:adjustRightInd/>
        <w:snapToGrid w:val="0"/>
        <w:spacing w:line="336" w:lineRule="auto"/>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由采购人支付。</w:t>
      </w:r>
    </w:p>
    <w:p>
      <w:pPr>
        <w:pStyle w:val="4"/>
        <w:pageBreakBefore w:val="0"/>
        <w:widowControl w:val="0"/>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lang w:val="en-US" w:eastAsia="zh-CN"/>
        </w:rPr>
      </w:pPr>
      <w:bookmarkStart w:id="285" w:name="_Toc20536"/>
      <w:bookmarkStart w:id="286" w:name="_Toc21464"/>
      <w:bookmarkStart w:id="287" w:name="_Toc770"/>
      <w:bookmarkStart w:id="288" w:name="_Toc1763"/>
      <w:bookmarkStart w:id="289" w:name="_Toc17641"/>
      <w:bookmarkStart w:id="290" w:name="_Toc21852"/>
      <w:bookmarkStart w:id="291" w:name="_Toc12641"/>
      <w:r>
        <w:rPr>
          <w:rFonts w:hint="eastAsia" w:ascii="仿宋" w:hAnsi="仿宋" w:eastAsia="仿宋" w:cs="仿宋"/>
          <w:color w:val="auto"/>
          <w:sz w:val="24"/>
          <w:szCs w:val="24"/>
          <w:highlight w:val="none"/>
          <w:lang w:val="en-US" w:eastAsia="zh-CN"/>
        </w:rPr>
        <w:t>四、开标</w:t>
      </w:r>
      <w:bookmarkEnd w:id="285"/>
      <w:bookmarkEnd w:id="286"/>
      <w:bookmarkEnd w:id="287"/>
      <w:bookmarkEnd w:id="288"/>
      <w:bookmarkEnd w:id="289"/>
      <w:bookmarkEnd w:id="290"/>
      <w:bookmarkEnd w:id="291"/>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本项目不举行现场开标仪式，采购人将以</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在线上平台上传的响应文件作为评审依据。</w:t>
      </w:r>
    </w:p>
    <w:p>
      <w:pPr>
        <w:pStyle w:val="4"/>
        <w:pageBreakBefore w:val="0"/>
        <w:widowControl w:val="0"/>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lang w:val="en-US" w:eastAsia="zh-CN"/>
        </w:rPr>
      </w:pPr>
      <w:bookmarkStart w:id="292" w:name="_Toc4603"/>
      <w:bookmarkStart w:id="293" w:name="_Toc4138"/>
      <w:bookmarkStart w:id="294" w:name="_Toc28298"/>
      <w:bookmarkStart w:id="295" w:name="_Toc19773"/>
      <w:bookmarkStart w:id="296" w:name="_Toc6943"/>
      <w:bookmarkStart w:id="297" w:name="_Toc105"/>
      <w:bookmarkStart w:id="298" w:name="_Toc29874"/>
      <w:r>
        <w:rPr>
          <w:rFonts w:hint="eastAsia" w:ascii="仿宋" w:hAnsi="仿宋" w:eastAsia="仿宋" w:cs="仿宋"/>
          <w:color w:val="auto"/>
          <w:sz w:val="24"/>
          <w:szCs w:val="24"/>
          <w:highlight w:val="none"/>
          <w:lang w:val="en-US" w:eastAsia="zh-CN"/>
        </w:rPr>
        <w:t>五、评标</w:t>
      </w:r>
      <w:bookmarkEnd w:id="292"/>
      <w:bookmarkEnd w:id="293"/>
      <w:bookmarkEnd w:id="294"/>
      <w:bookmarkEnd w:id="295"/>
      <w:bookmarkEnd w:id="296"/>
      <w:bookmarkEnd w:id="297"/>
      <w:bookmarkEnd w:id="298"/>
    </w:p>
    <w:p>
      <w:pPr>
        <w:pageBreakBefore w:val="0"/>
        <w:widowControl w:val="0"/>
        <w:numPr>
          <w:ilvl w:val="0"/>
          <w:numId w:val="0"/>
        </w:numPr>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第四篇</w:t>
      </w:r>
      <w:r>
        <w:rPr>
          <w:rFonts w:hint="eastAsia" w:ascii="仿宋" w:hAnsi="仿宋" w:eastAsia="仿宋" w:cs="仿宋"/>
          <w:color w:val="auto"/>
          <w:sz w:val="24"/>
          <w:szCs w:val="24"/>
          <w:highlight w:val="none"/>
          <w:lang w:val="en-US" w:eastAsia="zh-CN"/>
        </w:rPr>
        <w:t xml:space="preserve"> 资格评审及评标办法</w:t>
      </w:r>
      <w:r>
        <w:rPr>
          <w:rFonts w:hint="eastAsia" w:ascii="仿宋" w:hAnsi="仿宋" w:eastAsia="仿宋" w:cs="仿宋"/>
          <w:color w:val="auto"/>
          <w:sz w:val="24"/>
          <w:szCs w:val="24"/>
          <w:highlight w:val="none"/>
        </w:rPr>
        <w:t>”内容。</w:t>
      </w:r>
    </w:p>
    <w:p>
      <w:pPr>
        <w:pStyle w:val="4"/>
        <w:pageBreakBefore w:val="0"/>
        <w:widowControl w:val="0"/>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lang w:val="en-US" w:eastAsia="zh-CN"/>
        </w:rPr>
      </w:pPr>
      <w:bookmarkStart w:id="299" w:name="_Toc8575"/>
      <w:bookmarkStart w:id="300" w:name="_Toc31478"/>
      <w:bookmarkStart w:id="301" w:name="_Toc25939"/>
      <w:bookmarkStart w:id="302" w:name="_Toc5245"/>
      <w:bookmarkStart w:id="303" w:name="_Toc4345"/>
      <w:bookmarkStart w:id="304" w:name="_Toc10499"/>
      <w:bookmarkStart w:id="305" w:name="_Toc10043"/>
      <w:r>
        <w:rPr>
          <w:rFonts w:hint="eastAsia" w:ascii="仿宋" w:hAnsi="仿宋" w:eastAsia="仿宋" w:cs="仿宋"/>
          <w:color w:val="auto"/>
          <w:sz w:val="24"/>
          <w:szCs w:val="24"/>
          <w:highlight w:val="none"/>
          <w:lang w:val="en-US" w:eastAsia="zh-CN"/>
        </w:rPr>
        <w:t>六、定标</w:t>
      </w:r>
      <w:bookmarkEnd w:id="299"/>
      <w:bookmarkEnd w:id="300"/>
      <w:bookmarkEnd w:id="301"/>
      <w:bookmarkEnd w:id="302"/>
      <w:bookmarkEnd w:id="303"/>
      <w:bookmarkEnd w:id="304"/>
      <w:bookmarkEnd w:id="305"/>
    </w:p>
    <w:p>
      <w:pPr>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1"/>
        <w:rPr>
          <w:rFonts w:hint="eastAsia" w:ascii="仿宋" w:hAnsi="仿宋" w:eastAsia="仿宋" w:cs="仿宋"/>
          <w:color w:val="auto"/>
          <w:sz w:val="24"/>
          <w:szCs w:val="24"/>
          <w:highlight w:val="none"/>
        </w:rPr>
      </w:pPr>
      <w:bookmarkStart w:id="306" w:name="_Toc9510"/>
      <w:bookmarkStart w:id="307" w:name="_Toc1268"/>
      <w:r>
        <w:rPr>
          <w:rFonts w:hint="eastAsia" w:ascii="仿宋" w:hAnsi="仿宋" w:eastAsia="仿宋" w:cs="仿宋"/>
          <w:color w:val="auto"/>
          <w:sz w:val="24"/>
          <w:szCs w:val="24"/>
          <w:highlight w:val="none"/>
        </w:rPr>
        <w:t>（一）定标原则</w:t>
      </w:r>
      <w:bookmarkEnd w:id="306"/>
      <w:bookmarkEnd w:id="307"/>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采购人或其授权的评标委员会应按照评标报告中推荐的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候选人排名顺序确定</w:t>
      </w:r>
      <w:r>
        <w:rPr>
          <w:rFonts w:hint="eastAsia" w:ascii="仿宋" w:hAnsi="仿宋" w:eastAsia="仿宋" w:cs="仿宋"/>
          <w:color w:val="auto"/>
          <w:sz w:val="24"/>
          <w:szCs w:val="24"/>
          <w:highlight w:val="none"/>
          <w:lang w:val="en-US" w:eastAsia="zh-CN"/>
        </w:rPr>
        <w:t>2名成交供应商</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36" w:lineRule="auto"/>
        <w:ind w:firstLine="480" w:firstLineChars="200"/>
        <w:textAlignment w:val="auto"/>
        <w:outlineLvl w:val="1"/>
        <w:rPr>
          <w:rFonts w:hint="eastAsia" w:ascii="仿宋" w:hAnsi="仿宋" w:eastAsia="仿宋" w:cs="仿宋"/>
          <w:color w:val="auto"/>
          <w:sz w:val="24"/>
          <w:szCs w:val="24"/>
          <w:highlight w:val="none"/>
        </w:rPr>
      </w:pPr>
      <w:bookmarkStart w:id="308" w:name="_Toc2922"/>
      <w:bookmarkStart w:id="309" w:name="_Toc24572"/>
      <w:r>
        <w:rPr>
          <w:rFonts w:hint="eastAsia" w:ascii="仿宋" w:hAnsi="仿宋" w:eastAsia="仿宋" w:cs="仿宋"/>
          <w:color w:val="auto"/>
          <w:sz w:val="24"/>
          <w:szCs w:val="24"/>
          <w:highlight w:val="none"/>
        </w:rPr>
        <w:t>（二）定标程序</w:t>
      </w:r>
      <w:bookmarkEnd w:id="308"/>
      <w:bookmarkEnd w:id="309"/>
    </w:p>
    <w:p>
      <w:pPr>
        <w:pStyle w:val="12"/>
        <w:pageBreakBefore w:val="0"/>
        <w:widowControl w:val="0"/>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应当在评标结束后2个工作日内将评标报告送采购人。</w:t>
      </w:r>
    </w:p>
    <w:p>
      <w:pPr>
        <w:pStyle w:val="12"/>
        <w:pageBreakBefore w:val="0"/>
        <w:widowControl w:val="0"/>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采购人应当自收到评标报告之日起５个工作日内，在评标报告确定的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候选人名单中按顺序确定</w:t>
      </w: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1名为成交供应商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候选人并列的，由采购人或者采购人委托评标委员会按照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文件规定的方式确定</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文件未规定的，采取随机抽取的方式确定。</w:t>
      </w:r>
    </w:p>
    <w:p>
      <w:pPr>
        <w:pStyle w:val="12"/>
        <w:pageBreakBefore w:val="0"/>
        <w:widowControl w:val="0"/>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3.采购人应当自</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确定之日起2个工作日内，在</w:t>
      </w:r>
      <w:r>
        <w:rPr>
          <w:rFonts w:hint="eastAsia" w:ascii="仿宋" w:hAnsi="仿宋" w:eastAsia="仿宋" w:cs="仿宋"/>
          <w:color w:val="auto"/>
          <w:sz w:val="24"/>
          <w:szCs w:val="24"/>
          <w:highlight w:val="none"/>
          <w:lang w:eastAsia="zh-CN"/>
        </w:rPr>
        <w:t>重庆市政府采购云平台网上竞采（https://xj.ccgp-chongqing.gov.cn/ge/）</w:t>
      </w:r>
      <w:r>
        <w:rPr>
          <w:rFonts w:hint="eastAsia" w:ascii="仿宋" w:hAnsi="仿宋" w:eastAsia="仿宋" w:cs="仿宋"/>
          <w:color w:val="auto"/>
          <w:sz w:val="24"/>
          <w:szCs w:val="24"/>
          <w:highlight w:val="none"/>
        </w:rPr>
        <w:t>网上公告</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w:t>
      </w:r>
      <w:r>
        <w:rPr>
          <w:rFonts w:hint="eastAsia" w:ascii="仿宋" w:hAnsi="仿宋" w:eastAsia="仿宋" w:cs="仿宋"/>
          <w:color w:val="auto"/>
          <w:sz w:val="24"/>
          <w:szCs w:val="24"/>
          <w:highlight w:val="none"/>
          <w:lang w:val="en-US" w:eastAsia="zh-CN"/>
        </w:rPr>
        <w:t>成交结果</w:t>
      </w:r>
      <w:r>
        <w:rPr>
          <w:rFonts w:hint="eastAsia" w:ascii="仿宋" w:hAnsi="仿宋" w:eastAsia="仿宋" w:cs="仿宋"/>
          <w:color w:val="auto"/>
          <w:sz w:val="24"/>
          <w:szCs w:val="24"/>
          <w:highlight w:val="none"/>
        </w:rPr>
        <w:t>公告期限为1个工作日。</w:t>
      </w:r>
    </w:p>
    <w:p>
      <w:pPr>
        <w:pStyle w:val="12"/>
        <w:pageBreakBefore w:val="0"/>
        <w:widowControl w:val="0"/>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变更</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拒绝与采购人签订合同的，采购人可以按照评标报告推荐的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候选人顺序，确定排名下一位的候选人为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，也可以重新开展采购活动。</w:t>
      </w:r>
    </w:p>
    <w:p>
      <w:pPr>
        <w:pStyle w:val="4"/>
        <w:pageBreakBefore w:val="0"/>
        <w:widowControl w:val="0"/>
        <w:kinsoku/>
        <w:wordWrap/>
        <w:overflowPunct/>
        <w:topLinePunct w:val="0"/>
        <w:autoSpaceDE/>
        <w:autoSpaceDN/>
        <w:bidi w:val="0"/>
        <w:adjustRightInd/>
        <w:spacing w:before="0" w:after="0" w:line="336" w:lineRule="auto"/>
        <w:textAlignment w:val="auto"/>
        <w:outlineLvl w:val="0"/>
        <w:rPr>
          <w:rFonts w:hint="eastAsia" w:ascii="仿宋" w:hAnsi="仿宋" w:eastAsia="仿宋" w:cs="仿宋"/>
          <w:color w:val="auto"/>
          <w:sz w:val="24"/>
          <w:szCs w:val="24"/>
          <w:highlight w:val="none"/>
          <w:lang w:val="en-US" w:eastAsia="zh-CN"/>
        </w:rPr>
      </w:pPr>
      <w:bookmarkStart w:id="310" w:name="_Toc14434"/>
      <w:bookmarkStart w:id="311" w:name="_Toc20648"/>
      <w:bookmarkStart w:id="312" w:name="_Toc19788"/>
      <w:bookmarkStart w:id="313" w:name="_Toc493506310"/>
      <w:bookmarkStart w:id="314" w:name="_Toc13548"/>
      <w:bookmarkStart w:id="315" w:name="_Toc6153"/>
      <w:bookmarkStart w:id="316" w:name="_Toc29242"/>
      <w:bookmarkStart w:id="317" w:name="_Toc5782"/>
      <w:r>
        <w:rPr>
          <w:rFonts w:hint="eastAsia" w:ascii="仿宋" w:hAnsi="仿宋" w:eastAsia="仿宋" w:cs="仿宋"/>
          <w:color w:val="auto"/>
          <w:sz w:val="24"/>
          <w:szCs w:val="24"/>
          <w:highlight w:val="none"/>
          <w:lang w:val="en-US" w:eastAsia="zh-CN"/>
        </w:rPr>
        <w:t>七、成交通知书</w:t>
      </w:r>
      <w:bookmarkEnd w:id="310"/>
      <w:bookmarkEnd w:id="311"/>
      <w:bookmarkEnd w:id="312"/>
      <w:bookmarkEnd w:id="313"/>
      <w:bookmarkEnd w:id="314"/>
      <w:bookmarkEnd w:id="315"/>
      <w:bookmarkEnd w:id="316"/>
      <w:bookmarkEnd w:id="317"/>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重庆市政府采购云平台网上竞采（https://xj.ccgp-chongqing.gov.cn/ge/）</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上发布成交结果公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1"/>
        <w:rPr>
          <w:rFonts w:hint="eastAsia" w:ascii="仿宋" w:hAnsi="仿宋" w:eastAsia="仿宋" w:cs="仿宋"/>
          <w:color w:val="auto"/>
          <w:sz w:val="24"/>
          <w:szCs w:val="24"/>
          <w:highlight w:val="none"/>
        </w:rPr>
      </w:pPr>
      <w:bookmarkStart w:id="318" w:name="_Toc24856"/>
      <w:bookmarkStart w:id="319" w:name="_Toc606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）《成交通知书》将作为签订合同的依据。</w:t>
      </w:r>
      <w:bookmarkEnd w:id="318"/>
      <w:bookmarkEnd w:id="319"/>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）如有供应商对成交结果提出质疑的，在质疑处理完毕后发出成交通知书。</w:t>
      </w:r>
    </w:p>
    <w:p>
      <w:pPr>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仿宋" w:hAnsi="仿宋" w:eastAsia="仿宋"/>
          <w:color w:val="auto"/>
          <w:sz w:val="36"/>
          <w:szCs w:val="30"/>
          <w:highlight w:val="none"/>
        </w:rPr>
      </w:pPr>
      <w:r>
        <w:rPr>
          <w:rFonts w:hint="eastAsia" w:ascii="仿宋" w:hAnsi="仿宋" w:eastAsia="仿宋" w:cs="仿宋"/>
          <w:color w:val="auto"/>
          <w:sz w:val="24"/>
          <w:szCs w:val="24"/>
          <w:highlight w:val="none"/>
          <w:lang w:val="en-US" w:eastAsia="zh-CN"/>
        </w:rPr>
        <w:t>（四）成交</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放弃中标，应当承担相应的法律责任。</w:t>
      </w:r>
      <w:bookmarkEnd w:id="279"/>
      <w:bookmarkEnd w:id="280"/>
      <w:bookmarkEnd w:id="281"/>
      <w:bookmarkEnd w:id="282"/>
      <w:bookmarkEnd w:id="283"/>
      <w:bookmarkEnd w:id="284"/>
    </w:p>
    <w:bookmarkEnd w:id="234"/>
    <w:p>
      <w:pPr>
        <w:rPr>
          <w:rFonts w:hint="eastAsia" w:ascii="仿宋" w:hAnsi="仿宋" w:eastAsia="仿宋"/>
          <w:b/>
          <w:bCs/>
          <w:color w:val="auto"/>
          <w:sz w:val="36"/>
          <w:szCs w:val="30"/>
          <w:highlight w:val="none"/>
        </w:rPr>
      </w:pPr>
      <w:bookmarkStart w:id="320" w:name="_Toc19849"/>
      <w:r>
        <w:rPr>
          <w:rFonts w:hint="eastAsia" w:ascii="仿宋" w:hAnsi="仿宋" w:eastAsia="仿宋"/>
          <w:b/>
          <w:bCs/>
          <w:color w:val="auto"/>
          <w:sz w:val="36"/>
          <w:szCs w:val="30"/>
          <w:highlight w:val="none"/>
        </w:rPr>
        <w:br w:type="page"/>
      </w:r>
    </w:p>
    <w:p>
      <w:pPr>
        <w:pStyle w:val="3"/>
        <w:keepLines w:val="0"/>
        <w:pageBreakBefore w:val="0"/>
        <w:widowControl w:val="0"/>
        <w:kinsoku/>
        <w:wordWrap/>
        <w:overflowPunct/>
        <w:topLinePunct w:val="0"/>
        <w:autoSpaceDE/>
        <w:autoSpaceDN/>
        <w:bidi w:val="0"/>
        <w:adjustRightInd/>
        <w:spacing w:line="348" w:lineRule="auto"/>
        <w:jc w:val="center"/>
        <w:textAlignment w:val="auto"/>
        <w:outlineLvl w:val="0"/>
        <w:rPr>
          <w:rFonts w:ascii="仿宋" w:hAnsi="仿宋" w:eastAsia="仿宋" w:cs="仿宋"/>
          <w:b/>
          <w:bCs/>
          <w:color w:val="auto"/>
          <w:sz w:val="44"/>
          <w:highlight w:val="none"/>
        </w:rPr>
      </w:pPr>
      <w:bookmarkStart w:id="321" w:name="_Toc4387"/>
      <w:bookmarkStart w:id="322" w:name="_Toc9842"/>
      <w:bookmarkStart w:id="323" w:name="_Toc25940"/>
      <w:bookmarkStart w:id="324" w:name="_Toc27693"/>
      <w:r>
        <w:rPr>
          <w:rFonts w:hint="eastAsia" w:ascii="仿宋" w:hAnsi="仿宋" w:eastAsia="仿宋"/>
          <w:b/>
          <w:bCs/>
          <w:color w:val="auto"/>
          <w:sz w:val="36"/>
          <w:szCs w:val="30"/>
          <w:highlight w:val="none"/>
        </w:rPr>
        <w:t>第六篇  合同草案条款和格式合同</w:t>
      </w:r>
      <w:bookmarkEnd w:id="320"/>
      <w:bookmarkEnd w:id="321"/>
      <w:bookmarkEnd w:id="322"/>
      <w:bookmarkEnd w:id="323"/>
      <w:bookmarkEnd w:id="324"/>
    </w:p>
    <w:p>
      <w:pPr>
        <w:rPr>
          <w:rFonts w:hint="eastAsia" w:ascii="黑体" w:hAnsi="黑体" w:eastAsia="黑体"/>
          <w:color w:val="000000"/>
          <w:sz w:val="32"/>
          <w:szCs w:val="32"/>
        </w:rPr>
      </w:pPr>
    </w:p>
    <w:p>
      <w:pPr>
        <w:jc w:val="center"/>
        <w:rPr>
          <w:rFonts w:hint="eastAsia" w:ascii="仿宋" w:hAnsi="仿宋" w:eastAsia="仿宋"/>
          <w:b/>
          <w:bCs/>
          <w:color w:val="auto"/>
          <w:sz w:val="36"/>
          <w:szCs w:val="30"/>
          <w:highlight w:val="none"/>
        </w:rPr>
      </w:pPr>
      <w:r>
        <w:rPr>
          <w:rFonts w:hint="eastAsia" w:ascii="仿宋" w:hAnsi="仿宋" w:eastAsia="仿宋"/>
          <w:b/>
          <w:bCs/>
          <w:color w:val="auto"/>
          <w:sz w:val="28"/>
          <w:szCs w:val="24"/>
          <w:highlight w:val="none"/>
          <w:lang w:eastAsia="zh-CN"/>
        </w:rPr>
        <w:t>（以采购人与成交供应商签订的为准）</w:t>
      </w:r>
      <w:r>
        <w:rPr>
          <w:rFonts w:hint="eastAsia" w:ascii="仿宋" w:hAnsi="仿宋" w:eastAsia="仿宋"/>
          <w:b/>
          <w:bCs/>
          <w:color w:val="auto"/>
          <w:sz w:val="36"/>
          <w:szCs w:val="30"/>
          <w:highlight w:val="none"/>
        </w:rPr>
        <w:br w:type="page"/>
      </w:r>
    </w:p>
    <w:p>
      <w:pPr>
        <w:pStyle w:val="3"/>
        <w:spacing w:before="0" w:after="0" w:line="360" w:lineRule="auto"/>
        <w:jc w:val="center"/>
        <w:outlineLvl w:val="0"/>
        <w:rPr>
          <w:rFonts w:ascii="仿宋" w:hAnsi="仿宋" w:eastAsia="仿宋"/>
          <w:b/>
          <w:bCs/>
          <w:color w:val="auto"/>
          <w:sz w:val="36"/>
          <w:szCs w:val="30"/>
          <w:highlight w:val="none"/>
        </w:rPr>
      </w:pPr>
      <w:bookmarkStart w:id="325" w:name="_Toc25565"/>
      <w:bookmarkStart w:id="326" w:name="_Toc26436"/>
      <w:bookmarkStart w:id="327" w:name="_Toc27892"/>
      <w:bookmarkStart w:id="328" w:name="_Toc2612"/>
      <w:r>
        <w:rPr>
          <w:rFonts w:hint="eastAsia" w:ascii="仿宋" w:hAnsi="仿宋" w:eastAsia="仿宋"/>
          <w:b/>
          <w:bCs/>
          <w:color w:val="auto"/>
          <w:sz w:val="36"/>
          <w:szCs w:val="30"/>
          <w:highlight w:val="none"/>
        </w:rPr>
        <w:t>第七篇  响应文件编制要求</w:t>
      </w:r>
      <w:bookmarkEnd w:id="325"/>
      <w:bookmarkEnd w:id="326"/>
      <w:bookmarkEnd w:id="327"/>
      <w:bookmarkEnd w:id="328"/>
    </w:p>
    <w:p>
      <w:pPr>
        <w:spacing w:line="440" w:lineRule="exact"/>
        <w:ind w:firstLine="480" w:firstLineChars="200"/>
        <w:outlineLvl w:val="0"/>
        <w:rPr>
          <w:rFonts w:ascii="仿宋" w:hAnsi="仿宋" w:eastAsia="仿宋"/>
          <w:color w:val="auto"/>
          <w:sz w:val="24"/>
          <w:szCs w:val="24"/>
          <w:highlight w:val="none"/>
        </w:rPr>
      </w:pPr>
      <w:bookmarkStart w:id="329" w:name="_Toc23183"/>
      <w:bookmarkStart w:id="330" w:name="_Toc1578"/>
      <w:r>
        <w:rPr>
          <w:rFonts w:hint="eastAsia" w:ascii="仿宋" w:hAnsi="仿宋" w:eastAsia="仿宋"/>
          <w:color w:val="auto"/>
          <w:sz w:val="24"/>
          <w:szCs w:val="24"/>
          <w:highlight w:val="none"/>
        </w:rPr>
        <w:t>一、经济部分</w:t>
      </w:r>
      <w:bookmarkEnd w:id="329"/>
      <w:bookmarkEnd w:id="330"/>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（一）网上竞采报价函</w:t>
      </w:r>
    </w:p>
    <w:p>
      <w:pPr>
        <w:spacing w:line="440" w:lineRule="exact"/>
        <w:ind w:firstLine="480" w:firstLineChars="200"/>
        <w:rPr>
          <w:color w:val="auto"/>
          <w:highlight w:val="none"/>
        </w:rPr>
      </w:pPr>
      <w:r>
        <w:rPr>
          <w:rFonts w:hint="eastAsia" w:ascii="仿宋" w:hAnsi="仿宋" w:eastAsia="仿宋"/>
          <w:color w:val="auto"/>
          <w:sz w:val="24"/>
          <w:szCs w:val="24"/>
          <w:highlight w:val="none"/>
        </w:rPr>
        <w:t>（二）分项明细报价表</w:t>
      </w:r>
    </w:p>
    <w:p>
      <w:pPr>
        <w:spacing w:line="440" w:lineRule="exact"/>
        <w:ind w:firstLine="480" w:firstLineChars="200"/>
        <w:outlineLvl w:val="0"/>
        <w:rPr>
          <w:rFonts w:ascii="仿宋" w:hAnsi="仿宋" w:eastAsia="仿宋"/>
          <w:color w:val="auto"/>
          <w:sz w:val="24"/>
          <w:szCs w:val="24"/>
          <w:highlight w:val="none"/>
        </w:rPr>
      </w:pPr>
      <w:bookmarkStart w:id="331" w:name="_Toc8966"/>
      <w:bookmarkStart w:id="332" w:name="_Toc13308"/>
      <w:r>
        <w:rPr>
          <w:rFonts w:hint="eastAsia" w:ascii="仿宋" w:hAnsi="仿宋" w:eastAsia="仿宋"/>
          <w:color w:val="auto"/>
          <w:sz w:val="24"/>
          <w:szCs w:val="24"/>
          <w:highlight w:val="none"/>
        </w:rPr>
        <w:t>二、技术部分</w:t>
      </w:r>
      <w:bookmarkEnd w:id="331"/>
      <w:bookmarkEnd w:id="332"/>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（一）技术响应偏离表</w:t>
      </w: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w:t>
      </w: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方案</w:t>
      </w:r>
    </w:p>
    <w:p>
      <w:pPr>
        <w:spacing w:line="440" w:lineRule="exact"/>
        <w:ind w:firstLine="480" w:firstLineChars="200"/>
        <w:outlineLvl w:val="0"/>
        <w:rPr>
          <w:rFonts w:ascii="仿宋" w:hAnsi="仿宋" w:eastAsia="仿宋"/>
          <w:color w:val="auto"/>
          <w:sz w:val="24"/>
          <w:szCs w:val="24"/>
          <w:highlight w:val="none"/>
        </w:rPr>
      </w:pPr>
      <w:bookmarkStart w:id="333" w:name="_Toc29162"/>
      <w:bookmarkStart w:id="334" w:name="_Toc18155"/>
      <w:r>
        <w:rPr>
          <w:rFonts w:hint="eastAsia" w:ascii="仿宋" w:hAnsi="仿宋" w:eastAsia="仿宋"/>
          <w:color w:val="auto"/>
          <w:sz w:val="24"/>
          <w:szCs w:val="24"/>
          <w:highlight w:val="none"/>
        </w:rPr>
        <w:t>三、商务部分</w:t>
      </w:r>
      <w:bookmarkEnd w:id="333"/>
      <w:bookmarkEnd w:id="334"/>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rPr>
        <w:t>）商务响应偏离表</w:t>
      </w:r>
    </w:p>
    <w:p>
      <w:pPr>
        <w:spacing w:line="4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商务部分相关证明材料</w:t>
      </w: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（三）其它优惠服务承诺</w:t>
      </w:r>
    </w:p>
    <w:p>
      <w:pPr>
        <w:spacing w:line="440" w:lineRule="exact"/>
        <w:ind w:firstLine="480" w:firstLineChars="200"/>
        <w:outlineLvl w:val="0"/>
        <w:rPr>
          <w:rFonts w:ascii="仿宋" w:hAnsi="仿宋" w:eastAsia="仿宋"/>
          <w:color w:val="auto"/>
          <w:sz w:val="24"/>
          <w:szCs w:val="24"/>
          <w:highlight w:val="none"/>
        </w:rPr>
      </w:pPr>
      <w:bookmarkStart w:id="335" w:name="_Toc26378"/>
      <w:bookmarkStart w:id="336" w:name="_Toc4092"/>
      <w:r>
        <w:rPr>
          <w:rFonts w:hint="eastAsia" w:ascii="仿宋" w:hAnsi="仿宋" w:eastAsia="仿宋"/>
          <w:color w:val="auto"/>
          <w:sz w:val="24"/>
          <w:szCs w:val="24"/>
          <w:highlight w:val="none"/>
        </w:rPr>
        <w:t>四、资格条件及其他</w:t>
      </w:r>
      <w:bookmarkEnd w:id="335"/>
      <w:bookmarkEnd w:id="336"/>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（一）营业执照（副本）或事业单位法人证书（副本）复印件</w:t>
      </w:r>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（二）组织机构代码证复印件</w:t>
      </w:r>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（三）法定代表人身份证明书（格式）</w:t>
      </w:r>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（四）法定代表人授权委托书（格式）</w:t>
      </w:r>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w:t>
      </w:r>
      <w:r>
        <w:rPr>
          <w:rFonts w:ascii="仿宋" w:hAnsi="仿宋" w:eastAsia="仿宋" w:cs="仿宋"/>
          <w:color w:val="auto"/>
          <w:sz w:val="24"/>
          <w:szCs w:val="24"/>
          <w:highlight w:val="none"/>
        </w:rPr>
        <w:t>基本资格条件承诺函</w:t>
      </w:r>
    </w:p>
    <w:p>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（六）特定资格条件证明文件</w:t>
      </w:r>
    </w:p>
    <w:p>
      <w:pPr>
        <w:spacing w:line="440" w:lineRule="exact"/>
        <w:ind w:firstLine="480" w:firstLineChars="200"/>
        <w:outlineLvl w:val="0"/>
        <w:rPr>
          <w:rFonts w:ascii="仿宋" w:hAnsi="仿宋" w:eastAsia="仿宋"/>
          <w:color w:val="auto"/>
          <w:sz w:val="24"/>
          <w:szCs w:val="24"/>
          <w:highlight w:val="none"/>
        </w:rPr>
      </w:pPr>
      <w:bookmarkStart w:id="337" w:name="_Toc27135"/>
      <w:bookmarkStart w:id="338" w:name="_Toc796"/>
      <w:r>
        <w:rPr>
          <w:rFonts w:hint="eastAsia" w:ascii="仿宋" w:hAnsi="仿宋" w:eastAsia="仿宋"/>
          <w:color w:val="auto"/>
          <w:sz w:val="24"/>
          <w:szCs w:val="24"/>
          <w:highlight w:val="none"/>
        </w:rPr>
        <w:t>五、其他应提供的资料</w:t>
      </w:r>
      <w:bookmarkEnd w:id="337"/>
      <w:bookmarkEnd w:id="338"/>
    </w:p>
    <w:p>
      <w:pPr>
        <w:tabs>
          <w:tab w:val="left" w:pos="6300"/>
        </w:tabs>
        <w:snapToGrid w:val="0"/>
        <w:spacing w:line="500" w:lineRule="exact"/>
        <w:ind w:firstLine="480" w:firstLineChars="200"/>
        <w:outlineLvl w:val="1"/>
        <w:rPr>
          <w:rFonts w:hint="eastAsia" w:ascii="仿宋" w:hAnsi="仿宋" w:eastAsia="仿宋" w:cs="仿宋"/>
          <w:color w:val="auto"/>
          <w:kern w:val="0"/>
          <w:sz w:val="24"/>
          <w:szCs w:val="24"/>
          <w:highlight w:val="none"/>
        </w:rPr>
      </w:pPr>
      <w:bookmarkStart w:id="339" w:name="_Toc27673"/>
      <w:bookmarkStart w:id="340" w:name="_Toc515"/>
      <w:bookmarkStart w:id="341" w:name="_Toc313008356"/>
      <w:bookmarkStart w:id="342" w:name="_Toc342913419"/>
      <w:bookmarkStart w:id="343" w:name="_Toc313888360"/>
      <w:bookmarkStart w:id="344" w:name="_Toc283382454"/>
      <w:bookmarkStart w:id="345" w:name="_Toc12789073"/>
      <w:r>
        <w:rPr>
          <w:rFonts w:hint="eastAsia" w:ascii="仿宋" w:hAnsi="仿宋" w:eastAsia="仿宋" w:cs="仿宋"/>
          <w:color w:val="auto"/>
          <w:kern w:val="0"/>
          <w:sz w:val="24"/>
          <w:szCs w:val="24"/>
          <w:highlight w:val="none"/>
        </w:rPr>
        <w:t>（一）其他与项目有关的资料（自附）</w:t>
      </w:r>
      <w:bookmarkEnd w:id="339"/>
      <w:bookmarkEnd w:id="340"/>
    </w:p>
    <w:p>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（二）中小企业声明函、监狱企业证明文件、残疾人福利性单位声明函</w:t>
      </w:r>
    </w:p>
    <w:p>
      <w:pPr>
        <w:spacing w:line="440" w:lineRule="exact"/>
        <w:ind w:firstLine="480" w:firstLineChars="200"/>
        <w:rPr>
          <w:rFonts w:ascii="仿宋" w:hAnsi="仿宋" w:eastAsia="仿宋"/>
          <w:color w:val="auto"/>
          <w:sz w:val="24"/>
          <w:szCs w:val="24"/>
          <w:highlight w:val="none"/>
        </w:rPr>
        <w:sectPr>
          <w:headerReference r:id="rId8" w:type="default"/>
          <w:footerReference r:id="rId9" w:type="default"/>
          <w:pgSz w:w="11907" w:h="16840"/>
          <w:pgMar w:top="1134" w:right="1191" w:bottom="1134" w:left="1304" w:header="851" w:footer="992" w:gutter="0"/>
          <w:pgNumType w:fmt="decimal"/>
          <w:cols w:space="720" w:num="1"/>
          <w:docGrid w:linePitch="380" w:charSpace="-5735"/>
        </w:sectPr>
      </w:pPr>
    </w:p>
    <w:p>
      <w:pPr>
        <w:pStyle w:val="4"/>
        <w:spacing w:before="0" w:after="0" w:line="360" w:lineRule="auto"/>
        <w:outlineLvl w:val="0"/>
        <w:rPr>
          <w:rFonts w:ascii="仿宋" w:hAnsi="仿宋" w:eastAsia="仿宋"/>
          <w:color w:val="auto"/>
          <w:sz w:val="24"/>
          <w:szCs w:val="24"/>
          <w:highlight w:val="none"/>
        </w:rPr>
      </w:pPr>
      <w:bookmarkStart w:id="346" w:name="_Toc16383"/>
      <w:bookmarkStart w:id="347" w:name="_Toc14012"/>
      <w:bookmarkStart w:id="348" w:name="_Toc10105"/>
      <w:bookmarkStart w:id="349" w:name="_Toc6785"/>
      <w:r>
        <w:rPr>
          <w:rFonts w:hint="eastAsia" w:ascii="仿宋" w:hAnsi="仿宋" w:eastAsia="仿宋"/>
          <w:color w:val="auto"/>
          <w:sz w:val="24"/>
          <w:szCs w:val="24"/>
          <w:highlight w:val="none"/>
        </w:rPr>
        <w:t>一、经济部分</w:t>
      </w:r>
      <w:bookmarkEnd w:id="341"/>
      <w:bookmarkEnd w:id="342"/>
      <w:bookmarkEnd w:id="343"/>
      <w:bookmarkEnd w:id="346"/>
      <w:bookmarkEnd w:id="347"/>
      <w:bookmarkEnd w:id="348"/>
      <w:bookmarkEnd w:id="349"/>
    </w:p>
    <w:bookmarkEnd w:id="344"/>
    <w:bookmarkEnd w:id="345"/>
    <w:p>
      <w:pPr>
        <w:tabs>
          <w:tab w:val="left" w:pos="6300"/>
        </w:tabs>
        <w:snapToGrid w:val="0"/>
        <w:spacing w:line="312" w:lineRule="auto"/>
        <w:jc w:val="left"/>
        <w:outlineLvl w:val="1"/>
        <w:rPr>
          <w:rFonts w:ascii="仿宋" w:hAnsi="仿宋" w:eastAsia="仿宋"/>
          <w:bCs/>
          <w:color w:val="auto"/>
          <w:sz w:val="24"/>
          <w:szCs w:val="24"/>
          <w:highlight w:val="none"/>
        </w:rPr>
      </w:pPr>
      <w:bookmarkStart w:id="350" w:name="_Toc18561"/>
      <w:bookmarkStart w:id="351" w:name="_Toc5496"/>
      <w:r>
        <w:rPr>
          <w:rFonts w:hint="eastAsia" w:ascii="仿宋" w:hAnsi="仿宋" w:eastAsia="仿宋"/>
          <w:bCs/>
          <w:color w:val="auto"/>
          <w:sz w:val="24"/>
          <w:szCs w:val="24"/>
          <w:highlight w:val="none"/>
        </w:rPr>
        <w:t>（一）网上竞采报价函</w:t>
      </w:r>
      <w:bookmarkEnd w:id="350"/>
      <w:bookmarkEnd w:id="351"/>
    </w:p>
    <w:p>
      <w:pPr>
        <w:tabs>
          <w:tab w:val="left" w:pos="6300"/>
        </w:tabs>
        <w:snapToGrid w:val="0"/>
        <w:spacing w:line="312" w:lineRule="auto"/>
        <w:jc w:val="center"/>
        <w:outlineLvl w:val="9"/>
        <w:rPr>
          <w:rFonts w:ascii="仿宋" w:hAnsi="仿宋" w:eastAsia="仿宋"/>
          <w:bCs/>
          <w:color w:val="auto"/>
          <w:sz w:val="24"/>
          <w:szCs w:val="24"/>
          <w:highlight w:val="none"/>
        </w:rPr>
      </w:pPr>
      <w:r>
        <w:rPr>
          <w:rFonts w:hint="eastAsia" w:ascii="仿宋" w:hAnsi="仿宋" w:eastAsia="仿宋"/>
          <w:bCs/>
          <w:color w:val="auto"/>
          <w:sz w:val="24"/>
          <w:szCs w:val="24"/>
          <w:highlight w:val="none"/>
        </w:rPr>
        <w:t>报价函</w:t>
      </w:r>
    </w:p>
    <w:p>
      <w:pPr>
        <w:tabs>
          <w:tab w:val="left" w:pos="6300"/>
        </w:tabs>
        <w:snapToGrid w:val="0"/>
        <w:spacing w:line="312" w:lineRule="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u w:val="single"/>
        </w:rPr>
        <w:t>（采购</w:t>
      </w:r>
      <w:r>
        <w:rPr>
          <w:rFonts w:hint="eastAsia" w:ascii="仿宋" w:hAnsi="仿宋" w:eastAsia="仿宋"/>
          <w:color w:val="auto"/>
          <w:sz w:val="24"/>
          <w:szCs w:val="24"/>
          <w:highlight w:val="none"/>
          <w:u w:val="single"/>
          <w:lang w:eastAsia="zh-CN"/>
        </w:rPr>
        <w:t>人</w:t>
      </w:r>
      <w:r>
        <w:rPr>
          <w:rFonts w:hint="eastAsia" w:ascii="仿宋" w:hAnsi="仿宋" w:eastAsia="仿宋"/>
          <w:color w:val="auto"/>
          <w:sz w:val="24"/>
          <w:szCs w:val="24"/>
          <w:highlight w:val="none"/>
          <w:u w:val="single"/>
        </w:rPr>
        <w:t>名称）</w:t>
      </w:r>
      <w:r>
        <w:rPr>
          <w:rFonts w:hint="eastAsia" w:ascii="仿宋" w:hAnsi="仿宋" w:eastAsia="仿宋"/>
          <w:color w:val="auto"/>
          <w:sz w:val="24"/>
          <w:szCs w:val="24"/>
          <w:highlight w:val="none"/>
        </w:rPr>
        <w:t>：</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我方收到____________________________（项目名称）的</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文件，经详细研究，决定参加该项目的网上竞采。</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1.愿意按照</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文件中的一切要求，提供本项目采购内容及相关服务，总价报价为人民币大写：</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；人民币小写：</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元。</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2.我方现提交的响应文件为：响应文件电子文档</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份。</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3.我方承诺：本次</w:t>
      </w:r>
      <w:r>
        <w:rPr>
          <w:rFonts w:hint="eastAsia" w:ascii="仿宋" w:hAnsi="仿宋" w:eastAsia="仿宋"/>
          <w:color w:val="auto"/>
          <w:sz w:val="24"/>
          <w:szCs w:val="24"/>
          <w:highlight w:val="none"/>
          <w:lang w:eastAsia="zh-CN"/>
        </w:rPr>
        <w:t>投标</w:t>
      </w:r>
      <w:r>
        <w:rPr>
          <w:rFonts w:hint="eastAsia" w:ascii="仿宋" w:hAnsi="仿宋" w:eastAsia="仿宋"/>
          <w:color w:val="auto"/>
          <w:sz w:val="24"/>
          <w:szCs w:val="24"/>
          <w:highlight w:val="none"/>
        </w:rPr>
        <w:t>的有效期为90天。</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4.我方完全理解和接受贵方</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文件的一切规定和要求及评审办法。</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5.在整个网上竞采过程中，我方若有违规行为，接受按照《中华人民共和国政府采购法》和《</w:t>
      </w:r>
      <w:r>
        <w:rPr>
          <w:rFonts w:hint="eastAsia" w:ascii="仿宋" w:hAnsi="仿宋" w:eastAsia="仿宋"/>
          <w:color w:val="auto"/>
          <w:sz w:val="24"/>
          <w:szCs w:val="24"/>
          <w:highlight w:val="none"/>
          <w:lang w:val="en-US" w:eastAsia="zh-CN"/>
        </w:rPr>
        <w:t>采购文件</w:t>
      </w:r>
      <w:r>
        <w:rPr>
          <w:rFonts w:hint="eastAsia" w:ascii="仿宋" w:hAnsi="仿宋" w:eastAsia="仿宋"/>
          <w:color w:val="auto"/>
          <w:sz w:val="24"/>
          <w:szCs w:val="24"/>
          <w:highlight w:val="none"/>
        </w:rPr>
        <w:t>》之规定给予惩罚。</w:t>
      </w:r>
    </w:p>
    <w:p>
      <w:pPr>
        <w:tabs>
          <w:tab w:val="left" w:pos="6300"/>
        </w:tabs>
        <w:snapToGrid w:val="0"/>
        <w:spacing w:line="312" w:lineRule="auto"/>
        <w:ind w:firstLine="480" w:firstLineChars="200"/>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6.我方若成为成交供应商，将按照最终网上竞采结果签订合同，并且严格履行合同义务。本承诺函将成为合同不可分割的一部分，与合同具有同等的法律效力。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7.我方同意按</w:t>
      </w:r>
      <w:r>
        <w:rPr>
          <w:rFonts w:hint="eastAsia" w:ascii="仿宋" w:hAnsi="仿宋" w:eastAsia="仿宋"/>
          <w:color w:val="auto"/>
          <w:sz w:val="24"/>
          <w:szCs w:val="24"/>
          <w:highlight w:val="none"/>
          <w:lang w:val="en-US" w:eastAsia="zh-CN"/>
        </w:rPr>
        <w:t>采购文件</w:t>
      </w:r>
      <w:r>
        <w:rPr>
          <w:rFonts w:hint="eastAsia" w:ascii="仿宋" w:hAnsi="仿宋" w:eastAsia="仿宋"/>
          <w:color w:val="auto"/>
          <w:sz w:val="24"/>
          <w:szCs w:val="24"/>
          <w:highlight w:val="none"/>
        </w:rPr>
        <w:t>规定</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如果我方成为成交供应商，保证在接到成交通知书前，向采购代理机构缴纳</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文件规定的采购代理服务费。</w:t>
      </w:r>
    </w:p>
    <w:p>
      <w:pPr>
        <w:tabs>
          <w:tab w:val="left" w:pos="6300"/>
        </w:tabs>
        <w:snapToGrid w:val="0"/>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hint="eastAsia" w:ascii="仿宋" w:hAnsi="仿宋" w:eastAsia="仿宋"/>
          <w:color w:val="auto"/>
          <w:sz w:val="24"/>
          <w:szCs w:val="28"/>
          <w:highlight w:val="none"/>
        </w:rPr>
        <w:t>我方未</w:t>
      </w:r>
      <w:r>
        <w:rPr>
          <w:rFonts w:ascii="仿宋" w:hAnsi="仿宋" w:eastAsia="仿宋"/>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仿宋" w:hAnsi="仿宋" w:eastAsia="仿宋"/>
          <w:color w:val="auto"/>
          <w:sz w:val="24"/>
          <w:szCs w:val="24"/>
          <w:highlight w:val="none"/>
        </w:rPr>
      </w:pPr>
    </w:p>
    <w:p>
      <w:pPr>
        <w:tabs>
          <w:tab w:val="left" w:pos="6300"/>
        </w:tabs>
        <w:snapToGrid w:val="0"/>
        <w:spacing w:line="312" w:lineRule="auto"/>
        <w:ind w:firstLine="570"/>
        <w:rPr>
          <w:rFonts w:ascii="仿宋" w:hAnsi="仿宋" w:eastAsia="仿宋"/>
          <w:color w:val="auto"/>
          <w:sz w:val="24"/>
          <w:szCs w:val="24"/>
          <w:highlight w:val="none"/>
        </w:rPr>
      </w:pPr>
      <w:r>
        <w:rPr>
          <w:rFonts w:hint="eastAsia" w:ascii="仿宋" w:hAnsi="仿宋" w:eastAsia="仿宋"/>
          <w:color w:val="auto"/>
          <w:sz w:val="24"/>
          <w:szCs w:val="24"/>
          <w:highlight w:val="none"/>
        </w:rPr>
        <w:t>供应商（公章）：</w:t>
      </w:r>
    </w:p>
    <w:p>
      <w:pPr>
        <w:tabs>
          <w:tab w:val="left" w:pos="6300"/>
        </w:tabs>
        <w:snapToGrid w:val="0"/>
        <w:spacing w:line="312" w:lineRule="auto"/>
        <w:ind w:firstLine="57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  </w:t>
      </w:r>
    </w:p>
    <w:p>
      <w:pPr>
        <w:tabs>
          <w:tab w:val="left" w:pos="6300"/>
        </w:tabs>
        <w:snapToGrid w:val="0"/>
        <w:spacing w:line="312" w:lineRule="auto"/>
        <w:ind w:firstLine="57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电话：                                             </w:t>
      </w:r>
    </w:p>
    <w:p>
      <w:pPr>
        <w:tabs>
          <w:tab w:val="left" w:pos="6300"/>
        </w:tabs>
        <w:snapToGrid w:val="0"/>
        <w:spacing w:line="312" w:lineRule="auto"/>
        <w:ind w:firstLine="570"/>
        <w:rPr>
          <w:rFonts w:ascii="仿宋" w:hAnsi="仿宋" w:eastAsia="仿宋"/>
          <w:color w:val="auto"/>
          <w:sz w:val="24"/>
          <w:szCs w:val="24"/>
          <w:highlight w:val="none"/>
        </w:rPr>
      </w:pPr>
      <w:r>
        <w:rPr>
          <w:rFonts w:hint="eastAsia" w:ascii="仿宋" w:hAnsi="仿宋" w:eastAsia="仿宋"/>
          <w:color w:val="auto"/>
          <w:sz w:val="24"/>
          <w:szCs w:val="24"/>
          <w:highlight w:val="none"/>
        </w:rPr>
        <w:t>邮编：</w:t>
      </w:r>
    </w:p>
    <w:p>
      <w:pPr>
        <w:tabs>
          <w:tab w:val="left" w:pos="6300"/>
        </w:tabs>
        <w:snapToGrid w:val="0"/>
        <w:spacing w:line="312" w:lineRule="auto"/>
        <w:ind w:firstLine="570"/>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p>
      <w:pPr>
        <w:snapToGrid w:val="0"/>
        <w:spacing w:line="312"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   日</w:t>
      </w: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30"/>
        <w:rPr>
          <w:rFonts w:eastAsia="仿宋"/>
          <w:color w:val="auto"/>
          <w:highlight w:val="none"/>
        </w:rPr>
      </w:pPr>
    </w:p>
    <w:p>
      <w:pPr>
        <w:pStyle w:val="18"/>
        <w:ind w:left="0" w:leftChars="0" w:firstLine="0" w:firstLineChars="0"/>
        <w:rPr>
          <w:color w:val="auto"/>
          <w:highlight w:val="none"/>
        </w:rPr>
      </w:pPr>
    </w:p>
    <w:p>
      <w:pPr>
        <w:snapToGrid w:val="0"/>
        <w:spacing w:line="500" w:lineRule="exact"/>
        <w:ind w:firstLine="560"/>
        <w:outlineLvl w:val="1"/>
        <w:rPr>
          <w:rFonts w:ascii="仿宋" w:hAnsi="仿宋" w:eastAsia="仿宋"/>
          <w:color w:val="auto"/>
          <w:sz w:val="24"/>
          <w:highlight w:val="none"/>
        </w:rPr>
      </w:pPr>
      <w:bookmarkStart w:id="352" w:name="_Toc26879"/>
      <w:bookmarkStart w:id="353" w:name="_Toc2399"/>
      <w:r>
        <w:rPr>
          <w:rFonts w:hint="eastAsia" w:ascii="仿宋" w:hAnsi="仿宋" w:eastAsia="仿宋"/>
          <w:color w:val="auto"/>
          <w:highlight w:val="none"/>
        </w:rPr>
        <w:t>（二）分项报价明细表</w:t>
      </w:r>
      <w:bookmarkEnd w:id="352"/>
      <w:bookmarkEnd w:id="353"/>
    </w:p>
    <w:p>
      <w:pPr>
        <w:snapToGrid w:val="0"/>
        <w:spacing w:line="500" w:lineRule="exact"/>
        <w:rPr>
          <w:rFonts w:ascii="仿宋" w:hAnsi="仿宋" w:eastAsia="仿宋"/>
          <w:color w:val="auto"/>
          <w:sz w:val="24"/>
          <w:highlight w:val="none"/>
        </w:rPr>
      </w:pPr>
      <w:r>
        <w:rPr>
          <w:rFonts w:hint="eastAsia" w:ascii="仿宋" w:hAnsi="仿宋" w:eastAsia="仿宋"/>
          <w:color w:val="auto"/>
          <w:sz w:val="24"/>
          <w:highlight w:val="none"/>
        </w:rPr>
        <w:t>项目名称：</w:t>
      </w:r>
    </w:p>
    <w:p>
      <w:pPr>
        <w:snapToGrid w:val="0"/>
        <w:spacing w:line="500" w:lineRule="exact"/>
        <w:rPr>
          <w:rFonts w:ascii="仿宋" w:hAnsi="仿宋" w:eastAsia="仿宋"/>
          <w:color w:val="auto"/>
          <w:sz w:val="24"/>
          <w:highlight w:val="none"/>
        </w:rPr>
      </w:pPr>
      <w:r>
        <w:rPr>
          <w:rFonts w:hint="eastAsia" w:ascii="仿宋" w:hAnsi="仿宋" w:eastAsia="仿宋"/>
          <w:color w:val="auto"/>
          <w:sz w:val="24"/>
          <w:highlight w:val="none"/>
        </w:rPr>
        <w:t xml:space="preserve">                                                         单位：元</w:t>
      </w:r>
    </w:p>
    <w:tbl>
      <w:tblPr>
        <w:tblStyle w:val="19"/>
        <w:tblW w:w="0" w:type="auto"/>
        <w:jc w:val="center"/>
        <w:tblLayout w:type="fixed"/>
        <w:tblCellMar>
          <w:top w:w="0" w:type="dxa"/>
          <w:left w:w="0" w:type="dxa"/>
          <w:bottom w:w="0" w:type="dxa"/>
          <w:right w:w="0" w:type="dxa"/>
        </w:tblCellMar>
      </w:tblPr>
      <w:tblGrid>
        <w:gridCol w:w="934"/>
        <w:gridCol w:w="934"/>
        <w:gridCol w:w="4682"/>
        <w:gridCol w:w="1210"/>
        <w:gridCol w:w="934"/>
        <w:gridCol w:w="934"/>
      </w:tblGrid>
      <w:tr>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1"/>
                <w:highlight w:val="none"/>
              </w:rPr>
            </w:pPr>
            <w:r>
              <w:rPr>
                <w:rFonts w:ascii="仿宋" w:hAnsi="仿宋" w:eastAsia="仿宋"/>
                <w:b/>
                <w:color w:val="auto"/>
                <w:sz w:val="21"/>
                <w:highlight w:val="none"/>
              </w:rPr>
              <w:t>序号</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1"/>
                <w:highlight w:val="none"/>
              </w:rPr>
            </w:pPr>
            <w:r>
              <w:rPr>
                <w:rFonts w:ascii="仿宋" w:hAnsi="仿宋" w:eastAsia="仿宋"/>
                <w:b/>
                <w:color w:val="auto"/>
                <w:sz w:val="21"/>
                <w:highlight w:val="none"/>
              </w:rPr>
              <w:t>名称</w:t>
            </w: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1"/>
                <w:highlight w:val="none"/>
              </w:rPr>
            </w:pPr>
            <w:r>
              <w:rPr>
                <w:rFonts w:ascii="仿宋" w:hAnsi="仿宋" w:eastAsia="仿宋"/>
                <w:b/>
                <w:color w:val="auto"/>
                <w:sz w:val="21"/>
                <w:highlight w:val="none"/>
              </w:rPr>
              <w:t>相关信息</w:t>
            </w: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1"/>
                <w:highlight w:val="none"/>
              </w:rPr>
            </w:pPr>
            <w:r>
              <w:rPr>
                <w:rFonts w:ascii="仿宋" w:hAnsi="仿宋" w:eastAsia="仿宋"/>
                <w:b/>
                <w:color w:val="auto"/>
                <w:sz w:val="21"/>
                <w:highlight w:val="none"/>
              </w:rPr>
              <w:t>数量</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1"/>
                <w:highlight w:val="none"/>
              </w:rPr>
            </w:pPr>
            <w:r>
              <w:rPr>
                <w:rFonts w:ascii="仿宋" w:hAnsi="仿宋" w:eastAsia="仿宋"/>
                <w:b/>
                <w:color w:val="auto"/>
                <w:sz w:val="21"/>
                <w:highlight w:val="none"/>
              </w:rPr>
              <w:t>单价</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
                <w:color w:val="auto"/>
                <w:sz w:val="21"/>
                <w:highlight w:val="none"/>
              </w:rPr>
            </w:pPr>
            <w:r>
              <w:rPr>
                <w:rFonts w:ascii="仿宋" w:hAnsi="仿宋" w:eastAsia="仿宋"/>
                <w:b/>
                <w:color w:val="auto"/>
                <w:sz w:val="21"/>
                <w:highlight w:val="none"/>
              </w:rPr>
              <w:t>合计</w:t>
            </w: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1</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2</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3</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4</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5</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8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6</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7</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8</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r>
              <w:rPr>
                <w:rFonts w:ascii="仿宋" w:hAnsi="仿宋" w:eastAsia="仿宋"/>
                <w:color w:val="auto"/>
                <w:sz w:val="21"/>
                <w:highlight w:val="none"/>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9</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r>
              <w:rPr>
                <w:rFonts w:ascii="仿宋" w:hAnsi="仿宋" w:eastAsia="仿宋"/>
                <w:color w:val="auto"/>
                <w:sz w:val="21"/>
                <w:highlight w:val="none"/>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10</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r>
              <w:rPr>
                <w:rFonts w:ascii="仿宋" w:hAnsi="仿宋" w:eastAsia="仿宋"/>
                <w:color w:val="auto"/>
                <w:sz w:val="21"/>
                <w:highlight w:val="none"/>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11</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r>
              <w:rPr>
                <w:rFonts w:ascii="仿宋" w:hAnsi="仿宋" w:eastAsia="仿宋"/>
                <w:color w:val="auto"/>
                <w:sz w:val="21"/>
                <w:highlight w:val="none"/>
              </w:rPr>
              <w:t>……</w:t>
            </w:r>
          </w:p>
        </w:tc>
        <w:tc>
          <w:tcPr>
            <w:tcW w:w="46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12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r>
              <w:rPr>
                <w:rFonts w:ascii="仿宋" w:hAnsi="仿宋" w:eastAsia="仿宋"/>
                <w:color w:val="auto"/>
                <w:sz w:val="21"/>
                <w:highlight w:val="none"/>
              </w:rPr>
              <w:t>/</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color w:val="auto"/>
                <w:sz w:val="21"/>
                <w:highlight w:val="none"/>
              </w:rPr>
            </w:pPr>
          </w:p>
        </w:tc>
      </w:tr>
      <w:tr>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color w:val="auto"/>
                <w:sz w:val="21"/>
                <w:highlight w:val="none"/>
              </w:rPr>
            </w:pPr>
            <w:r>
              <w:rPr>
                <w:rFonts w:ascii="仿宋" w:hAnsi="仿宋" w:eastAsia="仿宋"/>
                <w:color w:val="auto"/>
                <w:sz w:val="21"/>
                <w:highlight w:val="none"/>
              </w:rPr>
              <w:t>12</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olor w:val="auto"/>
                <w:sz w:val="21"/>
                <w:highlight w:val="none"/>
              </w:rPr>
            </w:pPr>
            <w:r>
              <w:rPr>
                <w:rFonts w:ascii="仿宋" w:hAnsi="仿宋" w:eastAsia="仿宋"/>
                <w:color w:val="auto"/>
                <w:sz w:val="21"/>
                <w:highlight w:val="none"/>
              </w:rPr>
              <w:t>总计</w:t>
            </w:r>
          </w:p>
        </w:tc>
        <w:tc>
          <w:tcPr>
            <w:tcW w:w="77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rFonts w:ascii="仿宋" w:hAnsi="仿宋" w:eastAsia="仿宋"/>
                <w:color w:val="auto"/>
                <w:sz w:val="21"/>
                <w:highlight w:val="none"/>
              </w:rPr>
            </w:pPr>
          </w:p>
        </w:tc>
      </w:tr>
    </w:tbl>
    <w:p>
      <w:pPr>
        <w:snapToGrid w:val="0"/>
        <w:spacing w:line="500" w:lineRule="exact"/>
        <w:ind w:firstLine="480"/>
        <w:rPr>
          <w:rFonts w:ascii="仿宋" w:hAnsi="仿宋" w:eastAsia="仿宋"/>
          <w:color w:val="auto"/>
          <w:sz w:val="24"/>
          <w:highlight w:val="none"/>
        </w:rPr>
      </w:pPr>
    </w:p>
    <w:p>
      <w:pPr>
        <w:snapToGrid w:val="0"/>
        <w:spacing w:line="500" w:lineRule="exact"/>
        <w:ind w:firstLine="600"/>
        <w:rPr>
          <w:rFonts w:ascii="仿宋" w:hAnsi="仿宋" w:eastAsia="仿宋"/>
          <w:color w:val="auto"/>
          <w:sz w:val="24"/>
          <w:highlight w:val="none"/>
        </w:rPr>
      </w:pPr>
      <w:r>
        <w:rPr>
          <w:rFonts w:hint="eastAsia" w:ascii="仿宋" w:hAnsi="仿宋" w:eastAsia="仿宋"/>
          <w:color w:val="auto"/>
          <w:sz w:val="24"/>
          <w:highlight w:val="none"/>
        </w:rPr>
        <w:t>供应商：                           法定代表人或法定代表人授权代表：</w:t>
      </w:r>
    </w:p>
    <w:p>
      <w:pPr>
        <w:snapToGrid w:val="0"/>
        <w:spacing w:line="500" w:lineRule="exact"/>
        <w:rPr>
          <w:rFonts w:ascii="仿宋" w:hAnsi="仿宋" w:eastAsia="仿宋"/>
          <w:color w:val="auto"/>
          <w:sz w:val="24"/>
          <w:highlight w:val="none"/>
        </w:rPr>
      </w:pPr>
      <w:r>
        <w:rPr>
          <w:rFonts w:hint="eastAsia" w:ascii="仿宋" w:hAnsi="仿宋" w:eastAsia="仿宋"/>
          <w:color w:val="auto"/>
          <w:sz w:val="24"/>
          <w:highlight w:val="none"/>
        </w:rPr>
        <w:t xml:space="preserve">  （供应商公章）                               （签字或盖章）</w:t>
      </w:r>
    </w:p>
    <w:p>
      <w:pPr>
        <w:snapToGrid w:val="0"/>
        <w:spacing w:line="500" w:lineRule="exact"/>
        <w:rPr>
          <w:rFonts w:ascii="仿宋" w:hAnsi="仿宋" w:eastAsia="仿宋"/>
          <w:color w:val="auto"/>
          <w:sz w:val="24"/>
          <w:highlight w:val="none"/>
        </w:rPr>
      </w:pPr>
    </w:p>
    <w:p>
      <w:pPr>
        <w:snapToGrid w:val="0"/>
        <w:spacing w:line="500" w:lineRule="exact"/>
        <w:rPr>
          <w:rFonts w:ascii="仿宋" w:hAnsi="仿宋" w:eastAsia="仿宋"/>
          <w:color w:val="auto"/>
          <w:sz w:val="24"/>
          <w:highlight w:val="none"/>
        </w:rPr>
      </w:pPr>
    </w:p>
    <w:p>
      <w:pPr>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napToGrid w:val="0"/>
        <w:spacing w:line="500" w:lineRule="exact"/>
        <w:ind w:firstLine="480"/>
        <w:rPr>
          <w:rFonts w:ascii="仿宋" w:hAnsi="仿宋" w:eastAsia="仿宋"/>
          <w:color w:val="auto"/>
          <w:sz w:val="24"/>
          <w:highlight w:val="none"/>
        </w:rPr>
      </w:pPr>
    </w:p>
    <w:p>
      <w:pPr>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注：</w:t>
      </w:r>
    </w:p>
    <w:p>
      <w:pPr>
        <w:numPr>
          <w:ilvl w:val="0"/>
          <w:numId w:val="6"/>
        </w:numPr>
        <w:snapToGrid w:val="0"/>
        <w:spacing w:line="500" w:lineRule="exact"/>
        <w:rPr>
          <w:rFonts w:ascii="仿宋" w:hAnsi="仿宋" w:eastAsia="仿宋"/>
          <w:color w:val="auto"/>
          <w:sz w:val="24"/>
          <w:highlight w:val="none"/>
        </w:rPr>
      </w:pPr>
      <w:r>
        <w:rPr>
          <w:rFonts w:hint="eastAsia" w:ascii="仿宋" w:hAnsi="仿宋" w:eastAsia="仿宋"/>
          <w:color w:val="auto"/>
          <w:sz w:val="24"/>
          <w:highlight w:val="none"/>
        </w:rPr>
        <w:t>请供应商完整填写本表；</w:t>
      </w:r>
    </w:p>
    <w:p>
      <w:pPr>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2.该表可扩展，并逐页签字或加盖单位公章。</w:t>
      </w:r>
    </w:p>
    <w:p>
      <w:pPr>
        <w:snapToGrid w:val="0"/>
        <w:spacing w:line="312" w:lineRule="auto"/>
        <w:ind w:firstLine="480" w:firstLineChars="200"/>
        <w:rPr>
          <w:rFonts w:ascii="仿宋" w:hAnsi="仿宋" w:eastAsia="仿宋"/>
          <w:color w:val="auto"/>
          <w:sz w:val="24"/>
          <w:szCs w:val="24"/>
          <w:highlight w:val="none"/>
        </w:rPr>
        <w:sectPr>
          <w:pgSz w:w="11907" w:h="16840"/>
          <w:pgMar w:top="1134" w:right="1191" w:bottom="1134" w:left="1304" w:header="680" w:footer="992" w:gutter="0"/>
          <w:pgNumType w:fmt="decimal"/>
          <w:cols w:space="720" w:num="1"/>
          <w:docGrid w:linePitch="380" w:charSpace="-5735"/>
        </w:sectPr>
      </w:pPr>
    </w:p>
    <w:p>
      <w:pPr>
        <w:pStyle w:val="4"/>
        <w:spacing w:before="0" w:after="0" w:line="360" w:lineRule="auto"/>
        <w:outlineLvl w:val="0"/>
        <w:rPr>
          <w:rFonts w:ascii="仿宋" w:hAnsi="仿宋" w:eastAsia="仿宋"/>
          <w:color w:val="auto"/>
          <w:sz w:val="24"/>
          <w:szCs w:val="24"/>
          <w:highlight w:val="none"/>
        </w:rPr>
      </w:pPr>
      <w:bookmarkStart w:id="354" w:name="_Toc313888361"/>
      <w:bookmarkStart w:id="355" w:name="_Toc11802"/>
      <w:bookmarkStart w:id="356" w:name="_Toc31257"/>
      <w:bookmarkStart w:id="357" w:name="_Toc342913420"/>
      <w:bookmarkStart w:id="358" w:name="_Toc313008357"/>
      <w:bookmarkStart w:id="359" w:name="_Toc10995"/>
      <w:bookmarkStart w:id="360" w:name="_Toc17044"/>
      <w:bookmarkStart w:id="361" w:name="_Toc11239"/>
      <w:bookmarkStart w:id="362" w:name="_Toc20312"/>
      <w:r>
        <w:rPr>
          <w:rFonts w:hint="eastAsia" w:ascii="仿宋" w:hAnsi="仿宋" w:eastAsia="仿宋"/>
          <w:color w:val="auto"/>
          <w:sz w:val="24"/>
          <w:szCs w:val="24"/>
          <w:highlight w:val="none"/>
        </w:rPr>
        <w:t>二、技术部分</w:t>
      </w:r>
      <w:bookmarkEnd w:id="354"/>
      <w:bookmarkEnd w:id="355"/>
      <w:bookmarkEnd w:id="356"/>
      <w:bookmarkEnd w:id="357"/>
      <w:bookmarkEnd w:id="358"/>
      <w:bookmarkEnd w:id="359"/>
      <w:bookmarkEnd w:id="360"/>
      <w:bookmarkEnd w:id="361"/>
      <w:bookmarkEnd w:id="362"/>
    </w:p>
    <w:p>
      <w:pPr>
        <w:snapToGrid w:val="0"/>
        <w:spacing w:line="360" w:lineRule="auto"/>
        <w:outlineLvl w:val="1"/>
        <w:rPr>
          <w:rFonts w:ascii="仿宋" w:hAnsi="仿宋" w:eastAsia="仿宋"/>
          <w:color w:val="auto"/>
          <w:sz w:val="24"/>
          <w:szCs w:val="24"/>
          <w:highlight w:val="none"/>
        </w:rPr>
      </w:pPr>
      <w:bookmarkStart w:id="363" w:name="_Toc17575"/>
      <w:bookmarkStart w:id="364" w:name="_Toc11387"/>
      <w:r>
        <w:rPr>
          <w:rFonts w:hint="eastAsia" w:ascii="仿宋" w:hAnsi="仿宋" w:eastAsia="仿宋"/>
          <w:color w:val="auto"/>
          <w:sz w:val="24"/>
          <w:szCs w:val="24"/>
          <w:highlight w:val="none"/>
        </w:rPr>
        <w:t>（一）技术响应偏离表</w:t>
      </w:r>
      <w:bookmarkEnd w:id="363"/>
      <w:bookmarkEnd w:id="364"/>
    </w:p>
    <w:p>
      <w:pPr>
        <w:snapToGrid w:val="0"/>
        <w:spacing w:line="360" w:lineRule="auto"/>
        <w:jc w:val="center"/>
        <w:rPr>
          <w:rFonts w:ascii="仿宋" w:hAnsi="仿宋" w:eastAsia="仿宋"/>
          <w:b/>
          <w:color w:val="auto"/>
          <w:szCs w:val="28"/>
          <w:highlight w:val="none"/>
        </w:rPr>
      </w:pPr>
      <w:r>
        <w:rPr>
          <w:rFonts w:hint="eastAsia" w:ascii="仿宋" w:hAnsi="仿宋" w:eastAsia="仿宋"/>
          <w:b/>
          <w:color w:val="auto"/>
          <w:szCs w:val="28"/>
          <w:highlight w:val="none"/>
        </w:rPr>
        <w:t>技术响应偏离表</w:t>
      </w:r>
    </w:p>
    <w:p>
      <w:pPr>
        <w:snapToGrid w:val="0"/>
        <w:spacing w:line="360" w:lineRule="auto"/>
        <w:ind w:firstLine="465"/>
        <w:rPr>
          <w:rFonts w:ascii="仿宋" w:hAnsi="仿宋" w:eastAsia="仿宋"/>
          <w:color w:val="auto"/>
          <w:sz w:val="24"/>
          <w:szCs w:val="24"/>
          <w:highlight w:val="none"/>
        </w:rPr>
      </w:pPr>
      <w:r>
        <w:rPr>
          <w:rFonts w:hint="eastAsia" w:ascii="仿宋" w:hAnsi="仿宋" w:eastAsia="仿宋"/>
          <w:color w:val="auto"/>
          <w:sz w:val="24"/>
          <w:szCs w:val="24"/>
          <w:highlight w:val="none"/>
        </w:rPr>
        <w:t>对于</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文件的技术服务要求，如有任何偏离请如实填写下表：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65" w:name="_Toc18481"/>
            <w:bookmarkStart w:id="366" w:name="_Toc21345"/>
            <w:r>
              <w:rPr>
                <w:rFonts w:ascii="仿宋" w:hAnsi="仿宋" w:eastAsia="仿宋"/>
                <w:color w:val="auto"/>
                <w:sz w:val="21"/>
                <w:szCs w:val="24"/>
                <w:highlight w:val="none"/>
              </w:rPr>
              <w:t>序号</w:t>
            </w:r>
            <w:bookmarkEnd w:id="365"/>
            <w:bookmarkEnd w:id="366"/>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67" w:name="_Toc337"/>
            <w:bookmarkStart w:id="368" w:name="_Toc15775"/>
            <w:r>
              <w:rPr>
                <w:rFonts w:hint="eastAsia" w:ascii="仿宋" w:hAnsi="仿宋" w:eastAsia="仿宋"/>
                <w:color w:val="auto"/>
                <w:sz w:val="21"/>
                <w:szCs w:val="24"/>
                <w:highlight w:val="none"/>
              </w:rPr>
              <w:t>采购</w:t>
            </w:r>
            <w:r>
              <w:rPr>
                <w:rFonts w:ascii="仿宋" w:hAnsi="仿宋" w:eastAsia="仿宋"/>
                <w:color w:val="auto"/>
                <w:sz w:val="21"/>
                <w:szCs w:val="24"/>
                <w:highlight w:val="none"/>
              </w:rPr>
              <w:t>项目需求</w:t>
            </w:r>
            <w:bookmarkEnd w:id="367"/>
            <w:bookmarkEnd w:id="368"/>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69" w:name="_Toc24798"/>
            <w:bookmarkStart w:id="370" w:name="_Toc24133"/>
            <w:r>
              <w:rPr>
                <w:rFonts w:ascii="仿宋" w:hAnsi="仿宋" w:eastAsia="仿宋"/>
                <w:color w:val="auto"/>
                <w:sz w:val="21"/>
                <w:szCs w:val="24"/>
                <w:highlight w:val="none"/>
              </w:rPr>
              <w:t>响应情况</w:t>
            </w:r>
            <w:bookmarkEnd w:id="369"/>
            <w:bookmarkEnd w:id="370"/>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71" w:name="_Toc8569"/>
            <w:bookmarkStart w:id="372" w:name="_Toc26380"/>
            <w:r>
              <w:rPr>
                <w:rFonts w:ascii="仿宋" w:hAnsi="仿宋" w:eastAsia="仿宋"/>
                <w:color w:val="auto"/>
                <w:sz w:val="21"/>
                <w:szCs w:val="24"/>
                <w:highlight w:val="none"/>
              </w:rPr>
              <w:t>差异说明</w:t>
            </w:r>
            <w:bookmarkEnd w:id="371"/>
            <w:bookmarkEnd w:id="3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bl>
    <w:p>
      <w:pPr>
        <w:snapToGrid w:val="0"/>
        <w:spacing w:line="360" w:lineRule="auto"/>
        <w:ind w:firstLine="465"/>
        <w:rPr>
          <w:rFonts w:ascii="仿宋" w:hAnsi="仿宋" w:eastAsia="仿宋"/>
          <w:color w:val="auto"/>
          <w:sz w:val="24"/>
          <w:szCs w:val="24"/>
          <w:highlight w:val="none"/>
        </w:rPr>
      </w:pPr>
    </w:p>
    <w:p>
      <w:pPr>
        <w:spacing w:line="500" w:lineRule="exact"/>
        <w:ind w:firstLine="600" w:firstLineChars="25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法定代表人授权代表：</w:t>
      </w:r>
    </w:p>
    <w:p>
      <w:pPr>
        <w:spacing w:line="500" w:lineRule="exact"/>
        <w:rPr>
          <w:rFonts w:ascii="仿宋" w:hAnsi="仿宋" w:eastAsia="仿宋"/>
          <w:color w:val="auto"/>
          <w:sz w:val="24"/>
          <w:szCs w:val="28"/>
          <w:highlight w:val="none"/>
        </w:rPr>
      </w:pPr>
    </w:p>
    <w:p>
      <w:pPr>
        <w:spacing w:line="500" w:lineRule="exact"/>
        <w:ind w:firstLine="360" w:firstLineChars="15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                                 （签字或盖章）</w:t>
      </w: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szCs w:val="28"/>
          <w:highlight w:val="none"/>
        </w:rPr>
        <w:t xml:space="preserve">                                            年     月     日</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1.本表即为对本项目“第二篇 </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项目服务需求”中所列要求进行比较和响应；</w:t>
      </w:r>
    </w:p>
    <w:p>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2.该表必须按照网上竞采要求逐条如实填写，“采购项目需求”填写本文件“第二篇 项目技术服务需求”中所列要求的内容，“响应情况”填写竞标响应的内容，根据响应情况在“差异说明”项填写正偏离或负偏离及原因，完全符合的填写“无差异”；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3.该表可扩展，并逐页签字或加盖供应商公章。</w:t>
      </w:r>
    </w:p>
    <w:p>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pPr>
        <w:pStyle w:val="5"/>
        <w:outlineLvl w:val="1"/>
        <w:rPr>
          <w:rFonts w:ascii="仿宋" w:hAnsi="仿宋" w:eastAsia="仿宋"/>
          <w:color w:val="auto"/>
          <w:sz w:val="24"/>
          <w:szCs w:val="24"/>
          <w:highlight w:val="none"/>
        </w:rPr>
      </w:pPr>
      <w:bookmarkStart w:id="373" w:name="_Toc5122"/>
      <w:bookmarkStart w:id="374" w:name="_Toc29712"/>
      <w:bookmarkStart w:id="375" w:name="_Toc469"/>
      <w:bookmarkStart w:id="376" w:name="_Toc12797"/>
      <w:r>
        <w:rPr>
          <w:rFonts w:hint="eastAsia" w:ascii="仿宋" w:hAnsi="仿宋" w:eastAsia="仿宋"/>
          <w:b w:val="0"/>
          <w:bCs/>
          <w:color w:val="auto"/>
          <w:sz w:val="24"/>
          <w:szCs w:val="24"/>
          <w:highlight w:val="none"/>
          <w:lang w:eastAsia="zh-CN"/>
        </w:rPr>
        <w:t>（</w:t>
      </w:r>
      <w:r>
        <w:rPr>
          <w:rFonts w:hint="eastAsia" w:ascii="仿宋" w:hAnsi="仿宋" w:eastAsia="仿宋"/>
          <w:b w:val="0"/>
          <w:bCs/>
          <w:color w:val="auto"/>
          <w:sz w:val="24"/>
          <w:szCs w:val="24"/>
          <w:highlight w:val="none"/>
          <w:lang w:val="en-US" w:eastAsia="zh-CN"/>
        </w:rPr>
        <w:t>二</w:t>
      </w:r>
      <w:r>
        <w:rPr>
          <w:rFonts w:hint="eastAsia" w:ascii="仿宋" w:hAnsi="仿宋" w:eastAsia="仿宋"/>
          <w:b w:val="0"/>
          <w:bCs/>
          <w:color w:val="auto"/>
          <w:sz w:val="24"/>
          <w:szCs w:val="24"/>
          <w:highlight w:val="none"/>
          <w:lang w:eastAsia="zh-CN"/>
        </w:rPr>
        <w:t>）</w:t>
      </w:r>
      <w:r>
        <w:rPr>
          <w:rFonts w:hint="eastAsia" w:ascii="仿宋" w:hAnsi="仿宋" w:eastAsia="仿宋"/>
          <w:b w:val="0"/>
          <w:bCs/>
          <w:color w:val="auto"/>
          <w:sz w:val="24"/>
          <w:szCs w:val="24"/>
          <w:highlight w:val="none"/>
          <w:lang w:val="en-US" w:eastAsia="zh-CN"/>
        </w:rPr>
        <w:t>服务</w:t>
      </w:r>
      <w:r>
        <w:rPr>
          <w:rFonts w:hint="eastAsia" w:ascii="仿宋" w:hAnsi="仿宋" w:eastAsia="仿宋"/>
          <w:b w:val="0"/>
          <w:bCs/>
          <w:color w:val="auto"/>
          <w:sz w:val="24"/>
          <w:szCs w:val="24"/>
          <w:highlight w:val="none"/>
        </w:rPr>
        <w:t>方案（格式自定，建议按照评审标准技术部分编写）</w:t>
      </w:r>
      <w:r>
        <w:rPr>
          <w:color w:val="auto"/>
          <w:highlight w:val="none"/>
        </w:rPr>
        <w:br w:type="page"/>
      </w:r>
      <w:bookmarkStart w:id="377" w:name="_Toc313008358"/>
      <w:bookmarkStart w:id="378" w:name="_Toc30551"/>
      <w:bookmarkStart w:id="379" w:name="_Toc313888362"/>
      <w:bookmarkStart w:id="380" w:name="_Toc342913421"/>
      <w:bookmarkStart w:id="381" w:name="_Toc18617"/>
      <w:r>
        <w:rPr>
          <w:rFonts w:hint="eastAsia" w:ascii="仿宋" w:hAnsi="仿宋" w:eastAsia="仿宋"/>
          <w:color w:val="auto"/>
          <w:sz w:val="24"/>
          <w:szCs w:val="24"/>
          <w:highlight w:val="none"/>
        </w:rPr>
        <w:t>三、商务部分</w:t>
      </w:r>
      <w:bookmarkEnd w:id="373"/>
      <w:bookmarkEnd w:id="374"/>
      <w:bookmarkEnd w:id="375"/>
      <w:bookmarkEnd w:id="376"/>
      <w:bookmarkEnd w:id="377"/>
      <w:bookmarkEnd w:id="378"/>
      <w:bookmarkEnd w:id="379"/>
      <w:bookmarkEnd w:id="380"/>
      <w:bookmarkEnd w:id="381"/>
    </w:p>
    <w:p>
      <w:pPr>
        <w:snapToGrid w:val="0"/>
        <w:spacing w:line="360" w:lineRule="auto"/>
        <w:outlineLvl w:val="1"/>
        <w:rPr>
          <w:rFonts w:ascii="仿宋" w:hAnsi="仿宋" w:eastAsia="仿宋"/>
          <w:color w:val="auto"/>
          <w:sz w:val="24"/>
          <w:szCs w:val="24"/>
          <w:highlight w:val="none"/>
        </w:rPr>
      </w:pPr>
      <w:bookmarkStart w:id="382" w:name="_Toc30359"/>
      <w:bookmarkStart w:id="383" w:name="_Toc22186"/>
      <w:bookmarkStart w:id="384" w:name="_Toc5320"/>
      <w:r>
        <w:rPr>
          <w:rFonts w:hint="eastAsia" w:ascii="仿宋" w:hAnsi="仿宋" w:eastAsia="仿宋"/>
          <w:color w:val="auto"/>
          <w:sz w:val="24"/>
          <w:szCs w:val="24"/>
          <w:highlight w:val="none"/>
        </w:rPr>
        <w:t>（一）</w:t>
      </w:r>
      <w:bookmarkEnd w:id="382"/>
      <w:bookmarkStart w:id="385" w:name="_Toc283382459"/>
      <w:r>
        <w:rPr>
          <w:rFonts w:hint="eastAsia" w:ascii="仿宋" w:hAnsi="仿宋" w:eastAsia="仿宋"/>
          <w:color w:val="auto"/>
          <w:sz w:val="24"/>
          <w:szCs w:val="24"/>
          <w:highlight w:val="none"/>
        </w:rPr>
        <w:t>商务响应偏离表</w:t>
      </w:r>
      <w:bookmarkEnd w:id="383"/>
      <w:bookmarkEnd w:id="384"/>
    </w:p>
    <w:p>
      <w:pPr>
        <w:snapToGrid w:val="0"/>
        <w:spacing w:line="360" w:lineRule="auto"/>
        <w:jc w:val="center"/>
        <w:rPr>
          <w:rFonts w:ascii="仿宋" w:hAnsi="仿宋" w:eastAsia="仿宋"/>
          <w:b/>
          <w:color w:val="auto"/>
          <w:szCs w:val="28"/>
          <w:highlight w:val="none"/>
        </w:rPr>
      </w:pPr>
      <w:r>
        <w:rPr>
          <w:rFonts w:hint="eastAsia" w:ascii="仿宋" w:hAnsi="仿宋" w:eastAsia="仿宋"/>
          <w:b/>
          <w:color w:val="auto"/>
          <w:szCs w:val="28"/>
          <w:highlight w:val="none"/>
        </w:rPr>
        <w:t>商务响应偏离表</w:t>
      </w:r>
    </w:p>
    <w:p>
      <w:pPr>
        <w:snapToGrid w:val="0"/>
        <w:spacing w:line="360" w:lineRule="auto"/>
        <w:ind w:firstLine="465"/>
        <w:rPr>
          <w:rFonts w:ascii="仿宋" w:hAnsi="仿宋" w:eastAsia="仿宋"/>
          <w:color w:val="auto"/>
          <w:sz w:val="24"/>
          <w:szCs w:val="24"/>
          <w:highlight w:val="none"/>
        </w:rPr>
      </w:pPr>
      <w:r>
        <w:rPr>
          <w:rFonts w:hint="eastAsia" w:ascii="仿宋" w:hAnsi="仿宋" w:eastAsia="仿宋"/>
          <w:color w:val="auto"/>
          <w:sz w:val="24"/>
          <w:szCs w:val="24"/>
          <w:highlight w:val="none"/>
        </w:rPr>
        <w:t>对于</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文件的商务要求，如有任何偏离请如实填写下表：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86" w:name="_Toc1856"/>
            <w:bookmarkStart w:id="387" w:name="_Toc8475"/>
            <w:r>
              <w:rPr>
                <w:rFonts w:ascii="仿宋" w:hAnsi="仿宋" w:eastAsia="仿宋"/>
                <w:color w:val="auto"/>
                <w:sz w:val="21"/>
                <w:szCs w:val="24"/>
                <w:highlight w:val="none"/>
              </w:rPr>
              <w:t>序号</w:t>
            </w:r>
            <w:bookmarkEnd w:id="386"/>
            <w:bookmarkEnd w:id="387"/>
          </w:p>
        </w:tc>
        <w:tc>
          <w:tcPr>
            <w:tcW w:w="3179"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88" w:name="_Toc28228"/>
            <w:bookmarkStart w:id="389" w:name="_Toc9961"/>
            <w:r>
              <w:rPr>
                <w:rFonts w:hint="eastAsia" w:ascii="仿宋" w:hAnsi="仿宋" w:eastAsia="仿宋"/>
                <w:color w:val="auto"/>
                <w:sz w:val="21"/>
                <w:szCs w:val="24"/>
                <w:highlight w:val="none"/>
              </w:rPr>
              <w:t>采购</w:t>
            </w:r>
            <w:r>
              <w:rPr>
                <w:rFonts w:ascii="仿宋" w:hAnsi="仿宋" w:eastAsia="仿宋"/>
                <w:color w:val="auto"/>
                <w:sz w:val="21"/>
                <w:szCs w:val="24"/>
                <w:highlight w:val="none"/>
              </w:rPr>
              <w:t>项目需求</w:t>
            </w:r>
            <w:bookmarkEnd w:id="388"/>
            <w:bookmarkEnd w:id="389"/>
          </w:p>
        </w:tc>
        <w:tc>
          <w:tcPr>
            <w:tcW w:w="2434"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90" w:name="_Toc26184"/>
            <w:bookmarkStart w:id="391" w:name="_Toc4390"/>
            <w:r>
              <w:rPr>
                <w:rFonts w:ascii="仿宋" w:hAnsi="仿宋" w:eastAsia="仿宋"/>
                <w:color w:val="auto"/>
                <w:sz w:val="21"/>
                <w:szCs w:val="24"/>
                <w:highlight w:val="none"/>
              </w:rPr>
              <w:t>响应情况</w:t>
            </w:r>
            <w:bookmarkEnd w:id="390"/>
            <w:bookmarkEnd w:id="391"/>
          </w:p>
        </w:tc>
        <w:tc>
          <w:tcPr>
            <w:tcW w:w="2355" w:type="dxa"/>
            <w:vAlign w:val="center"/>
          </w:tcPr>
          <w:p>
            <w:pPr>
              <w:tabs>
                <w:tab w:val="left" w:pos="6300"/>
              </w:tabs>
              <w:snapToGrid w:val="0"/>
              <w:spacing w:line="360" w:lineRule="auto"/>
              <w:jc w:val="center"/>
              <w:outlineLvl w:val="0"/>
              <w:rPr>
                <w:rFonts w:ascii="仿宋" w:hAnsi="仿宋" w:eastAsia="仿宋"/>
                <w:color w:val="auto"/>
                <w:sz w:val="21"/>
                <w:szCs w:val="24"/>
                <w:highlight w:val="none"/>
              </w:rPr>
            </w:pPr>
            <w:bookmarkStart w:id="392" w:name="_Toc10018"/>
            <w:bookmarkStart w:id="393" w:name="_Toc30016"/>
            <w:r>
              <w:rPr>
                <w:rFonts w:ascii="仿宋" w:hAnsi="仿宋" w:eastAsia="仿宋"/>
                <w:color w:val="auto"/>
                <w:sz w:val="21"/>
                <w:szCs w:val="24"/>
                <w:highlight w:val="none"/>
              </w:rPr>
              <w:t>差异说明</w:t>
            </w:r>
            <w:bookmarkEnd w:id="392"/>
            <w:bookmarkEnd w:id="3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3179"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434"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c>
          <w:tcPr>
            <w:tcW w:w="2355" w:type="dxa"/>
            <w:vAlign w:val="center"/>
          </w:tcPr>
          <w:p>
            <w:pPr>
              <w:tabs>
                <w:tab w:val="left" w:pos="6300"/>
              </w:tabs>
              <w:snapToGrid w:val="0"/>
              <w:spacing w:line="360" w:lineRule="auto"/>
              <w:jc w:val="center"/>
              <w:outlineLvl w:val="9"/>
              <w:rPr>
                <w:rFonts w:ascii="仿宋" w:hAnsi="仿宋" w:eastAsia="仿宋"/>
                <w:color w:val="auto"/>
                <w:sz w:val="21"/>
                <w:szCs w:val="24"/>
                <w:highlight w:val="none"/>
              </w:rPr>
            </w:pPr>
          </w:p>
        </w:tc>
      </w:tr>
    </w:tbl>
    <w:p>
      <w:pPr>
        <w:snapToGrid w:val="0"/>
        <w:spacing w:line="360" w:lineRule="auto"/>
        <w:ind w:firstLine="465"/>
        <w:rPr>
          <w:rFonts w:ascii="仿宋" w:hAnsi="仿宋" w:eastAsia="仿宋"/>
          <w:color w:val="auto"/>
          <w:sz w:val="24"/>
          <w:szCs w:val="24"/>
          <w:highlight w:val="none"/>
        </w:rPr>
      </w:pPr>
    </w:p>
    <w:p>
      <w:pPr>
        <w:spacing w:line="500" w:lineRule="exact"/>
        <w:ind w:firstLine="600" w:firstLineChars="25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法定代表人授权代表：</w:t>
      </w:r>
    </w:p>
    <w:p>
      <w:pPr>
        <w:spacing w:line="500" w:lineRule="exact"/>
        <w:rPr>
          <w:rFonts w:ascii="仿宋" w:hAnsi="仿宋" w:eastAsia="仿宋"/>
          <w:color w:val="auto"/>
          <w:sz w:val="24"/>
          <w:szCs w:val="28"/>
          <w:highlight w:val="none"/>
        </w:rPr>
      </w:pPr>
    </w:p>
    <w:p>
      <w:pPr>
        <w:spacing w:line="500" w:lineRule="exact"/>
        <w:ind w:firstLine="360" w:firstLineChars="15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                                 （签字或盖章）</w:t>
      </w: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szCs w:val="28"/>
          <w:highlight w:val="none"/>
        </w:rPr>
        <w:t xml:space="preserve">                                            年     月     日</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highlight w:val="none"/>
        </w:rPr>
        <w:t xml:space="preserve">.本表即为对本项目“第三篇 </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项目商务需求”中所列要求进行比较和响应；</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2.该表必须按照网上竞采要求逐条如实填写，</w:t>
      </w:r>
      <w:r>
        <w:rPr>
          <w:rFonts w:hint="eastAsia" w:ascii="仿宋" w:hAnsi="仿宋" w:eastAsia="仿宋"/>
          <w:color w:val="auto"/>
          <w:sz w:val="24"/>
          <w:szCs w:val="24"/>
          <w:highlight w:val="none"/>
        </w:rPr>
        <w:t>“采购项目需求”填写本文件</w:t>
      </w:r>
      <w:r>
        <w:rPr>
          <w:rFonts w:hint="eastAsia" w:ascii="仿宋" w:hAnsi="仿宋" w:eastAsia="仿宋"/>
          <w:color w:val="auto"/>
          <w:sz w:val="24"/>
          <w:highlight w:val="none"/>
        </w:rPr>
        <w:t>“第三篇 项目商务需求”</w:t>
      </w:r>
      <w:r>
        <w:rPr>
          <w:rFonts w:hint="eastAsia" w:ascii="仿宋" w:hAnsi="仿宋" w:eastAsia="仿宋"/>
          <w:color w:val="auto"/>
          <w:sz w:val="24"/>
          <w:szCs w:val="24"/>
          <w:highlight w:val="none"/>
        </w:rPr>
        <w:t>中所列要求的内容，“响应情况”填写竞标响应的内容，</w:t>
      </w:r>
      <w:r>
        <w:rPr>
          <w:rFonts w:hint="eastAsia" w:ascii="仿宋" w:hAnsi="仿宋" w:eastAsia="仿宋"/>
          <w:color w:val="auto"/>
          <w:sz w:val="24"/>
          <w:highlight w:val="none"/>
        </w:rPr>
        <w:t>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3.该表可扩展</w:t>
      </w:r>
      <w:r>
        <w:rPr>
          <w:rFonts w:hint="eastAsia" w:ascii="仿宋" w:hAnsi="仿宋" w:eastAsia="仿宋"/>
          <w:color w:val="auto"/>
          <w:sz w:val="24"/>
          <w:szCs w:val="28"/>
          <w:highlight w:val="none"/>
        </w:rPr>
        <w:t>，并逐页签字或加盖供应商公章</w:t>
      </w:r>
      <w:r>
        <w:rPr>
          <w:rFonts w:hint="eastAsia" w:ascii="仿宋" w:hAnsi="仿宋" w:eastAsia="仿宋"/>
          <w:color w:val="auto"/>
          <w:sz w:val="24"/>
          <w:highlight w:val="none"/>
        </w:rPr>
        <w:t>。</w:t>
      </w:r>
    </w:p>
    <w:p>
      <w:pPr>
        <w:pStyle w:val="18"/>
        <w:ind w:left="560" w:firstLine="880"/>
        <w:rPr>
          <w:color w:val="auto"/>
          <w:highlight w:val="none"/>
        </w:rPr>
      </w:pPr>
    </w:p>
    <w:p>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pPr>
        <w:spacing w:line="360" w:lineRule="auto"/>
        <w:outlineLvl w:val="1"/>
        <w:rPr>
          <w:rFonts w:hint="eastAsia" w:ascii="仿宋" w:hAnsi="仿宋" w:eastAsia="仿宋" w:cs="Times New Roman"/>
          <w:color w:val="auto"/>
          <w:sz w:val="24"/>
          <w:szCs w:val="24"/>
          <w:highlight w:val="none"/>
          <w:lang w:eastAsia="zh-CN"/>
        </w:rPr>
      </w:pPr>
      <w:bookmarkStart w:id="394" w:name="_Toc5621"/>
      <w:bookmarkStart w:id="395" w:name="_Toc25291"/>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二</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商务部分相关证明材料</w:t>
      </w:r>
      <w:r>
        <w:rPr>
          <w:rFonts w:hint="eastAsia" w:ascii="仿宋" w:hAnsi="仿宋" w:eastAsia="仿宋"/>
          <w:color w:val="auto"/>
          <w:sz w:val="24"/>
          <w:szCs w:val="24"/>
          <w:highlight w:val="none"/>
        </w:rPr>
        <w:t>（格式自定，建议按照评审标准</w:t>
      </w:r>
      <w:r>
        <w:rPr>
          <w:rFonts w:hint="eastAsia" w:ascii="仿宋" w:hAnsi="仿宋" w:eastAsia="仿宋"/>
          <w:color w:val="auto"/>
          <w:sz w:val="24"/>
          <w:szCs w:val="24"/>
          <w:highlight w:val="none"/>
          <w:lang w:val="en-US" w:eastAsia="zh-CN"/>
        </w:rPr>
        <w:t>商务</w:t>
      </w:r>
      <w:r>
        <w:rPr>
          <w:rFonts w:hint="eastAsia" w:ascii="仿宋" w:hAnsi="仿宋" w:eastAsia="仿宋"/>
          <w:color w:val="auto"/>
          <w:sz w:val="24"/>
          <w:szCs w:val="24"/>
          <w:highlight w:val="none"/>
        </w:rPr>
        <w:t>部分编写）</w:t>
      </w:r>
      <w:bookmarkEnd w:id="394"/>
      <w:bookmarkEnd w:id="395"/>
    </w:p>
    <w:p>
      <w:pPr>
        <w:spacing w:line="360" w:lineRule="auto"/>
        <w:outlineLvl w:val="1"/>
        <w:rPr>
          <w:rFonts w:ascii="仿宋" w:hAnsi="仿宋" w:eastAsia="仿宋"/>
          <w:color w:val="auto"/>
          <w:sz w:val="24"/>
          <w:szCs w:val="24"/>
          <w:highlight w:val="none"/>
        </w:rPr>
      </w:pPr>
      <w:bookmarkStart w:id="396" w:name="_Toc1476"/>
      <w:bookmarkStart w:id="397" w:name="_Toc28955"/>
      <w:r>
        <w:rPr>
          <w:rFonts w:hint="eastAsia" w:ascii="仿宋" w:hAnsi="仿宋" w:eastAsia="仿宋"/>
          <w:color w:val="auto"/>
          <w:sz w:val="24"/>
          <w:szCs w:val="24"/>
          <w:highlight w:val="none"/>
        </w:rPr>
        <w:t>（三）其它优惠服务承诺（格式自定）</w:t>
      </w:r>
      <w:bookmarkEnd w:id="396"/>
      <w:bookmarkEnd w:id="397"/>
    </w:p>
    <w:p>
      <w:pPr>
        <w:spacing w:line="360" w:lineRule="auto"/>
        <w:rPr>
          <w:rFonts w:ascii="仿宋" w:hAnsi="仿宋" w:eastAsia="仿宋"/>
          <w:color w:val="auto"/>
          <w:sz w:val="24"/>
          <w:szCs w:val="24"/>
          <w:highlight w:val="none"/>
        </w:rPr>
      </w:pPr>
    </w:p>
    <w:p>
      <w:pPr>
        <w:pStyle w:val="4"/>
        <w:spacing w:before="0" w:after="0" w:line="360" w:lineRule="auto"/>
        <w:outlineLvl w:val="0"/>
        <w:rPr>
          <w:rFonts w:ascii="仿宋" w:hAnsi="仿宋" w:eastAsia="仿宋"/>
          <w:color w:val="auto"/>
          <w:sz w:val="24"/>
          <w:szCs w:val="24"/>
          <w:highlight w:val="none"/>
        </w:rPr>
      </w:pPr>
      <w:r>
        <w:rPr>
          <w:rFonts w:ascii="仿宋" w:hAnsi="仿宋" w:eastAsia="仿宋"/>
          <w:color w:val="auto"/>
          <w:sz w:val="24"/>
          <w:szCs w:val="24"/>
          <w:highlight w:val="none"/>
        </w:rPr>
        <w:br w:type="page"/>
      </w:r>
      <w:bookmarkEnd w:id="385"/>
      <w:bookmarkStart w:id="398" w:name="_Toc313888363"/>
      <w:bookmarkStart w:id="399" w:name="_Toc31484"/>
      <w:bookmarkStart w:id="400" w:name="_Toc26076"/>
      <w:bookmarkStart w:id="401" w:name="_Toc32397"/>
      <w:bookmarkStart w:id="402" w:name="_Toc16819"/>
      <w:bookmarkStart w:id="403" w:name="_Toc342913422"/>
      <w:bookmarkStart w:id="404" w:name="_Toc5145"/>
      <w:bookmarkStart w:id="405" w:name="_Toc26940"/>
      <w:bookmarkStart w:id="406" w:name="_Toc313008359"/>
      <w:r>
        <w:rPr>
          <w:rFonts w:hint="eastAsia" w:ascii="仿宋" w:hAnsi="仿宋" w:eastAsia="仿宋"/>
          <w:color w:val="auto"/>
          <w:sz w:val="24"/>
          <w:szCs w:val="24"/>
          <w:highlight w:val="none"/>
        </w:rPr>
        <w:t>四、资格条件及其他</w:t>
      </w:r>
      <w:bookmarkEnd w:id="398"/>
      <w:bookmarkEnd w:id="399"/>
      <w:bookmarkEnd w:id="400"/>
      <w:bookmarkEnd w:id="401"/>
      <w:bookmarkEnd w:id="402"/>
      <w:bookmarkEnd w:id="403"/>
      <w:bookmarkEnd w:id="404"/>
      <w:bookmarkEnd w:id="405"/>
      <w:bookmarkEnd w:id="406"/>
    </w:p>
    <w:p>
      <w:pPr>
        <w:snapToGrid w:val="0"/>
        <w:spacing w:line="360" w:lineRule="auto"/>
        <w:outlineLvl w:val="1"/>
        <w:rPr>
          <w:rFonts w:ascii="仿宋" w:hAnsi="仿宋" w:eastAsia="仿宋"/>
          <w:color w:val="auto"/>
          <w:sz w:val="24"/>
          <w:szCs w:val="24"/>
          <w:highlight w:val="none"/>
        </w:rPr>
      </w:pPr>
      <w:bookmarkStart w:id="407" w:name="_Toc5326"/>
      <w:bookmarkStart w:id="408" w:name="_Toc27678"/>
      <w:r>
        <w:rPr>
          <w:rFonts w:hint="eastAsia" w:ascii="仿宋" w:hAnsi="仿宋" w:eastAsia="仿宋"/>
          <w:color w:val="auto"/>
          <w:sz w:val="24"/>
          <w:szCs w:val="24"/>
          <w:highlight w:val="none"/>
        </w:rPr>
        <w:t>（一）营业执照（副本）或事业单位法人证书（副本）复印件</w:t>
      </w:r>
      <w:bookmarkEnd w:id="407"/>
      <w:bookmarkEnd w:id="408"/>
    </w:p>
    <w:p>
      <w:pPr>
        <w:snapToGrid w:val="0"/>
        <w:spacing w:line="360" w:lineRule="auto"/>
        <w:rPr>
          <w:rFonts w:ascii="仿宋" w:hAnsi="仿宋" w:eastAsia="仿宋"/>
          <w:color w:val="auto"/>
          <w:sz w:val="24"/>
          <w:szCs w:val="24"/>
          <w:highlight w:val="none"/>
        </w:rPr>
      </w:pPr>
    </w:p>
    <w:p>
      <w:pPr>
        <w:numPr>
          <w:ilvl w:val="0"/>
          <w:numId w:val="7"/>
        </w:numPr>
        <w:snapToGrid w:val="0"/>
        <w:spacing w:line="360" w:lineRule="auto"/>
        <w:outlineLvl w:val="1"/>
        <w:rPr>
          <w:rFonts w:hint="eastAsia" w:ascii="仿宋" w:hAnsi="仿宋" w:eastAsia="仿宋"/>
          <w:color w:val="auto"/>
          <w:sz w:val="24"/>
          <w:szCs w:val="24"/>
          <w:highlight w:val="none"/>
        </w:rPr>
      </w:pPr>
      <w:bookmarkStart w:id="409" w:name="_Toc25672"/>
      <w:bookmarkStart w:id="410" w:name="_Toc17577"/>
      <w:r>
        <w:rPr>
          <w:rFonts w:hint="eastAsia" w:ascii="仿宋" w:hAnsi="仿宋" w:eastAsia="仿宋"/>
          <w:color w:val="auto"/>
          <w:sz w:val="24"/>
          <w:szCs w:val="24"/>
          <w:highlight w:val="none"/>
        </w:rPr>
        <w:t>组织机构代码证复印件</w:t>
      </w:r>
      <w:bookmarkEnd w:id="409"/>
      <w:bookmarkEnd w:id="410"/>
    </w:p>
    <w:p>
      <w:pPr>
        <w:pStyle w:val="8"/>
        <w:numPr>
          <w:ilvl w:val="0"/>
          <w:numId w:val="0"/>
        </w:numPr>
        <w:rPr>
          <w:color w:val="auto"/>
          <w:highlight w:val="none"/>
        </w:rPr>
      </w:pPr>
    </w:p>
    <w:p>
      <w:pPr>
        <w:widowControl/>
        <w:jc w:val="left"/>
        <w:outlineLvl w:val="1"/>
        <w:rPr>
          <w:rFonts w:ascii="仿宋" w:hAnsi="仿宋" w:eastAsia="仿宋"/>
          <w:color w:val="auto"/>
          <w:sz w:val="24"/>
          <w:szCs w:val="18"/>
          <w:highlight w:val="none"/>
        </w:rPr>
      </w:pPr>
      <w:bookmarkStart w:id="411" w:name="_Toc4630"/>
      <w:bookmarkStart w:id="412" w:name="_Toc8007"/>
      <w:r>
        <w:rPr>
          <w:rFonts w:hint="eastAsia" w:ascii="仿宋" w:hAnsi="仿宋" w:eastAsia="仿宋"/>
          <w:color w:val="auto"/>
          <w:sz w:val="24"/>
          <w:szCs w:val="18"/>
          <w:highlight w:val="none"/>
        </w:rPr>
        <w:t>（三）法定代表人身份证明书（格式）</w:t>
      </w:r>
      <w:bookmarkEnd w:id="411"/>
      <w:bookmarkEnd w:id="412"/>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项目名称：</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人</w:t>
      </w:r>
      <w:r>
        <w:rPr>
          <w:rFonts w:hint="eastAsia" w:ascii="仿宋" w:hAnsi="仿宋" w:eastAsia="仿宋"/>
          <w:color w:val="auto"/>
          <w:sz w:val="24"/>
          <w:highlight w:val="none"/>
        </w:rPr>
        <w:t>名称）：</w:t>
      </w: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（法定代表人姓名）在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（供应商名称）任</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（职务名称）职务，是</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（供应商名称）的法定代表人。</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特此证明。</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 xml:space="preserve">                                             （供应商公章）</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（附：法定代表人身份证正反面复印件）</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outlineLvl w:val="1"/>
        <w:rPr>
          <w:rFonts w:ascii="仿宋" w:hAnsi="仿宋" w:eastAsia="仿宋"/>
          <w:color w:val="auto"/>
          <w:highlight w:val="none"/>
        </w:rPr>
      </w:pPr>
      <w:bookmarkStart w:id="413" w:name="_Toc20993"/>
      <w:bookmarkStart w:id="414" w:name="_Toc21507"/>
      <w:r>
        <w:rPr>
          <w:rFonts w:ascii="仿宋" w:hAnsi="仿宋" w:eastAsia="仿宋"/>
          <w:color w:val="auto"/>
          <w:highlight w:val="none"/>
        </w:rPr>
        <w:br w:type="column"/>
      </w:r>
      <w:r>
        <w:rPr>
          <w:rFonts w:hint="eastAsia" w:ascii="仿宋" w:hAnsi="仿宋" w:eastAsia="仿宋"/>
          <w:color w:val="auto"/>
          <w:sz w:val="24"/>
          <w:szCs w:val="18"/>
          <w:highlight w:val="none"/>
        </w:rPr>
        <w:t>（四）法定代表人授权委托书（格式）</w:t>
      </w:r>
      <w:bookmarkEnd w:id="413"/>
      <w:bookmarkEnd w:id="414"/>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szCs w:val="28"/>
          <w:highlight w:val="none"/>
        </w:rPr>
        <w:t>项目名称</w:t>
      </w:r>
      <w:r>
        <w:rPr>
          <w:rFonts w:hint="eastAsia" w:ascii="仿宋" w:hAnsi="仿宋" w:eastAsia="仿宋"/>
          <w:color w:val="auto"/>
          <w:sz w:val="24"/>
          <w:highlight w:val="none"/>
        </w:rPr>
        <w:t>：</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人</w:t>
      </w:r>
      <w:r>
        <w:rPr>
          <w:rFonts w:hint="eastAsia" w:ascii="仿宋" w:hAnsi="仿宋" w:eastAsia="仿宋"/>
          <w:color w:val="auto"/>
          <w:sz w:val="24"/>
          <w:highlight w:val="none"/>
        </w:rPr>
        <w:t>名称）：</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（供应商法定代表人名称）是</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（供应商名称）的法定代表人，特授权</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（被授权人姓名及身份证号码）代表我单位全权办理上述项目的网上竞采、签约等具体工作，并签署全部有关文件、协议及合同。</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我单位对被授权人的签字负全部责任。</w:t>
      </w:r>
    </w:p>
    <w:p>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被授权人：                                 供应商法定代表人：</w:t>
      </w:r>
    </w:p>
    <w:p>
      <w:pPr>
        <w:tabs>
          <w:tab w:val="left" w:pos="6300"/>
        </w:tabs>
        <w:snapToGrid w:val="0"/>
        <w:spacing w:line="500" w:lineRule="exact"/>
        <w:ind w:firstLine="570"/>
        <w:rPr>
          <w:rFonts w:ascii="仿宋" w:hAnsi="仿宋" w:eastAsia="仿宋"/>
          <w:color w:val="auto"/>
          <w:sz w:val="24"/>
          <w:szCs w:val="28"/>
          <w:highlight w:val="none"/>
        </w:rPr>
      </w:pPr>
      <w:r>
        <w:rPr>
          <w:rFonts w:hint="eastAsia" w:ascii="仿宋" w:hAnsi="仿宋" w:eastAsia="仿宋"/>
          <w:color w:val="auto"/>
          <w:sz w:val="24"/>
          <w:szCs w:val="28"/>
          <w:highlight w:val="none"/>
        </w:rPr>
        <w:t>（签字或盖章）                                （签字或盖章）</w:t>
      </w:r>
    </w:p>
    <w:p>
      <w:pPr>
        <w:tabs>
          <w:tab w:val="left" w:pos="6300"/>
        </w:tabs>
        <w:snapToGrid w:val="0"/>
        <w:spacing w:line="500" w:lineRule="exact"/>
        <w:ind w:firstLine="570"/>
        <w:rPr>
          <w:rFonts w:ascii="仿宋" w:hAnsi="仿宋" w:eastAsia="仿宋"/>
          <w:color w:val="auto"/>
          <w:sz w:val="24"/>
          <w:szCs w:val="28"/>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r>
        <w:rPr>
          <w:rFonts w:hint="eastAsia" w:ascii="仿宋" w:hAnsi="仿宋" w:eastAsia="仿宋"/>
          <w:color w:val="auto"/>
          <w:sz w:val="24"/>
          <w:highlight w:val="none"/>
        </w:rPr>
        <w:t>（附：被授权人身份证正反面复印件）</w:t>
      </w: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right="480" w:firstLine="570"/>
        <w:jc w:val="right"/>
        <w:rPr>
          <w:rFonts w:ascii="仿宋" w:hAnsi="仿宋" w:eastAsia="仿宋"/>
          <w:color w:val="auto"/>
          <w:sz w:val="24"/>
          <w:highlight w:val="none"/>
        </w:rPr>
      </w:pPr>
      <w:r>
        <w:rPr>
          <w:rFonts w:hint="eastAsia" w:ascii="仿宋" w:hAnsi="仿宋" w:eastAsia="仿宋"/>
          <w:color w:val="auto"/>
          <w:sz w:val="24"/>
          <w:highlight w:val="none"/>
        </w:rPr>
        <w:t>（供应商公章）</w:t>
      </w:r>
    </w:p>
    <w:p>
      <w:pPr>
        <w:tabs>
          <w:tab w:val="left" w:pos="6300"/>
        </w:tabs>
        <w:snapToGrid w:val="0"/>
        <w:spacing w:line="500" w:lineRule="exact"/>
        <w:ind w:right="480" w:firstLine="570"/>
        <w:jc w:val="right"/>
        <w:rPr>
          <w:rFonts w:ascii="仿宋" w:hAnsi="仿宋" w:eastAsia="仿宋"/>
          <w:color w:val="auto"/>
          <w:sz w:val="24"/>
          <w:highlight w:val="none"/>
        </w:rPr>
      </w:pPr>
      <w:r>
        <w:rPr>
          <w:rFonts w:hint="eastAsia" w:ascii="仿宋" w:hAnsi="仿宋" w:eastAsia="仿宋"/>
          <w:color w:val="auto"/>
          <w:sz w:val="24"/>
          <w:highlight w:val="none"/>
        </w:rPr>
        <w:t>年   月   日</w:t>
      </w:r>
    </w:p>
    <w:p>
      <w:pPr>
        <w:tabs>
          <w:tab w:val="left" w:pos="6300"/>
        </w:tabs>
        <w:snapToGrid w:val="0"/>
        <w:spacing w:line="500" w:lineRule="exact"/>
        <w:ind w:firstLine="480" w:firstLineChars="200"/>
        <w:rPr>
          <w:rFonts w:ascii="仿宋" w:hAnsi="仿宋" w:eastAsia="仿宋"/>
          <w:color w:val="auto"/>
          <w:sz w:val="24"/>
          <w:szCs w:val="24"/>
          <w:highlight w:val="none"/>
        </w:rPr>
      </w:pPr>
    </w:p>
    <w:p>
      <w:pPr>
        <w:tabs>
          <w:tab w:val="left" w:pos="6300"/>
        </w:tabs>
        <w:snapToGrid w:val="0"/>
        <w:spacing w:line="500" w:lineRule="exact"/>
        <w:ind w:firstLine="480" w:firstLineChars="200"/>
        <w:rPr>
          <w:rFonts w:ascii="仿宋" w:hAnsi="仿宋" w:eastAsia="仿宋"/>
          <w:color w:val="auto"/>
          <w:sz w:val="24"/>
          <w:szCs w:val="24"/>
          <w:highlight w:val="none"/>
        </w:rPr>
      </w:pPr>
    </w:p>
    <w:p>
      <w:pPr>
        <w:tabs>
          <w:tab w:val="left" w:pos="6300"/>
        </w:tabs>
        <w:snapToGrid w:val="0"/>
        <w:spacing w:line="500" w:lineRule="exact"/>
        <w:ind w:firstLine="480" w:firstLineChars="200"/>
        <w:rPr>
          <w:rFonts w:ascii="仿宋" w:hAnsi="仿宋" w:eastAsia="仿宋"/>
          <w:color w:val="auto"/>
          <w:sz w:val="24"/>
          <w:szCs w:val="24"/>
          <w:highlight w:val="none"/>
        </w:rPr>
      </w:pPr>
    </w:p>
    <w:p>
      <w:pPr>
        <w:tabs>
          <w:tab w:val="left" w:pos="6300"/>
        </w:tabs>
        <w:snapToGrid w:val="0"/>
        <w:spacing w:line="500" w:lineRule="exact"/>
        <w:ind w:firstLine="480" w:firstLineChars="200"/>
        <w:rPr>
          <w:rFonts w:ascii="仿宋" w:hAnsi="仿宋" w:eastAsia="仿宋"/>
          <w:color w:val="auto"/>
          <w:sz w:val="24"/>
          <w:szCs w:val="24"/>
          <w:highlight w:val="none"/>
        </w:rPr>
      </w:pPr>
    </w:p>
    <w:p>
      <w:pPr>
        <w:tabs>
          <w:tab w:val="left" w:pos="6300"/>
        </w:tabs>
        <w:snapToGrid w:val="0"/>
        <w:spacing w:line="500" w:lineRule="exact"/>
        <w:ind w:firstLine="480" w:firstLineChars="200"/>
        <w:rPr>
          <w:rFonts w:ascii="仿宋" w:hAnsi="仿宋" w:eastAsia="仿宋"/>
          <w:color w:val="auto"/>
          <w:sz w:val="24"/>
          <w:szCs w:val="24"/>
          <w:highlight w:val="none"/>
        </w:rPr>
      </w:pPr>
    </w:p>
    <w:p>
      <w:pPr>
        <w:tabs>
          <w:tab w:val="left" w:pos="6300"/>
        </w:tabs>
        <w:snapToGrid w:val="0"/>
        <w:spacing w:line="500" w:lineRule="exact"/>
        <w:ind w:firstLine="480" w:firstLineChars="200"/>
        <w:jc w:val="center"/>
        <w:outlineLvl w:val="1"/>
        <w:rPr>
          <w:rFonts w:ascii="仿宋" w:hAnsi="仿宋" w:eastAsia="仿宋" w:cs="仿宋"/>
          <w:color w:val="auto"/>
          <w:sz w:val="24"/>
          <w:highlight w:val="none"/>
        </w:rPr>
      </w:pPr>
      <w:bookmarkStart w:id="415" w:name="_Toc3086"/>
      <w:bookmarkStart w:id="416" w:name="_Toc25632"/>
      <w:r>
        <w:rPr>
          <w:rFonts w:hint="eastAsia" w:ascii="仿宋" w:hAnsi="仿宋" w:eastAsia="仿宋"/>
          <w:color w:val="auto"/>
          <w:sz w:val="24"/>
          <w:szCs w:val="24"/>
          <w:highlight w:val="none"/>
        </w:rPr>
        <w:t>（五）</w:t>
      </w:r>
      <w:r>
        <w:rPr>
          <w:rFonts w:ascii="仿宋" w:hAnsi="仿宋" w:eastAsia="仿宋" w:cs="仿宋"/>
          <w:color w:val="auto"/>
          <w:sz w:val="24"/>
          <w:szCs w:val="24"/>
          <w:highlight w:val="none"/>
        </w:rPr>
        <w:t>基本资格条件承诺函</w:t>
      </w:r>
      <w:bookmarkEnd w:id="415"/>
      <w:bookmarkEnd w:id="416"/>
    </w:p>
    <w:p>
      <w:pPr>
        <w:tabs>
          <w:tab w:val="left" w:pos="6300"/>
        </w:tabs>
        <w:snapToGrid w:val="0"/>
        <w:spacing w:line="500" w:lineRule="exac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single"/>
          <w:lang w:eastAsia="zh-CN"/>
        </w:rPr>
        <w:t>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w:t>
      </w:r>
    </w:p>
    <w:p>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pPr>
        <w:tabs>
          <w:tab w:val="left" w:pos="6300"/>
        </w:tabs>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pPr>
        <w:snapToGrid w:val="0"/>
        <w:spacing w:line="400" w:lineRule="exact"/>
        <w:rPr>
          <w:rFonts w:ascii="仿宋" w:hAnsi="仿宋" w:eastAsia="仿宋" w:cs="仿宋"/>
          <w:color w:val="auto"/>
          <w:sz w:val="24"/>
          <w:szCs w:val="24"/>
          <w:highlight w:val="none"/>
        </w:rPr>
      </w:pPr>
    </w:p>
    <w:p>
      <w:pPr>
        <w:tabs>
          <w:tab w:val="left" w:pos="6300"/>
        </w:tabs>
        <w:snapToGrid w:val="0"/>
        <w:spacing w:line="500" w:lineRule="exact"/>
        <w:rPr>
          <w:rFonts w:ascii="仿宋" w:hAnsi="仿宋" w:eastAsia="仿宋"/>
          <w:color w:val="auto"/>
          <w:sz w:val="24"/>
          <w:highlight w:val="none"/>
        </w:rPr>
      </w:pPr>
    </w:p>
    <w:p>
      <w:pPr>
        <w:tabs>
          <w:tab w:val="left" w:pos="6300"/>
        </w:tabs>
        <w:snapToGrid w:val="0"/>
        <w:spacing w:line="500" w:lineRule="exact"/>
        <w:ind w:firstLine="570"/>
        <w:rPr>
          <w:rFonts w:ascii="仿宋" w:hAnsi="仿宋" w:eastAsia="仿宋"/>
          <w:color w:val="auto"/>
          <w:sz w:val="24"/>
          <w:highlight w:val="none"/>
        </w:rPr>
      </w:pPr>
    </w:p>
    <w:p>
      <w:pPr>
        <w:tabs>
          <w:tab w:val="left" w:pos="6300"/>
        </w:tabs>
        <w:snapToGrid w:val="0"/>
        <w:spacing w:line="500" w:lineRule="exact"/>
        <w:ind w:right="424" w:firstLine="570"/>
        <w:jc w:val="right"/>
        <w:rPr>
          <w:rFonts w:ascii="仿宋" w:hAnsi="仿宋" w:eastAsia="仿宋"/>
          <w:color w:val="auto"/>
          <w:sz w:val="24"/>
          <w:highlight w:val="none"/>
        </w:rPr>
      </w:pPr>
      <w:r>
        <w:rPr>
          <w:rFonts w:hint="eastAsia" w:ascii="仿宋" w:hAnsi="仿宋" w:eastAsia="仿宋"/>
          <w:color w:val="auto"/>
          <w:sz w:val="24"/>
          <w:highlight w:val="none"/>
        </w:rPr>
        <w:t>（供应商公章）</w:t>
      </w:r>
    </w:p>
    <w:p>
      <w:pPr>
        <w:tabs>
          <w:tab w:val="left" w:pos="6300"/>
        </w:tabs>
        <w:snapToGrid w:val="0"/>
        <w:spacing w:line="500" w:lineRule="exact"/>
        <w:ind w:right="480" w:firstLine="570"/>
        <w:jc w:val="right"/>
        <w:rPr>
          <w:rFonts w:ascii="仿宋" w:hAnsi="仿宋" w:eastAsia="仿宋"/>
          <w:color w:val="auto"/>
          <w:sz w:val="24"/>
          <w:highlight w:val="none"/>
        </w:rPr>
      </w:pPr>
      <w:r>
        <w:rPr>
          <w:rFonts w:hint="eastAsia" w:ascii="仿宋" w:hAnsi="仿宋" w:eastAsia="仿宋"/>
          <w:color w:val="auto"/>
          <w:sz w:val="24"/>
          <w:highlight w:val="none"/>
        </w:rPr>
        <w:t>年   月   日</w:t>
      </w:r>
    </w:p>
    <w:p>
      <w:pPr>
        <w:tabs>
          <w:tab w:val="left" w:pos="6300"/>
        </w:tabs>
        <w:snapToGrid w:val="0"/>
        <w:spacing w:line="500" w:lineRule="exact"/>
        <w:ind w:right="1680"/>
        <w:rPr>
          <w:rFonts w:ascii="仿宋" w:hAnsi="仿宋" w:eastAsia="仿宋"/>
          <w:color w:val="auto"/>
          <w:sz w:val="24"/>
          <w:highlight w:val="none"/>
        </w:rPr>
      </w:pPr>
    </w:p>
    <w:p>
      <w:pPr>
        <w:snapToGrid w:val="0"/>
        <w:spacing w:line="360" w:lineRule="auto"/>
        <w:jc w:val="center"/>
        <w:outlineLvl w:val="1"/>
        <w:rPr>
          <w:rFonts w:ascii="仿宋" w:hAnsi="仿宋" w:eastAsia="仿宋"/>
          <w:color w:val="auto"/>
          <w:highlight w:val="none"/>
        </w:rPr>
      </w:pPr>
      <w:r>
        <w:rPr>
          <w:rFonts w:ascii="仿宋" w:hAnsi="仿宋" w:eastAsia="仿宋"/>
          <w:color w:val="auto"/>
          <w:highlight w:val="none"/>
        </w:rPr>
        <w:br w:type="page"/>
      </w:r>
      <w:bookmarkStart w:id="417" w:name="_Toc28304"/>
      <w:bookmarkStart w:id="418" w:name="_Toc13607"/>
      <w:r>
        <w:rPr>
          <w:rFonts w:hint="eastAsia" w:ascii="仿宋" w:hAnsi="仿宋" w:eastAsia="仿宋"/>
          <w:color w:val="auto"/>
          <w:sz w:val="24"/>
          <w:szCs w:val="24"/>
          <w:highlight w:val="none"/>
        </w:rPr>
        <w:t>（六）特定资格条件证明材料（如果有）</w:t>
      </w:r>
      <w:bookmarkEnd w:id="417"/>
      <w:bookmarkEnd w:id="418"/>
    </w:p>
    <w:p>
      <w:pPr>
        <w:pStyle w:val="18"/>
        <w:ind w:left="560" w:firstLine="880"/>
        <w:rPr>
          <w:color w:val="auto"/>
          <w:highlight w:val="none"/>
        </w:rPr>
      </w:pPr>
    </w:p>
    <w:p>
      <w:pPr>
        <w:pStyle w:val="18"/>
        <w:ind w:left="560" w:firstLine="880"/>
        <w:rPr>
          <w:color w:val="auto"/>
          <w:highlight w:val="none"/>
        </w:rPr>
      </w:pPr>
    </w:p>
    <w:p>
      <w:pPr>
        <w:pStyle w:val="18"/>
        <w:ind w:left="560" w:firstLine="880"/>
        <w:rPr>
          <w:color w:val="auto"/>
          <w:highlight w:val="none"/>
        </w:rPr>
      </w:pPr>
    </w:p>
    <w:p>
      <w:pPr>
        <w:pStyle w:val="4"/>
        <w:spacing w:before="0" w:after="0" w:line="360" w:lineRule="auto"/>
        <w:outlineLvl w:val="0"/>
        <w:rPr>
          <w:rFonts w:ascii="仿宋" w:hAnsi="仿宋" w:eastAsia="仿宋"/>
          <w:color w:val="auto"/>
          <w:sz w:val="24"/>
          <w:szCs w:val="24"/>
          <w:highlight w:val="none"/>
        </w:rPr>
      </w:pPr>
      <w:bookmarkStart w:id="419" w:name="_Toc14422"/>
      <w:r>
        <w:rPr>
          <w:rFonts w:ascii="仿宋" w:hAnsi="仿宋" w:eastAsia="仿宋"/>
          <w:b w:val="0"/>
          <w:color w:val="auto"/>
          <w:highlight w:val="none"/>
        </w:rPr>
        <w:br w:type="page"/>
      </w:r>
      <w:bookmarkEnd w:id="419"/>
      <w:bookmarkStart w:id="420" w:name="_Toc3532"/>
      <w:bookmarkStart w:id="421" w:name="_Toc7818"/>
      <w:bookmarkStart w:id="422" w:name="_Toc9766"/>
      <w:bookmarkStart w:id="423" w:name="_Toc30470"/>
      <w:bookmarkStart w:id="424" w:name="_Toc28166"/>
      <w:bookmarkStart w:id="425" w:name="_Toc2794"/>
      <w:bookmarkStart w:id="426" w:name="_Toc17116"/>
      <w:r>
        <w:rPr>
          <w:rFonts w:hint="eastAsia" w:ascii="仿宋" w:hAnsi="仿宋" w:eastAsia="仿宋"/>
          <w:color w:val="auto"/>
          <w:sz w:val="24"/>
          <w:szCs w:val="24"/>
          <w:highlight w:val="none"/>
        </w:rPr>
        <w:t>五、其他应提供的资料</w:t>
      </w:r>
      <w:bookmarkEnd w:id="420"/>
      <w:bookmarkEnd w:id="421"/>
      <w:bookmarkEnd w:id="422"/>
      <w:bookmarkEnd w:id="423"/>
      <w:bookmarkEnd w:id="424"/>
      <w:bookmarkEnd w:id="425"/>
      <w:bookmarkEnd w:id="426"/>
    </w:p>
    <w:p>
      <w:pPr>
        <w:tabs>
          <w:tab w:val="left" w:pos="6300"/>
        </w:tabs>
        <w:snapToGrid w:val="0"/>
        <w:spacing w:line="500" w:lineRule="exact"/>
        <w:ind w:firstLine="480" w:firstLineChars="200"/>
        <w:outlineLvl w:val="1"/>
        <w:rPr>
          <w:rFonts w:ascii="仿宋" w:hAnsi="仿宋" w:eastAsia="仿宋" w:cs="仿宋"/>
          <w:color w:val="auto"/>
          <w:kern w:val="0"/>
          <w:sz w:val="24"/>
          <w:szCs w:val="24"/>
          <w:highlight w:val="none"/>
        </w:rPr>
      </w:pPr>
      <w:bookmarkStart w:id="427" w:name="_Toc11898"/>
      <w:bookmarkStart w:id="428" w:name="_Toc12702"/>
      <w:r>
        <w:rPr>
          <w:rFonts w:hint="eastAsia" w:ascii="仿宋" w:hAnsi="仿宋" w:eastAsia="仿宋" w:cs="仿宋"/>
          <w:color w:val="auto"/>
          <w:kern w:val="0"/>
          <w:sz w:val="24"/>
          <w:szCs w:val="24"/>
          <w:highlight w:val="none"/>
        </w:rPr>
        <w:t>（一）其他资料</w:t>
      </w:r>
      <w:bookmarkEnd w:id="427"/>
      <w:bookmarkEnd w:id="428"/>
    </w:p>
    <w:p>
      <w:pPr>
        <w:tabs>
          <w:tab w:val="left" w:pos="6300"/>
        </w:tabs>
        <w:snapToGrid w:val="0"/>
        <w:spacing w:line="500" w:lineRule="exact"/>
        <w:ind w:firstLine="480" w:firstLineChars="200"/>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其他与项目有关的资料（自附）。</w:t>
      </w:r>
    </w:p>
    <w:p>
      <w:pPr>
        <w:spacing w:line="360" w:lineRule="auto"/>
        <w:ind w:firstLine="480" w:firstLineChars="200"/>
        <w:jc w:val="center"/>
        <w:outlineLvl w:val="9"/>
        <w:rPr>
          <w:rFonts w:ascii="仿宋" w:hAnsi="仿宋" w:eastAsia="仿宋"/>
          <w:color w:val="auto"/>
          <w:sz w:val="24"/>
          <w:szCs w:val="24"/>
          <w:highlight w:val="none"/>
        </w:rPr>
      </w:pPr>
    </w:p>
    <w:p>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pPr>
        <w:snapToGrid w:val="0"/>
        <w:spacing w:line="400" w:lineRule="exact"/>
        <w:outlineLvl w:val="1"/>
        <w:rPr>
          <w:rFonts w:hint="eastAsia" w:ascii="仿宋" w:hAnsi="仿宋" w:eastAsia="仿宋"/>
          <w:color w:val="auto"/>
          <w:sz w:val="24"/>
          <w:szCs w:val="24"/>
          <w:highlight w:val="none"/>
        </w:rPr>
      </w:pPr>
      <w:bookmarkStart w:id="429" w:name="_Toc18947"/>
      <w:bookmarkStart w:id="430" w:name="_Toc25338"/>
      <w:r>
        <w:rPr>
          <w:rFonts w:hint="eastAsia" w:ascii="仿宋" w:hAnsi="仿宋" w:eastAsia="仿宋"/>
          <w:color w:val="auto"/>
          <w:sz w:val="24"/>
          <w:szCs w:val="24"/>
          <w:highlight w:val="none"/>
        </w:rPr>
        <w:t>（二）中小企业声明函、监狱企业证明文件、残疾人福利性单位声明函</w:t>
      </w:r>
      <w:bookmarkEnd w:id="429"/>
      <w:bookmarkEnd w:id="430"/>
    </w:p>
    <w:p>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highlight w:val="none"/>
        </w:rPr>
        <w:t>）的规定，本公司（联合体）参加</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i/>
          <w:color w:val="auto"/>
          <w:sz w:val="24"/>
          <w:highlight w:val="none"/>
          <w:u w:val="single"/>
        </w:rPr>
        <w:t>（采购文件中明确的所属行业）行业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承接企业</w:t>
      </w:r>
      <w:r>
        <w:rPr>
          <w:rFonts w:hint="eastAsia" w:ascii="仿宋" w:hAnsi="仿宋" w:eastAsia="仿宋" w:cs="仿宋"/>
          <w:color w:val="auto"/>
          <w:sz w:val="24"/>
          <w:highlight w:val="none"/>
        </w:rPr>
        <w:t>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i/>
          <w:color w:val="auto"/>
          <w:sz w:val="24"/>
          <w:highlight w:val="none"/>
          <w:u w:val="single"/>
        </w:rPr>
        <w:t>（采购文件中明确的所属行业）行业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承接企业</w:t>
      </w:r>
      <w:r>
        <w:rPr>
          <w:rFonts w:hint="eastAsia" w:ascii="仿宋" w:hAnsi="仿宋" w:eastAsia="仿宋" w:cs="仿宋"/>
          <w:color w:val="auto"/>
          <w:sz w:val="24"/>
          <w:highlight w:val="none"/>
        </w:rPr>
        <w:t>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tabs>
          <w:tab w:val="left" w:pos="6300"/>
        </w:tabs>
        <w:snapToGrid w:val="0"/>
        <w:spacing w:line="500" w:lineRule="exact"/>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pPr>
        <w:tabs>
          <w:tab w:val="left" w:pos="6300"/>
        </w:tabs>
        <w:snapToGrid w:val="0"/>
        <w:spacing w:line="500" w:lineRule="exact"/>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tabs>
          <w:tab w:val="left" w:pos="6300"/>
        </w:tabs>
        <w:snapToGrid w:val="0"/>
        <w:spacing w:line="420" w:lineRule="exact"/>
        <w:jc w:val="left"/>
        <w:rPr>
          <w:rFonts w:hint="eastAsia" w:ascii="仿宋" w:hAnsi="仿宋" w:eastAsia="仿宋" w:cs="仿宋"/>
          <w:color w:val="auto"/>
          <w:kern w:val="0"/>
          <w:sz w:val="21"/>
          <w:szCs w:val="21"/>
          <w:highlight w:val="none"/>
        </w:rPr>
      </w:pPr>
    </w:p>
    <w:p>
      <w:pPr>
        <w:tabs>
          <w:tab w:val="left" w:pos="6300"/>
        </w:tabs>
        <w:snapToGrid w:val="0"/>
        <w:spacing w:line="420" w:lineRule="exact"/>
        <w:jc w:val="left"/>
        <w:rPr>
          <w:rFonts w:hint="eastAsia" w:ascii="仿宋" w:hAnsi="仿宋" w:eastAsia="仿宋" w:cs="仿宋"/>
          <w:color w:val="auto"/>
          <w:kern w:val="0"/>
          <w:sz w:val="21"/>
          <w:szCs w:val="21"/>
          <w:highlight w:val="none"/>
        </w:rPr>
      </w:pPr>
    </w:p>
    <w:p>
      <w:pPr>
        <w:tabs>
          <w:tab w:val="left" w:pos="6300"/>
        </w:tabs>
        <w:snapToGrid w:val="0"/>
        <w:spacing w:line="420" w:lineRule="exact"/>
        <w:jc w:val="left"/>
        <w:rPr>
          <w:rFonts w:hint="eastAsia" w:ascii="仿宋" w:hAnsi="仿宋" w:eastAsia="仿宋" w:cs="仿宋"/>
          <w:color w:val="auto"/>
          <w:kern w:val="0"/>
          <w:sz w:val="21"/>
          <w:szCs w:val="21"/>
          <w:highlight w:val="none"/>
        </w:rPr>
      </w:pPr>
    </w:p>
    <w:p>
      <w:pPr>
        <w:tabs>
          <w:tab w:val="left" w:pos="6300"/>
        </w:tabs>
        <w:snapToGrid w:val="0"/>
        <w:spacing w:line="42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填写时应注意以下事项：</w:t>
      </w:r>
    </w:p>
    <w:p>
      <w:pPr>
        <w:tabs>
          <w:tab w:val="left" w:pos="6300"/>
        </w:tabs>
        <w:snapToGrid w:val="0"/>
        <w:spacing w:line="420" w:lineRule="exact"/>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1.从业人员、营业收入、资产总额填报上一年度数据，无上一年度数据的新成立企业可不填报。</w:t>
      </w:r>
    </w:p>
    <w:p>
      <w:pPr>
        <w:tabs>
          <w:tab w:val="left" w:pos="6300"/>
        </w:tabs>
        <w:snapToGrid w:val="0"/>
        <w:spacing w:line="420" w:lineRule="exact"/>
        <w:ind w:firstLine="422" w:firstLineChars="200"/>
        <w:jc w:val="left"/>
        <w:rPr>
          <w:rFonts w:hint="eastAsia" w:ascii="仿宋" w:hAnsi="仿宋" w:eastAsia="仿宋" w:cs="仿宋"/>
          <w:b/>
          <w:color w:val="auto"/>
          <w:kern w:val="0"/>
          <w:sz w:val="21"/>
          <w:szCs w:val="21"/>
          <w:highlight w:val="none"/>
          <w:u w:val="single"/>
        </w:rPr>
      </w:pPr>
      <w:r>
        <w:rPr>
          <w:rFonts w:hint="eastAsia" w:ascii="仿宋" w:hAnsi="仿宋" w:eastAsia="仿宋" w:cs="仿宋"/>
          <w:b/>
          <w:color w:val="auto"/>
          <w:kern w:val="0"/>
          <w:sz w:val="21"/>
          <w:szCs w:val="21"/>
          <w:highlight w:val="none"/>
          <w:u w:val="single"/>
        </w:rPr>
        <w:t>2.中小企业应当按照《中小企业划型标准规定》（工信部联企业〔2011〕300号），如实填写并提交《中小企业声明函》。</w:t>
      </w:r>
    </w:p>
    <w:p>
      <w:pPr>
        <w:tabs>
          <w:tab w:val="left" w:pos="6300"/>
        </w:tabs>
        <w:snapToGrid w:val="0"/>
        <w:spacing w:line="420" w:lineRule="exact"/>
        <w:ind w:firstLine="422" w:firstLineChars="200"/>
        <w:jc w:val="left"/>
        <w:rPr>
          <w:rFonts w:hint="eastAsia" w:ascii="仿宋" w:hAnsi="仿宋" w:eastAsia="仿宋" w:cs="仿宋"/>
          <w:b/>
          <w:color w:val="auto"/>
          <w:kern w:val="0"/>
          <w:sz w:val="21"/>
          <w:szCs w:val="21"/>
          <w:highlight w:val="none"/>
          <w:u w:val="single"/>
        </w:rPr>
      </w:pPr>
      <w:r>
        <w:rPr>
          <w:rFonts w:hint="eastAsia" w:ascii="仿宋" w:hAnsi="仿宋" w:eastAsia="仿宋" w:cs="仿宋"/>
          <w:b/>
          <w:color w:val="auto"/>
          <w:kern w:val="0"/>
          <w:sz w:val="21"/>
          <w:szCs w:val="21"/>
          <w:highlight w:val="none"/>
          <w:u w:val="single"/>
        </w:rPr>
        <w:t>3.</w:t>
      </w:r>
      <w:r>
        <w:rPr>
          <w:rFonts w:hint="eastAsia" w:ascii="仿宋" w:hAnsi="仿宋" w:eastAsia="仿宋" w:cs="仿宋"/>
          <w:b/>
          <w:color w:val="auto"/>
          <w:kern w:val="0"/>
          <w:sz w:val="21"/>
          <w:szCs w:val="21"/>
          <w:highlight w:val="none"/>
          <w:u w:val="single"/>
          <w:lang w:eastAsia="zh-CN"/>
        </w:rPr>
        <w:t>供应商</w:t>
      </w:r>
      <w:r>
        <w:rPr>
          <w:rFonts w:hint="eastAsia" w:ascii="仿宋" w:hAnsi="仿宋" w:eastAsia="仿宋" w:cs="仿宋"/>
          <w:b/>
          <w:color w:val="auto"/>
          <w:kern w:val="0"/>
          <w:sz w:val="21"/>
          <w:szCs w:val="21"/>
          <w:highlight w:val="none"/>
          <w:u w:val="single"/>
        </w:rPr>
        <w:t>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1"/>
          <w:szCs w:val="21"/>
          <w:highlight w:val="none"/>
        </w:rPr>
        <w:t>注：各行业划型标准：</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tabs>
          <w:tab w:val="left" w:pos="6300"/>
        </w:tabs>
        <w:snapToGrid w:val="0"/>
        <w:spacing w:line="500" w:lineRule="exact"/>
        <w:ind w:firstLine="560"/>
        <w:jc w:val="center"/>
        <w:outlineLvl w:val="0"/>
        <w:rPr>
          <w:rFonts w:hint="eastAsia" w:ascii="仿宋" w:hAnsi="仿宋" w:eastAsia="仿宋" w:cs="仿宋"/>
          <w:color w:val="auto"/>
          <w:highlight w:val="none"/>
        </w:rPr>
      </w:pPr>
      <w:bookmarkStart w:id="431" w:name="_Toc32434"/>
      <w:bookmarkStart w:id="432" w:name="_Toc7157"/>
      <w:r>
        <w:rPr>
          <w:rFonts w:hint="eastAsia" w:ascii="仿宋" w:hAnsi="仿宋" w:eastAsia="仿宋" w:cs="仿宋"/>
          <w:color w:val="auto"/>
          <w:highlight w:val="none"/>
        </w:rPr>
        <w:t>监狱企业证明文件</w:t>
      </w:r>
      <w:bookmarkEnd w:id="431"/>
      <w:bookmarkEnd w:id="432"/>
    </w:p>
    <w:p>
      <w:pPr>
        <w:tabs>
          <w:tab w:val="left" w:pos="6300"/>
        </w:tabs>
        <w:snapToGrid w:val="0"/>
        <w:spacing w:line="400" w:lineRule="exact"/>
        <w:ind w:firstLine="56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以省级以上监狱管理局、戒毒管理局（含新疆生产建设兵团）出具的属于监狱企业的证明文件为准。</w:t>
      </w:r>
    </w:p>
    <w:p>
      <w:pPr>
        <w:tabs>
          <w:tab w:val="left" w:pos="6300"/>
        </w:tabs>
        <w:snapToGrid w:val="0"/>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p>
    <w:p>
      <w:pPr>
        <w:tabs>
          <w:tab w:val="left" w:pos="6300"/>
        </w:tabs>
        <w:snapToGrid w:val="0"/>
        <w:spacing w:line="500" w:lineRule="exact"/>
        <w:ind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widowControl/>
        <w:rPr>
          <w:rFonts w:hint="eastAsia" w:ascii="仿宋" w:hAnsi="仿宋" w:eastAsia="仿宋"/>
          <w:color w:val="auto"/>
          <w:highlight w:val="none"/>
        </w:rPr>
      </w:pPr>
    </w:p>
    <w:p>
      <w:pPr>
        <w:widowControl/>
        <w:jc w:val="center"/>
        <w:rPr>
          <w:rFonts w:hint="eastAsia" w:ascii="仿宋" w:hAnsi="仿宋" w:eastAsia="仿宋"/>
          <w:color w:val="auto"/>
          <w:highlight w:val="none"/>
        </w:rPr>
      </w:pPr>
      <w:r>
        <w:rPr>
          <w:rFonts w:hint="eastAsia" w:ascii="仿宋" w:hAnsi="仿宋" w:eastAsia="仿宋"/>
          <w:color w:val="auto"/>
          <w:highlight w:val="none"/>
        </w:rPr>
        <w:t>（结束）</w:t>
      </w:r>
    </w:p>
    <w:p>
      <w:pPr>
        <w:pStyle w:val="18"/>
        <w:rPr>
          <w:rFonts w:hint="eastAsia"/>
          <w:color w:val="auto"/>
          <w:highlight w:val="none"/>
        </w:rPr>
      </w:pPr>
    </w:p>
    <w:p>
      <w:pPr>
        <w:pStyle w:val="30"/>
        <w:spacing w:line="20" w:lineRule="atLeast"/>
        <w:rPr>
          <w:color w:val="auto"/>
          <w:highlight w:val="none"/>
        </w:rPr>
      </w:pPr>
    </w:p>
    <w:p>
      <w:pPr>
        <w:pStyle w:val="30"/>
        <w:spacing w:line="20" w:lineRule="atLeast"/>
        <w:jc w:val="center"/>
        <w:rPr>
          <w:color w:val="auto"/>
          <w:highlight w:val="none"/>
        </w:rPr>
      </w:pPr>
    </w:p>
    <w:p>
      <w:pPr>
        <w:rPr>
          <w:color w:val="auto"/>
          <w:highlight w:val="none"/>
        </w:rPr>
      </w:pPr>
    </w:p>
    <w:sectPr>
      <w:headerReference r:id="rId10" w:type="default"/>
      <w:footerReference r:id="rId11" w:type="default"/>
      <w:pgSz w:w="11907" w:h="16840"/>
      <w:pgMar w:top="1134" w:right="1191" w:bottom="1134" w:left="1304" w:header="624"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p>
  <w:p>
    <w:pPr>
      <w:pStyle w:val="1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D5F6F758"/>
    <w:multiLevelType w:val="singleLevel"/>
    <w:tmpl w:val="D5F6F758"/>
    <w:lvl w:ilvl="0" w:tentative="0">
      <w:start w:val="2"/>
      <w:numFmt w:val="chineseCounting"/>
      <w:suff w:val="space"/>
      <w:lvlText w:val="第%1篇"/>
      <w:lvlJc w:val="left"/>
      <w:rPr>
        <w:rFonts w:hint="eastAsia"/>
      </w:rPr>
    </w:lvl>
  </w:abstractNum>
  <w:abstractNum w:abstractNumId="2">
    <w:nsid w:val="E403EF40"/>
    <w:multiLevelType w:val="singleLevel"/>
    <w:tmpl w:val="E403EF40"/>
    <w:lvl w:ilvl="0" w:tentative="0">
      <w:start w:val="2"/>
      <w:numFmt w:val="chineseCounting"/>
      <w:suff w:val="nothing"/>
      <w:lvlText w:val="（%1）"/>
      <w:lvlJc w:val="left"/>
      <w:rPr>
        <w:rFonts w:hint="eastAsia"/>
      </w:rPr>
    </w:lvl>
  </w:abstractNum>
  <w:abstractNum w:abstractNumId="3">
    <w:nsid w:val="0DD74B38"/>
    <w:multiLevelType w:val="singleLevel"/>
    <w:tmpl w:val="0DD74B38"/>
    <w:lvl w:ilvl="0" w:tentative="0">
      <w:start w:val="8"/>
      <w:numFmt w:val="chineseCounting"/>
      <w:suff w:val="nothing"/>
      <w:lvlText w:val="（%1）"/>
      <w:lvlJc w:val="left"/>
      <w:rPr>
        <w:rFonts w:hint="eastAsia"/>
      </w:rPr>
    </w:lvl>
  </w:abstractNum>
  <w:abstractNum w:abstractNumId="4">
    <w:nsid w:val="3F94D674"/>
    <w:multiLevelType w:val="singleLevel"/>
    <w:tmpl w:val="3F94D674"/>
    <w:lvl w:ilvl="0" w:tentative="0">
      <w:start w:val="4"/>
      <w:numFmt w:val="chineseCounting"/>
      <w:suff w:val="nothing"/>
      <w:lvlText w:val="%1、"/>
      <w:lvlJc w:val="left"/>
      <w:rPr>
        <w:rFonts w:hint="eastAsia"/>
      </w:rPr>
    </w:lvl>
  </w:abstractNum>
  <w:abstractNum w:abstractNumId="5">
    <w:nsid w:val="4749700C"/>
    <w:multiLevelType w:val="multilevel"/>
    <w:tmpl w:val="4749700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68B796A"/>
    <w:multiLevelType w:val="singleLevel"/>
    <w:tmpl w:val="768B796A"/>
    <w:lvl w:ilvl="0" w:tentative="0">
      <w:start w:val="3"/>
      <w:numFmt w:val="decimal"/>
      <w:suff w:val="nothing"/>
      <w:lvlText w:val="%1、"/>
      <w:lvlJc w:val="left"/>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ODQyMWQ4MGVhMjZlMjQ3MTA0NjIzN2UzZTg1YzkifQ=="/>
  </w:docVars>
  <w:rsids>
    <w:rsidRoot w:val="0D904D63"/>
    <w:rsid w:val="03E24C55"/>
    <w:rsid w:val="07621C9D"/>
    <w:rsid w:val="0B7E7527"/>
    <w:rsid w:val="0D904D63"/>
    <w:rsid w:val="0E5B2895"/>
    <w:rsid w:val="3DFA5A99"/>
    <w:rsid w:val="452033CE"/>
    <w:rsid w:val="46803468"/>
    <w:rsid w:val="5E094920"/>
    <w:rsid w:val="6BBD7640"/>
    <w:rsid w:val="6F022468"/>
    <w:rsid w:val="711008CA"/>
    <w:rsid w:val="71887BF8"/>
    <w:rsid w:val="7636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3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table of authorities"/>
    <w:basedOn w:val="1"/>
    <w:next w:val="1"/>
    <w:qFormat/>
    <w:uiPriority w:val="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4" w:lineRule="exact"/>
      <w:ind w:left="200" w:leftChars="200" w:right="0" w:firstLine="0"/>
      <w:jc w:val="both"/>
      <w:textAlignment w:val="auto"/>
      <w:outlineLvl w:val="9"/>
    </w:pPr>
    <w:rPr>
      <w:rFonts w:ascii="Times New Roman" w:hAnsi="Times New Roman" w:eastAsia="方正仿宋_GBK"/>
      <w:snapToGrid/>
      <w:color w:val="auto"/>
      <w:spacing w:val="0"/>
      <w:w w:val="100"/>
      <w:kern w:val="2"/>
      <w:position w:val="0"/>
      <w:sz w:val="32"/>
      <w:szCs w:val="22"/>
      <w:u w:val="none" w:color="auto"/>
      <w:vertAlign w:val="baseline"/>
      <w:lang w:val="en-US" w:eastAsia="zh-CN"/>
    </w:rPr>
  </w:style>
  <w:style w:type="paragraph" w:styleId="7">
    <w:name w:val="Normal Indent"/>
    <w:basedOn w:val="1"/>
    <w:next w:val="8"/>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8">
    <w:name w:val="Body Text"/>
    <w:basedOn w:val="1"/>
    <w:next w:val="9"/>
    <w:qFormat/>
    <w:uiPriority w:val="0"/>
    <w:rPr>
      <w:rFonts w:ascii="仿宋_GB2312" w:eastAsia="仿宋_GB2312"/>
      <w:sz w:val="32"/>
    </w:rPr>
  </w:style>
  <w:style w:type="paragraph" w:styleId="9">
    <w:name w:val="Body Text 2"/>
    <w:basedOn w:val="1"/>
    <w:qFormat/>
    <w:uiPriority w:val="0"/>
    <w:pPr>
      <w:adjustRightInd w:val="0"/>
      <w:snapToGrid w:val="0"/>
      <w:spacing w:after="120" w:afterLines="0" w:afterAutospacing="0" w:line="480" w:lineRule="auto"/>
    </w:pPr>
    <w:rPr>
      <w:sz w:val="24"/>
    </w:r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2"/>
    <w:basedOn w:val="1"/>
    <w:next w:val="1"/>
    <w:qFormat/>
    <w:uiPriority w:val="39"/>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character" w:customStyle="1" w:styleId="24">
    <w:name w:val="NormalCharacter"/>
    <w:semiHidden/>
    <w:qFormat/>
    <w:uiPriority w:val="0"/>
    <w:rPr>
      <w:rFonts w:ascii="Verdana" w:hAnsi="Verdana" w:eastAsia="仿宋_GB2312"/>
      <w:sz w:val="24"/>
      <w:lang w:val="en-US" w:eastAsia="en-US" w:bidi="ar-SA"/>
    </w:rPr>
  </w:style>
  <w:style w:type="paragraph" w:customStyle="1" w:styleId="25">
    <w:name w:val="NormalIndent"/>
    <w:basedOn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6">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28">
    <w:name w:val="1"/>
    <w:basedOn w:val="1"/>
    <w:next w:val="12"/>
    <w:qFormat/>
    <w:uiPriority w:val="0"/>
    <w:rPr>
      <w:rFonts w:ascii="宋体" w:hAnsi="Courier New"/>
      <w:sz w:val="21"/>
    </w:rPr>
  </w:style>
  <w:style w:type="paragraph" w:customStyle="1" w:styleId="29">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0">
    <w:name w:val="无间隔1"/>
    <w:qFormat/>
    <w:uiPriority w:val="1"/>
    <w:pPr>
      <w:jc w:val="both"/>
    </w:pPr>
    <w:rPr>
      <w:rFonts w:ascii="Calibri" w:hAnsi="Calibri" w:eastAsia="Times New Roman" w:cs="Times New Roman"/>
      <w:lang w:val="en-US" w:eastAsia="zh-CN" w:bidi="ar-SA"/>
    </w:rPr>
  </w:style>
  <w:style w:type="character" w:customStyle="1" w:styleId="31">
    <w:name w:val="标题 2 Char"/>
    <w:link w:val="4"/>
    <w:qFormat/>
    <w:uiPriority w:val="0"/>
    <w:rPr>
      <w:rFonts w:ascii="Arial" w:hAnsi="Arial" w:eastAsia="黑体"/>
      <w:b/>
      <w:sz w:val="32"/>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14443</Words>
  <Characters>15214</Characters>
  <Lines>0</Lines>
  <Paragraphs>0</Paragraphs>
  <TotalTime>4</TotalTime>
  <ScaleCrop>false</ScaleCrop>
  <LinksUpToDate>false</LinksUpToDate>
  <CharactersWithSpaces>16356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2022-08-18T14:14:00Z</dcterms:created>
  <dc:creator>小小小朋友o∩_∩o</dc:creator>
  <cp:lastModifiedBy>小小小朋友o∩_∩o</cp:lastModifiedBy>
  <cp:lastPrinted>2022-11-07T08:09:00Z</cp:lastPrinted>
  <dcterms:modified xsi:type="dcterms:W3CDTF">2023-01-31T07:24:26Z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22AF913EC2ED436396E0018DDBD132C4</vt:lpwstr>
  </property>
</Properties>
</file>