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kern w:val="2"/>
          <w:sz w:val="28"/>
          <w:lang w:val="en-US" w:eastAsia="zh-CN" w:bidi="ar-SA"/>
        </w:rPr>
      </w:pPr>
      <w:bookmarkStart w:id="0" w:name="_GoBack"/>
      <w:bookmarkEnd w:id="0"/>
      <w:r>
        <w:rPr>
          <w:rFonts w:hint="eastAsia" w:ascii="宋体" w:hAnsi="宋体" w:cs="宋体"/>
          <w:b/>
          <w:bCs/>
          <w:szCs w:val="28"/>
        </w:rPr>
        <w:t>评审标准</w:t>
      </w:r>
    </w:p>
    <w:tbl>
      <w:tblPr>
        <w:tblStyle w:val="2"/>
        <w:tblpPr w:leftFromText="180" w:rightFromText="180" w:vertAnchor="text" w:horzAnchor="page" w:tblpX="1362" w:tblpY="596"/>
        <w:tblOverlap w:val="never"/>
        <w:tblW w:w="5008"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705"/>
        <w:gridCol w:w="194"/>
        <w:gridCol w:w="1127"/>
        <w:gridCol w:w="17"/>
        <w:gridCol w:w="1527"/>
        <w:gridCol w:w="2961"/>
        <w:gridCol w:w="914"/>
        <w:gridCol w:w="102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84" w:hRule="atLeast"/>
        </w:trPr>
        <w:tc>
          <w:tcPr>
            <w:tcW w:w="1195" w:type="pct"/>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评分因素</w:t>
            </w:r>
          </w:p>
        </w:tc>
        <w:tc>
          <w:tcPr>
            <w:tcW w:w="911"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评分点</w:t>
            </w:r>
          </w:p>
        </w:tc>
        <w:tc>
          <w:tcPr>
            <w:tcW w:w="1747" w:type="pct"/>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c>
          <w:tcPr>
            <w:tcW w:w="1145" w:type="pct"/>
            <w:gridSpan w:val="2"/>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4" w:hRule="atLeast"/>
        </w:trPr>
        <w:tc>
          <w:tcPr>
            <w:tcW w:w="1195"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p>
        </w:tc>
        <w:tc>
          <w:tcPr>
            <w:tcW w:w="911"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p>
        </w:tc>
        <w:tc>
          <w:tcPr>
            <w:tcW w:w="1747"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是</w:t>
            </w: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69" w:hRule="atLeast"/>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初步评审</w:t>
            </w:r>
          </w:p>
        </w:tc>
        <w:tc>
          <w:tcPr>
            <w:tcW w:w="665" w:type="pct"/>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资格检查</w:t>
            </w: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是否具备有效的营业执照</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35"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信用中国及中国政府采购网查询记录</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须提供在“信用中国”（www.creditchina.gov.cn）和中国政府采购网（www.ccgp.gov.cn）网站上未被列入失信被执行人、重大税收违法案件当事人名单以及政府采购严重违法失信行为记录名单的查询记录</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16"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法人和授权代表资格</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具有法定代表人资格证明和法定代表人授权委托书</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31"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投标人名称</w:t>
            </w:r>
          </w:p>
        </w:tc>
        <w:tc>
          <w:tcPr>
            <w:tcW w:w="1747"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是否与营业执照、税务登记证、资质证书一致</w:t>
            </w:r>
          </w:p>
        </w:tc>
        <w:tc>
          <w:tcPr>
            <w:tcW w:w="539"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9"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符合性检查</w:t>
            </w:r>
          </w:p>
        </w:tc>
        <w:tc>
          <w:tcPr>
            <w:tcW w:w="911" w:type="pct"/>
            <w:gridSpan w:val="2"/>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响应文件的格式</w:t>
            </w:r>
          </w:p>
        </w:tc>
        <w:tc>
          <w:tcPr>
            <w:tcW w:w="1747"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响应文件按招标文件规定格式完整提供</w:t>
            </w:r>
          </w:p>
        </w:tc>
        <w:tc>
          <w:tcPr>
            <w:tcW w:w="539"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投标文件签署</w:t>
            </w:r>
          </w:p>
          <w:p>
            <w:pPr>
              <w:pStyle w:val="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响应文件上法定代表人或其授权代理人的签字、供应商的单位章齐全符合文件规定</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63"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w:t>
            </w:r>
          </w:p>
        </w:tc>
        <w:tc>
          <w:tcPr>
            <w:tcW w:w="1747"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其报价未超过采购预算金额，不得提交选择性报价。</w:t>
            </w:r>
          </w:p>
        </w:tc>
        <w:tc>
          <w:tcPr>
            <w:tcW w:w="539" w:type="pct"/>
            <w:tcBorders>
              <w:top w:val="outset" w:color="auto" w:sz="6" w:space="0"/>
              <w:left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74"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招标内容</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对文件规定的招标内容全部作出响应。</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1"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84" w:hRule="atLeast"/>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6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11" w:type="pct"/>
            <w:gridSpan w:val="2"/>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47"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响应文件未附有采购人不能接受的附加条件及法律、法规和招标文件规定的其他无效情形。</w:t>
            </w:r>
          </w:p>
        </w:tc>
        <w:tc>
          <w:tcPr>
            <w:tcW w:w="539"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606"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84" w:hRule="atLeast"/>
        </w:trPr>
        <w:tc>
          <w:tcPr>
            <w:tcW w:w="1205" w:type="pct"/>
            <w:gridSpan w:val="4"/>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评分因素</w:t>
            </w: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评分点</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31" w:hRule="atLeast"/>
        </w:trPr>
        <w:tc>
          <w:tcPr>
            <w:tcW w:w="416" w:type="pct"/>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详细评审</w:t>
            </w:r>
          </w:p>
        </w:tc>
        <w:tc>
          <w:tcPr>
            <w:tcW w:w="789" w:type="pct"/>
            <w:gridSpan w:val="3"/>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价格评审（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评标基准价=有效投标报价的最低值，有效投标报价等于基准值的得满分，投标报价得分=（评标基准价/投标报价）×10。有效投标报价为通过资格审查和符合性审查的投标人报价。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70"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商务标评审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tc>
        <w:tc>
          <w:tcPr>
            <w:tcW w:w="901" w:type="pct"/>
            <w:tcBorders>
              <w:top w:val="outset" w:color="auto" w:sz="6" w:space="0"/>
              <w:left w:val="outset" w:color="auto" w:sz="6" w:space="0"/>
              <w:right w:val="outset" w:color="auto" w:sz="6" w:space="0"/>
            </w:tcBorders>
            <w:noWrap w:val="0"/>
            <w:vAlign w:val="center"/>
          </w:tcPr>
          <w:p>
            <w:pPr>
              <w:pStyle w:val="4"/>
              <w:jc w:val="center"/>
              <w:rPr>
                <w:rFonts w:hint="eastAsia" w:ascii="宋体" w:hAnsi="宋体" w:eastAsia="宋体" w:cs="宋体"/>
                <w:color w:val="auto"/>
                <w:kern w:val="0"/>
                <w:sz w:val="24"/>
                <w:szCs w:val="24"/>
                <w:lang w:eastAsia="zh-CN" w:bidi="ar-SA"/>
              </w:rPr>
            </w:pPr>
            <w:r>
              <w:rPr>
                <w:rFonts w:hint="eastAsia" w:ascii="宋体" w:hAnsi="宋体" w:eastAsia="宋体" w:cs="宋体"/>
                <w:color w:val="auto"/>
                <w:kern w:val="0"/>
                <w:sz w:val="24"/>
                <w:szCs w:val="24"/>
                <w:lang w:val="en-US" w:eastAsia="zh-CN" w:bidi="ar-SA"/>
              </w:rPr>
              <w:t>项目</w:t>
            </w:r>
            <w:r>
              <w:rPr>
                <w:rFonts w:hint="eastAsia" w:ascii="宋体" w:hAnsi="宋体" w:eastAsia="宋体" w:cs="宋体"/>
                <w:color w:val="auto"/>
                <w:kern w:val="0"/>
                <w:sz w:val="24"/>
                <w:szCs w:val="24"/>
                <w:lang w:bidi="ar-SA"/>
              </w:rPr>
              <w:t>业绩</w:t>
            </w:r>
            <w:r>
              <w:rPr>
                <w:rFonts w:hint="eastAsia" w:ascii="宋体" w:hAnsi="宋体" w:eastAsia="宋体" w:cs="宋体"/>
                <w:color w:val="auto"/>
                <w:kern w:val="0"/>
                <w:sz w:val="24"/>
                <w:szCs w:val="24"/>
                <w:lang w:eastAsia="zh-CN" w:bidi="ar-SA"/>
              </w:rPr>
              <w:t>（</w:t>
            </w:r>
            <w:r>
              <w:rPr>
                <w:rFonts w:hint="eastAsia" w:ascii="宋体" w:hAnsi="宋体" w:eastAsia="宋体" w:cs="宋体"/>
                <w:color w:val="auto"/>
                <w:kern w:val="0"/>
                <w:sz w:val="24"/>
                <w:szCs w:val="24"/>
                <w:lang w:val="en-US" w:eastAsia="zh-CN" w:bidi="ar-SA"/>
              </w:rPr>
              <w:t>16分</w:t>
            </w:r>
            <w:r>
              <w:rPr>
                <w:rFonts w:hint="eastAsia" w:ascii="宋体" w:hAnsi="宋体" w:eastAsia="宋体" w:cs="宋体"/>
                <w:color w:val="auto"/>
                <w:kern w:val="0"/>
                <w:sz w:val="24"/>
                <w:szCs w:val="24"/>
                <w:lang w:eastAsia="zh-CN" w:bidi="ar-SA"/>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numPr>
                <w:ilvl w:val="0"/>
                <w:numId w:val="0"/>
              </w:numPr>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rPr>
              <w:t>供应商自</w:t>
            </w:r>
            <w:r>
              <w:rPr>
                <w:rFonts w:hint="eastAsia" w:ascii="宋体" w:hAnsi="宋体" w:eastAsia="宋体" w:cs="宋体"/>
                <w:color w:val="auto"/>
                <w:sz w:val="24"/>
                <w:szCs w:val="24"/>
                <w:lang w:val="en-US" w:eastAsia="zh-CN"/>
              </w:rPr>
              <w:t>2020</w:t>
            </w:r>
            <w:r>
              <w:rPr>
                <w:rFonts w:hint="eastAsia" w:ascii="宋体" w:hAnsi="宋体" w:cs="宋体"/>
                <w:color w:val="auto"/>
                <w:sz w:val="24"/>
                <w:szCs w:val="24"/>
              </w:rPr>
              <w:t>年1月1日起</w:t>
            </w:r>
            <w:r>
              <w:rPr>
                <w:rFonts w:hint="eastAsia" w:ascii="宋体" w:hAnsi="宋体" w:eastAsia="宋体" w:cs="宋体"/>
                <w:color w:val="auto"/>
                <w:sz w:val="24"/>
                <w:szCs w:val="24"/>
                <w:lang w:val="en-US" w:eastAsia="zh-CN"/>
              </w:rPr>
              <w:t>在全国范围内</w:t>
            </w:r>
            <w:r>
              <w:rPr>
                <w:rFonts w:hint="eastAsia" w:ascii="宋体" w:hAnsi="宋体" w:cs="宋体"/>
                <w:color w:val="auto"/>
                <w:sz w:val="24"/>
                <w:szCs w:val="24"/>
              </w:rPr>
              <w:t>提供过类似服务的，每提供1份合同或其他有效证明文件得</w:t>
            </w:r>
            <w:r>
              <w:rPr>
                <w:rFonts w:hint="eastAsia" w:ascii="宋体" w:hAnsi="宋体" w:eastAsia="宋体" w:cs="宋体"/>
                <w:color w:val="auto"/>
                <w:sz w:val="24"/>
                <w:szCs w:val="24"/>
                <w:lang w:val="en-US" w:eastAsia="zh-CN"/>
              </w:rPr>
              <w:t>4</w:t>
            </w:r>
            <w:r>
              <w:rPr>
                <w:rFonts w:hint="eastAsia" w:ascii="宋体" w:hAnsi="宋体" w:cs="宋体"/>
                <w:color w:val="auto"/>
                <w:sz w:val="24"/>
                <w:szCs w:val="24"/>
              </w:rPr>
              <w:t>分，最高得</w:t>
            </w:r>
            <w:r>
              <w:rPr>
                <w:rFonts w:hint="eastAsia" w:ascii="宋体" w:hAnsi="宋体" w:eastAsia="宋体" w:cs="宋体"/>
                <w:color w:val="auto"/>
                <w:sz w:val="24"/>
                <w:szCs w:val="24"/>
                <w:lang w:val="en-US" w:eastAsia="zh-CN"/>
              </w:rPr>
              <w:t>16</w:t>
            </w:r>
            <w:r>
              <w:rPr>
                <w:rFonts w:hint="eastAsia" w:ascii="宋体" w:hAnsi="宋体" w:cs="宋体"/>
                <w:color w:val="auto"/>
                <w:sz w:val="24"/>
                <w:szCs w:val="24"/>
              </w:rPr>
              <w:t>分。</w:t>
            </w:r>
            <w:r>
              <w:rPr>
                <w:rFonts w:hint="eastAsia" w:ascii="宋体" w:hAnsi="宋体" w:eastAsia="宋体" w:cs="宋体"/>
                <w:color w:val="auto"/>
                <w:kern w:val="0"/>
                <w:sz w:val="24"/>
                <w:szCs w:val="24"/>
                <w:lang w:val="en-US" w:eastAsia="zh-CN" w:bidi="ar-SA"/>
              </w:rPr>
              <w:t>业绩须附合同或者中标通知书。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18"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right w:val="outset" w:color="auto" w:sz="6" w:space="0"/>
            </w:tcBorders>
            <w:noWrap w:val="0"/>
            <w:vAlign w:val="center"/>
          </w:tcPr>
          <w:p>
            <w:pPr>
              <w:pStyle w:val="4"/>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项目组成员</w:t>
            </w:r>
          </w:p>
          <w:p>
            <w:pPr>
              <w:pStyle w:val="4"/>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bidi="ar-SA"/>
              </w:rPr>
              <w:t>（</w:t>
            </w:r>
            <w:r>
              <w:rPr>
                <w:rFonts w:hint="eastAsia" w:ascii="宋体" w:hAnsi="宋体" w:eastAsia="宋体" w:cs="宋体"/>
                <w:color w:val="auto"/>
                <w:kern w:val="0"/>
                <w:sz w:val="24"/>
                <w:szCs w:val="24"/>
                <w:lang w:val="en-US" w:eastAsia="zh-CN" w:bidi="ar-SA"/>
              </w:rPr>
              <w:t>10分</w:t>
            </w:r>
            <w:r>
              <w:rPr>
                <w:rFonts w:hint="eastAsia" w:ascii="宋体" w:hAnsi="宋体" w:eastAsia="宋体" w:cs="宋体"/>
                <w:color w:val="auto"/>
                <w:kern w:val="0"/>
                <w:sz w:val="24"/>
                <w:szCs w:val="24"/>
                <w:lang w:eastAsia="zh-CN" w:bidi="ar-SA"/>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拟投入项目主要成员（项目负责人除外），</w:t>
            </w:r>
            <w:r>
              <w:rPr>
                <w:rFonts w:hint="eastAsia" w:ascii="宋体" w:hAnsi="宋体"/>
                <w:color w:val="auto"/>
                <w:szCs w:val="21"/>
                <w:highlight w:val="none"/>
              </w:rPr>
              <w:t>具有</w:t>
            </w:r>
            <w:r>
              <w:rPr>
                <w:rFonts w:hint="eastAsia" w:ascii="宋体" w:hAnsi="宋体" w:eastAsia="宋体"/>
                <w:color w:val="auto"/>
                <w:szCs w:val="21"/>
                <w:highlight w:val="none"/>
                <w:lang w:val="en-US" w:eastAsia="zh-CN"/>
              </w:rPr>
              <w:t>高级</w:t>
            </w:r>
            <w:r>
              <w:rPr>
                <w:rFonts w:hint="eastAsia" w:ascii="宋体" w:hAnsi="宋体"/>
                <w:color w:val="auto"/>
                <w:szCs w:val="21"/>
                <w:highlight w:val="none"/>
              </w:rPr>
              <w:t>及以上</w:t>
            </w:r>
            <w:r>
              <w:rPr>
                <w:rFonts w:hint="eastAsia"/>
                <w:color w:val="auto"/>
                <w:szCs w:val="21"/>
                <w:highlight w:val="none"/>
                <w:lang w:val="en-US" w:eastAsia="zh-CN"/>
              </w:rPr>
              <w:t>技术</w:t>
            </w:r>
            <w:r>
              <w:rPr>
                <w:rFonts w:hint="eastAsia" w:ascii="宋体" w:hAnsi="宋体"/>
                <w:color w:val="auto"/>
                <w:szCs w:val="21"/>
                <w:highlight w:val="none"/>
              </w:rPr>
              <w:t>职称</w:t>
            </w:r>
            <w:r>
              <w:rPr>
                <w:rFonts w:hint="eastAsia" w:ascii="宋体" w:hAnsi="宋体" w:eastAsia="宋体"/>
                <w:color w:val="auto"/>
                <w:szCs w:val="21"/>
                <w:highlight w:val="none"/>
                <w:lang w:val="en-US" w:eastAsia="zh-CN"/>
              </w:rPr>
              <w:t>得6分</w:t>
            </w:r>
            <w:r>
              <w:rPr>
                <w:rFonts w:hint="eastAsia" w:ascii="宋体" w:hAnsi="宋体"/>
                <w:color w:val="auto"/>
                <w:szCs w:val="21"/>
                <w:highlight w:val="none"/>
              </w:rPr>
              <w:t>。</w:t>
            </w:r>
            <w:r>
              <w:rPr>
                <w:rFonts w:hint="eastAsia" w:ascii="宋体" w:hAnsi="宋体"/>
                <w:color w:val="auto"/>
                <w:spacing w:val="-4"/>
                <w:szCs w:val="21"/>
                <w:highlight w:val="none"/>
              </w:rPr>
              <w:t>项目组</w:t>
            </w:r>
            <w:r>
              <w:rPr>
                <w:rFonts w:hint="eastAsia" w:ascii="宋体" w:hAnsi="宋体"/>
                <w:color w:val="auto"/>
                <w:szCs w:val="21"/>
                <w:highlight w:val="none"/>
              </w:rPr>
              <w:t>人员具有中级及以上</w:t>
            </w:r>
            <w:r>
              <w:rPr>
                <w:rFonts w:hint="eastAsia"/>
                <w:color w:val="auto"/>
                <w:szCs w:val="21"/>
                <w:highlight w:val="none"/>
                <w:lang w:val="en-US" w:eastAsia="zh-CN"/>
              </w:rPr>
              <w:t>技术</w:t>
            </w:r>
            <w:r>
              <w:rPr>
                <w:rFonts w:hint="eastAsia" w:ascii="宋体" w:hAnsi="宋体"/>
                <w:color w:val="auto"/>
                <w:szCs w:val="21"/>
                <w:highlight w:val="none"/>
              </w:rPr>
              <w:t>职称</w:t>
            </w:r>
            <w:r>
              <w:rPr>
                <w:rFonts w:hint="eastAsia" w:ascii="宋体" w:hAnsi="宋体" w:eastAsia="宋体"/>
                <w:color w:val="auto"/>
                <w:szCs w:val="21"/>
                <w:highlight w:val="none"/>
                <w:lang w:val="en-US" w:eastAsia="zh-CN"/>
              </w:rPr>
              <w:t>每一人得2分，最高得4份</w:t>
            </w:r>
            <w:r>
              <w:rPr>
                <w:rFonts w:hint="eastAsia" w:ascii="宋体" w:hAnsi="宋体"/>
                <w:color w:val="auto"/>
                <w:szCs w:val="21"/>
                <w:highlight w:val="none"/>
              </w:rPr>
              <w:t>。</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需提供近三个月由劳动保障部门出具的社保证明或名册)</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18"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snapToGrid w:val="0"/>
              <w:spacing w:line="420" w:lineRule="exact"/>
              <w:ind w:left="-84" w:leftChars="-30" w:right="-143" w:rightChars="-51"/>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项目负责人</w:t>
            </w:r>
          </w:p>
          <w:p>
            <w:pPr>
              <w:pStyle w:val="4"/>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业绩</w:t>
            </w:r>
            <w:r>
              <w:rPr>
                <w:rFonts w:hint="eastAsia" w:ascii="宋体" w:hAnsi="宋体" w:eastAsia="宋体" w:cs="宋体"/>
                <w:color w:val="auto"/>
                <w:kern w:val="0"/>
                <w:sz w:val="24"/>
                <w:szCs w:val="24"/>
                <w:lang w:eastAsia="zh-CN" w:bidi="ar-SA"/>
              </w:rPr>
              <w:t>（</w:t>
            </w:r>
            <w:r>
              <w:rPr>
                <w:rFonts w:hint="eastAsia" w:ascii="宋体" w:hAnsi="宋体" w:eastAsia="宋体" w:cs="宋体"/>
                <w:color w:val="auto"/>
                <w:kern w:val="0"/>
                <w:sz w:val="24"/>
                <w:szCs w:val="24"/>
                <w:lang w:val="en-US" w:eastAsia="zh-CN" w:bidi="ar-SA"/>
              </w:rPr>
              <w:t>9分</w:t>
            </w:r>
            <w:r>
              <w:rPr>
                <w:rFonts w:hint="eastAsia" w:ascii="宋体" w:hAnsi="宋体" w:eastAsia="宋体" w:cs="宋体"/>
                <w:color w:val="auto"/>
                <w:kern w:val="0"/>
                <w:sz w:val="24"/>
                <w:szCs w:val="24"/>
                <w:lang w:eastAsia="zh-CN" w:bidi="ar-SA"/>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autoSpaceDE w:val="0"/>
              <w:autoSpaceDN w:val="0"/>
              <w:adjustRightInd w:val="0"/>
              <w:snapToGrid w:val="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投标人拟委任项目负责人2020年1月1日至投标截止时间，作为项目负责人负责过类似项目设计或设计咨询工作每多一项加3分，最高加9分。项目负责人业绩须附合同或中标通知书。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18"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技术标评审（</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分）</w:t>
            </w: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对谈判项目的理解和工作思路（10分）</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对项目理解深入、细致，工作思路清晰合理，切合实际情况，且针对性强，得8～10分，一般的得 5～7分 ，差的得0～4分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27"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总体设计思路（10分）</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eastAsia="宋体"/>
                <w:snapToGrid w:val="0"/>
                <w:color w:val="auto"/>
                <w:szCs w:val="21"/>
                <w:lang w:val="en-US" w:eastAsia="zh-CN"/>
              </w:rPr>
              <w:t>根据总体设计思路和设计理念的先进性、合理性进行评分，优秀得8～10分，一般的得 5～7分 ，差的得0～4分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51"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谈判项目设计的特点、关键技术问题的认识及其对策措施（15分）</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kern w:val="0"/>
                <w:sz w:val="24"/>
                <w:szCs w:val="24"/>
                <w:lang w:val="en-US" w:eastAsia="zh-CN" w:bidi="ar-SA"/>
              </w:rPr>
            </w:pPr>
            <w:r>
              <w:rPr>
                <w:rFonts w:hint="eastAsia" w:eastAsia="宋体"/>
                <w:snapToGrid w:val="0"/>
                <w:color w:val="auto"/>
                <w:szCs w:val="21"/>
                <w:lang w:val="en-US" w:eastAsia="zh-CN"/>
              </w:rPr>
              <w:t>根据投标人对谈判项目设计特点的 理解程度、对关键技术问题的把握 情况以及对策措施的有效可行性进 行评分，优秀得11～15分 ，良好得6～10分 ，一般得0～5分。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32"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val="en-US" w:eastAsia="zh-CN"/>
              </w:rPr>
            </w:pPr>
            <w:r>
              <w:rPr>
                <w:rFonts w:hint="eastAsia" w:eastAsia="宋体"/>
                <w:snapToGrid w:val="0"/>
                <w:color w:val="auto"/>
                <w:szCs w:val="21"/>
                <w:lang w:val="en-US" w:eastAsia="zh-CN"/>
              </w:rPr>
              <w:t>设计</w:t>
            </w:r>
            <w:r>
              <w:rPr>
                <w:snapToGrid w:val="0"/>
                <w:color w:val="auto"/>
                <w:szCs w:val="21"/>
              </w:rPr>
              <w:t>工作进度、质量及质量保证体系保障措施</w:t>
            </w:r>
            <w:r>
              <w:rPr>
                <w:rFonts w:hint="eastAsia" w:eastAsia="宋体"/>
                <w:snapToGrid w:val="0"/>
                <w:color w:val="auto"/>
                <w:szCs w:val="21"/>
                <w:lang w:eastAsia="zh-CN"/>
              </w:rPr>
              <w:t>（</w:t>
            </w:r>
            <w:r>
              <w:rPr>
                <w:rFonts w:hint="eastAsia" w:eastAsia="宋体"/>
                <w:snapToGrid w:val="0"/>
                <w:color w:val="auto"/>
                <w:szCs w:val="21"/>
                <w:lang w:val="en-US" w:eastAsia="zh-CN"/>
              </w:rPr>
              <w:t>10分</w:t>
            </w:r>
            <w:r>
              <w:rPr>
                <w:rFonts w:hint="eastAsia" w:eastAsia="宋体"/>
                <w:snapToGrid w:val="0"/>
                <w:color w:val="auto"/>
                <w:szCs w:val="21"/>
                <w:lang w:eastAsia="zh-CN"/>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r>
              <w:rPr>
                <w:rFonts w:hint="eastAsia" w:eastAsia="宋体"/>
                <w:snapToGrid w:val="0"/>
                <w:color w:val="auto"/>
                <w:szCs w:val="21"/>
                <w:lang w:val="en-US" w:eastAsia="zh-CN"/>
              </w:rPr>
              <w:t>设计工作进度保证措施是否完善、有针对性；提供完整得满分，合理可行，得8～10分，一般的得 5～7分 ，差的得0～4分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02"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color w:val="auto"/>
                <w:szCs w:val="21"/>
              </w:rPr>
              <w:t>后续服务安排</w:t>
            </w:r>
            <w:r>
              <w:rPr>
                <w:rFonts w:hint="eastAsia"/>
                <w:color w:val="auto"/>
                <w:szCs w:val="21"/>
              </w:rPr>
              <w:t>等</w:t>
            </w:r>
            <w:r>
              <w:rPr>
                <w:rFonts w:hint="eastAsia" w:eastAsia="宋体"/>
                <w:color w:val="auto"/>
                <w:szCs w:val="21"/>
                <w:lang w:eastAsia="zh-CN"/>
              </w:rPr>
              <w:t>（</w:t>
            </w:r>
            <w:r>
              <w:rPr>
                <w:rFonts w:hint="eastAsia" w:eastAsia="宋体"/>
                <w:color w:val="auto"/>
                <w:szCs w:val="21"/>
                <w:lang w:val="en-US" w:eastAsia="zh-CN"/>
              </w:rPr>
              <w:t>5分</w:t>
            </w:r>
            <w:r>
              <w:rPr>
                <w:rFonts w:hint="eastAsia" w:eastAsia="宋体"/>
                <w:color w:val="auto"/>
                <w:szCs w:val="21"/>
                <w:lang w:eastAsia="zh-CN"/>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后续服务时间与本项目 实际情况的符合性、后续服务内容 的全面完整性、保证措施的可行性进行评分，</w:t>
            </w:r>
            <w:r>
              <w:rPr>
                <w:rFonts w:hint="eastAsia" w:eastAsia="宋体"/>
                <w:snapToGrid w:val="0"/>
                <w:color w:val="auto"/>
                <w:szCs w:val="21"/>
                <w:lang w:val="en-US" w:eastAsia="zh-CN"/>
              </w:rPr>
              <w:t>，优秀得4～5分 ，良好得2～3分 ，一般得0～1分。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1"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789" w:type="pct"/>
            <w:gridSpan w:val="3"/>
            <w:vMerge w:val="continue"/>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rPr>
            </w:pPr>
          </w:p>
        </w:tc>
        <w:tc>
          <w:tcPr>
            <w:tcW w:w="901" w:type="pct"/>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服务承诺、合理化建议（</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lang w:val="zh-CN"/>
              </w:rPr>
              <w:t>）</w:t>
            </w:r>
          </w:p>
        </w:tc>
        <w:tc>
          <w:tcPr>
            <w:tcW w:w="2893" w:type="pct"/>
            <w:gridSpan w:val="3"/>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根据供应商服务承诺及合理化建议是否具有可实施性，</w:t>
            </w:r>
            <w:r>
              <w:rPr>
                <w:rFonts w:hint="eastAsia" w:eastAsia="宋体"/>
                <w:snapToGrid w:val="0"/>
                <w:color w:val="auto"/>
                <w:szCs w:val="21"/>
                <w:lang w:val="en-US" w:eastAsia="zh-CN"/>
              </w:rPr>
              <w:t>优秀得4～5分 ，良好得2～3分 ，一般得0～1分。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84" w:hRule="atLeast"/>
        </w:trPr>
        <w:tc>
          <w:tcPr>
            <w:tcW w:w="416" w:type="pct"/>
            <w:vMerge w:val="restart"/>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p>
        </w:tc>
        <w:tc>
          <w:tcPr>
            <w:tcW w:w="789" w:type="pct"/>
            <w:gridSpan w:val="3"/>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794" w:type="pct"/>
            <w:gridSpan w:val="4"/>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3" w:hRule="atLeast"/>
        </w:trPr>
        <w:tc>
          <w:tcPr>
            <w:tcW w:w="416" w:type="pct"/>
            <w:vMerge w:val="continue"/>
            <w:tcBorders>
              <w:top w:val="outset" w:color="auto" w:sz="6" w:space="0"/>
              <w:left w:val="outset" w:color="auto" w:sz="6" w:space="0"/>
              <w:bottom w:val="outset" w:color="auto" w:sz="6" w:space="0"/>
              <w:right w:val="outset" w:color="auto" w:sz="6" w:space="0"/>
            </w:tcBorders>
            <w:noWrap w:val="0"/>
            <w:vAlign w:val="center"/>
          </w:tcPr>
          <w:p>
            <w:pPr>
              <w:pStyle w:val="4"/>
              <w:jc w:val="center"/>
              <w:rPr>
                <w:rFonts w:hint="eastAsia" w:ascii="宋体" w:hAnsi="宋体" w:eastAsia="宋体" w:cs="宋体"/>
                <w:color w:val="auto"/>
                <w:sz w:val="24"/>
                <w:szCs w:val="24"/>
              </w:rPr>
            </w:pPr>
          </w:p>
        </w:tc>
        <w:tc>
          <w:tcPr>
            <w:tcW w:w="4583" w:type="pct"/>
            <w:gridSpan w:val="7"/>
            <w:tcBorders>
              <w:top w:val="outset" w:color="auto" w:sz="6" w:space="0"/>
              <w:left w:val="outset" w:color="auto" w:sz="6" w:space="0"/>
              <w:bottom w:val="outset" w:color="auto" w:sz="6" w:space="0"/>
              <w:right w:val="outset" w:color="auto" w:sz="6" w:space="0"/>
            </w:tcBorders>
            <w:noWrap w:val="0"/>
            <w:vAlign w:val="center"/>
          </w:tcPr>
          <w:p>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 1、计算过程中，算术平均值保留2位小数（百分比亦取2位小数），第三位小数四舍五入。</w:t>
            </w:r>
          </w:p>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2、投标人的最终得分为：所有评委对其评分的算术平均值。</w:t>
            </w:r>
          </w:p>
        </w:tc>
      </w:tr>
    </w:tbl>
    <w:p>
      <w:r>
        <w:rPr>
          <w:rFonts w:hint="eastAsia" w:ascii="宋体" w:hAnsi="宋体" w:cs="宋体"/>
          <w:color w:val="FF0000"/>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NjNzM0NGVjYjI3ODYyMDk4MDk0ZDM3ZTZmMmIifQ=="/>
  </w:docVars>
  <w:rsids>
    <w:rsidRoot w:val="05A92B0F"/>
    <w:rsid w:val="05A9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2023-01-30T10:12:00Z</dcterms:created>
  <dc:creator>幸福</dc:creator>
  <cp:lastModifiedBy>幸福</cp:lastModifiedBy>
  <dcterms:modified xsi:type="dcterms:W3CDTF">2023-01-30T10:13:19Z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29A91AEA94A84191B1A6D053D0188378</vt:lpwstr>
  </property>
</Properties>
</file>