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2156" w:hanging="2875" w:hangingChars="895"/>
        <w:jc w:val="center"/>
        <w:rPr>
          <w:rFonts w:hint="eastAsia" w:ascii="宋体" w:hAnsi="宋体"/>
          <w:b/>
          <w:sz w:val="32"/>
          <w:szCs w:val="32"/>
        </w:rPr>
      </w:pPr>
      <w:r>
        <w:rPr>
          <w:rFonts w:hint="eastAsia" w:ascii="宋体" w:hAnsi="宋体"/>
          <w:b/>
          <w:sz w:val="32"/>
          <w:szCs w:val="32"/>
        </w:rPr>
        <w:t>乌鲁木齐职业大学</w:t>
      </w:r>
      <w:r>
        <w:rPr>
          <w:rFonts w:hint="eastAsia" w:ascii="宋体" w:hAnsi="宋体"/>
          <w:b/>
          <w:sz w:val="32"/>
          <w:szCs w:val="32"/>
          <w:lang w:eastAsia="zh-CN"/>
        </w:rPr>
        <w:t>灭虫、灭鼠</w:t>
      </w:r>
      <w:r>
        <w:rPr>
          <w:rFonts w:hint="eastAsia" w:ascii="宋体" w:hAnsi="宋体"/>
          <w:b/>
          <w:sz w:val="32"/>
          <w:szCs w:val="32"/>
        </w:rPr>
        <w:t>招标文件</w:t>
      </w:r>
    </w:p>
    <w:p>
      <w:pPr>
        <w:pStyle w:val="2"/>
        <w:rPr>
          <w:rFonts w:hint="eastAsia" w:ascii="宋体" w:hAnsi="宋体"/>
          <w:b/>
          <w:sz w:val="24"/>
          <w:szCs w:val="24"/>
        </w:rPr>
      </w:pPr>
    </w:p>
    <w:p>
      <w:pPr>
        <w:pStyle w:val="2"/>
        <w:rPr>
          <w:rFonts w:hint="eastAsia" w:ascii="宋体" w:hAnsi="宋体"/>
          <w:b/>
          <w:sz w:val="24"/>
          <w:szCs w:val="24"/>
        </w:rPr>
      </w:pPr>
    </w:p>
    <w:p>
      <w:pPr>
        <w:widowControl/>
        <w:numPr>
          <w:ilvl w:val="0"/>
          <w:numId w:val="1"/>
        </w:numPr>
        <w:spacing w:line="360" w:lineRule="auto"/>
        <w:jc w:val="left"/>
        <w:rPr>
          <w:rFonts w:hint="eastAsia" w:ascii="宋体" w:hAnsi="宋体" w:cs="宋体"/>
          <w:color w:val="000000"/>
          <w:kern w:val="0"/>
          <w:sz w:val="24"/>
          <w:szCs w:val="24"/>
        </w:rPr>
      </w:pPr>
      <w:r>
        <w:rPr>
          <w:rFonts w:hint="eastAsia" w:ascii="宋体" w:hAnsi="宋体" w:cs="宋体"/>
          <w:b/>
          <w:bCs/>
          <w:color w:val="000000"/>
          <w:kern w:val="0"/>
          <w:sz w:val="24"/>
          <w:szCs w:val="24"/>
        </w:rPr>
        <w:t>招标单位</w:t>
      </w:r>
      <w:r>
        <w:rPr>
          <w:rFonts w:hint="eastAsia" w:ascii="宋体" w:hAnsi="宋体" w:cs="宋体"/>
          <w:color w:val="000000"/>
          <w:kern w:val="0"/>
          <w:sz w:val="24"/>
          <w:szCs w:val="24"/>
        </w:rPr>
        <w:t>：</w:t>
      </w:r>
      <w:r>
        <w:rPr>
          <w:rFonts w:hint="eastAsia" w:ascii="宋体" w:hAnsi="宋体"/>
          <w:color w:val="000000"/>
          <w:kern w:val="0"/>
          <w:sz w:val="24"/>
          <w:szCs w:val="24"/>
        </w:rPr>
        <w:t>乌鲁木齐职业大学</w:t>
      </w:r>
    </w:p>
    <w:p>
      <w:pPr>
        <w:widowControl/>
        <w:numPr>
          <w:ilvl w:val="0"/>
          <w:numId w:val="1"/>
        </w:numPr>
        <w:spacing w:line="360" w:lineRule="auto"/>
        <w:jc w:val="left"/>
        <w:rPr>
          <w:rFonts w:hint="eastAsia" w:ascii="宋体" w:hAnsi="宋体"/>
          <w:sz w:val="24"/>
          <w:szCs w:val="24"/>
        </w:rPr>
      </w:pPr>
      <w:r>
        <w:rPr>
          <w:rFonts w:ascii="宋体" w:hAnsi="宋体" w:cs="宋体"/>
          <w:b/>
          <w:color w:val="000000"/>
          <w:kern w:val="0"/>
          <w:sz w:val="24"/>
          <w:szCs w:val="24"/>
        </w:rPr>
        <w:t>项目名称：</w:t>
      </w:r>
      <w:r>
        <w:rPr>
          <w:rFonts w:hint="eastAsia" w:ascii="宋体" w:hAnsi="宋体"/>
          <w:sz w:val="24"/>
          <w:szCs w:val="24"/>
        </w:rPr>
        <w:t>乌鲁木齐职业大学</w:t>
      </w:r>
      <w:r>
        <w:rPr>
          <w:rFonts w:hint="eastAsia" w:ascii="宋体" w:hAnsi="宋体"/>
          <w:sz w:val="24"/>
          <w:szCs w:val="24"/>
          <w:lang w:eastAsia="zh-CN"/>
        </w:rPr>
        <w:t>灭虫、灭鼠</w:t>
      </w:r>
      <w:r>
        <w:rPr>
          <w:rFonts w:hint="eastAsia" w:ascii="宋体" w:hAnsi="宋体"/>
          <w:sz w:val="24"/>
          <w:szCs w:val="24"/>
        </w:rPr>
        <w:t xml:space="preserve">   </w:t>
      </w:r>
    </w:p>
    <w:p>
      <w:pPr>
        <w:widowControl/>
        <w:numPr>
          <w:ilvl w:val="0"/>
          <w:numId w:val="1"/>
        </w:numPr>
        <w:spacing w:line="360" w:lineRule="auto"/>
        <w:jc w:val="left"/>
        <w:rPr>
          <w:rFonts w:hint="eastAsia" w:ascii="宋体" w:hAnsi="宋体"/>
          <w:sz w:val="24"/>
          <w:szCs w:val="24"/>
          <w:lang w:eastAsia="zh-CN"/>
        </w:rPr>
      </w:pPr>
      <w:r>
        <w:rPr>
          <w:rFonts w:hint="eastAsia" w:ascii="宋体" w:hAnsi="宋体" w:cs="宋体"/>
          <w:b/>
          <w:color w:val="000000"/>
          <w:kern w:val="0"/>
          <w:sz w:val="24"/>
          <w:szCs w:val="24"/>
          <w:lang w:val="en-US" w:eastAsia="zh-CN"/>
        </w:rPr>
        <w:t>项目</w:t>
      </w:r>
      <w:r>
        <w:rPr>
          <w:rFonts w:hint="eastAsia" w:ascii="宋体" w:hAnsi="宋体" w:cs="宋体"/>
          <w:b/>
          <w:color w:val="000000"/>
          <w:kern w:val="0"/>
          <w:sz w:val="24"/>
          <w:szCs w:val="24"/>
        </w:rPr>
        <w:t>预算金额</w:t>
      </w:r>
      <w:r>
        <w:rPr>
          <w:rFonts w:hint="eastAsia" w:ascii="黑体" w:eastAsia="黑体"/>
          <w:sz w:val="24"/>
          <w:szCs w:val="24"/>
          <w:lang w:eastAsia="zh-CN"/>
        </w:rPr>
        <w:t>：</w:t>
      </w:r>
      <w:r>
        <w:rPr>
          <w:rFonts w:hint="eastAsia" w:ascii="宋体" w:hAnsi="宋体"/>
          <w:sz w:val="24"/>
          <w:szCs w:val="24"/>
          <w:lang w:val="en-US" w:eastAsia="zh-CN"/>
        </w:rPr>
        <w:t>20</w:t>
      </w:r>
      <w:r>
        <w:rPr>
          <w:rFonts w:hint="eastAsia" w:ascii="宋体" w:hAnsi="宋体"/>
          <w:sz w:val="24"/>
          <w:szCs w:val="24"/>
          <w:lang w:eastAsia="zh-CN"/>
        </w:rPr>
        <w:t>0000元。</w:t>
      </w:r>
    </w:p>
    <w:p>
      <w:pPr>
        <w:widowControl/>
        <w:numPr>
          <w:ilvl w:val="0"/>
          <w:numId w:val="1"/>
        </w:numPr>
        <w:tabs>
          <w:tab w:val="left" w:pos="0"/>
          <w:tab w:val="clear" w:pos="420"/>
        </w:tabs>
        <w:spacing w:line="360" w:lineRule="auto"/>
        <w:ind w:left="0" w:firstLine="0"/>
        <w:jc w:val="left"/>
        <w:rPr>
          <w:rFonts w:ascii="宋体" w:hAnsi="宋体" w:cs="宋体"/>
          <w:color w:val="000000"/>
          <w:kern w:val="0"/>
          <w:sz w:val="24"/>
          <w:szCs w:val="24"/>
        </w:rPr>
      </w:pPr>
      <w:r>
        <w:rPr>
          <w:rFonts w:hint="eastAsia" w:ascii="宋体" w:hAnsi="宋体"/>
          <w:b/>
          <w:kern w:val="0"/>
          <w:sz w:val="24"/>
          <w:szCs w:val="24"/>
        </w:rPr>
        <w:t>项目概述</w:t>
      </w:r>
    </w:p>
    <w:p>
      <w:pPr>
        <w:jc w:val="center"/>
        <w:rPr>
          <w:rFonts w:hint="eastAsia"/>
          <w:b/>
          <w:bCs/>
          <w:sz w:val="24"/>
          <w:szCs w:val="24"/>
          <w:lang w:val="en-US" w:eastAsia="zh-CN"/>
        </w:rPr>
      </w:pPr>
      <w:r>
        <w:rPr>
          <w:rFonts w:hint="eastAsia"/>
          <w:b/>
          <w:bCs/>
          <w:sz w:val="24"/>
          <w:szCs w:val="24"/>
          <w:lang w:eastAsia="zh-CN"/>
        </w:rPr>
        <w:t>乌鲁木齐职业大学</w:t>
      </w:r>
      <w:r>
        <w:rPr>
          <w:rFonts w:hint="eastAsia"/>
          <w:b/>
          <w:bCs/>
          <w:sz w:val="24"/>
          <w:szCs w:val="24"/>
          <w:lang w:val="en-US" w:eastAsia="zh-CN"/>
        </w:rPr>
        <w:t>灭虫、灭鼠标准及要求</w:t>
      </w:r>
    </w:p>
    <w:p>
      <w:pPr>
        <w:jc w:val="center"/>
        <w:rPr>
          <w:rFonts w:hint="default"/>
          <w:b/>
          <w:bCs/>
          <w:sz w:val="24"/>
          <w:szCs w:val="24"/>
          <w:lang w:val="en-US" w:eastAsia="zh-CN"/>
        </w:rPr>
      </w:pPr>
    </w:p>
    <w:p>
      <w:pPr>
        <w:numPr>
          <w:ilvl w:val="0"/>
          <w:numId w:val="2"/>
        </w:numPr>
        <w:spacing w:line="480" w:lineRule="auto"/>
        <w:ind w:right="-1233" w:rightChars="-587"/>
        <w:rPr>
          <w:rFonts w:hint="eastAsia" w:ascii="宋体" w:hAnsi="宋体" w:eastAsia="宋体"/>
          <w:b/>
          <w:sz w:val="24"/>
          <w:szCs w:val="24"/>
        </w:rPr>
      </w:pPr>
      <w:r>
        <w:rPr>
          <w:rFonts w:hint="eastAsia" w:ascii="宋体" w:hAnsi="宋体" w:eastAsia="宋体"/>
          <w:b/>
          <w:sz w:val="24"/>
          <w:szCs w:val="24"/>
        </w:rPr>
        <w:t>消杀服务</w:t>
      </w:r>
      <w:r>
        <w:rPr>
          <w:rFonts w:hint="eastAsia" w:ascii="宋体" w:hAnsi="宋体"/>
          <w:b/>
          <w:sz w:val="24"/>
          <w:szCs w:val="24"/>
          <w:lang w:eastAsia="zh-CN"/>
        </w:rPr>
        <w:t>地址</w:t>
      </w:r>
      <w:r>
        <w:rPr>
          <w:rFonts w:hint="eastAsia" w:ascii="宋体" w:hAnsi="宋体" w:eastAsia="宋体"/>
          <w:b/>
          <w:sz w:val="24"/>
          <w:szCs w:val="24"/>
        </w:rPr>
        <w:t>：</w:t>
      </w:r>
    </w:p>
    <w:p>
      <w:pPr>
        <w:pStyle w:val="5"/>
        <w:numPr>
          <w:ilvl w:val="0"/>
          <w:numId w:val="3"/>
        </w:numPr>
        <w:ind w:leftChars="0" w:firstLine="480" w:firstLineChars="200"/>
        <w:rPr>
          <w:rFonts w:hint="eastAsia" w:ascii="宋体" w:hAnsi="宋体"/>
          <w:sz w:val="24"/>
          <w:szCs w:val="24"/>
        </w:rPr>
      </w:pPr>
      <w:r>
        <w:rPr>
          <w:rFonts w:hint="eastAsia" w:ascii="宋体" w:hAnsi="宋体"/>
          <w:sz w:val="24"/>
          <w:szCs w:val="24"/>
        </w:rPr>
        <w:t>经济开发区苏州路西延祥</w:t>
      </w:r>
      <w:bookmarkStart w:id="1" w:name="_GoBack"/>
      <w:bookmarkEnd w:id="1"/>
      <w:r>
        <w:rPr>
          <w:rFonts w:hint="eastAsia" w:ascii="宋体" w:hAnsi="宋体"/>
          <w:sz w:val="24"/>
          <w:szCs w:val="24"/>
        </w:rPr>
        <w:t>云中街566号</w:t>
      </w:r>
    </w:p>
    <w:p>
      <w:pPr>
        <w:pStyle w:val="5"/>
        <w:numPr>
          <w:ilvl w:val="0"/>
          <w:numId w:val="0"/>
        </w:numPr>
        <w:ind w:leftChars="0" w:firstLine="480" w:firstLineChars="200"/>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rPr>
        <w:t>天山区幸福路281号（西校区）</w:t>
      </w:r>
    </w:p>
    <w:p>
      <w:pPr>
        <w:pStyle w:val="5"/>
        <w:numPr>
          <w:ilvl w:val="0"/>
          <w:numId w:val="0"/>
        </w:numPr>
        <w:ind w:leftChars="0" w:firstLine="480" w:firstLineChars="200"/>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青年路369号（青年路校区 ）</w:t>
      </w:r>
    </w:p>
    <w:p>
      <w:pPr>
        <w:pStyle w:val="5"/>
        <w:numPr>
          <w:ilvl w:val="0"/>
          <w:numId w:val="0"/>
        </w:numPr>
        <w:ind w:leftChars="0" w:firstLine="480" w:firstLineChars="200"/>
        <w:rPr>
          <w:rFonts w:ascii="宋体" w:hAnsi="宋体"/>
          <w:sz w:val="24"/>
          <w:szCs w:val="24"/>
        </w:rPr>
      </w:pPr>
      <w:r>
        <w:rPr>
          <w:rFonts w:hint="eastAsia" w:ascii="宋体" w:hAnsi="宋体"/>
          <w:sz w:val="24"/>
          <w:szCs w:val="24"/>
          <w:lang w:val="en-US" w:eastAsia="zh-CN"/>
        </w:rPr>
        <w:t>4、</w:t>
      </w:r>
      <w:r>
        <w:rPr>
          <w:rFonts w:hint="eastAsia" w:ascii="宋体" w:hAnsi="宋体"/>
          <w:sz w:val="24"/>
          <w:szCs w:val="24"/>
        </w:rPr>
        <w:t>幸福路723号（校本部）</w:t>
      </w:r>
    </w:p>
    <w:p>
      <w:pPr>
        <w:numPr>
          <w:ilvl w:val="0"/>
          <w:numId w:val="2"/>
        </w:numPr>
        <w:ind w:left="0" w:leftChars="0" w:firstLine="0" w:firstLineChars="0"/>
        <w:rPr>
          <w:rFonts w:hint="eastAsia" w:ascii="宋体" w:hAnsi="宋体"/>
          <w:sz w:val="24"/>
          <w:szCs w:val="24"/>
        </w:rPr>
      </w:pPr>
      <w:r>
        <w:rPr>
          <w:rFonts w:hint="eastAsia" w:ascii="宋体" w:hAnsi="宋体"/>
          <w:b/>
          <w:bCs/>
          <w:sz w:val="24"/>
          <w:szCs w:val="24"/>
        </w:rPr>
        <w:t>合同期限：</w:t>
      </w:r>
    </w:p>
    <w:p>
      <w:pPr>
        <w:numPr>
          <w:ilvl w:val="0"/>
          <w:numId w:val="0"/>
        </w:numPr>
        <w:ind w:leftChars="0" w:firstLine="480" w:firstLineChars="200"/>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年</w:t>
      </w:r>
      <w:r>
        <w:rPr>
          <w:rFonts w:hint="eastAsia" w:ascii="宋体" w:hAnsi="宋体"/>
          <w:sz w:val="24"/>
          <w:szCs w:val="24"/>
          <w:lang w:eastAsia="zh-CN"/>
        </w:rPr>
        <w:t>（一年一签）</w:t>
      </w:r>
    </w:p>
    <w:p>
      <w:pPr>
        <w:numPr>
          <w:ilvl w:val="0"/>
          <w:numId w:val="2"/>
        </w:numPr>
        <w:ind w:left="0" w:leftChars="0" w:firstLine="0" w:firstLineChars="0"/>
        <w:rPr>
          <w:rFonts w:hint="eastAsia" w:ascii="宋体" w:hAnsi="宋体"/>
          <w:b/>
          <w:bCs/>
          <w:sz w:val="24"/>
          <w:szCs w:val="24"/>
        </w:rPr>
      </w:pPr>
      <w:r>
        <w:rPr>
          <w:rFonts w:hint="eastAsia" w:ascii="宋体" w:hAnsi="宋体"/>
          <w:b/>
          <w:bCs/>
          <w:sz w:val="24"/>
          <w:szCs w:val="24"/>
        </w:rPr>
        <w:t>投标公司资质要求</w:t>
      </w:r>
    </w:p>
    <w:p>
      <w:pPr>
        <w:numPr>
          <w:ilvl w:val="0"/>
          <w:numId w:val="0"/>
        </w:numPr>
        <w:spacing w:line="360" w:lineRule="auto"/>
        <w:ind w:firstLine="480" w:firstLineChars="200"/>
        <w:rPr>
          <w:rFonts w:hint="eastAsia"/>
          <w:sz w:val="24"/>
          <w:szCs w:val="24"/>
        </w:rPr>
      </w:pPr>
      <w:r>
        <w:rPr>
          <w:rFonts w:hint="eastAsia" w:ascii="宋体" w:hAnsi="宋体"/>
          <w:sz w:val="24"/>
          <w:szCs w:val="24"/>
          <w:lang w:val="en-US" w:eastAsia="zh-CN"/>
        </w:rPr>
        <w:t>1、</w:t>
      </w:r>
      <w:r>
        <w:rPr>
          <w:rFonts w:hint="eastAsia" w:ascii="宋体" w:hAnsi="宋体" w:cs="宋体"/>
          <w:color w:val="000000"/>
          <w:sz w:val="24"/>
          <w:szCs w:val="24"/>
        </w:rPr>
        <w:t>符合《中华人民共和国政府采购法》第二十二条规定，具有独立承担民事责任的能力;</w:t>
      </w:r>
      <w:r>
        <w:rPr>
          <w:rFonts w:hint="eastAsia" w:ascii="宋体" w:hAnsi="宋体"/>
          <w:b w:val="0"/>
          <w:i w:val="0"/>
          <w:caps w:val="0"/>
          <w:spacing w:val="0"/>
          <w:w w:val="100"/>
          <w:sz w:val="24"/>
          <w:szCs w:val="24"/>
          <w:lang w:eastAsia="zh-CN"/>
        </w:rPr>
        <w:t>公司成立时间不低于3年、注册资金不低于</w:t>
      </w:r>
      <w:r>
        <w:rPr>
          <w:rFonts w:hint="eastAsia" w:ascii="宋体" w:hAnsi="宋体"/>
          <w:b w:val="0"/>
          <w:i w:val="0"/>
          <w:caps w:val="0"/>
          <w:spacing w:val="0"/>
          <w:w w:val="100"/>
          <w:sz w:val="24"/>
          <w:szCs w:val="24"/>
          <w:lang w:val="en-US" w:eastAsia="zh-CN"/>
        </w:rPr>
        <w:t>500万元</w:t>
      </w:r>
    </w:p>
    <w:p>
      <w:pPr>
        <w:pStyle w:val="5"/>
        <w:numPr>
          <w:ilvl w:val="0"/>
          <w:numId w:val="0"/>
        </w:numPr>
        <w:ind w:firstLine="480" w:firstLineChars="200"/>
        <w:rPr>
          <w:rFonts w:hint="eastAsia" w:hAnsi="宋体" w:cs="宋体"/>
          <w:b w:val="0"/>
          <w:i w:val="0"/>
          <w:caps w:val="0"/>
          <w:spacing w:val="0"/>
          <w:w w:val="100"/>
          <w:sz w:val="24"/>
          <w:szCs w:val="24"/>
        </w:rPr>
      </w:pPr>
      <w:r>
        <w:rPr>
          <w:rFonts w:hint="eastAsia" w:ascii="宋体" w:hAnsi="宋体"/>
          <w:sz w:val="24"/>
          <w:szCs w:val="24"/>
          <w:lang w:val="en-US" w:eastAsia="zh-CN"/>
        </w:rPr>
        <w:t>2、</w:t>
      </w:r>
      <w:r>
        <w:rPr>
          <w:rFonts w:hint="eastAsia" w:ascii="宋体" w:hAnsi="宋体" w:cs="宋体"/>
          <w:color w:val="000000"/>
          <w:sz w:val="24"/>
          <w:szCs w:val="24"/>
        </w:rPr>
        <w:t>企业须</w:t>
      </w:r>
      <w:r>
        <w:rPr>
          <w:rFonts w:hint="eastAsia" w:ascii="宋体" w:hAnsi="宋体" w:cs="宋体"/>
          <w:color w:val="000000"/>
          <w:sz w:val="24"/>
          <w:szCs w:val="24"/>
          <w:lang w:eastAsia="zh-CN"/>
        </w:rPr>
        <w:t>具有</w:t>
      </w:r>
      <w:r>
        <w:rPr>
          <w:rFonts w:hint="eastAsia" w:ascii="宋体" w:hAnsi="宋体" w:cs="宋体"/>
          <w:color w:val="000000"/>
          <w:sz w:val="24"/>
          <w:szCs w:val="24"/>
        </w:rPr>
        <w:t>相应的</w:t>
      </w:r>
      <w:r>
        <w:rPr>
          <w:rFonts w:hint="eastAsia" w:ascii="宋体" w:hAnsi="宋体" w:cs="宋体"/>
          <w:color w:val="000000"/>
          <w:sz w:val="24"/>
          <w:szCs w:val="24"/>
          <w:lang w:eastAsia="zh-CN"/>
        </w:rPr>
        <w:t>服务</w:t>
      </w:r>
      <w:r>
        <w:rPr>
          <w:rFonts w:hint="eastAsia" w:ascii="宋体" w:hAnsi="宋体" w:cs="宋体"/>
          <w:color w:val="000000"/>
          <w:sz w:val="24"/>
          <w:szCs w:val="24"/>
        </w:rPr>
        <w:t>能力；</w:t>
      </w:r>
      <w:r>
        <w:rPr>
          <w:rFonts w:hint="eastAsia" w:hAnsi="宋体" w:cs="宋体"/>
          <w:b w:val="0"/>
          <w:i w:val="0"/>
          <w:caps w:val="0"/>
          <w:spacing w:val="0"/>
          <w:w w:val="100"/>
          <w:sz w:val="24"/>
          <w:szCs w:val="24"/>
        </w:rPr>
        <w:t>具有《</w:t>
      </w:r>
      <w:bookmarkStart w:id="0" w:name="_Hlk57821272"/>
      <w:r>
        <w:rPr>
          <w:rFonts w:hint="eastAsia" w:hAnsi="宋体" w:cs="宋体"/>
          <w:b w:val="0"/>
          <w:i w:val="0"/>
          <w:caps w:val="0"/>
          <w:spacing w:val="0"/>
          <w:w w:val="100"/>
          <w:sz w:val="24"/>
          <w:szCs w:val="24"/>
        </w:rPr>
        <w:t>有害生物防制服务机构等级资质</w:t>
      </w:r>
      <w:bookmarkEnd w:id="0"/>
      <w:r>
        <w:rPr>
          <w:rFonts w:hint="eastAsia" w:hAnsi="宋体" w:cs="宋体"/>
          <w:b w:val="0"/>
          <w:i w:val="0"/>
          <w:caps w:val="0"/>
          <w:spacing w:val="0"/>
          <w:w w:val="100"/>
          <w:sz w:val="24"/>
          <w:szCs w:val="24"/>
        </w:rPr>
        <w:t>》</w:t>
      </w:r>
      <w:r>
        <w:rPr>
          <w:rFonts w:hAnsi="宋体" w:cs="宋体"/>
          <w:b w:val="0"/>
          <w:i w:val="0"/>
          <w:caps w:val="0"/>
          <w:spacing w:val="0"/>
          <w:w w:val="100"/>
          <w:sz w:val="24"/>
          <w:szCs w:val="24"/>
        </w:rPr>
        <w:t>A</w:t>
      </w:r>
      <w:r>
        <w:rPr>
          <w:rFonts w:hint="eastAsia" w:hAnsi="宋体" w:cs="宋体"/>
          <w:b w:val="0"/>
          <w:i w:val="0"/>
          <w:caps w:val="0"/>
          <w:spacing w:val="0"/>
          <w:w w:val="100"/>
          <w:sz w:val="24"/>
          <w:szCs w:val="24"/>
        </w:rPr>
        <w:t>级及以上资质证书</w:t>
      </w:r>
    </w:p>
    <w:p>
      <w:pPr>
        <w:numPr>
          <w:ilvl w:val="0"/>
          <w:numId w:val="0"/>
        </w:numPr>
        <w:spacing w:line="360" w:lineRule="auto"/>
        <w:ind w:leftChars="0"/>
        <w:rPr>
          <w:rFonts w:hint="default" w:hAnsi="宋体" w:cs="宋体"/>
          <w:b w:val="0"/>
          <w:i w:val="0"/>
          <w:caps w:val="0"/>
          <w:spacing w:val="0"/>
          <w:w w:val="100"/>
          <w:sz w:val="24"/>
          <w:szCs w:val="24"/>
          <w:lang w:val="en-US"/>
        </w:rPr>
      </w:pPr>
      <w:r>
        <w:rPr>
          <w:rFonts w:hint="eastAsia" w:ascii="宋体" w:hAnsi="宋体"/>
          <w:sz w:val="24"/>
          <w:szCs w:val="24"/>
          <w:lang w:val="en-US" w:eastAsia="zh-CN"/>
        </w:rPr>
        <w:t>3、</w:t>
      </w:r>
      <w:r>
        <w:rPr>
          <w:rFonts w:hint="eastAsia" w:ascii="宋体" w:hAnsi="宋体" w:cs="宋体"/>
          <w:color w:val="000000"/>
          <w:sz w:val="24"/>
          <w:szCs w:val="24"/>
        </w:rPr>
        <w:t>具有履行合同所必需的</w:t>
      </w:r>
      <w:r>
        <w:rPr>
          <w:rFonts w:hint="eastAsia" w:ascii="宋体" w:hAnsi="宋体" w:cs="宋体"/>
          <w:color w:val="000000"/>
          <w:sz w:val="24"/>
          <w:szCs w:val="24"/>
          <w:lang w:eastAsia="zh-CN"/>
        </w:rPr>
        <w:t>产品</w:t>
      </w:r>
      <w:r>
        <w:rPr>
          <w:rFonts w:hint="eastAsia" w:ascii="宋体" w:hAnsi="宋体" w:cs="宋体"/>
          <w:color w:val="000000"/>
          <w:sz w:val="24"/>
          <w:szCs w:val="24"/>
        </w:rPr>
        <w:t>和专业技术能力；</w:t>
      </w:r>
      <w:r>
        <w:rPr>
          <w:rFonts w:hint="eastAsia" w:hAnsi="宋体" w:cs="宋体"/>
          <w:b w:val="0"/>
          <w:i w:val="0"/>
          <w:caps w:val="0"/>
          <w:spacing w:val="0"/>
          <w:w w:val="100"/>
          <w:sz w:val="24"/>
          <w:szCs w:val="24"/>
          <w:lang w:eastAsia="zh-CN"/>
        </w:rPr>
        <w:t>人员高级证不少于</w:t>
      </w:r>
      <w:r>
        <w:rPr>
          <w:rFonts w:hint="eastAsia" w:hAnsi="宋体" w:cs="宋体"/>
          <w:b w:val="0"/>
          <w:i w:val="0"/>
          <w:caps w:val="0"/>
          <w:spacing w:val="0"/>
          <w:w w:val="100"/>
          <w:sz w:val="24"/>
          <w:szCs w:val="24"/>
          <w:lang w:val="en-US" w:eastAsia="zh-CN"/>
        </w:rPr>
        <w:t>3人</w:t>
      </w:r>
      <w:r>
        <w:rPr>
          <w:rFonts w:hint="eastAsia" w:hAnsi="宋体" w:cs="宋体"/>
          <w:b w:val="0"/>
          <w:i w:val="0"/>
          <w:caps w:val="0"/>
          <w:spacing w:val="0"/>
          <w:w w:val="100"/>
          <w:sz w:val="24"/>
          <w:szCs w:val="24"/>
          <w:lang w:eastAsia="zh-CN"/>
        </w:rPr>
        <w:t>、中级证不少于</w:t>
      </w:r>
      <w:r>
        <w:rPr>
          <w:rFonts w:hint="eastAsia" w:hAnsi="宋体" w:cs="宋体"/>
          <w:b w:val="0"/>
          <w:i w:val="0"/>
          <w:caps w:val="0"/>
          <w:spacing w:val="0"/>
          <w:w w:val="100"/>
          <w:sz w:val="24"/>
          <w:szCs w:val="24"/>
          <w:lang w:val="en-US" w:eastAsia="zh-CN"/>
        </w:rPr>
        <w:t>4人。</w:t>
      </w:r>
    </w:p>
    <w:p>
      <w:pPr>
        <w:numPr>
          <w:ilvl w:val="0"/>
          <w:numId w:val="0"/>
        </w:numPr>
        <w:snapToGrid/>
        <w:spacing w:before="0" w:beforeAutospacing="0" w:after="0" w:afterAutospacing="0" w:line="240" w:lineRule="auto"/>
        <w:jc w:val="both"/>
        <w:textAlignment w:val="baseline"/>
        <w:rPr>
          <w:rFonts w:hint="eastAsia" w:ascii="宋体" w:hAnsi="宋体" w:cs="宋体"/>
          <w:color w:val="000000"/>
          <w:sz w:val="24"/>
          <w:szCs w:val="24"/>
        </w:rPr>
      </w:pPr>
      <w:r>
        <w:rPr>
          <w:rFonts w:hint="eastAsia" w:ascii="宋体" w:hAnsi="宋体"/>
          <w:sz w:val="24"/>
          <w:szCs w:val="24"/>
          <w:lang w:val="en-US" w:eastAsia="zh-CN"/>
        </w:rPr>
        <w:t>4、</w:t>
      </w:r>
      <w:r>
        <w:rPr>
          <w:rFonts w:hint="eastAsia" w:ascii="宋体" w:hAnsi="宋体"/>
          <w:sz w:val="24"/>
          <w:szCs w:val="24"/>
        </w:rPr>
        <w:t>具有良好的纳税记录，具备相应的技术设备、社会管理经验和良好信誉；</w:t>
      </w:r>
      <w:r>
        <w:rPr>
          <w:rFonts w:hint="eastAsia" w:ascii="宋体" w:hAnsi="宋体" w:cs="宋体"/>
          <w:color w:val="000000"/>
          <w:sz w:val="24"/>
          <w:szCs w:val="24"/>
          <w:lang w:eastAsia="zh-CN"/>
        </w:rPr>
        <w:t>需提供202</w:t>
      </w:r>
      <w:r>
        <w:rPr>
          <w:rFonts w:hint="eastAsia" w:ascii="宋体" w:hAnsi="宋体" w:cs="宋体"/>
          <w:color w:val="000000"/>
          <w:sz w:val="24"/>
          <w:szCs w:val="24"/>
          <w:lang w:val="en-US" w:eastAsia="zh-CN"/>
        </w:rPr>
        <w:t>2</w:t>
      </w:r>
      <w:r>
        <w:rPr>
          <w:rFonts w:hint="eastAsia" w:ascii="宋体" w:hAnsi="宋体" w:cs="宋体"/>
          <w:color w:val="000000"/>
          <w:sz w:val="24"/>
          <w:szCs w:val="24"/>
          <w:lang w:eastAsia="zh-CN"/>
        </w:rPr>
        <w:t>年度完税证明及</w:t>
      </w:r>
      <w:r>
        <w:rPr>
          <w:rFonts w:hint="eastAsia" w:ascii="宋体" w:hAnsi="宋体" w:eastAsia="宋体" w:cs="宋体"/>
          <w:b w:val="0"/>
          <w:bCs w:val="0"/>
          <w:i w:val="0"/>
          <w:caps w:val="0"/>
          <w:spacing w:val="0"/>
          <w:w w:val="100"/>
          <w:sz w:val="24"/>
          <w:szCs w:val="24"/>
          <w:lang w:val="en-US" w:eastAsia="zh-CN"/>
        </w:rPr>
        <w:t>其此次项目的服务人员，在项目进行期内提供本单位缴纳的</w:t>
      </w:r>
      <w:r>
        <w:rPr>
          <w:rFonts w:hint="eastAsia" w:ascii="宋体" w:hAnsi="宋体" w:cs="宋体"/>
          <w:b w:val="0"/>
          <w:bCs w:val="0"/>
          <w:i w:val="0"/>
          <w:caps w:val="0"/>
          <w:spacing w:val="0"/>
          <w:w w:val="100"/>
          <w:sz w:val="24"/>
          <w:szCs w:val="24"/>
          <w:lang w:val="en-US" w:eastAsia="zh-CN"/>
        </w:rPr>
        <w:t>近六个月</w:t>
      </w:r>
      <w:r>
        <w:rPr>
          <w:rFonts w:hint="eastAsia" w:ascii="宋体" w:hAnsi="宋体" w:eastAsia="宋体" w:cs="宋体"/>
          <w:b w:val="0"/>
          <w:bCs w:val="0"/>
          <w:i w:val="0"/>
          <w:caps w:val="0"/>
          <w:spacing w:val="0"/>
          <w:w w:val="100"/>
          <w:sz w:val="24"/>
          <w:szCs w:val="24"/>
          <w:lang w:val="en-US" w:eastAsia="zh-CN"/>
        </w:rPr>
        <w:t>社保缴纳凭证及个人明细表原件；不低于</w:t>
      </w:r>
      <w:r>
        <w:rPr>
          <w:rFonts w:hint="eastAsia" w:ascii="宋体" w:hAnsi="宋体" w:cs="宋体"/>
          <w:b w:val="0"/>
          <w:bCs w:val="0"/>
          <w:i w:val="0"/>
          <w:caps w:val="0"/>
          <w:spacing w:val="0"/>
          <w:w w:val="100"/>
          <w:sz w:val="24"/>
          <w:szCs w:val="24"/>
          <w:lang w:val="en-US" w:eastAsia="zh-CN"/>
        </w:rPr>
        <w:t>5</w:t>
      </w:r>
      <w:r>
        <w:rPr>
          <w:rFonts w:hint="eastAsia" w:ascii="宋体" w:hAnsi="宋体" w:eastAsia="宋体" w:cs="宋体"/>
          <w:b w:val="0"/>
          <w:bCs w:val="0"/>
          <w:i w:val="0"/>
          <w:caps w:val="0"/>
          <w:spacing w:val="0"/>
          <w:w w:val="100"/>
          <w:sz w:val="24"/>
          <w:szCs w:val="24"/>
          <w:lang w:val="en-US" w:eastAsia="zh-CN"/>
        </w:rPr>
        <w:t>人</w:t>
      </w:r>
    </w:p>
    <w:p>
      <w:pPr>
        <w:pStyle w:val="5"/>
        <w:numPr>
          <w:ilvl w:val="0"/>
          <w:numId w:val="0"/>
        </w:numPr>
        <w:ind w:leftChars="0" w:firstLine="480" w:firstLineChars="200"/>
        <w:rPr>
          <w:rFonts w:hint="eastAsia" w:ascii="宋体" w:hAnsi="宋体"/>
          <w:sz w:val="24"/>
          <w:szCs w:val="24"/>
        </w:rPr>
      </w:pPr>
      <w:r>
        <w:rPr>
          <w:rFonts w:hint="eastAsia" w:ascii="宋体" w:hAnsi="宋体"/>
          <w:sz w:val="24"/>
          <w:szCs w:val="24"/>
          <w:lang w:val="en-US" w:eastAsia="zh-CN"/>
        </w:rPr>
        <w:t>5、</w:t>
      </w:r>
      <w:r>
        <w:rPr>
          <w:rFonts w:hint="eastAsia" w:ascii="宋体" w:hAnsi="宋体"/>
          <w:sz w:val="24"/>
          <w:szCs w:val="24"/>
        </w:rPr>
        <w:t>灭鼠、灭蟑、灭虫、消毒等消杀药品具有的相关证件。（</w:t>
      </w:r>
      <w:r>
        <w:rPr>
          <w:rFonts w:hint="eastAsia" w:ascii="宋体" w:hAnsi="宋体"/>
          <w:sz w:val="24"/>
          <w:szCs w:val="24"/>
          <w:lang w:eastAsia="zh-CN"/>
        </w:rPr>
        <w:t>（</w:t>
      </w:r>
      <w:r>
        <w:rPr>
          <w:rFonts w:hint="eastAsia" w:ascii="宋体" w:hAnsi="宋体"/>
          <w:sz w:val="24"/>
          <w:szCs w:val="24"/>
          <w:lang w:val="en-US" w:eastAsia="zh-CN"/>
        </w:rPr>
        <w:t>1</w:t>
      </w:r>
      <w:r>
        <w:rPr>
          <w:rFonts w:hint="eastAsia" w:ascii="宋体" w:hAnsi="宋体"/>
          <w:sz w:val="24"/>
          <w:szCs w:val="24"/>
          <w:lang w:eastAsia="zh-CN"/>
        </w:rPr>
        <w:t>）</w:t>
      </w:r>
      <w:r>
        <w:rPr>
          <w:rFonts w:hint="eastAsia" w:ascii="宋体" w:hAnsi="宋体"/>
          <w:sz w:val="24"/>
          <w:szCs w:val="24"/>
        </w:rPr>
        <w:t>农药登记证、</w:t>
      </w:r>
      <w:r>
        <w:rPr>
          <w:rFonts w:hint="eastAsia" w:ascii="宋体" w:hAnsi="宋体"/>
          <w:sz w:val="24"/>
          <w:szCs w:val="24"/>
          <w:lang w:eastAsia="zh-CN"/>
        </w:rPr>
        <w:t>（</w:t>
      </w:r>
      <w:r>
        <w:rPr>
          <w:rFonts w:hint="eastAsia" w:ascii="宋体" w:hAnsi="宋体"/>
          <w:sz w:val="24"/>
          <w:szCs w:val="24"/>
          <w:lang w:val="en-US" w:eastAsia="zh-CN"/>
        </w:rPr>
        <w:t>2</w:t>
      </w:r>
      <w:r>
        <w:rPr>
          <w:rFonts w:hint="eastAsia" w:ascii="宋体" w:hAnsi="宋体"/>
          <w:sz w:val="24"/>
          <w:szCs w:val="24"/>
          <w:lang w:eastAsia="zh-CN"/>
        </w:rPr>
        <w:t>）</w:t>
      </w:r>
      <w:r>
        <w:rPr>
          <w:rFonts w:hint="eastAsia" w:ascii="宋体" w:hAnsi="宋体"/>
          <w:sz w:val="24"/>
          <w:szCs w:val="24"/>
        </w:rPr>
        <w:t>危险化学品经营许可证、</w:t>
      </w:r>
      <w:r>
        <w:rPr>
          <w:rFonts w:hint="eastAsia" w:ascii="宋体" w:hAnsi="宋体"/>
          <w:sz w:val="24"/>
          <w:szCs w:val="24"/>
          <w:lang w:eastAsia="zh-CN"/>
        </w:rPr>
        <w:t>（</w:t>
      </w:r>
      <w:r>
        <w:rPr>
          <w:rFonts w:hint="eastAsia" w:ascii="宋体" w:hAnsi="宋体"/>
          <w:sz w:val="24"/>
          <w:szCs w:val="24"/>
          <w:lang w:val="en-US" w:eastAsia="zh-CN"/>
        </w:rPr>
        <w:t>3</w:t>
      </w:r>
      <w:r>
        <w:rPr>
          <w:rFonts w:hint="eastAsia" w:ascii="宋体" w:hAnsi="宋体"/>
          <w:sz w:val="24"/>
          <w:szCs w:val="24"/>
          <w:lang w:eastAsia="zh-CN"/>
        </w:rPr>
        <w:t>）</w:t>
      </w:r>
      <w:r>
        <w:rPr>
          <w:rFonts w:hint="eastAsia" w:ascii="宋体" w:hAnsi="宋体"/>
          <w:sz w:val="24"/>
          <w:szCs w:val="24"/>
        </w:rPr>
        <w:t>农药生产批准文件、</w:t>
      </w:r>
      <w:r>
        <w:rPr>
          <w:rFonts w:hint="eastAsia" w:ascii="宋体" w:hAnsi="宋体"/>
          <w:sz w:val="24"/>
          <w:szCs w:val="24"/>
          <w:lang w:eastAsia="zh-CN"/>
        </w:rPr>
        <w:t>（</w:t>
      </w:r>
      <w:r>
        <w:rPr>
          <w:rFonts w:hint="eastAsia" w:ascii="宋体" w:hAnsi="宋体"/>
          <w:sz w:val="24"/>
          <w:szCs w:val="24"/>
          <w:lang w:val="en-US" w:eastAsia="zh-CN"/>
        </w:rPr>
        <w:t>4</w:t>
      </w:r>
      <w:r>
        <w:rPr>
          <w:rFonts w:hint="eastAsia" w:ascii="宋体" w:hAnsi="宋体"/>
          <w:sz w:val="24"/>
          <w:szCs w:val="24"/>
          <w:lang w:eastAsia="zh-CN"/>
        </w:rPr>
        <w:t>）</w:t>
      </w:r>
      <w:r>
        <w:rPr>
          <w:rFonts w:hint="eastAsia" w:ascii="宋体" w:hAnsi="宋体"/>
          <w:sz w:val="24"/>
          <w:szCs w:val="24"/>
        </w:rPr>
        <w:t>产品质量检测报告、</w:t>
      </w:r>
      <w:r>
        <w:rPr>
          <w:rFonts w:hint="eastAsia" w:ascii="宋体" w:hAnsi="宋体"/>
          <w:sz w:val="24"/>
          <w:szCs w:val="24"/>
          <w:lang w:eastAsia="zh-CN"/>
        </w:rPr>
        <w:t>（</w:t>
      </w:r>
      <w:r>
        <w:rPr>
          <w:rFonts w:hint="eastAsia" w:ascii="宋体" w:hAnsi="宋体"/>
          <w:sz w:val="24"/>
          <w:szCs w:val="24"/>
          <w:lang w:val="en-US" w:eastAsia="zh-CN"/>
        </w:rPr>
        <w:t>5</w:t>
      </w:r>
      <w:r>
        <w:rPr>
          <w:rFonts w:hint="eastAsia" w:ascii="宋体" w:hAnsi="宋体"/>
          <w:sz w:val="24"/>
          <w:szCs w:val="24"/>
          <w:lang w:eastAsia="zh-CN"/>
        </w:rPr>
        <w:t>）</w:t>
      </w:r>
      <w:r>
        <w:rPr>
          <w:rFonts w:hint="eastAsia" w:ascii="宋体" w:hAnsi="宋体"/>
          <w:sz w:val="24"/>
          <w:szCs w:val="24"/>
        </w:rPr>
        <w:t>MSDS安全技术说明书）。</w:t>
      </w:r>
    </w:p>
    <w:p>
      <w:pPr>
        <w:pStyle w:val="5"/>
        <w:numPr>
          <w:ilvl w:val="0"/>
          <w:numId w:val="0"/>
        </w:numPr>
        <w:ind w:leftChars="0" w:firstLine="480" w:firstLineChars="200"/>
        <w:rPr>
          <w:rFonts w:hint="eastAsia" w:ascii="宋体" w:hAnsi="宋体"/>
          <w:sz w:val="24"/>
          <w:szCs w:val="24"/>
        </w:rPr>
      </w:pPr>
      <w:r>
        <w:rPr>
          <w:rFonts w:hint="eastAsia" w:ascii="宋体" w:hAnsi="宋体"/>
          <w:sz w:val="24"/>
          <w:szCs w:val="24"/>
          <w:lang w:val="en-US" w:eastAsia="zh-CN"/>
        </w:rPr>
        <w:t>6、</w:t>
      </w:r>
      <w:r>
        <w:rPr>
          <w:rFonts w:hint="eastAsia" w:ascii="宋体" w:hAnsi="宋体"/>
          <w:sz w:val="24"/>
          <w:szCs w:val="24"/>
        </w:rPr>
        <w:t>校方不接受联合体投标。</w:t>
      </w:r>
    </w:p>
    <w:p>
      <w:pPr>
        <w:rPr>
          <w:rFonts w:hint="eastAsia" w:ascii="宋体" w:hAnsi="宋体"/>
          <w:b/>
          <w:bCs/>
          <w:sz w:val="24"/>
          <w:szCs w:val="24"/>
          <w:lang w:eastAsia="zh-CN"/>
        </w:rPr>
      </w:pPr>
      <w:r>
        <w:rPr>
          <w:rFonts w:hint="eastAsia" w:ascii="宋体" w:hAnsi="宋体"/>
          <w:b/>
          <w:bCs/>
          <w:sz w:val="24"/>
          <w:szCs w:val="24"/>
          <w:lang w:eastAsia="zh-CN"/>
        </w:rPr>
        <w:t>四、价格</w:t>
      </w:r>
    </w:p>
    <w:p>
      <w:pPr>
        <w:pStyle w:val="5"/>
        <w:numPr>
          <w:ilvl w:val="0"/>
          <w:numId w:val="0"/>
        </w:numPr>
        <w:ind w:leftChars="0" w:firstLine="480" w:firstLineChars="200"/>
        <w:rPr>
          <w:rFonts w:hint="eastAsia" w:ascii="宋体" w:hAnsi="宋体"/>
          <w:sz w:val="24"/>
          <w:szCs w:val="24"/>
          <w:lang w:val="en-US" w:eastAsia="zh-CN"/>
        </w:rPr>
      </w:pPr>
      <w:r>
        <w:rPr>
          <w:rFonts w:hint="eastAsia" w:ascii="宋体" w:hAnsi="宋体"/>
          <w:sz w:val="24"/>
          <w:szCs w:val="24"/>
          <w:lang w:eastAsia="zh-CN"/>
        </w:rPr>
        <w:t>根据新疆维吾尔自治区物价局、财政厅、卫生厅《关于新疆维吾尔自治区卫生监督防疫防治收费标准》，并结合学校实际情况，确定</w:t>
      </w:r>
      <w:r>
        <w:rPr>
          <w:rFonts w:hint="eastAsia" w:ascii="宋体" w:hAnsi="宋体"/>
          <w:sz w:val="24"/>
          <w:szCs w:val="24"/>
          <w:lang w:val="en-US" w:eastAsia="zh-CN"/>
        </w:rPr>
        <w:t>灭虫、灭鼠</w:t>
      </w:r>
      <w:r>
        <w:rPr>
          <w:rFonts w:hint="eastAsia" w:ascii="宋体" w:hAnsi="宋体"/>
          <w:sz w:val="24"/>
          <w:szCs w:val="24"/>
          <w:lang w:eastAsia="zh-CN"/>
        </w:rPr>
        <w:t>预算总金额为</w:t>
      </w:r>
      <w:r>
        <w:rPr>
          <w:rFonts w:hint="eastAsia" w:ascii="宋体" w:hAnsi="宋体"/>
          <w:sz w:val="24"/>
          <w:szCs w:val="24"/>
          <w:lang w:val="en-US" w:eastAsia="zh-CN"/>
        </w:rPr>
        <w:t>20</w:t>
      </w:r>
      <w:r>
        <w:rPr>
          <w:rFonts w:hint="eastAsia" w:ascii="宋体" w:hAnsi="宋体"/>
          <w:sz w:val="24"/>
          <w:szCs w:val="24"/>
          <w:lang w:eastAsia="zh-CN"/>
        </w:rPr>
        <w:t>万元。</w:t>
      </w:r>
    </w:p>
    <w:p>
      <w:pPr>
        <w:rPr>
          <w:rFonts w:hint="eastAsia" w:ascii="宋体" w:hAnsi="宋体"/>
          <w:b/>
          <w:bCs/>
          <w:sz w:val="24"/>
          <w:szCs w:val="24"/>
          <w:lang w:val="en-US" w:eastAsia="zh-CN"/>
        </w:rPr>
      </w:pPr>
      <w:r>
        <w:rPr>
          <w:rFonts w:hint="eastAsia" w:ascii="宋体" w:hAnsi="宋体"/>
          <w:b/>
          <w:bCs/>
          <w:sz w:val="24"/>
          <w:szCs w:val="24"/>
          <w:lang w:eastAsia="zh-CN"/>
        </w:rPr>
        <w:t>五、付款方式</w:t>
      </w:r>
      <w:r>
        <w:rPr>
          <w:rFonts w:hint="eastAsia" w:ascii="宋体" w:hAnsi="宋体"/>
          <w:b/>
          <w:bCs/>
          <w:sz w:val="24"/>
          <w:szCs w:val="24"/>
          <w:lang w:val="en-US" w:eastAsia="zh-CN"/>
        </w:rPr>
        <w:t xml:space="preserve"> </w:t>
      </w:r>
    </w:p>
    <w:p>
      <w:pPr>
        <w:pStyle w:val="5"/>
        <w:numPr>
          <w:ilvl w:val="0"/>
          <w:numId w:val="0"/>
        </w:numPr>
        <w:ind w:leftChars="0" w:firstLine="480" w:firstLineChars="200"/>
        <w:rPr>
          <w:rFonts w:hint="eastAsia" w:ascii="宋体" w:hAnsi="宋体"/>
          <w:sz w:val="24"/>
          <w:szCs w:val="24"/>
          <w:lang w:val="en-US" w:eastAsia="zh-CN"/>
        </w:rPr>
      </w:pPr>
      <w:r>
        <w:rPr>
          <w:rFonts w:hint="eastAsia" w:ascii="宋体" w:hAnsi="宋体"/>
          <w:sz w:val="24"/>
          <w:szCs w:val="24"/>
          <w:lang w:val="en-US" w:eastAsia="zh-CN"/>
        </w:rPr>
        <w:t>1、</w:t>
      </w:r>
      <w:r>
        <w:rPr>
          <w:rFonts w:hint="eastAsia" w:ascii="宋体" w:hAnsi="宋体"/>
          <w:sz w:val="24"/>
          <w:szCs w:val="24"/>
          <w:lang w:eastAsia="zh-CN"/>
        </w:rPr>
        <w:t>经甲方对病虫害防治项目验收合格后，乙方开具正规发票，甲方在收到发票后</w:t>
      </w:r>
      <w:r>
        <w:rPr>
          <w:rFonts w:hint="eastAsia" w:ascii="宋体" w:hAnsi="宋体"/>
          <w:sz w:val="24"/>
          <w:szCs w:val="24"/>
          <w:lang w:val="en-US" w:eastAsia="zh-CN"/>
        </w:rPr>
        <w:t>15个工作日内，根据双方在本合同中确定的价格，按学校规定予以据实结算。</w:t>
      </w:r>
    </w:p>
    <w:p>
      <w:pPr>
        <w:pStyle w:val="5"/>
        <w:numPr>
          <w:ilvl w:val="0"/>
          <w:numId w:val="0"/>
        </w:numPr>
        <w:ind w:leftChars="0" w:firstLine="480" w:firstLineChars="200"/>
        <w:rPr>
          <w:rFonts w:hint="eastAsia" w:ascii="宋体" w:hAnsi="宋体"/>
          <w:sz w:val="24"/>
          <w:szCs w:val="24"/>
          <w:lang w:val="en-US" w:eastAsia="zh-CN"/>
        </w:rPr>
      </w:pPr>
      <w:r>
        <w:rPr>
          <w:rFonts w:hint="eastAsia" w:ascii="宋体" w:hAnsi="宋体"/>
          <w:sz w:val="24"/>
          <w:szCs w:val="24"/>
          <w:lang w:val="en-US" w:eastAsia="zh-CN"/>
        </w:rPr>
        <w:t>2、支付时间：</w:t>
      </w:r>
      <w:r>
        <w:rPr>
          <w:rFonts w:hint="eastAsia" w:ascii="宋体" w:hAnsi="宋体"/>
          <w:sz w:val="24"/>
          <w:szCs w:val="24"/>
          <w:lang w:eastAsia="zh-CN"/>
        </w:rPr>
        <w:t>一年支付两次、每半年支付一次。</w:t>
      </w:r>
    </w:p>
    <w:p>
      <w:pPr>
        <w:pStyle w:val="5"/>
        <w:numPr>
          <w:ilvl w:val="0"/>
          <w:numId w:val="0"/>
        </w:numPr>
        <w:rPr>
          <w:rFonts w:hint="eastAsia" w:ascii="宋体" w:hAnsi="宋体"/>
          <w:b/>
          <w:bCs/>
          <w:sz w:val="24"/>
          <w:szCs w:val="24"/>
          <w:lang w:eastAsia="zh-CN"/>
        </w:rPr>
      </w:pPr>
      <w:r>
        <w:rPr>
          <w:rFonts w:hint="eastAsia" w:ascii="宋体" w:hAnsi="宋体"/>
          <w:b/>
          <w:bCs/>
          <w:sz w:val="24"/>
          <w:szCs w:val="24"/>
          <w:lang w:val="en-US" w:eastAsia="zh-CN"/>
        </w:rPr>
        <w:t>六、</w:t>
      </w:r>
      <w:r>
        <w:rPr>
          <w:rFonts w:hint="eastAsia" w:ascii="宋体" w:hAnsi="宋体"/>
          <w:b/>
          <w:bCs/>
          <w:sz w:val="24"/>
          <w:szCs w:val="24"/>
          <w:lang w:eastAsia="zh-CN"/>
        </w:rPr>
        <w:t>服务要求及责任</w:t>
      </w:r>
    </w:p>
    <w:p>
      <w:pPr>
        <w:spacing w:line="480" w:lineRule="auto"/>
        <w:ind w:firstLine="480" w:firstLineChars="200"/>
        <w:rPr>
          <w:rFonts w:hint="eastAsia"/>
          <w:sz w:val="24"/>
          <w:szCs w:val="24"/>
        </w:rPr>
      </w:pPr>
      <w:r>
        <w:rPr>
          <w:rFonts w:hint="eastAsia" w:ascii="宋体" w:hAnsi="宋体"/>
          <w:sz w:val="24"/>
          <w:szCs w:val="24"/>
          <w:lang w:val="en-US" w:eastAsia="zh-CN"/>
        </w:rPr>
        <w:t>1、</w:t>
      </w:r>
      <w:r>
        <w:rPr>
          <w:rFonts w:hint="eastAsia"/>
          <w:sz w:val="24"/>
          <w:szCs w:val="24"/>
        </w:rPr>
        <w:t>对</w:t>
      </w:r>
      <w:r>
        <w:rPr>
          <w:rFonts w:hint="eastAsia"/>
          <w:sz w:val="24"/>
          <w:szCs w:val="24"/>
          <w:lang w:eastAsia="zh-CN"/>
        </w:rPr>
        <w:t>消杀</w:t>
      </w:r>
      <w:r>
        <w:rPr>
          <w:rFonts w:hint="eastAsia"/>
          <w:sz w:val="24"/>
          <w:szCs w:val="24"/>
        </w:rPr>
        <w:t>各区域进行详细调查，并根据不同场所制定科学、合理、可行的</w:t>
      </w:r>
    </w:p>
    <w:p>
      <w:pPr>
        <w:spacing w:line="480" w:lineRule="auto"/>
        <w:rPr>
          <w:rFonts w:hint="eastAsia" w:ascii="宋体" w:hAnsi="宋体"/>
          <w:sz w:val="24"/>
          <w:szCs w:val="24"/>
        </w:rPr>
      </w:pPr>
      <w:r>
        <w:rPr>
          <w:rFonts w:hint="eastAsia"/>
          <w:sz w:val="24"/>
          <w:szCs w:val="24"/>
        </w:rPr>
        <w:t>灭蟑、灭鼠</w:t>
      </w:r>
      <w:r>
        <w:rPr>
          <w:rFonts w:hint="eastAsia"/>
          <w:sz w:val="24"/>
          <w:szCs w:val="24"/>
          <w:lang w:eastAsia="zh-CN"/>
        </w:rPr>
        <w:t>、灭虫</w:t>
      </w:r>
      <w:r>
        <w:rPr>
          <w:rFonts w:hint="eastAsia"/>
          <w:sz w:val="24"/>
          <w:szCs w:val="24"/>
        </w:rPr>
        <w:t>技术方案。</w:t>
      </w:r>
    </w:p>
    <w:p>
      <w:pPr>
        <w:pStyle w:val="5"/>
        <w:numPr>
          <w:ilvl w:val="0"/>
          <w:numId w:val="0"/>
        </w:numPr>
        <w:ind w:leftChars="0" w:firstLine="480" w:firstLineChars="200"/>
        <w:rPr>
          <w:rFonts w:hint="eastAsia" w:ascii="宋体" w:hAnsi="宋体"/>
          <w:sz w:val="24"/>
          <w:szCs w:val="24"/>
        </w:rPr>
      </w:pPr>
      <w:r>
        <w:rPr>
          <w:rFonts w:hint="eastAsia" w:ascii="宋体" w:hAnsi="宋体"/>
          <w:sz w:val="24"/>
          <w:szCs w:val="24"/>
        </w:rPr>
        <w:t>2</w:t>
      </w:r>
      <w:r>
        <w:rPr>
          <w:rFonts w:hint="eastAsia" w:ascii="宋体" w:hAnsi="宋体"/>
          <w:sz w:val="24"/>
          <w:szCs w:val="24"/>
          <w:lang w:eastAsia="zh-CN"/>
        </w:rPr>
        <w:t>、</w:t>
      </w:r>
      <w:r>
        <w:rPr>
          <w:rFonts w:hint="eastAsia" w:ascii="宋体" w:hAnsi="宋体"/>
          <w:sz w:val="24"/>
          <w:szCs w:val="24"/>
        </w:rPr>
        <w:t>每次消杀工作要有详细规范的消杀记录，并向</w:t>
      </w:r>
      <w:r>
        <w:rPr>
          <w:rFonts w:hint="eastAsia" w:ascii="宋体" w:hAnsi="宋体"/>
          <w:sz w:val="24"/>
          <w:szCs w:val="24"/>
          <w:lang w:eastAsia="zh-CN"/>
        </w:rPr>
        <w:t>甲方</w:t>
      </w:r>
      <w:r>
        <w:rPr>
          <w:rFonts w:hint="eastAsia" w:ascii="宋体" w:hAnsi="宋体"/>
          <w:sz w:val="24"/>
          <w:szCs w:val="24"/>
        </w:rPr>
        <w:t>提供。</w:t>
      </w:r>
    </w:p>
    <w:p>
      <w:pPr>
        <w:pStyle w:val="5"/>
        <w:numPr>
          <w:ilvl w:val="0"/>
          <w:numId w:val="0"/>
        </w:numPr>
        <w:ind w:leftChars="0" w:firstLine="480" w:firstLineChars="200"/>
        <w:rPr>
          <w:rFonts w:hint="eastAsia" w:ascii="宋体" w:hAnsi="宋体"/>
          <w:sz w:val="24"/>
          <w:szCs w:val="24"/>
        </w:rPr>
      </w:pPr>
      <w:r>
        <w:rPr>
          <w:rFonts w:hint="eastAsia" w:ascii="宋体" w:hAnsi="宋体"/>
          <w:sz w:val="24"/>
          <w:szCs w:val="24"/>
        </w:rPr>
        <w:t>3</w:t>
      </w:r>
      <w:r>
        <w:rPr>
          <w:rFonts w:hint="eastAsia" w:ascii="宋体" w:hAnsi="宋体"/>
          <w:sz w:val="24"/>
          <w:szCs w:val="24"/>
          <w:lang w:eastAsia="zh-CN"/>
        </w:rPr>
        <w:t>、</w:t>
      </w:r>
      <w:r>
        <w:rPr>
          <w:rFonts w:hint="eastAsia" w:ascii="宋体" w:hAnsi="宋体"/>
          <w:sz w:val="24"/>
          <w:szCs w:val="24"/>
        </w:rPr>
        <w:t>对重点区域密度较高的虫害防治</w:t>
      </w:r>
      <w:r>
        <w:rPr>
          <w:rFonts w:hint="eastAsia" w:ascii="宋体" w:hAnsi="宋体"/>
          <w:sz w:val="24"/>
          <w:szCs w:val="24"/>
          <w:lang w:eastAsia="zh-CN"/>
        </w:rPr>
        <w:t>（如餐厅、宿舍）</w:t>
      </w:r>
      <w:r>
        <w:rPr>
          <w:rFonts w:hint="eastAsia" w:ascii="宋体" w:hAnsi="宋体"/>
          <w:sz w:val="24"/>
          <w:szCs w:val="24"/>
        </w:rPr>
        <w:t>，乙方应对甲方消杀范围内的消杀密度进行监测，并向甲方承诺对每次消杀情况保证达到国家规定的消杀标准，如达不到标准乙方需免费补杀达标为止。除固定消杀外还应采取不定期消杀，其它时间发生虫害、鼠害，24小时内响应并保证甲方随叫乙方随到，进行消杀工作。</w:t>
      </w:r>
    </w:p>
    <w:p>
      <w:pPr>
        <w:pStyle w:val="5"/>
        <w:numPr>
          <w:ilvl w:val="0"/>
          <w:numId w:val="0"/>
        </w:numPr>
        <w:ind w:leftChars="0" w:firstLine="480" w:firstLineChars="200"/>
        <w:rPr>
          <w:rFonts w:hint="eastAsia" w:ascii="宋体" w:hAnsi="宋体"/>
          <w:sz w:val="24"/>
          <w:szCs w:val="24"/>
        </w:rPr>
      </w:pPr>
      <w:r>
        <w:rPr>
          <w:rFonts w:hint="eastAsia" w:ascii="宋体" w:hAnsi="宋体"/>
          <w:sz w:val="24"/>
          <w:szCs w:val="24"/>
          <w:lang w:val="en-US" w:eastAsia="zh-CN"/>
        </w:rPr>
        <w:t>4、</w:t>
      </w:r>
      <w:r>
        <w:rPr>
          <w:rFonts w:hint="eastAsia" w:ascii="宋体" w:hAnsi="宋体"/>
          <w:sz w:val="24"/>
          <w:szCs w:val="24"/>
        </w:rPr>
        <w:t>如果爆发</w:t>
      </w:r>
      <w:r>
        <w:rPr>
          <w:rFonts w:hint="eastAsia" w:ascii="宋体" w:hAnsi="宋体"/>
          <w:sz w:val="24"/>
          <w:szCs w:val="24"/>
          <w:lang w:eastAsia="zh-CN"/>
        </w:rPr>
        <w:t>因</w:t>
      </w:r>
      <w:r>
        <w:rPr>
          <w:rFonts w:hint="eastAsia" w:ascii="宋体" w:hAnsi="宋体"/>
          <w:sz w:val="24"/>
          <w:szCs w:val="24"/>
          <w:lang w:val="en-US" w:eastAsia="zh-CN"/>
        </w:rPr>
        <w:t>鼠、虫、蟑</w:t>
      </w:r>
      <w:r>
        <w:rPr>
          <w:rFonts w:hint="eastAsia" w:ascii="宋体" w:hAnsi="宋体"/>
          <w:sz w:val="24"/>
          <w:szCs w:val="24"/>
          <w:lang w:eastAsia="zh-CN"/>
        </w:rPr>
        <w:t>引发的</w:t>
      </w:r>
      <w:r>
        <w:rPr>
          <w:rFonts w:hint="eastAsia" w:ascii="宋体" w:hAnsi="宋体"/>
          <w:sz w:val="24"/>
          <w:szCs w:val="24"/>
        </w:rPr>
        <w:t>传染疾病，中标方按校方要求出人、出设备、出药品协助校方对传染病疫情进行防控。</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textAlignment w:val="auto"/>
        <w:rPr>
          <w:rFonts w:hint="eastAsia" w:ascii="宋体" w:hAnsi="宋体"/>
          <w:sz w:val="24"/>
          <w:szCs w:val="24"/>
        </w:rPr>
      </w:pPr>
      <w:r>
        <w:rPr>
          <w:rFonts w:hint="eastAsia" w:ascii="宋体" w:hAnsi="宋体"/>
          <w:sz w:val="24"/>
          <w:szCs w:val="24"/>
          <w:lang w:val="en-US" w:eastAsia="zh-CN"/>
        </w:rPr>
        <w:t>5、乙方</w:t>
      </w:r>
      <w:r>
        <w:rPr>
          <w:rFonts w:hint="eastAsia" w:ascii="宋体" w:hAnsi="宋体"/>
          <w:sz w:val="24"/>
          <w:szCs w:val="24"/>
        </w:rPr>
        <w:t>每年在学校校园内组织一次师生“除四害”防控知识宣传活动，提高师生“除四害”防控意识，动员师生积极参与“除四害”防控工作。</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sz w:val="24"/>
          <w:szCs w:val="24"/>
        </w:rPr>
      </w:pPr>
      <w:r>
        <w:rPr>
          <w:rFonts w:hint="eastAsia" w:ascii="宋体" w:hAnsi="宋体" w:eastAsia="宋体" w:cs="Times New Roman"/>
          <w:kern w:val="2"/>
          <w:sz w:val="24"/>
          <w:szCs w:val="24"/>
          <w:lang w:val="en-US" w:eastAsia="zh-CN" w:bidi="ar-SA"/>
        </w:rPr>
        <w:t>6、</w:t>
      </w:r>
      <w:r>
        <w:rPr>
          <w:rFonts w:hint="eastAsia"/>
          <w:sz w:val="24"/>
          <w:szCs w:val="24"/>
          <w:lang w:val="en-US" w:eastAsia="zh-CN"/>
        </w:rPr>
        <w:t>乙方</w:t>
      </w:r>
      <w:r>
        <w:rPr>
          <w:rFonts w:hint="eastAsia"/>
          <w:sz w:val="24"/>
          <w:szCs w:val="24"/>
        </w:rPr>
        <w:t>作业</w:t>
      </w:r>
      <w:r>
        <w:rPr>
          <w:rFonts w:hint="eastAsia"/>
          <w:sz w:val="24"/>
          <w:szCs w:val="24"/>
          <w:lang w:eastAsia="zh-CN"/>
        </w:rPr>
        <w:t>时必须</w:t>
      </w:r>
      <w:r>
        <w:rPr>
          <w:rFonts w:hint="eastAsia"/>
          <w:sz w:val="24"/>
          <w:szCs w:val="24"/>
        </w:rPr>
        <w:t>统一工装，佩戴工牌，提前通知</w:t>
      </w:r>
      <w:r>
        <w:rPr>
          <w:rFonts w:hint="eastAsia"/>
          <w:sz w:val="24"/>
          <w:szCs w:val="24"/>
          <w:lang w:eastAsia="zh-CN"/>
        </w:rPr>
        <w:t>甲方</w:t>
      </w:r>
      <w:r>
        <w:rPr>
          <w:rFonts w:hint="eastAsia"/>
          <w:sz w:val="24"/>
          <w:szCs w:val="24"/>
        </w:rPr>
        <w:t>，以便作业顺利完成。</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7、在灭蟑时不得将药水喷在插座上和带电的电器上，在灭蟑结束后，提醒管事部门人员将杀死蟑螂彻底清扫一遍。</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sz w:val="24"/>
          <w:szCs w:val="24"/>
          <w:lang w:val="en-US" w:eastAsia="zh-CN"/>
        </w:rPr>
      </w:pPr>
      <w:r>
        <w:rPr>
          <w:rFonts w:hint="eastAsia" w:ascii="宋体" w:hAnsi="宋体" w:eastAsia="宋体" w:cs="Times New Roman"/>
          <w:kern w:val="2"/>
          <w:sz w:val="24"/>
          <w:szCs w:val="24"/>
          <w:lang w:val="en-US" w:eastAsia="zh-CN" w:bidi="ar-SA"/>
        </w:rPr>
        <w:t>8、乙</w:t>
      </w:r>
      <w:r>
        <w:rPr>
          <w:rFonts w:hint="eastAsia"/>
          <w:sz w:val="24"/>
          <w:szCs w:val="24"/>
          <w:lang w:val="en-US" w:eastAsia="zh-CN"/>
        </w:rPr>
        <w:t>方在灭蟑灭鼠服务中认真负责，做到安全细致，以服务为宗旨，以质量为保证，灭后不定时对辖区的蟑鼠情况进行检查。</w:t>
      </w:r>
    </w:p>
    <w:p>
      <w:pPr>
        <w:pStyle w:val="5"/>
        <w:numPr>
          <w:ilvl w:val="0"/>
          <w:numId w:val="0"/>
        </w:numPr>
        <w:ind w:leftChars="0" w:firstLine="480" w:firstLineChars="200"/>
        <w:rPr>
          <w:rFonts w:hint="eastAsia" w:ascii="宋体" w:hAnsi="宋体"/>
          <w:sz w:val="24"/>
          <w:szCs w:val="24"/>
        </w:rPr>
      </w:pPr>
      <w:r>
        <w:rPr>
          <w:rFonts w:hint="eastAsia" w:ascii="宋体" w:hAnsi="宋体"/>
          <w:sz w:val="24"/>
          <w:szCs w:val="24"/>
          <w:lang w:val="en-US" w:eastAsia="zh-CN"/>
        </w:rPr>
        <w:t>9、</w:t>
      </w:r>
      <w:r>
        <w:rPr>
          <w:rFonts w:hint="eastAsia" w:ascii="宋体" w:hAnsi="宋体"/>
          <w:sz w:val="24"/>
          <w:szCs w:val="24"/>
        </w:rPr>
        <w:t>灭鼠饵料投放一个</w:t>
      </w:r>
      <w:r>
        <w:rPr>
          <w:rFonts w:hint="eastAsia" w:ascii="宋体" w:hAnsi="宋体"/>
          <w:sz w:val="24"/>
          <w:szCs w:val="24"/>
          <w:lang w:val="en-US" w:eastAsia="zh-CN"/>
        </w:rPr>
        <w:t>月至少</w:t>
      </w:r>
      <w:r>
        <w:rPr>
          <w:rFonts w:hint="eastAsia" w:ascii="宋体" w:hAnsi="宋体"/>
          <w:sz w:val="24"/>
          <w:szCs w:val="24"/>
        </w:rPr>
        <w:t>更换一次，局部灭鼠次数不限，随时发生随时处理，如果鼠害严重时，加大灭鼠饵料投放密度和频率。</w:t>
      </w:r>
    </w:p>
    <w:p>
      <w:pPr>
        <w:pStyle w:val="5"/>
        <w:keepNext w:val="0"/>
        <w:keepLines w:val="0"/>
        <w:pageBreakBefore w:val="0"/>
        <w:numPr>
          <w:ilvl w:val="0"/>
          <w:numId w:val="0"/>
        </w:numPr>
        <w:kinsoku/>
        <w:wordWrap/>
        <w:overflowPunct/>
        <w:topLinePunct w:val="0"/>
        <w:autoSpaceDE/>
        <w:autoSpaceDN/>
        <w:bidi w:val="0"/>
        <w:adjustRightInd/>
        <w:snapToGrid/>
        <w:spacing w:line="240" w:lineRule="auto"/>
        <w:ind w:firstLine="640"/>
        <w:textAlignment w:val="auto"/>
        <w:outlineLvl w:val="9"/>
        <w:rPr>
          <w:rFonts w:hint="eastAsia" w:ascii="宋体" w:hAnsi="宋体"/>
          <w:sz w:val="24"/>
          <w:szCs w:val="24"/>
        </w:rPr>
      </w:pPr>
      <w:r>
        <w:rPr>
          <w:rFonts w:hint="eastAsia" w:ascii="宋体" w:hAnsi="宋体"/>
          <w:sz w:val="24"/>
          <w:szCs w:val="24"/>
          <w:lang w:val="en-US" w:eastAsia="zh-CN"/>
        </w:rPr>
        <w:t>10、</w:t>
      </w:r>
      <w:r>
        <w:rPr>
          <w:rFonts w:hint="eastAsia" w:ascii="宋体" w:hAnsi="宋体"/>
          <w:sz w:val="24"/>
          <w:szCs w:val="24"/>
        </w:rPr>
        <w:t>建筑物内部采用尽量采用物理消杀，减少使用化学药剂，以防对食物造成污染从而带来卫生安全隐患。内部采用粘鼠板、捕鼠笼等物理消杀的方式进行。物理器械的安放需有实际作用和效果（不仅仅是符合相关标准）。</w:t>
      </w:r>
    </w:p>
    <w:p>
      <w:pPr>
        <w:pStyle w:val="5"/>
        <w:keepNext w:val="0"/>
        <w:keepLines w:val="0"/>
        <w:pageBreakBefore w:val="0"/>
        <w:numPr>
          <w:ilvl w:val="0"/>
          <w:numId w:val="0"/>
        </w:numPr>
        <w:kinsoku/>
        <w:wordWrap/>
        <w:overflowPunct/>
        <w:topLinePunct w:val="0"/>
        <w:autoSpaceDE/>
        <w:autoSpaceDN/>
        <w:bidi w:val="0"/>
        <w:adjustRightInd/>
        <w:snapToGrid/>
        <w:spacing w:line="240" w:lineRule="auto"/>
        <w:ind w:firstLine="640"/>
        <w:textAlignment w:val="auto"/>
        <w:outlineLvl w:val="9"/>
        <w:rPr>
          <w:rFonts w:hint="eastAsia" w:ascii="宋体" w:hAnsi="宋体"/>
          <w:sz w:val="24"/>
          <w:szCs w:val="24"/>
        </w:rPr>
      </w:pPr>
      <w:r>
        <w:rPr>
          <w:rFonts w:hint="eastAsia" w:ascii="宋体" w:hAnsi="宋体"/>
          <w:sz w:val="24"/>
          <w:szCs w:val="24"/>
          <w:lang w:val="en-US" w:eastAsia="zh-CN"/>
        </w:rPr>
        <w:t>11、</w:t>
      </w:r>
      <w:r>
        <w:rPr>
          <w:rFonts w:hint="eastAsia" w:ascii="宋体" w:hAnsi="宋体"/>
          <w:sz w:val="24"/>
          <w:szCs w:val="24"/>
        </w:rPr>
        <w:t>捕鼠笼、粘鼠板等物理消杀器械应及时检测更换，确保消杀器械起到鼠害防治最佳效果。</w:t>
      </w:r>
    </w:p>
    <w:p>
      <w:pPr>
        <w:pStyle w:val="5"/>
        <w:keepNext w:val="0"/>
        <w:keepLines w:val="0"/>
        <w:pageBreakBefore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sz w:val="24"/>
          <w:szCs w:val="24"/>
          <w:lang w:val="en-US" w:eastAsia="zh-CN"/>
        </w:rPr>
      </w:pPr>
      <w:r>
        <w:rPr>
          <w:rFonts w:hint="eastAsia" w:ascii="宋体" w:hAnsi="宋体"/>
          <w:sz w:val="24"/>
          <w:szCs w:val="24"/>
          <w:lang w:val="en-US" w:eastAsia="zh-CN"/>
        </w:rPr>
        <w:t>12、</w:t>
      </w:r>
      <w:r>
        <w:rPr>
          <w:rFonts w:hint="eastAsia" w:ascii="宋体" w:hAnsi="宋体"/>
          <w:sz w:val="24"/>
          <w:szCs w:val="24"/>
        </w:rPr>
        <w:t>灭鼠工作的进行应和食堂相关负责人沟通，相关负责人认可方可签字。乙方在施工一个月以后需要达到大幅度降低鼠害密度。如果效果不明显，乙方需增加施工次数，直至甲方相关负责人认可通过方可。</w:t>
      </w:r>
    </w:p>
    <w:p>
      <w:pPr>
        <w:spacing w:line="480" w:lineRule="auto"/>
        <w:rPr>
          <w:rFonts w:hint="eastAsia" w:ascii="宋体" w:hAnsi="宋体"/>
          <w:b w:val="0"/>
          <w:bCs/>
          <w:color w:val="000000"/>
          <w:sz w:val="24"/>
          <w:szCs w:val="24"/>
          <w:lang w:val="en-US" w:eastAsia="zh-CN"/>
        </w:rPr>
      </w:pPr>
      <w:r>
        <w:rPr>
          <w:rFonts w:hint="eastAsia" w:ascii="宋体" w:hAnsi="宋体"/>
          <w:b/>
          <w:sz w:val="24"/>
          <w:szCs w:val="24"/>
          <w:lang w:eastAsia="zh-CN"/>
        </w:rPr>
        <w:t>五、</w:t>
      </w:r>
      <w:r>
        <w:rPr>
          <w:rFonts w:hint="eastAsia" w:ascii="宋体" w:hAnsi="宋体"/>
          <w:b/>
          <w:sz w:val="24"/>
          <w:szCs w:val="24"/>
        </w:rPr>
        <w:t>四个校区</w:t>
      </w:r>
      <w:r>
        <w:rPr>
          <w:rFonts w:hint="eastAsia" w:ascii="宋体" w:hAnsi="宋体"/>
          <w:b/>
          <w:sz w:val="24"/>
          <w:szCs w:val="24"/>
          <w:lang w:val="en-US" w:eastAsia="zh-CN"/>
        </w:rPr>
        <w:t>灭虫、灭鼠</w:t>
      </w:r>
      <w:r>
        <w:rPr>
          <w:rFonts w:hint="eastAsia" w:ascii="宋体" w:hAnsi="宋体"/>
          <w:b/>
          <w:color w:val="000000"/>
          <w:sz w:val="24"/>
          <w:szCs w:val="24"/>
        </w:rPr>
        <w:t>费用报价表</w:t>
      </w:r>
      <w:r>
        <w:rPr>
          <w:rFonts w:hint="eastAsia" w:ascii="宋体" w:hAnsi="宋体"/>
          <w:b/>
          <w:color w:val="000000"/>
          <w:sz w:val="24"/>
          <w:szCs w:val="24"/>
          <w:lang w:eastAsia="zh-CN"/>
        </w:rPr>
        <w:t>：</w:t>
      </w:r>
    </w:p>
    <w:tbl>
      <w:tblPr>
        <w:tblStyle w:val="3"/>
        <w:tblpPr w:leftFromText="180" w:rightFromText="180" w:vertAnchor="text" w:horzAnchor="page" w:tblpX="1397" w:tblpY="280"/>
        <w:tblOverlap w:val="never"/>
        <w:tblW w:w="0" w:type="auto"/>
        <w:tblInd w:w="0" w:type="dxa"/>
        <w:tblLayout w:type="fixed"/>
        <w:tblCellMar>
          <w:top w:w="0" w:type="dxa"/>
          <w:left w:w="108" w:type="dxa"/>
          <w:bottom w:w="0" w:type="dxa"/>
          <w:right w:w="108" w:type="dxa"/>
        </w:tblCellMar>
      </w:tblPr>
      <w:tblGrid>
        <w:gridCol w:w="1260"/>
        <w:gridCol w:w="1562"/>
        <w:gridCol w:w="448"/>
        <w:gridCol w:w="1425"/>
        <w:gridCol w:w="937"/>
        <w:gridCol w:w="1508"/>
        <w:gridCol w:w="1485"/>
        <w:gridCol w:w="1440"/>
      </w:tblGrid>
      <w:tr>
        <w:tblPrEx>
          <w:tblCellMar>
            <w:top w:w="0" w:type="dxa"/>
            <w:left w:w="108" w:type="dxa"/>
            <w:bottom w:w="0" w:type="dxa"/>
            <w:right w:w="108" w:type="dxa"/>
          </w:tblCellMar>
        </w:tblPrEx>
        <w:trPr>
          <w:trHeight w:val="343" w:hRule="atLeast"/>
        </w:trPr>
        <w:tc>
          <w:tcPr>
            <w:tcW w:w="282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消杀项目</w:t>
            </w:r>
          </w:p>
        </w:tc>
        <w:tc>
          <w:tcPr>
            <w:tcW w:w="281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rPr>
              <w:t>灭鼠、灭蟑</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灭虫</w:t>
            </w:r>
          </w:p>
        </w:tc>
        <w:tc>
          <w:tcPr>
            <w:tcW w:w="4433"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费用预计（根据合同时效） 元/年</w:t>
            </w:r>
          </w:p>
        </w:tc>
      </w:tr>
      <w:tr>
        <w:tblPrEx>
          <w:tblCellMar>
            <w:top w:w="0" w:type="dxa"/>
            <w:left w:w="108" w:type="dxa"/>
            <w:bottom w:w="0" w:type="dxa"/>
            <w:right w:w="108" w:type="dxa"/>
          </w:tblCellMar>
        </w:tblPrEx>
        <w:trPr>
          <w:trHeight w:val="613" w:hRule="atLeast"/>
        </w:trPr>
        <w:tc>
          <w:tcPr>
            <w:tcW w:w="126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名称</w:t>
            </w:r>
          </w:p>
        </w:tc>
        <w:tc>
          <w:tcPr>
            <w:tcW w:w="201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场地</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地址</w:t>
            </w:r>
          </w:p>
        </w:tc>
        <w:tc>
          <w:tcPr>
            <w:tcW w:w="244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面积分布</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包年服务次数  （1年）</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执行价</w:t>
            </w:r>
          </w:p>
        </w:tc>
      </w:tr>
      <w:tr>
        <w:tblPrEx>
          <w:tblCellMar>
            <w:top w:w="0" w:type="dxa"/>
            <w:left w:w="108" w:type="dxa"/>
            <w:bottom w:w="0" w:type="dxa"/>
            <w:right w:w="108" w:type="dxa"/>
          </w:tblCellMar>
        </w:tblPrEx>
        <w:trPr>
          <w:trHeight w:val="1643" w:hRule="atLeast"/>
        </w:trPr>
        <w:tc>
          <w:tcPr>
            <w:tcW w:w="1260" w:type="dxa"/>
            <w:tcBorders>
              <w:top w:val="single" w:color="000000" w:sz="4" w:space="0"/>
              <w:left w:val="single" w:color="000000" w:sz="4" w:space="0"/>
              <w:bottom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乌鲁木齐职业大学新校区</w:t>
            </w:r>
          </w:p>
        </w:tc>
        <w:tc>
          <w:tcPr>
            <w:tcW w:w="2010" w:type="dxa"/>
            <w:gridSpan w:val="2"/>
            <w:tcBorders>
              <w:top w:val="single" w:color="000000" w:sz="4" w:space="0"/>
              <w:left w:val="single" w:color="000000" w:sz="4" w:space="0"/>
              <w:bottom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综合楼、A栋院系楼、开闭所、锅炉房、学生浴室、实训中心、产业服务中心</w:t>
            </w:r>
            <w:r>
              <w:rPr>
                <w:rFonts w:hint="eastAsia" w:ascii="宋体" w:hAnsi="宋体" w:eastAsia="宋体" w:cs="宋体"/>
                <w:color w:val="000000"/>
                <w:sz w:val="21"/>
                <w:szCs w:val="21"/>
                <w:lang w:eastAsia="zh-CN"/>
              </w:rPr>
              <w:t>及</w:t>
            </w:r>
            <w:r>
              <w:rPr>
                <w:rFonts w:hint="eastAsia" w:ascii="宋体" w:hAnsi="宋体" w:eastAsia="宋体" w:cs="宋体"/>
                <w:color w:val="000000"/>
                <w:sz w:val="21"/>
                <w:szCs w:val="21"/>
              </w:rPr>
              <w:t>他公共区域</w:t>
            </w:r>
          </w:p>
        </w:tc>
        <w:tc>
          <w:tcPr>
            <w:tcW w:w="1425" w:type="dxa"/>
            <w:tcBorders>
              <w:top w:val="single" w:color="000000" w:sz="4" w:space="0"/>
              <w:left w:val="single" w:color="000000" w:sz="4" w:space="0"/>
              <w:bottom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新校区</w:t>
            </w:r>
          </w:p>
        </w:tc>
        <w:tc>
          <w:tcPr>
            <w:tcW w:w="2445" w:type="dxa"/>
            <w:gridSpan w:val="2"/>
            <w:tcBorders>
              <w:top w:val="single" w:color="000000" w:sz="4" w:space="0"/>
              <w:left w:val="single" w:color="000000" w:sz="4" w:space="0"/>
              <w:bottom w:val="single" w:color="auto" w:sz="4" w:space="0"/>
              <w:right w:val="single" w:color="000000" w:sz="4" w:space="0"/>
            </w:tcBorders>
            <w:noWrap w:val="0"/>
            <w:vAlign w:val="center"/>
          </w:tcPr>
          <w:p>
            <w:pPr>
              <w:autoSpaceDN w:val="0"/>
              <w:jc w:val="both"/>
              <w:textAlignment w:val="center"/>
              <w:rPr>
                <w:rFonts w:hint="eastAsia" w:ascii="宋体" w:hAnsi="宋体" w:eastAsia="宋体" w:cs="宋体"/>
                <w:b w:val="0"/>
                <w:bCs w:val="0"/>
                <w:sz w:val="21"/>
                <w:szCs w:val="21"/>
                <w:lang w:val="en-US" w:eastAsia="zh-CN"/>
              </w:rPr>
            </w:pPr>
            <w:r>
              <w:rPr>
                <w:rFonts w:hint="eastAsia" w:ascii="宋体" w:hAnsi="宋体" w:eastAsia="宋体" w:cs="宋体"/>
                <w:color w:val="000000"/>
                <w:sz w:val="21"/>
                <w:szCs w:val="21"/>
                <w:lang w:eastAsia="zh-CN"/>
              </w:rPr>
              <w:t>综合楼、A栋院系楼等及公共区域面积：</w:t>
            </w:r>
            <w:r>
              <w:rPr>
                <w:rFonts w:hint="eastAsia" w:ascii="宋体" w:hAnsi="宋体" w:eastAsia="宋体" w:cs="宋体"/>
                <w:color w:val="000000"/>
                <w:sz w:val="21"/>
                <w:szCs w:val="21"/>
              </w:rPr>
              <w:t>86063平</w:t>
            </w:r>
            <w:r>
              <w:rPr>
                <w:rFonts w:hint="eastAsia" w:ascii="宋体" w:hAnsi="宋体" w:eastAsia="宋体" w:cs="宋体"/>
                <w:color w:val="000000"/>
                <w:sz w:val="21"/>
                <w:szCs w:val="21"/>
                <w:lang w:eastAsia="zh-CN"/>
              </w:rPr>
              <w:t>方米</w:t>
            </w:r>
          </w:p>
        </w:tc>
        <w:tc>
          <w:tcPr>
            <w:tcW w:w="1485" w:type="dxa"/>
            <w:tcBorders>
              <w:top w:val="single" w:color="000000" w:sz="4" w:space="0"/>
              <w:left w:val="single" w:color="000000" w:sz="4" w:space="0"/>
              <w:bottom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1"/>
                <w:szCs w:val="21"/>
              </w:rPr>
            </w:pPr>
          </w:p>
        </w:tc>
        <w:tc>
          <w:tcPr>
            <w:tcW w:w="1440" w:type="dxa"/>
            <w:tcBorders>
              <w:top w:val="single" w:color="000000" w:sz="4" w:space="0"/>
              <w:left w:val="single" w:color="000000" w:sz="4" w:space="0"/>
              <w:bottom w:val="single" w:color="auto" w:sz="4" w:space="0"/>
              <w:right w:val="single" w:color="000000" w:sz="4" w:space="0"/>
            </w:tcBorders>
            <w:noWrap w:val="0"/>
            <w:vAlign w:val="center"/>
          </w:tcPr>
          <w:p>
            <w:pPr>
              <w:autoSpaceDN w:val="0"/>
              <w:textAlignment w:val="center"/>
              <w:rPr>
                <w:rFonts w:ascii="宋体" w:hAnsi="宋体"/>
                <w:color w:val="FF0000"/>
                <w:sz w:val="21"/>
                <w:szCs w:val="21"/>
              </w:rPr>
            </w:pPr>
          </w:p>
        </w:tc>
      </w:tr>
      <w:tr>
        <w:tblPrEx>
          <w:tblCellMar>
            <w:top w:w="0" w:type="dxa"/>
            <w:left w:w="108" w:type="dxa"/>
            <w:bottom w:w="0" w:type="dxa"/>
            <w:right w:w="108" w:type="dxa"/>
          </w:tblCellMar>
        </w:tblPrEx>
        <w:trPr>
          <w:trHeight w:val="90" w:hRule="atLeast"/>
        </w:trPr>
        <w:tc>
          <w:tcPr>
            <w:tcW w:w="1260"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乌鲁木齐职业大学校本部</w:t>
            </w:r>
          </w:p>
        </w:tc>
        <w:tc>
          <w:tcPr>
            <w:tcW w:w="2010" w:type="dxa"/>
            <w:gridSpan w:val="2"/>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教学楼、行政楼、礼堂楼、车库楼、配电室、警卫室、洗衣房</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餐厅</w:t>
            </w:r>
            <w:r>
              <w:rPr>
                <w:rFonts w:hint="eastAsia" w:ascii="宋体" w:hAnsi="宋体" w:eastAsia="宋体" w:cs="宋体"/>
                <w:color w:val="000000"/>
                <w:sz w:val="21"/>
                <w:szCs w:val="21"/>
                <w:lang w:eastAsia="zh-CN"/>
              </w:rPr>
              <w:t>及</w:t>
            </w:r>
            <w:r>
              <w:rPr>
                <w:rFonts w:hint="eastAsia" w:ascii="宋体" w:hAnsi="宋体" w:eastAsia="宋体" w:cs="宋体"/>
                <w:color w:val="000000"/>
                <w:sz w:val="21"/>
                <w:szCs w:val="21"/>
              </w:rPr>
              <w:t>他公共区域</w:t>
            </w:r>
          </w:p>
        </w:tc>
        <w:tc>
          <w:tcPr>
            <w:tcW w:w="1425"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校本部</w:t>
            </w:r>
          </w:p>
        </w:tc>
        <w:tc>
          <w:tcPr>
            <w:tcW w:w="2445" w:type="dxa"/>
            <w:gridSpan w:val="2"/>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教学楼、行政楼</w:t>
            </w:r>
            <w:r>
              <w:rPr>
                <w:rFonts w:hint="eastAsia" w:ascii="宋体" w:hAnsi="宋体" w:eastAsia="宋体" w:cs="宋体"/>
                <w:color w:val="000000"/>
                <w:sz w:val="21"/>
                <w:szCs w:val="21"/>
                <w:lang w:eastAsia="zh-CN"/>
              </w:rPr>
              <w:t>等及公共区域面积：</w:t>
            </w:r>
            <w:r>
              <w:rPr>
                <w:rFonts w:hint="eastAsia" w:ascii="宋体" w:hAnsi="宋体" w:eastAsia="宋体" w:cs="宋体"/>
                <w:color w:val="000000"/>
                <w:sz w:val="21"/>
                <w:szCs w:val="21"/>
              </w:rPr>
              <w:t>37400</w:t>
            </w:r>
            <w:r>
              <w:rPr>
                <w:rFonts w:hint="eastAsia" w:ascii="宋体" w:hAnsi="宋体" w:eastAsia="宋体" w:cs="宋体"/>
                <w:color w:val="000000"/>
                <w:sz w:val="21"/>
                <w:szCs w:val="21"/>
                <w:lang w:eastAsia="zh-CN"/>
              </w:rPr>
              <w:t>平方米</w:t>
            </w:r>
          </w:p>
          <w:p>
            <w:pPr>
              <w:autoSpaceDN w:val="0"/>
              <w:jc w:val="center"/>
              <w:textAlignment w:val="center"/>
              <w:rPr>
                <w:rFonts w:hint="eastAsia" w:ascii="宋体" w:hAnsi="宋体" w:eastAsia="宋体" w:cs="宋体"/>
                <w:color w:val="000000"/>
                <w:sz w:val="21"/>
                <w:szCs w:val="21"/>
                <w:lang w:val="en-US" w:eastAsia="zh-CN"/>
              </w:rPr>
            </w:pPr>
          </w:p>
        </w:tc>
        <w:tc>
          <w:tcPr>
            <w:tcW w:w="1485"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1"/>
                <w:szCs w:val="21"/>
              </w:rPr>
            </w:pPr>
          </w:p>
        </w:tc>
        <w:tc>
          <w:tcPr>
            <w:tcW w:w="1440" w:type="dxa"/>
            <w:tcBorders>
              <w:top w:val="single" w:color="auto" w:sz="4" w:space="0"/>
              <w:left w:val="single" w:color="000000" w:sz="4" w:space="0"/>
              <w:bottom w:val="single" w:color="auto" w:sz="4" w:space="0"/>
              <w:right w:val="single" w:color="000000" w:sz="4" w:space="0"/>
            </w:tcBorders>
            <w:noWrap w:val="0"/>
            <w:vAlign w:val="center"/>
          </w:tcPr>
          <w:p>
            <w:pPr>
              <w:autoSpaceDN w:val="0"/>
              <w:textAlignment w:val="center"/>
              <w:rPr>
                <w:rFonts w:ascii="宋体" w:hAnsi="宋体"/>
                <w:color w:val="FF0000"/>
                <w:sz w:val="24"/>
                <w:szCs w:val="24"/>
              </w:rPr>
            </w:pPr>
          </w:p>
        </w:tc>
      </w:tr>
      <w:tr>
        <w:tblPrEx>
          <w:tblCellMar>
            <w:top w:w="0" w:type="dxa"/>
            <w:left w:w="108" w:type="dxa"/>
            <w:bottom w:w="0" w:type="dxa"/>
            <w:right w:w="108" w:type="dxa"/>
          </w:tblCellMar>
        </w:tblPrEx>
        <w:trPr>
          <w:trHeight w:val="1315" w:hRule="atLeast"/>
        </w:trPr>
        <w:tc>
          <w:tcPr>
            <w:tcW w:w="1260"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乌鲁木齐职业大学青年路</w:t>
            </w:r>
          </w:p>
        </w:tc>
        <w:tc>
          <w:tcPr>
            <w:tcW w:w="2010" w:type="dxa"/>
            <w:gridSpan w:val="2"/>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教学楼、综合楼、浴室锅炉房、配电室、高压房</w:t>
            </w:r>
            <w:r>
              <w:rPr>
                <w:rFonts w:hint="eastAsia" w:ascii="宋体" w:hAnsi="宋体" w:eastAsia="宋体" w:cs="宋体"/>
                <w:color w:val="000000"/>
                <w:sz w:val="21"/>
                <w:szCs w:val="21"/>
                <w:lang w:eastAsia="zh-CN"/>
              </w:rPr>
              <w:t>及</w:t>
            </w:r>
            <w:r>
              <w:rPr>
                <w:rFonts w:hint="eastAsia" w:ascii="宋体" w:hAnsi="宋体" w:eastAsia="宋体" w:cs="宋体"/>
                <w:color w:val="000000"/>
                <w:sz w:val="21"/>
                <w:szCs w:val="21"/>
              </w:rPr>
              <w:t>他公共区域</w:t>
            </w:r>
          </w:p>
        </w:tc>
        <w:tc>
          <w:tcPr>
            <w:tcW w:w="1425"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青年路校区</w:t>
            </w:r>
          </w:p>
        </w:tc>
        <w:tc>
          <w:tcPr>
            <w:tcW w:w="2445" w:type="dxa"/>
            <w:gridSpan w:val="2"/>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教学楼、综合楼</w:t>
            </w:r>
            <w:r>
              <w:rPr>
                <w:rFonts w:hint="eastAsia" w:ascii="宋体" w:hAnsi="宋体" w:eastAsia="宋体" w:cs="宋体"/>
                <w:color w:val="000000"/>
                <w:sz w:val="21"/>
                <w:szCs w:val="21"/>
                <w:lang w:eastAsia="zh-CN"/>
              </w:rPr>
              <w:t>等及公共区域面积：</w:t>
            </w:r>
            <w:r>
              <w:rPr>
                <w:rFonts w:hint="eastAsia" w:ascii="宋体" w:hAnsi="宋体" w:eastAsia="宋体" w:cs="宋体"/>
                <w:color w:val="000000"/>
                <w:sz w:val="21"/>
                <w:szCs w:val="21"/>
              </w:rPr>
              <w:t>12500平</w:t>
            </w:r>
            <w:r>
              <w:rPr>
                <w:rFonts w:hint="eastAsia" w:ascii="宋体" w:hAnsi="宋体" w:eastAsia="宋体" w:cs="宋体"/>
                <w:color w:val="000000"/>
                <w:sz w:val="21"/>
                <w:szCs w:val="21"/>
                <w:lang w:eastAsia="zh-CN"/>
              </w:rPr>
              <w:t>方</w:t>
            </w:r>
            <w:r>
              <w:rPr>
                <w:rFonts w:hint="eastAsia" w:ascii="宋体" w:hAnsi="宋体" w:eastAsia="宋体" w:cs="宋体"/>
                <w:color w:val="000000"/>
                <w:sz w:val="21"/>
                <w:szCs w:val="21"/>
              </w:rPr>
              <w:t>米</w:t>
            </w:r>
          </w:p>
          <w:p>
            <w:pPr>
              <w:autoSpaceDN w:val="0"/>
              <w:jc w:val="center"/>
              <w:textAlignment w:val="center"/>
              <w:rPr>
                <w:rFonts w:hint="eastAsia" w:ascii="宋体" w:hAnsi="宋体" w:eastAsia="宋体" w:cs="宋体"/>
                <w:color w:val="000000"/>
                <w:sz w:val="21"/>
                <w:szCs w:val="21"/>
                <w:lang w:eastAsia="zh-CN"/>
              </w:rPr>
            </w:pPr>
          </w:p>
        </w:tc>
        <w:tc>
          <w:tcPr>
            <w:tcW w:w="1485"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1"/>
                <w:szCs w:val="21"/>
              </w:rPr>
            </w:pPr>
          </w:p>
        </w:tc>
        <w:tc>
          <w:tcPr>
            <w:tcW w:w="1440" w:type="dxa"/>
            <w:tcBorders>
              <w:top w:val="single" w:color="auto" w:sz="4" w:space="0"/>
              <w:left w:val="single" w:color="000000" w:sz="4" w:space="0"/>
              <w:bottom w:val="single" w:color="auto" w:sz="4" w:space="0"/>
              <w:right w:val="single" w:color="000000" w:sz="4" w:space="0"/>
            </w:tcBorders>
            <w:noWrap w:val="0"/>
            <w:vAlign w:val="center"/>
          </w:tcPr>
          <w:p>
            <w:pPr>
              <w:autoSpaceDN w:val="0"/>
              <w:textAlignment w:val="center"/>
              <w:rPr>
                <w:rFonts w:ascii="宋体" w:hAnsi="宋体"/>
                <w:color w:val="FF0000"/>
                <w:sz w:val="24"/>
                <w:szCs w:val="24"/>
              </w:rPr>
            </w:pPr>
          </w:p>
        </w:tc>
      </w:tr>
      <w:tr>
        <w:tblPrEx>
          <w:tblCellMar>
            <w:top w:w="0" w:type="dxa"/>
            <w:left w:w="108" w:type="dxa"/>
            <w:bottom w:w="0" w:type="dxa"/>
            <w:right w:w="108" w:type="dxa"/>
          </w:tblCellMar>
        </w:tblPrEx>
        <w:trPr>
          <w:trHeight w:val="1235" w:hRule="atLeast"/>
        </w:trPr>
        <w:tc>
          <w:tcPr>
            <w:tcW w:w="1260" w:type="dxa"/>
            <w:tcBorders>
              <w:top w:val="single" w:color="auto"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乌鲁木齐职业大学西校区</w:t>
            </w:r>
          </w:p>
        </w:tc>
        <w:tc>
          <w:tcPr>
            <w:tcW w:w="2010" w:type="dxa"/>
            <w:gridSpan w:val="2"/>
            <w:tcBorders>
              <w:top w:val="single" w:color="auto"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教学楼、行政楼、浴室开水房、保卫处楼</w:t>
            </w:r>
            <w:r>
              <w:rPr>
                <w:rFonts w:hint="eastAsia" w:ascii="宋体" w:hAnsi="宋体" w:eastAsia="宋体" w:cs="宋体"/>
                <w:color w:val="000000"/>
                <w:sz w:val="21"/>
                <w:szCs w:val="21"/>
                <w:lang w:eastAsia="zh-CN"/>
              </w:rPr>
              <w:t>及</w:t>
            </w:r>
            <w:r>
              <w:rPr>
                <w:rFonts w:hint="eastAsia" w:ascii="宋体" w:hAnsi="宋体" w:eastAsia="宋体" w:cs="宋体"/>
                <w:color w:val="000000"/>
                <w:sz w:val="21"/>
                <w:szCs w:val="21"/>
              </w:rPr>
              <w:t>他公共区域</w:t>
            </w:r>
          </w:p>
        </w:tc>
        <w:tc>
          <w:tcPr>
            <w:tcW w:w="1425" w:type="dxa"/>
            <w:tcBorders>
              <w:top w:val="single" w:color="auto"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西校区</w:t>
            </w:r>
          </w:p>
        </w:tc>
        <w:tc>
          <w:tcPr>
            <w:tcW w:w="2445" w:type="dxa"/>
            <w:gridSpan w:val="2"/>
            <w:tcBorders>
              <w:top w:val="single" w:color="auto" w:sz="4" w:space="0"/>
              <w:left w:val="single" w:color="000000" w:sz="4" w:space="0"/>
              <w:bottom w:val="single" w:color="000000" w:sz="4" w:space="0"/>
              <w:right w:val="single" w:color="000000" w:sz="4" w:space="0"/>
            </w:tcBorders>
            <w:noWrap w:val="0"/>
            <w:vAlign w:val="center"/>
          </w:tcPr>
          <w:p>
            <w:pPr>
              <w:autoSpaceDN w:val="0"/>
              <w:jc w:val="both"/>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教学楼、行政楼</w:t>
            </w:r>
            <w:r>
              <w:rPr>
                <w:rFonts w:hint="eastAsia" w:ascii="宋体" w:hAnsi="宋体" w:eastAsia="宋体" w:cs="宋体"/>
                <w:color w:val="000000"/>
                <w:sz w:val="21"/>
                <w:szCs w:val="21"/>
                <w:lang w:eastAsia="zh-CN"/>
              </w:rPr>
              <w:t>等及公共区域面积：</w:t>
            </w:r>
            <w:r>
              <w:rPr>
                <w:rFonts w:hint="eastAsia" w:ascii="宋体" w:hAnsi="宋体" w:eastAsia="宋体" w:cs="宋体"/>
                <w:color w:val="000000"/>
                <w:sz w:val="21"/>
                <w:szCs w:val="21"/>
              </w:rPr>
              <w:t>18635平</w:t>
            </w:r>
            <w:r>
              <w:rPr>
                <w:rFonts w:hint="eastAsia" w:ascii="宋体" w:hAnsi="宋体" w:eastAsia="宋体" w:cs="宋体"/>
                <w:color w:val="000000"/>
                <w:sz w:val="21"/>
                <w:szCs w:val="21"/>
                <w:lang w:eastAsia="zh-CN"/>
              </w:rPr>
              <w:t>方</w:t>
            </w:r>
            <w:r>
              <w:rPr>
                <w:rFonts w:hint="eastAsia" w:ascii="宋体" w:hAnsi="宋体" w:eastAsia="宋体" w:cs="宋体"/>
                <w:color w:val="000000"/>
                <w:sz w:val="21"/>
                <w:szCs w:val="21"/>
              </w:rPr>
              <w:t>米</w:t>
            </w:r>
          </w:p>
        </w:tc>
        <w:tc>
          <w:tcPr>
            <w:tcW w:w="1485" w:type="dxa"/>
            <w:tcBorders>
              <w:top w:val="single" w:color="auto"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1"/>
                <w:szCs w:val="21"/>
              </w:rPr>
            </w:pPr>
          </w:p>
        </w:tc>
        <w:tc>
          <w:tcPr>
            <w:tcW w:w="1440" w:type="dxa"/>
            <w:tcBorders>
              <w:top w:val="single" w:color="auto" w:sz="4" w:space="0"/>
              <w:left w:val="single" w:color="000000" w:sz="4" w:space="0"/>
              <w:bottom w:val="single" w:color="000000" w:sz="4" w:space="0"/>
              <w:right w:val="single" w:color="000000" w:sz="4" w:space="0"/>
            </w:tcBorders>
            <w:noWrap w:val="0"/>
            <w:vAlign w:val="center"/>
          </w:tcPr>
          <w:p>
            <w:pPr>
              <w:autoSpaceDN w:val="0"/>
              <w:textAlignment w:val="center"/>
              <w:rPr>
                <w:rFonts w:ascii="宋体" w:hAnsi="宋体"/>
                <w:color w:val="FF0000"/>
                <w:sz w:val="24"/>
                <w:szCs w:val="24"/>
              </w:rPr>
            </w:pPr>
          </w:p>
        </w:tc>
      </w:tr>
      <w:tr>
        <w:tblPrEx>
          <w:tblCellMar>
            <w:top w:w="0" w:type="dxa"/>
            <w:left w:w="108" w:type="dxa"/>
            <w:bottom w:w="0" w:type="dxa"/>
            <w:right w:w="108" w:type="dxa"/>
          </w:tblCellMar>
        </w:tblPrEx>
        <w:trPr>
          <w:trHeight w:val="955" w:hRule="atLeast"/>
        </w:trPr>
        <w:tc>
          <w:tcPr>
            <w:tcW w:w="126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宿舍楼</w:t>
            </w:r>
          </w:p>
        </w:tc>
        <w:tc>
          <w:tcPr>
            <w:tcW w:w="201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乌鲁木齐职业大学四个校区的宿舍及公共区域</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校本部、青年路校区、西校区、新校区</w:t>
            </w:r>
          </w:p>
        </w:tc>
        <w:tc>
          <w:tcPr>
            <w:tcW w:w="244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1"/>
                <w:szCs w:val="21"/>
              </w:rPr>
            </w:pPr>
            <w:r>
              <w:rPr>
                <w:rFonts w:hint="eastAsia" w:ascii="宋体" w:hAnsi="宋体" w:eastAsia="宋体" w:cs="宋体"/>
                <w:b w:val="0"/>
                <w:bCs w:val="0"/>
                <w:sz w:val="21"/>
                <w:szCs w:val="21"/>
                <w:lang w:val="en-US" w:eastAsia="zh-CN"/>
              </w:rPr>
              <w:t>宿舍：2454间</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1"/>
                <w:szCs w:val="21"/>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4"/>
                <w:szCs w:val="24"/>
              </w:rPr>
            </w:pPr>
          </w:p>
        </w:tc>
      </w:tr>
      <w:tr>
        <w:tblPrEx>
          <w:tblCellMar>
            <w:top w:w="0" w:type="dxa"/>
            <w:left w:w="108" w:type="dxa"/>
            <w:bottom w:w="0" w:type="dxa"/>
            <w:right w:w="108" w:type="dxa"/>
          </w:tblCellMar>
        </w:tblPrEx>
        <w:trPr>
          <w:trHeight w:val="819" w:hRule="atLeast"/>
        </w:trPr>
        <w:tc>
          <w:tcPr>
            <w:tcW w:w="126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餐厅</w:t>
            </w:r>
          </w:p>
        </w:tc>
        <w:tc>
          <w:tcPr>
            <w:tcW w:w="201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乌鲁木齐职业大学四个校区的各食堂及公共区域</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校本部、青年路校区、西校区、新校区</w:t>
            </w:r>
          </w:p>
        </w:tc>
        <w:tc>
          <w:tcPr>
            <w:tcW w:w="244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四个校区餐厅总面积为：24790平方米，其中新校区：19400平方米，</w:t>
            </w:r>
          </w:p>
          <w:p>
            <w:pPr>
              <w:autoSpaceDN w:val="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校本部：2600平方米，</w:t>
            </w:r>
          </w:p>
          <w:p>
            <w:pPr>
              <w:autoSpaceDN w:val="0"/>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青年路校区：</w:t>
            </w:r>
            <w:r>
              <w:rPr>
                <w:rFonts w:hint="eastAsia" w:ascii="宋体" w:hAnsi="宋体" w:eastAsia="宋体" w:cs="宋体"/>
                <w:color w:val="000000"/>
                <w:sz w:val="21"/>
                <w:szCs w:val="21"/>
                <w:lang w:val="en-US" w:eastAsia="zh-CN"/>
              </w:rPr>
              <w:t>1240</w:t>
            </w:r>
            <w:r>
              <w:rPr>
                <w:rFonts w:hint="eastAsia" w:ascii="宋体" w:hAnsi="宋体" w:eastAsia="宋体" w:cs="宋体"/>
                <w:color w:val="000000"/>
                <w:sz w:val="21"/>
                <w:szCs w:val="21"/>
                <w:lang w:eastAsia="zh-CN"/>
              </w:rPr>
              <w:t>平方米，</w:t>
            </w:r>
          </w:p>
          <w:p>
            <w:pPr>
              <w:autoSpaceDN w:val="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西校区：</w:t>
            </w:r>
            <w:r>
              <w:rPr>
                <w:rFonts w:hint="eastAsia" w:ascii="宋体" w:hAnsi="宋体" w:eastAsia="宋体" w:cs="宋体"/>
                <w:color w:val="000000"/>
                <w:sz w:val="21"/>
                <w:szCs w:val="21"/>
                <w:lang w:val="en-US" w:eastAsia="zh-CN"/>
              </w:rPr>
              <w:t>1550</w:t>
            </w:r>
            <w:r>
              <w:rPr>
                <w:rFonts w:hint="eastAsia" w:ascii="宋体" w:hAnsi="宋体" w:eastAsia="宋体" w:cs="宋体"/>
                <w:color w:val="000000"/>
                <w:sz w:val="21"/>
                <w:szCs w:val="21"/>
                <w:lang w:eastAsia="zh-CN"/>
              </w:rPr>
              <w:t>平方米</w:t>
            </w:r>
          </w:p>
          <w:p>
            <w:pPr>
              <w:autoSpaceDN w:val="0"/>
              <w:jc w:val="center"/>
              <w:textAlignment w:val="center"/>
              <w:rPr>
                <w:rFonts w:hint="eastAsia" w:ascii="宋体" w:hAnsi="宋体" w:eastAsia="宋体" w:cs="宋体"/>
                <w:color w:val="000000"/>
                <w:sz w:val="21"/>
                <w:szCs w:val="21"/>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1"/>
                <w:szCs w:val="21"/>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4"/>
                <w:szCs w:val="24"/>
              </w:rPr>
            </w:pPr>
            <w:r>
              <w:rPr>
                <w:rFonts w:ascii="宋体" w:hAnsi="宋体"/>
                <w:b/>
                <w:bCs/>
                <w:color w:val="000000"/>
                <w:sz w:val="24"/>
                <w:szCs w:val="24"/>
              </w:rPr>
              <w:t xml:space="preserve">   </w:t>
            </w:r>
          </w:p>
        </w:tc>
      </w:tr>
      <w:tr>
        <w:tblPrEx>
          <w:tblCellMar>
            <w:top w:w="0" w:type="dxa"/>
            <w:left w:w="108" w:type="dxa"/>
            <w:bottom w:w="0" w:type="dxa"/>
            <w:right w:w="108" w:type="dxa"/>
          </w:tblCellMar>
        </w:tblPrEx>
        <w:trPr>
          <w:trHeight w:val="819" w:hRule="atLeast"/>
        </w:trPr>
        <w:tc>
          <w:tcPr>
            <w:tcW w:w="7140" w:type="dxa"/>
            <w:gridSpan w:val="6"/>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以上区域预计不定期临时性突发虫害的及时应急响应处理费用包含器械、药品</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1"/>
                <w:szCs w:val="21"/>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bCs/>
                <w:color w:val="000000"/>
                <w:sz w:val="24"/>
                <w:szCs w:val="24"/>
              </w:rPr>
            </w:pPr>
          </w:p>
        </w:tc>
      </w:tr>
      <w:tr>
        <w:tblPrEx>
          <w:tblCellMar>
            <w:top w:w="0" w:type="dxa"/>
            <w:left w:w="108" w:type="dxa"/>
            <w:bottom w:w="0" w:type="dxa"/>
            <w:right w:w="108" w:type="dxa"/>
          </w:tblCellMar>
        </w:tblPrEx>
        <w:trPr>
          <w:trHeight w:val="819" w:hRule="atLeast"/>
        </w:trPr>
        <w:tc>
          <w:tcPr>
            <w:tcW w:w="7140" w:type="dxa"/>
            <w:gridSpan w:val="6"/>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合计：     （元/年）</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color w:val="000000"/>
                <w:sz w:val="21"/>
                <w:szCs w:val="21"/>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bCs/>
                <w:color w:val="000000"/>
                <w:sz w:val="24"/>
                <w:szCs w:val="24"/>
              </w:rPr>
            </w:pPr>
          </w:p>
        </w:tc>
      </w:tr>
    </w:tbl>
    <w:p>
      <w:pPr>
        <w:numPr>
          <w:ilvl w:val="0"/>
          <w:numId w:val="0"/>
        </w:numPr>
        <w:ind w:leftChars="0"/>
        <w:jc w:val="both"/>
        <w:rPr>
          <w:rFonts w:hint="eastAsia"/>
          <w:b w:val="0"/>
          <w:bCs w:val="0"/>
          <w:sz w:val="32"/>
          <w:szCs w:val="32"/>
          <w:lang w:val="en-US" w:eastAsia="zh-CN"/>
        </w:rPr>
      </w:pPr>
    </w:p>
    <w:p>
      <w:pPr>
        <w:spacing w:line="400" w:lineRule="exact"/>
        <w:ind w:left="714" w:leftChars="1" w:hanging="712" w:hangingChars="297"/>
        <w:rPr>
          <w:rFonts w:hint="eastAsia" w:hAnsi="宋体"/>
          <w:bCs/>
          <w:color w:val="000000"/>
          <w:sz w:val="24"/>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9D1DAA"/>
    <w:multiLevelType w:val="singleLevel"/>
    <w:tmpl w:val="8E9D1DAA"/>
    <w:lvl w:ilvl="0" w:tentative="0">
      <w:start w:val="1"/>
      <w:numFmt w:val="chineseCounting"/>
      <w:suff w:val="nothing"/>
      <w:lvlText w:val="%1、"/>
      <w:lvlJc w:val="left"/>
      <w:rPr>
        <w:rFonts w:hint="eastAsia"/>
      </w:rPr>
    </w:lvl>
  </w:abstractNum>
  <w:abstractNum w:abstractNumId="1">
    <w:nsid w:val="C583E1AA"/>
    <w:multiLevelType w:val="singleLevel"/>
    <w:tmpl w:val="C583E1AA"/>
    <w:lvl w:ilvl="0" w:tentative="0">
      <w:start w:val="1"/>
      <w:numFmt w:val="decimal"/>
      <w:suff w:val="nothing"/>
      <w:lvlText w:val="%1、"/>
      <w:lvlJc w:val="left"/>
    </w:lvl>
  </w:abstractNum>
  <w:abstractNum w:abstractNumId="2">
    <w:nsid w:val="12255202"/>
    <w:multiLevelType w:val="multilevel"/>
    <w:tmpl w:val="12255202"/>
    <w:lvl w:ilvl="0" w:tentative="0">
      <w:start w:val="1"/>
      <w:numFmt w:val="chineseCountingThousand"/>
      <w:lvlText w:val="%1、"/>
      <w:lvlJc w:val="left"/>
      <w:pPr>
        <w:tabs>
          <w:tab w:val="left" w:pos="420"/>
        </w:tabs>
        <w:ind w:left="420" w:hanging="420"/>
      </w:pPr>
      <w:rPr>
        <w:b/>
        <w:color w:val="000000"/>
      </w:rPr>
    </w:lvl>
    <w:lvl w:ilvl="1" w:tentative="0">
      <w:start w:val="1"/>
      <w:numFmt w:val="decimal"/>
      <w:lvlText w:val="%2."/>
      <w:lvlJc w:val="left"/>
      <w:pPr>
        <w:tabs>
          <w:tab w:val="left" w:pos="840"/>
        </w:tabs>
        <w:ind w:left="840" w:hanging="420"/>
      </w:pPr>
      <w:rPr>
        <w:b/>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kYjRlOGYxNzEwZDJiMDgzMTQyYzVlOGMzMjcyNjgifQ=="/>
  </w:docVars>
  <w:rsids>
    <w:rsidRoot w:val="3C446C22"/>
    <w:rsid w:val="1B69364D"/>
    <w:rsid w:val="3C446C22"/>
    <w:rsid w:val="553A7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_Style 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
    <w:name w:val="List Paragraph"/>
    <w:basedOn w:val="1"/>
    <w:qFormat/>
    <w:uiPriority w:val="0"/>
    <w:pPr>
      <w:ind w:firstLine="420" w:firstLineChars="200"/>
    </w:pPr>
    <w:rPr>
      <w:rFonts w:ascii="Cambria" w:hAnsi="Cambria"/>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1970</Words>
  <Characters>2033</Characters>
  <Lines>0</Lines>
  <Paragraphs>0</Paragraphs>
  <TotalTime>5</TotalTime>
  <ScaleCrop>false</ScaleCrop>
  <LinksUpToDate>false</LinksUpToDate>
  <CharactersWithSpaces>2049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2022-12-09T08:51:00Z</dcterms:created>
  <dc:creator>Gigabyte</dc:creator>
  <cp:lastModifiedBy>lzh</cp:lastModifiedBy>
  <dcterms:modified xsi:type="dcterms:W3CDTF">2022-12-10T04:05:42Z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51CA6C84C5F249A59301C9CE059339A5</vt:lpwstr>
  </property>
</Properties>
</file>