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附件</w:t>
      </w:r>
    </w:p>
    <w:p>
      <w:pPr>
        <w:pStyle w:val="7"/>
        <w:pageBreakBefore w:val="0"/>
        <w:numPr>
          <w:ilvl w:val="0"/>
          <w:numId w:val="0"/>
        </w:numPr>
        <w:kinsoku/>
        <w:wordWrap/>
        <w:overflowPunct/>
        <w:topLinePunct w:val="0"/>
        <w:autoSpaceDE/>
        <w:autoSpaceDN/>
        <w:bidi w:val="0"/>
        <w:adjustRightInd/>
        <w:snapToGrid/>
        <w:spacing w:line="360" w:lineRule="auto"/>
        <w:ind w:leftChars="196"/>
        <w:textAlignment w:val="auto"/>
        <w:rPr>
          <w:rFonts w:hint="eastAsia" w:ascii="宋体" w:hAnsi="宋体" w:eastAsia="宋体" w:cs="宋体"/>
          <w:b/>
          <w:bCs/>
          <w:color w:val="000000"/>
          <w:kern w:val="0"/>
          <w:sz w:val="24"/>
          <w:szCs w:val="24"/>
          <w:lang w:val="en-US" w:eastAsia="zh-CN" w:bidi="ar-SA"/>
        </w:rPr>
      </w:pPr>
    </w:p>
    <w:p>
      <w:pPr>
        <w:pStyle w:val="7"/>
        <w:pageBreakBefore w:val="0"/>
        <w:numPr>
          <w:ilvl w:val="0"/>
          <w:numId w:val="0"/>
        </w:numPr>
        <w:kinsoku/>
        <w:wordWrap/>
        <w:overflowPunct/>
        <w:topLinePunct w:val="0"/>
        <w:autoSpaceDE/>
        <w:autoSpaceDN/>
        <w:bidi w:val="0"/>
        <w:adjustRightInd/>
        <w:snapToGrid/>
        <w:spacing w:line="360" w:lineRule="auto"/>
        <w:ind w:leftChars="196"/>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一、服务要求</w:t>
      </w:r>
    </w:p>
    <w:p>
      <w:pPr>
        <w:pStyle w:val="11"/>
        <w:keepNext w:val="0"/>
        <w:keepLines w:val="0"/>
        <w:pageBreakBefore w:val="0"/>
        <w:numPr>
          <w:ilvl w:val="0"/>
          <w:numId w:val="0"/>
        </w:numPr>
        <w:kinsoku/>
        <w:wordWrap/>
        <w:topLinePunct w:val="0"/>
        <w:autoSpaceDE/>
        <w:autoSpaceDN/>
        <w:bidi w:val="0"/>
        <w:adjustRightInd/>
        <w:spacing w:line="360" w:lineRule="auto"/>
        <w:ind w:leftChars="0"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（一）、防治范围</w:t>
      </w:r>
    </w:p>
    <w:p>
      <w:pPr>
        <w:pStyle w:val="11"/>
        <w:keepNext w:val="0"/>
        <w:keepLines w:val="0"/>
        <w:pageBreakBefore w:val="0"/>
        <w:numPr>
          <w:ilvl w:val="0"/>
          <w:numId w:val="0"/>
        </w:numPr>
        <w:kinsoku/>
        <w:wordWrap/>
        <w:topLinePunct w:val="0"/>
        <w:autoSpaceDE/>
        <w:autoSpaceDN/>
        <w:bidi w:val="0"/>
        <w:adjustRightInd/>
        <w:spacing w:line="360" w:lineRule="auto"/>
        <w:ind w:leftChars="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灭</w:t>
      </w:r>
      <w:r>
        <w:rPr>
          <w:rFonts w:hint="eastAsia" w:ascii="宋体" w:hAnsi="宋体" w:eastAsia="宋体" w:cs="宋体"/>
          <w:color w:val="000000"/>
          <w:kern w:val="0"/>
          <w:sz w:val="24"/>
          <w:szCs w:val="24"/>
          <w:lang w:val="en-US" w:eastAsia="zh-CN" w:bidi="ar-SA"/>
        </w:rPr>
        <w:t>“四害”</w:t>
      </w:r>
      <w:r>
        <w:rPr>
          <w:rFonts w:hint="eastAsia" w:ascii="宋体" w:hAnsi="宋体" w:cs="宋体"/>
          <w:color w:val="000000"/>
          <w:kern w:val="0"/>
          <w:sz w:val="24"/>
          <w:szCs w:val="24"/>
          <w:lang w:val="en-US" w:eastAsia="zh-CN" w:bidi="ar-SA"/>
        </w:rPr>
        <w:t>消杀服务范围：</w:t>
      </w:r>
      <w:r>
        <w:rPr>
          <w:rFonts w:hint="eastAsia" w:ascii="宋体" w:hAnsi="宋体" w:eastAsia="宋体" w:cs="宋体"/>
          <w:color w:val="000000"/>
          <w:kern w:val="0"/>
          <w:sz w:val="24"/>
          <w:szCs w:val="24"/>
          <w:lang w:val="en-US" w:eastAsia="zh-CN" w:bidi="ar-SA"/>
        </w:rPr>
        <w:t>四川大学三校区（望江、华西、江安校区）科研楼宇、行政办公楼楼宇、学生宿舍楼宇、食堂、青年教师公寓楼宇、校园绿地、道路、水域等除家属区附属医院以外的楼宇。</w:t>
      </w:r>
    </w:p>
    <w:p>
      <w:pPr>
        <w:pStyle w:val="11"/>
        <w:keepNext w:val="0"/>
        <w:keepLines w:val="0"/>
        <w:pageBreakBefore w:val="0"/>
        <w:numPr>
          <w:ilvl w:val="0"/>
          <w:numId w:val="0"/>
        </w:numPr>
        <w:kinsoku/>
        <w:wordWrap/>
        <w:topLinePunct w:val="0"/>
        <w:autoSpaceDE/>
        <w:autoSpaceDN/>
        <w:bidi w:val="0"/>
        <w:adjustRightInd/>
        <w:spacing w:line="360" w:lineRule="auto"/>
        <w:ind w:leftChars="0" w:firstLine="480" w:firstLineChars="200"/>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r>
        <w:rPr>
          <w:rFonts w:hint="eastAsia" w:ascii="宋体" w:hAnsi="宋体" w:cs="宋体"/>
          <w:color w:val="000000"/>
          <w:kern w:val="0"/>
          <w:sz w:val="24"/>
          <w:szCs w:val="24"/>
          <w:lang w:val="en-US" w:eastAsia="zh-CN" w:bidi="ar-SA"/>
        </w:rPr>
        <w:t>白蚁消杀服务范围：四川大学三校区</w:t>
      </w:r>
      <w:r>
        <w:rPr>
          <w:rFonts w:hint="eastAsia" w:ascii="宋体" w:hAnsi="宋体" w:eastAsia="宋体" w:cs="宋体"/>
          <w:color w:val="000000"/>
          <w:kern w:val="0"/>
          <w:sz w:val="24"/>
          <w:szCs w:val="24"/>
          <w:lang w:val="en-US" w:eastAsia="zh-CN" w:bidi="ar-SA"/>
        </w:rPr>
        <w:t>（望江、华西、江安校区）发现有白蚁危害的公用房进行白蚁防治及灭杀。</w:t>
      </w:r>
    </w:p>
    <w:p>
      <w:pPr>
        <w:keepNext w:val="0"/>
        <w:keepLines w:val="0"/>
        <w:pageBreakBefore w:val="0"/>
        <w:kinsoku/>
        <w:wordWrap/>
        <w:topLinePunct w:val="0"/>
        <w:autoSpaceDE/>
        <w:autoSpaceDN/>
        <w:bidi w:val="0"/>
        <w:adjustRightInd/>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（二）、 防治技术要求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1.1服务人员要求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必须统一着装、持证上岗、专业消杀、专业防治、安全操作。</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 服务操作流程</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1.2.1 每月底制定下月服务计划安排表，报我校相关部门确认。内容包括：确定防治消毒时间、范围、服务人员安排、消杀药品和设备等事项。若因天气原因或特殊情况需改变消杀日期，成交人需及时与我校相关部门人员协调。</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1.2.2 服务人员到达我校时，必须与我校相关部门人员联系，做好签到工作，然后整理器具、药品、换工作服、戴工作帽、佩戴工作证件；由我校相关部门人员带领到消杀区域进行工作。</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1.2.3 服务操作工作完成后，由被服务的单位作出书面评价签字确认。</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1.2.4 服务工作结束后，成交人需在三日内做好回访工作；回访工作包括现场质检或电话回访，如遇被服务单位不满意情况，应及时派人调査情况并做好回现场补充消杀灭工作。</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1.2.5、工作范围：四川大学三校区科研楼宇、行政办公楼楼宇、学生宿舍楼宇、食堂楼宇、青年教师公寓楼宇、校园绿地、道路、水域等除家属区附属医院以外的347栋楼宇。</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1.2.6、乙方根据甲方具体的建筑、管理及经营情况，提出预防有害生物侵袭和危害的相关方案和建议，供甲方参考。</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1.2.7、乙方有害生物防治作业，在实施过程中，有义务消除服务过程中的安全隐患，不能影响甲方的教职工日常工作和师生的生活，不能因为灭四害和消杀原因出现甲方人员及进入校园的第三方的财产损失，以及造成生命危险。</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1.2.8、乙方人员进入甲方校园前必须提前分别对应服务管理监督部门爱卫会联系，确认实施有害生物消杀方案，乙方达到现场时必须向现场的管理方出示工作证，穿工作服、戴工作帽，佩证上岗、明确任务、文明作业，施工完毕要填写（施工记录单），作为当次服务的凭证，乙方的消杀药品必须是安全环保的卫生杀虫剂，按照成都市除四害标准配备。</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1.2.9如因乙方操作不当或使用消杀药品不当，由乙方独立承担全部责任。</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 灭“四害”要求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1.3.1 必须使用符合国家规定内合格的鼠药。</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1.3.2 必须做好投放鼠药的地点及各种捕鼠器具的记录，七至十天巡査灭杀效果，未被吃完的鼠药应由灭鼠公司统一回收并进行专业处理。发现的死鼠，需做好登记并进行消毒，死鼠由成交人带出校外进行专业掩埋处理。</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1.3.3 教学楼科硏行政办公区及公共区域，垃圾场站，厕所周边、绿地、水域，每月全范围投放鼠药。</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1.3.4 成交人需定期检查和防治区域内的鼠洞和老鼠栖息地。</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1.3.5 成交人需定期检査防治区域内的各种防鼠设施；包括门、窗、铁丝网、洞、缝等。</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1.3.6 成交人需定期检査、清理滋生或吸引老鼠的各种条件，包括食源、水源等。</w:t>
      </w:r>
    </w:p>
    <w:p>
      <w:pPr>
        <w:pStyle w:val="2"/>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1.4白蚁消杀要求</w:t>
      </w:r>
    </w:p>
    <w:p>
      <w:pPr>
        <w:pStyle w:val="11"/>
        <w:widowControl/>
        <w:numPr>
          <w:ilvl w:val="0"/>
          <w:numId w:val="0"/>
        </w:numPr>
        <w:spacing w:before="150" w:line="504" w:lineRule="atLeast"/>
        <w:ind w:left="480" w:leftChars="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1.4.1</w:t>
      </w:r>
      <w:r>
        <w:rPr>
          <w:rFonts w:hint="eastAsia" w:ascii="宋体" w:hAnsi="宋体" w:eastAsia="宋体" w:cs="宋体"/>
          <w:color w:val="000000"/>
          <w:kern w:val="0"/>
          <w:sz w:val="24"/>
          <w:szCs w:val="24"/>
          <w:lang w:val="en-US" w:eastAsia="zh-CN" w:bidi="ar-SA"/>
        </w:rPr>
        <w:t>乙方保障在年度内消灭治理范围的白蚁。在白蚁集中爆发时间段，应确保白蚁治理的及时性，在接到甲方通知后2小时内进场处理，并在两日内完成防治工作。在其它时间内如发现治理范围内出现白蚁，乙方承若在接到甲方电话通知后8小时内赶到现场进行防治。</w:t>
      </w:r>
    </w:p>
    <w:p>
      <w:pPr>
        <w:pStyle w:val="11"/>
        <w:widowControl/>
        <w:numPr>
          <w:ilvl w:val="0"/>
          <w:numId w:val="0"/>
        </w:numPr>
        <w:spacing w:before="150" w:line="504" w:lineRule="atLeast"/>
        <w:ind w:left="480" w:leftChars="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1.4.2</w:t>
      </w:r>
      <w:r>
        <w:rPr>
          <w:rFonts w:hint="eastAsia" w:ascii="宋体" w:hAnsi="宋体" w:eastAsia="宋体" w:cs="宋体"/>
          <w:color w:val="000000"/>
          <w:kern w:val="0"/>
          <w:sz w:val="24"/>
          <w:szCs w:val="24"/>
          <w:lang w:val="en-US" w:eastAsia="zh-CN" w:bidi="ar-SA"/>
        </w:rPr>
        <w:t>乙方防治白蚁所用药物必须符合国家卫生防疫公共安全用药有关规定，乙方对防治过程中的人身安全负责。</w:t>
      </w:r>
    </w:p>
    <w:p>
      <w:pPr>
        <w:pStyle w:val="11"/>
        <w:widowControl/>
        <w:numPr>
          <w:ilvl w:val="0"/>
          <w:numId w:val="0"/>
        </w:numPr>
        <w:spacing w:before="150" w:line="504" w:lineRule="atLeast"/>
        <w:ind w:left="480" w:leftChars="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1.4.3</w:t>
      </w:r>
      <w:r>
        <w:rPr>
          <w:rFonts w:hint="eastAsia" w:ascii="宋体" w:hAnsi="宋体" w:eastAsia="宋体" w:cs="宋体"/>
          <w:color w:val="000000"/>
          <w:kern w:val="0"/>
          <w:sz w:val="24"/>
          <w:szCs w:val="24"/>
          <w:lang w:val="en-US" w:eastAsia="zh-CN" w:bidi="ar-SA"/>
        </w:rPr>
        <w:t>具体防治方法为：采用吡虫啉乳油进行处理白蚁。用药稀释浓度每瓶（250克）为8公斤左右，对门框前后项部及两侧打孔（口径为3MM），注药二次以上，打孔密度应确保药水全面覆盖为准。对包窗墙裙、木地板，根据实际情况进行打孔喷浸处理。由于白蚁危害隐蔽、传播、蔓延的路劲多，通常从地皮外围侵入建筑物，必须对每幢灭杀白蚁的建筑物周边基础进行隔离处理。隔离处理采用电钻在每隔一米打孔、注药进行隔离，防治外围白蚁侵入。注药分两步进行，第一次用（吡虫啉乳油）注入，第二次用（灭蚁灵喷入）注入。</w:t>
      </w:r>
    </w:p>
    <w:p>
      <w:pPr>
        <w:pStyle w:val="11"/>
        <w:widowControl/>
        <w:numPr>
          <w:ilvl w:val="0"/>
          <w:numId w:val="0"/>
        </w:numPr>
        <w:spacing w:before="150" w:line="504" w:lineRule="atLeast"/>
        <w:ind w:left="480" w:leftChars="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1.4.4</w:t>
      </w:r>
      <w:r>
        <w:rPr>
          <w:rFonts w:hint="eastAsia" w:ascii="宋体" w:hAnsi="宋体" w:eastAsia="宋体" w:cs="宋体"/>
          <w:color w:val="000000"/>
          <w:kern w:val="0"/>
          <w:sz w:val="24"/>
          <w:szCs w:val="24"/>
          <w:lang w:val="en-US" w:eastAsia="zh-CN" w:bidi="ar-SA"/>
        </w:rPr>
        <w:t>乙方在甲方各校区上门服务时应做到文明礼貌，言语得体，虚心接受大家的意见和建议。</w:t>
      </w:r>
    </w:p>
    <w:p>
      <w:pPr>
        <w:pStyle w:val="2"/>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整治费用采用包干方</w:t>
      </w:r>
      <w:r>
        <w:rPr>
          <w:rFonts w:hint="eastAsia" w:ascii="微软雅黑" w:hAnsi="微软雅黑" w:eastAsia="微软雅黑" w:cs="宋体"/>
          <w:color w:val="3A3A3A"/>
          <w:kern w:val="0"/>
          <w:sz w:val="26"/>
          <w:szCs w:val="26"/>
        </w:rPr>
        <w:t>式，在整治期内发现白蚁及时整治。</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 xml:space="preserve"> 消毒预防工作</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.1 凡室内的消毒药物要求应达到高效、低毒、无色、无味。</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.2 消毒药物，必须按照国家相关规定用药。</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6</w:t>
      </w:r>
      <w:r>
        <w:rPr>
          <w:rFonts w:hint="eastAsia" w:ascii="宋体" w:hAnsi="宋体" w:eastAsia="宋体" w:cs="宋体"/>
          <w:color w:val="000000"/>
          <w:kern w:val="0"/>
          <w:sz w:val="24"/>
          <w:szCs w:val="24"/>
          <w:lang w:val="en-US" w:eastAsia="zh-CN" w:bidi="ar-SA"/>
        </w:rPr>
        <w:t>除"四害"</w:t>
      </w:r>
      <w:r>
        <w:rPr>
          <w:rFonts w:hint="eastAsia" w:ascii="宋体" w:hAnsi="宋体" w:cs="宋体"/>
          <w:color w:val="000000"/>
          <w:kern w:val="0"/>
          <w:sz w:val="24"/>
          <w:szCs w:val="24"/>
          <w:lang w:val="en-US" w:eastAsia="zh-CN" w:bidi="ar-SA"/>
        </w:rPr>
        <w:t>及白蚁消杀</w:t>
      </w:r>
      <w:r>
        <w:rPr>
          <w:rFonts w:hint="eastAsia" w:ascii="宋体" w:hAnsi="宋体" w:eastAsia="宋体" w:cs="宋体"/>
          <w:color w:val="000000"/>
          <w:kern w:val="0"/>
          <w:sz w:val="24"/>
          <w:szCs w:val="24"/>
          <w:lang w:val="en-US" w:eastAsia="zh-CN" w:bidi="ar-SA"/>
        </w:rPr>
        <w:t>的安全责任</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由成交人全面负责，并提供24小时后勤保障，接紧急情况通知的必须在半小时内赶到并进行处置；如接到一般情况通知的不能超过24小时；</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如遇会议及各种活动或遇突发性情况时，需按学校要求实施消杀灭。</w:t>
      </w: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2.食堂灭"四害"及消杀要求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2.1中标人及从业人员资质及其他要求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2.1.1 中标人必须具有相关的独立法人资格。</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 必须具有由国家劳动和社会保障部统一颁发的有害生物防治证书，从业员必须有从事害生物防治工作的上岗证。</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2.1.3 使用药品要求：所使用的一切药物药剂首先是在国家药检部门登记注册，按照中华人民共和国国家标准《农药安全使用标准》、《农药合理使用准则》和农牧渔业部、卫生部文件《农药安全使用规定》，经相关部门许可的药剂，同时符合国际通行惯例，并根据不同的环境和虫鼠害情况，选用不同的药剂和施药方法，以速效和长效药剂相结合，以达到优良的防制效果。符合世界卫生组织（WHO）和国家卫生部、农林等部门的规定，保证对人畜无伤害对环境无污染。</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2.1.4 服务期间因灭四害、消杀药物引起的任何责任事故由中标人承担全部责任。</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2.1.5 施工组织要求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(1)因工作需要的中标人车辆必须严格遵守学校有关管理规定,如有违反，发生交通事故，由中标人承担全部经济责任和法律责任。</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(2)中标人技术人员到达学校时，先与学校相关负责的同志沟通协调，然后整理器具、药品，换工作服、戴工作帽、配戴工作证，由相关人员领到消杀区域进行消杀工作。</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(3)服务操作工作完成后，由食堂相关负责人验收并在《客户服务记录表》签字备案。</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(4)服务工作结束后，中标人服务质检人员将在三个工作曰内通过现场质检或电话回访等方式对服务工作进行评估，并同时征询学校对服务工作的意见及建议，以帮助不断提服务质量。</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2.1.6 灭鼠防治工作流程</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灭鼠工作分首期灭鼠和例行灭鼠工作^灭鼠工作分8个步骤来完成。</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(1)现场勘査，画出地形简图。</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(2)制定布施方案，并在地形图上标明工作点及简要说明。</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现场全面布置各种捕鼠器具，选用高效环保的慢性灭鼠药物（国家推荐第二代抗凝血灭鼠剂，溴敌隆等）进行灭杀，再配以鼠夹、粘鼠胶、鼠笼、电子灭鼠器等物理防治措施予以防治，以求在第一阶段（2个月）达到最佳灭鼠率。</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（4）三天内巡査灭鼠效果。</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（5）根据巡査情况制定加强（薄弱环节的）方案。</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（6）实施加强方案。</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（7）事后再次巡査灭鼠效果，直到确认效果即未发现鼠迹。</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（8）灭鼠巩固措施。</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食堂有害区域分成室内防治区和户外诱杀区。</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A、室内防治区以器具法扑杀：只能以扑鼠笼，粘鼠板等灭杀已进入室内的个体老鼠。</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B、食堂外围周边安装灭鼠毒饵盒群；鼠患区间隔40-50米布放一个，安装毒饵盒的作用：可以保证高效诱饵剂拌用高效低毒的杀鼠剂的新鲜和适口性，能达到较好的灭鼠效果；灭鼠毒饵盒，确保只针对老鼠，能有效保护其它动物，有利于环境保护，同时可以有效避免人员误食，对保证安全具有非常重要的作用。</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（9）食堂外围绿化地、道路、垃圾处理站、下水道：通过封堵鼠洞投放毒饵灭杀。</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（10）每月3次灭杀。</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（11）未被吃完的鼠药应由灭鼠公司统一回收并进行专业处理。发现的死鼠，需做好登记并进行消毒，死鼠由成交人带出校外进行专业掩埋处理。</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2.1.7 蟑螂防治工作流程</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（1）垃圾堆放区重点区域进行滞留喷洒，投放灭蟑饵剂或灭蟑胶饵等生物制剂进行灭杀。</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（2）建筑物外围：每个点投放灭蟑制剂进行灭杀。</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（3）办公区域、仓库、库房：投放灭蟑饵剂或灭蟑胶饵等生物制剂、悬挂粘蟑板进行灭杀。</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为保证灭蟑质量，上述区域每月进行三次灭杀。</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（4）服务效果要求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A、消杀服务效果保证各级检査合格、达标。若达不到要求；我方有权终止服务合同。</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B、除常规服务外，还将定期监测和评估学校所属区域内外环境的鼠虫害状况。（监测、评估工作在每月25-30曰实施，并交学校保存确认）</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C、根据要求，实时处理鼠、虫害突发事件。成交人接到单位反映有鼠、虫害后8小时内到达学校，24小时之内处理完毕，48小时之内提出调査报告，72小时内提交改进措施。</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2.1.8 灭蚊蝇工作流程</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（1）确定食堂周边的灭蚊蝇区域，重点是周边蚊蝇的滋生环境（垃圾站、臭水沟、下水道、草丛等）。</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（2）选用低毒、高效的杀虫剂。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（3）在每年的4-10月种每周开展一次灭蚊蝇工作，如果天气有异常变化，可适当提前或推后。</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（4）指导食堂内的灭蚊蝇工作。</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（5）三天内巡查灭蚊蝇效果。</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（6）根据巡査情况制定加强（薄弱环节的）方案。</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（7）实施加强方案。</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（8）再次确认灭蚊蝇效果</w:t>
      </w:r>
    </w:p>
    <w:p>
      <w:pPr>
        <w:keepNext w:val="0"/>
        <w:keepLines w:val="0"/>
        <w:pageBreakBefore w:val="0"/>
        <w:kinsoku/>
        <w:wordWrap/>
        <w:topLinePunct w:val="0"/>
        <w:autoSpaceDE/>
        <w:autoSpaceDN/>
        <w:bidi w:val="0"/>
        <w:adjustRightInd/>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（三）、服务频率</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服务频率</w:t>
      </w:r>
    </w:p>
    <w:tbl>
      <w:tblPr>
        <w:tblStyle w:val="9"/>
        <w:tblW w:w="0" w:type="auto"/>
        <w:tblInd w:w="-34" w:type="dxa"/>
        <w:tblLayout w:type="fixed"/>
        <w:tblCellMar>
          <w:top w:w="0" w:type="dxa"/>
          <w:left w:w="0" w:type="dxa"/>
          <w:bottom w:w="0" w:type="dxa"/>
          <w:right w:w="0" w:type="dxa"/>
        </w:tblCellMar>
      </w:tblPr>
      <w:tblGrid>
        <w:gridCol w:w="1666"/>
        <w:gridCol w:w="1470"/>
        <w:gridCol w:w="6929"/>
      </w:tblGrid>
      <w:tr>
        <w:tblPrEx>
          <w:tblCellMar>
            <w:top w:w="0" w:type="dxa"/>
            <w:left w:w="0" w:type="dxa"/>
            <w:bottom w:w="0" w:type="dxa"/>
            <w:right w:w="0" w:type="dxa"/>
          </w:tblCellMar>
        </w:tblPrEx>
        <w:trPr>
          <w:trHeight w:val="333" w:hRule="atLeast"/>
        </w:trPr>
        <w:tc>
          <w:tcPr>
            <w:tcW w:w="1666"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位置区域</w:t>
            </w:r>
          </w:p>
        </w:tc>
        <w:tc>
          <w:tcPr>
            <w:tcW w:w="14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对象</w:t>
            </w:r>
          </w:p>
        </w:tc>
        <w:tc>
          <w:tcPr>
            <w:tcW w:w="69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服务频率</w:t>
            </w:r>
          </w:p>
        </w:tc>
      </w:tr>
      <w:tr>
        <w:tblPrEx>
          <w:tblCellMar>
            <w:top w:w="0" w:type="dxa"/>
            <w:left w:w="0" w:type="dxa"/>
            <w:bottom w:w="0" w:type="dxa"/>
            <w:right w:w="0" w:type="dxa"/>
          </w:tblCellMar>
        </w:tblPrEx>
        <w:trPr>
          <w:trHeight w:val="347" w:hRule="atLeast"/>
        </w:trPr>
        <w:tc>
          <w:tcPr>
            <w:tcW w:w="1666" w:type="dxa"/>
            <w:vMerge w:val="restart"/>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教学科研行政办公区域及其他相关区域</w:t>
            </w:r>
          </w:p>
        </w:tc>
        <w:tc>
          <w:tcPr>
            <w:tcW w:w="14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鼠、蟑</w:t>
            </w:r>
          </w:p>
        </w:tc>
        <w:tc>
          <w:tcPr>
            <w:tcW w:w="69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每月一次，其中4、5月9、10月春秋两季每月2次，寒暑假视情况而定</w:t>
            </w:r>
          </w:p>
        </w:tc>
      </w:tr>
      <w:tr>
        <w:tblPrEx>
          <w:tblCellMar>
            <w:top w:w="0" w:type="dxa"/>
            <w:left w:w="0" w:type="dxa"/>
            <w:bottom w:w="0" w:type="dxa"/>
            <w:right w:w="0" w:type="dxa"/>
          </w:tblCellMar>
        </w:tblPrEx>
        <w:trPr>
          <w:trHeight w:val="584" w:hRule="atLeast"/>
        </w:trPr>
        <w:tc>
          <w:tcPr>
            <w:tcW w:w="1666" w:type="dxa"/>
            <w:vMerge w:val="continue"/>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4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蚊蝇、消毒</w:t>
            </w:r>
          </w:p>
        </w:tc>
        <w:tc>
          <w:tcPr>
            <w:tcW w:w="69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每年4—10月每月1次，其中夏季的5、6、7月每月2次，春夏秋每季每周循环消杀，每半年一次消毒</w:t>
            </w:r>
          </w:p>
        </w:tc>
      </w:tr>
      <w:tr>
        <w:tblPrEx>
          <w:tblCellMar>
            <w:top w:w="0" w:type="dxa"/>
            <w:left w:w="0" w:type="dxa"/>
            <w:bottom w:w="0" w:type="dxa"/>
            <w:right w:w="0" w:type="dxa"/>
          </w:tblCellMar>
        </w:tblPrEx>
        <w:trPr>
          <w:trHeight w:val="634" w:hRule="atLeast"/>
        </w:trPr>
        <w:tc>
          <w:tcPr>
            <w:tcW w:w="1666" w:type="dxa"/>
            <w:vMerge w:val="restart"/>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学生宿舍、青年教师公寓</w:t>
            </w:r>
          </w:p>
        </w:tc>
        <w:tc>
          <w:tcPr>
            <w:tcW w:w="14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鼠、蟑</w:t>
            </w:r>
          </w:p>
        </w:tc>
        <w:tc>
          <w:tcPr>
            <w:tcW w:w="69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每月一次，其中4、5月9、10月春秋两季每月2次，寒暑假视情况而定</w:t>
            </w:r>
          </w:p>
        </w:tc>
      </w:tr>
      <w:tr>
        <w:tblPrEx>
          <w:tblCellMar>
            <w:top w:w="0" w:type="dxa"/>
            <w:left w:w="0" w:type="dxa"/>
            <w:bottom w:w="0" w:type="dxa"/>
            <w:right w:w="0" w:type="dxa"/>
          </w:tblCellMar>
        </w:tblPrEx>
        <w:trPr>
          <w:trHeight w:val="217" w:hRule="atLeast"/>
        </w:trPr>
        <w:tc>
          <w:tcPr>
            <w:tcW w:w="1666" w:type="dxa"/>
            <w:vMerge w:val="continue"/>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4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蚊蝇、消毒</w:t>
            </w:r>
          </w:p>
        </w:tc>
        <w:tc>
          <w:tcPr>
            <w:tcW w:w="69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每年4—10月每月1次，其中夏季的5、6、7月每月2次，每半年一次消毒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66" w:type="dxa"/>
            <w:vMerge w:val="restart"/>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餐厅、食堂</w:t>
            </w:r>
          </w:p>
        </w:tc>
        <w:tc>
          <w:tcPr>
            <w:tcW w:w="1470"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鼠、蟑</w:t>
            </w:r>
          </w:p>
        </w:tc>
        <w:tc>
          <w:tcPr>
            <w:tcW w:w="6929"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每月2次，其中4、5月9、10月春秋两季每月3次，寒暑假视情况而定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66" w:type="dxa"/>
            <w:vMerge w:val="continue"/>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470"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蚊蝇、消毒</w:t>
            </w:r>
          </w:p>
        </w:tc>
        <w:tc>
          <w:tcPr>
            <w:tcW w:w="6929"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每年5---10月，每月2次，寒暑假视情况而定，每半年一次消毒</w:t>
            </w:r>
          </w:p>
        </w:tc>
      </w:tr>
      <w:tr>
        <w:tblPrEx>
          <w:tblCellMar>
            <w:top w:w="0" w:type="dxa"/>
            <w:left w:w="0" w:type="dxa"/>
            <w:bottom w:w="0" w:type="dxa"/>
            <w:right w:w="0" w:type="dxa"/>
          </w:tblCellMar>
        </w:tblPrEx>
        <w:trPr>
          <w:trHeight w:val="307" w:hRule="atLeast"/>
        </w:trPr>
        <w:tc>
          <w:tcPr>
            <w:tcW w:w="1666" w:type="dxa"/>
            <w:vMerge w:val="restart"/>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校园绿地、道路、水域等公共区域</w:t>
            </w:r>
          </w:p>
        </w:tc>
        <w:tc>
          <w:tcPr>
            <w:tcW w:w="14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鼠、蟑</w:t>
            </w:r>
          </w:p>
        </w:tc>
        <w:tc>
          <w:tcPr>
            <w:tcW w:w="69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每月一次，其中4、5月9、10月春秋两季每月2次，寒暑假视情况而定</w:t>
            </w:r>
          </w:p>
        </w:tc>
      </w:tr>
      <w:tr>
        <w:tblPrEx>
          <w:tblCellMar>
            <w:top w:w="0" w:type="dxa"/>
            <w:left w:w="0" w:type="dxa"/>
            <w:bottom w:w="0" w:type="dxa"/>
            <w:right w:w="0" w:type="dxa"/>
          </w:tblCellMar>
        </w:tblPrEx>
        <w:trPr>
          <w:trHeight w:val="286" w:hRule="atLeast"/>
        </w:trPr>
        <w:tc>
          <w:tcPr>
            <w:tcW w:w="1666" w:type="dxa"/>
            <w:vMerge w:val="continue"/>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4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蚊蝇、消毒</w:t>
            </w:r>
          </w:p>
        </w:tc>
        <w:tc>
          <w:tcPr>
            <w:tcW w:w="69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每年4—10月每月1次，其中夏季的5、6、7月每月2次消杀，每半年一次消毒</w:t>
            </w:r>
          </w:p>
        </w:tc>
      </w:tr>
    </w:tbl>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bookmarkStart w:id="1" w:name="_GoBack"/>
      <w:bookmarkEnd w:id="1"/>
      <w:r>
        <w:rPr>
          <w:rFonts w:hint="eastAsia" w:ascii="宋体" w:hAnsi="宋体" w:eastAsia="宋体" w:cs="宋体"/>
          <w:color w:val="000000"/>
          <w:kern w:val="0"/>
          <w:sz w:val="24"/>
          <w:szCs w:val="24"/>
          <w:lang w:val="en-US" w:eastAsia="zh-CN" w:bidi="ar-SA"/>
        </w:rPr>
        <w:t>鼠防治方法、频率、技术要求</w:t>
      </w:r>
    </w:p>
    <w:tbl>
      <w:tblPr>
        <w:tblStyle w:val="9"/>
        <w:tblW w:w="0" w:type="auto"/>
        <w:tblInd w:w="-34" w:type="dxa"/>
        <w:tblLayout w:type="fixed"/>
        <w:tblCellMar>
          <w:top w:w="0" w:type="dxa"/>
          <w:left w:w="108" w:type="dxa"/>
          <w:bottom w:w="0" w:type="dxa"/>
          <w:right w:w="108" w:type="dxa"/>
        </w:tblCellMar>
      </w:tblPr>
      <w:tblGrid>
        <w:gridCol w:w="496"/>
        <w:gridCol w:w="639"/>
        <w:gridCol w:w="696"/>
        <w:gridCol w:w="870"/>
        <w:gridCol w:w="855"/>
        <w:gridCol w:w="1185"/>
        <w:gridCol w:w="120"/>
        <w:gridCol w:w="1221"/>
        <w:gridCol w:w="1689"/>
        <w:gridCol w:w="421"/>
        <w:gridCol w:w="1874"/>
      </w:tblGrid>
      <w:tr>
        <w:tblPrEx>
          <w:tblCellMar>
            <w:top w:w="0" w:type="dxa"/>
            <w:left w:w="108" w:type="dxa"/>
            <w:bottom w:w="0" w:type="dxa"/>
            <w:right w:w="108" w:type="dxa"/>
          </w:tblCellMar>
        </w:tblPrEx>
        <w:trPr>
          <w:trHeight w:val="509" w:hRule="atLeast"/>
        </w:trPr>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w:t>
            </w:r>
          </w:p>
        </w:tc>
        <w:tc>
          <w:tcPr>
            <w:tcW w:w="156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范围</w:t>
            </w:r>
          </w:p>
        </w:tc>
        <w:tc>
          <w:tcPr>
            <w:tcW w:w="216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方法</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服务频率（月/次）</w:t>
            </w:r>
          </w:p>
        </w:tc>
        <w:tc>
          <w:tcPr>
            <w:tcW w:w="211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技术要求</w:t>
            </w:r>
          </w:p>
        </w:tc>
        <w:tc>
          <w:tcPr>
            <w:tcW w:w="187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备注</w:t>
            </w:r>
          </w:p>
        </w:tc>
      </w:tr>
      <w:tr>
        <w:tblPrEx>
          <w:tblCellMar>
            <w:top w:w="0" w:type="dxa"/>
            <w:left w:w="108" w:type="dxa"/>
            <w:bottom w:w="0" w:type="dxa"/>
            <w:right w:w="108" w:type="dxa"/>
          </w:tblCellMar>
        </w:tblPrEx>
        <w:trPr>
          <w:trHeight w:val="423" w:hRule="atLeast"/>
        </w:trPr>
        <w:tc>
          <w:tcPr>
            <w:tcW w:w="1135" w:type="dxa"/>
            <w:gridSpan w:val="2"/>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鼠    害    防    治</w:t>
            </w:r>
          </w:p>
        </w:tc>
        <w:tc>
          <w:tcPr>
            <w:tcW w:w="1566"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建筑物外围</w:t>
            </w:r>
          </w:p>
        </w:tc>
        <w:tc>
          <w:tcPr>
            <w:tcW w:w="2160" w:type="dxa"/>
            <w:gridSpan w:val="3"/>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布放毒饵站</w:t>
            </w:r>
          </w:p>
        </w:tc>
        <w:tc>
          <w:tcPr>
            <w:tcW w:w="12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w:t>
            </w:r>
          </w:p>
        </w:tc>
        <w:tc>
          <w:tcPr>
            <w:tcW w:w="2110" w:type="dxa"/>
            <w:gridSpan w:val="2"/>
            <w:tcBorders>
              <w:top w:val="nil"/>
              <w:left w:val="nil"/>
              <w:bottom w:val="nil"/>
              <w:right w:val="nil"/>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鼠患区间隔40米布放一个</w:t>
            </w:r>
          </w:p>
        </w:tc>
        <w:tc>
          <w:tcPr>
            <w:tcW w:w="187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每年春季4、5月秋季9、10月进行2次灭鼠</w:t>
            </w:r>
          </w:p>
        </w:tc>
      </w:tr>
      <w:tr>
        <w:tblPrEx>
          <w:tblCellMar>
            <w:top w:w="0" w:type="dxa"/>
            <w:left w:w="108" w:type="dxa"/>
            <w:bottom w:w="0" w:type="dxa"/>
            <w:right w:w="108" w:type="dxa"/>
          </w:tblCellMar>
        </w:tblPrEx>
        <w:trPr>
          <w:trHeight w:val="423" w:hRule="atLeast"/>
        </w:trPr>
        <w:tc>
          <w:tcPr>
            <w:tcW w:w="1135"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566"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2160" w:type="dxa"/>
            <w:gridSpan w:val="3"/>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2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2110" w:type="dxa"/>
            <w:gridSpan w:val="2"/>
            <w:tcBorders>
              <w:top w:val="nil"/>
              <w:left w:val="nil"/>
              <w:bottom w:val="nil"/>
              <w:right w:val="nil"/>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每个点上诱饵不少于30克</w:t>
            </w:r>
          </w:p>
        </w:tc>
        <w:tc>
          <w:tcPr>
            <w:tcW w:w="187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13" w:hRule="atLeast"/>
        </w:trPr>
        <w:tc>
          <w:tcPr>
            <w:tcW w:w="1135"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566"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绿化地</w:t>
            </w:r>
          </w:p>
        </w:tc>
        <w:tc>
          <w:tcPr>
            <w:tcW w:w="2160" w:type="dxa"/>
            <w:gridSpan w:val="3"/>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封堵鼠洞投放毒饵</w:t>
            </w:r>
          </w:p>
        </w:tc>
        <w:tc>
          <w:tcPr>
            <w:tcW w:w="12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2110" w:type="dxa"/>
            <w:gridSpan w:val="2"/>
            <w:tcBorders>
              <w:top w:val="nil"/>
              <w:left w:val="nil"/>
              <w:bottom w:val="nil"/>
              <w:right w:val="nil"/>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87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559" w:hRule="atLeast"/>
        </w:trPr>
        <w:tc>
          <w:tcPr>
            <w:tcW w:w="1135"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566"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办公区域天花板</w:t>
            </w:r>
          </w:p>
        </w:tc>
        <w:tc>
          <w:tcPr>
            <w:tcW w:w="2160" w:type="dxa"/>
            <w:gridSpan w:val="3"/>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布放粘鼠板、捕鼠笼</w:t>
            </w:r>
          </w:p>
        </w:tc>
        <w:tc>
          <w:tcPr>
            <w:tcW w:w="12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2110" w:type="dxa"/>
            <w:gridSpan w:val="2"/>
            <w:tcBorders>
              <w:top w:val="single" w:color="auto" w:sz="4" w:space="0"/>
              <w:left w:val="nil"/>
              <w:bottom w:val="nil"/>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对布放的粘鼠板进行定期检查和更换。</w:t>
            </w:r>
          </w:p>
        </w:tc>
        <w:tc>
          <w:tcPr>
            <w:tcW w:w="187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741" w:hRule="atLeast"/>
        </w:trPr>
        <w:tc>
          <w:tcPr>
            <w:tcW w:w="1135"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566"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食堂、仓库、库房</w:t>
            </w:r>
          </w:p>
        </w:tc>
        <w:tc>
          <w:tcPr>
            <w:tcW w:w="2160" w:type="dxa"/>
            <w:gridSpan w:val="3"/>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2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211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对不适合投放毒饵的场所增加捕鼠笼</w:t>
            </w:r>
          </w:p>
        </w:tc>
        <w:tc>
          <w:tcPr>
            <w:tcW w:w="187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534" w:hRule="atLeast"/>
        </w:trPr>
        <w:tc>
          <w:tcPr>
            <w:tcW w:w="1135"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566"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道路、水域、</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垃圾处理站</w:t>
            </w:r>
          </w:p>
        </w:tc>
        <w:tc>
          <w:tcPr>
            <w:tcW w:w="2160" w:type="dxa"/>
            <w:gridSpan w:val="3"/>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投放毒饵</w:t>
            </w:r>
          </w:p>
        </w:tc>
        <w:tc>
          <w:tcPr>
            <w:tcW w:w="1221"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211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每个点上诱饵不少于30克</w:t>
            </w:r>
          </w:p>
        </w:tc>
        <w:tc>
          <w:tcPr>
            <w:tcW w:w="187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459" w:hRule="atLeast"/>
        </w:trPr>
        <w:tc>
          <w:tcPr>
            <w:tcW w:w="1135"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566"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下水道</w:t>
            </w:r>
          </w:p>
        </w:tc>
        <w:tc>
          <w:tcPr>
            <w:tcW w:w="2160" w:type="dxa"/>
            <w:gridSpan w:val="3"/>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投放毒饵</w:t>
            </w:r>
          </w:p>
        </w:tc>
        <w:tc>
          <w:tcPr>
            <w:tcW w:w="1221"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211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灭鼠蜡块</w:t>
            </w:r>
          </w:p>
        </w:tc>
        <w:tc>
          <w:tcPr>
            <w:tcW w:w="1874"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无鼠害迹象时不投放</w:t>
            </w:r>
          </w:p>
        </w:tc>
      </w:tr>
      <w:tr>
        <w:tblPrEx>
          <w:tblCellMar>
            <w:top w:w="0" w:type="dxa"/>
            <w:left w:w="108" w:type="dxa"/>
            <w:bottom w:w="0" w:type="dxa"/>
            <w:right w:w="108" w:type="dxa"/>
          </w:tblCellMar>
        </w:tblPrEx>
        <w:trPr>
          <w:trHeight w:val="589" w:hRule="atLeast"/>
        </w:trPr>
        <w:tc>
          <w:tcPr>
            <w:tcW w:w="1135"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备注</w:t>
            </w:r>
          </w:p>
        </w:tc>
        <w:tc>
          <w:tcPr>
            <w:tcW w:w="8931"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我公司将采用化学治理和物理治理相结合的“综合治理”方式，对鼠类活动和栖息场所进行治理，并对相关区域的鼠害情况进行不定期检查。</w:t>
            </w:r>
          </w:p>
        </w:tc>
      </w:tr>
      <w:tr>
        <w:tblPrEx>
          <w:tblCellMar>
            <w:top w:w="0" w:type="dxa"/>
            <w:left w:w="108" w:type="dxa"/>
            <w:bottom w:w="0" w:type="dxa"/>
            <w:right w:w="108" w:type="dxa"/>
          </w:tblCellMar>
        </w:tblPrEx>
        <w:trPr>
          <w:trHeight w:val="442" w:hRule="atLeast"/>
        </w:trPr>
        <w:tc>
          <w:tcPr>
            <w:tcW w:w="10066" w:type="dxa"/>
            <w:gridSpan w:val="11"/>
            <w:tcBorders>
              <w:top w:val="nil"/>
              <w:left w:val="nil"/>
              <w:bottom w:val="nil"/>
              <w:right w:val="nil"/>
            </w:tcBorders>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pStyle w:val="2"/>
              <w:rPr>
                <w:rFonts w:hint="eastAsia" w:ascii="宋体" w:hAnsi="宋体" w:eastAsia="宋体" w:cs="宋体"/>
                <w:color w:val="000000"/>
                <w:kern w:val="0"/>
                <w:sz w:val="24"/>
                <w:szCs w:val="24"/>
                <w:lang w:val="en-US" w:eastAsia="zh-CN" w:bidi="ar-SA"/>
              </w:rPr>
            </w:pPr>
          </w:p>
          <w:p>
            <w:pPr>
              <w:pStyle w:val="2"/>
              <w:rPr>
                <w:rFonts w:hint="eastAsia" w:ascii="宋体" w:hAnsi="宋体" w:eastAsia="宋体" w:cs="宋体"/>
                <w:color w:val="000000"/>
                <w:kern w:val="0"/>
                <w:sz w:val="24"/>
                <w:szCs w:val="24"/>
                <w:lang w:val="en-US" w:eastAsia="zh-CN" w:bidi="ar-SA"/>
              </w:rPr>
            </w:pPr>
          </w:p>
          <w:p>
            <w:pPr>
              <w:pStyle w:val="2"/>
              <w:rPr>
                <w:rFonts w:hint="eastAsia" w:ascii="宋体" w:hAnsi="宋体" w:eastAsia="宋体" w:cs="宋体"/>
                <w:color w:val="000000"/>
                <w:kern w:val="0"/>
                <w:sz w:val="24"/>
                <w:szCs w:val="24"/>
                <w:lang w:val="en-US" w:eastAsia="zh-CN" w:bidi="ar-SA"/>
              </w:rPr>
            </w:pPr>
          </w:p>
          <w:p>
            <w:pPr>
              <w:pStyle w:val="2"/>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蟑防治方法、频率、技术要求</w:t>
            </w:r>
          </w:p>
        </w:tc>
      </w:tr>
      <w:tr>
        <w:tblPrEx>
          <w:tblCellMar>
            <w:top w:w="0" w:type="dxa"/>
            <w:left w:w="108" w:type="dxa"/>
            <w:bottom w:w="0" w:type="dxa"/>
            <w:right w:w="108" w:type="dxa"/>
          </w:tblCellMar>
        </w:tblPrEx>
        <w:trPr>
          <w:trHeight w:val="550" w:hRule="atLeast"/>
        </w:trPr>
        <w:tc>
          <w:tcPr>
            <w:tcW w:w="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w:t>
            </w:r>
          </w:p>
        </w:tc>
        <w:tc>
          <w:tcPr>
            <w:tcW w:w="1335" w:type="dxa"/>
            <w:gridSpan w:val="2"/>
            <w:tcBorders>
              <w:top w:val="single" w:color="auto" w:sz="4" w:space="0"/>
              <w:left w:val="nil"/>
              <w:bottom w:val="single" w:color="auto" w:sz="4" w:space="0"/>
              <w:right w:val="nil"/>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范围</w:t>
            </w: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方法</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服务频率 （月/次）</w:t>
            </w:r>
          </w:p>
        </w:tc>
        <w:tc>
          <w:tcPr>
            <w:tcW w:w="303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技术要求</w:t>
            </w:r>
          </w:p>
        </w:tc>
        <w:tc>
          <w:tcPr>
            <w:tcW w:w="22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备注</w:t>
            </w:r>
          </w:p>
        </w:tc>
      </w:tr>
      <w:tr>
        <w:tblPrEx>
          <w:tblCellMar>
            <w:top w:w="0" w:type="dxa"/>
            <w:left w:w="108" w:type="dxa"/>
            <w:bottom w:w="0" w:type="dxa"/>
            <w:right w:w="108" w:type="dxa"/>
          </w:tblCellMar>
        </w:tblPrEx>
        <w:trPr>
          <w:trHeight w:val="646" w:hRule="atLeast"/>
        </w:trPr>
        <w:tc>
          <w:tcPr>
            <w:tcW w:w="496"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蟑    螂</w:t>
            </w:r>
          </w:p>
        </w:tc>
        <w:tc>
          <w:tcPr>
            <w:tcW w:w="1335" w:type="dxa"/>
            <w:gridSpan w:val="2"/>
            <w:tcBorders>
              <w:top w:val="nil"/>
              <w:left w:val="nil"/>
              <w:bottom w:val="single" w:color="auto" w:sz="4" w:space="0"/>
              <w:right w:val="nil"/>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垃圾堆放区</w:t>
            </w:r>
          </w:p>
        </w:tc>
        <w:tc>
          <w:tcPr>
            <w:tcW w:w="1725"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投放灭蟑饵剂或灭蟑胶饵</w:t>
            </w:r>
          </w:p>
        </w:tc>
        <w:tc>
          <w:tcPr>
            <w:tcW w:w="118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3030" w:type="dxa"/>
            <w:gridSpan w:val="3"/>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每个点投放灭蟑饵剂或灭蟑胶饵等生物制剂1—2克</w:t>
            </w:r>
          </w:p>
        </w:tc>
        <w:tc>
          <w:tcPr>
            <w:tcW w:w="2295" w:type="dxa"/>
            <w:gridSpan w:val="2"/>
            <w:vMerge w:val="restart"/>
            <w:tcBorders>
              <w:top w:val="nil"/>
              <w:left w:val="nil"/>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药品轮换使用</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所使用的生物制剂不污染环境和食物</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所使用的生物制剂不危害其它生物</w:t>
            </w:r>
          </w:p>
        </w:tc>
      </w:tr>
      <w:tr>
        <w:tblPrEx>
          <w:tblCellMar>
            <w:top w:w="0" w:type="dxa"/>
            <w:left w:w="108" w:type="dxa"/>
            <w:bottom w:w="0" w:type="dxa"/>
            <w:right w:w="108" w:type="dxa"/>
          </w:tblCellMar>
        </w:tblPrEx>
        <w:trPr>
          <w:trHeight w:val="665" w:hRule="atLeast"/>
        </w:trPr>
        <w:tc>
          <w:tcPr>
            <w:tcW w:w="49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335" w:type="dxa"/>
            <w:gridSpan w:val="2"/>
            <w:tcBorders>
              <w:top w:val="nil"/>
              <w:left w:val="nil"/>
              <w:bottom w:val="single" w:color="auto" w:sz="4" w:space="0"/>
              <w:right w:val="nil"/>
            </w:tcBorders>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建筑物外围</w:t>
            </w:r>
          </w:p>
        </w:tc>
        <w:tc>
          <w:tcPr>
            <w:tcW w:w="1725"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18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3030" w:type="dxa"/>
            <w:gridSpan w:val="3"/>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每个点投放灭蟑清或灭蟑胶耳等生物制剂1—2克</w:t>
            </w:r>
          </w:p>
        </w:tc>
        <w:tc>
          <w:tcPr>
            <w:tcW w:w="2295" w:type="dxa"/>
            <w:gridSpan w:val="2"/>
            <w:vMerge w:val="continue"/>
            <w:tcBorders>
              <w:left w:val="nil"/>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190" w:hRule="atLeast"/>
        </w:trPr>
        <w:tc>
          <w:tcPr>
            <w:tcW w:w="49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335" w:type="dxa"/>
            <w:gridSpan w:val="2"/>
            <w:tcBorders>
              <w:top w:val="nil"/>
              <w:left w:val="nil"/>
              <w:bottom w:val="single" w:color="auto" w:sz="4" w:space="0"/>
              <w:right w:val="nil"/>
            </w:tcBorders>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办公区域</w:t>
            </w:r>
          </w:p>
        </w:tc>
        <w:tc>
          <w:tcPr>
            <w:tcW w:w="1725"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18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3030" w:type="dxa"/>
            <w:gridSpan w:val="3"/>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2295" w:type="dxa"/>
            <w:gridSpan w:val="2"/>
            <w:vMerge w:val="continue"/>
            <w:tcBorders>
              <w:left w:val="nil"/>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836" w:hRule="atLeast"/>
        </w:trPr>
        <w:tc>
          <w:tcPr>
            <w:tcW w:w="49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335" w:type="dxa"/>
            <w:gridSpan w:val="2"/>
            <w:tcBorders>
              <w:top w:val="nil"/>
              <w:left w:val="nil"/>
              <w:bottom w:val="single" w:color="auto" w:sz="4" w:space="0"/>
              <w:right w:val="nil"/>
            </w:tcBorders>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食堂、仓库、库房</w:t>
            </w:r>
          </w:p>
        </w:tc>
        <w:tc>
          <w:tcPr>
            <w:tcW w:w="1725"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投放灭蟑饵剂或灭蟑胶饵</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3030" w:type="dxa"/>
            <w:gridSpan w:val="3"/>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投放灭蟑饵剂或灭蟑胶饵等生物制剂、悬挂粘蟑板</w:t>
            </w:r>
          </w:p>
        </w:tc>
        <w:tc>
          <w:tcPr>
            <w:tcW w:w="2295" w:type="dxa"/>
            <w:gridSpan w:val="2"/>
            <w:vMerge w:val="continue"/>
            <w:tcBorders>
              <w:left w:val="nil"/>
              <w:bottom w:val="single" w:color="auto" w:sz="4" w:space="0"/>
              <w:right w:val="single" w:color="auto" w:sz="4" w:space="0"/>
            </w:tcBorders>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bl>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蚊蝇防治范围、方法、频率、技术要求</w:t>
      </w:r>
    </w:p>
    <w:tbl>
      <w:tblPr>
        <w:tblStyle w:val="9"/>
        <w:tblpPr w:leftFromText="180" w:rightFromText="180" w:vertAnchor="text" w:horzAnchor="page" w:tblpX="1052" w:tblpY="451"/>
        <w:tblOverlap w:val="never"/>
        <w:tblW w:w="0" w:type="auto"/>
        <w:tblInd w:w="0" w:type="dxa"/>
        <w:tblLayout w:type="fixed"/>
        <w:tblCellMar>
          <w:top w:w="0" w:type="dxa"/>
          <w:left w:w="108" w:type="dxa"/>
          <w:bottom w:w="0" w:type="dxa"/>
          <w:right w:w="108" w:type="dxa"/>
        </w:tblCellMar>
      </w:tblPr>
      <w:tblGrid>
        <w:gridCol w:w="885"/>
        <w:gridCol w:w="1775"/>
        <w:gridCol w:w="1559"/>
        <w:gridCol w:w="1276"/>
        <w:gridCol w:w="2126"/>
        <w:gridCol w:w="2409"/>
      </w:tblGrid>
      <w:tr>
        <w:tblPrEx>
          <w:tblCellMar>
            <w:top w:w="0" w:type="dxa"/>
            <w:left w:w="108" w:type="dxa"/>
            <w:bottom w:w="0" w:type="dxa"/>
            <w:right w:w="108" w:type="dxa"/>
          </w:tblCellMar>
        </w:tblPrEx>
        <w:trPr>
          <w:trHeight w:val="839"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w:t>
            </w:r>
          </w:p>
        </w:tc>
        <w:tc>
          <w:tcPr>
            <w:tcW w:w="1775" w:type="dxa"/>
            <w:tcBorders>
              <w:top w:val="single" w:color="auto" w:sz="4" w:space="0"/>
              <w:left w:val="nil"/>
              <w:bottom w:val="single" w:color="auto" w:sz="4" w:space="0"/>
              <w:right w:val="nil"/>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范围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方法</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频率     （月/次）</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技术要求</w:t>
            </w:r>
          </w:p>
        </w:tc>
        <w:tc>
          <w:tcPr>
            <w:tcW w:w="24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备注</w:t>
            </w:r>
          </w:p>
        </w:tc>
      </w:tr>
      <w:tr>
        <w:tblPrEx>
          <w:tblCellMar>
            <w:top w:w="0" w:type="dxa"/>
            <w:left w:w="108" w:type="dxa"/>
            <w:bottom w:w="0" w:type="dxa"/>
            <w:right w:w="108" w:type="dxa"/>
          </w:tblCellMar>
        </w:tblPrEx>
        <w:trPr>
          <w:trHeight w:val="700" w:hRule="atLeast"/>
        </w:trPr>
        <w:tc>
          <w:tcPr>
            <w:tcW w:w="885" w:type="dxa"/>
            <w:vMerge w:val="restart"/>
            <w:tcBorders>
              <w:top w:val="nil"/>
              <w:left w:val="single" w:color="auto" w:sz="4" w:space="0"/>
              <w:right w:val="single" w:color="auto" w:sz="4" w:space="0"/>
            </w:tcBorders>
            <w:noWrap w:val="0"/>
            <w:textDirection w:val="tbRlV"/>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蚊、蝇类防治</w:t>
            </w:r>
          </w:p>
        </w:tc>
        <w:tc>
          <w:tcPr>
            <w:tcW w:w="1775" w:type="dxa"/>
            <w:tcBorders>
              <w:top w:val="nil"/>
              <w:left w:val="nil"/>
              <w:bottom w:val="single" w:color="auto" w:sz="4" w:space="0"/>
              <w:right w:val="nil"/>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上述区域公共绿化带</w:t>
            </w:r>
          </w:p>
        </w:tc>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空间喷雾（超低喷雾）</w:t>
            </w:r>
          </w:p>
        </w:tc>
        <w:tc>
          <w:tcPr>
            <w:tcW w:w="127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2126"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用顺反菊酯药剂1：100倍喷洒</w:t>
            </w:r>
          </w:p>
        </w:tc>
        <w:tc>
          <w:tcPr>
            <w:tcW w:w="2409" w:type="dxa"/>
            <w:vMerge w:val="restart"/>
            <w:tcBorders>
              <w:top w:val="nil"/>
              <w:left w:val="nil"/>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1、每年5---10月，每月2次，寒暑假视情况而定，其它时间每2月1次</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2、非工作时间实施</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3、每月轮换一种药品，建筑物喷洒高度不低于1.0米</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842" w:hRule="atLeast"/>
        </w:trPr>
        <w:tc>
          <w:tcPr>
            <w:tcW w:w="885" w:type="dxa"/>
            <w:vMerge w:val="continue"/>
            <w:tcBorders>
              <w:left w:val="single" w:color="auto" w:sz="4" w:space="0"/>
              <w:right w:val="single" w:color="auto" w:sz="4" w:space="0"/>
            </w:tcBorders>
            <w:noWrap w:val="0"/>
            <w:textDirection w:val="tbRlV"/>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775" w:type="dxa"/>
            <w:tcBorders>
              <w:top w:val="nil"/>
              <w:left w:val="nil"/>
              <w:bottom w:val="single" w:color="auto" w:sz="4" w:space="0"/>
              <w:right w:val="nil"/>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卫生间</w:t>
            </w:r>
          </w:p>
        </w:tc>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药液滞留喷洒</w:t>
            </w:r>
          </w:p>
        </w:tc>
        <w:tc>
          <w:tcPr>
            <w:tcW w:w="127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2126"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菊脂类药剂1：100倍喷洒</w:t>
            </w:r>
          </w:p>
        </w:tc>
        <w:tc>
          <w:tcPr>
            <w:tcW w:w="2409" w:type="dxa"/>
            <w:vMerge w:val="continue"/>
            <w:tcBorders>
              <w:left w:val="nil"/>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1123" w:hRule="atLeast"/>
        </w:trPr>
        <w:tc>
          <w:tcPr>
            <w:tcW w:w="885"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775" w:type="dxa"/>
            <w:tcBorders>
              <w:top w:val="nil"/>
              <w:left w:val="nil"/>
              <w:bottom w:val="single" w:color="auto" w:sz="4" w:space="0"/>
              <w:right w:val="nil"/>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下水道</w:t>
            </w:r>
          </w:p>
        </w:tc>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药液滞留喷洒</w:t>
            </w:r>
          </w:p>
        </w:tc>
        <w:tc>
          <w:tcPr>
            <w:tcW w:w="127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212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高效顺式氯氰菊脂1：100倍稀释和多飞克1:120倍稀释液混合使用</w:t>
            </w:r>
          </w:p>
        </w:tc>
        <w:tc>
          <w:tcPr>
            <w:tcW w:w="2409" w:type="dxa"/>
            <w:vMerge w:val="continue"/>
            <w:tcBorders>
              <w:left w:val="nil"/>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1123" w:hRule="atLeast"/>
        </w:trPr>
        <w:tc>
          <w:tcPr>
            <w:tcW w:w="88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1775" w:type="dxa"/>
            <w:tcBorders>
              <w:top w:val="nil"/>
              <w:left w:val="nil"/>
              <w:bottom w:val="single" w:color="auto" w:sz="4" w:space="0"/>
              <w:right w:val="nil"/>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上述区域相关水域、垃圾投放点、垃圾箱</w:t>
            </w:r>
          </w:p>
        </w:tc>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药液滞留喷洒</w:t>
            </w:r>
          </w:p>
        </w:tc>
        <w:tc>
          <w:tcPr>
            <w:tcW w:w="127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212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高效顺式氯氰菊脂1：100倍稀释和多飞克1:120倍稀释液混合使用</w:t>
            </w:r>
          </w:p>
        </w:tc>
        <w:tc>
          <w:tcPr>
            <w:tcW w:w="2409" w:type="dxa"/>
            <w:vMerge w:val="continue"/>
            <w:tcBorders>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1277" w:hRule="atLeast"/>
        </w:trPr>
        <w:tc>
          <w:tcPr>
            <w:tcW w:w="88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说明</w:t>
            </w:r>
          </w:p>
        </w:tc>
        <w:tc>
          <w:tcPr>
            <w:tcW w:w="9145" w:type="dxa"/>
            <w:gridSpan w:val="5"/>
            <w:tcBorders>
              <w:top w:val="single" w:color="auto" w:sz="4" w:space="0"/>
              <w:left w:val="single" w:color="auto" w:sz="4" w:space="0"/>
              <w:bottom w:val="nil"/>
              <w:right w:val="single" w:color="000000"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1、以上服务项目我司将派专人每月检查1次。 同时对相关“虫害”密度做严密、科学的监测。</w:t>
            </w:r>
          </w:p>
        </w:tc>
      </w:tr>
      <w:tr>
        <w:tblPrEx>
          <w:tblCellMar>
            <w:top w:w="0" w:type="dxa"/>
            <w:left w:w="108" w:type="dxa"/>
            <w:bottom w:w="0" w:type="dxa"/>
            <w:right w:w="108" w:type="dxa"/>
          </w:tblCellMar>
        </w:tblPrEx>
        <w:trPr>
          <w:trHeight w:val="290" w:hRule="atLeast"/>
        </w:trPr>
        <w:tc>
          <w:tcPr>
            <w:tcW w:w="88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9145" w:type="dxa"/>
            <w:gridSpan w:val="5"/>
            <w:tcBorders>
              <w:top w:val="nil"/>
              <w:left w:val="single" w:color="auto" w:sz="4" w:space="0"/>
              <w:bottom w:val="single" w:color="auto" w:sz="4" w:space="0"/>
              <w:right w:val="single" w:color="000000" w:sz="4" w:space="0"/>
            </w:tcBorders>
            <w:noWrap w:val="0"/>
            <w:vAlign w:val="center"/>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2、我司工作人员在贵校的消杀工作都是按照与贵校相关部门商定的计划进行，如需调整工作时间或内容，须征得贵校相关部门的同意。</w:t>
            </w:r>
          </w:p>
        </w:tc>
      </w:tr>
    </w:tbl>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kinsoku/>
        <w:wordWrap/>
        <w:topLinePunct w:val="0"/>
        <w:autoSpaceDE/>
        <w:autoSpaceDN/>
        <w:bidi w:val="0"/>
        <w:adjustRightInd/>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（四）使用药物要求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1.主要物资清单及详细技术参数</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472"/>
        <w:gridCol w:w="348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19"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分 类</w:t>
            </w:r>
          </w:p>
        </w:tc>
        <w:tc>
          <w:tcPr>
            <w:tcW w:w="2472"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名称</w:t>
            </w:r>
          </w:p>
        </w:tc>
        <w:tc>
          <w:tcPr>
            <w:tcW w:w="348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药品参数及要求</w:t>
            </w:r>
          </w:p>
        </w:tc>
        <w:tc>
          <w:tcPr>
            <w:tcW w:w="173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19" w:type="dxa"/>
            <w:vMerge w:val="restart"/>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灭鼠类</w:t>
            </w:r>
          </w:p>
        </w:tc>
        <w:tc>
          <w:tcPr>
            <w:tcW w:w="2472"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溴鼠灵灭鼠毒饵</w:t>
            </w:r>
          </w:p>
        </w:tc>
        <w:tc>
          <w:tcPr>
            <w:tcW w:w="348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0.005%溴鼠灵灭鼠毒饵，</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1000g/袋。剂型：毒饵</w:t>
            </w:r>
          </w:p>
        </w:tc>
        <w:tc>
          <w:tcPr>
            <w:tcW w:w="173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2000袋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19" w:type="dxa"/>
            <w:vMerge w:val="continue"/>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2472"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溴鼠灵蜡块</w:t>
            </w:r>
          </w:p>
        </w:tc>
        <w:tc>
          <w:tcPr>
            <w:tcW w:w="348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0.005%溴鼠灵，</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250g/袋。剂型：蜡块</w:t>
            </w:r>
          </w:p>
        </w:tc>
        <w:tc>
          <w:tcPr>
            <w:tcW w:w="173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120袋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9" w:type="dxa"/>
            <w:vMerge w:val="restart"/>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灭蚊蝇、蟑螂类</w:t>
            </w:r>
          </w:p>
        </w:tc>
        <w:tc>
          <w:tcPr>
            <w:tcW w:w="2472"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15%顺氯.残杀威</w:t>
            </w:r>
          </w:p>
        </w:tc>
        <w:tc>
          <w:tcPr>
            <w:tcW w:w="348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15%顺氯.残杀威悬浮剂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1000g/瓶</w:t>
            </w:r>
          </w:p>
        </w:tc>
        <w:tc>
          <w:tcPr>
            <w:tcW w:w="173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240瓶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9" w:type="dxa"/>
            <w:vMerge w:val="continue"/>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2472"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7.5%高效氟氯氰菊酯悬浮剂</w:t>
            </w:r>
          </w:p>
        </w:tc>
        <w:tc>
          <w:tcPr>
            <w:tcW w:w="348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7.5%高效氟氯氰菊酯悬浮剂，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500ml/瓶，</w:t>
            </w:r>
          </w:p>
        </w:tc>
        <w:tc>
          <w:tcPr>
            <w:tcW w:w="173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9" w:type="dxa"/>
            <w:vMerge w:val="continue"/>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2472"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杀蟑饵剂</w:t>
            </w:r>
          </w:p>
        </w:tc>
        <w:tc>
          <w:tcPr>
            <w:tcW w:w="348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含量：氟虫腈含量≥0.05%，</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5g/包。剂型：杀蟑饵剂</w:t>
            </w:r>
          </w:p>
        </w:tc>
        <w:tc>
          <w:tcPr>
            <w:tcW w:w="173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3000袋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19" w:type="dxa"/>
            <w:vMerge w:val="continue"/>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2472"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杀蟑胶饵</w:t>
            </w:r>
          </w:p>
        </w:tc>
        <w:tc>
          <w:tcPr>
            <w:tcW w:w="348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含量：0.5%呋虫胺杀蟑胶饵，</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20g/支。剂型：杀蟑胶饵</w:t>
            </w:r>
          </w:p>
        </w:tc>
        <w:tc>
          <w:tcPr>
            <w:tcW w:w="173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500支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19"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灭蚊幼</w:t>
            </w:r>
          </w:p>
        </w:tc>
        <w:tc>
          <w:tcPr>
            <w:tcW w:w="2472"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灭幼虫缓释剂</w:t>
            </w:r>
          </w:p>
        </w:tc>
        <w:tc>
          <w:tcPr>
            <w:tcW w:w="348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吡丙醚(含复配剂)</w:t>
            </w:r>
          </w:p>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含量≥0.5%，治理水体</w:t>
            </w:r>
          </w:p>
        </w:tc>
        <w:tc>
          <w:tcPr>
            <w:tcW w:w="173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19" w:type="dxa"/>
            <w:vMerge w:val="restart"/>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鼠类防制耗材</w:t>
            </w:r>
          </w:p>
        </w:tc>
        <w:tc>
          <w:tcPr>
            <w:tcW w:w="2472"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陶瓷鼠饵盒</w:t>
            </w:r>
          </w:p>
        </w:tc>
        <w:tc>
          <w:tcPr>
            <w:tcW w:w="348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300*110*110</w:t>
            </w:r>
          </w:p>
        </w:tc>
        <w:tc>
          <w:tcPr>
            <w:tcW w:w="173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19" w:type="dxa"/>
            <w:vMerge w:val="continue"/>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2472"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警示标识</w:t>
            </w:r>
          </w:p>
        </w:tc>
        <w:tc>
          <w:tcPr>
            <w:tcW w:w="348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PVC 材质，面板使用户外型材质</w:t>
            </w:r>
          </w:p>
        </w:tc>
        <w:tc>
          <w:tcPr>
            <w:tcW w:w="1736" w:type="dxa"/>
            <w:noWrap w:val="0"/>
            <w:vAlign w:val="top"/>
          </w:tcPr>
          <w:p>
            <w:pPr>
              <w:keepNext w:val="0"/>
              <w:keepLines w:val="0"/>
              <w:pageBreakBefore w:val="0"/>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1100个</w:t>
            </w:r>
          </w:p>
        </w:tc>
      </w:tr>
    </w:tbl>
    <w:p>
      <w:pPr>
        <w:ind w:left="630" w:leftChars="3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注：投标人必须严格按照以上采购要求提供药品，投标人所选择使用的灭鼠杀虫药物，必须安全、环保、有效且符合国家其它相关管理规定的合格产品，其消杀药品必须提供药品三证一报告：1、农药登记证，2、农药生产许可证，3、企业产品执行标准证书，4、MSDS(农药产品安全数据报告）等相关证明材料。未提供药品三证一报告者，视为无效响应文件。</w:t>
      </w:r>
    </w:p>
    <w:p>
      <w:pPr>
        <w:keepNext w:val="0"/>
        <w:keepLines w:val="0"/>
        <w:pageBreakBefore w:val="0"/>
        <w:tabs>
          <w:tab w:val="left" w:pos="0"/>
        </w:tabs>
        <w:kinsoku/>
        <w:wordWrap/>
        <w:topLinePunct w:val="0"/>
        <w:autoSpaceDE/>
        <w:autoSpaceDN/>
        <w:bidi w:val="0"/>
        <w:adjustRightInd/>
        <w:spacing w:line="360" w:lineRule="auto"/>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2.配置要求</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投标人必须标明需求量清单中药品的技术参数、品名、数量、规格型号及原产地等，在响应文件中阐明，作为评审的依据，否则视为无效响应文件。</w:t>
      </w:r>
    </w:p>
    <w:p>
      <w:pPr>
        <w:keepNext w:val="0"/>
        <w:keepLines w:val="0"/>
        <w:pageBreakBefore w:val="0"/>
        <w:kinsoku/>
        <w:wordWrap/>
        <w:topLinePunct w:val="0"/>
        <w:autoSpaceDE/>
        <w:autoSpaceDN/>
        <w:bidi w:val="0"/>
        <w:adjustRightInd/>
        <w:spacing w:line="360" w:lineRule="auto"/>
        <w:jc w:val="both"/>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（五）防治效果</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按照国家标准《病媒生物密度控制水平——鼠类》GB/T 27770-2011、《病媒生物密度控制水平——蚊虫》GB/T 27771-2011、《病媒生物密度控制水平——蝇类》GB/T 27772-2011、《病媒生物密度控制水平——蜚蠊》GB/T 27773-2011相关标准进行验收。</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1.鼠</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（1）防鼠设施</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A级：防鼠设施合格率大于或等于97%</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B级：防鼠设施合格率大于或等于95%</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C级：防鼠设施合格率大于或等于93%</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（2）室内鼠密度密度控制水平</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A级：鼠迹阳性率小于或等于1％；</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B级：鼠迹阳性率小于或等于3％；</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C级：鼠迹阳性率小于或等于5％。</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（3）外环境鼠密度密度控制水平</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A级：路径指数小于或等于1；</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B级：路径指数小于或等于3；</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C级：路径指数小于或等于5。</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验收标准：鼠类密度控制水平不低于GB/T 27770-2011规定的C级要求。</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2.蟑螂</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（1）蜚蠊成虫、若虫侵害率</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A级：蜚蠊成若虫侵害率小于或等于1％，平均每阳性间（处）成若虫数小蠊小于或等于5只，大蠊小于或等于2只；</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B级：蜚蠊成若虫侵害率小于或等于3％，平均每阳性间（处）成若虫数小蠊小于或等于10只，大蠊小于或等于5只；</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C级：蜚蠊成若虫侵害率小于或等于5％， 平均每阳性间（处）成若虫数小蠊小于或等于10只，大蠊小于或等于5只。</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（2）卵鞘查获率</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A级：蜚蠊卵鞘查获率小于或等于1％，平均每阳性间（处）卵鞘数小于或等于2只；</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B级：蜚蠊卵鞘查获率小于或等于2％，平均每阳性间（处）卵鞘数小于或等于4只；</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C级：蜚蠊卵鞘查获率小于或等于3％，平均每阳性间（处）卵鞘数小于或等于8只。</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（3）蟑迹查获率</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A级：蟑迹查获率小于或等于3％；</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B级：蟑迹查获率小于或等于5％；</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C级：蟑迹查获率小于或等于7％。</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验收标准：蟑螂密度控制水平不低于GB/T 27773-2011规定的C级要求。</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3.蝇类</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（1）室内成蝇密度控制水平分为以下等级：</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A级：有蝇房间阳性率小于或等于3％，阳性间蝇密度小于或等于3只/间；</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B级：有蝇房间阳性率小于或等于6％，阳性间蝇密度小于或等于3只/间；</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C级：有蝇房间阳性率小于或等于9％，阳性间蝇密度小于或等于3只/间/</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（2）室外蝇类孳生：</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A级：蝇类孳生地阳性率小于或等于1％；</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B级：蝇类孳生地阳性率小于或等于3％；</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C级：蝇类孳生地阳性率小于或等于5％。</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（3）防蝇设施</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A级：防蝇设施合格率大于或等于98%；</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B级：防蝇设施合格率大于或等于95%；</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C级：防蝇设施合格率大于或等于90%。</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验收标准：蝇类密度控制水平不低于GB/T 27772-2011规定的C级要求。</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4.蚊类</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（1）小型积水蚊虫密度控制水平分为：</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A级：路径指数小于或等于0.1。</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B级：路径指数小于或等于0.5。</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C级：路径指数小于或等于0.8。</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分别对应于容器指数约为1、3、5。</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（2）大中型积水蚊虫密度：</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A级：采样勺指数小于或等于1%，平均每阳性勺少于3只蚊虫幼虫和蛹。</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B级：采样勺指数小于或等于3%，平均每阳性勺少于5只蚊虫幼虫和蛹。</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C级：采样勺指数小于或等于5%，平均每阳性勺少于8只蚊虫幼虫和蛹。</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（3）外环境成蚊密度（30分钟内）</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A级：停落指数小于或等于0.5</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B级：停落指数小于或等于1.0</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C级：停落指数小于或等于1.5</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lang w:val="en-US" w:eastAsia="zh-CN"/>
        </w:rPr>
      </w:pPr>
      <w:r>
        <w:rPr>
          <w:rFonts w:hint="eastAsia" w:ascii="宋体" w:hAnsi="宋体" w:eastAsia="宋体" w:cs="宋体"/>
          <w:color w:val="000000"/>
          <w:kern w:val="0"/>
          <w:sz w:val="24"/>
          <w:szCs w:val="24"/>
          <w:lang w:val="en-US" w:eastAsia="zh-CN" w:bidi="ar-SA"/>
        </w:rPr>
        <w:t>验收标准：蚊类密度控制水平不低于GB/T 27771-2011规定的C级要求。</w:t>
      </w:r>
    </w:p>
    <w:p>
      <w:pPr>
        <w:ind w:firstLine="472" w:firstLineChars="196"/>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（六）、其他要求</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1.须有第三方（保险公司）为本次服务承保，以确保本次服务期间出现任何意外都有第三方提供保障。</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2.中标方在施工过程中，所有安全责任均由中标方负责（含中标方员工及对己方以外的所有事故）。</w:t>
      </w:r>
    </w:p>
    <w:p>
      <w:pPr>
        <w:pStyle w:val="7"/>
        <w:pageBreakBefore w:val="0"/>
        <w:numPr>
          <w:ilvl w:val="0"/>
          <w:numId w:val="0"/>
        </w:numPr>
        <w:kinsoku/>
        <w:wordWrap/>
        <w:overflowPunct/>
        <w:topLinePunct w:val="0"/>
        <w:autoSpaceDE/>
        <w:autoSpaceDN/>
        <w:bidi w:val="0"/>
        <w:adjustRightInd/>
        <w:snapToGrid/>
        <w:spacing w:line="360" w:lineRule="auto"/>
        <w:ind w:leftChars="196"/>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（七）、商务要求</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1、服务期限：合同签订之日起两年</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2、服务地点：采购人指定地点</w:t>
      </w:r>
    </w:p>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3、付款方式：半年支付一次，分两次付清。甲方收到乙方的发票时按以下方式付款给乙方。</w:t>
      </w:r>
    </w:p>
    <w:tbl>
      <w:tblPr>
        <w:tblStyle w:val="9"/>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367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614" w:type="dxa"/>
            <w:noWrap w:val="0"/>
            <w:vAlign w:val="top"/>
          </w:tcPr>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tc>
        <w:tc>
          <w:tcPr>
            <w:tcW w:w="3675" w:type="dxa"/>
            <w:noWrap w:val="0"/>
            <w:vAlign w:val="top"/>
          </w:tcPr>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付款时间</w:t>
            </w:r>
          </w:p>
        </w:tc>
        <w:tc>
          <w:tcPr>
            <w:tcW w:w="2972" w:type="dxa"/>
            <w:noWrap w:val="0"/>
            <w:vAlign w:val="top"/>
          </w:tcPr>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付款金额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614" w:type="dxa"/>
            <w:noWrap w:val="0"/>
            <w:vAlign w:val="top"/>
          </w:tcPr>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第一次</w:t>
            </w:r>
          </w:p>
        </w:tc>
        <w:tc>
          <w:tcPr>
            <w:tcW w:w="3675" w:type="dxa"/>
            <w:noWrap w:val="0"/>
            <w:vAlign w:val="top"/>
          </w:tcPr>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6月30日之前付1—6月</w:t>
            </w:r>
          </w:p>
        </w:tc>
        <w:tc>
          <w:tcPr>
            <w:tcW w:w="2972" w:type="dxa"/>
            <w:noWrap w:val="0"/>
            <w:vAlign w:val="top"/>
          </w:tcPr>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4" w:type="dxa"/>
            <w:noWrap w:val="0"/>
            <w:vAlign w:val="top"/>
          </w:tcPr>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第二次</w:t>
            </w:r>
          </w:p>
        </w:tc>
        <w:tc>
          <w:tcPr>
            <w:tcW w:w="3675" w:type="dxa"/>
            <w:noWrap w:val="0"/>
            <w:vAlign w:val="top"/>
          </w:tcPr>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12月31日之前付7—12月</w:t>
            </w:r>
          </w:p>
        </w:tc>
        <w:tc>
          <w:tcPr>
            <w:tcW w:w="2972" w:type="dxa"/>
            <w:noWrap w:val="0"/>
            <w:vAlign w:val="top"/>
          </w:tcPr>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99000</w:t>
            </w:r>
          </w:p>
        </w:tc>
      </w:tr>
    </w:tbl>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p>
    <w:p>
      <w:pPr>
        <w:keepNext w:val="0"/>
        <w:keepLines w:val="0"/>
        <w:pageBreakBefore w:val="0"/>
        <w:numPr>
          <w:ilvl w:val="0"/>
          <w:numId w:val="1"/>
        </w:numPr>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合同周期：本服务协议，意向三年，一年一签，视当年考核情况确定下一年度合同是否续签，考核为优良则续签，否则不再续签。</w:t>
      </w:r>
    </w:p>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5、违约责任：乙方应按照国家法律法规和学校的相应规定，若出现违反国家法律法规或学校相关规定</w:t>
      </w:r>
    </w:p>
    <w:p>
      <w:pPr>
        <w:snapToGrid w:val="0"/>
        <w:spacing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的情况，或者乙方受到师生多次投诉，甲方有权根据性质和影响，扣罚一定金额的服务作为违约金，情节严重时，甲方有权提前中止本合同，并按照第二条来处理。</w:t>
      </w:r>
    </w:p>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乙方履行合同不符合约定的，若此情况发生三次（含）以上的，甲方有权单方解除本合同，</w:t>
      </w:r>
    </w:p>
    <w:p>
      <w:pPr>
        <w:snapToGrid w:val="0"/>
        <w:spacing w:line="360" w:lineRule="auto"/>
        <w:jc w:val="left"/>
        <w:rPr>
          <w:rFonts w:hint="eastAsia" w:ascii="仿宋_GB2312" w:hAnsi="宋体" w:eastAsia="仿宋_GB2312"/>
          <w:sz w:val="24"/>
          <w:szCs w:val="24"/>
        </w:rPr>
      </w:pPr>
      <w:r>
        <w:rPr>
          <w:rFonts w:hint="eastAsia" w:ascii="宋体" w:hAnsi="宋体" w:eastAsia="宋体" w:cs="宋体"/>
          <w:color w:val="000000"/>
          <w:kern w:val="0"/>
          <w:sz w:val="24"/>
          <w:szCs w:val="24"/>
          <w:lang w:val="en-US" w:eastAsia="zh-CN" w:bidi="ar-SA"/>
        </w:rPr>
        <w:t>乙方除退甲方已付款外，还应向甲方支付合同总金额5%的违约金。若甲方因此造成的损失高过违约金的，则乙方应赔偿甲方的损失（不再支付违约金）。</w:t>
      </w:r>
    </w:p>
    <w:p>
      <w:pPr>
        <w:snapToGrid w:val="0"/>
        <w:spacing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二、评标方法</w:t>
      </w:r>
    </w:p>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p>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本项目评标方法为：综合评分法。</w:t>
      </w:r>
    </w:p>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综合评分明细表</w:t>
      </w:r>
    </w:p>
    <w:tbl>
      <w:tblPr>
        <w:tblStyle w:val="9"/>
        <w:tblpPr w:leftFromText="180" w:rightFromText="180" w:vertAnchor="text" w:horzAnchor="page" w:tblpX="817" w:tblpY="441"/>
        <w:tblOverlap w:val="never"/>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53"/>
        <w:gridCol w:w="1110"/>
        <w:gridCol w:w="621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750"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bookmarkStart w:id="0" w:name="_Toc21566"/>
            <w:r>
              <w:rPr>
                <w:rFonts w:hint="eastAsia" w:ascii="宋体" w:hAnsi="宋体" w:eastAsia="宋体" w:cs="宋体"/>
                <w:color w:val="000000"/>
                <w:kern w:val="0"/>
                <w:sz w:val="21"/>
                <w:szCs w:val="21"/>
                <w:lang w:val="en-US" w:eastAsia="zh-CN" w:bidi="ar-SA"/>
              </w:rPr>
              <w:t>序号</w:t>
            </w:r>
          </w:p>
        </w:tc>
        <w:tc>
          <w:tcPr>
            <w:tcW w:w="1353"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评分因素及权重</w:t>
            </w:r>
          </w:p>
        </w:tc>
        <w:tc>
          <w:tcPr>
            <w:tcW w:w="1110"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分值</w:t>
            </w:r>
          </w:p>
        </w:tc>
        <w:tc>
          <w:tcPr>
            <w:tcW w:w="6215"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评分标准</w:t>
            </w:r>
          </w:p>
        </w:tc>
        <w:tc>
          <w:tcPr>
            <w:tcW w:w="967" w:type="dxa"/>
            <w:noWrap w:val="0"/>
            <w:vAlign w:val="center"/>
          </w:tcPr>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750"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w:t>
            </w:r>
          </w:p>
        </w:tc>
        <w:tc>
          <w:tcPr>
            <w:tcW w:w="1353" w:type="dxa"/>
            <w:noWrap w:val="0"/>
            <w:vAlign w:val="center"/>
          </w:tcPr>
          <w:p>
            <w:pPr>
              <w:snapToGrid w:val="0"/>
              <w:spacing w:line="360" w:lineRule="auto"/>
              <w:ind w:left="420" w:leftChars="200" w:firstLine="0" w:firstLineChars="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报价10%</w:t>
            </w:r>
          </w:p>
        </w:tc>
        <w:tc>
          <w:tcPr>
            <w:tcW w:w="1110"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w:t>
            </w:r>
          </w:p>
        </w:tc>
        <w:tc>
          <w:tcPr>
            <w:tcW w:w="6215"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以评标委员会认定的有效供应商的有效磋商文件中的最低价为评标基准价，其价格分为满分10分。其他供应商的价格分统一按下列公式计算：投标报价得分=（评标基准价/投标报价）×价格权值×100。供应商报价低于采购预算70%或者低于其他有效供应商报价算术平均价60%，有可能影响产品质量或者不能诚信履约的，评审委员会应当要求其在评审现场合理的时间内提供成本构成书面说明，并提交相关证明材料。</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根据《政府采购促进中小企业发展暂行办法》规定，对小型和微型企业产品的价格给予6%的扣除。用扣除后的价格参与评审。</w:t>
            </w:r>
          </w:p>
        </w:tc>
        <w:tc>
          <w:tcPr>
            <w:tcW w:w="967" w:type="dxa"/>
            <w:noWrap w:val="0"/>
            <w:vAlign w:val="center"/>
          </w:tcPr>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750"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w:t>
            </w:r>
          </w:p>
        </w:tc>
        <w:tc>
          <w:tcPr>
            <w:tcW w:w="1353"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项目实施方案20%</w:t>
            </w:r>
          </w:p>
        </w:tc>
        <w:tc>
          <w:tcPr>
            <w:tcW w:w="1110"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w:t>
            </w:r>
          </w:p>
        </w:tc>
        <w:tc>
          <w:tcPr>
            <w:tcW w:w="6215"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实施方案中应包括防制目标、防制范围、项目工期、消杀频次、施工规范、考核标准、考核办法、宣传培训、药械准备、文档管理共 10 项，上述方案须符合采购人要求，每项方案优秀的得 2 分，好的得1分，一般的得 0.5 分，缺项的所缺项不得分。</w:t>
            </w:r>
          </w:p>
        </w:tc>
        <w:tc>
          <w:tcPr>
            <w:tcW w:w="967" w:type="dxa"/>
            <w:noWrap w:val="0"/>
            <w:vAlign w:val="center"/>
          </w:tcPr>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c>
          <w:tcPr>
            <w:tcW w:w="1353"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专项技术方案3</w:t>
            </w:r>
            <w:r>
              <w:rPr>
                <w:rFonts w:hint="eastAsia" w:ascii="宋体" w:hAnsi="宋体" w:cs="宋体"/>
                <w:color w:val="000000"/>
                <w:kern w:val="0"/>
                <w:sz w:val="21"/>
                <w:szCs w:val="21"/>
                <w:lang w:val="en-US" w:eastAsia="zh-CN" w:bidi="ar-SA"/>
              </w:rPr>
              <w:t>7</w:t>
            </w:r>
            <w:r>
              <w:rPr>
                <w:rFonts w:hint="eastAsia" w:ascii="宋体" w:hAnsi="宋体" w:eastAsia="宋体" w:cs="宋体"/>
                <w:color w:val="000000"/>
                <w:kern w:val="0"/>
                <w:sz w:val="21"/>
                <w:szCs w:val="21"/>
                <w:lang w:val="en-US" w:eastAsia="zh-CN" w:bidi="ar-SA"/>
              </w:rPr>
              <w:t>%</w:t>
            </w:r>
          </w:p>
        </w:tc>
        <w:tc>
          <w:tcPr>
            <w:tcW w:w="1110" w:type="dxa"/>
            <w:noWrap w:val="0"/>
            <w:vAlign w:val="center"/>
          </w:tcPr>
          <w:p>
            <w:pPr>
              <w:snapToGrid w:val="0"/>
              <w:spacing w:line="360" w:lineRule="auto"/>
              <w:ind w:firstLine="420" w:firstLineChars="200"/>
              <w:jc w:val="left"/>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37</w:t>
            </w:r>
          </w:p>
        </w:tc>
        <w:tc>
          <w:tcPr>
            <w:tcW w:w="6215"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结合西科大实际，制定病媒生物防制消杀实施方案，其中：</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 xml:space="preserve"> 灭蚊方案（优秀的得 5分；良的得 2分，一般的得 1 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 xml:space="preserve"> 灭蝇方案（优秀的得 5分；良的得 2分，一般的得 1 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 xml:space="preserve"> 灭蟑方案（优秀的得 5 分；良的得 2分，一般的得 1 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灭鼠方案（优秀的得 5 分；良的得 2分，一般的得 1 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 xml:space="preserve"> 孳生地设施设置方案（优秀的得3分，良的得 2分，一般的得 1分）；</w:t>
            </w:r>
          </w:p>
          <w:p>
            <w:pPr>
              <w:pStyle w:val="2"/>
              <w:ind w:firstLine="420" w:firstLineChars="200"/>
              <w:rPr>
                <w:rFonts w:hint="default"/>
                <w:lang w:val="en-US" w:eastAsia="zh-CN"/>
              </w:rPr>
            </w:pPr>
            <w:r>
              <w:rPr>
                <w:rFonts w:hint="eastAsia" w:ascii="宋体" w:hAnsi="宋体" w:eastAsia="宋体" w:cs="宋体"/>
                <w:color w:val="000000"/>
                <w:kern w:val="0"/>
                <w:sz w:val="21"/>
                <w:szCs w:val="21"/>
                <w:lang w:val="en-US" w:eastAsia="zh-CN" w:bidi="ar-SA"/>
              </w:rPr>
              <w:t>6、灭白蚁方案（优秀的得 5分；良的得3分，一般的得 1 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7、</w:t>
            </w:r>
            <w:r>
              <w:rPr>
                <w:rFonts w:hint="eastAsia" w:ascii="宋体" w:hAnsi="宋体" w:eastAsia="宋体" w:cs="宋体"/>
                <w:color w:val="000000"/>
                <w:kern w:val="0"/>
                <w:sz w:val="21"/>
                <w:szCs w:val="21"/>
                <w:lang w:val="en-US" w:eastAsia="zh-CN" w:bidi="ar-SA"/>
              </w:rPr>
              <w:t xml:space="preserve"> 残留药物处理方案（优秀的得 3 分，良的得 2分，一般的得1分）；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8、</w:t>
            </w:r>
            <w:r>
              <w:rPr>
                <w:rFonts w:hint="eastAsia" w:ascii="宋体" w:hAnsi="宋体" w:eastAsia="宋体" w:cs="宋体"/>
                <w:color w:val="000000"/>
                <w:kern w:val="0"/>
                <w:sz w:val="21"/>
                <w:szCs w:val="21"/>
                <w:lang w:val="en-US" w:eastAsia="zh-CN" w:bidi="ar-SA"/>
              </w:rPr>
              <w:t xml:space="preserve"> 突发事件、重大活动应急消杀方案（优秀的得 3分，良的得2 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一般的得 1分）；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9、</w:t>
            </w:r>
            <w:r>
              <w:rPr>
                <w:rFonts w:hint="eastAsia" w:ascii="宋体" w:hAnsi="宋体" w:eastAsia="宋体" w:cs="宋体"/>
                <w:color w:val="000000"/>
                <w:kern w:val="0"/>
                <w:sz w:val="21"/>
                <w:szCs w:val="21"/>
                <w:lang w:val="en-US" w:eastAsia="zh-CN" w:bidi="ar-SA"/>
              </w:rPr>
              <w:t xml:space="preserve"> 制定安全应急预案，优秀的得 3分，好的得 2分，一般的得 1分；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以上</w:t>
            </w: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w:t>
            </w:r>
            <w:r>
              <w:rPr>
                <w:rFonts w:hint="eastAsia" w:ascii="宋体" w:hAnsi="宋体" w:cs="宋体"/>
                <w:color w:val="000000"/>
                <w:kern w:val="0"/>
                <w:sz w:val="21"/>
                <w:szCs w:val="21"/>
                <w:lang w:val="en-US" w:eastAsia="zh-CN" w:bidi="ar-SA"/>
              </w:rPr>
              <w:t>9</w:t>
            </w:r>
            <w:r>
              <w:rPr>
                <w:rFonts w:hint="eastAsia" w:ascii="宋体" w:hAnsi="宋体" w:eastAsia="宋体" w:cs="宋体"/>
                <w:color w:val="000000"/>
                <w:kern w:val="0"/>
                <w:sz w:val="21"/>
                <w:szCs w:val="21"/>
                <w:lang w:val="en-US" w:eastAsia="zh-CN" w:bidi="ar-SA"/>
              </w:rPr>
              <w:t>项缺一项，所缺项不得分</w:t>
            </w:r>
          </w:p>
        </w:tc>
        <w:tc>
          <w:tcPr>
            <w:tcW w:w="967" w:type="dxa"/>
            <w:noWrap w:val="0"/>
            <w:vAlign w:val="center"/>
          </w:tcPr>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0"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w:t>
            </w:r>
          </w:p>
        </w:tc>
        <w:tc>
          <w:tcPr>
            <w:tcW w:w="1353" w:type="dxa"/>
            <w:noWrap w:val="0"/>
            <w:vAlign w:val="center"/>
          </w:tcPr>
          <w:p>
            <w:pPr>
              <w:snapToGrid w:val="0"/>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前期准备及人员、设备配备</w:t>
            </w:r>
            <w:r>
              <w:rPr>
                <w:rFonts w:hint="eastAsia" w:ascii="宋体" w:hAnsi="宋体" w:cs="宋体"/>
                <w:color w:val="000000"/>
                <w:kern w:val="0"/>
                <w:sz w:val="21"/>
                <w:szCs w:val="21"/>
                <w:lang w:val="en-US" w:eastAsia="zh-CN" w:bidi="ar-SA"/>
              </w:rPr>
              <w:t xml:space="preserve">     16</w:t>
            </w:r>
            <w:r>
              <w:rPr>
                <w:rFonts w:hint="eastAsia" w:ascii="宋体" w:hAnsi="宋体" w:eastAsia="宋体" w:cs="宋体"/>
                <w:color w:val="000000"/>
                <w:kern w:val="0"/>
                <w:sz w:val="21"/>
                <w:szCs w:val="21"/>
                <w:lang w:val="en-US" w:eastAsia="zh-CN" w:bidi="ar-SA"/>
              </w:rPr>
              <w:t>%</w:t>
            </w:r>
          </w:p>
        </w:tc>
        <w:tc>
          <w:tcPr>
            <w:tcW w:w="1110" w:type="dxa"/>
            <w:noWrap w:val="0"/>
            <w:vAlign w:val="center"/>
          </w:tcPr>
          <w:p>
            <w:pPr>
              <w:snapToGrid w:val="0"/>
              <w:spacing w:line="360" w:lineRule="auto"/>
              <w:ind w:firstLine="420" w:firstLineChars="200"/>
              <w:jc w:val="left"/>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16</w:t>
            </w:r>
          </w:p>
        </w:tc>
        <w:tc>
          <w:tcPr>
            <w:tcW w:w="6215"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1、 投标人根据本项目需要能出具详细的现场踏勘说明并能从中提出有利于提升服务质量建议，设施设置地点覆盖面积最广且分布情况全面的西科大四害滋生地调查报告。调查报告科学、合理的得</w:t>
            </w:r>
            <w:r>
              <w:rPr>
                <w:rFonts w:hint="eastAsia" w:ascii="宋体" w:hAnsi="宋体" w:cs="宋体"/>
                <w:color w:val="000000"/>
                <w:kern w:val="0"/>
                <w:sz w:val="21"/>
                <w:szCs w:val="21"/>
                <w:lang w:val="en-US" w:eastAsia="zh-CN" w:bidi="ar-SA"/>
              </w:rPr>
              <w:t>7</w:t>
            </w:r>
            <w:r>
              <w:rPr>
                <w:rFonts w:hint="eastAsia" w:ascii="宋体" w:hAnsi="宋体" w:eastAsia="宋体" w:cs="宋体"/>
                <w:color w:val="000000"/>
                <w:kern w:val="0"/>
                <w:sz w:val="21"/>
                <w:szCs w:val="21"/>
                <w:lang w:val="en-US" w:eastAsia="zh-CN" w:bidi="ar-SA"/>
              </w:rPr>
              <w:t>分，较合理的得</w:t>
            </w:r>
            <w:r>
              <w:rPr>
                <w:rFonts w:hint="eastAsia" w:ascii="宋体" w:hAnsi="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分，一般的得</w:t>
            </w: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分，差的或未提供的不得分。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2、本项目服务团队具有安监部门颁发的《危化品从业人员上岗证证书》3人得2分。国家人力资源和社会保障部门颁发的有害生物防治员《职业资格证书》，9人及以上的得</w:t>
            </w: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分， 有5-9人的得2分，5人以下不得分，出具社会保险参保证明作为得分依据，否则不得分。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3、 投标人的消杀服务设备：消杀工作车辆≥2辆（含租赁）；超低容量喷雾机≥3 台；热烟雾机≥2台，机动背负式喷雾机≥10 台的得</w:t>
            </w: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分。</w:t>
            </w:r>
          </w:p>
        </w:tc>
        <w:tc>
          <w:tcPr>
            <w:tcW w:w="967" w:type="dxa"/>
            <w:noWrap w:val="0"/>
            <w:vAlign w:val="center"/>
          </w:tcPr>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750" w:type="dxa"/>
            <w:shd w:val="clear" w:color="auto" w:fill="auto"/>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w:t>
            </w:r>
          </w:p>
        </w:tc>
        <w:tc>
          <w:tcPr>
            <w:tcW w:w="1353" w:type="dxa"/>
            <w:shd w:val="clear" w:color="000000" w:fill="FFFFFF"/>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业绩7%</w:t>
            </w:r>
          </w:p>
        </w:tc>
        <w:tc>
          <w:tcPr>
            <w:tcW w:w="1110" w:type="dxa"/>
            <w:shd w:val="clear" w:color="000000" w:fill="FFFFFF"/>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w:t>
            </w:r>
          </w:p>
        </w:tc>
        <w:tc>
          <w:tcPr>
            <w:tcW w:w="6215" w:type="dxa"/>
            <w:shd w:val="clear" w:color="000000" w:fill="FFFFFF"/>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根据供应商2018年以来参与国家卫生城市病媒生物防制项目业绩综合评定，每一个业绩得1分，最多7分，未提供不得分。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（业绩不能重复计算，以项目合同、中标通知书为准，标书中须附复印件（加盖鲜章），并携带原件备查）</w:t>
            </w:r>
          </w:p>
        </w:tc>
        <w:tc>
          <w:tcPr>
            <w:tcW w:w="967" w:type="dxa"/>
            <w:shd w:val="clear" w:color="000000" w:fill="FFFFFF"/>
            <w:noWrap w:val="0"/>
            <w:vAlign w:val="center"/>
          </w:tcPr>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750" w:type="dxa"/>
            <w:shd w:val="clear" w:color="auto" w:fill="auto"/>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6</w:t>
            </w:r>
          </w:p>
        </w:tc>
        <w:tc>
          <w:tcPr>
            <w:tcW w:w="1353" w:type="dxa"/>
            <w:shd w:val="clear" w:color="000000" w:fill="FFFFFF"/>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信誉8%</w:t>
            </w:r>
          </w:p>
        </w:tc>
        <w:tc>
          <w:tcPr>
            <w:tcW w:w="1110" w:type="dxa"/>
            <w:shd w:val="clear" w:color="000000" w:fill="FFFFFF"/>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w:t>
            </w:r>
          </w:p>
        </w:tc>
        <w:tc>
          <w:tcPr>
            <w:tcW w:w="6215" w:type="dxa"/>
            <w:shd w:val="clear" w:color="000000" w:fill="FFFFFF"/>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投标人具有ISO9001 质量认证体系认证证书的得2分； </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投标人具有ISO14001环境管理体系认证证书的得2分；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投标人具有OHSAS18001职业健康安全管理体系认证证书的得2分；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投标人具有AAA信用等级证书得2分。</w:t>
            </w:r>
          </w:p>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（提供复印件加盖鲜章，原件备查）</w:t>
            </w:r>
          </w:p>
        </w:tc>
        <w:tc>
          <w:tcPr>
            <w:tcW w:w="967" w:type="dxa"/>
            <w:shd w:val="clear" w:color="000000" w:fill="FFFFFF"/>
            <w:noWrap w:val="0"/>
            <w:vAlign w:val="center"/>
          </w:tcPr>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750"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7</w:t>
            </w:r>
          </w:p>
        </w:tc>
        <w:tc>
          <w:tcPr>
            <w:tcW w:w="1353"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响应文件的规范性2%</w:t>
            </w:r>
          </w:p>
        </w:tc>
        <w:tc>
          <w:tcPr>
            <w:tcW w:w="1110"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w:t>
            </w:r>
          </w:p>
        </w:tc>
        <w:tc>
          <w:tcPr>
            <w:tcW w:w="6215" w:type="dxa"/>
            <w:noWrap w:val="0"/>
            <w:vAlign w:val="center"/>
          </w:tcPr>
          <w:p>
            <w:pPr>
              <w:snapToGrid w:val="0"/>
              <w:spacing w:line="360" w:lineRule="auto"/>
              <w:ind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投标文件制作规范，没有偏差的得2分；有一项细微偏差扣0.5分，直至该项分值扣完为止。</w:t>
            </w:r>
          </w:p>
        </w:tc>
        <w:tc>
          <w:tcPr>
            <w:tcW w:w="967" w:type="dxa"/>
            <w:noWrap w:val="0"/>
            <w:vAlign w:val="center"/>
          </w:tcPr>
          <w:p>
            <w:pPr>
              <w:snapToGrid w:val="0"/>
              <w:spacing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共同类评分因素</w:t>
            </w:r>
          </w:p>
        </w:tc>
      </w:tr>
      <w:bookmarkEnd w:id="0"/>
    </w:tbl>
    <w:p>
      <w:pPr>
        <w:keepNext w:val="0"/>
        <w:keepLines w:val="0"/>
        <w:pageBreakBefore w:val="0"/>
        <w:tabs>
          <w:tab w:val="left" w:pos="0"/>
        </w:tabs>
        <w:kinsoku/>
        <w:wordWrap/>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1B539"/>
    <w:multiLevelType w:val="singleLevel"/>
    <w:tmpl w:val="A551B53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WI0Nzg1MTEwOGRiYTlmYmFiOGRkODI4MTA5ZTcifQ=="/>
  </w:docVars>
  <w:rsids>
    <w:rsidRoot w:val="29B56E6B"/>
    <w:rsid w:val="0FE021E1"/>
    <w:rsid w:val="15664B25"/>
    <w:rsid w:val="29B56E6B"/>
    <w:rsid w:val="2E276BB9"/>
    <w:rsid w:val="2EE14D4D"/>
    <w:rsid w:val="347138D0"/>
    <w:rsid w:val="351B1DBB"/>
    <w:rsid w:val="3584356C"/>
    <w:rsid w:val="40356C92"/>
    <w:rsid w:val="4D22064E"/>
    <w:rsid w:val="60397415"/>
    <w:rsid w:val="610572F8"/>
    <w:rsid w:val="72EE1712"/>
    <w:rsid w:val="77F40556"/>
    <w:rsid w:val="7A1E34AC"/>
    <w:rsid w:val="7B43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widowControl w:val="0"/>
      <w:spacing w:before="340" w:after="330" w:line="578" w:lineRule="auto"/>
      <w:outlineLvl w:val="0"/>
    </w:pPr>
    <w:rPr>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99"/>
    <w:pPr>
      <w:snapToGrid w:val="0"/>
      <w:spacing w:line="440" w:lineRule="exact"/>
    </w:pPr>
    <w:rPr>
      <w:rFonts w:ascii="Times New Roman" w:eastAsia="Times New Roman"/>
      <w:sz w:val="20"/>
    </w:rPr>
  </w:style>
  <w:style w:type="paragraph" w:styleId="5">
    <w:name w:val="Title"/>
    <w:basedOn w:val="6"/>
    <w:next w:val="1"/>
    <w:qFormat/>
    <w:uiPriority w:val="10"/>
    <w:pPr>
      <w:spacing w:before="240" w:after="60"/>
      <w:jc w:val="center"/>
      <w:outlineLvl w:val="0"/>
    </w:pPr>
    <w:rPr>
      <w:rFonts w:ascii="Calibri Light" w:hAnsi="Calibri Light"/>
      <w:b/>
      <w:bCs/>
      <w:sz w:val="32"/>
      <w:szCs w:val="32"/>
    </w:rPr>
  </w:style>
  <w:style w:type="paragraph" w:styleId="6">
    <w:name w:val="List 2"/>
    <w:basedOn w:val="1"/>
    <w:qFormat/>
    <w:uiPriority w:val="0"/>
    <w:pPr>
      <w:ind w:left="100" w:leftChars="200" w:hanging="200" w:hangingChars="200"/>
      <w:contextualSpacing/>
    </w:pPr>
  </w:style>
  <w:style w:type="paragraph" w:styleId="7">
    <w:name w:val="Normal Indent"/>
    <w:basedOn w:val="1"/>
    <w:qFormat/>
    <w:uiPriority w:val="0"/>
    <w:pPr>
      <w:ind w:firstLine="200" w:firstLineChars="200"/>
    </w:pPr>
  </w:style>
  <w:style w:type="paragraph" w:styleId="8">
    <w:name w:val="Body Text Indent"/>
    <w:basedOn w:val="1"/>
    <w:qFormat/>
    <w:uiPriority w:val="0"/>
    <w:pPr>
      <w:ind w:firstLine="630"/>
    </w:pPr>
    <w:rPr>
      <w:sz w:val="32"/>
      <w:szCs w:val="20"/>
    </w:rPr>
  </w:style>
  <w:style w:type="paragraph" w:styleId="11">
    <w:name w:val="List Paragraph"/>
    <w:basedOn w:val="1"/>
    <w:qFormat/>
    <w:uiPriority w:val="0"/>
    <w:pPr>
      <w:ind w:firstLine="420" w:firstLineChars="200"/>
    </w:pPr>
    <w:rPr>
      <w:rFonts w:ascii="Times New Roman" w:hAnsi="Times New Roman"/>
    </w:rPr>
  </w:style>
  <w:style w:type="paragraph" w:customStyle="1" w:styleId="12">
    <w:name w:val="Style1"/>
    <w:basedOn w:val="1"/>
    <w:qFormat/>
    <w:uiPriority w:val="0"/>
    <w:pPr>
      <w:adjustRightInd w:val="0"/>
      <w:jc w:val="left"/>
    </w:pPr>
    <w:rPr>
      <w:rFonts w:asci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8182</Words>
  <Characters>8690</Characters>
  <Lines>0</Lines>
  <Paragraphs>0</Paragraphs>
  <TotalTime>52</TotalTime>
  <ScaleCrop>false</ScaleCrop>
  <LinksUpToDate>false</LinksUpToDate>
  <CharactersWithSpaces>8900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2022-12-21T07:08:00Z</dcterms:created>
  <dc:creator>Administrator</dc:creator>
  <cp:lastModifiedBy>Administrator</cp:lastModifiedBy>
  <cp:lastPrinted>2022-12-22T08:17:00Z</cp:lastPrinted>
  <dcterms:modified xsi:type="dcterms:W3CDTF">2022-12-23T02:11:30Z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C0584C95B94D4AF48E1CD88D4A9CD226</vt:lpwstr>
  </property>
</Properties>
</file>