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auto"/>
        <w:jc w:val="center"/>
        <w:rPr>
          <w:rFonts w:hint="default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</w:rPr>
        <w:t>郴州</w:t>
      </w:r>
      <w:r>
        <w:rPr>
          <w:rFonts w:hint="eastAsia"/>
          <w:b/>
          <w:sz w:val="48"/>
          <w:szCs w:val="48"/>
          <w:lang w:val="en-US" w:eastAsia="zh-CN"/>
        </w:rPr>
        <w:t>技师学院除四害施工方案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一、项目概况</w:t>
      </w:r>
    </w:p>
    <w:p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郴州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技师学院除四害施工方案。</w:t>
      </w:r>
    </w:p>
    <w:p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2、防治对象：</w:t>
      </w:r>
      <w:r>
        <w:rPr>
          <w:rFonts w:hint="eastAsia" w:ascii="仿宋" w:hAnsi="仿宋" w:eastAsia="仿宋" w:cs="仿宋"/>
          <w:sz w:val="32"/>
          <w:szCs w:val="32"/>
        </w:rPr>
        <w:t>老鼠、蟑螂、蚊子、苍蝇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白蚁、树木病虫害、蛇（蛇活动季节需在相关场地撒雄黄驱赶）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防治范围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郴州技师学院（含三个家属区）。</w:t>
      </w:r>
    </w:p>
    <w:p>
      <w:pPr>
        <w:spacing w:after="156" w:afterLines="50" w:line="6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防制方式：</w:t>
      </w:r>
      <w:r>
        <w:rPr>
          <w:rFonts w:hint="eastAsia" w:ascii="仿宋" w:hAnsi="仿宋" w:eastAsia="仿宋" w:cs="仿宋"/>
          <w:sz w:val="32"/>
          <w:szCs w:val="32"/>
        </w:rPr>
        <w:t>物理防制、化学防制、综合防制。</w:t>
      </w:r>
    </w:p>
    <w:p>
      <w:pPr>
        <w:spacing w:after="156" w:afterLines="50" w:line="6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控制标准：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5.1、灭鼠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达到国家标准GB/T 27770-2011病媒生物密度控制水平鼠类C级：  </w:t>
      </w:r>
    </w:p>
    <w:p>
      <w:pPr>
        <w:spacing w:line="360" w:lineRule="auto"/>
        <w:ind w:firstLine="48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 防鼠设施合格率大于或等于93%；</w:t>
      </w:r>
    </w:p>
    <w:p>
      <w:pPr>
        <w:spacing w:line="360" w:lineRule="auto"/>
        <w:ind w:firstLine="48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 室内鼠迹阳性率小于或等于3%；</w:t>
      </w:r>
    </w:p>
    <w:p>
      <w:pPr>
        <w:spacing w:line="360" w:lineRule="auto"/>
        <w:ind w:firstLine="48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 外环境路径指数小于或等于5%。</w:t>
      </w:r>
    </w:p>
    <w:p>
      <w:pPr>
        <w:tabs>
          <w:tab w:val="left" w:pos="2440"/>
        </w:tabs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5.2、灭蟑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达到GB/T 27773-2011 《病媒生物密度控制水平  蜚蠊》所要求的C级标准。</w:t>
      </w:r>
    </w:p>
    <w:p>
      <w:pPr>
        <w:tabs>
          <w:tab w:val="left" w:pos="2440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2.1蜚蠊成若虫侵害率小于或等于5%，平均每阳性间成若虫数小蠊小于或等于10只，大蠊小于或等于5只；</w:t>
      </w:r>
    </w:p>
    <w:p>
      <w:pPr>
        <w:tabs>
          <w:tab w:val="left" w:pos="2440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2.2蜚蠊卵鞘查获率小于或等于3%，平均每阳性间卵鞘数小于或等于8只；</w:t>
      </w:r>
    </w:p>
    <w:p>
      <w:pPr>
        <w:tabs>
          <w:tab w:val="left" w:pos="2440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2.3蟑迹查获率小于或等于7%。</w:t>
      </w:r>
    </w:p>
    <w:p>
      <w:pPr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5.3、灭蚊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达到国家标准GB/T 27771-2011病媒生物密度控制水平蚊类C级：</w:t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3.1小型积水蚊密度控制水平：路径指数小于或等于0.8。</w:t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3.2中大型水体蚊密度控制水平：采样勺指数小于或等于5%，平均每阳性勺少于8只蚊幼虫和蛹。</w:t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3.3外环境蚊密度控制水平：停落指数小于或等于1.5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5.4、灭蝇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达到国家标准GB/T 27772-2011病媒生物密度控制水平蝇类C级：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4.1生产销售直接入口食品的场所不得有蝇。室内不得存在蝇类孳生地。</w:t>
      </w:r>
    </w:p>
    <w:p>
      <w:pPr>
        <w:spacing w:line="360" w:lineRule="auto"/>
        <w:ind w:firstLine="547" w:firstLineChars="1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4.2 室内蝇密度控制水平：有蝇房间阳性率小于或等于9%，阳性间蝇密度小于或等于3只/间；</w:t>
      </w:r>
    </w:p>
    <w:p>
      <w:pPr>
        <w:spacing w:line="360" w:lineRule="auto"/>
        <w:ind w:firstLine="547" w:firstLineChars="1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4.3 室外蝇类孳生地密度控制水平：蝇类孳生地阳性率小于或等于5%；</w:t>
      </w:r>
    </w:p>
    <w:p>
      <w:pPr>
        <w:spacing w:line="360" w:lineRule="auto"/>
        <w:ind w:firstLine="547" w:firstLineChars="17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4.4 防蝇设施：合格率大于或等于90%。</w:t>
      </w:r>
    </w:p>
    <w:p>
      <w:pPr>
        <w:keepNext w:val="0"/>
        <w:keepLines w:val="0"/>
        <w:pageBreakBefore w:val="0"/>
        <w:widowControl w:val="0"/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病媒生物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综合治理方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案</w:t>
      </w:r>
    </w:p>
    <w:p>
      <w:pPr>
        <w:keepNext w:val="0"/>
        <w:keepLines w:val="0"/>
        <w:pageBreakBefore w:val="0"/>
        <w:widowControl w:val="0"/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（一）白蚁：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白蚁的营养物质主要来源于植物和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木材的纤维素和半纤维素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。因此，木制品是白蚁主要食物，通常白蚁从木材内部开始侵蚀。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据调查，在郴州市特殊人群涉毒人员收治中心有白蚁的侵害，我公司在此要做白蚁的防制，依据现有的技术力量，在调查白蚁侵害状况后，填写调查记录表并根据不同部位，做相应处理措施。</w:t>
      </w:r>
    </w:p>
    <w:p>
      <w:pPr>
        <w:keepNext w:val="0"/>
        <w:keepLines w:val="0"/>
        <w:pageBreakBefore w:val="0"/>
        <w:widowControl w:val="0"/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白蚁的防制方法：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1、物理方法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——物理器械防制方法就是利用人工，器械和热、光、电、声、波等物理能来防制有害生物。如用挖巢法直接毁灭蚁群，用灯光诱杀有翅白蚁，用热杀灭堆沙白蚁，用高频和微波灭蚁等。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常用的物理防制方法：高温灭蚁法、水浸法、灯光诱杀法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化学方法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——化学防制方法是利用各种有毒的化学物质（药剂），通过一定的方法，直接接触有害生物，或者处理栖息、孳生场所、危害对象，使有害生物因接触或事在人为药剂而中毒死亡，或者因此产生忌避作用而不能侵入。化学防制具有见效快、效率高的特点，但存在环境危害和白蚁易产生抗药性的缺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常用的化学防制方法：粉剂毒杀法、水剂喷洒法、诱杀法、浇灌药剂法、熏蒸法。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3、环境治理方法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——环境防制主要通过环境整治，改变有害生物的生存环境，是从根本上控制有害生物孳生与繁殖的方法。</w:t>
      </w:r>
    </w:p>
    <w:p>
      <w:pPr>
        <w:tabs>
          <w:tab w:val="left" w:pos="6951"/>
        </w:tabs>
        <w:spacing w:line="360" w:lineRule="auto"/>
        <w:ind w:left="359" w:leftChars="171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sz w:val="32"/>
          <w:szCs w:val="32"/>
        </w:rPr>
        <w:t>鼠类防治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1、查鼠情和生境条件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首次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调查中我们发现对于戒毒所食堂，特别是绿化空地、杂草处鼠迹、鼠洞处繁多可见鼠患已非常严重，在今后的</w:t>
      </w:r>
      <w:r>
        <w:rPr>
          <w:rFonts w:hint="eastAsia" w:ascii="仿宋" w:hAnsi="仿宋" w:eastAsia="仿宋" w:cs="仿宋"/>
          <w:sz w:val="32"/>
          <w:szCs w:val="32"/>
        </w:rPr>
        <w:t>服务中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先</w:t>
      </w:r>
      <w:r>
        <w:rPr>
          <w:rFonts w:hint="eastAsia" w:ascii="仿宋" w:hAnsi="仿宋" w:eastAsia="仿宋" w:cs="仿宋"/>
          <w:sz w:val="32"/>
          <w:szCs w:val="32"/>
        </w:rPr>
        <w:t>找宜于鼠类栖息活动的场所，特别是鼠类进入室内（主要针对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食堂</w:t>
      </w:r>
      <w:r>
        <w:rPr>
          <w:rFonts w:hint="eastAsia" w:ascii="仿宋" w:hAnsi="仿宋" w:eastAsia="仿宋" w:cs="仿宋"/>
          <w:sz w:val="32"/>
          <w:szCs w:val="32"/>
        </w:rPr>
        <w:t>办公区域）的通道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室外绿化空地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2、确定综合防治方案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根据上述调查制定防治方案，确定灭鼠方法（工具捕杀、慢性灭鼠剂毒杀、熏蒸剂熏杀等）、防鼠部位（门、窗、孔、洞等）使用专业耗材进行处理，明确各种措施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实施步骤。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3、确保人、畜和宠物安全，防止环境污染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使用灭鼠药物必须确保人、畜的安全。灭鼠毒饵投放应做到以下几点：按规定量投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毒</w:t>
      </w:r>
      <w:r>
        <w:rPr>
          <w:rFonts w:hint="eastAsia" w:ascii="仿宋" w:hAnsi="仿宋" w:eastAsia="仿宋" w:cs="仿宋"/>
          <w:sz w:val="32"/>
          <w:szCs w:val="32"/>
        </w:rPr>
        <w:t>饵于鼠道上或鼠类经常出没场所，使儿童、禽畜和宠物无法取食；投放点作详细记录。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定期检查、巩固防治效果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在外环境减少鼠类栖息藏身之地以及落实防鼠措施的基础上，设置固定的毒饵站、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投放</w:t>
      </w:r>
      <w:r>
        <w:rPr>
          <w:rFonts w:hint="eastAsia" w:ascii="仿宋" w:hAnsi="仿宋" w:eastAsia="仿宋" w:cs="仿宋"/>
          <w:sz w:val="32"/>
          <w:szCs w:val="32"/>
        </w:rPr>
        <w:t>慢性抗凝血灭鼠剂毒饵，供残存鼠和入侵鼠盗食，作为长期巩固的措施。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</w:rPr>
        <w:t>蟑螂防治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蟑螂主要可能出现在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食堂、</w:t>
      </w:r>
      <w:r>
        <w:rPr>
          <w:rFonts w:hint="eastAsia" w:ascii="仿宋" w:hAnsi="仿宋" w:eastAsia="仿宋" w:cs="仿宋"/>
          <w:sz w:val="32"/>
          <w:szCs w:val="32"/>
        </w:rPr>
        <w:t>办公区域、食堂厨房等地方，而这些区域是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重点关注的地方。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调查蟑螂种类、栖息场所和密度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用二氯苯醚菊酯气雾剂喷射孔、洞、缝隙，将蟑螂驱赶出来。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2、确定综合防治方案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根据上述调查制定综合防治方案，确定药物杀灭方法（滞留喷洒、毒饵、热烟雾熏杀等）。清除蟑螂栖息繁殖场所（堵洞填缝的部位）清除卵鞘（因为药物不能杀死卵鞘，只有仔细检查予以清除）等措施。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3、防止食品污染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用药时要特别注意，以免污染食物。粉剂决不放于厨房。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4、定期检查，巩固防治效果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杀</w:t>
      </w:r>
      <w:r>
        <w:rPr>
          <w:rFonts w:hint="eastAsia" w:ascii="仿宋" w:hAnsi="仿宋" w:eastAsia="仿宋" w:cs="仿宋"/>
          <w:sz w:val="32"/>
          <w:szCs w:val="32"/>
        </w:rPr>
        <w:t>灭局部的蟑螂有时很难做到，因为可能遗漏了活的卵鞘、漏处理了某个蟑螂的栖息藏身之地、蟑螂对药物不敏感未被杀灭等，因此必须反复检查，发现情况要分析并找出原因作针对性处置，才能长期巩固防治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b/>
          <w:sz w:val="32"/>
          <w:szCs w:val="32"/>
        </w:rPr>
        <w:t>蚊蝇防治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蚊类的防治要点：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查清蚊种与孳生场所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可从成蚊和蚊幼虫的外形确定蚊种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尽管灭蚊一般是要控制所有种类的吸血蚊虫，但还是需要通过调查了解蚊种构成情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况，</w:t>
      </w:r>
      <w:r>
        <w:rPr>
          <w:rFonts w:hint="eastAsia" w:ascii="仿宋" w:hAnsi="仿宋" w:eastAsia="仿宋" w:cs="仿宋"/>
          <w:sz w:val="32"/>
          <w:szCs w:val="32"/>
        </w:rPr>
        <w:t>以便采取针对主要有害蚊种的防治措施。查孳生地：水坑、下水道、喷水池、花盆盆套等大小水体。查成蚊停歇场所：杂物间、卫生间等。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确定综合治理方案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蚊类综合防治方案既针对蚊幼孳生地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成蚊。根据孳生地调查结果，确定每处孳生地处理的措施，如清除、疏通、填平、加盖、投放杀幼虫等。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合理用药，减少环境污染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蚊类孳生地能清除的尽可能清除。蚊类经常停歇的部位，使用长效卫生杀虫剂作滞留喷洒处理，尽可能减少用药造成的环境污染和抗性产生。在蚊类密度很高、或可能发生蚊媒传染病的情况下，使用超低容量喷雾或热烟雾作空间处理杀灭成蚊。重点防治区域：局内绿化带、下水沟、水池等区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定期检查、巩固防治效果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对蚊类孳生地进行定期检查。除检查原有的孳生地控制效果之外，还要查看有无新的孳生地产生。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2、蝇类防治要点：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</w:t>
      </w:r>
      <w:r>
        <w:rPr>
          <w:rFonts w:hint="eastAsia" w:ascii="仿宋" w:hAnsi="仿宋" w:eastAsia="仿宋" w:cs="仿宋"/>
          <w:sz w:val="32"/>
          <w:szCs w:val="32"/>
        </w:rPr>
        <w:t>常见的蝇类有家蝇、市蝇、厩腐蝇等18种，其中以家蝇、大头金蝇、丝光绿蝇三种最为常见。蝇具有趋向性、白昼活动、夜间栖息的习性。通常在人畜粪便、腐败动植物及垃圾里孳生。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1、作业</w:t>
      </w:r>
      <w:r>
        <w:rPr>
          <w:rFonts w:hint="eastAsia" w:ascii="仿宋" w:hAnsi="仿宋" w:eastAsia="仿宋" w:cs="仿宋"/>
          <w:sz w:val="32"/>
          <w:szCs w:val="32"/>
        </w:rPr>
        <w:t>时应首先找出蝇孳生地进行有效的处理。然后采用物理或化学药物有效杀灭成蝇。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处理孳生地：主要是搞好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部队</w:t>
      </w:r>
      <w:r>
        <w:rPr>
          <w:rFonts w:hint="eastAsia" w:ascii="仿宋" w:hAnsi="仿宋" w:eastAsia="仿宋" w:cs="仿宋"/>
          <w:sz w:val="32"/>
          <w:szCs w:val="32"/>
        </w:rPr>
        <w:t>内大院环境卫生，消除孳生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场所</w:t>
      </w:r>
      <w:r>
        <w:rPr>
          <w:rFonts w:hint="eastAsia" w:ascii="仿宋" w:hAnsi="仿宋" w:eastAsia="仿宋" w:cs="仿宋"/>
          <w:sz w:val="32"/>
          <w:szCs w:val="32"/>
        </w:rPr>
        <w:t>，如垃圾、粪便、各种腐殖质等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垃圾用塑料袋装，垃圾桶（箱）要加盖，垃圾桶要硬底化，垃圾要做到日产日清，每周要彻底清理垃圾桶底和清洗一至二次，花盘花坛及绿化带不要施放未发酵的有机物质做肥料，把药物喷洒在垃圾桶或蝇可能孳生的周围土壤里，（包括垃圾桶内）湿透土层3—5厘米，杀灭控制幼虫的繁殖和孳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杀灭成蝇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A：在室外采用滞留喷洒在孳生地表面和周围以及附近的植被表面，树丛、草丛中，厕所内外墙；垃圾桶（箱）的内外壁。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B：在室内可采用滞留喷洒在门、窗或2米以上的墙壁、天花板、柱子、吊扇等及各种悬挂的绳线的表面。一般每平方米喷稀释后的药液50毫克，在吸水性强、卫生较差的地方，喷药量适当加大。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C:在室内采用超低容量进行空间喷洒，直接杀灭成蝇。或使用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毒饵和诱蝇笼毒杀和诱捕成蝇。</w:t>
      </w:r>
    </w:p>
    <w:p>
      <w:pPr>
        <w:widowControl/>
        <w:spacing w:after="156" w:afterLines="50"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、具体施工安排表</w:t>
      </w:r>
    </w:p>
    <w:tbl>
      <w:tblPr>
        <w:tblStyle w:val="3"/>
        <w:tblW w:w="0" w:type="auto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367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3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重点消杀防治期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巩固维护期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人员</w:t>
            </w:r>
          </w:p>
        </w:tc>
        <w:tc>
          <w:tcPr>
            <w:tcW w:w="436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技术主管与有害生物防制员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2人。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有害生物防制员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频率</w:t>
            </w:r>
          </w:p>
        </w:tc>
        <w:tc>
          <w:tcPr>
            <w:tcW w:w="4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双方签订合同之日起，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白蚁：前期每月一次，后期两个月一次（根据实际情况可增加杀灭次数）；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鼠、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蟑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每月进行一次防制；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蚊、蝇5-10月各杀灭一次；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树木虫害繁殖期每月对树木检查有虫害及时处理；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蛇（蛇活动季节需在相关场地撒雄黄驱赶）。</w:t>
            </w:r>
            <w:bookmarkStart w:id="0" w:name="_GoBack"/>
            <w:bookmarkEnd w:id="0"/>
          </w:p>
        </w:tc>
        <w:tc>
          <w:tcPr>
            <w:tcW w:w="3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每月进行一次全面检查，有针对性地处理孳生场所。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老鼠，每月处进行一次消杀作业。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蟑螂按施工要求进行防制，灭蚊子、苍蝇，根据虫害的消长季节，进行重点消杀作业。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消杀作业内容</w:t>
            </w:r>
          </w:p>
        </w:tc>
        <w:tc>
          <w:tcPr>
            <w:tcW w:w="4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设25个毒饵站，投放鼠药，使用“磷化铝”堵封鼠洞；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针对食堂、办公区域灭蟑；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对空坪隙地重点灭蚊、蝇；使用“8%高氯残杀威悬浮剂和15%辛硫磷”对垃圾站、院内绿化带进行蚊、蝇消杀；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在水沟及水池等水体中投放缓释剂，从根源上进行防治；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用白拜对白蚁消杀；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树木病虫害主要用氯氰菊酯喷洒消杀。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以灭鼠、为主，对鼠饵站内的毒饵进行定期检查、清理，保证毒饵的新鲜。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备注：</w:t>
            </w:r>
          </w:p>
        </w:tc>
        <w:tc>
          <w:tcPr>
            <w:tcW w:w="77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在创文应急情况下，及时处理。</w:t>
            </w: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、药械选择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和施工过程中的环境保护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）药械选择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</w:t>
      </w:r>
      <w:r>
        <w:rPr>
          <w:rFonts w:hint="eastAsia" w:ascii="仿宋" w:hAnsi="仿宋" w:eastAsia="仿宋" w:cs="仿宋"/>
          <w:sz w:val="32"/>
          <w:szCs w:val="32"/>
        </w:rPr>
        <w:t>公司主要选用由WHO和我国环境保护部门、农业部门认可的杀虫剂，世界知名企业的系列产品。绝不选用国家已经禁止使用和未获登记的药剂。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、根据不同的施药环境选择相应药剂种类和剂型。</w:t>
      </w:r>
    </w:p>
    <w:p>
      <w:pPr>
        <w:spacing w:line="360" w:lineRule="auto"/>
        <w:ind w:left="56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3、对同一环境有多种药剂可选择时，选择相对高效、环保和人类安全的药剂。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、所选用之药品均不会对环境造成二次污染。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、施工过程中的环境保护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、在进行现场施药之前，对将要施工的环境害虫进行调查，选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择无污染</w:t>
      </w:r>
      <w:r>
        <w:rPr>
          <w:rFonts w:hint="eastAsia" w:ascii="仿宋" w:hAnsi="仿宋" w:eastAsia="仿宋" w:cs="仿宋"/>
          <w:sz w:val="32"/>
          <w:szCs w:val="32"/>
        </w:rPr>
        <w:t>药物种类和剂型。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、采取综合防治措施，不仅仅依赖药物的毒杀作用。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、选择高效器具和相应的使用方法，尽量减少药剂使用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造成的环境污染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、治理后的所有废弃物由本公司自行处理。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/>
    <w:p/>
    <w:p/>
    <w:p/>
    <w:p/>
    <w:p/>
    <w:p/>
    <w:p/>
    <w:p/>
    <w:p/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五 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郴州技师学院除四害经费预算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消杀范围：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郴州技师学院（含三个院区），除“四害”（包括灭：老鼠、蟑螂、蚊子、苍蝇、蜈蚣、蛇，淡季每月一次，旺季每月2次，树木病虫害防制虫害繁殖期每季度一次）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全年经费预算：</w:t>
      </w:r>
    </w:p>
    <w:tbl>
      <w:tblPr>
        <w:tblStyle w:val="3"/>
        <w:tblW w:w="9217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077"/>
        <w:gridCol w:w="2167"/>
        <w:gridCol w:w="1316"/>
        <w:gridCol w:w="1184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1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灭鼠药品、器械</w:t>
            </w:r>
          </w:p>
        </w:tc>
        <w:tc>
          <w:tcPr>
            <w:tcW w:w="21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环保型灭鼠药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60公斤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25元/公斤</w:t>
            </w: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7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鼠笼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60个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15元/个</w:t>
            </w: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7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粘鼠板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50块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8元/块</w:t>
            </w: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7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补装灭鼠亭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10个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30元/个</w:t>
            </w: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7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灭蟑药品</w:t>
            </w:r>
          </w:p>
        </w:tc>
        <w:tc>
          <w:tcPr>
            <w:tcW w:w="21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灭蟑饵剂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2公斤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800元/公斤</w:t>
            </w: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7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方便贴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50盒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10元/盒</w:t>
            </w: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7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灭蟑针剂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50只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20元/支</w:t>
            </w: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7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灭蚊、蝇等药品</w:t>
            </w:r>
          </w:p>
        </w:tc>
        <w:tc>
          <w:tcPr>
            <w:tcW w:w="21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5%高效氯氟氰菊酯水乳剂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160元</w:t>
            </w: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7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8%高氯残杀威悬浮剂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120元</w:t>
            </w: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7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2.15%吡虫啉饵剂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150元</w:t>
            </w: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灭白蚁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白拜</w:t>
            </w:r>
          </w:p>
        </w:tc>
        <w:tc>
          <w:tcPr>
            <w:tcW w:w="13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40瓶</w:t>
            </w:r>
          </w:p>
        </w:tc>
        <w:tc>
          <w:tcPr>
            <w:tcW w:w="11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120元/瓶</w:t>
            </w:r>
          </w:p>
        </w:tc>
        <w:tc>
          <w:tcPr>
            <w:tcW w:w="13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树木病虫害防制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驱蛇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雄黄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人工费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税费6%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40" w:type="dxa"/>
          </w:tcPr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7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6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20840.00元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7040" w:firstLineChars="220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0E8E2"/>
    <w:multiLevelType w:val="singleLevel"/>
    <w:tmpl w:val="98A0E8E2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  <w:sz w:val="30"/>
        <w:szCs w:val="30"/>
      </w:rPr>
    </w:lvl>
  </w:abstractNum>
  <w:abstractNum w:abstractNumId="1">
    <w:nsid w:val="578322A8"/>
    <w:multiLevelType w:val="singleLevel"/>
    <w:tmpl w:val="578322A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8323A0"/>
    <w:multiLevelType w:val="singleLevel"/>
    <w:tmpl w:val="578323A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8326CF"/>
    <w:multiLevelType w:val="singleLevel"/>
    <w:tmpl w:val="578326CF"/>
    <w:lvl w:ilvl="0" w:tentative="0">
      <w:start w:val="4"/>
      <w:numFmt w:val="decimal"/>
      <w:suff w:val="nothing"/>
      <w:lvlText w:val="%1、"/>
      <w:lvlJc w:val="left"/>
    </w:lvl>
  </w:abstractNum>
  <w:abstractNum w:abstractNumId="4">
    <w:nsid w:val="57834547"/>
    <w:multiLevelType w:val="singleLevel"/>
    <w:tmpl w:val="5783454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5F2C5A"/>
    <w:multiLevelType w:val="singleLevel"/>
    <w:tmpl w:val="595F2C5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TdjYjM2ZTI4YTEwN2U1ZjcyNGQzODE0MDUyZmQifQ=="/>
  </w:docVars>
  <w:rsids>
    <w:rsidRoot w:val="00000000"/>
    <w:rsid w:val="03250924"/>
    <w:rsid w:val="06CA09BD"/>
    <w:rsid w:val="10FA6B0D"/>
    <w:rsid w:val="49112985"/>
    <w:rsid w:val="55031BD2"/>
    <w:rsid w:val="551460C2"/>
    <w:rsid w:val="6C44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3798</Words>
  <Characters>3991</Characters>
  <Lines>0</Lines>
  <Paragraphs>0</Paragraphs>
  <TotalTime>1</TotalTime>
  <ScaleCrop>false</ScaleCrop>
  <LinksUpToDate>false</LinksUpToDate>
  <CharactersWithSpaces>4094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2021-12-07T03:25:00Z</cp:lastPrinted>
  <dcterms:modified xsi:type="dcterms:W3CDTF">2022-12-06T08:26:26Z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E4A79DD859E84D32A8DA589F177F1576</vt:lpwstr>
  </property>
</Properties>
</file>