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440115-2022-06197</w:t>
      </w:r>
    </w:p>
    <w:p>
      <w:pPr>
        <w:jc w:val="center"/>
      </w:pPr>
      <w:r>
        <w:rPr>
          <w:b/>
          <w:sz w:val="24"/>
        </w:rPr>
        <w:t>采购项目编号：</w:t>
      </w:r>
      <w:r>
        <w:rPr>
          <w:b/>
          <w:sz w:val="24"/>
        </w:rPr>
        <w:t>GZHC-2022111600020</w:t>
      </w:r>
    </w:p>
    <w:p>
      <w:pPr>
        <w:jc w:val="center"/>
      </w:pPr>
      <w:r>
        <w:rPr>
          <w:b/>
          <w:sz w:val="24"/>
        </w:rPr>
        <w:t>项目名称：</w:t>
      </w:r>
      <w:r>
        <w:rPr>
          <w:b/>
          <w:sz w:val="24"/>
        </w:rPr>
        <w:t>大岗镇2023年防制四害（登革热）消杀药物项目</w:t>
      </w:r>
    </w:p>
    <w:p>
      <w:pPr>
        <w:jc w:val="center"/>
      </w:pPr>
      <w:r>
        <w:rPr>
          <w:b/>
          <w:sz w:val="24"/>
        </w:rPr>
        <w:t>采购人：</w:t>
      </w:r>
      <w:r>
        <w:rPr>
          <w:b/>
          <w:sz w:val="24"/>
        </w:rPr>
        <w:t>广州市南沙区大岗镇人民政府</w:t>
      </w:r>
    </w:p>
    <w:p>
      <w:pPr>
        <w:jc w:val="center"/>
      </w:pPr>
      <w:r>
        <w:rPr>
          <w:b/>
          <w:sz w:val="24"/>
        </w:rPr>
        <w:t>采购代理机构：</w:t>
      </w:r>
      <w:r>
        <w:rPr>
          <w:b/>
          <w:sz w:val="24"/>
        </w:rPr>
        <w:t>广州华诚项目管理咨询有限公司</w:t>
      </w:r>
    </w:p>
    <w:p>
      <w:pPr>
        <w:ind w:firstLine="480"/>
      </w:pPr>
    </w:p>
    <w:p>
      <w:r>
        <w:rPr/>
        <w:t xml:space="preserve"> </w:t>
      </w:r>
    </w:p>
    <w:p/>
    <w:p>
      <w:pPr>
        <w:jc w:val="center"/>
      </w:pPr>
      <w:r>
        <w:rPr>
          <w:b/>
          <w:sz w:val="36"/>
        </w:rPr>
        <w:t>第一章投标邀请</w:t>
      </w:r>
    </w:p>
    <w:p>
      <w:pPr>
        <w:ind w:firstLine="480"/>
      </w:pPr>
      <w:r>
        <w:rPr/>
        <w:t>广州华诚项目管理咨询有限公司</w:t>
      </w:r>
      <w:r>
        <w:rPr/>
        <w:t>受</w:t>
      </w:r>
      <w:r>
        <w:rPr/>
        <w:t>广州市南沙区大岗镇人民政府</w:t>
      </w:r>
      <w:r>
        <w:rPr/>
        <w:t>的委托，采用</w:t>
      </w:r>
      <w:r>
        <w:rPr/>
        <w:t>公开招标</w:t>
      </w:r>
      <w:r>
        <w:rPr/>
        <w:t>方式组织采购</w:t>
      </w:r>
      <w:r>
        <w:rPr/>
        <w:t>大岗镇2023年防制四害（登革热）消杀药物项目</w:t>
      </w:r>
      <w:r>
        <w:rPr/>
        <w:t>。欢迎符合资格条件的国内供应商参加投标。</w:t>
      </w:r>
    </w:p>
    <w:p>
      <w:r>
        <w:rPr>
          <w:b/>
          <w:sz w:val="28"/>
        </w:rPr>
        <w:t>一.项目概述</w:t>
      </w:r>
    </w:p>
    <w:p>
      <w:r>
        <w:rPr>
          <w:b/>
          <w:sz w:val="24"/>
        </w:rPr>
        <w:t>1.名称与编号</w:t>
      </w:r>
    </w:p>
    <w:p>
      <w:pPr>
        <w:ind w:firstLine="480"/>
      </w:pPr>
      <w:r>
        <w:rPr/>
        <w:t>项目名称：</w:t>
      </w:r>
      <w:r>
        <w:rPr/>
        <w:t>大岗镇2023年防制四害（登革热）消杀药物项目</w:t>
      </w:r>
    </w:p>
    <w:p>
      <w:pPr>
        <w:ind w:firstLine="480"/>
      </w:pPr>
      <w:r>
        <w:rPr/>
        <w:t>采购计划编号：</w:t>
      </w:r>
      <w:r>
        <w:rPr/>
        <w:t>440115-2022-06197</w:t>
      </w:r>
    </w:p>
    <w:p>
      <w:pPr>
        <w:ind w:firstLine="480"/>
      </w:pPr>
      <w:r>
        <w:rPr/>
        <w:t>采购项目编号：</w:t>
      </w:r>
      <w:r>
        <w:rPr/>
        <w:t>GZHC-2022111600020</w:t>
      </w:r>
    </w:p>
    <w:p>
      <w:pPr>
        <w:ind w:firstLine="480"/>
      </w:pPr>
      <w:r>
        <w:rPr/>
        <w:t>采购方式：</w:t>
      </w:r>
      <w:r>
        <w:rPr/>
        <w:t>公开招标</w:t>
      </w:r>
    </w:p>
    <w:p>
      <w:pPr>
        <w:ind w:firstLine="480"/>
      </w:pPr>
      <w:r>
        <w:rPr/>
        <w:t>预算金额：</w:t>
      </w:r>
      <w:r>
        <w:rPr/>
        <w:t>2,070,000.00</w:t>
      </w:r>
      <w:r>
        <w:rPr/>
        <w:t>元</w:t>
      </w:r>
    </w:p>
    <w:p>
      <w:r>
        <w:rPr>
          <w:b/>
          <w:sz w:val="24"/>
        </w:rPr>
        <w:t>2.项目内容及需求情况（采购项目技术规格、参数及要求）</w:t>
      </w:r>
    </w:p>
    <w:p>
      <w:pPr>
        <w:ind w:firstLine="480"/>
      </w:pPr>
    </w:p>
    <w:p/>
    <w:p>
      <w:r>
        <w:rPr/>
        <w:t>采购包1(大岗镇2023年防制四害（登革热）消杀药物项目):</w:t>
      </w:r>
    </w:p>
    <w:p>
      <w:r>
        <w:rPr/>
        <w:t>采购包预算金额：2,070,000.00元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化学农药</w:t>
            </w:r>
          </w:p>
        </w:tc>
        <w:tc>
          <w:tcPr>
            <w:tcW w:type="dxa" w:w="2052"/>
          </w:tcPr>
          <w:p>
            <w:r>
              <w:rPr/>
              <w:t>大岗镇2023年防制四害（登革热）消杀药物项目</w:t>
            </w:r>
          </w:p>
        </w:tc>
        <w:tc>
          <w:tcPr>
            <w:tcW w:type="dxa" w:w="977"/>
          </w:tcPr>
          <w:p>
            <w:r>
              <w:rPr/>
              <w:t>1.00(项)</w:t>
            </w:r>
          </w:p>
        </w:tc>
        <w:tc>
          <w:tcPr>
            <w:tcW w:type="dxa" w:w="977"/>
          </w:tcPr>
          <w:p>
            <w:r>
              <w:rPr/>
              <w:t>详见第二章</w:t>
            </w:r>
          </w:p>
        </w:tc>
        <w:tc>
          <w:tcPr>
            <w:tcW w:type="dxa" w:w="977"/>
          </w:tcPr>
          <w:p>
            <w:r>
              <w:rPr/>
              <w:t>2,070,000.00</w:t>
            </w:r>
          </w:p>
        </w:tc>
        <w:tc>
          <w:tcPr>
            <w:tcW w:type="dxa" w:w="977"/>
          </w:tcPr>
          <w:p>
            <w:r>
              <w:rPr/>
              <w:t>否</w:t>
            </w:r>
          </w:p>
        </w:tc>
      </w:tr>
    </w:tbl>
    <w:p/>
    <w:p>
      <w:r>
        <w:rPr/>
        <w:t>本采购包不接受联合体投标</w:t>
      </w:r>
    </w:p>
    <w:p/>
    <w:p>
      <w:r>
        <w:rPr/>
        <w:t>合同履行期限：1年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2）有依法缴纳税收和社会保障资金的良好记录：提供声明函（格式详见公告附件）</w:t>
      </w:r>
    </w:p>
    <w:p/>
    <w:p>
      <w:r>
        <w:rPr/>
        <w:t>3）具有良好的商业信誉和健全的财务会计制度：提供声明函（格式详见公告附件）</w:t>
      </w:r>
    </w:p>
    <w:p/>
    <w:p>
      <w:r>
        <w:rPr/>
        <w:t>4）履行合同所必需的设备和专业技术能力：提供声明函（格式详见公告附件）</w:t>
      </w:r>
    </w:p>
    <w:p/>
    <w:p>
      <w:r>
        <w:rPr/>
        <w:t>5）参加采购活动前3年内，在经营活动中没有重大违法记录：提供声明函（格式详见公告附件）</w:t>
      </w:r>
    </w:p>
    <w:p/>
    <w:p>
      <w:r>
        <w:rPr>
          <w:b/>
          <w:sz w:val="24"/>
        </w:rPr>
        <w:t>2.落实政府采购政策需满足的资格要求：</w:t>
      </w:r>
    </w:p>
    <w:p>
      <w:pPr>
        <w:ind w:firstLine="480"/>
      </w:pPr>
    </w:p>
    <w:p>
      <w:pPr>
        <w:jc w:val="left"/>
      </w:pPr>
    </w:p>
    <w:p>
      <w:r>
        <w:rPr/>
        <w:t>采购包1（大岗镇2023年防制四害（登革热）消杀药物项目）：</w:t>
      </w:r>
      <w:r>
        <w:rPr/>
        <w:t>本项目不属于专门面向中小企业采购的项目。</w:t>
      </w:r>
    </w:p>
    <w:p/>
    <w:p>
      <w:r>
        <w:rPr>
          <w:b/>
          <w:sz w:val="24"/>
        </w:rPr>
        <w:t>3.本项目特定的资格要求：</w:t>
      </w:r>
    </w:p>
    <w:p>
      <w:pPr>
        <w:ind w:firstLine="480"/>
      </w:pPr>
    </w:p>
    <w:p/>
    <w:p>
      <w:r>
        <w:rPr/>
        <w:t>采购包1（大岗镇2023年防制四害（登革热）消杀药物项目）：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广州市南沙区大岗镇人民政府</w:t>
      </w:r>
    </w:p>
    <w:p>
      <w:pPr>
        <w:ind w:firstLine="480"/>
      </w:pPr>
      <w:r>
        <w:rPr/>
        <w:t>地址：</w:t>
      </w:r>
      <w:r>
        <w:rPr/>
        <w:t>广州市南沙区大岗镇豪岗大道13号</w:t>
      </w:r>
    </w:p>
    <w:p>
      <w:pPr>
        <w:ind w:firstLine="480"/>
      </w:pPr>
      <w:r>
        <w:rPr/>
        <w:t>联系方式：</w:t>
      </w:r>
      <w:r>
        <w:rPr/>
        <w:t>84936975</w:t>
      </w:r>
    </w:p>
    <w:p>
      <w:r>
        <w:rPr>
          <w:b/>
          <w:sz w:val="24"/>
        </w:rPr>
        <w:t>2.采购代理机构信息</w:t>
      </w:r>
    </w:p>
    <w:p>
      <w:pPr>
        <w:ind w:firstLine="480"/>
      </w:pPr>
      <w:r>
        <w:rPr/>
        <w:t>名称：</w:t>
      </w:r>
      <w:r>
        <w:rPr/>
        <w:t>广州华诚项目管理咨询有限公司</w:t>
      </w:r>
    </w:p>
    <w:p>
      <w:pPr>
        <w:ind w:firstLine="480"/>
      </w:pPr>
      <w:r>
        <w:rPr/>
        <w:t>地址：</w:t>
      </w:r>
      <w:r>
        <w:rPr/>
        <w:t>广州市天河区车陂路113号 写字楼第六层601</w:t>
      </w:r>
    </w:p>
    <w:p>
      <w:pPr>
        <w:ind w:firstLine="480"/>
      </w:pPr>
      <w:r>
        <w:rPr/>
        <w:t>联系方式：</w:t>
      </w:r>
      <w:r>
        <w:rPr/>
        <w:t>020-87598513</w:t>
      </w:r>
    </w:p>
    <w:p>
      <w:r>
        <w:rPr>
          <w:b/>
          <w:sz w:val="24"/>
        </w:rPr>
        <w:t>3.项目联系方式</w:t>
      </w:r>
    </w:p>
    <w:p>
      <w:pPr>
        <w:ind w:firstLine="480"/>
      </w:pPr>
      <w:r>
        <w:rPr/>
        <w:t>项目联系人：</w:t>
      </w:r>
      <w:r>
        <w:rPr/>
        <w:t>潘志杭</w:t>
      </w:r>
    </w:p>
    <w:p>
      <w:pPr>
        <w:ind w:firstLine="480"/>
      </w:pPr>
      <w:r>
        <w:rPr/>
        <w:t>电话：</w:t>
      </w:r>
      <w:r>
        <w:rPr/>
        <w:t>020-87598513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广州华诚项目管理咨询有限公司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2049"/>
        <w:gridCol w:w="720"/>
        <w:gridCol w:w="1698"/>
        <w:gridCol w:w="2409"/>
        <w:gridCol w:w="1430"/>
      </w:tblGrid>
      <w:tr>
        <w:tc>
          <w:tcPr>
            <w:tcW w:type="dxa" w:w="2049"/>
            <w:tcBorders>
              <w:top w:val="single" w:color="000000" w:sz="4"/>
              <w:left w:val="single" w:color="000000" w:sz="4"/>
              <w:bottom w:val="single" w:color="000000" w:sz="4"/>
              <w:right w:val="single" w:color="000000" w:sz="4"/>
            </w:tcBorders>
          </w:tcPr>
          <w:p>
            <w:pPr>
              <w:jc w:val="center"/>
            </w:pPr>
            <w:r>
              <w:rPr>
                <w:sz w:val="21"/>
              </w:rPr>
              <w:t>项目内容</w:t>
            </w:r>
          </w:p>
        </w:tc>
        <w:tc>
          <w:tcPr>
            <w:tcW w:type="dxa" w:w="720"/>
            <w:tcBorders>
              <w:top w:val="single" w:color="000000" w:sz="4"/>
              <w:left w:val="none" w:color="000000" w:sz="4"/>
              <w:bottom w:val="single" w:color="000000" w:sz="4"/>
              <w:right w:val="single" w:color="000000" w:sz="4"/>
            </w:tcBorders>
          </w:tcPr>
          <w:p>
            <w:pPr>
              <w:jc w:val="center"/>
            </w:pPr>
            <w:r>
              <w:rPr>
                <w:sz w:val="21"/>
              </w:rPr>
              <w:t>数量</w:t>
            </w:r>
          </w:p>
        </w:tc>
        <w:tc>
          <w:tcPr>
            <w:tcW w:type="dxa" w:w="1698"/>
            <w:tcBorders>
              <w:top w:val="single" w:color="000000" w:sz="4"/>
              <w:left w:val="none" w:color="000000" w:sz="4"/>
              <w:bottom w:val="single" w:color="000000" w:sz="4"/>
              <w:right w:val="single" w:color="000000" w:sz="4"/>
            </w:tcBorders>
          </w:tcPr>
          <w:p>
            <w:pPr>
              <w:jc w:val="center"/>
            </w:pPr>
            <w:r>
              <w:rPr>
                <w:sz w:val="21"/>
              </w:rPr>
              <w:t>预算金额</w:t>
            </w:r>
          </w:p>
        </w:tc>
        <w:tc>
          <w:tcPr>
            <w:tcW w:type="dxa" w:w="2409"/>
            <w:tcBorders>
              <w:top w:val="single" w:color="000000" w:sz="4"/>
              <w:left w:val="none" w:color="000000" w:sz="4"/>
              <w:bottom w:val="single" w:color="000000" w:sz="4"/>
              <w:right w:val="single" w:color="000000" w:sz="4"/>
            </w:tcBorders>
          </w:tcPr>
          <w:p>
            <w:pPr>
              <w:jc w:val="center"/>
            </w:pPr>
            <w:r>
              <w:rPr>
                <w:sz w:val="21"/>
              </w:rPr>
              <w:t>供货期</w:t>
            </w:r>
          </w:p>
        </w:tc>
        <w:tc>
          <w:tcPr>
            <w:tcW w:type="dxa" w:w="1430"/>
            <w:tcBorders>
              <w:top w:val="single" w:color="000000" w:sz="4"/>
              <w:left w:val="none" w:color="000000" w:sz="4"/>
              <w:bottom w:val="single" w:color="000000" w:sz="4"/>
              <w:right w:val="single" w:color="000000" w:sz="4"/>
            </w:tcBorders>
          </w:tcPr>
          <w:p>
            <w:pPr>
              <w:jc w:val="center"/>
            </w:pPr>
            <w:r>
              <w:rPr>
                <w:sz w:val="21"/>
              </w:rPr>
              <w:t>中标人数量</w:t>
            </w:r>
          </w:p>
        </w:tc>
      </w:tr>
      <w:tr>
        <w:tc>
          <w:tcPr>
            <w:tcW w:type="dxa" w:w="2049"/>
            <w:tcBorders>
              <w:top w:val="none" w:color="000000" w:sz="4"/>
              <w:left w:val="single" w:color="000000" w:sz="4"/>
              <w:bottom w:val="single" w:color="000000" w:sz="4"/>
              <w:right w:val="single" w:color="000000" w:sz="4"/>
            </w:tcBorders>
          </w:tcPr>
          <w:p>
            <w:pPr>
              <w:jc w:val="center"/>
            </w:pPr>
            <w:r>
              <w:rPr>
                <w:sz w:val="21"/>
              </w:rPr>
              <w:t>大岗镇2023年防制四害（登革热）消杀药物项目</w:t>
            </w:r>
          </w:p>
        </w:tc>
        <w:tc>
          <w:tcPr>
            <w:tcW w:type="dxa" w:w="720"/>
            <w:tcBorders>
              <w:top w:val="none" w:color="000000" w:sz="4"/>
              <w:left w:val="none" w:color="000000" w:sz="4"/>
              <w:bottom w:val="single" w:color="000000" w:sz="4"/>
              <w:right w:val="single" w:color="000000" w:sz="4"/>
            </w:tcBorders>
          </w:tcPr>
          <w:p>
            <w:pPr>
              <w:jc w:val="center"/>
            </w:pPr>
            <w:r>
              <w:rPr>
                <w:sz w:val="21"/>
              </w:rPr>
              <w:t>一批</w:t>
            </w:r>
          </w:p>
        </w:tc>
        <w:tc>
          <w:tcPr>
            <w:tcW w:type="dxa" w:w="1698"/>
            <w:tcBorders>
              <w:top w:val="none" w:color="000000" w:sz="4"/>
              <w:left w:val="none" w:color="000000" w:sz="4"/>
              <w:bottom w:val="single" w:color="000000" w:sz="4"/>
              <w:right w:val="single" w:color="000000" w:sz="4"/>
            </w:tcBorders>
          </w:tcPr>
          <w:p>
            <w:pPr>
              <w:jc w:val="center"/>
            </w:pPr>
            <w:r>
              <w:rPr>
                <w:sz w:val="21"/>
              </w:rPr>
              <w:t>人民币207万元</w:t>
            </w:r>
          </w:p>
        </w:tc>
        <w:tc>
          <w:tcPr>
            <w:tcW w:type="dxa" w:w="2409"/>
            <w:tcBorders>
              <w:top w:val="none" w:color="000000" w:sz="4"/>
              <w:left w:val="none" w:color="000000" w:sz="4"/>
              <w:bottom w:val="single" w:color="000000" w:sz="4"/>
              <w:right w:val="single" w:color="000000" w:sz="4"/>
            </w:tcBorders>
          </w:tcPr>
          <w:p>
            <w:pPr>
              <w:jc w:val="center"/>
            </w:pPr>
            <w:r>
              <w:rPr>
                <w:sz w:val="21"/>
              </w:rPr>
              <w:t>1年</w:t>
            </w:r>
          </w:p>
        </w:tc>
        <w:tc>
          <w:tcPr>
            <w:tcW w:type="dxa" w:w="1430"/>
            <w:tcBorders>
              <w:top w:val="none" w:color="000000" w:sz="4"/>
              <w:left w:val="none" w:color="000000" w:sz="4"/>
              <w:bottom w:val="single" w:color="000000" w:sz="4"/>
              <w:right w:val="single" w:color="000000" w:sz="4"/>
            </w:tcBorders>
          </w:tcPr>
          <w:p>
            <w:pPr>
              <w:jc w:val="center"/>
            </w:pPr>
            <w:r>
              <w:rPr>
                <w:sz w:val="21"/>
              </w:rPr>
              <w:t>1</w:t>
            </w:r>
            <w:r>
              <w:rPr>
                <w:sz w:val="21"/>
              </w:rPr>
              <w:t>家</w:t>
            </w:r>
          </w:p>
        </w:tc>
      </w:tr>
    </w:tbl>
    <w:p>
      <w:pPr>
        <w:ind w:firstLine="420"/>
        <w:jc w:val="both"/>
      </w:pPr>
      <w:r>
        <w:rPr>
          <w:sz w:val="21"/>
        </w:rPr>
        <w:t>本项目的中小企业划分标准所属行业为：</w:t>
      </w:r>
      <w:r>
        <w:rPr>
          <w:sz w:val="21"/>
          <w:u w:val="single"/>
        </w:rPr>
        <w:t>工业或批发业</w:t>
      </w:r>
    </w:p>
    <w:p>
      <w:pPr>
        <w:ind w:firstLine="420"/>
        <w:jc w:val="both"/>
      </w:pPr>
      <w:r>
        <w:rPr>
          <w:sz w:val="21"/>
        </w:rPr>
        <w:t>根据《政府采购促进中小企业发展管理办法》（财库〔2020〕46 号），本项目供应商需承诺预留项目预算总额的30%以上（即不少于62.10万元）货物由中小企业提供，其中小微企业的比列不低于30%*60%（即不少于37.26万元）。供应商供货时应提供属于中小企业货品供应清单列表。</w:t>
      </w:r>
    </w:p>
    <w:p/>
    <w:p>
      <w:pPr>
        <w:ind w:firstLine="480"/>
      </w:pPr>
    </w:p>
    <w:p/>
    <w:p>
      <w:r>
        <w:rPr/>
        <w:t>采购包1（大岗镇2023年防制四害（登革热）消杀药物项目）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1年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1期：支付比例100%,1、货款每批次进行结算（按实际每批次交货的数量进行按实结算），经验收合格后采购人支付该批次供应货款给中标人。累计结算总额以合同总价与合同服务期限为限。 2、结算单位为:元/人民币。 3、付款方式:采用支票、银行汇付（含电汇）等形式。 4、中标人凭以下有效文件与采购人结算: （1）合同； （2）中标人开具的正式发票（每批次相应结算金额的正式发票) ； （3）每批货物验收报告(加盖双方公章)； （4）中标通知书； （5）其它结算资料以镇财政办公室要求为准。 （6）在每批次收齐以上有效结算资料，经采购人确认无误后在30个工作日内向中标人支付该批次货款。 5、因采购人使用的是财政资金，采购人在规定的付款时间向政府财政部门提出办理财政支付申请手续的时间（不含政府财政支付部门审核的时间）即视为采购人已经按期支付，因政府财政部门审核支付导致实际付款迟延的，采购人不须承担逾期付款违约责任，中标人不得因费用拨付滞后而影响供货。</w:t>
            </w:r>
          </w:p>
        </w:tc>
      </w:tr>
      <w:tr>
        <w:tc>
          <w:tcPr>
            <w:tcW w:type="dxa" w:w="4153"/>
          </w:tcPr>
          <w:p>
            <w:r>
              <w:rPr/>
              <w:t>验收要求</w:t>
            </w:r>
          </w:p>
        </w:tc>
        <w:tc>
          <w:tcPr>
            <w:tcW w:type="dxa" w:w="4153"/>
          </w:tcPr>
          <w:p/>
          <w:p/>
          <w:p/>
          <w:p>
            <w:r>
              <w:rPr/>
              <w:t>1期：1.中标人货物交货后，验收由采购人和中标人双方共同参加下进行。 2.按合同要求对供货批次的数量，外观、型号规格等标准对中标人履约情况进行验收。验收时如发现所交付的货物有短装、次品、损坏或其它不符合本合同规定之情形者，采购人应做出详尽的现场记录，或由采购人和中标人双方签署备忘录。此现场记录或备忘录可用作补充、缺失和更换损坏部件的有效证据。由此产生的有关费用由乙方承担。 3.如果合同货物运输和安装调试过程中因事故造成货物短缺、损坏，中标人应及时安排换货，以保证合同货物成功完整交付。换货的相关费用由中标人承担。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化学农药</w:t>
            </w:r>
          </w:p>
        </w:tc>
        <w:tc>
          <w:tcPr>
            <w:tcW w:type="dxa" w:w="831"/>
          </w:tcPr>
          <w:p>
            <w:pPr>
              <w:jc w:val="left"/>
            </w:pPr>
            <w:r>
              <w:rPr/>
              <w:t>大岗镇2023年防制四害（登革热）消杀药物项目</w:t>
            </w:r>
          </w:p>
        </w:tc>
        <w:tc>
          <w:tcPr>
            <w:tcW w:type="dxa" w:w="831"/>
          </w:tcPr>
          <w:p>
            <w:pPr>
              <w:jc w:val="left"/>
            </w:pPr>
            <w:r>
              <w:rPr/>
              <w:t>项</w:t>
            </w:r>
          </w:p>
        </w:tc>
        <w:tc>
          <w:tcPr>
            <w:tcW w:type="dxa" w:w="831"/>
          </w:tcPr>
          <w:p>
            <w:pPr>
              <w:jc w:val="right"/>
            </w:pPr>
            <w:r>
              <w:rPr/>
              <w:t>1.00</w:t>
            </w:r>
          </w:p>
        </w:tc>
        <w:tc>
          <w:tcPr>
            <w:tcW w:type="dxa" w:w="831"/>
          </w:tcPr>
          <w:p>
            <w:pPr>
              <w:jc w:val="right"/>
            </w:pPr>
            <w:r>
              <w:rPr/>
              <w:t>2,070,000.00</w:t>
            </w:r>
          </w:p>
        </w:tc>
        <w:tc>
          <w:tcPr>
            <w:tcW w:type="dxa" w:w="831"/>
          </w:tcPr>
          <w:p>
            <w:pPr>
              <w:jc w:val="right"/>
            </w:pPr>
            <w:r>
              <w:rPr/>
              <w:t>2,070,000.00</w:t>
            </w:r>
          </w:p>
        </w:tc>
        <w:tc>
          <w:tcPr>
            <w:tcW w:type="dxa" w:w="831"/>
          </w:tcPr>
          <w:p>
            <w:r>
              <w:rPr/>
              <w:t>批发业</w:t>
            </w:r>
          </w:p>
        </w:tc>
        <w:tc>
          <w:tcPr>
            <w:tcW w:type="dxa" w:w="831"/>
          </w:tcPr>
          <w:p>
            <w:r>
              <w:rPr/>
              <w:t>详见附表一</w:t>
            </w:r>
          </w:p>
        </w:tc>
      </w:tr>
    </w:tbl>
    <w:p/>
    <w:p>
      <w:r>
        <w:rPr>
          <w:b/>
        </w:rPr>
        <w:t>附表</w:t>
      </w:r>
      <w:r>
        <w:rPr>
          <w:b/>
        </w:rPr>
        <w:t>一</w:t>
      </w:r>
      <w:r>
        <w:rPr>
          <w:b/>
        </w:rPr>
        <w:t>：</w:t>
      </w:r>
      <w:r>
        <w:rPr>
          <w:b/>
        </w:rPr>
        <w:t>大岗镇2023年防制四害（登革热）消杀药物项目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 xml:space="preserve"> 技术要求请查看招标文件附件或招标公告中（附件：用户需求书）</w:t>
            </w:r>
          </w:p>
        </w:tc>
      </w:tr>
      <w:tr>
        <w:tc>
          <w:tcPr>
            <w:tcW w:type="dxa" w:w="2076"/>
          </w:tcPr>
          <w:p>
            <w:r>
              <w:rPr/>
              <w:t>★</w:t>
            </w:r>
          </w:p>
        </w:tc>
        <w:tc>
          <w:tcPr>
            <w:tcW w:type="dxa" w:w="415"/>
          </w:tcPr>
          <w:p>
            <w:r>
              <w:rPr/>
              <w:t>2</w:t>
            </w:r>
          </w:p>
        </w:tc>
        <w:tc>
          <w:tcPr>
            <w:tcW w:type="dxa" w:w="5814"/>
          </w:tcPr>
          <w:p>
            <w:r>
              <w:rPr>
                <w:b/>
                <w:sz w:val="21"/>
              </w:rPr>
              <w:t>★投标人必须承诺提供厂商原装、全新的、符合用户提出的有关质量标准的货物。产品的包装、标签等应符合国家有关要求。每种产品必须提供真实有效的农药登记证(备案在有效期内)。</w:t>
            </w:r>
          </w:p>
        </w:tc>
      </w:tr>
      <w:tr>
        <w:tc>
          <w:tcPr>
            <w:tcW w:type="dxa" w:w="2076"/>
          </w:tcPr>
          <w:p>
            <w:r>
              <w:rPr/>
              <w:t>★</w:t>
            </w:r>
          </w:p>
        </w:tc>
        <w:tc>
          <w:tcPr>
            <w:tcW w:type="dxa" w:w="415"/>
          </w:tcPr>
          <w:p>
            <w:r>
              <w:rPr/>
              <w:t>3</w:t>
            </w:r>
          </w:p>
        </w:tc>
        <w:tc>
          <w:tcPr>
            <w:tcW w:type="dxa" w:w="5814"/>
          </w:tcPr>
          <w:p>
            <w:r>
              <w:rPr>
                <w:b/>
                <w:sz w:val="21"/>
              </w:rPr>
              <w:t>★1.</w:t>
            </w:r>
            <w:r>
              <w:rPr>
                <w:b/>
                <w:sz w:val="21"/>
              </w:rPr>
              <w:t>若投标人某项货物报价超过其对应的单价最高限价，则投标人投标无效。</w:t>
            </w:r>
          </w:p>
        </w:tc>
      </w:tr>
      <w:tr>
        <w:tc>
          <w:tcPr>
            <w:tcW w:type="dxa" w:w="2076"/>
          </w:tcPr>
          <w:p>
            <w:r>
              <w:rPr/>
              <w:t>★</w:t>
            </w:r>
          </w:p>
        </w:tc>
        <w:tc>
          <w:tcPr>
            <w:tcW w:type="dxa" w:w="415"/>
          </w:tcPr>
          <w:p>
            <w:r>
              <w:rPr/>
              <w:t>4</w:t>
            </w:r>
          </w:p>
        </w:tc>
        <w:tc>
          <w:tcPr>
            <w:tcW w:type="dxa" w:w="5814"/>
          </w:tcPr>
          <w:p>
            <w:r>
              <w:rPr>
                <w:sz w:val="21"/>
              </w:rPr>
              <w:t>★</w:t>
            </w:r>
            <w:r>
              <w:rPr>
                <w:b/>
                <w:sz w:val="21"/>
              </w:rPr>
              <w:t>序号1-32产品必须提供真实有效的农药登记证。</w:t>
            </w:r>
          </w:p>
        </w:tc>
      </w:tr>
      <w:tr>
        <w:tc>
          <w:tcPr>
            <w:tcW w:type="dxa" w:w="2076"/>
          </w:tcPr>
          <w:p>
            <w:r>
              <w:rPr/>
              <w:t>★</w:t>
            </w:r>
          </w:p>
        </w:tc>
        <w:tc>
          <w:tcPr>
            <w:tcW w:type="dxa" w:w="415"/>
          </w:tcPr>
          <w:p>
            <w:r>
              <w:rPr/>
              <w:t>5</w:t>
            </w:r>
          </w:p>
        </w:tc>
        <w:tc>
          <w:tcPr>
            <w:tcW w:type="dxa" w:w="5814"/>
          </w:tcPr>
          <w:p>
            <w:r>
              <w:rPr>
                <w:sz w:val="21"/>
              </w:rPr>
              <w:t>★</w:t>
            </w:r>
            <w:r>
              <w:rPr>
                <w:b/>
                <w:sz w:val="21"/>
              </w:rPr>
              <w:t>序号1-32产品必须提供真实有效的农药生产批准证书或农业部门颁发的农药生产许可证(生产范围包括所投产品剂型)，委托加工的还需提供委托加工协议及受托方生产许可证或成份含量均相同的产品生产批准证书。每批次货物的送达之日三证必须在有效日期内(备案在有效期内)。</w:t>
            </w:r>
          </w:p>
        </w:tc>
      </w:tr>
      <w:tr>
        <w:tc>
          <w:tcPr>
            <w:tcW w:type="dxa" w:w="2076"/>
          </w:tcPr>
          <w:p>
            <w:r>
              <w:rPr/>
              <w:t>★</w:t>
            </w:r>
          </w:p>
        </w:tc>
        <w:tc>
          <w:tcPr>
            <w:tcW w:type="dxa" w:w="415"/>
          </w:tcPr>
          <w:p>
            <w:r>
              <w:rPr/>
              <w:t>6</w:t>
            </w:r>
          </w:p>
        </w:tc>
        <w:tc>
          <w:tcPr>
            <w:tcW w:type="dxa" w:w="5814"/>
          </w:tcPr>
          <w:p>
            <w:r>
              <w:rPr>
                <w:sz w:val="21"/>
              </w:rPr>
              <w:t>★</w:t>
            </w:r>
            <w:r>
              <w:rPr>
                <w:b/>
                <w:sz w:val="21"/>
              </w:rPr>
              <w:t>序号1-33产品必须提供真实有效的地级市以上技术监督部门备案或在中国国家标准化管理委员会的企业标准信息公共服务平台备案的企业标准封面。</w:t>
            </w:r>
          </w:p>
        </w:tc>
      </w:tr>
      <w:tr>
        <w:tc>
          <w:tcPr>
            <w:tcW w:type="dxa" w:w="2076"/>
          </w:tcPr>
          <w:p>
            <w:r>
              <w:rPr/>
              <w:t>★</w:t>
            </w:r>
          </w:p>
        </w:tc>
        <w:tc>
          <w:tcPr>
            <w:tcW w:type="dxa" w:w="415"/>
          </w:tcPr>
          <w:p>
            <w:r>
              <w:rPr/>
              <w:t>7</w:t>
            </w:r>
          </w:p>
        </w:tc>
        <w:tc>
          <w:tcPr>
            <w:tcW w:type="dxa" w:w="5814"/>
          </w:tcPr>
          <w:p>
            <w:r>
              <w:rPr>
                <w:sz w:val="21"/>
              </w:rPr>
              <w:t>★</w:t>
            </w:r>
            <w:r>
              <w:rPr>
                <w:b/>
                <w:sz w:val="21"/>
              </w:rPr>
              <w:t>根据中华人民共和国农业部公告第2567号，从2017年10月1日起，“杀鼠醚、溴敌隆、溴鼠灵、氟鼠灵”列入限制使用农药目录，实施定点经营许可。投标人投标时，需提供合法有效的省级农业部门颁布的《农药经营许可证》，且《农药经营许可证》中的经营范围不可含有“限制使用农药除外”、“仅供出口”。</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1.采购代理机构：本项目是指广州华诚项目管理咨询有限公司，负责整个采购活动的组织，依法负责编制和发布招标文件，对招标文件拥有最终的解释权，不以任何身份出任评标委员会成员。</w:t>
      </w:r>
    </w:p>
    <w:p>
      <w:pPr>
        <w:ind w:firstLine="480"/>
      </w:pPr>
      <w:r>
        <w:rPr/>
        <w:t>2.采购人：本项目是指</w:t>
      </w:r>
      <w:r>
        <w:rPr/>
        <w:t>广州市南沙区大岗镇人民政府</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采购包1：单价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2</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采购机构代理服务收费标准：本项目的招标代理服务费参照国家计委计价格[2002]1980号文件规定的标准费率按货物类计算招标代理服务费。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颜莹</w:t>
      </w:r>
    </w:p>
    <w:p>
      <w:pPr>
        <w:ind w:firstLine="480"/>
      </w:pPr>
      <w:r>
        <w:rPr/>
        <w:t>电话：</w:t>
      </w:r>
      <w:r>
        <w:rPr/>
        <w:t>020-87598915</w:t>
      </w:r>
    </w:p>
    <w:p>
      <w:pPr>
        <w:ind w:firstLine="480"/>
      </w:pPr>
      <w:r>
        <w:rPr/>
        <w:t>传真：</w:t>
      </w:r>
      <w:r>
        <w:rPr/>
        <w:t>020-87598915</w:t>
      </w:r>
    </w:p>
    <w:p>
      <w:pPr>
        <w:ind w:firstLine="480"/>
      </w:pPr>
      <w:r>
        <w:rPr/>
        <w:t>邮箱：</w:t>
      </w:r>
      <w:r>
        <w:rPr/>
        <w:t>gzhuacheng@qq.com</w:t>
      </w:r>
    </w:p>
    <w:p>
      <w:pPr>
        <w:ind w:firstLine="480"/>
      </w:pPr>
      <w:r>
        <w:rPr/>
        <w:t>地址：</w:t>
      </w:r>
      <w:r>
        <w:rPr/>
        <w:t>广州市天河区车陂路113号写字楼第六层601</w:t>
      </w:r>
    </w:p>
    <w:p>
      <w:pPr>
        <w:ind w:firstLine="480"/>
      </w:pPr>
      <w:r>
        <w:rPr/>
        <w:t>邮编：</w:t>
      </w:r>
      <w:r>
        <w:rPr/>
        <w:t>510660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政府采购监督管理机构名称：广州市南沙区财政局财政监督管理处</w:t>
      </w:r>
    </w:p>
    <w:p>
      <w:r>
        <w:rPr/>
        <w:t>地  址：广州市南沙区凤凰大道1号D栋3楼</w:t>
      </w:r>
    </w:p>
    <w:p>
      <w:r>
        <w:rPr/>
        <w:t>电  话：020-39078089</w:t>
      </w:r>
    </w:p>
    <w:p>
      <w:r>
        <w:rPr/>
        <w:t>邮  编：511455</w:t>
      </w:r>
    </w:p>
    <w:p>
      <w:r>
        <w:rPr/>
        <w:t>传  真：020-84986648</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大岗镇2023年防制四害（登革热）消杀药物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广州华诚项目管理咨询有限公司</w:t>
      </w:r>
      <w:r>
        <w:rPr/>
        <w:t>统一对外发布。</w:t>
      </w:r>
    </w:p>
    <w:p>
      <w:pPr>
        <w:ind w:firstLine="480"/>
      </w:pPr>
      <w:r>
        <w:rPr/>
        <w:t>（2）对</w:t>
      </w:r>
      <w:r>
        <w:rPr/>
        <w:t>广州华诚项目管理咨询有限公司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第二中标候选人报价低于第一中标候选人报价20％以上的，只推荐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采购包1（大岗镇2023年防制四害（登革热）消杀药物项目）：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1）投标人所投的节能产品属于“节能产品品目清单”中的产品(提供国家确定的认证机构出具的处于有效期之内的节能产品认证证书)，报价给予C2的价格扣除（C2的取值范围为1%）即：评标价＝核实价（经符合性审查进行必要的更正后的投标价）－节能产品核实价×C2。  （2）投标人所投的环境标志产品属于“环境标志产品品目清单”中的产品(提供国家确定的认证机构出具的处于有效期之内的环境标志产品认证证书)，报价给予C3的价格扣除（ C3的取值范围为1%）即：评标价＝核实价（经符合性审查进行必要的更正后的投标价）－环保产品核实价×C3。  （3）本条款中节能环保两种修正原则不同时使用。</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采购包1（大岗镇2023年防制四害（登革热）消杀药物项目）：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提供声明函（格式详见公告附件）</w:t>
            </w:r>
          </w:p>
        </w:tc>
      </w:tr>
      <w:tr>
        <w:tc>
          <w:tcPr>
            <w:tcW w:type="dxa" w:w="890"/>
          </w:tcPr>
          <w:p>
            <w:r>
              <w:rPr/>
              <w:t>3</w:t>
            </w:r>
          </w:p>
        </w:tc>
        <w:tc>
          <w:tcPr>
            <w:tcW w:type="dxa" w:w="3178"/>
          </w:tcPr>
          <w:p>
            <w:r>
              <w:rPr/>
              <w:t>具有良好的商业信誉和健全的财务会计制度</w:t>
            </w:r>
          </w:p>
        </w:tc>
        <w:tc>
          <w:tcPr>
            <w:tcW w:type="dxa" w:w="4238"/>
          </w:tcPr>
          <w:p>
            <w:r>
              <w:rPr/>
              <w:t>提供声明函（格式详见公告附件）</w:t>
            </w:r>
          </w:p>
        </w:tc>
      </w:tr>
      <w:tr>
        <w:tc>
          <w:tcPr>
            <w:tcW w:type="dxa" w:w="890"/>
          </w:tcPr>
          <w:p>
            <w:r>
              <w:rPr/>
              <w:t>4</w:t>
            </w:r>
          </w:p>
        </w:tc>
        <w:tc>
          <w:tcPr>
            <w:tcW w:type="dxa" w:w="3178"/>
          </w:tcPr>
          <w:p>
            <w:r>
              <w:rPr/>
              <w:t>履行合同所必需的设备和专业技术能力</w:t>
            </w:r>
          </w:p>
        </w:tc>
        <w:tc>
          <w:tcPr>
            <w:tcW w:type="dxa" w:w="4238"/>
          </w:tcPr>
          <w:p>
            <w:r>
              <w:rPr/>
              <w:t>提供声明函（格式详见公告附件）</w:t>
            </w:r>
          </w:p>
        </w:tc>
      </w:tr>
      <w:tr>
        <w:tc>
          <w:tcPr>
            <w:tcW w:type="dxa" w:w="890"/>
          </w:tcPr>
          <w:p>
            <w:r>
              <w:rPr/>
              <w:t>5</w:t>
            </w:r>
          </w:p>
        </w:tc>
        <w:tc>
          <w:tcPr>
            <w:tcW w:type="dxa" w:w="3178"/>
          </w:tcPr>
          <w:p>
            <w:r>
              <w:rPr/>
              <w:t>参加采购活动前3年内，在经营活动中没有重大违法记录</w:t>
            </w:r>
          </w:p>
        </w:tc>
        <w:tc>
          <w:tcPr>
            <w:tcW w:type="dxa" w:w="4238"/>
          </w:tcPr>
          <w:p>
            <w:r>
              <w:rPr/>
              <w:t>提供声明函（格式详见公告附件）</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本项目不属于专门面向中小企业采购的项目。</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采购包1（大岗镇2023年防制四害（登革热）消杀药物项目）：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投标报价是固定价且是唯一的，未超过本项目采购预算或者最高限价的。</w:t>
            </w:r>
          </w:p>
        </w:tc>
        <w:tc>
          <w:tcPr>
            <w:tcW w:type="dxa" w:w="4238"/>
          </w:tcPr>
          <w:p>
            <w:r>
              <w:rPr/>
              <w:t>投标报价是固定价且是唯一的，未超过本项目采购预算或者最高限价的。</w:t>
            </w:r>
          </w:p>
        </w:tc>
      </w:tr>
      <w:tr>
        <w:tc>
          <w:tcPr>
            <w:tcW w:type="dxa" w:w="890"/>
          </w:tcPr>
          <w:p>
            <w:r>
              <w:rPr/>
              <w:t>2</w:t>
            </w:r>
          </w:p>
        </w:tc>
        <w:tc>
          <w:tcPr>
            <w:tcW w:type="dxa" w:w="3178"/>
          </w:tcPr>
          <w:p>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c>
          <w:tcPr>
            <w:tcW w:type="dxa" w:w="4238"/>
          </w:tcPr>
          <w:p>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r>
              <w:rPr/>
              <w:t>3</w:t>
            </w:r>
          </w:p>
        </w:tc>
        <w:tc>
          <w:tcPr>
            <w:tcW w:type="dxa" w:w="3178"/>
          </w:tcPr>
          <w:p>
            <w:r>
              <w:rPr/>
              <w:t>投标文件按招标文件的对应格式文件签署、盖章</w:t>
            </w:r>
          </w:p>
        </w:tc>
        <w:tc>
          <w:tcPr>
            <w:tcW w:type="dxa" w:w="4238"/>
          </w:tcPr>
          <w:p>
            <w:r>
              <w:rPr/>
              <w:t>投标文件按招标文件的对应格式文件签署、盖章</w:t>
            </w:r>
          </w:p>
        </w:tc>
      </w:tr>
      <w:tr>
        <w:tc>
          <w:tcPr>
            <w:tcW w:type="dxa" w:w="890"/>
          </w:tcPr>
          <w:p>
            <w:r>
              <w:rPr/>
              <w:t>4</w:t>
            </w:r>
          </w:p>
        </w:tc>
        <w:tc>
          <w:tcPr>
            <w:tcW w:type="dxa" w:w="3178"/>
          </w:tcPr>
          <w:p>
            <w:r>
              <w:rPr/>
              <w:t>法定代表人证明书及授权委托书，按对应格式文件签署、盖章</w:t>
            </w:r>
          </w:p>
        </w:tc>
        <w:tc>
          <w:tcPr>
            <w:tcW w:type="dxa" w:w="4238"/>
          </w:tcPr>
          <w:p>
            <w:r>
              <w:rPr/>
              <w:t>法定代表人证明书及授权委托书，按对应格式文件签署、盖章</w:t>
            </w:r>
          </w:p>
        </w:tc>
      </w:tr>
      <w:tr>
        <w:tc>
          <w:tcPr>
            <w:tcW w:type="dxa" w:w="890"/>
          </w:tcPr>
          <w:p>
            <w:r>
              <w:rPr/>
              <w:t>5</w:t>
            </w:r>
          </w:p>
        </w:tc>
        <w:tc>
          <w:tcPr>
            <w:tcW w:type="dxa" w:w="3178"/>
          </w:tcPr>
          <w:p>
            <w:r>
              <w:rPr/>
              <w:t>投标有效期满足招标文件要求</w:t>
            </w:r>
          </w:p>
        </w:tc>
        <w:tc>
          <w:tcPr>
            <w:tcW w:type="dxa" w:w="4238"/>
          </w:tcPr>
          <w:p>
            <w:r>
              <w:rPr/>
              <w:t>投标有效期满足招标文件要求</w:t>
            </w:r>
          </w:p>
        </w:tc>
      </w:tr>
      <w:tr>
        <w:tc>
          <w:tcPr>
            <w:tcW w:type="dxa" w:w="890"/>
          </w:tcPr>
          <w:p>
            <w:r>
              <w:rPr/>
              <w:t>6</w:t>
            </w:r>
          </w:p>
        </w:tc>
        <w:tc>
          <w:tcPr>
            <w:tcW w:type="dxa" w:w="3178"/>
          </w:tcPr>
          <w:p>
            <w:r>
              <w:rPr/>
              <w:t>实质性响应招标文件带“★”号条款要求</w:t>
            </w:r>
          </w:p>
        </w:tc>
        <w:tc>
          <w:tcPr>
            <w:tcW w:type="dxa" w:w="4238"/>
          </w:tcPr>
          <w:p>
            <w:r>
              <w:rPr/>
              <w:t>实质性响应招标文件带“★”号条款要求</w:t>
            </w:r>
          </w:p>
        </w:tc>
      </w:tr>
      <w:tr>
        <w:tc>
          <w:tcPr>
            <w:tcW w:type="dxa" w:w="890"/>
          </w:tcPr>
          <w:p>
            <w:r>
              <w:rPr/>
              <w:t>7</w:t>
            </w:r>
          </w:p>
        </w:tc>
        <w:tc>
          <w:tcPr>
            <w:tcW w:type="dxa" w:w="3178"/>
          </w:tcPr>
          <w:p>
            <w:r>
              <w:rPr/>
              <w:t>投标文件无采购人不能接受的附加条件</w:t>
            </w:r>
          </w:p>
        </w:tc>
        <w:tc>
          <w:tcPr>
            <w:tcW w:type="dxa" w:w="4238"/>
          </w:tcPr>
          <w:p>
            <w:r>
              <w:rPr/>
              <w:t>投标文件无采购人不能接受的附加条件</w:t>
            </w:r>
          </w:p>
        </w:tc>
      </w:tr>
      <w:tr>
        <w:tc>
          <w:tcPr>
            <w:tcW w:type="dxa" w:w="890"/>
          </w:tcPr>
          <w:p>
            <w:r>
              <w:rPr/>
              <w:t>8</w:t>
            </w:r>
          </w:p>
        </w:tc>
        <w:tc>
          <w:tcPr>
            <w:tcW w:type="dxa" w:w="3178"/>
          </w:tcPr>
          <w:p>
            <w:r>
              <w:rPr/>
              <w:t>无法律、法规和招标文件规定的其他无效情形。</w:t>
            </w:r>
          </w:p>
        </w:tc>
        <w:tc>
          <w:tcPr>
            <w:tcW w:type="dxa" w:w="4238"/>
          </w:tcPr>
          <w:p>
            <w:r>
              <w:rPr/>
              <w:t>无法律、法规和招标文件规定的其他无效情形。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采购包1大岗镇2023年防制四害（登革热）消杀药物项目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对用户需求书的响应程度 (5.0分)</w:t>
            </w:r>
            <w:r>
              <w:rPr/>
              <w:t>，（等次分值选择：</w:t>
            </w:r>
            <w:r>
              <w:rPr/>
              <w:t>0.0;</w:t>
            </w:r>
            <w:r>
              <w:rPr/>
              <w:t>1.0;</w:t>
            </w:r>
            <w:r>
              <w:rPr/>
              <w:t>3.0;</w:t>
            </w:r>
            <w:r>
              <w:rPr/>
              <w:t>5.0;</w:t>
            </w:r>
            <w:r>
              <w:rPr/>
              <w:t>）</w:t>
            </w:r>
          </w:p>
        </w:tc>
        <w:tc>
          <w:tcPr>
            <w:tcW w:type="dxa" w:w="5076"/>
          </w:tcPr>
          <w:p>
            <w:pPr>
              <w:jc w:val="left"/>
            </w:pPr>
            <w:r>
              <w:rPr/>
              <w:t>根据投标人对用户需求书的整体响应情况进行评分： 1、完全满足或者优于用户需求书的计5分； 2、有1-2项（含2项）不满足的，计3分； 3、有3-5项（含5项）不满足的，计1分；  4、其他不得分。</w:t>
            </w:r>
          </w:p>
        </w:tc>
      </w:tr>
      <w:tr>
        <w:tc>
          <w:tcPr>
            <w:tcW w:type="dxa" w:w="922"/>
            <w:gridSpan w:val="2"/>
            <w:vMerge/>
          </w:tcPr>
          <w:p/>
        </w:tc>
        <w:tc>
          <w:tcPr>
            <w:tcW w:type="dxa" w:w="2307"/>
          </w:tcPr>
          <w:p>
            <w:pPr>
              <w:jc w:val="left"/>
            </w:pPr>
            <w:r>
              <w:rPr/>
              <w:t>所投产品检验报告 (15.0分)</w:t>
            </w:r>
            <w:r>
              <w:rPr/>
              <w:t>，（等次分值选择：</w:t>
            </w:r>
            <w:r>
              <w:rPr/>
              <w:t>0.0;</w:t>
            </w:r>
            <w:r>
              <w:rPr/>
              <w:t>5.0;</w:t>
            </w:r>
            <w:r>
              <w:rPr/>
              <w:t>10.0;</w:t>
            </w:r>
            <w:r>
              <w:rPr/>
              <w:t>15.0;</w:t>
            </w:r>
            <w:r>
              <w:rPr/>
              <w:t>）</w:t>
            </w:r>
          </w:p>
        </w:tc>
        <w:tc>
          <w:tcPr>
            <w:tcW w:type="dxa" w:w="5076"/>
          </w:tcPr>
          <w:p>
            <w:pPr>
              <w:jc w:val="left"/>
            </w:pPr>
            <w:r>
              <w:rPr/>
              <w:t>投标人提供投标产品近三年内（2019年至投标截止时间前）合格的第三方检验机构出具的成分含量检验报告进行评审： 1、提供≥30个产品检验报告的，计15分； 2、提供25-29个产品检验报告的，计10分； 3、提供＜25个产品检验报告的，计5分。 （需提供检验结果为符合标准的检验报告复印件，未提供或提供不符合要求的不计分。）</w:t>
            </w:r>
          </w:p>
        </w:tc>
      </w:tr>
      <w:tr>
        <w:tc>
          <w:tcPr>
            <w:tcW w:type="dxa" w:w="922"/>
            <w:gridSpan w:val="2"/>
            <w:vMerge/>
          </w:tcPr>
          <w:p/>
        </w:tc>
        <w:tc>
          <w:tcPr>
            <w:tcW w:type="dxa" w:w="2307"/>
          </w:tcPr>
          <w:p>
            <w:pPr>
              <w:jc w:val="left"/>
            </w:pPr>
            <w:r>
              <w:rPr/>
              <w:t>送货及验收方案 (15.0分)</w:t>
            </w:r>
            <w:r>
              <w:rPr/>
              <w:t>，（等次分值选择：</w:t>
            </w:r>
            <w:r>
              <w:rPr/>
              <w:t>0.0;</w:t>
            </w:r>
            <w:r>
              <w:rPr/>
              <w:t>5.0;</w:t>
            </w:r>
            <w:r>
              <w:rPr/>
              <w:t>10.0;</w:t>
            </w:r>
            <w:r>
              <w:rPr/>
              <w:t>15.0;</w:t>
            </w:r>
            <w:r>
              <w:rPr/>
              <w:t>）</w:t>
            </w:r>
          </w:p>
        </w:tc>
        <w:tc>
          <w:tcPr>
            <w:tcW w:type="dxa" w:w="5076"/>
          </w:tcPr>
          <w:p>
            <w:pPr>
              <w:jc w:val="left"/>
            </w:pPr>
            <w:r>
              <w:rPr/>
              <w:t>根据投标人提供的送货及验收方案（包括送货计划、验收服务保障）进行综合评审，分档计分： 1、方案内容完整，送货计划切实可行，验收服务保障完善且周全，计15分； 2、方案内容较完整，送货计划可行，验收服务保障完善，计10分； 3、方案内容欠完整，送货计划基本可行，验收服务保障欠妥，计5分； 4、方案较差或未提供方案的不计分。</w:t>
            </w:r>
          </w:p>
        </w:tc>
      </w:tr>
      <w:tr>
        <w:tc>
          <w:tcPr>
            <w:tcW w:type="dxa" w:w="922"/>
            <w:gridSpan w:val="2"/>
            <w:vMerge/>
          </w:tcPr>
          <w:p/>
        </w:tc>
        <w:tc>
          <w:tcPr>
            <w:tcW w:type="dxa" w:w="2307"/>
          </w:tcPr>
          <w:p>
            <w:pPr>
              <w:jc w:val="left"/>
            </w:pPr>
            <w:r>
              <w:rPr/>
              <w:t>售后服务 (15.0分)</w:t>
            </w:r>
            <w:r>
              <w:rPr/>
              <w:t>，（等次分值选择：</w:t>
            </w:r>
            <w:r>
              <w:rPr/>
              <w:t>0.0;</w:t>
            </w:r>
            <w:r>
              <w:rPr/>
              <w:t>5.0;</w:t>
            </w:r>
            <w:r>
              <w:rPr/>
              <w:t>10.0;</w:t>
            </w:r>
            <w:r>
              <w:rPr/>
              <w:t>15.0;</w:t>
            </w:r>
            <w:r>
              <w:rPr/>
              <w:t>）</w:t>
            </w:r>
          </w:p>
        </w:tc>
        <w:tc>
          <w:tcPr>
            <w:tcW w:type="dxa" w:w="5076"/>
          </w:tcPr>
          <w:p>
            <w:pPr>
              <w:jc w:val="left"/>
            </w:pPr>
            <w:r>
              <w:rPr/>
              <w:t>根据各投标人提供的售后服务方案（方案内容包含：售后服务组织、服务机构的便利性、售后响应时间、应急处理措施、质保期限）进行评审，分档次计分： 1、售后服务方案内容完整，售后服务组织完善、合理、切合实际，售后响应时间短、应急处理措施适用，质保期限优于用户需求的计15分； 2、售后服务方案内容较完整，售后服务组织较完善、较合理、基本切合实际，售后响应时间较短、应急处理措施较适用，质保期限满足用户需求的计10分； 3、售后服务方案内容欠完整，售后服务组织不够完善，售后响应时间一般、应急处理措施一般，质保期限基本满足用户需求的计5分； 4、方案较差或未提供方案的不计分。</w:t>
            </w:r>
          </w:p>
        </w:tc>
      </w:tr>
      <w:tr>
        <w:tc>
          <w:tcPr>
            <w:tcW w:type="dxa" w:w="922"/>
            <w:gridSpan w:val="2"/>
            <w:vMerge w:val="restart"/>
          </w:tcPr>
          <w:p>
            <w:pPr>
              <w:jc w:val="center"/>
            </w:pPr>
            <w:r>
              <w:rPr/>
              <w:t>商务部分</w:t>
            </w:r>
          </w:p>
        </w:tc>
        <w:tc>
          <w:tcPr>
            <w:tcW w:type="dxa" w:w="2307"/>
          </w:tcPr>
          <w:p>
            <w:pPr>
              <w:jc w:val="left"/>
            </w:pPr>
            <w:r>
              <w:rPr/>
              <w:t>同类项目业绩 (3.0分)</w:t>
            </w:r>
          </w:p>
        </w:tc>
        <w:tc>
          <w:tcPr>
            <w:tcW w:type="dxa" w:w="5076"/>
          </w:tcPr>
          <w:p>
            <w:pPr>
              <w:jc w:val="left"/>
            </w:pPr>
            <w:r>
              <w:rPr/>
              <w:t>投标人提供2019年至投标截止时间前（以合同签订时间为准）的同类型项目业绩合同，每提供一个计1分，本项最高计3分。 （需提供合同复印件，未按要求提供不计分。）</w:t>
            </w:r>
          </w:p>
        </w:tc>
      </w:tr>
      <w:tr>
        <w:tc>
          <w:tcPr>
            <w:tcW w:type="dxa" w:w="922"/>
            <w:gridSpan w:val="2"/>
            <w:vMerge/>
          </w:tcPr>
          <w:p/>
        </w:tc>
        <w:tc>
          <w:tcPr>
            <w:tcW w:type="dxa" w:w="2307"/>
          </w:tcPr>
          <w:p>
            <w:pPr>
              <w:jc w:val="left"/>
            </w:pPr>
            <w:r>
              <w:rPr/>
              <w:t>客户评价 (3.0分)</w:t>
            </w:r>
          </w:p>
        </w:tc>
        <w:tc>
          <w:tcPr>
            <w:tcW w:type="dxa" w:w="5076"/>
          </w:tcPr>
          <w:p>
            <w:pPr>
              <w:jc w:val="left"/>
            </w:pPr>
            <w:r>
              <w:rPr/>
              <w:t>投标人提供上述业绩（同类型项目业绩评审项目中有效计分的业绩）的客户评价，每具有一个“优”（或同等级别）的客户评价计1分，本项最高计3分。 （需提供相关客户评价资料复印件，未提供或提供不符合要求的不计分。）</w:t>
            </w:r>
          </w:p>
        </w:tc>
      </w:tr>
      <w:tr>
        <w:tc>
          <w:tcPr>
            <w:tcW w:type="dxa" w:w="922"/>
            <w:gridSpan w:val="2"/>
            <w:vMerge/>
          </w:tcPr>
          <w:p/>
        </w:tc>
        <w:tc>
          <w:tcPr>
            <w:tcW w:type="dxa" w:w="2307"/>
          </w:tcPr>
          <w:p>
            <w:pPr>
              <w:jc w:val="left"/>
            </w:pPr>
            <w:r>
              <w:rPr/>
              <w:t>企业综合实力 (6.0分)</w:t>
            </w:r>
          </w:p>
        </w:tc>
        <w:tc>
          <w:tcPr>
            <w:tcW w:type="dxa" w:w="5076"/>
          </w:tcPr>
          <w:p>
            <w:pPr>
              <w:jc w:val="left"/>
            </w:pPr>
            <w:r>
              <w:rPr/>
              <w:t>1、投标人具有质量管理体系认证证书的计2分； 2、投标人具有环境管理体系认证证书的计2分； 3、投标人具有职业健康安全管理体系认证证书的计2分； （需提供证书复印件以及在全国认证认可信息公共服务平台上http://cx.cnca.cn查询结果的截图，证书状态必须为“有效”， 未按要求提供不计分。）</w:t>
            </w:r>
          </w:p>
        </w:tc>
      </w:tr>
      <w:tr>
        <w:tc>
          <w:tcPr>
            <w:tcW w:type="dxa" w:w="922"/>
            <w:gridSpan w:val="2"/>
            <w:vMerge/>
          </w:tcPr>
          <w:p/>
        </w:tc>
        <w:tc>
          <w:tcPr>
            <w:tcW w:type="dxa" w:w="2307"/>
          </w:tcPr>
          <w:p>
            <w:pPr>
              <w:jc w:val="left"/>
            </w:pPr>
            <w:r>
              <w:rPr/>
              <w:t>厂家技术支持 (3.0分)</w:t>
            </w:r>
          </w:p>
        </w:tc>
        <w:tc>
          <w:tcPr>
            <w:tcW w:type="dxa" w:w="5076"/>
          </w:tcPr>
          <w:p>
            <w:pPr>
              <w:jc w:val="left"/>
            </w:pPr>
            <w:r>
              <w:rPr/>
              <w:t>为了保证产品具有追溯性且保证质量，提供本项目所投核心产品农药登记证持有人出具的产品质量保证书和供货承诺书，需加盖农药登记证持有人公章（如投标人为产品生产厂家则视为已获得），提供完整的计3分。其他不计分。 （需提供相关证明文件复印件，未提供或不满足要求的不计分。）</w:t>
            </w:r>
          </w:p>
        </w:tc>
      </w:tr>
      <w:tr>
        <w:tc>
          <w:tcPr>
            <w:tcW w:type="dxa" w:w="922"/>
            <w:gridSpan w:val="2"/>
            <w:vMerge/>
          </w:tcPr>
          <w:p/>
        </w:tc>
        <w:tc>
          <w:tcPr>
            <w:tcW w:type="dxa" w:w="2307"/>
          </w:tcPr>
          <w:p>
            <w:pPr>
              <w:jc w:val="left"/>
            </w:pPr>
            <w:r>
              <w:rPr/>
              <w:t>服务支撑能力 (5.0分)</w:t>
            </w:r>
          </w:p>
        </w:tc>
        <w:tc>
          <w:tcPr>
            <w:tcW w:type="dxa" w:w="5076"/>
          </w:tcPr>
          <w:p>
            <w:pPr>
              <w:jc w:val="left"/>
            </w:pPr>
            <w:r>
              <w:rPr/>
              <w:t>根据投标人提供及时、便捷的后续服务情况进行评审： 1、投标人承诺接到采购人通知后30分钟（含）以内到达采购人指定地点的，计5分； 2、投标人承诺接到采购人通知后30分钟（不含）-60分钟（含）内到达采购人指定地点的，计3分； 3、投标人承诺接到采购人通知后60分钟以上到达采购人指定地点的，计1分； 4、其他不计分。 （需提供承诺书，未提供或不满足要求的不计分。承诺函格式自拟。）</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p>
    <w:p>
      <w:pPr>
        <w:jc w:val="both"/>
      </w:pPr>
      <w:r>
        <w:rPr>
          <w:sz w:val="27"/>
        </w:rPr>
        <w:t xml:space="preserve"> </w:t>
      </w:r>
    </w:p>
    <w:p>
      <w:pPr>
        <w:jc w:val="both"/>
      </w:pPr>
      <w:r>
        <w:rPr>
          <w:b/>
          <w:sz w:val="27"/>
        </w:rPr>
        <w:t>乙　　方：</w:t>
      </w:r>
      <w:r>
        <w:rPr>
          <w:sz w:val="27"/>
          <w:u w:val="single"/>
        </w:rPr>
        <w:t>　　　　　</w:t>
      </w:r>
    </w:p>
    <w:p>
      <w:pPr>
        <w:jc w:val="both"/>
      </w:pPr>
    </w:p>
    <w:p>
      <w:pPr>
        <w:jc w:val="both"/>
      </w:pPr>
      <w:r>
        <w:rPr>
          <w:sz w:val="27"/>
        </w:rPr>
        <w:t xml:space="preserve"> </w:t>
      </w:r>
    </w:p>
    <w:p>
      <w:pPr>
        <w:jc w:val="both"/>
      </w:pPr>
      <w:r>
        <w:rPr>
          <w:sz w:val="27"/>
        </w:rPr>
        <w:t xml:space="preserve"> </w:t>
      </w:r>
    </w:p>
    <w:p>
      <w:pPr>
        <w:ind w:firstLine="404"/>
        <w:jc w:val="both"/>
      </w:pP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的采购结果，按照《中华人民共和国政府采购法》、《中华人民共和国民法典(合同编)》的规定，经双方协商，本着平等互利和诚实信用的原则，一致同意签订本合同如下。</w:t>
      </w:r>
    </w:p>
    <w:p>
      <w:pPr>
        <w:jc w:val="both"/>
      </w:pPr>
      <w:r>
        <w:rPr>
          <w:b/>
          <w:sz w:val="27"/>
        </w:rPr>
        <w:t>一、</w:t>
      </w:r>
      <w:r>
        <w:rPr>
          <w:b/>
          <w:sz w:val="27"/>
        </w:rPr>
        <w:t>货物内容</w:t>
      </w:r>
    </w:p>
    <w:tbl>
      <w:tblPr>
        <w:tblW w:w="0" w:type="auto"/>
        <w:tblInd w:type="dxa" w:w="1875"/>
        <w:tblBorders>
          <w:top w:val="single"/>
          <w:left w:val="single"/>
          <w:bottom w:val="single"/>
          <w:right w:val="single"/>
          <w:insideH w:val="single"/>
          <w:insideV w:val="single"/>
        </w:tblBorders>
      </w:tblPr>
      <w:tblGrid>
        <w:gridCol w:w="814"/>
        <w:gridCol w:w="2313"/>
        <w:gridCol w:w="2313"/>
        <w:gridCol w:w="1038"/>
        <w:gridCol w:w="1642"/>
        <w:gridCol w:w="1695"/>
        <w:gridCol w:w="1695"/>
        <w:gridCol w:w="1248"/>
        <w:gridCol w:w="1248"/>
      </w:tblGrid>
      <w:tr>
        <w:tc>
          <w:tcPr>
            <w:tcW w:type="dxa" w:w="814"/>
            <w:tcBorders>
              <w:top w:val="single" w:color="000000" w:sz="4"/>
              <w:left w:val="single" w:color="000000" w:sz="4"/>
              <w:bottom w:val="single" w:color="000000" w:sz="4"/>
              <w:right w:val="single" w:color="000000" w:sz="4"/>
            </w:tcBorders>
          </w:tcPr>
          <w:p>
            <w:pPr>
              <w:jc w:val="center"/>
            </w:pPr>
            <w:r>
              <w:rPr>
                <w:sz w:val="27"/>
              </w:rPr>
              <w:t>序号</w:t>
            </w:r>
          </w:p>
        </w:tc>
        <w:tc>
          <w:tcPr>
            <w:tcW w:type="dxa" w:w="2313"/>
            <w:tcBorders>
              <w:top w:val="single" w:color="000000" w:sz="4"/>
              <w:left w:val="none" w:color="000000" w:sz="4"/>
              <w:bottom w:val="single" w:color="000000" w:sz="4"/>
              <w:right w:val="single" w:color="000000" w:sz="4"/>
            </w:tcBorders>
          </w:tcPr>
          <w:p>
            <w:r>
              <w:rPr>
                <w:sz w:val="27"/>
              </w:rPr>
              <w:t>药品名称</w:t>
            </w:r>
          </w:p>
        </w:tc>
        <w:tc>
          <w:tcPr>
            <w:tcW w:type="dxa" w:w="2313"/>
            <w:tcBorders>
              <w:top w:val="single" w:color="000000" w:sz="4"/>
              <w:left w:val="none" w:color="000000" w:sz="4"/>
              <w:bottom w:val="single" w:color="000000" w:sz="4"/>
              <w:right w:val="single" w:color="000000" w:sz="4"/>
            </w:tcBorders>
          </w:tcPr>
          <w:p>
            <w:pPr>
              <w:jc w:val="center"/>
            </w:pPr>
            <w:r>
              <w:rPr>
                <w:sz w:val="27"/>
              </w:rPr>
              <w:t>药品有效成分</w:t>
            </w:r>
          </w:p>
        </w:tc>
        <w:tc>
          <w:tcPr>
            <w:tcW w:type="dxa" w:w="1038"/>
            <w:tcBorders>
              <w:top w:val="single" w:color="000000" w:sz="4"/>
              <w:left w:val="none" w:color="000000" w:sz="4"/>
              <w:bottom w:val="single" w:color="000000" w:sz="4"/>
              <w:right w:val="single" w:color="000000" w:sz="4"/>
            </w:tcBorders>
          </w:tcPr>
          <w:p>
            <w:pPr>
              <w:jc w:val="center"/>
            </w:pPr>
            <w:r>
              <w:rPr>
                <w:sz w:val="27"/>
              </w:rPr>
              <w:t>剂型</w:t>
            </w:r>
          </w:p>
        </w:tc>
        <w:tc>
          <w:tcPr>
            <w:tcW w:type="dxa" w:w="1642"/>
            <w:tcBorders>
              <w:top w:val="single" w:color="000000" w:sz="4"/>
              <w:left w:val="none" w:color="000000" w:sz="4"/>
              <w:bottom w:val="single" w:color="000000" w:sz="4"/>
              <w:right w:val="single" w:color="000000" w:sz="4"/>
            </w:tcBorders>
          </w:tcPr>
          <w:p>
            <w:pPr>
              <w:jc w:val="center"/>
            </w:pPr>
            <w:r>
              <w:rPr>
                <w:sz w:val="27"/>
              </w:rPr>
              <w:t>防制对象</w:t>
            </w:r>
          </w:p>
        </w:tc>
        <w:tc>
          <w:tcPr>
            <w:tcW w:type="dxa" w:w="1695"/>
            <w:tcBorders>
              <w:top w:val="single" w:color="000000" w:sz="4"/>
              <w:left w:val="none" w:color="000000" w:sz="4"/>
              <w:bottom w:val="single" w:color="000000" w:sz="4"/>
              <w:right w:val="single" w:color="000000" w:sz="4"/>
            </w:tcBorders>
          </w:tcPr>
          <w:p>
            <w:pPr>
              <w:jc w:val="center"/>
            </w:pPr>
            <w:r>
              <w:rPr>
                <w:sz w:val="27"/>
              </w:rPr>
              <w:t>规格型号</w:t>
            </w:r>
          </w:p>
        </w:tc>
        <w:tc>
          <w:tcPr>
            <w:tcW w:type="dxa" w:w="1695"/>
            <w:tcBorders>
              <w:top w:val="single" w:color="000000" w:sz="4"/>
              <w:left w:val="none" w:color="000000" w:sz="4"/>
              <w:bottom w:val="single" w:color="000000" w:sz="4"/>
              <w:right w:val="single" w:color="000000" w:sz="4"/>
            </w:tcBorders>
          </w:tcPr>
          <w:p>
            <w:r>
              <w:rPr>
                <w:sz w:val="27"/>
              </w:rPr>
              <w:t xml:space="preserve"> 单位</w:t>
            </w:r>
          </w:p>
        </w:tc>
        <w:tc>
          <w:tcPr>
            <w:tcW w:type="dxa" w:w="1248"/>
            <w:tcBorders>
              <w:top w:val="single" w:color="000000" w:sz="4"/>
              <w:left w:val="none" w:color="000000" w:sz="4"/>
              <w:bottom w:val="single" w:color="000000" w:sz="4"/>
              <w:right w:val="single" w:color="000000" w:sz="4"/>
            </w:tcBorders>
          </w:tcPr>
          <w:p>
            <w:pPr>
              <w:jc w:val="center"/>
            </w:pPr>
            <w:r>
              <w:rPr>
                <w:sz w:val="27"/>
              </w:rPr>
              <w:t>单价（元）</w:t>
            </w:r>
          </w:p>
        </w:tc>
        <w:tc>
          <w:tcPr>
            <w:tcW w:type="dxa" w:w="1248"/>
            <w:tcBorders>
              <w:top w:val="single" w:color="000000" w:sz="4"/>
              <w:left w:val="none" w:color="000000" w:sz="4"/>
              <w:bottom w:val="single" w:color="000000" w:sz="4"/>
              <w:right w:val="single" w:color="000000" w:sz="4"/>
            </w:tcBorders>
          </w:tcPr>
          <w:p>
            <w:pPr>
              <w:jc w:val="center"/>
            </w:pPr>
            <w:r>
              <w:rPr>
                <w:sz w:val="27"/>
              </w:rPr>
              <w:t>备注</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高效氯氰菊酯≥5%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悬浮剂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克/瓶，20瓶/箱</w:t>
            </w:r>
          </w:p>
        </w:tc>
        <w:tc>
          <w:tcPr>
            <w:tcW w:type="dxa" w:w="1695"/>
            <w:tcBorders>
              <w:top w:val="none" w:color="000000" w:sz="4"/>
              <w:left w:val="none" w:color="000000" w:sz="4"/>
              <w:bottom w:val="single" w:color="000000" w:sz="4"/>
              <w:right w:val="single" w:color="000000" w:sz="4"/>
            </w:tcBorders>
          </w:tcPr>
          <w:p>
            <w:r>
              <w:rPr>
                <w:color w:val="000000"/>
                <w:sz w:val="27"/>
              </w:rPr>
              <w:t xml:space="preserve">  </w:t>
            </w:r>
          </w:p>
        </w:tc>
        <w:tc>
          <w:tcPr>
            <w:tcW w:type="dxa" w:w="1248"/>
            <w:tcBorders>
              <w:top w:val="none" w:color="000000" w:sz="4"/>
              <w:left w:val="none" w:color="000000" w:sz="4"/>
              <w:bottom w:val="single" w:color="000000" w:sz="4"/>
              <w:right w:val="single" w:color="000000" w:sz="4"/>
            </w:tcBorders>
          </w:tcPr>
          <w:p>
            <w:r>
              <w:rPr>
                <w:color w:val="000000"/>
                <w:sz w:val="27"/>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高效氯氰菊酯与残杀威混配总含量≥10%</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悬浮剂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克/瓶，20瓶/箱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color w:val="000000"/>
                <w:sz w:val="27"/>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3</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呋虫胺≥10%</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悬浮剂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克/瓶，20瓶/箱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color w:val="000000"/>
                <w:sz w:val="27"/>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4</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高效氟氯氰菊酯≥2.5%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悬浮剂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克/瓶，20瓶/箱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color w:val="000000"/>
                <w:sz w:val="27"/>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5</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溴敌隆≥0.01%</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毒饵</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鼠</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w:t>
            </w:r>
            <w:r>
              <w:rPr>
                <w:color w:val="000000"/>
                <w:sz w:val="27"/>
              </w:rPr>
              <w:t>克/袋</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color w:val="000000"/>
                <w:sz w:val="27"/>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6</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溴鼠灵≥0.005%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毒饵</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鼠</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1</w:t>
            </w:r>
            <w:r>
              <w:rPr>
                <w:color w:val="000000"/>
                <w:sz w:val="27"/>
              </w:rPr>
              <w:t>千克/袋</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color w:val="000000"/>
                <w:sz w:val="27"/>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7</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呋虫胺≥0.15%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饵剂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蟑螂</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10</w:t>
            </w:r>
            <w:r>
              <w:rPr>
                <w:color w:val="000000"/>
                <w:sz w:val="27"/>
              </w:rPr>
              <w:t>克/包，1000包/件</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8</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吡虫啉≥2.15%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饵剂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蟑螂</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4</w:t>
            </w:r>
            <w:r>
              <w:rPr>
                <w:color w:val="000000"/>
                <w:sz w:val="27"/>
              </w:rPr>
              <w:t>克，8粒/盒、400盒/箱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9</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呋虫胺≥0.2%</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饵剂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蟑螂</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12</w:t>
            </w:r>
            <w:r>
              <w:rPr>
                <w:color w:val="000000"/>
                <w:sz w:val="27"/>
              </w:rPr>
              <w:t>粒（5克）*100片/箱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10</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氟虫腈≥0.05%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饵剂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蟑螂</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10</w:t>
            </w:r>
            <w:r>
              <w:rPr>
                <w:color w:val="000000"/>
                <w:sz w:val="27"/>
              </w:rPr>
              <w:t>克针剂</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11</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胺菊酯与氯菊酯≥0.65%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气雾剂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300</w:t>
            </w:r>
            <w:r>
              <w:rPr>
                <w:color w:val="000000"/>
                <w:sz w:val="27"/>
              </w:rPr>
              <w:t>毫升/24瓶</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12</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ES-</w:t>
            </w:r>
            <w:r>
              <w:rPr>
                <w:color w:val="000000"/>
                <w:sz w:val="27"/>
              </w:rPr>
              <w:t>生物烯丙菊酯与氯菊酯与右旋胺菊酯总含量≥0.8%</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气雾剂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400</w:t>
            </w:r>
            <w:r>
              <w:rPr>
                <w:color w:val="000000"/>
                <w:sz w:val="27"/>
              </w:rPr>
              <w:t>毫升/24瓶</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13</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胺菊酯与氯菊酯与高效氯氰菊酯≥0.45%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气雾剂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700</w:t>
            </w:r>
            <w:r>
              <w:rPr>
                <w:color w:val="000000"/>
                <w:sz w:val="27"/>
              </w:rPr>
              <w:t>毫升/瓶，24瓶/箱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14</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残杀威与氯氰菊酯混配总含量≥2.5%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热雾剂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蟑螂、蚊</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w:t>
            </w:r>
            <w:r>
              <w:rPr>
                <w:color w:val="000000"/>
                <w:sz w:val="27"/>
              </w:rPr>
              <w:t>升/桶，4桶/箱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15</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高效氯氰菊酯与右胺菊酯混配总含量≥2.5%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热雾剂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蟑螂、蚊</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w:t>
            </w:r>
            <w:r>
              <w:rPr>
                <w:color w:val="000000"/>
                <w:sz w:val="27"/>
              </w:rPr>
              <w:t>升/桶，4桶/箱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16</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S-</w:t>
            </w:r>
            <w:r>
              <w:rPr>
                <w:color w:val="000000"/>
                <w:sz w:val="27"/>
              </w:rPr>
              <w:t>生物烯丙菊酯与氯菊酯混配总含量≥10.4%</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水乳剂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克/瓶，20瓶/箱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17</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高效氯氰菊酯≥4.5%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水乳剂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克/瓶，20瓶/箱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18</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富右旋反式烯丙菊酯与氯菊酯≥12%</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水乳剂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克/瓶，20瓶/箱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19</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氯菊酯与右旋胺菊酯混配总含量≥10%</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微乳剂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克/瓶，20瓶/箱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20</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氯菊酯与四氟醚菊酯总含量≥5%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水乳剂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1</w:t>
            </w:r>
            <w:r>
              <w:rPr>
                <w:color w:val="000000"/>
                <w:sz w:val="27"/>
              </w:rPr>
              <w:t>升/瓶，20瓶/箱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21</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吡虫啉≥5%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颗粒剂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蚊幼虫</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w:t>
            </w:r>
            <w:r>
              <w:rPr>
                <w:color w:val="000000"/>
                <w:sz w:val="27"/>
              </w:rPr>
              <w:t>克/包（缓释包），1000包/箱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22</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倍硫磷≥5%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颗粒剂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蚊幼虫</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0.5</w:t>
            </w:r>
            <w:r>
              <w:rPr>
                <w:color w:val="000000"/>
                <w:sz w:val="27"/>
              </w:rPr>
              <w:t>千克/袋，50袋/件</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23</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吡丙醚与倍硫磷总含量≥5%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颗粒剂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蚊幼虫</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克/包</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24</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ES-</w:t>
            </w:r>
            <w:r>
              <w:rPr>
                <w:color w:val="000000"/>
                <w:sz w:val="27"/>
              </w:rPr>
              <w:t>生物烯丙菊酯与氯菊酯总含量≥10%</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乳油</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毫升/20瓶/箱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25</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ES-</w:t>
            </w:r>
            <w:r>
              <w:rPr>
                <w:color w:val="000000"/>
                <w:sz w:val="27"/>
              </w:rPr>
              <w:t>生物烯丙菊酯与氯菊酯总含量≥10.5%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乳油</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毫升/20瓶/箱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26</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氯菊酯与四氟醚菊酯总含量≥3.5%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乳油</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1</w:t>
            </w:r>
            <w:r>
              <w:rPr>
                <w:color w:val="000000"/>
                <w:sz w:val="27"/>
              </w:rPr>
              <w:t>升/瓶，10瓶/箱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27</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氯氟醚菊酯与残杀威≥8%</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乳油</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1</w:t>
            </w:r>
            <w:r>
              <w:rPr>
                <w:color w:val="000000"/>
                <w:sz w:val="27"/>
              </w:rPr>
              <w:t>升/瓶，10瓶/箱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28</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氯菊酯与右旋胺菊酯总含量≥10%</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乳油</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毫升/瓶，20瓶/箱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29</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胺菊酯与氯菊酯总含量≥15%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乳油</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500</w:t>
            </w:r>
            <w:r>
              <w:rPr>
                <w:color w:val="000000"/>
                <w:sz w:val="27"/>
              </w:rPr>
              <w:t>毫升/瓶，20瓶/箱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30</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富右旋反式烯丙菊酯≥1%</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片剂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蚊、蝇</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w:t>
            </w:r>
            <w:r>
              <w:rPr>
                <w:color w:val="000000"/>
                <w:sz w:val="27"/>
              </w:rPr>
              <w:t>片/包、60包/箱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31</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高效氯氰菊酯≥5%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烟剂</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蟑螂</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25</w:t>
            </w:r>
            <w:r>
              <w:rPr>
                <w:color w:val="000000"/>
                <w:sz w:val="27"/>
              </w:rPr>
              <w:t>克/个</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32</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驱蚊液≥15%</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驱蚊酯</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蚊</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50ml/</w:t>
            </w:r>
            <w:r>
              <w:rPr>
                <w:color w:val="000000"/>
                <w:sz w:val="27"/>
              </w:rPr>
              <w:t>瓶，100瓶/箱</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814"/>
            <w:tcBorders>
              <w:top w:val="none" w:color="000000" w:sz="4"/>
              <w:left w:val="single" w:color="000000" w:sz="4"/>
              <w:bottom w:val="single" w:color="000000" w:sz="4"/>
              <w:right w:val="single" w:color="000000" w:sz="4"/>
            </w:tcBorders>
          </w:tcPr>
          <w:p>
            <w:pPr>
              <w:jc w:val="center"/>
            </w:pPr>
            <w:r>
              <w:rPr>
                <w:color w:val="000000"/>
                <w:sz w:val="27"/>
              </w:rPr>
              <w:t>33</w:t>
            </w:r>
          </w:p>
        </w:tc>
        <w:tc>
          <w:tcPr>
            <w:tcW w:type="dxa" w:w="2313"/>
            <w:tcBorders>
              <w:top w:val="none" w:color="000000" w:sz="4"/>
              <w:left w:val="none" w:color="000000" w:sz="4"/>
              <w:bottom w:val="single" w:color="000000" w:sz="4"/>
              <w:right w:val="single" w:color="000000" w:sz="4"/>
            </w:tcBorders>
          </w:tcPr>
          <w:p>
            <w:r>
              <w:rPr>
                <w:color w:val="000000"/>
                <w:sz w:val="27"/>
              </w:rPr>
              <w:t xml:space="preserve"> </w:t>
            </w:r>
          </w:p>
        </w:tc>
        <w:tc>
          <w:tcPr>
            <w:tcW w:type="dxa" w:w="2313"/>
            <w:tcBorders>
              <w:top w:val="none" w:color="000000" w:sz="4"/>
              <w:left w:val="none" w:color="000000" w:sz="4"/>
              <w:bottom w:val="single" w:color="000000" w:sz="4"/>
              <w:right w:val="single" w:color="000000" w:sz="4"/>
            </w:tcBorders>
          </w:tcPr>
          <w:p>
            <w:pPr>
              <w:jc w:val="center"/>
            </w:pPr>
            <w:r>
              <w:rPr>
                <w:color w:val="000000"/>
                <w:sz w:val="27"/>
              </w:rPr>
              <w:t>强力粘鼠板</w:t>
            </w:r>
          </w:p>
        </w:tc>
        <w:tc>
          <w:tcPr>
            <w:tcW w:type="dxa" w:w="1038"/>
            <w:tcBorders>
              <w:top w:val="none" w:color="000000" w:sz="4"/>
              <w:left w:val="none" w:color="000000" w:sz="4"/>
              <w:bottom w:val="single" w:color="000000" w:sz="4"/>
              <w:right w:val="single" w:color="000000" w:sz="4"/>
            </w:tcBorders>
          </w:tcPr>
          <w:p>
            <w:pPr>
              <w:jc w:val="center"/>
            </w:pPr>
            <w:r>
              <w:rPr>
                <w:color w:val="000000"/>
                <w:sz w:val="27"/>
              </w:rPr>
              <w:t>/</w:t>
            </w:r>
          </w:p>
        </w:tc>
        <w:tc>
          <w:tcPr>
            <w:tcW w:type="dxa" w:w="1642"/>
            <w:tcBorders>
              <w:top w:val="none" w:color="000000" w:sz="4"/>
              <w:left w:val="none" w:color="000000" w:sz="4"/>
              <w:bottom w:val="single" w:color="000000" w:sz="4"/>
              <w:right w:val="single" w:color="000000" w:sz="4"/>
            </w:tcBorders>
          </w:tcPr>
          <w:p>
            <w:pPr>
              <w:jc w:val="center"/>
            </w:pPr>
            <w:r>
              <w:rPr>
                <w:color w:val="000000"/>
                <w:sz w:val="27"/>
              </w:rPr>
              <w:t>鼠</w:t>
            </w:r>
          </w:p>
        </w:tc>
        <w:tc>
          <w:tcPr>
            <w:tcW w:type="dxa" w:w="1695"/>
            <w:tcBorders>
              <w:top w:val="none" w:color="000000" w:sz="4"/>
              <w:left w:val="none" w:color="000000" w:sz="4"/>
              <w:bottom w:val="single" w:color="000000" w:sz="4"/>
              <w:right w:val="single" w:color="000000" w:sz="4"/>
            </w:tcBorders>
          </w:tcPr>
          <w:p>
            <w:pPr>
              <w:jc w:val="center"/>
            </w:pPr>
            <w:r>
              <w:rPr>
                <w:color w:val="000000"/>
                <w:sz w:val="27"/>
              </w:rPr>
              <w:t>50</w:t>
            </w:r>
            <w:r>
              <w:rPr>
                <w:color w:val="000000"/>
                <w:sz w:val="27"/>
              </w:rPr>
              <w:t>张/箱(22cm*17cm)涂胶量≥45克</w:t>
            </w:r>
          </w:p>
        </w:tc>
        <w:tc>
          <w:tcPr>
            <w:tcW w:type="dxa" w:w="1695"/>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c>
          <w:tcPr>
            <w:tcW w:type="dxa" w:w="1248"/>
            <w:tcBorders>
              <w:top w:val="none" w:color="000000" w:sz="4"/>
              <w:left w:val="none" w:color="000000" w:sz="4"/>
              <w:bottom w:val="single" w:color="000000" w:sz="4"/>
              <w:right w:val="single" w:color="000000" w:sz="4"/>
            </w:tcBorders>
          </w:tcPr>
          <w:p>
            <w:r>
              <w:rPr/>
              <w:t xml:space="preserve"> </w:t>
            </w:r>
          </w:p>
        </w:tc>
      </w:tr>
      <w:tr>
        <w:tc>
          <w:tcPr>
            <w:tcW w:type="dxa" w:w="12758"/>
            <w:gridSpan w:val="8"/>
            <w:tcBorders>
              <w:top w:val="none" w:color="000000" w:sz="4"/>
              <w:left w:val="single" w:color="CCCCCC" w:sz="4"/>
              <w:bottom w:val="single" w:color="CCCCCC" w:sz="4"/>
              <w:right w:val="single" w:color="CCCCCC" w:sz="4"/>
            </w:tcBorders>
            <w:vAlign w:val="top"/>
          </w:tcPr>
          <w:p>
            <w:pPr>
              <w:jc w:val="center"/>
            </w:pPr>
            <w:r>
              <w:rPr>
                <w:sz w:val="27"/>
              </w:rPr>
              <w:t>合计：人民币大写： 元整</w:t>
            </w:r>
          </w:p>
        </w:tc>
        <w:tc>
          <w:tcPr>
            <w:tcW w:type="dxa" w:w="1248"/>
            <w:tcBorders>
              <w:top w:val="none" w:color="000000" w:sz="4"/>
              <w:left w:val="none" w:color="000000" w:sz="4"/>
              <w:bottom w:val="single" w:color="CCCCCC" w:sz="4"/>
              <w:right w:val="single" w:color="CCCCCC" w:sz="4"/>
            </w:tcBorders>
          </w:tcPr>
          <w:p>
            <w:pPr>
              <w:jc w:val="center"/>
            </w:pPr>
            <w:r>
              <w:rPr>
                <w:sz w:val="27"/>
              </w:rPr>
              <w:t>￥：</w:t>
            </w:r>
          </w:p>
        </w:tc>
      </w:tr>
    </w:tbl>
    <w:p>
      <w:pPr>
        <w:ind w:firstLine="270"/>
        <w:jc w:val="both"/>
      </w:pPr>
      <w:r>
        <w:rPr>
          <w:sz w:val="27"/>
        </w:rPr>
        <w:t>1</w:t>
      </w:r>
      <w:r>
        <w:rPr>
          <w:sz w:val="27"/>
        </w:rPr>
        <w:t>、根据《政府采购促进中小企业发展管理办法》（财库〔2020〕46 号），本项目乙方需承诺预留项目预算总额的30%以上（即不少于62.1</w:t>
      </w:r>
      <w:r>
        <w:rPr>
          <w:sz w:val="27"/>
        </w:rPr>
        <w:t>0</w:t>
      </w:r>
      <w:r>
        <w:rPr>
          <w:sz w:val="27"/>
        </w:rPr>
        <w:t>万元）货物由中小企业提供，其中小微企业的比列不低于30%*60%（即不少于37.26万元）。乙方供货时应提供属于中小企业货品供应清单列表。</w:t>
      </w:r>
    </w:p>
    <w:p>
      <w:pPr>
        <w:ind w:firstLine="270"/>
        <w:jc w:val="both"/>
      </w:pPr>
      <w:r>
        <w:rPr>
          <w:sz w:val="27"/>
        </w:rPr>
        <w:t>2</w:t>
      </w:r>
      <w:r>
        <w:rPr>
          <w:sz w:val="27"/>
        </w:rPr>
        <w:t>、乙方必须有稳定的技术支持，设有售后服务机构。</w:t>
      </w:r>
    </w:p>
    <w:p>
      <w:pPr>
        <w:ind w:firstLine="270"/>
        <w:jc w:val="both"/>
      </w:pPr>
      <w:r>
        <w:rPr>
          <w:sz w:val="27"/>
        </w:rPr>
        <w:t>3</w:t>
      </w:r>
      <w:r>
        <w:rPr>
          <w:sz w:val="27"/>
        </w:rPr>
        <w:t>、乙方提交的产品质量符合国家标准。杀鼠剂应使用最新印制的包装、标签，并加贴全国统一的防伪标识:卫生杀虫剂中农药登记证编号是“W”开头的产品。</w:t>
      </w:r>
    </w:p>
    <w:p>
      <w:pPr>
        <w:jc w:val="both"/>
      </w:pPr>
      <w:r>
        <w:rPr>
          <w:b/>
          <w:sz w:val="27"/>
        </w:rPr>
        <w:t>二、</w:t>
      </w:r>
      <w:r>
        <w:rPr>
          <w:b/>
          <w:sz w:val="27"/>
        </w:rPr>
        <w:t>合同总价和支付方式：</w:t>
      </w:r>
    </w:p>
    <w:p>
      <w:pPr>
        <w:ind w:firstLine="270"/>
        <w:jc w:val="both"/>
      </w:pPr>
      <w:r>
        <w:rPr>
          <w:sz w:val="27"/>
        </w:rPr>
        <w:t>1</w:t>
      </w:r>
      <w:r>
        <w:rPr>
          <w:sz w:val="27"/>
        </w:rPr>
        <w:t>、本次项目总预算金额为人民币</w:t>
      </w:r>
      <w:r>
        <w:rPr>
          <w:sz w:val="27"/>
          <w:u w:val="single"/>
        </w:rPr>
        <w:t xml:space="preserve">   </w:t>
      </w:r>
      <w:r>
        <w:rPr>
          <w:sz w:val="27"/>
        </w:rPr>
        <w:t>元整（大写：</w:t>
      </w:r>
      <w:r>
        <w:rPr>
          <w:sz w:val="27"/>
          <w:u w:val="single"/>
        </w:rPr>
        <w:t xml:space="preserve">   </w:t>
      </w:r>
      <w:r>
        <w:rPr>
          <w:sz w:val="27"/>
        </w:rPr>
        <w:t>），该合同金额是货物生产、包装、仓储、运输、验收合格之前及保质期与备品备件发生的所有含税费用等完成本项目内容所需的一切费用。</w:t>
      </w:r>
      <w:r>
        <w:br/>
      </w:r>
      <w:r>
        <w:rPr>
          <w:sz w:val="27"/>
        </w:rPr>
        <w:t xml:space="preserve">  2、保费：货物到达交货地点之前的所有保险费用和派往甲方进行服务人员的人身险和其他有关险种以及有关费用由乙方负责。</w:t>
      </w:r>
      <w:r>
        <w:br/>
      </w:r>
      <w:r>
        <w:rPr>
          <w:sz w:val="27"/>
        </w:rPr>
        <w:t xml:space="preserve">  3、合同期限：从</w:t>
      </w:r>
      <w:r>
        <w:rPr>
          <w:sz w:val="27"/>
          <w:u w:val="single"/>
        </w:rPr>
        <w:t xml:space="preserve">  </w:t>
      </w:r>
      <w:r>
        <w:rPr>
          <w:sz w:val="27"/>
        </w:rPr>
        <w:t>年</w:t>
      </w:r>
      <w:r>
        <w:rPr>
          <w:sz w:val="27"/>
          <w:u w:val="single"/>
        </w:rPr>
        <w:t xml:space="preserve">  </w:t>
      </w:r>
      <w:r>
        <w:rPr>
          <w:sz w:val="27"/>
        </w:rPr>
        <w:t>月</w:t>
      </w:r>
      <w:r>
        <w:rPr>
          <w:sz w:val="27"/>
          <w:u w:val="single"/>
        </w:rPr>
        <w:t xml:space="preserve">  </w:t>
      </w:r>
      <w:r>
        <w:rPr>
          <w:sz w:val="27"/>
        </w:rPr>
        <w:t>日至</w:t>
      </w:r>
      <w:r>
        <w:rPr>
          <w:sz w:val="27"/>
          <w:u w:val="single"/>
        </w:rPr>
        <w:t xml:space="preserve">  </w:t>
      </w:r>
      <w:r>
        <w:rPr>
          <w:sz w:val="27"/>
        </w:rPr>
        <w:t>年</w:t>
      </w:r>
      <w:r>
        <w:rPr>
          <w:sz w:val="27"/>
          <w:u w:val="single"/>
        </w:rPr>
        <w:t xml:space="preserve">  </w:t>
      </w:r>
      <w:r>
        <w:rPr>
          <w:sz w:val="27"/>
        </w:rPr>
        <w:t>月</w:t>
      </w:r>
      <w:r>
        <w:rPr>
          <w:sz w:val="27"/>
          <w:u w:val="single"/>
        </w:rPr>
        <w:t xml:space="preserve">  </w:t>
      </w:r>
      <w:r>
        <w:rPr>
          <w:sz w:val="27"/>
        </w:rPr>
        <w:t>日</w:t>
      </w:r>
      <w:r>
        <w:rPr>
          <w:sz w:val="27"/>
        </w:rPr>
        <w:t>或预算金额</w:t>
      </w:r>
      <w:r>
        <w:rPr>
          <w:sz w:val="27"/>
          <w:u w:val="single"/>
        </w:rPr>
        <w:t xml:space="preserve">    </w:t>
      </w:r>
      <w:r>
        <w:rPr>
          <w:sz w:val="27"/>
        </w:rPr>
        <w:t>元用完为止，上述两个期限以先到者为准。</w:t>
      </w:r>
      <w:r>
        <w:br/>
      </w:r>
      <w:r>
        <w:rPr>
          <w:sz w:val="27"/>
        </w:rPr>
        <w:t xml:space="preserve"> 4、合同签订后，甲方按实际需求要求乙方进行分批供货。接到甲方订单起，乙方应在</w:t>
      </w:r>
      <w:r>
        <w:rPr>
          <w:sz w:val="27"/>
          <w:u w:val="single"/>
        </w:rPr>
        <w:t>7</w:t>
      </w:r>
      <w:r>
        <w:rPr>
          <w:sz w:val="27"/>
        </w:rPr>
        <w:t>天内送交货物到采购人指定地点。</w:t>
      </w:r>
      <w:r>
        <w:br/>
      </w:r>
      <w:r>
        <w:rPr>
          <w:sz w:val="27"/>
        </w:rPr>
        <w:t xml:space="preserve"> 5、乙方应按有关标准进行包装并将其运抵交货地点（须提供每批次供货清单并加盖公章），货物运送至交货地点后，由甲方和乙方进行联合验收。货物的外包装应牢固、充好，符合储存运输要求。在此期间如发现货物有破损，乙方应立即予以更换，因更换所产生费用由乙方承担。如上述要求不合格，甲方可拒绝接收。</w:t>
      </w:r>
    </w:p>
    <w:p>
      <w:pPr>
        <w:ind w:firstLine="270"/>
        <w:jc w:val="both"/>
      </w:pPr>
      <w:r>
        <w:rPr>
          <w:sz w:val="27"/>
        </w:rPr>
        <w:t>6、验收完毕后由甲乙双方在验收报告上签名并加盖双方公章。</w:t>
      </w:r>
      <w:r>
        <w:br/>
      </w:r>
      <w:r>
        <w:rPr>
          <w:sz w:val="27"/>
        </w:rPr>
        <w:t xml:space="preserve">  7、货款每批次进行结算（按实际每批次交货的数量进行按实结算），经验收合格后甲方支付该批次供应货款给乙方。累计结算总额以合同总价与合同服务期限为限。</w:t>
      </w:r>
      <w:r>
        <w:br/>
      </w:r>
      <w:r>
        <w:rPr>
          <w:sz w:val="27"/>
        </w:rPr>
        <w:t xml:space="preserve">  8、结算单位为:元/人民币。</w:t>
      </w:r>
      <w:r>
        <w:br/>
      </w:r>
      <w:r>
        <w:rPr>
          <w:sz w:val="27"/>
        </w:rPr>
        <w:t xml:space="preserve">  9、付款方式:采用支票、银行汇付（含电汇）等形式。</w:t>
      </w:r>
      <w:r>
        <w:br/>
      </w:r>
      <w:r>
        <w:rPr>
          <w:sz w:val="27"/>
        </w:rPr>
        <w:t xml:space="preserve">  10、乙方凭以下有效文件与采购人结算:</w:t>
      </w:r>
    </w:p>
    <w:p>
      <w:pPr>
        <w:ind w:firstLine="270"/>
        <w:jc w:val="both"/>
      </w:pPr>
      <w:r>
        <w:rPr>
          <w:sz w:val="27"/>
        </w:rPr>
        <w:t>（1）合同；</w:t>
      </w:r>
    </w:p>
    <w:p>
      <w:pPr>
        <w:ind w:firstLine="270"/>
        <w:jc w:val="both"/>
      </w:pPr>
      <w:r>
        <w:rPr>
          <w:sz w:val="27"/>
        </w:rPr>
        <w:t>（2）乙方开具的正式发票（每批次相应结算金额的正式发票) ；</w:t>
      </w:r>
    </w:p>
    <w:p>
      <w:pPr>
        <w:ind w:firstLine="270"/>
        <w:jc w:val="both"/>
      </w:pPr>
      <w:r>
        <w:rPr>
          <w:sz w:val="27"/>
        </w:rPr>
        <w:t>（3）每批货物验收报告(加盖双方公章)；</w:t>
      </w:r>
    </w:p>
    <w:p>
      <w:pPr>
        <w:ind w:firstLine="270"/>
        <w:jc w:val="both"/>
      </w:pPr>
      <w:r>
        <w:rPr>
          <w:sz w:val="27"/>
        </w:rPr>
        <w:t>（4）中标通知书；</w:t>
      </w:r>
    </w:p>
    <w:p>
      <w:pPr>
        <w:ind w:firstLine="270"/>
        <w:jc w:val="both"/>
      </w:pPr>
      <w:r>
        <w:rPr>
          <w:sz w:val="27"/>
        </w:rPr>
        <w:t>（5）其它结算资料以镇财政办公室要求为准。</w:t>
      </w:r>
    </w:p>
    <w:p>
      <w:pPr>
        <w:ind w:firstLine="270"/>
        <w:jc w:val="both"/>
      </w:pPr>
      <w:r>
        <w:rPr>
          <w:sz w:val="27"/>
        </w:rPr>
        <w:t>（6）在每批次收齐以上有效结算资料，经甲方确认无误后在30个工作日内向甲方支付该批次货款。</w:t>
      </w:r>
      <w:r>
        <w:br/>
      </w:r>
      <w:r>
        <w:rPr>
          <w:sz w:val="27"/>
        </w:rPr>
        <w:t xml:space="preserve">  11、因甲方使用的是财政资金，甲方在规定的付款时间向政府财政部门提出办理财政支付申请手续的时间（不含政府财政支付部门审核的时间）即视为甲方已经按期支付，因政府财政部门审核支付导致实际付款迟延的，甲方不须承担逾期付款违约责任，乙方不得因费用拨付滞后而影响供货。</w:t>
      </w:r>
    </w:p>
    <w:p>
      <w:pPr>
        <w:jc w:val="both"/>
      </w:pPr>
      <w:r>
        <w:rPr>
          <w:b/>
          <w:sz w:val="27"/>
        </w:rPr>
        <w:t>三、</w:t>
      </w:r>
      <w:r>
        <w:rPr>
          <w:b/>
          <w:sz w:val="27"/>
        </w:rPr>
        <w:t>合同组成</w:t>
      </w:r>
    </w:p>
    <w:p>
      <w:pPr>
        <w:jc w:val="both"/>
      </w:pPr>
      <w:r>
        <w:rPr>
          <w:sz w:val="27"/>
        </w:rPr>
        <w:t xml:space="preserve"> 1、详细价格、技术说明及其它有关合同设备的特定信息由合同附件说明。所有附件及本项目的招投标文件、会议纪要、协议等均为本合同不可分割之一部分。</w:t>
      </w:r>
    </w:p>
    <w:p>
      <w:pPr>
        <w:jc w:val="both"/>
      </w:pPr>
      <w:r>
        <w:rPr>
          <w:b/>
          <w:sz w:val="27"/>
        </w:rPr>
        <w:t>四、</w:t>
      </w:r>
      <w:r>
        <w:rPr>
          <w:b/>
          <w:sz w:val="27"/>
        </w:rPr>
        <w:t>基本要求</w:t>
      </w:r>
    </w:p>
    <w:p>
      <w:pPr>
        <w:ind w:firstLine="270"/>
        <w:jc w:val="both"/>
      </w:pPr>
      <w:r>
        <w:rPr>
          <w:sz w:val="27"/>
        </w:rPr>
        <w:t>1</w:t>
      </w:r>
      <w:r>
        <w:rPr>
          <w:sz w:val="27"/>
        </w:rPr>
        <w:t>、乙方必须承诺提供厂商原装、全新的、符合用户提出的有关质量标准的货物。产品的包装、标签等应符合国家有关要求。每种产品必须提供真实有效的农药登记证(备案在有效期内)。</w:t>
      </w:r>
    </w:p>
    <w:p>
      <w:pPr>
        <w:ind w:firstLine="270"/>
        <w:jc w:val="both"/>
      </w:pPr>
      <w:r>
        <w:rPr>
          <w:sz w:val="27"/>
        </w:rPr>
        <w:t>2</w:t>
      </w:r>
      <w:r>
        <w:rPr>
          <w:sz w:val="27"/>
        </w:rPr>
        <w:t>、所有货物在开箱检验时必须完好，无破损，配置与装箱单相符。货物外观清洁。数量、质量及性能不低于本需求书中提出的要求。</w:t>
      </w:r>
    </w:p>
    <w:p>
      <w:pPr>
        <w:ind w:firstLine="270"/>
        <w:jc w:val="both"/>
      </w:pPr>
      <w:r>
        <w:rPr>
          <w:sz w:val="27"/>
        </w:rPr>
        <w:t>3</w:t>
      </w:r>
      <w:r>
        <w:rPr>
          <w:sz w:val="27"/>
        </w:rPr>
        <w:t>、乙方供货时所提供的货物如在实际供货时已经停产(不列入该厂家当时的产品系统)，如果未能按原价提供更优质的货物，则按违约处理。</w:t>
      </w:r>
    </w:p>
    <w:p>
      <w:pPr>
        <w:ind w:firstLine="270"/>
        <w:jc w:val="both"/>
      </w:pPr>
      <w:r>
        <w:rPr>
          <w:sz w:val="27"/>
        </w:rPr>
        <w:t>4</w:t>
      </w:r>
      <w:r>
        <w:rPr>
          <w:sz w:val="27"/>
        </w:rPr>
        <w:t>、质量及售后服务要求:产品实行“三包”，有效期两年。</w:t>
      </w:r>
    </w:p>
    <w:p>
      <w:pPr>
        <w:ind w:firstLine="270"/>
        <w:jc w:val="both"/>
      </w:pPr>
      <w:r>
        <w:rPr>
          <w:sz w:val="27"/>
        </w:rPr>
        <w:t>5</w:t>
      </w:r>
      <w:r>
        <w:rPr>
          <w:sz w:val="27"/>
        </w:rPr>
        <w:t>、乙方在实际供货时，若被发现提供的货物未能达到招标文件和投标文件中的有关要求，将按有关法规进行处罚，甲方将有权单方面终止合同的执行，并追究因乙方所提供的未达到所承诺准确率产品而产生的所有损失和责任。</w:t>
      </w:r>
    </w:p>
    <w:p>
      <w:pPr>
        <w:ind w:firstLine="270"/>
        <w:jc w:val="both"/>
      </w:pPr>
      <w:r>
        <w:rPr>
          <w:sz w:val="27"/>
        </w:rPr>
        <w:t>6</w:t>
      </w:r>
      <w:r>
        <w:rPr>
          <w:sz w:val="27"/>
        </w:rPr>
        <w:t>、由乙方负责按国家相关标准进行货物包装，设备的包装均应有良好的防湿、防锈、防潮、防雨、防腐及防碰撞的措施，并适宜本项目实施地点的气候条件。凡由于包装不良造成的损失和由此产生的费用均由乙方承担。</w:t>
      </w:r>
    </w:p>
    <w:p>
      <w:pPr>
        <w:ind w:firstLine="270"/>
        <w:jc w:val="both"/>
      </w:pPr>
      <w:r>
        <w:rPr>
          <w:sz w:val="27"/>
        </w:rPr>
        <w:t>7</w:t>
      </w:r>
      <w:r>
        <w:rPr>
          <w:sz w:val="27"/>
        </w:rPr>
        <w:t>、本项目为交钥匙项目，乙方承包及负责招标文件对中标人要求的一切事宜及责任。包括项目方案、货物供货、软件提供、运输、保管、安装、调试、验收及相关服务等。</w:t>
      </w:r>
    </w:p>
    <w:p>
      <w:pPr>
        <w:ind w:firstLine="270"/>
        <w:jc w:val="both"/>
      </w:pPr>
      <w:r>
        <w:rPr>
          <w:sz w:val="27"/>
        </w:rPr>
        <w:t>8</w:t>
      </w:r>
      <w:r>
        <w:rPr>
          <w:sz w:val="27"/>
        </w:rPr>
        <w:t>、除采购人有明确规定外，乙方不得以任何方式转包或分包本项目。</w:t>
      </w:r>
    </w:p>
    <w:p>
      <w:pPr>
        <w:jc w:val="both"/>
      </w:pPr>
      <w:r>
        <w:rPr>
          <w:b/>
          <w:sz w:val="27"/>
        </w:rPr>
        <w:t>五、</w:t>
      </w:r>
      <w:r>
        <w:rPr>
          <w:b/>
          <w:sz w:val="27"/>
        </w:rPr>
        <w:t>产品质量及要求</w:t>
      </w:r>
    </w:p>
    <w:p>
      <w:pPr>
        <w:jc w:val="both"/>
      </w:pPr>
      <w:r>
        <w:rPr>
          <w:sz w:val="27"/>
        </w:rPr>
        <w:t>1、合同签订后，甲方按实际需求要求乙方进行分批供货。乙方按甲方要求的时间及时送交货物到甲方指定地点。</w:t>
      </w:r>
    </w:p>
    <w:p>
      <w:pPr>
        <w:jc w:val="both"/>
      </w:pPr>
      <w:r>
        <w:rPr>
          <w:sz w:val="27"/>
        </w:rPr>
        <w:t>2、产品实行“三包”，有效期两年，货物的生产日期与交货日期相隔不能超过五个月。</w:t>
      </w:r>
    </w:p>
    <w:p>
      <w:pPr>
        <w:jc w:val="both"/>
      </w:pPr>
      <w:r>
        <w:rPr>
          <w:sz w:val="27"/>
        </w:rPr>
        <w:t xml:space="preserve">3、每批次货物乙方须提供厂家出厂质量相关合格证明文件。  </w:t>
      </w:r>
    </w:p>
    <w:p>
      <w:pPr>
        <w:jc w:val="both"/>
      </w:pPr>
      <w:r>
        <w:rPr>
          <w:sz w:val="27"/>
        </w:rPr>
        <w:t>4、乙方应按有关标准进行包装并按甲方提出交货地点及交货日期，由乙方免费运抵交货地点，货物运送至交货地点后，由甲乙双方进行联合验收。货物的外包装应牢固、完好，符合储存运输要求。在此期间如发现货物有破损，乙方应立即予以更换(费用由乙方承担)。如上述要求不合格，乙方可拒绝接收。</w:t>
      </w:r>
    </w:p>
    <w:p>
      <w:pPr>
        <w:jc w:val="both"/>
      </w:pPr>
      <w:r>
        <w:rPr>
          <w:sz w:val="27"/>
        </w:rPr>
        <w:t>5、货物使用完后空瓶由乙方回收。</w:t>
      </w:r>
    </w:p>
    <w:p>
      <w:pPr>
        <w:jc w:val="both"/>
      </w:pPr>
      <w:r>
        <w:rPr>
          <w:sz w:val="27"/>
        </w:rPr>
        <w:t>6、验收完毕后由甲乙双方在验收报告上签名并加盖双方公章。</w:t>
      </w:r>
    </w:p>
    <w:p>
      <w:pPr>
        <w:ind w:firstLine="136"/>
        <w:jc w:val="both"/>
      </w:pPr>
      <w:r>
        <w:rPr>
          <w:b/>
          <w:sz w:val="27"/>
        </w:rPr>
        <w:t>六、采购项目产品安装、测试及验收要求</w:t>
      </w:r>
    </w:p>
    <w:p>
      <w:pPr>
        <w:ind w:firstLine="270"/>
        <w:jc w:val="both"/>
      </w:pPr>
      <w:r>
        <w:rPr>
          <w:sz w:val="27"/>
        </w:rPr>
        <w:t>1</w:t>
      </w:r>
      <w:r>
        <w:rPr>
          <w:sz w:val="27"/>
        </w:rPr>
        <w:t>、包装:均应有良好的防湿、防锈、防潮、防雨、防腐及防碰撞的措施。凡由于包装不良造成的损失和由此产生的费用均由乙方承担。</w:t>
      </w:r>
    </w:p>
    <w:p>
      <w:pPr>
        <w:ind w:firstLine="270"/>
        <w:jc w:val="both"/>
      </w:pPr>
      <w:r>
        <w:rPr>
          <w:sz w:val="27"/>
        </w:rPr>
        <w:t>2</w:t>
      </w:r>
      <w:r>
        <w:rPr>
          <w:sz w:val="27"/>
        </w:rPr>
        <w:t>、中标货物的交货：</w:t>
      </w:r>
    </w:p>
    <w:p>
      <w:pPr>
        <w:ind w:firstLine="270"/>
        <w:jc w:val="both"/>
      </w:pPr>
      <w:r>
        <w:rPr>
          <w:sz w:val="27"/>
        </w:rPr>
        <w:t>2.1</w:t>
      </w:r>
      <w:r>
        <w:rPr>
          <w:sz w:val="27"/>
        </w:rPr>
        <w:t>、交货时间：甲方按实际需求要求乙方进行分批供货。接到甲方订单起，乙方应在</w:t>
      </w:r>
      <w:r>
        <w:rPr>
          <w:sz w:val="27"/>
          <w:u w:val="single"/>
        </w:rPr>
        <w:t>7</w:t>
      </w:r>
      <w:r>
        <w:rPr>
          <w:sz w:val="27"/>
        </w:rPr>
        <w:t>天内送交货物到甲方指定地点。</w:t>
      </w:r>
    </w:p>
    <w:p>
      <w:pPr>
        <w:ind w:firstLine="270"/>
        <w:jc w:val="both"/>
      </w:pPr>
      <w:r>
        <w:rPr>
          <w:sz w:val="27"/>
        </w:rPr>
        <w:t>2.2、交货地点：甲方指定地点。</w:t>
      </w:r>
    </w:p>
    <w:p>
      <w:pPr>
        <w:ind w:firstLine="270"/>
        <w:jc w:val="both"/>
      </w:pPr>
      <w:r>
        <w:rPr>
          <w:sz w:val="27"/>
        </w:rPr>
        <w:t>3</w:t>
      </w:r>
      <w:r>
        <w:rPr>
          <w:sz w:val="27"/>
        </w:rPr>
        <w:t>、乙方供货时，因生产厂家更新换代或产品规格发生变化时，乙方可以选用替代的方案，但这种替代整体上要优于或相当于招标文件的相关要求；未能按原价和数量提供更优质的货物，则按违约处理。</w:t>
      </w:r>
    </w:p>
    <w:p>
      <w:pPr>
        <w:ind w:firstLine="270"/>
        <w:jc w:val="both"/>
      </w:pPr>
      <w:r>
        <w:rPr>
          <w:sz w:val="27"/>
        </w:rPr>
        <w:t>4</w:t>
      </w:r>
      <w:r>
        <w:rPr>
          <w:sz w:val="27"/>
        </w:rPr>
        <w:t>、货物的验收</w:t>
      </w:r>
    </w:p>
    <w:p>
      <w:pPr>
        <w:ind w:firstLine="270"/>
        <w:jc w:val="both"/>
      </w:pPr>
      <w:r>
        <w:rPr>
          <w:sz w:val="27"/>
        </w:rPr>
        <w:t>4.1</w:t>
      </w:r>
      <w:r>
        <w:rPr>
          <w:sz w:val="27"/>
        </w:rPr>
        <w:t>、乙方货物交货后，验收由甲乙双方共同参加下进行。</w:t>
      </w:r>
    </w:p>
    <w:p>
      <w:pPr>
        <w:ind w:firstLine="270"/>
        <w:jc w:val="both"/>
      </w:pPr>
      <w:r>
        <w:rPr>
          <w:sz w:val="27"/>
        </w:rPr>
        <w:t>4.2</w:t>
      </w:r>
      <w:r>
        <w:rPr>
          <w:sz w:val="27"/>
        </w:rPr>
        <w:t>、按合同要求对供货批次的数量，外观、型号规格等标准对乙方履约情况进行验收。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w:t>
      </w:r>
    </w:p>
    <w:p>
      <w:pPr>
        <w:ind w:firstLine="270"/>
        <w:jc w:val="both"/>
      </w:pPr>
      <w:r>
        <w:rPr>
          <w:sz w:val="27"/>
        </w:rPr>
        <w:t>4.3</w:t>
      </w:r>
      <w:r>
        <w:rPr>
          <w:sz w:val="27"/>
        </w:rPr>
        <w:t>、如果合同货物运输和安装调试过程中因事故造成货物短缺、损坏，乙方应及时安排换货，以保证合同货物成功完整交付。换货的相关费用由乙方承担。</w:t>
      </w:r>
    </w:p>
    <w:p>
      <w:pPr>
        <w:ind w:firstLine="136"/>
        <w:jc w:val="both"/>
      </w:pPr>
      <w:r>
        <w:rPr>
          <w:b/>
          <w:sz w:val="27"/>
        </w:rPr>
        <w:t>七、</w:t>
      </w:r>
      <w:r>
        <w:rPr>
          <w:b/>
          <w:sz w:val="27"/>
        </w:rPr>
        <w:t>产品监督管理</w:t>
      </w:r>
    </w:p>
    <w:p>
      <w:pPr>
        <w:ind w:firstLine="270"/>
        <w:jc w:val="both"/>
      </w:pPr>
      <w:r>
        <w:rPr>
          <w:sz w:val="27"/>
        </w:rPr>
        <w:t>1</w:t>
      </w:r>
      <w:r>
        <w:rPr>
          <w:sz w:val="27"/>
        </w:rPr>
        <w:t>、按照《中华人民共和国农药管理条例》的要求，生产、经营农药的企业，其产品包装含外包装必须贴有标签或附具说明书。标签应紧贴或印制在农药包装物上，且注明农药名称、企业名称、产品批号和“三证”文件逞号以农药的有效成份、含量、重量、产品性能、毒性、用途、使用技术、使用方法、生产日期、有效期、注意事项；农药产品出厂时，同时附具产品质量检验合格证。如在成交中被查出其产品包装未附标签、标签残缺不清或者擅自修改标签内容，一律退货，因退货产生的费用由乙方承担。</w:t>
      </w:r>
    </w:p>
    <w:p>
      <w:pPr>
        <w:ind w:firstLine="270"/>
        <w:jc w:val="both"/>
      </w:pPr>
      <w:r>
        <w:rPr>
          <w:sz w:val="27"/>
        </w:rPr>
        <w:t>2</w:t>
      </w:r>
      <w:r>
        <w:rPr>
          <w:sz w:val="27"/>
        </w:rPr>
        <w:t>、凡中标的药品必须确保产品质量(内在质量和外观质量)，禁止在产品中掺杂、掺假，以假充实，以次充好。</w:t>
      </w:r>
    </w:p>
    <w:p>
      <w:pPr>
        <w:ind w:firstLine="270"/>
        <w:jc w:val="both"/>
      </w:pPr>
      <w:r>
        <w:rPr>
          <w:sz w:val="27"/>
        </w:rPr>
        <w:t>3</w:t>
      </w:r>
      <w:r>
        <w:rPr>
          <w:sz w:val="27"/>
        </w:rPr>
        <w:t>、合同签订后，甲方根据实际情况对乙方交货药物进行抽检。抽查的样品在送达甲方仓库产品中进行抽取，甲方抽取后样品（加封条），由乙方委托广东省内质量检测部门进行质量检测，抽检费用由乙方支付。</w:t>
      </w:r>
    </w:p>
    <w:p>
      <w:pPr>
        <w:ind w:firstLine="270"/>
        <w:jc w:val="both"/>
      </w:pPr>
      <w:r>
        <w:rPr>
          <w:sz w:val="27"/>
        </w:rPr>
        <w:t>4</w:t>
      </w:r>
      <w:r>
        <w:rPr>
          <w:sz w:val="27"/>
        </w:rPr>
        <w:t>、在抽检中发现产品主要成份与原药含量误差与标准值超过±10%范围的，视为不合格产品。</w:t>
      </w:r>
    </w:p>
    <w:p>
      <w:pPr>
        <w:ind w:firstLine="270"/>
        <w:jc w:val="both"/>
      </w:pPr>
      <w:r>
        <w:rPr>
          <w:sz w:val="27"/>
        </w:rPr>
        <w:t>5</w:t>
      </w:r>
      <w:r>
        <w:rPr>
          <w:sz w:val="27"/>
        </w:rPr>
        <w:t>、在抽检中如发现某一产品假冒、改版或挪用其它产品证号、商标、标签设计的，甲方有权解除合同。</w:t>
      </w:r>
    </w:p>
    <w:p>
      <w:pPr>
        <w:ind w:firstLine="270"/>
        <w:jc w:val="both"/>
      </w:pPr>
      <w:r>
        <w:rPr>
          <w:sz w:val="27"/>
        </w:rPr>
        <w:t>6</w:t>
      </w:r>
      <w:r>
        <w:rPr>
          <w:sz w:val="27"/>
        </w:rPr>
        <w:t>、乙方对抽检结果有异议的，可自收到检验结果之日起15日内向实施监督抽检的承办方申请复检。抽检费用由乙方支付。</w:t>
      </w:r>
    </w:p>
    <w:p>
      <w:pPr>
        <w:jc w:val="both"/>
      </w:pPr>
      <w:r>
        <w:rPr>
          <w:b/>
          <w:sz w:val="27"/>
        </w:rPr>
        <w:t>八、</w:t>
      </w:r>
      <w:r>
        <w:rPr>
          <w:b/>
          <w:sz w:val="27"/>
        </w:rPr>
        <w:t>技术服务</w:t>
      </w:r>
    </w:p>
    <w:p>
      <w:pPr>
        <w:jc w:val="both"/>
      </w:pPr>
      <w:r>
        <w:rPr>
          <w:sz w:val="27"/>
        </w:rPr>
        <w:t>1、乙方应派员到甲方指定地点配合工作。</w:t>
      </w:r>
    </w:p>
    <w:p>
      <w:pPr>
        <w:jc w:val="both"/>
      </w:pPr>
      <w:r>
        <w:rPr>
          <w:sz w:val="27"/>
        </w:rPr>
        <w:t>2、乙方按甲方提供的合同执行进度计划，再配合甲方及有关单位，以此做好合同执行进度上的配合工作。</w:t>
      </w:r>
    </w:p>
    <w:p>
      <w:pPr>
        <w:jc w:val="both"/>
      </w:pPr>
      <w:r>
        <w:rPr>
          <w:b/>
          <w:sz w:val="27"/>
        </w:rPr>
        <w:t>九、</w:t>
      </w:r>
      <w:r>
        <w:rPr>
          <w:b/>
          <w:sz w:val="27"/>
        </w:rPr>
        <w:t>索赔</w:t>
      </w:r>
    </w:p>
    <w:p>
      <w:pPr>
        <w:ind w:firstLine="270"/>
        <w:jc w:val="both"/>
      </w:pPr>
      <w:r>
        <w:rPr>
          <w:sz w:val="27"/>
        </w:rPr>
        <w:t>1.如有异议，甲方有权根据有关政府部门的检验结果向乙方提出索赔。</w:t>
      </w:r>
    </w:p>
    <w:p>
      <w:pPr>
        <w:ind w:firstLine="270"/>
        <w:jc w:val="both"/>
      </w:pPr>
      <w:r>
        <w:rPr>
          <w:sz w:val="27"/>
        </w:rPr>
        <w:t>2. 在合同执行期间，如果乙方对甲方提出的索赔和差异负有责任，乙方应按照甲方同意的下列一种或多种方式解决索赔事宜：</w:t>
      </w:r>
    </w:p>
    <w:p>
      <w:pPr>
        <w:ind w:firstLine="270"/>
        <w:jc w:val="both"/>
      </w:pPr>
      <w:r>
        <w:rPr>
          <w:sz w:val="27"/>
        </w:rPr>
        <w:t>2.1乙方同意退货，并按合同规定的同种货币将货款退还给甲方，并承担由此发生的一切损失和费用。</w:t>
      </w:r>
    </w:p>
    <w:p>
      <w:pPr>
        <w:ind w:firstLine="270"/>
        <w:jc w:val="both"/>
      </w:pPr>
      <w:r>
        <w:rPr>
          <w:sz w:val="27"/>
        </w:rPr>
        <w:t>2.2根据货物低劣程度、损坏程度以及甲方所遭受损失的数额甲乙双方商定降低货物的价格。</w:t>
      </w:r>
    </w:p>
    <w:p>
      <w:pPr>
        <w:ind w:firstLine="270"/>
        <w:jc w:val="both"/>
      </w:pPr>
      <w:r>
        <w:rPr>
          <w:sz w:val="27"/>
        </w:rPr>
        <w:t>2.3用符合规格、质量和性能要求的新零件、部件或货物来更换有缺陷的部分或修补缺陷的部分，乙方应承担一切费用和风险并负责甲方所发生的一切直接费用。同时，相应延长质量保证期。</w:t>
      </w:r>
    </w:p>
    <w:p>
      <w:pPr>
        <w:ind w:firstLine="270"/>
        <w:jc w:val="both"/>
      </w:pPr>
      <w:r>
        <w:rPr>
          <w:sz w:val="27"/>
        </w:rPr>
        <w:t>2.4如果在甲方发出索赔通知后30天内，乙方未作答复，上述索赔应视为已被乙方接受。甲方将从合同款项中扣回索赔金额。如果这些金额不足以补偿索赔金额，甲方有权向乙方提出不足部分的补偿。</w:t>
      </w:r>
    </w:p>
    <w:p>
      <w:pPr>
        <w:jc w:val="both"/>
      </w:pPr>
      <w:r>
        <w:rPr>
          <w:b/>
          <w:sz w:val="27"/>
        </w:rPr>
        <w:t>十、</w:t>
      </w:r>
      <w:r>
        <w:rPr>
          <w:b/>
          <w:sz w:val="27"/>
        </w:rPr>
        <w:t>违约与处罚</w:t>
      </w:r>
    </w:p>
    <w:p>
      <w:pPr>
        <w:ind w:firstLine="270"/>
        <w:jc w:val="both"/>
      </w:pPr>
      <w:r>
        <w:rPr>
          <w:sz w:val="27"/>
        </w:rPr>
        <w:t>1、甲方应依合同规定时间内，向乙方支付货款，每拖延一天乙方可向甲方加收本批次供货金额的3‰的违约金。</w:t>
      </w:r>
    </w:p>
    <w:p>
      <w:pPr>
        <w:ind w:firstLine="270"/>
        <w:jc w:val="both"/>
      </w:pPr>
      <w:r>
        <w:rPr>
          <w:sz w:val="27"/>
        </w:rPr>
        <w:t>2、乙方未能按时交货，每拖延一天，须向甲方支付该批次供货金额的5‰的违约金，计到交货之日为止，此部份金额从该批次货款中扣除，不足部份，甲方有权向乙方提出追偿。如中标人逾期30天仍未交货，甲方有权终止合同，乙方向甲方支付该批次供货金额的5%的违约金。</w:t>
      </w:r>
    </w:p>
    <w:p>
      <w:pPr>
        <w:ind w:firstLine="270"/>
        <w:jc w:val="both"/>
      </w:pPr>
      <w:r>
        <w:rPr>
          <w:sz w:val="27"/>
        </w:rPr>
        <w:t>3、乙方交付的货物不符合同规定的，甲方有权拒收，乙方向甲方支付本批次供货金额的5%的违约金。</w:t>
      </w:r>
    </w:p>
    <w:p>
      <w:pPr>
        <w:ind w:firstLine="270"/>
        <w:jc w:val="both"/>
      </w:pPr>
      <w:r>
        <w:rPr>
          <w:sz w:val="27"/>
        </w:rPr>
        <w:t>4、甲方无正当理由拒收货物的，甲方向乙方向支付本批次供货金额的5%违约金。</w:t>
      </w:r>
    </w:p>
    <w:p>
      <w:pPr>
        <w:ind w:firstLine="270"/>
        <w:jc w:val="both"/>
      </w:pPr>
      <w:r>
        <w:rPr>
          <w:sz w:val="27"/>
        </w:rPr>
        <w:t>5、乙方交付货物的品质、性能、技术标准、质量要求不符合合同约定的，甲方有权向乙方提出更换货物及索赔，乙方应在甲方提出之日起30天内免费更换货物，此段时间属逾期交货，按本条第2款处理。如经更换，货物质量仍不符合合同约定的，甲方有权终止合同，乙方应向甲方返还已付款项，并按该批次供货金额5%向甲方支付违约金。</w:t>
      </w:r>
    </w:p>
    <w:p>
      <w:pPr>
        <w:ind w:firstLine="270"/>
        <w:jc w:val="both"/>
      </w:pPr>
      <w:r>
        <w:rPr>
          <w:sz w:val="27"/>
        </w:rPr>
        <w:t>6、乙方保证本合同项下货物的权利无瑕疵，包括货物所有权及知识产权等权利无瑕疵。如任何第三方经法院(或仲裁机构)裁决有权对上述货物主张权利或国家机关依法对货物进行没收查处的，乙方除应向甲方返还已没收货物对应货款外，还应按该批货款的5%向甲方支付违约金并赔偿因此给甲方造成的一切损失。</w:t>
      </w:r>
    </w:p>
    <w:p>
      <w:pPr>
        <w:jc w:val="both"/>
      </w:pPr>
      <w:r>
        <w:rPr>
          <w:b/>
          <w:sz w:val="27"/>
        </w:rPr>
        <w:t>十一、</w:t>
      </w:r>
      <w:r>
        <w:rPr>
          <w:b/>
          <w:sz w:val="27"/>
        </w:rPr>
        <w:t>争议的解决</w:t>
      </w:r>
    </w:p>
    <w:p>
      <w:pPr>
        <w:jc w:val="left"/>
      </w:pPr>
      <w:r>
        <w:rPr>
          <w:sz w:val="21"/>
        </w:rPr>
        <w:t xml:space="preserve">  </w:t>
      </w:r>
      <w:r>
        <w:rPr>
          <w:sz w:val="27"/>
        </w:rPr>
        <w:t>合同执行过程中发生的任何争议，如双方不能通过友好协商解决，按相关法律法规处理。</w:t>
      </w:r>
    </w:p>
    <w:p>
      <w:pPr>
        <w:jc w:val="both"/>
      </w:pPr>
      <w:r>
        <w:rPr>
          <w:b/>
          <w:sz w:val="27"/>
        </w:rPr>
        <w:t>十二、不可抗力</w:t>
      </w:r>
    </w:p>
    <w:p>
      <w:pPr>
        <w:jc w:val="both"/>
      </w:pPr>
      <w:r>
        <w:rPr>
          <w:sz w:val="27"/>
        </w:rPr>
        <w:t>1.不可抗力指战争、严重火灾、洪水、台风、地震等或其它双方认定的不可抗力事件。</w:t>
      </w:r>
    </w:p>
    <w:p>
      <w:pPr>
        <w:jc w:val="both"/>
      </w:pPr>
      <w:r>
        <w:rPr>
          <w:sz w:val="27"/>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7"/>
        </w:rPr>
        <w:t>十三、履约保证金</w:t>
      </w:r>
    </w:p>
    <w:p>
      <w:pPr>
        <w:jc w:val="both"/>
      </w:pPr>
      <w:r>
        <w:rPr>
          <w:sz w:val="27"/>
        </w:rPr>
        <w:t>1.本项目不设履约保证金。</w:t>
      </w:r>
    </w:p>
    <w:p>
      <w:pPr>
        <w:jc w:val="both"/>
      </w:pPr>
      <w:r>
        <w:rPr>
          <w:b/>
          <w:sz w:val="27"/>
        </w:rPr>
        <w:t>十四、合同转让与分包</w:t>
      </w:r>
    </w:p>
    <w:p>
      <w:pPr>
        <w:jc w:val="both"/>
      </w:pPr>
      <w:r>
        <w:rPr>
          <w:sz w:val="27"/>
        </w:rPr>
        <w:t>1.本合同乙方在任何情况下都不得转让其应履行的合同义务。</w:t>
      </w:r>
    </w:p>
    <w:p>
      <w:pPr>
        <w:jc w:val="both"/>
      </w:pPr>
      <w:r>
        <w:rPr>
          <w:b/>
          <w:sz w:val="27"/>
        </w:rPr>
        <w:t>十五、合同终止</w:t>
      </w:r>
    </w:p>
    <w:p>
      <w:pPr>
        <w:jc w:val="both"/>
      </w:pPr>
      <w:r>
        <w:rPr>
          <w:sz w:val="27"/>
        </w:rPr>
        <w:t>如果一方严重违反合同，并在收到对方违约通知书后在30天内仍未能改正违约的，另一方可立即终止本合同。</w:t>
      </w:r>
    </w:p>
    <w:p>
      <w:pPr>
        <w:jc w:val="both"/>
      </w:pPr>
      <w:r>
        <w:rPr>
          <w:b/>
          <w:sz w:val="27"/>
        </w:rPr>
        <w:t>十六、法律诉讼</w:t>
      </w:r>
    </w:p>
    <w:p>
      <w:pPr>
        <w:jc w:val="both"/>
      </w:pPr>
      <w:r>
        <w:rPr>
          <w:sz w:val="27"/>
        </w:rPr>
        <w:t>签约双方在履约中发生争执和分歧，双方应通过友好协商解决，若经协商不能达成协议时，则由合同签订地或甲方所在地人民法院提起诉讼。受理期间，双方应继续执行合同其余部分。</w:t>
      </w:r>
    </w:p>
    <w:p>
      <w:pPr>
        <w:jc w:val="both"/>
      </w:pPr>
      <w:r>
        <w:rPr>
          <w:b/>
          <w:sz w:val="27"/>
        </w:rPr>
        <w:t>十七、</w:t>
      </w:r>
      <w:r>
        <w:rPr>
          <w:sz w:val="21"/>
        </w:rPr>
        <w:t xml:space="preserve"> </w:t>
      </w:r>
      <w:r>
        <w:rPr>
          <w:b/>
          <w:sz w:val="27"/>
        </w:rPr>
        <w:t>其它</w:t>
      </w:r>
    </w:p>
    <w:p>
      <w:pPr>
        <w:jc w:val="both"/>
      </w:pPr>
      <w:r>
        <w:rPr>
          <w:sz w:val="27"/>
        </w:rPr>
        <w:t>1.本合同所有附件、招标文件、投标文件、中标通知书均为合同的有效组成部分，与本合同具有同等法律效力。</w:t>
      </w:r>
    </w:p>
    <w:p>
      <w:pPr>
        <w:jc w:val="both"/>
      </w:pPr>
      <w:r>
        <w:rPr>
          <w:sz w:val="27"/>
        </w:rPr>
        <w:t>2.本合同正本捌份，具有同等法律效力，甲方执五份、乙方执一份，财政部门一份，采购代理机构一份。合同自签字之日起即时生效。</w:t>
      </w:r>
    </w:p>
    <w:p>
      <w:pPr>
        <w:jc w:val="both"/>
      </w:pPr>
      <w:r>
        <w:rPr>
          <w:sz w:val="27"/>
        </w:rPr>
        <w:t>3.下列文件是本合同的一部分，并与本合同一起阅读和解释</w:t>
      </w:r>
    </w:p>
    <w:p>
      <w:pPr>
        <w:jc w:val="both"/>
      </w:pPr>
      <w:r>
        <w:rPr>
          <w:sz w:val="27"/>
        </w:rPr>
        <w:t xml:space="preserve"> 3.1 本项目招标文件；</w:t>
      </w:r>
    </w:p>
    <w:p>
      <w:pPr>
        <w:jc w:val="both"/>
      </w:pPr>
      <w:r>
        <w:rPr>
          <w:sz w:val="27"/>
        </w:rPr>
        <w:t xml:space="preserve"> 3.2 乙方提交投标文件；</w:t>
      </w:r>
    </w:p>
    <w:p>
      <w:pPr>
        <w:jc w:val="both"/>
      </w:pPr>
      <w:r>
        <w:rPr>
          <w:sz w:val="27"/>
        </w:rPr>
        <w:t xml:space="preserve"> 3.3 中标通知书；</w:t>
      </w:r>
    </w:p>
    <w:p>
      <w:pPr>
        <w:jc w:val="both"/>
      </w:pPr>
      <w:r>
        <w:rPr>
          <w:sz w:val="27"/>
        </w:rPr>
        <w:t xml:space="preserve"> 3.4 其他相关投标文件。 </w:t>
      </w:r>
    </w:p>
    <w:p>
      <w:pPr>
        <w:jc w:val="both"/>
      </w:pPr>
      <w:r>
        <w:rPr>
          <w:sz w:val="27"/>
        </w:rPr>
        <w:t>4.本合同未尽事宜，由双方协商处理。</w:t>
      </w:r>
    </w:p>
    <w:p>
      <w:pPr>
        <w:jc w:val="both"/>
      </w:pPr>
      <w:r>
        <w:br/>
      </w:r>
      <w:r>
        <w:rPr>
          <w:sz w:val="27"/>
        </w:rPr>
        <w:t>以下无正文。</w:t>
      </w:r>
    </w:p>
    <w:p>
      <w:pPr>
        <w:jc w:val="both"/>
      </w:pPr>
    </w:p>
    <w:p>
      <w:pPr>
        <w:jc w:val="both"/>
      </w:pPr>
      <w:r>
        <w:rPr>
          <w:sz w:val="27"/>
        </w:rPr>
        <w:t xml:space="preserve"> </w:t>
      </w:r>
    </w:p>
    <w:p>
      <w:pPr>
        <w:jc w:val="both"/>
      </w:pPr>
      <w:r>
        <w:rPr>
          <w:sz w:val="27"/>
        </w:rPr>
        <w:t xml:space="preserve"> </w:t>
      </w:r>
    </w:p>
    <w:p>
      <w:pPr>
        <w:jc w:val="both"/>
      </w:pPr>
      <w:r>
        <w:rPr>
          <w:sz w:val="27"/>
        </w:rPr>
        <w:t xml:space="preserve"> </w:t>
      </w:r>
    </w:p>
    <w:p>
      <w:pPr>
        <w:jc w:val="both"/>
      </w:pPr>
      <w:r>
        <w:rPr>
          <w:b/>
          <w:sz w:val="27"/>
        </w:rPr>
        <w:t>甲方（盖章）：</w:t>
      </w:r>
      <w:r>
        <w:rPr>
          <w:b/>
          <w:sz w:val="27"/>
        </w:rPr>
        <w:t>乙方（盖章）：</w:t>
      </w:r>
    </w:p>
    <w:p>
      <w:pPr>
        <w:jc w:val="both"/>
      </w:pPr>
      <w:r>
        <w:rPr>
          <w:b/>
          <w:sz w:val="27"/>
        </w:rPr>
        <w:t xml:space="preserve">签约代表：                                      </w:t>
      </w:r>
      <w:r>
        <w:rPr>
          <w:b/>
          <w:sz w:val="27"/>
        </w:rPr>
        <w:t>签约代表：</w:t>
      </w:r>
    </w:p>
    <w:p>
      <w:pPr>
        <w:jc w:val="both"/>
      </w:pPr>
      <w:r>
        <w:rPr>
          <w:sz w:val="27"/>
        </w:rPr>
        <w:t xml:space="preserve">电话：                                             </w:t>
      </w:r>
      <w:r>
        <w:rPr>
          <w:sz w:val="27"/>
        </w:rPr>
        <w:t>电话：</w:t>
      </w:r>
    </w:p>
    <w:p>
      <w:pPr>
        <w:jc w:val="both"/>
      </w:pPr>
      <w:r>
        <w:rPr>
          <w:sz w:val="27"/>
        </w:rPr>
        <w:t xml:space="preserve">传真：                                             </w:t>
      </w:r>
      <w:r>
        <w:rPr>
          <w:sz w:val="27"/>
        </w:rPr>
        <w:t>传真：</w:t>
      </w:r>
    </w:p>
    <w:p>
      <w:pPr>
        <w:jc w:val="both"/>
      </w:pPr>
      <w:r>
        <w:rPr>
          <w:sz w:val="27"/>
        </w:rPr>
        <w:t>地址：                                             地址：</w:t>
      </w:r>
    </w:p>
    <w:p>
      <w:pPr>
        <w:jc w:val="both"/>
      </w:pPr>
      <w:r>
        <w:rPr>
          <w:sz w:val="27"/>
        </w:rPr>
        <w:t>签订地点：</w:t>
      </w:r>
    </w:p>
    <w:p>
      <w:pPr>
        <w:jc w:val="both"/>
      </w:pPr>
      <w:r>
        <w:rPr>
          <w:sz w:val="27"/>
        </w:rPr>
        <w:t>签订日期：　　　年　　月　　日</w:t>
      </w:r>
      <w:r>
        <w:rPr>
          <w:sz w:val="27"/>
        </w:rPr>
        <w:t>签订日期：　　　年　　月　　日</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440115-2022-06197</w:t>
      </w:r>
    </w:p>
    <w:p>
      <w:pPr>
        <w:jc w:val="center"/>
      </w:pPr>
      <w:r>
        <w:rPr>
          <w:b/>
          <w:sz w:val="24"/>
        </w:rPr>
        <w:t>采购项目编号：</w:t>
      </w:r>
      <w:r>
        <w:rPr>
          <w:b/>
          <w:sz w:val="24"/>
        </w:rPr>
        <w:t>GZHC-2022111600020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广州华诚项目管理咨询有限公司</w:t>
      </w:r>
    </w:p>
    <w:p>
      <w:pPr>
        <w:ind w:firstLine="480"/>
      </w:pPr>
      <w:r>
        <w:rPr/>
        <w:t>你方组织的</w:t>
      </w:r>
      <w:r>
        <w:rPr>
          <w:u w:val="single"/>
        </w:rPr>
        <w:t>“</w:t>
      </w:r>
      <w:r>
        <w:rPr>
          <w:u w:val="single"/>
        </w:rPr>
        <w:t>大岗镇2023年防制四害（登革热）消杀药物项目</w:t>
      </w:r>
      <w:r>
        <w:rPr>
          <w:u w:val="single"/>
        </w:rPr>
        <w:t>”</w:t>
      </w:r>
      <w:r>
        <w:rPr/>
        <w:t>项目的招标[采购项目编号为：</w:t>
      </w:r>
      <w:r>
        <w:rPr>
          <w:u w:val="single"/>
        </w:rPr>
        <w:t>GZHC-2022111600020</w:t>
      </w:r>
      <w:r>
        <w:rPr/>
        <w:t>]，我方愿参与投标。</w:t>
      </w:r>
    </w:p>
    <w:p>
      <w:pPr>
        <w:ind w:firstLine="480"/>
      </w:pPr>
      <w:r>
        <w:rPr/>
        <w:t>我方确认收到贵方提供的</w:t>
      </w:r>
      <w:r>
        <w:rPr>
          <w:u w:val="single"/>
        </w:rPr>
        <w:t>“</w:t>
      </w:r>
      <w:r>
        <w:rPr>
          <w:u w:val="single"/>
        </w:rPr>
        <w:t>大岗镇2023年防制四害（登革热）消杀药物项目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广州华诚项目管理咨询有限公司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大岗镇2023年防制四害（登革热）消杀药物项目</w:t>
      </w:r>
      <w:r>
        <w:rPr/>
        <w:t>”项目采购[采购项目编号为</w:t>
      </w:r>
      <w:r>
        <w:rPr/>
        <w:t>GZHC-2022111600020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广州市南沙区大岗镇人民政府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广州华诚项目管理咨询有限公司</w:t>
      </w:r>
    </w:p>
    <w:p>
      <w:pPr>
        <w:ind w:firstLine="480"/>
      </w:pPr>
      <w:r>
        <w:rPr/>
        <w:t>如果我方在贵采购代理机构组织的</w:t>
      </w:r>
      <w:r>
        <w:rPr/>
        <w:t>大岗镇2023年防制四害（登革热）消杀药物项目</w:t>
      </w:r>
      <w:r>
        <w:rPr/>
        <w:t>招标中获中标（采购项目编号：</w:t>
      </w:r>
      <w:r>
        <w:rPr/>
        <w:t>GZHC-2022111600020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广州华诚项目管理咨询有限公司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