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pPr>
    </w:p>
    <w:p>
      <w:pPr>
        <w:pStyle w:val="36"/>
        <w:spacing w:line="264" w:lineRule="auto"/>
        <w:ind w:firstLine="562"/>
        <w:jc w:val="center"/>
        <w:rPr>
          <w:rFonts w:eastAsia="黑体"/>
          <w:b/>
          <w:bCs/>
          <w:sz w:val="56"/>
          <w:szCs w:val="56"/>
        </w:rPr>
      </w:pPr>
    </w:p>
    <w:p>
      <w:pPr>
        <w:spacing w:line="360" w:lineRule="auto"/>
        <w:jc w:val="center"/>
        <w:rPr>
          <w:rFonts w:ascii="方正小标宋_GBK" w:eastAsia="方正小标宋_GBK"/>
          <w:b/>
          <w:bCs/>
          <w:spacing w:val="20"/>
          <w:kern w:val="10"/>
          <w:sz w:val="72"/>
          <w:szCs w:val="72"/>
        </w:rPr>
      </w:pPr>
      <w:r>
        <w:rPr>
          <w:rFonts w:hint="eastAsia" w:ascii="方正小标宋_GBK" w:eastAsia="方正小标宋_GBK" w:cs="华文新魏"/>
          <w:b/>
          <w:bCs/>
          <w:spacing w:val="20"/>
          <w:kern w:val="10"/>
          <w:sz w:val="72"/>
          <w:szCs w:val="72"/>
        </w:rPr>
        <w:t>广西南宁技师学院</w:t>
      </w:r>
    </w:p>
    <w:p>
      <w:pPr>
        <w:spacing w:line="360" w:lineRule="auto"/>
        <w:jc w:val="center"/>
        <w:rPr>
          <w:rFonts w:ascii="方正小标宋_GBK" w:hAnsi="Times New Roman" w:eastAsia="方正小标宋_GBK" w:cs="华文新魏"/>
          <w:b/>
          <w:bCs/>
          <w:spacing w:val="20"/>
          <w:kern w:val="10"/>
          <w:sz w:val="36"/>
          <w:szCs w:val="36"/>
        </w:rPr>
      </w:pPr>
      <w:bookmarkStart w:id="0" w:name="OLE_LINK2"/>
    </w:p>
    <w:p>
      <w:pPr>
        <w:spacing w:line="360" w:lineRule="auto"/>
        <w:jc w:val="center"/>
        <w:rPr>
          <w:rFonts w:hint="eastAsia" w:ascii="方正小标宋_GBK" w:hAnsi="Times New Roman" w:eastAsia="方正小标宋_GBK" w:cs="华文新魏"/>
          <w:b/>
          <w:bCs/>
          <w:spacing w:val="20"/>
          <w:kern w:val="10"/>
          <w:sz w:val="36"/>
          <w:szCs w:val="36"/>
        </w:rPr>
      </w:pPr>
      <w:r>
        <w:rPr>
          <w:rFonts w:hint="eastAsia" w:ascii="方正小标宋_GBK" w:hAnsi="Times New Roman" w:eastAsia="方正小标宋_GBK" w:cs="华文新魏"/>
          <w:b/>
          <w:bCs/>
          <w:spacing w:val="20"/>
          <w:kern w:val="10"/>
          <w:sz w:val="36"/>
          <w:szCs w:val="36"/>
        </w:rPr>
        <w:t>“四害”及红火蚁、隐翅虫、臭虫防治服务</w:t>
      </w:r>
    </w:p>
    <w:p>
      <w:pPr>
        <w:pStyle w:val="36"/>
        <w:rPr>
          <w:rFonts w:hint="eastAsia" w:ascii="方正小标宋_GBK" w:hAnsi="Times New Roman" w:eastAsia="方正小标宋_GBK" w:cs="华文新魏"/>
          <w:b/>
          <w:bCs/>
          <w:spacing w:val="20"/>
          <w:kern w:val="10"/>
          <w:sz w:val="36"/>
          <w:szCs w:val="36"/>
        </w:rPr>
      </w:pPr>
    </w:p>
    <w:p>
      <w:pPr>
        <w:pStyle w:val="36"/>
        <w:rPr>
          <w:rFonts w:hint="eastAsia" w:ascii="方正小标宋_GBK" w:hAnsi="Times New Roman" w:eastAsia="方正小标宋_GBK" w:cs="华文新魏"/>
          <w:b/>
          <w:bCs/>
          <w:spacing w:val="20"/>
          <w:kern w:val="10"/>
          <w:sz w:val="36"/>
          <w:szCs w:val="36"/>
        </w:rPr>
      </w:pPr>
    </w:p>
    <w:p>
      <w:pPr>
        <w:spacing w:line="360" w:lineRule="auto"/>
        <w:jc w:val="center"/>
        <w:rPr>
          <w:rFonts w:ascii="方正小标宋_GBK" w:eastAsia="方正小标宋_GBK"/>
          <w:sz w:val="36"/>
          <w:szCs w:val="36"/>
        </w:rPr>
      </w:pPr>
      <w:r>
        <w:rPr>
          <w:rFonts w:hint="eastAsia" w:ascii="方正小标宋_GBK" w:hAnsi="Times New Roman" w:eastAsia="方正小标宋_GBK" w:cs="华文新魏"/>
          <w:b/>
          <w:bCs/>
          <w:spacing w:val="20"/>
          <w:kern w:val="10"/>
          <w:sz w:val="36"/>
          <w:szCs w:val="36"/>
        </w:rPr>
        <w:t>项目编号：</w:t>
      </w:r>
      <w:bookmarkEnd w:id="0"/>
      <w:r>
        <w:rPr>
          <w:rFonts w:ascii="方正小标宋_GBK" w:hAnsi="Times New Roman" w:eastAsia="方正小标宋_GBK" w:cs="华文新魏"/>
          <w:b/>
          <w:bCs/>
          <w:spacing w:val="20"/>
          <w:kern w:val="10"/>
          <w:sz w:val="36"/>
          <w:szCs w:val="36"/>
        </w:rPr>
        <w:t>GXNNJSXY20220</w:t>
      </w:r>
      <w:r>
        <w:rPr>
          <w:rFonts w:hint="eastAsia" w:ascii="方正小标宋_GBK" w:hAnsi="Times New Roman" w:eastAsia="方正小标宋_GBK" w:cs="华文新魏"/>
          <w:b/>
          <w:bCs/>
          <w:spacing w:val="20"/>
          <w:kern w:val="10"/>
          <w:sz w:val="36"/>
          <w:szCs w:val="36"/>
          <w:lang w:val="en-US" w:eastAsia="zh-CN"/>
        </w:rPr>
        <w:t>10HQ</w:t>
      </w:r>
      <w:r>
        <w:rPr>
          <w:rFonts w:ascii="方正小标宋_GBK" w:hAnsi="Times New Roman" w:eastAsia="方正小标宋_GBK" w:cs="华文新魏"/>
          <w:b/>
          <w:bCs/>
          <w:spacing w:val="20"/>
          <w:kern w:val="10"/>
          <w:sz w:val="36"/>
          <w:szCs w:val="36"/>
        </w:rPr>
        <w:t>0</w:t>
      </w:r>
      <w:r>
        <w:rPr>
          <w:rFonts w:hint="eastAsia" w:ascii="方正小标宋_GBK" w:hAnsi="Times New Roman" w:eastAsia="方正小标宋_GBK" w:cs="华文新魏"/>
          <w:b/>
          <w:bCs/>
          <w:spacing w:val="20"/>
          <w:kern w:val="10"/>
          <w:sz w:val="36"/>
          <w:szCs w:val="36"/>
          <w:lang w:val="en-US" w:eastAsia="zh-CN"/>
        </w:rPr>
        <w:t>2C</w:t>
      </w:r>
      <w:r>
        <w:rPr>
          <w:rFonts w:hint="eastAsia" w:ascii="方正小标宋_GBK" w:eastAsia="方正小标宋_GBK"/>
          <w:sz w:val="36"/>
          <w:szCs w:val="36"/>
        </w:rPr>
        <w:t xml:space="preserve"> </w:t>
      </w:r>
    </w:p>
    <w:p>
      <w:pPr>
        <w:pStyle w:val="36"/>
        <w:ind w:firstLine="210"/>
        <w:rPr>
          <w:rFonts w:ascii="方正小标宋_GBK" w:eastAsia="方正小标宋_GBK"/>
        </w:rPr>
      </w:pPr>
    </w:p>
    <w:p>
      <w:pPr>
        <w:spacing w:line="360" w:lineRule="auto"/>
        <w:jc w:val="center"/>
        <w:rPr>
          <w:rFonts w:ascii="方正小标宋_GBK" w:eastAsia="方正小标宋_GBK"/>
          <w:b/>
          <w:bCs/>
          <w:spacing w:val="20"/>
          <w:kern w:val="10"/>
          <w:sz w:val="72"/>
          <w:szCs w:val="72"/>
        </w:rPr>
      </w:pPr>
      <w:bookmarkStart w:id="1" w:name="_Hlk70326687"/>
      <w:r>
        <w:rPr>
          <w:rFonts w:hint="eastAsia" w:ascii="方正小标宋_GBK" w:eastAsia="方正小标宋_GBK" w:cs="华文新魏"/>
          <w:b/>
          <w:bCs/>
          <w:spacing w:val="20"/>
          <w:kern w:val="10"/>
          <w:sz w:val="72"/>
          <w:szCs w:val="72"/>
        </w:rPr>
        <w:t>询价文件</w:t>
      </w:r>
    </w:p>
    <w:bookmarkEnd w:id="1"/>
    <w:p>
      <w:pPr>
        <w:rPr>
          <w:rFonts w:ascii="方正小标宋_GBK" w:eastAsia="方正小标宋_GBK"/>
        </w:rPr>
      </w:pPr>
      <w:r>
        <w:rPr>
          <w:rFonts w:hint="eastAsia" w:ascii="方正小标宋_GBK" w:eastAsia="方正小标宋_GBK"/>
        </w:rPr>
        <w:t xml:space="preserve">  </w:t>
      </w:r>
    </w:p>
    <w:p>
      <w:pPr>
        <w:pStyle w:val="36"/>
        <w:ind w:firstLine="210"/>
      </w:pPr>
    </w:p>
    <w:p>
      <w:pPr>
        <w:pStyle w:val="36"/>
        <w:ind w:firstLine="210"/>
        <w:rPr>
          <w:rFonts w:ascii="方正小标宋_GBK" w:eastAsia="方正小标宋_GBK"/>
        </w:rPr>
      </w:pPr>
    </w:p>
    <w:p>
      <w:pPr>
        <w:pStyle w:val="36"/>
        <w:ind w:firstLine="210"/>
        <w:rPr>
          <w:rFonts w:ascii="方正小标宋_GBK" w:eastAsia="方正小标宋_GBK"/>
        </w:rPr>
      </w:pPr>
    </w:p>
    <w:p>
      <w:pPr>
        <w:pStyle w:val="36"/>
        <w:ind w:firstLine="210"/>
        <w:rPr>
          <w:rFonts w:ascii="方正小标宋_GBK" w:eastAsia="方正小标宋_GBK"/>
        </w:rPr>
      </w:pPr>
    </w:p>
    <w:p>
      <w:pPr>
        <w:pStyle w:val="36"/>
        <w:ind w:firstLine="210"/>
        <w:rPr>
          <w:rFonts w:ascii="方正小标宋_GBK" w:eastAsia="方正小标宋_GBK"/>
        </w:rPr>
      </w:pPr>
    </w:p>
    <w:p>
      <w:pPr>
        <w:spacing w:line="800" w:lineRule="exact"/>
        <w:jc w:val="center"/>
        <w:rPr>
          <w:rFonts w:ascii="方正小标宋_GBK" w:eastAsia="方正小标宋_GBK"/>
          <w:sz w:val="20"/>
          <w:szCs w:val="20"/>
        </w:rPr>
      </w:pPr>
      <w:r>
        <w:rPr>
          <w:rFonts w:hint="eastAsia" w:ascii="方正小标宋_GBK" w:eastAsia="方正小标宋_GBK" w:cs="黑体"/>
          <w:sz w:val="36"/>
          <w:szCs w:val="36"/>
        </w:rPr>
        <w:t>采购单位：广西南宁技师学院</w:t>
      </w:r>
    </w:p>
    <w:p>
      <w:pPr>
        <w:spacing w:line="800" w:lineRule="exact"/>
        <w:jc w:val="center"/>
        <w:rPr>
          <w:rFonts w:ascii="方正小标宋_GBK" w:eastAsia="方正小标宋_GBK"/>
          <w:sz w:val="40"/>
          <w:szCs w:val="40"/>
        </w:rPr>
      </w:pPr>
      <w:r>
        <w:rPr>
          <w:rFonts w:hint="eastAsia" w:ascii="方正小标宋_GBK" w:eastAsia="方正小标宋_GBK"/>
          <w:sz w:val="40"/>
          <w:szCs w:val="40"/>
        </w:rPr>
        <w:t>2022</w:t>
      </w:r>
      <w:r>
        <w:rPr>
          <w:rFonts w:hint="eastAsia" w:ascii="方正小标宋_GBK" w:eastAsia="方正小标宋_GBK" w:cs="黑体"/>
          <w:sz w:val="40"/>
          <w:szCs w:val="40"/>
        </w:rPr>
        <w:t>年1</w:t>
      </w:r>
      <w:r>
        <w:rPr>
          <w:rFonts w:hint="eastAsia" w:ascii="方正小标宋_GBK" w:eastAsia="方正小标宋_GBK" w:cs="黑体"/>
          <w:sz w:val="40"/>
          <w:szCs w:val="40"/>
          <w:lang w:val="en-US" w:eastAsia="zh-CN"/>
        </w:rPr>
        <w:t>2</w:t>
      </w:r>
      <w:r>
        <w:rPr>
          <w:rFonts w:hint="eastAsia" w:ascii="方正小标宋_GBK" w:eastAsia="方正小标宋_GBK" w:cs="黑体"/>
          <w:sz w:val="40"/>
          <w:szCs w:val="40"/>
        </w:rPr>
        <w:t>月</w:t>
      </w:r>
    </w:p>
    <w:p>
      <w:pPr>
        <w:rPr>
          <w:rFonts w:ascii="黑体" w:hAnsi="宋体" w:eastAsia="黑体"/>
          <w:color w:val="FF0000"/>
          <w:sz w:val="30"/>
          <w:szCs w:val="30"/>
          <w:u w:val="single"/>
        </w:rPr>
        <w:sectPr>
          <w:headerReference r:id="rId4" w:type="first"/>
          <w:footerReference r:id="rId6"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r>
        <w:rPr>
          <w:rFonts w:hint="eastAsia" w:ascii="黑体" w:hAnsi="宋体" w:eastAsia="黑体"/>
          <w:color w:val="FF0000"/>
          <w:sz w:val="30"/>
          <w:szCs w:val="30"/>
          <w:u w:val="single"/>
        </w:rPr>
        <w:t xml:space="preserve"> </w:t>
      </w:r>
      <w:r>
        <w:rPr>
          <w:rFonts w:ascii="黑体" w:hAnsi="宋体" w:eastAsia="黑体"/>
          <w:color w:val="FF0000"/>
          <w:sz w:val="30"/>
          <w:szCs w:val="30"/>
          <w:u w:val="single"/>
        </w:rPr>
        <w:t xml:space="preserve"> </w:t>
      </w:r>
    </w:p>
    <w:p>
      <w:pPr>
        <w:jc w:val="center"/>
        <w:rPr>
          <w:rFonts w:ascii="黑体" w:eastAsia="黑体"/>
          <w:b/>
          <w:bCs/>
          <w:sz w:val="32"/>
          <w:szCs w:val="32"/>
        </w:rPr>
      </w:pPr>
      <w:r>
        <w:rPr>
          <w:rFonts w:hint="eastAsia" w:ascii="黑体" w:eastAsia="黑体" w:cs="黑体"/>
          <w:b/>
          <w:bCs/>
          <w:sz w:val="32"/>
          <w:szCs w:val="32"/>
        </w:rPr>
        <w:t>目　录</w:t>
      </w:r>
    </w:p>
    <w:p>
      <w:pPr>
        <w:pStyle w:val="36"/>
        <w:ind w:firstLine="560" w:firstLineChars="200"/>
        <w:jc w:val="left"/>
        <w:rPr>
          <w:rFonts w:ascii="宋体" w:hAnsi="宋体"/>
          <w:sz w:val="28"/>
          <w:szCs w:val="28"/>
        </w:rPr>
      </w:pPr>
      <w:r>
        <w:rPr>
          <w:rFonts w:hint="eastAsia" w:ascii="宋体" w:hAnsi="宋体"/>
          <w:sz w:val="28"/>
          <w:szCs w:val="28"/>
        </w:rPr>
        <w:t>第一章 询价邀请函</w:t>
      </w:r>
      <w:r>
        <w:rPr>
          <w:rFonts w:ascii="宋体" w:hAnsi="宋体"/>
          <w:sz w:val="28"/>
          <w:szCs w:val="28"/>
        </w:rPr>
        <w:t>…………………………………………………</w:t>
      </w:r>
      <w:r>
        <w:rPr>
          <w:rFonts w:hint="eastAsia" w:ascii="宋体" w:hAnsi="宋体"/>
          <w:sz w:val="28"/>
          <w:szCs w:val="28"/>
        </w:rPr>
        <w:t>2</w:t>
      </w:r>
    </w:p>
    <w:p>
      <w:pPr>
        <w:pStyle w:val="36"/>
        <w:ind w:firstLine="560" w:firstLineChars="200"/>
        <w:jc w:val="left"/>
        <w:rPr>
          <w:rFonts w:ascii="宋体" w:hAnsi="宋体"/>
          <w:sz w:val="28"/>
          <w:szCs w:val="28"/>
        </w:rPr>
      </w:pPr>
      <w:r>
        <w:rPr>
          <w:rFonts w:hint="eastAsia" w:ascii="宋体" w:hAnsi="宋体"/>
          <w:sz w:val="28"/>
          <w:szCs w:val="28"/>
        </w:rPr>
        <w:t>第二章 采购需求书…………………………………………………4</w:t>
      </w:r>
    </w:p>
    <w:p>
      <w:pPr>
        <w:pStyle w:val="36"/>
        <w:ind w:firstLine="560" w:firstLineChars="200"/>
        <w:jc w:val="left"/>
        <w:rPr>
          <w:rFonts w:ascii="宋体" w:hAnsi="宋体"/>
          <w:sz w:val="28"/>
          <w:szCs w:val="28"/>
        </w:rPr>
      </w:pPr>
      <w:r>
        <w:rPr>
          <w:rFonts w:hint="eastAsia" w:ascii="宋体" w:hAnsi="宋体"/>
          <w:sz w:val="28"/>
          <w:szCs w:val="28"/>
        </w:rPr>
        <w:t>第三章 询价须知…………………………………………………</w:t>
      </w:r>
      <w:r>
        <w:rPr>
          <w:rFonts w:ascii="宋体" w:hAnsi="宋体"/>
          <w:sz w:val="28"/>
          <w:szCs w:val="28"/>
        </w:rPr>
        <w:t>…</w:t>
      </w:r>
      <w:r>
        <w:rPr>
          <w:rFonts w:hint="eastAsia" w:ascii="宋体" w:hAnsi="宋体"/>
          <w:sz w:val="28"/>
          <w:szCs w:val="28"/>
        </w:rPr>
        <w:t>50</w:t>
      </w:r>
    </w:p>
    <w:p>
      <w:pPr>
        <w:pStyle w:val="36"/>
        <w:ind w:firstLine="560" w:firstLineChars="200"/>
        <w:jc w:val="left"/>
        <w:rPr>
          <w:rFonts w:ascii="宋体" w:hAnsi="宋体"/>
          <w:sz w:val="28"/>
          <w:szCs w:val="28"/>
        </w:rPr>
      </w:pPr>
      <w:r>
        <w:rPr>
          <w:rFonts w:hint="eastAsia" w:ascii="宋体" w:hAnsi="宋体"/>
          <w:sz w:val="28"/>
          <w:szCs w:val="28"/>
        </w:rPr>
        <w:t>第四章 合同格式…………………………………………………</w:t>
      </w:r>
      <w:r>
        <w:rPr>
          <w:rFonts w:ascii="宋体" w:hAnsi="宋体"/>
          <w:sz w:val="28"/>
          <w:szCs w:val="28"/>
        </w:rPr>
        <w:t>…</w:t>
      </w:r>
      <w:r>
        <w:rPr>
          <w:rFonts w:hint="eastAsia" w:ascii="宋体" w:hAnsi="宋体"/>
          <w:sz w:val="28"/>
          <w:szCs w:val="28"/>
        </w:rPr>
        <w:t>59</w:t>
      </w:r>
    </w:p>
    <w:p>
      <w:pPr>
        <w:pStyle w:val="36"/>
        <w:ind w:firstLine="560" w:firstLineChars="200"/>
        <w:jc w:val="left"/>
        <w:rPr>
          <w:rFonts w:ascii="宋体" w:hAnsi="宋体"/>
          <w:sz w:val="28"/>
          <w:szCs w:val="28"/>
        </w:rPr>
      </w:pPr>
      <w:r>
        <w:rPr>
          <w:rFonts w:hint="eastAsia" w:ascii="宋体" w:hAnsi="宋体"/>
          <w:sz w:val="28"/>
          <w:szCs w:val="28"/>
        </w:rPr>
        <w:t>第五章 响应文件格式………………………………………………60</w:t>
      </w:r>
    </w:p>
    <w:p>
      <w:pPr>
        <w:pStyle w:val="33"/>
        <w:widowControl w:val="0"/>
        <w:tabs>
          <w:tab w:val="left" w:pos="0"/>
          <w:tab w:val="right" w:leader="dot" w:pos="9645"/>
        </w:tabs>
        <w:spacing w:before="0" w:beforeAutospacing="0" w:after="0" w:afterAutospacing="0" w:line="360" w:lineRule="auto"/>
        <w:jc w:val="both"/>
        <w:sectPr>
          <w:footerReference r:id="rId7" w:type="default"/>
          <w:pgSz w:w="11906" w:h="16838"/>
          <w:pgMar w:top="1135" w:right="1135" w:bottom="1135" w:left="1135" w:header="685" w:footer="518" w:gutter="0"/>
          <w:pgNumType w:start="1"/>
          <w:cols w:space="720" w:num="1"/>
          <w:docGrid w:type="lines" w:linePitch="312" w:charSpace="0"/>
        </w:sectPr>
      </w:pPr>
    </w:p>
    <w:p>
      <w:pPr>
        <w:pStyle w:val="36"/>
        <w:ind w:firstLine="560" w:firstLineChars="200"/>
        <w:jc w:val="left"/>
        <w:rPr>
          <w:rFonts w:ascii="宋体" w:hAnsi="宋体"/>
          <w:sz w:val="28"/>
          <w:szCs w:val="28"/>
        </w:rPr>
      </w:pPr>
    </w:p>
    <w:p>
      <w:pPr>
        <w:spacing w:line="400" w:lineRule="exact"/>
        <w:jc w:val="center"/>
        <w:rPr>
          <w:rFonts w:ascii="方正小标宋_GBK" w:eastAsia="方正小标宋_GBK"/>
          <w:sz w:val="32"/>
          <w:szCs w:val="32"/>
        </w:rPr>
      </w:pPr>
      <w:r>
        <w:rPr>
          <w:rFonts w:hint="eastAsia" w:ascii="方正小标宋_GBK" w:eastAsia="方正小标宋_GBK" w:cs="黑体"/>
          <w:sz w:val="32"/>
          <w:szCs w:val="32"/>
        </w:rPr>
        <w:t>第一章  询价邀请函</w:t>
      </w:r>
    </w:p>
    <w:p>
      <w:pPr>
        <w:spacing w:line="400" w:lineRule="exact"/>
        <w:ind w:firstLine="420" w:firstLineChars="200"/>
        <w:jc w:val="left"/>
        <w:rPr>
          <w:rFonts w:ascii="宋体" w:hAnsi="宋体"/>
          <w:sz w:val="28"/>
          <w:szCs w:val="28"/>
        </w:rPr>
      </w:pPr>
      <w:bookmarkStart w:id="2" w:name="_Hlk75611315"/>
      <w:r>
        <w:rPr>
          <w:rFonts w:hint="eastAsia" w:ascii="宋体" w:hAnsi="宋体" w:cs="宋体"/>
          <w:kern w:val="28"/>
        </w:rPr>
        <w:t>广西南宁技师学院（以下简称“采购人”）对广西南宁技师学院</w:t>
      </w:r>
      <w:r>
        <w:rPr>
          <w:rFonts w:hint="eastAsia" w:cs="宋体"/>
          <w:kern w:val="28"/>
        </w:rPr>
        <w:t>“四害”及红火蚁、隐翅虫、臭虫防治服务</w:t>
      </w:r>
      <w:r>
        <w:rPr>
          <w:rFonts w:hint="eastAsia" w:ascii="宋体" w:hAnsi="宋体" w:cs="宋体"/>
          <w:kern w:val="28"/>
        </w:rPr>
        <w:t>以询价方式采购，欢迎符合资格条件的供应商参加。</w:t>
      </w:r>
    </w:p>
    <w:p>
      <w:pPr>
        <w:numPr>
          <w:ilvl w:val="0"/>
          <w:numId w:val="1"/>
        </w:numPr>
        <w:spacing w:line="400" w:lineRule="exact"/>
        <w:ind w:firstLine="420" w:firstLineChars="200"/>
        <w:rPr>
          <w:rFonts w:ascii="宋体" w:hAnsi="宋体" w:cs="宋体"/>
          <w:kern w:val="28"/>
        </w:rPr>
      </w:pPr>
      <w:r>
        <w:rPr>
          <w:rFonts w:hint="eastAsia" w:ascii="宋体" w:hAnsi="宋体" w:cs="宋体"/>
          <w:kern w:val="28"/>
        </w:rPr>
        <w:t>采购项目编号：GXNNJSXY20220</w:t>
      </w:r>
      <w:r>
        <w:rPr>
          <w:rFonts w:hint="eastAsia" w:ascii="宋体" w:hAnsi="宋体" w:cs="宋体"/>
          <w:kern w:val="28"/>
          <w:lang w:val="en-US" w:eastAsia="zh-CN"/>
        </w:rPr>
        <w:t>10HQ02C</w:t>
      </w:r>
    </w:p>
    <w:p>
      <w:pPr>
        <w:spacing w:line="400" w:lineRule="exact"/>
        <w:ind w:left="420"/>
        <w:rPr>
          <w:rFonts w:ascii="宋体" w:hAnsi="宋体"/>
          <w:kern w:val="28"/>
        </w:rPr>
      </w:pPr>
      <w:r>
        <w:rPr>
          <w:rFonts w:hint="eastAsia" w:ascii="宋体" w:hAnsi="宋体" w:cs="宋体"/>
          <w:kern w:val="28"/>
        </w:rPr>
        <w:t>二、项目名称：</w:t>
      </w:r>
      <w:r>
        <w:rPr>
          <w:rFonts w:hint="eastAsia" w:cs="宋体"/>
          <w:kern w:val="28"/>
        </w:rPr>
        <w:t>“四害”及红火蚁、隐翅虫、臭虫防治服务</w:t>
      </w:r>
      <w:r>
        <w:rPr>
          <w:rFonts w:hint="eastAsia" w:ascii="宋体" w:hAnsi="宋体" w:cs="宋体"/>
          <w:kern w:val="28"/>
        </w:rPr>
        <w:t>。</w:t>
      </w:r>
    </w:p>
    <w:p>
      <w:pPr>
        <w:spacing w:line="400" w:lineRule="exact"/>
        <w:ind w:firstLine="420" w:firstLineChars="200"/>
        <w:rPr>
          <w:rFonts w:ascii="宋体" w:hAnsi="宋体"/>
          <w:kern w:val="28"/>
        </w:rPr>
      </w:pPr>
      <w:r>
        <w:rPr>
          <w:rFonts w:hint="eastAsia" w:ascii="宋体" w:hAnsi="宋体" w:cs="宋体"/>
          <w:kern w:val="28"/>
        </w:rPr>
        <w:t>三、采购预算金额：</w:t>
      </w:r>
      <w:r>
        <w:rPr>
          <w:rFonts w:hint="eastAsia" w:ascii="宋体" w:hAnsi="宋体" w:cs="宋体"/>
          <w:kern w:val="28"/>
          <w:lang w:val="en-US" w:eastAsia="zh-CN"/>
        </w:rPr>
        <w:t>80000</w:t>
      </w:r>
      <w:r>
        <w:rPr>
          <w:rFonts w:ascii="宋体" w:hAnsi="宋体" w:cs="宋体"/>
          <w:kern w:val="28"/>
        </w:rPr>
        <w:t>元</w:t>
      </w:r>
      <w:r>
        <w:rPr>
          <w:rFonts w:hint="eastAsia" w:ascii="宋体" w:hAnsi="宋体" w:cs="宋体"/>
        </w:rPr>
        <w:t>。</w:t>
      </w:r>
    </w:p>
    <w:p>
      <w:pPr>
        <w:autoSpaceDE w:val="0"/>
        <w:autoSpaceDN w:val="0"/>
        <w:adjustRightInd w:val="0"/>
        <w:snapToGrid w:val="0"/>
        <w:spacing w:line="400" w:lineRule="exact"/>
        <w:ind w:firstLine="420" w:firstLineChars="200"/>
        <w:rPr>
          <w:rFonts w:ascii="宋体" w:hAnsi="宋体"/>
          <w:u w:val="single"/>
        </w:rPr>
      </w:pPr>
      <w:r>
        <w:rPr>
          <w:rFonts w:hint="eastAsia" w:ascii="宋体" w:hAnsi="宋体" w:cs="宋体"/>
          <w:lang w:val="zh-CN"/>
        </w:rPr>
        <w:t>四、采购数量：一批。</w:t>
      </w:r>
    </w:p>
    <w:p>
      <w:pPr>
        <w:autoSpaceDE w:val="0"/>
        <w:autoSpaceDN w:val="0"/>
        <w:adjustRightInd w:val="0"/>
        <w:snapToGrid w:val="0"/>
        <w:spacing w:line="400" w:lineRule="exact"/>
        <w:ind w:firstLine="420" w:firstLineChars="200"/>
        <w:rPr>
          <w:rFonts w:ascii="宋体" w:hAnsi="宋体"/>
        </w:rPr>
      </w:pPr>
      <w:r>
        <w:rPr>
          <w:rFonts w:hint="eastAsia" w:ascii="宋体" w:hAnsi="宋体" w:cs="宋体"/>
          <w:lang w:val="zh-CN"/>
        </w:rPr>
        <w:t>五、采购</w:t>
      </w:r>
      <w:r>
        <w:rPr>
          <w:rFonts w:hint="eastAsia" w:ascii="宋体" w:hAnsi="宋体" w:cs="宋体"/>
        </w:rPr>
        <w:t>项目内容及要求</w:t>
      </w:r>
    </w:p>
    <w:p>
      <w:pPr>
        <w:autoSpaceDE w:val="0"/>
        <w:autoSpaceDN w:val="0"/>
        <w:adjustRightInd w:val="0"/>
        <w:snapToGrid w:val="0"/>
        <w:spacing w:line="400" w:lineRule="exact"/>
        <w:ind w:firstLine="420" w:firstLineChars="200"/>
        <w:rPr>
          <w:rFonts w:ascii="宋体" w:hAnsi="宋体"/>
          <w:color w:val="FF0000"/>
        </w:rPr>
      </w:pPr>
      <w:r>
        <w:rPr>
          <w:rFonts w:hint="eastAsia" w:ascii="宋体" w:hAnsi="宋体" w:cs="宋体"/>
          <w:kern w:val="28"/>
        </w:rPr>
        <w:t>1、项目编号：GXNNJSXY20220</w:t>
      </w:r>
      <w:r>
        <w:rPr>
          <w:rFonts w:hint="eastAsia" w:ascii="宋体" w:hAnsi="宋体" w:cs="宋体"/>
          <w:kern w:val="28"/>
          <w:lang w:val="en-US" w:eastAsia="zh-CN"/>
        </w:rPr>
        <w:t>10HQ02C</w:t>
      </w:r>
    </w:p>
    <w:p>
      <w:pPr>
        <w:widowControl/>
        <w:spacing w:line="400" w:lineRule="exact"/>
        <w:ind w:firstLine="420" w:firstLineChars="200"/>
        <w:jc w:val="left"/>
        <w:rPr>
          <w:rFonts w:ascii="宋体" w:hAnsi="宋体" w:cs="宋体"/>
        </w:rPr>
      </w:pPr>
      <w:r>
        <w:rPr>
          <w:rFonts w:hint="eastAsia" w:ascii="宋体" w:hAnsi="宋体" w:cs="宋体"/>
        </w:rPr>
        <w:t>2、采购内容：详见询价文件第二部分“采购需求书”的内容。供应商须对全部采购内容进行报价，不允许只对部分内容进行报价，否则视为无效投标。</w:t>
      </w:r>
    </w:p>
    <w:p>
      <w:pPr>
        <w:adjustRightInd w:val="0"/>
        <w:snapToGrid w:val="0"/>
        <w:spacing w:line="400" w:lineRule="exact"/>
        <w:ind w:firstLine="420" w:firstLineChars="200"/>
        <w:rPr>
          <w:rFonts w:ascii="宋体" w:hAnsi="宋体"/>
        </w:rPr>
      </w:pPr>
      <w:bookmarkStart w:id="3" w:name="_Hlk42690548"/>
      <w:r>
        <w:rPr>
          <w:rFonts w:hint="eastAsia" w:ascii="宋体" w:hAnsi="宋体"/>
        </w:rPr>
        <w:t>3、使用非财政性资金。</w:t>
      </w:r>
    </w:p>
    <w:bookmarkEnd w:id="3"/>
    <w:p>
      <w:pPr>
        <w:widowControl/>
        <w:spacing w:line="400" w:lineRule="exact"/>
        <w:ind w:firstLine="420" w:firstLineChars="200"/>
        <w:jc w:val="left"/>
        <w:rPr>
          <w:rFonts w:ascii="宋体" w:hAnsi="宋体"/>
        </w:rPr>
      </w:pPr>
      <w:r>
        <w:rPr>
          <w:rFonts w:ascii="宋体" w:hAnsi="宋体" w:cs="宋体"/>
        </w:rPr>
        <w:t>4、</w:t>
      </w:r>
      <w:r>
        <w:rPr>
          <w:rFonts w:hint="eastAsia" w:ascii="宋体" w:hAnsi="宋体" w:cs="宋体"/>
        </w:rPr>
        <w:t>本项目不允许提交备选方案。</w:t>
      </w:r>
    </w:p>
    <w:p>
      <w:pPr>
        <w:adjustRightInd w:val="0"/>
        <w:snapToGrid w:val="0"/>
        <w:spacing w:line="400" w:lineRule="exact"/>
        <w:ind w:firstLine="420" w:firstLineChars="200"/>
        <w:rPr>
          <w:rFonts w:ascii="宋体" w:hAnsi="宋体"/>
        </w:rPr>
      </w:pPr>
      <w:r>
        <w:rPr>
          <w:rFonts w:hint="eastAsia" w:ascii="宋体" w:hAnsi="宋体" w:cs="宋体"/>
          <w:lang w:val="zh-CN"/>
        </w:rPr>
        <w:t>六</w:t>
      </w:r>
      <w:r>
        <w:rPr>
          <w:rFonts w:hint="eastAsia" w:ascii="宋体" w:hAnsi="宋体" w:cs="宋体"/>
        </w:rPr>
        <w:t>、供应商资格条件：</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rPr>
        <w:t>1、具有独立承担民事责任能力的在中华人民共和国境内注册的企业法人或其他组织机构（提供营业执照复印件加盖公章）；</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kern w:val="28"/>
        </w:rPr>
        <w:t>2、符合《中华人民共和国政府采购法》第二十二条所规定的条件</w:t>
      </w:r>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r>
        <w:rPr>
          <w:rFonts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2.1</w:t>
      </w:r>
      <w:r>
        <w:rPr>
          <w:rFonts w:hint="eastAsia" w:ascii="宋体" w:hAnsi="宋体" w:cs="宋体"/>
        </w:rPr>
        <w:t>具有良好的商业信誉和健全的财务会计制度</w:t>
      </w:r>
      <w:r>
        <w:rPr>
          <w:rFonts w:hint="eastAsia"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2.2</w:t>
      </w:r>
      <w:r>
        <w:rPr>
          <w:rFonts w:hint="eastAsia" w:ascii="宋体" w:hAnsi="宋体" w:cs="宋体"/>
        </w:rPr>
        <w:t>有依法缴纳税收和社会保障资金的良好记录；</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2.3</w:t>
      </w:r>
      <w:r>
        <w:rPr>
          <w:rFonts w:hint="eastAsia" w:ascii="宋体" w:hAnsi="宋体" w:cs="宋体"/>
        </w:rPr>
        <w:t>具有履行合同所必需的设备和专业技术能力；</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pPr>
        <w:widowControl/>
        <w:tabs>
          <w:tab w:val="left" w:pos="420"/>
          <w:tab w:val="left" w:pos="525"/>
          <w:tab w:val="left" w:pos="9639"/>
        </w:tabs>
        <w:spacing w:line="400" w:lineRule="exact"/>
        <w:ind w:right="-6" w:rightChars="-3" w:firstLine="420" w:firstLineChars="200"/>
        <w:jc w:val="left"/>
        <w:rPr>
          <w:rFonts w:ascii="宋体" w:hAnsi="宋体"/>
        </w:rPr>
      </w:pPr>
      <w:r>
        <w:rPr>
          <w:rFonts w:hint="eastAsia" w:ascii="宋体" w:hAnsi="宋体" w:cs="宋体"/>
        </w:rPr>
        <w:t>3、供应商未被采购人曝光或记录供应商不良行为</w:t>
      </w:r>
      <w:bookmarkStart w:id="4" w:name="_Hlk42691001"/>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bookmarkEnd w:id="4"/>
      <w:r>
        <w:rPr>
          <w:rFonts w:hint="eastAsia" w:ascii="宋体" w:hAnsi="宋体" w:cs="宋体"/>
        </w:rPr>
        <w:t>；</w:t>
      </w:r>
    </w:p>
    <w:p>
      <w:pPr>
        <w:widowControl/>
        <w:spacing w:line="400" w:lineRule="exact"/>
        <w:ind w:firstLine="420" w:firstLineChars="200"/>
        <w:rPr>
          <w:rFonts w:ascii="宋体" w:hAnsi="宋体"/>
          <w:kern w:val="28"/>
        </w:rPr>
      </w:pPr>
      <w:r>
        <w:rPr>
          <w:rFonts w:ascii="宋体" w:hAnsi="宋体" w:cs="宋体"/>
          <w:kern w:val="28"/>
        </w:rPr>
        <w:t>4</w:t>
      </w:r>
      <w:r>
        <w:rPr>
          <w:rFonts w:hint="eastAsia" w:ascii="宋体" w:hAnsi="宋体" w:cs="宋体"/>
          <w:kern w:val="28"/>
        </w:rPr>
        <w:t>、为采购项目提供整体设计、规范编制或者项目管理、监理、检测等服务的供应商，不得再参加该采购项目的其他采购活动；（提供《投标人资格声明函》）；</w:t>
      </w:r>
    </w:p>
    <w:p>
      <w:pPr>
        <w:widowControl/>
        <w:spacing w:line="400" w:lineRule="exact"/>
        <w:ind w:firstLine="420" w:firstLineChars="200"/>
        <w:rPr>
          <w:rFonts w:ascii="宋体" w:hAnsi="宋体" w:cs="宋体"/>
          <w:kern w:val="28"/>
        </w:rPr>
      </w:pPr>
      <w:r>
        <w:rPr>
          <w:rFonts w:ascii="宋体" w:hAnsi="宋体" w:cs="宋体"/>
          <w:kern w:val="28"/>
        </w:rPr>
        <w:t>5</w:t>
      </w:r>
      <w:r>
        <w:rPr>
          <w:rFonts w:hint="eastAsia" w:ascii="宋体" w:hAnsi="宋体" w:cs="宋体"/>
          <w:kern w:val="28"/>
        </w:rPr>
        <w:t>、单位负责人为同一人或者存在直接控股、管理关系的不同供应商，不得参加同一合同项下的采购活动；</w:t>
      </w:r>
    </w:p>
    <w:p>
      <w:pPr>
        <w:widowControl/>
        <w:spacing w:line="400" w:lineRule="exact"/>
        <w:ind w:firstLine="420" w:firstLineChars="200"/>
        <w:rPr>
          <w:rFonts w:ascii="宋体" w:hAnsi="宋体"/>
          <w:kern w:val="28"/>
        </w:rPr>
      </w:pPr>
      <w:r>
        <w:rPr>
          <w:rFonts w:ascii="宋体" w:hAnsi="宋体" w:cs="宋体"/>
          <w:kern w:val="28"/>
        </w:rPr>
        <w:t>6</w:t>
      </w:r>
      <w:r>
        <w:rPr>
          <w:rFonts w:hint="eastAsia" w:ascii="宋体" w:hAnsi="宋体" w:cs="宋体"/>
          <w:kern w:val="28"/>
        </w:rPr>
        <w:t>、供应商未被列入“信用中国”网站</w:t>
      </w:r>
      <w:r>
        <w:rPr>
          <w:rFonts w:ascii="宋体" w:hAnsi="宋体"/>
          <w:kern w:val="28"/>
        </w:rPr>
        <w:t>(www.creditchina.gov.cn)</w:t>
      </w:r>
      <w:r>
        <w:rPr>
          <w:rFonts w:hint="eastAsia" w:ascii="宋体" w:hAnsi="宋体" w:cs="宋体"/>
          <w:kern w:val="28"/>
        </w:rPr>
        <w:t>“记录失信被执行人或重大税收违法案件当事人名单或政府采购严重违法失信行为”记录名单。（供应商需提供</w:t>
      </w:r>
      <w:bookmarkStart w:id="5" w:name="_Hlk38352078"/>
      <w:r>
        <w:rPr>
          <w:rFonts w:hint="eastAsia" w:ascii="宋体" w:hAnsi="宋体" w:cs="宋体"/>
          <w:kern w:val="28"/>
        </w:rPr>
        <w:t>投标截止日前在“信用中国”网站（</w:t>
      </w:r>
      <w:r>
        <w:rPr>
          <w:rFonts w:ascii="宋体" w:hAnsi="宋体"/>
          <w:kern w:val="28"/>
        </w:rPr>
        <w:t>www.creditchina.gov.cn</w:t>
      </w:r>
      <w:r>
        <w:rPr>
          <w:rFonts w:hint="eastAsia" w:ascii="宋体" w:hAnsi="宋体" w:cs="宋体"/>
          <w:kern w:val="28"/>
        </w:rPr>
        <w:t>）查询结果截图</w:t>
      </w:r>
      <w:bookmarkEnd w:id="5"/>
      <w:r>
        <w:rPr>
          <w:rFonts w:hint="eastAsia" w:ascii="宋体" w:hAnsi="宋体" w:cs="宋体"/>
          <w:kern w:val="28"/>
        </w:rPr>
        <w:t>作为证明材料，采购人在开标当天查询验证）。</w:t>
      </w:r>
    </w:p>
    <w:p>
      <w:pPr>
        <w:widowControl/>
        <w:spacing w:line="400" w:lineRule="exact"/>
        <w:ind w:firstLine="420" w:firstLineChars="200"/>
        <w:rPr>
          <w:rFonts w:ascii="宋体" w:hAnsi="宋体" w:cs="宋体"/>
          <w:kern w:val="28"/>
        </w:rPr>
      </w:pPr>
      <w:r>
        <w:rPr>
          <w:rFonts w:hint="eastAsia" w:ascii="宋体" w:hAnsi="宋体" w:cs="宋体"/>
          <w:kern w:val="28"/>
        </w:rPr>
        <w:t>7、供应商不处于中国政府采购网</w:t>
      </w:r>
      <w:r>
        <w:rPr>
          <w:rFonts w:ascii="宋体" w:hAnsi="宋体"/>
          <w:kern w:val="28"/>
        </w:rPr>
        <w:t>(www.ccgp.gov.cn)</w:t>
      </w:r>
      <w:r>
        <w:rPr>
          <w:rFonts w:hint="eastAsia" w:ascii="宋体" w:hAnsi="宋体" w:cs="宋体"/>
          <w:kern w:val="28"/>
        </w:rPr>
        <w:t>“政府采购严重违法失信行为信息记录”中的禁止参加政府采购活动期间。（供应商需</w:t>
      </w:r>
      <w:bookmarkStart w:id="6" w:name="_Hlk38352184"/>
      <w:r>
        <w:rPr>
          <w:rFonts w:hint="eastAsia" w:ascii="宋体" w:hAnsi="宋体" w:cs="宋体"/>
          <w:kern w:val="28"/>
        </w:rPr>
        <w:t>提供投标截止日前在中国政府采购网</w:t>
      </w:r>
      <w:r>
        <w:rPr>
          <w:rFonts w:ascii="宋体" w:hAnsi="宋体"/>
          <w:kern w:val="28"/>
        </w:rPr>
        <w:t xml:space="preserve">(www.ccgp.gov.cn) </w:t>
      </w:r>
      <w:r>
        <w:rPr>
          <w:rFonts w:hint="eastAsia" w:ascii="宋体" w:hAnsi="宋体" w:cs="宋体"/>
          <w:kern w:val="28"/>
        </w:rPr>
        <w:t>查询结果截图</w:t>
      </w:r>
      <w:bookmarkEnd w:id="6"/>
      <w:r>
        <w:rPr>
          <w:rFonts w:hint="eastAsia" w:ascii="宋体" w:hAnsi="宋体" w:cs="宋体"/>
          <w:kern w:val="28"/>
        </w:rPr>
        <w:t>作为证明材料，采购人在开标当天查询验证）。</w:t>
      </w:r>
    </w:p>
    <w:p>
      <w:pPr>
        <w:pStyle w:val="36"/>
        <w:spacing w:line="400" w:lineRule="exact"/>
        <w:ind w:firstLineChars="200"/>
        <w:rPr>
          <w:rFonts w:ascii="宋体" w:hAnsi="宋体"/>
        </w:rPr>
      </w:pPr>
      <w:r>
        <w:rPr>
          <w:rFonts w:hint="eastAsia" w:ascii="宋体" w:hAnsi="宋体" w:cs="宋体"/>
        </w:rPr>
        <w:t>8、本项目不接受联合体投标；</w:t>
      </w:r>
    </w:p>
    <w:p>
      <w:pPr>
        <w:autoSpaceDE w:val="0"/>
        <w:autoSpaceDN w:val="0"/>
        <w:adjustRightInd w:val="0"/>
        <w:snapToGrid w:val="0"/>
        <w:spacing w:line="400" w:lineRule="exact"/>
        <w:ind w:firstLine="420" w:firstLineChars="200"/>
        <w:rPr>
          <w:rFonts w:ascii="宋体" w:hAnsi="宋体" w:cs="宋体"/>
          <w:kern w:val="28"/>
        </w:rPr>
      </w:pPr>
      <w:r>
        <w:rPr>
          <w:rFonts w:hint="eastAsia" w:ascii="宋体" w:hAnsi="宋体" w:cs="宋体"/>
          <w:kern w:val="28"/>
        </w:rPr>
        <w:t>七、询价文件索取：请符合资格条件的供应商到南宁市人力资源和社会保障局网站（http://rsj.nanning.gov.cn/）或广西南宁技师学院网站（https://www.nngjjx.com/）的通知公告处下载。</w:t>
      </w:r>
    </w:p>
    <w:p>
      <w:pPr>
        <w:autoSpaceDE w:val="0"/>
        <w:autoSpaceDN w:val="0"/>
        <w:adjustRightInd w:val="0"/>
        <w:snapToGrid w:val="0"/>
        <w:spacing w:line="400" w:lineRule="exact"/>
        <w:ind w:firstLine="420" w:firstLineChars="200"/>
        <w:rPr>
          <w:rFonts w:ascii="宋体" w:hAnsi="宋体" w:cs="宋体"/>
          <w:color w:val="auto"/>
          <w:kern w:val="28"/>
        </w:rPr>
      </w:pPr>
      <w:r>
        <w:rPr>
          <w:rFonts w:hint="eastAsia" w:ascii="宋体" w:hAnsi="宋体" w:cs="宋体"/>
          <w:kern w:val="28"/>
        </w:rPr>
        <w:t>八、响应文件递交截止时间：</w:t>
      </w:r>
      <w:r>
        <w:rPr>
          <w:rFonts w:hint="eastAsia" w:ascii="宋体" w:hAnsi="宋体" w:cs="宋体"/>
          <w:color w:val="auto"/>
          <w:kern w:val="28"/>
        </w:rPr>
        <w:t>2022年1</w:t>
      </w:r>
      <w:r>
        <w:rPr>
          <w:rFonts w:hint="eastAsia" w:ascii="宋体" w:hAnsi="宋体" w:cs="宋体"/>
          <w:color w:val="auto"/>
          <w:kern w:val="28"/>
          <w:lang w:val="en-US" w:eastAsia="zh-CN"/>
        </w:rPr>
        <w:t>2</w:t>
      </w:r>
      <w:r>
        <w:rPr>
          <w:rFonts w:hint="eastAsia" w:ascii="宋体" w:hAnsi="宋体" w:cs="宋体"/>
          <w:color w:val="auto"/>
          <w:kern w:val="28"/>
        </w:rPr>
        <w:t>月</w:t>
      </w:r>
      <w:r>
        <w:rPr>
          <w:rFonts w:hint="eastAsia" w:ascii="宋体" w:hAnsi="宋体" w:cs="宋体"/>
          <w:color w:val="auto"/>
          <w:kern w:val="28"/>
          <w:lang w:val="en-US" w:eastAsia="zh-CN"/>
        </w:rPr>
        <w:t>14</w:t>
      </w:r>
      <w:r>
        <w:rPr>
          <w:rFonts w:hint="eastAsia" w:ascii="宋体" w:hAnsi="宋体" w:cs="宋体"/>
          <w:color w:val="auto"/>
          <w:kern w:val="28"/>
        </w:rPr>
        <w:t>日</w:t>
      </w:r>
      <w:r>
        <w:rPr>
          <w:rFonts w:hint="eastAsia" w:ascii="宋体" w:hAnsi="宋体" w:cs="宋体"/>
          <w:color w:val="auto"/>
          <w:kern w:val="28"/>
          <w:lang w:val="en-US" w:eastAsia="zh-CN"/>
        </w:rPr>
        <w:t>上</w:t>
      </w:r>
      <w:r>
        <w:rPr>
          <w:rFonts w:hint="eastAsia" w:ascii="宋体" w:hAnsi="宋体" w:cs="宋体"/>
          <w:color w:val="auto"/>
          <w:kern w:val="28"/>
        </w:rPr>
        <w:t>午</w:t>
      </w:r>
      <w:r>
        <w:rPr>
          <w:rFonts w:ascii="宋体" w:hAnsi="宋体" w:cs="宋体"/>
          <w:color w:val="auto"/>
          <w:kern w:val="28"/>
        </w:rPr>
        <w:t>1</w:t>
      </w:r>
      <w:r>
        <w:rPr>
          <w:rFonts w:hint="eastAsia" w:ascii="宋体" w:hAnsi="宋体" w:cs="宋体"/>
          <w:color w:val="auto"/>
          <w:kern w:val="28"/>
          <w:lang w:val="en-US" w:eastAsia="zh-CN"/>
        </w:rPr>
        <w:t>0</w:t>
      </w:r>
      <w:r>
        <w:rPr>
          <w:rFonts w:hint="eastAsia" w:ascii="宋体" w:hAnsi="宋体" w:cs="宋体"/>
          <w:color w:val="auto"/>
          <w:kern w:val="28"/>
        </w:rPr>
        <w:t>:</w:t>
      </w:r>
      <w:r>
        <w:rPr>
          <w:rFonts w:ascii="宋体" w:hAnsi="宋体" w:cs="宋体"/>
          <w:color w:val="auto"/>
          <w:kern w:val="28"/>
        </w:rPr>
        <w:t>0</w:t>
      </w:r>
      <w:r>
        <w:rPr>
          <w:rFonts w:hint="eastAsia" w:ascii="宋体" w:hAnsi="宋体" w:cs="宋体"/>
          <w:color w:val="auto"/>
          <w:kern w:val="28"/>
        </w:rPr>
        <w:t>0。</w:t>
      </w:r>
    </w:p>
    <w:p>
      <w:pPr>
        <w:autoSpaceDE w:val="0"/>
        <w:autoSpaceDN w:val="0"/>
        <w:adjustRightInd w:val="0"/>
        <w:snapToGrid w:val="0"/>
        <w:spacing w:line="400" w:lineRule="exact"/>
        <w:ind w:firstLine="420" w:firstLineChars="200"/>
        <w:rPr>
          <w:rFonts w:ascii="宋体" w:hAnsi="宋体" w:cs="宋体"/>
          <w:color w:val="auto"/>
          <w:kern w:val="28"/>
        </w:rPr>
      </w:pPr>
      <w:r>
        <w:rPr>
          <w:rFonts w:hint="eastAsia" w:ascii="宋体" w:hAnsi="宋体" w:cs="宋体"/>
          <w:color w:val="auto"/>
          <w:kern w:val="28"/>
        </w:rPr>
        <w:t>九、响应文件递交地点：南宁市大学西路157号广西南宁技师学院综合楼16楼1606室，不接收邮寄方式递交的响应文件。</w:t>
      </w:r>
      <w:bookmarkStart w:id="76" w:name="_GoBack"/>
      <w:bookmarkEnd w:id="76"/>
    </w:p>
    <w:p>
      <w:pPr>
        <w:autoSpaceDE w:val="0"/>
        <w:autoSpaceDN w:val="0"/>
        <w:adjustRightInd w:val="0"/>
        <w:snapToGrid w:val="0"/>
        <w:spacing w:line="400" w:lineRule="exact"/>
        <w:ind w:firstLine="420" w:firstLineChars="200"/>
        <w:rPr>
          <w:rFonts w:ascii="宋体" w:hAnsi="宋体" w:cs="宋体"/>
          <w:color w:val="auto"/>
        </w:rPr>
      </w:pPr>
      <w:r>
        <w:rPr>
          <w:rFonts w:hint="eastAsia" w:ascii="宋体" w:hAnsi="宋体" w:cs="宋体"/>
          <w:color w:val="auto"/>
          <w:kern w:val="28"/>
        </w:rPr>
        <w:t>十、</w:t>
      </w:r>
      <w:r>
        <w:rPr>
          <w:rFonts w:hint="eastAsia" w:ascii="宋体" w:hAnsi="宋体" w:cs="宋体"/>
          <w:color w:val="auto"/>
        </w:rPr>
        <w:t>联系事项</w:t>
      </w:r>
    </w:p>
    <w:p>
      <w:pPr>
        <w:adjustRightInd w:val="0"/>
        <w:snapToGrid w:val="0"/>
        <w:spacing w:line="400" w:lineRule="exact"/>
        <w:ind w:firstLine="420" w:firstLineChars="200"/>
        <w:rPr>
          <w:rFonts w:ascii="宋体" w:hAnsi="宋体"/>
          <w:color w:val="auto"/>
        </w:rPr>
      </w:pPr>
      <w:r>
        <w:rPr>
          <w:rFonts w:hint="eastAsia" w:ascii="宋体" w:hAnsi="宋体" w:cs="宋体"/>
          <w:color w:val="auto"/>
        </w:rPr>
        <w:t>采购人：广西南宁技师学院</w:t>
      </w:r>
      <w:r>
        <w:rPr>
          <w:rFonts w:ascii="宋体" w:hAnsi="宋体" w:cs="宋体"/>
          <w:color w:val="auto"/>
        </w:rPr>
        <w:t xml:space="preserve"> </w:t>
      </w:r>
      <w:r>
        <w:rPr>
          <w:rFonts w:hint="eastAsia" w:ascii="宋体" w:hAnsi="宋体"/>
          <w:color w:val="auto"/>
        </w:rPr>
        <w:t>，</w:t>
      </w:r>
      <w:r>
        <w:rPr>
          <w:rFonts w:hint="eastAsia" w:ascii="宋体" w:hAnsi="宋体" w:cs="宋体"/>
          <w:color w:val="auto"/>
        </w:rPr>
        <w:t>联系地址：南宁市大学西路157号</w:t>
      </w:r>
      <w:r>
        <w:rPr>
          <w:rFonts w:ascii="宋体" w:hAnsi="宋体"/>
          <w:color w:val="auto"/>
        </w:rPr>
        <w:t>，</w:t>
      </w:r>
      <w:r>
        <w:rPr>
          <w:rFonts w:hint="eastAsia" w:ascii="宋体" w:hAnsi="宋体" w:cs="宋体"/>
          <w:color w:val="auto"/>
        </w:rPr>
        <w:t>联系人：</w:t>
      </w:r>
      <w:r>
        <w:rPr>
          <w:rFonts w:hint="eastAsia" w:ascii="宋体" w:hAnsi="宋体" w:cs="宋体"/>
          <w:color w:val="auto"/>
          <w:lang w:val="en-US" w:eastAsia="zh-CN"/>
        </w:rPr>
        <w:t>刘</w:t>
      </w:r>
      <w:r>
        <w:rPr>
          <w:rFonts w:hint="eastAsia" w:ascii="宋体" w:hAnsi="宋体" w:cs="宋体"/>
          <w:color w:val="auto"/>
        </w:rPr>
        <w:t>老师，联系电话：0771-4928055。</w:t>
      </w:r>
    </w:p>
    <w:p>
      <w:pPr>
        <w:adjustRightInd w:val="0"/>
        <w:snapToGrid w:val="0"/>
        <w:spacing w:line="400" w:lineRule="exact"/>
        <w:ind w:left="4620" w:leftChars="700" w:hanging="3150" w:hangingChars="1500"/>
        <w:jc w:val="left"/>
        <w:rPr>
          <w:rFonts w:ascii="宋体" w:hAnsi="宋体"/>
          <w:color w:val="auto"/>
          <w:u w:val="single"/>
        </w:rPr>
      </w:pPr>
      <w:r>
        <w:rPr>
          <w:rFonts w:ascii="宋体" w:hAnsi="宋体" w:cs="宋体"/>
          <w:color w:val="auto"/>
        </w:rPr>
        <w:t xml:space="preserve">                                                                                   </w:t>
      </w:r>
      <w:r>
        <w:rPr>
          <w:rFonts w:hint="eastAsia" w:ascii="宋体" w:hAnsi="宋体" w:cs="宋体"/>
          <w:color w:val="auto"/>
        </w:rPr>
        <w:t>发布人：广西南宁技师学院</w:t>
      </w:r>
    </w:p>
    <w:p>
      <w:pPr>
        <w:spacing w:line="400" w:lineRule="exact"/>
        <w:ind w:right="1050" w:firstLine="420" w:firstLineChars="200"/>
        <w:jc w:val="right"/>
        <w:rPr>
          <w:rFonts w:ascii="宋体" w:hAnsi="宋体"/>
          <w:color w:val="auto"/>
        </w:rPr>
      </w:pPr>
      <w:r>
        <w:rPr>
          <w:rFonts w:hint="eastAsia" w:ascii="宋体" w:hAnsi="宋体" w:cs="宋体"/>
          <w:color w:val="auto"/>
        </w:rPr>
        <w:t>发布时间：</w:t>
      </w:r>
      <w:r>
        <w:rPr>
          <w:rFonts w:ascii="宋体" w:hAnsi="宋体"/>
          <w:color w:val="auto"/>
        </w:rPr>
        <w:t>2022</w:t>
      </w:r>
      <w:r>
        <w:rPr>
          <w:rFonts w:hint="eastAsia" w:ascii="宋体" w:hAnsi="宋体"/>
          <w:color w:val="auto"/>
        </w:rPr>
        <w:t>年1</w:t>
      </w:r>
      <w:r>
        <w:rPr>
          <w:rFonts w:hint="eastAsia" w:ascii="宋体" w:hAnsi="宋体"/>
          <w:color w:val="auto"/>
          <w:lang w:val="en-US" w:eastAsia="zh-CN"/>
        </w:rPr>
        <w:t>2</w:t>
      </w:r>
      <w:r>
        <w:rPr>
          <w:rFonts w:hint="eastAsia" w:ascii="宋体" w:hAnsi="宋体"/>
          <w:color w:val="auto"/>
        </w:rPr>
        <w:t>月</w:t>
      </w:r>
      <w:r>
        <w:rPr>
          <w:rFonts w:hint="eastAsia" w:ascii="宋体" w:hAnsi="宋体"/>
          <w:color w:val="auto"/>
          <w:lang w:val="en-US" w:eastAsia="zh-CN"/>
        </w:rPr>
        <w:t>8</w:t>
      </w:r>
      <w:r>
        <w:rPr>
          <w:rFonts w:hint="eastAsia" w:ascii="宋体" w:hAnsi="宋体"/>
          <w:color w:val="auto"/>
        </w:rPr>
        <w:t>日</w:t>
      </w:r>
    </w:p>
    <w:bookmarkEnd w:id="2"/>
    <w:p>
      <w:pPr>
        <w:spacing w:line="460" w:lineRule="exact"/>
        <w:rPr>
          <w:rFonts w:ascii="宋体" w:hAnsi="宋体" w:cs="宋体"/>
        </w:rPr>
      </w:pPr>
      <w:r>
        <w:rPr>
          <w:rFonts w:hint="eastAsia" w:ascii="宋体" w:hAnsi="宋体" w:cs="宋体"/>
        </w:rPr>
        <w:t xml:space="preserve"> </w:t>
      </w:r>
      <w:r>
        <w:rPr>
          <w:rFonts w:ascii="宋体" w:hAnsi="宋体" w:cs="宋体"/>
        </w:rPr>
        <w:t xml:space="preserve"> </w:t>
      </w:r>
    </w:p>
    <w:p>
      <w:pPr>
        <w:pStyle w:val="36"/>
        <w:ind w:firstLine="0" w:firstLineChars="0"/>
      </w:pPr>
    </w:p>
    <w:p>
      <w:pPr>
        <w:widowControl/>
        <w:jc w:val="left"/>
        <w:rPr>
          <w:rFonts w:ascii="方正小标宋_GBK" w:eastAsia="方正小标宋_GBK" w:cs="黑体"/>
          <w:sz w:val="32"/>
          <w:szCs w:val="32"/>
        </w:rPr>
      </w:pPr>
      <w:bookmarkStart w:id="7" w:name="_Toc23927923"/>
      <w:r>
        <w:rPr>
          <w:rFonts w:ascii="方正小标宋_GBK" w:eastAsia="方正小标宋_GBK" w:cs="黑体"/>
          <w:sz w:val="32"/>
          <w:szCs w:val="32"/>
        </w:rPr>
        <w:br w:type="page"/>
      </w:r>
    </w:p>
    <w:bookmarkEnd w:id="7"/>
    <w:p>
      <w:pPr>
        <w:spacing w:line="360" w:lineRule="auto"/>
        <w:jc w:val="center"/>
        <w:rPr>
          <w:rFonts w:ascii="方正小标宋_GBK" w:eastAsia="方正小标宋_GBK" w:cs="黑体"/>
          <w:sz w:val="32"/>
          <w:szCs w:val="32"/>
        </w:rPr>
      </w:pPr>
      <w:bookmarkStart w:id="8" w:name="_Toc454458052"/>
      <w:r>
        <w:rPr>
          <w:rFonts w:hint="eastAsia" w:ascii="方正小标宋_GBK" w:eastAsia="方正小标宋_GBK" w:cs="黑体"/>
          <w:sz w:val="32"/>
          <w:szCs w:val="32"/>
        </w:rPr>
        <w:t>第二章　采购需求书</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一、</w:t>
      </w:r>
      <w:r>
        <w:rPr>
          <w:rFonts w:hint="eastAsia" w:ascii="宋体" w:hAnsi="宋体" w:cs="宋体"/>
          <w:b/>
          <w:bCs/>
        </w:rPr>
        <w:t>说明：</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lang w:eastAsia="zh-CN"/>
        </w:rPr>
        <w:t>（</w:t>
      </w:r>
      <w:r>
        <w:rPr>
          <w:rFonts w:hint="eastAsia" w:ascii="宋体" w:hAnsi="Times New Roman" w:cs="宋体"/>
          <w:lang w:val="en-US" w:eastAsia="zh-CN"/>
        </w:rPr>
        <w:t>一</w:t>
      </w:r>
      <w:r>
        <w:rPr>
          <w:rFonts w:hint="eastAsia" w:ascii="宋体" w:hAnsi="Times New Roman" w:cs="宋体"/>
          <w:lang w:eastAsia="zh-CN"/>
        </w:rPr>
        <w:t>）</w:t>
      </w:r>
      <w:r>
        <w:rPr>
          <w:rFonts w:hint="eastAsia" w:ascii="宋体" w:hAnsi="Times New Roman" w:cs="宋体"/>
        </w:rPr>
        <w:t>供应商须对本项目的货物及服务进行整体响应，任何只对项目其中一部分内容进行的响应都被视为无效投标。</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lang w:eastAsia="zh-CN"/>
        </w:rPr>
        <w:t>（</w:t>
      </w:r>
      <w:r>
        <w:rPr>
          <w:rFonts w:hint="eastAsia" w:ascii="宋体" w:hAnsi="Times New Roman" w:cs="宋体"/>
          <w:lang w:val="en-US" w:eastAsia="zh-CN"/>
        </w:rPr>
        <w:t>二</w:t>
      </w:r>
      <w:r>
        <w:rPr>
          <w:rFonts w:hint="eastAsia" w:ascii="宋体" w:hAnsi="Times New Roman" w:cs="宋体"/>
          <w:lang w:eastAsia="zh-CN"/>
        </w:rPr>
        <w:t>）</w:t>
      </w:r>
      <w:r>
        <w:rPr>
          <w:rFonts w:hint="eastAsia" w:ascii="宋体" w:hAnsi="Times New Roman" w:cs="宋体"/>
        </w:rPr>
        <w:t>采购需求书中打“</w:t>
      </w:r>
      <w:bookmarkStart w:id="9" w:name="_Hlk42880463"/>
      <w:r>
        <w:rPr>
          <w:rFonts w:hint="eastAsia" w:ascii="宋体" w:hAnsi="Times New Roman" w:cs="宋体"/>
        </w:rPr>
        <w:t>★</w:t>
      </w:r>
      <w:bookmarkEnd w:id="9"/>
      <w:r>
        <w:rPr>
          <w:rFonts w:hint="eastAsia" w:ascii="宋体" w:hAnsi="Times New Roman" w:cs="宋体"/>
        </w:rPr>
        <w:t>”号条款为实质性条款，供应商如有任何一条负偏离则导致投标无效。</w:t>
      </w:r>
    </w:p>
    <w:p>
      <w:pPr>
        <w:widowControl/>
        <w:tabs>
          <w:tab w:val="left" w:pos="420"/>
        </w:tabs>
        <w:spacing w:line="360" w:lineRule="auto"/>
        <w:ind w:firstLine="420" w:firstLineChars="200"/>
        <w:jc w:val="left"/>
        <w:rPr>
          <w:rFonts w:ascii="宋体" w:hAnsi="Times New Roman" w:cs="宋体"/>
        </w:rPr>
      </w:pPr>
      <w:r>
        <w:rPr>
          <w:rFonts w:hint="eastAsia" w:ascii="宋体" w:hAnsi="Times New Roman" w:cs="宋体"/>
          <w:lang w:eastAsia="zh-CN"/>
        </w:rPr>
        <w:t>（</w:t>
      </w:r>
      <w:r>
        <w:rPr>
          <w:rFonts w:hint="eastAsia" w:ascii="宋体" w:hAnsi="Times New Roman" w:cs="宋体"/>
          <w:lang w:val="en-US" w:eastAsia="zh-CN"/>
        </w:rPr>
        <w:t>三</w:t>
      </w:r>
      <w:r>
        <w:rPr>
          <w:rFonts w:hint="eastAsia" w:ascii="宋体" w:hAnsi="Times New Roman" w:cs="宋体"/>
          <w:lang w:eastAsia="zh-CN"/>
        </w:rPr>
        <w:t>）</w:t>
      </w:r>
      <w:r>
        <w:rPr>
          <w:rFonts w:hint="eastAsia" w:ascii="宋体" w:hAnsi="Times New Roman" w:cs="宋体"/>
        </w:rPr>
        <w:t>使用财政性资金，但本项目采购内容为集中采购目录以外且采购限额标准以下，不纳入政府采购管理范围，由采购人按本单位的内控制度自行采购。</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二、</w:t>
      </w:r>
      <w:r>
        <w:rPr>
          <w:rFonts w:hint="eastAsia" w:ascii="宋体" w:hAnsi="宋体" w:cs="宋体"/>
          <w:b/>
          <w:bCs/>
        </w:rPr>
        <w:t>采购内容简述</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一</w:t>
      </w:r>
      <w:r>
        <w:rPr>
          <w:rFonts w:hint="eastAsia" w:ascii="宋体" w:hAnsi="Times New Roman" w:cs="宋体"/>
          <w:bCs/>
          <w:szCs w:val="20"/>
          <w:lang w:eastAsia="zh-CN"/>
        </w:rPr>
        <w:t>）</w:t>
      </w:r>
      <w:r>
        <w:rPr>
          <w:rFonts w:hint="eastAsia" w:ascii="宋体" w:hAnsi="Times New Roman" w:cs="宋体"/>
          <w:bCs/>
          <w:szCs w:val="20"/>
        </w:rPr>
        <w:t>采购内容：详见“四、采购清单”；</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二</w:t>
      </w:r>
      <w:r>
        <w:rPr>
          <w:rFonts w:hint="eastAsia" w:ascii="宋体" w:hAnsi="Times New Roman" w:cs="宋体"/>
          <w:bCs/>
          <w:szCs w:val="20"/>
          <w:lang w:eastAsia="zh-CN"/>
        </w:rPr>
        <w:t>）</w:t>
      </w:r>
      <w:r>
        <w:rPr>
          <w:rFonts w:hint="eastAsia" w:ascii="宋体" w:hAnsi="Times New Roman" w:cs="宋体"/>
          <w:bCs/>
          <w:szCs w:val="20"/>
        </w:rPr>
        <w:t>采购数量：详见“四、采购清单”；</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三</w:t>
      </w:r>
      <w:r>
        <w:rPr>
          <w:rFonts w:hint="eastAsia" w:ascii="宋体" w:hAnsi="Times New Roman" w:cs="宋体"/>
          <w:bCs/>
          <w:szCs w:val="20"/>
          <w:lang w:eastAsia="zh-CN"/>
        </w:rPr>
        <w:t>）</w:t>
      </w:r>
      <w:r>
        <w:rPr>
          <w:rFonts w:hint="eastAsia" w:ascii="宋体" w:hAnsi="Times New Roman" w:cs="宋体"/>
          <w:bCs/>
          <w:szCs w:val="20"/>
        </w:rPr>
        <w:t>采购要求：详见“五、商务要求”；</w:t>
      </w:r>
    </w:p>
    <w:p>
      <w:pPr>
        <w:snapToGrid w:val="0"/>
        <w:spacing w:line="360" w:lineRule="auto"/>
        <w:ind w:firstLine="420" w:firstLineChars="200"/>
        <w:rPr>
          <w:rFonts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四</w:t>
      </w:r>
      <w:r>
        <w:rPr>
          <w:rFonts w:hint="eastAsia" w:ascii="宋体" w:hAnsi="Times New Roman" w:cs="宋体"/>
          <w:bCs/>
          <w:szCs w:val="20"/>
          <w:lang w:eastAsia="zh-CN"/>
        </w:rPr>
        <w:t>）</w:t>
      </w:r>
      <w:r>
        <w:rPr>
          <w:rFonts w:ascii="宋体" w:hAnsi="Times New Roman" w:cs="宋体"/>
          <w:bCs/>
          <w:szCs w:val="20"/>
        </w:rPr>
        <w:t>采购</w:t>
      </w:r>
      <w:r>
        <w:rPr>
          <w:rFonts w:hint="eastAsia" w:ascii="宋体" w:hAnsi="Times New Roman" w:cs="宋体"/>
          <w:bCs/>
          <w:szCs w:val="20"/>
        </w:rPr>
        <w:t>预算金额：人民币</w:t>
      </w:r>
      <w:r>
        <w:rPr>
          <w:rFonts w:hint="eastAsia" w:ascii="宋体" w:hAnsi="Times New Roman" w:cs="宋体"/>
          <w:bCs/>
          <w:szCs w:val="20"/>
          <w:u w:val="single"/>
          <w:lang w:val="en-US" w:eastAsia="zh-CN"/>
        </w:rPr>
        <w:t>80</w:t>
      </w:r>
      <w:r>
        <w:rPr>
          <w:rFonts w:ascii="宋体" w:hAnsi="Times New Roman" w:cs="宋体"/>
          <w:bCs/>
          <w:u w:val="single"/>
        </w:rPr>
        <w:t>000.00</w:t>
      </w:r>
      <w:r>
        <w:rPr>
          <w:rFonts w:hint="eastAsia" w:ascii="宋体" w:hAnsi="Times New Roman" w:cs="宋体"/>
          <w:bCs/>
          <w:szCs w:val="20"/>
        </w:rPr>
        <w:t>元（供应商报价超过预算金额将按无效投标处理）。</w:t>
      </w:r>
    </w:p>
    <w:p>
      <w:pPr>
        <w:tabs>
          <w:tab w:val="left" w:pos="420"/>
          <w:tab w:val="left" w:pos="540"/>
          <w:tab w:val="left" w:pos="574"/>
        </w:tabs>
        <w:spacing w:line="360" w:lineRule="auto"/>
        <w:ind w:left="420"/>
        <w:outlineLvl w:val="0"/>
        <w:rPr>
          <w:rFonts w:ascii="宋体" w:hAnsi="宋体" w:cs="宋体"/>
          <w:b/>
          <w:bCs/>
        </w:rPr>
      </w:pPr>
      <w:r>
        <w:rPr>
          <w:rFonts w:ascii="宋体" w:hAnsi="宋体" w:cs="宋体"/>
          <w:b/>
          <w:bCs/>
        </w:rPr>
        <w:t>三、</w:t>
      </w:r>
      <w:r>
        <w:rPr>
          <w:rFonts w:hint="eastAsia" w:ascii="宋体" w:hAnsi="宋体" w:cs="宋体"/>
          <w:b/>
          <w:bCs/>
        </w:rPr>
        <w:t>项目概况</w:t>
      </w:r>
    </w:p>
    <w:p>
      <w:pPr>
        <w:widowControl/>
        <w:tabs>
          <w:tab w:val="left" w:pos="424"/>
        </w:tabs>
        <w:spacing w:line="360" w:lineRule="auto"/>
        <w:ind w:firstLine="420" w:firstLineChars="200"/>
        <w:jc w:val="left"/>
        <w:rPr>
          <w:rFonts w:hAnsi="宋体"/>
          <w:kern w:val="28"/>
        </w:rPr>
      </w:pPr>
      <w:r>
        <w:rPr>
          <w:rFonts w:hint="eastAsia" w:ascii="宋体" w:hAnsi="Times New Roman" w:cs="宋体"/>
        </w:rPr>
        <w:t>1</w:t>
      </w:r>
      <w:r>
        <w:rPr>
          <w:rFonts w:hint="eastAsia" w:ascii="宋体" w:hAnsi="Times New Roman" w:cs="宋体"/>
          <w:lang w:eastAsia="zh-CN"/>
        </w:rPr>
        <w:t>.</w:t>
      </w:r>
      <w:r>
        <w:rPr>
          <w:rFonts w:hint="eastAsia" w:ascii="宋体" w:hAnsi="Times New Roman" w:cs="宋体"/>
        </w:rPr>
        <w:t>本次招标项目范围：</w:t>
      </w:r>
      <w:r>
        <w:rPr>
          <w:rFonts w:hint="eastAsia" w:cs="宋体"/>
          <w:kern w:val="28"/>
        </w:rPr>
        <w:t>广西南宁技师学院“四害”及红火蚁、隐翅虫、臭虫防治服务</w:t>
      </w:r>
      <w:r>
        <w:rPr>
          <w:rFonts w:hint="eastAsia" w:ascii="宋体" w:hAnsi="Times New Roman" w:cs="宋体"/>
          <w:bCs/>
          <w:szCs w:val="20"/>
        </w:rPr>
        <w:t>。</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2</w:t>
      </w:r>
      <w:r>
        <w:rPr>
          <w:rFonts w:hint="eastAsia" w:ascii="宋体" w:hAnsi="Times New Roman" w:cs="宋体"/>
          <w:lang w:eastAsia="zh-CN"/>
        </w:rPr>
        <w:t>.</w:t>
      </w:r>
      <w:r>
        <w:rPr>
          <w:rFonts w:hint="eastAsia" w:ascii="宋体" w:hAnsi="Times New Roman" w:cs="宋体"/>
        </w:rPr>
        <w:t>成交供应商承担及负责询价文件规定应由成交供应商负责的一切事宜及责任，包括项目货物供货、包装、运输、保管、验收及相关服务等。</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3</w:t>
      </w:r>
      <w:r>
        <w:rPr>
          <w:rFonts w:hint="eastAsia" w:ascii="宋体" w:hAnsi="Times New Roman" w:cs="宋体"/>
          <w:lang w:eastAsia="zh-CN"/>
        </w:rPr>
        <w:t>.</w:t>
      </w:r>
      <w:r>
        <w:rPr>
          <w:rFonts w:hint="eastAsia" w:ascii="宋体" w:hAnsi="Times New Roman" w:cs="宋体"/>
        </w:rPr>
        <w:t>除非征得采购人同意外，成交供应商不得以任何方式转包或分包本项目。</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4</w:t>
      </w:r>
      <w:r>
        <w:rPr>
          <w:rFonts w:hint="eastAsia" w:ascii="宋体" w:hAnsi="Times New Roman" w:cs="宋体"/>
          <w:lang w:eastAsia="zh-CN"/>
        </w:rPr>
        <w:t>.</w:t>
      </w:r>
      <w:r>
        <w:rPr>
          <w:rFonts w:hint="eastAsia" w:ascii="宋体" w:hAnsi="Times New Roman" w:cs="宋体"/>
        </w:rPr>
        <w:t>供应商应提供已注册品牌制造商原装、全新的、符合国家及用户提出的有关质量标准的货物。</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5</w:t>
      </w:r>
      <w:r>
        <w:rPr>
          <w:rFonts w:hint="eastAsia" w:ascii="宋体" w:hAnsi="Times New Roman" w:cs="宋体"/>
          <w:lang w:eastAsia="zh-CN"/>
        </w:rPr>
        <w:t>.</w:t>
      </w:r>
      <w:r>
        <w:rPr>
          <w:rFonts w:hint="eastAsia" w:ascii="宋体" w:hAnsi="Times New Roman" w:cs="宋体"/>
        </w:rPr>
        <w:t>所有货物在开箱检验时必须完好，无破损，配置与装箱单相符，数量、质量及性能不低于本采购需求书中提出的要求。</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6</w:t>
      </w:r>
      <w:r>
        <w:rPr>
          <w:rFonts w:hint="eastAsia" w:ascii="宋体" w:hAnsi="Times New Roman" w:cs="宋体"/>
          <w:lang w:eastAsia="zh-CN"/>
        </w:rPr>
        <w:t>.</w:t>
      </w:r>
      <w:r>
        <w:rPr>
          <w:rFonts w:hint="eastAsia" w:ascii="宋体" w:hAnsi="Times New Roman" w:cs="宋体"/>
        </w:rPr>
        <w:t>货物外观清洁，标记编号以及盘面显示等字体清晰，明确能够准确无误地表示货物的型号、规格、制造商。</w:t>
      </w:r>
    </w:p>
    <w:p>
      <w:pPr>
        <w:widowControl/>
        <w:tabs>
          <w:tab w:val="left" w:pos="424"/>
        </w:tabs>
        <w:spacing w:line="360" w:lineRule="auto"/>
        <w:ind w:firstLine="420" w:firstLineChars="200"/>
        <w:jc w:val="left"/>
        <w:rPr>
          <w:rFonts w:ascii="宋体" w:hAnsi="Times New Roman" w:cs="宋体"/>
        </w:rPr>
      </w:pPr>
      <w:r>
        <w:rPr>
          <w:rFonts w:ascii="宋体" w:hAnsi="Times New Roman" w:cs="宋体"/>
        </w:rPr>
        <w:t>7</w:t>
      </w:r>
      <w:r>
        <w:rPr>
          <w:rFonts w:hint="eastAsia" w:ascii="宋体" w:hAnsi="Times New Roman" w:cs="宋体"/>
          <w:lang w:eastAsia="zh-CN"/>
        </w:rPr>
        <w:t>.</w:t>
      </w:r>
      <w:r>
        <w:rPr>
          <w:rFonts w:hint="eastAsia" w:ascii="宋体" w:hAnsi="Times New Roman" w:cs="宋体"/>
        </w:rPr>
        <w:t>供应商在供货时，应提供货物清单，若被发现提供的货物未能达到询价文件和报价文件中的有关要求，采购人有权拒绝验收。</w:t>
      </w:r>
    </w:p>
    <w:p>
      <w:pPr>
        <w:widowControl/>
        <w:tabs>
          <w:tab w:val="left" w:pos="424"/>
        </w:tabs>
        <w:spacing w:line="360" w:lineRule="auto"/>
        <w:ind w:firstLine="420" w:firstLineChars="200"/>
        <w:jc w:val="left"/>
        <w:rPr>
          <w:rFonts w:ascii="宋体" w:hAnsi="Times New Roman" w:cs="宋体"/>
        </w:rPr>
      </w:pPr>
      <w:r>
        <w:rPr>
          <w:rFonts w:ascii="宋体" w:hAnsi="Times New Roman" w:cs="宋体"/>
        </w:rPr>
        <w:t>8</w:t>
      </w:r>
      <w:r>
        <w:rPr>
          <w:rFonts w:hint="eastAsia" w:ascii="宋体" w:hAnsi="Times New Roman" w:cs="宋体"/>
          <w:lang w:eastAsia="zh-CN"/>
        </w:rPr>
        <w:t>.</w:t>
      </w:r>
      <w:r>
        <w:rPr>
          <w:rFonts w:hint="eastAsia" w:ascii="宋体" w:hAnsi="Times New Roman" w:cs="宋体"/>
        </w:rPr>
        <w:t>本次投标应为包供货、包装、运输及售后服务的全部内容，成交供应商不得以任何理由向采购人加收其他任何费用。</w:t>
      </w:r>
    </w:p>
    <w:p>
      <w:pPr>
        <w:widowControl/>
        <w:tabs>
          <w:tab w:val="left" w:pos="424"/>
        </w:tabs>
        <w:spacing w:line="360" w:lineRule="auto"/>
        <w:ind w:firstLine="420" w:firstLineChars="200"/>
        <w:jc w:val="left"/>
        <w:rPr>
          <w:rFonts w:ascii="宋体" w:hAnsi="Times New Roman" w:cs="宋体"/>
        </w:rPr>
      </w:pPr>
      <w:r>
        <w:rPr>
          <w:rFonts w:hint="eastAsia" w:ascii="宋体" w:hAnsi="Times New Roman" w:cs="宋体"/>
        </w:rPr>
        <w:t>★</w:t>
      </w:r>
      <w:r>
        <w:rPr>
          <w:rFonts w:ascii="宋体" w:hAnsi="Times New Roman" w:cs="宋体"/>
        </w:rPr>
        <w:t>9</w:t>
      </w:r>
      <w:r>
        <w:rPr>
          <w:rFonts w:hint="eastAsia" w:ascii="宋体" w:hAnsi="Times New Roman" w:cs="宋体"/>
          <w:lang w:val="en-US" w:eastAsia="zh-CN"/>
        </w:rPr>
        <w:t>.</w:t>
      </w:r>
      <w:r>
        <w:rPr>
          <w:rFonts w:hint="eastAsia" w:ascii="宋体" w:hAnsi="Times New Roman" w:cs="宋体"/>
        </w:rPr>
        <w:t>供应商所提供货物的数量及技术参数等不能低于询价文件所提出的要求。</w:t>
      </w:r>
    </w:p>
    <w:p>
      <w:pPr>
        <w:widowControl/>
        <w:tabs>
          <w:tab w:val="left" w:pos="424"/>
        </w:tabs>
        <w:spacing w:line="360" w:lineRule="auto"/>
        <w:ind w:firstLine="422" w:firstLineChars="200"/>
        <w:jc w:val="left"/>
        <w:rPr>
          <w:rFonts w:ascii="宋体" w:hAnsi="Times New Roman" w:cs="宋体"/>
        </w:rPr>
      </w:pPr>
      <w:r>
        <w:rPr>
          <w:rFonts w:hint="eastAsia" w:ascii="宋体" w:hAnsi="Times New Roman" w:cs="宋体"/>
          <w:b/>
        </w:rPr>
        <w:t>★</w:t>
      </w:r>
      <w:r>
        <w:rPr>
          <w:rFonts w:hint="eastAsia" w:ascii="宋体" w:hAnsi="Times New Roman" w:cs="宋体"/>
        </w:rPr>
        <w:t>1</w:t>
      </w:r>
      <w:r>
        <w:rPr>
          <w:rFonts w:ascii="宋体" w:hAnsi="Times New Roman" w:cs="宋体"/>
        </w:rPr>
        <w:t>0.</w:t>
      </w:r>
      <w:r>
        <w:rPr>
          <w:rFonts w:hint="eastAsia"/>
        </w:rPr>
        <w:t xml:space="preserve"> </w:t>
      </w:r>
      <w:r>
        <w:rPr>
          <w:rFonts w:hint="eastAsia" w:ascii="宋体" w:hAnsi="Times New Roman" w:cs="宋体"/>
        </w:rPr>
        <w:t>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p>
      <w:pPr>
        <w:tabs>
          <w:tab w:val="left" w:pos="420"/>
          <w:tab w:val="left" w:pos="540"/>
          <w:tab w:val="left" w:pos="574"/>
        </w:tabs>
        <w:spacing w:line="360" w:lineRule="auto"/>
        <w:ind w:firstLine="211" w:firstLineChars="100"/>
        <w:outlineLvl w:val="0"/>
        <w:rPr>
          <w:rFonts w:ascii="宋体" w:hAnsi="宋体" w:cs="宋体"/>
          <w:b/>
          <w:bCs/>
        </w:rPr>
      </w:pPr>
      <w:bookmarkStart w:id="10" w:name="_Hlk70344164"/>
      <w:r>
        <w:rPr>
          <w:rFonts w:ascii="宋体" w:hAnsi="宋体" w:cs="宋体"/>
          <w:b/>
          <w:bCs/>
        </w:rPr>
        <w:t>四、</w:t>
      </w:r>
      <w:r>
        <w:rPr>
          <w:rFonts w:hint="eastAsia" w:ascii="宋体" w:hAnsi="宋体" w:cs="宋体"/>
          <w:b/>
          <w:bCs/>
        </w:rPr>
        <w:t>采购清单</w:t>
      </w:r>
    </w:p>
    <w:p>
      <w:pPr>
        <w:pStyle w:val="36"/>
        <w:ind w:firstLine="210"/>
      </w:pPr>
    </w:p>
    <w:bookmarkEnd w:id="10"/>
    <w:tbl>
      <w:tblPr>
        <w:tblStyle w:val="37"/>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104"/>
        <w:gridCol w:w="1275"/>
        <w:gridCol w:w="5529"/>
        <w:gridCol w:w="708"/>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451" w:type="dxa"/>
            <w:shd w:val="clear" w:color="auto" w:fill="auto"/>
            <w:vAlign w:val="center"/>
          </w:tcPr>
          <w:p>
            <w:pPr>
              <w:widowControl/>
              <w:jc w:val="center"/>
              <w:rPr>
                <w:rFonts w:ascii="宋体" w:hAnsi="宋体" w:cs="宋体"/>
                <w:b/>
                <w:kern w:val="0"/>
              </w:rPr>
            </w:pPr>
            <w:bookmarkStart w:id="11" w:name="_Hlk70344151"/>
            <w:r>
              <w:rPr>
                <w:rFonts w:hint="eastAsia" w:ascii="宋体" w:hAnsi="宋体" w:cs="宋体"/>
                <w:b/>
                <w:kern w:val="0"/>
              </w:rPr>
              <w:t>项号</w:t>
            </w:r>
          </w:p>
        </w:tc>
        <w:tc>
          <w:tcPr>
            <w:tcW w:w="1104" w:type="dxa"/>
            <w:shd w:val="clear" w:color="auto" w:fill="auto"/>
            <w:vAlign w:val="center"/>
          </w:tcPr>
          <w:p>
            <w:pPr>
              <w:widowControl/>
              <w:jc w:val="center"/>
              <w:rPr>
                <w:rFonts w:ascii="宋体" w:hAnsi="宋体" w:cs="宋体"/>
                <w:b/>
                <w:kern w:val="0"/>
              </w:rPr>
            </w:pPr>
            <w:r>
              <w:rPr>
                <w:rFonts w:hint="eastAsia" w:ascii="宋体" w:hAnsi="宋体" w:cs="宋体"/>
                <w:b/>
                <w:kern w:val="0"/>
              </w:rPr>
              <w:t>货物名称</w:t>
            </w:r>
          </w:p>
        </w:tc>
        <w:tc>
          <w:tcPr>
            <w:tcW w:w="1275" w:type="dxa"/>
            <w:shd w:val="clear" w:color="auto" w:fill="auto"/>
            <w:vAlign w:val="center"/>
          </w:tcPr>
          <w:p>
            <w:pPr>
              <w:widowControl/>
              <w:jc w:val="center"/>
              <w:rPr>
                <w:rFonts w:ascii="宋体" w:hAnsi="宋体" w:cs="宋体"/>
                <w:b/>
                <w:kern w:val="0"/>
              </w:rPr>
            </w:pPr>
            <w:r>
              <w:rPr>
                <w:rFonts w:hint="eastAsia" w:ascii="宋体" w:hAnsi="宋体" w:cs="宋体"/>
                <w:b/>
                <w:kern w:val="0"/>
              </w:rPr>
              <w:t>参考品牌</w:t>
            </w:r>
          </w:p>
        </w:tc>
        <w:tc>
          <w:tcPr>
            <w:tcW w:w="5529" w:type="dxa"/>
            <w:shd w:val="clear" w:color="auto" w:fill="auto"/>
            <w:vAlign w:val="center"/>
          </w:tcPr>
          <w:p>
            <w:pPr>
              <w:widowControl/>
              <w:jc w:val="center"/>
              <w:rPr>
                <w:rFonts w:ascii="宋体" w:hAnsi="宋体" w:cs="宋体"/>
                <w:b/>
                <w:kern w:val="0"/>
              </w:rPr>
            </w:pPr>
            <w:r>
              <w:rPr>
                <w:rFonts w:hint="eastAsia" w:ascii="宋体" w:hAnsi="宋体" w:cs="宋体"/>
                <w:b/>
                <w:kern w:val="0"/>
              </w:rPr>
              <w:t>规格/型号或主要技术要求</w:t>
            </w:r>
          </w:p>
        </w:tc>
        <w:tc>
          <w:tcPr>
            <w:tcW w:w="708" w:type="dxa"/>
            <w:shd w:val="clear" w:color="auto" w:fill="auto"/>
            <w:vAlign w:val="center"/>
          </w:tcPr>
          <w:p>
            <w:pPr>
              <w:widowControl/>
              <w:jc w:val="center"/>
              <w:rPr>
                <w:rFonts w:ascii="宋体" w:hAnsi="宋体" w:cs="宋体"/>
                <w:b/>
                <w:kern w:val="0"/>
              </w:rPr>
            </w:pPr>
            <w:r>
              <w:rPr>
                <w:rFonts w:hint="eastAsia" w:ascii="宋体" w:hAnsi="宋体" w:cs="宋体"/>
                <w:b/>
                <w:kern w:val="0"/>
              </w:rPr>
              <w:t>单位</w:t>
            </w:r>
          </w:p>
        </w:tc>
        <w:tc>
          <w:tcPr>
            <w:tcW w:w="709" w:type="dxa"/>
            <w:shd w:val="clear" w:color="auto" w:fill="auto"/>
            <w:vAlign w:val="center"/>
          </w:tcPr>
          <w:p>
            <w:pPr>
              <w:widowControl/>
              <w:jc w:val="center"/>
              <w:rPr>
                <w:rFonts w:ascii="宋体" w:hAnsi="宋体" w:cs="宋体"/>
                <w:b/>
                <w:kern w:val="0"/>
              </w:rPr>
            </w:pPr>
            <w:r>
              <w:rPr>
                <w:rFonts w:hint="eastAsia" w:ascii="宋体" w:hAnsi="宋体" w:cs="宋体"/>
                <w:b/>
                <w:kern w:val="0"/>
              </w:rPr>
              <w:t>数量</w:t>
            </w:r>
          </w:p>
        </w:tc>
        <w:tc>
          <w:tcPr>
            <w:tcW w:w="992" w:type="dxa"/>
            <w:shd w:val="clear" w:color="auto" w:fill="auto"/>
            <w:vAlign w:val="center"/>
          </w:tcPr>
          <w:p>
            <w:pPr>
              <w:widowControl/>
              <w:jc w:val="center"/>
              <w:rPr>
                <w:rFonts w:ascii="宋体" w:hAnsi="宋体" w:cs="宋体"/>
                <w:b/>
                <w:kern w:val="0"/>
              </w:rPr>
            </w:pPr>
            <w:r>
              <w:rPr>
                <w:rFonts w:hint="eastAsia" w:ascii="宋体" w:hAnsi="宋体" w:cs="宋体"/>
                <w:b/>
                <w:kern w:val="0"/>
              </w:rPr>
              <w:t>分项预算合价（元）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1" w:type="dxa"/>
            <w:shd w:val="clear" w:color="auto" w:fill="auto"/>
            <w:vAlign w:val="center"/>
          </w:tcPr>
          <w:p>
            <w:pPr>
              <w:widowControl/>
              <w:rPr>
                <w:rFonts w:ascii="宋体" w:hAnsi="宋体" w:cs="宋体"/>
                <w:kern w:val="0"/>
              </w:rPr>
            </w:pPr>
            <w:r>
              <w:rPr>
                <w:rFonts w:hint="eastAsia" w:ascii="宋体" w:hAnsi="宋体" w:cs="宋体"/>
                <w:kern w:val="0"/>
              </w:rPr>
              <w:t>1</w:t>
            </w:r>
          </w:p>
        </w:tc>
        <w:tc>
          <w:tcPr>
            <w:tcW w:w="110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宋体"/>
                <w:kern w:val="0"/>
              </w:rPr>
            </w:pPr>
            <w:r>
              <w:rPr>
                <w:rFonts w:hint="eastAsia" w:ascii="宋体" w:cs="宋体"/>
                <w:kern w:val="0"/>
              </w:rPr>
              <w:t>广西南宁技师学院“四害”防治服务</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宋体"/>
                <w:kern w:val="0"/>
              </w:rPr>
            </w:pPr>
          </w:p>
        </w:tc>
        <w:tc>
          <w:tcPr>
            <w:tcW w:w="5529" w:type="dxa"/>
            <w:tcBorders>
              <w:top w:val="single" w:color="auto" w:sz="8" w:space="0"/>
              <w:left w:val="single" w:color="auto" w:sz="8" w:space="0"/>
              <w:bottom w:val="single" w:color="auto" w:sz="8" w:space="0"/>
              <w:right w:val="single" w:color="auto" w:sz="8" w:space="0"/>
            </w:tcBorders>
            <w:vAlign w:val="center"/>
          </w:tcPr>
          <w:p>
            <w:pPr>
              <w:spacing w:line="340" w:lineRule="exact"/>
              <w:jc w:val="left"/>
              <w:rPr>
                <w:rFonts w:hint="eastAsia" w:ascii="宋体" w:hAnsi="Times New Roman" w:cs="宋体"/>
                <w:bCs/>
                <w:szCs w:val="20"/>
              </w:rPr>
            </w:pPr>
            <w:r>
              <w:rPr>
                <w:rFonts w:hint="eastAsia" w:ascii="宋体" w:hAnsi="Times New Roman" w:cs="宋体"/>
                <w:b/>
                <w:bCs w:val="0"/>
                <w:szCs w:val="20"/>
              </w:rPr>
              <w:t>一、防治地点（范围）：</w:t>
            </w:r>
            <w:r>
              <w:rPr>
                <w:rFonts w:hint="eastAsia" w:ascii="宋体" w:hAnsi="Times New Roman" w:cs="宋体"/>
                <w:bCs/>
                <w:szCs w:val="20"/>
              </w:rPr>
              <w:t>广西南宁技师学院所辖校园区域。</w:t>
            </w:r>
          </w:p>
          <w:p>
            <w:pPr>
              <w:spacing w:line="340" w:lineRule="exact"/>
              <w:jc w:val="left"/>
              <w:rPr>
                <w:rFonts w:hint="eastAsia" w:ascii="宋体" w:hAnsi="Times New Roman" w:cs="宋体"/>
                <w:bCs/>
                <w:szCs w:val="20"/>
              </w:rPr>
            </w:pPr>
            <w:r>
              <w:rPr>
                <w:rFonts w:hint="eastAsia" w:ascii="宋体" w:hAnsi="Times New Roman" w:cs="宋体"/>
                <w:b/>
                <w:bCs w:val="0"/>
                <w:szCs w:val="20"/>
              </w:rPr>
              <w:t>二、防治项目：</w:t>
            </w:r>
            <w:r>
              <w:rPr>
                <w:rFonts w:hint="eastAsia" w:ascii="宋体" w:hAnsi="Times New Roman" w:cs="宋体"/>
                <w:bCs/>
                <w:szCs w:val="20"/>
              </w:rPr>
              <w:t>灭鼠、蚊、蝇、蟑螂。</w:t>
            </w:r>
          </w:p>
          <w:p>
            <w:pPr>
              <w:spacing w:line="340" w:lineRule="exact"/>
              <w:jc w:val="left"/>
              <w:rPr>
                <w:rFonts w:hint="eastAsia" w:ascii="宋体" w:hAnsi="Times New Roman" w:cs="宋体"/>
                <w:bCs/>
                <w:szCs w:val="20"/>
              </w:rPr>
            </w:pPr>
            <w:r>
              <w:rPr>
                <w:rFonts w:hint="eastAsia" w:ascii="宋体" w:hAnsi="Times New Roman" w:cs="宋体"/>
                <w:b/>
                <w:bCs w:val="0"/>
                <w:szCs w:val="20"/>
              </w:rPr>
              <w:t>三、防治时间：</w:t>
            </w:r>
            <w:r>
              <w:rPr>
                <w:rFonts w:hint="eastAsia" w:ascii="宋体" w:hAnsi="Times New Roman" w:cs="宋体"/>
                <w:bCs/>
                <w:szCs w:val="20"/>
              </w:rPr>
              <w:t xml:space="preserve"> 202</w:t>
            </w:r>
            <w:r>
              <w:rPr>
                <w:rFonts w:hint="eastAsia" w:ascii="宋体" w:hAnsi="Times New Roman" w:cs="宋体"/>
                <w:bCs/>
                <w:szCs w:val="20"/>
                <w:lang w:val="en-US" w:eastAsia="zh-CN"/>
              </w:rPr>
              <w:t>3</w:t>
            </w:r>
            <w:r>
              <w:rPr>
                <w:rFonts w:hint="eastAsia" w:ascii="宋体" w:hAnsi="Times New Roman" w:cs="宋体"/>
                <w:bCs/>
                <w:szCs w:val="20"/>
              </w:rPr>
              <w:t>年 1</w:t>
            </w:r>
            <w:r>
              <w:rPr>
                <w:rFonts w:hint="eastAsia" w:ascii="宋体" w:hAnsi="Times New Roman" w:cs="宋体"/>
                <w:bCs/>
                <w:szCs w:val="20"/>
                <w:lang w:val="en-US" w:eastAsia="zh-CN"/>
              </w:rPr>
              <w:t xml:space="preserve"> </w:t>
            </w:r>
            <w:r>
              <w:rPr>
                <w:rFonts w:hint="eastAsia" w:ascii="宋体" w:hAnsi="Times New Roman" w:cs="宋体"/>
                <w:bCs/>
                <w:szCs w:val="20"/>
              </w:rPr>
              <w:t xml:space="preserve">月 </w:t>
            </w:r>
            <w:r>
              <w:rPr>
                <w:rFonts w:hint="eastAsia" w:ascii="宋体" w:hAnsi="Times New Roman" w:cs="宋体"/>
                <w:bCs/>
                <w:szCs w:val="20"/>
                <w:lang w:val="en-US" w:eastAsia="zh-CN"/>
              </w:rPr>
              <w:t>11</w:t>
            </w:r>
            <w:r>
              <w:rPr>
                <w:rFonts w:hint="eastAsia" w:ascii="宋体" w:hAnsi="Times New Roman" w:cs="宋体"/>
                <w:bCs/>
                <w:szCs w:val="20"/>
              </w:rPr>
              <w:t xml:space="preserve"> 日至202</w:t>
            </w:r>
            <w:r>
              <w:rPr>
                <w:rFonts w:hint="eastAsia" w:ascii="宋体" w:hAnsi="Times New Roman" w:cs="宋体"/>
                <w:bCs/>
                <w:szCs w:val="20"/>
                <w:lang w:val="en-US" w:eastAsia="zh-CN"/>
              </w:rPr>
              <w:t>4</w:t>
            </w:r>
            <w:r>
              <w:rPr>
                <w:rFonts w:hint="eastAsia" w:ascii="宋体" w:hAnsi="Times New Roman" w:cs="宋体"/>
                <w:bCs/>
                <w:szCs w:val="20"/>
              </w:rPr>
              <w:t xml:space="preserve">年 1 月 </w:t>
            </w:r>
            <w:r>
              <w:rPr>
                <w:rFonts w:hint="eastAsia" w:ascii="宋体" w:hAnsi="Times New Roman" w:cs="宋体"/>
                <w:bCs/>
                <w:szCs w:val="20"/>
                <w:lang w:val="en-US" w:eastAsia="zh-CN"/>
              </w:rPr>
              <w:t>10</w:t>
            </w:r>
            <w:r>
              <w:rPr>
                <w:rFonts w:hint="eastAsia" w:ascii="宋体" w:hAnsi="Times New Roman" w:cs="宋体"/>
                <w:bCs/>
                <w:szCs w:val="20"/>
              </w:rPr>
              <w:t xml:space="preserve"> 日（起始时间以签订除“四害”服务合同之日算起）。</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四、防治频次：</w:t>
            </w:r>
          </w:p>
          <w:p>
            <w:pPr>
              <w:spacing w:line="340" w:lineRule="exact"/>
              <w:jc w:val="left"/>
              <w:rPr>
                <w:rFonts w:hint="eastAsia"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一</w:t>
            </w:r>
            <w:r>
              <w:rPr>
                <w:rFonts w:hint="eastAsia" w:ascii="宋体" w:hAnsi="Times New Roman" w:cs="宋体"/>
                <w:bCs/>
                <w:szCs w:val="20"/>
                <w:lang w:eastAsia="zh-CN"/>
              </w:rPr>
              <w:t>）</w:t>
            </w:r>
            <w:r>
              <w:rPr>
                <w:rFonts w:hint="eastAsia" w:ascii="宋体" w:hAnsi="Times New Roman" w:cs="宋体"/>
                <w:bCs/>
                <w:szCs w:val="20"/>
              </w:rPr>
              <w:t>灭鼠：新校区、</w:t>
            </w:r>
            <w:r>
              <w:rPr>
                <w:rFonts w:hint="eastAsia" w:ascii="宋体" w:hAnsi="Times New Roman" w:cs="宋体"/>
                <w:bCs/>
                <w:szCs w:val="20"/>
                <w:lang w:val="en-US" w:eastAsia="zh-CN"/>
              </w:rPr>
              <w:t>民族</w:t>
            </w:r>
            <w:r>
              <w:rPr>
                <w:rFonts w:hint="eastAsia" w:ascii="宋体" w:hAnsi="Times New Roman" w:cs="宋体"/>
                <w:bCs/>
                <w:szCs w:val="20"/>
              </w:rPr>
              <w:t>校区、</w:t>
            </w:r>
            <w:r>
              <w:rPr>
                <w:rFonts w:hint="eastAsia" w:ascii="宋体" w:hAnsi="Times New Roman" w:cs="宋体"/>
                <w:bCs/>
                <w:szCs w:val="20"/>
                <w:lang w:val="en-US" w:eastAsia="zh-CN"/>
              </w:rPr>
              <w:t>二轻</w:t>
            </w:r>
            <w:r>
              <w:rPr>
                <w:rFonts w:hint="eastAsia" w:ascii="宋体" w:hAnsi="Times New Roman" w:cs="宋体"/>
                <w:bCs/>
                <w:szCs w:val="20"/>
              </w:rPr>
              <w:t>校区，每月根据老鼠活动情况及时投药消杀；其他校区每两个月根据老鼠活动情况及时投药消杀。</w:t>
            </w:r>
          </w:p>
          <w:p>
            <w:pPr>
              <w:spacing w:line="340" w:lineRule="exact"/>
              <w:jc w:val="left"/>
              <w:rPr>
                <w:rFonts w:hint="eastAsia"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二</w:t>
            </w:r>
            <w:r>
              <w:rPr>
                <w:rFonts w:hint="eastAsia" w:ascii="宋体" w:hAnsi="Times New Roman" w:cs="宋体"/>
                <w:bCs/>
                <w:szCs w:val="20"/>
                <w:lang w:eastAsia="zh-CN"/>
              </w:rPr>
              <w:t>）</w:t>
            </w:r>
            <w:r>
              <w:rPr>
                <w:rFonts w:hint="eastAsia" w:ascii="宋体" w:hAnsi="Times New Roman" w:cs="宋体"/>
                <w:bCs/>
                <w:szCs w:val="20"/>
              </w:rPr>
              <w:t>新校区、</w:t>
            </w:r>
            <w:r>
              <w:rPr>
                <w:rFonts w:hint="eastAsia" w:ascii="宋体" w:hAnsi="Times New Roman" w:cs="宋体"/>
                <w:bCs/>
                <w:szCs w:val="20"/>
                <w:lang w:val="en-US" w:eastAsia="zh-CN"/>
              </w:rPr>
              <w:t>民族</w:t>
            </w:r>
            <w:r>
              <w:rPr>
                <w:rFonts w:hint="eastAsia" w:ascii="宋体" w:hAnsi="Times New Roman" w:cs="宋体"/>
                <w:bCs/>
                <w:szCs w:val="20"/>
              </w:rPr>
              <w:t>校区、</w:t>
            </w:r>
            <w:r>
              <w:rPr>
                <w:rFonts w:hint="eastAsia" w:ascii="宋体" w:hAnsi="Times New Roman" w:cs="宋体"/>
                <w:bCs/>
                <w:szCs w:val="20"/>
                <w:lang w:val="en-US" w:eastAsia="zh-CN"/>
              </w:rPr>
              <w:t>二轻</w:t>
            </w:r>
            <w:r>
              <w:rPr>
                <w:rFonts w:hint="eastAsia" w:ascii="宋体" w:hAnsi="Times New Roman" w:cs="宋体"/>
                <w:bCs/>
                <w:szCs w:val="20"/>
              </w:rPr>
              <w:t>校区灭蟑螂、蝇、蚊，每月进行一次喷药消杀，发现虫情</w:t>
            </w:r>
            <w:r>
              <w:rPr>
                <w:rFonts w:hint="eastAsia" w:ascii="宋体" w:hAnsi="Times New Roman" w:cs="宋体"/>
                <w:bCs/>
                <w:szCs w:val="20"/>
                <w:lang w:val="en-US" w:eastAsia="zh-CN"/>
              </w:rPr>
              <w:t>应</w:t>
            </w:r>
            <w:r>
              <w:rPr>
                <w:rFonts w:hint="eastAsia" w:ascii="宋体" w:hAnsi="Times New Roman" w:cs="宋体"/>
                <w:bCs/>
                <w:szCs w:val="20"/>
              </w:rPr>
              <w:t>随叫随到；其他校区灭蟑螂、蝇、蚊，每两个月进行一次喷药消杀，发现虫情</w:t>
            </w:r>
            <w:r>
              <w:rPr>
                <w:rFonts w:hint="eastAsia" w:ascii="宋体" w:hAnsi="Times New Roman" w:cs="宋体"/>
                <w:bCs/>
                <w:szCs w:val="20"/>
                <w:lang w:val="en-US" w:eastAsia="zh-CN"/>
              </w:rPr>
              <w:t>应</w:t>
            </w:r>
            <w:r>
              <w:rPr>
                <w:rFonts w:hint="eastAsia" w:ascii="宋体" w:hAnsi="Times New Roman" w:cs="宋体"/>
                <w:bCs/>
                <w:szCs w:val="20"/>
              </w:rPr>
              <w:t>随叫随到。</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五、灭鼠措施</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（一）环境防制</w:t>
            </w:r>
          </w:p>
          <w:p>
            <w:pPr>
              <w:spacing w:line="340" w:lineRule="exact"/>
              <w:jc w:val="left"/>
              <w:rPr>
                <w:rFonts w:hint="eastAsia" w:ascii="宋体" w:hAnsi="Times New Roman" w:cs="宋体"/>
                <w:bCs/>
                <w:szCs w:val="20"/>
              </w:rPr>
            </w:pPr>
            <w:r>
              <w:rPr>
                <w:rFonts w:hint="eastAsia" w:ascii="宋体" w:hAnsi="Times New Roman" w:cs="宋体"/>
                <w:bCs/>
                <w:szCs w:val="20"/>
              </w:rPr>
              <w:t>1</w:t>
            </w:r>
            <w:r>
              <w:rPr>
                <w:rFonts w:hint="eastAsia" w:ascii="宋体" w:hAnsi="Times New Roman" w:cs="宋体"/>
                <w:bCs/>
                <w:szCs w:val="20"/>
                <w:lang w:eastAsia="zh-CN"/>
              </w:rPr>
              <w:t>.</w:t>
            </w:r>
            <w:r>
              <w:rPr>
                <w:rFonts w:hint="eastAsia" w:ascii="宋体" w:hAnsi="Times New Roman" w:cs="宋体"/>
                <w:bCs/>
                <w:szCs w:val="20"/>
              </w:rPr>
              <w:t>对于门窗、下水道口等鼠类活动的主要场所要加强完善防鼠设施，把通往建筑物内的洞口堵死，防止鼠类自由出入。</w:t>
            </w:r>
          </w:p>
          <w:p>
            <w:pPr>
              <w:spacing w:line="340" w:lineRule="exact"/>
              <w:jc w:val="left"/>
              <w:rPr>
                <w:rFonts w:hint="eastAsia" w:ascii="宋体" w:hAnsi="Times New Roman" w:cs="宋体"/>
                <w:bCs/>
                <w:szCs w:val="20"/>
              </w:rPr>
            </w:pPr>
            <w:r>
              <w:rPr>
                <w:rFonts w:hint="eastAsia" w:ascii="宋体" w:hAnsi="Times New Roman" w:cs="宋体"/>
                <w:bCs/>
                <w:szCs w:val="20"/>
              </w:rPr>
              <w:t>2</w:t>
            </w:r>
            <w:r>
              <w:rPr>
                <w:rFonts w:hint="eastAsia" w:ascii="宋体" w:hAnsi="Times New Roman" w:cs="宋体"/>
                <w:bCs/>
                <w:szCs w:val="20"/>
                <w:lang w:eastAsia="zh-CN"/>
              </w:rPr>
              <w:t>.</w:t>
            </w:r>
            <w:r>
              <w:rPr>
                <w:rFonts w:hint="eastAsia" w:ascii="宋体" w:hAnsi="Times New Roman" w:cs="宋体"/>
                <w:bCs/>
                <w:szCs w:val="20"/>
              </w:rPr>
              <w:t>堵塞鼠洞，尽可能破坏老鼠在室内外的栖息环境，有效控制繁殖量和降低鼠密度。</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（二）药物防制</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1</w:t>
            </w:r>
            <w:r>
              <w:rPr>
                <w:rFonts w:hint="eastAsia" w:ascii="宋体" w:hAnsi="Times New Roman" w:cs="宋体"/>
                <w:b/>
                <w:bCs w:val="0"/>
                <w:szCs w:val="20"/>
                <w:lang w:eastAsia="zh-CN"/>
              </w:rPr>
              <w:t>.</w:t>
            </w:r>
            <w:r>
              <w:rPr>
                <w:rFonts w:hint="eastAsia" w:ascii="宋体" w:hAnsi="Times New Roman" w:cs="宋体"/>
                <w:b/>
                <w:bCs w:val="0"/>
                <w:szCs w:val="20"/>
              </w:rPr>
              <w:t>准备工作</w:t>
            </w:r>
          </w:p>
          <w:p>
            <w:pPr>
              <w:spacing w:line="340" w:lineRule="exact"/>
              <w:jc w:val="left"/>
              <w:rPr>
                <w:rFonts w:hint="eastAsia"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1</w:t>
            </w:r>
            <w:r>
              <w:rPr>
                <w:rFonts w:hint="eastAsia" w:ascii="宋体" w:hAnsi="Times New Roman" w:cs="宋体"/>
                <w:bCs/>
                <w:szCs w:val="20"/>
                <w:lang w:eastAsia="zh-CN"/>
              </w:rPr>
              <w:t>）</w:t>
            </w:r>
            <w:r>
              <w:rPr>
                <w:rFonts w:hint="eastAsia" w:ascii="宋体" w:hAnsi="Times New Roman" w:cs="宋体"/>
                <w:bCs/>
                <w:szCs w:val="20"/>
              </w:rPr>
              <w:t>灭前鼠密度调查：通过粉迹法或饵料消耗法查清鼠密度及老鼠活动的主要场所、鼠道走向，为提高投药的准确性及确定防治重点作好准备。</w:t>
            </w:r>
          </w:p>
          <w:p>
            <w:pPr>
              <w:spacing w:line="340" w:lineRule="exact"/>
              <w:jc w:val="left"/>
              <w:rPr>
                <w:rFonts w:hint="eastAsia"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2</w:t>
            </w:r>
            <w:r>
              <w:rPr>
                <w:rFonts w:hint="eastAsia" w:ascii="宋体" w:hAnsi="Times New Roman" w:cs="宋体"/>
                <w:bCs/>
                <w:szCs w:val="20"/>
                <w:lang w:eastAsia="zh-CN"/>
              </w:rPr>
              <w:t>）</w:t>
            </w:r>
            <w:r>
              <w:rPr>
                <w:rFonts w:hint="eastAsia" w:ascii="宋体" w:hAnsi="Times New Roman" w:cs="宋体"/>
                <w:bCs/>
                <w:szCs w:val="20"/>
              </w:rPr>
              <w:t>选配饵料：通过饵料消耗法调查了解鼠类对备选饵料的适口性，确定应用的饵料，并选用国家允许使用的慢性抗凝血灭鼠剂配制成适口性好毒饵，以便大限度提高鼠类取食率。</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2</w:t>
            </w:r>
            <w:r>
              <w:rPr>
                <w:rFonts w:hint="eastAsia" w:ascii="宋体" w:hAnsi="Times New Roman" w:cs="宋体"/>
                <w:b/>
                <w:bCs w:val="0"/>
                <w:szCs w:val="20"/>
                <w:lang w:eastAsia="zh-CN"/>
              </w:rPr>
              <w:t>.</w:t>
            </w:r>
            <w:r>
              <w:rPr>
                <w:rFonts w:hint="eastAsia" w:ascii="宋体" w:hAnsi="Times New Roman" w:cs="宋体"/>
                <w:b/>
                <w:bCs w:val="0"/>
                <w:szCs w:val="20"/>
              </w:rPr>
              <w:t>投药灭鼠操作步骤</w:t>
            </w:r>
          </w:p>
          <w:p>
            <w:pPr>
              <w:spacing w:line="340" w:lineRule="exact"/>
              <w:jc w:val="left"/>
              <w:rPr>
                <w:rFonts w:hint="eastAsia" w:ascii="宋体" w:hAnsi="Times New Roman" w:cs="宋体"/>
                <w:bCs/>
                <w:szCs w:val="20"/>
              </w:rPr>
            </w:pPr>
            <w:r>
              <w:rPr>
                <w:rFonts w:hint="eastAsia" w:ascii="宋体" w:hAnsi="Times New Roman" w:cs="宋体"/>
                <w:bCs/>
                <w:szCs w:val="20"/>
              </w:rPr>
              <w:t>鼠类在不同季节、气候对各种饵料的适口性不一样，根据这一特性，选用不同的药物、饵料，按照不同的浓度配制成各种毒饵（谷物、蜡块、粉粒、毒水），例如：早春季节，天气较潮湿，就要选择耐水性好，不易发霉的饵料，到深秋季节，气候干燥，则选用含水分较多的饵料，以增强鼠类的适口性。下水道则选择耐水冲刷，耐腐蚀的蜡块等；以达到灭鼠最佳效果。</w:t>
            </w:r>
          </w:p>
          <w:p>
            <w:pPr>
              <w:spacing w:line="340" w:lineRule="exact"/>
              <w:jc w:val="left"/>
              <w:rPr>
                <w:rFonts w:hint="eastAsia"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1</w:t>
            </w:r>
            <w:r>
              <w:rPr>
                <w:rFonts w:hint="eastAsia" w:ascii="宋体" w:hAnsi="Times New Roman" w:cs="宋体"/>
                <w:bCs/>
                <w:szCs w:val="20"/>
                <w:lang w:eastAsia="zh-CN"/>
              </w:rPr>
              <w:t>）</w:t>
            </w:r>
            <w:r>
              <w:rPr>
                <w:rFonts w:hint="eastAsia" w:ascii="宋体" w:hAnsi="Times New Roman" w:cs="宋体"/>
                <w:bCs/>
                <w:szCs w:val="20"/>
              </w:rPr>
              <w:t>沿围墙、建筑物周围或有明显鼠道的场所，在不影响环境美观的情况下，采取隐蔽性投药法，灭鼠盒投药灭鼠。</w:t>
            </w:r>
          </w:p>
          <w:p>
            <w:pPr>
              <w:spacing w:line="340" w:lineRule="exact"/>
              <w:jc w:val="left"/>
              <w:rPr>
                <w:rFonts w:hint="eastAsia"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2</w:t>
            </w:r>
            <w:r>
              <w:rPr>
                <w:rFonts w:hint="eastAsia" w:ascii="宋体" w:hAnsi="Times New Roman" w:cs="宋体"/>
                <w:bCs/>
                <w:szCs w:val="20"/>
                <w:lang w:eastAsia="zh-CN"/>
              </w:rPr>
              <w:t>）</w:t>
            </w:r>
            <w:r>
              <w:rPr>
                <w:rFonts w:hint="eastAsia" w:ascii="宋体" w:hAnsi="Times New Roman" w:cs="宋体"/>
                <w:bCs/>
                <w:szCs w:val="20"/>
              </w:rPr>
              <w:t>如有外环境，则处理外环境鼠洞，选用环保型挥发性灭鼠剂进行洞口堵塞，让老鼠直接死于洞内。</w:t>
            </w:r>
          </w:p>
          <w:p>
            <w:pPr>
              <w:spacing w:line="340" w:lineRule="exact"/>
              <w:jc w:val="left"/>
              <w:rPr>
                <w:rFonts w:hint="eastAsia"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3</w:t>
            </w:r>
            <w:r>
              <w:rPr>
                <w:rFonts w:hint="eastAsia" w:ascii="宋体" w:hAnsi="Times New Roman" w:cs="宋体"/>
                <w:bCs/>
                <w:szCs w:val="20"/>
                <w:lang w:eastAsia="zh-CN"/>
              </w:rPr>
              <w:t>）</w:t>
            </w:r>
            <w:r>
              <w:rPr>
                <w:rFonts w:hint="eastAsia" w:ascii="宋体" w:hAnsi="Times New Roman" w:cs="宋体"/>
                <w:bCs/>
                <w:szCs w:val="20"/>
              </w:rPr>
              <w:t>根据各个灭鼠场所的具体情况，对各场所选用不同的灭鼠毒饵及投药方式，在不影响环境整洁、美观的情况下，进行隐蔽性投药；任何条件下都应在保证安全卫生的前提下投放鼠药，确保卫生安全，又能达到灭鼠的效果。</w:t>
            </w:r>
          </w:p>
          <w:p>
            <w:pPr>
              <w:spacing w:line="340" w:lineRule="exact"/>
              <w:jc w:val="left"/>
              <w:rPr>
                <w:rFonts w:hint="eastAsia"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4</w:t>
            </w:r>
            <w:r>
              <w:rPr>
                <w:rFonts w:hint="eastAsia" w:ascii="宋体" w:hAnsi="Times New Roman" w:cs="宋体"/>
                <w:bCs/>
                <w:szCs w:val="20"/>
                <w:lang w:eastAsia="zh-CN"/>
              </w:rPr>
              <w:t>）</w:t>
            </w:r>
            <w:r>
              <w:rPr>
                <w:rFonts w:hint="eastAsia" w:ascii="宋体" w:hAnsi="Times New Roman" w:cs="宋体"/>
                <w:bCs/>
                <w:szCs w:val="20"/>
              </w:rPr>
              <w:t>在不适宜用药物防制的情况下，则采用物理法（鼠夹法、 鼠胶、鼠笼法）防制，保证不构成污染及不造成人员误食中毒。</w:t>
            </w:r>
          </w:p>
          <w:p>
            <w:pPr>
              <w:spacing w:line="340" w:lineRule="exact"/>
              <w:jc w:val="left"/>
              <w:rPr>
                <w:rFonts w:hint="eastAsia" w:ascii="宋体" w:hAnsi="Times New Roman" w:cs="宋体"/>
                <w:bCs/>
                <w:szCs w:val="20"/>
              </w:rPr>
            </w:pPr>
            <w:r>
              <w:rPr>
                <w:rFonts w:hint="eastAsia" w:ascii="宋体" w:hAnsi="Times New Roman" w:cs="宋体"/>
                <w:bCs/>
                <w:szCs w:val="20"/>
                <w:lang w:eastAsia="zh-CN"/>
              </w:rPr>
              <w:t>（</w:t>
            </w:r>
            <w:r>
              <w:rPr>
                <w:rFonts w:hint="eastAsia" w:ascii="宋体" w:hAnsi="Times New Roman" w:cs="宋体"/>
                <w:bCs/>
                <w:szCs w:val="20"/>
                <w:lang w:val="en-US" w:eastAsia="zh-CN"/>
              </w:rPr>
              <w:t>5</w:t>
            </w:r>
            <w:r>
              <w:rPr>
                <w:rFonts w:hint="eastAsia" w:ascii="宋体" w:hAnsi="Times New Roman" w:cs="宋体"/>
                <w:bCs/>
                <w:szCs w:val="20"/>
                <w:lang w:eastAsia="zh-CN"/>
              </w:rPr>
              <w:t>）</w:t>
            </w:r>
            <w:r>
              <w:rPr>
                <w:rFonts w:hint="eastAsia" w:ascii="宋体" w:hAnsi="Times New Roman" w:cs="宋体"/>
                <w:bCs/>
                <w:szCs w:val="20"/>
              </w:rPr>
              <w:t>每次投药灭鼠要进行3－4天的连续投药，每天早上观察毒饵消耗情况，下午或晚上进行补投，使投药达到空间饱和，时间饱和，药量饱和三个饱和的要求，确保灭鼠达到最佳效果。</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3、清捡死鼠</w:t>
            </w:r>
          </w:p>
          <w:p>
            <w:pPr>
              <w:spacing w:line="340" w:lineRule="exact"/>
              <w:jc w:val="left"/>
              <w:rPr>
                <w:rFonts w:hint="eastAsia" w:ascii="宋体" w:hAnsi="Times New Roman" w:cs="宋体"/>
                <w:bCs/>
                <w:szCs w:val="20"/>
              </w:rPr>
            </w:pPr>
            <w:r>
              <w:rPr>
                <w:rFonts w:hint="eastAsia" w:ascii="宋体" w:hAnsi="Times New Roman" w:cs="宋体"/>
                <w:bCs/>
                <w:szCs w:val="20"/>
              </w:rPr>
              <w:t>从投完药后的的第二天起十天内应有专人负责配合清捡死鼠，且在灭鼠期内如发现有异常情况，尽快到现场进行处理。</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4、灭后鼠密度调查</w:t>
            </w:r>
          </w:p>
          <w:p>
            <w:pPr>
              <w:spacing w:line="340" w:lineRule="exact"/>
              <w:jc w:val="left"/>
              <w:rPr>
                <w:rFonts w:hint="eastAsia" w:ascii="宋体" w:hAnsi="Times New Roman" w:cs="宋体"/>
                <w:bCs/>
                <w:szCs w:val="20"/>
              </w:rPr>
            </w:pPr>
            <w:r>
              <w:rPr>
                <w:rFonts w:hint="eastAsia" w:ascii="宋体" w:hAnsi="Times New Roman" w:cs="宋体"/>
                <w:bCs/>
                <w:szCs w:val="20"/>
              </w:rPr>
              <w:t>在灭鼠后第十五天左右进行一次鼠密度调查，确定灭鼠效果，如还发现有鼠情的场所则及时采措施进行补救，使灭鼠达到预订效果。</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六、灭蟑螂</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（一）准备工作</w:t>
            </w:r>
          </w:p>
          <w:p>
            <w:pPr>
              <w:spacing w:line="340" w:lineRule="exact"/>
              <w:jc w:val="left"/>
              <w:rPr>
                <w:rFonts w:hint="eastAsia" w:ascii="宋体" w:hAnsi="Times New Roman" w:cs="宋体"/>
                <w:bCs/>
                <w:szCs w:val="20"/>
              </w:rPr>
            </w:pPr>
            <w:r>
              <w:rPr>
                <w:rFonts w:hint="eastAsia" w:ascii="宋体" w:hAnsi="Times New Roman" w:cs="宋体"/>
                <w:bCs/>
                <w:szCs w:val="20"/>
              </w:rPr>
              <w:t>1</w:t>
            </w:r>
            <w:r>
              <w:rPr>
                <w:rFonts w:hint="eastAsia" w:ascii="宋体" w:hAnsi="Times New Roman" w:cs="宋体"/>
                <w:bCs/>
                <w:szCs w:val="20"/>
                <w:lang w:eastAsia="zh-CN"/>
              </w:rPr>
              <w:t>.</w:t>
            </w:r>
            <w:r>
              <w:rPr>
                <w:rFonts w:hint="eastAsia" w:ascii="宋体" w:hAnsi="Times New Roman" w:cs="宋体"/>
                <w:bCs/>
                <w:szCs w:val="20"/>
              </w:rPr>
              <w:t>实地调查：到现场调查蟑螂的种类（美洲大蠊、澳洲大蠊或德国小蠊等）及其主要栖息、活动场所，以便确定防治重点。</w:t>
            </w:r>
          </w:p>
          <w:p>
            <w:pPr>
              <w:spacing w:line="340" w:lineRule="exact"/>
              <w:jc w:val="left"/>
              <w:rPr>
                <w:rFonts w:hint="eastAsia" w:ascii="宋体" w:hAnsi="Times New Roman" w:cs="宋体"/>
                <w:bCs/>
                <w:szCs w:val="20"/>
              </w:rPr>
            </w:pPr>
            <w:r>
              <w:rPr>
                <w:rFonts w:hint="eastAsia" w:ascii="宋体" w:hAnsi="Times New Roman" w:cs="宋体"/>
                <w:bCs/>
                <w:szCs w:val="20"/>
              </w:rPr>
              <w:t>2</w:t>
            </w:r>
            <w:r>
              <w:rPr>
                <w:rFonts w:hint="eastAsia" w:ascii="宋体" w:hAnsi="Times New Roman" w:cs="宋体"/>
                <w:bCs/>
                <w:szCs w:val="20"/>
                <w:lang w:eastAsia="zh-CN"/>
              </w:rPr>
              <w:t>.</w:t>
            </w:r>
            <w:r>
              <w:rPr>
                <w:rFonts w:hint="eastAsia" w:ascii="宋体" w:hAnsi="Times New Roman" w:cs="宋体"/>
                <w:bCs/>
                <w:szCs w:val="20"/>
              </w:rPr>
              <w:t>根据调查情况，选用高效低毒的灭蟑药剂。</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（二）具体措施</w:t>
            </w:r>
          </w:p>
          <w:p>
            <w:pPr>
              <w:spacing w:line="340" w:lineRule="exact"/>
              <w:jc w:val="left"/>
              <w:rPr>
                <w:rFonts w:hint="eastAsia" w:ascii="宋体" w:hAnsi="Times New Roman" w:cs="宋体"/>
                <w:bCs/>
                <w:szCs w:val="20"/>
              </w:rPr>
            </w:pPr>
            <w:r>
              <w:rPr>
                <w:rFonts w:hint="eastAsia" w:ascii="宋体" w:hAnsi="Times New Roman" w:cs="宋体"/>
                <w:bCs/>
                <w:szCs w:val="20"/>
                <w:lang w:val="en-US" w:eastAsia="zh-CN"/>
              </w:rPr>
              <w:t>1</w:t>
            </w:r>
            <w:r>
              <w:rPr>
                <w:rFonts w:hint="eastAsia" w:ascii="宋体" w:hAnsi="Times New Roman" w:cs="宋体"/>
                <w:bCs/>
                <w:szCs w:val="20"/>
                <w:lang w:eastAsia="zh-CN"/>
              </w:rPr>
              <w:t>．</w:t>
            </w:r>
            <w:r>
              <w:rPr>
                <w:rFonts w:hint="eastAsia" w:ascii="宋体" w:hAnsi="Times New Roman" w:cs="宋体"/>
                <w:bCs/>
                <w:szCs w:val="20"/>
              </w:rPr>
              <w:t>如有下水道、粪池等密闭的场所，一般选用高效低毒的杀虫剂，用烟雾技术喷烟雾剂或常量法喷雾直接杀死蟑螂。</w:t>
            </w:r>
          </w:p>
          <w:p>
            <w:pPr>
              <w:spacing w:line="340" w:lineRule="exact"/>
              <w:jc w:val="left"/>
              <w:rPr>
                <w:rFonts w:hint="eastAsia" w:ascii="宋体" w:hAnsi="Times New Roman" w:cs="宋体"/>
                <w:bCs/>
                <w:szCs w:val="20"/>
              </w:rPr>
            </w:pPr>
            <w:r>
              <w:rPr>
                <w:rFonts w:hint="eastAsia" w:ascii="宋体" w:hAnsi="Times New Roman" w:cs="宋体"/>
                <w:bCs/>
                <w:szCs w:val="20"/>
                <w:lang w:val="en-US" w:eastAsia="zh-CN"/>
              </w:rPr>
              <w:t>2</w:t>
            </w:r>
            <w:r>
              <w:rPr>
                <w:rFonts w:hint="eastAsia" w:ascii="宋体" w:hAnsi="Times New Roman" w:cs="宋体"/>
                <w:bCs/>
                <w:szCs w:val="20"/>
                <w:lang w:eastAsia="zh-CN"/>
              </w:rPr>
              <w:t>．</w:t>
            </w:r>
            <w:r>
              <w:rPr>
                <w:rFonts w:hint="eastAsia" w:ascii="宋体" w:hAnsi="Times New Roman" w:cs="宋体"/>
                <w:bCs/>
                <w:szCs w:val="20"/>
              </w:rPr>
              <w:t>对公共场所，采用卫生安全的杀虫剂，在确保安全的情况下用滞溜喷洒或超低容量喷雾法灭蟑。所采用的药剂多为进口杀虫剂，气味小，施药后不留痕迹，不影响环境整洁。</w:t>
            </w:r>
          </w:p>
          <w:p>
            <w:pPr>
              <w:spacing w:line="340" w:lineRule="exact"/>
              <w:jc w:val="left"/>
              <w:rPr>
                <w:rFonts w:hint="eastAsia" w:ascii="宋体" w:hAnsi="Times New Roman" w:cs="宋体"/>
                <w:bCs/>
                <w:szCs w:val="20"/>
              </w:rPr>
            </w:pPr>
            <w:r>
              <w:rPr>
                <w:rFonts w:hint="eastAsia" w:ascii="宋体" w:hAnsi="Times New Roman" w:cs="宋体"/>
                <w:bCs/>
                <w:szCs w:val="20"/>
                <w:lang w:val="en-US" w:eastAsia="zh-CN"/>
              </w:rPr>
              <w:t>3</w:t>
            </w:r>
            <w:r>
              <w:rPr>
                <w:rFonts w:hint="eastAsia" w:ascii="宋体" w:hAnsi="Times New Roman" w:cs="宋体"/>
                <w:bCs/>
                <w:szCs w:val="20"/>
                <w:lang w:eastAsia="zh-CN"/>
              </w:rPr>
              <w:t>．</w:t>
            </w:r>
            <w:r>
              <w:rPr>
                <w:rFonts w:hint="eastAsia" w:ascii="宋体" w:hAnsi="Times New Roman" w:cs="宋体"/>
                <w:bCs/>
                <w:szCs w:val="20"/>
              </w:rPr>
              <w:t>在不宜直接喷洒的场所，采取药膏投饵，让蟑螂取食、中毒死亡。</w:t>
            </w:r>
          </w:p>
          <w:p>
            <w:pPr>
              <w:spacing w:line="340" w:lineRule="exact"/>
              <w:jc w:val="left"/>
              <w:rPr>
                <w:rFonts w:hint="eastAsia" w:ascii="宋体" w:hAnsi="Times New Roman" w:cs="宋体"/>
                <w:bCs/>
                <w:szCs w:val="20"/>
              </w:rPr>
            </w:pPr>
            <w:r>
              <w:rPr>
                <w:rFonts w:hint="eastAsia" w:ascii="宋体" w:hAnsi="Times New Roman" w:cs="宋体"/>
                <w:b/>
                <w:bCs w:val="0"/>
                <w:szCs w:val="20"/>
              </w:rPr>
              <w:t>（三）灭效评估：</w:t>
            </w:r>
            <w:r>
              <w:rPr>
                <w:rFonts w:hint="eastAsia" w:ascii="宋体" w:hAnsi="Times New Roman" w:cs="宋体"/>
                <w:bCs/>
                <w:szCs w:val="20"/>
              </w:rPr>
              <w:t>以桂爱卫会发（1997）第18号文件《灭鼠、蚊、蝇、蟑螂标准》为依据，每次施工后灭效大于80％为合格。</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七、灭蚊蝇</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（一）准备工作</w:t>
            </w:r>
          </w:p>
          <w:p>
            <w:pPr>
              <w:spacing w:line="340" w:lineRule="exact"/>
              <w:jc w:val="left"/>
              <w:rPr>
                <w:rFonts w:hint="eastAsia" w:ascii="宋体" w:hAnsi="Times New Roman" w:cs="宋体"/>
                <w:bCs/>
                <w:szCs w:val="20"/>
              </w:rPr>
            </w:pPr>
            <w:r>
              <w:rPr>
                <w:rFonts w:hint="eastAsia" w:ascii="宋体" w:hAnsi="Times New Roman" w:cs="宋体"/>
                <w:bCs/>
                <w:szCs w:val="20"/>
              </w:rPr>
              <w:t>1</w:t>
            </w:r>
            <w:r>
              <w:rPr>
                <w:rFonts w:hint="eastAsia" w:ascii="宋体" w:hAnsi="Times New Roman" w:cs="宋体"/>
                <w:bCs/>
                <w:szCs w:val="20"/>
                <w:lang w:eastAsia="zh-CN"/>
              </w:rPr>
              <w:t>.</w:t>
            </w:r>
            <w:r>
              <w:rPr>
                <w:rFonts w:hint="eastAsia" w:ascii="宋体" w:hAnsi="Times New Roman" w:cs="宋体"/>
                <w:bCs/>
                <w:szCs w:val="20"/>
              </w:rPr>
              <w:t>虫情调查：实地调查蚊蝇的种类及其主要栖息、活动场所，以便确定防治重点。</w:t>
            </w:r>
          </w:p>
          <w:p>
            <w:pPr>
              <w:spacing w:line="340" w:lineRule="exact"/>
              <w:jc w:val="left"/>
              <w:rPr>
                <w:rFonts w:hint="eastAsia" w:ascii="宋体" w:hAnsi="Times New Roman" w:cs="宋体"/>
                <w:bCs/>
                <w:szCs w:val="20"/>
              </w:rPr>
            </w:pPr>
            <w:r>
              <w:rPr>
                <w:rFonts w:hint="eastAsia" w:ascii="宋体" w:hAnsi="Times New Roman" w:cs="宋体"/>
                <w:bCs/>
                <w:szCs w:val="20"/>
              </w:rPr>
              <w:t>2</w:t>
            </w:r>
            <w:r>
              <w:rPr>
                <w:rFonts w:hint="eastAsia" w:ascii="宋体" w:hAnsi="Times New Roman" w:cs="宋体"/>
                <w:bCs/>
                <w:szCs w:val="20"/>
                <w:lang w:eastAsia="zh-CN"/>
              </w:rPr>
              <w:t>.</w:t>
            </w:r>
            <w:r>
              <w:rPr>
                <w:rFonts w:hint="eastAsia" w:ascii="宋体" w:hAnsi="Times New Roman" w:cs="宋体"/>
                <w:bCs/>
                <w:szCs w:val="20"/>
              </w:rPr>
              <w:t>根据调查情况，选用高效低毒的灭蚊蝇药剂。</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（二）具体措施：</w:t>
            </w:r>
          </w:p>
          <w:p>
            <w:pPr>
              <w:spacing w:line="340" w:lineRule="exact"/>
              <w:jc w:val="left"/>
              <w:rPr>
                <w:rFonts w:hint="eastAsia" w:ascii="宋体" w:hAnsi="Times New Roman" w:cs="宋体"/>
                <w:bCs/>
                <w:szCs w:val="20"/>
              </w:rPr>
            </w:pPr>
            <w:r>
              <w:rPr>
                <w:rFonts w:hint="eastAsia" w:ascii="宋体" w:hAnsi="Times New Roman" w:cs="宋体"/>
                <w:bCs/>
                <w:szCs w:val="20"/>
              </w:rPr>
              <w:t>1</w:t>
            </w:r>
            <w:r>
              <w:rPr>
                <w:rFonts w:hint="eastAsia" w:ascii="宋体" w:hAnsi="Times New Roman" w:cs="宋体"/>
                <w:bCs/>
                <w:szCs w:val="20"/>
                <w:lang w:eastAsia="zh-CN"/>
              </w:rPr>
              <w:t>.</w:t>
            </w:r>
            <w:r>
              <w:rPr>
                <w:rFonts w:hint="eastAsia" w:ascii="宋体" w:hAnsi="Times New Roman" w:cs="宋体"/>
                <w:bCs/>
                <w:szCs w:val="20"/>
              </w:rPr>
              <w:t>外围环境，采用常量或超低容量机械施药法灭蚊、蝇及其它有害飞虫。</w:t>
            </w:r>
          </w:p>
          <w:p>
            <w:pPr>
              <w:spacing w:line="340" w:lineRule="exact"/>
              <w:jc w:val="left"/>
              <w:rPr>
                <w:rFonts w:hint="eastAsia" w:ascii="宋体" w:hAnsi="Times New Roman" w:cs="宋体"/>
                <w:bCs/>
                <w:szCs w:val="20"/>
              </w:rPr>
            </w:pPr>
            <w:r>
              <w:rPr>
                <w:rFonts w:hint="eastAsia" w:ascii="宋体" w:hAnsi="Times New Roman" w:cs="宋体"/>
                <w:bCs/>
                <w:szCs w:val="20"/>
              </w:rPr>
              <w:t>2</w:t>
            </w:r>
            <w:r>
              <w:rPr>
                <w:rFonts w:hint="eastAsia" w:ascii="宋体" w:hAnsi="Times New Roman" w:cs="宋体"/>
                <w:bCs/>
                <w:szCs w:val="20"/>
                <w:lang w:eastAsia="zh-CN"/>
              </w:rPr>
              <w:t>.</w:t>
            </w:r>
            <w:r>
              <w:rPr>
                <w:rFonts w:hint="eastAsia" w:ascii="宋体" w:hAnsi="Times New Roman" w:cs="宋体"/>
                <w:bCs/>
                <w:szCs w:val="20"/>
              </w:rPr>
              <w:t>采用卫生安全的杀虫药，在确保安全的情况下用滞溜喷洒或超低容量喷雾法施药杀灭蚊、蝇（特别针对厕所、排污管道、垃圾箱等蚊蝇孽生地进行定期喷洒药物）。</w:t>
            </w:r>
          </w:p>
          <w:p>
            <w:pPr>
              <w:spacing w:line="340" w:lineRule="exact"/>
              <w:jc w:val="left"/>
              <w:rPr>
                <w:rFonts w:hint="eastAsia" w:ascii="宋体" w:hAnsi="Times New Roman" w:cs="宋体"/>
                <w:bCs/>
                <w:szCs w:val="20"/>
              </w:rPr>
            </w:pPr>
            <w:r>
              <w:rPr>
                <w:rFonts w:hint="eastAsia" w:ascii="宋体" w:hAnsi="Times New Roman" w:cs="宋体"/>
                <w:bCs/>
                <w:szCs w:val="20"/>
              </w:rPr>
              <w:t>3</w:t>
            </w:r>
            <w:r>
              <w:rPr>
                <w:rFonts w:hint="eastAsia" w:ascii="宋体" w:hAnsi="Times New Roman" w:cs="宋体"/>
                <w:bCs/>
                <w:szCs w:val="20"/>
                <w:lang w:eastAsia="zh-CN"/>
              </w:rPr>
              <w:t>.</w:t>
            </w:r>
            <w:r>
              <w:rPr>
                <w:rFonts w:hint="eastAsia" w:ascii="宋体" w:hAnsi="Times New Roman" w:cs="宋体"/>
                <w:bCs/>
                <w:szCs w:val="20"/>
              </w:rPr>
              <w:t xml:space="preserve">在有些必要的重点场所（食堂、小卖部）用化学或物理的方法杀灭苍蝇。如滞留喷洒、使用粘蝇纸、灭蝇灯等。 </w:t>
            </w:r>
          </w:p>
          <w:p>
            <w:pPr>
              <w:spacing w:line="340" w:lineRule="exact"/>
              <w:jc w:val="left"/>
              <w:rPr>
                <w:rFonts w:hint="eastAsia" w:ascii="宋体" w:hAnsi="Times New Roman" w:cs="宋体"/>
                <w:bCs/>
                <w:szCs w:val="20"/>
              </w:rPr>
            </w:pPr>
            <w:r>
              <w:rPr>
                <w:rFonts w:hint="eastAsia" w:ascii="宋体" w:hAnsi="Times New Roman" w:cs="宋体"/>
                <w:b/>
                <w:bCs w:val="0"/>
                <w:szCs w:val="20"/>
              </w:rPr>
              <w:t>（三）防治标准：</w:t>
            </w:r>
            <w:r>
              <w:rPr>
                <w:rFonts w:hint="eastAsia" w:ascii="宋体" w:hAnsi="Times New Roman" w:cs="宋体"/>
                <w:bCs/>
                <w:szCs w:val="20"/>
              </w:rPr>
              <w:t>以全爱卫发（1997）第5号文件为防治效果合格标准，其他害虫以不足引起危害为准。</w:t>
            </w:r>
          </w:p>
          <w:p>
            <w:pPr>
              <w:spacing w:line="340" w:lineRule="exact"/>
              <w:jc w:val="left"/>
              <w:rPr>
                <w:rFonts w:hint="eastAsia" w:ascii="宋体" w:hAnsi="Times New Roman" w:cs="宋体"/>
                <w:bCs/>
                <w:szCs w:val="20"/>
              </w:rPr>
            </w:pPr>
            <w:r>
              <w:rPr>
                <w:rFonts w:hint="eastAsia" w:ascii="宋体" w:hAnsi="Times New Roman" w:cs="宋体"/>
                <w:bCs/>
                <w:szCs w:val="20"/>
              </w:rPr>
              <w:t>1</w:t>
            </w:r>
            <w:r>
              <w:rPr>
                <w:rFonts w:hint="eastAsia" w:ascii="宋体" w:hAnsi="Times New Roman" w:cs="宋体"/>
                <w:bCs/>
                <w:szCs w:val="20"/>
                <w:lang w:eastAsia="zh-CN"/>
              </w:rPr>
              <w:t>.</w:t>
            </w:r>
            <w:r>
              <w:rPr>
                <w:rFonts w:hint="eastAsia" w:ascii="宋体" w:hAnsi="Times New Roman" w:cs="宋体"/>
                <w:bCs/>
                <w:szCs w:val="20"/>
              </w:rPr>
              <w:t>灭鼠合格标准：粉迹法≤3%；鼠征法≤2%；鼠夹法≤1%；重点部门防鼠设施不合格处不超过5%。</w:t>
            </w:r>
          </w:p>
          <w:p>
            <w:pPr>
              <w:spacing w:line="340" w:lineRule="exact"/>
              <w:jc w:val="left"/>
              <w:rPr>
                <w:rFonts w:hint="eastAsia" w:ascii="宋体" w:hAnsi="Times New Roman" w:cs="宋体"/>
                <w:bCs/>
                <w:szCs w:val="20"/>
              </w:rPr>
            </w:pPr>
            <w:r>
              <w:rPr>
                <w:rFonts w:hint="eastAsia" w:ascii="宋体" w:hAnsi="Times New Roman" w:cs="宋体"/>
                <w:bCs/>
                <w:szCs w:val="20"/>
              </w:rPr>
              <w:t>2</w:t>
            </w:r>
            <w:r>
              <w:rPr>
                <w:rFonts w:hint="eastAsia" w:ascii="宋体" w:hAnsi="Times New Roman" w:cs="宋体"/>
                <w:bCs/>
                <w:szCs w:val="20"/>
                <w:lang w:eastAsia="zh-CN"/>
              </w:rPr>
              <w:t>.</w:t>
            </w:r>
            <w:r>
              <w:rPr>
                <w:rFonts w:hint="eastAsia" w:ascii="宋体" w:hAnsi="Times New Roman" w:cs="宋体"/>
                <w:bCs/>
                <w:szCs w:val="20"/>
              </w:rPr>
              <w:t>灭蟑螂合格标准：成虫阳性率≤3%，有蟑螂房间平均大蠊≤5只，小蠊≤10只；卵夹阳性率≤2%，阳性间平均活卵夹≤4只；有蟑螂迹房间不超过5%。</w:t>
            </w:r>
          </w:p>
          <w:p>
            <w:pPr>
              <w:spacing w:line="340" w:lineRule="exact"/>
              <w:jc w:val="left"/>
              <w:rPr>
                <w:rFonts w:hint="eastAsia" w:ascii="宋体" w:hAnsi="Times New Roman" w:cs="宋体"/>
                <w:bCs/>
                <w:szCs w:val="20"/>
              </w:rPr>
            </w:pPr>
            <w:r>
              <w:rPr>
                <w:rFonts w:hint="eastAsia" w:ascii="宋体" w:hAnsi="Times New Roman" w:cs="宋体"/>
                <w:bCs/>
                <w:szCs w:val="20"/>
              </w:rPr>
              <w:t>3</w:t>
            </w:r>
            <w:r>
              <w:rPr>
                <w:rFonts w:hint="eastAsia" w:ascii="宋体" w:hAnsi="Times New Roman" w:cs="宋体"/>
                <w:bCs/>
                <w:szCs w:val="20"/>
                <w:lang w:eastAsia="zh-CN"/>
              </w:rPr>
              <w:t>.</w:t>
            </w:r>
            <w:r>
              <w:rPr>
                <w:rFonts w:hint="eastAsia" w:ascii="宋体" w:hAnsi="Times New Roman" w:cs="宋体"/>
                <w:bCs/>
                <w:szCs w:val="20"/>
              </w:rPr>
              <w:t>灭蝇合格标准：重点部门阳性间≤1%；其他部门阳性间≤3%，有蝇房间平均成蝇≤3只；加工、销售直接入口食品的场所不得发现成蝇；幼虫和蛹的检出率≤3%。</w:t>
            </w:r>
          </w:p>
          <w:p>
            <w:pPr>
              <w:spacing w:line="340" w:lineRule="exact"/>
              <w:jc w:val="left"/>
              <w:rPr>
                <w:rFonts w:hint="eastAsia" w:ascii="宋体" w:hAnsi="Times New Roman" w:cs="宋体"/>
                <w:bCs/>
                <w:szCs w:val="20"/>
              </w:rPr>
            </w:pPr>
            <w:r>
              <w:rPr>
                <w:rFonts w:hint="eastAsia" w:ascii="宋体" w:hAnsi="Times New Roman" w:cs="宋体"/>
                <w:bCs/>
                <w:szCs w:val="20"/>
              </w:rPr>
              <w:t>4</w:t>
            </w:r>
            <w:r>
              <w:rPr>
                <w:rFonts w:hint="eastAsia" w:ascii="宋体" w:hAnsi="Times New Roman" w:cs="宋体"/>
                <w:bCs/>
                <w:szCs w:val="20"/>
                <w:lang w:eastAsia="zh-CN"/>
              </w:rPr>
              <w:t>.</w:t>
            </w:r>
            <w:r>
              <w:rPr>
                <w:rFonts w:hint="eastAsia" w:ascii="宋体" w:hAnsi="Times New Roman" w:cs="宋体"/>
                <w:bCs/>
                <w:szCs w:val="20"/>
              </w:rPr>
              <w:t>灭蚊合格标准：单位内外环境各种存水容器和积水中，蚊幼或蛹的阳性率≤3%，阳性勺蚊幼或蛹的平均数≤5只。</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八、需甲方配合以下措施</w:t>
            </w:r>
          </w:p>
          <w:p>
            <w:pPr>
              <w:spacing w:line="340" w:lineRule="exact"/>
              <w:jc w:val="left"/>
              <w:rPr>
                <w:rFonts w:hint="eastAsia" w:ascii="宋体" w:hAnsi="Times New Roman" w:cs="宋体"/>
                <w:bCs/>
                <w:szCs w:val="20"/>
              </w:rPr>
            </w:pPr>
            <w:r>
              <w:rPr>
                <w:rFonts w:hint="eastAsia" w:ascii="宋体" w:hAnsi="Times New Roman" w:cs="宋体"/>
                <w:bCs/>
                <w:szCs w:val="20"/>
              </w:rPr>
              <w:t>1</w:t>
            </w:r>
            <w:r>
              <w:rPr>
                <w:rFonts w:hint="eastAsia" w:ascii="宋体" w:hAnsi="Times New Roman" w:cs="宋体"/>
                <w:bCs/>
                <w:szCs w:val="20"/>
                <w:lang w:eastAsia="zh-CN"/>
              </w:rPr>
              <w:t>.</w:t>
            </w:r>
            <w:r>
              <w:rPr>
                <w:rFonts w:hint="eastAsia" w:ascii="宋体" w:hAnsi="Times New Roman" w:cs="宋体"/>
                <w:bCs/>
                <w:szCs w:val="20"/>
              </w:rPr>
              <w:t>坚持环境保洁制度，保持环境清洁、整齐。</w:t>
            </w:r>
          </w:p>
          <w:p>
            <w:pPr>
              <w:spacing w:line="340" w:lineRule="exact"/>
              <w:jc w:val="left"/>
              <w:rPr>
                <w:rFonts w:hint="eastAsia" w:ascii="宋体" w:hAnsi="Times New Roman" w:cs="宋体"/>
                <w:bCs/>
                <w:szCs w:val="20"/>
              </w:rPr>
            </w:pPr>
            <w:r>
              <w:rPr>
                <w:rFonts w:hint="eastAsia" w:ascii="宋体" w:hAnsi="Times New Roman" w:cs="宋体"/>
                <w:bCs/>
                <w:szCs w:val="20"/>
              </w:rPr>
              <w:t>2</w:t>
            </w:r>
            <w:r>
              <w:rPr>
                <w:rFonts w:hint="eastAsia" w:ascii="宋体" w:hAnsi="Times New Roman" w:cs="宋体"/>
                <w:bCs/>
                <w:szCs w:val="20"/>
                <w:lang w:eastAsia="zh-CN"/>
              </w:rPr>
              <w:t>.</w:t>
            </w:r>
            <w:r>
              <w:rPr>
                <w:rFonts w:hint="eastAsia" w:ascii="宋体" w:hAnsi="Times New Roman" w:cs="宋体"/>
                <w:bCs/>
                <w:szCs w:val="20"/>
              </w:rPr>
              <w:t>及时清运生活垃圾。</w:t>
            </w:r>
          </w:p>
          <w:p>
            <w:pPr>
              <w:spacing w:line="340" w:lineRule="exact"/>
              <w:jc w:val="left"/>
              <w:rPr>
                <w:rFonts w:hint="eastAsia" w:ascii="宋体" w:hAnsi="Times New Roman" w:cs="宋体"/>
                <w:bCs/>
                <w:szCs w:val="20"/>
              </w:rPr>
            </w:pPr>
            <w:r>
              <w:rPr>
                <w:rFonts w:hint="eastAsia" w:ascii="宋体" w:hAnsi="Times New Roman" w:cs="宋体"/>
                <w:bCs/>
                <w:szCs w:val="20"/>
              </w:rPr>
              <w:t>3</w:t>
            </w:r>
            <w:r>
              <w:rPr>
                <w:rFonts w:hint="eastAsia" w:ascii="宋体" w:hAnsi="Times New Roman" w:cs="宋体"/>
                <w:bCs/>
                <w:szCs w:val="20"/>
                <w:lang w:eastAsia="zh-CN"/>
              </w:rPr>
              <w:t>.</w:t>
            </w:r>
            <w:r>
              <w:rPr>
                <w:rFonts w:hint="eastAsia" w:ascii="宋体" w:hAnsi="Times New Roman" w:cs="宋体"/>
                <w:bCs/>
                <w:szCs w:val="20"/>
              </w:rPr>
              <w:t>保持办公室及个人卫生，下班后及时关闭门窗，防老鼠进入。</w:t>
            </w:r>
          </w:p>
          <w:p>
            <w:pPr>
              <w:spacing w:line="340" w:lineRule="exact"/>
              <w:jc w:val="left"/>
              <w:rPr>
                <w:rFonts w:hint="eastAsia" w:ascii="宋体" w:hAnsi="Times New Roman" w:cs="宋体"/>
                <w:b/>
                <w:bCs w:val="0"/>
                <w:szCs w:val="20"/>
              </w:rPr>
            </w:pPr>
            <w:r>
              <w:rPr>
                <w:rFonts w:hint="eastAsia" w:ascii="宋体" w:hAnsi="Times New Roman" w:cs="宋体"/>
                <w:b/>
                <w:bCs w:val="0"/>
                <w:szCs w:val="20"/>
              </w:rPr>
              <w:t>九、附件1份：广西南宁技师学院各教学点灭四害计划表</w:t>
            </w:r>
          </w:p>
          <w:p>
            <w:pPr>
              <w:spacing w:line="340" w:lineRule="exact"/>
              <w:jc w:val="left"/>
              <w:rPr>
                <w:rFonts w:hint="eastAsia" w:ascii="宋体" w:hAnsi="Times New Roman" w:cs="宋体"/>
                <w:bCs/>
                <w:szCs w:val="20"/>
              </w:rPr>
            </w:pPr>
            <w:r>
              <w:rPr>
                <w:rFonts w:hint="eastAsia" w:ascii="宋体" w:hAnsi="Times New Roman" w:cs="宋体"/>
                <w:bCs/>
                <w:szCs w:val="20"/>
              </w:rPr>
              <w:t xml:space="preserve">                                      </w:t>
            </w:r>
          </w:p>
          <w:p>
            <w:pPr>
              <w:spacing w:line="340" w:lineRule="exact"/>
              <w:jc w:val="left"/>
              <w:rPr>
                <w:rFonts w:hint="eastAsia" w:ascii="宋体" w:hAnsi="Times New Roman" w:cs="宋体"/>
                <w:bCs/>
                <w:szCs w:val="20"/>
              </w:rPr>
            </w:pPr>
          </w:p>
          <w:p>
            <w:pPr>
              <w:spacing w:line="340" w:lineRule="exact"/>
              <w:jc w:val="left"/>
              <w:rPr>
                <w:rFonts w:hint="eastAsia" w:ascii="宋体" w:hAnsi="Times New Roman" w:cs="宋体"/>
                <w:bCs/>
                <w:szCs w:val="20"/>
              </w:rPr>
            </w:pPr>
          </w:p>
          <w:p>
            <w:pPr>
              <w:spacing w:line="340" w:lineRule="exact"/>
              <w:jc w:val="center"/>
              <w:rPr>
                <w:rFonts w:hint="eastAsia" w:ascii="宋体" w:hAnsi="Times New Roman" w:cs="宋体"/>
                <w:b/>
                <w:bCs w:val="0"/>
                <w:szCs w:val="20"/>
              </w:rPr>
            </w:pPr>
            <w:r>
              <w:rPr>
                <w:rFonts w:hint="eastAsia" w:ascii="宋体" w:hAnsi="Times New Roman" w:cs="宋体"/>
                <w:b/>
                <w:bCs w:val="0"/>
                <w:szCs w:val="20"/>
              </w:rPr>
              <w:t>广西南宁技师学院各教学点消杀计划表</w:t>
            </w:r>
          </w:p>
          <w:tbl>
            <w:tblPr>
              <w:tblStyle w:val="37"/>
              <w:tblpPr w:leftFromText="180" w:rightFromText="180" w:vertAnchor="text" w:horzAnchor="page" w:tblpX="1075" w:tblpY="534"/>
              <w:tblOverlap w:val="never"/>
              <w:tblW w:w="5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31"/>
              <w:gridCol w:w="1095"/>
              <w:gridCol w:w="1801"/>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98" w:type="dxa"/>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序号</w:t>
                  </w:r>
                </w:p>
              </w:tc>
              <w:tc>
                <w:tcPr>
                  <w:tcW w:w="1331" w:type="dxa"/>
                  <w:shd w:val="clear" w:color="auto" w:fill="auto"/>
                  <w:vAlign w:val="center"/>
                </w:tcPr>
                <w:p>
                  <w:pPr>
                    <w:spacing w:line="340" w:lineRule="exact"/>
                    <w:jc w:val="left"/>
                    <w:rPr>
                      <w:rFonts w:hint="eastAsia" w:ascii="宋体" w:hAnsi="Times New Roman" w:cs="宋体"/>
                      <w:bCs/>
                      <w:szCs w:val="20"/>
                      <w:lang w:val="en-US" w:eastAsia="zh-CN"/>
                    </w:rPr>
                  </w:pPr>
                  <w:r>
                    <w:rPr>
                      <w:rFonts w:hint="eastAsia" w:ascii="宋体" w:hAnsi="Times New Roman" w:cs="宋体"/>
                      <w:bCs/>
                      <w:szCs w:val="20"/>
                      <w:lang w:val="en-US" w:eastAsia="zh-CN"/>
                    </w:rPr>
                    <w:t>办学校区</w:t>
                  </w:r>
                </w:p>
              </w:tc>
              <w:tc>
                <w:tcPr>
                  <w:tcW w:w="1095"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消杀项目</w:t>
                  </w:r>
                </w:p>
              </w:tc>
              <w:tc>
                <w:tcPr>
                  <w:tcW w:w="180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消杀次数</w:t>
                  </w:r>
                </w:p>
              </w:tc>
              <w:tc>
                <w:tcPr>
                  <w:tcW w:w="704"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98" w:type="dxa"/>
                  <w:vAlign w:val="center"/>
                </w:tcPr>
                <w:p>
                  <w:pPr>
                    <w:spacing w:line="340" w:lineRule="exact"/>
                    <w:jc w:val="center"/>
                    <w:rPr>
                      <w:rFonts w:hint="eastAsia" w:ascii="宋体" w:hAnsi="Times New Roman" w:cs="宋体"/>
                      <w:bCs/>
                      <w:szCs w:val="20"/>
                    </w:rPr>
                  </w:pPr>
                  <w:r>
                    <w:rPr>
                      <w:rFonts w:hint="eastAsia" w:ascii="宋体" w:hAnsi="Times New Roman" w:cs="宋体"/>
                      <w:bCs/>
                      <w:szCs w:val="20"/>
                    </w:rPr>
                    <w:t>1</w:t>
                  </w:r>
                </w:p>
              </w:tc>
              <w:tc>
                <w:tcPr>
                  <w:tcW w:w="133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南宁市西乡塘区大学西路157号</w:t>
                  </w:r>
                  <w:r>
                    <w:rPr>
                      <w:rFonts w:hint="eastAsia" w:ascii="宋体" w:hAnsi="Times New Roman" w:cs="宋体"/>
                      <w:bCs/>
                      <w:szCs w:val="20"/>
                      <w:lang w:val="en-US" w:eastAsia="zh-CN"/>
                    </w:rPr>
                    <w:t>新校区</w:t>
                  </w:r>
                  <w:r>
                    <w:rPr>
                      <w:rFonts w:hint="eastAsia" w:ascii="宋体" w:hAnsi="Times New Roman" w:cs="宋体"/>
                      <w:bCs/>
                      <w:szCs w:val="20"/>
                    </w:rPr>
                    <w:t>（</w:t>
                  </w:r>
                  <w:r>
                    <w:rPr>
                      <w:rFonts w:hint="eastAsia" w:ascii="宋体" w:hAnsi="Times New Roman" w:cs="宋体"/>
                      <w:bCs/>
                      <w:szCs w:val="20"/>
                      <w:lang w:val="en-US" w:eastAsia="zh-CN"/>
                    </w:rPr>
                    <w:t>共</w:t>
                  </w:r>
                  <w:r>
                    <w:rPr>
                      <w:rFonts w:hint="eastAsia" w:ascii="宋体" w:hAnsi="Times New Roman" w:cs="宋体"/>
                      <w:bCs/>
                      <w:szCs w:val="20"/>
                    </w:rPr>
                    <w:t>22栋）</w:t>
                  </w:r>
                </w:p>
              </w:tc>
              <w:tc>
                <w:tcPr>
                  <w:tcW w:w="1095"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灭鼠、蟑、蝇、蚊</w:t>
                  </w:r>
                </w:p>
              </w:tc>
              <w:tc>
                <w:tcPr>
                  <w:tcW w:w="180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1、灭鼠：每月根据老鼠活动情况及时投药消杀；</w:t>
                  </w:r>
                </w:p>
                <w:p>
                  <w:pPr>
                    <w:spacing w:line="340" w:lineRule="exact"/>
                    <w:jc w:val="left"/>
                    <w:rPr>
                      <w:rFonts w:hint="eastAsia" w:ascii="宋体" w:hAnsi="Times New Roman" w:cs="宋体"/>
                      <w:bCs/>
                      <w:szCs w:val="20"/>
                    </w:rPr>
                  </w:pPr>
                  <w:r>
                    <w:rPr>
                      <w:rFonts w:hint="eastAsia" w:ascii="宋体" w:hAnsi="Times New Roman" w:cs="宋体"/>
                      <w:bCs/>
                      <w:szCs w:val="20"/>
                    </w:rPr>
                    <w:t>2、灭蟑螂、蝇、蚊，每月进行一次喷药消杀。</w:t>
                  </w:r>
                </w:p>
              </w:tc>
              <w:tc>
                <w:tcPr>
                  <w:tcW w:w="704" w:type="dxa"/>
                  <w:shd w:val="clear" w:color="auto" w:fill="auto"/>
                  <w:vAlign w:val="center"/>
                </w:tcPr>
                <w:p>
                  <w:pPr>
                    <w:spacing w:line="340" w:lineRule="exact"/>
                    <w:jc w:val="left"/>
                    <w:rPr>
                      <w:rFonts w:hint="eastAsia" w:ascii="宋体" w:hAnsi="Times New Roman" w:cs="宋体"/>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598" w:type="dxa"/>
                  <w:vAlign w:val="center"/>
                </w:tcPr>
                <w:p>
                  <w:pPr>
                    <w:spacing w:line="340" w:lineRule="exact"/>
                    <w:jc w:val="center"/>
                    <w:rPr>
                      <w:rFonts w:hint="eastAsia" w:ascii="宋体" w:hAnsi="Times New Roman" w:cs="宋体"/>
                      <w:bCs/>
                      <w:szCs w:val="20"/>
                    </w:rPr>
                  </w:pPr>
                  <w:r>
                    <w:rPr>
                      <w:rFonts w:hint="eastAsia" w:ascii="宋体" w:hAnsi="Times New Roman" w:cs="宋体"/>
                      <w:bCs/>
                      <w:szCs w:val="20"/>
                    </w:rPr>
                    <w:t>2</w:t>
                  </w:r>
                </w:p>
              </w:tc>
              <w:tc>
                <w:tcPr>
                  <w:tcW w:w="133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南宁市江南区五一西路5号（50亩）</w:t>
                  </w:r>
                </w:p>
              </w:tc>
              <w:tc>
                <w:tcPr>
                  <w:tcW w:w="1095"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灭鼠、蟑、蝇、蚊</w:t>
                  </w:r>
                </w:p>
              </w:tc>
              <w:tc>
                <w:tcPr>
                  <w:tcW w:w="180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1、灭鼠：每两个月根据老鼠活动情况及时投药消杀；</w:t>
                  </w:r>
                </w:p>
                <w:p>
                  <w:pPr>
                    <w:spacing w:line="340" w:lineRule="exact"/>
                    <w:jc w:val="left"/>
                    <w:rPr>
                      <w:rFonts w:hint="eastAsia" w:ascii="宋体" w:hAnsi="Times New Roman" w:cs="宋体"/>
                      <w:bCs/>
                      <w:szCs w:val="20"/>
                    </w:rPr>
                  </w:pPr>
                  <w:r>
                    <w:rPr>
                      <w:rFonts w:hint="eastAsia" w:ascii="宋体" w:hAnsi="Times New Roman" w:cs="宋体"/>
                      <w:bCs/>
                      <w:szCs w:val="20"/>
                    </w:rPr>
                    <w:t>2、灭蟑螂、蝇、蚊，每两个月进行一次喷药消杀。</w:t>
                  </w:r>
                </w:p>
              </w:tc>
              <w:tc>
                <w:tcPr>
                  <w:tcW w:w="704" w:type="dxa"/>
                  <w:shd w:val="clear" w:color="auto" w:fill="auto"/>
                  <w:vAlign w:val="center"/>
                </w:tcPr>
                <w:p>
                  <w:pPr>
                    <w:spacing w:line="340" w:lineRule="exact"/>
                    <w:jc w:val="left"/>
                    <w:rPr>
                      <w:rFonts w:hint="eastAsia" w:ascii="宋体" w:hAnsi="Times New Roman" w:cs="宋体"/>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98" w:type="dxa"/>
                  <w:vAlign w:val="center"/>
                </w:tcPr>
                <w:p>
                  <w:pPr>
                    <w:spacing w:line="340" w:lineRule="exact"/>
                    <w:jc w:val="center"/>
                    <w:rPr>
                      <w:rFonts w:hint="eastAsia" w:ascii="宋体" w:hAnsi="Times New Roman" w:cs="宋体"/>
                      <w:bCs/>
                      <w:szCs w:val="20"/>
                    </w:rPr>
                  </w:pPr>
                  <w:r>
                    <w:rPr>
                      <w:rFonts w:hint="eastAsia" w:ascii="宋体" w:hAnsi="Times New Roman" w:cs="宋体"/>
                      <w:bCs/>
                      <w:szCs w:val="20"/>
                    </w:rPr>
                    <w:t>3</w:t>
                  </w:r>
                </w:p>
              </w:tc>
              <w:tc>
                <w:tcPr>
                  <w:tcW w:w="133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南宁市西乡塘区明秀西路153号（5亩）</w:t>
                  </w:r>
                </w:p>
              </w:tc>
              <w:tc>
                <w:tcPr>
                  <w:tcW w:w="1095"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灭鼠、蟑、蝇、蚊</w:t>
                  </w:r>
                </w:p>
              </w:tc>
              <w:tc>
                <w:tcPr>
                  <w:tcW w:w="180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1、灭鼠：每两个月根据老鼠活动情况及时投药消杀；</w:t>
                  </w:r>
                </w:p>
                <w:p>
                  <w:pPr>
                    <w:spacing w:line="340" w:lineRule="exact"/>
                    <w:jc w:val="left"/>
                    <w:rPr>
                      <w:rFonts w:hint="eastAsia" w:ascii="宋体" w:hAnsi="Times New Roman" w:cs="宋体"/>
                      <w:bCs/>
                      <w:szCs w:val="20"/>
                    </w:rPr>
                  </w:pPr>
                  <w:r>
                    <w:rPr>
                      <w:rFonts w:hint="eastAsia" w:ascii="宋体" w:hAnsi="Times New Roman" w:cs="宋体"/>
                      <w:bCs/>
                      <w:szCs w:val="20"/>
                    </w:rPr>
                    <w:t>2、灭蟑螂、蝇、蚊，每两个月进行一次喷药消杀。</w:t>
                  </w:r>
                </w:p>
              </w:tc>
              <w:tc>
                <w:tcPr>
                  <w:tcW w:w="704" w:type="dxa"/>
                  <w:shd w:val="clear" w:color="auto" w:fill="auto"/>
                  <w:vAlign w:val="center"/>
                </w:tcPr>
                <w:p>
                  <w:pPr>
                    <w:spacing w:line="340" w:lineRule="exact"/>
                    <w:jc w:val="left"/>
                    <w:rPr>
                      <w:rFonts w:hint="eastAsia" w:ascii="宋体" w:hAnsi="Times New Roman" w:cs="宋体"/>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98" w:type="dxa"/>
                  <w:vAlign w:val="center"/>
                </w:tcPr>
                <w:p>
                  <w:pPr>
                    <w:spacing w:line="340" w:lineRule="exact"/>
                    <w:jc w:val="center"/>
                    <w:rPr>
                      <w:rFonts w:hint="eastAsia" w:ascii="宋体" w:hAnsi="Times New Roman" w:cs="宋体"/>
                      <w:bCs/>
                      <w:szCs w:val="20"/>
                    </w:rPr>
                  </w:pPr>
                  <w:r>
                    <w:rPr>
                      <w:rFonts w:hint="eastAsia" w:ascii="宋体" w:hAnsi="Times New Roman" w:cs="宋体"/>
                      <w:bCs/>
                      <w:szCs w:val="20"/>
                    </w:rPr>
                    <w:t>4</w:t>
                  </w:r>
                </w:p>
              </w:tc>
              <w:tc>
                <w:tcPr>
                  <w:tcW w:w="133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南宁市西乡塘区明秀东路78号（17亩）</w:t>
                  </w:r>
                </w:p>
              </w:tc>
              <w:tc>
                <w:tcPr>
                  <w:tcW w:w="1095"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灭鼠、蟑、蝇、蚊</w:t>
                  </w:r>
                </w:p>
              </w:tc>
              <w:tc>
                <w:tcPr>
                  <w:tcW w:w="180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1、灭鼠：每两个月根据老鼠活动情况及时投药消杀；</w:t>
                  </w:r>
                </w:p>
                <w:p>
                  <w:pPr>
                    <w:spacing w:line="340" w:lineRule="exact"/>
                    <w:jc w:val="left"/>
                    <w:rPr>
                      <w:rFonts w:hint="eastAsia" w:ascii="宋体" w:hAnsi="Times New Roman" w:cs="宋体"/>
                      <w:bCs/>
                      <w:szCs w:val="20"/>
                    </w:rPr>
                  </w:pPr>
                  <w:r>
                    <w:rPr>
                      <w:rFonts w:hint="eastAsia" w:ascii="宋体" w:hAnsi="Times New Roman" w:cs="宋体"/>
                      <w:bCs/>
                      <w:szCs w:val="20"/>
                    </w:rPr>
                    <w:t>2、灭蟑螂、蝇、蚊，每两个月进行一次喷药消杀。</w:t>
                  </w:r>
                </w:p>
              </w:tc>
              <w:tc>
                <w:tcPr>
                  <w:tcW w:w="704" w:type="dxa"/>
                  <w:shd w:val="clear" w:color="auto" w:fill="auto"/>
                  <w:vAlign w:val="center"/>
                </w:tcPr>
                <w:p>
                  <w:pPr>
                    <w:spacing w:line="340" w:lineRule="exact"/>
                    <w:jc w:val="left"/>
                    <w:rPr>
                      <w:rFonts w:hint="eastAsia" w:ascii="宋体" w:hAnsi="Times New Roman" w:cs="宋体"/>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98" w:type="dxa"/>
                  <w:vAlign w:val="center"/>
                </w:tcPr>
                <w:p>
                  <w:pPr>
                    <w:spacing w:line="340" w:lineRule="exact"/>
                    <w:jc w:val="center"/>
                    <w:rPr>
                      <w:rFonts w:hint="eastAsia" w:ascii="宋体" w:hAnsi="Times New Roman" w:cs="宋体"/>
                      <w:bCs/>
                      <w:szCs w:val="20"/>
                    </w:rPr>
                  </w:pPr>
                  <w:r>
                    <w:rPr>
                      <w:rFonts w:hint="eastAsia" w:ascii="宋体" w:hAnsi="Times New Roman" w:cs="宋体"/>
                      <w:bCs/>
                      <w:szCs w:val="20"/>
                    </w:rPr>
                    <w:t>5</w:t>
                  </w:r>
                </w:p>
              </w:tc>
              <w:tc>
                <w:tcPr>
                  <w:tcW w:w="133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南宁市西乡塘区明秀东路北四里8号（18亩）</w:t>
                  </w:r>
                </w:p>
              </w:tc>
              <w:tc>
                <w:tcPr>
                  <w:tcW w:w="1095"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灭鼠、蟑、蝇、蚊</w:t>
                  </w:r>
                </w:p>
              </w:tc>
              <w:tc>
                <w:tcPr>
                  <w:tcW w:w="180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1、灭鼠：每月根据老鼠活动情况及时投药消杀；</w:t>
                  </w:r>
                </w:p>
                <w:p>
                  <w:pPr>
                    <w:spacing w:line="340" w:lineRule="exact"/>
                    <w:jc w:val="left"/>
                    <w:rPr>
                      <w:rFonts w:hint="eastAsia" w:ascii="宋体" w:hAnsi="Times New Roman" w:cs="宋体"/>
                      <w:bCs/>
                      <w:szCs w:val="20"/>
                    </w:rPr>
                  </w:pPr>
                  <w:r>
                    <w:rPr>
                      <w:rFonts w:hint="eastAsia" w:ascii="宋体" w:hAnsi="Times New Roman" w:cs="宋体"/>
                      <w:bCs/>
                      <w:szCs w:val="20"/>
                    </w:rPr>
                    <w:t>2、灭蟑螂、蝇、蚊，每月进行一次喷药消杀。</w:t>
                  </w:r>
                </w:p>
              </w:tc>
              <w:tc>
                <w:tcPr>
                  <w:tcW w:w="704" w:type="dxa"/>
                  <w:shd w:val="clear" w:color="auto" w:fill="auto"/>
                  <w:vAlign w:val="center"/>
                </w:tcPr>
                <w:p>
                  <w:pPr>
                    <w:spacing w:line="340" w:lineRule="exact"/>
                    <w:jc w:val="left"/>
                    <w:rPr>
                      <w:rFonts w:hint="eastAsia" w:ascii="宋体" w:hAnsi="Times New Roman" w:cs="宋体"/>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98" w:type="dxa"/>
                  <w:vAlign w:val="center"/>
                </w:tcPr>
                <w:p>
                  <w:pPr>
                    <w:spacing w:line="340" w:lineRule="exact"/>
                    <w:jc w:val="center"/>
                    <w:rPr>
                      <w:rFonts w:hint="eastAsia" w:ascii="宋体" w:hAnsi="Times New Roman" w:cs="宋体"/>
                      <w:bCs/>
                      <w:szCs w:val="20"/>
                    </w:rPr>
                  </w:pPr>
                  <w:r>
                    <w:rPr>
                      <w:rFonts w:hint="eastAsia" w:ascii="宋体" w:hAnsi="Times New Roman" w:cs="宋体"/>
                      <w:bCs/>
                      <w:szCs w:val="20"/>
                    </w:rPr>
                    <w:t>6</w:t>
                  </w:r>
                </w:p>
              </w:tc>
              <w:tc>
                <w:tcPr>
                  <w:tcW w:w="133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南宁市西乡塘区陈西村45号（17亩）</w:t>
                  </w:r>
                </w:p>
              </w:tc>
              <w:tc>
                <w:tcPr>
                  <w:tcW w:w="1095"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灭鼠、蟑、蝇、蚊</w:t>
                  </w:r>
                </w:p>
              </w:tc>
              <w:tc>
                <w:tcPr>
                  <w:tcW w:w="180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1、灭鼠：每</w:t>
                  </w:r>
                  <w:r>
                    <w:rPr>
                      <w:rFonts w:hint="eastAsia" w:ascii="宋体" w:hAnsi="Times New Roman" w:cs="宋体"/>
                      <w:bCs/>
                      <w:szCs w:val="20"/>
                      <w:lang w:val="en-US" w:eastAsia="zh-CN"/>
                    </w:rPr>
                    <w:t>两个</w:t>
                  </w:r>
                  <w:r>
                    <w:rPr>
                      <w:rFonts w:hint="eastAsia" w:ascii="宋体" w:hAnsi="Times New Roman" w:cs="宋体"/>
                      <w:bCs/>
                      <w:szCs w:val="20"/>
                    </w:rPr>
                    <w:t>月根据老鼠活动情况及时投药消杀；</w:t>
                  </w:r>
                </w:p>
                <w:p>
                  <w:pPr>
                    <w:spacing w:line="340" w:lineRule="exact"/>
                    <w:jc w:val="left"/>
                    <w:rPr>
                      <w:rFonts w:hint="eastAsia" w:ascii="宋体" w:hAnsi="Times New Roman" w:cs="宋体"/>
                      <w:bCs/>
                      <w:szCs w:val="20"/>
                    </w:rPr>
                  </w:pPr>
                  <w:r>
                    <w:rPr>
                      <w:rFonts w:hint="eastAsia" w:ascii="宋体" w:hAnsi="Times New Roman" w:cs="宋体"/>
                      <w:bCs/>
                      <w:szCs w:val="20"/>
                    </w:rPr>
                    <w:t>2、灭蟑螂、蝇、蚊，每</w:t>
                  </w:r>
                  <w:r>
                    <w:rPr>
                      <w:rFonts w:hint="eastAsia" w:ascii="宋体" w:hAnsi="Times New Roman" w:cs="宋体"/>
                      <w:bCs/>
                      <w:szCs w:val="20"/>
                      <w:lang w:val="en-US" w:eastAsia="zh-CN"/>
                    </w:rPr>
                    <w:t>两个</w:t>
                  </w:r>
                  <w:r>
                    <w:rPr>
                      <w:rFonts w:hint="eastAsia" w:ascii="宋体" w:hAnsi="Times New Roman" w:cs="宋体"/>
                      <w:bCs/>
                      <w:szCs w:val="20"/>
                    </w:rPr>
                    <w:t>月进行一次喷药消杀。</w:t>
                  </w:r>
                </w:p>
              </w:tc>
              <w:tc>
                <w:tcPr>
                  <w:tcW w:w="704" w:type="dxa"/>
                  <w:shd w:val="clear" w:color="auto" w:fill="auto"/>
                  <w:vAlign w:val="center"/>
                </w:tcPr>
                <w:p>
                  <w:pPr>
                    <w:spacing w:line="340" w:lineRule="exact"/>
                    <w:jc w:val="left"/>
                    <w:rPr>
                      <w:rFonts w:hint="eastAsia" w:ascii="宋体" w:hAnsi="Times New Roman" w:cs="宋体"/>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98" w:type="dxa"/>
                  <w:vAlign w:val="center"/>
                </w:tcPr>
                <w:p>
                  <w:pPr>
                    <w:spacing w:line="340" w:lineRule="exact"/>
                    <w:jc w:val="center"/>
                    <w:rPr>
                      <w:rFonts w:hint="eastAsia" w:ascii="宋体" w:hAnsi="Times New Roman" w:cs="宋体"/>
                      <w:bCs/>
                      <w:szCs w:val="20"/>
                    </w:rPr>
                  </w:pPr>
                  <w:r>
                    <w:rPr>
                      <w:rFonts w:hint="eastAsia" w:ascii="宋体" w:hAnsi="Times New Roman" w:cs="宋体"/>
                      <w:bCs/>
                      <w:szCs w:val="20"/>
                    </w:rPr>
                    <w:t>7</w:t>
                  </w:r>
                </w:p>
              </w:tc>
              <w:tc>
                <w:tcPr>
                  <w:tcW w:w="133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南宁市西乡塘区望州路北二里17号（4亩）</w:t>
                  </w:r>
                </w:p>
              </w:tc>
              <w:tc>
                <w:tcPr>
                  <w:tcW w:w="1095"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灭鼠、蟑、蝇、蚊</w:t>
                  </w:r>
                </w:p>
              </w:tc>
              <w:tc>
                <w:tcPr>
                  <w:tcW w:w="1801" w:type="dxa"/>
                  <w:shd w:val="clear" w:color="auto" w:fill="auto"/>
                  <w:vAlign w:val="center"/>
                </w:tcPr>
                <w:p>
                  <w:pPr>
                    <w:spacing w:line="340" w:lineRule="exact"/>
                    <w:jc w:val="left"/>
                    <w:rPr>
                      <w:rFonts w:hint="eastAsia" w:ascii="宋体" w:hAnsi="Times New Roman" w:cs="宋体"/>
                      <w:bCs/>
                      <w:szCs w:val="20"/>
                    </w:rPr>
                  </w:pPr>
                  <w:r>
                    <w:rPr>
                      <w:rFonts w:hint="eastAsia" w:ascii="宋体" w:hAnsi="Times New Roman" w:cs="宋体"/>
                      <w:bCs/>
                      <w:szCs w:val="20"/>
                    </w:rPr>
                    <w:t>1、灭鼠：每</w:t>
                  </w:r>
                  <w:r>
                    <w:rPr>
                      <w:rFonts w:hint="eastAsia" w:ascii="宋体" w:hAnsi="Times New Roman" w:cs="宋体"/>
                      <w:bCs/>
                      <w:szCs w:val="20"/>
                      <w:lang w:val="en-US" w:eastAsia="zh-CN"/>
                    </w:rPr>
                    <w:t>月</w:t>
                  </w:r>
                  <w:r>
                    <w:rPr>
                      <w:rFonts w:hint="eastAsia" w:ascii="宋体" w:hAnsi="Times New Roman" w:cs="宋体"/>
                      <w:bCs/>
                      <w:szCs w:val="20"/>
                    </w:rPr>
                    <w:t>根据老鼠活动情况及时投药消杀；</w:t>
                  </w:r>
                </w:p>
                <w:p>
                  <w:pPr>
                    <w:spacing w:line="340" w:lineRule="exact"/>
                    <w:jc w:val="left"/>
                    <w:rPr>
                      <w:rFonts w:hint="eastAsia" w:ascii="宋体" w:hAnsi="Times New Roman" w:cs="宋体"/>
                      <w:bCs/>
                      <w:szCs w:val="20"/>
                    </w:rPr>
                  </w:pPr>
                  <w:r>
                    <w:rPr>
                      <w:rFonts w:hint="eastAsia" w:ascii="宋体" w:hAnsi="Times New Roman" w:cs="宋体"/>
                      <w:bCs/>
                      <w:szCs w:val="20"/>
                    </w:rPr>
                    <w:t>2、灭蟑螂、蝇、蚊，每月进行一次喷药消杀。</w:t>
                  </w:r>
                </w:p>
              </w:tc>
              <w:tc>
                <w:tcPr>
                  <w:tcW w:w="704" w:type="dxa"/>
                  <w:shd w:val="clear" w:color="auto" w:fill="auto"/>
                  <w:vAlign w:val="center"/>
                </w:tcPr>
                <w:p>
                  <w:pPr>
                    <w:spacing w:line="340" w:lineRule="exact"/>
                    <w:jc w:val="left"/>
                    <w:rPr>
                      <w:rFonts w:hint="eastAsia" w:ascii="宋体" w:hAnsi="Times New Roman" w:cs="宋体"/>
                      <w:bCs/>
                      <w:szCs w:val="20"/>
                    </w:rPr>
                  </w:pPr>
                </w:p>
              </w:tc>
            </w:tr>
          </w:tbl>
          <w:p>
            <w:pPr>
              <w:spacing w:line="340" w:lineRule="exact"/>
              <w:jc w:val="left"/>
              <w:rPr>
                <w:rFonts w:hint="eastAsia" w:ascii="宋体" w:hAnsi="Times New Roman" w:cs="宋体"/>
                <w:bCs/>
                <w:szCs w:val="20"/>
              </w:rPr>
            </w:pPr>
          </w:p>
        </w:tc>
        <w:tc>
          <w:tcPr>
            <w:tcW w:w="708" w:type="dxa"/>
            <w:shd w:val="clear" w:color="auto" w:fill="auto"/>
            <w:vAlign w:val="center"/>
          </w:tcPr>
          <w:p>
            <w:pPr>
              <w:widowControl/>
              <w:rPr>
                <w:rFonts w:ascii="宋体" w:hAnsi="宋体" w:cs="宋体"/>
                <w:kern w:val="0"/>
              </w:rPr>
            </w:pPr>
          </w:p>
        </w:tc>
        <w:tc>
          <w:tcPr>
            <w:tcW w:w="709" w:type="dxa"/>
            <w:shd w:val="clear" w:color="auto" w:fill="auto"/>
            <w:vAlign w:val="center"/>
          </w:tcPr>
          <w:p>
            <w:pPr>
              <w:widowControl/>
              <w:rPr>
                <w:rFonts w:ascii="宋体" w:hAnsi="宋体" w:cs="宋体"/>
                <w:kern w:val="0"/>
              </w:rPr>
            </w:pPr>
          </w:p>
        </w:tc>
        <w:tc>
          <w:tcPr>
            <w:tcW w:w="992" w:type="dxa"/>
            <w:shd w:val="clear" w:color="auto" w:fill="auto"/>
            <w:vAlign w:val="center"/>
          </w:tcPr>
          <w:p>
            <w:pPr>
              <w:widowControl/>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51" w:type="dxa"/>
            <w:shd w:val="clear" w:color="auto" w:fill="auto"/>
            <w:vAlign w:val="center"/>
          </w:tcPr>
          <w:p>
            <w:pPr>
              <w:widowControl/>
              <w:rPr>
                <w:rFonts w:ascii="宋体" w:hAnsi="宋体" w:cs="宋体"/>
                <w:kern w:val="0"/>
              </w:rPr>
            </w:pPr>
            <w:r>
              <w:rPr>
                <w:rFonts w:hint="eastAsia" w:ascii="宋体" w:hAnsi="宋体" w:cs="宋体"/>
                <w:kern w:val="0"/>
              </w:rPr>
              <w:t>2</w:t>
            </w:r>
          </w:p>
        </w:tc>
        <w:tc>
          <w:tcPr>
            <w:tcW w:w="1104" w:type="dxa"/>
            <w:tcBorders>
              <w:top w:val="single" w:color="auto" w:sz="8" w:space="0"/>
              <w:left w:val="single" w:color="auto" w:sz="8" w:space="0"/>
              <w:bottom w:val="single" w:color="auto" w:sz="8" w:space="0"/>
              <w:right w:val="single" w:color="auto" w:sz="8" w:space="0"/>
            </w:tcBorders>
            <w:vAlign w:val="center"/>
          </w:tcPr>
          <w:p>
            <w:pPr>
              <w:widowControl/>
              <w:rPr>
                <w:rFonts w:ascii="宋体" w:cs="宋体"/>
                <w:kern w:val="0"/>
              </w:rPr>
            </w:pPr>
            <w:r>
              <w:rPr>
                <w:rFonts w:hint="eastAsia" w:ascii="宋体" w:cs="宋体"/>
                <w:kern w:val="0"/>
              </w:rPr>
              <w:t>广西南宁技师学院红火蚁、隐翅虫、臭虫防治服务</w:t>
            </w:r>
          </w:p>
        </w:tc>
        <w:tc>
          <w:tcPr>
            <w:tcW w:w="1275"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宋体"/>
                <w:kern w:val="0"/>
              </w:rPr>
            </w:pPr>
          </w:p>
        </w:tc>
        <w:tc>
          <w:tcPr>
            <w:tcW w:w="5529" w:type="dxa"/>
            <w:tcBorders>
              <w:top w:val="single" w:color="auto" w:sz="8" w:space="0"/>
              <w:left w:val="single" w:color="auto" w:sz="8" w:space="0"/>
              <w:bottom w:val="single" w:color="auto" w:sz="8" w:space="0"/>
              <w:right w:val="single" w:color="auto" w:sz="8" w:space="0"/>
            </w:tcBorders>
            <w:vAlign w:val="center"/>
          </w:tcPr>
          <w:p>
            <w:pPr>
              <w:pStyle w:val="101"/>
              <w:numPr>
                <w:ilvl w:val="0"/>
                <w:numId w:val="2"/>
              </w:numPr>
              <w:spacing w:line="560" w:lineRule="exact"/>
              <w:ind w:firstLineChars="0"/>
              <w:jc w:val="left"/>
              <w:rPr>
                <w:rFonts w:asciiTheme="minorEastAsia" w:hAnsiTheme="minorEastAsia" w:eastAsiaTheme="minorEastAsia"/>
                <w:sz w:val="22"/>
                <w:szCs w:val="28"/>
              </w:rPr>
            </w:pPr>
            <w:r>
              <w:rPr>
                <w:rFonts w:hint="eastAsia" w:asciiTheme="minorEastAsia" w:hAnsiTheme="minorEastAsia" w:eastAsiaTheme="minorEastAsia"/>
                <w:b/>
                <w:sz w:val="22"/>
                <w:szCs w:val="28"/>
              </w:rPr>
              <w:t>防治地点（范围）：</w:t>
            </w:r>
            <w:r>
              <w:rPr>
                <w:rFonts w:hint="eastAsia" w:ascii="宋体" w:hAnsi="Times New Roman" w:eastAsia="宋体" w:cs="宋体"/>
                <w:kern w:val="2"/>
                <w:sz w:val="21"/>
                <w:szCs w:val="21"/>
                <w:lang w:val="en-US" w:eastAsia="zh-CN" w:bidi="ar-SA"/>
              </w:rPr>
              <w:t>广西南宁技师学院新校区（南宁市西乡塘区大学西路157号）。</w:t>
            </w:r>
          </w:p>
          <w:p>
            <w:pPr>
              <w:spacing w:line="560" w:lineRule="exact"/>
              <w:jc w:val="left"/>
              <w:rPr>
                <w:rFonts w:asciiTheme="minorEastAsia" w:hAnsiTheme="minorEastAsia" w:eastAsiaTheme="minorEastAsia"/>
                <w:sz w:val="22"/>
                <w:szCs w:val="28"/>
              </w:rPr>
            </w:pPr>
            <w:r>
              <w:rPr>
                <w:rFonts w:hint="eastAsia" w:asciiTheme="minorEastAsia" w:hAnsiTheme="minorEastAsia" w:eastAsiaTheme="minorEastAsia"/>
                <w:b/>
                <w:sz w:val="22"/>
                <w:szCs w:val="28"/>
              </w:rPr>
              <w:t>二、 防治项目：</w:t>
            </w:r>
            <w:r>
              <w:rPr>
                <w:rFonts w:hint="eastAsia" w:ascii="宋体" w:hAnsi="Times New Roman" w:eastAsia="宋体" w:cs="宋体"/>
                <w:kern w:val="2"/>
                <w:sz w:val="21"/>
                <w:szCs w:val="21"/>
                <w:lang w:val="en-US" w:eastAsia="zh-CN" w:bidi="ar-SA"/>
              </w:rPr>
              <w:t>红火蚁、臭虫、隐翅虫。</w:t>
            </w:r>
          </w:p>
          <w:p>
            <w:pPr>
              <w:spacing w:line="560" w:lineRule="exact"/>
              <w:ind w:left="1767" w:hanging="1767" w:hangingChars="800"/>
              <w:jc w:val="left"/>
              <w:rPr>
                <w:rFonts w:asciiTheme="minorEastAsia" w:hAnsiTheme="minorEastAsia" w:eastAsiaTheme="minorEastAsia"/>
                <w:sz w:val="22"/>
                <w:szCs w:val="28"/>
              </w:rPr>
            </w:pPr>
            <w:r>
              <w:rPr>
                <w:rFonts w:hint="eastAsia" w:asciiTheme="minorEastAsia" w:hAnsiTheme="minorEastAsia" w:eastAsiaTheme="minorEastAsia"/>
                <w:b/>
                <w:sz w:val="22"/>
                <w:szCs w:val="28"/>
              </w:rPr>
              <w:t>三、 防治时间：</w:t>
            </w:r>
            <w:r>
              <w:rPr>
                <w:rFonts w:hint="eastAsia" w:asciiTheme="minorEastAsia" w:hAnsiTheme="minorEastAsia" w:eastAsiaTheme="minorEastAsia"/>
                <w:b/>
                <w:sz w:val="22"/>
                <w:szCs w:val="28"/>
                <w:u w:val="single"/>
              </w:rPr>
              <w:t xml:space="preserve"> </w:t>
            </w:r>
            <w:r>
              <w:rPr>
                <w:rFonts w:hint="eastAsia" w:ascii="宋体" w:hAnsi="Times New Roman" w:eastAsia="宋体" w:cs="宋体"/>
                <w:kern w:val="2"/>
                <w:sz w:val="21"/>
                <w:szCs w:val="21"/>
                <w:u w:val="single"/>
                <w:lang w:val="en-US" w:eastAsia="zh-CN" w:bidi="ar-SA"/>
              </w:rPr>
              <w:t>2023</w:t>
            </w:r>
            <w:r>
              <w:rPr>
                <w:rFonts w:hint="eastAsia" w:ascii="宋体" w:hAnsi="Times New Roman" w:eastAsia="宋体" w:cs="宋体"/>
                <w:kern w:val="2"/>
                <w:sz w:val="21"/>
                <w:szCs w:val="21"/>
                <w:lang w:val="en-US" w:eastAsia="zh-CN" w:bidi="ar-SA"/>
              </w:rPr>
              <w:t xml:space="preserve">年 </w:t>
            </w:r>
            <w:r>
              <w:rPr>
                <w:rFonts w:hint="eastAsia" w:ascii="宋体" w:hAnsi="Times New Roman" w:eastAsia="宋体" w:cs="宋体"/>
                <w:kern w:val="2"/>
                <w:sz w:val="21"/>
                <w:szCs w:val="21"/>
                <w:u w:val="single"/>
                <w:lang w:val="en-US" w:eastAsia="zh-CN" w:bidi="ar-SA"/>
              </w:rPr>
              <w:t>1</w:t>
            </w:r>
            <w:r>
              <w:rPr>
                <w:rFonts w:hint="eastAsia" w:ascii="宋体" w:hAnsi="Times New Roman" w:eastAsia="宋体" w:cs="宋体"/>
                <w:kern w:val="2"/>
                <w:sz w:val="21"/>
                <w:szCs w:val="21"/>
                <w:lang w:val="en-US" w:eastAsia="zh-CN" w:bidi="ar-SA"/>
              </w:rPr>
              <w:t xml:space="preserve"> 月 </w:t>
            </w:r>
            <w:r>
              <w:rPr>
                <w:rFonts w:hint="eastAsia" w:ascii="宋体" w:hAnsi="Times New Roman" w:eastAsia="宋体" w:cs="宋体"/>
                <w:kern w:val="2"/>
                <w:sz w:val="21"/>
                <w:szCs w:val="21"/>
                <w:u w:val="single"/>
                <w:lang w:val="en-US" w:eastAsia="zh-CN" w:bidi="ar-SA"/>
              </w:rPr>
              <w:t>11</w:t>
            </w:r>
            <w:r>
              <w:rPr>
                <w:rFonts w:hint="eastAsia" w:ascii="宋体" w:hAnsi="Times New Roman" w:eastAsia="宋体" w:cs="宋体"/>
                <w:kern w:val="2"/>
                <w:sz w:val="21"/>
                <w:szCs w:val="21"/>
                <w:lang w:val="en-US" w:eastAsia="zh-CN" w:bidi="ar-SA"/>
              </w:rPr>
              <w:t xml:space="preserve"> 日至</w:t>
            </w:r>
            <w:r>
              <w:rPr>
                <w:rFonts w:hint="eastAsia" w:ascii="宋体" w:hAnsi="Times New Roman" w:eastAsia="宋体" w:cs="宋体"/>
                <w:kern w:val="2"/>
                <w:sz w:val="21"/>
                <w:szCs w:val="21"/>
                <w:u w:val="single"/>
                <w:lang w:val="en-US" w:eastAsia="zh-CN" w:bidi="ar-SA"/>
              </w:rPr>
              <w:t>2024</w:t>
            </w:r>
            <w:r>
              <w:rPr>
                <w:rFonts w:hint="eastAsia" w:ascii="宋体" w:hAnsi="Times New Roman" w:eastAsia="宋体" w:cs="宋体"/>
                <w:kern w:val="2"/>
                <w:sz w:val="21"/>
                <w:szCs w:val="21"/>
                <w:lang w:val="en-US" w:eastAsia="zh-CN" w:bidi="ar-SA"/>
              </w:rPr>
              <w:t>年</w:t>
            </w:r>
            <w:r>
              <w:rPr>
                <w:rFonts w:hint="eastAsia" w:ascii="宋体" w:hAnsi="Times New Roman" w:eastAsia="宋体" w:cs="宋体"/>
                <w:kern w:val="2"/>
                <w:sz w:val="21"/>
                <w:szCs w:val="21"/>
                <w:u w:val="single"/>
                <w:lang w:val="en-US" w:eastAsia="zh-CN" w:bidi="ar-SA"/>
              </w:rPr>
              <w:t xml:space="preserve"> 1</w:t>
            </w:r>
            <w:r>
              <w:rPr>
                <w:rFonts w:hint="eastAsia" w:ascii="宋体" w:hAnsi="Times New Roman" w:eastAsia="宋体" w:cs="宋体"/>
                <w:kern w:val="2"/>
                <w:sz w:val="21"/>
                <w:szCs w:val="21"/>
                <w:lang w:val="en-US" w:eastAsia="zh-CN" w:bidi="ar-SA"/>
              </w:rPr>
              <w:t xml:space="preserve">月 </w:t>
            </w:r>
            <w:r>
              <w:rPr>
                <w:rFonts w:hint="eastAsia" w:ascii="宋体" w:hAnsi="Times New Roman" w:eastAsia="宋体" w:cs="宋体"/>
                <w:kern w:val="2"/>
                <w:sz w:val="21"/>
                <w:szCs w:val="21"/>
                <w:u w:val="single"/>
                <w:lang w:val="en-US" w:eastAsia="zh-CN" w:bidi="ar-SA"/>
              </w:rPr>
              <w:t>10</w:t>
            </w:r>
            <w:r>
              <w:rPr>
                <w:rFonts w:hint="eastAsia" w:ascii="宋体" w:hAnsi="Times New Roman" w:eastAsia="宋体" w:cs="宋体"/>
                <w:kern w:val="2"/>
                <w:sz w:val="21"/>
                <w:szCs w:val="21"/>
                <w:lang w:val="en-US" w:eastAsia="zh-CN" w:bidi="ar-SA"/>
              </w:rPr>
              <w:t>日（起始时间以签订服务合同之日算起）。</w:t>
            </w:r>
          </w:p>
          <w:p>
            <w:pPr>
              <w:spacing w:line="560" w:lineRule="exact"/>
              <w:jc w:val="left"/>
              <w:rPr>
                <w:rFonts w:asciiTheme="minorEastAsia" w:hAnsiTheme="minorEastAsia" w:eastAsiaTheme="minorEastAsia"/>
                <w:b/>
                <w:sz w:val="22"/>
                <w:szCs w:val="28"/>
              </w:rPr>
            </w:pPr>
            <w:r>
              <w:rPr>
                <w:rFonts w:hint="eastAsia" w:asciiTheme="minorEastAsia" w:hAnsiTheme="minorEastAsia" w:eastAsiaTheme="minorEastAsia"/>
                <w:b/>
                <w:sz w:val="22"/>
                <w:szCs w:val="28"/>
              </w:rPr>
              <w:t>四、防治频次：</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灭红火蚁、臭虫、隐翅虫：每月全面排查进行1次喷药消杀，发现虫情应随叫随到。</w:t>
            </w:r>
          </w:p>
          <w:p>
            <w:pPr>
              <w:spacing w:line="560" w:lineRule="exact"/>
              <w:jc w:val="left"/>
              <w:rPr>
                <w:rFonts w:asciiTheme="minorEastAsia" w:hAnsiTheme="minorEastAsia" w:eastAsiaTheme="minorEastAsia"/>
                <w:sz w:val="22"/>
                <w:szCs w:val="28"/>
              </w:rPr>
            </w:pPr>
            <w:r>
              <w:rPr>
                <w:rFonts w:hint="eastAsia" w:asciiTheme="minorEastAsia" w:hAnsiTheme="minorEastAsia" w:eastAsiaTheme="minorEastAsia"/>
                <w:b/>
                <w:bCs/>
                <w:sz w:val="22"/>
              </w:rPr>
              <w:t>五、防治措施</w:t>
            </w:r>
          </w:p>
          <w:p>
            <w:pPr>
              <w:spacing w:line="560" w:lineRule="exact"/>
              <w:rPr>
                <w:b/>
                <w:bCs/>
                <w:sz w:val="22"/>
                <w:szCs w:val="28"/>
              </w:rPr>
            </w:pPr>
            <w:r>
              <w:rPr>
                <w:rFonts w:hint="eastAsia"/>
                <w:b/>
                <w:bCs/>
                <w:sz w:val="22"/>
                <w:szCs w:val="28"/>
              </w:rPr>
              <w:t>（一）环境</w:t>
            </w:r>
            <w:r>
              <w:rPr>
                <w:rFonts w:hint="eastAsia"/>
                <w:b/>
                <w:bCs/>
                <w:sz w:val="22"/>
                <w:szCs w:val="28"/>
                <w:lang w:val="en-US" w:eastAsia="zh-CN"/>
              </w:rPr>
              <w:t>防治</w:t>
            </w:r>
            <w:r>
              <w:rPr>
                <w:rFonts w:hint="eastAsia"/>
                <w:b/>
                <w:bCs/>
                <w:sz w:val="22"/>
                <w:szCs w:val="28"/>
              </w:rPr>
              <w:t>（院方负责）</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1.搞好校园环境卫生，生活垃圾日产日清。</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2.定期清理建筑物周边杂物，减少害虫孳生。</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3.绿化植物、草坪定期整形修剪，去除过密枝、枯枝、病虫枝，减少害虫孳生地。</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4.及时清理枯枝烂叶。</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5.房间尽可能安装防虫纱窗，避免害虫飞入室内。</w:t>
            </w:r>
          </w:p>
          <w:p>
            <w:pPr>
              <w:spacing w:line="560" w:lineRule="exact"/>
              <w:rPr>
                <w:b/>
                <w:bCs/>
                <w:sz w:val="22"/>
                <w:szCs w:val="28"/>
              </w:rPr>
            </w:pPr>
            <w:r>
              <w:rPr>
                <w:rFonts w:hint="eastAsia"/>
                <w:b/>
                <w:bCs/>
                <w:sz w:val="22"/>
                <w:szCs w:val="28"/>
              </w:rPr>
              <w:t>（二）化学</w:t>
            </w:r>
            <w:r>
              <w:rPr>
                <w:rFonts w:hint="eastAsia"/>
                <w:b/>
                <w:bCs/>
                <w:sz w:val="22"/>
                <w:szCs w:val="28"/>
                <w:lang w:val="en-US" w:eastAsia="zh-CN"/>
              </w:rPr>
              <w:t>防治</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1.全面检查室内室外害虫孳生源、巢穴或栖息地，了解害虫的种类，做好记录并贴好标签，确定防制的重点区域，根据环境的特点，科学的制定防制的方案。</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2.根据现场的虫情统计，做好使用药品、器械的准备工作，组织有专业资质的人员，开展一系列的消杀防治工作。</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3.施工现场，做好安全防范宣传工作，避免无关人员，进入消杀作业现场。</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4.遵守学院的规章制度，做到文明施工、安全施工。</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5.所用药品均符合国家允许并由爱卫办推荐使用的卫生级杀虫剂，符合高效低毒，对靶标害虫高效，对人畜安全的具有三证的合格产品。</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6.作业完成后，要做好警示标识，避免靠近或触摸施药区域。</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7.作业一周后，要进行效果检查评估，并进行查遗补漏，巩固消杀效果。</w:t>
            </w:r>
          </w:p>
          <w:p>
            <w:pPr>
              <w:spacing w:line="560" w:lineRule="exact"/>
              <w:jc w:val="lef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8.每月定期消杀一次，减少害虫孳生。</w:t>
            </w:r>
          </w:p>
          <w:p>
            <w:pPr>
              <w:spacing w:line="560" w:lineRule="exact"/>
              <w:rPr>
                <w:sz w:val="22"/>
                <w:szCs w:val="28"/>
              </w:rPr>
            </w:pPr>
            <w:r>
              <w:rPr>
                <w:rFonts w:hint="eastAsia" w:asciiTheme="minorEastAsia" w:hAnsiTheme="minorEastAsia" w:eastAsiaTheme="minorEastAsia"/>
                <w:b/>
                <w:bCs/>
                <w:sz w:val="22"/>
                <w:szCs w:val="28"/>
              </w:rPr>
              <w:t>（三）</w:t>
            </w:r>
            <w:r>
              <w:rPr>
                <w:rFonts w:hint="eastAsia" w:asciiTheme="minorEastAsia" w:hAnsiTheme="minorEastAsia" w:eastAsiaTheme="minorEastAsia"/>
                <w:b/>
                <w:sz w:val="22"/>
                <w:szCs w:val="28"/>
              </w:rPr>
              <w:t>防治标准：</w:t>
            </w:r>
            <w:r>
              <w:rPr>
                <w:rFonts w:hint="eastAsia" w:ascii="宋体" w:hAnsi="Times New Roman" w:eastAsia="宋体" w:cs="宋体"/>
                <w:kern w:val="2"/>
                <w:sz w:val="21"/>
                <w:szCs w:val="21"/>
                <w:lang w:val="en-US" w:eastAsia="zh-CN" w:bidi="ar-SA"/>
              </w:rPr>
              <w:t>达到检疫的标准，发现一处灭治一处，避免出现害虫泛滥成灾。</w:t>
            </w:r>
          </w:p>
          <w:p>
            <w:pPr>
              <w:spacing w:line="560" w:lineRule="exact"/>
              <w:rPr>
                <w:b/>
                <w:sz w:val="22"/>
                <w:szCs w:val="28"/>
              </w:rPr>
            </w:pPr>
            <w:r>
              <w:rPr>
                <w:rFonts w:hint="eastAsia"/>
                <w:b/>
                <w:sz w:val="22"/>
                <w:szCs w:val="28"/>
              </w:rPr>
              <w:t>六、服务频率</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1.每月全面消杀1次。</w:t>
            </w:r>
          </w:p>
          <w:p>
            <w:pPr>
              <w:spacing w:line="560" w:lineRule="exact"/>
              <w:rPr>
                <w:sz w:val="22"/>
                <w:szCs w:val="28"/>
              </w:rPr>
            </w:pPr>
            <w:r>
              <w:rPr>
                <w:rFonts w:hint="eastAsia" w:ascii="宋体" w:hAnsi="Times New Roman" w:eastAsia="宋体" w:cs="宋体"/>
                <w:kern w:val="2"/>
                <w:sz w:val="21"/>
                <w:szCs w:val="21"/>
                <w:lang w:val="en-US" w:eastAsia="zh-CN" w:bidi="ar-SA"/>
              </w:rPr>
              <w:t>2.如有突发虫情，可随叫随到，及时处理，降低危害风险系数。</w:t>
            </w:r>
          </w:p>
        </w:tc>
        <w:tc>
          <w:tcPr>
            <w:tcW w:w="708" w:type="dxa"/>
            <w:shd w:val="clear" w:color="auto" w:fill="auto"/>
            <w:vAlign w:val="center"/>
          </w:tcPr>
          <w:p>
            <w:pPr>
              <w:widowControl/>
              <w:rPr>
                <w:rFonts w:ascii="宋体" w:hAnsi="宋体" w:cs="宋体"/>
                <w:kern w:val="0"/>
              </w:rPr>
            </w:pPr>
          </w:p>
        </w:tc>
        <w:tc>
          <w:tcPr>
            <w:tcW w:w="709" w:type="dxa"/>
            <w:shd w:val="clear" w:color="auto" w:fill="auto"/>
            <w:vAlign w:val="center"/>
          </w:tcPr>
          <w:p>
            <w:pPr>
              <w:widowControl/>
              <w:rPr>
                <w:rFonts w:ascii="宋体" w:hAnsi="宋体" w:cs="宋体"/>
                <w:kern w:val="0"/>
              </w:rPr>
            </w:pPr>
          </w:p>
        </w:tc>
        <w:tc>
          <w:tcPr>
            <w:tcW w:w="992" w:type="dxa"/>
            <w:shd w:val="clear" w:color="auto" w:fill="auto"/>
            <w:vAlign w:val="center"/>
          </w:tcPr>
          <w:p>
            <w:pPr>
              <w:widowControl/>
              <w:jc w:val="center"/>
              <w:rPr>
                <w:rFonts w:ascii="宋体" w:hAnsi="宋体" w:cs="宋体"/>
                <w:kern w:val="0"/>
              </w:rPr>
            </w:pPr>
          </w:p>
        </w:tc>
      </w:tr>
      <w:bookmarkEnd w:id="11"/>
    </w:tbl>
    <w:p>
      <w:pPr>
        <w:tabs>
          <w:tab w:val="left" w:pos="420"/>
          <w:tab w:val="left" w:pos="540"/>
          <w:tab w:val="left" w:pos="574"/>
        </w:tabs>
        <w:spacing w:line="360" w:lineRule="auto"/>
        <w:outlineLvl w:val="0"/>
        <w:rPr>
          <w:rFonts w:ascii="宋体" w:hAnsi="宋体" w:cs="宋体"/>
          <w:b/>
          <w:bCs/>
        </w:rPr>
      </w:pPr>
      <w:r>
        <w:rPr>
          <w:rFonts w:ascii="宋体" w:hAnsi="宋体" w:cs="宋体"/>
          <w:b/>
          <w:bCs/>
        </w:rPr>
        <w:t>五、</w:t>
      </w:r>
      <w:r>
        <w:rPr>
          <w:rFonts w:hint="eastAsia" w:ascii="宋体" w:hAnsi="宋体" w:cs="宋体"/>
          <w:b/>
          <w:bCs/>
        </w:rPr>
        <w:t>商务要求</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 xml:space="preserve">★（一）合同签订期：自中标通知书发出之日起 </w:t>
      </w:r>
      <w:r>
        <w:rPr>
          <w:rFonts w:hint="eastAsia" w:ascii="宋体" w:hAnsi="Times New Roman" w:eastAsia="宋体" w:cs="宋体"/>
          <w:kern w:val="2"/>
          <w:sz w:val="21"/>
          <w:szCs w:val="21"/>
          <w:u w:val="single"/>
          <w:lang w:val="en-US" w:eastAsia="zh-CN" w:bidi="ar-SA"/>
        </w:rPr>
        <w:t>7</w:t>
      </w:r>
      <w:r>
        <w:rPr>
          <w:rFonts w:hint="eastAsia" w:ascii="宋体" w:hAnsi="Times New Roman" w:eastAsia="宋体" w:cs="宋体"/>
          <w:kern w:val="2"/>
          <w:sz w:val="21"/>
          <w:szCs w:val="21"/>
          <w:lang w:val="en-US" w:eastAsia="zh-CN" w:bidi="ar-SA"/>
        </w:rPr>
        <w:t>个工作日内。</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★（二）服务期：自合同签订之日起</w:t>
      </w:r>
      <w:r>
        <w:rPr>
          <w:rFonts w:hint="eastAsia" w:ascii="宋体" w:hAnsi="Times New Roman" w:eastAsia="宋体" w:cs="宋体"/>
          <w:kern w:val="2"/>
          <w:sz w:val="21"/>
          <w:szCs w:val="21"/>
          <w:u w:val="single"/>
          <w:lang w:val="en-US" w:eastAsia="zh-CN" w:bidi="ar-SA"/>
        </w:rPr>
        <w:t xml:space="preserve"> 1</w:t>
      </w:r>
      <w:r>
        <w:rPr>
          <w:rFonts w:hint="eastAsia" w:ascii="宋体" w:hAnsi="Times New Roman" w:eastAsia="宋体" w:cs="宋体"/>
          <w:kern w:val="2"/>
          <w:sz w:val="21"/>
          <w:szCs w:val="21"/>
          <w:lang w:val="en-US" w:eastAsia="zh-CN" w:bidi="ar-SA"/>
        </w:rPr>
        <w:t>年。</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（三）交货地点：采购人指定地点。</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（四）交货方式：现场交货。</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（五）售后服务要求：</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1.故障响应时间：中标供应商应接到故障通知后在 2 小时内到采购人指定现场，按国家及行业标准对故障进行及时处理。</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3.免费送货上门、安装、调试，免费培训使用人员和维护人员。</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（六）其他要求：</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★1.投标报价为采购人指定地点的现场交货价，包括：</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（1）服务及药物的价格；</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（2）必要的保险费用和各项税金；</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（3）售后服务费、运输费、投药服务费、包器械、包服务、培训、技术支持、灭前灭后监测、病媒生物数据采集、包达标等全部费用。</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（4）到现场验收的费用。</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★2.付款方式：本项目无预付款，供应商交货完毕并验收合格即日起15个工作日内，采购人向中标供应商分两次进行支付，每半年支付一次合同款。</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3.投标人可自行前往踏勘。</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4.本项目不得转包，未经采购人同意不得分包。如发现中标人擅自分包或转包，采购人可单方面终止合同，并对中标人收取承包价3%的违约金。</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5.中标人必须保证消杀效果，如因消杀效果达不到消杀标准要求，采购人有权拒绝支付本项目服务款项。</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6.在中标区域单位内如有“四害”密度（达不到国家“四害”控制C级标准）超标，被南宁市创卫办督办的，中标人要及时（一般在当天）组织整改，如在同一区域单位被两次督办同一问题，将按中标价的1%进行处罚，依此类推。</w:t>
      </w:r>
    </w:p>
    <w:p>
      <w:pPr>
        <w:spacing w:line="560" w:lineRule="exact"/>
        <w:rPr>
          <w:rFonts w:hint="eastAsia" w:ascii="宋体" w:hAnsi="Times New Roman" w:eastAsia="宋体" w:cs="宋体"/>
          <w:kern w:val="2"/>
          <w:sz w:val="21"/>
          <w:szCs w:val="21"/>
          <w:lang w:val="en-US" w:eastAsia="zh-CN" w:bidi="ar-SA"/>
        </w:rPr>
      </w:pPr>
      <w:r>
        <w:rPr>
          <w:rFonts w:hint="eastAsia" w:ascii="宋体" w:hAnsi="Times New Roman" w:eastAsia="宋体" w:cs="宋体"/>
          <w:kern w:val="2"/>
          <w:sz w:val="21"/>
          <w:szCs w:val="21"/>
          <w:lang w:val="en-US" w:eastAsia="zh-CN" w:bidi="ar-SA"/>
        </w:rPr>
        <w:t>7.用药要求：所选用的药品要按照用药及主要技术参数明细表的技术参数来选用，即有效成分、含量和剂型符合要求。</w:t>
      </w:r>
    </w:p>
    <w:p/>
    <w:p>
      <w:pPr>
        <w:snapToGrid w:val="0"/>
        <w:spacing w:line="360" w:lineRule="auto"/>
        <w:ind w:firstLine="420" w:firstLineChars="200"/>
        <w:rPr>
          <w:rFonts w:ascii="宋体" w:hAnsi="Times New Roman" w:cs="宋体"/>
        </w:rPr>
      </w:pPr>
    </w:p>
    <w:p>
      <w:pPr>
        <w:spacing w:line="360" w:lineRule="auto"/>
        <w:jc w:val="center"/>
        <w:rPr>
          <w:rFonts w:ascii="方正小标宋_GBK" w:eastAsia="方正小标宋_GBK" w:cs="黑体"/>
          <w:sz w:val="32"/>
          <w:szCs w:val="32"/>
        </w:rPr>
      </w:pPr>
    </w:p>
    <w:p>
      <w:pPr>
        <w:spacing w:line="360" w:lineRule="auto"/>
        <w:jc w:val="center"/>
        <w:rPr>
          <w:rFonts w:ascii="方正小标宋_GBK" w:eastAsia="方正小标宋_GBK" w:cs="黑体"/>
          <w:sz w:val="32"/>
          <w:szCs w:val="32"/>
        </w:rPr>
      </w:pPr>
      <w:r>
        <w:rPr>
          <w:rFonts w:hint="eastAsia" w:ascii="方正小标宋_GBK" w:eastAsia="方正小标宋_GBK" w:cs="黑体"/>
          <w:sz w:val="32"/>
          <w:szCs w:val="32"/>
        </w:rPr>
        <w:t>第三章 询价须知</w:t>
      </w:r>
      <w:bookmarkEnd w:id="8"/>
    </w:p>
    <w:p>
      <w:pPr>
        <w:pStyle w:val="3"/>
        <w:adjustRightInd w:val="0"/>
        <w:snapToGrid w:val="0"/>
        <w:spacing w:line="360" w:lineRule="auto"/>
        <w:jc w:val="center"/>
        <w:rPr>
          <w:sz w:val="30"/>
          <w:szCs w:val="30"/>
        </w:rPr>
      </w:pPr>
      <w:bookmarkStart w:id="12" w:name="_Toc454458053"/>
      <w:bookmarkStart w:id="13" w:name="_Toc448133309"/>
      <w:bookmarkStart w:id="14" w:name="_Toc453493032"/>
      <w:r>
        <w:rPr>
          <w:rFonts w:hint="eastAsia" w:cs="宋体"/>
          <w:sz w:val="30"/>
          <w:szCs w:val="30"/>
        </w:rPr>
        <w:t>一、总则</w:t>
      </w:r>
      <w:bookmarkEnd w:id="12"/>
      <w:bookmarkEnd w:id="13"/>
      <w:bookmarkEnd w:id="14"/>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1.定义</w:t>
      </w:r>
    </w:p>
    <w:p>
      <w:pPr>
        <w:adjustRightInd w:val="0"/>
        <w:snapToGrid w:val="0"/>
        <w:spacing w:line="360" w:lineRule="auto"/>
        <w:ind w:firstLine="420" w:firstLineChars="200"/>
        <w:rPr>
          <w:rFonts w:ascii="宋体" w:hAnsi="Times New Roman" w:cs="宋体"/>
        </w:rPr>
      </w:pPr>
      <w:r>
        <w:rPr>
          <w:rFonts w:hint="eastAsia" w:ascii="宋体" w:hAnsi="宋体" w:cs="宋体"/>
        </w:rPr>
        <w:t>1.1货物：指供应商为满足《采购需求书》要求而提供的所有货物。</w:t>
      </w:r>
    </w:p>
    <w:p>
      <w:pPr>
        <w:adjustRightInd w:val="0"/>
        <w:snapToGrid w:val="0"/>
        <w:spacing w:line="360" w:lineRule="auto"/>
        <w:ind w:firstLine="420" w:firstLineChars="200"/>
        <w:rPr>
          <w:rFonts w:ascii="宋体" w:hAnsi="Times New Roman" w:cs="宋体"/>
        </w:rPr>
      </w:pPr>
      <w:r>
        <w:rPr>
          <w:rFonts w:hint="eastAsia" w:ascii="宋体" w:hAnsi="宋体" w:cs="宋体"/>
        </w:rPr>
        <w:t>1.2采购人：</w:t>
      </w:r>
      <w:r>
        <w:rPr>
          <w:rFonts w:hint="eastAsia" w:ascii="Times New Roman" w:hAnsi="Times New Roman" w:cs="宋体"/>
        </w:rPr>
        <w:t>广西南宁技师学院。</w:t>
      </w:r>
    </w:p>
    <w:p>
      <w:pPr>
        <w:adjustRightInd w:val="0"/>
        <w:snapToGrid w:val="0"/>
        <w:spacing w:line="360" w:lineRule="auto"/>
        <w:ind w:firstLine="420" w:firstLineChars="200"/>
        <w:rPr>
          <w:rFonts w:ascii="宋体" w:hAnsi="Times New Roman" w:cs="宋体"/>
        </w:rPr>
      </w:pPr>
      <w:r>
        <w:rPr>
          <w:rFonts w:hint="eastAsia" w:ascii="宋体" w:hAnsi="宋体" w:cs="宋体"/>
        </w:rPr>
        <w:t>1.3供应商：指</w:t>
      </w:r>
      <w:r>
        <w:rPr>
          <w:rFonts w:hint="eastAsia" w:ascii="宋体" w:hAnsi="宋体" w:cs="宋体"/>
          <w:lang w:eastAsia="zh-TW"/>
        </w:rPr>
        <w:t>响应</w:t>
      </w:r>
      <w:r>
        <w:rPr>
          <w:rFonts w:hint="eastAsia" w:ascii="宋体" w:hAnsi="宋体" w:cs="宋体"/>
        </w:rPr>
        <w:t>询价文件</w:t>
      </w:r>
      <w:r>
        <w:rPr>
          <w:rFonts w:hint="eastAsia" w:ascii="宋体" w:hAnsi="宋体" w:cs="宋体"/>
          <w:lang w:eastAsia="zh-TW"/>
        </w:rPr>
        <w:t>并且符合规定资格条件和参加竞争的法人、其他组织或者自然人。</w:t>
      </w:r>
    </w:p>
    <w:p>
      <w:pPr>
        <w:adjustRightInd w:val="0"/>
        <w:snapToGrid w:val="0"/>
        <w:spacing w:line="360" w:lineRule="auto"/>
        <w:ind w:firstLine="420" w:firstLineChars="200"/>
        <w:rPr>
          <w:rFonts w:ascii="宋体" w:hAnsi="Times New Roman" w:cs="宋体"/>
        </w:rPr>
      </w:pPr>
      <w:r>
        <w:rPr>
          <w:rFonts w:hint="eastAsia" w:ascii="宋体" w:hAnsi="宋体" w:cs="宋体"/>
        </w:rPr>
        <w:t>1.4</w:t>
      </w:r>
      <w:r>
        <w:rPr>
          <w:rFonts w:hint="eastAsia" w:ascii="Times New Roman" w:hAnsi="Times New Roman" w:cs="宋体"/>
        </w:rPr>
        <w:t>监管管理部门：</w:t>
      </w:r>
      <w:r>
        <w:rPr>
          <w:rFonts w:hint="eastAsia" w:ascii="宋体" w:hAnsi="宋体" w:cs="宋体"/>
        </w:rPr>
        <w:t>广西南宁技师学院党委办公室。</w:t>
      </w:r>
    </w:p>
    <w:p>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5</w:t>
      </w:r>
      <w:r>
        <w:rPr>
          <w:rFonts w:hint="eastAsia" w:ascii="宋体" w:hAnsi="宋体" w:cs="宋体"/>
        </w:rPr>
        <w:t>询价小组：由3人以上单数组成，由项目使用部门代表及与本采购项目相关专业教师中随机抽取的专家组成，专门负责本次谈询价评审工作的临时性机构（其成员称为评委）</w:t>
      </w:r>
      <w:r>
        <w:rPr>
          <w:rFonts w:hint="eastAsia" w:ascii="宋体" w:hAnsi="宋体" w:cs="宋体"/>
          <w:color w:val="000000"/>
        </w:rPr>
        <w:t>；</w:t>
      </w:r>
    </w:p>
    <w:p>
      <w:pPr>
        <w:adjustRightInd w:val="0"/>
        <w:snapToGrid w:val="0"/>
        <w:spacing w:line="360" w:lineRule="auto"/>
        <w:ind w:firstLine="420" w:firstLineChars="200"/>
        <w:rPr>
          <w:rFonts w:ascii="宋体" w:hAnsi="宋体" w:cs="宋体"/>
          <w:color w:val="000000"/>
        </w:rPr>
      </w:pPr>
      <w:r>
        <w:rPr>
          <w:rFonts w:hint="eastAsia" w:ascii="宋体" w:hAnsi="宋体" w:cs="宋体"/>
        </w:rPr>
        <w:t>1.</w:t>
      </w:r>
      <w:r>
        <w:rPr>
          <w:rFonts w:ascii="宋体" w:hAnsi="宋体" w:cs="宋体"/>
        </w:rPr>
        <w:t>6</w:t>
      </w:r>
      <w:r>
        <w:rPr>
          <w:rFonts w:hint="eastAsia" w:ascii="宋体" w:hAnsi="宋体" w:cs="宋体"/>
        </w:rPr>
        <w:t>实质性响应：</w:t>
      </w:r>
      <w:r>
        <w:rPr>
          <w:rFonts w:hint="eastAsia" w:ascii="宋体" w:hAnsi="宋体" w:cs="宋体"/>
          <w:color w:val="000000"/>
        </w:rPr>
        <w:t>是指符合</w:t>
      </w:r>
      <w:r>
        <w:rPr>
          <w:rFonts w:hint="eastAsia" w:ascii="宋体" w:hAnsi="宋体" w:cs="宋体"/>
        </w:rPr>
        <w:t>询价</w:t>
      </w:r>
      <w:r>
        <w:rPr>
          <w:rFonts w:hint="eastAsia" w:ascii="宋体" w:hAnsi="宋体" w:cs="宋体"/>
          <w:color w:val="000000"/>
        </w:rPr>
        <w:t>文件实质性条款的要求。</w:t>
      </w:r>
    </w:p>
    <w:p>
      <w:pPr>
        <w:adjustRightInd w:val="0"/>
        <w:snapToGrid w:val="0"/>
        <w:spacing w:line="360" w:lineRule="auto"/>
        <w:ind w:firstLine="420" w:firstLineChars="200"/>
        <w:rPr>
          <w:rFonts w:ascii="宋体" w:hAnsi="Times New Roman" w:cs="宋体"/>
          <w:color w:val="000000"/>
        </w:rPr>
      </w:pPr>
      <w:r>
        <w:rPr>
          <w:rFonts w:hint="eastAsia" w:ascii="宋体" w:hAnsi="宋体" w:cs="宋体"/>
        </w:rPr>
        <w:t>1.</w:t>
      </w:r>
      <w:r>
        <w:rPr>
          <w:rFonts w:ascii="宋体" w:hAnsi="宋体" w:cs="宋体"/>
        </w:rPr>
        <w:t>7</w:t>
      </w:r>
      <w:r>
        <w:rPr>
          <w:rFonts w:hint="eastAsia" w:ascii="宋体" w:hAnsi="宋体" w:cs="宋体"/>
          <w:color w:val="000000"/>
        </w:rPr>
        <w:t>重大偏离或保留：是指影响到询价文件规定的货物</w:t>
      </w:r>
      <w:r>
        <w:rPr>
          <w:rFonts w:hint="eastAsia" w:ascii="宋体" w:hAnsi="宋体" w:cs="宋体"/>
        </w:rPr>
        <w:t>和质量或限制了采购人的权利和响应供应商的义务的规定，而纠正这些偏离将影响到其它响应供应商的公平竞争地位。</w:t>
      </w:r>
    </w:p>
    <w:p>
      <w:pPr>
        <w:adjustRightInd w:val="0"/>
        <w:snapToGrid w:val="0"/>
        <w:spacing w:line="360" w:lineRule="auto"/>
        <w:ind w:firstLine="420" w:firstLineChars="200"/>
        <w:rPr>
          <w:rFonts w:cs="宋体"/>
          <w:color w:val="000000"/>
        </w:rPr>
      </w:pPr>
      <w:r>
        <w:rPr>
          <w:rFonts w:hint="eastAsia" w:ascii="宋体" w:hAnsi="宋体" w:cs="宋体"/>
          <w:color w:val="000000"/>
        </w:rPr>
        <w:t>1.</w:t>
      </w:r>
      <w:r>
        <w:rPr>
          <w:rFonts w:ascii="宋体" w:hAnsi="宋体" w:cs="宋体"/>
          <w:color w:val="000000"/>
        </w:rPr>
        <w:t>8</w:t>
      </w:r>
      <w:r>
        <w:rPr>
          <w:rFonts w:hint="eastAsia" w:ascii="Times New Roman" w:hAnsi="Times New Roman" w:cs="宋体"/>
          <w:color w:val="000000"/>
        </w:rPr>
        <w:t>日期、天数、时间：无特别说明时是指公历日及北京时间。</w:t>
      </w:r>
      <w:r>
        <w:rPr>
          <w:rFonts w:cs="宋体"/>
          <w:b/>
          <w:color w:val="000000"/>
        </w:rPr>
        <w:t xml:space="preserve"> </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2.适用范围</w:t>
      </w:r>
    </w:p>
    <w:p>
      <w:pPr>
        <w:autoSpaceDE w:val="0"/>
        <w:autoSpaceDN w:val="0"/>
        <w:adjustRightInd w:val="0"/>
        <w:snapToGrid w:val="0"/>
        <w:spacing w:line="360" w:lineRule="auto"/>
        <w:ind w:firstLine="420" w:firstLineChars="200"/>
        <w:rPr>
          <w:rFonts w:ascii="宋体" w:hAnsi="Times New Roman" w:cs="宋体"/>
          <w:color w:val="FF0000"/>
        </w:rPr>
      </w:pPr>
      <w:r>
        <w:rPr>
          <w:rFonts w:hint="eastAsia" w:ascii="宋体" w:hAnsi="宋体" w:cs="宋体"/>
        </w:rPr>
        <w:t>2.1本询价文件</w:t>
      </w:r>
      <w:r>
        <w:rPr>
          <w:rFonts w:hint="eastAsia" w:ascii="宋体" w:hAnsi="宋体" w:cs="宋体"/>
          <w:color w:val="000000"/>
        </w:rPr>
        <w:t>依据《中华人民共和国政府采购法》及其实施条例和相关的法规、规章编制。</w:t>
      </w:r>
    </w:p>
    <w:p>
      <w:pPr>
        <w:adjustRightInd w:val="0"/>
        <w:snapToGrid w:val="0"/>
        <w:spacing w:line="360" w:lineRule="auto"/>
        <w:ind w:firstLine="420" w:firstLineChars="200"/>
        <w:rPr>
          <w:rFonts w:ascii="宋体" w:hAnsi="Times New Roman" w:cs="宋体"/>
        </w:rPr>
      </w:pPr>
      <w:r>
        <w:rPr>
          <w:rFonts w:hint="eastAsia" w:ascii="宋体" w:hAnsi="宋体" w:cs="宋体"/>
        </w:rPr>
        <w:t>2.2采购人、供应商各方当事人适用本须知。</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3.参加询价活动费用：</w:t>
      </w:r>
    </w:p>
    <w:p>
      <w:pPr>
        <w:adjustRightInd w:val="0"/>
        <w:snapToGrid w:val="0"/>
        <w:spacing w:line="360" w:lineRule="auto"/>
        <w:ind w:firstLine="420" w:firstLineChars="200"/>
        <w:outlineLvl w:val="2"/>
        <w:rPr>
          <w:rFonts w:ascii="宋体" w:hAnsi="Times New Roman" w:cs="宋体"/>
        </w:rPr>
      </w:pPr>
      <w:r>
        <w:rPr>
          <w:rFonts w:hint="eastAsia" w:ascii="宋体" w:hAnsi="宋体" w:cs="宋体"/>
          <w:color w:val="000000"/>
        </w:rPr>
        <w:t>供应商编写和提交询价响应文件及参加本次询价活动有关的所有费用由供应商承担，不论询价结果如何，采购人均不承担上述费用。</w:t>
      </w:r>
    </w:p>
    <w:p>
      <w:pPr>
        <w:adjustRightInd w:val="0"/>
        <w:snapToGrid w:val="0"/>
        <w:spacing w:line="360" w:lineRule="auto"/>
        <w:ind w:firstLine="413" w:firstLineChars="196"/>
        <w:outlineLvl w:val="2"/>
        <w:rPr>
          <w:rFonts w:ascii="宋体" w:hAnsi="Times New Roman" w:cs="宋体"/>
        </w:rPr>
      </w:pPr>
      <w:r>
        <w:rPr>
          <w:rFonts w:hint="eastAsia" w:ascii="宋体" w:hAnsi="宋体" w:cs="宋体"/>
          <w:b/>
        </w:rPr>
        <w:t>4.其他</w:t>
      </w:r>
    </w:p>
    <w:p>
      <w:pPr>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pPr>
        <w:autoSpaceDE w:val="0"/>
        <w:autoSpaceDN w:val="0"/>
        <w:adjustRightInd w:val="0"/>
        <w:snapToGrid w:val="0"/>
        <w:spacing w:line="360" w:lineRule="auto"/>
        <w:ind w:firstLine="420" w:firstLineChars="200"/>
      </w:pPr>
    </w:p>
    <w:p>
      <w:pPr>
        <w:pStyle w:val="3"/>
        <w:adjustRightInd w:val="0"/>
        <w:snapToGrid w:val="0"/>
        <w:spacing w:line="360" w:lineRule="auto"/>
        <w:jc w:val="center"/>
        <w:rPr>
          <w:sz w:val="30"/>
          <w:szCs w:val="30"/>
        </w:rPr>
      </w:pPr>
      <w:bookmarkStart w:id="15" w:name="_Toc454458054"/>
      <w:bookmarkStart w:id="16" w:name="_Toc448133310"/>
      <w:bookmarkStart w:id="17" w:name="_Toc453493033"/>
      <w:r>
        <w:rPr>
          <w:rFonts w:hint="eastAsia" w:cs="宋体"/>
          <w:sz w:val="30"/>
          <w:szCs w:val="30"/>
        </w:rPr>
        <w:t>二、询价</w:t>
      </w:r>
      <w:bookmarkEnd w:id="15"/>
      <w:bookmarkEnd w:id="16"/>
      <w:bookmarkEnd w:id="17"/>
      <w:r>
        <w:rPr>
          <w:rFonts w:hint="eastAsia" w:cs="宋体"/>
          <w:sz w:val="30"/>
          <w:szCs w:val="30"/>
        </w:rPr>
        <w:t>文件</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5.询价文件的组成</w:t>
      </w:r>
    </w:p>
    <w:p>
      <w:pPr>
        <w:adjustRightInd w:val="0"/>
        <w:snapToGrid w:val="0"/>
        <w:spacing w:line="360" w:lineRule="auto"/>
        <w:ind w:firstLine="420" w:firstLineChars="200"/>
        <w:rPr>
          <w:rFonts w:ascii="宋体" w:hAnsi="Times New Roman" w:cs="宋体"/>
          <w:b/>
        </w:rPr>
      </w:pPr>
      <w:r>
        <w:rPr>
          <w:rFonts w:hint="eastAsia" w:ascii="宋体" w:hAnsi="宋体" w:cs="宋体"/>
        </w:rPr>
        <w:t>5.1询价文件包括：</w:t>
      </w:r>
    </w:p>
    <w:p>
      <w:pPr>
        <w:adjustRightInd w:val="0"/>
        <w:snapToGrid w:val="0"/>
        <w:spacing w:line="360" w:lineRule="auto"/>
        <w:ind w:firstLine="420" w:firstLineChars="200"/>
        <w:rPr>
          <w:rFonts w:ascii="宋体" w:hAnsi="Times New Roman" w:cs="宋体"/>
        </w:rPr>
      </w:pPr>
      <w:r>
        <w:rPr>
          <w:rFonts w:hint="eastAsia" w:ascii="宋体" w:hAnsi="宋体" w:cs="宋体"/>
        </w:rPr>
        <w:t>5.1.1询价邀请函</w:t>
      </w:r>
    </w:p>
    <w:p>
      <w:pPr>
        <w:adjustRightInd w:val="0"/>
        <w:snapToGrid w:val="0"/>
        <w:spacing w:line="360" w:lineRule="auto"/>
        <w:ind w:firstLine="420" w:firstLineChars="200"/>
        <w:rPr>
          <w:rFonts w:ascii="宋体" w:hAnsi="Times New Roman" w:cs="宋体"/>
        </w:rPr>
      </w:pPr>
      <w:r>
        <w:rPr>
          <w:rFonts w:hint="eastAsia" w:ascii="宋体" w:hAnsi="宋体" w:cs="宋体"/>
        </w:rPr>
        <w:t>5.1.2采购需求书</w:t>
      </w:r>
    </w:p>
    <w:p>
      <w:pPr>
        <w:adjustRightInd w:val="0"/>
        <w:snapToGrid w:val="0"/>
        <w:spacing w:line="360" w:lineRule="auto"/>
        <w:ind w:firstLine="420" w:firstLineChars="200"/>
        <w:rPr>
          <w:rFonts w:ascii="宋体" w:hAnsi="Times New Roman" w:cs="宋体"/>
        </w:rPr>
      </w:pPr>
      <w:r>
        <w:rPr>
          <w:rFonts w:hint="eastAsia" w:ascii="宋体" w:hAnsi="宋体" w:cs="宋体"/>
        </w:rPr>
        <w:t>5.1.3询价须知</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4</w:t>
      </w:r>
      <w:r>
        <w:rPr>
          <w:rFonts w:hint="eastAsia" w:ascii="宋体" w:hAnsi="宋体" w:cs="宋体"/>
        </w:rPr>
        <w:t>合同条款</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5</w:t>
      </w:r>
      <w:r>
        <w:rPr>
          <w:rFonts w:hint="eastAsia" w:ascii="宋体" w:hAnsi="宋体" w:cs="宋体"/>
        </w:rPr>
        <w:t>响应文件格式</w:t>
      </w:r>
    </w:p>
    <w:p>
      <w:pPr>
        <w:adjustRightInd w:val="0"/>
        <w:snapToGrid w:val="0"/>
        <w:spacing w:line="360" w:lineRule="auto"/>
        <w:ind w:firstLine="420" w:firstLineChars="200"/>
        <w:rPr>
          <w:rFonts w:ascii="宋体" w:hAnsi="Times New Roman" w:cs="宋体"/>
        </w:rPr>
      </w:pPr>
      <w:r>
        <w:rPr>
          <w:rFonts w:hint="eastAsia" w:ascii="宋体" w:hAnsi="宋体" w:cs="宋体"/>
        </w:rPr>
        <w:t>5.2供应商应认真阅读询价文件中所有的事项、格式、条款和规范等要求。如果供应商没有按照询价文件要求提交全部资料，或者响应文件没有对询价文件做出实质性响应，由此造成的后果由供应商负责。</w:t>
      </w:r>
    </w:p>
    <w:p>
      <w:pPr>
        <w:adjustRightInd w:val="0"/>
        <w:snapToGrid w:val="0"/>
        <w:spacing w:line="360" w:lineRule="auto"/>
        <w:ind w:firstLine="420" w:firstLineChars="200"/>
        <w:rPr>
          <w:rFonts w:ascii="宋体" w:hAnsi="Times New Roman" w:cs="宋体"/>
        </w:rPr>
      </w:pPr>
      <w:r>
        <w:rPr>
          <w:rFonts w:hint="eastAsia" w:ascii="宋体" w:hAnsi="宋体" w:cs="宋体"/>
        </w:rPr>
        <w:t>5.3采购人保留对询价过程的保密，对成交结果不作任何解释的权利。</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6.询价文件的澄清或修改</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color w:val="000000"/>
        </w:rPr>
        <w:t>6.1任何要求对询价</w:t>
      </w:r>
      <w:bookmarkStart w:id="18" w:name="_Hlk42786655"/>
      <w:r>
        <w:rPr>
          <w:rFonts w:hint="eastAsia" w:ascii="宋体" w:hAnsi="宋体" w:cs="宋体"/>
          <w:color w:val="000000"/>
        </w:rPr>
        <w:t>文件</w:t>
      </w:r>
      <w:bookmarkEnd w:id="18"/>
      <w:r>
        <w:rPr>
          <w:rFonts w:hint="eastAsia" w:ascii="宋体" w:hAnsi="宋体" w:cs="宋体"/>
          <w:color w:val="000000"/>
        </w:rPr>
        <w:t>进行澄</w:t>
      </w:r>
      <w:r>
        <w:rPr>
          <w:rFonts w:hint="eastAsia" w:ascii="宋体" w:hAnsi="宋体" w:cs="宋体"/>
        </w:rPr>
        <w:t>清的供应商，均应以书面形式通知采购人。采购人收到对询价</w:t>
      </w:r>
      <w:r>
        <w:rPr>
          <w:rFonts w:hint="eastAsia" w:ascii="宋体" w:hAnsi="宋体" w:cs="宋体"/>
          <w:color w:val="000000"/>
        </w:rPr>
        <w:t>文件</w:t>
      </w:r>
      <w:r>
        <w:rPr>
          <w:rFonts w:hint="eastAsia" w:ascii="宋体" w:hAnsi="宋体" w:cs="宋体"/>
        </w:rPr>
        <w:t>的澄清要求将以书面形式答复，同时将书面答复以公告形式告知每位供应商（答复不包括问题的来源）；</w:t>
      </w:r>
    </w:p>
    <w:p>
      <w:pPr>
        <w:snapToGrid w:val="0"/>
        <w:spacing w:line="360" w:lineRule="auto"/>
        <w:rPr>
          <w:rFonts w:ascii="宋体" w:hAnsi="Times New Roman" w:cs="宋体"/>
          <w:color w:val="000000"/>
        </w:rPr>
      </w:pPr>
      <w:r>
        <w:rPr>
          <w:rFonts w:hint="eastAsia" w:ascii="宋体" w:hAnsi="宋体" w:cs="宋体"/>
          <w:color w:val="000000"/>
        </w:rPr>
        <w:t xml:space="preserve">    6.2在询价开始前或在解答供应商提出的需澄清问题时，采购人可主动对询价文件进行修改；</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6.3询价文件的澄清和修改均以公告形式通知所有供应商。该澄清和修改文件是询价文件的组成部分，对供应商具有约束力；</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4</w:t>
      </w:r>
      <w:r>
        <w:rPr>
          <w:rFonts w:hint="eastAsia" w:ascii="宋体" w:hAnsi="宋体" w:cs="宋体"/>
          <w:color w:val="000000"/>
        </w:rPr>
        <w:t>采购人可视情况延长询价开始时间和询价评审时间，并将此变更通知所有询价供应商。在推迟询价开始时间情况下，采购人和供应商受询价开始时间制约的所有权利和义务均延长至新的截止时间；</w:t>
      </w:r>
    </w:p>
    <w:p>
      <w:pPr>
        <w:snapToGrid w:val="0"/>
        <w:spacing w:line="360" w:lineRule="auto"/>
        <w:rPr>
          <w:rFonts w:ascii="宋体" w:hAnsi="Times New Roman" w:cs="宋体"/>
          <w:color w:val="000000"/>
        </w:rPr>
      </w:pPr>
      <w:r>
        <w:rPr>
          <w:rFonts w:hint="eastAsia" w:ascii="宋体" w:hAnsi="宋体" w:cs="宋体"/>
          <w:color w:val="000000"/>
        </w:rPr>
        <w:t xml:space="preserve">    6.</w:t>
      </w:r>
      <w:r>
        <w:rPr>
          <w:rFonts w:ascii="宋体" w:hAnsi="宋体" w:cs="宋体"/>
          <w:color w:val="000000"/>
        </w:rPr>
        <w:t>5</w:t>
      </w:r>
      <w:r>
        <w:rPr>
          <w:rFonts w:hint="eastAsia" w:ascii="宋体" w:hAnsi="宋体" w:cs="宋体"/>
          <w:color w:val="000000"/>
        </w:rPr>
        <w:t>询价过程中，询价文件内容如有实质性变更，询价小组应以书面形式通知所有参与询价的供应商。若供应商对此类实质性变更不予接受，可以要求退出询价，否则将被视为接受此变更并受其约束。</w:t>
      </w:r>
    </w:p>
    <w:p>
      <w:pPr>
        <w:snapToGrid w:val="0"/>
        <w:spacing w:line="360" w:lineRule="auto"/>
        <w:ind w:firstLine="413" w:firstLineChars="196"/>
        <w:rPr>
          <w:rFonts w:ascii="宋体" w:hAnsi="Times New Roman" w:cs="宋体"/>
          <w:b/>
          <w:color w:val="000000"/>
        </w:rPr>
      </w:pPr>
      <w:r>
        <w:rPr>
          <w:rFonts w:hint="eastAsia" w:ascii="宋体" w:hAnsi="宋体" w:cs="宋体"/>
          <w:b/>
          <w:color w:val="000000"/>
        </w:rPr>
        <w:t>7.询价文件的解释权</w:t>
      </w:r>
    </w:p>
    <w:p>
      <w:pPr>
        <w:snapToGrid w:val="0"/>
        <w:spacing w:line="360" w:lineRule="auto"/>
        <w:ind w:firstLine="420" w:firstLineChars="200"/>
      </w:pPr>
      <w:r>
        <w:rPr>
          <w:rFonts w:hint="eastAsia" w:ascii="宋体" w:hAnsi="宋体" w:cs="宋体"/>
          <w:color w:val="000000"/>
        </w:rPr>
        <w:t>本询价文件的</w:t>
      </w:r>
      <w:r>
        <w:rPr>
          <w:rFonts w:hint="eastAsia" w:ascii="Times New Roman" w:hAnsi="Times New Roman" w:cs="宋体"/>
        </w:rPr>
        <w:t>解释权归“广西南宁技师学院”所有。</w:t>
      </w:r>
    </w:p>
    <w:p>
      <w:pPr>
        <w:snapToGrid w:val="0"/>
        <w:spacing w:line="360" w:lineRule="auto"/>
        <w:ind w:firstLine="420" w:firstLineChars="200"/>
      </w:pPr>
    </w:p>
    <w:p>
      <w:pPr>
        <w:pStyle w:val="3"/>
        <w:adjustRightInd w:val="0"/>
        <w:snapToGrid w:val="0"/>
        <w:spacing w:line="360" w:lineRule="auto"/>
        <w:jc w:val="center"/>
        <w:rPr>
          <w:sz w:val="30"/>
          <w:szCs w:val="30"/>
        </w:rPr>
      </w:pPr>
      <w:bookmarkStart w:id="19" w:name="_Toc453493034"/>
      <w:bookmarkStart w:id="20" w:name="_Toc454458055"/>
      <w:bookmarkStart w:id="21" w:name="_Toc448133311"/>
      <w:r>
        <w:rPr>
          <w:rFonts w:hint="eastAsia" w:cs="宋体"/>
          <w:sz w:val="30"/>
          <w:szCs w:val="30"/>
        </w:rPr>
        <w:t>三、响应文件的编制</w:t>
      </w:r>
      <w:bookmarkEnd w:id="19"/>
      <w:bookmarkEnd w:id="20"/>
      <w:bookmarkEnd w:id="21"/>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8.响应文件的语言及计量</w:t>
      </w:r>
    </w:p>
    <w:p>
      <w:pPr>
        <w:adjustRightInd w:val="0"/>
        <w:snapToGrid w:val="0"/>
        <w:spacing w:line="360" w:lineRule="auto"/>
        <w:ind w:firstLine="420" w:firstLineChars="200"/>
        <w:outlineLvl w:val="2"/>
        <w:rPr>
          <w:rFonts w:ascii="宋体" w:hAnsi="Times New Roman" w:cs="宋体"/>
          <w:b/>
        </w:rPr>
      </w:pPr>
      <w:r>
        <w:rPr>
          <w:rFonts w:hint="eastAsia" w:ascii="宋体" w:hAnsi="宋体" w:cs="宋体"/>
          <w:color w:val="000000"/>
        </w:rPr>
        <w:t>8.1</w:t>
      </w:r>
      <w:r>
        <w:rPr>
          <w:rFonts w:hint="eastAsia" w:ascii="宋体" w:hAnsi="宋体" w:cs="宋体"/>
          <w:lang w:eastAsia="zh-TW"/>
        </w:rPr>
        <w:t>响应文件以及供应商与采购人就有关</w:t>
      </w:r>
      <w:r>
        <w:rPr>
          <w:rFonts w:hint="eastAsia" w:ascii="宋体" w:hAnsi="宋体" w:cs="宋体"/>
        </w:rPr>
        <w:t>询价</w:t>
      </w:r>
      <w:r>
        <w:rPr>
          <w:rFonts w:hint="eastAsia" w:ascii="宋体" w:hAnsi="宋体" w:cs="宋体"/>
          <w:lang w:eastAsia="zh-TW"/>
        </w:rPr>
        <w:t>的所有往来函电均应以中文书写；</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8.2</w:t>
      </w:r>
      <w:r>
        <w:rPr>
          <w:rFonts w:hint="eastAsia" w:ascii="宋体" w:hAnsi="宋体" w:cs="宋体"/>
          <w:lang w:eastAsia="zh-TW"/>
        </w:rPr>
        <w:t>除</w:t>
      </w:r>
      <w:r>
        <w:rPr>
          <w:rFonts w:hint="eastAsia" w:ascii="宋体" w:hAnsi="宋体" w:cs="宋体"/>
        </w:rPr>
        <w:t>询价文件</w:t>
      </w:r>
      <w:r>
        <w:rPr>
          <w:rFonts w:hint="eastAsia" w:ascii="宋体" w:hAnsi="宋体" w:cs="宋体"/>
          <w:lang w:eastAsia="zh-TW"/>
        </w:rPr>
        <w:t>另有规定外，供应商在响应文件中及其与采购人的所有往来文件中计量单位应使用中华人民共和国法定计量单位。</w:t>
      </w:r>
    </w:p>
    <w:p>
      <w:pPr>
        <w:adjustRightInd w:val="0"/>
        <w:snapToGrid w:val="0"/>
        <w:spacing w:line="360" w:lineRule="auto"/>
        <w:ind w:firstLine="422" w:firstLineChars="200"/>
        <w:outlineLvl w:val="2"/>
        <w:rPr>
          <w:rFonts w:ascii="宋体" w:hAnsi="Times New Roman" w:cs="宋体"/>
          <w:b/>
        </w:rPr>
      </w:pPr>
      <w:bookmarkStart w:id="22" w:name="_Toc378586968"/>
      <w:r>
        <w:rPr>
          <w:rFonts w:hint="eastAsia" w:ascii="宋体" w:hAnsi="宋体" w:cs="宋体"/>
          <w:b/>
        </w:rPr>
        <w:t>9.响应文件的构成</w:t>
      </w:r>
      <w:bookmarkEnd w:id="22"/>
    </w:p>
    <w:p>
      <w:pPr>
        <w:tabs>
          <w:tab w:val="left" w:pos="900"/>
        </w:tabs>
        <w:adjustRightInd w:val="0"/>
        <w:snapToGrid w:val="0"/>
        <w:spacing w:line="360" w:lineRule="auto"/>
        <w:ind w:firstLine="420" w:firstLineChars="200"/>
        <w:rPr>
          <w:rFonts w:ascii="宋体" w:hAnsi="Times New Roman" w:cs="宋体"/>
          <w:b/>
        </w:rPr>
      </w:pPr>
      <w:r>
        <w:rPr>
          <w:rFonts w:hint="eastAsia" w:ascii="宋体" w:hAnsi="宋体" w:cs="宋体"/>
        </w:rPr>
        <w:t>9.1响应文件应包括资格、符合性资料和其他资料，编排顺序参见第五章响应文件格式。</w:t>
      </w:r>
    </w:p>
    <w:p>
      <w:pPr>
        <w:tabs>
          <w:tab w:val="left" w:pos="900"/>
        </w:tabs>
        <w:adjustRightInd w:val="0"/>
        <w:snapToGrid w:val="0"/>
        <w:spacing w:line="360" w:lineRule="auto"/>
        <w:ind w:firstLine="420" w:firstLineChars="200"/>
        <w:rPr>
          <w:rFonts w:ascii="宋体" w:hAnsi="Times New Roman" w:cs="宋体"/>
        </w:rPr>
      </w:pPr>
      <w:r>
        <w:rPr>
          <w:rFonts w:hint="eastAsia" w:ascii="宋体" w:hAnsi="Times New Roman" w:cs="宋体"/>
        </w:rPr>
        <w:t>9.2响应文件的构成应符合法律法规及询价</w:t>
      </w:r>
      <w:r>
        <w:rPr>
          <w:rFonts w:hint="eastAsia" w:ascii="宋体" w:hAnsi="宋体" w:cs="宋体"/>
          <w:color w:val="000000"/>
        </w:rPr>
        <w:t>文件</w:t>
      </w:r>
      <w:r>
        <w:rPr>
          <w:rFonts w:hint="eastAsia" w:ascii="宋体" w:hAnsi="Times New Roman" w:cs="宋体"/>
        </w:rPr>
        <w:t>的要求。</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10.响应文件的编写</w:t>
      </w:r>
    </w:p>
    <w:p>
      <w:pPr>
        <w:adjustRightInd w:val="0"/>
        <w:snapToGrid w:val="0"/>
        <w:spacing w:line="360" w:lineRule="auto"/>
        <w:ind w:firstLine="420" w:firstLineChars="200"/>
        <w:rPr>
          <w:rFonts w:ascii="宋体" w:hAnsi="Times New Roman" w:cs="宋体"/>
          <w:b/>
        </w:rPr>
      </w:pPr>
      <w:r>
        <w:rPr>
          <w:rFonts w:hint="eastAsia" w:ascii="宋体" w:hAnsi="宋体" w:cs="宋体"/>
        </w:rPr>
        <w:t>10.1供应商</w:t>
      </w:r>
      <w:r>
        <w:rPr>
          <w:rFonts w:hint="eastAsia" w:ascii="宋体" w:hAnsi="宋体" w:cs="宋体"/>
          <w:lang w:eastAsia="zh-TW"/>
        </w:rPr>
        <w:t>应完整</w:t>
      </w:r>
      <w:r>
        <w:rPr>
          <w:rFonts w:hint="eastAsia" w:ascii="宋体" w:hAnsi="宋体" w:cs="宋体"/>
        </w:rPr>
        <w:t>、真实、准确</w:t>
      </w:r>
      <w:r>
        <w:rPr>
          <w:rFonts w:hint="eastAsia" w:ascii="宋体" w:hAnsi="宋体" w:cs="宋体"/>
          <w:lang w:eastAsia="zh-TW"/>
        </w:rPr>
        <w:t>地填写</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中提供的</w:t>
      </w:r>
      <w:r>
        <w:rPr>
          <w:rFonts w:hint="eastAsia" w:ascii="宋体" w:hAnsi="宋体" w:cs="宋体"/>
        </w:rPr>
        <w:t>询价响应</w:t>
      </w:r>
      <w:r>
        <w:rPr>
          <w:rFonts w:hint="eastAsia" w:ascii="宋体" w:hAnsi="宋体" w:cs="宋体"/>
          <w:lang w:eastAsia="zh-TW"/>
        </w:rPr>
        <w:t>函、报价表以及</w:t>
      </w:r>
      <w:r>
        <w:rPr>
          <w:rFonts w:hint="eastAsia" w:ascii="宋体" w:hAnsi="宋体" w:cs="宋体"/>
        </w:rPr>
        <w:t>询价</w:t>
      </w:r>
      <w:r>
        <w:rPr>
          <w:rFonts w:hint="eastAsia" w:ascii="宋体" w:hAnsi="宋体" w:cs="宋体"/>
          <w:color w:val="000000"/>
        </w:rPr>
        <w:t>文件</w:t>
      </w:r>
      <w:r>
        <w:rPr>
          <w:rFonts w:hint="eastAsia" w:ascii="宋体" w:hAnsi="宋体" w:cs="宋体"/>
          <w:lang w:eastAsia="zh-TW"/>
        </w:rPr>
        <w:t>中规定的其它内容。</w:t>
      </w:r>
    </w:p>
    <w:p>
      <w:pPr>
        <w:adjustRightInd w:val="0"/>
        <w:snapToGrid w:val="0"/>
        <w:spacing w:line="360" w:lineRule="auto"/>
        <w:ind w:firstLine="420" w:firstLineChars="200"/>
        <w:outlineLvl w:val="2"/>
        <w:rPr>
          <w:rFonts w:ascii="宋体" w:hAnsi="Times New Roman" w:cs="宋体"/>
          <w:lang w:eastAsia="zh-TW"/>
        </w:rPr>
      </w:pPr>
      <w:r>
        <w:rPr>
          <w:rFonts w:hint="eastAsia" w:ascii="宋体" w:hAnsi="宋体" w:cs="宋体"/>
        </w:rPr>
        <w:t>10.2</w:t>
      </w:r>
      <w:r>
        <w:rPr>
          <w:rFonts w:hint="eastAsia" w:ascii="宋体" w:hAnsi="宋体" w:cs="宋体"/>
          <w:lang w:eastAsia="zh-TW"/>
        </w:rPr>
        <w:t>供应商应当对响应文件进行装订，对未经装订的响应文件可能发生的文件散落或缺损，由此造成的后果和责任由供应商承担。</w:t>
      </w:r>
    </w:p>
    <w:p>
      <w:pPr>
        <w:spacing w:line="360" w:lineRule="auto"/>
        <w:ind w:firstLine="420" w:firstLineChars="200"/>
        <w:rPr>
          <w:rFonts w:ascii="宋体" w:hAnsi="Times New Roman" w:cs="宋体"/>
          <w:b/>
          <w:color w:val="000000"/>
          <w:sz w:val="24"/>
        </w:rPr>
      </w:pPr>
      <w:r>
        <w:rPr>
          <w:rFonts w:hint="eastAsia" w:ascii="宋体" w:hAnsi="宋体" w:cs="宋体"/>
        </w:rPr>
        <w:t>10.3</w:t>
      </w:r>
      <w:r>
        <w:rPr>
          <w:rFonts w:hint="eastAsia" w:ascii="宋体" w:hAnsi="宋体" w:cs="宋体"/>
          <w:color w:val="000000"/>
        </w:rPr>
        <w:t>供应商必须保证提交给采购人的资料与数据的真实性，并承担相应法律责任。</w:t>
      </w:r>
    </w:p>
    <w:p>
      <w:pPr>
        <w:adjustRightInd w:val="0"/>
        <w:snapToGrid w:val="0"/>
        <w:spacing w:line="360" w:lineRule="auto"/>
        <w:ind w:firstLine="422" w:firstLineChars="200"/>
        <w:outlineLvl w:val="2"/>
        <w:rPr>
          <w:rFonts w:ascii="宋体" w:hAnsi="Times New Roman" w:cs="宋体"/>
          <w:b/>
        </w:rPr>
      </w:pPr>
      <w:r>
        <w:rPr>
          <w:rFonts w:hint="eastAsia" w:ascii="宋体" w:hAnsi="宋体" w:cs="宋体"/>
          <w:b/>
        </w:rPr>
        <w:t>11.报价组成</w:t>
      </w:r>
    </w:p>
    <w:p>
      <w:pPr>
        <w:adjustRightInd w:val="0"/>
        <w:snapToGrid w:val="0"/>
        <w:spacing w:line="360" w:lineRule="auto"/>
        <w:ind w:firstLine="420" w:firstLineChars="200"/>
        <w:rPr>
          <w:rFonts w:ascii="宋体" w:hAnsi="Times New Roman" w:cs="宋体"/>
          <w:b/>
          <w:color w:val="0000FF"/>
        </w:rPr>
      </w:pPr>
      <w:r>
        <w:rPr>
          <w:rFonts w:hint="eastAsia" w:ascii="宋体" w:hAnsi="宋体" w:cs="宋体"/>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pPr>
        <w:adjustRightInd w:val="0"/>
        <w:snapToGrid w:val="0"/>
        <w:spacing w:line="360" w:lineRule="auto"/>
        <w:ind w:firstLine="420" w:firstLineChars="200"/>
        <w:rPr>
          <w:rFonts w:ascii="宋体" w:hAnsi="Times New Roman" w:cs="宋体"/>
        </w:rPr>
      </w:pPr>
      <w:r>
        <w:rPr>
          <w:rFonts w:hint="eastAsia" w:ascii="宋体" w:hAnsi="宋体" w:cs="宋体"/>
        </w:rPr>
        <w:t>11.2供应商漏报的单价或每单价报价中漏报、少报的费用，视为此项费用已隐含在报价中，成交后不得再向采购人收取任何费用。</w:t>
      </w:r>
    </w:p>
    <w:p>
      <w:pPr>
        <w:adjustRightInd w:val="0"/>
        <w:snapToGrid w:val="0"/>
        <w:spacing w:line="360" w:lineRule="auto"/>
        <w:ind w:firstLine="413" w:firstLineChars="196"/>
        <w:outlineLvl w:val="2"/>
        <w:rPr>
          <w:rFonts w:ascii="宋体" w:hAnsi="Times New Roman" w:cs="宋体"/>
          <w:b/>
        </w:rPr>
      </w:pPr>
      <w:bookmarkStart w:id="23" w:name="_Toc378586971"/>
      <w:r>
        <w:rPr>
          <w:rFonts w:hint="eastAsia" w:ascii="宋体" w:hAnsi="宋体" w:cs="宋体"/>
          <w:b/>
        </w:rPr>
        <w:t>12.</w:t>
      </w:r>
      <w:bookmarkEnd w:id="23"/>
      <w:r>
        <w:rPr>
          <w:rFonts w:hint="eastAsia" w:ascii="宋体" w:hAnsi="宋体" w:cs="宋体"/>
          <w:b/>
        </w:rPr>
        <w:t>供应商约束</w:t>
      </w:r>
    </w:p>
    <w:p>
      <w:pPr>
        <w:adjustRightInd w:val="0"/>
        <w:snapToGrid w:val="0"/>
        <w:spacing w:line="360" w:lineRule="auto"/>
        <w:ind w:firstLine="420" w:firstLineChars="200"/>
        <w:rPr>
          <w:rFonts w:ascii="宋体" w:hAnsi="宋体" w:cs="宋体"/>
        </w:rPr>
      </w:pPr>
      <w:bookmarkStart w:id="24" w:name="_Hlk36653371"/>
      <w:r>
        <w:rPr>
          <w:rFonts w:hint="eastAsia" w:ascii="宋体" w:hAnsi="宋体" w:cs="宋体"/>
        </w:rPr>
        <w:t>1</w:t>
      </w:r>
      <w:r>
        <w:rPr>
          <w:rFonts w:ascii="宋体" w:hAnsi="宋体" w:cs="宋体"/>
        </w:rPr>
        <w:t>2.1</w:t>
      </w:r>
      <w:bookmarkEnd w:id="24"/>
      <w:r>
        <w:rPr>
          <w:rFonts w:hint="eastAsia" w:ascii="宋体" w:hAnsi="宋体" w:cs="宋体"/>
        </w:rPr>
        <w:t>供应商存在以下情形的，将被列入供应商不良行为：</w:t>
      </w:r>
    </w:p>
    <w:p>
      <w:pPr>
        <w:adjustRightInd w:val="0"/>
        <w:snapToGrid w:val="0"/>
        <w:spacing w:line="360" w:lineRule="auto"/>
        <w:ind w:firstLine="420" w:firstLineChars="200"/>
        <w:rPr>
          <w:rFonts w:ascii="宋体" w:hAnsi="宋体" w:cs="宋体"/>
        </w:rPr>
      </w:pPr>
      <w:r>
        <w:rPr>
          <w:rFonts w:hint="eastAsia" w:ascii="宋体" w:hAnsi="宋体" w:cs="宋体"/>
        </w:rPr>
        <w:t>（1）提供虚假材料谋取中标、成交的；</w:t>
      </w:r>
    </w:p>
    <w:p>
      <w:pPr>
        <w:adjustRightInd w:val="0"/>
        <w:snapToGrid w:val="0"/>
        <w:spacing w:line="360" w:lineRule="auto"/>
        <w:ind w:firstLine="420" w:firstLineChars="200"/>
        <w:rPr>
          <w:rFonts w:ascii="宋体" w:hAnsi="宋体" w:cs="宋体"/>
        </w:rPr>
      </w:pPr>
      <w:r>
        <w:rPr>
          <w:rFonts w:hint="eastAsia" w:ascii="宋体" w:hAnsi="宋体" w:cs="宋体"/>
        </w:rPr>
        <w:t>（2）采取不正当手段诋毁、排挤其他供应商的；</w:t>
      </w:r>
    </w:p>
    <w:p>
      <w:pPr>
        <w:adjustRightInd w:val="0"/>
        <w:snapToGrid w:val="0"/>
        <w:spacing w:line="360" w:lineRule="auto"/>
        <w:ind w:firstLine="420" w:firstLineChars="200"/>
        <w:rPr>
          <w:rFonts w:ascii="宋体" w:hAnsi="宋体" w:cs="宋体"/>
        </w:rPr>
      </w:pPr>
      <w:r>
        <w:rPr>
          <w:rFonts w:hint="eastAsia" w:ascii="宋体" w:hAnsi="宋体" w:cs="宋体"/>
        </w:rPr>
        <w:t>（3）与采购人、其他供应商或者采购代理机构恶意串通的；</w:t>
      </w:r>
    </w:p>
    <w:p>
      <w:pPr>
        <w:adjustRightInd w:val="0"/>
        <w:snapToGrid w:val="0"/>
        <w:spacing w:line="360" w:lineRule="auto"/>
        <w:ind w:firstLine="420" w:firstLineChars="200"/>
        <w:rPr>
          <w:rFonts w:ascii="宋体" w:hAnsi="宋体" w:cs="宋体"/>
        </w:rPr>
      </w:pPr>
      <w:r>
        <w:rPr>
          <w:rFonts w:hint="eastAsia" w:ascii="宋体" w:hAnsi="宋体" w:cs="宋体"/>
        </w:rPr>
        <w:t>（4）向采购人、采购代理机构行贿或者提供其他不正当利益的；</w:t>
      </w:r>
    </w:p>
    <w:p>
      <w:pPr>
        <w:adjustRightInd w:val="0"/>
        <w:snapToGrid w:val="0"/>
        <w:spacing w:line="360" w:lineRule="auto"/>
        <w:ind w:firstLine="420" w:firstLineChars="200"/>
        <w:rPr>
          <w:rFonts w:ascii="宋体" w:hAnsi="宋体" w:cs="宋体"/>
        </w:rPr>
      </w:pPr>
      <w:r>
        <w:rPr>
          <w:rFonts w:hint="eastAsia" w:ascii="宋体" w:hAnsi="宋体" w:cs="宋体"/>
        </w:rPr>
        <w:t>（5）在招标采购过程中与采购人进行协商谈判的；</w:t>
      </w:r>
    </w:p>
    <w:p>
      <w:pPr>
        <w:adjustRightInd w:val="0"/>
        <w:snapToGrid w:val="0"/>
        <w:spacing w:line="360" w:lineRule="auto"/>
        <w:ind w:firstLine="420" w:firstLineChars="200"/>
        <w:rPr>
          <w:rFonts w:ascii="宋体" w:hAnsi="宋体" w:cs="宋体"/>
        </w:rPr>
      </w:pPr>
      <w:r>
        <w:rPr>
          <w:rFonts w:hint="eastAsia" w:ascii="宋体" w:hAnsi="宋体" w:cs="宋体"/>
        </w:rPr>
        <w:t>（6）拒绝有关部门监督检查或者提供虚假情况的；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7）将中标项目转让给他人的；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8）拒绝履行合同义务的；</w:t>
      </w:r>
    </w:p>
    <w:p>
      <w:pPr>
        <w:adjustRightInd w:val="0"/>
        <w:snapToGrid w:val="0"/>
        <w:spacing w:line="360" w:lineRule="auto"/>
        <w:ind w:firstLine="420" w:firstLineChars="200"/>
        <w:rPr>
          <w:rFonts w:ascii="宋体" w:hAnsi="宋体" w:cs="宋体"/>
        </w:rPr>
      </w:pPr>
      <w:r>
        <w:rPr>
          <w:rFonts w:hint="eastAsia" w:ascii="宋体" w:hAnsi="宋体" w:cs="宋体"/>
        </w:rPr>
        <w:t>供应商有前款第（1）至（5）项情形之一的，中标、成交无效。</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2.2</w:t>
      </w:r>
      <w:r>
        <w:rPr>
          <w:rFonts w:hint="eastAsia" w:ascii="宋体" w:hAnsi="宋体" w:cs="宋体"/>
        </w:rPr>
        <w:t>供应商若存在不良行为，本单位可终止项目合同，或曝光其不良行为，或禁止该供应商一至三年内不得参与本单位的一切校内采购活动。</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13.询价有效期</w:t>
      </w:r>
    </w:p>
    <w:p>
      <w:pPr>
        <w:tabs>
          <w:tab w:val="left" w:pos="1232"/>
        </w:tabs>
        <w:snapToGrid w:val="0"/>
        <w:spacing w:line="360" w:lineRule="auto"/>
        <w:ind w:firstLine="411" w:firstLineChars="196"/>
        <w:rPr>
          <w:rFonts w:ascii="宋体" w:hAnsi="Times New Roman" w:cs="宋体"/>
          <w:b/>
        </w:rPr>
      </w:pPr>
      <w:r>
        <w:rPr>
          <w:rFonts w:hint="eastAsia" w:ascii="宋体" w:hAnsi="宋体" w:cs="宋体"/>
        </w:rPr>
        <w:t>13.1响应文件在询价开始时间后90天内有效。</w:t>
      </w:r>
    </w:p>
    <w:p>
      <w:pPr>
        <w:tabs>
          <w:tab w:val="left" w:pos="1232"/>
        </w:tabs>
        <w:snapToGrid w:val="0"/>
        <w:spacing w:line="360" w:lineRule="auto"/>
        <w:ind w:firstLine="420" w:firstLineChars="200"/>
        <w:rPr>
          <w:rFonts w:ascii="宋体" w:hAnsi="Times New Roman" w:cs="宋体"/>
        </w:rPr>
      </w:pPr>
      <w:r>
        <w:rPr>
          <w:rFonts w:hint="eastAsia" w:ascii="宋体" w:hAnsi="宋体" w:cs="宋体"/>
        </w:rPr>
        <w:t>13.2在特殊情况下，采购人可于询价有效期满之前要求供应商延长有效期，延期要求与答复均应以书面形式提交。供应商可以拒绝上述要求，同意延期供应商原询价有效期内的权利及责任不改变，并相应延续；</w:t>
      </w:r>
    </w:p>
    <w:p>
      <w:pPr>
        <w:tabs>
          <w:tab w:val="left" w:pos="1232"/>
        </w:tabs>
        <w:snapToGrid w:val="0"/>
        <w:spacing w:line="360" w:lineRule="auto"/>
        <w:ind w:firstLine="411" w:firstLineChars="196"/>
        <w:rPr>
          <w:rFonts w:ascii="宋体" w:hAnsi="Times New Roman" w:cs="宋体"/>
        </w:rPr>
      </w:pPr>
      <w:r>
        <w:rPr>
          <w:rFonts w:hint="eastAsia" w:ascii="宋体" w:hAnsi="宋体" w:cs="宋体"/>
        </w:rPr>
        <w:t>13.3询价有效期比规定期限短的将被视为非响应询价予以拒绝。</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14.响应文件的式样和签署</w:t>
      </w:r>
    </w:p>
    <w:p>
      <w:pPr>
        <w:snapToGrid w:val="0"/>
        <w:spacing w:line="360" w:lineRule="auto"/>
        <w:ind w:firstLine="420" w:firstLineChars="200"/>
        <w:rPr>
          <w:rFonts w:ascii="宋体" w:hAnsi="Times New Roman" w:cs="宋体"/>
          <w:color w:val="000000"/>
        </w:rPr>
      </w:pPr>
      <w:r>
        <w:rPr>
          <w:rFonts w:hint="eastAsia" w:ascii="宋体" w:hAnsi="宋体" w:cs="宋体"/>
          <w:color w:val="000000"/>
        </w:rPr>
        <w:t>14.1响应文件</w:t>
      </w:r>
      <w:r>
        <w:rPr>
          <w:rFonts w:hint="eastAsia" w:ascii="宋体" w:hAnsi="宋体" w:cs="宋体"/>
          <w:b/>
          <w:color w:val="000000"/>
        </w:rPr>
        <w:t>正本一份，副本二份（封面注明供应商名称和项目编号）</w:t>
      </w:r>
      <w:r>
        <w:rPr>
          <w:rFonts w:hint="eastAsia" w:ascii="宋体" w:hAnsi="宋体" w:cs="宋体"/>
          <w:color w:val="000000"/>
        </w:rPr>
        <w:t>，在每一份响应文件上注明</w:t>
      </w:r>
      <w:r>
        <w:rPr>
          <w:rFonts w:hint="eastAsia" w:ascii="宋体" w:hAnsi="Times New Roman" w:cs="宋体"/>
          <w:color w:val="000000"/>
        </w:rPr>
        <w:t>“</w:t>
      </w:r>
      <w:r>
        <w:rPr>
          <w:rFonts w:hint="eastAsia" w:ascii="宋体" w:hAnsi="宋体" w:cs="宋体"/>
          <w:color w:val="000000"/>
        </w:rPr>
        <w:t>正本</w:t>
      </w:r>
      <w:r>
        <w:rPr>
          <w:rFonts w:hint="eastAsia" w:ascii="宋体" w:hAnsi="Times New Roman" w:cs="宋体"/>
          <w:color w:val="000000"/>
        </w:rPr>
        <w:t>”</w:t>
      </w:r>
      <w:r>
        <w:rPr>
          <w:rFonts w:hint="eastAsia" w:ascii="宋体" w:hAnsi="宋体" w:cs="宋体"/>
          <w:color w:val="000000"/>
        </w:rPr>
        <w:t>或</w:t>
      </w:r>
      <w:r>
        <w:rPr>
          <w:rFonts w:hint="eastAsia" w:ascii="宋体" w:hAnsi="Times New Roman" w:cs="宋体"/>
          <w:color w:val="000000"/>
        </w:rPr>
        <w:t>“</w:t>
      </w:r>
      <w:r>
        <w:rPr>
          <w:rFonts w:hint="eastAsia" w:ascii="宋体" w:hAnsi="宋体" w:cs="宋体"/>
          <w:color w:val="000000"/>
        </w:rPr>
        <w:t>副本</w:t>
      </w:r>
      <w:r>
        <w:rPr>
          <w:rFonts w:hint="eastAsia" w:ascii="宋体" w:hAnsi="Times New Roman" w:cs="宋体"/>
          <w:color w:val="000000"/>
        </w:rPr>
        <w:t>”</w:t>
      </w:r>
      <w:r>
        <w:rPr>
          <w:rFonts w:hint="eastAsia" w:ascii="宋体" w:hAnsi="宋体" w:cs="宋体"/>
          <w:color w:val="000000"/>
        </w:rPr>
        <w:t>字样；正本和副本内容有差异，以正本为准；</w:t>
      </w:r>
    </w:p>
    <w:p>
      <w:pPr>
        <w:snapToGrid w:val="0"/>
        <w:spacing w:line="360" w:lineRule="auto"/>
        <w:rPr>
          <w:rFonts w:ascii="宋体" w:hAnsi="Times New Roman" w:cs="宋体"/>
          <w:color w:val="000000"/>
        </w:rPr>
      </w:pPr>
      <w:r>
        <w:rPr>
          <w:rFonts w:hint="eastAsia" w:ascii="宋体" w:hAnsi="宋体" w:cs="宋体"/>
          <w:color w:val="000000"/>
        </w:rPr>
        <w:t xml:space="preserve">    14.2响应文件正本均须用不褪色墨水书写或打印，由法定代表人或其授权代表在指定位置签字盖章；</w:t>
      </w:r>
    </w:p>
    <w:p>
      <w:pPr>
        <w:snapToGrid w:val="0"/>
        <w:spacing w:line="360" w:lineRule="auto"/>
        <w:rPr>
          <w:rFonts w:ascii="宋体" w:hAnsi="Times New Roman" w:cs="宋体"/>
          <w:color w:val="000000"/>
        </w:rPr>
      </w:pPr>
      <w:r>
        <w:rPr>
          <w:rFonts w:hint="eastAsia" w:ascii="宋体" w:hAnsi="宋体" w:cs="宋体"/>
          <w:color w:val="000000"/>
        </w:rPr>
        <w:t xml:space="preserve">    14.3响应文件副本的所有资料都可以用正本复印而成；</w:t>
      </w:r>
    </w:p>
    <w:p>
      <w:pPr>
        <w:snapToGrid w:val="0"/>
        <w:spacing w:line="360" w:lineRule="auto"/>
        <w:rPr>
          <w:rFonts w:ascii="宋体" w:hAnsi="Times New Roman" w:cs="宋体"/>
          <w:color w:val="000000"/>
        </w:rPr>
      </w:pPr>
      <w:r>
        <w:rPr>
          <w:rFonts w:hint="eastAsia" w:ascii="宋体" w:hAnsi="宋体" w:cs="宋体"/>
          <w:color w:val="000000"/>
        </w:rPr>
        <w:t xml:space="preserve">    14.4响应文件正本及所有副本的封面均须加盖公章；</w:t>
      </w:r>
    </w:p>
    <w:p>
      <w:pPr>
        <w:snapToGrid w:val="0"/>
        <w:spacing w:line="360" w:lineRule="auto"/>
        <w:rPr>
          <w:rFonts w:ascii="宋体" w:hAnsi="Times New Roman" w:cs="宋体"/>
          <w:color w:val="000000"/>
        </w:rPr>
      </w:pPr>
      <w:r>
        <w:rPr>
          <w:rFonts w:hint="eastAsia" w:ascii="宋体" w:hAnsi="宋体" w:cs="宋体"/>
          <w:color w:val="000000"/>
        </w:rPr>
        <w:t xml:space="preserve">    14.5传真和邮件的响应文件将被拒绝。</w:t>
      </w:r>
    </w:p>
    <w:p>
      <w:pPr>
        <w:adjustRightInd w:val="0"/>
        <w:snapToGrid w:val="0"/>
        <w:spacing w:line="360" w:lineRule="auto"/>
        <w:rPr>
          <w:rFonts w:ascii="宋体" w:hAnsi="Times New Roman" w:cs="宋体"/>
        </w:rPr>
      </w:pPr>
    </w:p>
    <w:p>
      <w:pPr>
        <w:pStyle w:val="3"/>
        <w:adjustRightInd w:val="0"/>
        <w:snapToGrid w:val="0"/>
        <w:spacing w:line="360" w:lineRule="auto"/>
        <w:jc w:val="center"/>
        <w:rPr>
          <w:sz w:val="30"/>
          <w:szCs w:val="30"/>
        </w:rPr>
      </w:pPr>
      <w:bookmarkStart w:id="25" w:name="_Toc453493035"/>
      <w:bookmarkStart w:id="26" w:name="_Toc448133312"/>
      <w:bookmarkStart w:id="27" w:name="_Toc454458056"/>
      <w:r>
        <w:rPr>
          <w:rFonts w:hint="eastAsia" w:cs="宋体"/>
          <w:sz w:val="30"/>
          <w:szCs w:val="30"/>
        </w:rPr>
        <w:t>四、响应文件的递交</w:t>
      </w:r>
      <w:bookmarkEnd w:id="25"/>
      <w:bookmarkEnd w:id="26"/>
      <w:bookmarkEnd w:id="27"/>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5</w:t>
      </w:r>
      <w:r>
        <w:rPr>
          <w:rFonts w:hint="eastAsia" w:ascii="宋体" w:hAnsi="Times New Roman" w:cs="宋体"/>
          <w:b/>
          <w:lang w:eastAsia="zh-TW"/>
        </w:rPr>
        <w:t>.</w:t>
      </w:r>
      <w:r>
        <w:rPr>
          <w:rFonts w:hint="eastAsia" w:ascii="宋体" w:hAnsi="宋体" w:cs="宋体"/>
          <w:b/>
          <w:lang w:eastAsia="zh-TW"/>
        </w:rPr>
        <w:t>响应文件的密封和标记</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15.1</w:t>
      </w:r>
      <w:r>
        <w:rPr>
          <w:rFonts w:hint="eastAsia" w:ascii="宋体" w:hAnsi="宋体" w:cs="宋体"/>
          <w:lang w:eastAsia="zh-TW"/>
        </w:rPr>
        <w:t>正本和副本响应文件一起封装，封口处加盖公章；</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15.2</w:t>
      </w:r>
      <w:r>
        <w:rPr>
          <w:rFonts w:hint="eastAsia" w:ascii="宋体" w:hAnsi="宋体" w:cs="宋体"/>
          <w:lang w:eastAsia="zh-TW"/>
        </w:rPr>
        <w:t>注明</w:t>
      </w:r>
      <w:r>
        <w:rPr>
          <w:rFonts w:hint="eastAsia" w:ascii="宋体" w:hAnsi="宋体" w:cs="宋体"/>
        </w:rPr>
        <w:t>询价</w:t>
      </w:r>
      <w:r>
        <w:rPr>
          <w:rFonts w:hint="eastAsia" w:ascii="宋体" w:hAnsi="宋体" w:cs="宋体"/>
          <w:lang w:eastAsia="zh-TW"/>
        </w:rPr>
        <w:t>邀请函中指明的项目名称、项目编号和“在（响应文件递交截止时间）之前不得启封”的字样；</w:t>
      </w:r>
    </w:p>
    <w:p>
      <w:pPr>
        <w:autoSpaceDE w:val="0"/>
        <w:autoSpaceDN w:val="0"/>
        <w:adjustRightInd w:val="0"/>
        <w:snapToGrid w:val="0"/>
        <w:spacing w:line="360" w:lineRule="auto"/>
        <w:jc w:val="left"/>
        <w:rPr>
          <w:rFonts w:ascii="宋体" w:hAnsi="Times New Roman" w:cs="宋体"/>
          <w:lang w:eastAsia="zh-TW"/>
        </w:rPr>
      </w:pPr>
      <w:r>
        <w:rPr>
          <w:rFonts w:hint="eastAsia" w:ascii="宋体" w:hAnsi="宋体" w:cs="宋体"/>
        </w:rPr>
        <w:t xml:space="preserve">    15.3</w:t>
      </w:r>
      <w:r>
        <w:rPr>
          <w:rFonts w:hint="eastAsia" w:ascii="宋体" w:hAnsi="宋体" w:cs="宋体"/>
          <w:lang w:eastAsia="zh-TW"/>
        </w:rPr>
        <w:t>封套（使用不透明封套）应写明供应商名称和地址；</w:t>
      </w:r>
    </w:p>
    <w:p>
      <w:pPr>
        <w:autoSpaceDE w:val="0"/>
        <w:autoSpaceDN w:val="0"/>
        <w:adjustRightInd w:val="0"/>
        <w:snapToGrid w:val="0"/>
        <w:spacing w:line="360" w:lineRule="auto"/>
        <w:ind w:firstLine="420" w:firstLineChars="200"/>
        <w:jc w:val="left"/>
        <w:rPr>
          <w:rFonts w:ascii="宋体" w:hAnsi="Times New Roman" w:cs="宋体"/>
          <w:lang w:eastAsia="zh-TW"/>
        </w:rPr>
      </w:pPr>
      <w:r>
        <w:rPr>
          <w:rFonts w:hint="eastAsia" w:ascii="宋体" w:hAnsi="宋体" w:cs="宋体"/>
        </w:rPr>
        <w:t>15.4</w:t>
      </w:r>
      <w:r>
        <w:rPr>
          <w:rFonts w:hint="eastAsia" w:ascii="宋体" w:hAnsi="宋体" w:cs="宋体"/>
          <w:lang w:eastAsia="zh-TW"/>
        </w:rPr>
        <w:t>如果封套未按本须知要求密封和加写标记，采购人有权拒绝其</w:t>
      </w:r>
      <w:r>
        <w:rPr>
          <w:rFonts w:hint="eastAsia" w:ascii="宋体" w:hAnsi="宋体" w:cs="宋体"/>
        </w:rPr>
        <w:t>询价</w:t>
      </w:r>
      <w:r>
        <w:rPr>
          <w:rFonts w:hint="eastAsia" w:ascii="宋体" w:hAnsi="宋体" w:cs="宋体"/>
          <w:lang w:eastAsia="zh-TW"/>
        </w:rPr>
        <w:t>。</w:t>
      </w:r>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6</w:t>
      </w:r>
      <w:r>
        <w:rPr>
          <w:rFonts w:hint="eastAsia" w:ascii="宋体" w:hAnsi="Times New Roman" w:cs="宋体"/>
          <w:b/>
          <w:lang w:eastAsia="zh-TW"/>
        </w:rPr>
        <w:t>.</w:t>
      </w:r>
      <w:r>
        <w:rPr>
          <w:rFonts w:hint="eastAsia" w:ascii="宋体" w:hAnsi="宋体" w:cs="宋体"/>
          <w:b/>
          <w:lang w:eastAsia="zh-TW"/>
        </w:rPr>
        <w:t>响应文件的修改和撤回、撤销</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16.1询价</w:t>
      </w:r>
      <w:r>
        <w:rPr>
          <w:rFonts w:hint="eastAsia" w:ascii="宋体" w:hAnsi="宋体" w:cs="宋体"/>
          <w:lang w:eastAsia="zh-TW"/>
        </w:rPr>
        <w:t>开始之前，供应商可以修改或撤回已递交的响应文件，但必须提供由法定代表人或其授权代表签署的申请文件；</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16.2</w:t>
      </w:r>
      <w:r>
        <w:rPr>
          <w:rFonts w:hint="eastAsia" w:ascii="宋体" w:hAnsi="宋体" w:cs="宋体"/>
          <w:lang w:eastAsia="zh-TW"/>
        </w:rPr>
        <w:t>在</w:t>
      </w:r>
      <w:r>
        <w:rPr>
          <w:rFonts w:hint="eastAsia" w:ascii="宋体" w:hAnsi="宋体" w:cs="宋体"/>
        </w:rPr>
        <w:t>询价</w:t>
      </w:r>
      <w:r>
        <w:rPr>
          <w:rFonts w:hint="eastAsia" w:ascii="宋体" w:hAnsi="宋体" w:cs="宋体"/>
          <w:lang w:eastAsia="zh-TW"/>
        </w:rPr>
        <w:t>开始之后不允许撤回报价。</w:t>
      </w:r>
    </w:p>
    <w:p>
      <w:pPr>
        <w:autoSpaceDE w:val="0"/>
        <w:autoSpaceDN w:val="0"/>
        <w:adjustRightInd w:val="0"/>
        <w:snapToGrid w:val="0"/>
        <w:spacing w:line="360" w:lineRule="auto"/>
        <w:ind w:firstLine="411" w:firstLineChars="196"/>
        <w:jc w:val="left"/>
        <w:rPr>
          <w:rFonts w:ascii="宋体" w:hAnsi="Times New Roman" w:cs="宋体"/>
        </w:rPr>
      </w:pPr>
    </w:p>
    <w:p>
      <w:pPr>
        <w:pStyle w:val="3"/>
        <w:keepLines w:val="0"/>
        <w:widowControl/>
        <w:numPr>
          <w:ilvl w:val="0"/>
          <w:numId w:val="3"/>
        </w:numPr>
        <w:adjustRightInd w:val="0"/>
        <w:snapToGrid w:val="0"/>
        <w:spacing w:before="0" w:after="0" w:line="360" w:lineRule="auto"/>
        <w:jc w:val="center"/>
        <w:rPr>
          <w:sz w:val="30"/>
          <w:szCs w:val="30"/>
        </w:rPr>
      </w:pPr>
      <w:bookmarkStart w:id="28" w:name="_Toc454458057"/>
      <w:bookmarkStart w:id="29" w:name="_Toc448133313"/>
      <w:bookmarkStart w:id="30" w:name="_Toc453493036"/>
      <w:r>
        <w:rPr>
          <w:rFonts w:hint="eastAsia" w:cs="宋体"/>
          <w:sz w:val="30"/>
          <w:szCs w:val="30"/>
        </w:rPr>
        <w:t>询价流程</w:t>
      </w:r>
      <w:bookmarkEnd w:id="28"/>
      <w:bookmarkEnd w:id="29"/>
      <w:bookmarkEnd w:id="30"/>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17.询价小组</w:t>
      </w:r>
    </w:p>
    <w:p>
      <w:pPr>
        <w:adjustRightInd w:val="0"/>
        <w:snapToGrid w:val="0"/>
        <w:spacing w:line="360" w:lineRule="auto"/>
        <w:ind w:firstLine="420" w:firstLineChars="200"/>
        <w:rPr>
          <w:rFonts w:ascii="宋体" w:hAnsi="Times New Roman" w:cs="宋体"/>
          <w:b/>
        </w:rPr>
      </w:pPr>
      <w:r>
        <w:rPr>
          <w:rFonts w:hint="eastAsia" w:ascii="宋体" w:hAnsi="宋体" w:cs="宋体"/>
        </w:rPr>
        <w:t>17.1</w:t>
      </w:r>
      <w:r>
        <w:rPr>
          <w:rFonts w:hint="eastAsia" w:ascii="宋体" w:hAnsi="宋体" w:cs="宋体"/>
          <w:color w:val="000000"/>
        </w:rPr>
        <w:t>询价小组由3人以上单数组成，由</w:t>
      </w:r>
      <w:bookmarkStart w:id="31" w:name="_Hlk42790008"/>
      <w:r>
        <w:rPr>
          <w:rFonts w:hint="eastAsia" w:ascii="宋体" w:hAnsi="宋体" w:cs="宋体"/>
          <w:color w:val="000000"/>
        </w:rPr>
        <w:t>项目使用部门代表</w:t>
      </w:r>
      <w:bookmarkEnd w:id="31"/>
      <w:r>
        <w:rPr>
          <w:rFonts w:hint="eastAsia" w:ascii="宋体" w:hAnsi="宋体" w:cs="宋体"/>
          <w:color w:val="000000"/>
        </w:rPr>
        <w:t>及与本采购项目相关专业教师中随机抽取的专家组成；</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17.2询价小组名单在评审结果确定前严格保密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w:t>
      </w:r>
      <w:r>
        <w:rPr>
          <w:rFonts w:hint="eastAsia" w:ascii="宋体" w:hAnsi="宋体" w:cs="宋体"/>
          <w:color w:val="000000"/>
        </w:rPr>
        <w:t>采购人</w:t>
      </w:r>
      <w:r>
        <w:rPr>
          <w:rFonts w:hint="eastAsia" w:ascii="宋体" w:hAnsi="宋体" w:cs="宋体"/>
          <w:lang w:eastAsia="zh-TW"/>
        </w:rPr>
        <w:t>也可以要求该</w:t>
      </w:r>
      <w:r>
        <w:rPr>
          <w:rFonts w:hint="eastAsia" w:ascii="宋体" w:hAnsi="宋体" w:cs="宋体"/>
        </w:rPr>
        <w:t>评审</w:t>
      </w:r>
      <w:r>
        <w:rPr>
          <w:rFonts w:hint="eastAsia" w:ascii="宋体" w:hAnsi="宋体" w:cs="宋体"/>
          <w:lang w:eastAsia="zh-TW"/>
        </w:rPr>
        <w:t>专家回避：</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17.2.1</w:t>
      </w:r>
      <w:r>
        <w:rPr>
          <w:rFonts w:hint="eastAsia" w:ascii="宋体" w:hAnsi="宋体" w:cs="宋体"/>
          <w:lang w:eastAsia="zh-TW"/>
        </w:rPr>
        <w:t>评标委员会中，同一部门的评审专家超过二名的；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17.2.2</w:t>
      </w:r>
      <w:r>
        <w:rPr>
          <w:rFonts w:hint="eastAsia" w:ascii="宋体" w:hAnsi="宋体" w:cs="宋体"/>
          <w:lang w:eastAsia="zh-TW"/>
        </w:rPr>
        <w:t>参与询价文件论证的；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17.2.3</w:t>
      </w:r>
      <w:r>
        <w:rPr>
          <w:rFonts w:hint="eastAsia" w:ascii="宋体" w:hAnsi="宋体" w:cs="宋体"/>
          <w:lang w:eastAsia="zh-TW"/>
        </w:rPr>
        <w:t>参加采购活动前3年内与供应商存在劳动关系；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17.2.4</w:t>
      </w:r>
      <w:r>
        <w:rPr>
          <w:rFonts w:hint="eastAsia" w:ascii="宋体" w:hAnsi="宋体" w:cs="宋体"/>
          <w:lang w:eastAsia="zh-TW"/>
        </w:rPr>
        <w:t>参加采购活动前3年内担任供应商的董事、监事；</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17.2.5</w:t>
      </w:r>
      <w:r>
        <w:rPr>
          <w:rFonts w:hint="eastAsia" w:ascii="宋体" w:hAnsi="宋体" w:cs="宋体"/>
          <w:lang w:eastAsia="zh-TW"/>
        </w:rPr>
        <w:t>参加采购活动前3年内是供应商的控股股东或者实际控制人；</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17.2.6</w:t>
      </w:r>
      <w:r>
        <w:rPr>
          <w:rFonts w:hint="eastAsia" w:ascii="宋体" w:hAnsi="宋体" w:cs="宋体"/>
          <w:lang w:eastAsia="zh-TW"/>
        </w:rPr>
        <w:t>与供应商的法定代表人或者负责人有夫妻、直系血亲、三代以内旁系血亲或者近姻亲关系；</w:t>
      </w:r>
    </w:p>
    <w:p>
      <w:pPr>
        <w:tabs>
          <w:tab w:val="left" w:pos="851"/>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17.2.7</w:t>
      </w:r>
      <w:r>
        <w:rPr>
          <w:rFonts w:hint="eastAsia" w:ascii="宋体" w:hAnsi="宋体" w:cs="宋体"/>
          <w:lang w:eastAsia="zh-TW"/>
        </w:rPr>
        <w:t>与供应商有其他可能影响政府采购活动公平、公正进行的关系。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17.3询价小组成员以及评审工作有关的人员不得泄露评审情况以及评审过程中获悉的国家秘密、商业秘密。</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18.询价程序</w:t>
      </w:r>
    </w:p>
    <w:p>
      <w:pPr>
        <w:tabs>
          <w:tab w:val="left" w:pos="851"/>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pPr>
        <w:adjustRightInd w:val="0"/>
        <w:snapToGrid w:val="0"/>
        <w:spacing w:line="360" w:lineRule="auto"/>
        <w:ind w:firstLine="420" w:firstLineChars="200"/>
        <w:rPr>
          <w:rFonts w:ascii="宋体" w:hAnsi="Times New Roman" w:cs="宋体"/>
        </w:rPr>
      </w:pPr>
      <w:r>
        <w:rPr>
          <w:rFonts w:hint="eastAsia" w:ascii="宋体" w:hAnsi="宋体" w:cs="宋体"/>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pPr>
        <w:adjustRightInd w:val="0"/>
        <w:snapToGrid w:val="0"/>
        <w:spacing w:line="360" w:lineRule="auto"/>
        <w:ind w:firstLine="420" w:firstLineChars="200"/>
        <w:rPr>
          <w:rFonts w:ascii="宋体" w:hAnsi="Times New Roman" w:cs="宋体"/>
        </w:rPr>
      </w:pPr>
      <w:r>
        <w:rPr>
          <w:rFonts w:hint="eastAsia" w:ascii="宋体" w:hAnsi="宋体" w:cs="宋体"/>
        </w:rPr>
        <w:t>18.3在询价过程中，询价小组不得改变询价文件所确定的技术和服务等要求、评审程序、评定成交的标准和合同文本等事项。</w:t>
      </w:r>
    </w:p>
    <w:p>
      <w:pPr>
        <w:adjustRightInd w:val="0"/>
        <w:snapToGrid w:val="0"/>
        <w:spacing w:line="360" w:lineRule="auto"/>
        <w:ind w:firstLine="420" w:firstLineChars="200"/>
        <w:rPr>
          <w:rFonts w:ascii="宋体" w:hAnsi="Times New Roman" w:cs="宋体"/>
        </w:rPr>
      </w:pPr>
      <w:r>
        <w:rPr>
          <w:rFonts w:hint="eastAsia" w:ascii="宋体" w:hAnsi="宋体" w:cs="宋体"/>
        </w:rPr>
        <w:t>18.4询价小组对资格性和符合性审查合格的供应商报价进行修正和调整，得出最后评审价。</w:t>
      </w:r>
    </w:p>
    <w:p>
      <w:pPr>
        <w:adjustRightInd w:val="0"/>
        <w:snapToGrid w:val="0"/>
        <w:spacing w:line="360" w:lineRule="auto"/>
        <w:ind w:firstLine="420" w:firstLineChars="200"/>
        <w:rPr>
          <w:rFonts w:ascii="宋体" w:hAnsi="Times New Roman" w:cs="宋体"/>
        </w:rPr>
      </w:pPr>
      <w:r>
        <w:rPr>
          <w:rFonts w:hint="eastAsia" w:ascii="宋体" w:hAnsi="宋体" w:cs="宋体"/>
        </w:rPr>
        <w:t>18.5修正错误的原则如下：</w:t>
      </w:r>
    </w:p>
    <w:p>
      <w:pPr>
        <w:adjustRightInd w:val="0"/>
        <w:snapToGrid w:val="0"/>
        <w:spacing w:line="360" w:lineRule="auto"/>
        <w:ind w:firstLine="420" w:firstLineChars="200"/>
        <w:rPr>
          <w:rFonts w:ascii="宋体" w:hAnsi="Times New Roman" w:cs="宋体"/>
        </w:rPr>
      </w:pPr>
      <w:r>
        <w:rPr>
          <w:rFonts w:hint="eastAsia" w:ascii="宋体" w:hAnsi="宋体" w:cs="宋体"/>
        </w:rPr>
        <w:t>18.5.1响应文件中的大写金额和小写金额不一致的，以大写金额为准；</w:t>
      </w:r>
    </w:p>
    <w:p>
      <w:pPr>
        <w:adjustRightInd w:val="0"/>
        <w:snapToGrid w:val="0"/>
        <w:spacing w:line="360" w:lineRule="auto"/>
        <w:ind w:firstLine="420" w:firstLineChars="200"/>
        <w:rPr>
          <w:rFonts w:ascii="宋体" w:hAnsi="Times New Roman" w:cs="宋体"/>
        </w:rPr>
      </w:pPr>
      <w:r>
        <w:rPr>
          <w:rFonts w:hint="eastAsia" w:ascii="宋体" w:hAnsi="宋体" w:cs="宋体"/>
        </w:rPr>
        <w:t>18.5.2总价金额与按单价汇总金额不一致的，以单价金额计算结果为准；单价金额小数点有明显错位的，应以总价为准，并修改单价；</w:t>
      </w:r>
    </w:p>
    <w:p>
      <w:pPr>
        <w:adjustRightInd w:val="0"/>
        <w:snapToGrid w:val="0"/>
        <w:spacing w:line="360" w:lineRule="auto"/>
        <w:ind w:firstLine="420" w:firstLineChars="200"/>
        <w:rPr>
          <w:rFonts w:ascii="宋体" w:hAnsi="Times New Roman" w:cs="宋体"/>
        </w:rPr>
      </w:pPr>
      <w:r>
        <w:rPr>
          <w:rFonts w:hint="eastAsia" w:ascii="宋体" w:hAnsi="宋体" w:cs="宋体"/>
        </w:rPr>
        <w:t>18.5.3对不同文字文本响应文件的解释发生异议的，以中文文本为准；</w:t>
      </w:r>
    </w:p>
    <w:p>
      <w:pPr>
        <w:adjustRightInd w:val="0"/>
        <w:snapToGrid w:val="0"/>
        <w:spacing w:line="360" w:lineRule="auto"/>
        <w:ind w:firstLine="420" w:firstLineChars="200"/>
        <w:rPr>
          <w:rFonts w:ascii="宋体" w:hAnsi="Times New Roman" w:cs="宋体"/>
        </w:rPr>
      </w:pPr>
      <w:r>
        <w:rPr>
          <w:rFonts w:hint="eastAsia" w:ascii="宋体" w:hAnsi="宋体" w:cs="宋体"/>
        </w:rPr>
        <w:t>18.6询价小组将按照上述修正错误的方法调整报价，调整后的价格对供应商具有约束力。如果供应商不接受修正后价格，则其报价将被拒绝。</w:t>
      </w:r>
    </w:p>
    <w:p>
      <w:pPr>
        <w:adjustRightInd w:val="0"/>
        <w:snapToGrid w:val="0"/>
        <w:spacing w:line="360" w:lineRule="auto"/>
        <w:ind w:firstLine="420" w:firstLineChars="200"/>
        <w:rPr>
          <w:rFonts w:ascii="宋体" w:hAnsi="宋体" w:cs="宋体"/>
        </w:rPr>
      </w:pPr>
      <w:r>
        <w:rPr>
          <w:rFonts w:hint="eastAsia" w:ascii="宋体" w:hAnsi="宋体" w:cs="宋体"/>
        </w:rPr>
        <w:t>18.</w:t>
      </w:r>
      <w:r>
        <w:rPr>
          <w:rFonts w:ascii="宋体" w:hAnsi="宋体" w:cs="宋体"/>
        </w:rPr>
        <w:t>7</w:t>
      </w:r>
      <w:r>
        <w:rPr>
          <w:rFonts w:hint="eastAsia" w:ascii="宋体" w:hAnsi="宋体" w:cs="宋体"/>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pPr>
        <w:adjustRightInd w:val="0"/>
        <w:snapToGrid w:val="0"/>
        <w:spacing w:line="360" w:lineRule="auto"/>
        <w:ind w:firstLine="422" w:firstLineChars="200"/>
        <w:rPr>
          <w:rFonts w:ascii="宋体" w:hAnsi="宋体" w:cs="宋体"/>
          <w:b/>
          <w:bCs/>
        </w:rPr>
      </w:pPr>
      <w:bookmarkStart w:id="32" w:name="_Hlk42842751"/>
      <w:r>
        <w:rPr>
          <w:rFonts w:hint="eastAsia" w:ascii="宋体" w:hAnsi="宋体" w:cs="宋体"/>
          <w:b/>
          <w:bCs/>
        </w:rPr>
        <w:t>18.</w:t>
      </w:r>
      <w:r>
        <w:rPr>
          <w:rFonts w:ascii="宋体" w:hAnsi="宋体" w:cs="宋体"/>
          <w:b/>
          <w:bCs/>
        </w:rPr>
        <w:t>8</w:t>
      </w:r>
      <w:bookmarkEnd w:id="32"/>
      <w:r>
        <w:rPr>
          <w:rFonts w:hint="eastAsia" w:ascii="宋体" w:hAnsi="宋体" w:cs="宋体"/>
          <w:b/>
          <w:bCs/>
        </w:rPr>
        <w:t>有下列情形之一的，视为供应商串通投标，其响应无效：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不同供应商的响应文件由同一单位或者个人编制；</w:t>
      </w:r>
    </w:p>
    <w:p>
      <w:pPr>
        <w:adjustRightInd w:val="0"/>
        <w:snapToGrid w:val="0"/>
        <w:spacing w:line="360" w:lineRule="auto"/>
        <w:ind w:firstLine="420" w:firstLineChars="200"/>
        <w:rPr>
          <w:rFonts w:ascii="宋体" w:hAnsi="宋体" w:cs="宋体"/>
        </w:rPr>
      </w:pPr>
      <w:bookmarkStart w:id="33" w:name="_Hlk4284277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bookmarkEnd w:id="33"/>
      <w:r>
        <w:rPr>
          <w:rFonts w:hint="eastAsia" w:ascii="宋体" w:hAnsi="宋体" w:cs="宋体"/>
        </w:rPr>
        <w:t>不同供应商委托同一单位或者个人办理询价报价事宜；</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不同供应商的响应文件载明的项目管理成员或者联系人员为同一人；</w:t>
      </w:r>
    </w:p>
    <w:p>
      <w:pPr>
        <w:adjustRightInd w:val="0"/>
        <w:snapToGrid w:val="0"/>
        <w:spacing w:line="360" w:lineRule="auto"/>
        <w:ind w:firstLine="420" w:firstLineChars="200"/>
        <w:rPr>
          <w:rFonts w:ascii="宋体" w:hAnsi="宋体" w:cs="宋体"/>
        </w:rPr>
      </w:pPr>
      <w:bookmarkStart w:id="34" w:name="_Hlk42842786"/>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bookmarkEnd w:id="34"/>
      <w:r>
        <w:rPr>
          <w:rFonts w:hint="eastAsia" w:ascii="宋体" w:hAnsi="宋体" w:cs="宋体"/>
        </w:rPr>
        <w:t>不同供应商的响应文件异常一致或者报价呈规律性差异；</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不同供应商的响应文件相互混装；</w:t>
      </w:r>
    </w:p>
    <w:p>
      <w:pPr>
        <w:adjustRightInd w:val="0"/>
        <w:snapToGrid w:val="0"/>
        <w:spacing w:line="360" w:lineRule="auto"/>
        <w:ind w:firstLine="422" w:firstLineChars="200"/>
        <w:rPr>
          <w:rFonts w:ascii="宋体" w:hAnsi="宋体" w:cs="宋体"/>
          <w:b/>
          <w:bCs/>
        </w:rPr>
      </w:pPr>
      <w:r>
        <w:rPr>
          <w:rFonts w:hint="eastAsia" w:ascii="宋体" w:hAnsi="宋体" w:cs="宋体"/>
          <w:b/>
          <w:bCs/>
        </w:rPr>
        <w:t>18.</w:t>
      </w:r>
      <w:r>
        <w:rPr>
          <w:rFonts w:ascii="宋体" w:hAnsi="宋体" w:cs="宋体"/>
          <w:b/>
          <w:bCs/>
        </w:rPr>
        <w:t>9</w:t>
      </w:r>
      <w:r>
        <w:rPr>
          <w:rFonts w:hint="eastAsia" w:ascii="宋体" w:hAnsi="宋体" w:cs="宋体"/>
          <w:b/>
          <w:bCs/>
        </w:rPr>
        <w:t>供应商存在下列情况之一的，报价无效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响应文件未按询价文件要求签署、盖章的；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不具备询价文件中规定的资格要求的；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报价超过询价文件中规定的预算金额或者最高限价的；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响应文件含有采购人不能接受的附加条件的；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法律、法规和询价文件规定的其他无效情形。</w:t>
      </w:r>
    </w:p>
    <w:p>
      <w:pPr>
        <w:adjustRightInd w:val="0"/>
        <w:snapToGrid w:val="0"/>
        <w:spacing w:line="360" w:lineRule="auto"/>
        <w:ind w:firstLine="422" w:firstLineChars="200"/>
        <w:rPr>
          <w:rFonts w:ascii="宋体" w:hAnsi="Times New Roman" w:cs="宋体"/>
          <w:b/>
          <w:bCs/>
        </w:rPr>
      </w:pPr>
      <w:r>
        <w:rPr>
          <w:rFonts w:hint="eastAsia" w:ascii="宋体" w:hAnsi="宋体" w:cs="宋体"/>
          <w:b/>
          <w:bCs/>
        </w:rPr>
        <w:t>18.</w:t>
      </w:r>
      <w:r>
        <w:rPr>
          <w:rFonts w:ascii="宋体" w:hAnsi="宋体" w:cs="宋体"/>
          <w:b/>
          <w:bCs/>
        </w:rPr>
        <w:t>10</w:t>
      </w:r>
      <w:r>
        <w:rPr>
          <w:rFonts w:hint="eastAsia" w:ascii="宋体" w:hAnsi="宋体" w:cs="宋体"/>
          <w:b/>
          <w:bCs/>
        </w:rPr>
        <w:t>在询价采购中，出现下列情形之一的，应予废标：</w:t>
      </w:r>
    </w:p>
    <w:p>
      <w:pPr>
        <w:tabs>
          <w:tab w:val="left" w:pos="851"/>
        </w:tabs>
        <w:adjustRightInd w:val="0"/>
        <w:snapToGrid w:val="0"/>
        <w:spacing w:line="360" w:lineRule="auto"/>
        <w:ind w:firstLine="420" w:firstLineChars="200"/>
        <w:rPr>
          <w:rFonts w:ascii="宋体" w:hAnsi="Times New Roman" w:cs="宋体"/>
        </w:rPr>
      </w:pPr>
      <w:bookmarkStart w:id="35" w:name="_Hlk42842654"/>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bookmarkEnd w:id="35"/>
      <w:r>
        <w:rPr>
          <w:rFonts w:hint="eastAsia" w:ascii="宋体" w:hAnsi="宋体" w:cs="宋体"/>
        </w:rPr>
        <w:t>符合专业条件的供应商或者对询价文件实质响应的供应商不足三家的（有特别说明除外）；</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出现影响采购公正的违法、违规行为的；</w:t>
      </w:r>
    </w:p>
    <w:p>
      <w:pPr>
        <w:tabs>
          <w:tab w:val="left" w:pos="851"/>
        </w:tabs>
        <w:adjustRightInd w:val="0"/>
        <w:snapToGrid w:val="0"/>
        <w:spacing w:line="360" w:lineRule="auto"/>
        <w:ind w:firstLine="420" w:firstLineChars="200"/>
        <w:rPr>
          <w:rFonts w:ascii="宋体" w:hAnsi="Times New Roman" w:cs="宋体"/>
        </w:rPr>
      </w:pPr>
      <w:bookmarkStart w:id="36" w:name="_Hlk4284266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bookmarkEnd w:id="36"/>
      <w:r>
        <w:rPr>
          <w:rFonts w:hint="eastAsia" w:ascii="宋体" w:hAnsi="宋体" w:cs="宋体"/>
        </w:rPr>
        <w:t>供应商的报价均超过了采购预算，采购人不能支付的；</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因重大变故，采购任务取消的。</w:t>
      </w:r>
    </w:p>
    <w:p>
      <w:pPr>
        <w:tabs>
          <w:tab w:val="left" w:pos="851"/>
        </w:tabs>
        <w:adjustRightInd w:val="0"/>
        <w:snapToGrid w:val="0"/>
        <w:spacing w:line="360" w:lineRule="auto"/>
        <w:ind w:firstLine="420" w:firstLineChars="200"/>
        <w:rPr>
          <w:rFonts w:ascii="宋体" w:hAnsi="Times New Roman" w:cs="宋体"/>
        </w:rPr>
      </w:pPr>
      <w:bookmarkStart w:id="37" w:name="_Hlk42842680"/>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bookmarkEnd w:id="37"/>
      <w:r>
        <w:rPr>
          <w:rFonts w:hint="eastAsia" w:ascii="宋体" w:hAnsi="宋体" w:cs="宋体"/>
        </w:rPr>
        <w:t>响应文件未完全满足询价文件的实质性条款（即标注★号条款）无负偏离的。</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19.评定成交的评审方法和标准</w:t>
      </w:r>
    </w:p>
    <w:p>
      <w:pPr>
        <w:adjustRightInd w:val="0"/>
        <w:snapToGrid w:val="0"/>
        <w:spacing w:line="360" w:lineRule="auto"/>
        <w:ind w:firstLine="420" w:firstLineChars="200"/>
        <w:rPr>
          <w:rFonts w:ascii="宋体" w:hAnsi="Times New Roman" w:cs="宋体"/>
          <w:b/>
          <w:color w:val="FF0000"/>
        </w:rPr>
      </w:pPr>
      <w:r>
        <w:rPr>
          <w:rFonts w:hint="eastAsia" w:ascii="宋体" w:hAnsi="宋体" w:cs="宋体"/>
        </w:rPr>
        <w:t>19.1本项目采用最低评标价法确定成交供应商，即在质量和服务均能满足询价文件实质性响应要求前提下，提出最低报价（</w:t>
      </w:r>
      <w:r>
        <w:rPr>
          <w:rFonts w:hint="eastAsia" w:ascii="宋体" w:hAnsi="宋体" w:cs="宋体"/>
          <w:lang w:eastAsia="zh-TW"/>
        </w:rPr>
        <w:t>指修正及价格扣除后的</w:t>
      </w:r>
      <w:r>
        <w:rPr>
          <w:rFonts w:hint="eastAsia" w:ascii="宋体" w:hAnsi="宋体" w:cs="宋体"/>
        </w:rPr>
        <w:t>价格，即评标</w:t>
      </w:r>
      <w:r>
        <w:rPr>
          <w:rFonts w:hint="eastAsia" w:ascii="宋体" w:hAnsi="宋体" w:cs="宋体"/>
          <w:lang w:eastAsia="zh-TW"/>
        </w:rPr>
        <w:t>价</w:t>
      </w:r>
      <w:r>
        <w:rPr>
          <w:rFonts w:hint="eastAsia" w:ascii="宋体" w:hAnsi="宋体" w:cs="宋体"/>
        </w:rPr>
        <w:t>）的供应商作为成交供应商。按照最后报</w:t>
      </w:r>
      <w:r>
        <w:rPr>
          <w:rFonts w:hint="eastAsia" w:ascii="宋体" w:hAnsi="宋体" w:cs="宋体"/>
          <w:lang w:eastAsia="zh-TW"/>
        </w:rPr>
        <w:t>价</w:t>
      </w:r>
      <w:r>
        <w:rPr>
          <w:rFonts w:hint="eastAsia" w:ascii="宋体" w:hAnsi="宋体" w:cs="宋体"/>
        </w:rPr>
        <w:t>由低到高顺序推荐三名成交候选人。</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19.3</w:t>
      </w:r>
      <w:r>
        <w:rPr>
          <w:rFonts w:hint="eastAsia" w:ascii="宋体" w:hAnsi="宋体" w:cs="宋体"/>
          <w:color w:val="000000"/>
        </w:rPr>
        <w:t>评审价相同的，按下列顺序比较确定：</w:t>
      </w:r>
      <w:r>
        <w:rPr>
          <w:rFonts w:hint="eastAsia" w:ascii="宋体" w:hAnsi="宋体" w:cs="宋体"/>
        </w:rPr>
        <w:t>（1）节能产品；（2）环保产品；如以上都相同的，名次由评标委员会抽签确定。</w:t>
      </w:r>
      <w:r>
        <w:rPr>
          <w:rFonts w:hint="eastAsia" w:ascii="宋体" w:hAnsi="宋体" w:cs="宋体"/>
          <w:lang w:eastAsia="zh-TW"/>
        </w:rPr>
        <w:t>评标委员会认为，排在前面的</w:t>
      </w:r>
      <w:r>
        <w:rPr>
          <w:rFonts w:hint="eastAsia" w:ascii="宋体" w:hAnsi="宋体" w:cs="宋体"/>
        </w:rPr>
        <w:t>成交</w:t>
      </w:r>
      <w:r>
        <w:rPr>
          <w:rFonts w:hint="eastAsia" w:ascii="宋体" w:hAnsi="宋体" w:cs="宋体"/>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rPr>
        <w:t>，</w:t>
      </w:r>
      <w:r>
        <w:rPr>
          <w:rFonts w:hint="eastAsia" w:ascii="宋体" w:hAnsi="宋体" w:cs="宋体"/>
          <w:lang w:eastAsia="zh-TW"/>
        </w:rPr>
        <w:t>否则评标委员会可以取消该供应商的</w:t>
      </w:r>
      <w:r>
        <w:rPr>
          <w:rFonts w:hint="eastAsia" w:ascii="宋体" w:hAnsi="宋体" w:cs="宋体"/>
        </w:rPr>
        <w:t>成交</w:t>
      </w:r>
      <w:r>
        <w:rPr>
          <w:rFonts w:hint="eastAsia" w:ascii="宋体" w:hAnsi="宋体" w:cs="宋体"/>
          <w:lang w:eastAsia="zh-TW"/>
        </w:rPr>
        <w:t>候选资格，按顺序由排在后面的</w:t>
      </w:r>
      <w:r>
        <w:rPr>
          <w:rFonts w:hint="eastAsia" w:ascii="宋体" w:hAnsi="宋体" w:cs="宋体"/>
        </w:rPr>
        <w:t>成交</w:t>
      </w:r>
      <w:r>
        <w:rPr>
          <w:rFonts w:hint="eastAsia" w:ascii="宋体" w:hAnsi="宋体" w:cs="宋体"/>
          <w:lang w:eastAsia="zh-TW"/>
        </w:rPr>
        <w:t>候选人递补，以此类推。</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20.确定成交结果</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20.1成交供应商确定后，采购人将在</w:t>
      </w:r>
      <w:r>
        <w:rPr>
          <w:rFonts w:hint="eastAsia" w:ascii="宋体" w:hAnsi="宋体" w:cs="宋体"/>
          <w:u w:val="single"/>
        </w:rPr>
        <w:t>南宁市人力资源和社会保障局网站及广西南宁技师学院网站</w:t>
      </w:r>
      <w:r>
        <w:rPr>
          <w:rFonts w:hint="eastAsia" w:ascii="宋体" w:hAnsi="宋体" w:cs="宋体"/>
        </w:rPr>
        <w:t>上发布成交结果公告。</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20.2由采购人向成交供应商发出《成交通知书》。</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20.3成交供应商放弃中标、不按要求与采购人签订采购合同、因不可抗拒力或自身原因不能履行采购合同的，采购人可以与排位在成交供应商之后第一位的成交候选人签订采购合同，以此类推</w:t>
      </w:r>
      <w:r>
        <w:rPr>
          <w:rFonts w:hint="eastAsia" w:ascii="宋体" w:hAnsi="宋体" w:cs="宋体"/>
          <w:color w:val="3366FF"/>
        </w:rPr>
        <w:t>，</w:t>
      </w:r>
      <w:r>
        <w:rPr>
          <w:rFonts w:hint="eastAsia" w:ascii="宋体" w:hAnsi="宋体" w:cs="宋体"/>
        </w:rPr>
        <w:t>也可以重新开展采购活动。拒绝签订采购合同的成交供应商不得参加对该项目重新开展的采购活动。</w:t>
      </w:r>
    </w:p>
    <w:p>
      <w:pPr>
        <w:autoSpaceDE w:val="0"/>
        <w:autoSpaceDN w:val="0"/>
        <w:adjustRightInd w:val="0"/>
        <w:snapToGrid w:val="0"/>
        <w:spacing w:line="360" w:lineRule="auto"/>
        <w:ind w:firstLine="413" w:firstLineChars="196"/>
        <w:outlineLvl w:val="0"/>
        <w:rPr>
          <w:rFonts w:ascii="宋体" w:hAnsi="Times New Roman" w:cs="宋体"/>
          <w:b/>
        </w:rPr>
      </w:pPr>
      <w:bookmarkStart w:id="38" w:name="_Toc433127783"/>
      <w:r>
        <w:rPr>
          <w:rFonts w:hint="eastAsia" w:ascii="宋体" w:hAnsi="宋体" w:cs="宋体"/>
          <w:b/>
        </w:rPr>
        <w:t>21.询问、质疑、投诉</w:t>
      </w:r>
      <w:bookmarkEnd w:id="38"/>
    </w:p>
    <w:p>
      <w:pPr>
        <w:autoSpaceDE w:val="0"/>
        <w:autoSpaceDN w:val="0"/>
        <w:adjustRightInd w:val="0"/>
        <w:snapToGrid w:val="0"/>
        <w:spacing w:line="360" w:lineRule="auto"/>
        <w:ind w:firstLine="413" w:firstLineChars="196"/>
        <w:outlineLvl w:val="0"/>
        <w:rPr>
          <w:rFonts w:ascii="宋体" w:hAnsi="Times New Roman" w:cs="宋体"/>
          <w:b/>
        </w:rPr>
      </w:pPr>
      <w:r>
        <w:rPr>
          <w:rFonts w:hint="eastAsia" w:ascii="宋体" w:hAnsi="宋体" w:cs="宋体"/>
          <w:b/>
        </w:rPr>
        <w:t>21.1询问</w:t>
      </w:r>
    </w:p>
    <w:p>
      <w:pPr>
        <w:autoSpaceDE w:val="0"/>
        <w:autoSpaceDN w:val="0"/>
        <w:adjustRightInd w:val="0"/>
        <w:snapToGrid w:val="0"/>
        <w:spacing w:line="360" w:lineRule="auto"/>
        <w:ind w:firstLine="411" w:firstLineChars="196"/>
        <w:outlineLvl w:val="0"/>
        <w:rPr>
          <w:rFonts w:ascii="宋体" w:hAnsi="Times New Roman" w:cs="宋体"/>
          <w:b/>
        </w:rPr>
      </w:pPr>
      <w:r>
        <w:rPr>
          <w:rFonts w:hint="eastAsia" w:ascii="宋体" w:hAnsi="宋体" w:cs="宋体"/>
        </w:rPr>
        <w:t>21.1.1供应商对采购活动事项有疑问的，可以向采购单位提出询问，询问可以口头方式提出，也可以书面方式提出。</w:t>
      </w:r>
    </w:p>
    <w:p>
      <w:pPr>
        <w:tabs>
          <w:tab w:val="left" w:pos="993"/>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21.1.2采购人在收到供应商询问后三个工作日内作出答复。</w:t>
      </w:r>
    </w:p>
    <w:p>
      <w:pPr>
        <w:autoSpaceDE w:val="0"/>
        <w:autoSpaceDN w:val="0"/>
        <w:adjustRightInd w:val="0"/>
        <w:snapToGrid w:val="0"/>
        <w:spacing w:line="360" w:lineRule="auto"/>
        <w:ind w:firstLine="413" w:firstLineChars="196"/>
        <w:outlineLvl w:val="0"/>
        <w:rPr>
          <w:rFonts w:ascii="宋体" w:hAnsi="宋体" w:cs="宋体"/>
          <w:b/>
        </w:rPr>
      </w:pPr>
      <w:r>
        <w:rPr>
          <w:rFonts w:hint="eastAsia" w:ascii="宋体" w:hAnsi="宋体" w:cs="宋体"/>
          <w:b/>
        </w:rPr>
        <w:t>21.2质疑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21.2.1质疑期限：</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21.2.1.1供应商认为采购文件的内容损害其权益的，应在收到采购文件之日或者采购文件公告期届满之日起七个工作日内。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21.2.1.2供应商认为采购过程损害其权益的，应在各采购程序环节结束之日起七个工作日内。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21.2.1.3 供应商认为中标或者成交结果损害其权益的，应在中标或者成交结果公告期限届满之日起七个工作日内。</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21.2.2提交要求：</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21.2.2.1 以书面形式（加盖供应商公章）向采购人提出质疑，供应商以电话、传真或电邮形式提交的质疑属于无效质疑。</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21.2.2.3 供应商质疑应当有明确的请求和必要的证明材料，捏造事实、提供虚假材料或者以非法手段取得证明材料不能作为质疑的证明材料。</w:t>
      </w:r>
      <w:r>
        <w:rPr>
          <w:rFonts w:hint="eastAsia" w:ascii="宋体" w:hAnsi="宋体" w:cs="宋体"/>
        </w:rPr>
        <w:br w:type="textWrapping"/>
      </w:r>
      <w:r>
        <w:rPr>
          <w:rFonts w:hint="eastAsia" w:ascii="宋体" w:hAnsi="宋体" w:cs="宋体"/>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p>
    <w:p>
      <w:pPr>
        <w:autoSpaceDE w:val="0"/>
        <w:autoSpaceDN w:val="0"/>
        <w:adjustRightInd w:val="0"/>
        <w:snapToGrid w:val="0"/>
        <w:spacing w:line="360" w:lineRule="auto"/>
        <w:ind w:firstLine="411" w:firstLineChars="196"/>
        <w:outlineLvl w:val="0"/>
        <w:rPr>
          <w:rFonts w:ascii="宋体" w:hAnsi="宋体" w:cs="宋体"/>
        </w:rPr>
      </w:pPr>
      <w:r>
        <w:rPr>
          <w:rFonts w:hint="eastAsia" w:ascii="宋体" w:hAnsi="宋体" w:cs="宋体"/>
        </w:rPr>
        <w:t>21.2.3 对于捏造事实、滥用维权扰乱采购秩序的恶意质疑者或举证不全查无实据被驳回次数在一年内达三次以上，将纳入不良行为记录名单并承担相应的法律责任。</w:t>
      </w:r>
    </w:p>
    <w:p>
      <w:pPr>
        <w:tabs>
          <w:tab w:val="left" w:pos="1272"/>
        </w:tabs>
        <w:spacing w:line="360" w:lineRule="auto"/>
        <w:ind w:firstLine="413" w:firstLineChars="196"/>
        <w:rPr>
          <w:rFonts w:ascii="宋体" w:hAnsi="Times New Roman" w:cs="宋体"/>
          <w:b/>
          <w:color w:val="000000"/>
        </w:rPr>
      </w:pPr>
      <w:r>
        <w:rPr>
          <w:rFonts w:hint="eastAsia" w:ascii="宋体" w:hAnsi="宋体" w:cs="宋体"/>
          <w:b/>
          <w:color w:val="000000"/>
        </w:rPr>
        <w:t>21.3投诉</w:t>
      </w:r>
    </w:p>
    <w:p>
      <w:pPr>
        <w:tabs>
          <w:tab w:val="left" w:pos="1272"/>
        </w:tabs>
        <w:spacing w:line="360" w:lineRule="auto"/>
        <w:ind w:firstLine="420" w:firstLineChars="200"/>
        <w:rPr>
          <w:rFonts w:ascii="宋体" w:hAnsi="Times New Roman" w:cs="宋体"/>
          <w:color w:val="000000"/>
        </w:rPr>
      </w:pPr>
      <w:r>
        <w:rPr>
          <w:rFonts w:hint="eastAsia" w:ascii="宋体" w:hAnsi="宋体" w:cs="宋体"/>
          <w:color w:val="000000"/>
        </w:rPr>
        <w:t>质疑供应商对采购单位的质疑答复不满意，或采购单位未在规定期限内作出答复的，可以在答复期满后十五个工作日内向同级监管部门提出投诉。</w:t>
      </w:r>
    </w:p>
    <w:p>
      <w:pPr>
        <w:autoSpaceDE w:val="0"/>
        <w:autoSpaceDN w:val="0"/>
        <w:adjustRightInd w:val="0"/>
        <w:snapToGrid w:val="0"/>
        <w:spacing w:line="360" w:lineRule="auto"/>
        <w:jc w:val="left"/>
        <w:rPr>
          <w:rFonts w:ascii="宋体" w:hAnsi="Times New Roman" w:cs="宋体"/>
        </w:rPr>
      </w:pPr>
    </w:p>
    <w:p>
      <w:pPr>
        <w:pStyle w:val="3"/>
        <w:adjustRightInd w:val="0"/>
        <w:snapToGrid w:val="0"/>
        <w:spacing w:line="360" w:lineRule="auto"/>
        <w:jc w:val="center"/>
        <w:rPr>
          <w:sz w:val="30"/>
          <w:szCs w:val="30"/>
        </w:rPr>
      </w:pPr>
      <w:bookmarkStart w:id="39" w:name="_Toc454458058"/>
      <w:bookmarkStart w:id="40" w:name="_Toc453493037"/>
      <w:bookmarkStart w:id="41" w:name="_Toc448133314"/>
      <w:r>
        <w:rPr>
          <w:rFonts w:hint="eastAsia" w:cs="宋体"/>
          <w:sz w:val="30"/>
          <w:szCs w:val="30"/>
        </w:rPr>
        <w:t>六、授予合同</w:t>
      </w:r>
      <w:bookmarkEnd w:id="39"/>
      <w:bookmarkEnd w:id="40"/>
      <w:bookmarkEnd w:id="41"/>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22.合同的订立</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自成交通知书发出之日起三十日内签订采购合同，但不得超出询价文件和成交供应商响应文件的范围、</w:t>
      </w:r>
      <w:r>
        <w:rPr>
          <w:rFonts w:hint="eastAsia" w:ascii="宋体" w:hAnsi="宋体" w:cs="宋体"/>
        </w:rPr>
        <w:t>也不得再行订立背离询价文件确定的合同文本以及实质性内容的协议。</w:t>
      </w:r>
    </w:p>
    <w:p>
      <w:pPr>
        <w:adjustRightInd w:val="0"/>
        <w:snapToGrid w:val="0"/>
        <w:spacing w:line="360" w:lineRule="auto"/>
        <w:ind w:firstLine="413" w:firstLineChars="196"/>
        <w:outlineLvl w:val="2"/>
        <w:rPr>
          <w:rFonts w:ascii="宋体" w:hAnsi="Times New Roman" w:cs="宋体"/>
          <w:b/>
        </w:rPr>
      </w:pPr>
      <w:bookmarkStart w:id="42" w:name="_Toc378586990"/>
      <w:r>
        <w:rPr>
          <w:rFonts w:hint="eastAsia" w:ascii="宋体" w:hAnsi="宋体" w:cs="宋体"/>
          <w:b/>
        </w:rPr>
        <w:t>23.合同的履行</w:t>
      </w:r>
      <w:bookmarkEnd w:id="42"/>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pPr>
        <w:spacing w:line="360" w:lineRule="auto"/>
        <w:rPr>
          <w:rFonts w:cs="Times New Roman"/>
          <w:b/>
          <w:bCs/>
          <w:sz w:val="24"/>
          <w:szCs w:val="24"/>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附件一：资格性及符合性审查表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广西南宁技师学院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7"/>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询价有效期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详见询价邀请函中“供应商资格”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响应文件已按照询价文件规定要求签署、盖章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color w:val="FF0000"/>
              </w:rPr>
            </w:pPr>
            <w:r>
              <w:rPr>
                <w:rFonts w:hint="eastAsia" w:ascii="宋体" w:hAnsi="宋体" w:cs="宋体"/>
                <w:color w:val="000000" w:themeColor="text1"/>
                <w14:textFill>
                  <w14:solidFill>
                    <w14:schemeClr w14:val="tx1"/>
                  </w14:solidFill>
                </w14:textFill>
              </w:rPr>
              <w:t>询价截止日起</w:t>
            </w:r>
            <w:r>
              <w:rPr>
                <w:rFonts w:hint="eastAsia" w:ascii="宋体" w:hAnsi="宋体" w:cs="宋体"/>
                <w:color w:val="000000" w:themeColor="text1"/>
                <w:lang w:val="en-US" w:eastAsia="zh-CN"/>
                <w14:textFill>
                  <w14:solidFill>
                    <w14:schemeClr w14:val="tx1"/>
                  </w14:solidFill>
                </w14:textFill>
              </w:rPr>
              <w:t>90</w:t>
            </w:r>
            <w:r>
              <w:rPr>
                <w:rFonts w:hint="eastAsia" w:ascii="宋体" w:hAnsi="宋体" w:cs="宋体"/>
                <w:color w:val="000000" w:themeColor="text1"/>
                <w14:textFill>
                  <w14:solidFill>
                    <w14:schemeClr w14:val="tx1"/>
                  </w14:solidFill>
                </w14:textFill>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满足询价文件要求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没有其他未实质性响应询价文件要求的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color w:val="FF0000"/>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36"/>
        <w:ind w:firstLine="0" w:firstLineChars="0"/>
        <w:rPr>
          <w:rFonts w:cs="Times New Roman"/>
        </w:rPr>
      </w:pPr>
    </w:p>
    <w:p>
      <w:pPr>
        <w:pStyle w:val="36"/>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pPr>
        <w:pStyle w:val="3"/>
        <w:adjustRightInd w:val="0"/>
        <w:snapToGrid w:val="0"/>
        <w:spacing w:line="360" w:lineRule="auto"/>
        <w:jc w:val="center"/>
        <w:rPr>
          <w:rFonts w:ascii="黑体" w:hAnsi="黑体" w:eastAsia="黑体"/>
          <w:b w:val="0"/>
          <w:sz w:val="32"/>
          <w:szCs w:val="32"/>
        </w:rPr>
      </w:pPr>
      <w:bookmarkStart w:id="43" w:name="_Toc50737322"/>
      <w:bookmarkStart w:id="44" w:name="_Toc50691023"/>
      <w:bookmarkStart w:id="45" w:name="_Toc50736470"/>
      <w:bookmarkStart w:id="46" w:name="_Toc87417452"/>
      <w:bookmarkStart w:id="47" w:name="_Toc454458060"/>
      <w:bookmarkStart w:id="48" w:name="_Toc50737290"/>
      <w:bookmarkStart w:id="49" w:name="_Toc43264513"/>
      <w:r>
        <w:rPr>
          <w:rFonts w:hint="eastAsia" w:ascii="黑体" w:hAnsi="黑体" w:eastAsia="黑体" w:cs="宋体"/>
          <w:b w:val="0"/>
          <w:sz w:val="32"/>
          <w:szCs w:val="32"/>
        </w:rPr>
        <w:t>第四章 合同</w:t>
      </w:r>
      <w:bookmarkEnd w:id="43"/>
      <w:bookmarkEnd w:id="44"/>
      <w:bookmarkEnd w:id="45"/>
      <w:bookmarkEnd w:id="46"/>
      <w:bookmarkEnd w:id="47"/>
      <w:bookmarkEnd w:id="48"/>
      <w:r>
        <w:rPr>
          <w:rFonts w:hint="eastAsia" w:ascii="黑体" w:hAnsi="黑体" w:eastAsia="黑体" w:cs="宋体"/>
          <w:b w:val="0"/>
          <w:sz w:val="32"/>
          <w:szCs w:val="32"/>
        </w:rPr>
        <w:t>格式</w:t>
      </w: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bookmarkEnd w:id="49"/>
    <w:p>
      <w:pPr>
        <w:pStyle w:val="3"/>
        <w:spacing w:line="360" w:lineRule="auto"/>
        <w:jc w:val="center"/>
        <w:rPr>
          <w:rFonts w:ascii="宋体"/>
          <w:sz w:val="52"/>
          <w:szCs w:val="52"/>
        </w:rPr>
      </w:pPr>
      <w:r>
        <w:rPr>
          <w:rFonts w:hint="eastAsia" w:ascii="宋体" w:hAnsi="宋体" w:cs="宋体"/>
          <w:sz w:val="52"/>
          <w:szCs w:val="52"/>
        </w:rPr>
        <w:t>合　同　书</w:t>
      </w:r>
    </w:p>
    <w:p>
      <w:pPr>
        <w:tabs>
          <w:tab w:val="left" w:pos="720"/>
        </w:tabs>
        <w:spacing w:line="360" w:lineRule="auto"/>
        <w:jc w:val="center"/>
        <w:rPr>
          <w:rFonts w:ascii="宋体"/>
          <w:b/>
          <w:bCs/>
          <w:sz w:val="36"/>
          <w:szCs w:val="36"/>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tbl>
      <w:tblPr>
        <w:tblStyle w:val="37"/>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rPr>
            </w:pPr>
          </w:p>
        </w:tc>
      </w:tr>
    </w:tbl>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b/>
          <w:bCs/>
          <w:color w:val="FF0000"/>
        </w:rPr>
      </w:pPr>
      <w:bookmarkStart w:id="50" w:name="_Hlk38299433"/>
      <w:r>
        <w:rPr>
          <w:rFonts w:hint="eastAsia" w:ascii="宋体" w:hAnsi="宋体" w:cs="宋体"/>
          <w:b/>
          <w:bCs/>
          <w:color w:val="FF0000"/>
        </w:rPr>
        <w:t>注：合同签订双方根据项目的具体要求进行修订，不作统一格式要求。</w:t>
      </w:r>
    </w:p>
    <w:bookmarkEnd w:id="50"/>
    <w:p>
      <w:pPr>
        <w:rPr>
          <w:rFonts w:ascii="宋体" w:hAnsi="Times New Roman"/>
        </w:rPr>
        <w:sectPr>
          <w:pgSz w:w="11906" w:h="16838"/>
          <w:pgMar w:top="1135" w:right="1135" w:bottom="1135" w:left="1135" w:header="685" w:footer="567" w:gutter="0"/>
          <w:cols w:space="720" w:num="1"/>
          <w:docGrid w:type="lines" w:linePitch="312" w:charSpace="0"/>
        </w:sectPr>
      </w:pPr>
    </w:p>
    <w:p>
      <w:pPr>
        <w:pStyle w:val="3"/>
        <w:adjustRightInd w:val="0"/>
        <w:snapToGrid w:val="0"/>
        <w:spacing w:line="360" w:lineRule="auto"/>
        <w:jc w:val="center"/>
        <w:rPr>
          <w:rFonts w:ascii="黑体" w:hAnsi="黑体" w:eastAsia="黑体"/>
          <w:b w:val="0"/>
          <w:sz w:val="32"/>
          <w:szCs w:val="32"/>
        </w:rPr>
      </w:pPr>
      <w:bookmarkStart w:id="51" w:name="_Toc43264514"/>
      <w:bookmarkEnd w:id="51"/>
      <w:bookmarkStart w:id="52" w:name="_Toc50737324"/>
      <w:bookmarkStart w:id="53" w:name="_Toc50736472"/>
      <w:bookmarkStart w:id="54" w:name="_Toc50691026"/>
      <w:bookmarkStart w:id="55" w:name="_Toc454458061"/>
      <w:bookmarkStart w:id="56" w:name="_Toc50737292"/>
      <w:bookmarkStart w:id="57" w:name="_Toc87417454"/>
      <w:r>
        <w:rPr>
          <w:rFonts w:hint="eastAsia" w:ascii="黑体" w:hAnsi="黑体" w:eastAsia="黑体" w:cs="宋体"/>
          <w:b w:val="0"/>
          <w:sz w:val="32"/>
          <w:szCs w:val="32"/>
        </w:rPr>
        <w:t>第五章 响应文件格式</w:t>
      </w:r>
      <w:bookmarkEnd w:id="52"/>
      <w:bookmarkEnd w:id="53"/>
      <w:bookmarkEnd w:id="54"/>
      <w:bookmarkEnd w:id="55"/>
      <w:bookmarkEnd w:id="56"/>
      <w:bookmarkEnd w:id="57"/>
    </w:p>
    <w:p>
      <w:pPr>
        <w:pStyle w:val="4"/>
        <w:widowControl/>
        <w:spacing w:line="440" w:lineRule="exact"/>
        <w:jc w:val="center"/>
        <w:rPr>
          <w:rFonts w:ascii="宋体" w:hAnsi="宋体" w:eastAsia="宋体" w:cs="宋体"/>
          <w:b w:val="0"/>
        </w:rPr>
      </w:pPr>
      <w:bookmarkStart w:id="58" w:name="_Toc448133318"/>
      <w:bookmarkStart w:id="59" w:name="_Toc453493041"/>
      <w:bookmarkStart w:id="60" w:name="_Toc454458062"/>
      <w:bookmarkStart w:id="61" w:name="_Toc321408662"/>
      <w:r>
        <w:rPr>
          <w:rFonts w:hint="eastAsia" w:ascii="宋体" w:hAnsi="宋体" w:eastAsia="宋体" w:cs="宋体"/>
          <w:b w:val="0"/>
        </w:rPr>
        <w:t>响应文件封面</w:t>
      </w:r>
      <w:bookmarkEnd w:id="58"/>
      <w:bookmarkEnd w:id="59"/>
      <w:bookmarkEnd w:id="60"/>
    </w:p>
    <w:tbl>
      <w:tblPr>
        <w:tblStyle w:val="3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pPr>
              <w:pStyle w:val="33"/>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3"/>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3"/>
              <w:widowControl w:val="0"/>
              <w:spacing w:before="0" w:beforeAutospacing="0" w:after="0" w:afterAutospacing="0" w:line="360" w:lineRule="auto"/>
              <w:jc w:val="center"/>
              <w:rPr>
                <w:rFonts w:hAnsi="Times New Roman"/>
                <w:kern w:val="2"/>
                <w:sz w:val="52"/>
                <w:szCs w:val="52"/>
              </w:rPr>
            </w:pPr>
            <w:r>
              <w:rPr>
                <w:rFonts w:hint="eastAsia"/>
                <w:kern w:val="2"/>
                <w:sz w:val="52"/>
                <w:szCs w:val="52"/>
              </w:rPr>
              <w:t>广西南宁技师学院询价项目</w:t>
            </w:r>
          </w:p>
          <w:p>
            <w:pPr>
              <w:pStyle w:val="33"/>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pPr>
              <w:pStyle w:val="33"/>
              <w:widowControl w:val="0"/>
              <w:spacing w:before="0" w:beforeAutospacing="0" w:after="0" w:afterAutospacing="0" w:line="360" w:lineRule="auto"/>
              <w:jc w:val="center"/>
              <w:rPr>
                <w:rFonts w:hAnsi="Times New Roman"/>
                <w:kern w:val="2"/>
                <w:sz w:val="32"/>
                <w:szCs w:val="32"/>
              </w:rPr>
            </w:pPr>
          </w:p>
          <w:p>
            <w:pPr>
              <w:pStyle w:val="33"/>
              <w:widowControl w:val="0"/>
              <w:spacing w:before="0" w:beforeAutospacing="0" w:after="0" w:afterAutospacing="0" w:line="360" w:lineRule="auto"/>
              <w:jc w:val="center"/>
              <w:rPr>
                <w:rFonts w:ascii="黑体" w:hAnsi="Times New Roman" w:eastAsia="黑体" w:cs="黑体"/>
                <w:kern w:val="2"/>
                <w:sz w:val="32"/>
                <w:szCs w:val="32"/>
              </w:rPr>
            </w:pPr>
            <w:r>
              <w:rPr>
                <w:rFonts w:hint="eastAsia"/>
                <w:kern w:val="2"/>
                <w:sz w:val="32"/>
                <w:szCs w:val="32"/>
              </w:rPr>
              <w:t>□正本□副本</w:t>
            </w:r>
          </w:p>
          <w:p>
            <w:pPr>
              <w:pStyle w:val="33"/>
              <w:widowControl w:val="0"/>
              <w:spacing w:before="0" w:beforeAutospacing="0" w:after="0" w:afterAutospacing="0" w:line="360" w:lineRule="auto"/>
              <w:jc w:val="both"/>
              <w:rPr>
                <w:rFonts w:ascii="仿宋_GB2312" w:eastAsia="仿宋_GB2312" w:cs="仿宋_GB2312"/>
                <w:kern w:val="2"/>
                <w:sz w:val="32"/>
                <w:szCs w:val="32"/>
              </w:rPr>
            </w:pPr>
          </w:p>
          <w:p>
            <w:pPr>
              <w:pStyle w:val="33"/>
              <w:widowControl w:val="0"/>
              <w:spacing w:before="0" w:beforeAutospacing="0" w:after="0" w:afterAutospacing="0" w:line="400" w:lineRule="exact"/>
              <w:ind w:firstLine="896" w:firstLineChars="320"/>
              <w:jc w:val="both"/>
              <w:rPr>
                <w:rFonts w:hAnsi="Times New Roman"/>
                <w:kern w:val="2"/>
                <w:sz w:val="28"/>
                <w:szCs w:val="28"/>
              </w:rPr>
            </w:pPr>
          </w:p>
          <w:p>
            <w:pPr>
              <w:pStyle w:val="33"/>
              <w:widowControl w:val="0"/>
              <w:spacing w:before="0" w:beforeAutospacing="0" w:after="0" w:afterAutospacing="0" w:line="400" w:lineRule="exact"/>
              <w:ind w:firstLine="896" w:firstLineChars="320"/>
              <w:jc w:val="both"/>
              <w:rPr>
                <w:rFonts w:hAnsi="Times New Roman"/>
                <w:kern w:val="2"/>
                <w:sz w:val="28"/>
                <w:szCs w:val="28"/>
              </w:rPr>
            </w:pPr>
          </w:p>
          <w:p>
            <w:pPr>
              <w:pStyle w:val="33"/>
              <w:widowControl w:val="0"/>
              <w:spacing w:before="0" w:beforeAutospacing="0" w:after="0" w:afterAutospacing="0" w:line="400" w:lineRule="exact"/>
              <w:ind w:firstLine="896" w:firstLineChars="320"/>
              <w:jc w:val="both"/>
              <w:rPr>
                <w:rFonts w:hAnsi="Times New Roman"/>
                <w:kern w:val="2"/>
                <w:sz w:val="28"/>
                <w:szCs w:val="28"/>
              </w:rPr>
            </w:pPr>
          </w:p>
          <w:p>
            <w:pPr>
              <w:pStyle w:val="33"/>
              <w:widowControl w:val="0"/>
              <w:spacing w:before="0" w:beforeAutospacing="0" w:after="0" w:afterAutospacing="0" w:line="400" w:lineRule="exact"/>
              <w:ind w:firstLine="896" w:firstLineChars="320"/>
              <w:jc w:val="both"/>
              <w:rPr>
                <w:rFonts w:hAnsi="Times New Roman"/>
                <w:kern w:val="2"/>
                <w:sz w:val="28"/>
                <w:szCs w:val="28"/>
              </w:rPr>
            </w:pPr>
          </w:p>
          <w:p>
            <w:pPr>
              <w:pStyle w:val="33"/>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项目编号：</w:t>
            </w:r>
          </w:p>
          <w:p>
            <w:pPr>
              <w:pStyle w:val="33"/>
              <w:widowControl w:val="0"/>
              <w:spacing w:before="0" w:beforeAutospacing="0" w:after="120" w:afterAutospacing="0"/>
              <w:ind w:left="708" w:leftChars="337"/>
              <w:jc w:val="both"/>
              <w:rPr>
                <w:rFonts w:hint="eastAsia" w:cs="宋体"/>
                <w:kern w:val="28"/>
              </w:rPr>
            </w:pPr>
            <w:r>
              <w:rPr>
                <w:rFonts w:hint="eastAsia" w:ascii="Times New Roman" w:hAnsi="Times New Roman"/>
                <w:kern w:val="2"/>
                <w:sz w:val="28"/>
                <w:szCs w:val="28"/>
              </w:rPr>
              <w:t>项目名称：</w:t>
            </w:r>
            <w:r>
              <w:rPr>
                <w:rFonts w:hint="eastAsia" w:cs="宋体"/>
                <w:kern w:val="28"/>
              </w:rPr>
              <w:t>“四害”及红火蚁、隐翅虫、臭虫防治服务</w:t>
            </w:r>
          </w:p>
          <w:p>
            <w:pPr>
              <w:pStyle w:val="33"/>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供应商名称（公章）：</w:t>
            </w:r>
          </w:p>
          <w:p>
            <w:pPr>
              <w:pStyle w:val="33"/>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供应商地址：</w:t>
            </w:r>
          </w:p>
          <w:p>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61"/>
    </w:tbl>
    <w:p>
      <w:pPr>
        <w:outlineLvl w:val="1"/>
        <w:rPr>
          <w:rFonts w:ascii="宋体" w:hAnsi="Times New Roman" w:cs="宋体"/>
          <w:color w:val="FF0000"/>
          <w:kern w:val="0"/>
        </w:rPr>
      </w:pPr>
    </w:p>
    <w:p>
      <w:pPr>
        <w:pStyle w:val="36"/>
        <w:ind w:firstLine="210"/>
      </w:pPr>
    </w:p>
    <w:p>
      <w:pPr>
        <w:pStyle w:val="33"/>
        <w:widowControl w:val="0"/>
        <w:numPr>
          <w:ilvl w:val="0"/>
          <w:numId w:val="4"/>
        </w:numPr>
        <w:spacing w:before="0" w:beforeAutospacing="0" w:after="0" w:afterAutospacing="0"/>
        <w:rPr>
          <w:rFonts w:ascii="Arial" w:hAnsi="Arial" w:eastAsia="黑体"/>
          <w:sz w:val="28"/>
          <w:szCs w:val="28"/>
        </w:rPr>
      </w:pPr>
      <w:bookmarkStart w:id="62" w:name="_Toc50691028"/>
      <w:bookmarkStart w:id="63" w:name="_Toc168212179"/>
      <w:bookmarkStart w:id="64" w:name="_Toc50736473"/>
      <w:bookmarkStart w:id="65" w:name="_Toc50737293"/>
      <w:bookmarkStart w:id="66" w:name="_Toc52165077"/>
      <w:bookmarkStart w:id="67" w:name="_Toc50737325"/>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询价响应函</w:t>
      </w:r>
      <w:bookmarkEnd w:id="62"/>
      <w:bookmarkEnd w:id="63"/>
      <w:bookmarkEnd w:id="64"/>
      <w:bookmarkEnd w:id="65"/>
      <w:bookmarkEnd w:id="66"/>
      <w:bookmarkEnd w:id="67"/>
    </w:p>
    <w:p>
      <w:pPr>
        <w:spacing w:line="360" w:lineRule="auto"/>
        <w:ind w:left="105" w:leftChars="50" w:firstLine="2"/>
        <w:rPr>
          <w:rFonts w:ascii="宋体" w:hAnsi="Times New Roman" w:cs="宋体"/>
          <w:b/>
          <w:color w:val="000000"/>
        </w:rPr>
      </w:pPr>
      <w:r>
        <w:rPr>
          <w:rFonts w:hint="eastAsia" w:ascii="宋体" w:hAnsi="宋体" w:cs="宋体"/>
          <w:b/>
          <w:color w:val="000000"/>
        </w:rPr>
        <w:t>致：广西南宁技师学院</w:t>
      </w:r>
    </w:p>
    <w:p>
      <w:pPr>
        <w:spacing w:line="360" w:lineRule="auto"/>
        <w:ind w:firstLine="420" w:firstLineChars="200"/>
        <w:rPr>
          <w:rFonts w:ascii="宋体" w:hAnsi="Times New Roman" w:cs="宋体"/>
          <w:color w:val="000000"/>
        </w:rPr>
      </w:pPr>
      <w:r>
        <w:rPr>
          <w:rFonts w:hint="eastAsia" w:ascii="宋体" w:hAnsi="宋体" w:cs="宋体"/>
          <w:color w:val="000000"/>
        </w:rPr>
        <w:t>我方确认收到贵方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color w:val="000000"/>
          <w:kern w:val="0"/>
          <w:u w:val="single"/>
        </w:rPr>
        <w:t>项目名称</w:t>
      </w:r>
      <w:r>
        <w:rPr>
          <w:rFonts w:hint="eastAsia" w:ascii="宋体" w:hAnsi="宋体" w:cs="宋体"/>
          <w:u w:val="single"/>
        </w:rPr>
        <w:t>）</w:t>
      </w:r>
      <w:r>
        <w:rPr>
          <w:rFonts w:ascii="宋体" w:hAnsi="宋体" w:cs="宋体"/>
          <w:u w:val="single"/>
        </w:rPr>
        <w:t xml:space="preserve">   </w:t>
      </w:r>
      <w:r>
        <w:rPr>
          <w:rFonts w:hint="eastAsia" w:ascii="宋体" w:hAnsi="宋体" w:cs="宋体"/>
          <w:color w:val="000000"/>
        </w:rPr>
        <w:t>的询价文件（项目编号</w:t>
      </w:r>
      <w:r>
        <w:rPr>
          <w:rFonts w:hint="eastAsia" w:ascii="宋体" w:hAnsi="宋体" w:cs="宋体"/>
        </w:rPr>
        <w:t>：</w:t>
      </w:r>
      <w:r>
        <w:rPr>
          <w:rFonts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color w:val="000000"/>
          <w:u w:val="single"/>
        </w:rPr>
        <w:t xml:space="preserve">供应商名称、地址)   </w:t>
      </w:r>
      <w:r>
        <w:rPr>
          <w:rFonts w:hint="eastAsia" w:ascii="宋体" w:hAnsi="宋体" w:cs="宋体"/>
          <w:color w:val="000000"/>
        </w:rPr>
        <w:t>作为供应商已正式授权</w:t>
      </w:r>
      <w:r>
        <w:rPr>
          <w:rFonts w:hint="eastAsia" w:ascii="宋体" w:hAnsi="宋体" w:cs="宋体"/>
          <w:color w:val="000000"/>
          <w:u w:val="single"/>
        </w:rPr>
        <w:t xml:space="preserve">    (供应商授权代表全名、职务)   </w:t>
      </w:r>
      <w:r>
        <w:rPr>
          <w:rFonts w:hint="eastAsia" w:ascii="宋体" w:hAnsi="宋体" w:cs="宋体"/>
          <w:color w:val="000000"/>
        </w:rPr>
        <w:t>，代表我方提交响应文件进行询价并签署本项目的相关文件。</w:t>
      </w:r>
    </w:p>
    <w:p>
      <w:pPr>
        <w:spacing w:line="360" w:lineRule="auto"/>
        <w:ind w:firstLine="420" w:firstLineChars="200"/>
        <w:rPr>
          <w:rFonts w:ascii="宋体" w:hAnsi="Times New Roman" w:cs="宋体"/>
          <w:color w:val="000000"/>
        </w:rPr>
      </w:pPr>
      <w:r>
        <w:rPr>
          <w:rFonts w:hint="eastAsia" w:ascii="宋体" w:hAnsi="宋体" w:cs="宋体"/>
          <w:color w:val="000000"/>
        </w:rPr>
        <w:t>授权代表在此声明并同意：</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1.我们愿意遵守采购人询价文件的各项规定，自愿参加询价</w:t>
      </w:r>
      <w:r>
        <w:rPr>
          <w:rFonts w:hint="eastAsia" w:ascii="宋体" w:hAnsi="Times New Roman" w:cs="宋体"/>
          <w:color w:val="000000"/>
        </w:rPr>
        <w:t>,</w:t>
      </w:r>
      <w:r>
        <w:rPr>
          <w:rFonts w:hint="eastAsia" w:ascii="宋体" w:hAnsi="宋体" w:cs="宋体"/>
          <w:color w:val="000000"/>
        </w:rPr>
        <w:t>且已清楚询价文件的要求及有关文件规定，并严格按照询价文件的规定履行全部责任和义务。</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2.我们同意本响应文件自询价开始之</w:t>
      </w:r>
      <w:r>
        <w:rPr>
          <w:rFonts w:hint="eastAsia" w:ascii="宋体" w:hAnsi="宋体" w:cs="宋体"/>
        </w:rPr>
        <w:t>日起</w:t>
      </w:r>
      <w:r>
        <w:rPr>
          <w:rFonts w:hint="eastAsia" w:ascii="宋体" w:hAnsi="宋体" w:cs="宋体"/>
          <w:u w:val="single"/>
        </w:rPr>
        <w:t>90</w:t>
      </w:r>
      <w:r>
        <w:rPr>
          <w:rFonts w:hint="eastAsia" w:ascii="宋体" w:hAnsi="宋体" w:cs="宋体"/>
        </w:rPr>
        <w:t>天内</w:t>
      </w:r>
      <w:r>
        <w:rPr>
          <w:rFonts w:hint="eastAsia" w:ascii="宋体" w:hAnsi="宋体" w:cs="宋体"/>
          <w:color w:val="000000"/>
        </w:rPr>
        <w:t>有效。</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3.我们已经详细地阅读全部询价文件及附件，包括澄清（如有）及参考文件，我们完全理解本询价文件及附件的要求。</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4.我们同意提供采购人与询价小组要求的有关询价的一切数据或资料。</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5.如果我们未对询价文件实质性条款的要求作出实质性响应，则完全同意并接受按无效响应处理。</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6.我们保证提交的一切文件，无论是原件或复印件均为准确、真实、有效、完整，绝无任何虚假、伪造或者夸大。</w:t>
      </w:r>
    </w:p>
    <w:p>
      <w:pPr>
        <w:adjustRightInd w:val="0"/>
        <w:snapToGrid w:val="0"/>
        <w:spacing w:line="400" w:lineRule="exact"/>
        <w:ind w:firstLine="420" w:firstLineChars="200"/>
        <w:rPr>
          <w:rFonts w:ascii="宋体" w:hAnsi="Times New Roman" w:cs="宋体"/>
          <w:color w:val="000000"/>
        </w:rPr>
      </w:pPr>
      <w:r>
        <w:rPr>
          <w:rFonts w:hint="eastAsia" w:ascii="宋体" w:hAnsi="宋体" w:cs="宋体"/>
          <w:color w:val="000000"/>
        </w:rPr>
        <w:t>7.我们在此郑重承诺：在本次采购活动中，如有违法、违规、弄虚作假行为，所造成的损失、不良后果及法律责任，一律由我公司（企业）承担。</w:t>
      </w:r>
    </w:p>
    <w:p>
      <w:pPr>
        <w:adjustRightInd w:val="0"/>
        <w:snapToGrid w:val="0"/>
        <w:spacing w:line="400" w:lineRule="exact"/>
        <w:ind w:firstLine="420" w:firstLineChars="200"/>
        <w:rPr>
          <w:rFonts w:ascii="宋体" w:hAnsi="Times New Roman" w:cs="宋体"/>
        </w:rPr>
      </w:pPr>
      <w:r>
        <w:rPr>
          <w:rFonts w:hint="eastAsia" w:ascii="宋体" w:hAnsi="宋体" w:cs="宋体"/>
          <w:color w:val="000000"/>
        </w:rPr>
        <w:t>8.我们是依法注册的法人，在法律、财务及运作上完</w:t>
      </w:r>
      <w:r>
        <w:rPr>
          <w:rFonts w:hint="eastAsia" w:ascii="宋体" w:hAnsi="宋体" w:cs="宋体"/>
        </w:rPr>
        <w:t>全独立于采购人。</w:t>
      </w:r>
    </w:p>
    <w:p>
      <w:pPr>
        <w:autoSpaceDE w:val="0"/>
        <w:autoSpaceDN w:val="0"/>
        <w:adjustRightInd w:val="0"/>
        <w:snapToGrid w:val="0"/>
        <w:spacing w:line="400" w:lineRule="exact"/>
        <w:ind w:left="420" w:firstLine="310"/>
        <w:rPr>
          <w:rFonts w:ascii="宋体" w:hAnsi="Times New Roman" w:cs="宋体"/>
          <w:color w:val="000000"/>
          <w:u w:val="single"/>
        </w:rPr>
      </w:pPr>
    </w:p>
    <w:p>
      <w:pPr>
        <w:adjustRightInd w:val="0"/>
        <w:snapToGrid w:val="0"/>
        <w:spacing w:line="400" w:lineRule="exact"/>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Times New Roman" w:cs="宋体"/>
          <w:color w:val="000000"/>
        </w:rPr>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color w:val="000000"/>
        </w:rPr>
      </w:pPr>
      <w:r>
        <w:rPr>
          <w:rFonts w:hint="eastAsia" w:ascii="宋体" w:hAnsi="宋体" w:cs="宋体"/>
          <w:color w:val="000000"/>
        </w:rPr>
        <w:t>日期：</w:t>
      </w:r>
    </w:p>
    <w:p>
      <w:pPr>
        <w:adjustRightInd w:val="0"/>
        <w:snapToGrid w:val="0"/>
        <w:spacing w:line="360" w:lineRule="auto"/>
        <w:ind w:firstLine="472" w:firstLineChars="225"/>
        <w:rPr>
          <w:rFonts w:ascii="宋体" w:hAnsi="Times New Roman" w:cs="宋体"/>
          <w:color w:val="000000"/>
        </w:rPr>
      </w:pPr>
    </w:p>
    <w:p>
      <w:pPr>
        <w:spacing w:line="360" w:lineRule="auto"/>
        <w:ind w:left="105" w:leftChars="50" w:firstLine="2"/>
        <w:rPr>
          <w:rFonts w:ascii="宋体" w:hAnsi="Times New Roman" w:cs="宋体"/>
        </w:rPr>
      </w:pPr>
    </w:p>
    <w:p>
      <w:pPr>
        <w:rPr>
          <w:rFonts w:ascii="宋体" w:hAnsi="Times New Roman"/>
        </w:rPr>
        <w:sectPr>
          <w:pgSz w:w="11906" w:h="16838"/>
          <w:pgMar w:top="1135" w:right="1135" w:bottom="1135" w:left="1135" w:header="685" w:footer="567" w:gutter="0"/>
          <w:cols w:space="720" w:num="1"/>
          <w:docGrid w:type="lines" w:linePitch="312" w:charSpace="0"/>
        </w:sectPr>
      </w:pPr>
    </w:p>
    <w:p>
      <w:pPr>
        <w:numPr>
          <w:ilvl w:val="0"/>
          <w:numId w:val="4"/>
        </w:numPr>
        <w:spacing w:line="400" w:lineRule="exact"/>
        <w:rPr>
          <w:rFonts w:ascii="黑体" w:hAnsi="Times New Roman" w:eastAsia="黑体" w:cs="黑体"/>
          <w:sz w:val="28"/>
          <w:szCs w:val="28"/>
        </w:rPr>
      </w:pPr>
      <w:bookmarkStart w:id="68" w:name="_Toc50691029"/>
      <w:bookmarkStart w:id="69" w:name="_Toc43264516"/>
      <w:bookmarkStart w:id="70" w:name="_Toc50703722"/>
    </w:p>
    <w:p>
      <w:pPr>
        <w:jc w:val="center"/>
        <w:outlineLvl w:val="1"/>
        <w:rPr>
          <w:rFonts w:ascii="黑体" w:hAnsi="宋体" w:eastAsia="黑体" w:cs="黑体"/>
          <w:kern w:val="0"/>
          <w:sz w:val="32"/>
          <w:szCs w:val="32"/>
        </w:rPr>
      </w:pPr>
      <w:bookmarkStart w:id="71" w:name="_Toc237145559"/>
      <w:r>
        <w:rPr>
          <w:rFonts w:hint="eastAsia" w:ascii="黑体" w:hAnsi="宋体" w:eastAsia="黑体" w:cs="黑体"/>
          <w:kern w:val="0"/>
          <w:sz w:val="32"/>
          <w:szCs w:val="32"/>
        </w:rPr>
        <w:t>供应商资格声明函</w:t>
      </w:r>
      <w:bookmarkEnd w:id="71"/>
    </w:p>
    <w:p>
      <w:pPr>
        <w:spacing w:line="360" w:lineRule="auto"/>
        <w:ind w:firstLine="420"/>
        <w:rPr>
          <w:rFonts w:ascii="Times New Roman" w:hAnsi="Times New Roman" w:cs="宋体"/>
        </w:rPr>
      </w:pPr>
      <w:r>
        <w:rPr>
          <w:rFonts w:hint="eastAsia" w:ascii="Times New Roman" w:hAnsi="Times New Roman" w:cs="宋体"/>
        </w:rPr>
        <w:t>广西南宁技师学院：</w:t>
      </w:r>
    </w:p>
    <w:p>
      <w:pPr>
        <w:spacing w:line="360" w:lineRule="auto"/>
        <w:ind w:firstLine="420"/>
        <w:rPr>
          <w:rFonts w:ascii="Times New Roman" w:hAnsi="Times New Roman" w:cs="宋体"/>
        </w:rPr>
      </w:pPr>
      <w:r>
        <w:rPr>
          <w:rFonts w:hint="eastAsia" w:ascii="Times New Roman" w:hAnsi="Times New Roman" w:cs="宋体"/>
        </w:rPr>
        <w:t>关于贵单位</w:t>
      </w:r>
      <w:r>
        <w:rPr>
          <w:rFonts w:hint="eastAsia" w:ascii="Times New Roman" w:hAnsi="Times New Roman" w:cs="宋体"/>
          <w:u w:val="single"/>
        </w:rPr>
        <w:t xml:space="preserve">    </w:t>
      </w:r>
      <w:r>
        <w:rPr>
          <w:rFonts w:hint="eastAsia" w:ascii="Times New Roman" w:hAnsi="Times New Roman" w:cs="宋体"/>
        </w:rPr>
        <w:t>年</w:t>
      </w:r>
      <w:r>
        <w:rPr>
          <w:rFonts w:hint="eastAsia" w:ascii="Times New Roman" w:hAnsi="Times New Roman" w:cs="宋体"/>
          <w:u w:val="single"/>
        </w:rPr>
        <w:t xml:space="preserve">   </w:t>
      </w:r>
      <w:r>
        <w:rPr>
          <w:rFonts w:hint="eastAsia" w:ascii="Times New Roman" w:hAnsi="Times New Roman" w:cs="宋体"/>
        </w:rPr>
        <w:t>月</w:t>
      </w:r>
      <w:r>
        <w:rPr>
          <w:rFonts w:hint="eastAsia" w:ascii="Times New Roman" w:hAnsi="Times New Roman" w:cs="宋体"/>
          <w:u w:val="single"/>
        </w:rPr>
        <w:t xml:space="preserve">   </w:t>
      </w:r>
      <w:r>
        <w:rPr>
          <w:rFonts w:hint="eastAsia" w:ascii="Times New Roman" w:hAnsi="Times New Roman" w:cs="宋体"/>
        </w:rPr>
        <w:t>日发布</w:t>
      </w:r>
      <w:r>
        <w:rPr>
          <w:rFonts w:ascii="Times New Roman" w:hAnsi="Times New Roman" w:cs="宋体"/>
          <w:u w:val="single"/>
        </w:rPr>
        <w:t xml:space="preserve">                         </w:t>
      </w:r>
      <w:r>
        <w:rPr>
          <w:rFonts w:hint="eastAsia" w:ascii="Times New Roman" w:hAnsi="Times New Roman" w:cs="宋体"/>
        </w:rPr>
        <w:t>项目（项目编号：</w:t>
      </w:r>
      <w:r>
        <w:rPr>
          <w:rFonts w:hint="eastAsia" w:ascii="Times New Roman" w:hAnsi="Times New Roman" w:cs="宋体"/>
          <w:u w:val="single"/>
        </w:rPr>
        <w:t xml:space="preserve">    </w:t>
      </w:r>
      <w:r>
        <w:rPr>
          <w:rFonts w:ascii="Times New Roman" w:hAnsi="Times New Roman" w:cs="宋体"/>
          <w:u w:val="single"/>
        </w:rPr>
        <w:t xml:space="preserve">         </w:t>
      </w:r>
      <w:r>
        <w:rPr>
          <w:rFonts w:hint="eastAsia" w:ascii="Times New Roman" w:hAnsi="Times New Roman" w:cs="宋体"/>
          <w:u w:val="single"/>
        </w:rPr>
        <w:t xml:space="preserve">    </w:t>
      </w:r>
      <w:r>
        <w:rPr>
          <w:rFonts w:hint="eastAsia" w:ascii="Times New Roman" w:hAnsi="Times New Roman" w:cs="宋体"/>
        </w:rPr>
        <w:t>）的采购公告，本公司（企业）愿意参加报价，并声明：</w:t>
      </w:r>
    </w:p>
    <w:p>
      <w:pPr>
        <w:spacing w:line="360" w:lineRule="auto"/>
        <w:ind w:firstLine="420"/>
        <w:rPr>
          <w:rFonts w:ascii="Times New Roman" w:hAnsi="Times New Roman" w:cs="宋体"/>
        </w:rPr>
      </w:pPr>
      <w:r>
        <w:rPr>
          <w:rFonts w:hint="eastAsia" w:ascii="Times New Roman" w:hAnsi="Times New Roman" w:cs="宋体"/>
        </w:rPr>
        <w:t>一、本公司（企业）具备《中华人民共和国政府采购法》第二十二条规定的条件：</w:t>
      </w:r>
    </w:p>
    <w:p>
      <w:pPr>
        <w:spacing w:line="360" w:lineRule="auto"/>
        <w:ind w:firstLine="420"/>
        <w:rPr>
          <w:rFonts w:ascii="Times New Roman" w:hAnsi="Times New Roman" w:cs="宋体"/>
        </w:rPr>
      </w:pPr>
      <w:r>
        <w:rPr>
          <w:rFonts w:hint="eastAsia" w:ascii="Times New Roman" w:hAnsi="Times New Roman" w:cs="宋体"/>
        </w:rPr>
        <w:t>（一）具有独立承担民事责任的能力；</w:t>
      </w:r>
    </w:p>
    <w:p>
      <w:pPr>
        <w:spacing w:line="360" w:lineRule="auto"/>
        <w:ind w:firstLine="420"/>
        <w:rPr>
          <w:rFonts w:ascii="Times New Roman" w:hAnsi="Times New Roman" w:cs="宋体"/>
        </w:rPr>
      </w:pPr>
      <w:r>
        <w:rPr>
          <w:rFonts w:hint="eastAsia" w:ascii="Times New Roman" w:hAnsi="Times New Roman" w:cs="宋体"/>
        </w:rPr>
        <w:t>（二）具有良好的商业信誉和健全的财务会计制度；</w:t>
      </w:r>
    </w:p>
    <w:p>
      <w:pPr>
        <w:spacing w:line="360" w:lineRule="auto"/>
        <w:ind w:firstLine="420"/>
        <w:rPr>
          <w:rFonts w:ascii="Times New Roman" w:hAnsi="Times New Roman" w:cs="宋体"/>
        </w:rPr>
      </w:pPr>
      <w:r>
        <w:rPr>
          <w:rFonts w:hint="eastAsia" w:ascii="Times New Roman" w:hAnsi="Times New Roman" w:cs="宋体"/>
        </w:rPr>
        <w:t>（三）具有履行合同所必需的设备和专业技术能力；</w:t>
      </w:r>
    </w:p>
    <w:p>
      <w:pPr>
        <w:spacing w:line="360" w:lineRule="auto"/>
        <w:ind w:firstLine="420"/>
        <w:rPr>
          <w:rFonts w:ascii="Times New Roman" w:hAnsi="Times New Roman" w:cs="宋体"/>
        </w:rPr>
      </w:pPr>
      <w:r>
        <w:rPr>
          <w:rFonts w:hint="eastAsia" w:ascii="Times New Roman" w:hAnsi="Times New Roman" w:cs="宋体"/>
        </w:rPr>
        <w:t>（四）有依法缴纳税收和社会保障资金的良好记录；</w:t>
      </w:r>
    </w:p>
    <w:p>
      <w:pPr>
        <w:spacing w:line="360" w:lineRule="auto"/>
        <w:ind w:firstLine="420"/>
        <w:rPr>
          <w:rFonts w:ascii="Times New Roman" w:hAnsi="Times New Roman" w:cs="宋体"/>
        </w:rPr>
      </w:pPr>
      <w:r>
        <w:rPr>
          <w:rFonts w:hint="eastAsia" w:ascii="Times New Roman" w:hAnsi="Times New Roman" w:cs="宋体"/>
        </w:rPr>
        <w:t>（五）参加采购活动前三年内，在经营活动中没有重大违法记录；</w:t>
      </w:r>
    </w:p>
    <w:p>
      <w:pPr>
        <w:spacing w:line="360" w:lineRule="auto"/>
        <w:ind w:firstLine="420"/>
        <w:rPr>
          <w:rFonts w:ascii="Times New Roman" w:hAnsi="Times New Roman" w:cs="宋体"/>
        </w:rPr>
      </w:pPr>
      <w:r>
        <w:rPr>
          <w:rFonts w:hint="eastAsia" w:ascii="Times New Roman" w:hAnsi="Times New Roman" w:cs="宋体"/>
        </w:rPr>
        <w:t>（六）法律、行政法规规定的其他条件。</w:t>
      </w:r>
    </w:p>
    <w:p>
      <w:pPr>
        <w:spacing w:line="360" w:lineRule="auto"/>
        <w:ind w:firstLine="420"/>
        <w:rPr>
          <w:rFonts w:ascii="Times New Roman" w:hAnsi="Times New Roman" w:cs="宋体"/>
        </w:rPr>
      </w:pPr>
      <w:r>
        <w:rPr>
          <w:rFonts w:hint="eastAsia" w:ascii="Times New Roman" w:hAnsi="Times New Roman" w:cs="宋体"/>
        </w:rPr>
        <w:t>二、本公司（企业）未被广西南宁技师学院曝光或记录供应商不良行为。</w:t>
      </w:r>
    </w:p>
    <w:p>
      <w:pPr>
        <w:spacing w:line="360" w:lineRule="auto"/>
        <w:ind w:firstLine="420"/>
        <w:rPr>
          <w:rFonts w:ascii="Times New Roman" w:hAnsi="Times New Roman" w:cs="宋体"/>
        </w:rPr>
      </w:pPr>
      <w:r>
        <w:rPr>
          <w:rFonts w:hint="eastAsia" w:ascii="Times New Roman" w:hAnsi="Times New Roman" w:cs="宋体"/>
        </w:rPr>
        <w:t>二、根据《中华人民共和国政府采购法实施条例》的规定，本公司（企业）如为采购项目（包组） 提供整体设计、规范编制或者项目管理、监理、检测等服务的供应商，不再参加该采购项目的其他采购活动。</w:t>
      </w:r>
    </w:p>
    <w:p>
      <w:pPr>
        <w:spacing w:line="360" w:lineRule="auto"/>
        <w:ind w:firstLine="420"/>
        <w:rPr>
          <w:rFonts w:ascii="Times New Roman" w:hAnsi="Times New Roman" w:cs="宋体"/>
        </w:rPr>
      </w:pPr>
      <w:r>
        <w:rPr>
          <w:rFonts w:hint="eastAsia" w:ascii="Times New Roman" w:hAnsi="Times New Roman" w:cs="宋体"/>
        </w:rPr>
        <w:t>三、我方承诺单位负责人为同一人或者存在直接控股、管理关系的不同供应商，不得同时参加本采购项目报价。</w:t>
      </w:r>
    </w:p>
    <w:p>
      <w:pPr>
        <w:spacing w:line="360" w:lineRule="auto"/>
        <w:ind w:firstLine="420"/>
        <w:rPr>
          <w:rFonts w:ascii="Times New Roman" w:hAnsi="Times New Roman" w:cs="宋体"/>
        </w:rPr>
      </w:pPr>
      <w:r>
        <w:rPr>
          <w:rFonts w:hint="eastAsia" w:ascii="Times New Roman" w:hAnsi="Times New Roman" w:cs="宋体"/>
        </w:rPr>
        <w:t>本公司（企业）承诺在本次采购活动中，如有违法、违规、弄虚作假行为，所造成的损失、不良后果及法律责任，一律由我公司（企业）承担。</w:t>
      </w:r>
    </w:p>
    <w:p>
      <w:pPr>
        <w:spacing w:line="360" w:lineRule="auto"/>
        <w:ind w:firstLine="420"/>
        <w:rPr>
          <w:rFonts w:ascii="Times New Roman" w:hAnsi="Times New Roman" w:cs="宋体"/>
        </w:rPr>
      </w:pPr>
      <w:r>
        <w:rPr>
          <w:rFonts w:hint="eastAsia" w:ascii="Times New Roman" w:hAnsi="Times New Roman" w:cs="宋体"/>
        </w:rPr>
        <w:t>特此声明！</w:t>
      </w:r>
    </w:p>
    <w:p>
      <w:pPr>
        <w:spacing w:line="360" w:lineRule="auto"/>
        <w:ind w:firstLine="420"/>
      </w:pPr>
      <w:r>
        <w:rPr>
          <w:rFonts w:hint="eastAsia" w:ascii="Times New Roman" w:hAnsi="Times New Roman" w:cs="宋体"/>
        </w:rPr>
        <w:t>备注：1. 本声明函如有虚假或与事实不符的，作无效报价处理。</w:t>
      </w:r>
    </w:p>
    <w:p>
      <w:pPr>
        <w:spacing w:line="360" w:lineRule="auto"/>
        <w:ind w:firstLine="420"/>
      </w:pPr>
    </w:p>
    <w:p>
      <w:pPr>
        <w:spacing w:line="360" w:lineRule="auto"/>
        <w:ind w:firstLine="420"/>
      </w:pPr>
    </w:p>
    <w:p>
      <w:pPr>
        <w:spacing w:line="360" w:lineRule="auto"/>
        <w:ind w:firstLine="420"/>
      </w:pPr>
    </w:p>
    <w:p>
      <w:pPr>
        <w:adjustRightInd w:val="0"/>
        <w:snapToGrid w:val="0"/>
        <w:spacing w:line="360" w:lineRule="auto"/>
        <w:ind w:left="480"/>
        <w:rPr>
          <w:rFonts w:ascii="宋体" w:hAnsi="宋体" w:cs="宋体"/>
          <w:color w:val="000000"/>
        </w:rPr>
      </w:pPr>
      <w:r>
        <w:rPr>
          <w:rFonts w:hint="eastAsia" w:ascii="宋体" w:hAnsi="宋体" w:cs="宋体"/>
          <w:color w:val="000000"/>
        </w:rPr>
        <w:t>供应商名称（公章）:</w:t>
      </w:r>
    </w:p>
    <w:p>
      <w:pPr>
        <w:adjustRightInd w:val="0"/>
        <w:snapToGrid w:val="0"/>
        <w:spacing w:line="360" w:lineRule="auto"/>
        <w:ind w:left="480"/>
        <w:rPr>
          <w:rFonts w:ascii="宋体" w:hAnsi="宋体" w:cs="宋体"/>
          <w:color w:val="000000"/>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rPr>
      </w:pPr>
      <w:r>
        <w:rPr>
          <w:rFonts w:hint="eastAsia" w:ascii="宋体" w:hAnsi="宋体" w:cs="宋体"/>
          <w:color w:val="000000"/>
        </w:rPr>
        <w:t>日期：</w:t>
      </w:r>
    </w:p>
    <w:p>
      <w:pPr>
        <w:spacing w:line="360" w:lineRule="auto"/>
        <w:ind w:firstLine="525" w:firstLineChars="250"/>
        <w:rPr>
          <w:rFonts w:ascii="宋体" w:hAnsi="Times New Roman" w:cs="宋体"/>
          <w:color w:val="000000"/>
          <w:lang w:val="zh-CN"/>
        </w:rPr>
      </w:pPr>
    </w:p>
    <w:p>
      <w:pPr>
        <w:pStyle w:val="36"/>
        <w:ind w:firstLine="210"/>
        <w:rPr>
          <w:lang w:val="zh-CN"/>
        </w:rPr>
      </w:pPr>
    </w:p>
    <w:p>
      <w:pPr>
        <w:pStyle w:val="36"/>
        <w:ind w:firstLine="210"/>
        <w:rPr>
          <w:lang w:val="zh-CN"/>
        </w:rPr>
      </w:pPr>
    </w:p>
    <w:p>
      <w:pPr>
        <w:spacing w:line="360" w:lineRule="auto"/>
        <w:ind w:firstLine="527" w:firstLineChars="250"/>
        <w:rPr>
          <w:rFonts w:ascii="宋体" w:hAnsi="Times New Roman" w:cs="宋体"/>
          <w:b/>
          <w:bCs/>
          <w:color w:val="000000"/>
          <w:lang w:val="zh-CN"/>
        </w:rPr>
      </w:pPr>
      <w:r>
        <w:rPr>
          <w:rFonts w:hint="eastAsia" w:ascii="宋体" w:hAnsi="Times New Roman" w:cs="宋体"/>
          <w:b/>
          <w:bCs/>
          <w:color w:val="000000"/>
          <w:lang w:val="zh-CN"/>
        </w:rPr>
        <w:t>附件：</w:t>
      </w:r>
    </w:p>
    <w:p>
      <w:pPr>
        <w:spacing w:line="360" w:lineRule="auto"/>
        <w:ind w:left="425" w:hanging="5"/>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pacing w:line="360" w:lineRule="auto"/>
        <w:ind w:left="425" w:hanging="5"/>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提供投标截止日前在“国家企业信用信息公示系统” (www.gsxt.gov.cn) 查询信息中的“营业执照信息”、“股东及出资信息”、“主要人员信息”截图加盖公章；</w:t>
      </w:r>
    </w:p>
    <w:p>
      <w:pPr>
        <w:spacing w:line="360" w:lineRule="auto"/>
        <w:ind w:left="425" w:hanging="5"/>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提供投标截止日前在“信用中国”网站（www.creditchina.gov.cn）查询结果截图复印件加盖公章；</w:t>
      </w:r>
    </w:p>
    <w:p>
      <w:pPr>
        <w:spacing w:line="360" w:lineRule="auto"/>
        <w:ind w:left="425" w:hanging="5"/>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提供投标截止日前在中国政府采购网(www.ccgp.gov.cn) 查询结果截图复印件加盖公章；</w:t>
      </w:r>
    </w:p>
    <w:p>
      <w:pPr>
        <w:spacing w:line="360" w:lineRule="auto"/>
        <w:ind w:left="425" w:hanging="5"/>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资格条件要求的其他文件（如有），提供相应复印件加盖公章；</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rPr>
          <w:rFonts w:ascii="宋体" w:hAnsi="宋体" w:cs="宋体"/>
        </w:rPr>
      </w:pPr>
    </w:p>
    <w:p>
      <w:pPr>
        <w:numPr>
          <w:ilvl w:val="0"/>
          <w:numId w:val="4"/>
        </w:numPr>
        <w:spacing w:line="400" w:lineRule="exact"/>
        <w:rPr>
          <w:rFonts w:ascii="黑体" w:hAnsi="Times New Roman" w:eastAsia="黑体" w:cs="黑体"/>
          <w:sz w:val="28"/>
          <w:szCs w:val="28"/>
        </w:rPr>
      </w:pPr>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）不同供应商委托同一单位或者个人办理投标报价事宜；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）不同供应商的投标保证金从同一单位或者个人的账户转出。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rPr>
          <w:rFonts w:ascii="宋体" w:hAnsi="宋体" w:cs="宋体"/>
        </w:rPr>
      </w:pPr>
    </w:p>
    <w:p>
      <w:pPr>
        <w:numPr>
          <w:ilvl w:val="0"/>
          <w:numId w:val="4"/>
        </w:numPr>
        <w:spacing w:line="400" w:lineRule="exact"/>
        <w:rPr>
          <w:rFonts w:ascii="黑体" w:hAnsi="Times New Roman" w:eastAsia="黑体" w:cs="黑体"/>
          <w:sz w:val="28"/>
          <w:szCs w:val="28"/>
        </w:rPr>
      </w:pPr>
    </w:p>
    <w:p>
      <w:pPr>
        <w:pStyle w:val="4"/>
        <w:keepLines w:val="0"/>
        <w:tabs>
          <w:tab w:val="left" w:pos="851"/>
        </w:tabs>
        <w:spacing w:before="0" w:after="0" w:line="360" w:lineRule="auto"/>
        <w:ind w:left="284"/>
        <w:jc w:val="center"/>
        <w:rPr>
          <w:rFonts w:ascii="宋体" w:hAnsi="宋体" w:eastAsia="宋体"/>
        </w:rPr>
      </w:pPr>
      <w:r>
        <w:rPr>
          <w:rFonts w:hint="eastAsia" w:ascii="宋体" w:hAnsi="宋体" w:eastAsia="宋体" w:cs="宋体"/>
        </w:rPr>
        <w:t>法定代表人（负责人）证明书</w:t>
      </w:r>
      <w:r>
        <w:rPr>
          <w:rFonts w:ascii="宋体" w:hAnsi="宋体" w:eastAsia="宋体" w:cs="宋体"/>
        </w:rPr>
        <w:t>/</w:t>
      </w:r>
      <w:r>
        <w:rPr>
          <w:rFonts w:hint="eastAsia" w:ascii="宋体" w:hAnsi="宋体" w:eastAsia="宋体" w:cs="宋体"/>
        </w:rPr>
        <w:t>法定代表人（负责人）授权书</w:t>
      </w:r>
    </w:p>
    <w:p>
      <w:pPr>
        <w:ind w:firstLine="632" w:firstLineChars="300"/>
        <w:rPr>
          <w:rFonts w:ascii="宋体" w:cs="Times New Roman"/>
          <w:b/>
          <w:bCs/>
        </w:rPr>
      </w:pPr>
    </w:p>
    <w:p>
      <w:pPr>
        <w:ind w:firstLine="632" w:firstLineChars="300"/>
        <w:rPr>
          <w:rFonts w:cs="Times New Roman"/>
          <w:b/>
        </w:rPr>
      </w:pPr>
      <w:r>
        <w:rPr>
          <w:rFonts w:hint="eastAsia" w:ascii="宋体" w:hAnsi="宋体" w:cs="宋体"/>
          <w:b/>
          <w:bCs/>
        </w:rPr>
        <w:t>法定代表人</w:t>
      </w:r>
      <w:r>
        <w:rPr>
          <w:rFonts w:hint="eastAsia" w:ascii="宋体" w:hAnsi="宋体" w:cs="宋体"/>
          <w:b/>
        </w:rPr>
        <w:t>（负责人）</w:t>
      </w:r>
      <w:r>
        <w:rPr>
          <w:rFonts w:hint="eastAsia" w:ascii="宋体" w:hAnsi="宋体" w:cs="宋体"/>
          <w:b/>
          <w:bCs/>
        </w:rPr>
        <w:t>证明书和法定代表人</w:t>
      </w:r>
      <w:r>
        <w:rPr>
          <w:rFonts w:hint="eastAsia" w:ascii="宋体" w:hAnsi="宋体" w:cs="宋体"/>
          <w:b/>
        </w:rPr>
        <w:t>（负责人）</w:t>
      </w:r>
      <w:r>
        <w:rPr>
          <w:rFonts w:hint="eastAsia" w:ascii="宋体" w:hAnsi="宋体" w:cs="宋体"/>
          <w:b/>
          <w:bCs/>
        </w:rPr>
        <w:t>授权书按以下格式填写，如由法定代表人</w:t>
      </w:r>
      <w:r>
        <w:rPr>
          <w:rFonts w:hint="eastAsia" w:ascii="宋体" w:hAnsi="宋体" w:cs="宋体"/>
          <w:b/>
        </w:rPr>
        <w:t>（负责人）</w:t>
      </w:r>
      <w:r>
        <w:rPr>
          <w:rFonts w:hint="eastAsia" w:ascii="宋体" w:hAnsi="宋体" w:cs="宋体"/>
          <w:b/>
          <w:bCs/>
        </w:rPr>
        <w:t>询价报价并签署响应文件，需提供法定代表人</w:t>
      </w:r>
      <w:r>
        <w:rPr>
          <w:rFonts w:hint="eastAsia" w:ascii="宋体" w:hAnsi="宋体" w:cs="宋体"/>
          <w:b/>
        </w:rPr>
        <w:t>（负责人）</w:t>
      </w:r>
      <w:r>
        <w:rPr>
          <w:rFonts w:hint="eastAsia" w:ascii="宋体" w:hAnsi="宋体" w:cs="宋体"/>
          <w:b/>
          <w:bCs/>
        </w:rPr>
        <w:t>证明书，否则需提供法定代表人</w:t>
      </w:r>
      <w:r>
        <w:rPr>
          <w:rFonts w:hint="eastAsia" w:ascii="宋体" w:hAnsi="宋体" w:cs="宋体"/>
          <w:b/>
        </w:rPr>
        <w:t>（负责人）</w:t>
      </w:r>
      <w:r>
        <w:rPr>
          <w:rFonts w:hint="eastAsia" w:ascii="宋体" w:hAnsi="宋体" w:cs="宋体"/>
          <w:b/>
          <w:bCs/>
        </w:rPr>
        <w:t>证明书和法定代表人</w:t>
      </w:r>
      <w:r>
        <w:rPr>
          <w:rFonts w:hint="eastAsia" w:ascii="宋体" w:hAnsi="宋体" w:cs="宋体"/>
          <w:b/>
        </w:rPr>
        <w:t>（负责人）</w:t>
      </w:r>
      <w:r>
        <w:rPr>
          <w:rFonts w:hint="eastAsia" w:ascii="宋体" w:hAnsi="宋体" w:cs="宋体"/>
          <w:b/>
          <w:bCs/>
        </w:rPr>
        <w:t>授权书。</w:t>
      </w:r>
    </w:p>
    <w:p>
      <w:pPr>
        <w:rPr>
          <w:rFonts w:ascii="宋体" w:cs="Times New Roman"/>
          <w:b/>
        </w:rPr>
      </w:pPr>
    </w:p>
    <w:p>
      <w:pPr>
        <w:widowControl/>
        <w:jc w:val="center"/>
        <w:rPr>
          <w:rFonts w:ascii="黑体" w:hAnsi="宋体" w:eastAsia="黑体" w:cs="黑体"/>
          <w:b/>
          <w:color w:val="000000"/>
          <w:kern w:val="0"/>
          <w:sz w:val="31"/>
          <w:szCs w:val="31"/>
        </w:rPr>
      </w:pPr>
      <w:bookmarkStart w:id="72" w:name="_Toc20491"/>
      <w:r>
        <w:rPr>
          <w:rFonts w:hint="eastAsia" w:ascii="黑体" w:hAnsi="宋体" w:eastAsia="黑体" w:cs="黑体"/>
          <w:b/>
          <w:color w:val="000000"/>
          <w:kern w:val="0"/>
          <w:sz w:val="31"/>
          <w:szCs w:val="31"/>
        </w:rPr>
        <w:t>法定代表人（负责人）证明书</w:t>
      </w:r>
    </w:p>
    <w:p>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w:t>
      </w:r>
      <w:r>
        <w:rPr>
          <w:rFonts w:hint="eastAsia" w:ascii="宋体" w:hAnsi="宋体" w:cs="宋体"/>
        </w:rPr>
        <w:t>（负责人）</w:t>
      </w:r>
      <w:r>
        <w:rPr>
          <w:rFonts w:hint="eastAsia" w:ascii="宋体" w:hAnsi="宋体" w:cs="宋体"/>
          <w:color w:val="000000"/>
          <w:kern w:val="0"/>
        </w:rPr>
        <w:t>，特此证明。</w:t>
      </w:r>
      <w:r>
        <w:rPr>
          <w:rFonts w:ascii="宋体" w:hAnsi="宋体" w:cs="宋体"/>
          <w:color w:val="000000"/>
          <w:kern w:val="0"/>
        </w:rPr>
        <w:t xml:space="preserve"> </w:t>
      </w:r>
    </w:p>
    <w:p>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7"/>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法定代表人（负责人）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7"/>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法定代表人（负责人）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9"/>
        <w:spacing w:line="600" w:lineRule="exact"/>
        <w:ind w:firstLine="422"/>
        <w:rPr>
          <w:rFonts w:ascii="宋体" w:cs="Times New Roman"/>
          <w:b/>
          <w:bCs/>
        </w:rPr>
      </w:pPr>
    </w:p>
    <w:p>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pPr>
        <w:rPr>
          <w:lang w:val="zh-CN"/>
        </w:rPr>
      </w:pPr>
    </w:p>
    <w:p>
      <w:pPr>
        <w:rPr>
          <w:lang w:val="zh-CN"/>
        </w:rPr>
      </w:pPr>
    </w:p>
    <w:p>
      <w:pPr>
        <w:rPr>
          <w:lang w:val="zh-CN"/>
        </w:rPr>
      </w:pPr>
    </w:p>
    <w:p>
      <w:pPr>
        <w:rPr>
          <w:rFonts w:cs="Times New Roman"/>
        </w:rPr>
      </w:pPr>
    </w:p>
    <w:p>
      <w:pPr>
        <w:pStyle w:val="3"/>
        <w:spacing w:line="360" w:lineRule="auto"/>
        <w:jc w:val="center"/>
        <w:rPr>
          <w:rFonts w:ascii="宋体" w:hAnsi="宋体" w:cs="宋体"/>
          <w:sz w:val="32"/>
          <w:szCs w:val="32"/>
        </w:rPr>
      </w:pPr>
      <w:r>
        <w:rPr>
          <w:rFonts w:hint="eastAsia" w:ascii="宋体" w:hAnsi="宋体" w:cs="宋体"/>
          <w:sz w:val="32"/>
          <w:szCs w:val="32"/>
        </w:rPr>
        <w:t>法定代表人（负责人）授权委托书</w:t>
      </w:r>
      <w:bookmarkEnd w:id="72"/>
    </w:p>
    <w:p>
      <w:pPr>
        <w:spacing w:line="360" w:lineRule="auto"/>
        <w:rPr>
          <w:rFonts w:ascii="宋体" w:cs="Times New Roman"/>
        </w:rPr>
      </w:pPr>
      <w:r>
        <w:rPr>
          <w:rFonts w:hint="eastAsia" w:ascii="宋体" w:hAnsi="宋体" w:cs="宋体"/>
        </w:rPr>
        <w:t>致：广西南宁技师学院</w:t>
      </w:r>
    </w:p>
    <w:p>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w:t>
      </w:r>
      <w:r>
        <w:rPr>
          <w:rFonts w:hint="eastAsia" w:ascii="宋体" w:hAnsi="宋体" w:cs="宋体"/>
          <w:u w:val="single"/>
        </w:rPr>
        <w:t>（负责人）</w:t>
      </w:r>
      <w:r>
        <w:rPr>
          <w:rFonts w:hint="eastAsia" w:ascii="宋体" w:hAnsi="宋体" w:cs="宋体"/>
          <w:color w:val="000000"/>
          <w:kern w:val="0"/>
          <w:u w:val="single"/>
        </w:rPr>
        <w:t>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pPr>
        <w:pStyle w:val="36"/>
        <w:ind w:firstLine="210"/>
      </w:pPr>
    </w:p>
    <w:p>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pPr>
        <w:widowControl/>
        <w:spacing w:line="360" w:lineRule="auto"/>
        <w:jc w:val="left"/>
        <w:rPr>
          <w:rFonts w:ascii="宋体" w:cs="Times New Roman"/>
          <w:color w:val="000000"/>
          <w:kern w:val="0"/>
        </w:rPr>
      </w:pPr>
    </w:p>
    <w:p>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w:t>
      </w:r>
      <w:r>
        <w:rPr>
          <w:rFonts w:hint="eastAsia" w:ascii="宋体" w:hAnsi="宋体" w:cs="宋体"/>
          <w:b/>
        </w:rPr>
        <w:t>（负责人）</w:t>
      </w:r>
      <w:r>
        <w:rPr>
          <w:rFonts w:hint="eastAsia" w:ascii="宋体" w:hAnsi="宋体" w:cs="宋体"/>
          <w:b/>
          <w:bCs/>
          <w:color w:val="000000"/>
          <w:kern w:val="0"/>
        </w:rPr>
        <w:t>（签字或盖章）：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7"/>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7"/>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spacing w:line="460" w:lineRule="exact"/>
        <w:rPr>
          <w:b/>
          <w:color w:val="000000"/>
        </w:rPr>
      </w:pPr>
    </w:p>
    <w:p>
      <w:pPr>
        <w:spacing w:line="460" w:lineRule="exact"/>
        <w:rPr>
          <w:b/>
          <w:color w:val="000000"/>
        </w:rPr>
      </w:pPr>
    </w:p>
    <w:p>
      <w:pPr>
        <w:widowControl/>
        <w:jc w:val="left"/>
        <w:rPr>
          <w:rFonts w:ascii="宋体" w:hAnsi="Times New Roman" w:cs="宋体"/>
          <w:color w:val="000000"/>
          <w:szCs w:val="24"/>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numPr>
          <w:ilvl w:val="0"/>
          <w:numId w:val="4"/>
        </w:numPr>
        <w:spacing w:line="400" w:lineRule="exact"/>
        <w:rPr>
          <w:rFonts w:ascii="黑体" w:hAnsi="Times New Roman" w:eastAsia="黑体" w:cs="黑体"/>
          <w:sz w:val="28"/>
          <w:szCs w:val="28"/>
        </w:rPr>
      </w:pPr>
    </w:p>
    <w:p>
      <w:pPr>
        <w:widowControl/>
        <w:jc w:val="center"/>
        <w:rPr>
          <w:b/>
          <w:sz w:val="24"/>
        </w:rPr>
      </w:pPr>
      <w:r>
        <w:rPr>
          <w:rFonts w:hint="eastAsia" w:ascii="Times New Roman" w:hAnsi="Times New Roman" w:cs="宋体"/>
          <w:b/>
          <w:sz w:val="24"/>
        </w:rPr>
        <w:t>“★”条款响应一览表</w:t>
      </w:r>
    </w:p>
    <w:p>
      <w:pPr>
        <w:spacing w:line="400" w:lineRule="exact"/>
        <w:ind w:left="945" w:leftChars="100" w:hanging="735" w:hangingChars="350"/>
        <w:rPr>
          <w:rFonts w:ascii="宋体" w:hAnsi="Times New Roman" w:cs="宋体"/>
        </w:rPr>
      </w:pPr>
      <w:r>
        <w:rPr>
          <w:rFonts w:hint="eastAsia" w:ascii="宋体" w:hAnsi="宋体" w:cs="宋体"/>
        </w:rPr>
        <w:t>说明：供应商必须对应询价文件</w:t>
      </w:r>
      <w:r>
        <w:rPr>
          <w:rFonts w:hint="eastAsia" w:ascii="Times New Roman" w:hAnsi="Times New Roman" w:cs="宋体"/>
        </w:rPr>
        <w:t>带“</w:t>
      </w:r>
      <w:r>
        <w:rPr>
          <w:rFonts w:hint="eastAsia" w:ascii="宋体" w:hAnsi="Times New Roman" w:cs="宋体"/>
        </w:rPr>
        <w:t>★</w:t>
      </w:r>
      <w:r>
        <w:rPr>
          <w:rFonts w:hint="eastAsia" w:ascii="Times New Roman" w:hAnsi="Times New Roman" w:cs="宋体"/>
        </w:rPr>
        <w:t>”的</w:t>
      </w:r>
      <w:r>
        <w:rPr>
          <w:rFonts w:hint="eastAsia" w:ascii="宋体" w:hAnsi="宋体" w:cs="宋体"/>
        </w:rPr>
        <w:t>实质性条款逐条应答并按要求填写下表。</w:t>
      </w:r>
    </w:p>
    <w:p>
      <w:pPr>
        <w:spacing w:line="400" w:lineRule="exact"/>
        <w:ind w:firstLine="210" w:firstLineChars="100"/>
        <w:rPr>
          <w:rFonts w:ascii="宋体" w:hAnsi="Times New Roman" w:cs="宋体"/>
          <w:u w:val="single"/>
        </w:rPr>
      </w:pPr>
      <w:r>
        <w:rPr>
          <w:rFonts w:hint="eastAsia" w:ascii="宋体" w:hAnsi="宋体" w:cs="宋体"/>
        </w:rPr>
        <w:t>项目名称：</w:t>
      </w:r>
      <w:r>
        <w:rPr>
          <w:rFonts w:ascii="宋体" w:hAnsi="Times New Roman" w:cs="宋体"/>
          <w:u w:val="single"/>
        </w:rPr>
        <w:t xml:space="preserve">                                                  </w:t>
      </w:r>
    </w:p>
    <w:p>
      <w:pPr>
        <w:spacing w:line="400" w:lineRule="exact"/>
        <w:ind w:firstLine="210" w:firstLineChars="100"/>
        <w:rPr>
          <w:rFonts w:ascii="宋体" w:hAnsi="Times New Roman" w:cs="宋体"/>
        </w:rPr>
      </w:pPr>
      <w:r>
        <w:rPr>
          <w:rFonts w:hint="eastAsia" w:ascii="宋体" w:hAnsi="宋体" w:cs="宋体"/>
        </w:rPr>
        <w:t>项目编号：</w:t>
      </w:r>
      <w:r>
        <w:rPr>
          <w:rFonts w:ascii="宋体" w:hAnsi="宋体" w:cs="宋体"/>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355"/>
        <w:gridCol w:w="253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Borders>
              <w:top w:val="single" w:color="auto" w:sz="4" w:space="0"/>
              <w:left w:val="single" w:color="auto" w:sz="4" w:space="0"/>
              <w:bottom w:val="single" w:color="auto" w:sz="4" w:space="0"/>
              <w:right w:val="single" w:color="auto" w:sz="4" w:space="0"/>
            </w:tcBorders>
            <w:vAlign w:val="center"/>
          </w:tcPr>
          <w:p>
            <w:pPr>
              <w:tabs>
                <w:tab w:val="left" w:pos="142"/>
              </w:tabs>
              <w:rPr>
                <w:rFonts w:ascii="宋体" w:hAnsi="Times New Roman" w:cs="宋体"/>
                <w:sz w:val="18"/>
                <w:szCs w:val="18"/>
              </w:rPr>
            </w:pPr>
            <w:r>
              <w:rPr>
                <w:rFonts w:hint="eastAsia" w:ascii="宋体" w:hAnsi="宋体" w:cs="宋体"/>
                <w:sz w:val="18"/>
                <w:szCs w:val="18"/>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询价文件的要求描述</w:t>
            </w: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响应供应商响应描述</w:t>
            </w: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偏离情况说明</w:t>
            </w:r>
          </w:p>
          <w:p>
            <w:pPr>
              <w:ind w:left="-78" w:leftChars="-37" w:right="-80" w:rightChars="-38"/>
              <w:rPr>
                <w:rFonts w:ascii="宋体" w:hAnsi="Times New Roman" w:cs="宋体"/>
                <w:sz w:val="18"/>
                <w:szCs w:val="18"/>
              </w:rPr>
            </w:pPr>
            <w:r>
              <w:rPr>
                <w:rFonts w:hint="eastAsia" w:ascii="宋体" w:hAnsi="宋体" w:cs="宋体"/>
                <w:sz w:val="18"/>
                <w:szCs w:val="18"/>
              </w:rPr>
              <w:t>可填写：“正偏离”、“无偏离”、“负偏离”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Borders>
              <w:top w:val="single" w:color="auto" w:sz="4" w:space="0"/>
              <w:left w:val="single" w:color="auto" w:sz="4" w:space="0"/>
              <w:bottom w:val="single" w:color="auto" w:sz="4" w:space="0"/>
              <w:right w:val="single" w:color="auto" w:sz="4" w:space="0"/>
            </w:tcBorders>
            <w:vAlign w:val="center"/>
          </w:tcPr>
          <w:p>
            <w:pPr>
              <w:numPr>
                <w:ilvl w:val="0"/>
                <w:numId w:val="5"/>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left"/>
              <w:rPr>
                <w:rFonts w:ascii="宋体" w:hAnsi="Times New Roman" w:cs="宋体"/>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Borders>
              <w:top w:val="single" w:color="auto" w:sz="4" w:space="0"/>
              <w:left w:val="single" w:color="auto" w:sz="4" w:space="0"/>
              <w:bottom w:val="single" w:color="auto" w:sz="4" w:space="0"/>
              <w:right w:val="single" w:color="auto" w:sz="4" w:space="0"/>
            </w:tcBorders>
            <w:vAlign w:val="center"/>
          </w:tcPr>
          <w:p>
            <w:pPr>
              <w:numPr>
                <w:ilvl w:val="0"/>
                <w:numId w:val="5"/>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3"/>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Borders>
              <w:top w:val="single" w:color="auto" w:sz="4" w:space="0"/>
              <w:left w:val="single" w:color="auto" w:sz="4" w:space="0"/>
              <w:bottom w:val="single" w:color="auto" w:sz="4" w:space="0"/>
              <w:right w:val="single" w:color="auto" w:sz="4" w:space="0"/>
            </w:tcBorders>
            <w:vAlign w:val="center"/>
          </w:tcPr>
          <w:p>
            <w:pPr>
              <w:numPr>
                <w:ilvl w:val="0"/>
                <w:numId w:val="5"/>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3"/>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Borders>
              <w:top w:val="single" w:color="auto" w:sz="4" w:space="0"/>
              <w:left w:val="single" w:color="auto" w:sz="4" w:space="0"/>
              <w:bottom w:val="single" w:color="auto" w:sz="4" w:space="0"/>
              <w:right w:val="single" w:color="auto" w:sz="4" w:space="0"/>
            </w:tcBorders>
            <w:vAlign w:val="center"/>
          </w:tcPr>
          <w:p>
            <w:pPr>
              <w:numPr>
                <w:ilvl w:val="0"/>
                <w:numId w:val="5"/>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3"/>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Borders>
              <w:top w:val="single" w:color="auto" w:sz="4" w:space="0"/>
              <w:left w:val="single" w:color="auto" w:sz="4" w:space="0"/>
              <w:bottom w:val="single" w:color="auto" w:sz="4" w:space="0"/>
              <w:right w:val="single" w:color="auto" w:sz="4" w:space="0"/>
            </w:tcBorders>
            <w:vAlign w:val="center"/>
          </w:tcPr>
          <w:p>
            <w:pPr>
              <w:numPr>
                <w:ilvl w:val="0"/>
                <w:numId w:val="5"/>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3"/>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Borders>
              <w:top w:val="single" w:color="auto" w:sz="4" w:space="0"/>
              <w:left w:val="single" w:color="auto" w:sz="4" w:space="0"/>
              <w:bottom w:val="single" w:color="auto" w:sz="4" w:space="0"/>
              <w:right w:val="single" w:color="auto" w:sz="4" w:space="0"/>
            </w:tcBorders>
            <w:vAlign w:val="center"/>
          </w:tcPr>
          <w:p>
            <w:pPr>
              <w:numPr>
                <w:ilvl w:val="0"/>
                <w:numId w:val="5"/>
              </w:numPr>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3"/>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r>
    </w:tbl>
    <w:p>
      <w:pPr>
        <w:adjustRightInd w:val="0"/>
        <w:snapToGrid w:val="0"/>
        <w:spacing w:line="460" w:lineRule="exact"/>
        <w:ind w:left="59" w:leftChars="28"/>
        <w:rPr>
          <w:rFonts w:ascii="宋体" w:hAnsi="Times New Roman" w:cs="宋体"/>
        </w:rPr>
      </w:pPr>
      <w:r>
        <w:rPr>
          <w:rFonts w:hint="eastAsia" w:ascii="宋体" w:hAnsi="宋体" w:cs="宋体"/>
        </w:rPr>
        <w:t>备注：本表中“询价文件的要求描述”与采购需求书中的条款描述不一致的以采购需求书中的规定为准。</w:t>
      </w:r>
    </w:p>
    <w:p>
      <w:pPr>
        <w:spacing w:line="500" w:lineRule="exact"/>
        <w:ind w:firstLine="109" w:firstLineChars="50"/>
        <w:rPr>
          <w:spacing w:val="4"/>
        </w:rPr>
      </w:pPr>
    </w:p>
    <w:p>
      <w:pPr>
        <w:ind w:firstLine="420" w:firstLineChars="200"/>
      </w:pPr>
      <w:r>
        <w:rPr>
          <w:rFonts w:hint="eastAsia" w:ascii="Times New Roman" w:hAnsi="Times New Roman" w:cs="宋体"/>
        </w:rPr>
        <w:t>供应商名称（公章）：</w:t>
      </w:r>
    </w:p>
    <w:p>
      <w:pPr>
        <w:ind w:firstLine="420" w:firstLineChars="200"/>
      </w:pPr>
    </w:p>
    <w:p>
      <w:pPr>
        <w:ind w:firstLine="420" w:firstLineChars="200"/>
      </w:pPr>
      <w:r>
        <w:rPr>
          <w:rFonts w:hint="eastAsia" w:ascii="Times New Roman" w:hAnsi="Times New Roman" w:cs="宋体"/>
        </w:rPr>
        <w:t>法定代表人或其授权代表（签名）：</w:t>
      </w:r>
    </w:p>
    <w:p>
      <w:pPr>
        <w:ind w:firstLine="420" w:firstLineChars="200"/>
      </w:pPr>
    </w:p>
    <w:p>
      <w:pPr>
        <w:ind w:firstLine="420" w:firstLineChars="200"/>
      </w:pPr>
      <w:r>
        <w:rPr>
          <w:rFonts w:hint="eastAsia" w:ascii="Times New Roman" w:hAnsi="Times New Roman" w:cs="宋体"/>
        </w:rPr>
        <w:t xml:space="preserve">日期： </w:t>
      </w:r>
      <w:r>
        <w:rPr>
          <w:rFonts w:ascii="Times New Roman" w:hAnsi="Times New Roman" w:cs="宋体"/>
        </w:rPr>
        <w:t xml:space="preserve">      </w:t>
      </w:r>
      <w:r>
        <w:rPr>
          <w:rFonts w:hint="eastAsia" w:ascii="Times New Roman" w:hAnsi="Times New Roman" w:cs="宋体"/>
        </w:rPr>
        <w:t xml:space="preserve">年 </w:t>
      </w:r>
      <w:r>
        <w:rPr>
          <w:rFonts w:ascii="Times New Roman" w:hAnsi="Times New Roman" w:cs="宋体"/>
        </w:rPr>
        <w:t xml:space="preserve">  </w:t>
      </w:r>
      <w:r>
        <w:rPr>
          <w:rFonts w:hint="eastAsia" w:ascii="Times New Roman" w:hAnsi="Times New Roman" w:cs="宋体"/>
        </w:rPr>
        <w:t xml:space="preserve">月 </w:t>
      </w:r>
      <w:r>
        <w:rPr>
          <w:rFonts w:ascii="Times New Roman" w:hAnsi="Times New Roman" w:cs="宋体"/>
        </w:rPr>
        <w:t xml:space="preserve">  </w:t>
      </w:r>
      <w:r>
        <w:rPr>
          <w:rFonts w:hint="eastAsia" w:ascii="Times New Roman" w:hAnsi="Times New Roman" w:cs="宋体"/>
        </w:rPr>
        <w:t>日</w:t>
      </w: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pStyle w:val="36"/>
        <w:ind w:firstLine="210"/>
      </w:pPr>
    </w:p>
    <w:p>
      <w:pPr>
        <w:numPr>
          <w:ilvl w:val="0"/>
          <w:numId w:val="4"/>
        </w:numPr>
        <w:spacing w:line="400" w:lineRule="exact"/>
        <w:rPr>
          <w:rFonts w:ascii="黑体" w:hAnsi="Times New Roman" w:eastAsia="黑体" w:cs="黑体"/>
          <w:sz w:val="28"/>
          <w:szCs w:val="28"/>
        </w:rPr>
      </w:pPr>
    </w:p>
    <w:p>
      <w:pPr>
        <w:pStyle w:val="3"/>
        <w:spacing w:line="360" w:lineRule="auto"/>
        <w:jc w:val="center"/>
        <w:rPr>
          <w:rFonts w:ascii="黑体" w:eastAsia="黑体" w:cs="黑体"/>
          <w:b w:val="0"/>
          <w:bCs w:val="0"/>
          <w:sz w:val="32"/>
          <w:szCs w:val="32"/>
        </w:rPr>
      </w:pPr>
      <w:r>
        <w:rPr>
          <w:rFonts w:hint="eastAsia" w:ascii="宋体" w:hAnsi="宋体" w:cs="宋体"/>
          <w:sz w:val="32"/>
          <w:szCs w:val="32"/>
        </w:rPr>
        <w:t>报价表</w:t>
      </w:r>
    </w:p>
    <w:p>
      <w:pPr>
        <w:pStyle w:val="4"/>
        <w:jc w:val="center"/>
        <w:rPr>
          <w:rFonts w:ascii="宋体" w:hAnsi="宋体" w:eastAsia="宋体" w:cs="宋体"/>
          <w:sz w:val="24"/>
          <w:szCs w:val="24"/>
        </w:rPr>
      </w:pPr>
      <w:r>
        <w:rPr>
          <w:rFonts w:hint="eastAsia" w:ascii="宋体" w:hAnsi="宋体" w:eastAsia="宋体" w:cs="宋体"/>
          <w:sz w:val="24"/>
          <w:szCs w:val="24"/>
        </w:rPr>
        <w:t>（一）报价一览表</w:t>
      </w:r>
    </w:p>
    <w:tbl>
      <w:tblPr>
        <w:tblStyle w:val="37"/>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18"/>
        <w:gridCol w:w="3543"/>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818" w:type="dxa"/>
            <w:shd w:val="clear" w:color="auto" w:fill="D9D9D9"/>
            <w:vAlign w:val="center"/>
          </w:tcPr>
          <w:p>
            <w:pPr>
              <w:jc w:val="center"/>
              <w:rPr>
                <w:b/>
              </w:rPr>
            </w:pPr>
            <w:bookmarkStart w:id="73" w:name="_Hlk38364649"/>
            <w:r>
              <w:rPr>
                <w:rFonts w:hint="eastAsia"/>
                <w:b/>
              </w:rPr>
              <w:t>项目名称</w:t>
            </w:r>
          </w:p>
        </w:tc>
        <w:tc>
          <w:tcPr>
            <w:tcW w:w="3543" w:type="dxa"/>
            <w:shd w:val="clear" w:color="auto" w:fill="D9D9D9"/>
            <w:vAlign w:val="center"/>
          </w:tcPr>
          <w:p>
            <w:pPr>
              <w:jc w:val="center"/>
              <w:rPr>
                <w:b/>
              </w:rPr>
            </w:pPr>
            <w:r>
              <w:rPr>
                <w:rFonts w:hint="eastAsia"/>
                <w:b/>
              </w:rPr>
              <w:t>投标总报价</w:t>
            </w:r>
          </w:p>
        </w:tc>
        <w:tc>
          <w:tcPr>
            <w:tcW w:w="1479"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818"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p>
        </w:tc>
        <w:tc>
          <w:tcPr>
            <w:tcW w:w="3543"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479"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818"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543"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479" w:type="dxa"/>
            <w:vMerge w:val="continue"/>
            <w:vAlign w:val="center"/>
          </w:tcPr>
          <w:p>
            <w:pPr>
              <w:jc w:val="center"/>
            </w:pPr>
          </w:p>
        </w:tc>
      </w:tr>
      <w:bookmarkEnd w:id="73"/>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6"/>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6"/>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6"/>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6"/>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36"/>
        <w:ind w:firstLine="210"/>
        <w:rPr>
          <w:rFonts w:ascii="宋体" w:cs="Times New Roman"/>
        </w:rPr>
      </w:pPr>
    </w:p>
    <w:p>
      <w:pPr>
        <w:pStyle w:val="36"/>
        <w:ind w:firstLine="210"/>
        <w:rPr>
          <w:rFonts w:ascii="宋体" w:cs="Times New Roman"/>
        </w:rPr>
      </w:pPr>
    </w:p>
    <w:p>
      <w:pPr>
        <w:pStyle w:val="36"/>
        <w:ind w:firstLine="0" w:firstLineChars="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numPr>
          <w:ilvl w:val="0"/>
          <w:numId w:val="4"/>
        </w:numPr>
        <w:spacing w:line="400" w:lineRule="exact"/>
      </w:pPr>
      <w:r>
        <w:br w:type="page"/>
      </w:r>
      <w:bookmarkStart w:id="74" w:name="_Toc16324"/>
      <w:bookmarkStart w:id="75" w:name="_Hlk38364591"/>
    </w:p>
    <w:p>
      <w:pPr>
        <w:pStyle w:val="36"/>
        <w:ind w:firstLine="210"/>
      </w:pPr>
    </w:p>
    <w:bookmarkEnd w:id="68"/>
    <w:bookmarkEnd w:id="69"/>
    <w:bookmarkEnd w:id="70"/>
    <w:bookmarkEnd w:id="74"/>
    <w:bookmarkEnd w:id="75"/>
    <w:p>
      <w:pPr>
        <w:tabs>
          <w:tab w:val="left" w:pos="284"/>
        </w:tabs>
        <w:spacing w:line="400" w:lineRule="exact"/>
        <w:ind w:left="284"/>
        <w:rPr>
          <w:rFonts w:ascii="黑体" w:hAnsi="Times New Roman" w:eastAsia="黑体" w:cs="黑体"/>
          <w:sz w:val="28"/>
          <w:szCs w:val="28"/>
        </w:rPr>
      </w:pPr>
      <w:r>
        <w:rPr>
          <w:rFonts w:hint="eastAsia" w:ascii="黑体" w:hAnsi="Times New Roman" w:eastAsia="黑体" w:cs="黑体"/>
          <w:sz w:val="28"/>
          <w:szCs w:val="28"/>
        </w:rPr>
        <w:t>格式7</w:t>
      </w:r>
      <w:r>
        <w:rPr>
          <w:rFonts w:hint="eastAsia" w:ascii="宋体" w:hAnsi="宋体" w:cs="宋体"/>
          <w:sz w:val="32"/>
          <w:szCs w:val="32"/>
        </w:rPr>
        <w:t>供应商认为需要提供的其他资料</w:t>
      </w:r>
    </w:p>
    <w:p>
      <w:pPr>
        <w:rPr>
          <w:rFonts w:ascii="宋体" w:hAnsi="宋体"/>
          <w:lang w:val="zh-CN"/>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ascii="宋体" w:hAnsi="宋体"/>
      </w:rPr>
      <w:t xml:space="preserve"> </w:t>
    </w:r>
  </w:p>
  <w:p>
    <w:pPr>
      <w:pStyle w:val="22"/>
      <w:ind w:firstLine="4770" w:firstLineChars="2650"/>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0</w:t>
                    </w:r>
                    <w:r>
                      <w:fldChar w:fldCharType="end"/>
                    </w:r>
                  </w:p>
                </w:txbxContent>
              </v:textbox>
            </v:shape>
          </w:pict>
        </mc:Fallback>
      </mc:AlternateContent>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ascii="宋体" w:hAnsi="宋体"/>
      </w:rPr>
      <w:t xml:space="preserve"> </w:t>
    </w:r>
  </w:p>
  <w:p>
    <w:pPr>
      <w:pStyle w:val="22"/>
      <w:ind w:firstLine="4770" w:firstLineChars="2650"/>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0507282"/>
                          </w:sdtPr>
                          <w:sdtContent>
                            <w:p>
                              <w:pPr>
                                <w:pStyle w:val="22"/>
                                <w:jc w:val="center"/>
                              </w:pPr>
                              <w:r>
                                <w:fldChar w:fldCharType="begin"/>
                              </w:r>
                              <w:r>
                                <w:instrText xml:space="preserve">PAGE   \* MERGEFORMAT</w:instrText>
                              </w:r>
                              <w:r>
                                <w:fldChar w:fldCharType="separate"/>
                              </w:r>
                              <w:r>
                                <w:rPr>
                                  <w:lang w:val="zh-CN"/>
                                </w:rPr>
                                <w:t>69</w:t>
                              </w:r>
                              <w:r>
                                <w:fldChar w:fldCharType="end"/>
                              </w:r>
                            </w:p>
                          </w:sdtContent>
                        </w:sdt>
                        <w:p>
                          <w:pPr>
                            <w:pStyle w:val="36"/>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50507282"/>
                    </w:sdtPr>
                    <w:sdtContent>
                      <w:p>
                        <w:pPr>
                          <w:pStyle w:val="22"/>
                          <w:jc w:val="center"/>
                        </w:pPr>
                        <w:r>
                          <w:fldChar w:fldCharType="begin"/>
                        </w:r>
                        <w:r>
                          <w:instrText xml:space="preserve">PAGE   \* MERGEFORMAT</w:instrText>
                        </w:r>
                        <w:r>
                          <w:fldChar w:fldCharType="separate"/>
                        </w:r>
                        <w:r>
                          <w:rPr>
                            <w:lang w:val="zh-CN"/>
                          </w:rPr>
                          <w:t>69</w:t>
                        </w:r>
                        <w:r>
                          <w:fldChar w:fldCharType="end"/>
                        </w:r>
                      </w:p>
                    </w:sdtContent>
                  </w:sdt>
                  <w:p>
                    <w:pPr>
                      <w:pStyle w:val="36"/>
                      <w:ind w:firstLine="210"/>
                    </w:pPr>
                  </w:p>
                </w:txbxContent>
              </v:textbox>
            </v:shape>
          </w:pict>
        </mc:Fallback>
      </mc:AlternateContent>
    </w:r>
  </w:p>
  <w:p>
    <w:pPr>
      <w:pStyle w:val="22"/>
      <w:pBdr>
        <w:top w:val="single" w:color="auto" w:sz="4" w:space="1"/>
      </w:pBdr>
      <w:wordWrap w:val="0"/>
      <w:jc w:val="both"/>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5325"/>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53E809"/>
    <w:multiLevelType w:val="singleLevel"/>
    <w:tmpl w:val="3353E809"/>
    <w:lvl w:ilvl="0" w:tentative="0">
      <w:start w:val="1"/>
      <w:numFmt w:val="chineseCounting"/>
      <w:suff w:val="nothing"/>
      <w:lvlText w:val="%1、"/>
      <w:lvlJc w:val="left"/>
      <w:rPr>
        <w:rFonts w:hint="eastAsia"/>
      </w:rPr>
    </w:lvl>
  </w:abstractNum>
  <w:abstractNum w:abstractNumId="2">
    <w:nsid w:val="40C17539"/>
    <w:multiLevelType w:val="multilevel"/>
    <w:tmpl w:val="40C17539"/>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0BEA8"/>
    <w:multiLevelType w:val="multilevel"/>
    <w:tmpl w:val="5930BEA8"/>
    <w:lvl w:ilvl="0" w:tentative="0">
      <w:start w:val="1"/>
      <w:numFmt w:val="decimal"/>
      <w:lvlText w:val="格式%1"/>
      <w:lvlJc w:val="left"/>
      <w:pPr>
        <w:tabs>
          <w:tab w:val="left" w:pos="284"/>
        </w:tabs>
        <w:ind w:left="284" w:hanging="142"/>
      </w:pPr>
      <w:rPr>
        <w:rFonts w:hint="eastAsia" w:ascii="黑体" w:hAnsi="Times New Roman" w:eastAsia="黑体" w:cs="黑体"/>
        <w:b w:val="0"/>
        <w:bCs w:val="0"/>
        <w:sz w:val="28"/>
        <w:szCs w:val="28"/>
      </w:rPr>
    </w:lvl>
    <w:lvl w:ilvl="1" w:tentative="0">
      <w:start w:val="1"/>
      <w:numFmt w:val="decimal"/>
      <w:lvlText w:val="%2."/>
      <w:lvlJc w:val="left"/>
      <w:pPr>
        <w:tabs>
          <w:tab w:val="left" w:pos="840"/>
        </w:tabs>
        <w:ind w:left="840" w:hanging="420"/>
      </w:pPr>
      <w:rPr>
        <w:b w:val="0"/>
        <w:bCs w:val="0"/>
        <w:sz w:val="21"/>
        <w:szCs w:val="21"/>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30BEBE"/>
    <w:multiLevelType w:val="multilevel"/>
    <w:tmpl w:val="5930BEBE"/>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30BEC9"/>
    <w:multiLevelType w:val="multilevel"/>
    <w:tmpl w:val="5930BEC9"/>
    <w:lvl w:ilvl="0" w:tentative="0">
      <w:start w:val="5"/>
      <w:numFmt w:val="japaneseCounting"/>
      <w:lvlText w:val="%1、"/>
      <w:lvlJc w:val="left"/>
      <w:pPr>
        <w:tabs>
          <w:tab w:val="left" w:pos="0"/>
        </w:tabs>
        <w:ind w:left="630" w:hanging="63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2"/>
  </w:num>
  <w:num w:numId="3">
    <w:abstractNumId w:val="5"/>
    <w:lvlOverride w:ilvl="0">
      <w:startOverride w:val="5"/>
    </w:lvlOverride>
  </w:num>
  <w:num w:numId="4">
    <w:abstractNumId w:val="3"/>
    <w:lvlOverride w:ilvl="0">
      <w:startOverride w:val="1"/>
    </w:lvlOverride>
  </w:num>
  <w:num w:numId="5">
    <w:abstractNumId w:val="4"/>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jQ5ZDdhZTEwMzc0ZjBjNzM4YzNmMzY0YmNmOWYifQ=="/>
  </w:docVars>
  <w:rsids>
    <w:rsidRoot w:val="00172A27"/>
    <w:rsid w:val="00004ED9"/>
    <w:rsid w:val="00012788"/>
    <w:rsid w:val="00013CED"/>
    <w:rsid w:val="00015277"/>
    <w:rsid w:val="00016D5F"/>
    <w:rsid w:val="00021721"/>
    <w:rsid w:val="00023561"/>
    <w:rsid w:val="00027C44"/>
    <w:rsid w:val="00027EBF"/>
    <w:rsid w:val="000303E0"/>
    <w:rsid w:val="00031AE7"/>
    <w:rsid w:val="00034F96"/>
    <w:rsid w:val="00040DA5"/>
    <w:rsid w:val="00042DBD"/>
    <w:rsid w:val="00052EB4"/>
    <w:rsid w:val="00052F0E"/>
    <w:rsid w:val="00053D46"/>
    <w:rsid w:val="00055E80"/>
    <w:rsid w:val="000566CA"/>
    <w:rsid w:val="00065ED2"/>
    <w:rsid w:val="000667C2"/>
    <w:rsid w:val="00066E92"/>
    <w:rsid w:val="0007002C"/>
    <w:rsid w:val="00080BA3"/>
    <w:rsid w:val="00082EBF"/>
    <w:rsid w:val="00087508"/>
    <w:rsid w:val="000949A4"/>
    <w:rsid w:val="000A0ABB"/>
    <w:rsid w:val="000A25C9"/>
    <w:rsid w:val="000A5F20"/>
    <w:rsid w:val="000B08F4"/>
    <w:rsid w:val="000B322C"/>
    <w:rsid w:val="000B7CF1"/>
    <w:rsid w:val="000C26DA"/>
    <w:rsid w:val="000D0A92"/>
    <w:rsid w:val="000D7383"/>
    <w:rsid w:val="000E05A7"/>
    <w:rsid w:val="000E583B"/>
    <w:rsid w:val="000E7810"/>
    <w:rsid w:val="000F5B94"/>
    <w:rsid w:val="00102BF7"/>
    <w:rsid w:val="00111258"/>
    <w:rsid w:val="00117E06"/>
    <w:rsid w:val="00122F34"/>
    <w:rsid w:val="001234B8"/>
    <w:rsid w:val="00126E8C"/>
    <w:rsid w:val="001346C7"/>
    <w:rsid w:val="00141908"/>
    <w:rsid w:val="0014231F"/>
    <w:rsid w:val="00145BE4"/>
    <w:rsid w:val="00154686"/>
    <w:rsid w:val="00155FBB"/>
    <w:rsid w:val="001567AC"/>
    <w:rsid w:val="00170A02"/>
    <w:rsid w:val="00172946"/>
    <w:rsid w:val="00172A27"/>
    <w:rsid w:val="00173C16"/>
    <w:rsid w:val="00183B21"/>
    <w:rsid w:val="00190328"/>
    <w:rsid w:val="001A247A"/>
    <w:rsid w:val="001A7316"/>
    <w:rsid w:val="001B437A"/>
    <w:rsid w:val="001B6175"/>
    <w:rsid w:val="001B73D5"/>
    <w:rsid w:val="001C28FB"/>
    <w:rsid w:val="001C63C4"/>
    <w:rsid w:val="001D08AB"/>
    <w:rsid w:val="001D1A7C"/>
    <w:rsid w:val="001D40EE"/>
    <w:rsid w:val="001D4503"/>
    <w:rsid w:val="001D5685"/>
    <w:rsid w:val="001E01F4"/>
    <w:rsid w:val="001E2859"/>
    <w:rsid w:val="001E6A25"/>
    <w:rsid w:val="001F108D"/>
    <w:rsid w:val="001F52DE"/>
    <w:rsid w:val="002019A2"/>
    <w:rsid w:val="002076DF"/>
    <w:rsid w:val="00210379"/>
    <w:rsid w:val="00217836"/>
    <w:rsid w:val="00221547"/>
    <w:rsid w:val="0022256D"/>
    <w:rsid w:val="00226CF5"/>
    <w:rsid w:val="002306D1"/>
    <w:rsid w:val="00240026"/>
    <w:rsid w:val="00247048"/>
    <w:rsid w:val="00254C3B"/>
    <w:rsid w:val="00256DB7"/>
    <w:rsid w:val="00257B24"/>
    <w:rsid w:val="00260058"/>
    <w:rsid w:val="00260168"/>
    <w:rsid w:val="00262E12"/>
    <w:rsid w:val="002633C4"/>
    <w:rsid w:val="00273686"/>
    <w:rsid w:val="00275909"/>
    <w:rsid w:val="002805B0"/>
    <w:rsid w:val="00281448"/>
    <w:rsid w:val="002827C6"/>
    <w:rsid w:val="00291258"/>
    <w:rsid w:val="0029705C"/>
    <w:rsid w:val="002A00D2"/>
    <w:rsid w:val="002A76DE"/>
    <w:rsid w:val="002B1764"/>
    <w:rsid w:val="002B3282"/>
    <w:rsid w:val="002B3DDA"/>
    <w:rsid w:val="002C1C74"/>
    <w:rsid w:val="002C1CFA"/>
    <w:rsid w:val="002C4A8E"/>
    <w:rsid w:val="002C4C24"/>
    <w:rsid w:val="002C56A0"/>
    <w:rsid w:val="002C65A3"/>
    <w:rsid w:val="002C7088"/>
    <w:rsid w:val="002E32F0"/>
    <w:rsid w:val="002E3A35"/>
    <w:rsid w:val="002E41DE"/>
    <w:rsid w:val="002E69D1"/>
    <w:rsid w:val="002F1092"/>
    <w:rsid w:val="002F29FE"/>
    <w:rsid w:val="00300BF5"/>
    <w:rsid w:val="00301D9A"/>
    <w:rsid w:val="00310E56"/>
    <w:rsid w:val="0031265F"/>
    <w:rsid w:val="0031591B"/>
    <w:rsid w:val="00316E1C"/>
    <w:rsid w:val="00317EBD"/>
    <w:rsid w:val="00322822"/>
    <w:rsid w:val="003232D7"/>
    <w:rsid w:val="00327165"/>
    <w:rsid w:val="003322E0"/>
    <w:rsid w:val="00333096"/>
    <w:rsid w:val="00333C64"/>
    <w:rsid w:val="003519BA"/>
    <w:rsid w:val="00351D3A"/>
    <w:rsid w:val="00354B76"/>
    <w:rsid w:val="0036308C"/>
    <w:rsid w:val="00365ADD"/>
    <w:rsid w:val="0036658B"/>
    <w:rsid w:val="00366C3D"/>
    <w:rsid w:val="00367C39"/>
    <w:rsid w:val="0037655A"/>
    <w:rsid w:val="00376BDC"/>
    <w:rsid w:val="00391BA1"/>
    <w:rsid w:val="00393618"/>
    <w:rsid w:val="0039629B"/>
    <w:rsid w:val="00397CE6"/>
    <w:rsid w:val="003B2EC4"/>
    <w:rsid w:val="003B3E95"/>
    <w:rsid w:val="003B69B2"/>
    <w:rsid w:val="003B745E"/>
    <w:rsid w:val="003B7D41"/>
    <w:rsid w:val="003B7F0B"/>
    <w:rsid w:val="003C28D3"/>
    <w:rsid w:val="003C7190"/>
    <w:rsid w:val="003D4C19"/>
    <w:rsid w:val="003E355B"/>
    <w:rsid w:val="003E5C5F"/>
    <w:rsid w:val="003E6760"/>
    <w:rsid w:val="003F0321"/>
    <w:rsid w:val="003F16BE"/>
    <w:rsid w:val="003F4EBE"/>
    <w:rsid w:val="003F5FB2"/>
    <w:rsid w:val="003F67E2"/>
    <w:rsid w:val="00401571"/>
    <w:rsid w:val="00402447"/>
    <w:rsid w:val="00404F25"/>
    <w:rsid w:val="00407584"/>
    <w:rsid w:val="00407989"/>
    <w:rsid w:val="00407C16"/>
    <w:rsid w:val="004128AB"/>
    <w:rsid w:val="004151E0"/>
    <w:rsid w:val="004206AF"/>
    <w:rsid w:val="00423DAD"/>
    <w:rsid w:val="0043308C"/>
    <w:rsid w:val="0043320B"/>
    <w:rsid w:val="00441D37"/>
    <w:rsid w:val="0044389D"/>
    <w:rsid w:val="00446282"/>
    <w:rsid w:val="00446823"/>
    <w:rsid w:val="004471F9"/>
    <w:rsid w:val="004477D0"/>
    <w:rsid w:val="0045089F"/>
    <w:rsid w:val="00452519"/>
    <w:rsid w:val="0045635B"/>
    <w:rsid w:val="00456605"/>
    <w:rsid w:val="00461B29"/>
    <w:rsid w:val="00464776"/>
    <w:rsid w:val="0046591A"/>
    <w:rsid w:val="0046625F"/>
    <w:rsid w:val="00467935"/>
    <w:rsid w:val="00471FC2"/>
    <w:rsid w:val="0047295E"/>
    <w:rsid w:val="00473036"/>
    <w:rsid w:val="004778B7"/>
    <w:rsid w:val="00477E81"/>
    <w:rsid w:val="00484EA6"/>
    <w:rsid w:val="00484EF1"/>
    <w:rsid w:val="00486B6A"/>
    <w:rsid w:val="00492B44"/>
    <w:rsid w:val="00492E55"/>
    <w:rsid w:val="0049420F"/>
    <w:rsid w:val="00496174"/>
    <w:rsid w:val="00496C57"/>
    <w:rsid w:val="004A1FF8"/>
    <w:rsid w:val="004A60EC"/>
    <w:rsid w:val="004A7924"/>
    <w:rsid w:val="004B4D97"/>
    <w:rsid w:val="004C2828"/>
    <w:rsid w:val="004D109C"/>
    <w:rsid w:val="004D6853"/>
    <w:rsid w:val="004E38D3"/>
    <w:rsid w:val="004E53B0"/>
    <w:rsid w:val="004E740B"/>
    <w:rsid w:val="004F7E85"/>
    <w:rsid w:val="005018AA"/>
    <w:rsid w:val="005023C4"/>
    <w:rsid w:val="00503ABD"/>
    <w:rsid w:val="00505AB4"/>
    <w:rsid w:val="00505B13"/>
    <w:rsid w:val="0050644E"/>
    <w:rsid w:val="00510803"/>
    <w:rsid w:val="00511D52"/>
    <w:rsid w:val="0051437F"/>
    <w:rsid w:val="00514F55"/>
    <w:rsid w:val="005311C9"/>
    <w:rsid w:val="00532098"/>
    <w:rsid w:val="00536FE0"/>
    <w:rsid w:val="0053757A"/>
    <w:rsid w:val="0053779B"/>
    <w:rsid w:val="00541C51"/>
    <w:rsid w:val="00541CEE"/>
    <w:rsid w:val="00545AB7"/>
    <w:rsid w:val="00574E4E"/>
    <w:rsid w:val="005873FC"/>
    <w:rsid w:val="00587573"/>
    <w:rsid w:val="00591E8B"/>
    <w:rsid w:val="00594CC8"/>
    <w:rsid w:val="00595E0B"/>
    <w:rsid w:val="00596D5C"/>
    <w:rsid w:val="005A334A"/>
    <w:rsid w:val="005A4AD2"/>
    <w:rsid w:val="005A5139"/>
    <w:rsid w:val="005A6DCB"/>
    <w:rsid w:val="005B21D4"/>
    <w:rsid w:val="005B4C59"/>
    <w:rsid w:val="005B6058"/>
    <w:rsid w:val="005B6C65"/>
    <w:rsid w:val="005B74E4"/>
    <w:rsid w:val="005C0485"/>
    <w:rsid w:val="005C6261"/>
    <w:rsid w:val="005D13F3"/>
    <w:rsid w:val="005D316C"/>
    <w:rsid w:val="005D4857"/>
    <w:rsid w:val="005E40CB"/>
    <w:rsid w:val="005E7DFD"/>
    <w:rsid w:val="005F03D1"/>
    <w:rsid w:val="005F0F65"/>
    <w:rsid w:val="006006E0"/>
    <w:rsid w:val="00600F13"/>
    <w:rsid w:val="006013FA"/>
    <w:rsid w:val="00603045"/>
    <w:rsid w:val="006232E9"/>
    <w:rsid w:val="00624513"/>
    <w:rsid w:val="0063127C"/>
    <w:rsid w:val="006370B9"/>
    <w:rsid w:val="00640396"/>
    <w:rsid w:val="0064312C"/>
    <w:rsid w:val="00645BF7"/>
    <w:rsid w:val="00647BC9"/>
    <w:rsid w:val="006520E9"/>
    <w:rsid w:val="0065416A"/>
    <w:rsid w:val="00661532"/>
    <w:rsid w:val="00662387"/>
    <w:rsid w:val="00666122"/>
    <w:rsid w:val="00676822"/>
    <w:rsid w:val="0068211F"/>
    <w:rsid w:val="00687599"/>
    <w:rsid w:val="00687A31"/>
    <w:rsid w:val="00696288"/>
    <w:rsid w:val="00696887"/>
    <w:rsid w:val="006A0B8E"/>
    <w:rsid w:val="006A657E"/>
    <w:rsid w:val="006B2A7B"/>
    <w:rsid w:val="006C1A07"/>
    <w:rsid w:val="006C5762"/>
    <w:rsid w:val="006D3F7D"/>
    <w:rsid w:val="006E23D8"/>
    <w:rsid w:val="006E5976"/>
    <w:rsid w:val="006F689F"/>
    <w:rsid w:val="00704B4F"/>
    <w:rsid w:val="007052F2"/>
    <w:rsid w:val="0071025B"/>
    <w:rsid w:val="007148C7"/>
    <w:rsid w:val="007153CE"/>
    <w:rsid w:val="00720D0F"/>
    <w:rsid w:val="00722F89"/>
    <w:rsid w:val="007243ED"/>
    <w:rsid w:val="00731077"/>
    <w:rsid w:val="00736F42"/>
    <w:rsid w:val="00741137"/>
    <w:rsid w:val="00743D0C"/>
    <w:rsid w:val="00747CF6"/>
    <w:rsid w:val="00756DA2"/>
    <w:rsid w:val="00766B76"/>
    <w:rsid w:val="00773D87"/>
    <w:rsid w:val="0077574D"/>
    <w:rsid w:val="00776906"/>
    <w:rsid w:val="00783BDC"/>
    <w:rsid w:val="00792C14"/>
    <w:rsid w:val="00797455"/>
    <w:rsid w:val="007B093B"/>
    <w:rsid w:val="007B175C"/>
    <w:rsid w:val="007C0ABD"/>
    <w:rsid w:val="007C59FE"/>
    <w:rsid w:val="007D2A48"/>
    <w:rsid w:val="007E0813"/>
    <w:rsid w:val="007E60B9"/>
    <w:rsid w:val="007E6C59"/>
    <w:rsid w:val="007E7F16"/>
    <w:rsid w:val="007F1450"/>
    <w:rsid w:val="007F1F7A"/>
    <w:rsid w:val="007F6177"/>
    <w:rsid w:val="00800EE4"/>
    <w:rsid w:val="0080293B"/>
    <w:rsid w:val="00803437"/>
    <w:rsid w:val="00804729"/>
    <w:rsid w:val="008056C8"/>
    <w:rsid w:val="00811AF9"/>
    <w:rsid w:val="00814509"/>
    <w:rsid w:val="0082205C"/>
    <w:rsid w:val="00826A92"/>
    <w:rsid w:val="00832402"/>
    <w:rsid w:val="00833CED"/>
    <w:rsid w:val="008461BC"/>
    <w:rsid w:val="00850124"/>
    <w:rsid w:val="00855D75"/>
    <w:rsid w:val="00862522"/>
    <w:rsid w:val="00881E67"/>
    <w:rsid w:val="00885F0F"/>
    <w:rsid w:val="008869FA"/>
    <w:rsid w:val="008A1809"/>
    <w:rsid w:val="008A1BA8"/>
    <w:rsid w:val="008A412A"/>
    <w:rsid w:val="008B068B"/>
    <w:rsid w:val="008B2769"/>
    <w:rsid w:val="008B338D"/>
    <w:rsid w:val="008C0014"/>
    <w:rsid w:val="008C19E6"/>
    <w:rsid w:val="008D1E3A"/>
    <w:rsid w:val="008D38F2"/>
    <w:rsid w:val="008D6E97"/>
    <w:rsid w:val="008D7A66"/>
    <w:rsid w:val="008E02C9"/>
    <w:rsid w:val="008E0B5F"/>
    <w:rsid w:val="008E5202"/>
    <w:rsid w:val="008E5C42"/>
    <w:rsid w:val="008F1546"/>
    <w:rsid w:val="00901BBE"/>
    <w:rsid w:val="0090449C"/>
    <w:rsid w:val="00917F13"/>
    <w:rsid w:val="00921306"/>
    <w:rsid w:val="00922B0E"/>
    <w:rsid w:val="009248A4"/>
    <w:rsid w:val="00933995"/>
    <w:rsid w:val="00934E35"/>
    <w:rsid w:val="009449E8"/>
    <w:rsid w:val="009503DF"/>
    <w:rsid w:val="0095076D"/>
    <w:rsid w:val="00951DA6"/>
    <w:rsid w:val="00952548"/>
    <w:rsid w:val="0095363C"/>
    <w:rsid w:val="00964379"/>
    <w:rsid w:val="00966637"/>
    <w:rsid w:val="00966E29"/>
    <w:rsid w:val="00967B57"/>
    <w:rsid w:val="00985E50"/>
    <w:rsid w:val="00993449"/>
    <w:rsid w:val="00993C7F"/>
    <w:rsid w:val="0099532B"/>
    <w:rsid w:val="009A32A3"/>
    <w:rsid w:val="009A4823"/>
    <w:rsid w:val="009B3CB6"/>
    <w:rsid w:val="009B61CA"/>
    <w:rsid w:val="009B765F"/>
    <w:rsid w:val="009B76A8"/>
    <w:rsid w:val="009C5E03"/>
    <w:rsid w:val="009D46D2"/>
    <w:rsid w:val="009D52F5"/>
    <w:rsid w:val="009E24EA"/>
    <w:rsid w:val="009E2D9E"/>
    <w:rsid w:val="009E526A"/>
    <w:rsid w:val="009F0C14"/>
    <w:rsid w:val="009F11F6"/>
    <w:rsid w:val="009F7D9A"/>
    <w:rsid w:val="00A04C92"/>
    <w:rsid w:val="00A055F7"/>
    <w:rsid w:val="00A27FF7"/>
    <w:rsid w:val="00A34292"/>
    <w:rsid w:val="00A40185"/>
    <w:rsid w:val="00A55819"/>
    <w:rsid w:val="00A56C65"/>
    <w:rsid w:val="00A56E5C"/>
    <w:rsid w:val="00A64CF2"/>
    <w:rsid w:val="00A64FEB"/>
    <w:rsid w:val="00A65CC4"/>
    <w:rsid w:val="00A664D8"/>
    <w:rsid w:val="00A66739"/>
    <w:rsid w:val="00A74E2D"/>
    <w:rsid w:val="00A768E1"/>
    <w:rsid w:val="00A82547"/>
    <w:rsid w:val="00A9258A"/>
    <w:rsid w:val="00A92D4A"/>
    <w:rsid w:val="00A930D3"/>
    <w:rsid w:val="00A93AB2"/>
    <w:rsid w:val="00A965AD"/>
    <w:rsid w:val="00AA0581"/>
    <w:rsid w:val="00AA4A5D"/>
    <w:rsid w:val="00AB31EE"/>
    <w:rsid w:val="00AC11BA"/>
    <w:rsid w:val="00AC3BB3"/>
    <w:rsid w:val="00AC3C51"/>
    <w:rsid w:val="00AC5126"/>
    <w:rsid w:val="00AC7E7F"/>
    <w:rsid w:val="00AD272B"/>
    <w:rsid w:val="00AD2DAD"/>
    <w:rsid w:val="00AD77FA"/>
    <w:rsid w:val="00AE34EC"/>
    <w:rsid w:val="00AE48FC"/>
    <w:rsid w:val="00AE7BF1"/>
    <w:rsid w:val="00AF4C58"/>
    <w:rsid w:val="00B01247"/>
    <w:rsid w:val="00B02E7B"/>
    <w:rsid w:val="00B06A09"/>
    <w:rsid w:val="00B1208F"/>
    <w:rsid w:val="00B13356"/>
    <w:rsid w:val="00B16842"/>
    <w:rsid w:val="00B2431F"/>
    <w:rsid w:val="00B31D1A"/>
    <w:rsid w:val="00B36B7A"/>
    <w:rsid w:val="00B4043C"/>
    <w:rsid w:val="00B44C6A"/>
    <w:rsid w:val="00B531DB"/>
    <w:rsid w:val="00B558C1"/>
    <w:rsid w:val="00B64EE0"/>
    <w:rsid w:val="00B742ED"/>
    <w:rsid w:val="00B76D23"/>
    <w:rsid w:val="00B77348"/>
    <w:rsid w:val="00B84039"/>
    <w:rsid w:val="00B8512E"/>
    <w:rsid w:val="00B85A16"/>
    <w:rsid w:val="00BA0C40"/>
    <w:rsid w:val="00BB04C4"/>
    <w:rsid w:val="00BB74BB"/>
    <w:rsid w:val="00BC03FD"/>
    <w:rsid w:val="00BC326B"/>
    <w:rsid w:val="00BD12B8"/>
    <w:rsid w:val="00BD25A7"/>
    <w:rsid w:val="00BE1A15"/>
    <w:rsid w:val="00BE345E"/>
    <w:rsid w:val="00BE7824"/>
    <w:rsid w:val="00BF4A2E"/>
    <w:rsid w:val="00C01CFB"/>
    <w:rsid w:val="00C072A4"/>
    <w:rsid w:val="00C13891"/>
    <w:rsid w:val="00C14875"/>
    <w:rsid w:val="00C15CF5"/>
    <w:rsid w:val="00C21C4E"/>
    <w:rsid w:val="00C22A71"/>
    <w:rsid w:val="00C231F4"/>
    <w:rsid w:val="00C246FA"/>
    <w:rsid w:val="00C25253"/>
    <w:rsid w:val="00C2794B"/>
    <w:rsid w:val="00C3222F"/>
    <w:rsid w:val="00C33A3B"/>
    <w:rsid w:val="00C35C83"/>
    <w:rsid w:val="00C37A47"/>
    <w:rsid w:val="00C4110B"/>
    <w:rsid w:val="00C45E47"/>
    <w:rsid w:val="00C67D3E"/>
    <w:rsid w:val="00C71BF3"/>
    <w:rsid w:val="00C7634F"/>
    <w:rsid w:val="00C83562"/>
    <w:rsid w:val="00C85351"/>
    <w:rsid w:val="00C8723E"/>
    <w:rsid w:val="00C9205E"/>
    <w:rsid w:val="00C94E7B"/>
    <w:rsid w:val="00CA07CA"/>
    <w:rsid w:val="00CB4083"/>
    <w:rsid w:val="00CB4783"/>
    <w:rsid w:val="00CC749A"/>
    <w:rsid w:val="00CD248B"/>
    <w:rsid w:val="00CD6793"/>
    <w:rsid w:val="00CE06E3"/>
    <w:rsid w:val="00CE3B63"/>
    <w:rsid w:val="00CE4606"/>
    <w:rsid w:val="00CE491E"/>
    <w:rsid w:val="00D03E1F"/>
    <w:rsid w:val="00D07598"/>
    <w:rsid w:val="00D25820"/>
    <w:rsid w:val="00D25D69"/>
    <w:rsid w:val="00D26050"/>
    <w:rsid w:val="00D30579"/>
    <w:rsid w:val="00D35F7A"/>
    <w:rsid w:val="00D43D77"/>
    <w:rsid w:val="00D46EA9"/>
    <w:rsid w:val="00D51E27"/>
    <w:rsid w:val="00D53228"/>
    <w:rsid w:val="00D53EC9"/>
    <w:rsid w:val="00D5490F"/>
    <w:rsid w:val="00D55479"/>
    <w:rsid w:val="00D6106B"/>
    <w:rsid w:val="00D61D83"/>
    <w:rsid w:val="00D635A1"/>
    <w:rsid w:val="00D76F6D"/>
    <w:rsid w:val="00D8257B"/>
    <w:rsid w:val="00D85F70"/>
    <w:rsid w:val="00D8694E"/>
    <w:rsid w:val="00D87C28"/>
    <w:rsid w:val="00D90A80"/>
    <w:rsid w:val="00D90AA8"/>
    <w:rsid w:val="00D916BA"/>
    <w:rsid w:val="00DA1BE1"/>
    <w:rsid w:val="00DA41B5"/>
    <w:rsid w:val="00DA4BBF"/>
    <w:rsid w:val="00DA6499"/>
    <w:rsid w:val="00DB3554"/>
    <w:rsid w:val="00DB3623"/>
    <w:rsid w:val="00DB6E33"/>
    <w:rsid w:val="00DC490D"/>
    <w:rsid w:val="00DC654D"/>
    <w:rsid w:val="00DC75AB"/>
    <w:rsid w:val="00DD208D"/>
    <w:rsid w:val="00DD2DE5"/>
    <w:rsid w:val="00DE1471"/>
    <w:rsid w:val="00DE2973"/>
    <w:rsid w:val="00DE3CBD"/>
    <w:rsid w:val="00DE41DC"/>
    <w:rsid w:val="00DF3802"/>
    <w:rsid w:val="00DF61EB"/>
    <w:rsid w:val="00E03366"/>
    <w:rsid w:val="00E1118A"/>
    <w:rsid w:val="00E14369"/>
    <w:rsid w:val="00E144FA"/>
    <w:rsid w:val="00E17109"/>
    <w:rsid w:val="00E21CC7"/>
    <w:rsid w:val="00E23042"/>
    <w:rsid w:val="00E24477"/>
    <w:rsid w:val="00E25956"/>
    <w:rsid w:val="00E27495"/>
    <w:rsid w:val="00E31E0C"/>
    <w:rsid w:val="00E338BC"/>
    <w:rsid w:val="00E361C3"/>
    <w:rsid w:val="00E431A9"/>
    <w:rsid w:val="00E530EF"/>
    <w:rsid w:val="00E56571"/>
    <w:rsid w:val="00E60BD4"/>
    <w:rsid w:val="00E62517"/>
    <w:rsid w:val="00E62909"/>
    <w:rsid w:val="00E6376D"/>
    <w:rsid w:val="00E6414C"/>
    <w:rsid w:val="00E65E37"/>
    <w:rsid w:val="00E661A8"/>
    <w:rsid w:val="00E677AD"/>
    <w:rsid w:val="00E70FCD"/>
    <w:rsid w:val="00E757E4"/>
    <w:rsid w:val="00E82002"/>
    <w:rsid w:val="00E822F3"/>
    <w:rsid w:val="00E85982"/>
    <w:rsid w:val="00E85FF4"/>
    <w:rsid w:val="00E8760D"/>
    <w:rsid w:val="00E93764"/>
    <w:rsid w:val="00E9647A"/>
    <w:rsid w:val="00EA2B99"/>
    <w:rsid w:val="00EA305C"/>
    <w:rsid w:val="00EA4A6D"/>
    <w:rsid w:val="00EB376B"/>
    <w:rsid w:val="00EB4D47"/>
    <w:rsid w:val="00EB7009"/>
    <w:rsid w:val="00EC01F3"/>
    <w:rsid w:val="00EC443E"/>
    <w:rsid w:val="00EC4D89"/>
    <w:rsid w:val="00EC650B"/>
    <w:rsid w:val="00EC73A9"/>
    <w:rsid w:val="00EC73E7"/>
    <w:rsid w:val="00EC778D"/>
    <w:rsid w:val="00ED28A2"/>
    <w:rsid w:val="00ED73FD"/>
    <w:rsid w:val="00EE6D31"/>
    <w:rsid w:val="00EE7AA7"/>
    <w:rsid w:val="00EF151B"/>
    <w:rsid w:val="00EF4C17"/>
    <w:rsid w:val="00EF5956"/>
    <w:rsid w:val="00EF5B92"/>
    <w:rsid w:val="00EF6532"/>
    <w:rsid w:val="00F020EA"/>
    <w:rsid w:val="00F1038E"/>
    <w:rsid w:val="00F10C7F"/>
    <w:rsid w:val="00F12E05"/>
    <w:rsid w:val="00F16FF3"/>
    <w:rsid w:val="00F32D6E"/>
    <w:rsid w:val="00F378D6"/>
    <w:rsid w:val="00F50D6D"/>
    <w:rsid w:val="00F529B5"/>
    <w:rsid w:val="00F63CEE"/>
    <w:rsid w:val="00F67F5E"/>
    <w:rsid w:val="00F729EC"/>
    <w:rsid w:val="00F80945"/>
    <w:rsid w:val="00FA002A"/>
    <w:rsid w:val="00FA0E23"/>
    <w:rsid w:val="00FA42AA"/>
    <w:rsid w:val="00FA5DD2"/>
    <w:rsid w:val="00FA7595"/>
    <w:rsid w:val="00FA7E29"/>
    <w:rsid w:val="00FB757C"/>
    <w:rsid w:val="00FC1196"/>
    <w:rsid w:val="00FC2B01"/>
    <w:rsid w:val="00FC7142"/>
    <w:rsid w:val="00FD123D"/>
    <w:rsid w:val="00FD15F8"/>
    <w:rsid w:val="00FD1788"/>
    <w:rsid w:val="00FD3349"/>
    <w:rsid w:val="00FD4350"/>
    <w:rsid w:val="00FD555B"/>
    <w:rsid w:val="00FE28D5"/>
    <w:rsid w:val="00FE33B7"/>
    <w:rsid w:val="00FE343D"/>
    <w:rsid w:val="00FE5A3F"/>
    <w:rsid w:val="00FF4A2C"/>
    <w:rsid w:val="010C0545"/>
    <w:rsid w:val="01431AAC"/>
    <w:rsid w:val="01CB4613"/>
    <w:rsid w:val="01D6735B"/>
    <w:rsid w:val="01EE009D"/>
    <w:rsid w:val="02212C59"/>
    <w:rsid w:val="02234D68"/>
    <w:rsid w:val="02611EFB"/>
    <w:rsid w:val="03362153"/>
    <w:rsid w:val="033D23C8"/>
    <w:rsid w:val="035C7C9F"/>
    <w:rsid w:val="038421FF"/>
    <w:rsid w:val="03AC3D5F"/>
    <w:rsid w:val="04A52F3F"/>
    <w:rsid w:val="04DB5BA0"/>
    <w:rsid w:val="050339C8"/>
    <w:rsid w:val="056B78E4"/>
    <w:rsid w:val="05A42927"/>
    <w:rsid w:val="05EB78B9"/>
    <w:rsid w:val="060464B3"/>
    <w:rsid w:val="061F2713"/>
    <w:rsid w:val="065654B5"/>
    <w:rsid w:val="06A149CB"/>
    <w:rsid w:val="06D11F32"/>
    <w:rsid w:val="0785665F"/>
    <w:rsid w:val="07B32051"/>
    <w:rsid w:val="07EB08B1"/>
    <w:rsid w:val="08173179"/>
    <w:rsid w:val="08C5681F"/>
    <w:rsid w:val="091C4B59"/>
    <w:rsid w:val="098A5497"/>
    <w:rsid w:val="09A1791C"/>
    <w:rsid w:val="09D25BA2"/>
    <w:rsid w:val="0A0E35A3"/>
    <w:rsid w:val="0A1B48E0"/>
    <w:rsid w:val="0A836050"/>
    <w:rsid w:val="0AB357D4"/>
    <w:rsid w:val="0AD12D78"/>
    <w:rsid w:val="0B591E2E"/>
    <w:rsid w:val="0C0910DE"/>
    <w:rsid w:val="0CAD489C"/>
    <w:rsid w:val="0D0E66AD"/>
    <w:rsid w:val="0D564767"/>
    <w:rsid w:val="0D5A5B8C"/>
    <w:rsid w:val="0D7B1C8E"/>
    <w:rsid w:val="0D7D1BB2"/>
    <w:rsid w:val="0D896308"/>
    <w:rsid w:val="0DAC4FCB"/>
    <w:rsid w:val="0DDD3A30"/>
    <w:rsid w:val="0DE855D9"/>
    <w:rsid w:val="0DE92C96"/>
    <w:rsid w:val="0E064F10"/>
    <w:rsid w:val="0E224769"/>
    <w:rsid w:val="0E377D85"/>
    <w:rsid w:val="0EA314D4"/>
    <w:rsid w:val="0EAA614C"/>
    <w:rsid w:val="0EC55891"/>
    <w:rsid w:val="0ECD0956"/>
    <w:rsid w:val="0F0A1C47"/>
    <w:rsid w:val="0F8938E3"/>
    <w:rsid w:val="0FC26B09"/>
    <w:rsid w:val="0FE37051"/>
    <w:rsid w:val="0FE55E1D"/>
    <w:rsid w:val="10234BB8"/>
    <w:rsid w:val="106E28ED"/>
    <w:rsid w:val="11072B0F"/>
    <w:rsid w:val="11352C2D"/>
    <w:rsid w:val="11651493"/>
    <w:rsid w:val="118215F3"/>
    <w:rsid w:val="11B20E43"/>
    <w:rsid w:val="11B8379D"/>
    <w:rsid w:val="11E164E5"/>
    <w:rsid w:val="122638B7"/>
    <w:rsid w:val="12BB492C"/>
    <w:rsid w:val="12D92BF6"/>
    <w:rsid w:val="132344FA"/>
    <w:rsid w:val="1337105C"/>
    <w:rsid w:val="135B6F1E"/>
    <w:rsid w:val="13CB73A9"/>
    <w:rsid w:val="13D25640"/>
    <w:rsid w:val="13E00550"/>
    <w:rsid w:val="14327BFA"/>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E047E"/>
    <w:rsid w:val="15F42192"/>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91B2BC9"/>
    <w:rsid w:val="191C3C2B"/>
    <w:rsid w:val="19414DFD"/>
    <w:rsid w:val="19670372"/>
    <w:rsid w:val="1A597781"/>
    <w:rsid w:val="1A674BDF"/>
    <w:rsid w:val="1AAF73A0"/>
    <w:rsid w:val="1B295DE8"/>
    <w:rsid w:val="1C102782"/>
    <w:rsid w:val="1C1E661C"/>
    <w:rsid w:val="1C3A2896"/>
    <w:rsid w:val="1C4D4BCF"/>
    <w:rsid w:val="1CFD009B"/>
    <w:rsid w:val="1E18389A"/>
    <w:rsid w:val="1EF37B1C"/>
    <w:rsid w:val="1FA878A4"/>
    <w:rsid w:val="1FB65CE5"/>
    <w:rsid w:val="1FFB1CD2"/>
    <w:rsid w:val="20102115"/>
    <w:rsid w:val="20723DF8"/>
    <w:rsid w:val="20CF0408"/>
    <w:rsid w:val="20DD2F6A"/>
    <w:rsid w:val="213D5D4F"/>
    <w:rsid w:val="214D321F"/>
    <w:rsid w:val="21526090"/>
    <w:rsid w:val="21831257"/>
    <w:rsid w:val="21862A8E"/>
    <w:rsid w:val="21B66174"/>
    <w:rsid w:val="21D2510C"/>
    <w:rsid w:val="220B46C7"/>
    <w:rsid w:val="22584650"/>
    <w:rsid w:val="22E16D2C"/>
    <w:rsid w:val="22F74597"/>
    <w:rsid w:val="23513516"/>
    <w:rsid w:val="235C0D8C"/>
    <w:rsid w:val="24005DFF"/>
    <w:rsid w:val="24740B21"/>
    <w:rsid w:val="24A66CC3"/>
    <w:rsid w:val="24B07509"/>
    <w:rsid w:val="25141B44"/>
    <w:rsid w:val="25251CDD"/>
    <w:rsid w:val="256A0B48"/>
    <w:rsid w:val="25B8212F"/>
    <w:rsid w:val="25C171E6"/>
    <w:rsid w:val="25C379D2"/>
    <w:rsid w:val="26244987"/>
    <w:rsid w:val="26A266B6"/>
    <w:rsid w:val="26DC3A8D"/>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B065E73"/>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D901D4F"/>
    <w:rsid w:val="2E346694"/>
    <w:rsid w:val="2E756F3C"/>
    <w:rsid w:val="2F6F0866"/>
    <w:rsid w:val="30444961"/>
    <w:rsid w:val="30976FBB"/>
    <w:rsid w:val="30B27859"/>
    <w:rsid w:val="31266B62"/>
    <w:rsid w:val="314B252D"/>
    <w:rsid w:val="31522662"/>
    <w:rsid w:val="31C077E7"/>
    <w:rsid w:val="31D11801"/>
    <w:rsid w:val="328123C3"/>
    <w:rsid w:val="32B81AB0"/>
    <w:rsid w:val="32F61005"/>
    <w:rsid w:val="33064658"/>
    <w:rsid w:val="33275A6F"/>
    <w:rsid w:val="335B60C2"/>
    <w:rsid w:val="33630233"/>
    <w:rsid w:val="33E26171"/>
    <w:rsid w:val="33E85C36"/>
    <w:rsid w:val="343F0D4B"/>
    <w:rsid w:val="34583C3A"/>
    <w:rsid w:val="352F456F"/>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96B46CF"/>
    <w:rsid w:val="398C79A3"/>
    <w:rsid w:val="39E67A24"/>
    <w:rsid w:val="39EE175A"/>
    <w:rsid w:val="3A070BE6"/>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D802EF4"/>
    <w:rsid w:val="3DC34C62"/>
    <w:rsid w:val="3E676953"/>
    <w:rsid w:val="3E893233"/>
    <w:rsid w:val="3E951975"/>
    <w:rsid w:val="3EB45F5C"/>
    <w:rsid w:val="3EC26D84"/>
    <w:rsid w:val="3ED674CA"/>
    <w:rsid w:val="3EE81F94"/>
    <w:rsid w:val="3EE95CD4"/>
    <w:rsid w:val="3F07744D"/>
    <w:rsid w:val="3F24672E"/>
    <w:rsid w:val="3F2F3266"/>
    <w:rsid w:val="3F3C5B71"/>
    <w:rsid w:val="3F577277"/>
    <w:rsid w:val="3FD820F5"/>
    <w:rsid w:val="3FFE04EC"/>
    <w:rsid w:val="4039566C"/>
    <w:rsid w:val="404E2AE4"/>
    <w:rsid w:val="405A242A"/>
    <w:rsid w:val="40F43F1A"/>
    <w:rsid w:val="41532FAE"/>
    <w:rsid w:val="41842C98"/>
    <w:rsid w:val="41BC1CA5"/>
    <w:rsid w:val="42057C15"/>
    <w:rsid w:val="423F2F70"/>
    <w:rsid w:val="42670A50"/>
    <w:rsid w:val="427D788F"/>
    <w:rsid w:val="428A1EDA"/>
    <w:rsid w:val="430A0010"/>
    <w:rsid w:val="430D1706"/>
    <w:rsid w:val="43B35BEF"/>
    <w:rsid w:val="44831052"/>
    <w:rsid w:val="44A21D28"/>
    <w:rsid w:val="44E828B4"/>
    <w:rsid w:val="451002B5"/>
    <w:rsid w:val="456A0612"/>
    <w:rsid w:val="458D6777"/>
    <w:rsid w:val="4590612D"/>
    <w:rsid w:val="45974811"/>
    <w:rsid w:val="46022BE9"/>
    <w:rsid w:val="46066A8D"/>
    <w:rsid w:val="46082FC4"/>
    <w:rsid w:val="460868F8"/>
    <w:rsid w:val="46295264"/>
    <w:rsid w:val="466A2CBB"/>
    <w:rsid w:val="46BA00BF"/>
    <w:rsid w:val="46D66444"/>
    <w:rsid w:val="47350CC5"/>
    <w:rsid w:val="4754657C"/>
    <w:rsid w:val="47792485"/>
    <w:rsid w:val="477F0800"/>
    <w:rsid w:val="47DF047E"/>
    <w:rsid w:val="47F1067D"/>
    <w:rsid w:val="481E4E00"/>
    <w:rsid w:val="48350F2F"/>
    <w:rsid w:val="48673C7E"/>
    <w:rsid w:val="487F5414"/>
    <w:rsid w:val="488D5CBD"/>
    <w:rsid w:val="48BD715B"/>
    <w:rsid w:val="493A3496"/>
    <w:rsid w:val="49B35ADA"/>
    <w:rsid w:val="4A3C591C"/>
    <w:rsid w:val="4A797E30"/>
    <w:rsid w:val="4AC85072"/>
    <w:rsid w:val="4B115EC7"/>
    <w:rsid w:val="4B646FFB"/>
    <w:rsid w:val="4B745559"/>
    <w:rsid w:val="4B8250E9"/>
    <w:rsid w:val="4B9374B4"/>
    <w:rsid w:val="4BAC6D9C"/>
    <w:rsid w:val="4BBC374F"/>
    <w:rsid w:val="4BD50393"/>
    <w:rsid w:val="4C371F41"/>
    <w:rsid w:val="4CF124C7"/>
    <w:rsid w:val="4D1C29A0"/>
    <w:rsid w:val="4D222443"/>
    <w:rsid w:val="4D5544F7"/>
    <w:rsid w:val="4D6A2510"/>
    <w:rsid w:val="4D8D15C2"/>
    <w:rsid w:val="4DC23C9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8D5F0B"/>
    <w:rsid w:val="509462D0"/>
    <w:rsid w:val="50F45E6D"/>
    <w:rsid w:val="50F51557"/>
    <w:rsid w:val="51A67337"/>
    <w:rsid w:val="51AD3D02"/>
    <w:rsid w:val="51DC6281"/>
    <w:rsid w:val="523A17FC"/>
    <w:rsid w:val="52730954"/>
    <w:rsid w:val="52C57509"/>
    <w:rsid w:val="53104FF3"/>
    <w:rsid w:val="535A42C0"/>
    <w:rsid w:val="53A66F6C"/>
    <w:rsid w:val="53A8301E"/>
    <w:rsid w:val="549C6DBA"/>
    <w:rsid w:val="54AE4B77"/>
    <w:rsid w:val="54B64947"/>
    <w:rsid w:val="55560686"/>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4D4876"/>
    <w:rsid w:val="5DB7364F"/>
    <w:rsid w:val="5DE01011"/>
    <w:rsid w:val="5E263E4C"/>
    <w:rsid w:val="5E2A7B88"/>
    <w:rsid w:val="5EF21D08"/>
    <w:rsid w:val="5EFC55C2"/>
    <w:rsid w:val="5F072DF9"/>
    <w:rsid w:val="5F216531"/>
    <w:rsid w:val="5F3C6B9D"/>
    <w:rsid w:val="5F894125"/>
    <w:rsid w:val="5F977E59"/>
    <w:rsid w:val="603F6015"/>
    <w:rsid w:val="60672361"/>
    <w:rsid w:val="60911F51"/>
    <w:rsid w:val="60971F86"/>
    <w:rsid w:val="611E6F2B"/>
    <w:rsid w:val="613E5BFE"/>
    <w:rsid w:val="621B2348"/>
    <w:rsid w:val="62607B57"/>
    <w:rsid w:val="62951C1B"/>
    <w:rsid w:val="630854AB"/>
    <w:rsid w:val="635031CD"/>
    <w:rsid w:val="63A21FFE"/>
    <w:rsid w:val="63A97F35"/>
    <w:rsid w:val="63AB1A91"/>
    <w:rsid w:val="64324C0C"/>
    <w:rsid w:val="643D3240"/>
    <w:rsid w:val="6458289B"/>
    <w:rsid w:val="64A5552C"/>
    <w:rsid w:val="64C47B18"/>
    <w:rsid w:val="65A119E7"/>
    <w:rsid w:val="65C126FF"/>
    <w:rsid w:val="65F93D81"/>
    <w:rsid w:val="66317CF6"/>
    <w:rsid w:val="663C410E"/>
    <w:rsid w:val="669D13B7"/>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2E1B1A"/>
    <w:rsid w:val="695F493B"/>
    <w:rsid w:val="696F6BE4"/>
    <w:rsid w:val="698039BA"/>
    <w:rsid w:val="69F71F6E"/>
    <w:rsid w:val="6A023AC4"/>
    <w:rsid w:val="6AA62419"/>
    <w:rsid w:val="6AB514DC"/>
    <w:rsid w:val="6ACD6505"/>
    <w:rsid w:val="6AD31D28"/>
    <w:rsid w:val="6AFF1433"/>
    <w:rsid w:val="6B195042"/>
    <w:rsid w:val="6B9F7419"/>
    <w:rsid w:val="6BD6029E"/>
    <w:rsid w:val="6BD878B3"/>
    <w:rsid w:val="6C1A3DE9"/>
    <w:rsid w:val="6C7C54BE"/>
    <w:rsid w:val="6C9D1D07"/>
    <w:rsid w:val="6CB32F8B"/>
    <w:rsid w:val="6CBD6E76"/>
    <w:rsid w:val="6CBE69DE"/>
    <w:rsid w:val="6CF926FA"/>
    <w:rsid w:val="6D232396"/>
    <w:rsid w:val="6D303383"/>
    <w:rsid w:val="6D9564A1"/>
    <w:rsid w:val="6DC00A06"/>
    <w:rsid w:val="6DF7402B"/>
    <w:rsid w:val="6DF93875"/>
    <w:rsid w:val="6EA01B25"/>
    <w:rsid w:val="6EB56BD7"/>
    <w:rsid w:val="6F915FDB"/>
    <w:rsid w:val="6FD315C3"/>
    <w:rsid w:val="6FF723C3"/>
    <w:rsid w:val="701704B6"/>
    <w:rsid w:val="70474D32"/>
    <w:rsid w:val="70772053"/>
    <w:rsid w:val="70DC241A"/>
    <w:rsid w:val="70F806AF"/>
    <w:rsid w:val="716E59A9"/>
    <w:rsid w:val="71AA05CD"/>
    <w:rsid w:val="71DB12B3"/>
    <w:rsid w:val="727A2C7C"/>
    <w:rsid w:val="72993414"/>
    <w:rsid w:val="72D73A11"/>
    <w:rsid w:val="72F01471"/>
    <w:rsid w:val="73047240"/>
    <w:rsid w:val="7350660E"/>
    <w:rsid w:val="73B30DE8"/>
    <w:rsid w:val="74180CAE"/>
    <w:rsid w:val="74612D49"/>
    <w:rsid w:val="74627BBE"/>
    <w:rsid w:val="74A21188"/>
    <w:rsid w:val="74BE2D01"/>
    <w:rsid w:val="74BF0FAA"/>
    <w:rsid w:val="75011284"/>
    <w:rsid w:val="7511571C"/>
    <w:rsid w:val="75171229"/>
    <w:rsid w:val="75210FD7"/>
    <w:rsid w:val="752D40F6"/>
    <w:rsid w:val="753668F2"/>
    <w:rsid w:val="753B4778"/>
    <w:rsid w:val="754F13C9"/>
    <w:rsid w:val="758555E1"/>
    <w:rsid w:val="75B40CC5"/>
    <w:rsid w:val="75C0143F"/>
    <w:rsid w:val="75C0608E"/>
    <w:rsid w:val="75CF43CE"/>
    <w:rsid w:val="75E06548"/>
    <w:rsid w:val="75EC7066"/>
    <w:rsid w:val="760C57E3"/>
    <w:rsid w:val="769E0D19"/>
    <w:rsid w:val="76EA76C2"/>
    <w:rsid w:val="76F507BA"/>
    <w:rsid w:val="772546B8"/>
    <w:rsid w:val="774A78C1"/>
    <w:rsid w:val="78533997"/>
    <w:rsid w:val="78D056D3"/>
    <w:rsid w:val="78F20AC6"/>
    <w:rsid w:val="794E7D2A"/>
    <w:rsid w:val="79747571"/>
    <w:rsid w:val="799A0EF5"/>
    <w:rsid w:val="79FA7066"/>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9"/>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99"/>
    <w:pPr>
      <w:keepNext/>
      <w:keepLines/>
      <w:spacing w:before="260" w:after="260" w:line="416" w:lineRule="auto"/>
      <w:jc w:val="center"/>
      <w:outlineLvl w:val="2"/>
    </w:pPr>
    <w:rPr>
      <w:b/>
      <w:bCs/>
      <w:sz w:val="28"/>
      <w:szCs w:val="28"/>
    </w:rPr>
  </w:style>
  <w:style w:type="paragraph" w:styleId="6">
    <w:name w:val="heading 4"/>
    <w:basedOn w:val="1"/>
    <w:next w:val="1"/>
    <w:link w:val="51"/>
    <w:qFormat/>
    <w:uiPriority w:val="99"/>
    <w:pPr>
      <w:keepNext/>
      <w:keepLines/>
      <w:spacing w:before="280" w:after="290" w:line="376" w:lineRule="auto"/>
      <w:outlineLvl w:val="3"/>
    </w:pPr>
    <w:rPr>
      <w:rFonts w:ascii="Arial" w:hAnsi="Arial" w:eastAsia="黑体" w:cs="Arial"/>
      <w:b/>
      <w:bCs/>
      <w:sz w:val="28"/>
      <w:szCs w:val="28"/>
    </w:rPr>
  </w:style>
  <w:style w:type="paragraph" w:styleId="7">
    <w:name w:val="heading 6"/>
    <w:basedOn w:val="1"/>
    <w:next w:val="1"/>
    <w:link w:val="52"/>
    <w:qFormat/>
    <w:uiPriority w:val="99"/>
    <w:pPr>
      <w:keepNext/>
      <w:keepLines/>
      <w:spacing w:before="240" w:after="64" w:line="317" w:lineRule="auto"/>
      <w:outlineLvl w:val="5"/>
    </w:pPr>
    <w:rPr>
      <w:rFonts w:ascii="Cambria" w:hAnsi="Cambria" w:cs="Cambria"/>
      <w:b/>
      <w:bCs/>
      <w:sz w:val="24"/>
      <w:szCs w:val="24"/>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link w:val="53"/>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semiHidden/>
    <w:qFormat/>
    <w:uiPriority w:val="99"/>
    <w:pPr>
      <w:shd w:val="clear" w:color="auto" w:fill="000080"/>
    </w:pPr>
  </w:style>
  <w:style w:type="paragraph" w:styleId="12">
    <w:name w:val="annotation text"/>
    <w:basedOn w:val="1"/>
    <w:link w:val="55"/>
    <w:qFormat/>
    <w:uiPriority w:val="0"/>
    <w:pPr>
      <w:jc w:val="left"/>
    </w:pPr>
    <w:rPr>
      <w:rFonts w:ascii="Times New Roman" w:hAnsi="Times New Roman" w:cs="Times New Roman"/>
    </w:rPr>
  </w:style>
  <w:style w:type="paragraph" w:styleId="13">
    <w:name w:val="Body Text 3"/>
    <w:basedOn w:val="1"/>
    <w:link w:val="56"/>
    <w:qFormat/>
    <w:uiPriority w:val="99"/>
    <w:pPr>
      <w:spacing w:after="120"/>
    </w:pPr>
    <w:rPr>
      <w:sz w:val="16"/>
      <w:szCs w:val="16"/>
    </w:rPr>
  </w:style>
  <w:style w:type="paragraph" w:styleId="14">
    <w:name w:val="Closing"/>
    <w:basedOn w:val="1"/>
    <w:link w:val="57"/>
    <w:qFormat/>
    <w:uiPriority w:val="99"/>
    <w:pPr>
      <w:ind w:left="100" w:leftChars="2100"/>
    </w:pPr>
    <w:rPr>
      <w:rFonts w:ascii="宋体" w:hAnsi="宋体" w:cs="宋体"/>
      <w:color w:val="000000"/>
      <w:sz w:val="24"/>
      <w:szCs w:val="24"/>
    </w:rPr>
  </w:style>
  <w:style w:type="paragraph" w:styleId="15">
    <w:name w:val="Body Text"/>
    <w:basedOn w:val="1"/>
    <w:next w:val="1"/>
    <w:link w:val="58"/>
    <w:qFormat/>
    <w:uiPriority w:val="99"/>
    <w:pPr>
      <w:spacing w:after="120"/>
    </w:pPr>
    <w:rPr>
      <w:rFonts w:ascii="Times New Roman" w:hAnsi="Times New Roman" w:cs="Times New Roman"/>
    </w:rPr>
  </w:style>
  <w:style w:type="paragraph" w:styleId="16">
    <w:name w:val="Body Text Indent"/>
    <w:basedOn w:val="1"/>
    <w:link w:val="59"/>
    <w:qFormat/>
    <w:uiPriority w:val="99"/>
    <w:pPr>
      <w:spacing w:after="120"/>
      <w:ind w:left="420" w:leftChars="200"/>
    </w:pPr>
    <w:rPr>
      <w:rFonts w:ascii="Times New Roman" w:hAnsi="Times New Roman" w:cs="Times New Roman"/>
    </w:rPr>
  </w:style>
  <w:style w:type="paragraph" w:styleId="17">
    <w:name w:val="toc 3"/>
    <w:basedOn w:val="1"/>
    <w:next w:val="1"/>
    <w:qFormat/>
    <w:uiPriority w:val="39"/>
    <w:pPr>
      <w:ind w:left="840" w:leftChars="400"/>
    </w:pPr>
  </w:style>
  <w:style w:type="paragraph" w:styleId="18">
    <w:name w:val="Plain Text"/>
    <w:basedOn w:val="1"/>
    <w:link w:val="60"/>
    <w:qFormat/>
    <w:uiPriority w:val="99"/>
    <w:rPr>
      <w:rFonts w:ascii="宋体" w:hAnsi="Courier New" w:cs="宋体"/>
    </w:rPr>
  </w:style>
  <w:style w:type="paragraph" w:styleId="19">
    <w:name w:val="Date"/>
    <w:basedOn w:val="1"/>
    <w:next w:val="1"/>
    <w:link w:val="61"/>
    <w:qFormat/>
    <w:uiPriority w:val="99"/>
    <w:rPr>
      <w:rFonts w:ascii="宋体" w:hAnsi="Courier New" w:cs="宋体"/>
      <w:sz w:val="32"/>
      <w:szCs w:val="32"/>
    </w:rPr>
  </w:style>
  <w:style w:type="paragraph" w:styleId="20">
    <w:name w:val="Body Text Indent 2"/>
    <w:basedOn w:val="1"/>
    <w:link w:val="62"/>
    <w:qFormat/>
    <w:uiPriority w:val="99"/>
    <w:pPr>
      <w:spacing w:line="500" w:lineRule="exact"/>
      <w:ind w:left="397" w:firstLine="539"/>
    </w:pPr>
    <w:rPr>
      <w:rFonts w:ascii="宋体" w:hAnsi="华文中宋" w:cs="宋体"/>
      <w:sz w:val="26"/>
      <w:szCs w:val="26"/>
    </w:rPr>
  </w:style>
  <w:style w:type="paragraph" w:styleId="21">
    <w:name w:val="Balloon Text"/>
    <w:basedOn w:val="1"/>
    <w:link w:val="63"/>
    <w:semiHidden/>
    <w:qFormat/>
    <w:uiPriority w:val="99"/>
    <w:rPr>
      <w:rFonts w:ascii="Times New Roman" w:hAnsi="Times New Roman" w:cs="Times New Roman"/>
      <w:sz w:val="18"/>
      <w:szCs w:val="18"/>
    </w:rPr>
  </w:style>
  <w:style w:type="paragraph" w:styleId="22">
    <w:name w:val="footer"/>
    <w:basedOn w:val="1"/>
    <w:link w:val="64"/>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5"/>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qFormat/>
    <w:uiPriority w:val="3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6"/>
    <w:qFormat/>
    <w:uiPriority w:val="99"/>
    <w:pPr>
      <w:spacing w:before="240" w:after="60" w:line="312" w:lineRule="auto"/>
      <w:jc w:val="center"/>
      <w:outlineLvl w:val="1"/>
    </w:pPr>
    <w:rPr>
      <w:rFonts w:ascii="Cambria" w:hAnsi="Cambria" w:cs="Cambria"/>
      <w:b/>
      <w:bCs/>
      <w:kern w:val="28"/>
      <w:sz w:val="32"/>
      <w:szCs w:val="32"/>
    </w:rPr>
  </w:style>
  <w:style w:type="paragraph" w:styleId="29">
    <w:name w:val="Body Text Indent 3"/>
    <w:basedOn w:val="1"/>
    <w:link w:val="67"/>
    <w:semiHidden/>
    <w:unhideWhenUsed/>
    <w:qFormat/>
    <w:locked/>
    <w:uiPriority w:val="99"/>
    <w:pPr>
      <w:spacing w:after="120"/>
      <w:ind w:left="420" w:leftChars="200"/>
    </w:pPr>
    <w:rPr>
      <w:sz w:val="16"/>
      <w:szCs w:val="16"/>
    </w:rPr>
  </w:style>
  <w:style w:type="paragraph" w:styleId="30">
    <w:name w:val="toc 2"/>
    <w:basedOn w:val="1"/>
    <w:next w:val="1"/>
    <w:qFormat/>
    <w:uiPriority w:val="39"/>
    <w:pPr>
      <w:tabs>
        <w:tab w:val="right" w:leader="dot" w:pos="8296"/>
      </w:tabs>
      <w:spacing w:line="440" w:lineRule="exact"/>
      <w:ind w:firstLine="181" w:firstLineChars="75"/>
      <w:jc w:val="center"/>
    </w:pPr>
    <w:rPr>
      <w:rFonts w:ascii="宋体" w:hAnsi="宋体" w:cs="宋体"/>
      <w:b/>
      <w:bCs/>
      <w:smallCaps/>
      <w:sz w:val="24"/>
      <w:szCs w:val="24"/>
    </w:rPr>
  </w:style>
  <w:style w:type="paragraph" w:styleId="31">
    <w:name w:val="Body Text 2"/>
    <w:basedOn w:val="1"/>
    <w:link w:val="68"/>
    <w:qFormat/>
    <w:uiPriority w:val="99"/>
    <w:pPr>
      <w:spacing w:line="360" w:lineRule="auto"/>
    </w:pPr>
    <w:rPr>
      <w:rFonts w:ascii="宋体" w:hAnsi="宋体" w:cs="宋体"/>
      <w:color w:val="000000"/>
      <w:sz w:val="24"/>
      <w:szCs w:val="24"/>
    </w:rPr>
  </w:style>
  <w:style w:type="paragraph" w:styleId="32">
    <w:name w:val="HTML Preformatted"/>
    <w:basedOn w:val="1"/>
    <w:link w:val="6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4">
    <w:name w:val="Title"/>
    <w:basedOn w:val="1"/>
    <w:next w:val="1"/>
    <w:link w:val="70"/>
    <w:qFormat/>
    <w:uiPriority w:val="99"/>
    <w:pPr>
      <w:spacing w:before="240" w:after="60"/>
      <w:jc w:val="center"/>
      <w:outlineLvl w:val="0"/>
    </w:pPr>
    <w:rPr>
      <w:rFonts w:ascii="Arial" w:hAnsi="Arial" w:eastAsia="隶书" w:cs="Arial"/>
      <w:b/>
      <w:bCs/>
      <w:sz w:val="32"/>
      <w:szCs w:val="32"/>
    </w:rPr>
  </w:style>
  <w:style w:type="paragraph" w:styleId="35">
    <w:name w:val="annotation subject"/>
    <w:basedOn w:val="12"/>
    <w:next w:val="12"/>
    <w:link w:val="71"/>
    <w:semiHidden/>
    <w:qFormat/>
    <w:uiPriority w:val="99"/>
    <w:rPr>
      <w:b/>
      <w:bCs/>
    </w:rPr>
  </w:style>
  <w:style w:type="paragraph" w:styleId="36">
    <w:name w:val="Body Text First Indent"/>
    <w:basedOn w:val="1"/>
    <w:link w:val="47"/>
    <w:qFormat/>
    <w:uiPriority w:val="99"/>
    <w:pPr>
      <w:ind w:firstLine="420" w:firstLineChars="100"/>
    </w:p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99"/>
    <w:rPr>
      <w:b/>
      <w:bCs/>
    </w:rPr>
  </w:style>
  <w:style w:type="character" w:styleId="41">
    <w:name w:val="page number"/>
    <w:qFormat/>
    <w:uiPriority w:val="0"/>
    <w:rPr>
      <w:rFonts w:ascii="Arial" w:hAnsi="Arial" w:cs="Arial"/>
      <w:sz w:val="18"/>
      <w:szCs w:val="18"/>
    </w:rPr>
  </w:style>
  <w:style w:type="character" w:styleId="42">
    <w:name w:val="FollowedHyperlink"/>
    <w:qFormat/>
    <w:uiPriority w:val="99"/>
    <w:rPr>
      <w:color w:val="800080"/>
      <w:u w:val="single"/>
    </w:rPr>
  </w:style>
  <w:style w:type="character" w:styleId="43">
    <w:name w:val="Emphasis"/>
    <w:qFormat/>
    <w:uiPriority w:val="99"/>
    <w:rPr>
      <w:color w:val="auto"/>
    </w:rPr>
  </w:style>
  <w:style w:type="character" w:styleId="44">
    <w:name w:val="Hyperlink"/>
    <w:qFormat/>
    <w:uiPriority w:val="99"/>
    <w:rPr>
      <w:color w:val="0000FF"/>
      <w:u w:val="single"/>
    </w:rPr>
  </w:style>
  <w:style w:type="character" w:styleId="45">
    <w:name w:val="annotation reference"/>
    <w:semiHidden/>
    <w:qFormat/>
    <w:uiPriority w:val="99"/>
    <w:rPr>
      <w:sz w:val="21"/>
      <w:szCs w:val="21"/>
    </w:rPr>
  </w:style>
  <w:style w:type="character" w:styleId="46">
    <w:name w:val="HTML Cite"/>
    <w:qFormat/>
    <w:uiPriority w:val="99"/>
    <w:rPr>
      <w:color w:val="008000"/>
    </w:rPr>
  </w:style>
  <w:style w:type="character" w:customStyle="1" w:styleId="47">
    <w:name w:val="正文首行缩进 Char"/>
    <w:link w:val="36"/>
    <w:semiHidden/>
    <w:qFormat/>
    <w:uiPriority w:val="99"/>
    <w:rPr>
      <w:rFonts w:ascii="Calibri" w:hAnsi="Calibri" w:eastAsia="宋体" w:cs="Calibri"/>
      <w:kern w:val="2"/>
      <w:sz w:val="24"/>
      <w:szCs w:val="21"/>
      <w:lang w:val="en-US" w:eastAsia="zh-CN"/>
    </w:rPr>
  </w:style>
  <w:style w:type="character" w:customStyle="1" w:styleId="48">
    <w:name w:val="标题 1 Char"/>
    <w:link w:val="3"/>
    <w:qFormat/>
    <w:locked/>
    <w:uiPriority w:val="99"/>
    <w:rPr>
      <w:b/>
      <w:bCs/>
      <w:kern w:val="44"/>
      <w:sz w:val="44"/>
      <w:szCs w:val="44"/>
    </w:rPr>
  </w:style>
  <w:style w:type="character" w:customStyle="1" w:styleId="49">
    <w:name w:val="标题 2 Char"/>
    <w:link w:val="4"/>
    <w:qFormat/>
    <w:locked/>
    <w:uiPriority w:val="99"/>
    <w:rPr>
      <w:rFonts w:ascii="Arial" w:hAnsi="Arial" w:eastAsia="黑体" w:cs="Arial"/>
      <w:b/>
      <w:bCs/>
      <w:kern w:val="2"/>
      <w:sz w:val="32"/>
      <w:szCs w:val="32"/>
      <w:lang w:val="en-US" w:eastAsia="zh-CN"/>
    </w:rPr>
  </w:style>
  <w:style w:type="character" w:customStyle="1" w:styleId="50">
    <w:name w:val="标题 3 Char"/>
    <w:link w:val="5"/>
    <w:semiHidden/>
    <w:qFormat/>
    <w:uiPriority w:val="9"/>
    <w:rPr>
      <w:rFonts w:ascii="Calibri" w:hAnsi="Calibri" w:cs="Calibri"/>
      <w:b/>
      <w:bCs/>
      <w:sz w:val="32"/>
      <w:szCs w:val="32"/>
    </w:rPr>
  </w:style>
  <w:style w:type="character" w:customStyle="1" w:styleId="51">
    <w:name w:val="标题 4 Char"/>
    <w:link w:val="6"/>
    <w:qFormat/>
    <w:locked/>
    <w:uiPriority w:val="99"/>
    <w:rPr>
      <w:rFonts w:ascii="Arial" w:hAnsi="Arial" w:eastAsia="黑体" w:cs="Arial"/>
      <w:b/>
      <w:bCs/>
      <w:kern w:val="2"/>
      <w:sz w:val="28"/>
      <w:szCs w:val="28"/>
      <w:lang w:val="en-US" w:eastAsia="zh-CN"/>
    </w:rPr>
  </w:style>
  <w:style w:type="character" w:customStyle="1" w:styleId="52">
    <w:name w:val="标题 6 Char"/>
    <w:link w:val="7"/>
    <w:qFormat/>
    <w:locked/>
    <w:uiPriority w:val="99"/>
    <w:rPr>
      <w:rFonts w:ascii="Cambria" w:hAnsi="Cambria" w:eastAsia="宋体" w:cs="Cambria"/>
      <w:b/>
      <w:bCs/>
      <w:kern w:val="2"/>
      <w:sz w:val="24"/>
      <w:szCs w:val="24"/>
      <w:lang w:val="en-US" w:eastAsia="zh-CN"/>
    </w:rPr>
  </w:style>
  <w:style w:type="character" w:customStyle="1" w:styleId="53">
    <w:name w:val="正文缩进 Char"/>
    <w:link w:val="9"/>
    <w:qFormat/>
    <w:uiPriority w:val="99"/>
    <w:rPr>
      <w:rFonts w:ascii="Calibri" w:hAnsi="Calibri" w:cs="Calibri"/>
      <w:kern w:val="2"/>
      <w:sz w:val="21"/>
      <w:szCs w:val="21"/>
    </w:rPr>
  </w:style>
  <w:style w:type="character" w:customStyle="1" w:styleId="54">
    <w:name w:val="文档结构图 Char"/>
    <w:link w:val="11"/>
    <w:semiHidden/>
    <w:qFormat/>
    <w:uiPriority w:val="99"/>
    <w:rPr>
      <w:rFonts w:cs="Calibri"/>
      <w:sz w:val="0"/>
      <w:szCs w:val="0"/>
    </w:rPr>
  </w:style>
  <w:style w:type="character" w:customStyle="1" w:styleId="55">
    <w:name w:val="批注文字 Char1"/>
    <w:link w:val="12"/>
    <w:qFormat/>
    <w:locked/>
    <w:uiPriority w:val="99"/>
    <w:rPr>
      <w:rFonts w:eastAsia="宋体"/>
      <w:kern w:val="2"/>
      <w:sz w:val="24"/>
      <w:szCs w:val="24"/>
      <w:lang w:val="en-US" w:eastAsia="zh-CN"/>
    </w:rPr>
  </w:style>
  <w:style w:type="character" w:customStyle="1" w:styleId="56">
    <w:name w:val="正文文本 3 Char"/>
    <w:link w:val="13"/>
    <w:semiHidden/>
    <w:qFormat/>
    <w:uiPriority w:val="99"/>
    <w:rPr>
      <w:rFonts w:ascii="Calibri" w:hAnsi="Calibri" w:cs="Calibri"/>
      <w:sz w:val="16"/>
      <w:szCs w:val="16"/>
    </w:rPr>
  </w:style>
  <w:style w:type="character" w:customStyle="1" w:styleId="57">
    <w:name w:val="结束语 Char"/>
    <w:link w:val="14"/>
    <w:semiHidden/>
    <w:qFormat/>
    <w:uiPriority w:val="99"/>
    <w:rPr>
      <w:rFonts w:ascii="Calibri" w:hAnsi="Calibri" w:cs="Calibri"/>
      <w:szCs w:val="21"/>
    </w:rPr>
  </w:style>
  <w:style w:type="character" w:customStyle="1" w:styleId="58">
    <w:name w:val="正文文本 Char"/>
    <w:link w:val="15"/>
    <w:qFormat/>
    <w:locked/>
    <w:uiPriority w:val="99"/>
    <w:rPr>
      <w:rFonts w:eastAsia="宋体"/>
      <w:kern w:val="2"/>
      <w:sz w:val="24"/>
      <w:szCs w:val="24"/>
      <w:lang w:val="en-US" w:eastAsia="zh-CN"/>
    </w:rPr>
  </w:style>
  <w:style w:type="character" w:customStyle="1" w:styleId="59">
    <w:name w:val="正文文本缩进 Char"/>
    <w:link w:val="16"/>
    <w:qFormat/>
    <w:locked/>
    <w:uiPriority w:val="99"/>
    <w:rPr>
      <w:rFonts w:eastAsia="宋体"/>
      <w:kern w:val="2"/>
      <w:sz w:val="24"/>
      <w:szCs w:val="24"/>
      <w:lang w:val="en-US" w:eastAsia="zh-CN"/>
    </w:rPr>
  </w:style>
  <w:style w:type="character" w:customStyle="1" w:styleId="60">
    <w:name w:val="纯文本 Char1"/>
    <w:link w:val="18"/>
    <w:semiHidden/>
    <w:qFormat/>
    <w:uiPriority w:val="99"/>
    <w:rPr>
      <w:rFonts w:ascii="宋体" w:hAnsi="Courier New" w:cs="Courier New"/>
      <w:szCs w:val="21"/>
    </w:rPr>
  </w:style>
  <w:style w:type="character" w:customStyle="1" w:styleId="61">
    <w:name w:val="日期 Char"/>
    <w:link w:val="19"/>
    <w:semiHidden/>
    <w:qFormat/>
    <w:uiPriority w:val="99"/>
    <w:rPr>
      <w:rFonts w:ascii="Calibri" w:hAnsi="Calibri" w:cs="Calibri"/>
      <w:szCs w:val="21"/>
    </w:rPr>
  </w:style>
  <w:style w:type="character" w:customStyle="1" w:styleId="62">
    <w:name w:val="正文文本缩进 2 Char"/>
    <w:link w:val="20"/>
    <w:qFormat/>
    <w:locked/>
    <w:uiPriority w:val="99"/>
    <w:rPr>
      <w:rFonts w:ascii="宋体" w:hAnsi="华文中宋" w:eastAsia="宋体" w:cs="宋体"/>
      <w:kern w:val="2"/>
      <w:sz w:val="26"/>
      <w:szCs w:val="26"/>
      <w:lang w:val="en-US" w:eastAsia="zh-CN"/>
    </w:rPr>
  </w:style>
  <w:style w:type="character" w:customStyle="1" w:styleId="63">
    <w:name w:val="批注框文本 Char1"/>
    <w:link w:val="21"/>
    <w:qFormat/>
    <w:locked/>
    <w:uiPriority w:val="99"/>
    <w:rPr>
      <w:rFonts w:eastAsia="宋体"/>
      <w:kern w:val="2"/>
      <w:sz w:val="18"/>
      <w:szCs w:val="18"/>
      <w:lang w:val="en-US" w:eastAsia="zh-CN"/>
    </w:rPr>
  </w:style>
  <w:style w:type="character" w:customStyle="1" w:styleId="64">
    <w:name w:val="页脚 Char1"/>
    <w:link w:val="22"/>
    <w:qFormat/>
    <w:locked/>
    <w:uiPriority w:val="99"/>
    <w:rPr>
      <w:rFonts w:eastAsia="宋体"/>
      <w:kern w:val="2"/>
      <w:sz w:val="18"/>
      <w:szCs w:val="18"/>
      <w:lang w:val="en-US" w:eastAsia="zh-CN"/>
    </w:rPr>
  </w:style>
  <w:style w:type="character" w:customStyle="1" w:styleId="65">
    <w:name w:val="页眉 Char1"/>
    <w:link w:val="23"/>
    <w:qFormat/>
    <w:locked/>
    <w:uiPriority w:val="99"/>
    <w:rPr>
      <w:rFonts w:eastAsia="宋体"/>
      <w:kern w:val="2"/>
      <w:sz w:val="18"/>
      <w:szCs w:val="18"/>
      <w:lang w:val="en-US" w:eastAsia="zh-CN"/>
    </w:rPr>
  </w:style>
  <w:style w:type="character" w:customStyle="1" w:styleId="66">
    <w:name w:val="副标题 Char"/>
    <w:link w:val="28"/>
    <w:qFormat/>
    <w:uiPriority w:val="11"/>
    <w:rPr>
      <w:rFonts w:ascii="Cambria" w:hAnsi="Cambria" w:cs="Times New Roman"/>
      <w:b/>
      <w:bCs/>
      <w:kern w:val="28"/>
      <w:sz w:val="32"/>
      <w:szCs w:val="32"/>
    </w:rPr>
  </w:style>
  <w:style w:type="character" w:customStyle="1" w:styleId="67">
    <w:name w:val="正文文本缩进 3 Char"/>
    <w:basedOn w:val="39"/>
    <w:link w:val="29"/>
    <w:semiHidden/>
    <w:qFormat/>
    <w:uiPriority w:val="99"/>
    <w:rPr>
      <w:rFonts w:ascii="Calibri" w:hAnsi="Calibri" w:cs="Calibri"/>
      <w:kern w:val="2"/>
      <w:sz w:val="16"/>
      <w:szCs w:val="16"/>
    </w:rPr>
  </w:style>
  <w:style w:type="character" w:customStyle="1" w:styleId="68">
    <w:name w:val="正文文本 2 Char"/>
    <w:link w:val="31"/>
    <w:qFormat/>
    <w:locked/>
    <w:uiPriority w:val="99"/>
    <w:rPr>
      <w:rFonts w:ascii="宋体" w:hAnsi="宋体" w:eastAsia="宋体" w:cs="宋体"/>
      <w:color w:val="000000"/>
      <w:kern w:val="2"/>
      <w:sz w:val="24"/>
      <w:szCs w:val="24"/>
      <w:lang w:val="en-US" w:eastAsia="zh-CN"/>
    </w:rPr>
  </w:style>
  <w:style w:type="character" w:customStyle="1" w:styleId="69">
    <w:name w:val="HTML 预设格式 Char"/>
    <w:link w:val="32"/>
    <w:semiHidden/>
    <w:qFormat/>
    <w:uiPriority w:val="99"/>
    <w:rPr>
      <w:rFonts w:ascii="Courier New" w:hAnsi="Courier New" w:cs="Courier New"/>
      <w:sz w:val="20"/>
      <w:szCs w:val="20"/>
    </w:rPr>
  </w:style>
  <w:style w:type="character" w:customStyle="1" w:styleId="70">
    <w:name w:val="标题 Char"/>
    <w:link w:val="34"/>
    <w:qFormat/>
    <w:uiPriority w:val="10"/>
    <w:rPr>
      <w:rFonts w:ascii="Cambria" w:hAnsi="Cambria" w:cs="Times New Roman"/>
      <w:b/>
      <w:bCs/>
      <w:sz w:val="32"/>
      <w:szCs w:val="32"/>
    </w:rPr>
  </w:style>
  <w:style w:type="character" w:customStyle="1" w:styleId="71">
    <w:name w:val="批注主题 Char"/>
    <w:link w:val="35"/>
    <w:qFormat/>
    <w:locked/>
    <w:uiPriority w:val="99"/>
    <w:rPr>
      <w:rFonts w:eastAsia="宋体"/>
      <w:b/>
      <w:bCs/>
      <w:kern w:val="2"/>
      <w:sz w:val="24"/>
      <w:szCs w:val="24"/>
      <w:lang w:val="en-US" w:eastAsia="zh-CN"/>
    </w:rPr>
  </w:style>
  <w:style w:type="character" w:customStyle="1" w:styleId="72">
    <w:name w:val="font71"/>
    <w:qFormat/>
    <w:uiPriority w:val="99"/>
    <w:rPr>
      <w:rFonts w:ascii="宋体" w:hAnsi="宋体" w:eastAsia="宋体" w:cs="宋体"/>
      <w:color w:val="000000"/>
      <w:sz w:val="28"/>
      <w:szCs w:val="28"/>
      <w:u w:val="none"/>
    </w:rPr>
  </w:style>
  <w:style w:type="character" w:customStyle="1" w:styleId="73">
    <w:name w:val="Font Style17"/>
    <w:qFormat/>
    <w:uiPriority w:val="99"/>
    <w:rPr>
      <w:rFonts w:ascii="黑体" w:eastAsia="黑体" w:cs="黑体"/>
      <w:sz w:val="28"/>
      <w:szCs w:val="28"/>
    </w:rPr>
  </w:style>
  <w:style w:type="character" w:customStyle="1" w:styleId="74">
    <w:name w:val="font41"/>
    <w:qFormat/>
    <w:uiPriority w:val="99"/>
    <w:rPr>
      <w:rFonts w:ascii="Times New Roman" w:hAnsi="Times New Roman" w:cs="Times New Roman"/>
      <w:color w:val="000000"/>
      <w:sz w:val="28"/>
      <w:szCs w:val="28"/>
      <w:u w:val="none"/>
    </w:rPr>
  </w:style>
  <w:style w:type="character" w:customStyle="1" w:styleId="75">
    <w:name w:val="font51"/>
    <w:qFormat/>
    <w:uiPriority w:val="99"/>
    <w:rPr>
      <w:rFonts w:ascii="Times New Roman" w:hAnsi="Times New Roman" w:cs="Times New Roman"/>
      <w:color w:val="000000"/>
      <w:sz w:val="28"/>
      <w:szCs w:val="28"/>
      <w:u w:val="none"/>
    </w:rPr>
  </w:style>
  <w:style w:type="character" w:customStyle="1" w:styleId="76">
    <w:name w:val="font81"/>
    <w:qFormat/>
    <w:uiPriority w:val="99"/>
    <w:rPr>
      <w:rFonts w:ascii="仿宋_GB2312" w:eastAsia="仿宋_GB2312" w:cs="仿宋_GB2312"/>
      <w:color w:val="000000"/>
      <w:sz w:val="28"/>
      <w:szCs w:val="28"/>
      <w:u w:val="none"/>
    </w:rPr>
  </w:style>
  <w:style w:type="character" w:customStyle="1" w:styleId="77">
    <w:name w:val="标题 3 Char1"/>
    <w:qFormat/>
    <w:uiPriority w:val="99"/>
    <w:rPr>
      <w:rFonts w:eastAsia="宋体"/>
      <w:b/>
      <w:bCs/>
      <w:kern w:val="2"/>
      <w:sz w:val="32"/>
      <w:szCs w:val="32"/>
      <w:lang w:val="en-US" w:eastAsia="zh-CN"/>
    </w:rPr>
  </w:style>
  <w:style w:type="character" w:customStyle="1" w:styleId="78">
    <w:name w:val="标题 3 Char Char"/>
    <w:qFormat/>
    <w:uiPriority w:val="99"/>
    <w:rPr>
      <w:rFonts w:ascii="黑体" w:eastAsia="黑体" w:cs="黑体"/>
      <w:sz w:val="30"/>
      <w:szCs w:val="30"/>
    </w:rPr>
  </w:style>
  <w:style w:type="character" w:customStyle="1" w:styleId="79">
    <w:name w:val="样式 小五"/>
    <w:qFormat/>
    <w:uiPriority w:val="99"/>
    <w:rPr>
      <w:rFonts w:eastAsia="仿宋_GB2312"/>
      <w:sz w:val="18"/>
      <w:szCs w:val="18"/>
    </w:rPr>
  </w:style>
  <w:style w:type="character" w:customStyle="1" w:styleId="80">
    <w:name w:val="批注框文本 Char"/>
    <w:qFormat/>
    <w:uiPriority w:val="99"/>
    <w:rPr>
      <w:rFonts w:ascii="Times New Roman" w:hAnsi="Times New Roman" w:eastAsia="宋体" w:cs="Times New Roman"/>
      <w:sz w:val="18"/>
      <w:szCs w:val="18"/>
    </w:rPr>
  </w:style>
  <w:style w:type="character" w:customStyle="1" w:styleId="81">
    <w:name w:val="font101"/>
    <w:qFormat/>
    <w:uiPriority w:val="99"/>
    <w:rPr>
      <w:rFonts w:ascii="宋体" w:hAnsi="宋体" w:eastAsia="宋体" w:cs="宋体"/>
      <w:color w:val="000000"/>
      <w:sz w:val="28"/>
      <w:szCs w:val="28"/>
      <w:u w:val="none"/>
    </w:rPr>
  </w:style>
  <w:style w:type="character" w:customStyle="1" w:styleId="82">
    <w:name w:val="样式 普通(网站) + 小五 Char Char"/>
    <w:link w:val="83"/>
    <w:qFormat/>
    <w:locked/>
    <w:uiPriority w:val="99"/>
    <w:rPr>
      <w:rFonts w:ascii="Arial Unicode MS" w:hAnsi="Arial Unicode MS" w:eastAsia="仿宋_GB2312" w:cs="Arial Unicode MS"/>
      <w:sz w:val="24"/>
      <w:szCs w:val="24"/>
      <w:lang w:val="en-US" w:eastAsia="zh-CN"/>
    </w:rPr>
  </w:style>
  <w:style w:type="paragraph" w:customStyle="1" w:styleId="83">
    <w:name w:val="样式 普通(网站) + 小五"/>
    <w:basedOn w:val="33"/>
    <w:link w:val="82"/>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4">
    <w:name w:val="保留正文"/>
    <w:basedOn w:val="15"/>
    <w:qFormat/>
    <w:uiPriority w:val="99"/>
    <w:pPr>
      <w:keepNext/>
      <w:spacing w:after="160"/>
    </w:pPr>
  </w:style>
  <w:style w:type="paragraph" w:customStyle="1" w:styleId="85">
    <w:name w:val="题注4"/>
    <w:basedOn w:val="1"/>
    <w:next w:val="10"/>
    <w:qFormat/>
    <w:uiPriority w:val="99"/>
    <w:pPr>
      <w:ind w:left="-132" w:leftChars="-64" w:right="-105" w:rightChars="-50" w:hanging="2"/>
      <w:jc w:val="center"/>
    </w:pPr>
    <w:rPr>
      <w:b/>
      <w:bCs/>
      <w:color w:val="FF0000"/>
      <w:lang w:val="en-GB"/>
    </w:rPr>
  </w:style>
  <w:style w:type="paragraph" w:customStyle="1" w:styleId="86">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7">
    <w:name w:val="标题3"/>
    <w:basedOn w:val="5"/>
    <w:qFormat/>
    <w:uiPriority w:val="99"/>
    <w:pPr>
      <w:tabs>
        <w:tab w:val="left" w:pos="8640"/>
      </w:tabs>
      <w:adjustRightInd w:val="0"/>
      <w:jc w:val="left"/>
      <w:textAlignment w:val="baseline"/>
    </w:pPr>
    <w:rPr>
      <w:rFonts w:hAnsi="宋体"/>
      <w:sz w:val="32"/>
      <w:szCs w:val="32"/>
    </w:rPr>
  </w:style>
  <w:style w:type="paragraph" w:customStyle="1" w:styleId="88">
    <w:name w:val="页脚 New"/>
    <w:basedOn w:val="89"/>
    <w:qFormat/>
    <w:uiPriority w:val="99"/>
    <w:pPr>
      <w:widowControl/>
      <w:tabs>
        <w:tab w:val="center" w:pos="4153"/>
        <w:tab w:val="right" w:pos="8306"/>
      </w:tabs>
      <w:snapToGrid w:val="0"/>
      <w:jc w:val="left"/>
    </w:pPr>
    <w:rPr>
      <w:sz w:val="18"/>
      <w:szCs w:val="18"/>
    </w:rPr>
  </w:style>
  <w:style w:type="paragraph" w:customStyle="1" w:styleId="89">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0">
    <w:name w:val="Char1"/>
    <w:basedOn w:val="1"/>
    <w:qFormat/>
    <w:uiPriority w:val="99"/>
    <w:pPr>
      <w:widowControl/>
      <w:spacing w:before="100" w:beforeAutospacing="1" w:after="100" w:afterAutospacing="1" w:line="330" w:lineRule="atLeast"/>
      <w:ind w:left="360"/>
      <w:jc w:val="left"/>
    </w:pPr>
  </w:style>
  <w:style w:type="paragraph" w:customStyle="1" w:styleId="91">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2">
    <w:name w:val="修订1"/>
    <w:qFormat/>
    <w:uiPriority w:val="99"/>
    <w:rPr>
      <w:rFonts w:ascii="Calibri" w:hAnsi="Calibri" w:eastAsia="宋体" w:cs="Calibri"/>
      <w:kern w:val="2"/>
      <w:sz w:val="21"/>
      <w:szCs w:val="21"/>
      <w:lang w:val="en-US" w:eastAsia="zh-CN" w:bidi="ar-SA"/>
    </w:rPr>
  </w:style>
  <w:style w:type="paragraph" w:customStyle="1" w:styleId="93">
    <w:name w:val="题注5"/>
    <w:basedOn w:val="1"/>
    <w:next w:val="10"/>
    <w:qFormat/>
    <w:uiPriority w:val="99"/>
    <w:pPr>
      <w:jc w:val="center"/>
    </w:pPr>
    <w:rPr>
      <w:b/>
      <w:bCs/>
      <w:color w:val="000000"/>
      <w:sz w:val="24"/>
      <w:szCs w:val="24"/>
    </w:rPr>
  </w:style>
  <w:style w:type="paragraph" w:customStyle="1" w:styleId="94">
    <w:name w:val="列出段落1"/>
    <w:basedOn w:val="1"/>
    <w:qFormat/>
    <w:uiPriority w:val="99"/>
    <w:pPr>
      <w:widowControl/>
      <w:ind w:left="720"/>
      <w:jc w:val="left"/>
    </w:pPr>
    <w:rPr>
      <w:i/>
      <w:iCs/>
      <w:kern w:val="0"/>
      <w:sz w:val="20"/>
      <w:szCs w:val="20"/>
    </w:rPr>
  </w:style>
  <w:style w:type="paragraph" w:customStyle="1" w:styleId="95">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6">
    <w:name w:val="_Style 1"/>
    <w:basedOn w:val="1"/>
    <w:qFormat/>
    <w:uiPriority w:val="99"/>
    <w:pPr>
      <w:ind w:firstLine="420" w:firstLineChars="200"/>
    </w:pPr>
  </w:style>
  <w:style w:type="paragraph" w:customStyle="1" w:styleId="97">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8">
    <w:name w:val="Char Char Char Char"/>
    <w:basedOn w:val="1"/>
    <w:qFormat/>
    <w:uiPriority w:val="99"/>
    <w:rPr>
      <w:rFonts w:ascii="Tahoma" w:hAnsi="Tahoma" w:cs="Tahoma"/>
      <w:sz w:val="24"/>
      <w:szCs w:val="24"/>
    </w:rPr>
  </w:style>
  <w:style w:type="paragraph" w:customStyle="1" w:styleId="99">
    <w:name w:val="Char Char2 Char"/>
    <w:basedOn w:val="1"/>
    <w:qFormat/>
    <w:uiPriority w:val="99"/>
    <w:rPr>
      <w:rFonts w:ascii="宋体" w:hAnsi="宋体" w:cs="宋体"/>
      <w:b/>
      <w:bCs/>
      <w:sz w:val="28"/>
      <w:szCs w:val="28"/>
    </w:rPr>
  </w:style>
  <w:style w:type="paragraph" w:customStyle="1" w:styleId="100">
    <w:name w:val="正文缩入"/>
    <w:basedOn w:val="1"/>
    <w:qFormat/>
    <w:uiPriority w:val="99"/>
    <w:pPr>
      <w:spacing w:after="120"/>
      <w:ind w:firstLine="504"/>
    </w:pPr>
    <w:rPr>
      <w:sz w:val="24"/>
      <w:szCs w:val="24"/>
    </w:rPr>
  </w:style>
  <w:style w:type="paragraph" w:styleId="101">
    <w:name w:val="List Paragraph"/>
    <w:basedOn w:val="1"/>
    <w:qFormat/>
    <w:uiPriority w:val="34"/>
    <w:pPr>
      <w:ind w:firstLine="420" w:firstLineChars="200"/>
    </w:pPr>
  </w:style>
  <w:style w:type="paragraph" w:customStyle="1" w:styleId="102">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103">
    <w:name w:val="填表"/>
    <w:qFormat/>
    <w:uiPriority w:val="99"/>
    <w:rPr>
      <w:rFonts w:ascii="Calibri" w:hAnsi="Calibri" w:eastAsia="宋体" w:cs="Calibri"/>
      <w:kern w:val="2"/>
      <w:sz w:val="18"/>
      <w:szCs w:val="18"/>
      <w:lang w:val="en-US" w:eastAsia="zh-CN" w:bidi="ar-SA"/>
    </w:rPr>
  </w:style>
  <w:style w:type="paragraph" w:customStyle="1" w:styleId="104">
    <w:name w:val="表格文字"/>
    <w:basedOn w:val="1"/>
    <w:next w:val="15"/>
    <w:qFormat/>
    <w:uiPriority w:val="99"/>
    <w:pPr>
      <w:spacing w:before="25" w:after="25"/>
      <w:jc w:val="left"/>
    </w:pPr>
    <w:rPr>
      <w:spacing w:val="10"/>
      <w:kern w:val="0"/>
      <w:sz w:val="24"/>
      <w:szCs w:val="24"/>
    </w:rPr>
  </w:style>
  <w:style w:type="paragraph" w:customStyle="1" w:styleId="105">
    <w:name w:val="_Style 55"/>
    <w:basedOn w:val="1"/>
    <w:qFormat/>
    <w:uiPriority w:val="99"/>
    <w:pPr>
      <w:widowControl/>
      <w:spacing w:after="160" w:line="240" w:lineRule="exact"/>
      <w:jc w:val="left"/>
    </w:pPr>
  </w:style>
  <w:style w:type="paragraph" w:customStyle="1" w:styleId="106">
    <w:name w:val="正文文本缩进 21"/>
    <w:basedOn w:val="1"/>
    <w:qFormat/>
    <w:uiPriority w:val="99"/>
    <w:pPr>
      <w:spacing w:after="120" w:line="480" w:lineRule="auto"/>
      <w:ind w:left="420" w:leftChars="200"/>
    </w:pPr>
  </w:style>
  <w:style w:type="paragraph" w:customStyle="1" w:styleId="107">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8">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9">
    <w:name w:val="Char Char Char Char1"/>
    <w:basedOn w:val="1"/>
    <w:qFormat/>
    <w:uiPriority w:val="99"/>
    <w:rPr>
      <w:rFonts w:ascii="Tahoma" w:hAnsi="Tahoma" w:cs="Tahoma"/>
      <w:sz w:val="24"/>
      <w:szCs w:val="24"/>
    </w:rPr>
  </w:style>
  <w:style w:type="paragraph" w:customStyle="1" w:styleId="110">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1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12">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13">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4">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5">
    <w:name w:val="_正文"/>
    <w:basedOn w:val="1"/>
    <w:qFormat/>
    <w:uiPriority w:val="99"/>
    <w:pPr>
      <w:spacing w:line="360" w:lineRule="auto"/>
      <w:ind w:firstLine="200" w:firstLineChars="200"/>
    </w:pPr>
    <w:rPr>
      <w:rFonts w:ascii="宋体" w:hAnsi="宋体" w:cs="宋体"/>
      <w:sz w:val="24"/>
      <w:szCs w:val="24"/>
    </w:rPr>
  </w:style>
  <w:style w:type="paragraph" w:customStyle="1" w:styleId="116">
    <w:name w:val="1"/>
    <w:basedOn w:val="1"/>
    <w:next w:val="18"/>
    <w:qFormat/>
    <w:uiPriority w:val="99"/>
    <w:rPr>
      <w:rFonts w:ascii="宋体" w:hAnsi="Courier New" w:cs="宋体"/>
    </w:rPr>
  </w:style>
  <w:style w:type="paragraph" w:customStyle="1" w:styleId="117">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9">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20">
    <w:name w:val="列出段落11"/>
    <w:basedOn w:val="1"/>
    <w:qFormat/>
    <w:uiPriority w:val="99"/>
    <w:pPr>
      <w:ind w:firstLine="420" w:firstLineChars="200"/>
    </w:pPr>
  </w:style>
  <w:style w:type="paragraph" w:customStyle="1" w:styleId="121">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2">
    <w:name w:val="_Style 3"/>
    <w:basedOn w:val="1"/>
    <w:qFormat/>
    <w:uiPriority w:val="99"/>
    <w:pPr>
      <w:ind w:firstLine="420" w:firstLineChars="200"/>
    </w:pPr>
  </w:style>
  <w:style w:type="paragraph" w:customStyle="1" w:styleId="123">
    <w:name w:val="Char Char Char Char Char Char1 Char"/>
    <w:basedOn w:val="1"/>
    <w:qFormat/>
    <w:uiPriority w:val="99"/>
    <w:pPr>
      <w:widowControl/>
      <w:spacing w:after="160" w:line="240" w:lineRule="exact"/>
      <w:jc w:val="left"/>
    </w:pPr>
  </w:style>
  <w:style w:type="paragraph" w:customStyle="1" w:styleId="124">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5">
    <w:name w:val="p0"/>
    <w:basedOn w:val="1"/>
    <w:qFormat/>
    <w:uiPriority w:val="99"/>
    <w:pPr>
      <w:widowControl/>
    </w:pPr>
    <w:rPr>
      <w:kern w:val="0"/>
    </w:rPr>
  </w:style>
  <w:style w:type="paragraph" w:customStyle="1" w:styleId="126">
    <w:name w:val="Char Char2"/>
    <w:basedOn w:val="1"/>
    <w:qFormat/>
    <w:uiPriority w:val="99"/>
  </w:style>
  <w:style w:type="character" w:customStyle="1" w:styleId="127">
    <w:name w:val="未处理的提及1"/>
    <w:semiHidden/>
    <w:qFormat/>
    <w:uiPriority w:val="99"/>
    <w:rPr>
      <w:color w:val="auto"/>
      <w:shd w:val="clear" w:color="auto" w:fill="auto"/>
    </w:rPr>
  </w:style>
  <w:style w:type="character" w:customStyle="1" w:styleId="128">
    <w:name w:val="纯文本 Char"/>
    <w:qFormat/>
    <w:uiPriority w:val="99"/>
    <w:rPr>
      <w:rFonts w:ascii="宋体" w:hAnsi="Courier New" w:eastAsia="宋体" w:cs="Times New Roman"/>
      <w:szCs w:val="21"/>
    </w:rPr>
  </w:style>
  <w:style w:type="character" w:customStyle="1" w:styleId="129">
    <w:name w:val="页眉 Char"/>
    <w:qFormat/>
    <w:uiPriority w:val="99"/>
    <w:rPr>
      <w:rFonts w:ascii="Times New Roman" w:hAnsi="Times New Roman" w:eastAsia="宋体" w:cs="Times New Roman"/>
      <w:sz w:val="18"/>
      <w:szCs w:val="18"/>
    </w:rPr>
  </w:style>
  <w:style w:type="character" w:customStyle="1" w:styleId="130">
    <w:name w:val="页脚 Char"/>
    <w:qFormat/>
    <w:uiPriority w:val="99"/>
    <w:rPr>
      <w:rFonts w:ascii="Times New Roman" w:hAnsi="Times New Roman" w:eastAsia="宋体" w:cs="Times New Roman"/>
      <w:sz w:val="18"/>
      <w:szCs w:val="18"/>
    </w:rPr>
  </w:style>
  <w:style w:type="character" w:customStyle="1" w:styleId="131">
    <w:name w:val="font31"/>
    <w:qFormat/>
    <w:uiPriority w:val="0"/>
    <w:rPr>
      <w:rFonts w:ascii="Microsoft YaHei UI" w:hAnsi="Microsoft YaHei UI" w:eastAsia="Microsoft YaHei UI" w:cs="Microsoft YaHei UI"/>
      <w:color w:val="000000"/>
      <w:sz w:val="20"/>
      <w:szCs w:val="20"/>
      <w:u w:val="none"/>
    </w:rPr>
  </w:style>
  <w:style w:type="character" w:customStyle="1" w:styleId="132">
    <w:name w:val="批注文字 Char"/>
    <w:qFormat/>
    <w:uiPriority w:val="99"/>
    <w:rPr>
      <w:rFonts w:ascii="Times New Roman" w:hAnsi="Times New Roman" w:eastAsia="宋体" w:cs="Times New Roman"/>
      <w:szCs w:val="21"/>
    </w:rPr>
  </w:style>
  <w:style w:type="character" w:customStyle="1" w:styleId="133">
    <w:name w:val="批注文字 字符1"/>
    <w:qFormat/>
    <w:uiPriority w:val="0"/>
    <w:rPr>
      <w:rFonts w:ascii="Times New Roman" w:hAnsi="Times New Roman"/>
      <w:kern w:val="2"/>
      <w:sz w:val="21"/>
      <w:szCs w:val="24"/>
    </w:rPr>
  </w:style>
  <w:style w:type="paragraph" w:customStyle="1" w:styleId="134">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DAD70-674A-4178-B608-2F2B6241B26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14994</Words>
  <Characters>15782</Characters>
  <Lines>291</Lines>
  <Paragraphs>81</Paragraphs>
  <TotalTime>15</TotalTime>
  <ScaleCrop>false</ScaleCrop>
  <LinksUpToDate>false</LinksUpToDate>
  <CharactersWithSpaces>16420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2021-06-26T10:06:00Z</dcterms:created>
  <dc:creator>dministrator</dc:creator>
  <cp:lastModifiedBy>广西南宁技师学院-广西南宁技师学院</cp:lastModifiedBy>
  <cp:lastPrinted>2022-11-01T01:05:00Z</cp:lastPrinted>
  <dcterms:modified xsi:type="dcterms:W3CDTF">2022-12-08T01:48:36Z</dcterms:modified>
  <dc:title>国内货物采购招标文件</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BAA325329BF14B4EBEE2C5A645C94100</vt:lpwstr>
  </property>
</Properties>
</file>