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b/>
          <w:sz w:val="36"/>
        </w:rPr>
        <w:t>第三章 采购项目技术、服务、商务及其他要求</w:t>
      </w:r>
    </w:p>
    <w:p>
      <w:pPr>
        <w:pStyle w:val="4"/>
        <w:ind w:firstLine="480"/>
      </w:pPr>
      <w:r>
        <w:t>（带“★”的参数需求为实质性要求，供应商必须响应并满足的参数需求，采购人、采购代理机构应当根据项目实际需求合理设定，并明确具体要求。）</w:t>
      </w:r>
    </w:p>
    <w:p>
      <w:pPr>
        <w:pStyle w:val="4"/>
      </w:pPr>
      <w:r>
        <w:rPr>
          <w:b/>
          <w:sz w:val="28"/>
        </w:rPr>
        <w:t>3.1项目概况</w:t>
      </w:r>
    </w:p>
    <w:p>
      <w:pPr>
        <w:pStyle w:val="4"/>
      </w:pPr>
    </w:p>
    <w:p>
      <w:pPr>
        <w:pStyle w:val="4"/>
      </w:pPr>
      <w:r>
        <w:t>为确保做好2022年青白江区白蚁防治工作，现拟采购白蚁防治药品一批。</w:t>
      </w:r>
    </w:p>
    <w:p>
      <w:pPr>
        <w:pStyle w:val="4"/>
      </w:pPr>
      <w:r>
        <w:rPr>
          <w:b/>
          <w:sz w:val="28"/>
        </w:rPr>
        <w:t>3.2采购内容</w:t>
      </w:r>
    </w:p>
    <w:p>
      <w:pPr>
        <w:pStyle w:val="4"/>
      </w:pPr>
    </w:p>
    <w:p>
      <w:pPr>
        <w:pStyle w:val="4"/>
      </w:pPr>
    </w:p>
    <w:p>
      <w:pPr>
        <w:pStyle w:val="4"/>
      </w:pPr>
    </w:p>
    <w:p>
      <w:pPr>
        <w:pStyle w:val="4"/>
      </w:pPr>
      <w:r>
        <w:t>采购包1：</w:t>
      </w:r>
    </w:p>
    <w:p>
      <w:pPr>
        <w:pStyle w:val="4"/>
      </w:pPr>
      <w:r>
        <w:t>采购包预算金额（元）: 500,000.00</w:t>
      </w:r>
    </w:p>
    <w:p>
      <w:pPr>
        <w:pStyle w:val="4"/>
      </w:pPr>
      <w:r>
        <w:t>采购包最高限价（元）: 500,000.00</w:t>
      </w:r>
    </w:p>
    <w:p>
      <w:pPr>
        <w:pStyle w:val="4"/>
      </w:pPr>
      <w:r>
        <w:t>供应商报价不允许超过标的金额</w:t>
      </w:r>
    </w:p>
    <w:p>
      <w:pPr>
        <w:pStyle w:val="4"/>
      </w:pPr>
      <w: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5"/>
        <w:gridCol w:w="816"/>
        <w:gridCol w:w="822"/>
        <w:gridCol w:w="1173"/>
        <w:gridCol w:w="816"/>
        <w:gridCol w:w="816"/>
        <w:gridCol w:w="816"/>
        <w:gridCol w:w="816"/>
        <w:gridCol w:w="816"/>
        <w:gridCol w:w="8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序号</w:t>
            </w:r>
          </w:p>
        </w:tc>
        <w:tc>
          <w:tcPr>
            <w:tcW w:w="831" w:type="dxa"/>
          </w:tcPr>
          <w:p>
            <w:r>
              <w:t>标的名称</w:t>
            </w:r>
          </w:p>
        </w:tc>
        <w:tc>
          <w:tcPr>
            <w:tcW w:w="831" w:type="dxa"/>
          </w:tcPr>
          <w:p>
            <w:r>
              <w:t>数量</w:t>
            </w:r>
          </w:p>
        </w:tc>
        <w:tc>
          <w:tcPr>
            <w:tcW w:w="831" w:type="dxa"/>
          </w:tcPr>
          <w:p>
            <w:r>
              <w:t>标的金额 （元）</w:t>
            </w:r>
          </w:p>
        </w:tc>
        <w:tc>
          <w:tcPr>
            <w:tcW w:w="831" w:type="dxa"/>
          </w:tcPr>
          <w:p>
            <w:r>
              <w:t>计量单位</w:t>
            </w:r>
          </w:p>
        </w:tc>
        <w:tc>
          <w:tcPr>
            <w:tcW w:w="831" w:type="dxa"/>
          </w:tcPr>
          <w:p>
            <w:r>
              <w:t>所属行业</w:t>
            </w:r>
          </w:p>
        </w:tc>
        <w:tc>
          <w:tcPr>
            <w:tcW w:w="831" w:type="dxa"/>
          </w:tcPr>
          <w:p>
            <w:r>
              <w:t>是否核心产品</w:t>
            </w:r>
          </w:p>
        </w:tc>
        <w:tc>
          <w:tcPr>
            <w:tcW w:w="831" w:type="dxa"/>
          </w:tcPr>
          <w:p>
            <w:r>
              <w:t>是否允许进口产品</w:t>
            </w:r>
          </w:p>
        </w:tc>
        <w:tc>
          <w:tcPr>
            <w:tcW w:w="831" w:type="dxa"/>
          </w:tcPr>
          <w:p>
            <w:r>
              <w:t>是否属于节能产品</w:t>
            </w:r>
          </w:p>
        </w:tc>
        <w:tc>
          <w:tcPr>
            <w:tcW w:w="831" w:type="dxa"/>
          </w:tcPr>
          <w:p>
            <w: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1</w:t>
            </w:r>
          </w:p>
        </w:tc>
        <w:tc>
          <w:tcPr>
            <w:tcW w:w="831" w:type="dxa"/>
          </w:tcPr>
          <w:p>
            <w:r>
              <w:t>吡虫啉悬浮剂</w:t>
            </w:r>
          </w:p>
        </w:tc>
        <w:tc>
          <w:tcPr>
            <w:tcW w:w="831" w:type="dxa"/>
          </w:tcPr>
          <w:p>
            <w:pPr>
              <w:jc w:val="right"/>
            </w:pPr>
            <w:r>
              <w:t>1.00</w:t>
            </w:r>
          </w:p>
        </w:tc>
        <w:tc>
          <w:tcPr>
            <w:tcW w:w="831" w:type="dxa"/>
          </w:tcPr>
          <w:p>
            <w:pPr>
              <w:jc w:val="right"/>
            </w:pPr>
            <w:r>
              <w:t>500,000.00</w:t>
            </w:r>
          </w:p>
        </w:tc>
        <w:tc>
          <w:tcPr>
            <w:tcW w:w="831" w:type="dxa"/>
          </w:tcPr>
          <w:p>
            <w:r>
              <w:t>项</w:t>
            </w:r>
          </w:p>
        </w:tc>
        <w:tc>
          <w:tcPr>
            <w:tcW w:w="831" w:type="dxa"/>
          </w:tcPr>
          <w:p>
            <w:r>
              <w:t>工业</w:t>
            </w:r>
          </w:p>
        </w:tc>
        <w:tc>
          <w:tcPr>
            <w:tcW w:w="831" w:type="dxa"/>
          </w:tcPr>
          <w:p>
            <w:r>
              <w:t>是</w:t>
            </w:r>
          </w:p>
        </w:tc>
        <w:tc>
          <w:tcPr>
            <w:tcW w:w="831" w:type="dxa"/>
          </w:tcPr>
          <w:p>
            <w:r>
              <w:t>否</w:t>
            </w:r>
          </w:p>
        </w:tc>
        <w:tc>
          <w:tcPr>
            <w:tcW w:w="831" w:type="dxa"/>
          </w:tcPr>
          <w:p>
            <w:r>
              <w:t>否</w:t>
            </w:r>
          </w:p>
        </w:tc>
        <w:tc>
          <w:tcPr>
            <w:tcW w:w="831" w:type="dxa"/>
          </w:tcPr>
          <w:p>
            <w:r>
              <w:t>否</w:t>
            </w:r>
          </w:p>
        </w:tc>
      </w:tr>
    </w:tbl>
    <w:p>
      <w:pPr>
        <w:pStyle w:val="4"/>
      </w:pPr>
      <w:r>
        <w:rPr>
          <w:b/>
          <w:sz w:val="28"/>
        </w:rPr>
        <w:t>3.3技术参数</w:t>
      </w:r>
    </w:p>
    <w:p>
      <w:pPr>
        <w:pStyle w:val="4"/>
      </w:pPr>
    </w:p>
    <w:p>
      <w:pPr>
        <w:pStyle w:val="4"/>
      </w:pPr>
    </w:p>
    <w:p>
      <w:pPr>
        <w:pStyle w:val="4"/>
      </w:pPr>
    </w:p>
    <w:p>
      <w:pPr>
        <w:pStyle w:val="4"/>
      </w:pPr>
      <w:r>
        <w:t>采购包1：</w:t>
      </w:r>
    </w:p>
    <w:p>
      <w:pPr>
        <w:pStyle w:val="4"/>
      </w:pPr>
      <w:r>
        <w:t>供应商报价不允许超过标的金额</w:t>
      </w:r>
    </w:p>
    <w:p>
      <w:pPr>
        <w:pStyle w:val="4"/>
      </w:pPr>
      <w:r>
        <w:t>（招单价的）供应商报价不允许超过标的单价</w:t>
      </w:r>
    </w:p>
    <w:p>
      <w:pPr>
        <w:pStyle w:val="4"/>
      </w:pPr>
    </w:p>
    <w:p>
      <w:pPr>
        <w:pStyle w:val="4"/>
      </w:pPr>
      <w:r>
        <w:t>标的名称：吡虫啉悬浮剂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8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r>
              <w:t>参数性质</w:t>
            </w:r>
          </w:p>
        </w:tc>
        <w:tc>
          <w:tcPr>
            <w:tcW w:w="2769" w:type="dxa"/>
          </w:tcPr>
          <w:p>
            <w:r>
              <w:t>序号</w:t>
            </w:r>
          </w:p>
        </w:tc>
        <w:tc>
          <w:tcPr>
            <w:tcW w:w="2769" w:type="dxa"/>
          </w:tcPr>
          <w:p>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r>
              <w:t>★</w:t>
            </w:r>
          </w:p>
        </w:tc>
        <w:tc>
          <w:tcPr>
            <w:tcW w:w="2769" w:type="dxa"/>
          </w:tcPr>
          <w:p>
            <w:r>
              <w:t>1</w:t>
            </w:r>
          </w:p>
        </w:tc>
        <w:tc>
          <w:tcPr>
            <w:tcW w:w="2769" w:type="dxa"/>
          </w:tcPr>
          <w:p>
            <w:pPr>
              <w:pStyle w:val="4"/>
              <w:jc w:val="both"/>
            </w:pPr>
            <w:r>
              <w:rPr>
                <w:rFonts w:ascii="仿宋" w:hAnsi="仿宋" w:eastAsia="仿宋" w:cs="仿宋"/>
                <w:b/>
                <w:sz w:val="24"/>
              </w:rPr>
              <w:t>★（一）技术参数</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1290"/>
              <w:gridCol w:w="9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黑体" w:hAnsi="黑体" w:eastAsia="黑体" w:cs="黑体"/>
                      <w:color w:val="000000"/>
                      <w:sz w:val="24"/>
                    </w:rPr>
                    <w:t>货物名称</w:t>
                  </w:r>
                </w:p>
              </w:tc>
              <w:tc>
                <w:tcPr>
                  <w:tcW w:w="15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480"/>
                    <w:jc w:val="both"/>
                  </w:pPr>
                  <w:r>
                    <w:rPr>
                      <w:rFonts w:ascii="黑体" w:hAnsi="黑体" w:eastAsia="黑体" w:cs="黑体"/>
                      <w:color w:val="000000"/>
                      <w:sz w:val="24"/>
                    </w:rPr>
                    <w:t>技术参数</w:t>
                  </w:r>
                </w:p>
              </w:tc>
              <w:tc>
                <w:tcPr>
                  <w:tcW w:w="49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黑体" w:hAnsi="黑体" w:eastAsia="黑体" w:cs="黑体"/>
                      <w:color w:val="000000"/>
                      <w:sz w:val="24"/>
                    </w:rPr>
                    <w:t>数量（吨）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方正楷体简体" w:hAnsi="方正楷体简体" w:eastAsia="方正楷体简体" w:cs="方正楷体简体"/>
                      <w:color w:val="000000"/>
                      <w:sz w:val="24"/>
                    </w:rPr>
                    <w:t>吡虫啉悬浮剂</w:t>
                  </w:r>
                </w:p>
              </w:tc>
              <w:tc>
                <w:tcPr>
                  <w:tcW w:w="150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方正楷体简体" w:hAnsi="方正楷体简体" w:eastAsia="方正楷体简体" w:cs="方正楷体简体"/>
                      <w:sz w:val="24"/>
                    </w:rPr>
                    <w:t>1.质量浓度</w:t>
                  </w:r>
                  <w:r>
                    <w:rPr>
                      <w:rFonts w:ascii="方正楷体简体" w:hAnsi="方正楷体简体" w:eastAsia="方正楷体简体" w:cs="方正楷体简体"/>
                      <w:color w:val="000000"/>
                      <w:sz w:val="28"/>
                    </w:rPr>
                    <w:t>（g/L)</w:t>
                  </w:r>
                  <w:r>
                    <w:rPr>
                      <w:rFonts w:ascii="方正楷体简体" w:hAnsi="方正楷体简体" w:eastAsia="方正楷体简体" w:cs="方正楷体简体"/>
                      <w:sz w:val="24"/>
                    </w:rPr>
                    <w:t>：350±17；</w:t>
                  </w:r>
                </w:p>
                <w:p>
                  <w:pPr>
                    <w:pStyle w:val="4"/>
                    <w:jc w:val="left"/>
                  </w:pPr>
                  <w:r>
                    <w:rPr>
                      <w:rFonts w:ascii="方正楷体简体" w:hAnsi="方正楷体简体" w:eastAsia="方正楷体简体" w:cs="方正楷体简体"/>
                      <w:sz w:val="24"/>
                    </w:rPr>
                    <w:t>2.</w:t>
                  </w:r>
                  <w:r>
                    <w:rPr>
                      <w:rFonts w:ascii="方正楷体简体" w:hAnsi="方正楷体简体" w:eastAsia="方正楷体简体" w:cs="方正楷体简体"/>
                      <w:color w:val="000000"/>
                      <w:sz w:val="24"/>
                    </w:rPr>
                    <w:t>剂型：悬浮剂；</w:t>
                  </w:r>
                </w:p>
                <w:p>
                  <w:pPr>
                    <w:pStyle w:val="4"/>
                    <w:jc w:val="left"/>
                  </w:pPr>
                  <w:r>
                    <w:rPr>
                      <w:rFonts w:ascii="方正楷体简体" w:hAnsi="方正楷体简体" w:eastAsia="方正楷体简体" w:cs="方正楷体简体"/>
                      <w:sz w:val="24"/>
                    </w:rPr>
                    <w:t>3.</w:t>
                  </w:r>
                  <w:r>
                    <w:rPr>
                      <w:rFonts w:ascii="方正楷体简体" w:hAnsi="方正楷体简体" w:eastAsia="方正楷体简体" w:cs="方正楷体简体"/>
                      <w:color w:val="000000"/>
                      <w:sz w:val="24"/>
                    </w:rPr>
                    <w:t>PH值范围：6—9；</w:t>
                  </w:r>
                </w:p>
                <w:p>
                  <w:pPr>
                    <w:pStyle w:val="4"/>
                    <w:jc w:val="left"/>
                  </w:pPr>
                  <w:r>
                    <w:rPr>
                      <w:rFonts w:ascii="方正楷体简体" w:hAnsi="方正楷体简体" w:eastAsia="方正楷体简体" w:cs="方正楷体简体"/>
                      <w:sz w:val="24"/>
                    </w:rPr>
                    <w:t>4.</w:t>
                  </w:r>
                  <w:r>
                    <w:rPr>
                      <w:rFonts w:ascii="方正楷体简体" w:hAnsi="方正楷体简体" w:eastAsia="方正楷体简体" w:cs="方正楷体简体"/>
                      <w:color w:val="000000"/>
                      <w:sz w:val="24"/>
                    </w:rPr>
                    <w:t>悬浮率：≥95%；</w:t>
                  </w:r>
                </w:p>
                <w:p>
                  <w:pPr>
                    <w:pStyle w:val="4"/>
                    <w:jc w:val="left"/>
                  </w:pPr>
                  <w:r>
                    <w:rPr>
                      <w:rFonts w:ascii="方正楷体简体" w:hAnsi="方正楷体简体" w:eastAsia="方正楷体简体" w:cs="方正楷体简体"/>
                      <w:sz w:val="24"/>
                    </w:rPr>
                    <w:t>5.</w:t>
                  </w:r>
                  <w:r>
                    <w:rPr>
                      <w:rFonts w:ascii="方正楷体简体" w:hAnsi="方正楷体简体" w:eastAsia="方正楷体简体" w:cs="方正楷体简体"/>
                      <w:color w:val="000000"/>
                      <w:sz w:val="24"/>
                    </w:rPr>
                    <w:t>毒性：低毒；</w:t>
                  </w:r>
                </w:p>
                <w:p>
                  <w:pPr>
                    <w:pStyle w:val="4"/>
                    <w:jc w:val="left"/>
                  </w:pPr>
                  <w:r>
                    <w:rPr>
                      <w:rFonts w:ascii="方正楷体简体" w:hAnsi="方正楷体简体" w:eastAsia="方正楷体简体" w:cs="方正楷体简体"/>
                      <w:sz w:val="24"/>
                    </w:rPr>
                    <w:t>6.</w:t>
                  </w:r>
                  <w:r>
                    <w:rPr>
                      <w:rFonts w:ascii="方正楷体简体" w:hAnsi="方正楷体简体" w:eastAsia="方正楷体简体" w:cs="方正楷体简体"/>
                      <w:color w:val="000000"/>
                      <w:sz w:val="24"/>
                    </w:rPr>
                    <w:t>外观：可流动、易测量体积的乳白色液体；</w:t>
                  </w:r>
                </w:p>
                <w:p>
                  <w:pPr>
                    <w:pStyle w:val="4"/>
                    <w:jc w:val="left"/>
                  </w:pPr>
                  <w:r>
                    <w:rPr>
                      <w:rFonts w:ascii="方正楷体简体" w:hAnsi="方正楷体简体" w:eastAsia="方正楷体简体" w:cs="方正楷体简体"/>
                      <w:sz w:val="24"/>
                    </w:rPr>
                    <w:t>7.</w:t>
                  </w:r>
                  <w:r>
                    <w:rPr>
                      <w:rFonts w:ascii="方正楷体简体" w:hAnsi="方正楷体简体" w:eastAsia="方正楷体简体" w:cs="方正楷体简体"/>
                      <w:color w:val="000000"/>
                      <w:sz w:val="24"/>
                    </w:rPr>
                    <w:t>包装：≤20公斤/桶（塑料桶）</w:t>
                  </w:r>
                  <w:r>
                    <w:rPr>
                      <w:rFonts w:ascii="方正楷体简体" w:hAnsi="方正楷体简体" w:eastAsia="方正楷体简体" w:cs="方正楷体简体"/>
                      <w:sz w:val="24"/>
                    </w:rPr>
                    <w:t>。</w:t>
                  </w:r>
                </w:p>
              </w:tc>
              <w:tc>
                <w:tcPr>
                  <w:tcW w:w="49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p>
                  <w:pPr>
                    <w:pStyle w:val="4"/>
                    <w:jc w:val="center"/>
                  </w:pPr>
                  <w:r>
                    <w:rPr>
                      <w:rFonts w:ascii="方正楷体简体" w:hAnsi="方正楷体简体" w:eastAsia="方正楷体简体" w:cs="方正楷体简体"/>
                      <w:color w:val="000000"/>
                      <w:sz w:val="24"/>
                    </w:rPr>
                    <w:t>4.3</w:t>
                  </w:r>
                </w:p>
              </w:tc>
            </w:tr>
          </w:tbl>
          <w:p>
            <w:pPr>
              <w:pStyle w:val="4"/>
              <w:ind w:firstLine="602"/>
              <w:jc w:val="both"/>
            </w:pPr>
            <w:r>
              <w:rPr>
                <w:rFonts w:ascii="楷体_gb2312" w:hAnsi="楷体_gb2312" w:eastAsia="楷体_gb2312" w:cs="楷体_gb2312"/>
                <w:b/>
                <w:sz w:val="30"/>
              </w:rPr>
              <w:t>所投产品须具有农药生产许可证或者农药生产批准文件、农药标准和农药登记证。</w:t>
            </w:r>
          </w:p>
        </w:tc>
      </w:tr>
    </w:tbl>
    <w:p>
      <w:pPr>
        <w:pStyle w:val="4"/>
      </w:pPr>
      <w:r>
        <w:rPr>
          <w:b/>
          <w:sz w:val="28"/>
        </w:rPr>
        <w:t>3.4商务要求</w:t>
      </w:r>
    </w:p>
    <w:p>
      <w:pPr>
        <w:pStyle w:val="4"/>
      </w:pPr>
      <w:r>
        <w:rPr>
          <w:b/>
          <w:sz w:val="24"/>
        </w:rPr>
        <w:t>3.4.1交货时间</w:t>
      </w:r>
    </w:p>
    <w:p>
      <w:pPr>
        <w:pStyle w:val="4"/>
      </w:pPr>
    </w:p>
    <w:p>
      <w:pPr>
        <w:pStyle w:val="4"/>
      </w:pPr>
    </w:p>
    <w:p>
      <w:pPr>
        <w:pStyle w:val="4"/>
      </w:pPr>
    </w:p>
    <w:p>
      <w:pPr>
        <w:pStyle w:val="4"/>
      </w:pPr>
      <w:r>
        <w:t>采购包1：</w:t>
      </w:r>
    </w:p>
    <w:p>
      <w:pPr>
        <w:pStyle w:val="4"/>
      </w:pPr>
      <w:r>
        <w:t>自合同签订之日起10日</w:t>
      </w:r>
    </w:p>
    <w:p>
      <w:pPr>
        <w:pStyle w:val="4"/>
      </w:pPr>
      <w:r>
        <w:rPr>
          <w:b/>
          <w:sz w:val="24"/>
        </w:rPr>
        <w:t>3.4.2交货地点</w:t>
      </w:r>
    </w:p>
    <w:p>
      <w:pPr>
        <w:pStyle w:val="4"/>
      </w:pPr>
    </w:p>
    <w:p>
      <w:pPr>
        <w:pStyle w:val="4"/>
      </w:pPr>
    </w:p>
    <w:p>
      <w:pPr>
        <w:pStyle w:val="4"/>
      </w:pPr>
    </w:p>
    <w:p>
      <w:pPr>
        <w:pStyle w:val="4"/>
      </w:pPr>
      <w:r>
        <w:t>采购包1：</w:t>
      </w:r>
    </w:p>
    <w:p>
      <w:pPr>
        <w:pStyle w:val="4"/>
      </w:pPr>
      <w:r>
        <w:t>成都市青白江区凤凰大道一段2698号</w:t>
      </w:r>
    </w:p>
    <w:p>
      <w:pPr>
        <w:pStyle w:val="4"/>
      </w:pPr>
      <w:r>
        <w:rPr>
          <w:b/>
          <w:sz w:val="24"/>
        </w:rPr>
        <w:t>3.4.3支付方式</w:t>
      </w:r>
    </w:p>
    <w:p>
      <w:pPr>
        <w:pStyle w:val="4"/>
      </w:pPr>
    </w:p>
    <w:p>
      <w:pPr>
        <w:pStyle w:val="4"/>
      </w:pPr>
    </w:p>
    <w:p>
      <w:pPr>
        <w:pStyle w:val="4"/>
      </w:pPr>
    </w:p>
    <w:p>
      <w:pPr>
        <w:pStyle w:val="4"/>
      </w:pPr>
      <w:r>
        <w:t>采购包1：</w:t>
      </w:r>
    </w:p>
    <w:p>
      <w:pPr>
        <w:pStyle w:val="4"/>
      </w:pPr>
      <w:r>
        <w:t>一次付清</w:t>
      </w:r>
    </w:p>
    <w:p>
      <w:pPr>
        <w:pStyle w:val="4"/>
      </w:pPr>
      <w:r>
        <w:rPr>
          <w:b/>
          <w:sz w:val="24"/>
        </w:rPr>
        <w:t>3.4.4支付约定</w:t>
      </w:r>
    </w:p>
    <w:p>
      <w:pPr>
        <w:pStyle w:val="4"/>
      </w:pPr>
    </w:p>
    <w:p>
      <w:pPr>
        <w:pStyle w:val="4"/>
      </w:pPr>
    </w:p>
    <w:p>
      <w:pPr>
        <w:pStyle w:val="4"/>
      </w:pPr>
    </w:p>
    <w:p>
      <w:pPr>
        <w:pStyle w:val="4"/>
      </w:pPr>
      <w:r>
        <w:t>采购包1：付款条件说明：货到经采购人验收合格并收到供应商出具的等额有效的增值税发票后，达到付款条件起10日，支付合同总金额的100.00%。</w:t>
      </w:r>
    </w:p>
    <w:p>
      <w:pPr>
        <w:pStyle w:val="4"/>
      </w:pPr>
      <w:r>
        <w:rPr>
          <w:b/>
          <w:sz w:val="24"/>
        </w:rPr>
        <w:t>3.4.5验收标准和方法</w:t>
      </w:r>
    </w:p>
    <w:p>
      <w:pPr>
        <w:pStyle w:val="4"/>
      </w:pPr>
    </w:p>
    <w:p>
      <w:pPr>
        <w:pStyle w:val="4"/>
      </w:pPr>
    </w:p>
    <w:p>
      <w:pPr>
        <w:pStyle w:val="4"/>
      </w:pPr>
    </w:p>
    <w:p>
      <w:pPr>
        <w:pStyle w:val="4"/>
      </w:pPr>
      <w:r>
        <w:t>采购包1：</w:t>
      </w:r>
    </w:p>
    <w:p>
      <w:pPr>
        <w:pStyle w:val="4"/>
      </w:pPr>
      <w:r>
        <w:t>1、 验收标准：按国家有关规定以及采购人询价通知书的质量要求和技术指标、成交供应商的响应文件及承诺与本合同约定标准进行验收；双方如对质量要求和技术指标的约定标准有相互抵触或异议的事项，由采购人在询价通知书与响应文件中按质量要求和技术指标比较优胜的原则确定该项的约定标准进行验收；  2、验收时如发现所交付的货物有短装、次品、损坏或其它不符合标准及本合同规定之情形者，采购人应做出详尽的现场记录，或由双方签署备忘录，此现场记录或备忘录可用作补充有效证据，由此产生的时间延误与有关费用由成交供应商承担，验收期限相应顺延；  3、如质量验收合格，双方签署质量验收报告。  4、成交供应商应将所提供货物的装箱清单资料交付给采购人；成交供应商不能完整交付货物及本款规定的清单的，必须负责补5、如货物不能达到合同约定的质量标准，采购人有权退货，并视作成交供应商不能交付货物而须支付违约赔偿金给采购人，采购人还可依法追究成交供应商的违约责任。  6、使用过后的药品空桶（容器）由成交供7、其他未尽事宜应严格按照《财政部关于进一步加强政府采购需求和履约验收管理的指导意见》（财库〔2016〕205 号）的要求进行。</w:t>
      </w:r>
    </w:p>
    <w:p>
      <w:pPr>
        <w:pStyle w:val="4"/>
      </w:pPr>
      <w:r>
        <w:rPr>
          <w:b/>
          <w:sz w:val="24"/>
        </w:rPr>
        <w:t>3.4.6包装方式及运输</w:t>
      </w:r>
    </w:p>
    <w:p>
      <w:pPr>
        <w:pStyle w:val="4"/>
      </w:pPr>
    </w:p>
    <w:p>
      <w:pPr>
        <w:pStyle w:val="4"/>
      </w:pPr>
    </w:p>
    <w:p>
      <w:pPr>
        <w:pStyle w:val="4"/>
      </w:pPr>
    </w:p>
    <w:p>
      <w:pPr>
        <w:pStyle w:val="4"/>
      </w:pPr>
      <w:r>
        <w:t>采购包1：</w:t>
      </w:r>
    </w:p>
    <w:p>
      <w:pPr>
        <w:pStyle w:val="4"/>
      </w:pPr>
      <w: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4"/>
      </w:pPr>
      <w:r>
        <w:rPr>
          <w:b/>
          <w:sz w:val="24"/>
        </w:rPr>
        <w:t>3.4.7质量保修范围和保修期</w:t>
      </w:r>
    </w:p>
    <w:p>
      <w:pPr>
        <w:pStyle w:val="4"/>
      </w:pPr>
    </w:p>
    <w:p>
      <w:pPr>
        <w:pStyle w:val="4"/>
      </w:pPr>
    </w:p>
    <w:p>
      <w:pPr>
        <w:pStyle w:val="4"/>
      </w:pPr>
    </w:p>
    <w:p>
      <w:pPr>
        <w:pStyle w:val="4"/>
      </w:pPr>
      <w:r>
        <w:t>采购包1：</w:t>
      </w:r>
    </w:p>
    <w:p>
      <w:pPr>
        <w:pStyle w:val="4"/>
      </w:pPr>
      <w:r>
        <w:t>质保期为验收合格后2年</w:t>
      </w:r>
    </w:p>
    <w:p>
      <w:pPr>
        <w:pStyle w:val="4"/>
      </w:pPr>
      <w:r>
        <w:rPr>
          <w:b/>
          <w:sz w:val="24"/>
        </w:rPr>
        <w:t>3.4.8违约责任与解决争议的方法</w:t>
      </w:r>
    </w:p>
    <w:p>
      <w:pPr>
        <w:pStyle w:val="4"/>
      </w:pPr>
    </w:p>
    <w:p>
      <w:pPr>
        <w:pStyle w:val="4"/>
      </w:pPr>
    </w:p>
    <w:p>
      <w:pPr>
        <w:pStyle w:val="4"/>
      </w:pPr>
    </w:p>
    <w:p>
      <w:pPr>
        <w:pStyle w:val="4"/>
      </w:pPr>
      <w:r>
        <w:t>采购包1：</w:t>
      </w:r>
    </w:p>
    <w:p>
      <w:pPr>
        <w:pStyle w:val="4"/>
      </w:pPr>
      <w:r>
        <w:t>违约责任 （一）甲方违约责任   甲方无正当理由拒收货物的，甲方应偿付合同总价百分之   3  的违约金；  （二）乙方违约责任  1、乙方交付的货物质量不符合合同规定的，乙方应向甲方支付合同总价的百分之  3 的违约金，并须在合同规定的交货时间内更换合格的货物给甲方，否则，视作乙方不能交付货物而违约，按本条本款下述第“（2）”项规定由乙方偿付违约赔偿金给甲方。  2、乙方不能交付货物或逾期交付货物而违约的，除应及时交足货物外，应向甲方偿付逾期交货部分货款总额的万分之  5  /天的违约金；逾期交货超过 30 天，甲方有权终止合同，乙方则应按合同总价的百分之  3  的款额向甲方偿付赔偿金，并须全额退还甲方已经付给乙方的货款及其利息。  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3 向甲方支付违约金并赔偿因此给甲方造成的一切损失。  4、乙方偿付的违约金不足以弥补甲方损失的，还应按甲方损失尚未弥补的部分，支付赔偿金给甲方。  争议解决办法  （一）因货物的质量问题发生争议，由质量技术监督部门或其指定的质量鉴定机构进行质量鉴定。货物符合标准的，鉴定费由甲方承担；货物不符合质量标准的，鉴定费由乙方承担。 （二）合同履行期间,若双方发生争议，可协商或由有关部门调解解决，协商或调解不成的，由当事人依法向甲方所在地人民法院起诉解决。</w:t>
      </w:r>
    </w:p>
    <w:p>
      <w:pPr>
        <w:pStyle w:val="4"/>
        <w:jc w:val="left"/>
      </w:pPr>
      <w:r>
        <w:rPr>
          <w:b/>
          <w:sz w:val="24"/>
        </w:rPr>
        <w:t>3.5其他要求</w:t>
      </w:r>
    </w:p>
    <w:p>
      <w:pPr>
        <w:pStyle w:val="4"/>
      </w:pPr>
    </w:p>
    <w:p>
      <w:pPr>
        <w:pStyle w:val="4"/>
      </w:pPr>
    </w:p>
    <w:p>
      <w:pPr>
        <w:pStyle w:val="4"/>
      </w:pPr>
      <w:r>
        <w:t>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72191"/>
    <w:rsid w:val="58B72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2022-11-30T03:19:00Z</dcterms:created>
  <dc:creator>多多</dc:creator>
  <cp:lastModifiedBy>多多</cp:lastModifiedBy>
  <dcterms:modified xsi:type="dcterms:W3CDTF">2022-11-30T03:20:14Z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