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auto"/>
          <w:kern w:val="44"/>
          <w:sz w:val="32"/>
          <w:szCs w:val="32"/>
          <w:highlight w:val="none"/>
          <w:lang w:val="en-US" w:eastAsia="zh-CN" w:bidi="ar-SA"/>
        </w:rPr>
      </w:pPr>
      <w:r>
        <w:rPr>
          <w:rFonts w:hint="eastAsia" w:ascii="仿宋" w:hAnsi="仿宋" w:eastAsia="仿宋" w:cs="仿宋"/>
          <w:b/>
          <w:bCs/>
          <w:color w:val="auto"/>
          <w:kern w:val="44"/>
          <w:sz w:val="32"/>
          <w:szCs w:val="32"/>
          <w:highlight w:val="none"/>
          <w:lang w:val="en-US" w:eastAsia="zh-CN" w:bidi="ar-SA"/>
        </w:rPr>
        <w:t>采购需</w:t>
      </w:r>
      <w:bookmarkStart w:id="6" w:name="_GoBack"/>
      <w:bookmarkEnd w:id="6"/>
      <w:r>
        <w:rPr>
          <w:rFonts w:hint="eastAsia" w:ascii="仿宋" w:hAnsi="仿宋" w:eastAsia="仿宋" w:cs="仿宋"/>
          <w:b/>
          <w:bCs/>
          <w:color w:val="auto"/>
          <w:kern w:val="44"/>
          <w:sz w:val="32"/>
          <w:szCs w:val="32"/>
          <w:highlight w:val="none"/>
          <w:lang w:val="en-US" w:eastAsia="zh-CN" w:bidi="ar-SA"/>
        </w:rPr>
        <w:t>求</w:t>
      </w:r>
    </w:p>
    <w:p>
      <w:pPr>
        <w:bidi w:val="0"/>
        <w:rPr>
          <w:color w:val="auto"/>
          <w:highlight w:val="none"/>
        </w:rPr>
      </w:pPr>
    </w:p>
    <w:p>
      <w:pPr>
        <w:keepNext w:val="0"/>
        <w:keepLines w:val="0"/>
        <w:widowControl w:val="0"/>
        <w:spacing w:before="0" w:after="0" w:line="400" w:lineRule="exact"/>
        <w:jc w:val="left"/>
        <w:outlineLvl w:val="1"/>
        <w:rPr>
          <w:rFonts w:ascii="仿宋" w:hAnsi="仿宋" w:eastAsia="仿宋" w:cs="Times New Roman"/>
          <w:b/>
          <w:bCs/>
          <w:color w:val="auto"/>
          <w:kern w:val="2"/>
          <w:sz w:val="24"/>
          <w:szCs w:val="24"/>
          <w:highlight w:val="none"/>
          <w:lang w:val="en-US" w:eastAsia="zh-CN" w:bidi="ar-SA"/>
        </w:rPr>
      </w:pPr>
      <w:bookmarkStart w:id="0" w:name="PO_默认文件内容_27"/>
      <w:r>
        <w:rPr>
          <w:rFonts w:hint="eastAsia" w:ascii="仿宋" w:hAnsi="仿宋" w:eastAsia="仿宋" w:cs="Times New Roman"/>
          <w:b/>
          <w:bCs/>
          <w:color w:val="auto"/>
          <w:kern w:val="2"/>
          <w:sz w:val="24"/>
          <w:szCs w:val="24"/>
          <w:highlight w:val="none"/>
          <w:lang w:val="en-US" w:eastAsia="zh-CN" w:bidi="ar-SA"/>
        </w:rPr>
        <w:t>前提：</w:t>
      </w:r>
      <w:r>
        <w:rPr>
          <w:rFonts w:ascii="仿宋" w:hAnsi="仿宋" w:eastAsia="仿宋" w:cs="Times New Roman"/>
          <w:b/>
          <w:bCs/>
          <w:color w:val="auto"/>
          <w:kern w:val="2"/>
          <w:sz w:val="24"/>
          <w:szCs w:val="24"/>
          <w:highlight w:val="none"/>
          <w:lang w:val="en-US" w:eastAsia="zh-CN" w:bidi="ar-SA"/>
        </w:rPr>
        <w:t>本章标注“</w:t>
      </w:r>
      <w:r>
        <w:rPr>
          <w:rFonts w:hint="eastAsia" w:ascii="仿宋" w:hAnsi="仿宋" w:eastAsia="仿宋" w:cs="Times New Roman"/>
          <w:b/>
          <w:bCs/>
          <w:color w:val="auto"/>
          <w:kern w:val="2"/>
          <w:sz w:val="24"/>
          <w:szCs w:val="24"/>
          <w:highlight w:val="none"/>
          <w:lang w:val="en-US" w:eastAsia="zh-CN" w:bidi="ar-SA"/>
        </w:rPr>
        <w:t>★</w:t>
      </w:r>
      <w:r>
        <w:rPr>
          <w:rFonts w:ascii="仿宋" w:hAnsi="仿宋" w:eastAsia="仿宋" w:cs="Times New Roman"/>
          <w:b/>
          <w:bCs/>
          <w:color w:val="auto"/>
          <w:kern w:val="2"/>
          <w:sz w:val="24"/>
          <w:szCs w:val="24"/>
          <w:highlight w:val="none"/>
          <w:lang w:val="en-US" w:eastAsia="zh-CN" w:bidi="ar-SA"/>
        </w:rPr>
        <w:t>”的条款为本次磋商采购项目的实质性要求，供应商应全部满足</w:t>
      </w:r>
      <w:r>
        <w:rPr>
          <w:rFonts w:hint="eastAsia" w:ascii="仿宋" w:hAnsi="仿宋" w:eastAsia="仿宋" w:cs="Times New Roman"/>
          <w:b/>
          <w:bCs/>
          <w:color w:val="auto"/>
          <w:kern w:val="2"/>
          <w:sz w:val="24"/>
          <w:szCs w:val="24"/>
          <w:highlight w:val="none"/>
          <w:lang w:val="en-US" w:eastAsia="zh-CN" w:bidi="ar-SA"/>
        </w:rPr>
        <w:t>，否则其响应文件按照无效处理。标注“▲”的条款为本项目的技术、服务要求评分项，具体评审规则详见综合评分明细表。标注“■”的条款为本项目的方案编制要求，具体评审规则详见综合评分明细表。</w:t>
      </w:r>
    </w:p>
    <w:p>
      <w:pPr>
        <w:bidi w:val="0"/>
        <w:rPr>
          <w:color w:val="auto"/>
          <w:highlight w:val="none"/>
        </w:rPr>
      </w:pPr>
    </w:p>
    <w:p>
      <w:pPr>
        <w:keepNext/>
        <w:keepLines/>
        <w:widowControl w:val="0"/>
        <w:spacing w:before="260" w:after="260" w:line="400" w:lineRule="exact"/>
        <w:jc w:val="both"/>
        <w:outlineLvl w:val="1"/>
        <w:rPr>
          <w:rFonts w:ascii="仿宋" w:hAnsi="仿宋" w:eastAsia="仿宋" w:cs="Times New Roman"/>
          <w:b/>
          <w:bCs/>
          <w:color w:val="auto"/>
          <w:kern w:val="2"/>
          <w:sz w:val="24"/>
          <w:szCs w:val="24"/>
          <w:highlight w:val="none"/>
          <w:lang w:val="en-US" w:eastAsia="zh-CN" w:bidi="ar-SA"/>
        </w:rPr>
      </w:pPr>
      <w:r>
        <w:rPr>
          <w:rFonts w:ascii="仿宋" w:hAnsi="仿宋" w:eastAsia="仿宋" w:cs="Times New Roman"/>
          <w:b/>
          <w:bCs/>
          <w:color w:val="auto"/>
          <w:kern w:val="2"/>
          <w:sz w:val="24"/>
          <w:szCs w:val="24"/>
          <w:highlight w:val="none"/>
          <w:lang w:val="en-US" w:eastAsia="zh-CN" w:bidi="ar-SA"/>
        </w:rPr>
        <w:t>一</w:t>
      </w:r>
      <w:r>
        <w:rPr>
          <w:rFonts w:hint="eastAsia" w:ascii="仿宋" w:hAnsi="仿宋" w:eastAsia="仿宋" w:cs="Times New Roman"/>
          <w:b/>
          <w:bCs/>
          <w:color w:val="auto"/>
          <w:kern w:val="2"/>
          <w:sz w:val="24"/>
          <w:szCs w:val="24"/>
          <w:highlight w:val="none"/>
          <w:lang w:val="en-US" w:eastAsia="zh-CN" w:bidi="ar-SA"/>
        </w:rPr>
        <w:t>、</w:t>
      </w:r>
      <w:r>
        <w:rPr>
          <w:rFonts w:ascii="仿宋" w:hAnsi="仿宋" w:eastAsia="仿宋" w:cs="Times New Roman"/>
          <w:b/>
          <w:bCs/>
          <w:color w:val="auto"/>
          <w:kern w:val="2"/>
          <w:sz w:val="24"/>
          <w:szCs w:val="24"/>
          <w:highlight w:val="none"/>
          <w:lang w:val="en-US" w:eastAsia="zh-CN" w:bidi="ar-SA"/>
        </w:rPr>
        <w:t>项目概述</w:t>
      </w:r>
    </w:p>
    <w:p>
      <w:pPr>
        <w:keepNext/>
        <w:keepLines/>
        <w:widowControl w:val="0"/>
        <w:spacing w:before="260" w:after="260" w:line="400" w:lineRule="exact"/>
        <w:jc w:val="both"/>
        <w:outlineLvl w:val="1"/>
        <w:rPr>
          <w:rFonts w:hint="default"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1.项目概况</w:t>
      </w:r>
    </w:p>
    <w:p>
      <w:pPr>
        <w:widowControl w:val="0"/>
        <w:spacing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成都地处四川盆地西部，气候终年温暖潮湿，适宜白蚁生长繁衍，是白蚁危害较为严重的地区之一。成都未来科技城发展服务局拟通过本次采购项目确定一名供应商提供专业技术服务，对未来科技城</w:t>
      </w:r>
      <w:r>
        <w:rPr>
          <w:rFonts w:hint="eastAsia" w:ascii="仿宋" w:hAnsi="仿宋" w:eastAsia="仿宋" w:cs="仿宋"/>
          <w:color w:val="auto"/>
          <w:kern w:val="2"/>
          <w:sz w:val="24"/>
          <w:szCs w:val="24"/>
          <w:highlight w:val="none"/>
          <w:lang w:val="en-US" w:eastAsia="zh-CN" w:bidi="ar-SA"/>
        </w:rPr>
        <w:t>富士康MCEG园区、国际科教园四批次、福田乡社区工程（三期）、民航二所B-01地块、隔离酒店、未来智谷（北区）等新增项目</w:t>
      </w:r>
      <w:r>
        <w:rPr>
          <w:rFonts w:hint="eastAsia" w:ascii="仿宋" w:hAnsi="仿宋" w:eastAsia="仿宋" w:cs="Times New Roman"/>
          <w:color w:val="auto"/>
          <w:kern w:val="2"/>
          <w:sz w:val="24"/>
          <w:szCs w:val="24"/>
          <w:highlight w:val="none"/>
          <w:lang w:val="en-US" w:eastAsia="zh-CN" w:bidi="ar-SA"/>
        </w:rPr>
        <w:t>建筑物开展白蚁防治工作，预防白蚁孳生，减少已有白蚁危害，保障房屋建筑的安全。</w:t>
      </w:r>
    </w:p>
    <w:p>
      <w:pPr>
        <w:keepNext/>
        <w:keepLines/>
        <w:widowControl w:val="0"/>
        <w:numPr>
          <w:ilvl w:val="0"/>
          <w:numId w:val="0"/>
        </w:numPr>
        <w:tabs>
          <w:tab w:val="left" w:pos="6938"/>
        </w:tabs>
        <w:spacing w:before="260" w:after="260" w:line="400" w:lineRule="exact"/>
        <w:jc w:val="both"/>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2.标的名称及所属行业：</w:t>
      </w:r>
    </w:p>
    <w:tbl>
      <w:tblPr>
        <w:tblStyle w:val="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84"/>
        <w:gridCol w:w="3262"/>
        <w:gridCol w:w="197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2" w:type="dxa"/>
            <w:vAlign w:val="center"/>
          </w:tcPr>
          <w:p>
            <w:pPr>
              <w:widowControl/>
              <w:spacing w:line="360" w:lineRule="atLeast"/>
              <w:jc w:val="center"/>
              <w:outlineLvl w:val="1"/>
              <w:rPr>
                <w:rFonts w:ascii="仿宋" w:hAnsi="仿宋" w:eastAsia="仿宋"/>
                <w:color w:val="auto"/>
                <w:sz w:val="24"/>
                <w:highlight w:val="none"/>
              </w:rPr>
            </w:pPr>
            <w:bookmarkStart w:id="1" w:name="_Toc5013"/>
            <w:r>
              <w:rPr>
                <w:rFonts w:hint="eastAsia" w:ascii="仿宋" w:hAnsi="仿宋" w:eastAsia="仿宋"/>
                <w:color w:val="auto"/>
                <w:sz w:val="24"/>
                <w:highlight w:val="none"/>
              </w:rPr>
              <w:t>包号</w:t>
            </w:r>
            <w:bookmarkEnd w:id="1"/>
          </w:p>
        </w:tc>
        <w:tc>
          <w:tcPr>
            <w:tcW w:w="1284" w:type="dxa"/>
          </w:tcPr>
          <w:p>
            <w:pPr>
              <w:widowControl/>
              <w:spacing w:line="360" w:lineRule="atLeast"/>
              <w:jc w:val="center"/>
              <w:outlineLvl w:val="1"/>
              <w:rPr>
                <w:rFonts w:ascii="仿宋" w:hAnsi="仿宋" w:eastAsia="仿宋"/>
                <w:color w:val="auto"/>
                <w:sz w:val="24"/>
                <w:highlight w:val="none"/>
              </w:rPr>
            </w:pPr>
            <w:r>
              <w:rPr>
                <w:rFonts w:hint="eastAsia" w:ascii="仿宋" w:hAnsi="仿宋" w:eastAsia="仿宋" w:cs="仿宋"/>
                <w:bCs/>
                <w:color w:val="auto"/>
                <w:sz w:val="24"/>
                <w:szCs w:val="24"/>
                <w:highlight w:val="none"/>
                <w:lang w:val="en-US" w:eastAsia="zh-CN"/>
              </w:rPr>
              <w:t>序号</w:t>
            </w:r>
          </w:p>
        </w:tc>
        <w:tc>
          <w:tcPr>
            <w:tcW w:w="3262" w:type="dxa"/>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ascii="仿宋" w:hAnsi="仿宋" w:eastAsia="仿宋"/>
                <w:color w:val="auto"/>
                <w:sz w:val="24"/>
                <w:highlight w:val="none"/>
              </w:rPr>
            </w:pPr>
            <w:bookmarkStart w:id="2" w:name="_Toc20321"/>
            <w:r>
              <w:rPr>
                <w:rFonts w:hint="eastAsia" w:ascii="仿宋" w:hAnsi="仿宋" w:eastAsia="仿宋"/>
                <w:color w:val="auto"/>
                <w:sz w:val="24"/>
                <w:highlight w:val="none"/>
                <w:lang w:val="en-US" w:eastAsia="zh-CN"/>
              </w:rPr>
              <w:t>标的</w:t>
            </w:r>
            <w:r>
              <w:rPr>
                <w:rFonts w:hint="eastAsia" w:ascii="仿宋" w:hAnsi="仿宋" w:eastAsia="仿宋"/>
                <w:color w:val="auto"/>
                <w:sz w:val="24"/>
                <w:highlight w:val="none"/>
              </w:rPr>
              <w:t>名称</w:t>
            </w:r>
            <w:bookmarkEnd w:id="2"/>
          </w:p>
        </w:tc>
        <w:tc>
          <w:tcPr>
            <w:tcW w:w="1979" w:type="dxa"/>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ascii="仿宋" w:hAnsi="仿宋" w:eastAsia="仿宋"/>
                <w:color w:val="auto"/>
                <w:sz w:val="24"/>
                <w:highlight w:val="none"/>
              </w:rPr>
            </w:pPr>
            <w:bookmarkStart w:id="3" w:name="_Toc245"/>
            <w:r>
              <w:rPr>
                <w:rFonts w:hint="eastAsia" w:ascii="仿宋" w:hAnsi="仿宋" w:eastAsia="仿宋"/>
                <w:color w:val="auto"/>
                <w:sz w:val="24"/>
                <w:highlight w:val="none"/>
                <w:lang w:val="en-US" w:eastAsia="zh-CN"/>
              </w:rPr>
              <w:t>所</w:t>
            </w:r>
            <w:r>
              <w:rPr>
                <w:rFonts w:hint="eastAsia" w:ascii="仿宋" w:hAnsi="仿宋" w:eastAsia="仿宋"/>
                <w:color w:val="auto"/>
                <w:sz w:val="24"/>
                <w:highlight w:val="none"/>
              </w:rPr>
              <w:t>属行业</w:t>
            </w:r>
            <w:bookmarkEnd w:id="3"/>
          </w:p>
        </w:tc>
        <w:tc>
          <w:tcPr>
            <w:tcW w:w="1980" w:type="dxa"/>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outlineLvl w:val="1"/>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82" w:type="dxa"/>
          </w:tcPr>
          <w:p>
            <w:pPr>
              <w:widowControl/>
              <w:spacing w:line="360" w:lineRule="atLeast"/>
              <w:jc w:val="center"/>
              <w:outlineLvl w:val="1"/>
              <w:rPr>
                <w:rFonts w:hint="eastAsia" w:ascii="仿宋" w:hAnsi="仿宋" w:eastAsia="仿宋"/>
                <w:color w:val="auto"/>
                <w:sz w:val="24"/>
                <w:highlight w:val="none"/>
                <w:lang w:val="en-US" w:eastAsia="zh-CN"/>
              </w:rPr>
            </w:pPr>
            <w:bookmarkStart w:id="4" w:name="_Toc14191"/>
            <w:r>
              <w:rPr>
                <w:rFonts w:hint="eastAsia" w:ascii="仿宋" w:hAnsi="仿宋" w:eastAsia="仿宋"/>
                <w:color w:val="auto"/>
                <w:sz w:val="24"/>
                <w:highlight w:val="none"/>
                <w:lang w:val="en-US" w:eastAsia="zh-CN"/>
              </w:rPr>
              <w:t>1</w:t>
            </w:r>
            <w:bookmarkEnd w:id="4"/>
          </w:p>
        </w:tc>
        <w:tc>
          <w:tcPr>
            <w:tcW w:w="1284" w:type="dxa"/>
          </w:tcPr>
          <w:p>
            <w:pPr>
              <w:widowControl/>
              <w:spacing w:line="360" w:lineRule="atLeast"/>
              <w:jc w:val="center"/>
              <w:outlineLvl w:val="1"/>
              <w:rPr>
                <w:rFonts w:hint="default" w:ascii="仿宋" w:hAnsi="仿宋" w:eastAsia="仿宋"/>
                <w:color w:val="auto"/>
                <w:sz w:val="24"/>
                <w:highlight w:val="none"/>
                <w:lang w:val="en-US" w:eastAsia="zh-CN"/>
              </w:rPr>
            </w:pPr>
            <w:bookmarkStart w:id="5" w:name="_Toc21117"/>
            <w:r>
              <w:rPr>
                <w:rFonts w:hint="eastAsia" w:ascii="仿宋" w:hAnsi="仿宋" w:eastAsia="仿宋"/>
                <w:color w:val="auto"/>
                <w:sz w:val="24"/>
                <w:highlight w:val="none"/>
                <w:lang w:val="en-US" w:eastAsia="zh-CN"/>
              </w:rPr>
              <w:t>1-01</w:t>
            </w:r>
            <w:bookmarkEnd w:id="5"/>
          </w:p>
        </w:tc>
        <w:tc>
          <w:tcPr>
            <w:tcW w:w="3262" w:type="dxa"/>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outlineLvl w:val="1"/>
              <w:rPr>
                <w:rFonts w:ascii="仿宋" w:hAnsi="仿宋" w:eastAsia="仿宋"/>
                <w:color w:val="auto"/>
                <w:sz w:val="24"/>
                <w:highlight w:val="none"/>
              </w:rPr>
            </w:pPr>
            <w:r>
              <w:rPr>
                <w:rFonts w:hint="eastAsia" w:ascii="仿宋" w:hAnsi="仿宋" w:eastAsia="仿宋"/>
                <w:color w:val="auto"/>
                <w:sz w:val="24"/>
                <w:highlight w:val="none"/>
              </w:rPr>
              <w:t>2023年未来科技城建设项目新建房屋白蚁防治服务增补</w:t>
            </w:r>
          </w:p>
        </w:tc>
        <w:tc>
          <w:tcPr>
            <w:tcW w:w="1979" w:type="dxa"/>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outlineLvl w:val="1"/>
              <w:rPr>
                <w:rFonts w:ascii="仿宋" w:hAnsi="仿宋" w:eastAsia="仿宋"/>
                <w:color w:val="auto"/>
                <w:sz w:val="24"/>
                <w:highlight w:val="none"/>
              </w:rPr>
            </w:pPr>
            <w:r>
              <w:rPr>
                <w:rFonts w:hint="eastAsia" w:ascii="仿宋" w:hAnsi="仿宋" w:eastAsia="仿宋"/>
                <w:color w:val="auto"/>
                <w:sz w:val="24"/>
                <w:highlight w:val="none"/>
              </w:rPr>
              <w:t>其他未列明行业</w:t>
            </w:r>
          </w:p>
        </w:tc>
        <w:tc>
          <w:tcPr>
            <w:tcW w:w="1980" w:type="dxa"/>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outlineLvl w:val="1"/>
              <w:rPr>
                <w:rFonts w:ascii="仿宋" w:hAnsi="仿宋" w:eastAsia="仿宋"/>
                <w:color w:val="auto"/>
                <w:sz w:val="24"/>
                <w:highlight w:val="none"/>
              </w:rPr>
            </w:pPr>
          </w:p>
        </w:tc>
      </w:tr>
    </w:tbl>
    <w:p>
      <w:pPr>
        <w:spacing w:line="360" w:lineRule="auto"/>
        <w:rPr>
          <w:rFonts w:ascii="仿宋" w:hAnsi="仿宋" w:eastAsia="仿宋"/>
          <w:color w:val="auto"/>
          <w:sz w:val="24"/>
          <w:highlight w:val="none"/>
        </w:rPr>
      </w:pPr>
    </w:p>
    <w:bookmarkEnd w:id="0"/>
    <w:p>
      <w:pPr>
        <w:keepNext/>
        <w:keepLines/>
        <w:widowControl w:val="0"/>
        <w:spacing w:before="260" w:after="260" w:line="400" w:lineRule="exact"/>
        <w:jc w:val="both"/>
        <w:outlineLvl w:val="1"/>
        <w:rPr>
          <w:rFonts w:ascii="仿宋" w:hAnsi="仿宋" w:eastAsia="仿宋" w:cs="Times New Roman"/>
          <w:b/>
          <w:bCs/>
          <w:color w:val="auto"/>
          <w:kern w:val="2"/>
          <w:sz w:val="24"/>
          <w:szCs w:val="32"/>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★二、商务</w:t>
      </w:r>
      <w:r>
        <w:rPr>
          <w:rFonts w:ascii="仿宋" w:hAnsi="仿宋" w:eastAsia="仿宋" w:cs="Times New Roman"/>
          <w:b/>
          <w:bCs/>
          <w:color w:val="auto"/>
          <w:kern w:val="2"/>
          <w:sz w:val="24"/>
          <w:szCs w:val="24"/>
          <w:highlight w:val="none"/>
          <w:lang w:val="en-US" w:eastAsia="zh-CN" w:bidi="ar-SA"/>
        </w:rPr>
        <w:t>要求</w:t>
      </w:r>
    </w:p>
    <w:p>
      <w:pPr>
        <w:widowControl w:val="0"/>
        <w:spacing w:line="360" w:lineRule="auto"/>
        <w:ind w:firstLine="0" w:firstLineChars="0"/>
        <w:jc w:val="both"/>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1、服务期限：自采购合同签订之日起1年内完成本项目所有服务内容。</w:t>
      </w:r>
    </w:p>
    <w:p>
      <w:pPr>
        <w:widowControl w:val="0"/>
        <w:spacing w:line="360" w:lineRule="auto"/>
        <w:ind w:firstLine="0" w:firstLineChars="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2、违约和赔偿：若因供应商违约或工作失误给采购人造成损失的，采购人有权要求供应商承担违约责任并对损失进行赔偿直至解除合同。</w:t>
      </w:r>
    </w:p>
    <w:p>
      <w:pPr>
        <w:widowControl w:val="0"/>
        <w:spacing w:line="360" w:lineRule="auto"/>
        <w:ind w:firstLine="0" w:firstLineChars="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3</w:t>
      </w:r>
      <w:r>
        <w:rPr>
          <w:rFonts w:hint="eastAsia" w:ascii="仿宋" w:hAnsi="仿宋" w:eastAsia="仿宋" w:cs="Times New Roman"/>
          <w:color w:val="auto"/>
          <w:kern w:val="2"/>
          <w:sz w:val="24"/>
          <w:szCs w:val="24"/>
          <w:highlight w:val="none"/>
          <w:lang w:val="en-US" w:eastAsia="zh-CN" w:bidi="ar-SA"/>
        </w:rPr>
        <w:t>、服务地点：未来科技城范围内采购人指定地点。</w:t>
      </w:r>
    </w:p>
    <w:p>
      <w:pPr>
        <w:widowControl w:val="0"/>
        <w:spacing w:line="360" w:lineRule="auto"/>
        <w:ind w:firstLine="0" w:firstLineChars="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4</w:t>
      </w:r>
      <w:r>
        <w:rPr>
          <w:rFonts w:hint="eastAsia" w:ascii="仿宋" w:hAnsi="仿宋" w:eastAsia="仿宋" w:cs="Times New Roman"/>
          <w:color w:val="auto"/>
          <w:kern w:val="2"/>
          <w:sz w:val="24"/>
          <w:szCs w:val="24"/>
          <w:highlight w:val="none"/>
          <w:lang w:val="en-US" w:eastAsia="zh-CN" w:bidi="ar-SA"/>
        </w:rPr>
        <w:t>、</w:t>
      </w:r>
      <w:r>
        <w:rPr>
          <w:rFonts w:ascii="仿宋" w:hAnsi="仿宋" w:eastAsia="仿宋" w:cs="Times New Roman"/>
          <w:color w:val="auto"/>
          <w:kern w:val="2"/>
          <w:sz w:val="24"/>
          <w:szCs w:val="24"/>
          <w:highlight w:val="none"/>
          <w:lang w:val="en-US" w:eastAsia="zh-CN" w:bidi="ar-SA"/>
        </w:rPr>
        <w:t>服务费计算</w:t>
      </w:r>
      <w:r>
        <w:rPr>
          <w:rFonts w:hint="eastAsia" w:ascii="仿宋" w:hAnsi="仿宋" w:eastAsia="仿宋" w:cs="Times New Roman"/>
          <w:color w:val="auto"/>
          <w:kern w:val="2"/>
          <w:sz w:val="24"/>
          <w:szCs w:val="24"/>
          <w:highlight w:val="none"/>
          <w:lang w:val="en-US" w:eastAsia="zh-CN" w:bidi="ar-SA"/>
        </w:rPr>
        <w:t>：</w:t>
      </w:r>
      <w:r>
        <w:rPr>
          <w:rFonts w:ascii="仿宋" w:hAnsi="仿宋" w:eastAsia="仿宋" w:cs="Times New Roman"/>
          <w:color w:val="auto"/>
          <w:kern w:val="2"/>
          <w:sz w:val="24"/>
          <w:szCs w:val="24"/>
          <w:highlight w:val="none"/>
          <w:lang w:val="en-US" w:eastAsia="zh-CN" w:bidi="ar-SA"/>
        </w:rPr>
        <w:t>以成交</w:t>
      </w:r>
      <w:r>
        <w:rPr>
          <w:rFonts w:hint="eastAsia" w:ascii="仿宋" w:hAnsi="仿宋" w:eastAsia="仿宋" w:cs="Times New Roman"/>
          <w:color w:val="auto"/>
          <w:kern w:val="2"/>
          <w:sz w:val="24"/>
          <w:szCs w:val="24"/>
          <w:highlight w:val="none"/>
          <w:lang w:val="en-US" w:eastAsia="zh-CN" w:bidi="ar-SA"/>
        </w:rPr>
        <w:t>单价</w:t>
      </w:r>
      <w:r>
        <w:rPr>
          <w:rFonts w:ascii="仿宋" w:hAnsi="仿宋" w:eastAsia="仿宋" w:cs="Times New Roman"/>
          <w:color w:val="auto"/>
          <w:kern w:val="2"/>
          <w:sz w:val="24"/>
          <w:szCs w:val="24"/>
          <w:highlight w:val="none"/>
          <w:lang w:val="en-US" w:eastAsia="zh-CN" w:bidi="ar-SA"/>
        </w:rPr>
        <w:t>乘以</w:t>
      </w:r>
      <w:r>
        <w:rPr>
          <w:rFonts w:hint="eastAsia" w:ascii="仿宋" w:hAnsi="仿宋" w:eastAsia="仿宋" w:cs="Times New Roman"/>
          <w:color w:val="auto"/>
          <w:kern w:val="2"/>
          <w:sz w:val="24"/>
          <w:szCs w:val="24"/>
          <w:highlight w:val="none"/>
          <w:lang w:val="en-US" w:eastAsia="zh-CN" w:bidi="ar-SA"/>
        </w:rPr>
        <w:t>实际完成的合格工程量。</w:t>
      </w:r>
    </w:p>
    <w:p>
      <w:pPr>
        <w:widowControl w:val="0"/>
        <w:spacing w:line="360" w:lineRule="auto"/>
        <w:ind w:firstLine="0" w:firstLineChars="0"/>
        <w:jc w:val="both"/>
        <w:rPr>
          <w:rFonts w:hint="eastAsia"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5</w:t>
      </w:r>
      <w:r>
        <w:rPr>
          <w:rFonts w:hint="eastAsia" w:ascii="仿宋" w:hAnsi="仿宋" w:eastAsia="仿宋" w:cs="Times New Roman"/>
          <w:color w:val="auto"/>
          <w:kern w:val="2"/>
          <w:sz w:val="24"/>
          <w:szCs w:val="24"/>
          <w:highlight w:val="none"/>
          <w:lang w:val="en-US" w:eastAsia="zh-CN" w:bidi="ar-SA"/>
        </w:rPr>
        <w:t>、付款方式：本项目无预付款，按实际完成的合格工程量结合考核结果进行结算（详见合同附件），总共结算两次（每半年进行一次结算），采购人每次付款前成交供应商须出具合法有效的完税增值税发票给采购人。</w:t>
      </w:r>
    </w:p>
    <w:p>
      <w:pPr>
        <w:widowControl w:val="0"/>
        <w:spacing w:line="360" w:lineRule="auto"/>
        <w:ind w:firstLine="0" w:firstLineChars="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6</w:t>
      </w:r>
      <w:r>
        <w:rPr>
          <w:rFonts w:hint="eastAsia" w:ascii="仿宋" w:hAnsi="仿宋" w:eastAsia="仿宋" w:cs="Times New Roman"/>
          <w:color w:val="auto"/>
          <w:kern w:val="2"/>
          <w:sz w:val="24"/>
          <w:szCs w:val="24"/>
          <w:highlight w:val="none"/>
          <w:lang w:val="en-US" w:eastAsia="zh-CN" w:bidi="ar-SA"/>
        </w:rPr>
        <w:t>、履约验收：</w:t>
      </w:r>
    </w:p>
    <w:p>
      <w:pPr>
        <w:widowControl w:val="0"/>
        <w:spacing w:line="360" w:lineRule="auto"/>
        <w:ind w:firstLine="0" w:firstLineChars="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6</w:t>
      </w:r>
      <w:r>
        <w:rPr>
          <w:rFonts w:hint="eastAsia" w:ascii="仿宋" w:hAnsi="仿宋" w:eastAsia="仿宋" w:cs="Times New Roman"/>
          <w:color w:val="auto"/>
          <w:kern w:val="2"/>
          <w:sz w:val="24"/>
          <w:szCs w:val="24"/>
          <w:highlight w:val="none"/>
          <w:lang w:val="en-US" w:eastAsia="zh-CN" w:bidi="ar-SA"/>
        </w:rPr>
        <w:t>.1严格按照文件要求和成交供应商响应文件内容进行验收；</w:t>
      </w:r>
    </w:p>
    <w:p>
      <w:pPr>
        <w:widowControl w:val="0"/>
        <w:spacing w:line="360" w:lineRule="auto"/>
        <w:ind w:firstLine="0" w:firstLineChars="0"/>
        <w:jc w:val="both"/>
        <w:rPr>
          <w:rFonts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6</w:t>
      </w:r>
      <w:r>
        <w:rPr>
          <w:rFonts w:hint="eastAsia" w:ascii="仿宋" w:hAnsi="仿宋" w:eastAsia="仿宋" w:cs="Times New Roman"/>
          <w:color w:val="auto"/>
          <w:kern w:val="2"/>
          <w:sz w:val="24"/>
          <w:szCs w:val="24"/>
          <w:highlight w:val="none"/>
          <w:lang w:val="en-US" w:eastAsia="zh-CN" w:bidi="ar-SA"/>
        </w:rPr>
        <w:t>.2按《白蚁预防施工技术规范》进行验收；</w:t>
      </w:r>
    </w:p>
    <w:p>
      <w:pPr>
        <w:widowControl w:val="0"/>
        <w:spacing w:line="360" w:lineRule="auto"/>
        <w:ind w:firstLine="0" w:firstLineChars="0"/>
        <w:jc w:val="both"/>
        <w:rPr>
          <w:rFonts w:hint="default" w:ascii="仿宋" w:hAnsi="仿宋" w:eastAsia="仿宋" w:cs="Times New Roman"/>
          <w:color w:val="auto"/>
          <w:kern w:val="2"/>
          <w:sz w:val="24"/>
          <w:szCs w:val="24"/>
          <w:highlight w:val="none"/>
          <w:lang w:val="en-US" w:eastAsia="zh-CN" w:bidi="ar-SA"/>
        </w:rPr>
      </w:pPr>
      <w:r>
        <w:rPr>
          <w:rFonts w:ascii="仿宋" w:hAnsi="仿宋" w:eastAsia="仿宋" w:cs="Times New Roman"/>
          <w:color w:val="auto"/>
          <w:kern w:val="2"/>
          <w:sz w:val="24"/>
          <w:szCs w:val="24"/>
          <w:highlight w:val="none"/>
          <w:lang w:val="en-US" w:eastAsia="zh-CN" w:bidi="ar-SA"/>
        </w:rPr>
        <w:t>6</w:t>
      </w:r>
      <w:r>
        <w:rPr>
          <w:rFonts w:hint="eastAsia" w:ascii="仿宋" w:hAnsi="仿宋" w:eastAsia="仿宋" w:cs="Times New Roman"/>
          <w:color w:val="auto"/>
          <w:kern w:val="2"/>
          <w:sz w:val="24"/>
          <w:szCs w:val="24"/>
          <w:highlight w:val="none"/>
          <w:lang w:val="en-US" w:eastAsia="zh-CN" w:bidi="ar-SA"/>
        </w:rPr>
        <w:t>.3严格按照政府采购相关法律法规以及《财政部关于进一步加强政府采购需求和履约验收管理的指导意见》（财库〔2016〕205号）的要求进行验收。</w:t>
      </w:r>
    </w:p>
    <w:p>
      <w:pPr>
        <w:keepNext/>
        <w:keepLines/>
        <w:widowControl w:val="0"/>
        <w:spacing w:before="260" w:after="260" w:line="400" w:lineRule="exact"/>
        <w:jc w:val="both"/>
        <w:outlineLvl w:val="1"/>
        <w:rPr>
          <w:rFonts w:hint="default"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三、技术、服务要求</w:t>
      </w:r>
    </w:p>
    <w:p>
      <w:pPr>
        <w:spacing w:line="360" w:lineRule="auto"/>
        <w:rPr>
          <w:color w:val="auto"/>
          <w:highlight w:val="none"/>
        </w:rPr>
      </w:pPr>
      <w:r>
        <w:rPr>
          <w:rFonts w:hint="eastAsia" w:ascii="仿宋" w:hAnsi="仿宋" w:eastAsia="仿宋"/>
          <w:color w:val="auto"/>
          <w:sz w:val="24"/>
          <w:highlight w:val="none"/>
        </w:rPr>
        <w:t>★（一）服务内容</w:t>
      </w:r>
    </w:p>
    <w:p>
      <w:pPr>
        <w:widowControl w:val="0"/>
        <w:spacing w:after="120" w:line="360" w:lineRule="auto"/>
        <w:ind w:firstLine="480" w:firstLineChars="20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未来科技城建设项目新建房屋白蚁防治服务，白蚁防治服务</w:t>
      </w:r>
      <w:r>
        <w:rPr>
          <w:rFonts w:ascii="仿宋" w:hAnsi="仿宋" w:eastAsia="仿宋" w:cs="Times New Roman"/>
          <w:color w:val="auto"/>
          <w:kern w:val="2"/>
          <w:sz w:val="24"/>
          <w:szCs w:val="24"/>
          <w:highlight w:val="none"/>
          <w:lang w:val="en-US" w:eastAsia="zh-CN" w:bidi="ar-SA"/>
        </w:rPr>
        <w:t>内容包括：提供白蚁防治药物，白蚁防治施工，白蚁防治监控装置的采购安装维护，包治期内的复查回访及灭治。</w:t>
      </w:r>
    </w:p>
    <w:p>
      <w:pPr>
        <w:spacing w:line="360" w:lineRule="auto"/>
        <w:rPr>
          <w:color w:val="auto"/>
          <w:highlight w:val="none"/>
        </w:rPr>
      </w:pPr>
      <w:r>
        <w:rPr>
          <w:rFonts w:hint="eastAsia" w:ascii="仿宋" w:hAnsi="仿宋" w:eastAsia="仿宋"/>
          <w:color w:val="auto"/>
          <w:sz w:val="24"/>
          <w:highlight w:val="none"/>
        </w:rPr>
        <w:t>★（二）服务范围</w:t>
      </w:r>
    </w:p>
    <w:p>
      <w:pPr>
        <w:widowControl w:val="0"/>
        <w:spacing w:after="120" w:line="360" w:lineRule="auto"/>
        <w:ind w:left="0" w:leftChars="0" w:firstLine="480" w:firstLineChars="20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采用药物屏障技术对未来科技城在建项目建筑物开展白蚁防治工作，药物屏障服务预计施药面积约为100万㎡，详情如下：</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7"/>
        <w:gridCol w:w="2706"/>
        <w:gridCol w:w="2018"/>
        <w:gridCol w:w="2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58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预计需实施项目名称</w:t>
            </w:r>
          </w:p>
        </w:tc>
        <w:tc>
          <w:tcPr>
            <w:tcW w:w="1184"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总建筑面积</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r>
              <w:rPr>
                <w:rFonts w:hint="eastAsia" w:ascii="仿宋" w:hAnsi="仿宋" w:eastAsia="仿宋" w:cs="仿宋"/>
                <w:b/>
                <w:bCs/>
                <w:i w:val="0"/>
                <w:iCs w:val="0"/>
                <w:color w:val="auto"/>
                <w:kern w:val="0"/>
                <w:sz w:val="24"/>
                <w:szCs w:val="24"/>
                <w:highlight w:val="none"/>
                <w:u w:val="none"/>
                <w:lang w:val="en-US" w:eastAsia="zh-CN" w:bidi="ar"/>
              </w:rPr>
              <w:t>)</w:t>
            </w:r>
          </w:p>
        </w:tc>
        <w:tc>
          <w:tcPr>
            <w:tcW w:w="1523"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预计实施进度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70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158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1184"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1523"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富士康MCEG项目</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420,000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民航二所B-01地块</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370,000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预计2023年可部分实施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未来智谷（北区）</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200,000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预计2023年可部分实施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阿里巴巴IDC（北地块）</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176,200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2023年实施完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5</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国际科教园四批次</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92,000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预计2023年可部分实施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6</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福田乡社区工程（三期）</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244,000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预计2023年可部分实施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7</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草池街道罗家村社区工程三期</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411,000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预计2023年暂达不到实施节点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8</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隔离酒店</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9</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飞院人才公寓</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300,000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预计2023年可部分实施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10</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草池街道罗家村社区工程一期一标段</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274,000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2023年实施完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11</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民航飞行学院天府校区</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1,173,207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2023年剩余实施面积完成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12</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草池街道罗家村社区工程一期二标段</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62,371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2023年剩余实施面积完成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13</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玉成乡三益村社区配套工程</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43,000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2023年剩余实施面积完成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14</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产兴建设智造基地项目（B区）</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395,896 </w:t>
            </w:r>
          </w:p>
        </w:tc>
        <w:tc>
          <w:tcPr>
            <w:tcW w:w="152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2023年剩余实施面积完成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291"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预计总施药面积</w:t>
            </w:r>
          </w:p>
        </w:tc>
        <w:tc>
          <w:tcPr>
            <w:tcW w:w="2708" w:type="pct"/>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1000000</w:t>
            </w: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注：项目及工程量依照现有情况及资料暂估，实际情况以实施施工记录的项目及工程量为准。</w:t>
            </w:r>
          </w:p>
        </w:tc>
      </w:tr>
    </w:tbl>
    <w:p>
      <w:pPr>
        <w:spacing w:line="360" w:lineRule="auto"/>
        <w:rPr>
          <w:rFonts w:ascii="仿宋" w:hAnsi="仿宋" w:eastAsia="仿宋"/>
          <w:color w:val="auto"/>
          <w:sz w:val="24"/>
          <w:highlight w:val="none"/>
        </w:rPr>
      </w:pPr>
    </w:p>
    <w:p>
      <w:pPr>
        <w:spacing w:line="360" w:lineRule="auto"/>
        <w:rPr>
          <w:rFonts w:ascii="仿宋" w:hAnsi="仿宋" w:eastAsia="仿宋" w:cs="Times New Roman"/>
          <w:color w:val="auto"/>
          <w:sz w:val="24"/>
          <w:highlight w:val="none"/>
        </w:rPr>
      </w:pPr>
      <w:r>
        <w:rPr>
          <w:rFonts w:ascii="仿宋" w:hAnsi="仿宋" w:eastAsia="仿宋"/>
          <w:color w:val="auto"/>
          <w:sz w:val="24"/>
          <w:highlight w:val="none"/>
        </w:rPr>
        <w:br w:type="page"/>
      </w:r>
      <w:r>
        <w:rPr>
          <w:rFonts w:hint="eastAsia" w:ascii="仿宋" w:hAnsi="仿宋" w:eastAsia="仿宋" w:cs="Times New Roman"/>
          <w:color w:val="auto"/>
          <w:sz w:val="24"/>
          <w:highlight w:val="none"/>
        </w:rPr>
        <w:t>（三）技术、服务要求</w:t>
      </w:r>
    </w:p>
    <w:p>
      <w:pPr>
        <w:widowControl w:val="0"/>
        <w:spacing w:after="120" w:line="360" w:lineRule="auto"/>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 xml:space="preserve">  </w:t>
      </w:r>
      <w:r>
        <w:rPr>
          <w:rFonts w:hint="eastAsia" w:ascii="仿宋" w:hAnsi="仿宋" w:eastAsia="仿宋" w:cs="Times New Roman"/>
          <w:color w:val="auto"/>
          <w:kern w:val="2"/>
          <w:sz w:val="24"/>
          <w:szCs w:val="24"/>
          <w:highlight w:val="none"/>
          <w:lang w:val="en-US" w:eastAsia="zh-CN" w:bidi="ar-SA"/>
        </w:rPr>
        <w:t xml:space="preserve">   ★1、技术标准及质量要求：按照国家行业标准《房屋白蚁预防技术规程》(JGJ/T 245-2011)、四川省地方标准《白蚁防治技术规程》(DB51/T5012-2013)和四川省(区域性)地方标准《房屋白蚁预防工程药物土壤屏障检测和评价》(DB 510100/T 114-2012)执行。</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★2、白蚁防治药物要求：</w:t>
      </w:r>
    </w:p>
    <w:p>
      <w:pPr>
        <w:widowControl w:val="0"/>
        <w:spacing w:line="360" w:lineRule="auto"/>
        <w:ind w:firstLine="480" w:firstLineChars="200"/>
        <w:jc w:val="left"/>
        <w:rPr>
          <w:rFonts w:ascii="仿宋" w:hAnsi="仿宋" w:eastAsia="仿宋" w:cs="Times New Roman"/>
          <w:color w:val="auto"/>
          <w:kern w:val="2"/>
          <w:sz w:val="24"/>
          <w:szCs w:val="22"/>
          <w:highlight w:val="none"/>
          <w:lang w:val="en-US" w:eastAsia="zh-CN" w:bidi="ar-SA"/>
        </w:rPr>
      </w:pPr>
      <w:r>
        <w:rPr>
          <w:rFonts w:hint="eastAsia" w:ascii="仿宋" w:hAnsi="仿宋" w:eastAsia="仿宋" w:cs="Times New Roman"/>
          <w:color w:val="auto"/>
          <w:kern w:val="2"/>
          <w:sz w:val="24"/>
          <w:szCs w:val="22"/>
          <w:highlight w:val="none"/>
          <w:lang w:val="en-US" w:eastAsia="zh-CN" w:bidi="ar-SA"/>
        </w:rPr>
        <w:t>所用药物为“卫生杀虫剂”且防治对象为“白蚁”的联苯菊酯悬浮剂、联苯菊酯水乳剂、吡虫啉，符合《中华人民共和国农药管理条例》和国家现行有关产品标准的规定，具备农药标准、生产许可证、农药登记证，具有明确标签、说明书和合格证。严禁使用国家明令禁止生产、撤销登记或禁止使用的药物。需回收全部农药包装废弃物并合法处置；在项目实施过程中，药物使用前提供检测能力范围包含相关白蚁药剂的第三方检验检测机构出具的CMA合格检测报告。</w:t>
      </w:r>
    </w:p>
    <w:p>
      <w:pPr>
        <w:widowControl w:val="0"/>
        <w:spacing w:after="120" w:line="360" w:lineRule="auto"/>
        <w:ind w:firstLine="480" w:firstLineChars="200"/>
        <w:jc w:val="both"/>
        <w:rPr>
          <w:rFonts w:ascii="Times New Roman" w:hAnsi="Times New Roman" w:eastAsia="宋体" w:cs="Times New Roman"/>
          <w:color w:val="auto"/>
          <w:kern w:val="2"/>
          <w:sz w:val="21"/>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3、在建项目建筑物白蚁预防施工采用药物屏障技术进行,施药区域应达到技术规程要求的施药标准，不得对未达到施药标准的区域提前施药，也不能错过施药时机。应保证药物土壤屏障的连续均匀，不重复施药，不漏施药，地下室基坑、外围散水、室内地坪施药量应达到3-5L/㎡，散水施药宽度应沿外墙体50cm范围内全面施药，1-3层所有门窗洞全面施药，1层距地面50cm室内墙体全面施药。</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4、供应商须在其他响应文件中提供《安全承诺书》，格式自拟，应包含但不限于以下内容：</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▲4.1承诺在白蚁防治期间，严格按照相关法律法规，明确安全责任，服从相关主管部门的日常管理和检查。</w:t>
      </w:r>
    </w:p>
    <w:p>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▲4.2承诺对本单位白蚁防治人员进行安全教育，有健全的安全管理制度和培训教育记录，保证白蚁防治人员安全、规范操作。</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▲4.</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承诺文明防治，保证现场不出现安全事故，设立现场安全负责人，向相关主管部门解释实施情况，保证白蚁防治人员和主管单位及第三方人员、财产安全。如因防治服务发生任何意外或造成人员伤亡，由成交供应商完全负责。</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▲5、供应商应具备开展白蚁防治施工专用的车辆至少1辆及设施设备至少1个（专用喷洒或喷粉设备）。</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▲6、供应商在采用药物屏障技术进行新建房屋白蚁预防施工时须对每个工程每次施工的过程进行影像收集，并做好标记及时提交至采购人。</w:t>
      </w:r>
    </w:p>
    <w:p>
      <w:pPr>
        <w:widowControl w:val="0"/>
        <w:spacing w:after="120" w:line="360" w:lineRule="auto"/>
        <w:ind w:firstLine="48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w:t>
      </w:r>
      <w:r>
        <w:rPr>
          <w:rFonts w:ascii="仿宋" w:hAnsi="仿宋" w:eastAsia="仿宋" w:cs="Times New Roman"/>
          <w:color w:val="auto"/>
          <w:kern w:val="2"/>
          <w:sz w:val="24"/>
          <w:szCs w:val="24"/>
          <w:highlight w:val="none"/>
          <w:lang w:val="en-US" w:eastAsia="zh-CN" w:bidi="ar-SA"/>
        </w:rPr>
        <w:t>7</w:t>
      </w:r>
      <w:r>
        <w:rPr>
          <w:rFonts w:hint="eastAsia" w:ascii="仿宋" w:hAnsi="仿宋" w:eastAsia="仿宋" w:cs="Times New Roman"/>
          <w:color w:val="auto"/>
          <w:kern w:val="2"/>
          <w:sz w:val="24"/>
          <w:szCs w:val="24"/>
          <w:highlight w:val="none"/>
          <w:lang w:val="en-US" w:eastAsia="zh-CN" w:bidi="ar-SA"/>
        </w:rPr>
        <w:t>、供应商拟投入项目人员配置至少包含有</w:t>
      </w:r>
      <w:r>
        <w:rPr>
          <w:rFonts w:hint="eastAsia" w:ascii="仿宋" w:hAnsi="仿宋" w:eastAsia="仿宋" w:cs="Times New Roman"/>
          <w:color w:val="auto"/>
          <w:kern w:val="2"/>
          <w:sz w:val="24"/>
          <w:szCs w:val="24"/>
          <w:highlight w:val="none"/>
          <w:lang w:val="en-US" w:eastAsia="zh-Hans" w:bidi="ar-SA"/>
        </w:rPr>
        <w:t>有害生物防治</w:t>
      </w:r>
      <w:r>
        <w:rPr>
          <w:rFonts w:hint="eastAsia" w:ascii="仿宋" w:hAnsi="仿宋" w:eastAsia="仿宋" w:cs="Times New Roman"/>
          <w:color w:val="auto"/>
          <w:kern w:val="2"/>
          <w:sz w:val="24"/>
          <w:szCs w:val="24"/>
          <w:highlight w:val="none"/>
          <w:lang w:val="en-US" w:eastAsia="zh-CN" w:bidi="ar-SA"/>
        </w:rPr>
        <w:t>、</w:t>
      </w:r>
      <w:r>
        <w:rPr>
          <w:rFonts w:hint="eastAsia" w:ascii="仿宋" w:hAnsi="仿宋" w:eastAsia="仿宋" w:cs="Times New Roman"/>
          <w:color w:val="auto"/>
          <w:kern w:val="2"/>
          <w:sz w:val="24"/>
          <w:szCs w:val="24"/>
          <w:highlight w:val="none"/>
          <w:lang w:val="en-US" w:eastAsia="zh-Hans" w:bidi="ar-SA"/>
        </w:rPr>
        <w:t>白蚁</w:t>
      </w:r>
      <w:r>
        <w:rPr>
          <w:rFonts w:hint="eastAsia" w:ascii="仿宋" w:hAnsi="仿宋" w:eastAsia="仿宋" w:cs="Times New Roman"/>
          <w:color w:val="auto"/>
          <w:kern w:val="2"/>
          <w:sz w:val="24"/>
          <w:szCs w:val="24"/>
          <w:highlight w:val="none"/>
          <w:lang w:val="en-US" w:eastAsia="zh-CN" w:bidi="ar-SA"/>
        </w:rPr>
        <w:t>专业</w:t>
      </w:r>
      <w:r>
        <w:rPr>
          <w:rFonts w:hint="default" w:ascii="仿宋" w:hAnsi="仿宋" w:eastAsia="仿宋" w:cs="Times New Roman"/>
          <w:color w:val="auto"/>
          <w:kern w:val="2"/>
          <w:sz w:val="24"/>
          <w:szCs w:val="24"/>
          <w:highlight w:val="none"/>
          <w:lang w:eastAsia="zh-CN" w:bidi="ar-SA"/>
        </w:rPr>
        <w:t>、</w:t>
      </w:r>
      <w:r>
        <w:rPr>
          <w:rFonts w:hint="eastAsia" w:ascii="仿宋" w:hAnsi="仿宋" w:eastAsia="仿宋" w:cs="Times New Roman"/>
          <w:color w:val="auto"/>
          <w:kern w:val="2"/>
          <w:sz w:val="24"/>
          <w:szCs w:val="24"/>
          <w:highlight w:val="none"/>
          <w:lang w:val="en-US" w:eastAsia="zh-CN" w:bidi="ar-SA"/>
        </w:rPr>
        <w:t>检验的专职技术人员各1名。（注：以上要求均需提供相关证书复印件，并加盖供应商单位鲜章）</w:t>
      </w:r>
    </w:p>
    <w:p>
      <w:pPr>
        <w:widowControl w:val="0"/>
        <w:spacing w:after="120" w:line="360" w:lineRule="auto"/>
        <w:ind w:firstLine="480"/>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w:t>
      </w:r>
      <w:r>
        <w:rPr>
          <w:rFonts w:ascii="仿宋" w:hAnsi="仿宋" w:eastAsia="仿宋" w:cs="Times New Roman"/>
          <w:color w:val="auto"/>
          <w:kern w:val="2"/>
          <w:sz w:val="24"/>
          <w:szCs w:val="24"/>
          <w:highlight w:val="none"/>
          <w:lang w:val="en-US" w:eastAsia="zh-CN" w:bidi="ar-SA"/>
        </w:rPr>
        <w:t>8</w:t>
      </w:r>
      <w:r>
        <w:rPr>
          <w:rFonts w:hint="eastAsia" w:ascii="仿宋" w:hAnsi="仿宋" w:eastAsia="仿宋" w:cs="Times New Roman"/>
          <w:color w:val="auto"/>
          <w:kern w:val="2"/>
          <w:sz w:val="24"/>
          <w:szCs w:val="24"/>
          <w:highlight w:val="none"/>
          <w:lang w:val="en-US" w:eastAsia="zh-CN" w:bidi="ar-SA"/>
        </w:rPr>
        <w:t>、供应商具有白蚁防治的资质，项目人员配置中从事白蚁防治的专业人员应持有白蚁或有害生物防治的《岗位证书》。（注：以上要求均需提供有效的相关资质、证书复印件，并加盖供应商单位鲜章）</w:t>
      </w:r>
    </w:p>
    <w:p>
      <w:pPr>
        <w:keepNext/>
        <w:keepLines/>
        <w:widowControl w:val="0"/>
        <w:spacing w:before="260" w:after="260" w:line="400" w:lineRule="exact"/>
        <w:jc w:val="both"/>
        <w:outlineLvl w:val="1"/>
        <w:rPr>
          <w:rFonts w:ascii="仿宋" w:hAnsi="仿宋" w:eastAsia="仿宋" w:cs="Times New Roman"/>
          <w:b/>
          <w:bCs/>
          <w:color w:val="auto"/>
          <w:kern w:val="2"/>
          <w:sz w:val="24"/>
          <w:szCs w:val="32"/>
          <w:highlight w:val="none"/>
          <w:lang w:val="en-US" w:eastAsia="zh-CN" w:bidi="ar-SA"/>
        </w:rPr>
      </w:pPr>
      <w:r>
        <w:rPr>
          <w:rFonts w:hint="eastAsia" w:ascii="仿宋" w:hAnsi="仿宋" w:eastAsia="仿宋" w:cs="Times New Roman"/>
          <w:b/>
          <w:bCs/>
          <w:color w:val="auto"/>
          <w:kern w:val="2"/>
          <w:sz w:val="24"/>
          <w:szCs w:val="32"/>
          <w:highlight w:val="none"/>
          <w:lang w:val="en-US" w:eastAsia="zh-CN" w:bidi="ar-SA"/>
        </w:rPr>
        <w:t>四、其他要求</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■1、供应商应提供针对本项目的服务实施方案，至少包含以下部分：</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①白蚁防治服务总体技术方案；</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②白蚁防治服务实施方案；</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③服务质量保证和承诺；</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④工作进度计划及保证措施；</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⑤后期服务方案。</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■2、供应商应提供针对本项目的应急处理方案，至少包含以下部分：</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①应急处理措施；</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②应急处理岗位设置；</w:t>
      </w:r>
    </w:p>
    <w:p>
      <w:pPr>
        <w:widowControl w:val="0"/>
        <w:spacing w:after="120" w:line="360" w:lineRule="auto"/>
        <w:ind w:firstLine="566" w:firstLineChars="236"/>
        <w:jc w:val="both"/>
        <w:rPr>
          <w:rFonts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③实施流程；</w:t>
      </w:r>
    </w:p>
    <w:p>
      <w:r>
        <w:rPr>
          <w:rFonts w:hint="eastAsia" w:ascii="仿宋" w:hAnsi="仿宋" w:eastAsia="仿宋" w:cs="Times New Roman"/>
          <w:color w:val="auto"/>
          <w:kern w:val="2"/>
          <w:sz w:val="24"/>
          <w:szCs w:val="24"/>
          <w:highlight w:val="none"/>
          <w:lang w:val="en-US" w:eastAsia="zh-CN" w:bidi="ar-SA"/>
        </w:rPr>
        <w:t>④安全防护措施。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ZjA3YTBiZWNkOTQ0OGQyZTM2ZjcxOThmN2E5MDMifQ=="/>
  </w:docVars>
  <w:rsids>
    <w:rsidRoot w:val="00000000"/>
    <w:rsid w:val="4B08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rPr>
      <w:rFonts w:asciiTheme="minorHAnsi" w:hAnsiTheme="minorHAnsi" w:eastAsiaTheme="minorEastAsia" w:cstheme="minorBidi"/>
      <w:sz w:val="18"/>
      <w:szCs w:val="22"/>
    </w:rPr>
  </w:style>
  <w:style w:type="paragraph" w:styleId="7">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2022-11-24T02:23:43Z</dcterms:created>
  <dc:creator>Admin</dc:creator>
  <cp:lastModifiedBy>Zhu_qh</cp:lastModifiedBy>
  <dcterms:modified xsi:type="dcterms:W3CDTF">2022-11-24T02:24:49Z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A85A383388E248EEBF805D22174B7A68</vt:lpwstr>
  </property>
</Properties>
</file>