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楷体_GB2312" w:hAnsi="楷体_GB2312" w:eastAsia="楷体_GB2312" w:cs="楷体_GB2312"/>
          <w:bCs/>
          <w:color w:val="auto"/>
          <w:sz w:val="32"/>
          <w:szCs w:val="32"/>
          <w:highlight w:val="none"/>
        </w:rPr>
      </w:pPr>
      <w:r>
        <w:rPr>
          <w:rFonts w:hint="default" w:ascii="黑体" w:hAnsi="黑体" w:eastAsia="黑体" w:cs="黑体"/>
          <w:bCs/>
          <w:color w:val="auto"/>
          <w:sz w:val="32"/>
          <w:szCs w:val="32"/>
          <w:highlight w:val="none"/>
        </w:rPr>
        <w:t>技术</w:t>
      </w:r>
      <w:r>
        <w:rPr>
          <w:rFonts w:hint="eastAsia" w:ascii="黑体" w:hAnsi="黑体" w:eastAsia="黑体" w:cs="黑体"/>
          <w:bCs/>
          <w:color w:val="auto"/>
          <w:sz w:val="32"/>
          <w:szCs w:val="32"/>
          <w:highlight w:val="none"/>
          <w:lang w:eastAsia="zh-CN"/>
        </w:rPr>
        <w:t>、服务</w:t>
      </w:r>
      <w:r>
        <w:rPr>
          <w:rFonts w:hint="default" w:ascii="黑体" w:hAnsi="黑体" w:eastAsia="黑体" w:cs="黑体"/>
          <w:bCs/>
          <w:color w:val="auto"/>
          <w:sz w:val="32"/>
          <w:szCs w:val="32"/>
          <w:highlight w:val="none"/>
        </w:rPr>
        <w:t>要求和商务要求</w:t>
      </w:r>
    </w:p>
    <w:p>
      <w:pPr>
        <w:tabs>
          <w:tab w:val="left" w:pos="851"/>
        </w:tabs>
        <w:spacing w:line="240" w:lineRule="auto"/>
        <w:jc w:val="both"/>
        <w:rPr>
          <w:rFonts w:hint="eastAsia" w:ascii="仿宋" w:hAnsi="仿宋" w:eastAsia="仿宋" w:cs="仿宋"/>
          <w:b/>
          <w:color w:val="auto"/>
          <w:sz w:val="24"/>
          <w:szCs w:val="24"/>
          <w:lang w:eastAsia="zh-CN"/>
        </w:rPr>
      </w:pPr>
    </w:p>
    <w:p>
      <w:pPr>
        <w:tabs>
          <w:tab w:val="left" w:pos="851"/>
        </w:tabs>
        <w:spacing w:line="240" w:lineRule="auto"/>
        <w:jc w:val="both"/>
        <w:rPr>
          <w:rFonts w:hint="eastAsia" w:ascii="仿宋" w:hAnsi="仿宋" w:eastAsia="仿宋" w:cs="仿宋"/>
          <w:b/>
          <w:color w:val="auto"/>
          <w:sz w:val="24"/>
          <w:szCs w:val="24"/>
          <w:lang w:eastAsia="zh-CN"/>
        </w:rPr>
      </w:pPr>
    </w:p>
    <w:p>
      <w:pPr>
        <w:tabs>
          <w:tab w:val="left" w:pos="851"/>
        </w:tabs>
        <w:spacing w:line="240" w:lineRule="auto"/>
        <w:jc w:val="both"/>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★（一）技术参数</w:t>
      </w:r>
      <w:bookmarkStart w:id="0" w:name="_GoBack"/>
      <w:bookmarkEnd w:id="0"/>
    </w:p>
    <w:tbl>
      <w:tblPr>
        <w:tblStyle w:val="4"/>
        <w:tblW w:w="6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378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cs="黑体"/>
                <w:bCs/>
                <w:color w:val="000000"/>
                <w:sz w:val="24"/>
                <w:szCs w:val="24"/>
              </w:rPr>
            </w:pPr>
            <w:r>
              <w:rPr>
                <w:rFonts w:hint="eastAsia" w:ascii="黑体" w:hAnsi="黑体" w:eastAsia="黑体" w:cs="黑体"/>
                <w:bCs/>
                <w:color w:val="000000"/>
                <w:sz w:val="24"/>
                <w:szCs w:val="24"/>
              </w:rPr>
              <w:t>货物名称</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技术参数</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color w:val="000000"/>
                <w:kern w:val="0"/>
                <w:sz w:val="24"/>
                <w:szCs w:val="24"/>
              </w:rPr>
              <w:t>吡虫啉悬浮剂</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sz w:val="24"/>
                <w:szCs w:val="24"/>
              </w:rPr>
            </w:pPr>
            <w:r>
              <w:rPr>
                <w:rFonts w:hint="eastAsia" w:ascii="方正楷体简体" w:hAnsi="方正楷体简体" w:eastAsia="方正楷体简体" w:cs="方正楷体简体"/>
                <w:kern w:val="0"/>
                <w:sz w:val="24"/>
                <w:szCs w:val="24"/>
              </w:rPr>
              <w:t>1.质量浓度</w:t>
            </w:r>
            <w:r>
              <w:rPr>
                <w:rFonts w:hint="eastAsia" w:ascii="方正楷体简体" w:hAnsi="方正楷体简体" w:eastAsia="方正楷体简体" w:cs="方正楷体简体"/>
                <w:color w:val="000000"/>
                <w:kern w:val="0"/>
                <w:sz w:val="28"/>
                <w:szCs w:val="28"/>
              </w:rPr>
              <w:t>（g/L)</w:t>
            </w:r>
            <w:r>
              <w:rPr>
                <w:rFonts w:hint="eastAsia" w:ascii="方正楷体简体" w:hAnsi="方正楷体简体" w:eastAsia="方正楷体简体" w:cs="方正楷体简体"/>
                <w:kern w:val="0"/>
                <w:sz w:val="24"/>
                <w:szCs w:val="24"/>
              </w:rPr>
              <w:t>：350±17；</w:t>
            </w:r>
          </w:p>
          <w:p>
            <w:pPr>
              <w:spacing w:line="360" w:lineRule="exact"/>
              <w:jc w:val="left"/>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kern w:val="0"/>
                <w:sz w:val="24"/>
                <w:szCs w:val="24"/>
              </w:rPr>
              <w:t>2.</w:t>
            </w:r>
            <w:r>
              <w:rPr>
                <w:rFonts w:hint="eastAsia" w:ascii="方正楷体简体" w:hAnsi="方正楷体简体" w:eastAsia="方正楷体简体" w:cs="方正楷体简体"/>
                <w:color w:val="000000"/>
                <w:kern w:val="0"/>
                <w:sz w:val="24"/>
                <w:szCs w:val="24"/>
              </w:rPr>
              <w:t>剂型：悬浮剂；</w:t>
            </w:r>
          </w:p>
          <w:p>
            <w:pPr>
              <w:spacing w:line="360" w:lineRule="exact"/>
              <w:jc w:val="left"/>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kern w:val="0"/>
                <w:sz w:val="24"/>
                <w:szCs w:val="24"/>
              </w:rPr>
              <w:t>3.</w:t>
            </w:r>
            <w:r>
              <w:rPr>
                <w:rFonts w:hint="eastAsia" w:ascii="方正楷体简体" w:hAnsi="方正楷体简体" w:eastAsia="方正楷体简体" w:cs="方正楷体简体"/>
                <w:color w:val="000000"/>
                <w:kern w:val="0"/>
                <w:sz w:val="24"/>
                <w:szCs w:val="24"/>
              </w:rPr>
              <w:t>PH值范围：6—9；</w:t>
            </w:r>
          </w:p>
          <w:p>
            <w:pPr>
              <w:spacing w:line="360" w:lineRule="exact"/>
              <w:jc w:val="left"/>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kern w:val="0"/>
                <w:sz w:val="24"/>
                <w:szCs w:val="24"/>
              </w:rPr>
              <w:t>4.</w:t>
            </w:r>
            <w:r>
              <w:rPr>
                <w:rFonts w:hint="eastAsia" w:ascii="方正楷体简体" w:hAnsi="方正楷体简体" w:eastAsia="方正楷体简体" w:cs="方正楷体简体"/>
                <w:color w:val="000000"/>
                <w:kern w:val="0"/>
                <w:sz w:val="24"/>
                <w:szCs w:val="24"/>
              </w:rPr>
              <w:t>悬浮率：≥95%；</w:t>
            </w:r>
          </w:p>
          <w:p>
            <w:pPr>
              <w:spacing w:line="360" w:lineRule="exact"/>
              <w:jc w:val="left"/>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kern w:val="0"/>
                <w:sz w:val="24"/>
                <w:szCs w:val="24"/>
              </w:rPr>
              <w:t>5.</w:t>
            </w:r>
            <w:r>
              <w:rPr>
                <w:rFonts w:hint="eastAsia" w:ascii="方正楷体简体" w:hAnsi="方正楷体简体" w:eastAsia="方正楷体简体" w:cs="方正楷体简体"/>
                <w:color w:val="000000"/>
                <w:kern w:val="0"/>
                <w:sz w:val="24"/>
                <w:szCs w:val="24"/>
              </w:rPr>
              <w:t>毒性：低毒；</w:t>
            </w:r>
          </w:p>
          <w:p>
            <w:pPr>
              <w:spacing w:line="360" w:lineRule="exact"/>
              <w:jc w:val="left"/>
              <w:rPr>
                <w:rFonts w:ascii="方正楷体简体" w:hAnsi="方正楷体简体" w:eastAsia="方正楷体简体" w:cs="方正楷体简体"/>
                <w:color w:val="000000"/>
                <w:kern w:val="0"/>
                <w:sz w:val="24"/>
                <w:szCs w:val="24"/>
              </w:rPr>
            </w:pPr>
            <w:r>
              <w:rPr>
                <w:rFonts w:hint="eastAsia" w:ascii="方正楷体简体" w:hAnsi="方正楷体简体" w:eastAsia="方正楷体简体" w:cs="方正楷体简体"/>
                <w:kern w:val="0"/>
                <w:sz w:val="24"/>
                <w:szCs w:val="24"/>
              </w:rPr>
              <w:t>6.</w:t>
            </w:r>
            <w:r>
              <w:rPr>
                <w:rFonts w:hint="eastAsia" w:ascii="方正楷体简体" w:hAnsi="方正楷体简体" w:eastAsia="方正楷体简体" w:cs="方正楷体简体"/>
                <w:color w:val="000000"/>
                <w:kern w:val="0"/>
                <w:sz w:val="24"/>
                <w:szCs w:val="24"/>
              </w:rPr>
              <w:t>外观：可流动、易测量体积的乳白色液体；</w:t>
            </w:r>
          </w:p>
          <w:p>
            <w:pPr>
              <w:spacing w:line="360" w:lineRule="exact"/>
              <w:jc w:val="left"/>
              <w:rPr>
                <w:rFonts w:eastAsia="方正楷体简体"/>
                <w:color w:val="000000"/>
                <w:sz w:val="24"/>
                <w:szCs w:val="24"/>
              </w:rPr>
            </w:pPr>
            <w:r>
              <w:rPr>
                <w:rFonts w:hint="eastAsia" w:ascii="方正楷体简体" w:hAnsi="方正楷体简体" w:eastAsia="方正楷体简体" w:cs="方正楷体简体"/>
                <w:kern w:val="0"/>
                <w:sz w:val="24"/>
                <w:szCs w:val="24"/>
              </w:rPr>
              <w:t>7.</w:t>
            </w:r>
            <w:r>
              <w:rPr>
                <w:rFonts w:hint="eastAsia" w:ascii="方正楷体简体" w:hAnsi="方正楷体简体" w:eastAsia="方正楷体简体" w:cs="方正楷体简体"/>
                <w:color w:val="000000"/>
                <w:kern w:val="0"/>
                <w:sz w:val="24"/>
                <w:szCs w:val="24"/>
              </w:rPr>
              <w:t>包装：≤20公斤/桶（塑料桶）</w:t>
            </w:r>
            <w:r>
              <w:rPr>
                <w:rFonts w:hint="eastAsia" w:ascii="方正楷体简体" w:hAnsi="方正楷体简体" w:eastAsia="方正楷体简体" w:cs="方正楷体简体"/>
                <w:kern w:val="0"/>
                <w:sz w:val="24"/>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sz w:val="24"/>
                <w:szCs w:val="24"/>
              </w:rPr>
            </w:pPr>
          </w:p>
          <w:p>
            <w:pPr>
              <w:spacing w:line="360" w:lineRule="exact"/>
              <w:jc w:val="center"/>
              <w:rPr>
                <w:rFonts w:hint="default" w:ascii="方正楷体简体" w:hAnsi="方正楷体简体" w:eastAsia="方正楷体简体" w:cs="方正楷体简体"/>
                <w:color w:val="000000"/>
                <w:kern w:val="0"/>
                <w:sz w:val="24"/>
                <w:szCs w:val="24"/>
                <w:lang w:val="en-US" w:eastAsia="zh-CN"/>
              </w:rPr>
            </w:pPr>
            <w:r>
              <w:rPr>
                <w:rFonts w:hint="eastAsia" w:ascii="方正楷体简体" w:hAnsi="方正楷体简体" w:eastAsia="方正楷体简体" w:cs="方正楷体简体"/>
                <w:color w:val="000000"/>
                <w:kern w:val="0"/>
                <w:sz w:val="24"/>
                <w:szCs w:val="24"/>
                <w:lang w:val="en-US" w:eastAsia="zh-CN"/>
              </w:rPr>
              <w:t>4.3</w:t>
            </w:r>
          </w:p>
        </w:tc>
      </w:tr>
    </w:tbl>
    <w:p>
      <w:pPr>
        <w:spacing w:line="500" w:lineRule="exact"/>
        <w:ind w:firstLine="602" w:firstLineChars="200"/>
        <w:rPr>
          <w:rFonts w:hint="eastAsia" w:ascii="楷体_GB2312" w:hAnsi="楷体_GB2312" w:eastAsia="楷体_GB2312" w:cs="楷体_GB2312"/>
          <w:b/>
          <w:bCs w:val="0"/>
          <w:color w:val="auto"/>
          <w:sz w:val="30"/>
          <w:szCs w:val="30"/>
          <w:highlight w:val="none"/>
          <w:u w:val="none"/>
          <w:lang w:val="en-US" w:eastAsia="zh-CN"/>
        </w:rPr>
      </w:pPr>
      <w:r>
        <w:rPr>
          <w:rFonts w:hint="eastAsia" w:ascii="楷体_GB2312" w:hAnsi="楷体_GB2312" w:eastAsia="楷体_GB2312" w:cs="楷体_GB2312"/>
          <w:b/>
          <w:bCs w:val="0"/>
          <w:color w:val="auto"/>
          <w:sz w:val="30"/>
          <w:szCs w:val="30"/>
          <w:highlight w:val="none"/>
          <w:u w:val="none"/>
          <w:lang w:val="en-US" w:eastAsia="zh-CN"/>
        </w:rPr>
        <w:t>所投产品须具有农药生产许可证或者农药生产批准文件、农药标准和农药登记证(使用范围中作物/场所包含土壤和木材，防治对象为白蚁，登记证号以WP开头标识）。</w:t>
      </w:r>
    </w:p>
    <w:p>
      <w:pPr>
        <w:numPr>
          <w:ilvl w:val="0"/>
          <w:numId w:val="1"/>
        </w:numPr>
        <w:spacing w:line="500" w:lineRule="exact"/>
        <w:ind w:firstLine="602" w:firstLineChars="200"/>
        <w:rPr>
          <w:rFonts w:hint="default" w:ascii="楷体_GB2312" w:hAnsi="楷体_GB2312" w:eastAsia="楷体_GB2312" w:cs="楷体_GB2312"/>
          <w:b/>
          <w:bCs w:val="0"/>
          <w:color w:val="auto"/>
          <w:sz w:val="30"/>
          <w:szCs w:val="30"/>
          <w:highlight w:val="none"/>
          <w:u w:val="none"/>
          <w:lang w:eastAsia="zh-CN"/>
        </w:rPr>
      </w:pPr>
      <w:r>
        <w:rPr>
          <w:rFonts w:hint="eastAsia" w:ascii="楷体_GB2312" w:hAnsi="楷体_GB2312" w:eastAsia="楷体_GB2312" w:cs="楷体_GB2312"/>
          <w:b/>
          <w:bCs w:val="0"/>
          <w:color w:val="auto"/>
          <w:sz w:val="30"/>
          <w:szCs w:val="30"/>
          <w:highlight w:val="none"/>
          <w:u w:val="none"/>
          <w:lang w:eastAsia="zh-CN"/>
        </w:rPr>
        <w:t>服务</w:t>
      </w:r>
      <w:r>
        <w:rPr>
          <w:rFonts w:hint="default" w:ascii="楷体_GB2312" w:hAnsi="楷体_GB2312" w:eastAsia="楷体_GB2312" w:cs="楷体_GB2312"/>
          <w:b/>
          <w:bCs w:val="0"/>
          <w:color w:val="auto"/>
          <w:sz w:val="30"/>
          <w:szCs w:val="30"/>
          <w:highlight w:val="none"/>
          <w:u w:val="none"/>
          <w:lang w:eastAsia="zh-CN"/>
        </w:rPr>
        <w:t>要求：</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1.产品质保期：从每次运送到采购人仓库之日起起算，产品距有效期不短于24个月。</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2.供应商需负责回收处理使用过后的空桶。</w:t>
      </w:r>
    </w:p>
    <w:p>
      <w:pPr>
        <w:pStyle w:val="2"/>
        <w:rPr>
          <w:rFonts w:hint="default"/>
          <w:lang w:eastAsia="zh-CN"/>
        </w:rPr>
      </w:pPr>
    </w:p>
    <w:p>
      <w:pPr>
        <w:numPr>
          <w:ilvl w:val="0"/>
          <w:numId w:val="1"/>
        </w:numPr>
        <w:spacing w:line="500" w:lineRule="exact"/>
        <w:ind w:firstLine="602" w:firstLineChars="200"/>
        <w:rPr>
          <w:rFonts w:hint="default" w:ascii="楷体_GB2312" w:hAnsi="楷体_GB2312" w:eastAsia="楷体_GB2312" w:cs="楷体_GB2312"/>
          <w:b/>
          <w:bCs w:val="0"/>
          <w:color w:val="auto"/>
          <w:sz w:val="30"/>
          <w:szCs w:val="30"/>
          <w:highlight w:val="none"/>
          <w:u w:val="none"/>
          <w:lang w:eastAsia="zh-CN"/>
        </w:rPr>
      </w:pPr>
      <w:r>
        <w:rPr>
          <w:rFonts w:hint="eastAsia" w:ascii="楷体_GB2312" w:hAnsi="楷体_GB2312" w:eastAsia="楷体_GB2312" w:cs="楷体_GB2312"/>
          <w:b/>
          <w:bCs w:val="0"/>
          <w:color w:val="auto"/>
          <w:sz w:val="30"/>
          <w:szCs w:val="30"/>
          <w:highlight w:val="none"/>
          <w:u w:val="none"/>
          <w:lang w:eastAsia="zh-CN"/>
        </w:rPr>
        <w:t>商务</w:t>
      </w:r>
      <w:r>
        <w:rPr>
          <w:rFonts w:hint="default" w:ascii="楷体_GB2312" w:hAnsi="楷体_GB2312" w:eastAsia="楷体_GB2312" w:cs="楷体_GB2312"/>
          <w:b/>
          <w:bCs w:val="0"/>
          <w:color w:val="auto"/>
          <w:sz w:val="30"/>
          <w:szCs w:val="30"/>
          <w:highlight w:val="none"/>
          <w:u w:val="none"/>
          <w:lang w:eastAsia="zh-CN"/>
        </w:rPr>
        <w:t>要求：</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1.项目实施地点:成都市青白江区凤凰大道一段2698号</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2.履行期限及方式：</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2.1  </w:t>
      </w:r>
      <w:r>
        <w:rPr>
          <w:rFonts w:hint="eastAsia" w:ascii="仿宋_GB2312" w:hAnsi="仿宋_GB2312" w:eastAsia="仿宋_GB2312" w:cs="仿宋_GB2312"/>
          <w:color w:val="auto"/>
          <w:sz w:val="30"/>
          <w:szCs w:val="30"/>
          <w:highlight w:val="none"/>
          <w:lang w:eastAsia="zh-CN"/>
        </w:rPr>
        <w:t>交货</w:t>
      </w:r>
      <w:r>
        <w:rPr>
          <w:rFonts w:hint="eastAsia" w:ascii="仿宋_GB2312" w:hAnsi="仿宋_GB2312" w:eastAsia="仿宋_GB2312" w:cs="仿宋_GB2312"/>
          <w:color w:val="auto"/>
          <w:sz w:val="30"/>
          <w:szCs w:val="30"/>
          <w:highlight w:val="none"/>
        </w:rPr>
        <w:t>期限：供应商接到采购人通知后，应迅速组织货物并在10个工作日内将货物运送到采购人仓库。</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2.2  </w:t>
      </w:r>
      <w:r>
        <w:rPr>
          <w:rFonts w:hint="eastAsia" w:ascii="仿宋_GB2312" w:hAnsi="仿宋_GB2312" w:eastAsia="仿宋_GB2312" w:cs="仿宋_GB2312"/>
          <w:color w:val="auto"/>
          <w:sz w:val="30"/>
          <w:szCs w:val="30"/>
          <w:highlight w:val="none"/>
        </w:rPr>
        <w:t>履行方式：免费送货上门，供应商</w:t>
      </w:r>
      <w:r>
        <w:rPr>
          <w:rFonts w:hint="eastAsia" w:ascii="仿宋_GB2312" w:hAnsi="仿宋_GB2312" w:eastAsia="仿宋_GB2312" w:cs="仿宋_GB2312"/>
          <w:color w:val="auto"/>
          <w:sz w:val="30"/>
          <w:szCs w:val="30"/>
          <w:highlight w:val="none"/>
          <w:lang w:eastAsia="zh-CN"/>
        </w:rPr>
        <w:t>一次性</w:t>
      </w:r>
      <w:r>
        <w:rPr>
          <w:rFonts w:hint="eastAsia" w:ascii="仿宋_GB2312" w:hAnsi="仿宋_GB2312" w:eastAsia="仿宋_GB2312" w:cs="仿宋_GB2312"/>
          <w:color w:val="auto"/>
          <w:sz w:val="30"/>
          <w:szCs w:val="30"/>
          <w:highlight w:val="none"/>
        </w:rPr>
        <w:t>送货上门，运输、装卸费由供应商负担。</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3.付款方式和条件：货到经采购人验收合格并收到供应商出具的等额有效的增值税发票后</w:t>
      </w:r>
      <w:r>
        <w:rPr>
          <w:rFonts w:hint="eastAsia" w:ascii="仿宋_GB2312" w:hAnsi="仿宋_GB2312" w:eastAsia="仿宋_GB2312" w:cs="仿宋_GB2312"/>
          <w:color w:val="auto"/>
          <w:sz w:val="30"/>
          <w:szCs w:val="30"/>
          <w:highlight w:val="none"/>
          <w:lang w:val="en-US" w:eastAsia="zh-CN"/>
        </w:rPr>
        <w:t>10日内</w:t>
      </w:r>
      <w:r>
        <w:rPr>
          <w:rFonts w:hint="eastAsia" w:ascii="仿宋_GB2312" w:hAnsi="仿宋_GB2312" w:eastAsia="仿宋_GB2312" w:cs="仿宋_GB2312"/>
          <w:color w:val="auto"/>
          <w:sz w:val="30"/>
          <w:szCs w:val="30"/>
          <w:highlight w:val="none"/>
        </w:rPr>
        <w:t>采购人通过银行电汇支付</w:t>
      </w:r>
      <w:r>
        <w:rPr>
          <w:rFonts w:hint="eastAsia" w:ascii="仿宋_GB2312" w:hAnsi="仿宋_GB2312" w:eastAsia="仿宋_GB2312" w:cs="仿宋_GB2312"/>
          <w:color w:val="auto"/>
          <w:sz w:val="30"/>
          <w:szCs w:val="30"/>
          <w:highlight w:val="none"/>
          <w:lang w:eastAsia="zh-CN"/>
        </w:rPr>
        <w:t>全部</w:t>
      </w:r>
      <w:r>
        <w:rPr>
          <w:rFonts w:hint="eastAsia" w:ascii="仿宋_GB2312" w:hAnsi="仿宋_GB2312" w:eastAsia="仿宋_GB2312" w:cs="仿宋_GB2312"/>
          <w:color w:val="auto"/>
          <w:sz w:val="30"/>
          <w:szCs w:val="30"/>
          <w:highlight w:val="none"/>
        </w:rPr>
        <w:t>货款。</w:t>
      </w:r>
    </w:p>
    <w:p>
      <w:pPr>
        <w:widowControl/>
        <w:spacing w:line="580" w:lineRule="exact"/>
        <w:ind w:firstLine="900" w:firstLineChars="3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4.验收标准和方法：</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验收标准：按国家有关规定以及</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询价通知书的质量要求和技术指标、</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的响应文件及承诺与本合同约定标准进行验收；双方如对质量要求和技术指标的约定标准有相互抵触或异议的事项，由</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 xml:space="preserve">在询价通知书与响应文件中按质量要求和技术指标比较优胜的原则确定该项的约定标准进行验收； </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4.2、</w:t>
      </w:r>
      <w:r>
        <w:rPr>
          <w:rFonts w:hint="eastAsia" w:ascii="仿宋" w:hAnsi="仿宋" w:eastAsia="仿宋" w:cs="仿宋"/>
          <w:color w:val="000000"/>
          <w:kern w:val="0"/>
          <w:sz w:val="28"/>
          <w:szCs w:val="28"/>
          <w:lang w:bidi="ar"/>
        </w:rPr>
        <w:t>验收时如发现所交付的货物有短装、次品、损坏或其它不符合标准及本合同规定之情形者，</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应做出详尽的现场记录，或由双方签署备忘录，此现场记录或备忘录可用作补充有效证据，由此产生的时间延误与有关费用由</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 xml:space="preserve">承担，验收期限相应顺延； </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4.3、</w:t>
      </w:r>
      <w:r>
        <w:rPr>
          <w:rFonts w:hint="eastAsia" w:ascii="仿宋" w:hAnsi="仿宋" w:eastAsia="仿宋" w:cs="仿宋"/>
          <w:color w:val="000000"/>
          <w:kern w:val="0"/>
          <w:sz w:val="28"/>
          <w:szCs w:val="28"/>
          <w:lang w:bidi="ar"/>
        </w:rPr>
        <w:t xml:space="preserve">如质量验收合格，双方签署质量验收报告。 </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4.4</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应将所提供货物的装箱清单资料交付给</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 xml:space="preserve">不能完整交付货物及本款规定的清单的，必须负责补齐，否则视为未按合同约定交货。 </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4.5</w:t>
      </w:r>
      <w:r>
        <w:rPr>
          <w:rFonts w:hint="eastAsia" w:ascii="仿宋" w:hAnsi="仿宋" w:eastAsia="仿宋" w:cs="仿宋"/>
          <w:color w:val="000000"/>
          <w:kern w:val="0"/>
          <w:sz w:val="28"/>
          <w:szCs w:val="28"/>
          <w:lang w:bidi="ar"/>
        </w:rPr>
        <w:t>、如货物不能达到合同约定的质量标准，</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有权退货，并视作</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不能交付货物而须支付违约赔偿金给</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eastAsia="zh-CN" w:bidi="ar"/>
        </w:rPr>
        <w:t>采购人</w:t>
      </w:r>
      <w:r>
        <w:rPr>
          <w:rFonts w:hint="eastAsia" w:ascii="仿宋" w:hAnsi="仿宋" w:eastAsia="仿宋" w:cs="仿宋"/>
          <w:color w:val="000000"/>
          <w:kern w:val="0"/>
          <w:sz w:val="28"/>
          <w:szCs w:val="28"/>
          <w:lang w:bidi="ar"/>
        </w:rPr>
        <w:t>还可依法追究</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 xml:space="preserve">的违约责任。 </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4.6</w:t>
      </w:r>
      <w:r>
        <w:rPr>
          <w:rFonts w:hint="eastAsia" w:ascii="仿宋" w:hAnsi="仿宋" w:eastAsia="仿宋" w:cs="仿宋"/>
          <w:color w:val="000000"/>
          <w:kern w:val="0"/>
          <w:sz w:val="28"/>
          <w:szCs w:val="28"/>
          <w:lang w:bidi="ar"/>
        </w:rPr>
        <w:t>、使用过后的</w:t>
      </w:r>
      <w:r>
        <w:rPr>
          <w:rFonts w:hint="eastAsia" w:ascii="仿宋" w:hAnsi="仿宋" w:eastAsia="仿宋" w:cs="仿宋"/>
          <w:color w:val="000000"/>
          <w:kern w:val="0"/>
          <w:sz w:val="28"/>
          <w:szCs w:val="28"/>
          <w:lang w:eastAsia="zh-CN" w:bidi="ar"/>
        </w:rPr>
        <w:t>药品</w:t>
      </w:r>
      <w:r>
        <w:rPr>
          <w:rFonts w:hint="eastAsia" w:ascii="仿宋" w:hAnsi="仿宋" w:eastAsia="仿宋" w:cs="仿宋"/>
          <w:color w:val="000000"/>
          <w:kern w:val="0"/>
          <w:sz w:val="28"/>
          <w:szCs w:val="28"/>
          <w:lang w:bidi="ar"/>
        </w:rPr>
        <w:t>空桶</w:t>
      </w:r>
      <w:r>
        <w:rPr>
          <w:rFonts w:hint="eastAsia" w:ascii="仿宋" w:hAnsi="仿宋" w:eastAsia="仿宋" w:cs="仿宋"/>
          <w:color w:val="000000"/>
          <w:kern w:val="0"/>
          <w:sz w:val="28"/>
          <w:szCs w:val="28"/>
          <w:lang w:eastAsia="zh-CN" w:bidi="ar"/>
        </w:rPr>
        <w:t>（容器）</w:t>
      </w:r>
      <w:r>
        <w:rPr>
          <w:rFonts w:hint="eastAsia" w:ascii="仿宋" w:hAnsi="仿宋" w:eastAsia="仿宋" w:cs="仿宋"/>
          <w:color w:val="000000"/>
          <w:kern w:val="0"/>
          <w:sz w:val="28"/>
          <w:szCs w:val="28"/>
          <w:lang w:bidi="ar"/>
        </w:rPr>
        <w:t>由</w:t>
      </w:r>
      <w:r>
        <w:rPr>
          <w:rFonts w:hint="eastAsia" w:ascii="仿宋" w:hAnsi="仿宋" w:eastAsia="仿宋" w:cs="仿宋"/>
          <w:color w:val="000000"/>
          <w:kern w:val="0"/>
          <w:sz w:val="28"/>
          <w:szCs w:val="28"/>
          <w:lang w:eastAsia="zh-CN" w:bidi="ar"/>
        </w:rPr>
        <w:t>成交供应商</w:t>
      </w:r>
      <w:r>
        <w:rPr>
          <w:rFonts w:hint="eastAsia" w:ascii="仿宋" w:hAnsi="仿宋" w:eastAsia="仿宋" w:cs="仿宋"/>
          <w:color w:val="000000"/>
          <w:kern w:val="0"/>
          <w:sz w:val="28"/>
          <w:szCs w:val="28"/>
          <w:lang w:bidi="ar"/>
        </w:rPr>
        <w:t>负责回收处置。</w:t>
      </w:r>
    </w:p>
    <w:p>
      <w:pPr>
        <w:widowControl/>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4.7</w:t>
      </w:r>
      <w:r>
        <w:rPr>
          <w:rFonts w:hint="eastAsia" w:ascii="仿宋" w:hAnsi="仿宋" w:eastAsia="仿宋" w:cs="仿宋"/>
          <w:color w:val="000000"/>
          <w:kern w:val="0"/>
          <w:sz w:val="28"/>
          <w:szCs w:val="28"/>
          <w:lang w:bidi="ar"/>
        </w:rPr>
        <w:t xml:space="preserve">、其他未尽事宜应严格按照《财政部关于进一步加强政府采购需求和履约验收管理的指导意见》（财库〔2016〕205 号）的要求进行。 </w:t>
      </w:r>
    </w:p>
    <w:p>
      <w:pPr>
        <w:numPr>
          <w:ilvl w:val="0"/>
          <w:numId w:val="1"/>
        </w:numPr>
        <w:spacing w:line="500" w:lineRule="exact"/>
        <w:ind w:firstLine="602" w:firstLineChars="200"/>
        <w:rPr>
          <w:rFonts w:hint="eastAsia" w:ascii="楷体_GB2312" w:hAnsi="楷体_GB2312" w:eastAsia="楷体_GB2312" w:cs="楷体_GB2312"/>
          <w:b/>
          <w:bCs w:val="0"/>
          <w:color w:val="auto"/>
          <w:sz w:val="30"/>
          <w:szCs w:val="30"/>
          <w:highlight w:val="none"/>
          <w:u w:val="none"/>
          <w:lang w:eastAsia="zh-CN"/>
        </w:rPr>
      </w:pPr>
      <w:r>
        <w:rPr>
          <w:rFonts w:hint="eastAsia" w:ascii="楷体_GB2312" w:hAnsi="楷体_GB2312" w:eastAsia="楷体_GB2312" w:cs="楷体_GB2312"/>
          <w:b/>
          <w:bCs w:val="0"/>
          <w:color w:val="auto"/>
          <w:sz w:val="30"/>
          <w:szCs w:val="30"/>
          <w:highlight w:val="none"/>
          <w:u w:val="none"/>
          <w:lang w:eastAsia="zh-CN"/>
        </w:rPr>
        <w:t>其他要求</w:t>
      </w:r>
    </w:p>
    <w:p>
      <w:pPr>
        <w:spacing w:line="5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供应商提供的产品未达到检测要求的，采购人不予接收，供应商应无条件更换合格产品。在合同履行期间供应商提供产品累计两次未达到检测要求的，采购人有权单方面解除合同，相关损失由供应商自行承担，并赔偿采购人相应损失。</w:t>
      </w:r>
    </w:p>
    <w:p>
      <w:pPr>
        <w:spacing w:line="580" w:lineRule="exact"/>
        <w:ind w:firstLine="482" w:firstLineChars="200"/>
        <w:rPr>
          <w:rFonts w:ascii="宋体" w:hAnsi="宋体"/>
          <w:b/>
          <w:color w:val="000000"/>
          <w:sz w:val="24"/>
          <w:szCs w:val="18"/>
        </w:rPr>
      </w:pPr>
      <w:r>
        <w:rPr>
          <w:rFonts w:hint="eastAsia" w:ascii="仿宋" w:hAnsi="仿宋" w:eastAsia="仿宋" w:cs="仿宋"/>
          <w:b/>
          <w:bCs/>
          <w:color w:val="000000"/>
          <w:sz w:val="24"/>
          <w:szCs w:val="24"/>
        </w:rPr>
        <w:t>注意：以上打</w:t>
      </w:r>
      <w:r>
        <w:rPr>
          <w:rFonts w:hint="eastAsia" w:ascii="方正楷体简体" w:hAnsi="方正楷体简体" w:eastAsia="方正楷体简体" w:cs="方正楷体简体"/>
          <w:b/>
          <w:bCs/>
          <w:sz w:val="24"/>
          <w:szCs w:val="24"/>
        </w:rPr>
        <w:t>★</w:t>
      </w:r>
      <w:r>
        <w:rPr>
          <w:rFonts w:hint="eastAsia" w:ascii="仿宋" w:hAnsi="仿宋" w:eastAsia="仿宋" w:cs="仿宋"/>
          <w:b/>
          <w:bCs/>
          <w:color w:val="000000"/>
          <w:sz w:val="24"/>
          <w:szCs w:val="24"/>
        </w:rPr>
        <w:t>号的为本次招标项目的实质性要求，不允许有负偏离。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2E97"/>
    <w:multiLevelType w:val="singleLevel"/>
    <w:tmpl w:val="58962E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15870"/>
    <w:rsid w:val="4661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eastAsia="宋体"/>
      <w:sz w:val="18"/>
    </w:rPr>
  </w:style>
  <w:style w:type="paragraph" w:styleId="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2022-10-19T04:33:00Z</dcterms:created>
  <dc:creator>多多</dc:creator>
  <cp:lastModifiedBy>多多</cp:lastModifiedBy>
  <dcterms:modified xsi:type="dcterms:W3CDTF">2022-10-19T04:33:58Z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