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440606-2022-09796</w:t>
      </w:r>
    </w:p>
    <w:p>
      <w:pPr>
        <w:jc w:val="center"/>
      </w:pPr>
      <w:r>
        <w:rPr>
          <w:b/>
          <w:sz w:val="24"/>
        </w:rPr>
        <w:t>采购项目编号：</w:t>
      </w:r>
      <w:r>
        <w:rPr>
          <w:b/>
          <w:sz w:val="24"/>
        </w:rPr>
        <w:t>440606-2022-09796</w:t>
      </w:r>
    </w:p>
    <w:p>
      <w:pPr>
        <w:jc w:val="center"/>
      </w:pPr>
      <w:r>
        <w:rPr>
          <w:b/>
          <w:sz w:val="24"/>
        </w:rPr>
        <w:t>项目名称：</w:t>
      </w:r>
      <w:r>
        <w:rPr>
          <w:b/>
          <w:sz w:val="24"/>
        </w:rPr>
        <w:t>2022-2025年大良街道公共环境除“四害”管理服务项目</w:t>
      </w:r>
    </w:p>
    <w:p>
      <w:pPr>
        <w:jc w:val="center"/>
      </w:pPr>
      <w:r>
        <w:rPr>
          <w:b/>
          <w:sz w:val="24"/>
        </w:rPr>
        <w:t>采购人：</w:t>
      </w:r>
      <w:r>
        <w:rPr>
          <w:b/>
          <w:sz w:val="24"/>
        </w:rPr>
        <w:t>佛山市顺德区大良街道卫生健康办公室</w:t>
      </w:r>
    </w:p>
    <w:p>
      <w:pPr>
        <w:jc w:val="center"/>
      </w:pPr>
      <w:r>
        <w:rPr>
          <w:b/>
          <w:sz w:val="24"/>
        </w:rPr>
        <w:t>采购代理机构：</w:t>
      </w:r>
      <w:r>
        <w:rPr>
          <w:b/>
          <w:sz w:val="24"/>
        </w:rPr>
        <w:t>广东中正弘毅工程管理有限公司</w:t>
      </w:r>
    </w:p>
    <w:p>
      <w:pPr>
        <w:ind w:firstLine="480"/>
      </w:pPr>
    </w:p>
    <w:p>
      <w:r>
        <w:rPr/>
        <w:t xml:space="preserve"> </w:t>
      </w:r>
    </w:p>
    <w:p/>
    <w:p>
      <w:pPr>
        <w:jc w:val="center"/>
      </w:pPr>
      <w:r>
        <w:rPr>
          <w:b/>
          <w:sz w:val="36"/>
        </w:rPr>
        <w:t>第一章投标邀请</w:t>
      </w:r>
    </w:p>
    <w:p>
      <w:pPr>
        <w:ind w:firstLine="480"/>
      </w:pPr>
      <w:r>
        <w:rPr/>
        <w:t>广东中正弘毅工程管理有限公司</w:t>
      </w:r>
      <w:r>
        <w:rPr/>
        <w:t>受</w:t>
      </w:r>
      <w:r>
        <w:rPr/>
        <w:t>佛山市顺德区大良街道卫生健康办公室</w:t>
      </w:r>
      <w:r>
        <w:rPr/>
        <w:t>的委托，采用</w:t>
      </w:r>
      <w:r>
        <w:rPr/>
        <w:t>公开招标</w:t>
      </w:r>
      <w:r>
        <w:rPr/>
        <w:t>方式组织采购</w:t>
      </w:r>
      <w:r>
        <w:rPr/>
        <w:t>2022-2025年大良街道公共环境除“四害”管理服务项目</w:t>
      </w:r>
      <w:r>
        <w:rPr/>
        <w:t>。欢迎符合资格条件的国内供应商参加投标。</w:t>
      </w:r>
    </w:p>
    <w:p>
      <w:r>
        <w:rPr>
          <w:b/>
          <w:sz w:val="28"/>
        </w:rPr>
        <w:t>一.项目概述</w:t>
      </w:r>
    </w:p>
    <w:p>
      <w:r>
        <w:rPr>
          <w:b/>
          <w:sz w:val="24"/>
        </w:rPr>
        <w:t>1.名称与编号</w:t>
      </w:r>
    </w:p>
    <w:p>
      <w:pPr>
        <w:ind w:firstLine="480"/>
      </w:pPr>
      <w:r>
        <w:rPr/>
        <w:t>项目名称：</w:t>
      </w:r>
      <w:r>
        <w:rPr/>
        <w:t>2022-2025年大良街道公共环境除“四害”管理服务项目</w:t>
      </w:r>
    </w:p>
    <w:p>
      <w:pPr>
        <w:ind w:firstLine="480"/>
      </w:pPr>
      <w:r>
        <w:rPr/>
        <w:t>采购计划编号：</w:t>
      </w:r>
      <w:r>
        <w:rPr/>
        <w:t>440606-2022-09796</w:t>
      </w:r>
    </w:p>
    <w:p>
      <w:pPr>
        <w:ind w:firstLine="480"/>
      </w:pPr>
      <w:r>
        <w:rPr/>
        <w:t>采购项目编号：</w:t>
      </w:r>
      <w:r>
        <w:rPr/>
        <w:t>440606-2022-09796</w:t>
      </w:r>
    </w:p>
    <w:p>
      <w:pPr>
        <w:ind w:firstLine="480"/>
      </w:pPr>
      <w:r>
        <w:rPr/>
        <w:t>采购方式：</w:t>
      </w:r>
      <w:r>
        <w:rPr/>
        <w:t>公开招标</w:t>
      </w:r>
    </w:p>
    <w:p>
      <w:pPr>
        <w:ind w:firstLine="480"/>
      </w:pPr>
      <w:r>
        <w:rPr/>
        <w:t>预算金额：</w:t>
      </w:r>
      <w:r>
        <w:rPr/>
        <w:t>14,920,628.52</w:t>
      </w:r>
      <w:r>
        <w:rPr/>
        <w:t>元</w:t>
      </w:r>
    </w:p>
    <w:p>
      <w:r>
        <w:rPr>
          <w:b/>
          <w:sz w:val="24"/>
        </w:rPr>
        <w:t>2.项目内容及需求情况（采购项目技术规格、参数及要求）</w:t>
      </w:r>
    </w:p>
    <w:p>
      <w:pPr>
        <w:ind w:firstLine="480"/>
      </w:pPr>
    </w:p>
    <w:p/>
    <w:p>
      <w:r>
        <w:rPr/>
        <w:t>采购包1(2022-2025年大良街道公共环境除“四害”管理服务项目A标段):</w:t>
      </w:r>
    </w:p>
    <w:p>
      <w:r>
        <w:rPr/>
        <w:t>采购包预算金额：3,795,961.80元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A标段：文秀居委（含街道办事处机关大院）、中区居委、新桂居委、云路居委、府又居委、升平居委的公共环境（含各临时庇护场所），东苑市场、华盖市场、云路综合市场、府又市场、金水市场。</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合同履行期限：2022年12月1日至2025年11月30日止，合共36个月</w:t>
      </w:r>
    </w:p>
    <w:p/>
    <w:p>
      <w:r>
        <w:rPr/>
        <w:t>采购包2(2022-2025年大良街道公共环境除“四害”管理服务项目B标段):</w:t>
      </w:r>
    </w:p>
    <w:p>
      <w:r>
        <w:rPr/>
        <w:t>采购包预算金额：3,842,358.24元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其他服务</w:t>
            </w:r>
          </w:p>
        </w:tc>
        <w:tc>
          <w:tcPr>
            <w:tcW w:type="dxa" w:w="2136"/>
          </w:tcPr>
          <w:p>
            <w:r>
              <w:rPr/>
              <w:t>B标段：南华居委、金榜居委、北区居委、新松居委、新滘居委、古鉴村委的公共环境（含各临时庇护场所），石洛市场、金榜市场、观光市场、新基市场、新滘市场、古鉴市场</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合同履行期限：2022年12月1日至2025年11月30日止，合共36个月</w:t>
      </w:r>
    </w:p>
    <w:p/>
    <w:p>
      <w:r>
        <w:rPr/>
        <w:t>采购包3(2022-2025年大良街道公共环境除“四害”管理服务项目C标段):</w:t>
      </w:r>
    </w:p>
    <w:p>
      <w:r>
        <w:rPr/>
        <w:t>采购包预算金额：3,763,914.24元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3-1</w:t>
            </w:r>
          </w:p>
        </w:tc>
        <w:tc>
          <w:tcPr>
            <w:tcW w:type="dxa" w:w="1424"/>
          </w:tcPr>
          <w:p>
            <w:r>
              <w:rPr/>
              <w:t>其他服务</w:t>
            </w:r>
          </w:p>
        </w:tc>
        <w:tc>
          <w:tcPr>
            <w:tcW w:type="dxa" w:w="2136"/>
          </w:tcPr>
          <w:p>
            <w:r>
              <w:rPr/>
              <w:t>C标段：近良居委、顺峰居委、大门居委、红岗居委的公共环境（含各临时庇护场所）以及顺峰山公园，近良市场、联安市场、延年市场、新誉景市场、金利批发市场、恒龙市场、古楼市场</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合同履行期限：2022年12月1日至2025年11月30日止，合共36个月</w:t>
      </w:r>
    </w:p>
    <w:p/>
    <w:p>
      <w:r>
        <w:rPr/>
        <w:t>采购包4(2022-2025年大良街道公共环境除“四害”管理服务项目D标段):</w:t>
      </w:r>
    </w:p>
    <w:p>
      <w:r>
        <w:rPr/>
        <w:t>采购包预算金额：3,518,394.24元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4-1</w:t>
            </w:r>
          </w:p>
        </w:tc>
        <w:tc>
          <w:tcPr>
            <w:tcW w:type="dxa" w:w="1424"/>
          </w:tcPr>
          <w:p>
            <w:r>
              <w:rPr/>
              <w:t>其他服务</w:t>
            </w:r>
          </w:p>
        </w:tc>
        <w:tc>
          <w:tcPr>
            <w:tcW w:type="dxa" w:w="2136"/>
          </w:tcPr>
          <w:p>
            <w:r>
              <w:rPr/>
              <w:t>D标段：德和居委、苏岗居委、五沙居委、逢沙村委、南江居委的公共环境（含各临时庇护场所），富贵菜市场、五沙市场、逢沙市场、南江市场、南霞市场</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合同履行期限：2022年12月1日至2025年11月30日止，合共36个月</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w:t>
      </w:r>
    </w:p>
    <w:p/>
    <w:p>
      <w:r>
        <w:rPr/>
        <w:t>2）有依法缴纳税收和社会保障资金的良好记录：提供投标截止日前6个月内任意1个月依法缴纳税收的相关材料。如依法免税的，需提供相应证明材料。提供投标截止日前6个月内任意1个月依法缴纳社会保险的凭据【专用收据或社会保险缴纳清单】相关证明材料，如依法不需要缴纳社会保障资金的，提供相应证明材料。</w:t>
      </w:r>
    </w:p>
    <w:p/>
    <w:p>
      <w:r>
        <w:rPr/>
        <w:t>3）具有良好的商业信誉和健全的财务会计制度：须提供下列任一项证明材料：①提供2020或2021年度经审计的财务状况报告复印件(要求：审计报告由第三方会计师事务所出具的，能清晰显示第三方会计师事务所的印章，并能反应审计结论)。②基本开户银行出具的资信证明复印件（要求：资信证明书内容应能够清晰准确反映投标人最近6个月内（从本项目招标公告发布之日起，往前倒推计算）的商业信誉情况和满足采购文件有关要求，且其符合性及有效性将以采购人审查结果为准。如成立时间不足6个月的，按成立时间提供）。③财政部门认可的政府采购专业担保机构出具的投标担保函。</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采购包1（2022-2025年大良街道公共环境除“四害”管理服务项目A标段）：</w:t>
      </w:r>
      <w:r>
        <w:rPr/>
        <w:t>本次项目为专门面向中小企业进行采购，投标人应具备《政府采购法》第二十二条规定的条件，且属于依据国务院批准的中小企业划分标准确定的中型企业、小型企业和微型企业，但与大型企业的负责人为同一人，或者与大型企业存在直接控股、管理关系的除外。响应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w:t>
      </w:r>
    </w:p>
    <w:p>
      <w:pPr>
        <w:jc w:val="left"/>
      </w:pPr>
    </w:p>
    <w:p>
      <w:r>
        <w:rPr/>
        <w:t>采购包2（2022-2025年大良街道公共环境除“四害”管理服务项目B标段）：</w:t>
      </w:r>
      <w:r>
        <w:rPr/>
        <w:t>本次项目为专门面向中小企业进行采购，投标人应具备《政府采购法》第二十二条规定的条件，且属于依据国务院批准的中小企业划分标准确定的中型企业、小型企业和微型企业，但与大型企业的负责人为同一人，或者与大型企业存在直接控股、管理关系的除外。响应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w:t>
      </w:r>
    </w:p>
    <w:p>
      <w:pPr>
        <w:jc w:val="left"/>
      </w:pPr>
    </w:p>
    <w:p>
      <w:r>
        <w:rPr/>
        <w:t>采购包3（2022-2025年大良街道公共环境除“四害”管理服务项目C标段）：</w:t>
      </w:r>
      <w:r>
        <w:rPr/>
        <w:t>本项目不属于专门面向中小企业采购的项目。对于小微企业、监狱企业、残疾人福利性单位等参与本项目所享受的优惠政策，详见本项目采购文件。</w:t>
      </w:r>
    </w:p>
    <w:p>
      <w:pPr>
        <w:jc w:val="left"/>
      </w:pPr>
    </w:p>
    <w:p>
      <w:r>
        <w:rPr/>
        <w:t>采购包4（2022-2025年大良街道公共环境除“四害”管理服务项目D标段）：</w:t>
      </w:r>
      <w:r>
        <w:rPr/>
        <w:t>本项目不属于专门面向中小企业采购的项目。对于小微企业、监狱企业、残疾人福利性单位等参与本项目所享受的优惠政策，详见本项目采购文件。</w:t>
      </w:r>
    </w:p>
    <w:p/>
    <w:p>
      <w:r>
        <w:rPr>
          <w:b/>
          <w:sz w:val="24"/>
        </w:rPr>
        <w:t>3.本项目特定的资格要求：</w:t>
      </w:r>
    </w:p>
    <w:p>
      <w:pPr>
        <w:ind w:firstLine="480"/>
      </w:pPr>
    </w:p>
    <w:p/>
    <w:p>
      <w:r>
        <w:rPr/>
        <w:t>采购包1（2022-2025年大良街道公共环境除“四害”管理服务项目A标段）：</w:t>
      </w:r>
    </w:p>
    <w:p/>
    <w:p>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
      <w:r>
        <w:rPr/>
        <w:t>3)本项目不接受联合体投标；中标后不允许转包、分包。</w:t>
      </w:r>
    </w:p>
    <w:p/>
    <w:p>
      <w:r>
        <w:rPr/>
        <w:t>采购包2（2022-2025年大良街道公共环境除“四害”管理服务项目B标段）：</w:t>
      </w:r>
    </w:p>
    <w:p/>
    <w:p>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
      <w:r>
        <w:rPr/>
        <w:t>3)本项目不接受联合体投标；中标后不允许转包、分包。</w:t>
      </w:r>
    </w:p>
    <w:p/>
    <w:p>
      <w:r>
        <w:rPr/>
        <w:t>采购包3（2022-2025年大良街道公共环境除“四害”管理服务项目C标段）：</w:t>
      </w:r>
    </w:p>
    <w:p/>
    <w:p>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
      <w:r>
        <w:rPr/>
        <w:t>3)本项目不接受联合体投标；中标后不允许转包、分包。</w:t>
      </w:r>
    </w:p>
    <w:p/>
    <w:p>
      <w:r>
        <w:rPr/>
        <w:t>采购包4（2022-2025年大良街道公共环境除“四害”管理服务项目D标段）：</w:t>
      </w:r>
    </w:p>
    <w:p/>
    <w:p>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
      <w:r>
        <w:rPr/>
        <w:t>3)本项目不接受联合体投标；中标后不允许转包、分包。</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广东中正弘毅工程管理有限公司（http://zhongzheng.sowho.com.cn/）</w:t>
      </w:r>
    </w:p>
    <w:p>
      <w:r>
        <w:rPr>
          <w:b/>
          <w:sz w:val="28"/>
        </w:rPr>
        <w:t>六.本项目联系方式：</w:t>
      </w:r>
    </w:p>
    <w:p>
      <w:r>
        <w:rPr>
          <w:b/>
          <w:sz w:val="24"/>
        </w:rPr>
        <w:t>1.采购人信息</w:t>
      </w:r>
    </w:p>
    <w:p>
      <w:pPr>
        <w:ind w:firstLine="480"/>
      </w:pPr>
      <w:r>
        <w:rPr/>
        <w:t>名称：</w:t>
      </w:r>
      <w:r>
        <w:rPr/>
        <w:t>佛山市顺德区大良街道卫生健康办公室</w:t>
      </w:r>
    </w:p>
    <w:p>
      <w:pPr>
        <w:ind w:firstLine="480"/>
      </w:pPr>
      <w:r>
        <w:rPr/>
        <w:t>地址：</w:t>
      </w:r>
      <w:r>
        <w:rPr/>
        <w:t>佛山市顺德区大良街道</w:t>
      </w:r>
    </w:p>
    <w:p>
      <w:pPr>
        <w:ind w:firstLine="480"/>
      </w:pPr>
      <w:r>
        <w:rPr/>
        <w:t>联系方式：</w:t>
      </w:r>
      <w:r>
        <w:rPr/>
        <w:t>29938626</w:t>
      </w:r>
    </w:p>
    <w:p>
      <w:r>
        <w:rPr>
          <w:b/>
          <w:sz w:val="24"/>
        </w:rPr>
        <w:t>2.采购代理机构信息</w:t>
      </w:r>
    </w:p>
    <w:p>
      <w:pPr>
        <w:ind w:firstLine="480"/>
      </w:pPr>
      <w:r>
        <w:rPr/>
        <w:t>名称：</w:t>
      </w:r>
      <w:r>
        <w:rPr/>
        <w:t>广东中正弘毅工程管理有限公司</w:t>
      </w:r>
    </w:p>
    <w:p>
      <w:pPr>
        <w:ind w:firstLine="480"/>
      </w:pPr>
      <w:r>
        <w:rPr/>
        <w:t>地址：</w:t>
      </w:r>
      <w:r>
        <w:rPr/>
        <w:t>佛山市顺德区大良街道近良居委会南翔路6号至壹大厦8楼806</w:t>
      </w:r>
    </w:p>
    <w:p>
      <w:pPr>
        <w:ind w:firstLine="480"/>
      </w:pPr>
      <w:r>
        <w:rPr/>
        <w:t>联系方式：</w:t>
      </w:r>
      <w:r>
        <w:rPr/>
        <w:t>0757-22228717</w:t>
      </w:r>
    </w:p>
    <w:p>
      <w:r>
        <w:rPr>
          <w:b/>
          <w:sz w:val="24"/>
        </w:rPr>
        <w:t>3.项目联系方式</w:t>
      </w:r>
    </w:p>
    <w:p>
      <w:pPr>
        <w:ind w:firstLine="480"/>
      </w:pPr>
      <w:r>
        <w:rPr/>
        <w:t>项目联系人：</w:t>
      </w:r>
      <w:r>
        <w:rPr/>
        <w:t>刘小姐</w:t>
      </w:r>
    </w:p>
    <w:p>
      <w:pPr>
        <w:ind w:firstLine="480"/>
      </w:pPr>
      <w:r>
        <w:rPr/>
        <w:t>电话：</w:t>
      </w:r>
      <w:r>
        <w:rPr/>
        <w:t>0757-22228717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广东中正弘毅工程管理有限公司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547"/>
        <w:jc w:val="both"/>
      </w:pPr>
    </w:p>
    <w:p>
      <w:pPr>
        <w:ind w:firstLine="547"/>
        <w:jc w:val="both"/>
      </w:pPr>
      <w:r>
        <w:rPr>
          <w:sz w:val="24"/>
        </w:rPr>
        <w:t>为科学、规范开展病媒生物防制工作，有效控制我街道</w:t>
      </w:r>
      <w:r>
        <w:rPr>
          <w:sz w:val="24"/>
        </w:rPr>
        <w:t>“四害”（鼠、蚊、蝇、蟑）密度，防控登革热等病媒传染病的发生和流行，佛山市顺德区大良街道卫生健康办公室根据《广东省病媒生物预防控制管理规定》、《佛山市爱国卫生运动委员会办公室关于加强病媒生物防制工作的通知》等法律法规和文件的要求，组织开展街道辖区公共环境“四害”消杀工作。</w:t>
      </w:r>
    </w:p>
    <w:p>
      <w:pPr>
        <w:jc w:val="both"/>
      </w:pPr>
      <w:r>
        <w:rPr>
          <w:sz w:val="24"/>
        </w:rPr>
        <w:t>本项目</w:t>
      </w:r>
      <w:r>
        <w:rPr>
          <w:sz w:val="24"/>
        </w:rPr>
        <w:t>对大良街道</w:t>
      </w:r>
      <w:r>
        <w:rPr>
          <w:sz w:val="24"/>
        </w:rPr>
        <w:t>21个村居（分为4个标段）的各道路、农贸市场、大街小巷、绿化带、河流湖泊及沿岸、下水道沉沙井、闲置地、公园绿地、广场、居民住宅区（有物业服务或业委会的除外）、街道属下公立教育机构、市政公用类公厕、垃圾收集及转运点、垃圾存放容器、临时庇护场所及其他公共外环境场地的灭鼠、灭蚊、灭蟑螂、灭蝇作业，营造整洁环境。A标段：文秀居委（含街道办事处机关大院）、中区居委、新桂居委、云路居委、府又居委、升平居委的公共环境（含各临时庇护场所），东苑市场、华盖市场、云路综合市场、府又市场、金水市场；B标段：南华居委、金榜居委、北区居委、新松居委、新滘居委、古鉴村委的公共环境（含各临时庇护场所），石洛市场、金榜市场、观光市场、新基市场、新滘市场、古鉴市场；C标段：近良居委、顺峰居委、大门居委、红岗居委的公共环境（含各临时庇护场所）以及顺峰山公园，近良市场、联安市场、延年市场、新誉景市场、金利批发市场、恒龙市场、古楼市场；D标段：德和居委、苏岗居委、五沙居委、逢沙村委、南江居委的公共环境（含各临时庇护场所），富贵菜市场、五沙市场、逢沙市场、南江市场、南霞市场。</w:t>
      </w:r>
    </w:p>
    <w:p>
      <w:pPr>
        <w:jc w:val="both"/>
      </w:pPr>
    </w:p>
    <w:p/>
    <w:p>
      <w:pPr>
        <w:ind w:firstLine="480"/>
      </w:pPr>
    </w:p>
    <w:p/>
    <w:p>
      <w:r>
        <w:rPr/>
        <w:t>合同包1（2022-2025年大良街道公共环境除“四害”管理服务项目A标段）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2022年12月1日至2025年11月30日止，合共36个月。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w:t>
            </w:r>
          </w:p>
        </w:tc>
      </w:tr>
      <w:tr>
        <w:tc>
          <w:tcPr>
            <w:tcW w:type="dxa" w:w="4153"/>
          </w:tcPr>
          <w:p>
            <w:r>
              <w:rPr/>
              <w:t>验收要求</w:t>
            </w:r>
          </w:p>
        </w:tc>
        <w:tc>
          <w:tcPr>
            <w:tcW w:type="dxa" w:w="4153"/>
          </w:tcPr>
          <w:p/>
          <w:p/>
          <w:p/>
          <w:p>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r>
              <w:rPr/>
              <w:t>履约保证金</w:t>
            </w:r>
          </w:p>
        </w:tc>
        <w:tc>
          <w:tcPr>
            <w:tcW w:type="dxa" w:w="4153"/>
          </w:tcPr>
          <w:p/>
          <w:p/>
          <w:p/>
          <w:p/>
          <w:p>
            <w:r>
              <w:rPr/>
              <w:t>收取比例：5%,说明：1、履约保证金的金额：本项目中标价（签约合同价）的5%（四舍五入到分）；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tc>
      </w:tr>
      <w:tr>
        <w:tc>
          <w:tcPr>
            <w:tcW w:type="dxa" w:w="4153"/>
          </w:tcPr>
          <w:p>
            <w:r>
              <w:rPr/>
              <w:t>其他</w:t>
            </w:r>
          </w:p>
        </w:tc>
        <w:tc>
          <w:tcPr>
            <w:tcW w:type="dxa" w:w="4153"/>
          </w:tcPr>
          <w:p/>
          <w:p/>
          <w:p>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二、监督考评办法： 在合同履约期间，采购人按照考评办法相关规定对中标人的服务质量、服务成果等进行考评。 （一）管理质量考核标准 1、专业考核 参照《全国爱卫办鼠、蚊、蝇、蟑螂密度监测方案（试行）》 、《灭鼠、蚊、蝇、蟑螂标准》、《佛山市顺德区行政区域公共环境除四害承包质量考评标准及办法》以及国家、省、市、区和行业最新颁布的标准执行。 2、居（村）委会考核 （1）除四害作业前未通知属地居（村）委会及相关管理部门的，每项扣5分。 （2）未按招标文件作业规范要求的频次作业或作业不到位的，每项扣10分。 （3）不遵守管理规定、不服从管理或不配合作业质量考评，经查实有责的，每次扣5分。 （4）未按要求整改，经查实有责的，每件扣5分。经督促仍未处理或未妥善处理，经查实有责的，每件次扣10分。 （5）除上述条款外，违反投标文件中人员承诺的，每项每次扣1分。 （6）除上述条款外，违反投标文件中车辆及设备承诺的，每项每次扣1.5分。 （7）除上述条款外，违反招标文件中其他规定的，每项每次扣2分。 3、街道卫健办考核 结合平时卫生检查、除四害日常施工、投诉与处理、应急等进行考核。 4、社会监督 （1）群众评议：每季度由居（村）委会、考评专家组进行随机访问居民群众。 （2）群众举报或投诉，每季度由街道爱卫办收集和整理群众举报或投诉资料并计分。群众举报或投诉属实，在总分直接扣除，每宗0.5分。 （二）管理质量考核办法 为进一步提高辖区环境卫生质量，根据《佛山市顺德区公共环境除四害承包质量考评标准》（试行）（顺德爱卫办【2006】4号文）的通知精神，加强对大良街道公共环境除“四害”管理服务项目的管理，结合大良街道的实际情况，特制订本考核办法。 1、指导思想 以科学发展观为指导，以营造整洁、优美、舒适、和谐的人居环境为目的，实行市政管理运作的高标准、高效率、高质量，实现大良街道公共环境除“四害”管理服务项目作业科学化、精细化、长效化。 2、组织领导 成立大良街道社会化项目监督考核小组。考核小组成员由佛山市顺德区大良街道卫生健康办公室牵头组织，街道爱卫办、各居村城管主任、社会监督员等成员组成，统一考核业务工作。 3、考核范围 大良街道公共环境除“四害”管理服务项目管理范围内的除“四害”管理情况。 4、考核方法 检查考核由佛山市顺德区大良街道卫生健康办公室牵头，联同区、街道除四害考评组、居（村）委会、街道卫健办、社会监督员等组织实施，采取专业考核、居（村）委会考核、街道卫健办考核、社会监督等方法。 （1）专业考核 定期组织专家进行考评,每三个月作不小于一次定量考评，年终作年度总评定，并出具专业的、有行业监督制约之考核鉴定书。考评监测费用由采购人承担。 （2）居（村）委会考核 由居（村）委会、相关管理部门安排专职人员，负责对除“四害”专业队日常放药、喷洒、治理孳生地、栖生地和成蚊等工作进行跟进并签名确认（大良街道爱卫办印发施工记录表），每三个月对服务本居(村)委会除四害工程进行一次系统检查考核。 （3）街道卫健办考核 由街道卫健办结合日常管理、施工情况、防治效果、配合程度等方面进行不定期综合考核。 （4）社会监督考核 群众举报或投诉，每三个月由街道卫健办收集和整理群众举报或投诉资料并计分。 5、报备制度 （1）无法联系责任方或经多次劝告责任方无果，业已采取措施无效的，非中标人造成的事项可报备不作为考评依据。 （2）中标人须认真填写报备材料，保证准确真实，如发现资料不全或不实的，不作报备处理且作考核扣分记录。 （3）报备事项必须经街道卫健办签字确认后方可生效。 （4）一切报备资料均必须于每月28日前提交，逾期无效。 6、评分方法 （1）各参与考核的单位进行的考核满分均为百分制，采取倒扣分制。 （2）各参与考核的单位必须根据大良街道公共环境除“四害”管理服务项目管理及考核标准执行。 （3）考核总分以权重比例计算构成，具体比例如下： 1）专业考核（30%） ①定期组织专家进行考评，根据国家“四害”密度监测标准与方法的相关标准进行专业考核监测，每三个月作不少于一次定量考评，考评最终分数按各次定量考评分值总和平均。年终作年度总评定，并出具考核鉴定书。 ②质量评估单位要配合政府做好相关迎检和考评工作。安排专业、专职人员，定期对除“四害”专业队日常工作的用药、配药、工作程序等进行抽查、质检和监督，做好记录并签名确认。根据日常检查情况及登革热、寨卡病毒等疫情，对除“四害”专业队提出具体的指导意见和整改方案。 2）居（村）委会考核（40%） 由居（村）委会、相关管理部门安排专职人员，负责对除“四害”专业队日常放药、喷洒、治理孳生地、栖生地和成蚊等工作进行跟进并签名确认，每三个月对服务本居(村)委会除“四害”工作进行一次检查考核。 3）街道卫健办考核（20%） 结合平时卫生检查、除四害日常施工、投诉与处理、应急等进行考核。 4）社会监督考核（10%） ①群众评议：每季度由居（村）委会、考评专家组进行随机访问居民群众。 ②群众举报或投诉，每季度由街道爱卫办收集和整理群众举报或投诉资料并计分。 （4）每个周期（每三个月为一个周期）考核总分作为每个周期管理费发放的依据。街道卫健办将专业考核、居（村）委会考核、街道卫健办考核、社会监督考核等考核分数统一汇总，评出承包管理单位的考核总分，报街道卫健办审定和签发后，上报街道财政结算中心，根据该周期考核结果确定支付的管理费用，并以转账方式支付给各承包管理单位。 7、考核标准 考核标准以大良街道公共环境除“四害”管理服务项目管理质量考核标准执行。大良街道公共环境除“四害”管理服务项目管理质量考核标准未有约定的，以国家、行业标准及区、市、省及国家相关法律法规作依归。如涉及国家、行业及区、市、省更新颁布管理质量标准的，则按新的标准执行。 8、考核内容 （1）除四害管理服务：灭鼠、灭蝇、灭蚊及灭蟑螂等管理服务。 （2）其他规定管理内容等 9、奖惩措施 对大良街道公共环境除“四害”管理服务项目质量的检查考核采用以下措施实施奖惩： （1）部门通报 街道卫健办根据考核情况及评定成绩，召集各承包管理单位集中进行考评会议，点评各标段考核情况及存在问题，并将汇总成绩及相关情况以街道卫健办名义结合实际情况发出通报。 （2）罚则 管理经费由街道卫健办审批后，按考核结果支付。 ①管理经费金额与该周期（每三个月为一个周期）管理质量总分挂钩。 ②按考核总分情况调整发放管理经费。经考核评定，考核总分高于或等于90分的为合格，低于90分的为不合格。其中，考核总分高于或等于90分的，不扣减该周期管理经费；考核总分低于90分，高于或等于80分的，每低1分对应须扣减该周期管理经费1%，不足1分的按1分计算；考核总分低于80分，高于或等于50分的，扣减该周期管理经费50%；考核总分低于50分的，不支付该周期管理经费。 ③合同期内连续两个周期（每三个月为一个周期）考核总分低于80分或出现一个周期考核总分低于50分的，招标人有权解除中标人合同，没收其履约保证金，  10、招标人有权根据实施情况对本考核办法及时做出修改。 四、项目违约责任和合同解除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A标段：文秀居委（含街道办事处机关大院）、中区居委、新桂居委、云路居委、府又居委、升平居委的公共环境（含各临时庇护场所），东苑市场、华盖市场、云路综合市场、府又市场、金水市场。</w:t>
            </w:r>
          </w:p>
        </w:tc>
        <w:tc>
          <w:tcPr>
            <w:tcW w:type="dxa" w:w="933"/>
          </w:tcPr>
          <w:p>
            <w:pPr>
              <w:jc w:val="left"/>
            </w:pPr>
            <w:r>
              <w:rPr/>
              <w:t>项</w:t>
            </w:r>
          </w:p>
        </w:tc>
        <w:tc>
          <w:tcPr>
            <w:tcW w:type="dxa" w:w="933"/>
          </w:tcPr>
          <w:p>
            <w:pPr>
              <w:jc w:val="right"/>
            </w:pPr>
            <w:r>
              <w:rPr/>
              <w:t>1.00</w:t>
            </w:r>
          </w:p>
        </w:tc>
        <w:tc>
          <w:tcPr>
            <w:tcW w:type="dxa" w:w="933"/>
          </w:tcPr>
          <w:p>
            <w:pPr>
              <w:jc w:val="right"/>
            </w:pPr>
            <w:r>
              <w:rPr/>
              <w:t>3,795,961.80</w:t>
            </w:r>
          </w:p>
        </w:tc>
        <w:tc>
          <w:tcPr>
            <w:tcW w:type="dxa" w:w="933"/>
          </w:tcPr>
          <w:p>
            <w:pPr>
              <w:jc w:val="right"/>
            </w:pPr>
            <w:r>
              <w:rPr/>
              <w:t>3,795,961.80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A标段：文秀居委（含街道办事处机关大院）、中区居委、新桂居委、云路居委、府又居委、升平居委的公共环境（含各临时庇护场所），东苑市场、华盖市场、云路综合市场、府又市场、金水市场。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w:t>
            </w:r>
            <w:r>
              <w:rPr>
                <w:b/>
                <w:sz w:val="21"/>
              </w:rPr>
              <w:t>项目标的主要内容</w:t>
            </w:r>
          </w:p>
          <w:p>
            <w:pPr>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784"/>
              <w:gridCol w:w="4814"/>
            </w:tblGrid>
            <w:tr>
              <w:tc>
                <w:tcPr>
                  <w:tcW w:type="dxa" w:w="784"/>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4814"/>
                  <w:tcBorders>
                    <w:top w:val="single" w:color="000000" w:sz="4"/>
                    <w:left w:val="none" w:color="000000" w:sz="4"/>
                    <w:bottom w:val="single" w:color="000000" w:sz="4"/>
                    <w:right w:val="single" w:color="000000" w:sz="4"/>
                  </w:tcBorders>
                  <w:vAlign w:val="top"/>
                </w:tcPr>
                <w:p>
                  <w:pPr>
                    <w:jc w:val="center"/>
                  </w:pPr>
                  <w:r>
                    <w:rPr>
                      <w:sz w:val="21"/>
                    </w:rPr>
                    <w:t>项目内容</w:t>
                  </w:r>
                </w:p>
              </w:tc>
            </w:tr>
            <w:tr>
              <w:tc>
                <w:tcPr>
                  <w:tcW w:type="dxa" w:w="784"/>
                  <w:tcBorders>
                    <w:top w:val="none" w:color="000000" w:sz="4"/>
                    <w:left w:val="single" w:color="000000" w:sz="4"/>
                    <w:bottom w:val="single" w:color="000000" w:sz="4"/>
                    <w:right w:val="single" w:color="000000" w:sz="4"/>
                  </w:tcBorders>
                  <w:vAlign w:val="top"/>
                </w:tcPr>
                <w:p>
                  <w:pPr>
                    <w:jc w:val="center"/>
                  </w:pPr>
                  <w:r>
                    <w:rPr>
                      <w:sz w:val="21"/>
                    </w:rPr>
                    <w:t>A</w:t>
                  </w:r>
                </w:p>
              </w:tc>
              <w:tc>
                <w:tcPr>
                  <w:tcW w:type="dxa" w:w="4814"/>
                  <w:tcBorders>
                    <w:top w:val="none" w:color="000000" w:sz="4"/>
                    <w:left w:val="none" w:color="000000" w:sz="4"/>
                    <w:bottom w:val="single" w:color="000000" w:sz="4"/>
                    <w:right w:val="single" w:color="000000" w:sz="4"/>
                  </w:tcBorders>
                  <w:vAlign w:val="top"/>
                </w:tcPr>
                <w:p>
                  <w:pPr>
                    <w:jc w:val="left"/>
                  </w:pPr>
                  <w:r>
                    <w:rPr>
                      <w:sz w:val="21"/>
                    </w:rPr>
                    <w:t>6个居委及</w:t>
                  </w:r>
                  <w:r>
                    <w:rPr>
                      <w:sz w:val="21"/>
                    </w:rPr>
                    <w:t>5个市场</w:t>
                  </w:r>
                  <w:r>
                    <w:rPr>
                      <w:sz w:val="21"/>
                    </w:rPr>
                    <w:t>除</w:t>
                  </w:r>
                  <w:r>
                    <w:rPr>
                      <w:sz w:val="21"/>
                    </w:rPr>
                    <w:t>“四害”管理服务</w:t>
                  </w:r>
                  <w:r>
                    <w:rPr>
                      <w:sz w:val="21"/>
                    </w:rPr>
                    <w:t>：</w:t>
                  </w:r>
                  <w:r>
                    <w:rPr>
                      <w:sz w:val="21"/>
                    </w:rPr>
                    <w:t>文秀居委（含街道办事处机关大院）、中区居委、新桂居委、云路居委、府又居委、升平居委的公共环境（含各临时庇护场所），东苑市场、华盖市场、云路综合市场、府又市场、金水市场</w:t>
                  </w:r>
                </w:p>
              </w:tc>
            </w:tr>
          </w:tbl>
          <w:p>
            <w:pPr>
              <w:ind w:firstLine="420"/>
            </w:pPr>
          </w:p>
          <w:p>
            <w:pPr>
              <w:ind w:firstLine="420"/>
            </w:pPr>
            <w:r>
              <w:rPr>
                <w:sz w:val="21"/>
              </w:rPr>
              <w:t>2、</w:t>
            </w:r>
            <w:r>
              <w:rPr>
                <w:sz w:val="21"/>
              </w:rPr>
              <w:t>服务范围及内容</w:t>
            </w:r>
          </w:p>
          <w:p>
            <w:pPr>
              <w:jc w:val="both"/>
            </w:pPr>
            <w:r>
              <w:rPr>
                <w:sz w:val="21"/>
              </w:rPr>
              <w:t>6个居委及</w:t>
            </w:r>
            <w:r>
              <w:rPr>
                <w:sz w:val="21"/>
              </w:rPr>
              <w:t>5个市场</w:t>
            </w:r>
            <w:r>
              <w:rPr>
                <w:sz w:val="21"/>
              </w:rPr>
              <w:t>各道路、大街小巷、绿化带、河流湖泊及沿岸、下水道沉沙井、闲置地、公园绿地、广场、居民住宅区（有物业服务或业委会的除外）、街道属下公立教育机构、市政公用类公厕、垃圾收集及转运点、垃圾存放容器及其他公共外环境场地的灭鼠、灭蚊、灭蟑螂、灭蝇工作。并负责和承担本项目相关安全责任。</w:t>
            </w:r>
          </w:p>
        </w:tc>
      </w:tr>
      <w:tr>
        <w:tc>
          <w:tcPr>
            <w:tcW w:type="dxa" w:w="2076"/>
          </w:tcPr>
          <w:p/>
        </w:tc>
        <w:tc>
          <w:tcPr>
            <w:tcW w:type="dxa" w:w="415"/>
          </w:tcPr>
          <w:p>
            <w:r>
              <w:rPr/>
              <w:t>2</w:t>
            </w:r>
          </w:p>
        </w:tc>
        <w:tc>
          <w:tcPr>
            <w:tcW w:type="dxa" w:w="5814"/>
          </w:tcPr>
          <w:p>
            <w:r>
              <w:rPr>
                <w:sz w:val="21"/>
              </w:rPr>
              <w:t>二、</w:t>
            </w:r>
            <w:r>
              <w:rPr>
                <w:sz w:val="21"/>
              </w:rPr>
              <w:t>基本配置要求</w:t>
            </w:r>
          </w:p>
          <w:p>
            <w:pPr>
              <w:ind w:firstLine="420"/>
              <w:jc w:val="both"/>
            </w:pPr>
            <w:r>
              <w:rPr>
                <w:sz w:val="21"/>
              </w:rPr>
              <w:t>1、中标供应商在合同签订后一个月内必须在佛山市顺德区大良街道范围内设有符合工作条件的固定办公场所及具有足够容纳项目一切作业车辆及劳保工具等的停放场地，面积合计不少于200 ㎡，并提供相应的登记证明文件、场地权属证明或场地使用证明，否则视为拒绝履行合同义务。</w:t>
            </w:r>
          </w:p>
          <w:p>
            <w:pPr>
              <w:ind w:firstLine="420"/>
              <w:jc w:val="both"/>
            </w:pPr>
            <w:r>
              <w:rPr>
                <w:sz w:val="21"/>
              </w:rPr>
              <w:t>2、中标供应商在中标后一个月内必须更换管理范围内公示牌的内容。</w:t>
            </w:r>
          </w:p>
          <w:p>
            <w:pPr>
              <w:ind w:firstLine="420"/>
              <w:jc w:val="both"/>
            </w:pPr>
            <w:r>
              <w:rPr>
                <w:sz w:val="21"/>
              </w:rPr>
              <w:t>3、中标供应商的办公场地、工具、车辆存放地和员工住所自行解决。</w:t>
            </w:r>
          </w:p>
          <w:p>
            <w:pPr>
              <w:ind w:firstLine="420"/>
              <w:jc w:val="both"/>
            </w:pPr>
            <w:r>
              <w:rPr>
                <w:sz w:val="21"/>
              </w:rPr>
              <w:t>4、中标供应商必须落实好安全生产的措施和配置安全作业的劳保用品。</w:t>
            </w:r>
          </w:p>
          <w:p>
            <w:pPr>
              <w:ind w:firstLine="420"/>
              <w:jc w:val="both"/>
            </w:pPr>
            <w:r>
              <w:rPr>
                <w:sz w:val="21"/>
              </w:rPr>
              <w:t>5、中标供应商的服务人员数量必须满足招标人的实际工作要求：</w:t>
            </w:r>
          </w:p>
          <w:p>
            <w:pPr>
              <w:ind w:firstLine="420"/>
              <w:jc w:val="both"/>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918"/>
              <w:gridCol w:w="4010"/>
              <w:gridCol w:w="670"/>
            </w:tblGrid>
            <w:tr>
              <w:tc>
                <w:tcPr>
                  <w:tcW w:type="dxa" w:w="918"/>
                  <w:tcBorders>
                    <w:top w:val="single" w:color="000000" w:sz="4"/>
                    <w:left w:val="single" w:color="000000" w:sz="4"/>
                    <w:bottom w:val="single" w:color="000000" w:sz="4"/>
                    <w:right w:val="single" w:color="000000" w:sz="4"/>
                  </w:tcBorders>
                  <w:vAlign w:val="top"/>
                </w:tcPr>
                <w:p>
                  <w:pPr>
                    <w:jc w:val="center"/>
                  </w:pPr>
                  <w:r>
                    <w:rPr>
                      <w:sz w:val="21"/>
                    </w:rPr>
                    <w:t>人员类别</w:t>
                  </w:r>
                </w:p>
              </w:tc>
              <w:tc>
                <w:tcPr>
                  <w:tcW w:type="dxa" w:w="4010"/>
                  <w:tcBorders>
                    <w:top w:val="single" w:color="000000" w:sz="4"/>
                    <w:left w:val="none" w:color="000000" w:sz="4"/>
                    <w:bottom w:val="single" w:color="000000" w:sz="4"/>
                    <w:right w:val="single" w:color="000000" w:sz="4"/>
                  </w:tcBorders>
                  <w:vAlign w:val="top"/>
                </w:tcPr>
                <w:p>
                  <w:pPr>
                    <w:jc w:val="center"/>
                  </w:pPr>
                  <w:r>
                    <w:rPr>
                      <w:sz w:val="21"/>
                    </w:rPr>
                    <w:t>具体要求</w:t>
                  </w:r>
                </w:p>
              </w:tc>
              <w:tc>
                <w:tcPr>
                  <w:tcW w:type="dxa" w:w="670"/>
                  <w:tcBorders>
                    <w:top w:val="single" w:color="000000" w:sz="4"/>
                    <w:left w:val="none" w:color="000000" w:sz="4"/>
                    <w:bottom w:val="single" w:color="000000" w:sz="4"/>
                    <w:right w:val="single" w:color="000000" w:sz="4"/>
                  </w:tcBorders>
                  <w:vAlign w:val="top"/>
                </w:tcPr>
                <w:p>
                  <w:pPr>
                    <w:jc w:val="center"/>
                  </w:pPr>
                  <w:r>
                    <w:rPr>
                      <w:sz w:val="21"/>
                    </w:rPr>
                    <w:t>配置人数</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管理人员</w:t>
                  </w:r>
                </w:p>
              </w:tc>
              <w:tc>
                <w:tcPr>
                  <w:tcW w:type="dxa" w:w="4010"/>
                  <w:tcBorders>
                    <w:top w:val="none" w:color="000000" w:sz="4"/>
                    <w:left w:val="none" w:color="000000" w:sz="4"/>
                    <w:bottom w:val="single" w:color="000000" w:sz="4"/>
                    <w:right w:val="single" w:color="000000" w:sz="4"/>
                  </w:tcBorders>
                  <w:vAlign w:val="top"/>
                </w:tcPr>
                <w:p>
                  <w:pPr>
                    <w:jc w:val="left"/>
                  </w:pPr>
                  <w:r>
                    <w:rPr>
                      <w:sz w:val="21"/>
                    </w:rPr>
                    <w:t>1.负责管理工作团队，并制定每次的除四害工作方案及分配工作</w:t>
                  </w:r>
                </w:p>
                <w:p>
                  <w:pPr>
                    <w:jc w:val="left"/>
                  </w:pPr>
                  <w:r>
                    <w:rPr>
                      <w:sz w:val="21"/>
                    </w:rPr>
                    <w:t>2.具有“有害生物防制（治）员高级（三级）资格证”</w:t>
                  </w:r>
                </w:p>
              </w:tc>
              <w:tc>
                <w:tcPr>
                  <w:tcW w:type="dxa" w:w="670"/>
                  <w:tcBorders>
                    <w:top w:val="none" w:color="000000" w:sz="4"/>
                    <w:left w:val="none" w:color="000000" w:sz="4"/>
                    <w:bottom w:val="single" w:color="000000" w:sz="4"/>
                    <w:right w:val="single" w:color="000000" w:sz="4"/>
                  </w:tcBorders>
                  <w:vAlign w:val="top"/>
                </w:tcPr>
                <w:p>
                  <w:pPr>
                    <w:jc w:val="center"/>
                  </w:pPr>
                  <w:r>
                    <w:rPr>
                      <w:sz w:val="21"/>
                    </w:rPr>
                    <w:t>2</w:t>
                  </w:r>
                  <w:r>
                    <w:rPr>
                      <w:sz w:val="21"/>
                    </w:rPr>
                    <w:t>人</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质检人员</w:t>
                  </w:r>
                </w:p>
              </w:tc>
              <w:tc>
                <w:tcPr>
                  <w:tcW w:type="dxa" w:w="4010"/>
                  <w:tcBorders>
                    <w:top w:val="none" w:color="000000" w:sz="4"/>
                    <w:left w:val="none" w:color="000000" w:sz="4"/>
                    <w:bottom w:val="single" w:color="000000" w:sz="4"/>
                    <w:right w:val="single" w:color="000000" w:sz="4"/>
                  </w:tcBorders>
                  <w:vAlign w:val="top"/>
                </w:tcPr>
                <w:p>
                  <w:pPr>
                    <w:jc w:val="left"/>
                  </w:pPr>
                  <w:r>
                    <w:rPr>
                      <w:sz w:val="21"/>
                    </w:rPr>
                    <w:t>1.负责日常除四害自我监督巡查工作，配合采购人和质量评估单位做好监督检查，完善各项四害防治、监测资料</w:t>
                  </w:r>
                </w:p>
                <w:p>
                  <w:pPr>
                    <w:jc w:val="left"/>
                  </w:pPr>
                  <w:r>
                    <w:rPr>
                      <w:sz w:val="21"/>
                    </w:rPr>
                    <w:t>2.具有“有害生物防制（治）员高级（三级）资格证”</w:t>
                  </w:r>
                </w:p>
              </w:tc>
              <w:tc>
                <w:tcPr>
                  <w:tcW w:type="dxa" w:w="670"/>
                  <w:tcBorders>
                    <w:top w:val="none" w:color="000000" w:sz="4"/>
                    <w:left w:val="none" w:color="000000" w:sz="4"/>
                    <w:bottom w:val="single" w:color="000000" w:sz="4"/>
                    <w:right w:val="single" w:color="000000" w:sz="4"/>
                  </w:tcBorders>
                  <w:vAlign w:val="top"/>
                </w:tcPr>
                <w:p>
                  <w:pPr>
                    <w:jc w:val="center"/>
                  </w:pPr>
                  <w:r>
                    <w:rPr>
                      <w:sz w:val="21"/>
                    </w:rPr>
                    <w:t>2人</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除四害专业人员</w:t>
                  </w:r>
                </w:p>
              </w:tc>
              <w:tc>
                <w:tcPr>
                  <w:tcW w:type="dxa" w:w="4010"/>
                  <w:tcBorders>
                    <w:top w:val="none" w:color="000000" w:sz="4"/>
                    <w:left w:val="none" w:color="000000" w:sz="4"/>
                    <w:bottom w:val="single" w:color="000000" w:sz="4"/>
                    <w:right w:val="single" w:color="000000" w:sz="4"/>
                  </w:tcBorders>
                  <w:vAlign w:val="top"/>
                </w:tcPr>
                <w:p>
                  <w:pPr>
                    <w:jc w:val="left"/>
                  </w:pPr>
                  <w:r>
                    <w:rPr>
                      <w:sz w:val="21"/>
                    </w:rPr>
                    <w:t>1.负责主要的除四害工作及技术指导</w:t>
                  </w:r>
                </w:p>
                <w:p>
                  <w:pPr>
                    <w:jc w:val="left"/>
                  </w:pPr>
                  <w:r>
                    <w:rPr>
                      <w:sz w:val="21"/>
                    </w:rPr>
                    <w:t>2.具有“有害生物防制员或病媒生物防制工”初级证或以上资格证书，其中，至少2人具有“有害生物防制（治）员中级（四级）”或以上资格证书</w:t>
                  </w:r>
                </w:p>
              </w:tc>
              <w:tc>
                <w:tcPr>
                  <w:tcW w:type="dxa" w:w="670"/>
                  <w:tcBorders>
                    <w:top w:val="none" w:color="000000" w:sz="4"/>
                    <w:left w:val="none" w:color="000000" w:sz="4"/>
                    <w:bottom w:val="single" w:color="000000" w:sz="4"/>
                    <w:right w:val="single" w:color="000000" w:sz="4"/>
                  </w:tcBorders>
                  <w:vAlign w:val="top"/>
                </w:tcPr>
                <w:p>
                  <w:pPr>
                    <w:jc w:val="center"/>
                  </w:pPr>
                  <w:r>
                    <w:rPr>
                      <w:sz w:val="21"/>
                    </w:rPr>
                    <w:t>15人</w:t>
                  </w:r>
                </w:p>
              </w:tc>
            </w:tr>
          </w:tbl>
          <w:p>
            <w:pPr>
              <w:ind w:firstLine="420"/>
            </w:pPr>
            <w:r>
              <w:rPr>
                <w:sz w:val="21"/>
              </w:rPr>
              <w:t>7、设备基本配置要求</w:t>
            </w:r>
          </w:p>
          <w:tbl>
            <w:tblPr>
              <w:tblInd w:type="dxa" w:w="150"/>
              <w:tblBorders>
                <w:top w:val="none" w:color="000000" w:sz="4"/>
                <w:left w:val="none" w:color="000000" w:sz="4"/>
                <w:bottom w:val="none" w:color="000000" w:sz="4"/>
                <w:right w:val="none" w:color="000000" w:sz="4"/>
                <w:insideH w:val="none"/>
                <w:insideV w:val="none"/>
              </w:tblBorders>
            </w:tblPr>
            <w:tblGrid>
              <w:gridCol w:w="423"/>
              <w:gridCol w:w="1020"/>
              <w:gridCol w:w="3160"/>
              <w:gridCol w:w="995"/>
            </w:tblGrid>
            <w:tr>
              <w:tc>
                <w:tcPr>
                  <w:tcW w:type="dxa" w:w="423"/>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20"/>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3160"/>
                  <w:tcBorders>
                    <w:top w:val="single" w:color="000000" w:sz="4"/>
                    <w:left w:val="none" w:color="000000" w:sz="4"/>
                    <w:bottom w:val="none" w:color="000000" w:sz="4"/>
                    <w:right w:val="single" w:color="000000" w:sz="4"/>
                  </w:tcBorders>
                  <w:vAlign w:val="top"/>
                </w:tcPr>
                <w:p>
                  <w:pPr>
                    <w:jc w:val="center"/>
                  </w:pPr>
                  <w:r>
                    <w:rPr>
                      <w:sz w:val="21"/>
                    </w:rPr>
                    <w:t>配置</w:t>
                  </w:r>
                  <w:r>
                    <w:rPr>
                      <w:sz w:val="21"/>
                    </w:rPr>
                    <w:t>要求</w:t>
                  </w:r>
                </w:p>
              </w:tc>
              <w:tc>
                <w:tcPr>
                  <w:tcW w:type="dxa" w:w="995"/>
                  <w:tcBorders>
                    <w:top w:val="single" w:color="000000" w:sz="4"/>
                    <w:left w:val="none" w:color="000000" w:sz="4"/>
                    <w:bottom w:val="single" w:color="000000" w:sz="4"/>
                    <w:right w:val="single" w:color="000000" w:sz="4"/>
                  </w:tcBorders>
                  <w:vAlign w:val="top"/>
                </w:tcPr>
                <w:p>
                  <w:pPr>
                    <w:jc w:val="center"/>
                  </w:pPr>
                  <w:r>
                    <w:rPr>
                      <w:sz w:val="21"/>
                    </w:rPr>
                    <w:t>配置数量</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电动超低容量喷雾机</w:t>
                  </w:r>
                </w:p>
              </w:tc>
              <w:tc>
                <w:tcPr>
                  <w:tcW w:type="dxa" w:w="3160"/>
                  <w:tcBorders>
                    <w:top w:val="single" w:color="000000" w:sz="4"/>
                    <w:left w:val="none" w:color="000000" w:sz="4"/>
                    <w:bottom w:val="single" w:color="000000" w:sz="4"/>
                    <w:right w:val="single" w:color="000000" w:sz="4"/>
                  </w:tcBorders>
                  <w:vAlign w:val="top"/>
                </w:tcPr>
                <w:p>
                  <w:pPr>
                    <w:jc w:val="left"/>
                  </w:pPr>
                  <w:r>
                    <w:rPr>
                      <w:sz w:val="21"/>
                    </w:rPr>
                    <w:t>1.技术参数要求:电机：直流无碳刷电机，大于或等于600W。雾滴直径：10～30微米。药液输出量：0～400ml/min连续可调。药箱容量：5L或以上。每台加配1个后备电池。</w:t>
                  </w:r>
                </w:p>
              </w:tc>
              <w:tc>
                <w:tcPr>
                  <w:tcW w:type="dxa" w:w="995"/>
                  <w:tcBorders>
                    <w:top w:val="none" w:color="000000" w:sz="4"/>
                    <w:left w:val="none" w:color="000000" w:sz="4"/>
                    <w:bottom w:val="single" w:color="000000" w:sz="4"/>
                    <w:right w:val="single" w:color="000000" w:sz="4"/>
                  </w:tcBorders>
                  <w:vAlign w:val="top"/>
                </w:tcPr>
                <w:p>
                  <w:pPr>
                    <w:jc w:val="center"/>
                  </w:pPr>
                  <w:r>
                    <w:rPr>
                      <w:sz w:val="21"/>
                    </w:rPr>
                    <w:t>不少于</w:t>
                  </w:r>
                  <w:r>
                    <w:rPr>
                      <w:sz w:val="21"/>
                    </w:rPr>
                    <w:t>7</w:t>
                  </w:r>
                  <w:r>
                    <w:rPr>
                      <w:sz w:val="21"/>
                    </w:rPr>
                    <w:t>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机动超低容量喷雾机</w:t>
                  </w:r>
                </w:p>
              </w:tc>
              <w:tc>
                <w:tcPr>
                  <w:tcW w:type="dxa" w:w="3160"/>
                  <w:tcBorders>
                    <w:top w:val="none" w:color="000000" w:sz="4"/>
                    <w:left w:val="none" w:color="000000" w:sz="4"/>
                    <w:bottom w:val="single" w:color="000000" w:sz="4"/>
                    <w:right w:val="single" w:color="000000" w:sz="4"/>
                  </w:tcBorders>
                  <w:vAlign w:val="top"/>
                </w:tcPr>
                <w:p>
                  <w:pPr>
                    <w:jc w:val="left"/>
                  </w:pPr>
                  <w:r>
                    <w:rPr>
                      <w:sz w:val="21"/>
                    </w:rPr>
                    <w:t>1.技术参数要求:雾滴直径：2～30微米。水平射程＞8米。药箱容量：5L或以上。</w:t>
                  </w:r>
                </w:p>
              </w:tc>
              <w:tc>
                <w:tcPr>
                  <w:tcW w:type="dxa" w:w="995"/>
                  <w:tcBorders>
                    <w:top w:val="none" w:color="000000" w:sz="4"/>
                    <w:left w:val="none" w:color="000000" w:sz="4"/>
                    <w:bottom w:val="single" w:color="000000" w:sz="4"/>
                    <w:right w:val="single" w:color="000000" w:sz="4"/>
                  </w:tcBorders>
                  <w:vAlign w:val="top"/>
                </w:tcPr>
                <w:p>
                  <w:pPr>
                    <w:jc w:val="center"/>
                  </w:pPr>
                  <w:r>
                    <w:rPr>
                      <w:sz w:val="21"/>
                    </w:rPr>
                    <w:t>7</w:t>
                  </w:r>
                  <w:r>
                    <w:rPr>
                      <w:sz w:val="21"/>
                    </w:rPr>
                    <w:t>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机动喷雾机</w:t>
                  </w:r>
                </w:p>
              </w:tc>
              <w:tc>
                <w:tcPr>
                  <w:tcW w:type="dxa" w:w="3160"/>
                  <w:tcBorders>
                    <w:top w:val="none" w:color="000000" w:sz="4"/>
                    <w:left w:val="none" w:color="000000" w:sz="4"/>
                    <w:bottom w:val="single" w:color="000000" w:sz="4"/>
                    <w:right w:val="single" w:color="000000" w:sz="4"/>
                  </w:tcBorders>
                  <w:vAlign w:val="top"/>
                </w:tcPr>
                <w:p>
                  <w:pPr>
                    <w:jc w:val="left"/>
                  </w:pPr>
                  <w:r>
                    <w:rPr>
                      <w:sz w:val="21"/>
                    </w:rPr>
                    <w:t>1.技术参数要求:雾滴直径：50～100微米。水平射程＞8米。药箱容量：10L或以上。</w:t>
                  </w:r>
                </w:p>
              </w:tc>
              <w:tc>
                <w:tcPr>
                  <w:tcW w:type="dxa" w:w="995"/>
                  <w:tcBorders>
                    <w:top w:val="none" w:color="000000" w:sz="4"/>
                    <w:left w:val="none" w:color="000000" w:sz="4"/>
                    <w:bottom w:val="single" w:color="000000" w:sz="4"/>
                    <w:right w:val="single" w:color="000000" w:sz="4"/>
                  </w:tcBorders>
                  <w:vAlign w:val="top"/>
                </w:tcPr>
                <w:p>
                  <w:pPr>
                    <w:jc w:val="center"/>
                  </w:pPr>
                  <w:r>
                    <w:rPr>
                      <w:sz w:val="21"/>
                    </w:rPr>
                    <w:t>6台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电动喷雾机</w:t>
                  </w:r>
                </w:p>
              </w:tc>
              <w:tc>
                <w:tcPr>
                  <w:tcW w:type="dxa" w:w="3160"/>
                  <w:tcBorders>
                    <w:top w:val="none" w:color="000000" w:sz="4"/>
                    <w:left w:val="none" w:color="000000" w:sz="4"/>
                    <w:bottom w:val="single" w:color="000000" w:sz="4"/>
                    <w:right w:val="single" w:color="000000" w:sz="4"/>
                  </w:tcBorders>
                  <w:vAlign w:val="top"/>
                </w:tcPr>
                <w:p>
                  <w:pPr>
                    <w:jc w:val="left"/>
                  </w:pPr>
                  <w:r>
                    <w:rPr>
                      <w:sz w:val="21"/>
                    </w:rPr>
                    <w:t>1.技术参数要求:雾滴直径：50～200微米。水平射程＞6米。药箱容量：5L或以上。</w:t>
                  </w:r>
                </w:p>
              </w:tc>
              <w:tc>
                <w:tcPr>
                  <w:tcW w:type="dxa" w:w="995"/>
                  <w:tcBorders>
                    <w:top w:val="none" w:color="000000" w:sz="4"/>
                    <w:left w:val="none" w:color="000000" w:sz="4"/>
                    <w:bottom w:val="single" w:color="000000" w:sz="4"/>
                    <w:right w:val="single" w:color="000000" w:sz="4"/>
                  </w:tcBorders>
                  <w:vAlign w:val="top"/>
                </w:tcPr>
                <w:p>
                  <w:pPr>
                    <w:jc w:val="center"/>
                  </w:pPr>
                  <w:r>
                    <w:rPr>
                      <w:sz w:val="21"/>
                    </w:rPr>
                    <w:t>不少于</w:t>
                  </w:r>
                  <w:r>
                    <w:rPr>
                      <w:sz w:val="21"/>
                    </w:rPr>
                    <w:t>8台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手推式喷雾机</w:t>
                  </w:r>
                </w:p>
              </w:tc>
              <w:tc>
                <w:tcPr>
                  <w:tcW w:type="dxa" w:w="3160"/>
                  <w:tcBorders>
                    <w:top w:val="none" w:color="000000" w:sz="4"/>
                    <w:left w:val="none" w:color="000000" w:sz="4"/>
                    <w:bottom w:val="single" w:color="000000" w:sz="4"/>
                    <w:right w:val="single" w:color="000000" w:sz="4"/>
                  </w:tcBorders>
                  <w:vAlign w:val="top"/>
                </w:tcPr>
                <w:p>
                  <w:pPr>
                    <w:jc w:val="left"/>
                  </w:pPr>
                  <w:r>
                    <w:rPr>
                      <w:sz w:val="21"/>
                    </w:rPr>
                    <w:t>1.技术参数要求:适合大面积灭蚊及其它病媒昆虫，机动、超低容量、耐用性强，射程10米或以上（受制于风速），雾滴直径30～200微米，药箱容量20L或以上。加配车载式喷头（一套4个）</w:t>
                  </w:r>
                </w:p>
              </w:tc>
              <w:tc>
                <w:tcPr>
                  <w:tcW w:type="dxa" w:w="995"/>
                  <w:tcBorders>
                    <w:top w:val="none" w:color="000000" w:sz="4"/>
                    <w:left w:val="none" w:color="000000" w:sz="4"/>
                    <w:bottom w:val="single" w:color="000000" w:sz="4"/>
                    <w:right w:val="single" w:color="000000" w:sz="4"/>
                  </w:tcBorders>
                  <w:vAlign w:val="top"/>
                </w:tcPr>
                <w:p>
                  <w:pPr>
                    <w:jc w:val="center"/>
                  </w:pPr>
                  <w:r>
                    <w:rPr>
                      <w:sz w:val="21"/>
                    </w:rPr>
                    <w:t>2</w:t>
                  </w:r>
                  <w:r>
                    <w:rPr>
                      <w:sz w:val="21"/>
                    </w:rPr>
                    <w:t>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热烟雾机</w:t>
                  </w:r>
                </w:p>
              </w:tc>
              <w:tc>
                <w:tcPr>
                  <w:tcW w:type="dxa" w:w="3160"/>
                  <w:tcBorders>
                    <w:top w:val="none" w:color="000000" w:sz="4"/>
                    <w:left w:val="none" w:color="000000" w:sz="4"/>
                    <w:bottom w:val="single" w:color="000000" w:sz="4"/>
                    <w:right w:val="single" w:color="000000" w:sz="4"/>
                  </w:tcBorders>
                  <w:vAlign w:val="top"/>
                </w:tcPr>
                <w:p>
                  <w:pPr>
                    <w:jc w:val="left"/>
                  </w:pPr>
                  <w:r>
                    <w:rPr>
                      <w:sz w:val="21"/>
                    </w:rPr>
                    <w:t>1.技术参数要求:雾滴直径：5微米。药液输出量：0～42L/小时。功率：11.6-22KW。 药箱容量：5L或以上。</w:t>
                  </w:r>
                </w:p>
              </w:tc>
              <w:tc>
                <w:tcPr>
                  <w:tcW w:type="dxa" w:w="995"/>
                  <w:tcBorders>
                    <w:top w:val="none" w:color="000000" w:sz="4"/>
                    <w:left w:val="none" w:color="000000" w:sz="4"/>
                    <w:bottom w:val="single" w:color="000000" w:sz="4"/>
                    <w:right w:val="single" w:color="000000" w:sz="4"/>
                  </w:tcBorders>
                  <w:vAlign w:val="top"/>
                </w:tcPr>
                <w:p>
                  <w:pPr>
                    <w:jc w:val="center"/>
                  </w:pPr>
                  <w:r>
                    <w:rPr>
                      <w:sz w:val="21"/>
                    </w:rPr>
                    <w:t>不少于</w:t>
                  </w:r>
                  <w:r>
                    <w:rPr>
                      <w:sz w:val="21"/>
                    </w:rPr>
                    <w:t>7</w:t>
                  </w:r>
                  <w:r>
                    <w:rPr>
                      <w:sz w:val="21"/>
                    </w:rPr>
                    <w:t>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工作车辆</w:t>
                  </w:r>
                </w:p>
              </w:tc>
              <w:tc>
                <w:tcPr>
                  <w:tcW w:type="dxa" w:w="3160"/>
                  <w:tcBorders>
                    <w:top w:val="none" w:color="000000" w:sz="4"/>
                    <w:left w:val="none" w:color="000000" w:sz="4"/>
                    <w:bottom w:val="single" w:color="000000" w:sz="4"/>
                    <w:right w:val="single" w:color="000000" w:sz="4"/>
                  </w:tcBorders>
                  <w:vAlign w:val="top"/>
                </w:tcPr>
                <w:p>
                  <w:pPr>
                    <w:jc w:val="left"/>
                  </w:pPr>
                  <w:r>
                    <w:rPr>
                      <w:sz w:val="21"/>
                    </w:rPr>
                    <w:t>1.技术参数要求:检验有效期内且载重量为0.6吨或以上的机动车辆。</w:t>
                  </w:r>
                </w:p>
                <w:p>
                  <w:pPr>
                    <w:jc w:val="left"/>
                  </w:pPr>
                  <w:r>
                    <w:rPr>
                      <w:sz w:val="21"/>
                    </w:rPr>
                    <w:t>2.小型货车必须配备GPS实时定位设备并接入采购人的监控系统，工作时间内必须开启；（设备的投入和维护等相关费用由中标人承担）</w:t>
                  </w:r>
                </w:p>
              </w:tc>
              <w:tc>
                <w:tcPr>
                  <w:tcW w:type="dxa" w:w="995"/>
                  <w:tcBorders>
                    <w:top w:val="none" w:color="000000" w:sz="4"/>
                    <w:left w:val="none" w:color="000000" w:sz="4"/>
                    <w:bottom w:val="single" w:color="000000" w:sz="4"/>
                    <w:right w:val="single" w:color="000000" w:sz="4"/>
                  </w:tcBorders>
                  <w:vAlign w:val="top"/>
                </w:tcPr>
                <w:p>
                  <w:pPr>
                    <w:jc w:val="center"/>
                  </w:pPr>
                  <w:r>
                    <w:rPr>
                      <w:sz w:val="21"/>
                    </w:rPr>
                    <w:t>2</w:t>
                  </w:r>
                  <w:r>
                    <w:rPr>
                      <w:sz w:val="21"/>
                    </w:rPr>
                    <w:t>辆</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电动三轮车</w:t>
                  </w:r>
                </w:p>
              </w:tc>
              <w:tc>
                <w:tcPr>
                  <w:tcW w:type="dxa" w:w="3160"/>
                  <w:tcBorders>
                    <w:top w:val="none" w:color="000000" w:sz="4"/>
                    <w:left w:val="none" w:color="000000" w:sz="4"/>
                    <w:bottom w:val="single" w:color="000000" w:sz="4"/>
                    <w:right w:val="single" w:color="000000" w:sz="4"/>
                  </w:tcBorders>
                  <w:vAlign w:val="top"/>
                </w:tcPr>
                <w:p>
                  <w:pPr>
                    <w:jc w:val="left"/>
                  </w:pPr>
                  <w:r>
                    <w:rPr>
                      <w:sz w:val="21"/>
                    </w:rPr>
                    <w:t>在</w:t>
                  </w:r>
                  <w:r>
                    <w:rPr>
                      <w:sz w:val="21"/>
                    </w:rPr>
                    <w:t>2020年1月1日后购置。</w:t>
                  </w:r>
                </w:p>
              </w:tc>
              <w:tc>
                <w:tcPr>
                  <w:tcW w:type="dxa" w:w="995"/>
                  <w:tcBorders>
                    <w:top w:val="none" w:color="000000" w:sz="4"/>
                    <w:left w:val="none" w:color="000000" w:sz="4"/>
                    <w:bottom w:val="single" w:color="000000" w:sz="4"/>
                    <w:right w:val="single" w:color="000000" w:sz="4"/>
                  </w:tcBorders>
                  <w:vAlign w:val="top"/>
                </w:tcPr>
                <w:p>
                  <w:pPr>
                    <w:jc w:val="center"/>
                  </w:pPr>
                  <w:r>
                    <w:rPr>
                      <w:sz w:val="21"/>
                    </w:rPr>
                    <w:t>4台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车载式喷雾机</w:t>
                  </w:r>
                </w:p>
              </w:tc>
              <w:tc>
                <w:tcPr>
                  <w:tcW w:type="dxa" w:w="3160"/>
                  <w:tcBorders>
                    <w:top w:val="none" w:color="000000" w:sz="4"/>
                    <w:left w:val="none" w:color="000000" w:sz="4"/>
                    <w:bottom w:val="single" w:color="000000" w:sz="4"/>
                    <w:right w:val="single" w:color="000000" w:sz="4"/>
                  </w:tcBorders>
                  <w:vAlign w:val="top"/>
                </w:tcPr>
                <w:p>
                  <w:pPr>
                    <w:jc w:val="left"/>
                  </w:pPr>
                  <w:r>
                    <w:rPr>
                      <w:sz w:val="21"/>
                    </w:rPr>
                    <w:t>1.输出容量50-100公升/小时，达距100米（受制于风速），雾滴80%&lt;40微米，声量80分贝以下。</w:t>
                  </w:r>
                </w:p>
              </w:tc>
              <w:tc>
                <w:tcPr>
                  <w:tcW w:type="dxa" w:w="995"/>
                  <w:tcBorders>
                    <w:top w:val="none" w:color="000000" w:sz="4"/>
                    <w:left w:val="none" w:color="000000" w:sz="4"/>
                    <w:bottom w:val="single" w:color="000000" w:sz="4"/>
                    <w:right w:val="single" w:color="000000" w:sz="4"/>
                  </w:tcBorders>
                  <w:vAlign w:val="top"/>
                </w:tcPr>
                <w:p>
                  <w:pPr>
                    <w:jc w:val="center"/>
                  </w:pPr>
                  <w:r>
                    <w:rPr>
                      <w:sz w:val="21"/>
                    </w:rPr>
                    <w:t>2台</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鼠屋</w:t>
                  </w:r>
                </w:p>
              </w:tc>
              <w:tc>
                <w:tcPr>
                  <w:tcW w:type="dxa" w:w="3160"/>
                  <w:tcBorders>
                    <w:top w:val="none" w:color="000000" w:sz="4"/>
                    <w:left w:val="none" w:color="000000" w:sz="4"/>
                    <w:bottom w:val="single" w:color="000000" w:sz="4"/>
                    <w:right w:val="single" w:color="000000" w:sz="4"/>
                  </w:tcBorders>
                  <w:vAlign w:val="top"/>
                </w:tcPr>
                <w:p>
                  <w:pPr>
                    <w:jc w:val="left"/>
                  </w:pPr>
                  <w:r>
                    <w:rPr>
                      <w:sz w:val="21"/>
                    </w:rPr>
                    <w:t>1.材质瓦筒，规格≧长34cm宽12cm高12cm</w:t>
                  </w:r>
                </w:p>
              </w:tc>
              <w:tc>
                <w:tcPr>
                  <w:tcW w:type="dxa" w:w="995"/>
                  <w:tcBorders>
                    <w:top w:val="none" w:color="000000" w:sz="4"/>
                    <w:left w:val="none" w:color="000000" w:sz="4"/>
                    <w:bottom w:val="single" w:color="000000" w:sz="4"/>
                    <w:right w:val="single" w:color="000000" w:sz="4"/>
                  </w:tcBorders>
                  <w:vAlign w:val="top"/>
                </w:tcPr>
                <w:p>
                  <w:pPr>
                    <w:jc w:val="center"/>
                  </w:pPr>
                  <w:r>
                    <w:rPr>
                      <w:sz w:val="21"/>
                    </w:rPr>
                    <w:t>3</w:t>
                  </w:r>
                  <w:r>
                    <w:rPr>
                      <w:sz w:val="21"/>
                    </w:rPr>
                    <w:t>600个</w:t>
                  </w:r>
                </w:p>
              </w:tc>
            </w:tr>
            <w:tr>
              <w:tc>
                <w:tcPr>
                  <w:tcW w:type="dxa" w:w="5598"/>
                  <w:gridSpan w:val="4"/>
                  <w:tcBorders>
                    <w:top w:val="none" w:color="000000" w:sz="4"/>
                    <w:left w:val="single" w:color="000000" w:sz="4"/>
                    <w:bottom w:val="single" w:color="000000" w:sz="4"/>
                    <w:right w:val="single" w:color="000000" w:sz="4"/>
                  </w:tcBorders>
                  <w:vAlign w:val="top"/>
                </w:tcPr>
                <w:p>
                  <w:pPr>
                    <w:jc w:val="left"/>
                  </w:pPr>
                  <w:r>
                    <w:rPr>
                      <w:b/>
                      <w:sz w:val="24"/>
                    </w:rPr>
                    <w:t>★注</w:t>
                  </w:r>
                  <w:r>
                    <w:rPr>
                      <w:b/>
                      <w:sz w:val="24"/>
                    </w:rPr>
                    <w:t>1</w:t>
                  </w:r>
                  <w:r>
                    <w:rPr>
                      <w:b/>
                      <w:sz w:val="24"/>
                    </w:rPr>
                    <w:t>：</w:t>
                  </w:r>
                  <w:r>
                    <w:rPr>
                      <w:b/>
                      <w:sz w:val="24"/>
                    </w:rPr>
                    <w:t>中标人提供的设备须在</w:t>
                  </w:r>
                  <w:r>
                    <w:rPr>
                      <w:b/>
                      <w:sz w:val="24"/>
                    </w:rPr>
                    <w:t>2020年1月1日</w:t>
                  </w:r>
                  <w:r>
                    <w:rPr>
                      <w:b/>
                      <w:sz w:val="24"/>
                    </w:rPr>
                    <w:t>之后购置的（在投标时提供承诺函，格式自拟）。</w:t>
                  </w:r>
                </w:p>
                <w:p>
                  <w:pPr>
                    <w:jc w:val="left"/>
                  </w:pPr>
                  <w:r>
                    <w:rPr>
                      <w:b/>
                      <w:sz w:val="21"/>
                    </w:rPr>
                    <w:t>注</w:t>
                  </w:r>
                  <w:r>
                    <w:rPr>
                      <w:b/>
                      <w:sz w:val="21"/>
                    </w:rPr>
                    <w:t>2：</w:t>
                  </w:r>
                  <w:r>
                    <w:rPr>
                      <w:b/>
                      <w:sz w:val="21"/>
                    </w:rPr>
                    <w:t>中标供应商</w:t>
                  </w:r>
                  <w:r>
                    <w:rPr>
                      <w:b/>
                      <w:sz w:val="21"/>
                    </w:rPr>
                    <w:t>须在合同签订后一个月内将上述车辆和设备的发票复印件（发票抬头与</w:t>
                  </w:r>
                  <w:r>
                    <w:rPr>
                      <w:b/>
                      <w:sz w:val="21"/>
                    </w:rPr>
                    <w:t>中标供应商</w:t>
                  </w:r>
                  <w:r>
                    <w:rPr>
                      <w:b/>
                      <w:sz w:val="21"/>
                    </w:rPr>
                    <w:t>单位名称一致）交予</w:t>
                  </w:r>
                  <w:r>
                    <w:rPr>
                      <w:b/>
                      <w:sz w:val="21"/>
                    </w:rPr>
                    <w:t>招标人</w:t>
                  </w:r>
                  <w:r>
                    <w:rPr>
                      <w:b/>
                      <w:sz w:val="21"/>
                    </w:rPr>
                    <w:t>备案。</w:t>
                  </w:r>
                </w:p>
              </w:tc>
            </w:tr>
          </w:tbl>
          <w:p>
            <w:pPr>
              <w:ind w:firstLine="420"/>
              <w:jc w:val="both"/>
            </w:pPr>
            <w:r>
              <w:rPr>
                <w:sz w:val="21"/>
              </w:rPr>
              <w:t>8.</w:t>
            </w:r>
            <w:r>
              <w:rPr>
                <w:sz w:val="21"/>
              </w:rPr>
              <w:t>服装基本配置</w:t>
            </w:r>
          </w:p>
          <w:tbl>
            <w:tblPr>
              <w:tblInd w:type="dxa" w:w="75"/>
              <w:tblBorders>
                <w:top w:val="none" w:color="000000" w:sz="4"/>
                <w:left w:val="none" w:color="000000" w:sz="4"/>
                <w:bottom w:val="none" w:color="000000" w:sz="4"/>
                <w:right w:val="none" w:color="000000" w:sz="4"/>
                <w:insideH w:val="none"/>
                <w:insideV w:val="none"/>
              </w:tblBorders>
            </w:tblPr>
            <w:tblGrid>
              <w:gridCol w:w="561"/>
              <w:gridCol w:w="1105"/>
              <w:gridCol w:w="3933"/>
            </w:tblGrid>
            <w:tr>
              <w:tc>
                <w:tcPr>
                  <w:tcW w:type="dxa" w:w="561"/>
                  <w:tcBorders>
                    <w:top w:val="single" w:color="000000" w:sz="4"/>
                    <w:left w:val="single" w:color="000000" w:sz="4"/>
                    <w:bottom w:val="single" w:color="000000" w:sz="4"/>
                    <w:right w:val="single" w:color="000000" w:sz="4"/>
                  </w:tcBorders>
                  <w:vAlign w:val="top"/>
                </w:tcPr>
                <w:p>
                  <w:pPr>
                    <w:ind w:firstLine="200"/>
                    <w:jc w:val="center"/>
                  </w:pPr>
                  <w:r>
                    <w:rPr>
                      <w:sz w:val="21"/>
                    </w:rPr>
                    <w:t>序号</w:t>
                  </w:r>
                </w:p>
              </w:tc>
              <w:tc>
                <w:tcPr>
                  <w:tcW w:type="dxa" w:w="1105"/>
                  <w:tcBorders>
                    <w:top w:val="single" w:color="000000" w:sz="4"/>
                    <w:left w:val="single" w:color="000000" w:sz="4"/>
                    <w:bottom w:val="single" w:color="000000" w:sz="4"/>
                    <w:right w:val="single" w:color="000000" w:sz="4"/>
                  </w:tcBorders>
                  <w:vAlign w:val="top"/>
                </w:tcPr>
                <w:p>
                  <w:pPr>
                    <w:ind w:firstLine="200"/>
                    <w:jc w:val="center"/>
                  </w:pPr>
                  <w:r>
                    <w:rPr>
                      <w:sz w:val="21"/>
                    </w:rPr>
                    <w:t>服装</w:t>
                  </w:r>
                </w:p>
              </w:tc>
              <w:tc>
                <w:tcPr>
                  <w:tcW w:type="dxa" w:w="3933"/>
                  <w:tcBorders>
                    <w:top w:val="single" w:color="000000" w:sz="4"/>
                    <w:left w:val="single" w:color="000000" w:sz="4"/>
                    <w:bottom w:val="single" w:color="000000" w:sz="4"/>
                    <w:right w:val="single" w:color="000000" w:sz="4"/>
                  </w:tcBorders>
                  <w:vAlign w:val="top"/>
                </w:tcPr>
                <w:p>
                  <w:pPr>
                    <w:ind w:firstLine="200"/>
                    <w:jc w:val="center"/>
                  </w:pPr>
                  <w:r>
                    <w:rPr>
                      <w:sz w:val="21"/>
                    </w:rPr>
                    <w:t>具体要求</w:t>
                  </w:r>
                </w:p>
              </w:tc>
            </w:tr>
            <w:tr>
              <w:tc>
                <w:tcPr>
                  <w:tcW w:type="dxa" w:w="561"/>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105"/>
                  <w:tcBorders>
                    <w:top w:val="none" w:color="000000" w:sz="4"/>
                    <w:left w:val="single" w:color="000000" w:sz="4"/>
                    <w:bottom w:val="single" w:color="000000" w:sz="4"/>
                    <w:right w:val="single" w:color="000000" w:sz="4"/>
                  </w:tcBorders>
                  <w:vAlign w:val="top"/>
                </w:tcPr>
                <w:p>
                  <w:pPr>
                    <w:jc w:val="center"/>
                  </w:pPr>
                  <w:r>
                    <w:rPr>
                      <w:sz w:val="21"/>
                    </w:rPr>
                    <w:t>个人防护</w:t>
                  </w:r>
                </w:p>
              </w:tc>
              <w:tc>
                <w:tcPr>
                  <w:tcW w:type="dxa" w:w="3933"/>
                  <w:tcBorders>
                    <w:top w:val="none" w:color="000000" w:sz="4"/>
                    <w:left w:val="single" w:color="000000" w:sz="4"/>
                    <w:bottom w:val="single" w:color="000000" w:sz="4"/>
                    <w:right w:val="single" w:color="000000" w:sz="4"/>
                  </w:tcBorders>
                  <w:vAlign w:val="top"/>
                </w:tcPr>
                <w:p>
                  <w:pPr>
                    <w:jc w:val="left"/>
                  </w:pPr>
                  <w:r>
                    <w:rPr>
                      <w:sz w:val="21"/>
                    </w:rPr>
                    <w:t>1.服装：统一审定的图案、色泽及格式制作的工作服（含雨衣）</w:t>
                  </w:r>
                </w:p>
                <w:p>
                  <w:pPr>
                    <w:jc w:val="left"/>
                  </w:pPr>
                  <w:r>
                    <w:rPr>
                      <w:sz w:val="21"/>
                    </w:rPr>
                    <w:t>2.反光衣、戴橡胶手套、口罩、镊子等</w:t>
                  </w:r>
                </w:p>
                <w:p>
                  <w:pPr>
                    <w:jc w:val="left"/>
                  </w:pPr>
                  <w:r>
                    <w:rPr>
                      <w:sz w:val="21"/>
                    </w:rPr>
                    <w:t>3.服务期三年的基本装备损耗</w:t>
                  </w:r>
                </w:p>
              </w:tc>
            </w:tr>
          </w:tbl>
          <w:p>
            <w:pPr>
              <w:ind w:firstLine="420"/>
              <w:jc w:val="both"/>
            </w:pPr>
            <w:r>
              <w:rPr>
                <w:sz w:val="21"/>
              </w:rPr>
              <w:t>9.</w:t>
            </w:r>
            <w:r>
              <w:rPr>
                <w:sz w:val="21"/>
              </w:rPr>
              <w:t>防治药品基本配置</w:t>
            </w:r>
          </w:p>
          <w:tbl>
            <w:tblPr>
              <w:tblInd w:type="dxa" w:w="75"/>
              <w:tblBorders>
                <w:top w:val="none" w:color="000000" w:sz="4"/>
                <w:left w:val="none" w:color="000000" w:sz="4"/>
                <w:bottom w:val="none" w:color="000000" w:sz="4"/>
                <w:right w:val="none" w:color="000000" w:sz="4"/>
                <w:insideH w:val="none"/>
                <w:insideV w:val="none"/>
              </w:tblBorders>
            </w:tblPr>
            <w:tblGrid>
              <w:gridCol w:w="519"/>
              <w:gridCol w:w="1136"/>
              <w:gridCol w:w="3943"/>
            </w:tblGrid>
            <w:tr>
              <w:tc>
                <w:tcPr>
                  <w:tcW w:type="dxa" w:w="519"/>
                  <w:tcBorders>
                    <w:top w:val="single" w:color="000000" w:sz="4"/>
                    <w:left w:val="single" w:color="000000" w:sz="4"/>
                    <w:bottom w:val="single" w:color="000000" w:sz="4"/>
                    <w:right w:val="single" w:color="000000" w:sz="4"/>
                  </w:tcBorders>
                  <w:vAlign w:val="top"/>
                </w:tcPr>
                <w:p>
                  <w:pPr>
                    <w:ind w:firstLine="200"/>
                    <w:jc w:val="center"/>
                  </w:pPr>
                  <w:r>
                    <w:rPr>
                      <w:sz w:val="21"/>
                    </w:rPr>
                    <w:t>序号</w:t>
                  </w:r>
                </w:p>
              </w:tc>
              <w:tc>
                <w:tcPr>
                  <w:tcW w:type="dxa" w:w="1136"/>
                  <w:tcBorders>
                    <w:top w:val="single" w:color="000000" w:sz="4"/>
                    <w:left w:val="single" w:color="000000" w:sz="4"/>
                    <w:bottom w:val="single" w:color="000000" w:sz="4"/>
                    <w:right w:val="single" w:color="000000" w:sz="4"/>
                  </w:tcBorders>
                  <w:vAlign w:val="top"/>
                </w:tcPr>
                <w:p>
                  <w:pPr>
                    <w:ind w:firstLine="200"/>
                    <w:jc w:val="center"/>
                  </w:pPr>
                  <w:r>
                    <w:rPr>
                      <w:sz w:val="21"/>
                    </w:rPr>
                    <w:t>药物类别</w:t>
                  </w:r>
                </w:p>
              </w:tc>
              <w:tc>
                <w:tcPr>
                  <w:tcW w:type="dxa" w:w="3943"/>
                  <w:tcBorders>
                    <w:top w:val="single" w:color="000000" w:sz="4"/>
                    <w:left w:val="single" w:color="000000" w:sz="4"/>
                    <w:bottom w:val="single" w:color="000000" w:sz="4"/>
                    <w:right w:val="single" w:color="000000" w:sz="4"/>
                  </w:tcBorders>
                  <w:vAlign w:val="top"/>
                </w:tcPr>
                <w:p>
                  <w:pPr>
                    <w:ind w:firstLine="200"/>
                    <w:jc w:val="center"/>
                  </w:pPr>
                  <w:r>
                    <w:rPr>
                      <w:sz w:val="21"/>
                    </w:rPr>
                    <w:t>具体要求</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136"/>
                  <w:tcBorders>
                    <w:top w:val="none" w:color="000000" w:sz="4"/>
                    <w:left w:val="single" w:color="000000" w:sz="4"/>
                    <w:bottom w:val="single" w:color="000000" w:sz="4"/>
                    <w:right w:val="single" w:color="000000" w:sz="4"/>
                  </w:tcBorders>
                  <w:vAlign w:val="top"/>
                </w:tcPr>
                <w:p>
                  <w:pPr>
                    <w:jc w:val="center"/>
                  </w:pPr>
                  <w:r>
                    <w:rPr>
                      <w:sz w:val="21"/>
                    </w:rPr>
                    <w:t>灭蚊药</w:t>
                  </w:r>
                </w:p>
              </w:tc>
              <w:tc>
                <w:tcPr>
                  <w:tcW w:type="dxa" w:w="3943"/>
                  <w:tcBorders>
                    <w:top w:val="none" w:color="000000" w:sz="4"/>
                    <w:left w:val="single" w:color="000000" w:sz="4"/>
                    <w:bottom w:val="single" w:color="000000" w:sz="4"/>
                    <w:right w:val="single" w:color="000000" w:sz="4"/>
                  </w:tcBorders>
                  <w:vAlign w:val="top"/>
                </w:tcPr>
                <w:p>
                  <w:pPr>
                    <w:jc w:val="left"/>
                  </w:pPr>
                  <w:r>
                    <w:rPr>
                      <w:sz w:val="21"/>
                    </w:rPr>
                    <w:t>1.适用于喷雾机的药剂；定期对项目服务范围内全部场所进行检查，并作空间喷洒灭成蚊，视成蚊密度情况增加频次</w:t>
                  </w:r>
                </w:p>
                <w:p>
                  <w:pPr>
                    <w:jc w:val="left"/>
                  </w:pPr>
                  <w:r>
                    <w:rPr>
                      <w:sz w:val="21"/>
                    </w:rPr>
                    <w:t>2.吊挂蚊虫缓释控制药；对项目服务范围内有积水的下水道沉沙井</w:t>
                  </w:r>
                </w:p>
                <w:p>
                  <w:pPr>
                    <w:jc w:val="left"/>
                  </w:pPr>
                  <w:r>
                    <w:rPr>
                      <w:sz w:val="21"/>
                    </w:rPr>
                    <w:t>3.主要灭蚊、幼虫</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1"/>
                    </w:rPr>
                    <w:t>02</w:t>
                  </w:r>
                </w:p>
              </w:tc>
              <w:tc>
                <w:tcPr>
                  <w:tcW w:type="dxa" w:w="1136"/>
                  <w:tcBorders>
                    <w:top w:val="none" w:color="000000" w:sz="4"/>
                    <w:left w:val="single" w:color="000000" w:sz="4"/>
                    <w:bottom w:val="single" w:color="000000" w:sz="4"/>
                    <w:right w:val="single" w:color="000000" w:sz="4"/>
                  </w:tcBorders>
                  <w:vAlign w:val="top"/>
                </w:tcPr>
                <w:p>
                  <w:pPr>
                    <w:jc w:val="center"/>
                  </w:pPr>
                  <w:r>
                    <w:rPr>
                      <w:sz w:val="21"/>
                    </w:rPr>
                    <w:t>灭蝇药</w:t>
                  </w:r>
                </w:p>
              </w:tc>
              <w:tc>
                <w:tcPr>
                  <w:tcW w:type="dxa" w:w="3943"/>
                  <w:tcBorders>
                    <w:top w:val="none" w:color="000000" w:sz="4"/>
                    <w:left w:val="single" w:color="000000" w:sz="4"/>
                    <w:bottom w:val="single" w:color="000000" w:sz="4"/>
                    <w:right w:val="single" w:color="000000" w:sz="4"/>
                  </w:tcBorders>
                  <w:vAlign w:val="top"/>
                </w:tcPr>
                <w:p>
                  <w:pPr>
                    <w:jc w:val="left"/>
                  </w:pPr>
                  <w:r>
                    <w:rPr>
                      <w:sz w:val="21"/>
                    </w:rPr>
                    <w:t>1.适用于喷雾机</w:t>
                  </w:r>
                </w:p>
                <w:p>
                  <w:pPr>
                    <w:jc w:val="left"/>
                  </w:pPr>
                  <w:r>
                    <w:rPr>
                      <w:sz w:val="21"/>
                    </w:rPr>
                    <w:t>2.定期对项目服务范围内场所进行滞留喷洒灭成蝇</w:t>
                  </w:r>
                </w:p>
                <w:p>
                  <w:pPr>
                    <w:jc w:val="left"/>
                  </w:pPr>
                  <w:r>
                    <w:rPr>
                      <w:sz w:val="21"/>
                    </w:rPr>
                    <w:t>3.主要灭蝇</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1"/>
                    </w:rPr>
                    <w:t>03</w:t>
                  </w:r>
                </w:p>
              </w:tc>
              <w:tc>
                <w:tcPr>
                  <w:tcW w:type="dxa" w:w="1136"/>
                  <w:tcBorders>
                    <w:top w:val="none" w:color="000000" w:sz="4"/>
                    <w:left w:val="single" w:color="000000" w:sz="4"/>
                    <w:bottom w:val="single" w:color="000000" w:sz="4"/>
                    <w:right w:val="single" w:color="000000" w:sz="4"/>
                  </w:tcBorders>
                  <w:vAlign w:val="top"/>
                </w:tcPr>
                <w:p>
                  <w:pPr>
                    <w:jc w:val="center"/>
                  </w:pPr>
                  <w:r>
                    <w:rPr>
                      <w:sz w:val="21"/>
                    </w:rPr>
                    <w:t>灭蟑药</w:t>
                  </w:r>
                </w:p>
              </w:tc>
              <w:tc>
                <w:tcPr>
                  <w:tcW w:type="dxa" w:w="3943"/>
                  <w:tcBorders>
                    <w:top w:val="none" w:color="000000" w:sz="4"/>
                    <w:left w:val="single" w:color="000000" w:sz="4"/>
                    <w:bottom w:val="single" w:color="000000" w:sz="4"/>
                    <w:right w:val="single" w:color="000000" w:sz="4"/>
                  </w:tcBorders>
                  <w:vAlign w:val="top"/>
                </w:tcPr>
                <w:p>
                  <w:pPr>
                    <w:jc w:val="left"/>
                  </w:pPr>
                  <w:r>
                    <w:rPr>
                      <w:sz w:val="21"/>
                    </w:rPr>
                    <w:t>1.适用于热力烟雾机</w:t>
                  </w:r>
                </w:p>
                <w:p>
                  <w:pPr>
                    <w:jc w:val="left"/>
                  </w:pPr>
                  <w:r>
                    <w:rPr>
                      <w:sz w:val="21"/>
                    </w:rPr>
                    <w:t>2.主要灭蟑螂</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1"/>
                    </w:rPr>
                    <w:t>04</w:t>
                  </w:r>
                </w:p>
              </w:tc>
              <w:tc>
                <w:tcPr>
                  <w:tcW w:type="dxa" w:w="1136"/>
                  <w:tcBorders>
                    <w:top w:val="none" w:color="000000" w:sz="4"/>
                    <w:left w:val="single" w:color="000000" w:sz="4"/>
                    <w:bottom w:val="single" w:color="000000" w:sz="4"/>
                    <w:right w:val="single" w:color="000000" w:sz="4"/>
                  </w:tcBorders>
                  <w:vAlign w:val="top"/>
                </w:tcPr>
                <w:p>
                  <w:pPr>
                    <w:jc w:val="center"/>
                  </w:pPr>
                  <w:r>
                    <w:rPr>
                      <w:sz w:val="21"/>
                    </w:rPr>
                    <w:t>灭鼠药</w:t>
                  </w:r>
                </w:p>
              </w:tc>
              <w:tc>
                <w:tcPr>
                  <w:tcW w:type="dxa" w:w="3943"/>
                  <w:tcBorders>
                    <w:top w:val="none" w:color="000000" w:sz="4"/>
                    <w:left w:val="single" w:color="000000" w:sz="4"/>
                    <w:bottom w:val="single" w:color="000000" w:sz="4"/>
                    <w:right w:val="single" w:color="000000" w:sz="4"/>
                  </w:tcBorders>
                  <w:vAlign w:val="top"/>
                </w:tcPr>
                <w:p>
                  <w:pPr>
                    <w:jc w:val="left"/>
                  </w:pPr>
                  <w:r>
                    <w:rPr>
                      <w:sz w:val="21"/>
                    </w:rPr>
                    <w:t>1.灭鼠药：投放于毒鼠屋的灭鼠药</w:t>
                  </w:r>
                </w:p>
                <w:p>
                  <w:pPr>
                    <w:jc w:val="left"/>
                  </w:pPr>
                  <w:r>
                    <w:rPr>
                      <w:sz w:val="21"/>
                    </w:rPr>
                    <w:t>2.适用范围：公共外环境</w:t>
                  </w:r>
                </w:p>
              </w:tc>
            </w:tr>
          </w:tbl>
        </w:tc>
      </w:tr>
      <w:tr>
        <w:tc>
          <w:tcPr>
            <w:tcW w:type="dxa" w:w="2076"/>
          </w:tcPr>
          <w:p/>
        </w:tc>
        <w:tc>
          <w:tcPr>
            <w:tcW w:type="dxa" w:w="415"/>
          </w:tcPr>
          <w:p>
            <w:r>
              <w:rPr/>
              <w:t>3</w:t>
            </w:r>
          </w:p>
        </w:tc>
        <w:tc>
          <w:tcPr>
            <w:tcW w:type="dxa" w:w="5814"/>
          </w:tcPr>
          <w:p>
            <w:pPr>
              <w:ind w:firstLine="480"/>
              <w:jc w:val="both"/>
            </w:pPr>
            <w:r>
              <w:rPr>
                <w:sz w:val="21"/>
              </w:rPr>
              <w:t>三、大良街道公共环境除</w:t>
            </w:r>
            <w:r>
              <w:rPr>
                <w:sz w:val="21"/>
              </w:rPr>
              <w:t>“四害”管理服务项目（A标段）</w:t>
            </w:r>
            <w:r>
              <w:rPr>
                <w:sz w:val="21"/>
              </w:rPr>
              <w:t>服务</w:t>
            </w:r>
            <w:r>
              <w:rPr>
                <w:sz w:val="21"/>
              </w:rPr>
              <w:t>要求</w:t>
            </w:r>
          </w:p>
          <w:p>
            <w:pPr>
              <w:ind w:firstLine="480"/>
              <w:jc w:val="both"/>
            </w:pPr>
            <w:r>
              <w:rPr>
                <w:sz w:val="21"/>
              </w:rPr>
              <w:t>1、人员要求</w:t>
            </w:r>
          </w:p>
          <w:p>
            <w:pPr>
              <w:ind w:firstLine="420"/>
              <w:jc w:val="both"/>
            </w:pPr>
            <w:r>
              <w:rPr>
                <w:sz w:val="21"/>
              </w:rPr>
              <w:t>（</w:t>
            </w:r>
            <w:r>
              <w:rPr>
                <w:sz w:val="21"/>
              </w:rPr>
              <w:t>1）中标供应商必须按招标文件要求聘请足额工作人员专用于本项目，具有完全民事行为能力及身体健全。专业技术人员必须持证上岗。</w:t>
            </w:r>
          </w:p>
          <w:p>
            <w:pPr>
              <w:ind w:firstLine="480"/>
              <w:jc w:val="both"/>
            </w:pPr>
            <w:r>
              <w:rPr>
                <w:sz w:val="21"/>
              </w:rPr>
              <w:t>（</w:t>
            </w:r>
            <w:r>
              <w:rPr>
                <w:sz w:val="21"/>
              </w:rPr>
              <w:t>2）工作人员上岗前须经过培训，熟悉设施设备的使用方法技巧。</w:t>
            </w:r>
          </w:p>
          <w:p>
            <w:pPr>
              <w:ind w:firstLine="480"/>
              <w:jc w:val="both"/>
            </w:pPr>
            <w:r>
              <w:rPr>
                <w:sz w:val="21"/>
              </w:rPr>
              <w:t>（</w:t>
            </w:r>
            <w:r>
              <w:rPr>
                <w:sz w:val="21"/>
              </w:rPr>
              <w:t>3）中标供应商需优先聘用大良街道户籍人员，同等条件下优先聘用大良街道工人。聘请的工作人员的年龄符合法定要求，且具有完全民事行为能力，身体健全。</w:t>
            </w:r>
          </w:p>
          <w:p>
            <w:pPr>
              <w:ind w:firstLine="480"/>
              <w:jc w:val="both"/>
            </w:pPr>
            <w:r>
              <w:rPr>
                <w:sz w:val="21"/>
              </w:rPr>
              <w:t>（</w:t>
            </w:r>
            <w:r>
              <w:rPr>
                <w:sz w:val="21"/>
              </w:rPr>
              <w:t>4）为了保障员工人身安全及意外的福利保险，中标供应商必须依法用工与作业人员签订劳动合同，按顺德区社会劳动保险的有关规定为员工购买社会保险，按时发放工资补贴。</w:t>
            </w:r>
          </w:p>
          <w:p>
            <w:pPr>
              <w:ind w:firstLine="480"/>
              <w:jc w:val="both"/>
            </w:pPr>
            <w:r>
              <w:rPr>
                <w:sz w:val="21"/>
              </w:rPr>
              <w:t>（</w:t>
            </w:r>
            <w:r>
              <w:rPr>
                <w:sz w:val="21"/>
              </w:rPr>
              <w:t>5）中标供应商必须执行国家劳动法的相关规定。</w:t>
            </w:r>
          </w:p>
          <w:p>
            <w:pPr>
              <w:ind w:firstLine="480"/>
              <w:jc w:val="both"/>
            </w:pPr>
            <w:r>
              <w:rPr>
                <w:sz w:val="21"/>
              </w:rPr>
              <w:t>（</w:t>
            </w:r>
            <w:r>
              <w:rPr>
                <w:sz w:val="21"/>
              </w:rPr>
              <w:t>6）作业人员必须穿着按招标人统一审定的图案、色泽及格式制作的工作服（含雨衣），保持衣冠整洁。阴天或夜间作业必须穿着反光衣。</w:t>
            </w:r>
          </w:p>
          <w:p>
            <w:pPr>
              <w:ind w:firstLine="480"/>
              <w:jc w:val="both"/>
            </w:pPr>
            <w:r>
              <w:rPr>
                <w:sz w:val="21"/>
              </w:rPr>
              <w:t>（</w:t>
            </w:r>
            <w:r>
              <w:rPr>
                <w:sz w:val="21"/>
              </w:rPr>
              <w:t>7）作业时间内，作业人员须遵纪守文明作业，不准参加自己管理区域外的工作，不得聚堆闲聊、瞌睡、执捡收集、挪用变卖垃圾废品及从事其它与作业无关的事项。</w:t>
            </w:r>
          </w:p>
          <w:p>
            <w:pPr>
              <w:ind w:firstLine="480"/>
              <w:jc w:val="both"/>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ind w:firstLine="48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由此产生的损失。</w:t>
            </w:r>
          </w:p>
          <w:p>
            <w:pPr>
              <w:ind w:firstLine="420"/>
              <w:jc w:val="both"/>
            </w:pPr>
            <w:r>
              <w:rPr>
                <w:sz w:val="21"/>
              </w:rPr>
              <w:t>2、车辆及设备要求</w:t>
            </w:r>
          </w:p>
          <w:p>
            <w:pPr>
              <w:ind w:firstLine="420"/>
              <w:jc w:val="both"/>
            </w:pPr>
            <w:r>
              <w:rPr>
                <w:sz w:val="21"/>
              </w:rPr>
              <w:t>（</w:t>
            </w:r>
            <w:r>
              <w:rPr>
                <w:sz w:val="21"/>
              </w:rPr>
              <w:t>1）中标供应商必须按招标文件要求足额配足车辆及设备专用于本项目，并使用招标人统一审定的车身图案、色泽及设置格式。</w:t>
            </w:r>
          </w:p>
          <w:p>
            <w:pPr>
              <w:ind w:firstLine="480"/>
              <w:jc w:val="both"/>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ind w:firstLine="480"/>
              <w:jc w:val="both"/>
            </w:pPr>
            <w:r>
              <w:rPr>
                <w:sz w:val="21"/>
              </w:rPr>
              <w:t>（</w:t>
            </w:r>
            <w:r>
              <w:rPr>
                <w:sz w:val="21"/>
              </w:rPr>
              <w:t>3）作业车辆必须具备法定有效证照，并购置办理税款、交强险等法定手续，一车一档，由持有相应驾驶证照的驾驶员驾驶。</w:t>
            </w:r>
          </w:p>
          <w:p>
            <w:pPr>
              <w:ind w:firstLine="480"/>
              <w:jc w:val="both"/>
            </w:pPr>
            <w:r>
              <w:rPr>
                <w:sz w:val="21"/>
              </w:rPr>
              <w:t>（</w:t>
            </w:r>
            <w:r>
              <w:rPr>
                <w:sz w:val="21"/>
              </w:rPr>
              <w:t>4）作业车辆及设备在使用过后必须按规定妥善停放于中标供应商停保场地内，不得随意停放于道路街道等公共区域阻碍通行。</w:t>
            </w:r>
          </w:p>
          <w:p>
            <w:pPr>
              <w:ind w:firstLine="480"/>
              <w:jc w:val="both"/>
            </w:pPr>
            <w:r>
              <w:rPr>
                <w:sz w:val="21"/>
              </w:rPr>
              <w:t>（</w:t>
            </w:r>
            <w:r>
              <w:rPr>
                <w:sz w:val="21"/>
              </w:rPr>
              <w:t>5）作业车辆必须遵守交通法规行驶。除应急抢修处理需要，并经招标人及交警部门同意外，不得于交通高峰期（7：00至9：00，17：00至19：00）占道作业，影响交通通行。</w:t>
            </w:r>
          </w:p>
          <w:p>
            <w:pPr>
              <w:ind w:firstLine="480"/>
              <w:jc w:val="both"/>
            </w:pPr>
            <w:r>
              <w:rPr>
                <w:sz w:val="21"/>
              </w:rPr>
              <w:t>（</w:t>
            </w:r>
            <w:r>
              <w:rPr>
                <w:sz w:val="21"/>
              </w:rPr>
              <w:t>6）小型货车必须配备GPS实时定位设备并接入招标人的监控系统，工作时间内必须开启。设备的投入和维护等相关费用由中标供应商承担。</w:t>
            </w:r>
          </w:p>
          <w:p>
            <w:pPr>
              <w:ind w:firstLine="200"/>
              <w:jc w:val="both"/>
            </w:pPr>
            <w:r>
              <w:rPr>
                <w:sz w:val="21"/>
              </w:rPr>
              <w:t>（</w:t>
            </w:r>
            <w:r>
              <w:rPr>
                <w:sz w:val="21"/>
              </w:rPr>
              <w:t>7）中标人须按招标文件要求足额配置设备及车辆专用于本项目，服务期内不得调往他用，否则将被视作违约。</w:t>
            </w:r>
          </w:p>
          <w:p>
            <w:pPr>
              <w:ind w:firstLine="480"/>
              <w:jc w:val="both"/>
            </w:pPr>
            <w:r>
              <w:rPr>
                <w:sz w:val="21"/>
              </w:rPr>
              <w:t>3、其他要求</w:t>
            </w:r>
          </w:p>
          <w:p>
            <w:pPr>
              <w:ind w:firstLine="480"/>
              <w:jc w:val="both"/>
            </w:pPr>
            <w:r>
              <w:rPr>
                <w:sz w:val="21"/>
              </w:rPr>
              <w:t>（</w:t>
            </w:r>
            <w:r>
              <w:rPr>
                <w:sz w:val="21"/>
              </w:rPr>
              <w:t>1）科学用药，不得使用国家禁用或伪劣的灭鼠、杀虫剂，并需安全操作，灭鼠药物保管完善,不遗失，灭鼠毒饵靠边和隐蔽处投放；不污染环境，确保人、畜安全，若因管理操作引起的一切责任由中标供应商负责。</w:t>
            </w:r>
          </w:p>
          <w:p>
            <w:pPr>
              <w:ind w:firstLine="480"/>
              <w:jc w:val="both"/>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ind w:firstLine="480"/>
              <w:jc w:val="both"/>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ind w:firstLine="480"/>
              <w:jc w:val="both"/>
            </w:pPr>
            <w:r>
              <w:rPr>
                <w:sz w:val="21"/>
              </w:rPr>
              <w:t>（</w:t>
            </w:r>
            <w:r>
              <w:rPr>
                <w:sz w:val="21"/>
              </w:rPr>
              <w:t>4）除虫施药注意个人防护，穿工作服，戴口罩和手套。</w:t>
            </w:r>
          </w:p>
          <w:p>
            <w:pPr>
              <w:ind w:firstLine="480"/>
              <w:jc w:val="both"/>
            </w:pPr>
            <w:r>
              <w:rPr>
                <w:sz w:val="21"/>
              </w:rPr>
              <w:t>（</w:t>
            </w:r>
            <w:r>
              <w:rPr>
                <w:sz w:val="21"/>
              </w:rPr>
              <w:t>5）施药除虫剩余的药物和药物包装容器（材料），回收集中处理不随地遗弃。</w:t>
            </w:r>
          </w:p>
          <w:p>
            <w:pPr>
              <w:ind w:firstLine="480"/>
              <w:jc w:val="both"/>
            </w:pPr>
            <w:r>
              <w:rPr>
                <w:sz w:val="21"/>
              </w:rPr>
              <w:t>（</w:t>
            </w:r>
            <w:r>
              <w:rPr>
                <w:sz w:val="21"/>
              </w:rPr>
              <w:t>6）不在鱼塘和与养鱼有关水体喷洒、倾倒对鱼类有害的杀虫剂和清洗喷雾工具、用具。</w:t>
            </w:r>
          </w:p>
          <w:p>
            <w:pPr>
              <w:ind w:firstLine="480"/>
              <w:jc w:val="both"/>
            </w:pPr>
            <w:r>
              <w:rPr>
                <w:sz w:val="21"/>
              </w:rPr>
              <w:t>（</w:t>
            </w:r>
            <w:r>
              <w:rPr>
                <w:sz w:val="21"/>
              </w:rPr>
              <w:t>7）必须遵守招标人各项管理规定，接受和服从招标人管理人员的管理及考评，配合提供便利条件，及时根据招标人提出的整改意见进行整改。</w:t>
            </w:r>
          </w:p>
          <w:p>
            <w:pPr>
              <w:ind w:firstLine="480"/>
              <w:jc w:val="both"/>
            </w:pPr>
            <w:r>
              <w:rPr>
                <w:sz w:val="21"/>
              </w:rPr>
              <w:t>（</w:t>
            </w:r>
            <w:r>
              <w:rPr>
                <w:sz w:val="21"/>
              </w:rPr>
              <w:t>8）配合招标人按招标文件规定接管新增工作任务，不得有异议。</w:t>
            </w:r>
          </w:p>
          <w:p>
            <w:pPr>
              <w:ind w:firstLine="480"/>
              <w:jc w:val="both"/>
            </w:pPr>
            <w:r>
              <w:rPr>
                <w:sz w:val="21"/>
              </w:rPr>
              <w:t>（</w:t>
            </w:r>
            <w:r>
              <w:rPr>
                <w:sz w:val="21"/>
              </w:rPr>
              <w:t>9）积极配合招标人作好国家、省、市、区及街道各级政府部门组织的考评、检查及验收等活动的迎接工作。</w:t>
            </w:r>
          </w:p>
          <w:p>
            <w:pPr>
              <w:ind w:firstLine="480"/>
              <w:jc w:val="both"/>
            </w:pPr>
            <w:r>
              <w:rPr>
                <w:sz w:val="21"/>
              </w:rPr>
              <w:t>（</w:t>
            </w:r>
            <w:r>
              <w:rPr>
                <w:sz w:val="21"/>
              </w:rPr>
              <w:t xml:space="preserve">10）按招标人要求及时提交作业计划、应急预案等资料，确保所提供的资料真实合理。    </w:t>
            </w:r>
          </w:p>
          <w:p>
            <w:pPr>
              <w:ind w:firstLine="480"/>
              <w:jc w:val="both"/>
            </w:pPr>
            <w:r>
              <w:rPr>
                <w:sz w:val="21"/>
              </w:rPr>
              <w:t>（</w:t>
            </w:r>
            <w:r>
              <w:rPr>
                <w:sz w:val="21"/>
              </w:rPr>
              <w:t>11）无条件配合政府及有关部门举办的一切活动，协助政府及有关部门处理应急事件。</w:t>
            </w:r>
          </w:p>
          <w:p>
            <w:pPr>
              <w:ind w:firstLine="480"/>
              <w:jc w:val="both"/>
            </w:pPr>
            <w:r>
              <w:rPr>
                <w:sz w:val="21"/>
              </w:rPr>
              <w:t>（</w:t>
            </w:r>
            <w:r>
              <w:rPr>
                <w:sz w:val="21"/>
              </w:rPr>
              <w:t>12）中标供应商必须及时制止影响项目管理质量的行为，并及时向招标人汇报情况及提供现场记录（相片、报告），超过24小时不报，则由中标供应商负责按原貌恢复。</w:t>
            </w:r>
          </w:p>
          <w:p>
            <w:pPr>
              <w:ind w:firstLine="480"/>
              <w:jc w:val="both"/>
            </w:pPr>
            <w:r>
              <w:rPr>
                <w:sz w:val="21"/>
              </w:rPr>
              <w:t>（</w:t>
            </w:r>
            <w:r>
              <w:rPr>
                <w:sz w:val="21"/>
              </w:rPr>
              <w:t>13）中标供应商对聘用员工必须严格管理，对他们的行为负全责，如在服务期内发生劳资纠纷、意外（生病、伤亡事故）或违反合同规定、触犯国家法律等，由中标供应商承担全部责任及因事故产生的一切费用。</w:t>
            </w:r>
          </w:p>
          <w:p>
            <w:pPr>
              <w:ind w:firstLine="480"/>
              <w:jc w:val="both"/>
            </w:pPr>
            <w:r>
              <w:rPr>
                <w:sz w:val="21"/>
              </w:rPr>
              <w:t>（</w:t>
            </w:r>
            <w:r>
              <w:rPr>
                <w:sz w:val="21"/>
              </w:rPr>
              <w:t>14）标段辖区每居委定点必须设诱蚊产卵器60个，每月监测一次，记录在案。</w:t>
            </w:r>
          </w:p>
          <w:p>
            <w:pPr>
              <w:ind w:firstLine="480"/>
              <w:jc w:val="both"/>
            </w:pPr>
            <w:r>
              <w:rPr>
                <w:sz w:val="21"/>
              </w:rPr>
              <w:t>（</w:t>
            </w:r>
            <w:r>
              <w:rPr>
                <w:sz w:val="21"/>
              </w:rPr>
              <w:t>15）及时向中标供应商及相关部门反映异常情况。</w:t>
            </w:r>
          </w:p>
          <w:p>
            <w:pPr>
              <w:ind w:firstLine="480"/>
              <w:jc w:val="both"/>
            </w:pPr>
            <w:r>
              <w:rPr>
                <w:sz w:val="21"/>
              </w:rPr>
              <w:t>（</w:t>
            </w:r>
            <w:r>
              <w:rPr>
                <w:sz w:val="21"/>
              </w:rPr>
              <w:t>16）中标供应商必须按招标文件做好日常管理工作，避免群众通过来信、来电、来访等方式投诉。</w:t>
            </w:r>
          </w:p>
          <w:p>
            <w:pPr>
              <w:ind w:firstLine="480"/>
              <w:jc w:val="both"/>
            </w:pPr>
            <w:r>
              <w:rPr>
                <w:sz w:val="21"/>
              </w:rPr>
              <w:t>（</w:t>
            </w:r>
            <w:r>
              <w:rPr>
                <w:sz w:val="21"/>
              </w:rPr>
              <w:t>17）中标供应商直接或间接收到群众通过来信、来电、来访等方式投诉的，必须及时妥善处理整改，避免反复投诉。</w:t>
            </w:r>
          </w:p>
          <w:p>
            <w:pPr>
              <w:ind w:firstLine="480"/>
              <w:jc w:val="both"/>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ind w:firstLine="480"/>
              <w:jc w:val="both"/>
            </w:pPr>
            <w:r>
              <w:rPr>
                <w:sz w:val="21"/>
              </w:rPr>
              <w:t>（</w:t>
            </w:r>
            <w:r>
              <w:rPr>
                <w:sz w:val="21"/>
              </w:rPr>
              <w:t>19）中标供应商应做好服务人员档案管理资料；做好工作记录，建立施药服务卡，做好资料收集，整理归档。如招标人有需要必须随时提供。</w:t>
            </w:r>
          </w:p>
          <w:p>
            <w:pPr>
              <w:ind w:firstLine="480"/>
              <w:jc w:val="both"/>
            </w:pPr>
            <w:r>
              <w:rPr>
                <w:sz w:val="21"/>
              </w:rPr>
              <w:t>（</w:t>
            </w:r>
            <w:r>
              <w:rPr>
                <w:sz w:val="21"/>
              </w:rPr>
              <w:t>20）在服务期内，招标人没有增加服务内容、项目，而中标供应商自行增加工作人员的，所增加的费用由中标供应商负责。</w:t>
            </w:r>
          </w:p>
          <w:p>
            <w:pPr>
              <w:ind w:firstLine="480"/>
              <w:jc w:val="both"/>
            </w:pPr>
            <w:r>
              <w:rPr>
                <w:sz w:val="21"/>
              </w:rPr>
              <w:t>（</w:t>
            </w:r>
            <w:r>
              <w:rPr>
                <w:sz w:val="21"/>
              </w:rPr>
              <w:t>21）中标供应商除设立足够的作业人员外，还要指派 1 名能代表中标供应商履行管理及在检查考评中能承担责任的人员配合招标人、居（村）及监督员的检查考评，以方便日常检查及监督。中标供应商指派代表应确保手机通信畅通。</w:t>
            </w:r>
          </w:p>
          <w:p>
            <w:pPr>
              <w:jc w:val="both"/>
            </w:pPr>
            <w:r>
              <w:rPr>
                <w:sz w:val="21"/>
              </w:rPr>
              <w:t>（</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r>
              <w:rPr/>
              <w:t>4</w:t>
            </w:r>
          </w:p>
        </w:tc>
        <w:tc>
          <w:tcPr>
            <w:tcW w:type="dxa" w:w="5814"/>
          </w:tcPr>
          <w:p>
            <w:r>
              <w:rPr>
                <w:b/>
                <w:sz w:val="21"/>
              </w:rPr>
              <w:t>四、</w:t>
            </w:r>
            <w:r>
              <w:rPr>
                <w:b/>
                <w:sz w:val="21"/>
              </w:rPr>
              <w:t>大良街道公共环境除</w:t>
            </w:r>
            <w:r>
              <w:rPr>
                <w:b/>
                <w:sz w:val="21"/>
              </w:rPr>
              <w:t>“四害”管理服务项目（A标段）</w:t>
            </w:r>
            <w:r>
              <w:rPr>
                <w:b/>
                <w:sz w:val="21"/>
              </w:rPr>
              <w:t>服务标准及操作规范</w:t>
            </w:r>
          </w:p>
          <w:p>
            <w:pPr>
              <w:ind w:firstLine="422"/>
            </w:pPr>
            <w:r>
              <w:rPr>
                <w:b/>
                <w:sz w:val="21"/>
              </w:rPr>
              <w:t>1、服务基本标准</w:t>
            </w:r>
          </w:p>
          <w:p>
            <w:pPr>
              <w:ind w:firstLine="420"/>
            </w:pPr>
            <w:r>
              <w:rPr>
                <w:sz w:val="21"/>
              </w:rPr>
              <w:t>监测标准：《</w:t>
            </w:r>
            <w:r>
              <w:rPr>
                <w:sz w:val="21"/>
              </w:rPr>
              <w:t>&lt;中华人</w:t>
            </w:r>
            <w:r>
              <w:rPr>
                <w:sz w:val="21"/>
              </w:rPr>
              <w:t>民共和国国家标准（</w:t>
            </w:r>
            <w:r>
              <w:rPr>
                <w:sz w:val="21"/>
              </w:rPr>
              <w:t>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p>
            <w:pPr>
              <w:ind w:firstLine="420"/>
            </w:pPr>
            <w:r>
              <w:rPr>
                <w:sz w:val="21"/>
              </w:rPr>
              <w:t>控制水平标准：《中华人民共和国国家标准（</w:t>
            </w:r>
            <w:r>
              <w:rPr>
                <w:sz w:val="21"/>
              </w:rPr>
              <w:t>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tbl>
            <w:tblPr>
              <w:tblBorders>
                <w:top w:val="none" w:color="000000" w:sz="4"/>
                <w:left w:val="none" w:color="000000" w:sz="4"/>
                <w:bottom w:val="none" w:color="000000" w:sz="4"/>
                <w:right w:val="none" w:color="000000" w:sz="4"/>
                <w:insideH w:val="none"/>
                <w:insideV w:val="none"/>
              </w:tblBorders>
            </w:tblPr>
            <w:tblGrid>
              <w:gridCol w:w="900"/>
              <w:gridCol w:w="4698"/>
            </w:tblGrid>
            <w:tr>
              <w:tc>
                <w:tcPr>
                  <w:tcW w:type="dxa" w:w="900"/>
                  <w:tcBorders>
                    <w:top w:val="single" w:color="000000" w:sz="4"/>
                    <w:left w:val="single" w:color="000000" w:sz="4"/>
                    <w:bottom w:val="single" w:color="000000" w:sz="4"/>
                    <w:right w:val="single" w:color="000000" w:sz="4"/>
                  </w:tcBorders>
                  <w:vAlign w:val="top"/>
                </w:tcPr>
                <w:p>
                  <w:pPr>
                    <w:jc w:val="center"/>
                  </w:pPr>
                  <w:r>
                    <w:rPr>
                      <w:sz w:val="21"/>
                    </w:rPr>
                    <w:t>灭鼠标准</w:t>
                  </w:r>
                </w:p>
              </w:tc>
              <w:tc>
                <w:tcPr>
                  <w:tcW w:type="dxa" w:w="4698"/>
                  <w:tcBorders>
                    <w:top w:val="single" w:color="000000" w:sz="4"/>
                    <w:left w:val="none" w:color="000000" w:sz="4"/>
                    <w:bottom w:val="single" w:color="000000" w:sz="4"/>
                    <w:right w:val="single" w:color="000000" w:sz="4"/>
                  </w:tcBorders>
                  <w:vAlign w:val="top"/>
                </w:tcPr>
                <w:p>
                  <w:pPr>
                    <w:jc w:val="both"/>
                  </w:pPr>
                  <w:r>
                    <w:rPr>
                      <w:sz w:val="21"/>
                    </w:rPr>
                    <w:t>1、15平方米标准房间布放20×20厘米滑石粉块两块，一夜后阳性块不超过3%；有鼠洞、鼠粪、鼠咬痕等鼠迹的房间不超过2%；重点单位防鼠设施不合格处不超过5%。</w:t>
                  </w:r>
                </w:p>
                <w:p>
                  <w:pPr>
                    <w:jc w:val="both"/>
                  </w:pPr>
                  <w:r>
                    <w:rPr>
                      <w:sz w:val="21"/>
                    </w:rPr>
                    <w:t>2、不同类型的外环境累计2000米，鼠迹不超过5处。</w:t>
                  </w:r>
                </w:p>
              </w:tc>
            </w:tr>
            <w:tr>
              <w:tc>
                <w:tcPr>
                  <w:tcW w:type="dxa" w:w="900"/>
                  <w:tcBorders>
                    <w:top w:val="none" w:color="000000" w:sz="4"/>
                    <w:left w:val="single" w:color="000000" w:sz="4"/>
                    <w:bottom w:val="single" w:color="000000" w:sz="4"/>
                    <w:right w:val="single" w:color="000000" w:sz="4"/>
                  </w:tcBorders>
                  <w:vAlign w:val="top"/>
                </w:tcPr>
                <w:p>
                  <w:pPr>
                    <w:jc w:val="center"/>
                  </w:pPr>
                  <w:r>
                    <w:rPr>
                      <w:sz w:val="21"/>
                    </w:rPr>
                    <w:t>灭蚊标准</w:t>
                  </w:r>
                </w:p>
              </w:tc>
              <w:tc>
                <w:tcPr>
                  <w:tcW w:type="dxa" w:w="4698"/>
                  <w:tcBorders>
                    <w:top w:val="none" w:color="000000" w:sz="4"/>
                    <w:left w:val="none" w:color="000000" w:sz="4"/>
                    <w:bottom w:val="single" w:color="000000" w:sz="4"/>
                    <w:right w:val="single" w:color="000000" w:sz="4"/>
                  </w:tcBorders>
                  <w:vAlign w:val="top"/>
                </w:tcPr>
                <w:p>
                  <w:pPr>
                    <w:jc w:val="both"/>
                  </w:pPr>
                  <w:r>
                    <w:rPr>
                      <w:sz w:val="21"/>
                    </w:rPr>
                    <w:t>1、居民住宅、单位内外环境各种存水容器和积水中，蚊幼及蛹的阳性率不超过3%。</w:t>
                  </w:r>
                </w:p>
                <w:p>
                  <w:pPr>
                    <w:jc w:val="both"/>
                  </w:pPr>
                  <w:r>
                    <w:rPr>
                      <w:sz w:val="21"/>
                    </w:rPr>
                    <w:t>2、用500ml收集勺采集城区内大中型水体中的蚊幼或蛹阳性率不超过3%，阳性勺内幼虫或蛹的平均数不超过5只。</w:t>
                  </w:r>
                </w:p>
                <w:p>
                  <w:pPr>
                    <w:jc w:val="both"/>
                  </w:pPr>
                  <w:r>
                    <w:rPr>
                      <w:sz w:val="21"/>
                    </w:rPr>
                    <w:t>3、特殊场所白天人诱蚊30分钟，平均每人次诱获成蚊数不超过1只。</w:t>
                  </w:r>
                </w:p>
              </w:tc>
            </w:tr>
            <w:tr>
              <w:tc>
                <w:tcPr>
                  <w:tcW w:type="dxa" w:w="900"/>
                  <w:tcBorders>
                    <w:top w:val="none" w:color="000000" w:sz="4"/>
                    <w:left w:val="single" w:color="000000" w:sz="4"/>
                    <w:bottom w:val="single" w:color="000000" w:sz="4"/>
                    <w:right w:val="single" w:color="000000" w:sz="4"/>
                  </w:tcBorders>
                  <w:vAlign w:val="top"/>
                </w:tcPr>
                <w:p>
                  <w:pPr>
                    <w:jc w:val="center"/>
                  </w:pPr>
                  <w:r>
                    <w:rPr>
                      <w:sz w:val="21"/>
                    </w:rPr>
                    <w:t>灭蟑螂标准</w:t>
                  </w:r>
                </w:p>
              </w:tc>
              <w:tc>
                <w:tcPr>
                  <w:tcW w:type="dxa" w:w="4698"/>
                  <w:tcBorders>
                    <w:top w:val="none" w:color="000000" w:sz="4"/>
                    <w:left w:val="none" w:color="000000" w:sz="4"/>
                    <w:bottom w:val="single" w:color="000000" w:sz="4"/>
                    <w:right w:val="single" w:color="000000" w:sz="4"/>
                  </w:tcBorders>
                  <w:vAlign w:val="top"/>
                </w:tcPr>
                <w:p>
                  <w:pPr>
                    <w:jc w:val="both"/>
                  </w:pPr>
                  <w:r>
                    <w:rPr>
                      <w:sz w:val="21"/>
                    </w:rPr>
                    <w:t>1、室内有蟑螂成虫或若虫阳性房间不超过3%，平均每间房大蠊不超过5只，小蠊不超过10只。</w:t>
                  </w:r>
                </w:p>
                <w:p>
                  <w:pPr>
                    <w:jc w:val="both"/>
                  </w:pPr>
                  <w:r>
                    <w:rPr>
                      <w:sz w:val="21"/>
                    </w:rPr>
                    <w:t>2、有活蟑螂卵鞘房间不超过2%，平均每间房不超过4只。</w:t>
                  </w:r>
                </w:p>
                <w:p>
                  <w:pPr>
                    <w:jc w:val="both"/>
                  </w:pPr>
                  <w:r>
                    <w:rPr>
                      <w:sz w:val="21"/>
                    </w:rPr>
                    <w:t>3、有蟑螂粪便、蜕皮等蟑迹的房间不过5%。</w:t>
                  </w:r>
                </w:p>
              </w:tc>
            </w:tr>
            <w:tr>
              <w:tc>
                <w:tcPr>
                  <w:tcW w:type="dxa" w:w="900"/>
                  <w:tcBorders>
                    <w:top w:val="none" w:color="000000" w:sz="4"/>
                    <w:left w:val="single" w:color="000000" w:sz="4"/>
                    <w:bottom w:val="single" w:color="000000" w:sz="4"/>
                    <w:right w:val="single" w:color="000000" w:sz="4"/>
                  </w:tcBorders>
                  <w:vAlign w:val="top"/>
                </w:tcPr>
                <w:p>
                  <w:pPr>
                    <w:jc w:val="center"/>
                  </w:pPr>
                  <w:r>
                    <w:rPr>
                      <w:sz w:val="21"/>
                    </w:rPr>
                    <w:t>灭蝇标准</w:t>
                  </w:r>
                </w:p>
              </w:tc>
              <w:tc>
                <w:tcPr>
                  <w:tcW w:type="dxa" w:w="4698"/>
                  <w:tcBorders>
                    <w:top w:val="none" w:color="000000" w:sz="4"/>
                    <w:left w:val="none" w:color="000000" w:sz="4"/>
                    <w:bottom w:val="single" w:color="000000" w:sz="4"/>
                    <w:right w:val="single" w:color="000000" w:sz="4"/>
                  </w:tcBorders>
                  <w:vAlign w:val="top"/>
                </w:tcPr>
                <w:p>
                  <w:pPr>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jc w:val="both"/>
                  </w:pPr>
                  <w:r>
                    <w:rPr>
                      <w:sz w:val="21"/>
                    </w:rPr>
                    <w:t>2、蝇类孳生地得到有效治理，幼虫和蛹的检出率不超过3</w:t>
                  </w:r>
                  <w:r>
                    <w:rPr>
                      <w:sz w:val="21"/>
                    </w:rPr>
                    <w:t>%</w:t>
                  </w:r>
                  <w:r>
                    <w:rPr>
                      <w:sz w:val="21"/>
                    </w:rPr>
                    <w:t>。</w:t>
                  </w:r>
                </w:p>
              </w:tc>
            </w:tr>
          </w:tbl>
          <w:p/>
          <w:p>
            <w:r>
              <w:rPr>
                <w:b/>
                <w:sz w:val="21"/>
              </w:rPr>
              <w:t>2、</w:t>
            </w:r>
            <w:r>
              <w:rPr>
                <w:b/>
                <w:sz w:val="21"/>
              </w:rPr>
              <w:t>操作规范</w:t>
            </w:r>
          </w:p>
          <w:tbl>
            <w:tblPr>
              <w:tblBorders>
                <w:top w:val="none" w:color="000000" w:sz="4"/>
                <w:left w:val="none" w:color="000000" w:sz="4"/>
                <w:bottom w:val="none" w:color="000000" w:sz="4"/>
                <w:right w:val="none" w:color="000000" w:sz="4"/>
                <w:insideH w:val="none"/>
                <w:insideV w:val="none"/>
              </w:tblBorders>
            </w:tblPr>
            <w:tblGrid>
              <w:gridCol w:w="619"/>
              <w:gridCol w:w="4046"/>
              <w:gridCol w:w="933"/>
            </w:tblGrid>
            <w:tr>
              <w:tc>
                <w:tcPr>
                  <w:tcW w:type="dxa" w:w="619"/>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4046"/>
                  <w:tcBorders>
                    <w:top w:val="single" w:color="000000" w:sz="4"/>
                    <w:left w:val="single" w:color="000000" w:sz="4"/>
                    <w:bottom w:val="single" w:color="000000" w:sz="4"/>
                    <w:right w:val="single" w:color="000000" w:sz="4"/>
                  </w:tcBorders>
                  <w:vAlign w:val="top"/>
                </w:tcPr>
                <w:p>
                  <w:pPr>
                    <w:jc w:val="center"/>
                  </w:pPr>
                  <w:r>
                    <w:rPr>
                      <w:sz w:val="21"/>
                    </w:rPr>
                    <w:t>工作内容</w:t>
                  </w:r>
                </w:p>
              </w:tc>
              <w:tc>
                <w:tcPr>
                  <w:tcW w:type="dxa" w:w="933"/>
                  <w:tcBorders>
                    <w:top w:val="single" w:color="000000" w:sz="4"/>
                    <w:left w:val="single" w:color="000000" w:sz="4"/>
                    <w:bottom w:val="single" w:color="000000" w:sz="4"/>
                    <w:right w:val="single" w:color="000000" w:sz="4"/>
                  </w:tcBorders>
                  <w:vAlign w:val="top"/>
                </w:tcPr>
                <w:p>
                  <w:pPr>
                    <w:jc w:val="center"/>
                  </w:pPr>
                  <w:r>
                    <w:rPr>
                      <w:sz w:val="21"/>
                    </w:rPr>
                    <w:t>标</w:t>
                  </w:r>
                  <w:r>
                    <w:rPr>
                      <w:sz w:val="21"/>
                    </w:rPr>
                    <w:t xml:space="preserve">  </w:t>
                  </w:r>
                  <w:r>
                    <w:rPr>
                      <w:sz w:val="21"/>
                    </w:rPr>
                    <w:t>准</w:t>
                  </w:r>
                </w:p>
              </w:tc>
            </w:tr>
            <w:tr>
              <w:tc>
                <w:tcPr>
                  <w:tcW w:type="dxa" w:w="619"/>
                  <w:vMerge w:val="restart"/>
                  <w:tcBorders>
                    <w:top w:val="none" w:color="000000" w:sz="4"/>
                    <w:left w:val="single" w:color="000000" w:sz="4"/>
                    <w:bottom w:val="single" w:color="000000" w:sz="4"/>
                    <w:right w:val="single" w:color="000000" w:sz="4"/>
                  </w:tcBorders>
                  <w:vAlign w:val="top"/>
                </w:tcPr>
                <w:p>
                  <w:pPr>
                    <w:jc w:val="center"/>
                  </w:pPr>
                  <w:r>
                    <w:rPr>
                      <w:sz w:val="21"/>
                    </w:rPr>
                    <w:t>灭鼠</w:t>
                  </w:r>
                </w:p>
              </w:tc>
              <w:tc>
                <w:tcPr>
                  <w:tcW w:type="dxa" w:w="4046"/>
                  <w:tcBorders>
                    <w:top w:val="none" w:color="000000" w:sz="4"/>
                    <w:left w:val="single" w:color="000000" w:sz="4"/>
                    <w:bottom w:val="single" w:color="000000" w:sz="4"/>
                    <w:right w:val="single" w:color="000000" w:sz="4"/>
                  </w:tcBorders>
                  <w:vAlign w:val="top"/>
                </w:tcPr>
                <w:p>
                  <w:pPr>
                    <w:jc w:val="both"/>
                  </w:pPr>
                  <w:r>
                    <w:rPr>
                      <w:sz w:val="21"/>
                    </w:rPr>
                    <w:t>1、对项目服务范围内公共环境和扩大覆盖面范围进行饱和投放灭鼠药。</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2、定期对项目服务范围内的鼠迹进行检查，发现鼠迹立即清理并及时按常规投放和补充毒饵。</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3、定期对项目服务范围内的鼠情进行监测，按常规投药和补投药。</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4、对项目服务范围内主要重点单位如</w:t>
                  </w:r>
                  <w:r>
                    <w:rPr>
                      <w:sz w:val="21"/>
                    </w:rPr>
                    <w:t>农贸</w:t>
                  </w:r>
                  <w:r>
                    <w:rPr>
                      <w:sz w:val="21"/>
                    </w:rPr>
                    <w:t>市场、学校等外环境定期进行</w:t>
                  </w:r>
                  <w:r>
                    <w:rPr>
                      <w:sz w:val="21"/>
                    </w:rPr>
                    <w:t>目测法密度检测</w:t>
                  </w:r>
                  <w:r>
                    <w:rPr>
                      <w:sz w:val="21"/>
                    </w:rPr>
                    <w:t>鼠情调研。</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原则上平均每居（村）</w:t>
                  </w:r>
                  <w:r>
                    <w:rPr>
                      <w:sz w:val="21"/>
                    </w:rPr>
                    <w:t>600个</w:t>
                  </w:r>
                </w:p>
                <w:p>
                  <w:pPr>
                    <w:jc w:val="center"/>
                  </w:pPr>
                  <w:r>
                    <w:rPr>
                      <w:sz w:val="21"/>
                    </w:rPr>
                    <w:t>（视实际情况调剂）</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6、每季度按国家考核标准对鼠密度进行监测。</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vAlign w:val="top"/>
                </w:tcPr>
                <w:p>
                  <w:pPr>
                    <w:jc w:val="center"/>
                  </w:pPr>
                  <w:r>
                    <w:rPr>
                      <w:sz w:val="21"/>
                    </w:rPr>
                    <w:t>灭蚊</w:t>
                  </w:r>
                </w:p>
              </w:tc>
              <w:tc>
                <w:tcPr>
                  <w:tcW w:type="dxa" w:w="4046"/>
                  <w:tcBorders>
                    <w:top w:val="none" w:color="000000" w:sz="4"/>
                    <w:left w:val="single" w:color="000000" w:sz="4"/>
                    <w:bottom w:val="single" w:color="000000" w:sz="4"/>
                    <w:right w:val="single" w:color="000000" w:sz="4"/>
                  </w:tcBorders>
                  <w:vAlign w:val="top"/>
                </w:tcPr>
                <w:p>
                  <w:pPr>
                    <w:jc w:val="both"/>
                  </w:pPr>
                  <w:r>
                    <w:rPr>
                      <w:sz w:val="21"/>
                    </w:rPr>
                    <w:t>1、定期对项目服务范围内大、中型水体进行检查，发现幼虫孳生立即施药。</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w:t>
                  </w:r>
                  <w:r>
                    <w:rPr>
                      <w:sz w:val="21"/>
                    </w:rPr>
                    <w:t>月更换</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3、定期对项目服务范围内进行积水清理，确保控制蚊虫孳生。</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4、定期对项目服务范围内下水道进行热烟雾处理烟熏灭蚊。</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5、</w:t>
                  </w:r>
                  <w:r>
                    <w:rPr>
                      <w:sz w:val="21"/>
                    </w:rPr>
                    <w:t>居民住宅区、学校、幼儿园、农贸市场、闲置地、公园绿地、垃圾收集点、市政公厕、公寓楼梯间等特殊场所外环境，每半月全面查治孳生地一次，并作空间喷洒灭成蚊，视成蚊密度情况增加频次</w:t>
                  </w:r>
                  <w:r>
                    <w:rPr>
                      <w:sz w:val="21"/>
                    </w:rPr>
                    <w:t>。</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6、定期对项目服务范围内场所进行孳生地全面查治。</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7、居民住宅区及公共环境各放2盏蚊灯，每月每村居布放诱蚊诱卵器60个，每月进行监测，及时掌握蚊虫密度，向采购人提供监测数据和技术支持。</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8、每季度按国家考核标准对蚊密度进行监测。</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vAlign w:val="top"/>
                </w:tcPr>
                <w:p>
                  <w:pPr>
                    <w:jc w:val="center"/>
                  </w:pPr>
                  <w:r>
                    <w:rPr>
                      <w:sz w:val="21"/>
                    </w:rPr>
                    <w:t>灭蝇</w:t>
                  </w:r>
                </w:p>
              </w:tc>
              <w:tc>
                <w:tcPr>
                  <w:tcW w:type="dxa" w:w="4046"/>
                  <w:tcBorders>
                    <w:top w:val="none" w:color="000000" w:sz="4"/>
                    <w:left w:val="single" w:color="000000" w:sz="4"/>
                    <w:bottom w:val="single" w:color="000000" w:sz="4"/>
                    <w:right w:val="single" w:color="000000" w:sz="4"/>
                  </w:tcBorders>
                  <w:vAlign w:val="top"/>
                </w:tcPr>
                <w:p>
                  <w:pPr>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w:t>
                  </w:r>
                  <w:r>
                    <w:rPr>
                      <w:sz w:val="21"/>
                    </w:rPr>
                    <w:t>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2、定期对项目服务范围内场所进行滞留喷洒灭成蝇。</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3、定期对项目服务范围内主要重点单位如</w:t>
                  </w:r>
                  <w:r>
                    <w:rPr>
                      <w:sz w:val="21"/>
                    </w:rPr>
                    <w:t>农贸市场</w:t>
                  </w:r>
                  <w:r>
                    <w:rPr>
                      <w:sz w:val="21"/>
                    </w:rPr>
                    <w:t>、学校等外环境孳生地进行检查。</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bottom"/>
                </w:tcPr>
                <w:p>
                  <w:pPr>
                    <w:jc w:val="both"/>
                  </w:pPr>
                  <w:r>
                    <w:rPr>
                      <w:sz w:val="21"/>
                    </w:rPr>
                    <w:t>4、定期对项目服务范围内居民住户孳生地进行检查处理。</w:t>
                  </w:r>
                </w:p>
              </w:tc>
              <w:tc>
                <w:tcPr>
                  <w:tcW w:type="dxa" w:w="933"/>
                  <w:tcBorders>
                    <w:top w:val="none" w:color="000000" w:sz="4"/>
                    <w:left w:val="single" w:color="000000" w:sz="4"/>
                    <w:bottom w:val="single" w:color="000000" w:sz="4"/>
                    <w:right w:val="single" w:color="000000" w:sz="4"/>
                  </w:tcBorders>
                  <w:vAlign w:val="bottom"/>
                </w:tcPr>
                <w:p>
                  <w:pPr>
                    <w:jc w:val="center"/>
                  </w:pPr>
                  <w:r>
                    <w:rPr>
                      <w:sz w:val="21"/>
                    </w:rPr>
                    <w:t>每季</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5、每季度按国家考核标准对成蝇密度进行监测。</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vAlign w:val="top"/>
                </w:tcPr>
                <w:p>
                  <w:pPr>
                    <w:jc w:val="center"/>
                  </w:pPr>
                  <w:r>
                    <w:rPr>
                      <w:sz w:val="21"/>
                    </w:rPr>
                    <w:t>灭蟑螂</w:t>
                  </w:r>
                </w:p>
              </w:tc>
              <w:tc>
                <w:tcPr>
                  <w:tcW w:type="dxa" w:w="4046"/>
                  <w:tcBorders>
                    <w:top w:val="none" w:color="000000" w:sz="4"/>
                    <w:left w:val="single" w:color="000000" w:sz="4"/>
                    <w:bottom w:val="single" w:color="000000" w:sz="4"/>
                    <w:right w:val="single" w:color="000000" w:sz="4"/>
                  </w:tcBorders>
                  <w:vAlign w:val="top"/>
                </w:tcPr>
                <w:p>
                  <w:pPr>
                    <w:jc w:val="both"/>
                  </w:pPr>
                  <w:r>
                    <w:rPr>
                      <w:sz w:val="21"/>
                    </w:rPr>
                    <w:t>1、定期对项目服务范围内蟑迹进行检查和清理。</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2、定期对项目服务范围内下水道进行热烟雾处理灭蟑螂。</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3、按国家考核标准进行结蟑螂密度监测。</w:t>
                  </w:r>
                  <w:r>
                    <w:rPr>
                      <w:sz w:val="21"/>
                    </w:rPr>
                    <w:t>住户：每季度上门询问蟑情，</w:t>
                  </w:r>
                  <w:r>
                    <w:rPr>
                      <w:sz w:val="21"/>
                    </w:rPr>
                    <w:t>并对有蟑住户派发药物及追踪处理。</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vAlign w:val="top"/>
                </w:tcPr>
                <w:p>
                  <w:pPr>
                    <w:jc w:val="center"/>
                  </w:pPr>
                  <w:r>
                    <w:rPr>
                      <w:sz w:val="21"/>
                    </w:rPr>
                    <w:t>其他</w:t>
                  </w:r>
                </w:p>
              </w:tc>
              <w:tc>
                <w:tcPr>
                  <w:tcW w:type="dxa" w:w="4046"/>
                  <w:tcBorders>
                    <w:top w:val="none" w:color="000000" w:sz="4"/>
                    <w:left w:val="single" w:color="000000" w:sz="4"/>
                    <w:bottom w:val="single" w:color="000000" w:sz="4"/>
                    <w:right w:val="single" w:color="000000" w:sz="4"/>
                  </w:tcBorders>
                  <w:vAlign w:val="top"/>
                </w:tcPr>
                <w:p>
                  <w:pPr>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2、在登革热或病媒生物</w:t>
                  </w:r>
                  <w:r>
                    <w:rPr>
                      <w:sz w:val="21"/>
                    </w:rPr>
                    <w:t>传染病</w:t>
                  </w:r>
                  <w:r>
                    <w:rPr>
                      <w:sz w:val="21"/>
                    </w:rPr>
                    <w:t>流行期间有义务配合政府做好宣传、消杀工作。</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3、对有需要的居民住户免费派发除“四害”药物或提供上门服务。</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4、中标人每年在“爱卫月、登革热”等期间不少于4次进社区公益宣传。</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每年</w:t>
                  </w:r>
                  <w:r>
                    <w:rPr>
                      <w:sz w:val="21"/>
                    </w:rPr>
                    <w:t>4次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vAlign w:val="top"/>
                </w:tcPr>
                <w:p>
                  <w:pPr>
                    <w:jc w:val="both"/>
                  </w:pPr>
                  <w:r>
                    <w:rPr>
                      <w:sz w:val="21"/>
                    </w:rPr>
                    <w:t>5、中标人应积极配合政府应急消杀处理，如鸡棚、猪舍强拆等。</w:t>
                  </w:r>
                </w:p>
              </w:tc>
              <w:tc>
                <w:tcPr>
                  <w:tcW w:type="dxa" w:w="933"/>
                  <w:tcBorders>
                    <w:top w:val="none" w:color="000000" w:sz="4"/>
                    <w:left w:val="single" w:color="000000" w:sz="4"/>
                    <w:bottom w:val="single" w:color="000000" w:sz="4"/>
                    <w:right w:val="single" w:color="000000" w:sz="4"/>
                  </w:tcBorders>
                  <w:vAlign w:val="top"/>
                </w:tcPr>
                <w:p>
                  <w:pPr>
                    <w:jc w:val="center"/>
                  </w:pPr>
                  <w:r>
                    <w:rPr>
                      <w:sz w:val="21"/>
                    </w:rPr>
                    <w:t>视情况而定</w:t>
                  </w:r>
                </w:p>
              </w:tc>
            </w:tr>
            <w:tr>
              <w:tc>
                <w:tcPr>
                  <w:tcW w:type="dxa" w:w="5598"/>
                  <w:gridSpan w:val="3"/>
                  <w:tcBorders>
                    <w:top w:val="none" w:color="000000" w:sz="4"/>
                    <w:left w:val="single" w:color="000000" w:sz="4"/>
                    <w:bottom w:val="single" w:color="000000" w:sz="4"/>
                    <w:right w:val="single" w:color="000000" w:sz="4"/>
                  </w:tcBorders>
                  <w:vAlign w:val="top"/>
                </w:tcPr>
                <w:p>
                  <w:pPr>
                    <w:jc w:val="both"/>
                  </w:pPr>
                  <w:r>
                    <w:rPr>
                      <w:sz w:val="21"/>
                    </w:rPr>
                    <w:t>备注：中标人作业前必须通知属地居（村）委会、顺峰山公园管理处等，</w:t>
                  </w:r>
                  <w:r>
                    <w:rPr>
                      <w:sz w:val="21"/>
                    </w:rPr>
                    <w:t>明确作业内容、时间、地点，接受属地居（村）委会、顺峰山公园管理处监督。</w:t>
                  </w:r>
                </w:p>
              </w:tc>
            </w:tr>
          </w:tbl>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合同包2（2022-2025年大良街道公共环境除“四害”管理服务项目B标段）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2022年12月1日至2025年11月30日止，合共36个月。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w:t>
            </w:r>
          </w:p>
        </w:tc>
      </w:tr>
      <w:tr>
        <w:tc>
          <w:tcPr>
            <w:tcW w:type="dxa" w:w="4153"/>
          </w:tcPr>
          <w:p>
            <w:r>
              <w:rPr/>
              <w:t>验收要求</w:t>
            </w:r>
          </w:p>
        </w:tc>
        <w:tc>
          <w:tcPr>
            <w:tcW w:type="dxa" w:w="4153"/>
          </w:tcPr>
          <w:p/>
          <w:p/>
          <w:p/>
          <w:p>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r>
              <w:rPr/>
              <w:t>履约保证金</w:t>
            </w:r>
          </w:p>
        </w:tc>
        <w:tc>
          <w:tcPr>
            <w:tcW w:type="dxa" w:w="4153"/>
          </w:tcPr>
          <w:p/>
          <w:p/>
          <w:p/>
          <w:p/>
          <w:p>
            <w:r>
              <w:rPr/>
              <w:t>收取比例：5%,说明：1、履约保证金的金额：本项目中标价（签约合同价）的5%（四舍五入到分）；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tc>
      </w:tr>
      <w:tr>
        <w:tc>
          <w:tcPr>
            <w:tcW w:type="dxa" w:w="4153"/>
          </w:tcPr>
          <w:p>
            <w:r>
              <w:rPr/>
              <w:t>其他</w:t>
            </w:r>
          </w:p>
        </w:tc>
        <w:tc>
          <w:tcPr>
            <w:tcW w:type="dxa" w:w="4153"/>
          </w:tcPr>
          <w:p/>
          <w:p/>
          <w:p>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二、监督考评办法： 在合同履约期间，采购人按照考评办法相关规定对中标人的服务质量、服务成果等进行考评。 （一）管理质量考核标准 1、专业考核 参照《全国爱卫办鼠、蚊、蝇、蟑螂密度监测方案（试行）》 、《灭鼠、蚊、蝇、蟑螂标准》、《佛山市顺德区行政区域公共环境除四害承包质量考评标准及办法》以及国家、省、市、区和行业最新颁布的标准执行。 2、居（村）委会考核 （1）除四害作业前未通知属地居（村）委会及相关管理部门的，每项扣5分。 （2）未按招标文件作业规范要求的频次作业或作业不到位的，每项扣10分。 （3）不遵守管理规定、不服从管理或不配合作业质量考评，经查实有责的，每次扣5分。 （4）未按要求整改，经查实有责的，每件扣5分。经督促仍未处理或未妥善处理，经查实有责的，每件次扣10分。 （5）除上述条款外，违反投标文件中人员承诺的，每项每次扣1分。 （6）除上述条款外，违反投标文件中车辆及设备承诺的，每项每次扣1.5分。 （7）除上述条款外，违反招标文件中其他规定的，每项每次扣2分。 3、街道卫健办考核 结合平时卫生检查、除四害日常施工、投诉与处理、应急等进行考核。 4、社会监督 （1）群众评议：每季度由居（村）委会、考评专家组进行随机访问居民群众。（2）群众举报或投诉，每季度由街道爱卫办收集和整理群众举报或投诉资料并计分。群众举报或投诉属实，在总分直接扣除，每宗0.5分。 （二）管理质量考核办法 为进一步提高辖区环境卫生质量，根据《佛山市顺德区公共环境除四害承包质量考评标准》（试行）（顺德爱卫办【2006】4号文）的通知精神，加强对大良街道公共环境除“四害”管理服务项目的管理，结合大良街道的实际情况，特制订本考核办法。 1、指导思想 以科学发展观为指导，以营造整洁、优美、舒适、和谐的人居环境为目的，实行市政管理运作的高标准、高效率、高质量，实现大良街道公共环境除“四害”管理服务项目作业科学化、精细化、长效化。 2、组织领导 成立大良街道社会化项目监督考核小组。考核小组成员由佛山市顺德区大良街道卫生健康办公室牵头组织，街道爱卫办、各居村城管主任、社会监督员等成员组成，统一考核业务工作。 3、考核范围 大良街道公共环境除“四害”管理服务项目管理范围内的除“四害”管理情况。 4、考核方法 检查考核由佛山市顺德区大良街道卫生健康办公室牵头，联同区、街道除四害考评组、居（村）委会、街道卫健办、社会监督员等组织实施，采取专业考核、居（村）委会考核、街道卫健办考核、社会监督等方法。 （1）专业考核 定期组织专家进行考评,每三个月作不小于一次定量考评，年终作年度总评定，并出具专业的、有行业监督制约之考核鉴定书。考评监测费用由采购人承担。 （2）居（村）委会考核 由居（村）委会、相关管理部门安排专职人员，负责对除“四害”专业队日常放药、喷洒、治理孳生地、栖生地和成蚊等工作进行跟进并签名确认（大良街道爱卫办印发施工记录表），每三个月对服务本居(村)委会除四害工程进行一次系统检查考核。 （3）街道卫健办考核 由街道卫健办结合日常管理、施工情况、防治效果、配合程度等方面进行不定期综合考核。 （4）社会监督考核 群众举报或投诉，每三个月由街道卫健办收集和整理群众举报或投诉资料并计分。 5、报备制度 （1）无法联系责任方或经多次劝告责任方无果，业已采取措施无效的，非中标人造成的事项可报备不作为考评依据。 （2）中标人须认真填写报备材料，保证准确真实，如发现资料不全或不实的，不作报备处理且作考核扣分记录。 （3）报备事项必须经街道卫健办签字确认后方可生效。 （4）一切报备资料均必须于每月28日前提交，逾期无效。 6、评分方法 （1）各参与考核的单位进行的考核满分均为百分制，采取倒扣分制。 （2）各参与考核的单位必须根据大良街道公共环境除“四害”管理服务项目管理及考核标准执行。 （3）考核总分以权重比例计算构成，具体比例如下： 1）专业考核（30%） ①定期组织专家进行考评，根据国家“四害”密度监测标准与方法的相关标准进行专业考核监测，每三个月作不少于一次定量考评，考评最终分数按各次定量考评分值总和平均。年终作年度总评定，并出具考核鉴定书。 ②质量评估单位要配合政府做好相关迎检和考评工作。安排专业、专职人员，定期对除“四害”专业队日常工作的用药、配药、工作程序等进行抽查、质检和监督，做好记录并签名确认。根据日常检查情况及登革热、寨卡病毒等疫情，对除“四害”专业队提出具体的指导意见和整改方案。 2）居（村）委会考核（40%） 由居（村）委会、相关管理部门安排专职人员，负责对除“四害”专业队日常放药、喷洒、治理孳生地、栖生地和成蚊等工作进行跟进并签名确认，每三个月对服务本居(村)委会除“四害”工作进行一次检查考核。 3）街道卫健办考核（20%） 结合平时卫生检查、除四害日常施工、投诉与处理、应急等进行考核。 4）社会监督考核（10%） ①群众评议：每季度由居（村）委会、考评专家组进行随机访问居民群众。 ②群众举报或投诉，每季度由街道爱卫办收集和整理群众举报或投诉资料并计分。 （4）每个周期（每三个月为一个周期）考核总分作为每个周期管理费发放的依据。街道卫健办将专业考核、居（村）委会考核、街道卫健办考核、社会监督考核等考核分数统一汇总，评出承包管理单位的考核总分，报街道卫健办审定和签发后，上报街道财政结算中心，根据该周期考核结果确定支付的管理费用，并以转账方式支付给各承包管理单位。 7、考核标准 考核标准以大良街道公共环境除“四害”管理服务项目管理质量考核标准执行。大良街道公共环境除“四害”管理服务项目管理质量考核标准未有约定的，以国家、行业标准及区、市、省及国家相关法律法规作依归。如涉及国家、行业及区、市、省更新颁布管理质量标准的，则按新的标准执行。 8、考核内容 （1）除四害管理服务：灭鼠、灭蝇、灭蚊及灭蟑螂等管理服务。 （2）其他规定管理内容等 9、奖惩措施 对大良街道公共环境除“四害”管理服务项目质量的检查考核采用以下措施实施奖惩： （1）部门通报 街道卫健办根据考核情况及评定成绩，召集各承包管理单位集中进行考评会议，点评各标段考核情况及存在问题，并将汇总成绩及相关情况以街道卫健办名义结合实际情况发出通报。 （2）罚则 管理经费由街道卫健办审批后，按考核结果支付。 ①管理经费金额与该周期（每三个月为一个周期）管理质量总分挂钩。 ②按考核总分情况调整发放管理经费。经考核评定，考核总分高于或等于90分的为合格，低于90分的为不合格。其中，考核总分高于或等于90分的，不扣减该周期管理经费；考核总分低于90分，高于或等于80分的，每低1分对应须扣减该周期管理经费1%，不足1分的按1分计算；考核总分低于80分，高于或等于50分的，扣减该周期管理经费50%；考核总分低于50分的，不支付该周期管理经费。 ③合同期内连续两个周期（每三个月为一个周期）考核总分低于80分或出现一个周期考核总分低于50分的，招标人有权解除中标人合同，没收其履约保证金，  10、招标人有权根据实施情况对本考核办法及时做出修改。 四、项目违约责任和合同解除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B标段：南华居委、金榜居委、北区居委、新松居委、新滘居委、古鉴村委的公共环境（含各临时庇护场所），石洛市场、金榜市场、观光市场、新基市场、新滘市场、古鉴市场</w:t>
            </w:r>
          </w:p>
        </w:tc>
        <w:tc>
          <w:tcPr>
            <w:tcW w:type="dxa" w:w="933"/>
          </w:tcPr>
          <w:p>
            <w:pPr>
              <w:jc w:val="left"/>
            </w:pPr>
            <w:r>
              <w:rPr/>
              <w:t>项</w:t>
            </w:r>
          </w:p>
        </w:tc>
        <w:tc>
          <w:tcPr>
            <w:tcW w:type="dxa" w:w="933"/>
          </w:tcPr>
          <w:p>
            <w:pPr>
              <w:jc w:val="right"/>
            </w:pPr>
            <w:r>
              <w:rPr/>
              <w:t>1.00</w:t>
            </w:r>
          </w:p>
        </w:tc>
        <w:tc>
          <w:tcPr>
            <w:tcW w:type="dxa" w:w="933"/>
          </w:tcPr>
          <w:p>
            <w:pPr>
              <w:jc w:val="right"/>
            </w:pPr>
            <w:r>
              <w:rPr/>
              <w:t>3,842,358.24</w:t>
            </w:r>
          </w:p>
        </w:tc>
        <w:tc>
          <w:tcPr>
            <w:tcW w:type="dxa" w:w="933"/>
          </w:tcPr>
          <w:p>
            <w:pPr>
              <w:jc w:val="right"/>
            </w:pPr>
            <w:r>
              <w:rPr/>
              <w:t>3,842,358.24</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B标段：南华居委、金榜居委、北区居委、新松居委、新滘居委、古鉴村委的公共环境（含各临时庇护场所），石洛市场、金榜市场、观光市场、新基市场、新滘市场、古鉴市场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w:t>
            </w:r>
            <w:r>
              <w:rPr>
                <w:b/>
                <w:sz w:val="21"/>
              </w:rPr>
              <w:t>项目标的主要内容</w:t>
            </w:r>
          </w:p>
          <w:p>
            <w:pPr>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804"/>
              <w:gridCol w:w="4794"/>
            </w:tblGrid>
            <w:tr>
              <w:tc>
                <w:tcPr>
                  <w:tcW w:type="dxa" w:w="804"/>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4794"/>
                  <w:tcBorders>
                    <w:top w:val="single" w:color="000000" w:sz="4"/>
                    <w:left w:val="none" w:color="000000" w:sz="4"/>
                    <w:bottom w:val="single" w:color="000000" w:sz="4"/>
                    <w:right w:val="single" w:color="000000" w:sz="4"/>
                  </w:tcBorders>
                  <w:vAlign w:val="top"/>
                </w:tcPr>
                <w:p>
                  <w:pPr>
                    <w:jc w:val="center"/>
                  </w:pPr>
                  <w:r>
                    <w:rPr>
                      <w:sz w:val="21"/>
                    </w:rPr>
                    <w:t>项目内容</w:t>
                  </w:r>
                </w:p>
              </w:tc>
            </w:tr>
            <w:tr>
              <w:tc>
                <w:tcPr>
                  <w:tcW w:type="dxa" w:w="804"/>
                  <w:tcBorders>
                    <w:top w:val="none" w:color="000000" w:sz="4"/>
                    <w:left w:val="single" w:color="000000" w:sz="4"/>
                    <w:bottom w:val="single" w:color="000000" w:sz="4"/>
                    <w:right w:val="single" w:color="000000" w:sz="4"/>
                  </w:tcBorders>
                  <w:vAlign w:val="top"/>
                </w:tcPr>
                <w:p>
                  <w:pPr>
                    <w:jc w:val="center"/>
                  </w:pPr>
                  <w:r>
                    <w:rPr>
                      <w:sz w:val="21"/>
                    </w:rPr>
                    <w:t>B</w:t>
                  </w:r>
                </w:p>
              </w:tc>
              <w:tc>
                <w:tcPr>
                  <w:tcW w:type="dxa" w:w="4794"/>
                  <w:tcBorders>
                    <w:top w:val="none" w:color="000000" w:sz="4"/>
                    <w:left w:val="none" w:color="000000" w:sz="4"/>
                    <w:bottom w:val="single" w:color="000000" w:sz="4"/>
                    <w:right w:val="single" w:color="000000" w:sz="4"/>
                  </w:tcBorders>
                  <w:vAlign w:val="top"/>
                </w:tcPr>
                <w:p>
                  <w:pPr>
                    <w:jc w:val="left"/>
                  </w:pPr>
                  <w:r>
                    <w:rPr>
                      <w:sz w:val="21"/>
                    </w:rPr>
                    <w:t>6个居委及</w:t>
                  </w:r>
                  <w:r>
                    <w:rPr>
                      <w:sz w:val="21"/>
                    </w:rPr>
                    <w:t>6个市场</w:t>
                  </w:r>
                  <w:r>
                    <w:rPr>
                      <w:sz w:val="21"/>
                    </w:rPr>
                    <w:t>除</w:t>
                  </w:r>
                  <w:r>
                    <w:rPr>
                      <w:sz w:val="21"/>
                    </w:rPr>
                    <w:t>“四害”管理服务</w:t>
                  </w:r>
                  <w:r>
                    <w:rPr>
                      <w:sz w:val="21"/>
                    </w:rPr>
                    <w:t>：</w:t>
                  </w:r>
                  <w:r>
                    <w:rPr>
                      <w:sz w:val="21"/>
                    </w:rPr>
                    <w:t>南华居委、金榜居委、北区居委、新松居委、新滘居委、古鉴村委的公共环境（含各临时庇护场所），石洛市场、金榜市场、观光市场、新基市场、新滘市场、古鉴市场</w:t>
                  </w:r>
                  <w:r>
                    <w:rPr>
                      <w:sz w:val="21"/>
                    </w:rPr>
                    <w:t>。</w:t>
                  </w:r>
                </w:p>
              </w:tc>
            </w:tr>
          </w:tbl>
          <w:p>
            <w:pPr>
              <w:ind w:firstLine="420"/>
            </w:pPr>
          </w:p>
          <w:p>
            <w:pPr>
              <w:ind w:firstLine="420"/>
            </w:pPr>
            <w:r>
              <w:rPr>
                <w:sz w:val="21"/>
              </w:rPr>
              <w:t>2、</w:t>
            </w:r>
            <w:r>
              <w:rPr>
                <w:sz w:val="21"/>
              </w:rPr>
              <w:t>服务范围及内容</w:t>
            </w:r>
          </w:p>
          <w:p>
            <w:pPr>
              <w:jc w:val="both"/>
            </w:pPr>
            <w:r>
              <w:rPr>
                <w:sz w:val="21"/>
              </w:rPr>
              <w:t>6个居委及</w:t>
            </w:r>
            <w:r>
              <w:rPr>
                <w:sz w:val="21"/>
              </w:rPr>
              <w:t>6个市场</w:t>
            </w:r>
            <w:r>
              <w:rPr>
                <w:sz w:val="21"/>
              </w:rPr>
              <w:t>各道路、大街小巷、绿化带、河流湖泊及沿岸、下水道沉沙井、闲置地、公园绿地、广场、居民住宅区（有物业服务或业委会的除外）、街道属下公立教育机构、市政公用类公厕、垃圾收集及转运点、垃圾存放容器及其他公共外环境场地的灭鼠、灭蚊、灭蟑螂、灭蝇工作。并负责和承担本项目相关安全责任。</w:t>
            </w:r>
          </w:p>
        </w:tc>
      </w:tr>
      <w:tr>
        <w:tc>
          <w:tcPr>
            <w:tcW w:type="dxa" w:w="2076"/>
          </w:tcPr>
          <w:p/>
        </w:tc>
        <w:tc>
          <w:tcPr>
            <w:tcW w:type="dxa" w:w="415"/>
          </w:tcPr>
          <w:p>
            <w:r>
              <w:rPr/>
              <w:t>2</w:t>
            </w:r>
          </w:p>
        </w:tc>
        <w:tc>
          <w:tcPr>
            <w:tcW w:type="dxa" w:w="5814"/>
          </w:tcPr>
          <w:p>
            <w:r>
              <w:rPr>
                <w:sz w:val="21"/>
              </w:rPr>
              <w:t>二、</w:t>
            </w:r>
            <w:r>
              <w:rPr>
                <w:b/>
                <w:sz w:val="21"/>
              </w:rPr>
              <w:t>基本配置要求</w:t>
            </w:r>
          </w:p>
          <w:p>
            <w:pPr>
              <w:ind w:firstLine="420"/>
              <w:jc w:val="both"/>
            </w:pPr>
            <w:r>
              <w:rPr>
                <w:sz w:val="21"/>
              </w:rPr>
              <w:t>1、中标供应商在合同签订后一个月内必须在佛山市顺德区大良街道范围内设有符合工作条件的固定办公场所及具有足够容纳项目一切作业车辆及劳保工具等的停放场地，面积合计不少于200</w:t>
            </w:r>
            <w:r>
              <w:rPr>
                <w:sz w:val="21"/>
              </w:rPr>
              <w:t>㎡，并提供相应的登记证明文件、场地权属证明或场地使用证明，否则视为拒绝履行合同义务。</w:t>
            </w:r>
          </w:p>
          <w:p>
            <w:pPr>
              <w:ind w:firstLine="420"/>
              <w:jc w:val="both"/>
            </w:pPr>
            <w:r>
              <w:rPr>
                <w:sz w:val="21"/>
              </w:rPr>
              <w:t>2、中标供应商在中标后一个月内必须更换管理范围内公示牌的内容。</w:t>
            </w:r>
          </w:p>
          <w:p>
            <w:pPr>
              <w:ind w:firstLine="420"/>
              <w:jc w:val="both"/>
            </w:pPr>
            <w:r>
              <w:rPr>
                <w:sz w:val="21"/>
              </w:rPr>
              <w:t>3、中标供应商的办公场地、工具、车辆存放地和员工住所自行解决。</w:t>
            </w:r>
          </w:p>
          <w:p>
            <w:pPr>
              <w:ind w:firstLine="420"/>
              <w:jc w:val="both"/>
            </w:pPr>
            <w:r>
              <w:rPr>
                <w:sz w:val="21"/>
              </w:rPr>
              <w:t>4、中标供应商必须落实好安全生产的措施和配置安全作业的劳保用品。</w:t>
            </w:r>
          </w:p>
          <w:p>
            <w:pPr>
              <w:ind w:firstLine="420"/>
              <w:jc w:val="both"/>
            </w:pPr>
            <w:r>
              <w:rPr>
                <w:sz w:val="21"/>
              </w:rPr>
              <w:t>5、中标供应商的服务人员数量必须满足招标人的实际工作要求：</w:t>
            </w:r>
          </w:p>
          <w:p>
            <w:pPr>
              <w:ind w:firstLine="420"/>
              <w:jc w:val="both"/>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1417"/>
              <w:gridCol w:w="3592"/>
              <w:gridCol w:w="588"/>
            </w:tblGrid>
            <w:tr>
              <w:tc>
                <w:tcPr>
                  <w:tcW w:type="dxa" w:w="1417"/>
                  <w:tcBorders>
                    <w:top w:val="single" w:color="000000" w:sz="4"/>
                    <w:left w:val="single" w:color="000000" w:sz="4"/>
                    <w:bottom w:val="single" w:color="000000" w:sz="4"/>
                    <w:right w:val="single" w:color="000000" w:sz="4"/>
                  </w:tcBorders>
                  <w:vAlign w:val="top"/>
                </w:tcPr>
                <w:p>
                  <w:pPr>
                    <w:jc w:val="center"/>
                  </w:pPr>
                  <w:r>
                    <w:rPr>
                      <w:sz w:val="21"/>
                    </w:rPr>
                    <w:t>人员类别</w:t>
                  </w:r>
                </w:p>
              </w:tc>
              <w:tc>
                <w:tcPr>
                  <w:tcW w:type="dxa" w:w="3592"/>
                  <w:tcBorders>
                    <w:top w:val="single" w:color="000000" w:sz="4"/>
                    <w:left w:val="none" w:color="000000" w:sz="4"/>
                    <w:bottom w:val="single" w:color="000000" w:sz="4"/>
                    <w:right w:val="single" w:color="000000" w:sz="4"/>
                  </w:tcBorders>
                  <w:vAlign w:val="top"/>
                </w:tcPr>
                <w:p>
                  <w:pPr>
                    <w:jc w:val="center"/>
                  </w:pPr>
                  <w:r>
                    <w:rPr>
                      <w:sz w:val="21"/>
                    </w:rPr>
                    <w:t>具体要求</w:t>
                  </w:r>
                </w:p>
              </w:tc>
              <w:tc>
                <w:tcPr>
                  <w:tcW w:type="dxa" w:w="588"/>
                  <w:tcBorders>
                    <w:top w:val="single" w:color="000000" w:sz="4"/>
                    <w:left w:val="none" w:color="000000" w:sz="4"/>
                    <w:bottom w:val="single" w:color="000000" w:sz="4"/>
                    <w:right w:val="single" w:color="000000" w:sz="4"/>
                  </w:tcBorders>
                  <w:vAlign w:val="top"/>
                </w:tcPr>
                <w:p>
                  <w:pPr>
                    <w:jc w:val="center"/>
                  </w:pPr>
                  <w:r>
                    <w:rPr>
                      <w:sz w:val="21"/>
                    </w:rPr>
                    <w:t>配置人数</w:t>
                  </w:r>
                </w:p>
              </w:tc>
            </w:tr>
            <w:tr>
              <w:tc>
                <w:tcPr>
                  <w:tcW w:type="dxa" w:w="1417"/>
                  <w:tcBorders>
                    <w:top w:val="none" w:color="000000" w:sz="4"/>
                    <w:left w:val="single" w:color="000000" w:sz="4"/>
                    <w:bottom w:val="single" w:color="000000" w:sz="4"/>
                    <w:right w:val="single" w:color="000000" w:sz="4"/>
                  </w:tcBorders>
                  <w:vAlign w:val="top"/>
                </w:tcPr>
                <w:p>
                  <w:pPr>
                    <w:jc w:val="center"/>
                  </w:pPr>
                  <w:r>
                    <w:rPr>
                      <w:sz w:val="21"/>
                    </w:rPr>
                    <w:t>管理人员</w:t>
                  </w:r>
                </w:p>
              </w:tc>
              <w:tc>
                <w:tcPr>
                  <w:tcW w:type="dxa" w:w="3592"/>
                  <w:tcBorders>
                    <w:top w:val="none" w:color="000000" w:sz="4"/>
                    <w:left w:val="none" w:color="000000" w:sz="4"/>
                    <w:bottom w:val="single" w:color="000000" w:sz="4"/>
                    <w:right w:val="single" w:color="000000" w:sz="4"/>
                  </w:tcBorders>
                  <w:vAlign w:val="top"/>
                </w:tcPr>
                <w:p>
                  <w:pPr>
                    <w:jc w:val="left"/>
                  </w:pPr>
                  <w:r>
                    <w:rPr>
                      <w:sz w:val="21"/>
                    </w:rPr>
                    <w:t>1.负责管理工作团队，并制定每次的除四害工作方案及分配工作</w:t>
                  </w:r>
                </w:p>
                <w:p>
                  <w:pPr>
                    <w:jc w:val="left"/>
                  </w:pPr>
                  <w:r>
                    <w:rPr>
                      <w:sz w:val="21"/>
                    </w:rPr>
                    <w:t>2.具有“有害生物防制（治）员高级（三级）资格证”</w:t>
                  </w:r>
                </w:p>
              </w:tc>
              <w:tc>
                <w:tcPr>
                  <w:tcW w:type="dxa" w:w="588"/>
                  <w:tcBorders>
                    <w:top w:val="none" w:color="000000" w:sz="4"/>
                    <w:left w:val="none" w:color="000000" w:sz="4"/>
                    <w:bottom w:val="single" w:color="000000" w:sz="4"/>
                    <w:right w:val="single" w:color="000000" w:sz="4"/>
                  </w:tcBorders>
                  <w:vAlign w:val="top"/>
                </w:tcPr>
                <w:p>
                  <w:pPr>
                    <w:jc w:val="center"/>
                  </w:pPr>
                  <w:r>
                    <w:rPr>
                      <w:sz w:val="21"/>
                    </w:rPr>
                    <w:t>2</w:t>
                  </w:r>
                  <w:r>
                    <w:rPr>
                      <w:sz w:val="21"/>
                    </w:rPr>
                    <w:t>人</w:t>
                  </w:r>
                </w:p>
              </w:tc>
            </w:tr>
            <w:tr>
              <w:tc>
                <w:tcPr>
                  <w:tcW w:type="dxa" w:w="1417"/>
                  <w:tcBorders>
                    <w:top w:val="none" w:color="000000" w:sz="4"/>
                    <w:left w:val="single" w:color="000000" w:sz="4"/>
                    <w:bottom w:val="single" w:color="000000" w:sz="4"/>
                    <w:right w:val="single" w:color="000000" w:sz="4"/>
                  </w:tcBorders>
                  <w:vAlign w:val="top"/>
                </w:tcPr>
                <w:p>
                  <w:pPr>
                    <w:jc w:val="center"/>
                  </w:pPr>
                  <w:r>
                    <w:rPr>
                      <w:sz w:val="21"/>
                    </w:rPr>
                    <w:t>质检人员</w:t>
                  </w:r>
                </w:p>
              </w:tc>
              <w:tc>
                <w:tcPr>
                  <w:tcW w:type="dxa" w:w="3592"/>
                  <w:tcBorders>
                    <w:top w:val="none" w:color="000000" w:sz="4"/>
                    <w:left w:val="none" w:color="000000" w:sz="4"/>
                    <w:bottom w:val="single" w:color="000000" w:sz="4"/>
                    <w:right w:val="single" w:color="000000" w:sz="4"/>
                  </w:tcBorders>
                  <w:vAlign w:val="top"/>
                </w:tcPr>
                <w:p>
                  <w:pPr>
                    <w:jc w:val="left"/>
                  </w:pPr>
                  <w:r>
                    <w:rPr>
                      <w:sz w:val="21"/>
                    </w:rPr>
                    <w:t>1.负责日常除四害自我监督巡查工作，配合采购人和质量评估单位做好监督检查，完善各项四害防治、监测资料</w:t>
                  </w:r>
                </w:p>
                <w:p>
                  <w:pPr>
                    <w:jc w:val="left"/>
                  </w:pPr>
                  <w:r>
                    <w:rPr>
                      <w:sz w:val="21"/>
                    </w:rPr>
                    <w:t>2.具有“有害生物防制（治）员高级（三级）资格证”</w:t>
                  </w:r>
                </w:p>
              </w:tc>
              <w:tc>
                <w:tcPr>
                  <w:tcW w:type="dxa" w:w="588"/>
                  <w:tcBorders>
                    <w:top w:val="none" w:color="000000" w:sz="4"/>
                    <w:left w:val="none" w:color="000000" w:sz="4"/>
                    <w:bottom w:val="single" w:color="000000" w:sz="4"/>
                    <w:right w:val="single" w:color="000000" w:sz="4"/>
                  </w:tcBorders>
                  <w:vAlign w:val="top"/>
                </w:tcPr>
                <w:p>
                  <w:pPr>
                    <w:jc w:val="center"/>
                  </w:pPr>
                  <w:r>
                    <w:rPr>
                      <w:sz w:val="21"/>
                    </w:rPr>
                    <w:t>2</w:t>
                  </w:r>
                  <w:r>
                    <w:rPr>
                      <w:sz w:val="21"/>
                    </w:rPr>
                    <w:t>人</w:t>
                  </w:r>
                </w:p>
              </w:tc>
            </w:tr>
            <w:tr>
              <w:tc>
                <w:tcPr>
                  <w:tcW w:type="dxa" w:w="1417"/>
                  <w:tcBorders>
                    <w:top w:val="none" w:color="000000" w:sz="4"/>
                    <w:left w:val="single" w:color="000000" w:sz="4"/>
                    <w:bottom w:val="single" w:color="000000" w:sz="4"/>
                    <w:right w:val="single" w:color="000000" w:sz="4"/>
                  </w:tcBorders>
                  <w:vAlign w:val="top"/>
                </w:tcPr>
                <w:p>
                  <w:pPr>
                    <w:jc w:val="center"/>
                  </w:pPr>
                  <w:r>
                    <w:rPr>
                      <w:sz w:val="21"/>
                    </w:rPr>
                    <w:t>除四害专业人员</w:t>
                  </w:r>
                </w:p>
              </w:tc>
              <w:tc>
                <w:tcPr>
                  <w:tcW w:type="dxa" w:w="3592"/>
                  <w:tcBorders>
                    <w:top w:val="none" w:color="000000" w:sz="4"/>
                    <w:left w:val="none" w:color="000000" w:sz="4"/>
                    <w:bottom w:val="single" w:color="000000" w:sz="4"/>
                    <w:right w:val="single" w:color="000000" w:sz="4"/>
                  </w:tcBorders>
                  <w:vAlign w:val="top"/>
                </w:tcPr>
                <w:p>
                  <w:pPr>
                    <w:jc w:val="left"/>
                  </w:pPr>
                  <w:r>
                    <w:rPr>
                      <w:sz w:val="21"/>
                    </w:rPr>
                    <w:t>1.负责主要的除四害工作及技术指导</w:t>
                  </w:r>
                </w:p>
                <w:p>
                  <w:pPr>
                    <w:jc w:val="left"/>
                  </w:pPr>
                  <w:r>
                    <w:rPr>
                      <w:sz w:val="21"/>
                    </w:rPr>
                    <w:t>2.具有“有害生物防制员或病媒生物防制工”初级证或以上资格证书，其中，至少2人具有“有害生物防制（治）员中级（四级）”或以上资格证书</w:t>
                  </w:r>
                </w:p>
              </w:tc>
              <w:tc>
                <w:tcPr>
                  <w:tcW w:type="dxa" w:w="588"/>
                  <w:tcBorders>
                    <w:top w:val="none" w:color="000000" w:sz="4"/>
                    <w:left w:val="none" w:color="000000" w:sz="4"/>
                    <w:bottom w:val="single" w:color="000000" w:sz="4"/>
                    <w:right w:val="single" w:color="000000" w:sz="4"/>
                  </w:tcBorders>
                  <w:vAlign w:val="top"/>
                </w:tcPr>
                <w:p>
                  <w:pPr>
                    <w:jc w:val="center"/>
                  </w:pPr>
                  <w:r>
                    <w:rPr>
                      <w:sz w:val="21"/>
                    </w:rPr>
                    <w:t>15人</w:t>
                  </w:r>
                </w:p>
              </w:tc>
            </w:tr>
          </w:tbl>
          <w:p>
            <w:pPr>
              <w:ind w:firstLine="420"/>
            </w:pPr>
            <w:r>
              <w:rPr>
                <w:sz w:val="21"/>
              </w:rPr>
              <w:t>7、设备基本配置要求</w:t>
            </w:r>
          </w:p>
          <w:tbl>
            <w:tblPr>
              <w:tblInd w:type="dxa" w:w="90"/>
              <w:tblBorders>
                <w:top w:val="none" w:color="000000" w:sz="4"/>
                <w:left w:val="none" w:color="000000" w:sz="4"/>
                <w:bottom w:val="none" w:color="000000" w:sz="4"/>
                <w:right w:val="none" w:color="000000" w:sz="4"/>
                <w:insideH w:val="none"/>
                <w:insideV w:val="none"/>
              </w:tblBorders>
            </w:tblPr>
            <w:tblGrid>
              <w:gridCol w:w="551"/>
              <w:gridCol w:w="889"/>
              <w:gridCol w:w="3119"/>
              <w:gridCol w:w="1040"/>
            </w:tblGrid>
            <w:tr>
              <w:tc>
                <w:tcPr>
                  <w:tcW w:type="dxa" w:w="55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889"/>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3119"/>
                  <w:tcBorders>
                    <w:top w:val="single" w:color="000000" w:sz="4"/>
                    <w:left w:val="none" w:color="000000" w:sz="4"/>
                    <w:bottom w:val="none" w:color="000000" w:sz="4"/>
                    <w:right w:val="single" w:color="000000" w:sz="4"/>
                  </w:tcBorders>
                  <w:vAlign w:val="top"/>
                </w:tcPr>
                <w:p>
                  <w:pPr>
                    <w:jc w:val="center"/>
                  </w:pPr>
                  <w:r>
                    <w:rPr>
                      <w:sz w:val="21"/>
                    </w:rPr>
                    <w:t>配置</w:t>
                  </w:r>
                  <w:r>
                    <w:rPr>
                      <w:sz w:val="21"/>
                    </w:rPr>
                    <w:t>要求</w:t>
                  </w:r>
                </w:p>
              </w:tc>
              <w:tc>
                <w:tcPr>
                  <w:tcW w:type="dxa" w:w="1040"/>
                  <w:tcBorders>
                    <w:top w:val="single" w:color="000000" w:sz="4"/>
                    <w:left w:val="none" w:color="000000" w:sz="4"/>
                    <w:bottom w:val="single" w:color="000000" w:sz="4"/>
                    <w:right w:val="single" w:color="000000" w:sz="4"/>
                  </w:tcBorders>
                  <w:vAlign w:val="top"/>
                </w:tcPr>
                <w:p>
                  <w:pPr>
                    <w:jc w:val="center"/>
                  </w:pPr>
                  <w:r>
                    <w:rPr>
                      <w:sz w:val="21"/>
                    </w:rPr>
                    <w:t>配置数量</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89"/>
                  <w:tcBorders>
                    <w:top w:val="none" w:color="000000" w:sz="4"/>
                    <w:left w:val="none" w:color="000000" w:sz="4"/>
                    <w:bottom w:val="single" w:color="000000" w:sz="4"/>
                    <w:right w:val="single" w:color="000000" w:sz="4"/>
                  </w:tcBorders>
                  <w:vAlign w:val="top"/>
                </w:tcPr>
                <w:p>
                  <w:pPr>
                    <w:jc w:val="center"/>
                  </w:pPr>
                  <w:r>
                    <w:rPr>
                      <w:sz w:val="21"/>
                    </w:rPr>
                    <w:t>电动超低容量喷雾机</w:t>
                  </w:r>
                </w:p>
              </w:tc>
              <w:tc>
                <w:tcPr>
                  <w:tcW w:type="dxa" w:w="3119"/>
                  <w:tcBorders>
                    <w:top w:val="single" w:color="000000" w:sz="4"/>
                    <w:left w:val="none" w:color="000000" w:sz="4"/>
                    <w:bottom w:val="single" w:color="000000" w:sz="4"/>
                    <w:right w:val="single" w:color="000000" w:sz="4"/>
                  </w:tcBorders>
                  <w:vAlign w:val="top"/>
                </w:tcPr>
                <w:p>
                  <w:pPr>
                    <w:jc w:val="left"/>
                  </w:pPr>
                  <w:r>
                    <w:rPr>
                      <w:sz w:val="21"/>
                    </w:rPr>
                    <w:t>1.技术参数要求:电机：直流无碳刷电机，大于或等于600W。雾滴直径：10～30微米。药液输出量：0～400ml/min连续可调。药箱容量：5L或以上。每台加配1个后备电池。</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不少于</w:t>
                  </w:r>
                  <w:r>
                    <w:rPr>
                      <w:sz w:val="21"/>
                    </w:rPr>
                    <w:t>8</w:t>
                  </w:r>
                  <w:r>
                    <w:rPr>
                      <w:sz w:val="21"/>
                    </w:rPr>
                    <w:t>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89"/>
                  <w:tcBorders>
                    <w:top w:val="none" w:color="000000" w:sz="4"/>
                    <w:left w:val="none" w:color="000000" w:sz="4"/>
                    <w:bottom w:val="single" w:color="000000" w:sz="4"/>
                    <w:right w:val="single" w:color="000000" w:sz="4"/>
                  </w:tcBorders>
                  <w:vAlign w:val="top"/>
                </w:tcPr>
                <w:p>
                  <w:pPr>
                    <w:jc w:val="center"/>
                  </w:pPr>
                  <w:r>
                    <w:rPr>
                      <w:sz w:val="21"/>
                    </w:rPr>
                    <w:t>机动超低容量喷雾机</w:t>
                  </w:r>
                </w:p>
              </w:tc>
              <w:tc>
                <w:tcPr>
                  <w:tcW w:type="dxa" w:w="3119"/>
                  <w:tcBorders>
                    <w:top w:val="none" w:color="000000" w:sz="4"/>
                    <w:left w:val="none" w:color="000000" w:sz="4"/>
                    <w:bottom w:val="single" w:color="000000" w:sz="4"/>
                    <w:right w:val="single" w:color="000000" w:sz="4"/>
                  </w:tcBorders>
                  <w:vAlign w:val="top"/>
                </w:tcPr>
                <w:p>
                  <w:pPr>
                    <w:jc w:val="left"/>
                  </w:pPr>
                  <w:r>
                    <w:rPr>
                      <w:sz w:val="21"/>
                    </w:rPr>
                    <w:t>1.技术参数要求:雾滴直径：2～30微米。水平射程＞8米。药箱容量：5L或以上。</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8</w:t>
                  </w:r>
                  <w:r>
                    <w:rPr>
                      <w:sz w:val="21"/>
                    </w:rPr>
                    <w:t>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89"/>
                  <w:tcBorders>
                    <w:top w:val="none" w:color="000000" w:sz="4"/>
                    <w:left w:val="none" w:color="000000" w:sz="4"/>
                    <w:bottom w:val="single" w:color="000000" w:sz="4"/>
                    <w:right w:val="single" w:color="000000" w:sz="4"/>
                  </w:tcBorders>
                  <w:vAlign w:val="top"/>
                </w:tcPr>
                <w:p>
                  <w:pPr>
                    <w:jc w:val="center"/>
                  </w:pPr>
                  <w:r>
                    <w:rPr>
                      <w:sz w:val="21"/>
                    </w:rPr>
                    <w:t>机动喷雾机</w:t>
                  </w:r>
                </w:p>
              </w:tc>
              <w:tc>
                <w:tcPr>
                  <w:tcW w:type="dxa" w:w="3119"/>
                  <w:tcBorders>
                    <w:top w:val="none" w:color="000000" w:sz="4"/>
                    <w:left w:val="none" w:color="000000" w:sz="4"/>
                    <w:bottom w:val="single" w:color="000000" w:sz="4"/>
                    <w:right w:val="single" w:color="000000" w:sz="4"/>
                  </w:tcBorders>
                  <w:vAlign w:val="top"/>
                </w:tcPr>
                <w:p>
                  <w:pPr>
                    <w:jc w:val="left"/>
                  </w:pPr>
                  <w:r>
                    <w:rPr>
                      <w:sz w:val="21"/>
                    </w:rPr>
                    <w:t>1.技术参数要求:雾滴直径：50～100微米。水平射程＞8米。药箱容量：10L或以上。</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6台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89"/>
                  <w:tcBorders>
                    <w:top w:val="none" w:color="000000" w:sz="4"/>
                    <w:left w:val="none" w:color="000000" w:sz="4"/>
                    <w:bottom w:val="single" w:color="000000" w:sz="4"/>
                    <w:right w:val="single" w:color="000000" w:sz="4"/>
                  </w:tcBorders>
                  <w:vAlign w:val="top"/>
                </w:tcPr>
                <w:p>
                  <w:pPr>
                    <w:jc w:val="center"/>
                  </w:pPr>
                  <w:r>
                    <w:rPr>
                      <w:sz w:val="21"/>
                    </w:rPr>
                    <w:t>电动喷雾机</w:t>
                  </w:r>
                </w:p>
              </w:tc>
              <w:tc>
                <w:tcPr>
                  <w:tcW w:type="dxa" w:w="3119"/>
                  <w:tcBorders>
                    <w:top w:val="none" w:color="000000" w:sz="4"/>
                    <w:left w:val="none" w:color="000000" w:sz="4"/>
                    <w:bottom w:val="single" w:color="000000" w:sz="4"/>
                    <w:right w:val="single" w:color="000000" w:sz="4"/>
                  </w:tcBorders>
                  <w:vAlign w:val="top"/>
                </w:tcPr>
                <w:p>
                  <w:pPr>
                    <w:jc w:val="left"/>
                  </w:pPr>
                  <w:r>
                    <w:rPr>
                      <w:sz w:val="21"/>
                    </w:rPr>
                    <w:t>1.技术参数要求：雾滴直径：50～200微米。水平射程＞6米。药箱容量：5L或以上。</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不少于</w:t>
                  </w:r>
                  <w:r>
                    <w:rPr>
                      <w:sz w:val="21"/>
                    </w:rPr>
                    <w:t>8台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89"/>
                  <w:tcBorders>
                    <w:top w:val="none" w:color="000000" w:sz="4"/>
                    <w:left w:val="none" w:color="000000" w:sz="4"/>
                    <w:bottom w:val="single" w:color="000000" w:sz="4"/>
                    <w:right w:val="single" w:color="000000" w:sz="4"/>
                  </w:tcBorders>
                  <w:vAlign w:val="top"/>
                </w:tcPr>
                <w:p>
                  <w:pPr>
                    <w:jc w:val="center"/>
                  </w:pPr>
                  <w:r>
                    <w:rPr>
                      <w:sz w:val="21"/>
                    </w:rPr>
                    <w:t>手推式喷雾机</w:t>
                  </w:r>
                </w:p>
              </w:tc>
              <w:tc>
                <w:tcPr>
                  <w:tcW w:type="dxa" w:w="3119"/>
                  <w:tcBorders>
                    <w:top w:val="none" w:color="000000" w:sz="4"/>
                    <w:left w:val="none" w:color="000000" w:sz="4"/>
                    <w:bottom w:val="single" w:color="000000" w:sz="4"/>
                    <w:right w:val="single" w:color="000000" w:sz="4"/>
                  </w:tcBorders>
                  <w:vAlign w:val="top"/>
                </w:tcPr>
                <w:p>
                  <w:pPr>
                    <w:jc w:val="left"/>
                  </w:pPr>
                  <w:r>
                    <w:rPr>
                      <w:sz w:val="21"/>
                    </w:rPr>
                    <w:t>1.技术参数要求:适合大面积灭蚊及其它病媒昆虫，机动、超低容量、耐用性强，射程10米或以上（受制于风速），雾滴直径30～200微米，药箱容量20L或以上。加配车载式喷头（一套4个）</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2</w:t>
                  </w:r>
                  <w:r>
                    <w:rPr>
                      <w:sz w:val="21"/>
                    </w:rPr>
                    <w:t>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89"/>
                  <w:tcBorders>
                    <w:top w:val="none" w:color="000000" w:sz="4"/>
                    <w:left w:val="none" w:color="000000" w:sz="4"/>
                    <w:bottom w:val="single" w:color="000000" w:sz="4"/>
                    <w:right w:val="single" w:color="000000" w:sz="4"/>
                  </w:tcBorders>
                  <w:vAlign w:val="top"/>
                </w:tcPr>
                <w:p>
                  <w:pPr>
                    <w:jc w:val="center"/>
                  </w:pPr>
                  <w:r>
                    <w:rPr>
                      <w:sz w:val="21"/>
                    </w:rPr>
                    <w:t>热烟雾机</w:t>
                  </w:r>
                </w:p>
              </w:tc>
              <w:tc>
                <w:tcPr>
                  <w:tcW w:type="dxa" w:w="3119"/>
                  <w:tcBorders>
                    <w:top w:val="none" w:color="000000" w:sz="4"/>
                    <w:left w:val="none" w:color="000000" w:sz="4"/>
                    <w:bottom w:val="single" w:color="000000" w:sz="4"/>
                    <w:right w:val="single" w:color="000000" w:sz="4"/>
                  </w:tcBorders>
                  <w:vAlign w:val="top"/>
                </w:tcPr>
                <w:p>
                  <w:pPr>
                    <w:jc w:val="left"/>
                  </w:pPr>
                  <w:r>
                    <w:rPr>
                      <w:sz w:val="21"/>
                    </w:rPr>
                    <w:t>1.技术参数要求:雾滴直径：5微米。药液输出量：0～42L/小时。功率：11.6-22KW。 药箱容量：5L或以上。</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不少于</w:t>
                  </w:r>
                  <w:r>
                    <w:rPr>
                      <w:sz w:val="21"/>
                    </w:rPr>
                    <w:t>8</w:t>
                  </w:r>
                  <w:r>
                    <w:rPr>
                      <w:sz w:val="21"/>
                    </w:rPr>
                    <w:t>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89"/>
                  <w:tcBorders>
                    <w:top w:val="none" w:color="000000" w:sz="4"/>
                    <w:left w:val="none" w:color="000000" w:sz="4"/>
                    <w:bottom w:val="single" w:color="000000" w:sz="4"/>
                    <w:right w:val="single" w:color="000000" w:sz="4"/>
                  </w:tcBorders>
                  <w:vAlign w:val="top"/>
                </w:tcPr>
                <w:p>
                  <w:pPr>
                    <w:jc w:val="center"/>
                  </w:pPr>
                  <w:r>
                    <w:rPr>
                      <w:sz w:val="21"/>
                    </w:rPr>
                    <w:t>工作车辆</w:t>
                  </w:r>
                </w:p>
              </w:tc>
              <w:tc>
                <w:tcPr>
                  <w:tcW w:type="dxa" w:w="3119"/>
                  <w:tcBorders>
                    <w:top w:val="none" w:color="000000" w:sz="4"/>
                    <w:left w:val="none" w:color="000000" w:sz="4"/>
                    <w:bottom w:val="single" w:color="000000" w:sz="4"/>
                    <w:right w:val="single" w:color="000000" w:sz="4"/>
                  </w:tcBorders>
                  <w:vAlign w:val="top"/>
                </w:tcPr>
                <w:p>
                  <w:pPr>
                    <w:jc w:val="left"/>
                  </w:pPr>
                  <w:r>
                    <w:rPr>
                      <w:sz w:val="21"/>
                    </w:rPr>
                    <w:t>1.技术参数要求:检验有效期内且载重量为0.6吨或以上的机动车辆。</w:t>
                  </w:r>
                </w:p>
                <w:p>
                  <w:pPr>
                    <w:jc w:val="left"/>
                  </w:pPr>
                  <w:r>
                    <w:rPr>
                      <w:sz w:val="21"/>
                    </w:rPr>
                    <w:t>2.小型货车必须配备GPS实时定位设备并接入采购人的监控系统，工作时间内必须开启；（设备的投入和维护等相关费用由中标人承担）</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2</w:t>
                  </w:r>
                  <w:r>
                    <w:rPr>
                      <w:sz w:val="21"/>
                    </w:rPr>
                    <w:t>辆</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89"/>
                  <w:tcBorders>
                    <w:top w:val="none" w:color="000000" w:sz="4"/>
                    <w:left w:val="none" w:color="000000" w:sz="4"/>
                    <w:bottom w:val="single" w:color="000000" w:sz="4"/>
                    <w:right w:val="single" w:color="000000" w:sz="4"/>
                  </w:tcBorders>
                  <w:vAlign w:val="top"/>
                </w:tcPr>
                <w:p>
                  <w:pPr>
                    <w:jc w:val="center"/>
                  </w:pPr>
                  <w:r>
                    <w:rPr>
                      <w:sz w:val="21"/>
                    </w:rPr>
                    <w:t>电动三轮车</w:t>
                  </w:r>
                </w:p>
              </w:tc>
              <w:tc>
                <w:tcPr>
                  <w:tcW w:type="dxa" w:w="3119"/>
                  <w:tcBorders>
                    <w:top w:val="none" w:color="000000" w:sz="4"/>
                    <w:left w:val="none" w:color="000000" w:sz="4"/>
                    <w:bottom w:val="single" w:color="000000" w:sz="4"/>
                    <w:right w:val="single" w:color="000000" w:sz="4"/>
                  </w:tcBorders>
                  <w:vAlign w:val="top"/>
                </w:tcPr>
                <w:p>
                  <w:pPr>
                    <w:jc w:val="left"/>
                  </w:pPr>
                  <w:r>
                    <w:rPr>
                      <w:sz w:val="21"/>
                    </w:rPr>
                    <w:t>在</w:t>
                  </w:r>
                  <w:r>
                    <w:rPr>
                      <w:sz w:val="21"/>
                    </w:rPr>
                    <w:t>2020年1月1日</w:t>
                  </w:r>
                  <w:r>
                    <w:rPr>
                      <w:sz w:val="21"/>
                    </w:rPr>
                    <w:t>后购置。</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5</w:t>
                  </w:r>
                  <w:r>
                    <w:rPr>
                      <w:sz w:val="21"/>
                    </w:rPr>
                    <w:t>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89"/>
                  <w:tcBorders>
                    <w:top w:val="none" w:color="000000" w:sz="4"/>
                    <w:left w:val="none" w:color="000000" w:sz="4"/>
                    <w:bottom w:val="single" w:color="000000" w:sz="4"/>
                    <w:right w:val="single" w:color="000000" w:sz="4"/>
                  </w:tcBorders>
                  <w:vAlign w:val="top"/>
                </w:tcPr>
                <w:p>
                  <w:pPr>
                    <w:jc w:val="center"/>
                  </w:pPr>
                  <w:r>
                    <w:rPr>
                      <w:sz w:val="21"/>
                    </w:rPr>
                    <w:t>车载式喷雾机</w:t>
                  </w:r>
                </w:p>
              </w:tc>
              <w:tc>
                <w:tcPr>
                  <w:tcW w:type="dxa" w:w="3119"/>
                  <w:tcBorders>
                    <w:top w:val="none" w:color="000000" w:sz="4"/>
                    <w:left w:val="none" w:color="000000" w:sz="4"/>
                    <w:bottom w:val="single" w:color="000000" w:sz="4"/>
                    <w:right w:val="single" w:color="000000" w:sz="4"/>
                  </w:tcBorders>
                  <w:vAlign w:val="top"/>
                </w:tcPr>
                <w:p>
                  <w:pPr>
                    <w:jc w:val="left"/>
                  </w:pPr>
                  <w:r>
                    <w:rPr>
                      <w:sz w:val="21"/>
                    </w:rPr>
                    <w:t>1.</w:t>
                  </w:r>
                  <w:r>
                    <w:rPr>
                      <w:sz w:val="21"/>
                    </w:rPr>
                    <w:t>输出容量</w:t>
                  </w:r>
                  <w:r>
                    <w:rPr>
                      <w:sz w:val="21"/>
                    </w:rPr>
                    <w:t>50-100公升/小时，达距100米（受制于风速），雾滴80%&lt;40微米，声量80分贝以下。</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2台</w:t>
                  </w:r>
                </w:p>
              </w:tc>
            </w:tr>
            <w:tr>
              <w:tc>
                <w:tcPr>
                  <w:tcW w:type="dxa" w:w="55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889"/>
                  <w:tcBorders>
                    <w:top w:val="none" w:color="000000" w:sz="4"/>
                    <w:left w:val="none" w:color="000000" w:sz="4"/>
                    <w:bottom w:val="single" w:color="000000" w:sz="4"/>
                    <w:right w:val="single" w:color="000000" w:sz="4"/>
                  </w:tcBorders>
                  <w:vAlign w:val="top"/>
                </w:tcPr>
                <w:p>
                  <w:pPr>
                    <w:jc w:val="center"/>
                  </w:pPr>
                  <w:r>
                    <w:rPr>
                      <w:sz w:val="21"/>
                    </w:rPr>
                    <w:t>鼠屋</w:t>
                  </w:r>
                </w:p>
              </w:tc>
              <w:tc>
                <w:tcPr>
                  <w:tcW w:type="dxa" w:w="3119"/>
                  <w:tcBorders>
                    <w:top w:val="none" w:color="000000" w:sz="4"/>
                    <w:left w:val="none" w:color="000000" w:sz="4"/>
                    <w:bottom w:val="single" w:color="000000" w:sz="4"/>
                    <w:right w:val="single" w:color="000000" w:sz="4"/>
                  </w:tcBorders>
                  <w:vAlign w:val="top"/>
                </w:tcPr>
                <w:p>
                  <w:pPr>
                    <w:jc w:val="left"/>
                  </w:pPr>
                  <w:r>
                    <w:rPr>
                      <w:sz w:val="21"/>
                    </w:rPr>
                    <w:t>1.材质瓦筒，规格≧长34cm宽12cm高12cm</w:t>
                  </w:r>
                </w:p>
              </w:tc>
              <w:tc>
                <w:tcPr>
                  <w:tcW w:type="dxa" w:w="1040"/>
                  <w:tcBorders>
                    <w:top w:val="none" w:color="000000" w:sz="4"/>
                    <w:left w:val="none" w:color="000000" w:sz="4"/>
                    <w:bottom w:val="single" w:color="000000" w:sz="4"/>
                    <w:right w:val="single" w:color="000000" w:sz="4"/>
                  </w:tcBorders>
                  <w:vAlign w:val="top"/>
                </w:tcPr>
                <w:p>
                  <w:pPr>
                    <w:jc w:val="center"/>
                  </w:pPr>
                  <w:r>
                    <w:rPr>
                      <w:sz w:val="21"/>
                    </w:rPr>
                    <w:t>3600个</w:t>
                  </w:r>
                </w:p>
              </w:tc>
            </w:tr>
            <w:tr>
              <w:tc>
                <w:tcPr>
                  <w:tcW w:type="dxa" w:w="5599"/>
                  <w:gridSpan w:val="4"/>
                  <w:tcBorders>
                    <w:top w:val="none" w:color="000000" w:sz="4"/>
                    <w:left w:val="single" w:color="000000" w:sz="4"/>
                    <w:bottom w:val="single" w:color="000000" w:sz="4"/>
                    <w:right w:val="single" w:color="000000" w:sz="4"/>
                  </w:tcBorders>
                  <w:vAlign w:val="top"/>
                </w:tcPr>
                <w:p>
                  <w:pPr>
                    <w:jc w:val="left"/>
                  </w:pPr>
                  <w:r>
                    <w:rPr>
                      <w:b/>
                      <w:sz w:val="24"/>
                    </w:rPr>
                    <w:t>★注</w:t>
                  </w:r>
                  <w:r>
                    <w:rPr>
                      <w:b/>
                      <w:sz w:val="24"/>
                    </w:rPr>
                    <w:t>1</w:t>
                  </w:r>
                  <w:r>
                    <w:rPr>
                      <w:b/>
                      <w:sz w:val="24"/>
                    </w:rPr>
                    <w:t>：</w:t>
                  </w:r>
                  <w:r>
                    <w:rPr>
                      <w:b/>
                      <w:sz w:val="24"/>
                    </w:rPr>
                    <w:t>中标人提供的设备须在</w:t>
                  </w:r>
                  <w:r>
                    <w:rPr>
                      <w:b/>
                      <w:sz w:val="24"/>
                    </w:rPr>
                    <w:t>2020年1月1日</w:t>
                  </w:r>
                  <w:r>
                    <w:rPr>
                      <w:b/>
                      <w:sz w:val="24"/>
                    </w:rPr>
                    <w:t>之后购置的（在投标时提供承诺函，格式自拟）。</w:t>
                  </w:r>
                </w:p>
                <w:p>
                  <w:pPr>
                    <w:jc w:val="left"/>
                  </w:pPr>
                  <w:r>
                    <w:rPr>
                      <w:b/>
                      <w:sz w:val="21"/>
                    </w:rPr>
                    <w:t>注</w:t>
                  </w:r>
                  <w:r>
                    <w:rPr>
                      <w:b/>
                      <w:sz w:val="21"/>
                    </w:rPr>
                    <w:t>2：</w:t>
                  </w:r>
                  <w:r>
                    <w:rPr>
                      <w:b/>
                      <w:sz w:val="21"/>
                    </w:rPr>
                    <w:t>中标供应商</w:t>
                  </w:r>
                  <w:r>
                    <w:rPr>
                      <w:b/>
                      <w:sz w:val="21"/>
                    </w:rPr>
                    <w:t>须在合同签订后一个月内将上述车辆和设备的发票复印件（发票抬头与</w:t>
                  </w:r>
                  <w:r>
                    <w:rPr>
                      <w:b/>
                      <w:sz w:val="21"/>
                    </w:rPr>
                    <w:t>中标供应商</w:t>
                  </w:r>
                  <w:r>
                    <w:rPr>
                      <w:b/>
                      <w:sz w:val="21"/>
                    </w:rPr>
                    <w:t>单位名称一致）交予</w:t>
                  </w:r>
                  <w:r>
                    <w:rPr>
                      <w:b/>
                      <w:sz w:val="21"/>
                    </w:rPr>
                    <w:t>招标人</w:t>
                  </w:r>
                  <w:r>
                    <w:rPr>
                      <w:b/>
                      <w:sz w:val="21"/>
                    </w:rPr>
                    <w:t>备案。</w:t>
                  </w:r>
                </w:p>
              </w:tc>
            </w:tr>
          </w:tbl>
          <w:p>
            <w:pPr>
              <w:ind w:firstLine="420"/>
              <w:jc w:val="both"/>
            </w:pPr>
            <w:r>
              <w:rPr>
                <w:sz w:val="21"/>
              </w:rPr>
              <w:t>8.</w:t>
            </w:r>
            <w:r>
              <w:rPr>
                <w:sz w:val="21"/>
              </w:rPr>
              <w:t>服装基本配置</w:t>
            </w:r>
          </w:p>
          <w:tbl>
            <w:tblPr>
              <w:tblInd w:type="dxa" w:w="105"/>
              <w:tblBorders>
                <w:top w:val="none" w:color="000000" w:sz="4"/>
                <w:left w:val="none" w:color="000000" w:sz="4"/>
                <w:bottom w:val="none" w:color="000000" w:sz="4"/>
                <w:right w:val="none" w:color="000000" w:sz="4"/>
                <w:insideH w:val="none"/>
                <w:insideV w:val="none"/>
              </w:tblBorders>
            </w:tblPr>
            <w:tblGrid>
              <w:gridCol w:w="574"/>
              <w:gridCol w:w="1256"/>
              <w:gridCol w:w="3768"/>
            </w:tblGrid>
            <w:tr>
              <w:tc>
                <w:tcPr>
                  <w:tcW w:type="dxa" w:w="574"/>
                  <w:tcBorders>
                    <w:top w:val="single" w:color="000000" w:sz="4"/>
                    <w:left w:val="single" w:color="000000" w:sz="4"/>
                    <w:bottom w:val="single" w:color="000000" w:sz="4"/>
                    <w:right w:val="single" w:color="000000" w:sz="4"/>
                  </w:tcBorders>
                  <w:vAlign w:val="top"/>
                </w:tcPr>
                <w:p>
                  <w:pPr>
                    <w:ind w:firstLine="200"/>
                    <w:jc w:val="center"/>
                  </w:pPr>
                  <w:r>
                    <w:rPr>
                      <w:sz w:val="21"/>
                    </w:rPr>
                    <w:t>序号</w:t>
                  </w:r>
                </w:p>
              </w:tc>
              <w:tc>
                <w:tcPr>
                  <w:tcW w:type="dxa" w:w="1256"/>
                  <w:tcBorders>
                    <w:top w:val="single" w:color="000000" w:sz="4"/>
                    <w:left w:val="single" w:color="000000" w:sz="4"/>
                    <w:bottom w:val="single" w:color="000000" w:sz="4"/>
                    <w:right w:val="single" w:color="000000" w:sz="4"/>
                  </w:tcBorders>
                  <w:vAlign w:val="top"/>
                </w:tcPr>
                <w:p>
                  <w:pPr>
                    <w:ind w:firstLine="200"/>
                    <w:jc w:val="center"/>
                  </w:pPr>
                  <w:r>
                    <w:rPr>
                      <w:sz w:val="21"/>
                    </w:rPr>
                    <w:t>服装</w:t>
                  </w:r>
                </w:p>
              </w:tc>
              <w:tc>
                <w:tcPr>
                  <w:tcW w:type="dxa" w:w="3768"/>
                  <w:tcBorders>
                    <w:top w:val="single" w:color="000000" w:sz="4"/>
                    <w:left w:val="single" w:color="000000" w:sz="4"/>
                    <w:bottom w:val="single" w:color="000000" w:sz="4"/>
                    <w:right w:val="single" w:color="000000" w:sz="4"/>
                  </w:tcBorders>
                  <w:vAlign w:val="top"/>
                </w:tcPr>
                <w:p>
                  <w:pPr>
                    <w:ind w:firstLine="200"/>
                    <w:jc w:val="center"/>
                  </w:pPr>
                  <w:r>
                    <w:rPr>
                      <w:sz w:val="21"/>
                    </w:rPr>
                    <w:t>具体要求</w:t>
                  </w:r>
                </w:p>
              </w:tc>
            </w:tr>
            <w:tr>
              <w:tc>
                <w:tcPr>
                  <w:tcW w:type="dxa" w:w="574"/>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256"/>
                  <w:tcBorders>
                    <w:top w:val="none" w:color="000000" w:sz="4"/>
                    <w:left w:val="single" w:color="000000" w:sz="4"/>
                    <w:bottom w:val="single" w:color="000000" w:sz="4"/>
                    <w:right w:val="single" w:color="000000" w:sz="4"/>
                  </w:tcBorders>
                  <w:vAlign w:val="top"/>
                </w:tcPr>
                <w:p>
                  <w:pPr>
                    <w:jc w:val="center"/>
                  </w:pPr>
                  <w:r>
                    <w:rPr>
                      <w:sz w:val="21"/>
                    </w:rPr>
                    <w:t>个人防护</w:t>
                  </w:r>
                </w:p>
              </w:tc>
              <w:tc>
                <w:tcPr>
                  <w:tcW w:type="dxa" w:w="3768"/>
                  <w:tcBorders>
                    <w:top w:val="none" w:color="000000" w:sz="4"/>
                    <w:left w:val="single" w:color="000000" w:sz="4"/>
                    <w:bottom w:val="single" w:color="000000" w:sz="4"/>
                    <w:right w:val="single" w:color="000000" w:sz="4"/>
                  </w:tcBorders>
                  <w:vAlign w:val="top"/>
                </w:tcPr>
                <w:p>
                  <w:pPr>
                    <w:jc w:val="left"/>
                  </w:pPr>
                  <w:r>
                    <w:rPr>
                      <w:sz w:val="21"/>
                    </w:rPr>
                    <w:t>1.服装：统一审定的图案、色泽及格式制作的工作服（含雨衣）</w:t>
                  </w:r>
                </w:p>
                <w:p>
                  <w:pPr>
                    <w:jc w:val="left"/>
                  </w:pPr>
                  <w:r>
                    <w:rPr>
                      <w:sz w:val="21"/>
                    </w:rPr>
                    <w:t>2.反光衣、戴橡胶手套、口罩、镊子等</w:t>
                  </w:r>
                </w:p>
                <w:p>
                  <w:pPr>
                    <w:jc w:val="left"/>
                  </w:pPr>
                  <w:r>
                    <w:rPr>
                      <w:sz w:val="21"/>
                    </w:rPr>
                    <w:t>3.服务期三年的基本装备损耗</w:t>
                  </w:r>
                </w:p>
              </w:tc>
            </w:tr>
          </w:tbl>
          <w:p>
            <w:pPr>
              <w:ind w:firstLine="420"/>
              <w:jc w:val="both"/>
            </w:pPr>
            <w:r>
              <w:rPr>
                <w:sz w:val="21"/>
              </w:rPr>
              <w:t>9.</w:t>
            </w:r>
            <w:r>
              <w:rPr>
                <w:sz w:val="21"/>
              </w:rPr>
              <w:t>防治药品基本配置</w:t>
            </w:r>
          </w:p>
          <w:tbl>
            <w:tblPr>
              <w:tblInd w:type="dxa" w:w="135"/>
              <w:tblBorders>
                <w:top w:val="none" w:color="000000" w:sz="4"/>
                <w:left w:val="none" w:color="000000" w:sz="4"/>
                <w:bottom w:val="none" w:color="000000" w:sz="4"/>
                <w:right w:val="none" w:color="000000" w:sz="4"/>
                <w:insideH w:val="none"/>
                <w:insideV w:val="none"/>
              </w:tblBorders>
            </w:tblPr>
            <w:tblGrid>
              <w:gridCol w:w="751"/>
              <w:gridCol w:w="1275"/>
              <w:gridCol w:w="3572"/>
            </w:tblGrid>
            <w:tr>
              <w:tc>
                <w:tcPr>
                  <w:tcW w:type="dxa" w:w="751"/>
                  <w:tcBorders>
                    <w:top w:val="single" w:color="000000" w:sz="4"/>
                    <w:left w:val="single" w:color="000000" w:sz="4"/>
                    <w:bottom w:val="single" w:color="000000" w:sz="4"/>
                    <w:right w:val="single" w:color="000000" w:sz="4"/>
                  </w:tcBorders>
                  <w:vAlign w:val="top"/>
                </w:tcPr>
                <w:p>
                  <w:pPr>
                    <w:ind w:firstLine="200"/>
                    <w:jc w:val="center"/>
                  </w:pPr>
                  <w:r>
                    <w:rPr>
                      <w:sz w:val="21"/>
                    </w:rPr>
                    <w:t>序号</w:t>
                  </w:r>
                </w:p>
              </w:tc>
              <w:tc>
                <w:tcPr>
                  <w:tcW w:type="dxa" w:w="1275"/>
                  <w:tcBorders>
                    <w:top w:val="single" w:color="000000" w:sz="4"/>
                    <w:left w:val="single" w:color="000000" w:sz="4"/>
                    <w:bottom w:val="single" w:color="000000" w:sz="4"/>
                    <w:right w:val="single" w:color="000000" w:sz="4"/>
                  </w:tcBorders>
                  <w:vAlign w:val="top"/>
                </w:tcPr>
                <w:p>
                  <w:pPr>
                    <w:ind w:firstLine="200"/>
                    <w:jc w:val="center"/>
                  </w:pPr>
                  <w:r>
                    <w:rPr>
                      <w:sz w:val="21"/>
                    </w:rPr>
                    <w:t>药物类别</w:t>
                  </w:r>
                </w:p>
              </w:tc>
              <w:tc>
                <w:tcPr>
                  <w:tcW w:type="dxa" w:w="3572"/>
                  <w:tcBorders>
                    <w:top w:val="single" w:color="000000" w:sz="4"/>
                    <w:left w:val="single" w:color="000000" w:sz="4"/>
                    <w:bottom w:val="single" w:color="000000" w:sz="4"/>
                    <w:right w:val="single" w:color="000000" w:sz="4"/>
                  </w:tcBorders>
                  <w:vAlign w:val="top"/>
                </w:tcPr>
                <w:p>
                  <w:pPr>
                    <w:ind w:firstLine="200"/>
                    <w:jc w:val="center"/>
                  </w:pPr>
                  <w:r>
                    <w:rPr>
                      <w:sz w:val="21"/>
                    </w:rPr>
                    <w:t>具体要求</w:t>
                  </w:r>
                </w:p>
              </w:tc>
            </w:tr>
            <w:tr>
              <w:tc>
                <w:tcPr>
                  <w:tcW w:type="dxa" w:w="751"/>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275"/>
                  <w:tcBorders>
                    <w:top w:val="none" w:color="000000" w:sz="4"/>
                    <w:left w:val="single" w:color="000000" w:sz="4"/>
                    <w:bottom w:val="single" w:color="000000" w:sz="4"/>
                    <w:right w:val="single" w:color="000000" w:sz="4"/>
                  </w:tcBorders>
                  <w:vAlign w:val="top"/>
                </w:tcPr>
                <w:p>
                  <w:pPr>
                    <w:jc w:val="center"/>
                  </w:pPr>
                  <w:r>
                    <w:rPr>
                      <w:sz w:val="21"/>
                    </w:rPr>
                    <w:t>灭蚊药</w:t>
                  </w:r>
                </w:p>
              </w:tc>
              <w:tc>
                <w:tcPr>
                  <w:tcW w:type="dxa" w:w="3572"/>
                  <w:tcBorders>
                    <w:top w:val="none" w:color="000000" w:sz="4"/>
                    <w:left w:val="single" w:color="000000" w:sz="4"/>
                    <w:bottom w:val="single" w:color="000000" w:sz="4"/>
                    <w:right w:val="single" w:color="000000" w:sz="4"/>
                  </w:tcBorders>
                  <w:vAlign w:val="top"/>
                </w:tcPr>
                <w:p>
                  <w:pPr>
                    <w:jc w:val="left"/>
                  </w:pPr>
                  <w:r>
                    <w:rPr>
                      <w:sz w:val="21"/>
                    </w:rPr>
                    <w:t>1.适用于喷雾机的药剂；定期对项目服务范围内全部场所进行检查，并作空间喷洒灭成蚊，视成蚊密度情况增加频次</w:t>
                  </w:r>
                </w:p>
                <w:p>
                  <w:pPr>
                    <w:jc w:val="left"/>
                  </w:pPr>
                  <w:r>
                    <w:rPr>
                      <w:sz w:val="21"/>
                    </w:rPr>
                    <w:t>2.吊挂蚊虫缓释控制药；对项目服务范围内有积水的下水道沉沙井</w:t>
                  </w:r>
                </w:p>
                <w:p>
                  <w:pPr>
                    <w:jc w:val="left"/>
                  </w:pPr>
                  <w:r>
                    <w:rPr>
                      <w:sz w:val="21"/>
                    </w:rPr>
                    <w:t>3.主要灭蚊、幼虫</w:t>
                  </w:r>
                </w:p>
              </w:tc>
            </w:tr>
            <w:tr>
              <w:tc>
                <w:tcPr>
                  <w:tcW w:type="dxa" w:w="751"/>
                  <w:tcBorders>
                    <w:top w:val="none" w:color="000000" w:sz="4"/>
                    <w:left w:val="single" w:color="000000" w:sz="4"/>
                    <w:bottom w:val="single" w:color="000000" w:sz="4"/>
                    <w:right w:val="single" w:color="000000" w:sz="4"/>
                  </w:tcBorders>
                  <w:vAlign w:val="top"/>
                </w:tcPr>
                <w:p>
                  <w:pPr>
                    <w:jc w:val="center"/>
                  </w:pPr>
                  <w:r>
                    <w:rPr>
                      <w:sz w:val="21"/>
                    </w:rPr>
                    <w:t>02</w:t>
                  </w:r>
                </w:p>
              </w:tc>
              <w:tc>
                <w:tcPr>
                  <w:tcW w:type="dxa" w:w="1275"/>
                  <w:tcBorders>
                    <w:top w:val="none" w:color="000000" w:sz="4"/>
                    <w:left w:val="single" w:color="000000" w:sz="4"/>
                    <w:bottom w:val="single" w:color="000000" w:sz="4"/>
                    <w:right w:val="single" w:color="000000" w:sz="4"/>
                  </w:tcBorders>
                  <w:vAlign w:val="top"/>
                </w:tcPr>
                <w:p>
                  <w:pPr>
                    <w:jc w:val="center"/>
                  </w:pPr>
                  <w:r>
                    <w:rPr>
                      <w:sz w:val="21"/>
                    </w:rPr>
                    <w:t>灭蝇药</w:t>
                  </w:r>
                </w:p>
              </w:tc>
              <w:tc>
                <w:tcPr>
                  <w:tcW w:type="dxa" w:w="3572"/>
                  <w:tcBorders>
                    <w:top w:val="none" w:color="000000" w:sz="4"/>
                    <w:left w:val="single" w:color="000000" w:sz="4"/>
                    <w:bottom w:val="single" w:color="000000" w:sz="4"/>
                    <w:right w:val="single" w:color="000000" w:sz="4"/>
                  </w:tcBorders>
                  <w:vAlign w:val="top"/>
                </w:tcPr>
                <w:p>
                  <w:pPr>
                    <w:jc w:val="left"/>
                  </w:pPr>
                  <w:r>
                    <w:rPr>
                      <w:sz w:val="21"/>
                    </w:rPr>
                    <w:t>1.适用于喷雾机</w:t>
                  </w:r>
                </w:p>
                <w:p>
                  <w:pPr>
                    <w:jc w:val="left"/>
                  </w:pPr>
                  <w:r>
                    <w:rPr>
                      <w:sz w:val="21"/>
                    </w:rPr>
                    <w:t>2.定期对项目服务范围内场所进行滞留喷洒灭成蝇</w:t>
                  </w:r>
                </w:p>
                <w:p>
                  <w:pPr>
                    <w:jc w:val="left"/>
                  </w:pPr>
                  <w:r>
                    <w:rPr>
                      <w:sz w:val="21"/>
                    </w:rPr>
                    <w:t>3.主要灭蝇</w:t>
                  </w:r>
                </w:p>
              </w:tc>
            </w:tr>
            <w:tr>
              <w:tc>
                <w:tcPr>
                  <w:tcW w:type="dxa" w:w="751"/>
                  <w:tcBorders>
                    <w:top w:val="none" w:color="000000" w:sz="4"/>
                    <w:left w:val="single" w:color="000000" w:sz="4"/>
                    <w:bottom w:val="single" w:color="000000" w:sz="4"/>
                    <w:right w:val="single" w:color="000000" w:sz="4"/>
                  </w:tcBorders>
                  <w:vAlign w:val="top"/>
                </w:tcPr>
                <w:p>
                  <w:pPr>
                    <w:jc w:val="center"/>
                  </w:pPr>
                  <w:r>
                    <w:rPr>
                      <w:sz w:val="21"/>
                    </w:rPr>
                    <w:t>03</w:t>
                  </w:r>
                </w:p>
              </w:tc>
              <w:tc>
                <w:tcPr>
                  <w:tcW w:type="dxa" w:w="1275"/>
                  <w:tcBorders>
                    <w:top w:val="none" w:color="000000" w:sz="4"/>
                    <w:left w:val="single" w:color="000000" w:sz="4"/>
                    <w:bottom w:val="single" w:color="000000" w:sz="4"/>
                    <w:right w:val="single" w:color="000000" w:sz="4"/>
                  </w:tcBorders>
                  <w:vAlign w:val="top"/>
                </w:tcPr>
                <w:p>
                  <w:pPr>
                    <w:jc w:val="center"/>
                  </w:pPr>
                  <w:r>
                    <w:rPr>
                      <w:sz w:val="21"/>
                    </w:rPr>
                    <w:t>灭蟑药</w:t>
                  </w:r>
                </w:p>
              </w:tc>
              <w:tc>
                <w:tcPr>
                  <w:tcW w:type="dxa" w:w="3572"/>
                  <w:tcBorders>
                    <w:top w:val="none" w:color="000000" w:sz="4"/>
                    <w:left w:val="single" w:color="000000" w:sz="4"/>
                    <w:bottom w:val="single" w:color="000000" w:sz="4"/>
                    <w:right w:val="single" w:color="000000" w:sz="4"/>
                  </w:tcBorders>
                  <w:vAlign w:val="top"/>
                </w:tcPr>
                <w:p>
                  <w:pPr>
                    <w:jc w:val="left"/>
                  </w:pPr>
                  <w:r>
                    <w:rPr>
                      <w:sz w:val="21"/>
                    </w:rPr>
                    <w:t>1.适用于热力烟雾机</w:t>
                  </w:r>
                </w:p>
                <w:p>
                  <w:pPr>
                    <w:jc w:val="left"/>
                  </w:pPr>
                  <w:r>
                    <w:rPr>
                      <w:sz w:val="21"/>
                    </w:rPr>
                    <w:t>2.主要灭蟑螂</w:t>
                  </w:r>
                </w:p>
              </w:tc>
            </w:tr>
            <w:tr>
              <w:tc>
                <w:tcPr>
                  <w:tcW w:type="dxa" w:w="751"/>
                  <w:tcBorders>
                    <w:top w:val="none" w:color="000000" w:sz="4"/>
                    <w:left w:val="single" w:color="000000" w:sz="4"/>
                    <w:bottom w:val="single" w:color="000000" w:sz="4"/>
                    <w:right w:val="single" w:color="000000" w:sz="4"/>
                  </w:tcBorders>
                  <w:vAlign w:val="top"/>
                </w:tcPr>
                <w:p>
                  <w:pPr>
                    <w:jc w:val="center"/>
                  </w:pPr>
                  <w:r>
                    <w:rPr>
                      <w:sz w:val="21"/>
                    </w:rPr>
                    <w:t>04</w:t>
                  </w:r>
                </w:p>
              </w:tc>
              <w:tc>
                <w:tcPr>
                  <w:tcW w:type="dxa" w:w="1275"/>
                  <w:tcBorders>
                    <w:top w:val="none" w:color="000000" w:sz="4"/>
                    <w:left w:val="single" w:color="000000" w:sz="4"/>
                    <w:bottom w:val="single" w:color="000000" w:sz="4"/>
                    <w:right w:val="single" w:color="000000" w:sz="4"/>
                  </w:tcBorders>
                  <w:vAlign w:val="top"/>
                </w:tcPr>
                <w:p>
                  <w:pPr>
                    <w:jc w:val="center"/>
                  </w:pPr>
                  <w:r>
                    <w:rPr>
                      <w:sz w:val="21"/>
                    </w:rPr>
                    <w:t>灭鼠药</w:t>
                  </w:r>
                </w:p>
              </w:tc>
              <w:tc>
                <w:tcPr>
                  <w:tcW w:type="dxa" w:w="3572"/>
                  <w:tcBorders>
                    <w:top w:val="none" w:color="000000" w:sz="4"/>
                    <w:left w:val="single" w:color="000000" w:sz="4"/>
                    <w:bottom w:val="single" w:color="000000" w:sz="4"/>
                    <w:right w:val="single" w:color="000000" w:sz="4"/>
                  </w:tcBorders>
                  <w:vAlign w:val="top"/>
                </w:tcPr>
                <w:p>
                  <w:pPr>
                    <w:jc w:val="left"/>
                  </w:pPr>
                  <w:r>
                    <w:rPr>
                      <w:sz w:val="21"/>
                    </w:rPr>
                    <w:t>1.灭鼠药：投放于毒鼠屋的灭鼠药</w:t>
                  </w:r>
                </w:p>
                <w:p>
                  <w:pPr>
                    <w:jc w:val="left"/>
                  </w:pPr>
                  <w:r>
                    <w:rPr>
                      <w:sz w:val="21"/>
                    </w:rPr>
                    <w:t>2.适用范围：公共外环境</w:t>
                  </w:r>
                </w:p>
              </w:tc>
            </w:tr>
          </w:tbl>
        </w:tc>
      </w:tr>
      <w:tr>
        <w:tc>
          <w:tcPr>
            <w:tcW w:type="dxa" w:w="2076"/>
          </w:tcPr>
          <w:p/>
        </w:tc>
        <w:tc>
          <w:tcPr>
            <w:tcW w:type="dxa" w:w="415"/>
          </w:tcPr>
          <w:p>
            <w:r>
              <w:rPr/>
              <w:t>3</w:t>
            </w:r>
          </w:p>
        </w:tc>
        <w:tc>
          <w:tcPr>
            <w:tcW w:type="dxa" w:w="5814"/>
          </w:tcPr>
          <w:p>
            <w:r>
              <w:rPr>
                <w:b/>
                <w:sz w:val="21"/>
              </w:rPr>
              <w:t>三、</w:t>
            </w:r>
            <w:r>
              <w:rPr>
                <w:b/>
                <w:sz w:val="21"/>
              </w:rPr>
              <w:t>大良街道公共环境除</w:t>
            </w:r>
            <w:r>
              <w:rPr>
                <w:b/>
                <w:sz w:val="21"/>
              </w:rPr>
              <w:t>“四害”管理服务项目（B标段）</w:t>
            </w:r>
            <w:r>
              <w:rPr>
                <w:b/>
                <w:sz w:val="21"/>
              </w:rPr>
              <w:t>服务</w:t>
            </w:r>
            <w:r>
              <w:rPr>
                <w:b/>
                <w:sz w:val="21"/>
              </w:rPr>
              <w:t>要求</w:t>
            </w:r>
          </w:p>
          <w:p>
            <w:pPr>
              <w:ind w:firstLine="420"/>
            </w:pPr>
            <w:r>
              <w:rPr>
                <w:sz w:val="21"/>
              </w:rPr>
              <w:t>1、人员要求</w:t>
            </w:r>
          </w:p>
          <w:p>
            <w:pPr>
              <w:ind w:firstLine="420"/>
            </w:pPr>
            <w:r>
              <w:rPr>
                <w:sz w:val="21"/>
              </w:rPr>
              <w:t>（</w:t>
            </w:r>
            <w:r>
              <w:rPr>
                <w:sz w:val="21"/>
              </w:rPr>
              <w:t>1）中标供应商必</w:t>
            </w:r>
            <w:r>
              <w:rPr>
                <w:sz w:val="21"/>
              </w:rPr>
              <w:t>须按招标文件要求聘请足额工作人员专用于本项目，具有完全民事行为能力及身体健全。专业技术人员必须持证上岗。</w:t>
            </w:r>
          </w:p>
          <w:p>
            <w:pPr>
              <w:ind w:firstLine="420"/>
            </w:pPr>
            <w:r>
              <w:rPr>
                <w:sz w:val="21"/>
              </w:rPr>
              <w:t>（</w:t>
            </w:r>
            <w:r>
              <w:rPr>
                <w:sz w:val="21"/>
              </w:rPr>
              <w:t>2）工作人员上岗前须经过培训，熟悉设施设备的使用方法技巧。</w:t>
            </w:r>
          </w:p>
          <w:p>
            <w:pPr>
              <w:ind w:firstLine="420"/>
            </w:pPr>
            <w:r>
              <w:rPr>
                <w:sz w:val="21"/>
              </w:rPr>
              <w:t>（</w:t>
            </w:r>
            <w:r>
              <w:rPr>
                <w:sz w:val="21"/>
              </w:rPr>
              <w:t>3）中标供应商需优先聘用大良街道户籍人员，同等条件下优先聘用大良街道工人。聘请的工作人员的年龄符合法定要求，且具有完全民事行为能力，身体健全。</w:t>
            </w:r>
          </w:p>
          <w:p>
            <w:pPr>
              <w:ind w:firstLine="420"/>
            </w:pPr>
            <w:r>
              <w:rPr>
                <w:sz w:val="21"/>
              </w:rPr>
              <w:t>（</w:t>
            </w:r>
            <w:r>
              <w:rPr>
                <w:sz w:val="21"/>
              </w:rPr>
              <w:t>4）为了保障员工人身安全及意外的福利保险，中标供应商必须依法用工与作业人员签订劳动合同，按顺德区社会劳动保险的有关规定为员工购买社会保险，按时发放工资补贴。</w:t>
            </w:r>
          </w:p>
          <w:p>
            <w:pPr>
              <w:ind w:firstLine="420"/>
            </w:pPr>
            <w:r>
              <w:rPr>
                <w:sz w:val="21"/>
              </w:rPr>
              <w:t>（</w:t>
            </w:r>
            <w:r>
              <w:rPr>
                <w:sz w:val="21"/>
              </w:rPr>
              <w:t>5）中标供应商必须执行国家劳动法的相关规定。</w:t>
            </w:r>
          </w:p>
          <w:p>
            <w:pPr>
              <w:ind w:firstLine="420"/>
            </w:pPr>
            <w:r>
              <w:rPr>
                <w:sz w:val="21"/>
              </w:rPr>
              <w:t>（</w:t>
            </w:r>
            <w:r>
              <w:rPr>
                <w:sz w:val="21"/>
              </w:rPr>
              <w:t>6）作业人员必须穿着按招标人统一审定的图案、色泽及格式制作的工作服（含雨衣），保持衣冠整洁。阴天或夜间作业必须穿着反光衣。</w:t>
            </w:r>
          </w:p>
          <w:p>
            <w:pPr>
              <w:ind w:firstLine="420"/>
            </w:pPr>
            <w:r>
              <w:rPr>
                <w:sz w:val="21"/>
              </w:rPr>
              <w:t>（</w:t>
            </w:r>
            <w:r>
              <w:rPr>
                <w:sz w:val="21"/>
              </w:rPr>
              <w:t>7）作业时间内，作业人员须遵纪守文明作业，不准参加自己管理区域外的工作，不得聚堆闲聊、瞌睡、执捡收集、挪用变卖垃圾废品及从事其它与作业无关的事项。</w:t>
            </w:r>
          </w:p>
          <w:p>
            <w:pPr>
              <w:ind w:firstLine="420"/>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ind w:firstLine="42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w:t>
            </w:r>
            <w:r>
              <w:rPr>
                <w:sz w:val="21"/>
              </w:rPr>
              <w:t>由此产生的损失。</w:t>
            </w:r>
          </w:p>
          <w:p>
            <w:pPr>
              <w:ind w:firstLine="420"/>
            </w:pPr>
            <w:r>
              <w:rPr>
                <w:sz w:val="21"/>
              </w:rPr>
              <w:t>2、车辆及设备要求</w:t>
            </w:r>
          </w:p>
          <w:p>
            <w:pPr>
              <w:ind w:firstLine="420"/>
            </w:pPr>
            <w:r>
              <w:rPr>
                <w:sz w:val="21"/>
              </w:rPr>
              <w:t>（</w:t>
            </w:r>
            <w:r>
              <w:rPr>
                <w:sz w:val="21"/>
              </w:rPr>
              <w:t>1）中标供应商必须按招标文件要求足额配足车辆及设备专用于本项目，并使用招标人统一审定的车身图案、色泽及设置格式。</w:t>
            </w:r>
          </w:p>
          <w:p>
            <w:pPr>
              <w:ind w:firstLine="420"/>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ind w:firstLine="420"/>
            </w:pPr>
            <w:r>
              <w:rPr>
                <w:sz w:val="21"/>
              </w:rPr>
              <w:t>（</w:t>
            </w:r>
            <w:r>
              <w:rPr>
                <w:sz w:val="21"/>
              </w:rPr>
              <w:t>3）作业车辆必须具备法定有效证照，并购置办理税款、交强险等法定手续，一车一档，由持有相应驾驶证照的驾驶员驾驶。</w:t>
            </w:r>
          </w:p>
          <w:p>
            <w:pPr>
              <w:ind w:firstLine="420"/>
            </w:pPr>
            <w:r>
              <w:rPr>
                <w:sz w:val="21"/>
              </w:rPr>
              <w:t>（</w:t>
            </w:r>
            <w:r>
              <w:rPr>
                <w:sz w:val="21"/>
              </w:rPr>
              <w:t>4）作业车辆及设备在使用过后必须按规定妥善停放于中标供应商停保场地内，不得随意停放于道路街道等公共区域阻碍通行。</w:t>
            </w:r>
          </w:p>
          <w:p>
            <w:pPr>
              <w:ind w:firstLine="420"/>
            </w:pPr>
            <w:r>
              <w:rPr>
                <w:sz w:val="21"/>
              </w:rPr>
              <w:t>（</w:t>
            </w:r>
            <w:r>
              <w:rPr>
                <w:sz w:val="21"/>
              </w:rPr>
              <w:t>5）作业车辆必须遵守交通法规行驶。除应急抢修处理需要，并经招标人及交警部门同意外，不得于交通高峰期（7：00至9：00，17：00至19：00）占道作业，影响交通通行。</w:t>
            </w:r>
          </w:p>
          <w:p>
            <w:pPr>
              <w:ind w:firstLine="420"/>
            </w:pPr>
            <w:r>
              <w:rPr>
                <w:sz w:val="21"/>
              </w:rPr>
              <w:t>（</w:t>
            </w:r>
            <w:r>
              <w:rPr>
                <w:sz w:val="21"/>
              </w:rPr>
              <w:t>6）小型货车必须配备GPS实时定位设备并接入招标人的监控系统，工作时间内必须开启。设备的投入和维护等相关费用由中标供应商承担。</w:t>
            </w:r>
          </w:p>
          <w:p>
            <w:pPr>
              <w:ind w:firstLine="420"/>
              <w:jc w:val="both"/>
            </w:pPr>
            <w:r>
              <w:rPr>
                <w:sz w:val="21"/>
              </w:rPr>
              <w:t>（</w:t>
            </w:r>
            <w:r>
              <w:rPr>
                <w:sz w:val="21"/>
              </w:rPr>
              <w:t>7）中标人须按招标文件要求足额配置设备及车辆专用于本项目，服务期内不得调往他用，否则将被视作违约。</w:t>
            </w:r>
          </w:p>
          <w:p>
            <w:pPr>
              <w:ind w:firstLine="420"/>
            </w:pPr>
            <w:r>
              <w:rPr>
                <w:sz w:val="21"/>
              </w:rPr>
              <w:t>3、其他要求</w:t>
            </w:r>
          </w:p>
          <w:p>
            <w:pPr>
              <w:ind w:firstLine="420"/>
            </w:pPr>
            <w:r>
              <w:rPr>
                <w:sz w:val="21"/>
              </w:rPr>
              <w:t>（</w:t>
            </w:r>
            <w:r>
              <w:rPr>
                <w:sz w:val="21"/>
              </w:rPr>
              <w:t>1）科学用药，不得使用国家禁用或伪劣的灭鼠、杀虫剂，并需安全操作，灭鼠药物保管完善,不遗失，灭鼠毒饵靠边和</w:t>
            </w:r>
            <w:r>
              <w:rPr>
                <w:sz w:val="21"/>
              </w:rPr>
              <w:t>隐蔽处投放；不污染环境，确保人、畜安全，若因管理操作引起的一切责任由中标供应商负责。</w:t>
            </w:r>
          </w:p>
          <w:p>
            <w:pPr>
              <w:ind w:firstLine="420"/>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ind w:firstLine="420"/>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ind w:firstLine="420"/>
            </w:pPr>
            <w:r>
              <w:rPr>
                <w:sz w:val="21"/>
              </w:rPr>
              <w:t>（</w:t>
            </w:r>
            <w:r>
              <w:rPr>
                <w:sz w:val="21"/>
              </w:rPr>
              <w:t>4）除虫施药注意个人防护，穿工作服，戴口罩和手套。</w:t>
            </w:r>
          </w:p>
          <w:p>
            <w:pPr>
              <w:ind w:firstLine="420"/>
            </w:pPr>
            <w:r>
              <w:rPr>
                <w:sz w:val="21"/>
              </w:rPr>
              <w:t>（</w:t>
            </w:r>
            <w:r>
              <w:rPr>
                <w:sz w:val="21"/>
              </w:rPr>
              <w:t>5）施药除虫剩余的药物和药物包装容器（材料），回收集中处理不随地遗弃。</w:t>
            </w:r>
          </w:p>
          <w:p>
            <w:pPr>
              <w:ind w:firstLine="420"/>
            </w:pPr>
            <w:r>
              <w:rPr>
                <w:sz w:val="21"/>
              </w:rPr>
              <w:t>（</w:t>
            </w:r>
            <w:r>
              <w:rPr>
                <w:sz w:val="21"/>
              </w:rPr>
              <w:t>6）不在鱼塘和与养鱼有关水体喷洒、倾倒对鱼类有害的杀虫剂和清洗喷雾工具、用具。</w:t>
            </w:r>
          </w:p>
          <w:p>
            <w:pPr>
              <w:ind w:firstLine="420"/>
            </w:pPr>
            <w:r>
              <w:rPr>
                <w:sz w:val="21"/>
              </w:rPr>
              <w:t>（</w:t>
            </w:r>
            <w:r>
              <w:rPr>
                <w:sz w:val="21"/>
              </w:rPr>
              <w:t>7）必须遵守招标人各项管理规定，接受和服从招标人管理人员的管理及考评，配合提供便利条件，及时根据招标人提出的整改意见进行整改。</w:t>
            </w:r>
          </w:p>
          <w:p>
            <w:pPr>
              <w:ind w:firstLine="420"/>
            </w:pPr>
            <w:r>
              <w:rPr>
                <w:sz w:val="21"/>
              </w:rPr>
              <w:t>（</w:t>
            </w:r>
            <w:r>
              <w:rPr>
                <w:sz w:val="21"/>
              </w:rPr>
              <w:t>8）配合招标人按招标文件规定接管新增工作任务，不得有异议。</w:t>
            </w:r>
          </w:p>
          <w:p>
            <w:pPr>
              <w:ind w:firstLine="420"/>
            </w:pPr>
            <w:r>
              <w:rPr>
                <w:sz w:val="21"/>
              </w:rPr>
              <w:t>（</w:t>
            </w:r>
            <w:r>
              <w:rPr>
                <w:sz w:val="21"/>
              </w:rPr>
              <w:t>9）积极配合招标人作好国家、省、市、区及街道各级政府部门组织的考评、检查及验收等活动的迎接工作。</w:t>
            </w:r>
          </w:p>
          <w:p>
            <w:pPr>
              <w:ind w:firstLine="420"/>
            </w:pPr>
            <w:r>
              <w:rPr>
                <w:sz w:val="21"/>
              </w:rPr>
              <w:t>（</w:t>
            </w:r>
            <w:r>
              <w:rPr>
                <w:sz w:val="21"/>
              </w:rPr>
              <w:t>10）按招标人要求及时提交作业计划、应急预案等资料，确保所提供的资料真实合理。</w:t>
            </w:r>
          </w:p>
          <w:p>
            <w:pPr>
              <w:ind w:firstLine="420"/>
            </w:pPr>
            <w:r>
              <w:rPr>
                <w:sz w:val="21"/>
              </w:rPr>
              <w:t>（</w:t>
            </w:r>
            <w:r>
              <w:rPr>
                <w:sz w:val="21"/>
              </w:rPr>
              <w:t>11）无条件配合政府及有关部门举办的一切活动，协助政府及有关部门处理应急事件。</w:t>
            </w:r>
          </w:p>
          <w:p>
            <w:pPr>
              <w:ind w:firstLine="420"/>
            </w:pPr>
            <w:r>
              <w:rPr>
                <w:sz w:val="21"/>
              </w:rPr>
              <w:t>（</w:t>
            </w:r>
            <w:r>
              <w:rPr>
                <w:sz w:val="21"/>
              </w:rPr>
              <w:t>12）中标供应商必须及时制止影响项目管理质量的行为，并及时向招标人汇报情况及提供现场记录（相片、报告），超过24小时不报，则由中标供应商负责按原貌恢复。</w:t>
            </w:r>
          </w:p>
          <w:p>
            <w:pPr>
              <w:ind w:firstLine="420"/>
            </w:pPr>
            <w:r>
              <w:rPr>
                <w:sz w:val="21"/>
              </w:rPr>
              <w:t>（</w:t>
            </w:r>
            <w:r>
              <w:rPr>
                <w:sz w:val="21"/>
              </w:rPr>
              <w:t>13）中标供应商对聘用员工必须严格管理，对他们的行为负全责，如在服务期内发生劳资纠纷、 意外（生病、伤亡事故）或违反合同规定、触犯国家法律等，由中标供应商承担全部责任及因事故产生的一切费用。</w:t>
            </w:r>
          </w:p>
          <w:p>
            <w:pPr>
              <w:ind w:firstLine="420"/>
            </w:pPr>
            <w:r>
              <w:rPr>
                <w:sz w:val="21"/>
              </w:rPr>
              <w:t>（</w:t>
            </w:r>
            <w:r>
              <w:rPr>
                <w:sz w:val="21"/>
              </w:rPr>
              <w:t>14）标段辖区每居委定点必须设诱蚊产卵器60个，每月监测一次，记录在案。</w:t>
            </w:r>
          </w:p>
          <w:p>
            <w:pPr>
              <w:ind w:firstLine="420"/>
            </w:pPr>
            <w:r>
              <w:rPr>
                <w:sz w:val="21"/>
              </w:rPr>
              <w:t>（</w:t>
            </w:r>
            <w:r>
              <w:rPr>
                <w:sz w:val="21"/>
              </w:rPr>
              <w:t>15）及时向中标供应商及相关部门反映异常情况。</w:t>
            </w:r>
          </w:p>
          <w:p>
            <w:pPr>
              <w:ind w:firstLine="420"/>
            </w:pPr>
            <w:r>
              <w:rPr>
                <w:sz w:val="21"/>
              </w:rPr>
              <w:t>（</w:t>
            </w:r>
            <w:r>
              <w:rPr>
                <w:sz w:val="21"/>
              </w:rPr>
              <w:t>16）中标供应商必须按招标文件做好日常管理工作，避免群众通过来信、来电、来访等方式投诉。</w:t>
            </w:r>
          </w:p>
          <w:p>
            <w:pPr>
              <w:ind w:firstLine="420"/>
            </w:pPr>
            <w:r>
              <w:rPr>
                <w:sz w:val="21"/>
              </w:rPr>
              <w:t>（</w:t>
            </w:r>
            <w:r>
              <w:rPr>
                <w:sz w:val="21"/>
              </w:rPr>
              <w:t>17）中标供应商直接或间接收到群众通过来信、来电、来访等方式投诉的，必须及时妥善处理整改，避免反复投诉。</w:t>
            </w:r>
          </w:p>
          <w:p>
            <w:pPr>
              <w:ind w:firstLine="420"/>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ind w:firstLine="420"/>
            </w:pPr>
            <w:r>
              <w:rPr>
                <w:sz w:val="21"/>
              </w:rPr>
              <w:t>（</w:t>
            </w:r>
            <w:r>
              <w:rPr>
                <w:sz w:val="21"/>
              </w:rPr>
              <w:t>19）中标供应商应做好服务人员档案管理资料；做好工作记录，建立施药服务卡，做好资料收集，整理归档。如招标人有需要必须随时提供。</w:t>
            </w:r>
          </w:p>
          <w:p>
            <w:pPr>
              <w:ind w:firstLine="420"/>
            </w:pPr>
            <w:r>
              <w:rPr>
                <w:sz w:val="21"/>
              </w:rPr>
              <w:t>（</w:t>
            </w:r>
            <w:r>
              <w:rPr>
                <w:sz w:val="21"/>
              </w:rPr>
              <w:t>20）在服务期内，招标人没有增加服务内容、项目，而中标供应商自行增加工作人员的，所增加的费用由中标供应商负责。</w:t>
            </w:r>
          </w:p>
          <w:p>
            <w:pPr>
              <w:ind w:firstLine="480"/>
              <w:jc w:val="both"/>
            </w:pPr>
            <w:r>
              <w:rPr>
                <w:sz w:val="21"/>
              </w:rPr>
              <w:t>（</w:t>
            </w:r>
            <w:r>
              <w:rPr>
                <w:sz w:val="21"/>
              </w:rPr>
              <w:t>21）中标供应商除设立足够的作业人员外，还要指派 1 名能代表中标供应商履行管理及在检查考评中能承担责任的人员配合招标人、居（村）及监督员的检查考评，以方便日常检查及监督。中标供应商指派代表应确保手机通信畅通。</w:t>
            </w:r>
          </w:p>
          <w:p>
            <w:pPr>
              <w:jc w:val="both"/>
            </w:pPr>
            <w:r>
              <w:rPr>
                <w:sz w:val="21"/>
              </w:rPr>
              <w:t>（</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r>
              <w:rPr/>
              <w:t>4</w:t>
            </w:r>
          </w:p>
        </w:tc>
        <w:tc>
          <w:tcPr>
            <w:tcW w:type="dxa" w:w="5814"/>
          </w:tcPr>
          <w:p>
            <w:r>
              <w:rPr>
                <w:b/>
                <w:sz w:val="21"/>
              </w:rPr>
              <w:t>四、</w:t>
            </w:r>
            <w:r>
              <w:rPr>
                <w:b/>
                <w:sz w:val="21"/>
              </w:rPr>
              <w:t>大良街道公共环境除</w:t>
            </w:r>
            <w:r>
              <w:rPr>
                <w:b/>
                <w:sz w:val="21"/>
              </w:rPr>
              <w:t>“四害”管理服务项目（B标段）</w:t>
            </w:r>
            <w:r>
              <w:rPr>
                <w:b/>
                <w:sz w:val="21"/>
              </w:rPr>
              <w:t>服务标准及操作规范</w:t>
            </w:r>
          </w:p>
          <w:p>
            <w:pPr>
              <w:ind w:firstLine="422"/>
            </w:pPr>
            <w:r>
              <w:rPr>
                <w:b/>
                <w:sz w:val="21"/>
              </w:rPr>
              <w:t>1、服务基本标准</w:t>
            </w:r>
          </w:p>
          <w:p>
            <w:pPr>
              <w:ind w:firstLine="218"/>
              <w:jc w:val="both"/>
            </w:pPr>
            <w:r>
              <w:rPr>
                <w:sz w:val="21"/>
              </w:rPr>
              <w:t>监测标准：《</w:t>
            </w:r>
            <w:r>
              <w:rPr>
                <w:sz w:val="21"/>
              </w:rPr>
              <w:t>&lt;</w:t>
            </w:r>
            <w:r>
              <w:rPr>
                <w:sz w:val="21"/>
              </w:rPr>
              <w:t>中华人民共和国国家标准（</w:t>
            </w:r>
            <w:r>
              <w:rPr>
                <w:sz w:val="21"/>
              </w:rPr>
              <w:t>GB/T 23796-2009</w:t>
            </w:r>
            <w:r>
              <w:rPr>
                <w:sz w:val="21"/>
              </w:rPr>
              <w:t>）病媒生物密度监测方法蝇类》、《中华人民共和国国家标准（</w:t>
            </w:r>
            <w:r>
              <w:rPr>
                <w:sz w:val="21"/>
              </w:rPr>
              <w:t>GB/T 23797-2009</w:t>
            </w:r>
            <w:r>
              <w:rPr>
                <w:sz w:val="21"/>
              </w:rPr>
              <w:t>）病媒生物密度监测方法蚊虫》、《中华人民共和国国家标准（</w:t>
            </w:r>
            <w:r>
              <w:rPr>
                <w:sz w:val="21"/>
              </w:rPr>
              <w:t>GB/T 23798-2009</w:t>
            </w:r>
            <w:r>
              <w:rPr>
                <w:sz w:val="21"/>
              </w:rPr>
              <w:t>）病媒生物密度监测方法鼠类》、《中华人民共和国国家标准（</w:t>
            </w:r>
            <w:r>
              <w:rPr>
                <w:sz w:val="21"/>
              </w:rPr>
              <w:t>GB/T 23795-2009</w:t>
            </w:r>
            <w:r>
              <w:rPr>
                <w:sz w:val="21"/>
              </w:rPr>
              <w:t>）病媒生物密度监测方法蜚蠊》。</w:t>
            </w:r>
          </w:p>
          <w:p>
            <w:pPr>
              <w:ind w:firstLine="420"/>
            </w:pPr>
            <w:r>
              <w:rPr>
                <w:sz w:val="21"/>
              </w:rPr>
              <w:t>控制水平标准：《中华人民共和国国家标准（</w:t>
            </w:r>
            <w:r>
              <w:rPr>
                <w:sz w:val="21"/>
              </w:rPr>
              <w:t>GB/T 27773-2011</w:t>
            </w:r>
            <w:r>
              <w:rPr>
                <w:sz w:val="21"/>
              </w:rPr>
              <w:t>）病媒生物密度控制水平蜚蠊》、《中华人民共和国国家标准（</w:t>
            </w:r>
            <w:r>
              <w:rPr>
                <w:sz w:val="21"/>
              </w:rPr>
              <w:t>GB/T 27772-2011</w:t>
            </w:r>
            <w:r>
              <w:rPr>
                <w:sz w:val="21"/>
              </w:rPr>
              <w:t>）病媒生物密度控制水平蝇类》、《中华人民共和国国家标准（</w:t>
            </w:r>
            <w:r>
              <w:rPr>
                <w:sz w:val="21"/>
              </w:rPr>
              <w:t>GB/T 27771-2011</w:t>
            </w:r>
            <w:r>
              <w:rPr>
                <w:sz w:val="21"/>
              </w:rPr>
              <w:t>）病媒生物密度控制水平蚊虫》、《中华人民共和国国家标准（</w:t>
            </w:r>
            <w:r>
              <w:rPr>
                <w:sz w:val="21"/>
              </w:rPr>
              <w:t>GB/T 27770-2011</w:t>
            </w:r>
            <w:r>
              <w:rPr>
                <w:sz w:val="21"/>
              </w:rPr>
              <w:t>）病媒生物密度控制水平鼠类》。</w:t>
            </w:r>
          </w:p>
          <w:tbl>
            <w:tblPr>
              <w:tblBorders>
                <w:top w:val="none" w:color="000000" w:sz="4"/>
                <w:left w:val="none" w:color="000000" w:sz="4"/>
                <w:bottom w:val="none" w:color="000000" w:sz="4"/>
                <w:right w:val="none" w:color="000000" w:sz="4"/>
                <w:insideH w:val="none"/>
                <w:insideV w:val="none"/>
              </w:tblBorders>
            </w:tblPr>
            <w:tblGrid>
              <w:gridCol w:w="911"/>
              <w:gridCol w:w="4687"/>
            </w:tblGrid>
            <w:tr>
              <w:tc>
                <w:tcPr>
                  <w:tcW w:type="dxa" w:w="911"/>
                  <w:tcBorders>
                    <w:top w:val="single" w:color="000000" w:sz="4"/>
                    <w:left w:val="single" w:color="000000" w:sz="4"/>
                    <w:bottom w:val="single" w:color="000000" w:sz="4"/>
                    <w:right w:val="single" w:color="000000" w:sz="4"/>
                  </w:tcBorders>
                  <w:vAlign w:val="top"/>
                </w:tcPr>
                <w:p>
                  <w:pPr>
                    <w:jc w:val="both"/>
                  </w:pPr>
                  <w:r>
                    <w:rPr>
                      <w:sz w:val="21"/>
                    </w:rPr>
                    <w:t>灭鼠标准</w:t>
                  </w:r>
                </w:p>
              </w:tc>
              <w:tc>
                <w:tcPr>
                  <w:tcW w:type="dxa" w:w="4687"/>
                  <w:tcBorders>
                    <w:top w:val="single" w:color="000000" w:sz="4"/>
                    <w:left w:val="none" w:color="000000" w:sz="4"/>
                    <w:bottom w:val="single" w:color="000000" w:sz="4"/>
                    <w:right w:val="single" w:color="000000" w:sz="4"/>
                  </w:tcBorders>
                  <w:vAlign w:val="top"/>
                </w:tcPr>
                <w:p>
                  <w:pPr>
                    <w:jc w:val="both"/>
                  </w:pPr>
                  <w:r>
                    <w:rPr>
                      <w:sz w:val="21"/>
                    </w:rPr>
                    <w:t>1、15平方米标准房间布放20×20厘米滑石粉块两块，一夜后阳性块不超过3%；有鼠洞、鼠粪、鼠咬痕等鼠迹的房间不超过2%；重点单位防鼠设施不合格处不超过5%。</w:t>
                  </w:r>
                </w:p>
                <w:p>
                  <w:pPr>
                    <w:jc w:val="both"/>
                  </w:pPr>
                  <w:r>
                    <w:rPr>
                      <w:sz w:val="21"/>
                    </w:rPr>
                    <w:t>2、不同类型的外环境累计2000米，鼠迹不超过5处。</w:t>
                  </w:r>
                </w:p>
              </w:tc>
            </w:tr>
            <w:tr>
              <w:tc>
                <w:tcPr>
                  <w:tcW w:type="dxa" w:w="911"/>
                  <w:tcBorders>
                    <w:top w:val="none" w:color="000000" w:sz="4"/>
                    <w:left w:val="single" w:color="000000" w:sz="4"/>
                    <w:bottom w:val="single" w:color="000000" w:sz="4"/>
                    <w:right w:val="single" w:color="000000" w:sz="4"/>
                  </w:tcBorders>
                  <w:vAlign w:val="top"/>
                </w:tcPr>
                <w:p>
                  <w:pPr>
                    <w:jc w:val="both"/>
                  </w:pPr>
                  <w:r>
                    <w:rPr>
                      <w:sz w:val="21"/>
                    </w:rPr>
                    <w:t>灭蚊标准</w:t>
                  </w:r>
                </w:p>
              </w:tc>
              <w:tc>
                <w:tcPr>
                  <w:tcW w:type="dxa" w:w="4687"/>
                  <w:tcBorders>
                    <w:top w:val="none" w:color="000000" w:sz="4"/>
                    <w:left w:val="none" w:color="000000" w:sz="4"/>
                    <w:bottom w:val="single" w:color="000000" w:sz="4"/>
                    <w:right w:val="single" w:color="000000" w:sz="4"/>
                  </w:tcBorders>
                  <w:vAlign w:val="top"/>
                </w:tcPr>
                <w:p>
                  <w:pPr>
                    <w:jc w:val="both"/>
                  </w:pPr>
                  <w:r>
                    <w:rPr>
                      <w:sz w:val="21"/>
                    </w:rPr>
                    <w:t>1、居民住宅、单位内外环境各种存水容器和积水中，蚊幼及蛹的阳性率不超过3%。</w:t>
                  </w:r>
                </w:p>
                <w:p>
                  <w:pPr>
                    <w:jc w:val="both"/>
                  </w:pPr>
                  <w:r>
                    <w:rPr>
                      <w:sz w:val="21"/>
                    </w:rPr>
                    <w:t>2、用500ml收集勺采集城区内大中型水体中的蚊幼或蛹阳性率不超过3%，阳性勺内幼虫或蛹的平均数不超过5只。</w:t>
                  </w:r>
                </w:p>
                <w:p>
                  <w:pPr>
                    <w:jc w:val="both"/>
                  </w:pPr>
                  <w:r>
                    <w:rPr>
                      <w:sz w:val="21"/>
                    </w:rPr>
                    <w:t>3、特殊场所白天人诱蚊30分钟，平均每人次诱获成蚊数不超过1只。</w:t>
                  </w:r>
                </w:p>
              </w:tc>
            </w:tr>
            <w:tr>
              <w:tc>
                <w:tcPr>
                  <w:tcW w:type="dxa" w:w="911"/>
                  <w:tcBorders>
                    <w:top w:val="none" w:color="000000" w:sz="4"/>
                    <w:left w:val="single" w:color="000000" w:sz="4"/>
                    <w:bottom w:val="single" w:color="000000" w:sz="4"/>
                    <w:right w:val="single" w:color="000000" w:sz="4"/>
                  </w:tcBorders>
                  <w:vAlign w:val="top"/>
                </w:tcPr>
                <w:p>
                  <w:pPr>
                    <w:jc w:val="both"/>
                  </w:pPr>
                  <w:r>
                    <w:rPr>
                      <w:sz w:val="21"/>
                    </w:rPr>
                    <w:t>灭蟑螂标准</w:t>
                  </w:r>
                </w:p>
              </w:tc>
              <w:tc>
                <w:tcPr>
                  <w:tcW w:type="dxa" w:w="4687"/>
                  <w:tcBorders>
                    <w:top w:val="none" w:color="000000" w:sz="4"/>
                    <w:left w:val="none" w:color="000000" w:sz="4"/>
                    <w:bottom w:val="single" w:color="000000" w:sz="4"/>
                    <w:right w:val="single" w:color="000000" w:sz="4"/>
                  </w:tcBorders>
                  <w:vAlign w:val="top"/>
                </w:tcPr>
                <w:p>
                  <w:pPr>
                    <w:jc w:val="both"/>
                  </w:pPr>
                  <w:r>
                    <w:rPr>
                      <w:sz w:val="21"/>
                    </w:rPr>
                    <w:t>1、室内有蟑螂成虫或若虫阳性房间不超过3%，平均每间房大蠊不超过5只，小蠊不超过10只。</w:t>
                  </w:r>
                </w:p>
                <w:p>
                  <w:pPr>
                    <w:jc w:val="both"/>
                  </w:pPr>
                  <w:r>
                    <w:rPr>
                      <w:sz w:val="21"/>
                    </w:rPr>
                    <w:t>2、有活蟑螂卵鞘房间不超过2%，平均每间房不超过4只。</w:t>
                  </w:r>
                </w:p>
                <w:p>
                  <w:pPr>
                    <w:jc w:val="both"/>
                  </w:pPr>
                  <w:r>
                    <w:rPr>
                      <w:sz w:val="21"/>
                    </w:rPr>
                    <w:t>3、有蟑螂粪便、蜕皮等蟑迹的房间不过5%。</w:t>
                  </w:r>
                </w:p>
              </w:tc>
            </w:tr>
            <w:tr>
              <w:tc>
                <w:tcPr>
                  <w:tcW w:type="dxa" w:w="911"/>
                  <w:tcBorders>
                    <w:top w:val="none" w:color="000000" w:sz="4"/>
                    <w:left w:val="single" w:color="000000" w:sz="4"/>
                    <w:bottom w:val="single" w:color="000000" w:sz="4"/>
                    <w:right w:val="single" w:color="000000" w:sz="4"/>
                  </w:tcBorders>
                  <w:vAlign w:val="top"/>
                </w:tcPr>
                <w:p>
                  <w:pPr>
                    <w:jc w:val="both"/>
                  </w:pPr>
                  <w:r>
                    <w:rPr>
                      <w:sz w:val="21"/>
                    </w:rPr>
                    <w:t>灭蝇标准</w:t>
                  </w:r>
                </w:p>
              </w:tc>
              <w:tc>
                <w:tcPr>
                  <w:tcW w:type="dxa" w:w="4687"/>
                  <w:tcBorders>
                    <w:top w:val="none" w:color="000000" w:sz="4"/>
                    <w:left w:val="none" w:color="000000" w:sz="4"/>
                    <w:bottom w:val="single" w:color="000000" w:sz="4"/>
                    <w:right w:val="single" w:color="000000" w:sz="4"/>
                  </w:tcBorders>
                  <w:vAlign w:val="top"/>
                </w:tcPr>
                <w:p>
                  <w:pPr>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jc w:val="both"/>
                  </w:pPr>
                  <w:r>
                    <w:rPr>
                      <w:sz w:val="21"/>
                    </w:rPr>
                    <w:t>2、蝇类孳生地得到有效治理，幼虫和蛹的检出率不超过3</w:t>
                  </w:r>
                  <w:r>
                    <w:rPr>
                      <w:sz w:val="21"/>
                    </w:rPr>
                    <w:t>%</w:t>
                  </w:r>
                  <w:r>
                    <w:rPr>
                      <w:sz w:val="21"/>
                    </w:rPr>
                    <w:t>。</w:t>
                  </w:r>
                </w:p>
              </w:tc>
            </w:tr>
          </w:tbl>
          <w:p>
            <w:pPr>
              <w:ind w:firstLine="15"/>
            </w:pPr>
          </w:p>
          <w:p>
            <w:pPr>
              <w:ind w:firstLine="15"/>
            </w:pPr>
            <w:r>
              <w:rPr>
                <w:b/>
                <w:sz w:val="21"/>
              </w:rPr>
              <w:t>2、</w:t>
            </w:r>
            <w:r>
              <w:rPr>
                <w:b/>
                <w:sz w:val="21"/>
              </w:rPr>
              <w:t>操作规范</w:t>
            </w:r>
          </w:p>
          <w:tbl>
            <w:tblPr>
              <w:tblBorders>
                <w:top w:val="none" w:color="000000" w:sz="4"/>
                <w:left w:val="none" w:color="000000" w:sz="4"/>
                <w:bottom w:val="none" w:color="000000" w:sz="4"/>
                <w:right w:val="none" w:color="000000" w:sz="4"/>
                <w:insideH w:val="none"/>
                <w:insideV w:val="none"/>
              </w:tblBorders>
            </w:tblPr>
            <w:tblGrid>
              <w:gridCol w:w="634"/>
              <w:gridCol w:w="3991"/>
              <w:gridCol w:w="973"/>
            </w:tblGrid>
            <w:tr>
              <w:tc>
                <w:tcPr>
                  <w:tcW w:type="dxa" w:w="634"/>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3991"/>
                  <w:tcBorders>
                    <w:top w:val="single" w:color="000000" w:sz="4"/>
                    <w:left w:val="none" w:color="000000" w:sz="4"/>
                    <w:bottom w:val="single" w:color="000000" w:sz="4"/>
                    <w:right w:val="single" w:color="000000" w:sz="4"/>
                  </w:tcBorders>
                  <w:vAlign w:val="top"/>
                </w:tcPr>
                <w:p>
                  <w:pPr>
                    <w:jc w:val="center"/>
                  </w:pPr>
                  <w:r>
                    <w:rPr>
                      <w:sz w:val="21"/>
                    </w:rPr>
                    <w:t>工作内容</w:t>
                  </w:r>
                </w:p>
              </w:tc>
              <w:tc>
                <w:tcPr>
                  <w:tcW w:type="dxa" w:w="973"/>
                  <w:tcBorders>
                    <w:top w:val="single" w:color="000000" w:sz="4"/>
                    <w:left w:val="none" w:color="000000" w:sz="4"/>
                    <w:bottom w:val="single" w:color="000000" w:sz="4"/>
                    <w:right w:val="single" w:color="000000" w:sz="4"/>
                  </w:tcBorders>
                  <w:vAlign w:val="top"/>
                </w:tcPr>
                <w:p>
                  <w:pPr>
                    <w:jc w:val="center"/>
                  </w:pPr>
                  <w:r>
                    <w:rPr>
                      <w:sz w:val="21"/>
                    </w:rPr>
                    <w:t>标</w:t>
                  </w:r>
                  <w:r>
                    <w:rPr>
                      <w:sz w:val="21"/>
                    </w:rPr>
                    <w:t xml:space="preserve">  </w:t>
                  </w:r>
                  <w:r>
                    <w:rPr>
                      <w:sz w:val="21"/>
                    </w:rPr>
                    <w:t>准</w:t>
                  </w:r>
                </w:p>
              </w:tc>
            </w:tr>
            <w:tr>
              <w:tc>
                <w:tcPr>
                  <w:tcW w:type="dxa" w:w="634"/>
                  <w:vMerge w:val="restart"/>
                  <w:tcBorders>
                    <w:top w:val="none" w:color="000000" w:sz="4"/>
                    <w:left w:val="single" w:color="000000" w:sz="4"/>
                    <w:bottom w:val="single" w:color="000000" w:sz="4"/>
                    <w:right w:val="single" w:color="000000" w:sz="4"/>
                  </w:tcBorders>
                  <w:vAlign w:val="top"/>
                </w:tcPr>
                <w:p>
                  <w:pPr>
                    <w:jc w:val="center"/>
                  </w:pPr>
                  <w:r>
                    <w:rPr>
                      <w:sz w:val="21"/>
                    </w:rPr>
                    <w:t>灭鼠</w:t>
                  </w:r>
                </w:p>
              </w:tc>
              <w:tc>
                <w:tcPr>
                  <w:tcW w:type="dxa" w:w="3991"/>
                  <w:tcBorders>
                    <w:top w:val="none" w:color="000000" w:sz="4"/>
                    <w:left w:val="none" w:color="000000" w:sz="4"/>
                    <w:bottom w:val="single" w:color="000000" w:sz="4"/>
                    <w:right w:val="single" w:color="000000" w:sz="4"/>
                  </w:tcBorders>
                  <w:vAlign w:val="top"/>
                </w:tcPr>
                <w:p>
                  <w:pPr>
                    <w:jc w:val="both"/>
                  </w:pPr>
                  <w:r>
                    <w:rPr>
                      <w:sz w:val="21"/>
                    </w:rPr>
                    <w:t>1、对项目服务范围内公共环境和扩大覆盖面范围进行饱和投放灭鼠药。</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2、定期对项目服务范围内的鼠迹进行检查，发现鼠迹立即清理并及时按常规投放和补充毒饵。</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3、定期对项目服务范围内的鼠情进行监测，按常规投药和补投药。</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4、对项目服务范围内主要重点单位如</w:t>
                  </w:r>
                  <w:r>
                    <w:rPr>
                      <w:sz w:val="21"/>
                    </w:rPr>
                    <w:t>农贸</w:t>
                  </w:r>
                  <w:r>
                    <w:rPr>
                      <w:sz w:val="21"/>
                    </w:rPr>
                    <w:t>市场、学校等外环境定期进行</w:t>
                  </w:r>
                  <w:r>
                    <w:rPr>
                      <w:sz w:val="21"/>
                    </w:rPr>
                    <w:t>目测法密度检测</w:t>
                  </w:r>
                  <w:r>
                    <w:rPr>
                      <w:sz w:val="21"/>
                    </w:rPr>
                    <w:t>鼠情调研。</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73"/>
                  <w:tcBorders>
                    <w:top w:val="none" w:color="000000" w:sz="4"/>
                    <w:left w:val="none" w:color="000000" w:sz="4"/>
                    <w:bottom w:val="single" w:color="000000" w:sz="4"/>
                    <w:right w:val="single" w:color="000000" w:sz="4"/>
                  </w:tcBorders>
                  <w:vAlign w:val="top"/>
                </w:tcPr>
                <w:p>
                  <w:pPr>
                    <w:jc w:val="center"/>
                  </w:pPr>
                  <w:r>
                    <w:rPr>
                      <w:sz w:val="21"/>
                    </w:rPr>
                    <w:t>原则上平均每居（村）</w:t>
                  </w:r>
                  <w:r>
                    <w:rPr>
                      <w:sz w:val="21"/>
                    </w:rPr>
                    <w:t>600个</w:t>
                  </w:r>
                </w:p>
                <w:p>
                  <w:pPr>
                    <w:jc w:val="center"/>
                  </w:pPr>
                  <w:r>
                    <w:rPr>
                      <w:sz w:val="21"/>
                    </w:rPr>
                    <w:t>（视实际情况调剂）</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6、每季度按国家考核标准对鼠密度进行监测。</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34"/>
                  <w:vMerge w:val="restart"/>
                  <w:tcBorders>
                    <w:top w:val="none" w:color="000000" w:sz="4"/>
                    <w:left w:val="single" w:color="000000" w:sz="4"/>
                    <w:bottom w:val="single" w:color="000000" w:sz="4"/>
                    <w:right w:val="single" w:color="000000" w:sz="4"/>
                  </w:tcBorders>
                  <w:vAlign w:val="top"/>
                </w:tcPr>
                <w:p>
                  <w:pPr>
                    <w:jc w:val="center"/>
                  </w:pPr>
                  <w:r>
                    <w:rPr>
                      <w:sz w:val="21"/>
                    </w:rPr>
                    <w:t>灭蚊</w:t>
                  </w:r>
                </w:p>
              </w:tc>
              <w:tc>
                <w:tcPr>
                  <w:tcW w:type="dxa" w:w="3991"/>
                  <w:tcBorders>
                    <w:top w:val="none" w:color="000000" w:sz="4"/>
                    <w:left w:val="none" w:color="000000" w:sz="4"/>
                    <w:bottom w:val="single" w:color="000000" w:sz="4"/>
                    <w:right w:val="single" w:color="000000" w:sz="4"/>
                  </w:tcBorders>
                  <w:vAlign w:val="top"/>
                </w:tcPr>
                <w:p>
                  <w:pPr>
                    <w:jc w:val="both"/>
                  </w:pPr>
                  <w:r>
                    <w:rPr>
                      <w:sz w:val="21"/>
                    </w:rPr>
                    <w:t>1、定期对项目服务范围内大、中型水体进行检查，发现幼虫孳生立即施药。</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每周</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w:t>
                  </w:r>
                  <w:r>
                    <w:rPr>
                      <w:sz w:val="21"/>
                    </w:rPr>
                    <w:t>月更换</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3、定期对项目服务范围内进行积水清理，确保控制蚊虫孳生。</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每周</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4、定期对项目服务范围内下水道进行热烟雾处理烟熏灭蚊。</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5、</w:t>
                  </w:r>
                  <w:r>
                    <w:rPr>
                      <w:sz w:val="21"/>
                    </w:rPr>
                    <w:t>居民住宅区、学校、幼儿园、农贸市场、闲置地、公园绿地、垃圾收集点、市政公厕、公寓楼梯间等特殊场所外环境，每半月全面查治孳生地一次，并作空间喷洒灭成蚊，视成蚊密度情况增加频次</w:t>
                  </w:r>
                  <w:r>
                    <w:rPr>
                      <w:sz w:val="21"/>
                    </w:rPr>
                    <w:t>。</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6、定期对项目服务范围内场所进行孳生地全面查治。</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7、居民住宅区及公共环境各放2盏蚊灯，每月每村居布放诱蚊诱卵器60个，每月进行监测，及时掌握蚊虫密度，向采购人提供监测数据和技术支持。</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8、每季度按国家考核标准对蚊密度进行监测。</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34"/>
                  <w:vMerge w:val="restart"/>
                  <w:tcBorders>
                    <w:top w:val="none" w:color="000000" w:sz="4"/>
                    <w:left w:val="single" w:color="000000" w:sz="4"/>
                    <w:bottom w:val="single" w:color="000000" w:sz="4"/>
                    <w:right w:val="single" w:color="000000" w:sz="4"/>
                  </w:tcBorders>
                  <w:vAlign w:val="top"/>
                </w:tcPr>
                <w:p>
                  <w:pPr>
                    <w:jc w:val="center"/>
                  </w:pPr>
                  <w:r>
                    <w:rPr>
                      <w:sz w:val="21"/>
                    </w:rPr>
                    <w:t>灭蝇</w:t>
                  </w:r>
                </w:p>
              </w:tc>
              <w:tc>
                <w:tcPr>
                  <w:tcW w:type="dxa" w:w="3991"/>
                  <w:tcBorders>
                    <w:top w:val="none" w:color="000000" w:sz="4"/>
                    <w:left w:val="none" w:color="000000" w:sz="4"/>
                    <w:bottom w:val="single" w:color="000000" w:sz="4"/>
                    <w:right w:val="single" w:color="000000" w:sz="4"/>
                  </w:tcBorders>
                  <w:vAlign w:val="top"/>
                </w:tcPr>
                <w:p>
                  <w:pPr>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w:t>
                  </w:r>
                  <w:r>
                    <w:rPr>
                      <w:sz w:val="21"/>
                    </w:rPr>
                    <w:t>周</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2、定期对项目服务范围内场所进行滞留喷洒灭成蝇。</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3、定期对项目服务范围内主要重点单位如</w:t>
                  </w:r>
                  <w:r>
                    <w:rPr>
                      <w:sz w:val="21"/>
                    </w:rPr>
                    <w:t>农贸市场</w:t>
                  </w:r>
                  <w:r>
                    <w:rPr>
                      <w:sz w:val="21"/>
                    </w:rPr>
                    <w:t>、学校等外环境孳生地进行检查。</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bottom"/>
                </w:tcPr>
                <w:p>
                  <w:pPr>
                    <w:jc w:val="both"/>
                  </w:pPr>
                  <w:r>
                    <w:rPr>
                      <w:sz w:val="21"/>
                    </w:rPr>
                    <w:t>4、定期对项目服务范围内居民住户孳生地进行检查处理。</w:t>
                  </w:r>
                </w:p>
              </w:tc>
              <w:tc>
                <w:tcPr>
                  <w:tcW w:type="dxa" w:w="973"/>
                  <w:tcBorders>
                    <w:top w:val="none" w:color="000000" w:sz="4"/>
                    <w:left w:val="none" w:color="000000" w:sz="4"/>
                    <w:bottom w:val="single" w:color="000000" w:sz="4"/>
                    <w:right w:val="single" w:color="000000" w:sz="4"/>
                  </w:tcBorders>
                  <w:vAlign w:val="bottom"/>
                </w:tcPr>
                <w:p>
                  <w:pPr>
                    <w:jc w:val="center"/>
                  </w:pPr>
                  <w:r>
                    <w:rPr>
                      <w:sz w:val="21"/>
                    </w:rPr>
                    <w:t>每季</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5、每季度按国家考核标准对成蝇密度进行监测。</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每季</w:t>
                  </w:r>
                  <w:r>
                    <w:rPr>
                      <w:sz w:val="21"/>
                    </w:rPr>
                    <w:t>1次</w:t>
                  </w:r>
                </w:p>
              </w:tc>
            </w:tr>
            <w:tr>
              <w:tc>
                <w:tcPr>
                  <w:tcW w:type="dxa" w:w="634"/>
                  <w:vMerge w:val="restart"/>
                  <w:tcBorders>
                    <w:top w:val="none" w:color="000000" w:sz="4"/>
                    <w:left w:val="single" w:color="000000" w:sz="4"/>
                    <w:bottom w:val="single" w:color="000000" w:sz="4"/>
                    <w:right w:val="single" w:color="000000" w:sz="4"/>
                  </w:tcBorders>
                  <w:vAlign w:val="top"/>
                </w:tcPr>
                <w:p>
                  <w:pPr>
                    <w:jc w:val="center"/>
                  </w:pPr>
                  <w:r>
                    <w:rPr>
                      <w:sz w:val="21"/>
                    </w:rPr>
                    <w:t>灭蟑螂</w:t>
                  </w:r>
                </w:p>
              </w:tc>
              <w:tc>
                <w:tcPr>
                  <w:tcW w:type="dxa" w:w="3991"/>
                  <w:tcBorders>
                    <w:top w:val="none" w:color="000000" w:sz="4"/>
                    <w:left w:val="none" w:color="000000" w:sz="4"/>
                    <w:bottom w:val="single" w:color="000000" w:sz="4"/>
                    <w:right w:val="single" w:color="000000" w:sz="4"/>
                  </w:tcBorders>
                  <w:vAlign w:val="top"/>
                </w:tcPr>
                <w:p>
                  <w:pPr>
                    <w:jc w:val="both"/>
                  </w:pPr>
                  <w:r>
                    <w:rPr>
                      <w:sz w:val="21"/>
                    </w:rPr>
                    <w:t>1、定期对项目服务范围内蟑迹进行检查和清理。</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2、定期对项目服务范围内下水道进行热烟雾处理灭蟑螂。</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3、按国家考核标准进行结蟑螂密度监测。</w:t>
                  </w:r>
                  <w:r>
                    <w:rPr>
                      <w:sz w:val="21"/>
                    </w:rPr>
                    <w:t>住户：每季度上门询问蟑情，</w:t>
                  </w:r>
                  <w:r>
                    <w:rPr>
                      <w:sz w:val="21"/>
                    </w:rPr>
                    <w:t>并对有蟑住户派发药物及追踪处理。</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每季</w:t>
                  </w:r>
                  <w:r>
                    <w:rPr>
                      <w:sz w:val="21"/>
                    </w:rPr>
                    <w:t>1次</w:t>
                  </w:r>
                </w:p>
              </w:tc>
            </w:tr>
            <w:tr>
              <w:tc>
                <w:tcPr>
                  <w:tcW w:type="dxa" w:w="634"/>
                  <w:vMerge w:val="restart"/>
                  <w:tcBorders>
                    <w:top w:val="none" w:color="000000" w:sz="4"/>
                    <w:left w:val="single" w:color="000000" w:sz="4"/>
                    <w:bottom w:val="single" w:color="000000" w:sz="4"/>
                    <w:right w:val="single" w:color="000000" w:sz="4"/>
                  </w:tcBorders>
                  <w:vAlign w:val="top"/>
                </w:tcPr>
                <w:p>
                  <w:pPr>
                    <w:jc w:val="center"/>
                  </w:pPr>
                  <w:r>
                    <w:rPr>
                      <w:sz w:val="21"/>
                    </w:rPr>
                    <w:t>其他</w:t>
                  </w:r>
                </w:p>
              </w:tc>
              <w:tc>
                <w:tcPr>
                  <w:tcW w:type="dxa" w:w="3991"/>
                  <w:tcBorders>
                    <w:top w:val="none" w:color="000000" w:sz="4"/>
                    <w:left w:val="none" w:color="000000" w:sz="4"/>
                    <w:bottom w:val="single" w:color="000000" w:sz="4"/>
                    <w:right w:val="single" w:color="000000" w:sz="4"/>
                  </w:tcBorders>
                  <w:vAlign w:val="top"/>
                </w:tcPr>
                <w:p>
                  <w:pPr>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2、在登革热或病媒生物</w:t>
                  </w:r>
                  <w:r>
                    <w:rPr>
                      <w:sz w:val="21"/>
                    </w:rPr>
                    <w:t>传染病</w:t>
                  </w:r>
                  <w:r>
                    <w:rPr>
                      <w:sz w:val="21"/>
                    </w:rPr>
                    <w:t>流行期间有义务配合政府做好宣传、消杀工作。</w:t>
                  </w:r>
                </w:p>
              </w:tc>
              <w:tc>
                <w:tcPr>
                  <w:tcW w:type="dxa" w:w="973"/>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3、对有需要的居民住户免费派发除“四害”药物或提供上门服务。</w:t>
                  </w:r>
                </w:p>
              </w:tc>
              <w:tc>
                <w:tcPr>
                  <w:tcW w:type="dxa" w:w="973"/>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4、中标人每年在“爱卫月、登革热”等期间不少于4次进社区公益宣传。</w:t>
                  </w:r>
                </w:p>
              </w:tc>
              <w:tc>
                <w:tcPr>
                  <w:tcW w:type="dxa" w:w="973"/>
                  <w:tcBorders>
                    <w:top w:val="none" w:color="000000" w:sz="4"/>
                    <w:left w:val="none" w:color="000000" w:sz="4"/>
                    <w:bottom w:val="single" w:color="000000" w:sz="4"/>
                    <w:right w:val="single" w:color="000000" w:sz="4"/>
                  </w:tcBorders>
                  <w:vAlign w:val="top"/>
                </w:tcPr>
                <w:p>
                  <w:pPr>
                    <w:jc w:val="center"/>
                  </w:pPr>
                  <w:r>
                    <w:rPr>
                      <w:sz w:val="21"/>
                    </w:rPr>
                    <w:t>每年</w:t>
                  </w:r>
                  <w:r>
                    <w:rPr>
                      <w:sz w:val="21"/>
                    </w:rPr>
                    <w:t>4次</w:t>
                  </w:r>
                </w:p>
              </w:tc>
            </w:tr>
            <w:tr>
              <w:tc>
                <w:tcPr>
                  <w:tcW w:type="dxa" w:w="634"/>
                  <w:vMerge/>
                  <w:tcBorders>
                    <w:top w:val="none" w:color="000000" w:sz="4"/>
                    <w:left w:val="single" w:color="000000" w:sz="4"/>
                    <w:bottom w:val="single" w:color="000000" w:sz="4"/>
                    <w:right w:val="single" w:color="000000" w:sz="4"/>
                  </w:tcBorders>
                </w:tcPr>
                <w:p/>
              </w:tc>
              <w:tc>
                <w:tcPr>
                  <w:tcW w:type="dxa" w:w="3991"/>
                  <w:tcBorders>
                    <w:top w:val="none" w:color="000000" w:sz="4"/>
                    <w:left w:val="none" w:color="000000" w:sz="4"/>
                    <w:bottom w:val="single" w:color="000000" w:sz="4"/>
                    <w:right w:val="single" w:color="000000" w:sz="4"/>
                  </w:tcBorders>
                  <w:vAlign w:val="top"/>
                </w:tcPr>
                <w:p>
                  <w:pPr>
                    <w:jc w:val="both"/>
                  </w:pPr>
                  <w:r>
                    <w:rPr>
                      <w:sz w:val="21"/>
                    </w:rPr>
                    <w:t>5、中标人应积极配合政府应急消杀处理，如鸡棚、猪舍强拆等。</w:t>
                  </w:r>
                </w:p>
              </w:tc>
              <w:tc>
                <w:tcPr>
                  <w:tcW w:type="dxa" w:w="973"/>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5598"/>
                  <w:gridSpan w:val="3"/>
                  <w:tcBorders>
                    <w:top w:val="none" w:color="000000" w:sz="4"/>
                    <w:left w:val="single" w:color="000000" w:sz="4"/>
                    <w:bottom w:val="single" w:color="000000" w:sz="4"/>
                    <w:right w:val="single" w:color="000000" w:sz="4"/>
                  </w:tcBorders>
                  <w:vAlign w:val="top"/>
                </w:tcPr>
                <w:p>
                  <w:pPr>
                    <w:jc w:val="both"/>
                  </w:pPr>
                  <w:r>
                    <w:rPr>
                      <w:sz w:val="21"/>
                    </w:rPr>
                    <w:t xml:space="preserve"> </w:t>
                  </w:r>
                  <w:r>
                    <w:rPr>
                      <w:sz w:val="21"/>
                    </w:rPr>
                    <w:t>备注：中标人作业前必须通知属地居（村）委会、顺峰山公园管理处等，</w:t>
                  </w:r>
                  <w:r>
                    <w:rPr>
                      <w:sz w:val="21"/>
                    </w:rPr>
                    <w:t>明确作业内容、时间、地点，接受属地居（村）委会、顺峰山公园管理处监督。</w:t>
                  </w:r>
                </w:p>
              </w:tc>
            </w:tr>
          </w:tbl>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合同包3（2022-2025年大良街道公共环境除“四害”管理服务项目C标段）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2022年12月1日至2025年11月30日止，合共36个月。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w:t>
            </w:r>
          </w:p>
        </w:tc>
      </w:tr>
      <w:tr>
        <w:tc>
          <w:tcPr>
            <w:tcW w:type="dxa" w:w="4153"/>
          </w:tcPr>
          <w:p>
            <w:r>
              <w:rPr/>
              <w:t>验收要求</w:t>
            </w:r>
          </w:p>
        </w:tc>
        <w:tc>
          <w:tcPr>
            <w:tcW w:type="dxa" w:w="4153"/>
          </w:tcPr>
          <w:p/>
          <w:p/>
          <w:p/>
          <w:p>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r>
              <w:rPr/>
              <w:t>履约保证金</w:t>
            </w:r>
          </w:p>
        </w:tc>
        <w:tc>
          <w:tcPr>
            <w:tcW w:type="dxa" w:w="4153"/>
          </w:tcPr>
          <w:p/>
          <w:p/>
          <w:p/>
          <w:p/>
          <w:p>
            <w:r>
              <w:rPr/>
              <w:t>收取比例：5%,说明：1、履约保证金的金额：本项目中标价（签约合同价）的5%（四舍五入到分）；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tc>
      </w:tr>
      <w:tr>
        <w:tc>
          <w:tcPr>
            <w:tcW w:type="dxa" w:w="4153"/>
          </w:tcPr>
          <w:p>
            <w:r>
              <w:rPr/>
              <w:t>其他</w:t>
            </w:r>
          </w:p>
        </w:tc>
        <w:tc>
          <w:tcPr>
            <w:tcW w:type="dxa" w:w="4153"/>
          </w:tcPr>
          <w:p/>
          <w:p/>
          <w:p>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二、监督考评办法： 在合同履约期间，采购人按照考评办法相关规定对中标人的服务质量、服务成果等进行考评。 （一）管理质量考核标准 1、专业考核 参照《全国爱卫办鼠、蚊、蝇、蟑螂密度监测方案（试行）》 、《灭鼠、蚊、蝇、蟑螂标准》、《佛山市顺德区行政区域公共环境除四害承包质量考评标准及办法》以及国家、省、市、区和行业最新颁布的标准执行。 2、居（村）委会考核 （1）除四害作业前未通知属地居（村）委会及相关管理部门的，每项扣5分。 （2）未按招标文件作业规范要求的频次作业或作业不到位的，每项扣10分。 （3）不遵守管理规定、不服从管理或不配合作业质量考评，经查实有责的，每次扣5分。 （4）未按要求整改，经查实有责的，每件扣5分。经督促仍未处理或未妥善处理，经查实有责的，每件次扣10分。 （5）除上述条款外，违反投标文件中人员承诺的，每项每次扣1分。 （6）除上述条款外，违反投标文件中车辆及设备承诺的，每项每次扣1.5分。 （7）除上述条款外，违反招标文件中其他规定的，每项每次扣2分。 3、街道卫健办考核 结合平时卫生检查、除四害日常施工、投诉与处理、应急等进行考核。 4、社会监督 （1）群众评议：每季度由居（村）委会、考评专家组进行随机访问居民群众。 （2）群众举报或投诉，每季度由街道爱卫办收集和整理群众举报或投诉资料并计分。群众举报或投诉属实，在总分直接扣除，每宗0.5分。 （二）管理质量考核办法 为进一步提高辖区环境卫生质量，根据《佛山市顺德区公共环境除四害承包质量考评标准》（试行）（顺德爱卫办【2006】4号文）的通知精神，加强对大良街道公共环境除“四害”管理服务项目的管理，结合大良街道的实际情况，特制订本考核办法。 1、指导思想 以科学发展观为指导，以营造整洁、优美、舒适、和谐的人居环境为目的，实行市政管理运作的高标准、高效率、高质量，实现大良街道公共环境除“四害”管理服务项目作业科学化、精细化、长效化。 2、组织领导 成立大良街道社会化项目监督考核小组。考核小组成员由佛山市顺德区大良街道卫生健康办公室牵头组织，街道爱卫办、各居村城管主任、社会监督员等成员组成，统一考核业务工作。 3、考核范围 大良街道公共环境除“四害”管理服务项目管理范围内的除“四害”管理情况。 4、考核方法 检查考核由佛山市顺德区大良街道卫生健康办公室牵头，联同区、街道除四害考评组、居（村）委会、街道卫健办、社会监督员等组织实施，采取专业考核、居（村）委会考核、街道卫健办考核、社会监督等方法。 （1）专业考核 定期组织专家进行考评,每三个月作不小于一次定量考评，年终作年度总评定，并出具专业的、有行业监督制约之考核鉴定书。考评监测费用由采购人承担。 （2）居（村）委会考核 由居（村）委会、相关管理部门安排专职人员，负责对除“四害”专业队日常放药、喷洒、治理孳生地、栖生地和成蚊等工作进行跟进并签名确认（大良街道爱卫办印发施工记录表），每三个月对服务本居(村)委会除四害工程进行一次系统检查考核。 （3）街道卫健办考核 由街道卫健办结合日常管理、施工情况、防治效果、配合程度等方面进行不定期综合考核。 （4）社会监督考核 群众举报或投诉，每三个月由街道卫健办收集和整理群众举报或投诉资料并计分。 5、报备制度 （1）无法联系责任方或经多次劝告责任方无果，业已采取措施无效的，非中标人造成的事项可报备不作为考评依据。 （2）中标人须认真填写报备材料，保证准确真实，如发现资料不全或不实的，不作报备处理且作考核扣分记录。 （3）报备事项必须经街道卫健办签字确认后方可生效。 （4）一切报备资料均必须于每月28日前提交，逾期无效。 6、评分方法 （1）各参与考核的单位进行的考核满分均为百分制，采取倒扣分制。 （2）各参与考核的单位必须根据大良街道公共环境除“四害”管理服务项目管理及考核标准执行。 （3）考核总分以权重比例计算构成，具体比例如下： 1）专业考核（30%） ①定期组织专家进行考评，根据国家“四害”密度监测标准与方法的相关标准进行专业考核监测，每三个月作不少于一次定量考评，考评最终分数按各次定量考评分值总和平均。年终作年度总评定，并出具考核鉴定书。 ②质量评估单位要配合政府做好相关迎检和考评工作。安排专业、专职人员，定期对除“四害”专业队日常工作的用药、配药、工作程序等进行抽查、质检和监督，做好记录并签名确认。根据日常检查情况及登革热、寨卡病毒等疫情，对除“四害”专业队提出具体的指导意见和整改方案。 2）居（村）委会考核（40%） 由居（村）委会、相关管理部门安排专职人员，负责对除“四害”专业队日常放药、喷洒、治理孳生地、栖生地和成蚊等工作进行跟进并签名确认，每三个月对服务本居(村)委会除“四害”工作进行一次检查考核。 3）街道卫健办考核（20%） 结合平时卫生检查、除四害日常施工、投诉与处理、应急等进行考核。 4）社会监督考核（10%） ①群众评议：每季度由居（村）委会、考评专家组进行随机访问居民群众。 ②群众举报或投诉，每季度由街道爱卫办收集和整理群众举报或投诉资料并计分。 （4）每个周期（每三个月为一个周期）考核总分作为每个周期管理费发放的依据。街道卫健办将专业考核、居（村）委会考核、街道卫健办考核、社会监督考核等考核分数统一汇总，评出承包管理单位的考核总分，报街道卫健办审定和签发后，上报街道财政结算中心，根据该周期考核结果确定支付的管理费用，并以转账方式支付给各承包管理单位。 7、考核标准 考核标准以大良街道公共环境除“四害”管理服务项目管理质量考核标准执行。大良街道公共环境除“四害”管理服务项目管理质量考核标准未有约定的，以国家、行业标准及区、市、省及国家相关法律法规作依归。如涉及国家、行业及区、市、省更新颁布管理质量标准的，则按新的标准执行。 8、考核内容 （1）除四害管理服务：灭鼠、灭蝇、灭蚊及灭蟑螂等管理服务。 （2）其他规定管理内容等 9、奖惩措施 对大良街道公共环境除“四害”管理服务项目质量的检查考核采用以下措施实施奖惩： （1）部门通报 街道卫健办根据考核情况及评定成绩，召集各承包管理单位集中进行考评会议，点评各标段考核情况及存在问题，并将汇总成绩及相关情况以街道卫健办名义结合实际情况发出通报。 （2）罚则 管理经费由街道卫健办审批后，按考核结果支付。 ①管理经费金额与该周期（每三个月为一个周期）管理质量总分挂钩。 ②按考核总分情况调整发放管理经费。经考核评定，考核总分高于或等于90分的为合格，低于90分的为不合格。其中，考核总分高于或等于90分的，不扣减该周期管理经费；考核总分低于90分，高于或等于80分的，每低1分对应须扣减该周期管理经费1%，不足1分的按1分计算；考核总分低于80分，高于或等于50分的，扣减该周期管理经费50%；考核总分低于50分的，不支付该周期管理经费。 ③合同期内连续两个周期（每三个月为一个周期）考核总分低于80分或出现一个周期考核总分低于50分的，招标人有权解除中标人合同，没收其履约保证金，  10、招标人有权根据实施情况对本考核办法及时做出修改。 四、项目违约责任和合同解除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C标段：近良居委、顺峰居委、大门居委、红岗居委的公共环境（含各临时庇护场所）以及顺峰山公园，近良市场、联安市场、延年市场、新誉景市场、金利批发市场、恒龙市场、古楼市场</w:t>
            </w:r>
          </w:p>
        </w:tc>
        <w:tc>
          <w:tcPr>
            <w:tcW w:type="dxa" w:w="933"/>
          </w:tcPr>
          <w:p>
            <w:pPr>
              <w:jc w:val="left"/>
            </w:pPr>
            <w:r>
              <w:rPr/>
              <w:t>项</w:t>
            </w:r>
          </w:p>
        </w:tc>
        <w:tc>
          <w:tcPr>
            <w:tcW w:type="dxa" w:w="933"/>
          </w:tcPr>
          <w:p>
            <w:pPr>
              <w:jc w:val="right"/>
            </w:pPr>
            <w:r>
              <w:rPr/>
              <w:t>1.00</w:t>
            </w:r>
          </w:p>
        </w:tc>
        <w:tc>
          <w:tcPr>
            <w:tcW w:type="dxa" w:w="933"/>
          </w:tcPr>
          <w:p>
            <w:pPr>
              <w:jc w:val="right"/>
            </w:pPr>
            <w:r>
              <w:rPr/>
              <w:t>3,763,914.24</w:t>
            </w:r>
          </w:p>
        </w:tc>
        <w:tc>
          <w:tcPr>
            <w:tcW w:type="dxa" w:w="933"/>
          </w:tcPr>
          <w:p>
            <w:pPr>
              <w:jc w:val="right"/>
            </w:pPr>
            <w:r>
              <w:rPr/>
              <w:t>3,763,914.24</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C标段：近良居委、顺峰居委、大门居委、红岗居委的公共环境（含各临时庇护场所）以及顺峰山公园，近良市场、联安市场、延年市场、新誉景市场、金利批发市场、恒龙市场、古楼市场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w:t>
            </w:r>
            <w:r>
              <w:rPr>
                <w:b/>
                <w:sz w:val="21"/>
              </w:rPr>
              <w:t>项目标的主要内容</w:t>
            </w:r>
          </w:p>
          <w:p>
            <w:pPr>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796"/>
              <w:gridCol w:w="4802"/>
            </w:tblGrid>
            <w:tr>
              <w:tc>
                <w:tcPr>
                  <w:tcW w:type="dxa" w:w="796"/>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4802"/>
                  <w:tcBorders>
                    <w:top w:val="single" w:color="000000" w:sz="4"/>
                    <w:left w:val="none" w:color="000000" w:sz="4"/>
                    <w:bottom w:val="single" w:color="000000" w:sz="4"/>
                    <w:right w:val="single" w:color="000000" w:sz="4"/>
                  </w:tcBorders>
                  <w:vAlign w:val="top"/>
                </w:tcPr>
                <w:p>
                  <w:pPr>
                    <w:jc w:val="center"/>
                  </w:pPr>
                  <w:r>
                    <w:rPr>
                      <w:sz w:val="21"/>
                    </w:rPr>
                    <w:t>项目内容</w:t>
                  </w:r>
                </w:p>
              </w:tc>
            </w:tr>
            <w:tr>
              <w:tc>
                <w:tcPr>
                  <w:tcW w:type="dxa" w:w="796"/>
                  <w:tcBorders>
                    <w:top w:val="none" w:color="000000" w:sz="4"/>
                    <w:left w:val="single" w:color="000000" w:sz="4"/>
                    <w:bottom w:val="single" w:color="000000" w:sz="4"/>
                    <w:right w:val="single" w:color="000000" w:sz="4"/>
                  </w:tcBorders>
                  <w:vAlign w:val="top"/>
                </w:tcPr>
                <w:p>
                  <w:pPr>
                    <w:jc w:val="center"/>
                  </w:pPr>
                  <w:r>
                    <w:rPr>
                      <w:sz w:val="21"/>
                    </w:rPr>
                    <w:t>C</w:t>
                  </w:r>
                </w:p>
              </w:tc>
              <w:tc>
                <w:tcPr>
                  <w:tcW w:type="dxa" w:w="4802"/>
                  <w:tcBorders>
                    <w:top w:val="none" w:color="000000" w:sz="4"/>
                    <w:left w:val="none" w:color="000000" w:sz="4"/>
                    <w:bottom w:val="single" w:color="000000" w:sz="4"/>
                    <w:right w:val="single" w:color="000000" w:sz="4"/>
                  </w:tcBorders>
                  <w:vAlign w:val="top"/>
                </w:tcPr>
                <w:p>
                  <w:pPr>
                    <w:jc w:val="left"/>
                  </w:pPr>
                  <w:r>
                    <w:rPr>
                      <w:sz w:val="21"/>
                    </w:rPr>
                    <w:t>4</w:t>
                  </w:r>
                  <w:r>
                    <w:rPr>
                      <w:sz w:val="21"/>
                    </w:rPr>
                    <w:t>个居委</w:t>
                  </w:r>
                  <w:r>
                    <w:rPr>
                      <w:sz w:val="21"/>
                    </w:rPr>
                    <w:t>、</w:t>
                  </w:r>
                  <w:r>
                    <w:rPr>
                      <w:sz w:val="21"/>
                    </w:rPr>
                    <w:t>1个公园</w:t>
                  </w:r>
                  <w:r>
                    <w:rPr>
                      <w:sz w:val="21"/>
                    </w:rPr>
                    <w:t>及</w:t>
                  </w:r>
                  <w:r>
                    <w:rPr>
                      <w:sz w:val="21"/>
                    </w:rPr>
                    <w:t>7个市场</w:t>
                  </w:r>
                  <w:r>
                    <w:rPr>
                      <w:sz w:val="21"/>
                    </w:rPr>
                    <w:t>除</w:t>
                  </w:r>
                  <w:r>
                    <w:rPr>
                      <w:sz w:val="21"/>
                    </w:rPr>
                    <w:t>“四害”管理服务</w:t>
                  </w:r>
                  <w:r>
                    <w:rPr>
                      <w:sz w:val="21"/>
                    </w:rPr>
                    <w:t>：</w:t>
                  </w:r>
                  <w:r>
                    <w:rPr>
                      <w:sz w:val="21"/>
                    </w:rPr>
                    <w:t>近良居委、顺峰居委、大门居委、红岗居委的公共环境（含各临时庇护场所）以及顺峰山公园，近良市场、联安市场、延年市场、新誉景市场、金利批发市场、恒龙市场、古楼市场</w:t>
                  </w:r>
                  <w:r>
                    <w:rPr>
                      <w:sz w:val="21"/>
                    </w:rPr>
                    <w:t>。</w:t>
                  </w:r>
                </w:p>
              </w:tc>
            </w:tr>
          </w:tbl>
          <w:p>
            <w:pPr>
              <w:ind w:firstLine="420"/>
            </w:pPr>
          </w:p>
          <w:p>
            <w:pPr>
              <w:ind w:firstLine="420"/>
            </w:pPr>
            <w:r>
              <w:rPr>
                <w:sz w:val="21"/>
              </w:rPr>
              <w:t>2、</w:t>
            </w:r>
            <w:r>
              <w:rPr>
                <w:sz w:val="21"/>
              </w:rPr>
              <w:t>服务范围及内容</w:t>
            </w:r>
          </w:p>
          <w:p>
            <w:pPr>
              <w:jc w:val="both"/>
            </w:pPr>
            <w:r>
              <w:rPr>
                <w:sz w:val="21"/>
              </w:rPr>
              <w:t>4</w:t>
            </w:r>
            <w:r>
              <w:rPr>
                <w:sz w:val="21"/>
              </w:rPr>
              <w:t>个居委</w:t>
            </w:r>
            <w:r>
              <w:rPr>
                <w:sz w:val="21"/>
              </w:rPr>
              <w:t>、</w:t>
            </w:r>
            <w:r>
              <w:rPr>
                <w:sz w:val="21"/>
              </w:rPr>
              <w:t>1个公园</w:t>
            </w:r>
            <w:r>
              <w:rPr>
                <w:sz w:val="21"/>
              </w:rPr>
              <w:t>及</w:t>
            </w:r>
            <w:r>
              <w:rPr>
                <w:sz w:val="21"/>
              </w:rPr>
              <w:t>7个市场</w:t>
            </w:r>
            <w:r>
              <w:rPr>
                <w:sz w:val="21"/>
              </w:rPr>
              <w:t>各道路、大街小巷、绿化带、河流湖泊及沿岸、下水道沉沙井、闲置地、公园绿地、广场、居民住宅区（有物业服务或业委会的除外）、街道属下公立教育机构、市政公用类公厕、垃圾收集及转运点、垃圾存放容器及其他公共外环境场地的灭鼠、灭蚊、灭蟑螂、灭蝇工作。并负责和承担本项目相关安全责任。</w:t>
            </w:r>
          </w:p>
        </w:tc>
      </w:tr>
      <w:tr>
        <w:tc>
          <w:tcPr>
            <w:tcW w:type="dxa" w:w="2076"/>
          </w:tcPr>
          <w:p/>
        </w:tc>
        <w:tc>
          <w:tcPr>
            <w:tcW w:type="dxa" w:w="415"/>
          </w:tcPr>
          <w:p>
            <w:r>
              <w:rPr/>
              <w:t>2</w:t>
            </w:r>
          </w:p>
        </w:tc>
        <w:tc>
          <w:tcPr>
            <w:tcW w:type="dxa" w:w="5814"/>
          </w:tcPr>
          <w:p>
            <w:r>
              <w:rPr>
                <w:sz w:val="21"/>
              </w:rPr>
              <w:t>二、</w:t>
            </w:r>
            <w:r>
              <w:rPr>
                <w:b/>
                <w:sz w:val="21"/>
              </w:rPr>
              <w:t>基本配置要求</w:t>
            </w:r>
          </w:p>
          <w:p>
            <w:pPr>
              <w:ind w:firstLine="367"/>
              <w:jc w:val="both"/>
            </w:pPr>
            <w:r>
              <w:rPr>
                <w:sz w:val="21"/>
              </w:rPr>
              <w:t>1、中标供应商在合同签订后一个月内必须在佛山市顺德区大良街道范围内设有符合工作条件的固定办公场所及具有足够容纳项目一切作业车辆及劳保工具等的停放场地，面积合计不少于 200</w:t>
            </w:r>
            <w:r>
              <w:rPr>
                <w:sz w:val="21"/>
              </w:rPr>
              <w:t>㎡，并提供相应的登记证明文件、场地权属证明或场地使用证明，否则视为拒绝履行合同义务。</w:t>
            </w:r>
          </w:p>
          <w:p>
            <w:pPr>
              <w:ind w:firstLine="367"/>
              <w:jc w:val="both"/>
            </w:pPr>
            <w:r>
              <w:rPr>
                <w:sz w:val="21"/>
              </w:rPr>
              <w:t>2、中标供应商在中标后一个月内必须更换管理范围内公示牌的内容。</w:t>
            </w:r>
          </w:p>
          <w:p>
            <w:pPr>
              <w:ind w:firstLine="367"/>
              <w:jc w:val="both"/>
            </w:pPr>
            <w:r>
              <w:rPr>
                <w:sz w:val="21"/>
              </w:rPr>
              <w:t>3、中标供应商的办公场地、工具、车辆存放地和员工住所自行解决。</w:t>
            </w:r>
          </w:p>
          <w:p>
            <w:pPr>
              <w:ind w:firstLine="367"/>
              <w:jc w:val="both"/>
            </w:pPr>
            <w:r>
              <w:rPr>
                <w:sz w:val="21"/>
              </w:rPr>
              <w:t>4、中标供应商必须落实好安全生产的措施和配置安全作业的劳保用品。</w:t>
            </w:r>
          </w:p>
          <w:p>
            <w:pPr>
              <w:ind w:firstLine="367"/>
              <w:jc w:val="both"/>
            </w:pPr>
            <w:r>
              <w:rPr>
                <w:sz w:val="21"/>
              </w:rPr>
              <w:t>5、中标供应商的服务人员数量必须满足招标人的实际工作要求：</w:t>
            </w:r>
          </w:p>
          <w:p>
            <w:pPr>
              <w:ind w:firstLine="420"/>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1354"/>
              <w:gridCol w:w="3572"/>
              <w:gridCol w:w="672"/>
            </w:tblGrid>
            <w:tr>
              <w:tc>
                <w:tcPr>
                  <w:tcW w:type="dxa" w:w="1354"/>
                  <w:tcBorders>
                    <w:top w:val="single" w:color="000000" w:sz="4"/>
                    <w:left w:val="single" w:color="000000" w:sz="4"/>
                    <w:bottom w:val="single" w:color="000000" w:sz="4"/>
                    <w:right w:val="single" w:color="000000" w:sz="4"/>
                  </w:tcBorders>
                  <w:vAlign w:val="top"/>
                </w:tcPr>
                <w:p>
                  <w:pPr>
                    <w:jc w:val="center"/>
                  </w:pPr>
                  <w:r>
                    <w:rPr>
                      <w:sz w:val="21"/>
                    </w:rPr>
                    <w:t>人员类别</w:t>
                  </w:r>
                </w:p>
              </w:tc>
              <w:tc>
                <w:tcPr>
                  <w:tcW w:type="dxa" w:w="3572"/>
                  <w:tcBorders>
                    <w:top w:val="single" w:color="000000" w:sz="4"/>
                    <w:left w:val="none" w:color="000000" w:sz="4"/>
                    <w:bottom w:val="single" w:color="000000" w:sz="4"/>
                    <w:right w:val="single" w:color="000000" w:sz="4"/>
                  </w:tcBorders>
                  <w:vAlign w:val="top"/>
                </w:tcPr>
                <w:p>
                  <w:pPr>
                    <w:jc w:val="center"/>
                  </w:pPr>
                  <w:r>
                    <w:rPr>
                      <w:sz w:val="21"/>
                    </w:rPr>
                    <w:t>具体要求</w:t>
                  </w:r>
                </w:p>
              </w:tc>
              <w:tc>
                <w:tcPr>
                  <w:tcW w:type="dxa" w:w="672"/>
                  <w:tcBorders>
                    <w:top w:val="single" w:color="000000" w:sz="4"/>
                    <w:left w:val="none" w:color="000000" w:sz="4"/>
                    <w:bottom w:val="single" w:color="000000" w:sz="4"/>
                    <w:right w:val="single" w:color="000000" w:sz="4"/>
                  </w:tcBorders>
                  <w:vAlign w:val="top"/>
                </w:tcPr>
                <w:p>
                  <w:pPr>
                    <w:jc w:val="center"/>
                  </w:pPr>
                  <w:r>
                    <w:rPr>
                      <w:sz w:val="21"/>
                    </w:rPr>
                    <w:t>配置人数</w:t>
                  </w:r>
                </w:p>
              </w:tc>
            </w:tr>
            <w:tr>
              <w:tc>
                <w:tcPr>
                  <w:tcW w:type="dxa" w:w="1354"/>
                  <w:tcBorders>
                    <w:top w:val="none" w:color="000000" w:sz="4"/>
                    <w:left w:val="single" w:color="000000" w:sz="4"/>
                    <w:bottom w:val="single" w:color="000000" w:sz="4"/>
                    <w:right w:val="single" w:color="000000" w:sz="4"/>
                  </w:tcBorders>
                  <w:vAlign w:val="top"/>
                </w:tcPr>
                <w:p>
                  <w:pPr>
                    <w:jc w:val="center"/>
                  </w:pPr>
                  <w:r>
                    <w:rPr>
                      <w:sz w:val="21"/>
                    </w:rPr>
                    <w:t>管理人员</w:t>
                  </w:r>
                </w:p>
              </w:tc>
              <w:tc>
                <w:tcPr>
                  <w:tcW w:type="dxa" w:w="3572"/>
                  <w:tcBorders>
                    <w:top w:val="none" w:color="000000" w:sz="4"/>
                    <w:left w:val="none" w:color="000000" w:sz="4"/>
                    <w:bottom w:val="single" w:color="000000" w:sz="4"/>
                    <w:right w:val="single" w:color="000000" w:sz="4"/>
                  </w:tcBorders>
                  <w:vAlign w:val="top"/>
                </w:tcPr>
                <w:p>
                  <w:pPr>
                    <w:jc w:val="left"/>
                  </w:pPr>
                  <w:r>
                    <w:rPr>
                      <w:sz w:val="21"/>
                    </w:rPr>
                    <w:t>1.负责管理工作团队，并制定每次的除四害工作方案及分配工作</w:t>
                  </w:r>
                </w:p>
                <w:p>
                  <w:pPr>
                    <w:jc w:val="left"/>
                  </w:pPr>
                  <w:r>
                    <w:rPr>
                      <w:sz w:val="21"/>
                    </w:rPr>
                    <w:t>2.具有“有害生物防制（治）员高级（三级）资格证”</w:t>
                  </w:r>
                </w:p>
              </w:tc>
              <w:tc>
                <w:tcPr>
                  <w:tcW w:type="dxa" w:w="672"/>
                  <w:tcBorders>
                    <w:top w:val="none" w:color="000000" w:sz="4"/>
                    <w:left w:val="none" w:color="000000" w:sz="4"/>
                    <w:bottom w:val="single" w:color="000000" w:sz="4"/>
                    <w:right w:val="single" w:color="000000" w:sz="4"/>
                  </w:tcBorders>
                  <w:vAlign w:val="top"/>
                </w:tcPr>
                <w:p>
                  <w:pPr>
                    <w:jc w:val="center"/>
                  </w:pPr>
                  <w:r>
                    <w:rPr>
                      <w:sz w:val="21"/>
                    </w:rPr>
                    <w:t>2</w:t>
                  </w:r>
                  <w:r>
                    <w:rPr>
                      <w:sz w:val="21"/>
                    </w:rPr>
                    <w:t>人</w:t>
                  </w:r>
                </w:p>
              </w:tc>
            </w:tr>
            <w:tr>
              <w:tc>
                <w:tcPr>
                  <w:tcW w:type="dxa" w:w="1354"/>
                  <w:tcBorders>
                    <w:top w:val="none" w:color="000000" w:sz="4"/>
                    <w:left w:val="single" w:color="000000" w:sz="4"/>
                    <w:bottom w:val="single" w:color="000000" w:sz="4"/>
                    <w:right w:val="single" w:color="000000" w:sz="4"/>
                  </w:tcBorders>
                  <w:vAlign w:val="top"/>
                </w:tcPr>
                <w:p>
                  <w:pPr>
                    <w:jc w:val="center"/>
                  </w:pPr>
                  <w:r>
                    <w:rPr>
                      <w:sz w:val="21"/>
                    </w:rPr>
                    <w:t>质检人员</w:t>
                  </w:r>
                </w:p>
              </w:tc>
              <w:tc>
                <w:tcPr>
                  <w:tcW w:type="dxa" w:w="3572"/>
                  <w:tcBorders>
                    <w:top w:val="none" w:color="000000" w:sz="4"/>
                    <w:left w:val="none" w:color="000000" w:sz="4"/>
                    <w:bottom w:val="single" w:color="000000" w:sz="4"/>
                    <w:right w:val="single" w:color="000000" w:sz="4"/>
                  </w:tcBorders>
                  <w:vAlign w:val="top"/>
                </w:tcPr>
                <w:p>
                  <w:pPr>
                    <w:jc w:val="left"/>
                  </w:pPr>
                  <w:r>
                    <w:rPr>
                      <w:sz w:val="21"/>
                    </w:rPr>
                    <w:t>1.负责日常除四害自我监督巡查工作，配合采购人和质量评估单位做好监督检查，完善各项四害防治、监测资料</w:t>
                  </w:r>
                </w:p>
                <w:p>
                  <w:pPr>
                    <w:jc w:val="left"/>
                  </w:pPr>
                  <w:r>
                    <w:rPr>
                      <w:sz w:val="21"/>
                    </w:rPr>
                    <w:t>2.具有“有害生物防制（治）员高级（三级）资格证”</w:t>
                  </w:r>
                </w:p>
              </w:tc>
              <w:tc>
                <w:tcPr>
                  <w:tcW w:type="dxa" w:w="672"/>
                  <w:tcBorders>
                    <w:top w:val="none" w:color="000000" w:sz="4"/>
                    <w:left w:val="none" w:color="000000" w:sz="4"/>
                    <w:bottom w:val="single" w:color="000000" w:sz="4"/>
                    <w:right w:val="single" w:color="000000" w:sz="4"/>
                  </w:tcBorders>
                  <w:vAlign w:val="top"/>
                </w:tcPr>
                <w:p>
                  <w:pPr>
                    <w:jc w:val="center"/>
                  </w:pPr>
                  <w:r>
                    <w:rPr>
                      <w:sz w:val="21"/>
                    </w:rPr>
                    <w:t>2</w:t>
                  </w:r>
                  <w:r>
                    <w:rPr>
                      <w:sz w:val="21"/>
                    </w:rPr>
                    <w:t>人</w:t>
                  </w:r>
                </w:p>
              </w:tc>
            </w:tr>
            <w:tr>
              <w:tc>
                <w:tcPr>
                  <w:tcW w:type="dxa" w:w="1354"/>
                  <w:tcBorders>
                    <w:top w:val="none" w:color="000000" w:sz="4"/>
                    <w:left w:val="single" w:color="000000" w:sz="4"/>
                    <w:bottom w:val="single" w:color="000000" w:sz="4"/>
                    <w:right w:val="single" w:color="000000" w:sz="4"/>
                  </w:tcBorders>
                  <w:vAlign w:val="top"/>
                </w:tcPr>
                <w:p>
                  <w:pPr>
                    <w:jc w:val="center"/>
                  </w:pPr>
                  <w:r>
                    <w:rPr>
                      <w:sz w:val="21"/>
                    </w:rPr>
                    <w:t>除四害专业人员</w:t>
                  </w:r>
                </w:p>
              </w:tc>
              <w:tc>
                <w:tcPr>
                  <w:tcW w:type="dxa" w:w="3572"/>
                  <w:tcBorders>
                    <w:top w:val="none" w:color="000000" w:sz="4"/>
                    <w:left w:val="none" w:color="000000" w:sz="4"/>
                    <w:bottom w:val="single" w:color="000000" w:sz="4"/>
                    <w:right w:val="single" w:color="000000" w:sz="4"/>
                  </w:tcBorders>
                  <w:vAlign w:val="top"/>
                </w:tcPr>
                <w:p>
                  <w:pPr>
                    <w:jc w:val="left"/>
                  </w:pPr>
                  <w:r>
                    <w:rPr>
                      <w:sz w:val="21"/>
                    </w:rPr>
                    <w:t>1.负责主要的除四害工作及技术指导</w:t>
                  </w:r>
                </w:p>
                <w:p>
                  <w:pPr>
                    <w:jc w:val="left"/>
                  </w:pPr>
                  <w:r>
                    <w:rPr>
                      <w:sz w:val="21"/>
                    </w:rPr>
                    <w:t>2.具有“有害生物防制员或病媒生物防制工”初级证或以上资格证书，其中，至少2人具有“有害生物防制（治）员中级（四级）”或以上资格证书</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15人</w:t>
                  </w:r>
                </w:p>
              </w:tc>
            </w:tr>
          </w:tbl>
          <w:p>
            <w:pPr>
              <w:ind w:firstLine="420"/>
            </w:pPr>
            <w:r>
              <w:rPr>
                <w:sz w:val="21"/>
              </w:rPr>
              <w:t>7、设备基本配置要求</w:t>
            </w:r>
          </w:p>
          <w:tbl>
            <w:tblPr>
              <w:tblInd w:type="dxa" w:w="105"/>
              <w:tblBorders>
                <w:top w:val="none" w:color="000000" w:sz="4"/>
                <w:left w:val="none" w:color="000000" w:sz="4"/>
                <w:bottom w:val="none" w:color="000000" w:sz="4"/>
                <w:right w:val="none" w:color="000000" w:sz="4"/>
                <w:insideH w:val="none"/>
                <w:insideV w:val="none"/>
              </w:tblBorders>
            </w:tblPr>
            <w:tblGrid>
              <w:gridCol w:w="446"/>
              <w:gridCol w:w="1286"/>
              <w:gridCol w:w="3210"/>
              <w:gridCol w:w="656"/>
            </w:tblGrid>
            <w:tr>
              <w:tc>
                <w:tcPr>
                  <w:tcW w:type="dxa" w:w="44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86"/>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3210"/>
                  <w:tcBorders>
                    <w:top w:val="single" w:color="000000" w:sz="4"/>
                    <w:left w:val="none" w:color="000000" w:sz="4"/>
                    <w:bottom w:val="none" w:color="000000" w:sz="4"/>
                    <w:right w:val="single" w:color="000000" w:sz="4"/>
                  </w:tcBorders>
                  <w:vAlign w:val="top"/>
                </w:tcPr>
                <w:p>
                  <w:pPr>
                    <w:jc w:val="center"/>
                  </w:pPr>
                  <w:r>
                    <w:rPr>
                      <w:sz w:val="21"/>
                    </w:rPr>
                    <w:t>配置</w:t>
                  </w:r>
                  <w:r>
                    <w:rPr>
                      <w:sz w:val="21"/>
                    </w:rPr>
                    <w:t>要求</w:t>
                  </w:r>
                </w:p>
              </w:tc>
              <w:tc>
                <w:tcPr>
                  <w:tcW w:type="dxa" w:w="656"/>
                  <w:tcBorders>
                    <w:top w:val="single" w:color="000000" w:sz="4"/>
                    <w:left w:val="none" w:color="000000" w:sz="4"/>
                    <w:bottom w:val="single" w:color="000000" w:sz="4"/>
                    <w:right w:val="single" w:color="000000" w:sz="4"/>
                  </w:tcBorders>
                  <w:vAlign w:val="top"/>
                </w:tcPr>
                <w:p>
                  <w:pPr>
                    <w:jc w:val="center"/>
                  </w:pPr>
                  <w:r>
                    <w:rPr>
                      <w:sz w:val="21"/>
                    </w:rPr>
                    <w:t>配置数量</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电动超低容量喷雾机</w:t>
                  </w:r>
                </w:p>
              </w:tc>
              <w:tc>
                <w:tcPr>
                  <w:tcW w:type="dxa" w:w="3210"/>
                  <w:tcBorders>
                    <w:top w:val="single" w:color="000000" w:sz="4"/>
                    <w:left w:val="none" w:color="000000" w:sz="4"/>
                    <w:bottom w:val="single" w:color="000000" w:sz="4"/>
                    <w:right w:val="single" w:color="000000" w:sz="4"/>
                  </w:tcBorders>
                  <w:vAlign w:val="top"/>
                </w:tcPr>
                <w:p>
                  <w:pPr>
                    <w:jc w:val="left"/>
                  </w:pPr>
                  <w:r>
                    <w:rPr>
                      <w:sz w:val="21"/>
                    </w:rPr>
                    <w:t>1.技术参数要求:电机：直流无碳刷电机，大于或等于600W。雾滴直径：10～30微米。药液输出量：0～400ml/min连续可调。药箱容量：5L或以上。每台加配1个后备电池。</w:t>
                  </w:r>
                </w:p>
              </w:tc>
              <w:tc>
                <w:tcPr>
                  <w:tcW w:type="dxa" w:w="656"/>
                  <w:tcBorders>
                    <w:top w:val="none" w:color="000000" w:sz="4"/>
                    <w:left w:val="none" w:color="000000" w:sz="4"/>
                    <w:bottom w:val="single" w:color="000000" w:sz="4"/>
                    <w:right w:val="single" w:color="000000" w:sz="4"/>
                  </w:tcBorders>
                  <w:vAlign w:val="top"/>
                </w:tcPr>
                <w:p>
                  <w:pPr>
                    <w:jc w:val="center"/>
                  </w:pPr>
                  <w:r>
                    <w:rPr>
                      <w:sz w:val="21"/>
                    </w:rPr>
                    <w:t>不少于</w:t>
                  </w:r>
                  <w:r>
                    <w:rPr>
                      <w:sz w:val="21"/>
                    </w:rPr>
                    <w:t>7</w:t>
                  </w:r>
                  <w:r>
                    <w:rPr>
                      <w:sz w:val="21"/>
                    </w:rPr>
                    <w:t>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机动超低容量喷雾机</w:t>
                  </w:r>
                </w:p>
              </w:tc>
              <w:tc>
                <w:tcPr>
                  <w:tcW w:type="dxa" w:w="3210"/>
                  <w:tcBorders>
                    <w:top w:val="none" w:color="000000" w:sz="4"/>
                    <w:left w:val="none" w:color="000000" w:sz="4"/>
                    <w:bottom w:val="single" w:color="000000" w:sz="4"/>
                    <w:right w:val="single" w:color="000000" w:sz="4"/>
                  </w:tcBorders>
                  <w:vAlign w:val="top"/>
                </w:tcPr>
                <w:p>
                  <w:pPr>
                    <w:jc w:val="left"/>
                  </w:pPr>
                  <w:r>
                    <w:rPr>
                      <w:sz w:val="21"/>
                    </w:rPr>
                    <w:t>1.技术参数要求:雾滴直径：2～30微米。水平射程＞8米。药箱容量：5L或以上。</w:t>
                  </w:r>
                </w:p>
              </w:tc>
              <w:tc>
                <w:tcPr>
                  <w:tcW w:type="dxa" w:w="656"/>
                  <w:tcBorders>
                    <w:top w:val="none" w:color="000000" w:sz="4"/>
                    <w:left w:val="none" w:color="000000" w:sz="4"/>
                    <w:bottom w:val="single" w:color="000000" w:sz="4"/>
                    <w:right w:val="single" w:color="000000" w:sz="4"/>
                  </w:tcBorders>
                  <w:vAlign w:val="top"/>
                </w:tcPr>
                <w:p>
                  <w:pPr>
                    <w:jc w:val="center"/>
                  </w:pPr>
                  <w:r>
                    <w:rPr>
                      <w:sz w:val="21"/>
                    </w:rPr>
                    <w:t>7</w:t>
                  </w:r>
                  <w:r>
                    <w:rPr>
                      <w:sz w:val="21"/>
                    </w:rPr>
                    <w:t>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机动喷雾机</w:t>
                  </w:r>
                </w:p>
              </w:tc>
              <w:tc>
                <w:tcPr>
                  <w:tcW w:type="dxa" w:w="3210"/>
                  <w:tcBorders>
                    <w:top w:val="none" w:color="000000" w:sz="4"/>
                    <w:left w:val="none" w:color="000000" w:sz="4"/>
                    <w:bottom w:val="single" w:color="000000" w:sz="4"/>
                    <w:right w:val="single" w:color="000000" w:sz="4"/>
                  </w:tcBorders>
                  <w:vAlign w:val="top"/>
                </w:tcPr>
                <w:p>
                  <w:pPr>
                    <w:jc w:val="left"/>
                  </w:pPr>
                  <w:r>
                    <w:rPr>
                      <w:sz w:val="21"/>
                    </w:rPr>
                    <w:t>1.技术参数要求:雾滴直径：50～100微米。水平射程＞8米。药箱容量：10L或以上。</w:t>
                  </w:r>
                </w:p>
              </w:tc>
              <w:tc>
                <w:tcPr>
                  <w:tcW w:type="dxa" w:w="656"/>
                  <w:tcBorders>
                    <w:top w:val="none" w:color="000000" w:sz="4"/>
                    <w:left w:val="none" w:color="000000" w:sz="4"/>
                    <w:bottom w:val="single" w:color="000000" w:sz="4"/>
                    <w:right w:val="single" w:color="000000" w:sz="4"/>
                  </w:tcBorders>
                  <w:vAlign w:val="top"/>
                </w:tcPr>
                <w:p>
                  <w:pPr>
                    <w:jc w:val="center"/>
                  </w:pPr>
                  <w:r>
                    <w:rPr>
                      <w:sz w:val="21"/>
                    </w:rPr>
                    <w:t>6台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电动喷雾机</w:t>
                  </w:r>
                </w:p>
              </w:tc>
              <w:tc>
                <w:tcPr>
                  <w:tcW w:type="dxa" w:w="3210"/>
                  <w:tcBorders>
                    <w:top w:val="none" w:color="000000" w:sz="4"/>
                    <w:left w:val="none" w:color="000000" w:sz="4"/>
                    <w:bottom w:val="single" w:color="000000" w:sz="4"/>
                    <w:right w:val="single" w:color="000000" w:sz="4"/>
                  </w:tcBorders>
                  <w:vAlign w:val="top"/>
                </w:tcPr>
                <w:p>
                  <w:pPr>
                    <w:jc w:val="left"/>
                  </w:pPr>
                  <w:r>
                    <w:rPr>
                      <w:sz w:val="21"/>
                    </w:rPr>
                    <w:t>1.技术参数要求:雾滴直径：50～200微米。水平射程＞6米。药箱容量：5L或以上。</w:t>
                  </w:r>
                </w:p>
              </w:tc>
              <w:tc>
                <w:tcPr>
                  <w:tcW w:type="dxa" w:w="656"/>
                  <w:tcBorders>
                    <w:top w:val="none" w:color="000000" w:sz="4"/>
                    <w:left w:val="none" w:color="000000" w:sz="4"/>
                    <w:bottom w:val="single" w:color="000000" w:sz="4"/>
                    <w:right w:val="single" w:color="000000" w:sz="4"/>
                  </w:tcBorders>
                  <w:vAlign w:val="top"/>
                </w:tcPr>
                <w:p>
                  <w:pPr>
                    <w:jc w:val="center"/>
                  </w:pPr>
                  <w:r>
                    <w:rPr>
                      <w:sz w:val="21"/>
                    </w:rPr>
                    <w:t>不少于</w:t>
                  </w:r>
                  <w:r>
                    <w:rPr>
                      <w:sz w:val="21"/>
                    </w:rPr>
                    <w:t>8台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手推式喷雾机</w:t>
                  </w:r>
                </w:p>
              </w:tc>
              <w:tc>
                <w:tcPr>
                  <w:tcW w:type="dxa" w:w="3210"/>
                  <w:tcBorders>
                    <w:top w:val="none" w:color="000000" w:sz="4"/>
                    <w:left w:val="none" w:color="000000" w:sz="4"/>
                    <w:bottom w:val="single" w:color="000000" w:sz="4"/>
                    <w:right w:val="single" w:color="000000" w:sz="4"/>
                  </w:tcBorders>
                  <w:vAlign w:val="top"/>
                </w:tcPr>
                <w:p>
                  <w:pPr>
                    <w:jc w:val="left"/>
                  </w:pPr>
                  <w:r>
                    <w:rPr>
                      <w:sz w:val="21"/>
                    </w:rPr>
                    <w:t>1.技术参数要求:适合大面积灭蚊及其它病媒昆虫，机动、超低容量、耐用性强，射程10米或以上（受制于风速），雾滴直径30～200微米，药箱容量20L或以上。加配车载式喷头（一套4个）</w:t>
                  </w:r>
                </w:p>
              </w:tc>
              <w:tc>
                <w:tcPr>
                  <w:tcW w:type="dxa" w:w="656"/>
                  <w:tcBorders>
                    <w:top w:val="none" w:color="000000" w:sz="4"/>
                    <w:left w:val="none" w:color="000000" w:sz="4"/>
                    <w:bottom w:val="single" w:color="000000" w:sz="4"/>
                    <w:right w:val="single" w:color="000000" w:sz="4"/>
                  </w:tcBorders>
                  <w:vAlign w:val="top"/>
                </w:tcPr>
                <w:p>
                  <w:pPr>
                    <w:jc w:val="center"/>
                  </w:pPr>
                  <w:r>
                    <w:rPr>
                      <w:sz w:val="21"/>
                    </w:rPr>
                    <w:t>2</w:t>
                  </w:r>
                  <w:r>
                    <w:rPr>
                      <w:sz w:val="21"/>
                    </w:rPr>
                    <w:t>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热烟雾机</w:t>
                  </w:r>
                </w:p>
              </w:tc>
              <w:tc>
                <w:tcPr>
                  <w:tcW w:type="dxa" w:w="3210"/>
                  <w:tcBorders>
                    <w:top w:val="none" w:color="000000" w:sz="4"/>
                    <w:left w:val="none" w:color="000000" w:sz="4"/>
                    <w:bottom w:val="single" w:color="000000" w:sz="4"/>
                    <w:right w:val="single" w:color="000000" w:sz="4"/>
                  </w:tcBorders>
                  <w:vAlign w:val="top"/>
                </w:tcPr>
                <w:p>
                  <w:pPr>
                    <w:jc w:val="left"/>
                  </w:pPr>
                  <w:r>
                    <w:rPr>
                      <w:sz w:val="21"/>
                    </w:rPr>
                    <w:t>1.技术参数要求:雾滴直径：5微米。药液输出量：0～42L/小时。功率：11.6-22KW。 药箱容量：5L或以上。</w:t>
                  </w:r>
                </w:p>
              </w:tc>
              <w:tc>
                <w:tcPr>
                  <w:tcW w:type="dxa" w:w="656"/>
                  <w:tcBorders>
                    <w:top w:val="none" w:color="000000" w:sz="4"/>
                    <w:left w:val="none" w:color="000000" w:sz="4"/>
                    <w:bottom w:val="single" w:color="000000" w:sz="4"/>
                    <w:right w:val="single" w:color="000000" w:sz="4"/>
                  </w:tcBorders>
                  <w:vAlign w:val="top"/>
                </w:tcPr>
                <w:p>
                  <w:pPr>
                    <w:jc w:val="center"/>
                  </w:pPr>
                  <w:r>
                    <w:rPr>
                      <w:sz w:val="21"/>
                    </w:rPr>
                    <w:t>不少于</w:t>
                  </w:r>
                  <w:r>
                    <w:rPr>
                      <w:sz w:val="21"/>
                    </w:rPr>
                    <w:t>7</w:t>
                  </w:r>
                  <w:r>
                    <w:rPr>
                      <w:sz w:val="21"/>
                    </w:rPr>
                    <w:t>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工作车辆</w:t>
                  </w:r>
                </w:p>
              </w:tc>
              <w:tc>
                <w:tcPr>
                  <w:tcW w:type="dxa" w:w="3210"/>
                  <w:tcBorders>
                    <w:top w:val="none" w:color="000000" w:sz="4"/>
                    <w:left w:val="none" w:color="000000" w:sz="4"/>
                    <w:bottom w:val="single" w:color="000000" w:sz="4"/>
                    <w:right w:val="single" w:color="000000" w:sz="4"/>
                  </w:tcBorders>
                  <w:vAlign w:val="top"/>
                </w:tcPr>
                <w:p>
                  <w:pPr>
                    <w:jc w:val="left"/>
                  </w:pPr>
                  <w:r>
                    <w:rPr>
                      <w:sz w:val="21"/>
                    </w:rPr>
                    <w:t>1.技术参数要求:检验有效期内且载重量为0.6吨或以上的机动车辆。</w:t>
                  </w:r>
                </w:p>
                <w:p>
                  <w:pPr>
                    <w:jc w:val="left"/>
                  </w:pPr>
                  <w:r>
                    <w:rPr>
                      <w:sz w:val="21"/>
                    </w:rPr>
                    <w:t>2.小型货车必须配备GPS实时定位设备并接入采购人的监控系统，工作时间内必须开启；（设备的投入和维护等相关费用由中标人承担）</w:t>
                  </w:r>
                </w:p>
              </w:tc>
              <w:tc>
                <w:tcPr>
                  <w:tcW w:type="dxa" w:w="656"/>
                  <w:tcBorders>
                    <w:top w:val="none" w:color="000000" w:sz="4"/>
                    <w:left w:val="none" w:color="000000" w:sz="4"/>
                    <w:bottom w:val="single" w:color="000000" w:sz="4"/>
                    <w:right w:val="single" w:color="000000" w:sz="4"/>
                  </w:tcBorders>
                  <w:vAlign w:val="top"/>
                </w:tcPr>
                <w:p>
                  <w:pPr>
                    <w:jc w:val="center"/>
                  </w:pPr>
                  <w:r>
                    <w:rPr>
                      <w:sz w:val="21"/>
                    </w:rPr>
                    <w:t>2</w:t>
                  </w:r>
                  <w:r>
                    <w:rPr>
                      <w:sz w:val="21"/>
                    </w:rPr>
                    <w:t>辆</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电动三轮车</w:t>
                  </w:r>
                </w:p>
              </w:tc>
              <w:tc>
                <w:tcPr>
                  <w:tcW w:type="dxa" w:w="3210"/>
                  <w:tcBorders>
                    <w:top w:val="none" w:color="000000" w:sz="4"/>
                    <w:left w:val="none" w:color="000000" w:sz="4"/>
                    <w:bottom w:val="single" w:color="000000" w:sz="4"/>
                    <w:right w:val="single" w:color="000000" w:sz="4"/>
                  </w:tcBorders>
                  <w:vAlign w:val="top"/>
                </w:tcPr>
                <w:p>
                  <w:pPr>
                    <w:jc w:val="left"/>
                  </w:pPr>
                  <w:r>
                    <w:rPr>
                      <w:sz w:val="21"/>
                    </w:rPr>
                    <w:t>在</w:t>
                  </w:r>
                  <w:r>
                    <w:rPr>
                      <w:sz w:val="21"/>
                    </w:rPr>
                    <w:t>2020年1月1日</w:t>
                  </w:r>
                  <w:r>
                    <w:rPr>
                      <w:sz w:val="21"/>
                    </w:rPr>
                    <w:t>后购置。</w:t>
                  </w:r>
                </w:p>
              </w:tc>
              <w:tc>
                <w:tcPr>
                  <w:tcW w:type="dxa" w:w="656"/>
                  <w:tcBorders>
                    <w:top w:val="none" w:color="000000" w:sz="4"/>
                    <w:left w:val="none" w:color="000000" w:sz="4"/>
                    <w:bottom w:val="single" w:color="000000" w:sz="4"/>
                    <w:right w:val="single" w:color="000000" w:sz="4"/>
                  </w:tcBorders>
                  <w:vAlign w:val="top"/>
                </w:tcPr>
                <w:p>
                  <w:pPr>
                    <w:jc w:val="center"/>
                  </w:pPr>
                  <w:r>
                    <w:rPr>
                      <w:sz w:val="21"/>
                    </w:rPr>
                    <w:t>4台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车载式喷雾机</w:t>
                  </w:r>
                </w:p>
              </w:tc>
              <w:tc>
                <w:tcPr>
                  <w:tcW w:type="dxa" w:w="3210"/>
                  <w:tcBorders>
                    <w:top w:val="none" w:color="000000" w:sz="4"/>
                    <w:left w:val="none" w:color="000000" w:sz="4"/>
                    <w:bottom w:val="single" w:color="000000" w:sz="4"/>
                    <w:right w:val="single" w:color="000000" w:sz="4"/>
                  </w:tcBorders>
                  <w:vAlign w:val="top"/>
                </w:tcPr>
                <w:p>
                  <w:pPr>
                    <w:jc w:val="left"/>
                  </w:pPr>
                  <w:r>
                    <w:rPr>
                      <w:sz w:val="21"/>
                    </w:rPr>
                    <w:t>1.输出容量50-100公升/小时，达距100米（受制于风速），雾滴80%&lt;40微米，声量80分贝以下。</w:t>
                  </w:r>
                </w:p>
              </w:tc>
              <w:tc>
                <w:tcPr>
                  <w:tcW w:type="dxa" w:w="656"/>
                  <w:tcBorders>
                    <w:top w:val="none" w:color="000000" w:sz="4"/>
                    <w:left w:val="none" w:color="000000" w:sz="4"/>
                    <w:bottom w:val="single" w:color="000000" w:sz="4"/>
                    <w:right w:val="single" w:color="000000" w:sz="4"/>
                  </w:tcBorders>
                  <w:vAlign w:val="top"/>
                </w:tcPr>
                <w:p>
                  <w:pPr>
                    <w:jc w:val="center"/>
                  </w:pPr>
                  <w:r>
                    <w:rPr>
                      <w:sz w:val="21"/>
                    </w:rPr>
                    <w:t>2台</w:t>
                  </w:r>
                </w:p>
              </w:tc>
            </w:tr>
            <w:tr>
              <w:tc>
                <w:tcPr>
                  <w:tcW w:type="dxa" w:w="44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286"/>
                  <w:tcBorders>
                    <w:top w:val="none" w:color="000000" w:sz="4"/>
                    <w:left w:val="none" w:color="000000" w:sz="4"/>
                    <w:bottom w:val="single" w:color="000000" w:sz="4"/>
                    <w:right w:val="single" w:color="000000" w:sz="4"/>
                  </w:tcBorders>
                  <w:vAlign w:val="top"/>
                </w:tcPr>
                <w:p>
                  <w:pPr>
                    <w:jc w:val="center"/>
                  </w:pPr>
                  <w:r>
                    <w:rPr>
                      <w:sz w:val="21"/>
                    </w:rPr>
                    <w:t>鼠屋</w:t>
                  </w:r>
                </w:p>
              </w:tc>
              <w:tc>
                <w:tcPr>
                  <w:tcW w:type="dxa" w:w="3210"/>
                  <w:tcBorders>
                    <w:top w:val="none" w:color="000000" w:sz="4"/>
                    <w:left w:val="none" w:color="000000" w:sz="4"/>
                    <w:bottom w:val="single" w:color="000000" w:sz="4"/>
                    <w:right w:val="single" w:color="000000" w:sz="4"/>
                  </w:tcBorders>
                  <w:vAlign w:val="top"/>
                </w:tcPr>
                <w:p>
                  <w:pPr>
                    <w:jc w:val="left"/>
                  </w:pPr>
                  <w:r>
                    <w:rPr>
                      <w:sz w:val="21"/>
                    </w:rPr>
                    <w:t>1.材质瓦筒，规格≧长34cm宽12cm高12cm</w:t>
                  </w:r>
                </w:p>
              </w:tc>
              <w:tc>
                <w:tcPr>
                  <w:tcW w:type="dxa" w:w="656"/>
                  <w:tcBorders>
                    <w:top w:val="none" w:color="000000" w:sz="4"/>
                    <w:left w:val="none" w:color="000000" w:sz="4"/>
                    <w:bottom w:val="single" w:color="000000" w:sz="4"/>
                    <w:right w:val="single" w:color="000000" w:sz="4"/>
                  </w:tcBorders>
                  <w:vAlign w:val="top"/>
                </w:tcPr>
                <w:p>
                  <w:pPr>
                    <w:jc w:val="center"/>
                  </w:pPr>
                  <w:r>
                    <w:rPr>
                      <w:sz w:val="21"/>
                    </w:rPr>
                    <w:t>2400个</w:t>
                  </w:r>
                </w:p>
              </w:tc>
            </w:tr>
            <w:tr>
              <w:tc>
                <w:tcPr>
                  <w:tcW w:type="dxa" w:w="5598"/>
                  <w:gridSpan w:val="4"/>
                  <w:tcBorders>
                    <w:top w:val="none" w:color="000000" w:sz="4"/>
                    <w:left w:val="single" w:color="000000" w:sz="4"/>
                    <w:bottom w:val="single" w:color="000000" w:sz="4"/>
                    <w:right w:val="single" w:color="000000" w:sz="4"/>
                  </w:tcBorders>
                  <w:vAlign w:val="top"/>
                </w:tcPr>
                <w:p>
                  <w:pPr>
                    <w:jc w:val="left"/>
                  </w:pPr>
                  <w:r>
                    <w:rPr>
                      <w:b/>
                      <w:sz w:val="24"/>
                    </w:rPr>
                    <w:t>★注</w:t>
                  </w:r>
                  <w:r>
                    <w:rPr>
                      <w:b/>
                      <w:sz w:val="24"/>
                    </w:rPr>
                    <w:t>1</w:t>
                  </w:r>
                  <w:r>
                    <w:rPr>
                      <w:b/>
                      <w:sz w:val="24"/>
                    </w:rPr>
                    <w:t>：</w:t>
                  </w:r>
                  <w:r>
                    <w:rPr>
                      <w:b/>
                      <w:sz w:val="24"/>
                    </w:rPr>
                    <w:t>中标人提供的设备须在</w:t>
                  </w:r>
                  <w:r>
                    <w:rPr>
                      <w:b/>
                      <w:sz w:val="24"/>
                    </w:rPr>
                    <w:t>2020年1月1日</w:t>
                  </w:r>
                  <w:r>
                    <w:rPr>
                      <w:b/>
                      <w:sz w:val="24"/>
                    </w:rPr>
                    <w:t>之后购置的（在投标时提供承诺函，格式自拟）。</w:t>
                  </w:r>
                </w:p>
                <w:p>
                  <w:pPr>
                    <w:jc w:val="left"/>
                  </w:pPr>
                  <w:r>
                    <w:rPr>
                      <w:b/>
                      <w:sz w:val="21"/>
                    </w:rPr>
                    <w:t>注</w:t>
                  </w:r>
                  <w:r>
                    <w:rPr>
                      <w:b/>
                      <w:sz w:val="21"/>
                    </w:rPr>
                    <w:t>2：</w:t>
                  </w:r>
                  <w:r>
                    <w:rPr>
                      <w:b/>
                      <w:sz w:val="21"/>
                    </w:rPr>
                    <w:t>中标供应商</w:t>
                  </w:r>
                  <w:r>
                    <w:rPr>
                      <w:b/>
                      <w:sz w:val="21"/>
                    </w:rPr>
                    <w:t>须在合同签订后一个月内将上述车辆和设备的发票复印件（发票抬头与</w:t>
                  </w:r>
                  <w:r>
                    <w:rPr>
                      <w:b/>
                      <w:sz w:val="21"/>
                    </w:rPr>
                    <w:t>中标供应商</w:t>
                  </w:r>
                  <w:r>
                    <w:rPr>
                      <w:b/>
                      <w:sz w:val="21"/>
                    </w:rPr>
                    <w:t>单位名称一致）交予</w:t>
                  </w:r>
                  <w:r>
                    <w:rPr>
                      <w:b/>
                      <w:sz w:val="21"/>
                    </w:rPr>
                    <w:t>招标人</w:t>
                  </w:r>
                  <w:r>
                    <w:rPr>
                      <w:b/>
                      <w:sz w:val="21"/>
                    </w:rPr>
                    <w:t>备案。</w:t>
                  </w:r>
                </w:p>
              </w:tc>
            </w:tr>
          </w:tbl>
          <w:p>
            <w:pPr>
              <w:jc w:val="both"/>
            </w:pPr>
            <w:r>
              <w:rPr>
                <w:sz w:val="21"/>
              </w:rPr>
              <w:t>8.</w:t>
            </w:r>
            <w:r>
              <w:rPr>
                <w:sz w:val="21"/>
              </w:rPr>
              <w:t>服装基本配置</w:t>
            </w:r>
          </w:p>
          <w:tbl>
            <w:tblPr>
              <w:tblInd w:type="dxa" w:w="120"/>
              <w:tblBorders>
                <w:top w:val="none" w:color="000000" w:sz="4"/>
                <w:left w:val="none" w:color="000000" w:sz="4"/>
                <w:bottom w:val="none" w:color="000000" w:sz="4"/>
                <w:right w:val="none" w:color="000000" w:sz="4"/>
                <w:insideH w:val="none"/>
                <w:insideV w:val="none"/>
              </w:tblBorders>
            </w:tblPr>
            <w:tblGrid>
              <w:gridCol w:w="515"/>
              <w:gridCol w:w="1224"/>
              <w:gridCol w:w="3859"/>
            </w:tblGrid>
            <w:tr>
              <w:tc>
                <w:tcPr>
                  <w:tcW w:type="dxa" w:w="51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24"/>
                  <w:tcBorders>
                    <w:top w:val="single" w:color="000000" w:sz="4"/>
                    <w:left w:val="single" w:color="000000" w:sz="4"/>
                    <w:bottom w:val="single" w:color="000000" w:sz="4"/>
                    <w:right w:val="single" w:color="000000" w:sz="4"/>
                  </w:tcBorders>
                  <w:vAlign w:val="top"/>
                </w:tcPr>
                <w:p>
                  <w:pPr>
                    <w:jc w:val="center"/>
                  </w:pPr>
                  <w:r>
                    <w:rPr>
                      <w:sz w:val="21"/>
                    </w:rPr>
                    <w:t>服装</w:t>
                  </w:r>
                </w:p>
              </w:tc>
              <w:tc>
                <w:tcPr>
                  <w:tcW w:type="dxa" w:w="3859"/>
                  <w:tcBorders>
                    <w:top w:val="single" w:color="000000" w:sz="4"/>
                    <w:left w:val="single" w:color="000000" w:sz="4"/>
                    <w:bottom w:val="single" w:color="000000" w:sz="4"/>
                    <w:right w:val="single" w:color="000000" w:sz="4"/>
                  </w:tcBorders>
                  <w:vAlign w:val="top"/>
                </w:tcPr>
                <w:p>
                  <w:pPr>
                    <w:jc w:val="center"/>
                  </w:pPr>
                  <w:r>
                    <w:rPr>
                      <w:sz w:val="21"/>
                    </w:rPr>
                    <w:t>具体要求</w:t>
                  </w:r>
                </w:p>
              </w:tc>
            </w:tr>
            <w:tr>
              <w:tc>
                <w:tcPr>
                  <w:tcW w:type="dxa" w:w="515"/>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224"/>
                  <w:tcBorders>
                    <w:top w:val="none" w:color="000000" w:sz="4"/>
                    <w:left w:val="single" w:color="000000" w:sz="4"/>
                    <w:bottom w:val="single" w:color="000000" w:sz="4"/>
                    <w:right w:val="single" w:color="000000" w:sz="4"/>
                  </w:tcBorders>
                  <w:vAlign w:val="top"/>
                </w:tcPr>
                <w:p>
                  <w:pPr>
                    <w:jc w:val="center"/>
                  </w:pPr>
                  <w:r>
                    <w:rPr>
                      <w:sz w:val="21"/>
                    </w:rPr>
                    <w:t>个人防护</w:t>
                  </w:r>
                </w:p>
              </w:tc>
              <w:tc>
                <w:tcPr>
                  <w:tcW w:type="dxa" w:w="3859"/>
                  <w:tcBorders>
                    <w:top w:val="none" w:color="000000" w:sz="4"/>
                    <w:left w:val="single" w:color="000000" w:sz="4"/>
                    <w:bottom w:val="single" w:color="000000" w:sz="4"/>
                    <w:right w:val="single" w:color="000000" w:sz="4"/>
                  </w:tcBorders>
                  <w:vAlign w:val="top"/>
                </w:tcPr>
                <w:p>
                  <w:pPr>
                    <w:jc w:val="left"/>
                  </w:pPr>
                  <w:r>
                    <w:rPr>
                      <w:sz w:val="21"/>
                    </w:rPr>
                    <w:t>1.服装：统一审定的图案、色泽及格式制作的工作服（含雨衣）</w:t>
                  </w:r>
                </w:p>
                <w:p>
                  <w:pPr>
                    <w:jc w:val="left"/>
                  </w:pPr>
                  <w:r>
                    <w:rPr>
                      <w:sz w:val="21"/>
                    </w:rPr>
                    <w:t>2.反光衣、戴橡胶手套、口罩、镊子等</w:t>
                  </w:r>
                </w:p>
                <w:p>
                  <w:pPr>
                    <w:jc w:val="left"/>
                  </w:pPr>
                  <w:r>
                    <w:rPr>
                      <w:sz w:val="21"/>
                    </w:rPr>
                    <w:t>3.服务期三年的基本装备损耗</w:t>
                  </w:r>
                </w:p>
              </w:tc>
            </w:tr>
          </w:tbl>
          <w:p>
            <w:pPr>
              <w:ind w:firstLine="200"/>
              <w:jc w:val="both"/>
            </w:pPr>
            <w:r>
              <w:rPr>
                <w:sz w:val="24"/>
              </w:rPr>
              <w:t>9.</w:t>
            </w:r>
            <w:r>
              <w:rPr>
                <w:sz w:val="24"/>
              </w:rPr>
              <w:t>防治药品基本配置</w:t>
            </w:r>
          </w:p>
          <w:tbl>
            <w:tblPr>
              <w:tblInd w:type="dxa" w:w="120"/>
              <w:tblBorders>
                <w:top w:val="none" w:color="000000" w:sz="4"/>
                <w:left w:val="none" w:color="000000" w:sz="4"/>
                <w:bottom w:val="none" w:color="000000" w:sz="4"/>
                <w:right w:val="none" w:color="000000" w:sz="4"/>
                <w:insideH w:val="none"/>
                <w:insideV w:val="none"/>
              </w:tblBorders>
            </w:tblPr>
            <w:tblGrid>
              <w:gridCol w:w="515"/>
              <w:gridCol w:w="1224"/>
              <w:gridCol w:w="3859"/>
            </w:tblGrid>
            <w:tr>
              <w:tc>
                <w:tcPr>
                  <w:tcW w:type="dxa" w:w="51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24"/>
                  <w:tcBorders>
                    <w:top w:val="single" w:color="000000" w:sz="4"/>
                    <w:left w:val="single" w:color="000000" w:sz="4"/>
                    <w:bottom w:val="single" w:color="000000" w:sz="4"/>
                    <w:right w:val="single" w:color="000000" w:sz="4"/>
                  </w:tcBorders>
                  <w:vAlign w:val="top"/>
                </w:tcPr>
                <w:p>
                  <w:pPr>
                    <w:jc w:val="center"/>
                  </w:pPr>
                  <w:r>
                    <w:rPr>
                      <w:sz w:val="21"/>
                    </w:rPr>
                    <w:t>药物类别</w:t>
                  </w:r>
                </w:p>
              </w:tc>
              <w:tc>
                <w:tcPr>
                  <w:tcW w:type="dxa" w:w="3859"/>
                  <w:tcBorders>
                    <w:top w:val="single" w:color="000000" w:sz="4"/>
                    <w:left w:val="single" w:color="000000" w:sz="4"/>
                    <w:bottom w:val="single" w:color="000000" w:sz="4"/>
                    <w:right w:val="single" w:color="000000" w:sz="4"/>
                  </w:tcBorders>
                  <w:vAlign w:val="top"/>
                </w:tcPr>
                <w:p>
                  <w:pPr>
                    <w:jc w:val="center"/>
                  </w:pPr>
                  <w:r>
                    <w:rPr>
                      <w:sz w:val="21"/>
                    </w:rPr>
                    <w:t>具体要求</w:t>
                  </w:r>
                </w:p>
              </w:tc>
            </w:tr>
            <w:tr>
              <w:tc>
                <w:tcPr>
                  <w:tcW w:type="dxa" w:w="515"/>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224"/>
                  <w:tcBorders>
                    <w:top w:val="none" w:color="000000" w:sz="4"/>
                    <w:left w:val="single" w:color="000000" w:sz="4"/>
                    <w:bottom w:val="single" w:color="000000" w:sz="4"/>
                    <w:right w:val="single" w:color="000000" w:sz="4"/>
                  </w:tcBorders>
                  <w:vAlign w:val="top"/>
                </w:tcPr>
                <w:p>
                  <w:pPr>
                    <w:jc w:val="center"/>
                  </w:pPr>
                  <w:r>
                    <w:rPr>
                      <w:sz w:val="21"/>
                    </w:rPr>
                    <w:t>灭蚊药</w:t>
                  </w:r>
                </w:p>
              </w:tc>
              <w:tc>
                <w:tcPr>
                  <w:tcW w:type="dxa" w:w="3859"/>
                  <w:tcBorders>
                    <w:top w:val="none" w:color="000000" w:sz="4"/>
                    <w:left w:val="single" w:color="000000" w:sz="4"/>
                    <w:bottom w:val="single" w:color="000000" w:sz="4"/>
                    <w:right w:val="single" w:color="000000" w:sz="4"/>
                  </w:tcBorders>
                  <w:vAlign w:val="top"/>
                </w:tcPr>
                <w:p>
                  <w:pPr>
                    <w:jc w:val="left"/>
                  </w:pPr>
                  <w:r>
                    <w:rPr>
                      <w:sz w:val="21"/>
                    </w:rPr>
                    <w:t>1.适用于喷雾机的药剂；定期对项目服务范围内全部场所进行检查，并作空间喷洒灭成蚊，视成蚊密度情况增加频次</w:t>
                  </w:r>
                </w:p>
                <w:p>
                  <w:pPr>
                    <w:jc w:val="left"/>
                  </w:pPr>
                  <w:r>
                    <w:rPr>
                      <w:sz w:val="21"/>
                    </w:rPr>
                    <w:t>2.吊挂蚊虫缓释控制药；对项目服务范围内有积水的下水道沉沙井</w:t>
                  </w:r>
                </w:p>
                <w:p>
                  <w:pPr>
                    <w:jc w:val="left"/>
                  </w:pPr>
                  <w:r>
                    <w:rPr>
                      <w:sz w:val="21"/>
                    </w:rPr>
                    <w:t>3.主要灭蚊、幼虫</w:t>
                  </w:r>
                </w:p>
              </w:tc>
            </w:tr>
            <w:tr>
              <w:tc>
                <w:tcPr>
                  <w:tcW w:type="dxa" w:w="515"/>
                  <w:tcBorders>
                    <w:top w:val="none" w:color="000000" w:sz="4"/>
                    <w:left w:val="single" w:color="000000" w:sz="4"/>
                    <w:bottom w:val="single" w:color="000000" w:sz="4"/>
                    <w:right w:val="single" w:color="000000" w:sz="4"/>
                  </w:tcBorders>
                  <w:vAlign w:val="top"/>
                </w:tcPr>
                <w:p>
                  <w:pPr>
                    <w:jc w:val="center"/>
                  </w:pPr>
                  <w:r>
                    <w:rPr>
                      <w:sz w:val="21"/>
                    </w:rPr>
                    <w:t>02</w:t>
                  </w:r>
                </w:p>
              </w:tc>
              <w:tc>
                <w:tcPr>
                  <w:tcW w:type="dxa" w:w="1224"/>
                  <w:tcBorders>
                    <w:top w:val="none" w:color="000000" w:sz="4"/>
                    <w:left w:val="single" w:color="000000" w:sz="4"/>
                    <w:bottom w:val="single" w:color="000000" w:sz="4"/>
                    <w:right w:val="single" w:color="000000" w:sz="4"/>
                  </w:tcBorders>
                  <w:vAlign w:val="top"/>
                </w:tcPr>
                <w:p>
                  <w:pPr>
                    <w:jc w:val="center"/>
                  </w:pPr>
                  <w:r>
                    <w:rPr>
                      <w:sz w:val="21"/>
                    </w:rPr>
                    <w:t>灭蝇药</w:t>
                  </w:r>
                </w:p>
              </w:tc>
              <w:tc>
                <w:tcPr>
                  <w:tcW w:type="dxa" w:w="3859"/>
                  <w:tcBorders>
                    <w:top w:val="none" w:color="000000" w:sz="4"/>
                    <w:left w:val="single" w:color="000000" w:sz="4"/>
                    <w:bottom w:val="single" w:color="000000" w:sz="4"/>
                    <w:right w:val="single" w:color="000000" w:sz="4"/>
                  </w:tcBorders>
                  <w:vAlign w:val="top"/>
                </w:tcPr>
                <w:p>
                  <w:pPr>
                    <w:jc w:val="left"/>
                  </w:pPr>
                  <w:r>
                    <w:rPr>
                      <w:sz w:val="21"/>
                    </w:rPr>
                    <w:t>1.适用于喷雾机</w:t>
                  </w:r>
                </w:p>
                <w:p>
                  <w:pPr>
                    <w:jc w:val="left"/>
                  </w:pPr>
                  <w:r>
                    <w:rPr>
                      <w:sz w:val="21"/>
                    </w:rPr>
                    <w:t>2.定期对项目服务范围内场所进行滞留喷洒灭成蝇</w:t>
                  </w:r>
                </w:p>
                <w:p>
                  <w:pPr>
                    <w:jc w:val="left"/>
                  </w:pPr>
                  <w:r>
                    <w:rPr>
                      <w:sz w:val="21"/>
                    </w:rPr>
                    <w:t>3.主要灭蝇</w:t>
                  </w:r>
                </w:p>
              </w:tc>
            </w:tr>
            <w:tr>
              <w:tc>
                <w:tcPr>
                  <w:tcW w:type="dxa" w:w="515"/>
                  <w:tcBorders>
                    <w:top w:val="none" w:color="000000" w:sz="4"/>
                    <w:left w:val="single" w:color="000000" w:sz="4"/>
                    <w:bottom w:val="single" w:color="000000" w:sz="4"/>
                    <w:right w:val="single" w:color="000000" w:sz="4"/>
                  </w:tcBorders>
                  <w:vAlign w:val="top"/>
                </w:tcPr>
                <w:p>
                  <w:pPr>
                    <w:jc w:val="center"/>
                  </w:pPr>
                  <w:r>
                    <w:rPr>
                      <w:sz w:val="21"/>
                    </w:rPr>
                    <w:t>03</w:t>
                  </w:r>
                </w:p>
              </w:tc>
              <w:tc>
                <w:tcPr>
                  <w:tcW w:type="dxa" w:w="1224"/>
                  <w:tcBorders>
                    <w:top w:val="none" w:color="000000" w:sz="4"/>
                    <w:left w:val="single" w:color="000000" w:sz="4"/>
                    <w:bottom w:val="single" w:color="000000" w:sz="4"/>
                    <w:right w:val="single" w:color="000000" w:sz="4"/>
                  </w:tcBorders>
                  <w:vAlign w:val="top"/>
                </w:tcPr>
                <w:p>
                  <w:pPr>
                    <w:jc w:val="center"/>
                  </w:pPr>
                  <w:r>
                    <w:rPr>
                      <w:sz w:val="21"/>
                    </w:rPr>
                    <w:t>灭蟑药</w:t>
                  </w:r>
                </w:p>
              </w:tc>
              <w:tc>
                <w:tcPr>
                  <w:tcW w:type="dxa" w:w="3859"/>
                  <w:tcBorders>
                    <w:top w:val="none" w:color="000000" w:sz="4"/>
                    <w:left w:val="single" w:color="000000" w:sz="4"/>
                    <w:bottom w:val="single" w:color="000000" w:sz="4"/>
                    <w:right w:val="single" w:color="000000" w:sz="4"/>
                  </w:tcBorders>
                  <w:vAlign w:val="top"/>
                </w:tcPr>
                <w:p>
                  <w:pPr>
                    <w:jc w:val="left"/>
                  </w:pPr>
                  <w:r>
                    <w:rPr>
                      <w:sz w:val="21"/>
                    </w:rPr>
                    <w:t>1.适用于热力烟雾机</w:t>
                  </w:r>
                </w:p>
                <w:p>
                  <w:pPr>
                    <w:jc w:val="left"/>
                  </w:pPr>
                  <w:r>
                    <w:rPr>
                      <w:sz w:val="21"/>
                    </w:rPr>
                    <w:t>2.主要灭蟑螂</w:t>
                  </w:r>
                </w:p>
              </w:tc>
            </w:tr>
            <w:tr>
              <w:tc>
                <w:tcPr>
                  <w:tcW w:type="dxa" w:w="515"/>
                  <w:tcBorders>
                    <w:top w:val="none" w:color="000000" w:sz="4"/>
                    <w:left w:val="single" w:color="000000" w:sz="4"/>
                    <w:bottom w:val="single" w:color="000000" w:sz="4"/>
                    <w:right w:val="single" w:color="000000" w:sz="4"/>
                  </w:tcBorders>
                  <w:vAlign w:val="top"/>
                </w:tcPr>
                <w:p>
                  <w:pPr>
                    <w:jc w:val="center"/>
                  </w:pPr>
                  <w:r>
                    <w:rPr>
                      <w:sz w:val="21"/>
                    </w:rPr>
                    <w:t>04</w:t>
                  </w:r>
                </w:p>
              </w:tc>
              <w:tc>
                <w:tcPr>
                  <w:tcW w:type="dxa" w:w="1224"/>
                  <w:tcBorders>
                    <w:top w:val="none" w:color="000000" w:sz="4"/>
                    <w:left w:val="single" w:color="000000" w:sz="4"/>
                    <w:bottom w:val="single" w:color="000000" w:sz="4"/>
                    <w:right w:val="single" w:color="000000" w:sz="4"/>
                  </w:tcBorders>
                  <w:vAlign w:val="top"/>
                </w:tcPr>
                <w:p>
                  <w:pPr>
                    <w:jc w:val="center"/>
                  </w:pPr>
                  <w:r>
                    <w:rPr>
                      <w:sz w:val="21"/>
                    </w:rPr>
                    <w:t>灭鼠药</w:t>
                  </w:r>
                </w:p>
              </w:tc>
              <w:tc>
                <w:tcPr>
                  <w:tcW w:type="dxa" w:w="3859"/>
                  <w:tcBorders>
                    <w:top w:val="none" w:color="000000" w:sz="4"/>
                    <w:left w:val="single" w:color="000000" w:sz="4"/>
                    <w:bottom w:val="single" w:color="000000" w:sz="4"/>
                    <w:right w:val="single" w:color="000000" w:sz="4"/>
                  </w:tcBorders>
                  <w:vAlign w:val="top"/>
                </w:tcPr>
                <w:p>
                  <w:pPr>
                    <w:jc w:val="left"/>
                  </w:pPr>
                  <w:r>
                    <w:rPr>
                      <w:sz w:val="21"/>
                    </w:rPr>
                    <w:t>1.灭鼠药：投放于毒鼠屋的灭鼠药</w:t>
                  </w:r>
                </w:p>
                <w:p>
                  <w:pPr>
                    <w:jc w:val="left"/>
                  </w:pPr>
                  <w:r>
                    <w:rPr>
                      <w:sz w:val="21"/>
                    </w:rPr>
                    <w:t>2.适用范围：公共外环境</w:t>
                  </w:r>
                </w:p>
              </w:tc>
            </w:tr>
          </w:tbl>
        </w:tc>
      </w:tr>
      <w:tr>
        <w:tc>
          <w:tcPr>
            <w:tcW w:type="dxa" w:w="2076"/>
          </w:tcPr>
          <w:p/>
        </w:tc>
        <w:tc>
          <w:tcPr>
            <w:tcW w:type="dxa" w:w="415"/>
          </w:tcPr>
          <w:p>
            <w:r>
              <w:rPr/>
              <w:t>3</w:t>
            </w:r>
          </w:p>
        </w:tc>
        <w:tc>
          <w:tcPr>
            <w:tcW w:type="dxa" w:w="5814"/>
          </w:tcPr>
          <w:p>
            <w:pPr>
              <w:jc w:val="center"/>
            </w:pPr>
            <w:r>
              <w:rPr>
                <w:b/>
                <w:sz w:val="21"/>
              </w:rPr>
              <w:t>三、</w:t>
            </w:r>
            <w:r>
              <w:rPr>
                <w:b/>
                <w:sz w:val="21"/>
              </w:rPr>
              <w:t>大良街道公共环境除</w:t>
            </w:r>
            <w:r>
              <w:rPr>
                <w:b/>
                <w:sz w:val="21"/>
              </w:rPr>
              <w:t>“四害”管理服务项目（C标段）</w:t>
            </w:r>
            <w:r>
              <w:rPr>
                <w:b/>
                <w:sz w:val="21"/>
              </w:rPr>
              <w:t>服务</w:t>
            </w:r>
            <w:r>
              <w:rPr>
                <w:b/>
                <w:sz w:val="21"/>
              </w:rPr>
              <w:t>要求</w:t>
            </w:r>
          </w:p>
          <w:p>
            <w:pPr>
              <w:ind w:firstLine="420"/>
            </w:pPr>
            <w:r>
              <w:rPr>
                <w:sz w:val="21"/>
              </w:rPr>
              <w:t>1、人员要求</w:t>
            </w:r>
          </w:p>
          <w:p>
            <w:pPr>
              <w:ind w:firstLine="420"/>
            </w:pPr>
            <w:r>
              <w:rPr>
                <w:sz w:val="21"/>
              </w:rPr>
              <w:t>（</w:t>
            </w:r>
            <w:r>
              <w:rPr>
                <w:sz w:val="21"/>
              </w:rPr>
              <w:t>1）中标供应商必须按招标文件要求聘请足额工作人员专用于本项目，具有完全民事行为能力及身体健全。专业技术人员必须持证上岗。</w:t>
            </w:r>
          </w:p>
          <w:p>
            <w:pPr>
              <w:ind w:firstLine="420"/>
            </w:pPr>
            <w:r>
              <w:rPr>
                <w:sz w:val="21"/>
              </w:rPr>
              <w:t>（</w:t>
            </w:r>
            <w:r>
              <w:rPr>
                <w:sz w:val="21"/>
              </w:rPr>
              <w:t>2）工作人员上岗前须经过培训，熟悉设施设备的使用方法技巧。</w:t>
            </w:r>
          </w:p>
          <w:p>
            <w:pPr>
              <w:ind w:firstLine="420"/>
            </w:pPr>
            <w:r>
              <w:rPr>
                <w:sz w:val="21"/>
              </w:rPr>
              <w:t>（</w:t>
            </w:r>
            <w:r>
              <w:rPr>
                <w:sz w:val="21"/>
              </w:rPr>
              <w:t>3）中标供应商需优先聘用大良街道户籍人员</w:t>
            </w:r>
            <w:r>
              <w:rPr>
                <w:sz w:val="21"/>
              </w:rPr>
              <w:t>，同等条件下优先聘用大良街道工人。聘请的工作人员的年龄符合法定要求，且具有完全民事行为能力，身体健全。</w:t>
            </w:r>
          </w:p>
          <w:p>
            <w:pPr>
              <w:ind w:firstLine="420"/>
            </w:pPr>
            <w:r>
              <w:rPr>
                <w:sz w:val="21"/>
              </w:rPr>
              <w:t>（</w:t>
            </w:r>
            <w:r>
              <w:rPr>
                <w:sz w:val="21"/>
              </w:rPr>
              <w:t>4）为了保障员工人身安全及意外的福利保险，中标供应商必须依法用工与作业人员签订劳动合同，按顺德区社会劳动保险的有关规定为员工购买社会保险，按时发放工资补贴。</w:t>
            </w:r>
          </w:p>
          <w:p>
            <w:pPr>
              <w:ind w:firstLine="420"/>
            </w:pPr>
            <w:r>
              <w:rPr>
                <w:sz w:val="21"/>
              </w:rPr>
              <w:t>（</w:t>
            </w:r>
            <w:r>
              <w:rPr>
                <w:sz w:val="21"/>
              </w:rPr>
              <w:t>5）中标供应商必须执行国家劳动法的相关规定。</w:t>
            </w:r>
          </w:p>
          <w:p>
            <w:pPr>
              <w:ind w:firstLine="420"/>
            </w:pPr>
            <w:r>
              <w:rPr>
                <w:sz w:val="21"/>
              </w:rPr>
              <w:t>（</w:t>
            </w:r>
            <w:r>
              <w:rPr>
                <w:sz w:val="21"/>
              </w:rPr>
              <w:t>6）作业人员必须穿着按招标人统一审定的图案、色泽及格式制作的工作服（含雨衣），保持衣冠整洁。阴天或夜间作业必须穿着反光衣。</w:t>
            </w:r>
          </w:p>
          <w:p>
            <w:pPr>
              <w:ind w:firstLine="420"/>
            </w:pPr>
            <w:r>
              <w:rPr>
                <w:sz w:val="21"/>
              </w:rPr>
              <w:t>（</w:t>
            </w:r>
            <w:r>
              <w:rPr>
                <w:sz w:val="21"/>
              </w:rPr>
              <w:t>7）作业时间内，作业人员须遵纪守文明作业，不准参加自己管理区域外的工作，不得聚堆闲聊、瞌睡、执捡收集、挪用变卖垃圾废品及从事其它与作业无关的事项。</w:t>
            </w:r>
          </w:p>
          <w:p>
            <w:pPr>
              <w:ind w:firstLine="420"/>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ind w:firstLine="48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由此产生的损失。</w:t>
            </w:r>
          </w:p>
          <w:p>
            <w:pPr>
              <w:ind w:firstLine="420"/>
            </w:pPr>
            <w:r>
              <w:rPr>
                <w:sz w:val="21"/>
              </w:rPr>
              <w:t>2、车辆及设备要求</w:t>
            </w:r>
          </w:p>
          <w:p>
            <w:pPr>
              <w:ind w:firstLine="420"/>
            </w:pPr>
            <w:r>
              <w:rPr>
                <w:sz w:val="21"/>
              </w:rPr>
              <w:t>（</w:t>
            </w:r>
            <w:r>
              <w:rPr>
                <w:sz w:val="21"/>
              </w:rPr>
              <w:t>1）中标供应商必须按招标文件要求足额配足车辆及设备专用于本项目，并使用招标人统一审定的车身图案、色泽及设置格式。</w:t>
            </w:r>
          </w:p>
          <w:p>
            <w:pPr>
              <w:ind w:firstLine="420"/>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ind w:firstLine="420"/>
            </w:pPr>
            <w:r>
              <w:rPr>
                <w:sz w:val="21"/>
              </w:rPr>
              <w:t>（</w:t>
            </w:r>
            <w:r>
              <w:rPr>
                <w:sz w:val="21"/>
              </w:rPr>
              <w:t>3）作业车辆必须具备法定有效证照，并购置办理税款、交强险等法定手续，一车一档，由持有相应驾驶证照的驾驶员驾驶。</w:t>
            </w:r>
          </w:p>
          <w:p>
            <w:pPr>
              <w:ind w:firstLine="420"/>
            </w:pPr>
            <w:r>
              <w:rPr>
                <w:sz w:val="21"/>
              </w:rPr>
              <w:t>（</w:t>
            </w:r>
            <w:r>
              <w:rPr>
                <w:sz w:val="21"/>
              </w:rPr>
              <w:t>4）作业车辆及设备在使用过后必须按规定妥善停放于中标供应商停保场地内，不得随意停放于道路街道等公共区域阻碍通行。</w:t>
            </w:r>
          </w:p>
          <w:p>
            <w:pPr>
              <w:ind w:firstLine="420"/>
            </w:pPr>
            <w:r>
              <w:rPr>
                <w:sz w:val="21"/>
              </w:rPr>
              <w:t>（</w:t>
            </w:r>
            <w:r>
              <w:rPr>
                <w:sz w:val="21"/>
              </w:rPr>
              <w:t>5）作业车辆必须遵守交通法规行驶。除应急抢修处理需要，并经招标人及交警部门同意外，不得于交通高峰期（7：00至9：00，17：00至19：00）占道作业，影响交通通行。</w:t>
            </w:r>
          </w:p>
          <w:p>
            <w:pPr>
              <w:ind w:firstLine="420"/>
            </w:pPr>
            <w:r>
              <w:rPr>
                <w:sz w:val="21"/>
              </w:rPr>
              <w:t>（</w:t>
            </w:r>
            <w:r>
              <w:rPr>
                <w:sz w:val="21"/>
              </w:rPr>
              <w:t>6）小型货车必须配备GPS实时定位设备并接入招标人的监控系统，工作时间内必须开启。设备的投入和维护等相关费用由中标供应商承担。</w:t>
            </w:r>
          </w:p>
          <w:p>
            <w:pPr>
              <w:ind w:firstLine="420"/>
              <w:jc w:val="both"/>
            </w:pPr>
            <w:r>
              <w:rPr>
                <w:sz w:val="21"/>
              </w:rPr>
              <w:t>（</w:t>
            </w:r>
            <w:r>
              <w:rPr>
                <w:sz w:val="21"/>
              </w:rPr>
              <w:t>7）中标人须按招标文件要求足额配置设备及车辆专用于本项目，服务期内不得调往</w:t>
            </w:r>
            <w:r>
              <w:rPr>
                <w:sz w:val="21"/>
              </w:rPr>
              <w:t>他用，否则将被视作违约。</w:t>
            </w:r>
          </w:p>
          <w:p>
            <w:pPr>
              <w:ind w:firstLine="420"/>
            </w:pPr>
            <w:r>
              <w:rPr>
                <w:sz w:val="21"/>
              </w:rPr>
              <w:t>3、其他要求</w:t>
            </w:r>
          </w:p>
          <w:p>
            <w:pPr>
              <w:ind w:firstLine="420"/>
            </w:pPr>
            <w:r>
              <w:rPr>
                <w:sz w:val="21"/>
              </w:rPr>
              <w:t>（</w:t>
            </w:r>
            <w:r>
              <w:rPr>
                <w:sz w:val="21"/>
              </w:rPr>
              <w:t>1）科学用药，不得使用国家禁用或伪劣的灭鼠、杀虫剂，并需安全操作，灭鼠药物保管完善,不遗失，灭鼠毒饵靠边和隐蔽处投放；不污染环境，确保人、畜安全，若因管理操作引起的一切责任由中标供应商负责。</w:t>
            </w:r>
          </w:p>
          <w:p>
            <w:pPr>
              <w:ind w:firstLine="420"/>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ind w:firstLine="420"/>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ind w:firstLine="420"/>
            </w:pPr>
            <w:r>
              <w:rPr>
                <w:sz w:val="21"/>
              </w:rPr>
              <w:t>（</w:t>
            </w:r>
            <w:r>
              <w:rPr>
                <w:sz w:val="21"/>
              </w:rPr>
              <w:t>4）除虫施药注意个人防护，穿工作服，戴口罩和手套。</w:t>
            </w:r>
          </w:p>
          <w:p>
            <w:pPr>
              <w:ind w:firstLine="420"/>
            </w:pPr>
            <w:r>
              <w:rPr>
                <w:sz w:val="21"/>
              </w:rPr>
              <w:t>（</w:t>
            </w:r>
            <w:r>
              <w:rPr>
                <w:sz w:val="21"/>
              </w:rPr>
              <w:t>5）施药除虫剩余的药物和药物包装容器（材料），回收集中处理不随地遗弃。</w:t>
            </w:r>
          </w:p>
          <w:p>
            <w:pPr>
              <w:ind w:firstLine="420"/>
            </w:pPr>
            <w:r>
              <w:rPr>
                <w:sz w:val="21"/>
              </w:rPr>
              <w:t>（</w:t>
            </w:r>
            <w:r>
              <w:rPr>
                <w:sz w:val="21"/>
              </w:rPr>
              <w:t>6）不在鱼塘和与养鱼有关水体喷洒、倾倒对鱼类有害的杀虫剂和清洗喷雾工具、用具。</w:t>
            </w:r>
          </w:p>
          <w:p>
            <w:pPr>
              <w:ind w:firstLine="420"/>
            </w:pPr>
            <w:r>
              <w:rPr>
                <w:sz w:val="21"/>
              </w:rPr>
              <w:t>（</w:t>
            </w:r>
            <w:r>
              <w:rPr>
                <w:sz w:val="21"/>
              </w:rPr>
              <w:t>7）必须遵守招标人各项管理规定，接受和服从招标人管理人员的管理及考评，配合提供便利条件，及时根据招标人提出的整改意见进行整改。</w:t>
            </w:r>
          </w:p>
          <w:p>
            <w:pPr>
              <w:ind w:firstLine="420"/>
            </w:pPr>
            <w:r>
              <w:rPr>
                <w:sz w:val="21"/>
              </w:rPr>
              <w:t>（</w:t>
            </w:r>
            <w:r>
              <w:rPr>
                <w:sz w:val="21"/>
              </w:rPr>
              <w:t>8）配合招标人按招标文件规定接管新增工作任务，不得有异议。</w:t>
            </w:r>
          </w:p>
          <w:p>
            <w:pPr>
              <w:ind w:firstLine="420"/>
            </w:pPr>
            <w:r>
              <w:rPr>
                <w:sz w:val="21"/>
              </w:rPr>
              <w:t>（</w:t>
            </w:r>
            <w:r>
              <w:rPr>
                <w:sz w:val="21"/>
              </w:rPr>
              <w:t>9）积极配合招标人作好国家、省、市、区及街道各级政府部门组织的考评、检查及验收等活动的迎接工作。</w:t>
            </w:r>
          </w:p>
          <w:p>
            <w:pPr>
              <w:ind w:firstLine="420"/>
            </w:pPr>
            <w:r>
              <w:rPr>
                <w:sz w:val="21"/>
              </w:rPr>
              <w:t>（</w:t>
            </w:r>
            <w:r>
              <w:rPr>
                <w:sz w:val="21"/>
              </w:rPr>
              <w:t xml:space="preserve">10）按招标人要求及时提交作业计划、应急预案等资料，确保所提供的资料真实合理。    </w:t>
            </w:r>
          </w:p>
          <w:p>
            <w:pPr>
              <w:ind w:firstLine="420"/>
            </w:pPr>
            <w:r>
              <w:rPr>
                <w:sz w:val="21"/>
              </w:rPr>
              <w:t>（</w:t>
            </w:r>
            <w:r>
              <w:rPr>
                <w:sz w:val="21"/>
              </w:rPr>
              <w:t>11）无条件配合政府及有关部门举办的一切活动，协助政府及有关部门处理应急事件。</w:t>
            </w:r>
          </w:p>
          <w:p>
            <w:pPr>
              <w:ind w:firstLine="420"/>
            </w:pPr>
            <w:r>
              <w:rPr>
                <w:sz w:val="21"/>
              </w:rPr>
              <w:t>（</w:t>
            </w:r>
            <w:r>
              <w:rPr>
                <w:sz w:val="21"/>
              </w:rPr>
              <w:t>12）中标供应商必须及时制止影响项目管理质量的行为，并及时向招标人汇报情况及提供现场记录（相片、报告），超过24小时不报，则由中标供应商负责按原貌恢复。</w:t>
            </w:r>
          </w:p>
          <w:p>
            <w:pPr>
              <w:ind w:firstLine="420"/>
            </w:pPr>
            <w:r>
              <w:rPr>
                <w:sz w:val="21"/>
              </w:rPr>
              <w:t>（</w:t>
            </w:r>
            <w:r>
              <w:rPr>
                <w:sz w:val="21"/>
              </w:rPr>
              <w:t>13）中标供应商对聘用员工必须严格管理，对他们的行为负全责，如在服务期内发生劳资纠纷、 意外（生病、伤亡事故）或违反合同规定、触犯国家法律等，由中标供应商承担全部责任及因事故产生的一切费用。</w:t>
            </w:r>
          </w:p>
          <w:p>
            <w:pPr>
              <w:ind w:firstLine="420"/>
            </w:pPr>
            <w:r>
              <w:rPr>
                <w:sz w:val="21"/>
              </w:rPr>
              <w:t>（</w:t>
            </w:r>
            <w:r>
              <w:rPr>
                <w:sz w:val="21"/>
              </w:rPr>
              <w:t>14）标段辖区每居委定点必须设诱蚊产卵器60个，每月监测一次，记录在案。</w:t>
            </w:r>
          </w:p>
          <w:p>
            <w:pPr>
              <w:ind w:firstLine="420"/>
            </w:pPr>
            <w:r>
              <w:rPr>
                <w:sz w:val="21"/>
              </w:rPr>
              <w:t>（</w:t>
            </w:r>
            <w:r>
              <w:rPr>
                <w:sz w:val="21"/>
              </w:rPr>
              <w:t>15）及时向中标供应商及相关部门反映异常情况。</w:t>
            </w:r>
          </w:p>
          <w:p>
            <w:pPr>
              <w:ind w:firstLine="420"/>
            </w:pPr>
            <w:r>
              <w:rPr>
                <w:sz w:val="21"/>
              </w:rPr>
              <w:t>（</w:t>
            </w:r>
            <w:r>
              <w:rPr>
                <w:sz w:val="21"/>
              </w:rPr>
              <w:t>16）中标供应商必须按招标文件做好日常管理工作，避免群众通过来信、来电、来访等方式投诉。</w:t>
            </w:r>
          </w:p>
          <w:p>
            <w:pPr>
              <w:ind w:firstLine="420"/>
            </w:pPr>
            <w:r>
              <w:rPr>
                <w:sz w:val="21"/>
              </w:rPr>
              <w:t>（</w:t>
            </w:r>
            <w:r>
              <w:rPr>
                <w:sz w:val="21"/>
              </w:rPr>
              <w:t>17）中标供应商直接或间接收到群众通过来信、来电、来访等方式投诉的，必须及时妥善处理整改，避免反复投诉。</w:t>
            </w:r>
          </w:p>
          <w:p>
            <w:pPr>
              <w:ind w:firstLine="420"/>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ind w:firstLine="420"/>
            </w:pPr>
            <w:r>
              <w:rPr>
                <w:sz w:val="21"/>
              </w:rPr>
              <w:t>（</w:t>
            </w:r>
            <w:r>
              <w:rPr>
                <w:sz w:val="21"/>
              </w:rPr>
              <w:t>19）中标供应商应做好服务人员档案管理资料；做好工作记录，建立施药服务卡，做好资料收集，整理归档。如招标人有需要必须随时提供。</w:t>
            </w:r>
          </w:p>
          <w:p>
            <w:pPr>
              <w:ind w:firstLine="420"/>
            </w:pPr>
            <w:r>
              <w:rPr>
                <w:sz w:val="21"/>
              </w:rPr>
              <w:t>（</w:t>
            </w:r>
            <w:r>
              <w:rPr>
                <w:sz w:val="21"/>
              </w:rPr>
              <w:t>20）在服务期内，招标人没有增加服务内容、项目，而中标供应商自行增加工作人员的，所增加的费用由中标供应商负责。</w:t>
            </w:r>
          </w:p>
          <w:p>
            <w:pPr>
              <w:ind w:firstLine="480"/>
              <w:jc w:val="both"/>
            </w:pPr>
            <w:r>
              <w:rPr>
                <w:sz w:val="21"/>
              </w:rPr>
              <w:t>（</w:t>
            </w:r>
            <w:r>
              <w:rPr>
                <w:sz w:val="21"/>
              </w:rPr>
              <w:t>21）中标供应商除设立足够的作业人员外，还要指派 1 名能代表中标供应商履行管理及在检查考评中能承担责任的人员配合招标人、居（村）及监督员的检查考评，以方便日常检查及监督。中标供应商指派代表应确保手机通信畅通。</w:t>
            </w:r>
          </w:p>
          <w:p>
            <w:pPr>
              <w:jc w:val="both"/>
            </w:pPr>
            <w:r>
              <w:rPr>
                <w:sz w:val="21"/>
              </w:rPr>
              <w:t>（</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r>
              <w:rPr/>
              <w:t>4</w:t>
            </w:r>
          </w:p>
        </w:tc>
        <w:tc>
          <w:tcPr>
            <w:tcW w:type="dxa" w:w="5814"/>
          </w:tcPr>
          <w:p>
            <w:r>
              <w:rPr>
                <w:b/>
                <w:sz w:val="21"/>
              </w:rPr>
              <w:t>四、</w:t>
            </w:r>
            <w:r>
              <w:rPr>
                <w:b/>
                <w:sz w:val="21"/>
              </w:rPr>
              <w:t>大良街道公共环境除</w:t>
            </w:r>
            <w:r>
              <w:rPr>
                <w:b/>
                <w:sz w:val="21"/>
              </w:rPr>
              <w:t>“四害”管理服务项目（C标段）</w:t>
            </w:r>
            <w:r>
              <w:rPr>
                <w:b/>
                <w:sz w:val="21"/>
              </w:rPr>
              <w:t>服务标准及操作规范</w:t>
            </w:r>
          </w:p>
          <w:p>
            <w:pPr>
              <w:ind w:firstLine="422"/>
            </w:pPr>
            <w:r>
              <w:rPr>
                <w:b/>
                <w:sz w:val="21"/>
              </w:rPr>
              <w:t>1、服务基本标准</w:t>
            </w:r>
          </w:p>
          <w:p>
            <w:pPr>
              <w:ind w:firstLine="420"/>
            </w:pPr>
            <w:r>
              <w:rPr>
                <w:sz w:val="21"/>
              </w:rPr>
              <w:t>监测标准：《</w:t>
            </w:r>
            <w:r>
              <w:rPr>
                <w:sz w:val="21"/>
              </w:rPr>
              <w:t>&lt;中华人民共和</w:t>
            </w:r>
            <w:r>
              <w:rPr>
                <w:sz w:val="21"/>
              </w:rPr>
              <w:t>国国家标准（</w:t>
            </w:r>
            <w:r>
              <w:rPr>
                <w:sz w:val="21"/>
              </w:rPr>
              <w:t>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p>
            <w:pPr>
              <w:ind w:firstLine="420"/>
            </w:pPr>
            <w:r>
              <w:rPr>
                <w:sz w:val="21"/>
              </w:rPr>
              <w:t>控制水平标准：《中华人民共和国国家标准（</w:t>
            </w:r>
            <w:r>
              <w:rPr>
                <w:sz w:val="21"/>
              </w:rPr>
              <w:t>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tbl>
            <w:tblPr>
              <w:tblBorders>
                <w:top w:val="none" w:color="000000" w:sz="4"/>
                <w:left w:val="none" w:color="000000" w:sz="4"/>
                <w:bottom w:val="none" w:color="000000" w:sz="4"/>
                <w:right w:val="none" w:color="000000" w:sz="4"/>
                <w:insideH w:val="none"/>
                <w:insideV w:val="none"/>
              </w:tblBorders>
            </w:tblPr>
            <w:tblGrid>
              <w:gridCol w:w="908"/>
              <w:gridCol w:w="4690"/>
            </w:tblGrid>
            <w:tr>
              <w:tc>
                <w:tcPr>
                  <w:tcW w:type="dxa" w:w="908"/>
                  <w:tcBorders>
                    <w:top w:val="single" w:color="000000" w:sz="4"/>
                    <w:left w:val="single" w:color="000000" w:sz="4"/>
                    <w:bottom w:val="single" w:color="000000" w:sz="4"/>
                    <w:right w:val="single" w:color="000000" w:sz="4"/>
                  </w:tcBorders>
                  <w:vAlign w:val="top"/>
                </w:tcPr>
                <w:p>
                  <w:pPr>
                    <w:jc w:val="both"/>
                  </w:pPr>
                  <w:r>
                    <w:rPr>
                      <w:sz w:val="21"/>
                    </w:rPr>
                    <w:t>灭鼠标准</w:t>
                  </w:r>
                </w:p>
              </w:tc>
              <w:tc>
                <w:tcPr>
                  <w:tcW w:type="dxa" w:w="4690"/>
                  <w:tcBorders>
                    <w:top w:val="single" w:color="000000" w:sz="4"/>
                    <w:left w:val="none" w:color="000000" w:sz="4"/>
                    <w:bottom w:val="single" w:color="000000" w:sz="4"/>
                    <w:right w:val="single" w:color="000000" w:sz="4"/>
                  </w:tcBorders>
                  <w:vAlign w:val="top"/>
                </w:tcPr>
                <w:p>
                  <w:pPr>
                    <w:jc w:val="both"/>
                  </w:pPr>
                  <w:r>
                    <w:rPr>
                      <w:sz w:val="21"/>
                    </w:rPr>
                    <w:t>1、15平方米标准房间布放20×20厘米滑石粉块两块，一夜后阳性块不超过3%；有鼠洞、鼠粪、鼠咬痕等鼠迹的房间不超过2%；重点单位防鼠设施不合格处不超过5%。</w:t>
                  </w:r>
                </w:p>
                <w:p>
                  <w:pPr>
                    <w:jc w:val="both"/>
                  </w:pPr>
                  <w:r>
                    <w:rPr>
                      <w:sz w:val="21"/>
                    </w:rPr>
                    <w:t>2、不同类型的外环境累计2000米，鼠迹不超过5处。</w:t>
                  </w:r>
                </w:p>
              </w:tc>
            </w:tr>
            <w:tr>
              <w:tc>
                <w:tcPr>
                  <w:tcW w:type="dxa" w:w="908"/>
                  <w:tcBorders>
                    <w:top w:val="none" w:color="000000" w:sz="4"/>
                    <w:left w:val="single" w:color="000000" w:sz="4"/>
                    <w:bottom w:val="single" w:color="000000" w:sz="4"/>
                    <w:right w:val="single" w:color="000000" w:sz="4"/>
                  </w:tcBorders>
                  <w:vAlign w:val="top"/>
                </w:tcPr>
                <w:p>
                  <w:pPr>
                    <w:jc w:val="both"/>
                  </w:pPr>
                  <w:r>
                    <w:rPr>
                      <w:sz w:val="21"/>
                    </w:rPr>
                    <w:t>灭蚊标准</w:t>
                  </w:r>
                </w:p>
              </w:tc>
              <w:tc>
                <w:tcPr>
                  <w:tcW w:type="dxa" w:w="4690"/>
                  <w:tcBorders>
                    <w:top w:val="none" w:color="000000" w:sz="4"/>
                    <w:left w:val="none" w:color="000000" w:sz="4"/>
                    <w:bottom w:val="single" w:color="000000" w:sz="4"/>
                    <w:right w:val="single" w:color="000000" w:sz="4"/>
                  </w:tcBorders>
                  <w:vAlign w:val="top"/>
                </w:tcPr>
                <w:p>
                  <w:pPr>
                    <w:jc w:val="both"/>
                  </w:pPr>
                  <w:r>
                    <w:rPr>
                      <w:sz w:val="21"/>
                    </w:rPr>
                    <w:t>1、居民住宅、单位内外环境各种存水容器和积水中，蚊幼及蛹的阳性率不超过3%。</w:t>
                  </w:r>
                </w:p>
                <w:p>
                  <w:pPr>
                    <w:jc w:val="both"/>
                  </w:pPr>
                  <w:r>
                    <w:rPr>
                      <w:sz w:val="21"/>
                    </w:rPr>
                    <w:t>2、用500ml收集勺采集城区内大中型水体中的蚊幼或蛹阳性率不超过3%，阳性勺内幼虫或蛹的平均数不超过5只。</w:t>
                  </w:r>
                </w:p>
                <w:p>
                  <w:pPr>
                    <w:jc w:val="both"/>
                  </w:pPr>
                  <w:r>
                    <w:rPr>
                      <w:sz w:val="21"/>
                    </w:rPr>
                    <w:t>3、特殊场所白天人诱蚊30分钟，平均每人次诱获成蚊数不超过1只。</w:t>
                  </w:r>
                </w:p>
              </w:tc>
            </w:tr>
            <w:tr>
              <w:tc>
                <w:tcPr>
                  <w:tcW w:type="dxa" w:w="908"/>
                  <w:tcBorders>
                    <w:top w:val="none" w:color="000000" w:sz="4"/>
                    <w:left w:val="single" w:color="000000" w:sz="4"/>
                    <w:bottom w:val="single" w:color="000000" w:sz="4"/>
                    <w:right w:val="single" w:color="000000" w:sz="4"/>
                  </w:tcBorders>
                  <w:vAlign w:val="top"/>
                </w:tcPr>
                <w:p>
                  <w:pPr>
                    <w:jc w:val="both"/>
                  </w:pPr>
                  <w:r>
                    <w:rPr>
                      <w:sz w:val="21"/>
                    </w:rPr>
                    <w:t>灭蟑螂标准</w:t>
                  </w:r>
                </w:p>
              </w:tc>
              <w:tc>
                <w:tcPr>
                  <w:tcW w:type="dxa" w:w="4690"/>
                  <w:tcBorders>
                    <w:top w:val="none" w:color="000000" w:sz="4"/>
                    <w:left w:val="none" w:color="000000" w:sz="4"/>
                    <w:bottom w:val="single" w:color="000000" w:sz="4"/>
                    <w:right w:val="single" w:color="000000" w:sz="4"/>
                  </w:tcBorders>
                  <w:vAlign w:val="top"/>
                </w:tcPr>
                <w:p>
                  <w:pPr>
                    <w:jc w:val="both"/>
                  </w:pPr>
                  <w:r>
                    <w:rPr>
                      <w:sz w:val="21"/>
                    </w:rPr>
                    <w:t>1、室内有蟑螂成虫或若虫阳性房间不超过3%，平均每间房大蠊不超过5只，小蠊不超过10只。</w:t>
                  </w:r>
                </w:p>
                <w:p>
                  <w:pPr>
                    <w:jc w:val="both"/>
                  </w:pPr>
                  <w:r>
                    <w:rPr>
                      <w:sz w:val="21"/>
                    </w:rPr>
                    <w:t>2、有活蟑螂卵鞘房间不超过2%，平均每间房不超过4只。</w:t>
                  </w:r>
                </w:p>
                <w:p>
                  <w:pPr>
                    <w:jc w:val="both"/>
                  </w:pPr>
                  <w:r>
                    <w:rPr>
                      <w:sz w:val="21"/>
                    </w:rPr>
                    <w:t>3、有蟑螂粪便、蜕皮等蟑迹的房间不过5%。</w:t>
                  </w:r>
                </w:p>
              </w:tc>
            </w:tr>
            <w:tr>
              <w:tc>
                <w:tcPr>
                  <w:tcW w:type="dxa" w:w="908"/>
                  <w:tcBorders>
                    <w:top w:val="none" w:color="000000" w:sz="4"/>
                    <w:left w:val="single" w:color="000000" w:sz="4"/>
                    <w:bottom w:val="single" w:color="000000" w:sz="4"/>
                    <w:right w:val="single" w:color="000000" w:sz="4"/>
                  </w:tcBorders>
                  <w:vAlign w:val="top"/>
                </w:tcPr>
                <w:p>
                  <w:pPr>
                    <w:jc w:val="both"/>
                  </w:pPr>
                  <w:r>
                    <w:rPr>
                      <w:sz w:val="21"/>
                    </w:rPr>
                    <w:t>灭蝇标准</w:t>
                  </w:r>
                </w:p>
              </w:tc>
              <w:tc>
                <w:tcPr>
                  <w:tcW w:type="dxa" w:w="4690"/>
                  <w:tcBorders>
                    <w:top w:val="none" w:color="000000" w:sz="4"/>
                    <w:left w:val="none" w:color="000000" w:sz="4"/>
                    <w:bottom w:val="single" w:color="000000" w:sz="4"/>
                    <w:right w:val="single" w:color="000000" w:sz="4"/>
                  </w:tcBorders>
                  <w:vAlign w:val="top"/>
                </w:tcPr>
                <w:p>
                  <w:pPr>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jc w:val="both"/>
                  </w:pPr>
                  <w:r>
                    <w:rPr>
                      <w:sz w:val="21"/>
                    </w:rPr>
                    <w:t>2、蝇类孳生地得到有效治理，幼虫和蛹的检出率不超过3</w:t>
                  </w:r>
                  <w:r>
                    <w:rPr>
                      <w:sz w:val="21"/>
                    </w:rPr>
                    <w:t>%</w:t>
                  </w:r>
                  <w:r>
                    <w:rPr>
                      <w:sz w:val="21"/>
                    </w:rPr>
                    <w:t>。</w:t>
                  </w:r>
                </w:p>
              </w:tc>
            </w:tr>
          </w:tbl>
          <w:p/>
          <w:p>
            <w:r>
              <w:rPr>
                <w:b/>
                <w:sz w:val="21"/>
              </w:rPr>
              <w:t>2、</w:t>
            </w:r>
            <w:r>
              <w:rPr>
                <w:b/>
                <w:sz w:val="21"/>
              </w:rPr>
              <w:t>操作规范</w:t>
            </w:r>
            <w:r>
              <w:rPr>
                <w:b/>
              </w:rPr>
              <w:t xml:space="preserve"> </w:t>
            </w:r>
          </w:p>
          <w:tbl>
            <w:tblPr>
              <w:tblBorders>
                <w:top w:val="none" w:color="000000" w:sz="4"/>
                <w:left w:val="none" w:color="000000" w:sz="4"/>
                <w:bottom w:val="none" w:color="000000" w:sz="4"/>
                <w:right w:val="none" w:color="000000" w:sz="4"/>
                <w:insideH w:val="none"/>
                <w:insideV w:val="none"/>
              </w:tblBorders>
            </w:tblPr>
            <w:tblGrid>
              <w:gridCol w:w="629"/>
              <w:gridCol w:w="4009"/>
              <w:gridCol w:w="961"/>
            </w:tblGrid>
            <w:tr>
              <w:tc>
                <w:tcPr>
                  <w:tcW w:type="dxa" w:w="629"/>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4009"/>
                  <w:tcBorders>
                    <w:top w:val="single" w:color="000000" w:sz="4"/>
                    <w:left w:val="none" w:color="000000" w:sz="4"/>
                    <w:bottom w:val="single" w:color="000000" w:sz="4"/>
                    <w:right w:val="single" w:color="000000" w:sz="4"/>
                  </w:tcBorders>
                  <w:vAlign w:val="top"/>
                </w:tcPr>
                <w:p>
                  <w:pPr>
                    <w:jc w:val="center"/>
                  </w:pPr>
                  <w:r>
                    <w:rPr>
                      <w:sz w:val="21"/>
                    </w:rPr>
                    <w:t>工作内容</w:t>
                  </w:r>
                </w:p>
              </w:tc>
              <w:tc>
                <w:tcPr>
                  <w:tcW w:type="dxa" w:w="961"/>
                  <w:tcBorders>
                    <w:top w:val="single" w:color="000000" w:sz="4"/>
                    <w:left w:val="none" w:color="000000" w:sz="4"/>
                    <w:bottom w:val="single" w:color="000000" w:sz="4"/>
                    <w:right w:val="single" w:color="000000" w:sz="4"/>
                  </w:tcBorders>
                  <w:vAlign w:val="top"/>
                </w:tcPr>
                <w:p>
                  <w:pPr>
                    <w:jc w:val="center"/>
                  </w:pPr>
                  <w:r>
                    <w:rPr>
                      <w:sz w:val="21"/>
                    </w:rPr>
                    <w:t>标</w:t>
                  </w:r>
                  <w:r>
                    <w:rPr>
                      <w:sz w:val="21"/>
                    </w:rPr>
                    <w:t xml:space="preserve">  </w:t>
                  </w:r>
                  <w:r>
                    <w:rPr>
                      <w:sz w:val="21"/>
                    </w:rPr>
                    <w:t>准</w:t>
                  </w:r>
                </w:p>
              </w:tc>
            </w:tr>
            <w:tr>
              <w:tc>
                <w:tcPr>
                  <w:tcW w:type="dxa" w:w="629"/>
                  <w:vMerge w:val="restart"/>
                  <w:tcBorders>
                    <w:top w:val="none" w:color="000000" w:sz="4"/>
                    <w:left w:val="single" w:color="000000" w:sz="4"/>
                    <w:bottom w:val="none" w:color="000000" w:sz="4"/>
                    <w:right w:val="single" w:color="000000" w:sz="4"/>
                  </w:tcBorders>
                  <w:vAlign w:val="top"/>
                </w:tcPr>
                <w:p>
                  <w:pPr>
                    <w:jc w:val="center"/>
                  </w:pPr>
                  <w:r>
                    <w:rPr>
                      <w:sz w:val="21"/>
                    </w:rPr>
                    <w:t>灭鼠</w:t>
                  </w:r>
                </w:p>
              </w:tc>
              <w:tc>
                <w:tcPr>
                  <w:tcW w:type="dxa" w:w="4009"/>
                  <w:tcBorders>
                    <w:top w:val="none" w:color="000000" w:sz="4"/>
                    <w:left w:val="none" w:color="000000" w:sz="4"/>
                    <w:bottom w:val="single" w:color="000000" w:sz="4"/>
                    <w:right w:val="single" w:color="000000" w:sz="4"/>
                  </w:tcBorders>
                  <w:vAlign w:val="top"/>
                </w:tcPr>
                <w:p>
                  <w:pPr>
                    <w:jc w:val="both"/>
                  </w:pPr>
                  <w:r>
                    <w:rPr>
                      <w:sz w:val="21"/>
                    </w:rPr>
                    <w:t>1、对项目服务范围内公共环境和扩大覆盖面范围进行饱和投放灭鼠药。</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2、定期对项目服务范围内的鼠迹进行检查，发现鼠迹立即清理并及时按常规投放和补充毒饵。</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3、定期对项目服务范围内的鼠情进行监测，按常规投药和补投药。</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4、对项目服务范围内主要重点单位如</w:t>
                  </w:r>
                  <w:r>
                    <w:rPr>
                      <w:sz w:val="21"/>
                    </w:rPr>
                    <w:t>农贸</w:t>
                  </w:r>
                  <w:r>
                    <w:rPr>
                      <w:sz w:val="21"/>
                    </w:rPr>
                    <w:t>市场、学校等外环境定期进行</w:t>
                  </w:r>
                  <w:r>
                    <w:rPr>
                      <w:sz w:val="21"/>
                    </w:rPr>
                    <w:t>目测法密度检测</w:t>
                  </w:r>
                  <w:r>
                    <w:rPr>
                      <w:sz w:val="21"/>
                    </w:rPr>
                    <w:t>鼠情调研。</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61"/>
                  <w:tcBorders>
                    <w:top w:val="none" w:color="000000" w:sz="4"/>
                    <w:left w:val="none" w:color="000000" w:sz="4"/>
                    <w:bottom w:val="single" w:color="000000" w:sz="4"/>
                    <w:right w:val="single" w:color="000000" w:sz="4"/>
                  </w:tcBorders>
                  <w:vAlign w:val="top"/>
                </w:tcPr>
                <w:p>
                  <w:pPr>
                    <w:jc w:val="center"/>
                  </w:pPr>
                  <w:r>
                    <w:rPr>
                      <w:sz w:val="21"/>
                    </w:rPr>
                    <w:t>原则上平均每居（村）</w:t>
                  </w:r>
                  <w:r>
                    <w:rPr>
                      <w:sz w:val="21"/>
                    </w:rPr>
                    <w:t>600个</w:t>
                  </w:r>
                </w:p>
                <w:p>
                  <w:pPr>
                    <w:jc w:val="center"/>
                  </w:pPr>
                  <w:r>
                    <w:rPr>
                      <w:sz w:val="21"/>
                    </w:rPr>
                    <w:t>（视实际情况调剂）</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6、每季度按国家考核标准对鼠密度进行监测。</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29"/>
                  <w:vMerge w:val="restart"/>
                  <w:tcBorders>
                    <w:top w:val="none" w:color="000000" w:sz="4"/>
                    <w:left w:val="single" w:color="000000" w:sz="4"/>
                    <w:bottom w:val="none" w:color="000000" w:sz="4"/>
                    <w:right w:val="single" w:color="000000" w:sz="4"/>
                  </w:tcBorders>
                  <w:vAlign w:val="top"/>
                </w:tcPr>
                <w:p>
                  <w:pPr>
                    <w:jc w:val="center"/>
                  </w:pPr>
                  <w:r>
                    <w:rPr>
                      <w:sz w:val="21"/>
                    </w:rPr>
                    <w:t>灭蚊</w:t>
                  </w:r>
                </w:p>
              </w:tc>
              <w:tc>
                <w:tcPr>
                  <w:tcW w:type="dxa" w:w="4009"/>
                  <w:tcBorders>
                    <w:top w:val="none" w:color="000000" w:sz="4"/>
                    <w:left w:val="none" w:color="000000" w:sz="4"/>
                    <w:bottom w:val="single" w:color="000000" w:sz="4"/>
                    <w:right w:val="single" w:color="000000" w:sz="4"/>
                  </w:tcBorders>
                  <w:vAlign w:val="top"/>
                </w:tcPr>
                <w:p>
                  <w:pPr>
                    <w:jc w:val="both"/>
                  </w:pPr>
                  <w:r>
                    <w:rPr>
                      <w:sz w:val="21"/>
                    </w:rPr>
                    <w:t>1、定期对项目服务范围内大、中型水体进行检查，发现幼虫孳生立即施药。</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每周</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w:t>
                  </w:r>
                  <w:r>
                    <w:rPr>
                      <w:sz w:val="21"/>
                    </w:rPr>
                    <w:t>月更换</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3、定期对项目服务范围内进行积水清理，确保控制蚊虫孳生。</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每周</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4、定期对项目服务范围内下水道进行热烟雾处理烟熏灭蚊。</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5、</w:t>
                  </w:r>
                  <w:r>
                    <w:rPr>
                      <w:sz w:val="21"/>
                    </w:rPr>
                    <w:t>居民住宅区、学校、幼儿园、农贸市场、闲置地、公园绿地、垃圾收集点、市政公厕、公寓楼梯间等特殊场所外环境，每半月全面查治孳生地一次，并作空间喷洒灭成蚊，视成蚊密度情况增加频次</w:t>
                  </w:r>
                  <w:r>
                    <w:rPr>
                      <w:sz w:val="21"/>
                    </w:rPr>
                    <w:t>。</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6、定期对项目服务范围内场所进行孳生地全面查治。</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7、居民住宅区及公共环境各放2盏蚊灯，每月每村居布放诱蚊诱卵器60个，每月进行监测，及时掌握蚊虫密度，向采购人提供监测数据和技术支持。</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8、每季度按国家考核标准对蚊密度进行监测。</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29"/>
                  <w:vMerge w:val="restart"/>
                  <w:tcBorders>
                    <w:top w:val="none" w:color="000000" w:sz="4"/>
                    <w:left w:val="single" w:color="000000" w:sz="4"/>
                    <w:bottom w:val="single" w:color="000000" w:sz="4"/>
                    <w:right w:val="single" w:color="000000" w:sz="4"/>
                  </w:tcBorders>
                  <w:vAlign w:val="top"/>
                </w:tcPr>
                <w:p>
                  <w:pPr>
                    <w:jc w:val="center"/>
                  </w:pPr>
                  <w:r>
                    <w:rPr>
                      <w:sz w:val="21"/>
                    </w:rPr>
                    <w:t>灭蝇</w:t>
                  </w:r>
                </w:p>
              </w:tc>
              <w:tc>
                <w:tcPr>
                  <w:tcW w:type="dxa" w:w="4009"/>
                  <w:tcBorders>
                    <w:top w:val="none" w:color="000000" w:sz="4"/>
                    <w:left w:val="none" w:color="000000" w:sz="4"/>
                    <w:bottom w:val="single" w:color="000000" w:sz="4"/>
                    <w:right w:val="single" w:color="000000" w:sz="4"/>
                  </w:tcBorders>
                  <w:vAlign w:val="top"/>
                </w:tcPr>
                <w:p>
                  <w:pPr>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w:t>
                  </w:r>
                  <w:r>
                    <w:rPr>
                      <w:sz w:val="21"/>
                    </w:rPr>
                    <w:t>周</w:t>
                  </w:r>
                  <w:r>
                    <w:rPr>
                      <w:sz w:val="21"/>
                    </w:rPr>
                    <w:t>1次</w:t>
                  </w:r>
                </w:p>
              </w:tc>
            </w:tr>
            <w:tr>
              <w:tc>
                <w:tcPr>
                  <w:tcW w:type="dxa" w:w="629"/>
                  <w:vMerge/>
                  <w:tcBorders>
                    <w:top w:val="none" w:color="000000" w:sz="4"/>
                    <w:left w:val="single" w:color="000000" w:sz="4"/>
                    <w:bottom w:val="singl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2、定期对项目服务范围内场所进行滞留喷洒灭成蝇。</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singl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3、定期对项目服务范围内主要重点单位如</w:t>
                  </w:r>
                  <w:r>
                    <w:rPr>
                      <w:sz w:val="21"/>
                    </w:rPr>
                    <w:t>农贸市场</w:t>
                  </w:r>
                  <w:r>
                    <w:rPr>
                      <w:sz w:val="21"/>
                    </w:rPr>
                    <w:t>、学校等外环境孳生地进行检查。</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singl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bottom"/>
                </w:tcPr>
                <w:p>
                  <w:pPr>
                    <w:jc w:val="both"/>
                  </w:pPr>
                  <w:r>
                    <w:rPr>
                      <w:sz w:val="21"/>
                    </w:rPr>
                    <w:t>4、定期对项目服务范围内居民住户孳生地进行检查处理。</w:t>
                  </w:r>
                </w:p>
              </w:tc>
              <w:tc>
                <w:tcPr>
                  <w:tcW w:type="dxa" w:w="961"/>
                  <w:tcBorders>
                    <w:top w:val="none" w:color="000000" w:sz="4"/>
                    <w:left w:val="none" w:color="000000" w:sz="4"/>
                    <w:bottom w:val="single" w:color="000000" w:sz="4"/>
                    <w:right w:val="single" w:color="000000" w:sz="4"/>
                  </w:tcBorders>
                  <w:vAlign w:val="bottom"/>
                </w:tcPr>
                <w:p>
                  <w:pPr>
                    <w:jc w:val="center"/>
                  </w:pPr>
                  <w:r>
                    <w:rPr>
                      <w:sz w:val="21"/>
                    </w:rPr>
                    <w:t>每季</w:t>
                  </w:r>
                  <w:r>
                    <w:rPr>
                      <w:sz w:val="21"/>
                    </w:rPr>
                    <w:t>1次</w:t>
                  </w:r>
                </w:p>
              </w:tc>
            </w:tr>
            <w:tr>
              <w:tc>
                <w:tcPr>
                  <w:tcW w:type="dxa" w:w="629"/>
                  <w:vMerge/>
                  <w:tcBorders>
                    <w:top w:val="none" w:color="000000" w:sz="4"/>
                    <w:left w:val="single" w:color="000000" w:sz="4"/>
                    <w:bottom w:val="singl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5、每季度按国家考核标准对成蝇密度进行监测。</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每季</w:t>
                  </w:r>
                  <w:r>
                    <w:rPr>
                      <w:sz w:val="21"/>
                    </w:rPr>
                    <w:t>1次</w:t>
                  </w:r>
                </w:p>
              </w:tc>
            </w:tr>
            <w:tr>
              <w:tc>
                <w:tcPr>
                  <w:tcW w:type="dxa" w:w="629"/>
                  <w:vMerge w:val="restart"/>
                  <w:tcBorders>
                    <w:top w:val="none" w:color="000000" w:sz="4"/>
                    <w:left w:val="single" w:color="000000" w:sz="4"/>
                    <w:bottom w:val="single" w:color="000000" w:sz="4"/>
                    <w:right w:val="single" w:color="000000" w:sz="4"/>
                  </w:tcBorders>
                  <w:vAlign w:val="top"/>
                </w:tcPr>
                <w:p>
                  <w:pPr>
                    <w:jc w:val="center"/>
                  </w:pPr>
                  <w:r>
                    <w:rPr>
                      <w:sz w:val="21"/>
                    </w:rPr>
                    <w:t>灭蟑螂</w:t>
                  </w:r>
                </w:p>
              </w:tc>
              <w:tc>
                <w:tcPr>
                  <w:tcW w:type="dxa" w:w="4009"/>
                  <w:tcBorders>
                    <w:top w:val="none" w:color="000000" w:sz="4"/>
                    <w:left w:val="none" w:color="000000" w:sz="4"/>
                    <w:bottom w:val="single" w:color="000000" w:sz="4"/>
                    <w:right w:val="single" w:color="000000" w:sz="4"/>
                  </w:tcBorders>
                  <w:vAlign w:val="top"/>
                </w:tcPr>
                <w:p>
                  <w:pPr>
                    <w:jc w:val="both"/>
                  </w:pPr>
                  <w:r>
                    <w:rPr>
                      <w:sz w:val="21"/>
                    </w:rPr>
                    <w:t>1、定期对项目服务范围内蟑迹进行检查和清理。</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singl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2、定期对项目服务范围内下水道进行热烟雾处理灭蟑螂。</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singl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3、按国家考核标准进行结蟑螂密度监测。</w:t>
                  </w:r>
                  <w:r>
                    <w:rPr>
                      <w:sz w:val="21"/>
                    </w:rPr>
                    <w:t>住户：每季度上门询问蟑情，</w:t>
                  </w:r>
                  <w:r>
                    <w:rPr>
                      <w:sz w:val="21"/>
                    </w:rPr>
                    <w:t>并对有蟑住户派发药物及追踪处理。</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每季</w:t>
                  </w:r>
                  <w:r>
                    <w:rPr>
                      <w:sz w:val="21"/>
                    </w:rPr>
                    <w:t>1次</w:t>
                  </w:r>
                </w:p>
              </w:tc>
            </w:tr>
            <w:tr>
              <w:tc>
                <w:tcPr>
                  <w:tcW w:type="dxa" w:w="629"/>
                  <w:vMerge w:val="restart"/>
                  <w:tcBorders>
                    <w:top w:val="none" w:color="000000" w:sz="4"/>
                    <w:left w:val="single" w:color="000000" w:sz="4"/>
                    <w:bottom w:val="none" w:color="000000" w:sz="4"/>
                    <w:right w:val="single" w:color="000000" w:sz="4"/>
                  </w:tcBorders>
                  <w:vAlign w:val="top"/>
                </w:tcPr>
                <w:p>
                  <w:pPr>
                    <w:jc w:val="center"/>
                  </w:pPr>
                  <w:r>
                    <w:rPr>
                      <w:sz w:val="21"/>
                    </w:rPr>
                    <w:t>其他</w:t>
                  </w:r>
                </w:p>
              </w:tc>
              <w:tc>
                <w:tcPr>
                  <w:tcW w:type="dxa" w:w="4009"/>
                  <w:tcBorders>
                    <w:top w:val="none" w:color="000000" w:sz="4"/>
                    <w:left w:val="none" w:color="000000" w:sz="4"/>
                    <w:bottom w:val="single" w:color="000000" w:sz="4"/>
                    <w:right w:val="single" w:color="000000" w:sz="4"/>
                  </w:tcBorders>
                  <w:vAlign w:val="top"/>
                </w:tcPr>
                <w:p>
                  <w:pPr>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2、在登革热或病媒生物</w:t>
                  </w:r>
                  <w:r>
                    <w:rPr>
                      <w:sz w:val="21"/>
                    </w:rPr>
                    <w:t>传染病</w:t>
                  </w:r>
                  <w:r>
                    <w:rPr>
                      <w:sz w:val="21"/>
                    </w:rPr>
                    <w:t>流行期间有义务配合政府做好宣传、消杀工作。</w:t>
                  </w:r>
                </w:p>
              </w:tc>
              <w:tc>
                <w:tcPr>
                  <w:tcW w:type="dxa" w:w="961"/>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3、对有需要的居民住户免费派发除“四害”药物或提供上门服务。</w:t>
                  </w:r>
                </w:p>
              </w:tc>
              <w:tc>
                <w:tcPr>
                  <w:tcW w:type="dxa" w:w="961"/>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4、中标人每年在“爱卫月、登革热”等期间不少于4次进社区公益宣传。</w:t>
                  </w:r>
                </w:p>
              </w:tc>
              <w:tc>
                <w:tcPr>
                  <w:tcW w:type="dxa" w:w="961"/>
                  <w:tcBorders>
                    <w:top w:val="none" w:color="000000" w:sz="4"/>
                    <w:left w:val="none" w:color="000000" w:sz="4"/>
                    <w:bottom w:val="single" w:color="000000" w:sz="4"/>
                    <w:right w:val="single" w:color="000000" w:sz="4"/>
                  </w:tcBorders>
                  <w:vAlign w:val="top"/>
                </w:tcPr>
                <w:p>
                  <w:pPr>
                    <w:jc w:val="center"/>
                  </w:pPr>
                  <w:r>
                    <w:rPr>
                      <w:sz w:val="21"/>
                    </w:rPr>
                    <w:t>每年</w:t>
                  </w:r>
                  <w:r>
                    <w:rPr>
                      <w:sz w:val="21"/>
                    </w:rPr>
                    <w:t>4次</w:t>
                  </w:r>
                </w:p>
              </w:tc>
            </w:tr>
            <w:tr>
              <w:tc>
                <w:tcPr>
                  <w:tcW w:type="dxa" w:w="629"/>
                  <w:vMerge/>
                  <w:tcBorders>
                    <w:top w:val="none" w:color="000000" w:sz="4"/>
                    <w:left w:val="single" w:color="000000" w:sz="4"/>
                    <w:bottom w:val="none" w:color="000000" w:sz="4"/>
                    <w:right w:val="single" w:color="000000" w:sz="4"/>
                  </w:tcBorders>
                </w:tcPr>
                <w:p/>
              </w:tc>
              <w:tc>
                <w:tcPr>
                  <w:tcW w:type="dxa" w:w="4009"/>
                  <w:tcBorders>
                    <w:top w:val="none" w:color="000000" w:sz="4"/>
                    <w:left w:val="none" w:color="000000" w:sz="4"/>
                    <w:bottom w:val="single" w:color="000000" w:sz="4"/>
                    <w:right w:val="single" w:color="000000" w:sz="4"/>
                  </w:tcBorders>
                  <w:vAlign w:val="top"/>
                </w:tcPr>
                <w:p>
                  <w:pPr>
                    <w:jc w:val="both"/>
                  </w:pPr>
                  <w:r>
                    <w:rPr>
                      <w:sz w:val="21"/>
                    </w:rPr>
                    <w:t>5、中标人应积极配合政府应急消杀处理，如鸡棚、猪舍强拆等。</w:t>
                  </w:r>
                </w:p>
              </w:tc>
              <w:tc>
                <w:tcPr>
                  <w:tcW w:type="dxa" w:w="961"/>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5599"/>
                  <w:gridSpan w:val="3"/>
                  <w:tcBorders>
                    <w:top w:val="none" w:color="000000" w:sz="4"/>
                    <w:left w:val="single" w:color="000000" w:sz="4"/>
                    <w:bottom w:val="single" w:color="000000" w:sz="4"/>
                    <w:right w:val="single" w:color="000000" w:sz="4"/>
                  </w:tcBorders>
                  <w:vAlign w:val="top"/>
                </w:tcPr>
                <w:p>
                  <w:pPr>
                    <w:jc w:val="both"/>
                  </w:pPr>
                  <w:r>
                    <w:rPr>
                      <w:sz w:val="21"/>
                    </w:rPr>
                    <w:t xml:space="preserve"> </w:t>
                  </w:r>
                  <w:r>
                    <w:rPr>
                      <w:sz w:val="21"/>
                    </w:rPr>
                    <w:t>备注：中标人作业前必须通知属地居（村）委会、顺峰山公园管理处等，</w:t>
                  </w:r>
                  <w:r>
                    <w:rPr>
                      <w:sz w:val="21"/>
                    </w:rPr>
                    <w:t>明确作业内容、时间、地点，接受属地居（村）委会、顺峰山公园管理处监督。</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合同包4（2022-2025年大良街道公共环境除“四害”管理服务项目D标段）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2022年12月1日至2025年11月30日止，合共36个月。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w:t>
            </w:r>
          </w:p>
        </w:tc>
      </w:tr>
      <w:tr>
        <w:tc>
          <w:tcPr>
            <w:tcW w:type="dxa" w:w="4153"/>
          </w:tcPr>
          <w:p>
            <w:r>
              <w:rPr/>
              <w:t>验收要求</w:t>
            </w:r>
          </w:p>
        </w:tc>
        <w:tc>
          <w:tcPr>
            <w:tcW w:type="dxa" w:w="4153"/>
          </w:tcPr>
          <w:p/>
          <w:p/>
          <w:p/>
          <w:p>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r>
              <w:rPr/>
              <w:t>履约保证金</w:t>
            </w:r>
          </w:p>
        </w:tc>
        <w:tc>
          <w:tcPr>
            <w:tcW w:type="dxa" w:w="4153"/>
          </w:tcPr>
          <w:p/>
          <w:p/>
          <w:p/>
          <w:p/>
          <w:p>
            <w:r>
              <w:rPr/>
              <w:t>收取比例：5%,说明：1、履约保证金的金额：本项目中标价（签约合同价）的5%（四舍五入到分）；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tc>
      </w:tr>
      <w:tr>
        <w:tc>
          <w:tcPr>
            <w:tcW w:type="dxa" w:w="4153"/>
          </w:tcPr>
          <w:p>
            <w:r>
              <w:rPr/>
              <w:t>其他</w:t>
            </w:r>
          </w:p>
        </w:tc>
        <w:tc>
          <w:tcPr>
            <w:tcW w:type="dxa" w:w="4153"/>
          </w:tcPr>
          <w:p/>
          <w:p/>
          <w:p>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二、监督考评办法： 在合同履约期间，采购人按照考评办法相关规定对中标人的服务质量、服务成果等进行考评。 （一）管理质量考核标准 1、专业考核 参照《全国爱卫办鼠、蚊、蝇、蟑螂密度监测方案（试行）》 、《灭鼠、蚊、蝇、蟑螂标准》、《佛山市顺德区行政区域公共环境除四害承包质量考评标准及办法》以及国家、省、市、区和行业最新颁布的标准执行。 2、居（村）委会考核 （1）除四害作业前未通知属地居（村）委会及相关管理部门的，每项扣5分。 （2）未按招标文件作业规范要求的频次作业或作业不到位的，每项扣10分。 （3）不遵守管理规定、不服从管理或不配合作业质量考评，经查实有责的，每次扣5分。 （4）未按要求整改，经查实有责的，每件扣5分。经督促仍未处理或未妥善处理，经查实有责的，每件次扣10分。 （5）除上述条款外，违反投标文件中人员承诺的，每项每次扣1分。 （6）除上述条款外，违反投标文件中车辆及设备承诺的，每项每次扣1.5分。 （7）除上述条款外，违反招标文件中其他规定的，每项每次扣2分。 3、街道卫健办考核 结合平时卫生检查、除四害日常施工、投诉与处理、应急等进行考核。 4、社会监督 （1）群众评议：每季度由居（村）委会、考评专家组进行随机访问居民群众。 （2）群众举报或投诉，每季度由街道爱卫办收集和整理群众举报或投诉资料并计分。群众举报或投诉属实，在总分直接扣除，每宗0.5分。 （二）管理质量考核办法 为进一步提高辖区环境卫生质量，根据《佛山市顺德区公共环境除四害承包质量考评标准》（试行）（顺德爱卫办【2006】4号文）的通知精神，加强对大良街道公共环境除“四害”管理服务项目的管理，结合大良街道的实际情况，特制订本考核办法。 1、指导思想 以科学发展观为指导，以营造整洁、优美、舒适、和谐的人居环境为目的，实行市政管理运作的高标准、高效率、高质量，实现大良街道公共环境除“四害”管理服务项目作业科学化、精细化、长效化。 2、组织领导 成立大良街道社会化项目监督考核小组。考核小组成员由佛山市顺德区大良街道卫生健康办公室牵头组织，街道爱卫办、各居村城管主任、社会监督员等成员组成，统一考核业务工作。 3、考核范围 大良街道公共环境除“四害”管理服务项目管理范围内的除“四害”管理情况。 4、考核方法 检查考核由佛山市顺德区大良街道卫生健康办公室牵头，联同区、街道除四害考评组、居（村）委会、街道卫健办、社会监督员等组织实施，采取专业考核、居（村）委会考核、街道卫健办考核、社会监督等方法。 （1）专业考核 定期组织专家进行考评,每三个月作不小于一次定量考评，年终作年度总评定，并出具专业的、有行业监督制约之考核鉴定书。考评监测费用由采购人承担。 （2）居（村）委会考核 由居（村）委会、相关管理部门安排专职人员，负责对除“四害”专业队日常放药、喷洒、治理孳生地、栖生地和成蚊等工作进行跟进并签名确认（大良街道爱卫办印发施工记录表），每三个月对服务本居(村)委会除四害工程进行一次系统检查考核。 （3）街道卫健办考核 由街道卫健办结合日常管理、施工情况、防治效果、配合程度等方面进行不定期综合考核。 （4）社会监督考核 群众举报或投诉，每三个月由街道卫健办收集和整理群众举报或投诉资料并计分。 5、报备制度 （1）无法联系责任方或经多次劝告责任方无果，业已采取措施无效的，非中标人造成的事项可报备不作为考评依据。 （2）中标人须认真填写报备材料，保证准确真实，如发现资料不全或不实的，不作报备处理且作考核扣分记录。 （3）报备事项必须经街道卫健办签字确认后方可生效。 （4）一切报备资料均必须于每月28日前提交，逾期无效。 6、评分方法 （1）各参与考核的单位进行的考核满分均为百分制，采取倒扣分制。 （2）各参与考核的单位必须根据大良街道公共环境除“四害”管理服务项目管理及考核标准执行。 （3）考核总分以权重比例计算构成，具体比例如下： 1）专业考核（30%） ①定期组织专家进行考评，根据国家“四害”密度监测标准与方法的相关标准进行专业考核监测，每三个月作不少于一次定量考评，考评最终分数按各次定量考评分值总和平均。年终作年度总评定，并出具考核鉴定书。 ②质量评估单位要配合政府做好相关迎检和考评工作。安排专业、专职人员，定期对除“四害”专业队日常工作的用药、配药、工作程序等进行抽查、质检和监督，做好记录并签名确认。根据日常检查情况及登革热、寨卡病毒等疫情，对除“四害”专业队提出具体的指导意见和整改方案。 2）居（村）委会考核（40%） 由居（村）委会、相关管理部门安排专职人员，负责对除“四害”专业队日常放药、喷洒、治理孳生地、栖生地和成蚊等工作进行跟进并签名确认，每三个月对服务本居(村)委会除“四害”工作进行一次检查考核。 3）街道卫健办考核（20%） 结合平时卫生检查、除四害日常施工、投诉与处理、应急等进行考核。 4）社会监督考核（10%） ①群众评议：每季度由居（村）委会、考评专家组进行随机访问居民群众。 ②群众举报或投诉，每季度由街道爱卫办收集和整理群众举报或投诉资料并计分。 （4）每个周期（每三个月为一个周期）考核总分作为每个周期管理费发放的依据。街道卫健办将专业考核、居（村）委会考核、街道卫健办考核、社会监督考核等考核分数统一汇总，评出承包管理单位的考核总分，报街道卫健办审定和签发后，上报街道财政结算中心，根据该周期考核结果确定支付的管理费用，并以转账方式支付给各承包管理单位。 7、考核标准 考核标准以大良街道公共环境除“四害”管理服务项目管理质量考核标准执行。大良街道公共环境除“四害”管理服务项目管理质量考核标准未有约定的，以国家、行业标准及区、市、省及国家相关法律法规作依归。如涉及国家、行业及区、市、省更新颁布管理质量标准的，则按新的标准执行。 8、考核内容 （1）除四害管理服务：灭鼠、灭蝇、灭蚊及灭蟑螂等管理服务。 （2）其他规定管理内容等 9、奖惩措施 对大良街道公共环境除“四害”管理服务项目质量的检查考核采用以下措施实施奖惩： （1）部门通报 街道卫健办根据考核情况及评定成绩，召集各承包管理单位集中进行考评会议，点评各标段考核情况及存在问题，并将汇总成绩及相关情况以街道卫健办名义结合实际情况发出通报。 （2）罚则 管理经费由街道卫健办审批后，按考核结果支付。 ①管理经费金额与该周期（每三个月为一个周期）管理质量总分挂钩。 ②按考核总分情况调整发放管理经费。经考核评定，考核总分高于或等于90分的为合格，低于90分的为不合格。其中，考核总分高于或等于90分的，不扣减该周期管理经费；考核总分低于90分，高于或等于80分的，每低1分对应须扣减该周期管理经费1%，不足1分的按1分计算；考核总分低于80分，高于或等于50分的，扣减该周期管理经费50%；考核总分低于50分的，不支付该周期管理经费。 ③合同期内连续两个周期（每三个月为一个周期）考核总分低于80分或出现一个周期考核总分低于50分的，招标人有权解除中标人合同，没收其履约保证金，  10、招标人有权根据实施情况对本考核办法及时做出修改。 四、项目违约责任和合同解除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D标段：德和居委、苏岗居委、五沙居委、逢沙村委、南江居委的公共环境（含各临时庇护场所），富贵菜市场、五沙市场、逢沙市场、南江市场、南霞市场</w:t>
            </w:r>
          </w:p>
        </w:tc>
        <w:tc>
          <w:tcPr>
            <w:tcW w:type="dxa" w:w="933"/>
          </w:tcPr>
          <w:p>
            <w:pPr>
              <w:jc w:val="left"/>
            </w:pPr>
            <w:r>
              <w:rPr/>
              <w:t>项</w:t>
            </w:r>
          </w:p>
        </w:tc>
        <w:tc>
          <w:tcPr>
            <w:tcW w:type="dxa" w:w="933"/>
          </w:tcPr>
          <w:p>
            <w:pPr>
              <w:jc w:val="right"/>
            </w:pPr>
            <w:r>
              <w:rPr/>
              <w:t>1.00</w:t>
            </w:r>
          </w:p>
        </w:tc>
        <w:tc>
          <w:tcPr>
            <w:tcW w:type="dxa" w:w="933"/>
          </w:tcPr>
          <w:p>
            <w:pPr>
              <w:jc w:val="right"/>
            </w:pPr>
            <w:r>
              <w:rPr/>
              <w:t>3,518,394.24</w:t>
            </w:r>
          </w:p>
        </w:tc>
        <w:tc>
          <w:tcPr>
            <w:tcW w:type="dxa" w:w="933"/>
          </w:tcPr>
          <w:p>
            <w:pPr>
              <w:jc w:val="right"/>
            </w:pPr>
            <w:r>
              <w:rPr/>
              <w:t>3,518,394.24</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D标段：德和居委、苏岗居委、五沙居委、逢沙村委、南江居委的公共环境（含各临时庇护场所），富贵菜市场、五沙市场、逢沙市场、南江市场、南霞市场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w:t>
            </w:r>
            <w:r>
              <w:rPr>
                <w:b/>
                <w:sz w:val="21"/>
              </w:rPr>
              <w:t>项目标的主要内容</w:t>
            </w:r>
          </w:p>
          <w:p>
            <w:pPr>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802"/>
              <w:gridCol w:w="4796"/>
            </w:tblGrid>
            <w:tr>
              <w:tc>
                <w:tcPr>
                  <w:tcW w:type="dxa" w:w="802"/>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4796"/>
                  <w:tcBorders>
                    <w:top w:val="single" w:color="000000" w:sz="4"/>
                    <w:left w:val="none" w:color="000000" w:sz="4"/>
                    <w:bottom w:val="single" w:color="000000" w:sz="4"/>
                    <w:right w:val="single" w:color="000000" w:sz="4"/>
                  </w:tcBorders>
                  <w:vAlign w:val="top"/>
                </w:tcPr>
                <w:p>
                  <w:pPr>
                    <w:jc w:val="center"/>
                  </w:pPr>
                  <w:r>
                    <w:rPr>
                      <w:sz w:val="21"/>
                    </w:rPr>
                    <w:t>项目内容</w:t>
                  </w:r>
                </w:p>
              </w:tc>
            </w:tr>
            <w:tr>
              <w:tc>
                <w:tcPr>
                  <w:tcW w:type="dxa" w:w="802"/>
                  <w:tcBorders>
                    <w:top w:val="none" w:color="000000" w:sz="4"/>
                    <w:left w:val="single" w:color="000000" w:sz="4"/>
                    <w:bottom w:val="single" w:color="000000" w:sz="4"/>
                    <w:right w:val="single" w:color="000000" w:sz="4"/>
                  </w:tcBorders>
                  <w:vAlign w:val="top"/>
                </w:tcPr>
                <w:p>
                  <w:pPr>
                    <w:jc w:val="center"/>
                  </w:pPr>
                  <w:r>
                    <w:rPr>
                      <w:sz w:val="21"/>
                    </w:rPr>
                    <w:t>D</w:t>
                  </w:r>
                </w:p>
              </w:tc>
              <w:tc>
                <w:tcPr>
                  <w:tcW w:type="dxa" w:w="4796"/>
                  <w:tcBorders>
                    <w:top w:val="none" w:color="000000" w:sz="4"/>
                    <w:left w:val="none" w:color="000000" w:sz="4"/>
                    <w:bottom w:val="single" w:color="000000" w:sz="4"/>
                    <w:right w:val="single" w:color="000000" w:sz="4"/>
                  </w:tcBorders>
                  <w:vAlign w:val="top"/>
                </w:tcPr>
                <w:p>
                  <w:pPr>
                    <w:jc w:val="left"/>
                  </w:pPr>
                  <w:r>
                    <w:rPr>
                      <w:sz w:val="21"/>
                    </w:rPr>
                    <w:t>5</w:t>
                  </w:r>
                  <w:r>
                    <w:rPr>
                      <w:sz w:val="21"/>
                    </w:rPr>
                    <w:t>个居委及</w:t>
                  </w:r>
                  <w:r>
                    <w:rPr>
                      <w:sz w:val="21"/>
                    </w:rPr>
                    <w:t>5个市场</w:t>
                  </w:r>
                  <w:r>
                    <w:rPr>
                      <w:sz w:val="21"/>
                    </w:rPr>
                    <w:t>除</w:t>
                  </w:r>
                  <w:r>
                    <w:rPr>
                      <w:sz w:val="21"/>
                    </w:rPr>
                    <w:t>“四害”管理服务</w:t>
                  </w:r>
                  <w:r>
                    <w:rPr>
                      <w:sz w:val="21"/>
                    </w:rPr>
                    <w:t>：</w:t>
                  </w:r>
                  <w:r>
                    <w:rPr>
                      <w:sz w:val="21"/>
                    </w:rPr>
                    <w:t>德和居委、苏岗居委、五沙居委、逢沙村委、南江居委的公共环境（含各临时庇护场所），富贵菜市场、五沙市场、逢沙市场、南江市场、南霞市场。</w:t>
                  </w:r>
                </w:p>
              </w:tc>
            </w:tr>
          </w:tbl>
          <w:p>
            <w:pPr>
              <w:ind w:firstLine="420"/>
            </w:pPr>
            <w:r>
              <w:rPr>
                <w:sz w:val="21"/>
              </w:rPr>
              <w:t>2、</w:t>
            </w:r>
            <w:r>
              <w:rPr>
                <w:sz w:val="21"/>
              </w:rPr>
              <w:t>服务范围及内容</w:t>
            </w:r>
          </w:p>
          <w:p>
            <w:pPr>
              <w:jc w:val="both"/>
            </w:pPr>
            <w:r>
              <w:rPr>
                <w:sz w:val="21"/>
              </w:rPr>
              <w:t>5</w:t>
            </w:r>
            <w:r>
              <w:rPr>
                <w:sz w:val="21"/>
              </w:rPr>
              <w:t>个居委及</w:t>
            </w:r>
            <w:r>
              <w:rPr>
                <w:sz w:val="21"/>
              </w:rPr>
              <w:t>5个市场</w:t>
            </w:r>
            <w:r>
              <w:rPr>
                <w:sz w:val="21"/>
              </w:rPr>
              <w:t>各道路、大街小巷、绿化带、河流湖泊及沿岸、下水道沉沙井、闲置地、公园绿地、广场、居民住宅区（有物业服务或业委会的除外）、街道属下公立教育机构、市政公用类公厕、垃圾收集及转运点、垃圾存放容器及其他公共外环境场地的灭鼠、灭蚊、灭蟑螂、灭蝇工作。并负责和承担本项目相关安全责任。</w:t>
            </w:r>
          </w:p>
        </w:tc>
      </w:tr>
      <w:tr>
        <w:tc>
          <w:tcPr>
            <w:tcW w:type="dxa" w:w="2076"/>
          </w:tcPr>
          <w:p/>
        </w:tc>
        <w:tc>
          <w:tcPr>
            <w:tcW w:type="dxa" w:w="415"/>
          </w:tcPr>
          <w:p>
            <w:r>
              <w:rPr/>
              <w:t>2</w:t>
            </w:r>
          </w:p>
        </w:tc>
        <w:tc>
          <w:tcPr>
            <w:tcW w:type="dxa" w:w="5814"/>
          </w:tcPr>
          <w:p>
            <w:r>
              <w:rPr>
                <w:sz w:val="21"/>
              </w:rPr>
              <w:t>二、</w:t>
            </w:r>
            <w:r>
              <w:rPr>
                <w:b/>
                <w:sz w:val="21"/>
              </w:rPr>
              <w:t>基本配置要求</w:t>
            </w:r>
          </w:p>
          <w:p>
            <w:pPr>
              <w:ind w:firstLine="420"/>
              <w:jc w:val="both"/>
            </w:pPr>
            <w:r>
              <w:rPr>
                <w:sz w:val="21"/>
              </w:rPr>
              <w:t>1、中标供应商在合同签订后一个月内必须在佛山市顺德区大良街道范围内设有符合工作条件的固定办公场所及具有足够容纳项目一切作业车辆及劳保工具等的停放场地，面积合计不少于 200</w:t>
            </w:r>
            <w:r>
              <w:rPr>
                <w:sz w:val="21"/>
              </w:rPr>
              <w:t xml:space="preserve"> </w:t>
            </w:r>
            <w:r>
              <w:rPr>
                <w:sz w:val="21"/>
              </w:rPr>
              <w:t>㎡，并提供相应的登记证明文件、场地权属证明或场地使用证明，否则视为拒绝履行合同义务。</w:t>
            </w:r>
          </w:p>
          <w:p>
            <w:pPr>
              <w:ind w:firstLine="420"/>
              <w:jc w:val="both"/>
            </w:pPr>
            <w:r>
              <w:rPr>
                <w:sz w:val="21"/>
              </w:rPr>
              <w:t>2、中标供应商在中标后一个月内必须更换管理范围内公示牌的内容。</w:t>
            </w:r>
          </w:p>
          <w:p>
            <w:pPr>
              <w:ind w:firstLine="420"/>
              <w:jc w:val="both"/>
            </w:pPr>
            <w:r>
              <w:rPr>
                <w:sz w:val="21"/>
              </w:rPr>
              <w:t>3、中标供应商的办公场地、工具、车辆存放地和员工住所自行解决。</w:t>
            </w:r>
          </w:p>
          <w:p>
            <w:pPr>
              <w:ind w:firstLine="420"/>
              <w:jc w:val="both"/>
            </w:pPr>
            <w:r>
              <w:rPr>
                <w:sz w:val="21"/>
              </w:rPr>
              <w:t>4、中标供应商必须落实好安全生产的措施和配置安全作业的劳保用品。</w:t>
            </w:r>
          </w:p>
          <w:p>
            <w:pPr>
              <w:ind w:firstLine="420"/>
              <w:jc w:val="both"/>
            </w:pPr>
            <w:r>
              <w:rPr>
                <w:sz w:val="21"/>
              </w:rPr>
              <w:t>5、中标供应商的服务人员数量必须满足招标人的实际工作要求：</w:t>
            </w:r>
          </w:p>
          <w:p>
            <w:pPr>
              <w:ind w:firstLine="420"/>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1355"/>
              <w:gridCol w:w="3566"/>
              <w:gridCol w:w="677"/>
            </w:tblGrid>
            <w:tr>
              <w:tc>
                <w:tcPr>
                  <w:tcW w:type="dxa" w:w="1355"/>
                  <w:tcBorders>
                    <w:top w:val="single" w:color="000000" w:sz="4"/>
                    <w:left w:val="single" w:color="000000" w:sz="4"/>
                    <w:bottom w:val="single" w:color="000000" w:sz="4"/>
                    <w:right w:val="single" w:color="000000" w:sz="4"/>
                  </w:tcBorders>
                  <w:vAlign w:val="top"/>
                </w:tcPr>
                <w:p>
                  <w:pPr>
                    <w:jc w:val="center"/>
                  </w:pPr>
                  <w:r>
                    <w:rPr>
                      <w:sz w:val="21"/>
                    </w:rPr>
                    <w:t>人员类别</w:t>
                  </w:r>
                </w:p>
              </w:tc>
              <w:tc>
                <w:tcPr>
                  <w:tcW w:type="dxa" w:w="3566"/>
                  <w:tcBorders>
                    <w:top w:val="single" w:color="000000" w:sz="4"/>
                    <w:left w:val="none" w:color="000000" w:sz="4"/>
                    <w:bottom w:val="single" w:color="000000" w:sz="4"/>
                    <w:right w:val="single" w:color="000000" w:sz="4"/>
                  </w:tcBorders>
                  <w:vAlign w:val="top"/>
                </w:tcPr>
                <w:p>
                  <w:pPr>
                    <w:jc w:val="center"/>
                  </w:pPr>
                  <w:r>
                    <w:rPr>
                      <w:sz w:val="21"/>
                    </w:rPr>
                    <w:t>具体要求</w:t>
                  </w:r>
                </w:p>
              </w:tc>
              <w:tc>
                <w:tcPr>
                  <w:tcW w:type="dxa" w:w="677"/>
                  <w:tcBorders>
                    <w:top w:val="single" w:color="000000" w:sz="4"/>
                    <w:left w:val="none" w:color="000000" w:sz="4"/>
                    <w:bottom w:val="single" w:color="000000" w:sz="4"/>
                    <w:right w:val="single" w:color="000000" w:sz="4"/>
                  </w:tcBorders>
                  <w:vAlign w:val="top"/>
                </w:tcPr>
                <w:p>
                  <w:pPr>
                    <w:jc w:val="center"/>
                  </w:pPr>
                  <w:r>
                    <w:rPr>
                      <w:sz w:val="21"/>
                    </w:rPr>
                    <w:t>配置人数</w:t>
                  </w:r>
                </w:p>
              </w:tc>
            </w:tr>
            <w:tr>
              <w:tc>
                <w:tcPr>
                  <w:tcW w:type="dxa" w:w="1355"/>
                  <w:tcBorders>
                    <w:top w:val="none" w:color="000000" w:sz="4"/>
                    <w:left w:val="single" w:color="000000" w:sz="4"/>
                    <w:bottom w:val="single" w:color="000000" w:sz="4"/>
                    <w:right w:val="single" w:color="000000" w:sz="4"/>
                  </w:tcBorders>
                  <w:vAlign w:val="top"/>
                </w:tcPr>
                <w:p>
                  <w:pPr>
                    <w:jc w:val="center"/>
                  </w:pPr>
                  <w:r>
                    <w:rPr>
                      <w:sz w:val="21"/>
                    </w:rPr>
                    <w:t>管理人员</w:t>
                  </w:r>
                </w:p>
              </w:tc>
              <w:tc>
                <w:tcPr>
                  <w:tcW w:type="dxa" w:w="3566"/>
                  <w:tcBorders>
                    <w:top w:val="none" w:color="000000" w:sz="4"/>
                    <w:left w:val="none" w:color="000000" w:sz="4"/>
                    <w:bottom w:val="single" w:color="000000" w:sz="4"/>
                    <w:right w:val="single" w:color="000000" w:sz="4"/>
                  </w:tcBorders>
                  <w:vAlign w:val="top"/>
                </w:tcPr>
                <w:p>
                  <w:pPr>
                    <w:jc w:val="left"/>
                  </w:pPr>
                  <w:r>
                    <w:rPr>
                      <w:sz w:val="21"/>
                    </w:rPr>
                    <w:t>1.负责管理工作团队，并制定每次的除四害工作方案及分配工作</w:t>
                  </w:r>
                </w:p>
                <w:p>
                  <w:pPr>
                    <w:jc w:val="left"/>
                  </w:pPr>
                  <w:r>
                    <w:rPr>
                      <w:sz w:val="21"/>
                    </w:rPr>
                    <w:t>2.具有“有害生物防制（治）员高级（三级）资格证”</w:t>
                  </w:r>
                </w:p>
              </w:tc>
              <w:tc>
                <w:tcPr>
                  <w:tcW w:type="dxa" w:w="677"/>
                  <w:tcBorders>
                    <w:top w:val="none" w:color="000000" w:sz="4"/>
                    <w:left w:val="none" w:color="000000" w:sz="4"/>
                    <w:bottom w:val="single" w:color="000000" w:sz="4"/>
                    <w:right w:val="single" w:color="000000" w:sz="4"/>
                  </w:tcBorders>
                  <w:vAlign w:val="top"/>
                </w:tcPr>
                <w:p>
                  <w:pPr>
                    <w:jc w:val="center"/>
                  </w:pPr>
                  <w:r>
                    <w:rPr>
                      <w:sz w:val="21"/>
                    </w:rPr>
                    <w:t>2</w:t>
                  </w:r>
                  <w:r>
                    <w:rPr>
                      <w:sz w:val="21"/>
                    </w:rPr>
                    <w:t>人</w:t>
                  </w:r>
                </w:p>
              </w:tc>
            </w:tr>
            <w:tr>
              <w:tc>
                <w:tcPr>
                  <w:tcW w:type="dxa" w:w="1355"/>
                  <w:tcBorders>
                    <w:top w:val="none" w:color="000000" w:sz="4"/>
                    <w:left w:val="single" w:color="000000" w:sz="4"/>
                    <w:bottom w:val="single" w:color="000000" w:sz="4"/>
                    <w:right w:val="single" w:color="000000" w:sz="4"/>
                  </w:tcBorders>
                  <w:vAlign w:val="top"/>
                </w:tcPr>
                <w:p>
                  <w:pPr>
                    <w:jc w:val="center"/>
                  </w:pPr>
                  <w:r>
                    <w:rPr>
                      <w:sz w:val="21"/>
                    </w:rPr>
                    <w:t>质检人员</w:t>
                  </w:r>
                </w:p>
              </w:tc>
              <w:tc>
                <w:tcPr>
                  <w:tcW w:type="dxa" w:w="3566"/>
                  <w:tcBorders>
                    <w:top w:val="none" w:color="000000" w:sz="4"/>
                    <w:left w:val="none" w:color="000000" w:sz="4"/>
                    <w:bottom w:val="single" w:color="000000" w:sz="4"/>
                    <w:right w:val="single" w:color="000000" w:sz="4"/>
                  </w:tcBorders>
                  <w:vAlign w:val="top"/>
                </w:tcPr>
                <w:p>
                  <w:pPr>
                    <w:jc w:val="left"/>
                  </w:pPr>
                  <w:r>
                    <w:rPr>
                      <w:sz w:val="21"/>
                    </w:rPr>
                    <w:t>1.负责日常除四害自我监督巡查工作，配合采购人和质量评估单位做好监督检查，完善各项四害防治、监测资料</w:t>
                  </w:r>
                </w:p>
                <w:p>
                  <w:pPr>
                    <w:jc w:val="left"/>
                  </w:pPr>
                  <w:r>
                    <w:rPr>
                      <w:sz w:val="21"/>
                    </w:rPr>
                    <w:t>2.具有“有害生物防制（治）员高级（三级）资格证”</w:t>
                  </w:r>
                </w:p>
              </w:tc>
              <w:tc>
                <w:tcPr>
                  <w:tcW w:type="dxa" w:w="677"/>
                  <w:tcBorders>
                    <w:top w:val="none" w:color="000000" w:sz="4"/>
                    <w:left w:val="none" w:color="000000" w:sz="4"/>
                    <w:bottom w:val="single" w:color="000000" w:sz="4"/>
                    <w:right w:val="single" w:color="000000" w:sz="4"/>
                  </w:tcBorders>
                  <w:vAlign w:val="top"/>
                </w:tcPr>
                <w:p>
                  <w:pPr>
                    <w:jc w:val="center"/>
                  </w:pPr>
                  <w:r>
                    <w:rPr>
                      <w:sz w:val="21"/>
                    </w:rPr>
                    <w:t>2</w:t>
                  </w:r>
                  <w:r>
                    <w:rPr>
                      <w:sz w:val="21"/>
                    </w:rPr>
                    <w:t>人</w:t>
                  </w:r>
                </w:p>
              </w:tc>
            </w:tr>
            <w:tr>
              <w:tc>
                <w:tcPr>
                  <w:tcW w:type="dxa" w:w="1355"/>
                  <w:tcBorders>
                    <w:top w:val="none" w:color="000000" w:sz="4"/>
                    <w:left w:val="single" w:color="000000" w:sz="4"/>
                    <w:bottom w:val="single" w:color="000000" w:sz="4"/>
                    <w:right w:val="single" w:color="000000" w:sz="4"/>
                  </w:tcBorders>
                  <w:vAlign w:val="top"/>
                </w:tcPr>
                <w:p>
                  <w:pPr>
                    <w:jc w:val="center"/>
                  </w:pPr>
                  <w:r>
                    <w:rPr>
                      <w:sz w:val="21"/>
                    </w:rPr>
                    <w:t>除四害专业人员</w:t>
                  </w:r>
                </w:p>
              </w:tc>
              <w:tc>
                <w:tcPr>
                  <w:tcW w:type="dxa" w:w="3566"/>
                  <w:tcBorders>
                    <w:top w:val="none" w:color="000000" w:sz="4"/>
                    <w:left w:val="none" w:color="000000" w:sz="4"/>
                    <w:bottom w:val="single" w:color="000000" w:sz="4"/>
                    <w:right w:val="single" w:color="000000" w:sz="4"/>
                  </w:tcBorders>
                  <w:vAlign w:val="top"/>
                </w:tcPr>
                <w:p>
                  <w:pPr>
                    <w:jc w:val="left"/>
                  </w:pPr>
                  <w:r>
                    <w:rPr>
                      <w:sz w:val="21"/>
                    </w:rPr>
                    <w:t>1.负责主要的除四害工作及技术指导</w:t>
                  </w:r>
                </w:p>
                <w:p>
                  <w:pPr>
                    <w:jc w:val="left"/>
                  </w:pPr>
                  <w:r>
                    <w:rPr>
                      <w:sz w:val="21"/>
                    </w:rPr>
                    <w:t>2.具有“有害生物防制员或病媒生物防制工”初级证或以上资格证书，其中，至少2人具有“有害生物防制（治）员中级（四级）”或以上资格证书</w:t>
                  </w:r>
                </w:p>
              </w:tc>
              <w:tc>
                <w:tcPr>
                  <w:tcW w:type="dxa" w:w="677"/>
                  <w:tcBorders>
                    <w:top w:val="none" w:color="000000" w:sz="4"/>
                    <w:left w:val="none" w:color="000000" w:sz="4"/>
                    <w:bottom w:val="single" w:color="000000" w:sz="4"/>
                    <w:right w:val="single" w:color="000000" w:sz="4"/>
                  </w:tcBorders>
                  <w:vAlign w:val="top"/>
                </w:tcPr>
                <w:p>
                  <w:pPr>
                    <w:jc w:val="center"/>
                  </w:pPr>
                  <w:r>
                    <w:rPr>
                      <w:sz w:val="21"/>
                    </w:rPr>
                    <w:t>15人</w:t>
                  </w:r>
                </w:p>
              </w:tc>
            </w:tr>
          </w:tbl>
          <w:p>
            <w:pPr>
              <w:ind w:firstLine="420"/>
            </w:pPr>
            <w:r>
              <w:rPr>
                <w:sz w:val="21"/>
              </w:rPr>
              <w:t>7、设备基本配置要求</w:t>
            </w:r>
          </w:p>
          <w:tbl>
            <w:tblPr>
              <w:tblInd w:type="dxa" w:w="105"/>
              <w:tblBorders>
                <w:top w:val="none" w:color="000000" w:sz="4"/>
                <w:left w:val="none" w:color="000000" w:sz="4"/>
                <w:bottom w:val="none" w:color="000000" w:sz="4"/>
                <w:right w:val="none" w:color="000000" w:sz="4"/>
                <w:insideH w:val="none"/>
                <w:insideV w:val="none"/>
              </w:tblBorders>
            </w:tblPr>
            <w:tblGrid>
              <w:gridCol w:w="455"/>
              <w:gridCol w:w="1150"/>
              <w:gridCol w:w="3334"/>
              <w:gridCol w:w="660"/>
            </w:tblGrid>
            <w:tr>
              <w:tc>
                <w:tcPr>
                  <w:tcW w:type="dxa" w:w="45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150"/>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3334"/>
                  <w:tcBorders>
                    <w:top w:val="single" w:color="000000" w:sz="4"/>
                    <w:left w:val="none" w:color="000000" w:sz="4"/>
                    <w:bottom w:val="none" w:color="000000" w:sz="4"/>
                    <w:right w:val="single" w:color="000000" w:sz="4"/>
                  </w:tcBorders>
                  <w:vAlign w:val="top"/>
                </w:tcPr>
                <w:p>
                  <w:pPr>
                    <w:jc w:val="center"/>
                  </w:pPr>
                  <w:r>
                    <w:rPr>
                      <w:sz w:val="21"/>
                    </w:rPr>
                    <w:t>配置</w:t>
                  </w:r>
                  <w:r>
                    <w:rPr>
                      <w:sz w:val="21"/>
                    </w:rPr>
                    <w:t>要求</w:t>
                  </w:r>
                </w:p>
              </w:tc>
              <w:tc>
                <w:tcPr>
                  <w:tcW w:type="dxa" w:w="660"/>
                  <w:tcBorders>
                    <w:top w:val="single" w:color="000000" w:sz="4"/>
                    <w:left w:val="none" w:color="000000" w:sz="4"/>
                    <w:bottom w:val="single" w:color="000000" w:sz="4"/>
                    <w:right w:val="single" w:color="000000" w:sz="4"/>
                  </w:tcBorders>
                  <w:vAlign w:val="top"/>
                </w:tcPr>
                <w:p>
                  <w:pPr>
                    <w:jc w:val="center"/>
                  </w:pPr>
                  <w:r>
                    <w:rPr>
                      <w:sz w:val="21"/>
                    </w:rPr>
                    <w:t>配置数量</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电动超低容量喷雾机</w:t>
                  </w:r>
                </w:p>
              </w:tc>
              <w:tc>
                <w:tcPr>
                  <w:tcW w:type="dxa" w:w="3334"/>
                  <w:tcBorders>
                    <w:top w:val="single" w:color="000000" w:sz="4"/>
                    <w:left w:val="none" w:color="000000" w:sz="4"/>
                    <w:bottom w:val="single" w:color="000000" w:sz="4"/>
                    <w:right w:val="single" w:color="000000" w:sz="4"/>
                  </w:tcBorders>
                  <w:vAlign w:val="top"/>
                </w:tcPr>
                <w:p>
                  <w:pPr>
                    <w:jc w:val="left"/>
                  </w:pPr>
                  <w:r>
                    <w:rPr>
                      <w:sz w:val="21"/>
                    </w:rPr>
                    <w:t>1.技术参数要求:电机：直流无碳刷电机，大于或等于600W。雾滴直径：10～30微米。药液输出量：0～400ml/min连续可调。药箱容量：5L或以上。每台加配1个后备电池。</w:t>
                  </w:r>
                </w:p>
              </w:tc>
              <w:tc>
                <w:tcPr>
                  <w:tcW w:type="dxa" w:w="660"/>
                  <w:tcBorders>
                    <w:top w:val="none" w:color="000000" w:sz="4"/>
                    <w:left w:val="none" w:color="000000" w:sz="4"/>
                    <w:bottom w:val="single" w:color="000000" w:sz="4"/>
                    <w:right w:val="single" w:color="000000" w:sz="4"/>
                  </w:tcBorders>
                  <w:vAlign w:val="top"/>
                </w:tcPr>
                <w:p>
                  <w:pPr>
                    <w:jc w:val="center"/>
                  </w:pPr>
                  <w:r>
                    <w:rPr>
                      <w:sz w:val="21"/>
                    </w:rPr>
                    <w:t>不少于</w:t>
                  </w:r>
                  <w:r>
                    <w:rPr>
                      <w:sz w:val="21"/>
                    </w:rPr>
                    <w:t>6</w:t>
                  </w:r>
                  <w:r>
                    <w:rPr>
                      <w:sz w:val="21"/>
                    </w:rPr>
                    <w:t>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机动超低容量喷雾机</w:t>
                  </w:r>
                </w:p>
              </w:tc>
              <w:tc>
                <w:tcPr>
                  <w:tcW w:type="dxa" w:w="3334"/>
                  <w:tcBorders>
                    <w:top w:val="none" w:color="000000" w:sz="4"/>
                    <w:left w:val="none" w:color="000000" w:sz="4"/>
                    <w:bottom w:val="single" w:color="000000" w:sz="4"/>
                    <w:right w:val="single" w:color="000000" w:sz="4"/>
                  </w:tcBorders>
                  <w:vAlign w:val="top"/>
                </w:tcPr>
                <w:p>
                  <w:pPr>
                    <w:jc w:val="left"/>
                  </w:pPr>
                  <w:r>
                    <w:rPr>
                      <w:sz w:val="21"/>
                    </w:rPr>
                    <w:t>1.技术参数要求:雾滴直径：2～30微米。水平射程＞8米。药箱容量：5L或以上。</w:t>
                  </w:r>
                </w:p>
              </w:tc>
              <w:tc>
                <w:tcPr>
                  <w:tcW w:type="dxa" w:w="660"/>
                  <w:tcBorders>
                    <w:top w:val="none" w:color="000000" w:sz="4"/>
                    <w:left w:val="none" w:color="000000" w:sz="4"/>
                    <w:bottom w:val="single" w:color="000000" w:sz="4"/>
                    <w:right w:val="single" w:color="000000" w:sz="4"/>
                  </w:tcBorders>
                  <w:vAlign w:val="top"/>
                </w:tcPr>
                <w:p>
                  <w:pPr>
                    <w:jc w:val="center"/>
                  </w:pPr>
                  <w:r>
                    <w:rPr>
                      <w:sz w:val="21"/>
                    </w:rPr>
                    <w:t>7</w:t>
                  </w:r>
                  <w:r>
                    <w:rPr>
                      <w:sz w:val="21"/>
                    </w:rPr>
                    <w:t>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机动喷雾机</w:t>
                  </w:r>
                </w:p>
              </w:tc>
              <w:tc>
                <w:tcPr>
                  <w:tcW w:type="dxa" w:w="3334"/>
                  <w:tcBorders>
                    <w:top w:val="none" w:color="000000" w:sz="4"/>
                    <w:left w:val="none" w:color="000000" w:sz="4"/>
                    <w:bottom w:val="single" w:color="000000" w:sz="4"/>
                    <w:right w:val="single" w:color="000000" w:sz="4"/>
                  </w:tcBorders>
                  <w:vAlign w:val="top"/>
                </w:tcPr>
                <w:p>
                  <w:pPr>
                    <w:jc w:val="left"/>
                  </w:pPr>
                  <w:r>
                    <w:rPr>
                      <w:sz w:val="21"/>
                    </w:rPr>
                    <w:t>1.技术参数要求:雾滴直径：50～100微米。水平射程＞8米。药箱容量：10L或以上。</w:t>
                  </w:r>
                </w:p>
              </w:tc>
              <w:tc>
                <w:tcPr>
                  <w:tcW w:type="dxa" w:w="660"/>
                  <w:tcBorders>
                    <w:top w:val="none" w:color="000000" w:sz="4"/>
                    <w:left w:val="none" w:color="000000" w:sz="4"/>
                    <w:bottom w:val="single" w:color="000000" w:sz="4"/>
                    <w:right w:val="single" w:color="000000" w:sz="4"/>
                  </w:tcBorders>
                  <w:vAlign w:val="top"/>
                </w:tcPr>
                <w:p>
                  <w:pPr>
                    <w:jc w:val="center"/>
                  </w:pPr>
                  <w:r>
                    <w:rPr>
                      <w:sz w:val="21"/>
                    </w:rPr>
                    <w:t>6台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电动喷雾机</w:t>
                  </w:r>
                </w:p>
              </w:tc>
              <w:tc>
                <w:tcPr>
                  <w:tcW w:type="dxa" w:w="3334"/>
                  <w:tcBorders>
                    <w:top w:val="none" w:color="000000" w:sz="4"/>
                    <w:left w:val="none" w:color="000000" w:sz="4"/>
                    <w:bottom w:val="single" w:color="000000" w:sz="4"/>
                    <w:right w:val="single" w:color="000000" w:sz="4"/>
                  </w:tcBorders>
                  <w:vAlign w:val="top"/>
                </w:tcPr>
                <w:p>
                  <w:pPr>
                    <w:jc w:val="left"/>
                  </w:pPr>
                  <w:r>
                    <w:rPr>
                      <w:sz w:val="21"/>
                    </w:rPr>
                    <w:t>1.技术参数要求:雾滴直径：50～200微米。水平射程＞6米。药箱容量：5L或以上。</w:t>
                  </w:r>
                </w:p>
              </w:tc>
              <w:tc>
                <w:tcPr>
                  <w:tcW w:type="dxa" w:w="660"/>
                  <w:tcBorders>
                    <w:top w:val="none" w:color="000000" w:sz="4"/>
                    <w:left w:val="none" w:color="000000" w:sz="4"/>
                    <w:bottom w:val="single" w:color="000000" w:sz="4"/>
                    <w:right w:val="single" w:color="000000" w:sz="4"/>
                  </w:tcBorders>
                  <w:vAlign w:val="top"/>
                </w:tcPr>
                <w:p>
                  <w:pPr>
                    <w:jc w:val="center"/>
                  </w:pPr>
                  <w:r>
                    <w:rPr>
                      <w:sz w:val="21"/>
                    </w:rPr>
                    <w:t>不少于</w:t>
                  </w:r>
                  <w:r>
                    <w:rPr>
                      <w:sz w:val="21"/>
                    </w:rPr>
                    <w:t>8台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手推式喷雾机</w:t>
                  </w:r>
                </w:p>
              </w:tc>
              <w:tc>
                <w:tcPr>
                  <w:tcW w:type="dxa" w:w="3334"/>
                  <w:tcBorders>
                    <w:top w:val="none" w:color="000000" w:sz="4"/>
                    <w:left w:val="none" w:color="000000" w:sz="4"/>
                    <w:bottom w:val="single" w:color="000000" w:sz="4"/>
                    <w:right w:val="single" w:color="000000" w:sz="4"/>
                  </w:tcBorders>
                  <w:vAlign w:val="top"/>
                </w:tcPr>
                <w:p>
                  <w:pPr>
                    <w:jc w:val="left"/>
                  </w:pPr>
                  <w:r>
                    <w:rPr>
                      <w:sz w:val="21"/>
                    </w:rPr>
                    <w:t>1.技术参数要求:适合大面积灭蚊及其它病媒昆虫，机动、超低容量、耐用性强，射程10米或以上（受制于风速），雾滴直径30～200微米，药箱容量20L或以上。加配车载式喷头（一套4个）</w:t>
                  </w:r>
                </w:p>
              </w:tc>
              <w:tc>
                <w:tcPr>
                  <w:tcW w:type="dxa" w:w="660"/>
                  <w:tcBorders>
                    <w:top w:val="none" w:color="000000" w:sz="4"/>
                    <w:left w:val="none" w:color="000000" w:sz="4"/>
                    <w:bottom w:val="single" w:color="000000" w:sz="4"/>
                    <w:right w:val="single" w:color="000000" w:sz="4"/>
                  </w:tcBorders>
                  <w:vAlign w:val="top"/>
                </w:tcPr>
                <w:p>
                  <w:pPr>
                    <w:jc w:val="center"/>
                  </w:pPr>
                  <w:r>
                    <w:rPr>
                      <w:sz w:val="21"/>
                    </w:rPr>
                    <w:t>2</w:t>
                  </w:r>
                  <w:r>
                    <w:rPr>
                      <w:sz w:val="21"/>
                    </w:rPr>
                    <w:t>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热烟雾机</w:t>
                  </w:r>
                </w:p>
              </w:tc>
              <w:tc>
                <w:tcPr>
                  <w:tcW w:type="dxa" w:w="3334"/>
                  <w:tcBorders>
                    <w:top w:val="none" w:color="000000" w:sz="4"/>
                    <w:left w:val="none" w:color="000000" w:sz="4"/>
                    <w:bottom w:val="single" w:color="000000" w:sz="4"/>
                    <w:right w:val="single" w:color="000000" w:sz="4"/>
                  </w:tcBorders>
                  <w:vAlign w:val="top"/>
                </w:tcPr>
                <w:p>
                  <w:pPr>
                    <w:jc w:val="left"/>
                  </w:pPr>
                  <w:r>
                    <w:rPr>
                      <w:sz w:val="21"/>
                    </w:rPr>
                    <w:t>1.技术参数要求:雾滴直径：5微米。药液输出量：0～42L/小时。功率：11.6-22KW。 药箱容量：5L或以上。</w:t>
                  </w:r>
                </w:p>
              </w:tc>
              <w:tc>
                <w:tcPr>
                  <w:tcW w:type="dxa" w:w="660"/>
                  <w:tcBorders>
                    <w:top w:val="none" w:color="000000" w:sz="4"/>
                    <w:left w:val="none" w:color="000000" w:sz="4"/>
                    <w:bottom w:val="single" w:color="000000" w:sz="4"/>
                    <w:right w:val="single" w:color="000000" w:sz="4"/>
                  </w:tcBorders>
                  <w:vAlign w:val="top"/>
                </w:tcPr>
                <w:p>
                  <w:pPr>
                    <w:jc w:val="center"/>
                  </w:pPr>
                  <w:r>
                    <w:rPr>
                      <w:sz w:val="21"/>
                    </w:rPr>
                    <w:t>不少于</w:t>
                  </w:r>
                  <w:r>
                    <w:rPr>
                      <w:sz w:val="21"/>
                    </w:rPr>
                    <w:t>7</w:t>
                  </w:r>
                  <w:r>
                    <w:rPr>
                      <w:sz w:val="21"/>
                    </w:rPr>
                    <w:t>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工作车辆</w:t>
                  </w:r>
                </w:p>
              </w:tc>
              <w:tc>
                <w:tcPr>
                  <w:tcW w:type="dxa" w:w="3334"/>
                  <w:tcBorders>
                    <w:top w:val="none" w:color="000000" w:sz="4"/>
                    <w:left w:val="none" w:color="000000" w:sz="4"/>
                    <w:bottom w:val="single" w:color="000000" w:sz="4"/>
                    <w:right w:val="single" w:color="000000" w:sz="4"/>
                  </w:tcBorders>
                  <w:vAlign w:val="top"/>
                </w:tcPr>
                <w:p>
                  <w:pPr>
                    <w:jc w:val="left"/>
                  </w:pPr>
                  <w:r>
                    <w:rPr>
                      <w:sz w:val="21"/>
                    </w:rPr>
                    <w:t>1.技术参数要求:检验有效期内且载重量为0.6吨或以上的机动车辆。</w:t>
                  </w:r>
                </w:p>
                <w:p>
                  <w:pPr>
                    <w:jc w:val="left"/>
                  </w:pPr>
                  <w:r>
                    <w:rPr>
                      <w:sz w:val="21"/>
                    </w:rPr>
                    <w:t>2.小型货车必须配备GPS实时定位设备并接入采购人的监控系统，工作时间内必须开启；（设备的投入和维护等相关费用由中标人承担）</w:t>
                  </w:r>
                </w:p>
              </w:tc>
              <w:tc>
                <w:tcPr>
                  <w:tcW w:type="dxa" w:w="660"/>
                  <w:tcBorders>
                    <w:top w:val="none" w:color="000000" w:sz="4"/>
                    <w:left w:val="none" w:color="000000" w:sz="4"/>
                    <w:bottom w:val="single" w:color="000000" w:sz="4"/>
                    <w:right w:val="single" w:color="000000" w:sz="4"/>
                  </w:tcBorders>
                  <w:vAlign w:val="top"/>
                </w:tcPr>
                <w:p>
                  <w:pPr>
                    <w:jc w:val="center"/>
                  </w:pPr>
                  <w:r>
                    <w:rPr>
                      <w:sz w:val="21"/>
                    </w:rPr>
                    <w:t>2</w:t>
                  </w:r>
                  <w:r>
                    <w:rPr>
                      <w:sz w:val="21"/>
                    </w:rPr>
                    <w:t>辆</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电动三轮车</w:t>
                  </w:r>
                </w:p>
              </w:tc>
              <w:tc>
                <w:tcPr>
                  <w:tcW w:type="dxa" w:w="3334"/>
                  <w:tcBorders>
                    <w:top w:val="none" w:color="000000" w:sz="4"/>
                    <w:left w:val="none" w:color="000000" w:sz="4"/>
                    <w:bottom w:val="single" w:color="000000" w:sz="4"/>
                    <w:right w:val="single" w:color="000000" w:sz="4"/>
                  </w:tcBorders>
                  <w:vAlign w:val="top"/>
                </w:tcPr>
                <w:p>
                  <w:pPr>
                    <w:jc w:val="left"/>
                  </w:pPr>
                  <w:r>
                    <w:rPr>
                      <w:sz w:val="21"/>
                    </w:rPr>
                    <w:t>在</w:t>
                  </w:r>
                  <w:r>
                    <w:rPr>
                      <w:sz w:val="21"/>
                    </w:rPr>
                    <w:t>2020年1月1日</w:t>
                  </w:r>
                  <w:r>
                    <w:rPr>
                      <w:sz w:val="21"/>
                    </w:rPr>
                    <w:t>后购置。</w:t>
                  </w:r>
                </w:p>
              </w:tc>
              <w:tc>
                <w:tcPr>
                  <w:tcW w:type="dxa" w:w="660"/>
                  <w:tcBorders>
                    <w:top w:val="none" w:color="000000" w:sz="4"/>
                    <w:left w:val="none" w:color="000000" w:sz="4"/>
                    <w:bottom w:val="single" w:color="000000" w:sz="4"/>
                    <w:right w:val="single" w:color="000000" w:sz="4"/>
                  </w:tcBorders>
                  <w:vAlign w:val="top"/>
                </w:tcPr>
                <w:p>
                  <w:pPr>
                    <w:jc w:val="center"/>
                  </w:pPr>
                  <w:r>
                    <w:rPr>
                      <w:sz w:val="21"/>
                    </w:rPr>
                    <w:t>4台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车载式喷雾机</w:t>
                  </w:r>
                </w:p>
              </w:tc>
              <w:tc>
                <w:tcPr>
                  <w:tcW w:type="dxa" w:w="3334"/>
                  <w:tcBorders>
                    <w:top w:val="none" w:color="000000" w:sz="4"/>
                    <w:left w:val="none" w:color="000000" w:sz="4"/>
                    <w:bottom w:val="single" w:color="000000" w:sz="4"/>
                    <w:right w:val="single" w:color="000000" w:sz="4"/>
                  </w:tcBorders>
                  <w:vAlign w:val="top"/>
                </w:tcPr>
                <w:p>
                  <w:pPr>
                    <w:jc w:val="left"/>
                  </w:pPr>
                  <w:r>
                    <w:rPr>
                      <w:sz w:val="21"/>
                    </w:rPr>
                    <w:t>1.输出容量50-100公升/小时，达距100米（受制于风速），雾滴80%&lt;40微米，声量80分贝以下。</w:t>
                  </w:r>
                </w:p>
              </w:tc>
              <w:tc>
                <w:tcPr>
                  <w:tcW w:type="dxa" w:w="660"/>
                  <w:tcBorders>
                    <w:top w:val="none" w:color="000000" w:sz="4"/>
                    <w:left w:val="none" w:color="000000" w:sz="4"/>
                    <w:bottom w:val="single" w:color="000000" w:sz="4"/>
                    <w:right w:val="single" w:color="000000" w:sz="4"/>
                  </w:tcBorders>
                  <w:vAlign w:val="top"/>
                </w:tcPr>
                <w:p>
                  <w:pPr>
                    <w:jc w:val="center"/>
                  </w:pPr>
                  <w:r>
                    <w:rPr>
                      <w:sz w:val="21"/>
                    </w:rPr>
                    <w:t>2台</w:t>
                  </w:r>
                </w:p>
              </w:tc>
            </w:tr>
            <w:tr>
              <w:tc>
                <w:tcPr>
                  <w:tcW w:type="dxa" w:w="45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150"/>
                  <w:tcBorders>
                    <w:top w:val="none" w:color="000000" w:sz="4"/>
                    <w:left w:val="none" w:color="000000" w:sz="4"/>
                    <w:bottom w:val="single" w:color="000000" w:sz="4"/>
                    <w:right w:val="single" w:color="000000" w:sz="4"/>
                  </w:tcBorders>
                  <w:vAlign w:val="top"/>
                </w:tcPr>
                <w:p>
                  <w:pPr>
                    <w:jc w:val="center"/>
                  </w:pPr>
                  <w:r>
                    <w:rPr>
                      <w:sz w:val="21"/>
                    </w:rPr>
                    <w:t>鼠屋</w:t>
                  </w:r>
                </w:p>
              </w:tc>
              <w:tc>
                <w:tcPr>
                  <w:tcW w:type="dxa" w:w="3334"/>
                  <w:tcBorders>
                    <w:top w:val="none" w:color="000000" w:sz="4"/>
                    <w:left w:val="none" w:color="000000" w:sz="4"/>
                    <w:bottom w:val="single" w:color="000000" w:sz="4"/>
                    <w:right w:val="single" w:color="000000" w:sz="4"/>
                  </w:tcBorders>
                  <w:vAlign w:val="top"/>
                </w:tcPr>
                <w:p>
                  <w:pPr>
                    <w:jc w:val="left"/>
                  </w:pPr>
                  <w:r>
                    <w:rPr>
                      <w:sz w:val="21"/>
                    </w:rPr>
                    <w:t>1.材质瓦筒，规格≧长34cm宽12cm高12cm</w:t>
                  </w:r>
                </w:p>
              </w:tc>
              <w:tc>
                <w:tcPr>
                  <w:tcW w:type="dxa" w:w="660"/>
                  <w:tcBorders>
                    <w:top w:val="none" w:color="000000" w:sz="4"/>
                    <w:left w:val="none" w:color="000000" w:sz="4"/>
                    <w:bottom w:val="single" w:color="000000" w:sz="4"/>
                    <w:right w:val="single" w:color="000000" w:sz="4"/>
                  </w:tcBorders>
                  <w:vAlign w:val="top"/>
                </w:tcPr>
                <w:p>
                  <w:pPr>
                    <w:jc w:val="center"/>
                  </w:pPr>
                  <w:r>
                    <w:rPr>
                      <w:sz w:val="21"/>
                    </w:rPr>
                    <w:t>3000个</w:t>
                  </w:r>
                </w:p>
              </w:tc>
            </w:tr>
            <w:tr>
              <w:tc>
                <w:tcPr>
                  <w:tcW w:type="dxa" w:w="5599"/>
                  <w:gridSpan w:val="4"/>
                  <w:tcBorders>
                    <w:top w:val="none" w:color="000000" w:sz="4"/>
                    <w:left w:val="single" w:color="000000" w:sz="4"/>
                    <w:bottom w:val="single" w:color="000000" w:sz="4"/>
                    <w:right w:val="single" w:color="000000" w:sz="4"/>
                  </w:tcBorders>
                  <w:vAlign w:val="top"/>
                </w:tcPr>
                <w:p>
                  <w:pPr>
                    <w:jc w:val="left"/>
                  </w:pPr>
                  <w:r>
                    <w:rPr>
                      <w:b/>
                      <w:sz w:val="24"/>
                    </w:rPr>
                    <w:t>★注</w:t>
                  </w:r>
                  <w:r>
                    <w:rPr>
                      <w:b/>
                      <w:sz w:val="24"/>
                    </w:rPr>
                    <w:t>1</w:t>
                  </w:r>
                  <w:r>
                    <w:rPr>
                      <w:b/>
                      <w:sz w:val="24"/>
                    </w:rPr>
                    <w:t>：</w:t>
                  </w:r>
                  <w:r>
                    <w:rPr>
                      <w:b/>
                      <w:sz w:val="24"/>
                    </w:rPr>
                    <w:t>中标人提供的设备须在</w:t>
                  </w:r>
                  <w:r>
                    <w:rPr>
                      <w:b/>
                      <w:sz w:val="24"/>
                    </w:rPr>
                    <w:t>2020年1月1日</w:t>
                  </w:r>
                  <w:r>
                    <w:rPr>
                      <w:b/>
                      <w:sz w:val="24"/>
                    </w:rPr>
                    <w:t>之后购置的（在投标时提供承诺函，格式自拟）。</w:t>
                  </w:r>
                </w:p>
                <w:p>
                  <w:pPr>
                    <w:jc w:val="left"/>
                  </w:pPr>
                  <w:r>
                    <w:rPr>
                      <w:b/>
                      <w:sz w:val="21"/>
                    </w:rPr>
                    <w:t>注</w:t>
                  </w:r>
                  <w:r>
                    <w:rPr>
                      <w:b/>
                      <w:sz w:val="21"/>
                    </w:rPr>
                    <w:t>2：</w:t>
                  </w:r>
                  <w:r>
                    <w:rPr>
                      <w:b/>
                      <w:sz w:val="21"/>
                    </w:rPr>
                    <w:t>中标供应商</w:t>
                  </w:r>
                  <w:r>
                    <w:rPr>
                      <w:b/>
                      <w:sz w:val="21"/>
                    </w:rPr>
                    <w:t>须在合同签订后一个月内将上述车辆和设备的发票复印件（发票抬头与</w:t>
                  </w:r>
                  <w:r>
                    <w:rPr>
                      <w:b/>
                      <w:sz w:val="21"/>
                    </w:rPr>
                    <w:t>中标供应商</w:t>
                  </w:r>
                  <w:r>
                    <w:rPr>
                      <w:b/>
                      <w:sz w:val="21"/>
                    </w:rPr>
                    <w:t>单位名称一致）交予</w:t>
                  </w:r>
                  <w:r>
                    <w:rPr>
                      <w:b/>
                      <w:sz w:val="21"/>
                    </w:rPr>
                    <w:t>招标人</w:t>
                  </w:r>
                  <w:r>
                    <w:rPr>
                      <w:b/>
                      <w:sz w:val="21"/>
                    </w:rPr>
                    <w:t>备案。</w:t>
                  </w:r>
                </w:p>
              </w:tc>
            </w:tr>
          </w:tbl>
          <w:p>
            <w:pPr>
              <w:jc w:val="both"/>
            </w:pPr>
            <w:r>
              <w:rPr>
                <w:sz w:val="21"/>
              </w:rPr>
              <w:t>8.</w:t>
            </w:r>
            <w:r>
              <w:rPr>
                <w:sz w:val="21"/>
              </w:rPr>
              <w:t>服装基本配置</w:t>
            </w:r>
          </w:p>
          <w:tbl>
            <w:tblPr>
              <w:tblInd w:type="dxa" w:w="120"/>
              <w:tblBorders>
                <w:top w:val="none" w:color="000000" w:sz="4"/>
                <w:left w:val="none" w:color="000000" w:sz="4"/>
                <w:bottom w:val="none" w:color="000000" w:sz="4"/>
                <w:right w:val="none" w:color="000000" w:sz="4"/>
                <w:insideH w:val="none"/>
                <w:insideV w:val="none"/>
              </w:tblBorders>
            </w:tblPr>
            <w:tblGrid>
              <w:gridCol w:w="518"/>
              <w:gridCol w:w="1223"/>
              <w:gridCol w:w="3857"/>
            </w:tblGrid>
            <w:tr>
              <w:tc>
                <w:tcPr>
                  <w:tcW w:type="dxa" w:w="51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23"/>
                  <w:tcBorders>
                    <w:top w:val="single" w:color="000000" w:sz="4"/>
                    <w:left w:val="single" w:color="000000" w:sz="4"/>
                    <w:bottom w:val="single" w:color="000000" w:sz="4"/>
                    <w:right w:val="single" w:color="000000" w:sz="4"/>
                  </w:tcBorders>
                  <w:vAlign w:val="top"/>
                </w:tcPr>
                <w:p>
                  <w:pPr>
                    <w:jc w:val="center"/>
                  </w:pPr>
                  <w:r>
                    <w:rPr>
                      <w:sz w:val="21"/>
                    </w:rPr>
                    <w:t>服装</w:t>
                  </w:r>
                </w:p>
              </w:tc>
              <w:tc>
                <w:tcPr>
                  <w:tcW w:type="dxa" w:w="3857"/>
                  <w:tcBorders>
                    <w:top w:val="single" w:color="000000" w:sz="4"/>
                    <w:left w:val="single" w:color="000000" w:sz="4"/>
                    <w:bottom w:val="single" w:color="000000" w:sz="4"/>
                    <w:right w:val="single" w:color="000000" w:sz="4"/>
                  </w:tcBorders>
                  <w:vAlign w:val="top"/>
                </w:tcPr>
                <w:p>
                  <w:pPr>
                    <w:jc w:val="center"/>
                  </w:pPr>
                  <w:r>
                    <w:rPr>
                      <w:sz w:val="21"/>
                    </w:rPr>
                    <w:t>具体要求</w:t>
                  </w:r>
                </w:p>
              </w:tc>
            </w:tr>
            <w:tr>
              <w:tc>
                <w:tcPr>
                  <w:tcW w:type="dxa" w:w="518"/>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223"/>
                  <w:tcBorders>
                    <w:top w:val="none" w:color="000000" w:sz="4"/>
                    <w:left w:val="single" w:color="000000" w:sz="4"/>
                    <w:bottom w:val="single" w:color="000000" w:sz="4"/>
                    <w:right w:val="single" w:color="000000" w:sz="4"/>
                  </w:tcBorders>
                  <w:vAlign w:val="top"/>
                </w:tcPr>
                <w:p>
                  <w:pPr>
                    <w:jc w:val="center"/>
                  </w:pPr>
                  <w:r>
                    <w:rPr>
                      <w:sz w:val="21"/>
                    </w:rPr>
                    <w:t>个人防护</w:t>
                  </w:r>
                </w:p>
              </w:tc>
              <w:tc>
                <w:tcPr>
                  <w:tcW w:type="dxa" w:w="3857"/>
                  <w:tcBorders>
                    <w:top w:val="none" w:color="000000" w:sz="4"/>
                    <w:left w:val="single" w:color="000000" w:sz="4"/>
                    <w:bottom w:val="single" w:color="000000" w:sz="4"/>
                    <w:right w:val="single" w:color="000000" w:sz="4"/>
                  </w:tcBorders>
                  <w:vAlign w:val="top"/>
                </w:tcPr>
                <w:p>
                  <w:pPr>
                    <w:jc w:val="left"/>
                  </w:pPr>
                  <w:r>
                    <w:rPr>
                      <w:sz w:val="21"/>
                    </w:rPr>
                    <w:t>1.服装：统一审定的图案、色泽及格式制作的工作服（含雨衣）</w:t>
                  </w:r>
                </w:p>
                <w:p>
                  <w:pPr>
                    <w:jc w:val="left"/>
                  </w:pPr>
                  <w:r>
                    <w:rPr>
                      <w:sz w:val="21"/>
                    </w:rPr>
                    <w:t>2.反光衣、戴橡胶手套、口罩、镊子等</w:t>
                  </w:r>
                </w:p>
                <w:p>
                  <w:pPr>
                    <w:jc w:val="left"/>
                  </w:pPr>
                  <w:r>
                    <w:rPr>
                      <w:sz w:val="21"/>
                    </w:rPr>
                    <w:t>3.服务期三年的基本装备损耗</w:t>
                  </w:r>
                </w:p>
              </w:tc>
            </w:tr>
          </w:tbl>
          <w:p>
            <w:pPr>
              <w:ind w:firstLine="200"/>
              <w:jc w:val="both"/>
            </w:pPr>
            <w:r>
              <w:rPr>
                <w:sz w:val="24"/>
              </w:rPr>
              <w:t>9.</w:t>
            </w:r>
            <w:r>
              <w:rPr>
                <w:sz w:val="24"/>
              </w:rPr>
              <w:t>防治药品基本配置</w:t>
            </w:r>
          </w:p>
          <w:tbl>
            <w:tblPr>
              <w:tblInd w:type="dxa" w:w="120"/>
              <w:tblBorders>
                <w:top w:val="none" w:color="000000" w:sz="4"/>
                <w:left w:val="none" w:color="000000" w:sz="4"/>
                <w:bottom w:val="none" w:color="000000" w:sz="4"/>
                <w:right w:val="none" w:color="000000" w:sz="4"/>
                <w:insideH w:val="none"/>
                <w:insideV w:val="none"/>
              </w:tblBorders>
            </w:tblPr>
            <w:tblGrid>
              <w:gridCol w:w="518"/>
              <w:gridCol w:w="1223"/>
              <w:gridCol w:w="3857"/>
            </w:tblGrid>
            <w:tr>
              <w:tc>
                <w:tcPr>
                  <w:tcW w:type="dxa" w:w="51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23"/>
                  <w:tcBorders>
                    <w:top w:val="single" w:color="000000" w:sz="4"/>
                    <w:left w:val="single" w:color="000000" w:sz="4"/>
                    <w:bottom w:val="single" w:color="000000" w:sz="4"/>
                    <w:right w:val="single" w:color="000000" w:sz="4"/>
                  </w:tcBorders>
                  <w:vAlign w:val="top"/>
                </w:tcPr>
                <w:p>
                  <w:pPr>
                    <w:jc w:val="center"/>
                  </w:pPr>
                  <w:r>
                    <w:rPr>
                      <w:sz w:val="21"/>
                    </w:rPr>
                    <w:t>药物类别</w:t>
                  </w:r>
                </w:p>
              </w:tc>
              <w:tc>
                <w:tcPr>
                  <w:tcW w:type="dxa" w:w="3857"/>
                  <w:tcBorders>
                    <w:top w:val="single" w:color="000000" w:sz="4"/>
                    <w:left w:val="single" w:color="000000" w:sz="4"/>
                    <w:bottom w:val="single" w:color="000000" w:sz="4"/>
                    <w:right w:val="single" w:color="000000" w:sz="4"/>
                  </w:tcBorders>
                  <w:vAlign w:val="top"/>
                </w:tcPr>
                <w:p>
                  <w:pPr>
                    <w:jc w:val="center"/>
                  </w:pPr>
                  <w:r>
                    <w:rPr>
                      <w:sz w:val="21"/>
                    </w:rPr>
                    <w:t>具体要求</w:t>
                  </w:r>
                </w:p>
              </w:tc>
            </w:tr>
            <w:tr>
              <w:tc>
                <w:tcPr>
                  <w:tcW w:type="dxa" w:w="518"/>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223"/>
                  <w:tcBorders>
                    <w:top w:val="none" w:color="000000" w:sz="4"/>
                    <w:left w:val="single" w:color="000000" w:sz="4"/>
                    <w:bottom w:val="single" w:color="000000" w:sz="4"/>
                    <w:right w:val="single" w:color="000000" w:sz="4"/>
                  </w:tcBorders>
                  <w:vAlign w:val="top"/>
                </w:tcPr>
                <w:p>
                  <w:pPr>
                    <w:jc w:val="center"/>
                  </w:pPr>
                  <w:r>
                    <w:rPr>
                      <w:sz w:val="21"/>
                    </w:rPr>
                    <w:t>灭蚊药</w:t>
                  </w:r>
                </w:p>
              </w:tc>
              <w:tc>
                <w:tcPr>
                  <w:tcW w:type="dxa" w:w="3857"/>
                  <w:tcBorders>
                    <w:top w:val="none" w:color="000000" w:sz="4"/>
                    <w:left w:val="single" w:color="000000" w:sz="4"/>
                    <w:bottom w:val="single" w:color="000000" w:sz="4"/>
                    <w:right w:val="single" w:color="000000" w:sz="4"/>
                  </w:tcBorders>
                  <w:vAlign w:val="top"/>
                </w:tcPr>
                <w:p>
                  <w:pPr>
                    <w:jc w:val="left"/>
                  </w:pPr>
                  <w:r>
                    <w:rPr>
                      <w:sz w:val="21"/>
                    </w:rPr>
                    <w:t>1.适用于喷雾机的药剂；定期对项目服务范围内全部场所进行检查，并作空间喷洒灭成蚊，视成蚊密度情况增加频次</w:t>
                  </w:r>
                </w:p>
                <w:p>
                  <w:pPr>
                    <w:jc w:val="left"/>
                  </w:pPr>
                  <w:r>
                    <w:rPr>
                      <w:sz w:val="21"/>
                    </w:rPr>
                    <w:t>2.吊挂蚊虫缓释控制药；对项目服务范围内有积水的下水道沉沙井</w:t>
                  </w:r>
                </w:p>
                <w:p>
                  <w:pPr>
                    <w:jc w:val="left"/>
                  </w:pPr>
                  <w:r>
                    <w:rPr>
                      <w:sz w:val="21"/>
                    </w:rPr>
                    <w:t>3.主要灭蚊、幼虫</w:t>
                  </w:r>
                </w:p>
              </w:tc>
            </w:tr>
            <w:tr>
              <w:tc>
                <w:tcPr>
                  <w:tcW w:type="dxa" w:w="518"/>
                  <w:tcBorders>
                    <w:top w:val="none" w:color="000000" w:sz="4"/>
                    <w:left w:val="single" w:color="000000" w:sz="4"/>
                    <w:bottom w:val="single" w:color="000000" w:sz="4"/>
                    <w:right w:val="single" w:color="000000" w:sz="4"/>
                  </w:tcBorders>
                  <w:vAlign w:val="top"/>
                </w:tcPr>
                <w:p>
                  <w:pPr>
                    <w:jc w:val="center"/>
                  </w:pPr>
                  <w:r>
                    <w:rPr>
                      <w:sz w:val="21"/>
                    </w:rPr>
                    <w:t>02</w:t>
                  </w:r>
                </w:p>
              </w:tc>
              <w:tc>
                <w:tcPr>
                  <w:tcW w:type="dxa" w:w="1223"/>
                  <w:tcBorders>
                    <w:top w:val="none" w:color="000000" w:sz="4"/>
                    <w:left w:val="single" w:color="000000" w:sz="4"/>
                    <w:bottom w:val="single" w:color="000000" w:sz="4"/>
                    <w:right w:val="single" w:color="000000" w:sz="4"/>
                  </w:tcBorders>
                  <w:vAlign w:val="top"/>
                </w:tcPr>
                <w:p>
                  <w:pPr>
                    <w:jc w:val="center"/>
                  </w:pPr>
                  <w:r>
                    <w:rPr>
                      <w:sz w:val="21"/>
                    </w:rPr>
                    <w:t>灭蝇药</w:t>
                  </w:r>
                </w:p>
              </w:tc>
              <w:tc>
                <w:tcPr>
                  <w:tcW w:type="dxa" w:w="3857"/>
                  <w:tcBorders>
                    <w:top w:val="none" w:color="000000" w:sz="4"/>
                    <w:left w:val="single" w:color="000000" w:sz="4"/>
                    <w:bottom w:val="single" w:color="000000" w:sz="4"/>
                    <w:right w:val="single" w:color="000000" w:sz="4"/>
                  </w:tcBorders>
                  <w:vAlign w:val="top"/>
                </w:tcPr>
                <w:p>
                  <w:pPr>
                    <w:jc w:val="left"/>
                  </w:pPr>
                  <w:r>
                    <w:rPr>
                      <w:sz w:val="21"/>
                    </w:rPr>
                    <w:t>1.适用于喷雾机</w:t>
                  </w:r>
                </w:p>
                <w:p>
                  <w:pPr>
                    <w:jc w:val="left"/>
                  </w:pPr>
                  <w:r>
                    <w:rPr>
                      <w:sz w:val="21"/>
                    </w:rPr>
                    <w:t>2.定期对项目服务范围内场所进行滞留喷洒灭成蝇</w:t>
                  </w:r>
                </w:p>
                <w:p>
                  <w:pPr>
                    <w:jc w:val="left"/>
                  </w:pPr>
                  <w:r>
                    <w:rPr>
                      <w:sz w:val="21"/>
                    </w:rPr>
                    <w:t>3.主要灭蝇</w:t>
                  </w:r>
                </w:p>
              </w:tc>
            </w:tr>
            <w:tr>
              <w:tc>
                <w:tcPr>
                  <w:tcW w:type="dxa" w:w="518"/>
                  <w:tcBorders>
                    <w:top w:val="none" w:color="000000" w:sz="4"/>
                    <w:left w:val="single" w:color="000000" w:sz="4"/>
                    <w:bottom w:val="single" w:color="000000" w:sz="4"/>
                    <w:right w:val="single" w:color="000000" w:sz="4"/>
                  </w:tcBorders>
                  <w:vAlign w:val="top"/>
                </w:tcPr>
                <w:p>
                  <w:pPr>
                    <w:jc w:val="center"/>
                  </w:pPr>
                  <w:r>
                    <w:rPr>
                      <w:sz w:val="21"/>
                    </w:rPr>
                    <w:t>03</w:t>
                  </w:r>
                </w:p>
              </w:tc>
              <w:tc>
                <w:tcPr>
                  <w:tcW w:type="dxa" w:w="1223"/>
                  <w:tcBorders>
                    <w:top w:val="none" w:color="000000" w:sz="4"/>
                    <w:left w:val="single" w:color="000000" w:sz="4"/>
                    <w:bottom w:val="single" w:color="000000" w:sz="4"/>
                    <w:right w:val="single" w:color="000000" w:sz="4"/>
                  </w:tcBorders>
                  <w:vAlign w:val="top"/>
                </w:tcPr>
                <w:p>
                  <w:pPr>
                    <w:jc w:val="center"/>
                  </w:pPr>
                  <w:r>
                    <w:rPr>
                      <w:sz w:val="21"/>
                    </w:rPr>
                    <w:t>灭蟑药</w:t>
                  </w:r>
                </w:p>
              </w:tc>
              <w:tc>
                <w:tcPr>
                  <w:tcW w:type="dxa" w:w="3857"/>
                  <w:tcBorders>
                    <w:top w:val="none" w:color="000000" w:sz="4"/>
                    <w:left w:val="single" w:color="000000" w:sz="4"/>
                    <w:bottom w:val="single" w:color="000000" w:sz="4"/>
                    <w:right w:val="single" w:color="000000" w:sz="4"/>
                  </w:tcBorders>
                  <w:vAlign w:val="top"/>
                </w:tcPr>
                <w:p>
                  <w:pPr>
                    <w:jc w:val="left"/>
                  </w:pPr>
                  <w:r>
                    <w:rPr>
                      <w:sz w:val="21"/>
                    </w:rPr>
                    <w:t>1.适用于热力烟雾机</w:t>
                  </w:r>
                </w:p>
                <w:p>
                  <w:pPr>
                    <w:jc w:val="left"/>
                  </w:pPr>
                  <w:r>
                    <w:rPr>
                      <w:sz w:val="21"/>
                    </w:rPr>
                    <w:t>2.主要灭蟑螂</w:t>
                  </w:r>
                </w:p>
              </w:tc>
            </w:tr>
            <w:tr>
              <w:tc>
                <w:tcPr>
                  <w:tcW w:type="dxa" w:w="518"/>
                  <w:tcBorders>
                    <w:top w:val="none" w:color="000000" w:sz="4"/>
                    <w:left w:val="single" w:color="000000" w:sz="4"/>
                    <w:bottom w:val="single" w:color="000000" w:sz="4"/>
                    <w:right w:val="single" w:color="000000" w:sz="4"/>
                  </w:tcBorders>
                  <w:vAlign w:val="top"/>
                </w:tcPr>
                <w:p>
                  <w:pPr>
                    <w:jc w:val="center"/>
                  </w:pPr>
                  <w:r>
                    <w:rPr>
                      <w:sz w:val="21"/>
                    </w:rPr>
                    <w:t>04</w:t>
                  </w:r>
                </w:p>
              </w:tc>
              <w:tc>
                <w:tcPr>
                  <w:tcW w:type="dxa" w:w="1223"/>
                  <w:tcBorders>
                    <w:top w:val="none" w:color="000000" w:sz="4"/>
                    <w:left w:val="single" w:color="000000" w:sz="4"/>
                    <w:bottom w:val="single" w:color="000000" w:sz="4"/>
                    <w:right w:val="single" w:color="000000" w:sz="4"/>
                  </w:tcBorders>
                  <w:vAlign w:val="top"/>
                </w:tcPr>
                <w:p>
                  <w:pPr>
                    <w:jc w:val="center"/>
                  </w:pPr>
                  <w:r>
                    <w:rPr>
                      <w:sz w:val="21"/>
                    </w:rPr>
                    <w:t>灭鼠药</w:t>
                  </w:r>
                </w:p>
              </w:tc>
              <w:tc>
                <w:tcPr>
                  <w:tcW w:type="dxa" w:w="3857"/>
                  <w:tcBorders>
                    <w:top w:val="none" w:color="000000" w:sz="4"/>
                    <w:left w:val="single" w:color="000000" w:sz="4"/>
                    <w:bottom w:val="single" w:color="000000" w:sz="4"/>
                    <w:right w:val="single" w:color="000000" w:sz="4"/>
                  </w:tcBorders>
                  <w:vAlign w:val="top"/>
                </w:tcPr>
                <w:p>
                  <w:pPr>
                    <w:jc w:val="left"/>
                  </w:pPr>
                  <w:r>
                    <w:rPr>
                      <w:sz w:val="21"/>
                    </w:rPr>
                    <w:t>1.灭鼠药：投放于毒鼠屋的灭鼠药</w:t>
                  </w:r>
                </w:p>
                <w:p>
                  <w:pPr>
                    <w:jc w:val="left"/>
                  </w:pPr>
                  <w:r>
                    <w:rPr>
                      <w:sz w:val="21"/>
                    </w:rPr>
                    <w:t>2.适用范围：公共外环境</w:t>
                  </w:r>
                </w:p>
              </w:tc>
            </w:tr>
          </w:tbl>
        </w:tc>
      </w:tr>
      <w:tr>
        <w:tc>
          <w:tcPr>
            <w:tcW w:type="dxa" w:w="2076"/>
          </w:tcPr>
          <w:p/>
        </w:tc>
        <w:tc>
          <w:tcPr>
            <w:tcW w:type="dxa" w:w="415"/>
          </w:tcPr>
          <w:p>
            <w:r>
              <w:rPr/>
              <w:t>3</w:t>
            </w:r>
          </w:p>
        </w:tc>
        <w:tc>
          <w:tcPr>
            <w:tcW w:type="dxa" w:w="5814"/>
          </w:tcPr>
          <w:p>
            <w:pPr>
              <w:jc w:val="left"/>
            </w:pPr>
            <w:r>
              <w:rPr>
                <w:b/>
                <w:sz w:val="21"/>
              </w:rPr>
              <w:t>三、大良街道公共环境除</w:t>
            </w:r>
            <w:r>
              <w:rPr>
                <w:b/>
                <w:sz w:val="21"/>
              </w:rPr>
              <w:t>“四害”管理服务项目（</w:t>
            </w:r>
            <w:r>
              <w:rPr>
                <w:b/>
                <w:sz w:val="21"/>
              </w:rPr>
              <w:t>D</w:t>
            </w:r>
            <w:r>
              <w:rPr>
                <w:b/>
                <w:sz w:val="21"/>
              </w:rPr>
              <w:t>标段）</w:t>
            </w:r>
            <w:r>
              <w:rPr>
                <w:b/>
                <w:sz w:val="21"/>
              </w:rPr>
              <w:t>服务</w:t>
            </w:r>
            <w:r>
              <w:rPr>
                <w:b/>
                <w:sz w:val="21"/>
              </w:rPr>
              <w:t>要求</w:t>
            </w:r>
          </w:p>
          <w:p>
            <w:pPr>
              <w:ind w:firstLine="420"/>
              <w:jc w:val="left"/>
            </w:pPr>
            <w:r>
              <w:rPr>
                <w:sz w:val="21"/>
              </w:rPr>
              <w:t>1、人员要求</w:t>
            </w:r>
          </w:p>
          <w:p>
            <w:pPr>
              <w:ind w:firstLine="420"/>
              <w:jc w:val="left"/>
            </w:pPr>
            <w:r>
              <w:rPr>
                <w:sz w:val="21"/>
              </w:rPr>
              <w:t>（</w:t>
            </w:r>
            <w:r>
              <w:rPr>
                <w:sz w:val="21"/>
              </w:rPr>
              <w:t>1）中标供应商必须按招标文件要求聘请足额工作人员专用于本项目，具有完全民事行为能力及身体健全。专业技术人员必须持证上岗。</w:t>
            </w:r>
          </w:p>
          <w:p>
            <w:pPr>
              <w:ind w:firstLine="420"/>
              <w:jc w:val="left"/>
            </w:pPr>
            <w:r>
              <w:rPr>
                <w:sz w:val="21"/>
              </w:rPr>
              <w:t>（</w:t>
            </w:r>
            <w:r>
              <w:rPr>
                <w:sz w:val="21"/>
              </w:rPr>
              <w:t>2）工作人员上岗前须经过培训，熟悉设施设备的使用方法技巧。</w:t>
            </w:r>
          </w:p>
          <w:p>
            <w:pPr>
              <w:ind w:firstLine="420"/>
              <w:jc w:val="left"/>
            </w:pPr>
            <w:r>
              <w:rPr>
                <w:sz w:val="21"/>
              </w:rPr>
              <w:t>（</w:t>
            </w:r>
            <w:r>
              <w:rPr>
                <w:sz w:val="21"/>
              </w:rPr>
              <w:t>3）中标供应商需优先聘用大良街道户籍人员，同等条件下优先聘用大良街道工人。聘请的工作人员的年龄符合法定要求，且具有完全民事行为能力，身体健全。</w:t>
            </w:r>
          </w:p>
          <w:p>
            <w:pPr>
              <w:ind w:firstLine="420"/>
              <w:jc w:val="left"/>
            </w:pPr>
            <w:r>
              <w:rPr>
                <w:sz w:val="21"/>
              </w:rPr>
              <w:t>（</w:t>
            </w:r>
            <w:r>
              <w:rPr>
                <w:sz w:val="21"/>
              </w:rPr>
              <w:t>4）为了保障员工人身安全及意外的福利保险，中标供应商必须依法用工与作业人员签订劳动合同，按顺德区社会劳动保险的有关规定为员工购买社会保险，按时发放工资补贴。</w:t>
            </w:r>
          </w:p>
          <w:p>
            <w:pPr>
              <w:ind w:firstLine="420"/>
              <w:jc w:val="left"/>
            </w:pPr>
            <w:r>
              <w:rPr>
                <w:sz w:val="21"/>
              </w:rPr>
              <w:t>（</w:t>
            </w:r>
            <w:r>
              <w:rPr>
                <w:sz w:val="21"/>
              </w:rPr>
              <w:t>5）中标供应商必须执行国家劳动法的相关规定。</w:t>
            </w:r>
          </w:p>
          <w:p>
            <w:pPr>
              <w:ind w:firstLine="420"/>
              <w:jc w:val="left"/>
            </w:pPr>
            <w:r>
              <w:rPr>
                <w:sz w:val="21"/>
              </w:rPr>
              <w:t>（</w:t>
            </w:r>
            <w:r>
              <w:rPr>
                <w:sz w:val="21"/>
              </w:rPr>
              <w:t>6）作业人员必须穿着按招标人统一审定的图案、色泽及格式制作的工作服（含雨衣），保持衣冠整洁。阴天或夜间作业必须穿着反光衣。</w:t>
            </w:r>
          </w:p>
          <w:p>
            <w:pPr>
              <w:ind w:firstLine="420"/>
              <w:jc w:val="left"/>
            </w:pPr>
            <w:r>
              <w:rPr>
                <w:sz w:val="21"/>
              </w:rPr>
              <w:t>（</w:t>
            </w:r>
            <w:r>
              <w:rPr>
                <w:sz w:val="21"/>
              </w:rPr>
              <w:t>7）作业时间内，作业人员须遵纪守文明作业，不准参加自己管理区域外的工作，不得聚堆闲聊、瞌睡、执捡收集、挪用变卖垃圾废品及从事其它与作业无关的事项。</w:t>
            </w:r>
          </w:p>
          <w:p>
            <w:pPr>
              <w:ind w:firstLine="480"/>
              <w:jc w:val="both"/>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ind w:firstLine="48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由此产生的损失。</w:t>
            </w:r>
          </w:p>
          <w:p>
            <w:pPr>
              <w:ind w:firstLine="420"/>
              <w:jc w:val="left"/>
            </w:pPr>
            <w:r>
              <w:rPr>
                <w:sz w:val="21"/>
              </w:rPr>
              <w:t>2、车辆及设备要求</w:t>
            </w:r>
          </w:p>
          <w:p>
            <w:pPr>
              <w:ind w:firstLine="420"/>
              <w:jc w:val="left"/>
            </w:pPr>
            <w:r>
              <w:rPr>
                <w:sz w:val="21"/>
              </w:rPr>
              <w:t>（</w:t>
            </w:r>
            <w:r>
              <w:rPr>
                <w:sz w:val="21"/>
              </w:rPr>
              <w:t>1）中标供应商必须按招标文件要求足额配足车辆及设备专用于本项目，并使用招标人统一审定的车身图案、色泽及设置格式。</w:t>
            </w:r>
          </w:p>
          <w:p>
            <w:pPr>
              <w:ind w:firstLine="420"/>
              <w:jc w:val="left"/>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ind w:firstLine="420"/>
              <w:jc w:val="left"/>
            </w:pPr>
            <w:r>
              <w:rPr>
                <w:sz w:val="21"/>
              </w:rPr>
              <w:t>（</w:t>
            </w:r>
            <w:r>
              <w:rPr>
                <w:sz w:val="21"/>
              </w:rPr>
              <w:t>3）作业车辆必须具备法定有效证照，并购置办理税款、交强险等法定手续，一车一档，由持有相应驾驶证照的驾驶员驾驶。</w:t>
            </w:r>
          </w:p>
          <w:p>
            <w:pPr>
              <w:ind w:firstLine="420"/>
              <w:jc w:val="left"/>
            </w:pPr>
            <w:r>
              <w:rPr>
                <w:sz w:val="21"/>
              </w:rPr>
              <w:t>（</w:t>
            </w:r>
            <w:r>
              <w:rPr>
                <w:sz w:val="21"/>
              </w:rPr>
              <w:t>4）作业车辆及设备在使用过后必须按规定妥善停放于中标供应商停保场地内，不得随意停放于道路街道等公共区域阻碍通行。</w:t>
            </w:r>
          </w:p>
          <w:p>
            <w:pPr>
              <w:ind w:firstLine="420"/>
              <w:jc w:val="left"/>
            </w:pPr>
            <w:r>
              <w:rPr>
                <w:sz w:val="21"/>
              </w:rPr>
              <w:t>（</w:t>
            </w:r>
            <w:r>
              <w:rPr>
                <w:sz w:val="21"/>
              </w:rPr>
              <w:t>5）作业车辆必须遵守交通法规行驶。除应急抢修处理需要，并经招标人及交警部门同意外，不得于交通高峰期（7：00至9：00，17：00至19：00）占道作业，影响交通通行。</w:t>
            </w:r>
          </w:p>
          <w:p>
            <w:pPr>
              <w:ind w:firstLine="420"/>
              <w:jc w:val="left"/>
            </w:pPr>
            <w:r>
              <w:rPr>
                <w:sz w:val="21"/>
              </w:rPr>
              <w:t>（</w:t>
            </w:r>
            <w:r>
              <w:rPr>
                <w:sz w:val="21"/>
              </w:rPr>
              <w:t>6）小型货车必须配备GPS实时定位设备并接入招标人的监控系统，工作时间内必须开启。设备的投入和维护等相关费用由中标供应商承担。</w:t>
            </w:r>
          </w:p>
          <w:p>
            <w:pPr>
              <w:ind w:firstLine="420"/>
              <w:jc w:val="left"/>
            </w:pPr>
            <w:r>
              <w:rPr>
                <w:sz w:val="21"/>
              </w:rPr>
              <w:t>（</w:t>
            </w:r>
            <w:r>
              <w:rPr>
                <w:sz w:val="21"/>
              </w:rPr>
              <w:t>7）中标人须按招标文件要求足额配置设备及车辆专用于本项目，服务期内不得调往他用，否则将被视作违约。</w:t>
            </w:r>
          </w:p>
          <w:p>
            <w:pPr>
              <w:ind w:firstLine="420"/>
              <w:jc w:val="left"/>
            </w:pPr>
            <w:r>
              <w:rPr>
                <w:sz w:val="21"/>
              </w:rPr>
              <w:t>3、其他要求</w:t>
            </w:r>
          </w:p>
          <w:p>
            <w:pPr>
              <w:ind w:firstLine="420"/>
              <w:jc w:val="left"/>
            </w:pPr>
            <w:r>
              <w:rPr>
                <w:sz w:val="21"/>
              </w:rPr>
              <w:t>（</w:t>
            </w:r>
            <w:r>
              <w:rPr>
                <w:sz w:val="21"/>
              </w:rPr>
              <w:t>1）科学用药，不得使用国家禁用或伪劣的灭鼠、杀虫剂，并需安全操作，灭鼠药物保管完善,不遗失，灭鼠毒饵靠边和隐蔽处投放；不污染环境，确保人、畜安全，若因管理操作引起的一切责任由中标供应商负责。</w:t>
            </w:r>
          </w:p>
          <w:p>
            <w:pPr>
              <w:ind w:firstLine="420"/>
              <w:jc w:val="left"/>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ind w:firstLine="420"/>
              <w:jc w:val="left"/>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ind w:firstLine="420"/>
              <w:jc w:val="left"/>
            </w:pPr>
            <w:r>
              <w:rPr>
                <w:sz w:val="21"/>
              </w:rPr>
              <w:t>（</w:t>
            </w:r>
            <w:r>
              <w:rPr>
                <w:sz w:val="21"/>
              </w:rPr>
              <w:t>4）除虫施药注意个人防护，穿工作服，戴口罩和手套。</w:t>
            </w:r>
          </w:p>
          <w:p>
            <w:pPr>
              <w:ind w:firstLine="420"/>
              <w:jc w:val="left"/>
            </w:pPr>
            <w:r>
              <w:rPr>
                <w:sz w:val="21"/>
              </w:rPr>
              <w:t>（</w:t>
            </w:r>
            <w:r>
              <w:rPr>
                <w:sz w:val="21"/>
              </w:rPr>
              <w:t>5）施药除虫剩余的药物和药物包装容器（材料），回收集中处理不随地遗弃。</w:t>
            </w:r>
          </w:p>
          <w:p>
            <w:pPr>
              <w:ind w:firstLine="420"/>
              <w:jc w:val="left"/>
            </w:pPr>
            <w:r>
              <w:rPr>
                <w:sz w:val="21"/>
              </w:rPr>
              <w:t>（</w:t>
            </w:r>
            <w:r>
              <w:rPr>
                <w:sz w:val="21"/>
              </w:rPr>
              <w:t>6）不在鱼塘和与养鱼有关水体喷洒、倾倒对鱼类有害的杀虫剂和清洗喷雾工具、用具。</w:t>
            </w:r>
          </w:p>
          <w:p>
            <w:pPr>
              <w:ind w:firstLine="420"/>
              <w:jc w:val="left"/>
            </w:pPr>
            <w:r>
              <w:rPr>
                <w:sz w:val="21"/>
              </w:rPr>
              <w:t>（</w:t>
            </w:r>
            <w:r>
              <w:rPr>
                <w:sz w:val="21"/>
              </w:rPr>
              <w:t>7）必须遵守招标人各项管理规定，接受和服从招标人管理人员的管理及考评，配合提供便利条件，及时根据招标人提出的整改意见进行整改。</w:t>
            </w:r>
          </w:p>
          <w:p>
            <w:pPr>
              <w:ind w:firstLine="420"/>
              <w:jc w:val="left"/>
            </w:pPr>
            <w:r>
              <w:rPr>
                <w:sz w:val="21"/>
              </w:rPr>
              <w:t>（</w:t>
            </w:r>
            <w:r>
              <w:rPr>
                <w:sz w:val="21"/>
              </w:rPr>
              <w:t>8）配合招标人按招标文件规定接管新增工作任务，不得有异议。</w:t>
            </w:r>
          </w:p>
          <w:p>
            <w:pPr>
              <w:ind w:firstLine="420"/>
              <w:jc w:val="left"/>
            </w:pPr>
            <w:r>
              <w:rPr>
                <w:sz w:val="21"/>
              </w:rPr>
              <w:t>（</w:t>
            </w:r>
            <w:r>
              <w:rPr>
                <w:sz w:val="21"/>
              </w:rPr>
              <w:t>9）积极配合招标人作好国家、省、市、区及街道各级政府部门组织的考评、检查及验收等活动的迎接工作。</w:t>
            </w:r>
          </w:p>
          <w:p>
            <w:pPr>
              <w:ind w:firstLine="420"/>
              <w:jc w:val="left"/>
            </w:pPr>
            <w:r>
              <w:rPr>
                <w:sz w:val="21"/>
              </w:rPr>
              <w:t>（</w:t>
            </w:r>
            <w:r>
              <w:rPr>
                <w:sz w:val="21"/>
              </w:rPr>
              <w:t xml:space="preserve">10）按招标人要求及时提交作业计划、应急预案等资料，确保所提供的资料真实合理。    </w:t>
            </w:r>
          </w:p>
          <w:p>
            <w:pPr>
              <w:ind w:firstLine="420"/>
              <w:jc w:val="left"/>
            </w:pPr>
            <w:r>
              <w:rPr>
                <w:sz w:val="21"/>
              </w:rPr>
              <w:t>（</w:t>
            </w:r>
            <w:r>
              <w:rPr>
                <w:sz w:val="21"/>
              </w:rPr>
              <w:t>11）无条件配合政府及有关部门举办的一切活动，协助政府及有关部门处理应急事件。</w:t>
            </w:r>
          </w:p>
          <w:p>
            <w:pPr>
              <w:ind w:firstLine="420"/>
              <w:jc w:val="left"/>
            </w:pPr>
            <w:r>
              <w:rPr>
                <w:sz w:val="21"/>
              </w:rPr>
              <w:t>（</w:t>
            </w:r>
            <w:r>
              <w:rPr>
                <w:sz w:val="21"/>
              </w:rPr>
              <w:t>12）中标供应商必须及时制止影响项目管理质量的行为，并及时向招标人汇报情况及提供现场记录（相片、报告），超过24小时不报，则由中标供应商负责按原貌恢复。</w:t>
            </w:r>
          </w:p>
          <w:p>
            <w:pPr>
              <w:ind w:firstLine="420"/>
              <w:jc w:val="left"/>
            </w:pPr>
            <w:r>
              <w:rPr>
                <w:sz w:val="21"/>
              </w:rPr>
              <w:t>（</w:t>
            </w:r>
            <w:r>
              <w:rPr>
                <w:sz w:val="21"/>
              </w:rPr>
              <w:t>13）中标供应商对聘用员工必须严格管理，对他们的行为负全责，如在服务期内发生劳资纠纷、 意外（生病、伤亡事故）或违反合同规定、触犯国家法律等，由中标供应商承担全部责任及因事故产生的一切费用。</w:t>
            </w:r>
          </w:p>
          <w:p>
            <w:pPr>
              <w:ind w:firstLine="420"/>
              <w:jc w:val="left"/>
            </w:pPr>
            <w:r>
              <w:rPr>
                <w:sz w:val="21"/>
              </w:rPr>
              <w:t>（</w:t>
            </w:r>
            <w:r>
              <w:rPr>
                <w:sz w:val="21"/>
              </w:rPr>
              <w:t>14）标段辖区每居委定点必须设诱蚊产卵器60个，每月监测一次，记录在案。</w:t>
            </w:r>
          </w:p>
          <w:p>
            <w:pPr>
              <w:ind w:firstLine="420"/>
              <w:jc w:val="left"/>
            </w:pPr>
            <w:r>
              <w:rPr>
                <w:sz w:val="21"/>
              </w:rPr>
              <w:t>（</w:t>
            </w:r>
            <w:r>
              <w:rPr>
                <w:sz w:val="21"/>
              </w:rPr>
              <w:t>15）及时向中标供应商及相关部门反映异常情况。</w:t>
            </w:r>
          </w:p>
          <w:p>
            <w:pPr>
              <w:ind w:firstLine="420"/>
              <w:jc w:val="left"/>
            </w:pPr>
            <w:r>
              <w:rPr>
                <w:sz w:val="21"/>
              </w:rPr>
              <w:t>（</w:t>
            </w:r>
            <w:r>
              <w:rPr>
                <w:sz w:val="21"/>
              </w:rPr>
              <w:t>16）中标供应商必须按招标文件做好日常管理工作，避免群众通过来信、来电、来访等方式投诉。</w:t>
            </w:r>
          </w:p>
          <w:p>
            <w:pPr>
              <w:ind w:firstLine="420"/>
              <w:jc w:val="left"/>
            </w:pPr>
            <w:r>
              <w:rPr>
                <w:sz w:val="21"/>
              </w:rPr>
              <w:t>（</w:t>
            </w:r>
            <w:r>
              <w:rPr>
                <w:sz w:val="21"/>
              </w:rPr>
              <w:t>17）中标供应商直接或间接收到群众通过来信、来电、来访等方式投诉的，必须及时妥善处理整改，避免反复投诉。</w:t>
            </w:r>
          </w:p>
          <w:p>
            <w:pPr>
              <w:ind w:firstLine="420"/>
              <w:jc w:val="left"/>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ind w:firstLine="420"/>
              <w:jc w:val="left"/>
            </w:pPr>
            <w:r>
              <w:rPr>
                <w:sz w:val="21"/>
              </w:rPr>
              <w:t>（</w:t>
            </w:r>
            <w:r>
              <w:rPr>
                <w:sz w:val="21"/>
              </w:rPr>
              <w:t>19）中标供应商应做好服务人员档案管理资料；做好工作记录，建立施药服务卡，做好资料收集，整理归档。如招标人有需要必须随时提供。</w:t>
            </w:r>
          </w:p>
          <w:p>
            <w:pPr>
              <w:ind w:firstLine="420"/>
              <w:jc w:val="left"/>
            </w:pPr>
            <w:r>
              <w:rPr>
                <w:sz w:val="21"/>
              </w:rPr>
              <w:t>（</w:t>
            </w:r>
            <w:r>
              <w:rPr>
                <w:sz w:val="21"/>
              </w:rPr>
              <w:t>20）在服务期内，招标人没有增加服务内容、项目，而中标供应商自行增加工作人员的，所增加的费用由中标供应商负责。</w:t>
            </w:r>
          </w:p>
          <w:p>
            <w:pPr>
              <w:ind w:firstLine="420"/>
              <w:jc w:val="left"/>
            </w:pPr>
            <w:r>
              <w:rPr>
                <w:sz w:val="21"/>
              </w:rPr>
              <w:t>（</w:t>
            </w:r>
            <w:r>
              <w:rPr>
                <w:sz w:val="21"/>
              </w:rPr>
              <w:t>21）中标供应商除设立足够的作业人员外，还要指派 1 名能代表中标供应商履行管理及在检查考评中能承担责任的人员配合招标人、居（村）及监督员的检查考评，以方便日常检查及监督。中标供应商指派代表应确保手机通信畅通。</w:t>
            </w:r>
          </w:p>
          <w:p>
            <w:pPr>
              <w:jc w:val="both"/>
            </w:pPr>
            <w:r>
              <w:rPr>
                <w:sz w:val="21"/>
              </w:rPr>
              <w:t>（</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r>
              <w:rPr/>
              <w:t>4</w:t>
            </w:r>
          </w:p>
        </w:tc>
        <w:tc>
          <w:tcPr>
            <w:tcW w:type="dxa" w:w="5814"/>
          </w:tcPr>
          <w:p>
            <w:r>
              <w:rPr>
                <w:b/>
                <w:sz w:val="21"/>
              </w:rPr>
              <w:t>四、</w:t>
            </w:r>
            <w:r>
              <w:rPr>
                <w:b/>
                <w:sz w:val="21"/>
              </w:rPr>
              <w:t>大良街道公共环境除</w:t>
            </w:r>
            <w:r>
              <w:rPr>
                <w:b/>
                <w:sz w:val="21"/>
              </w:rPr>
              <w:t>“四害”管理服务项目（D标段）</w:t>
            </w:r>
            <w:r>
              <w:rPr>
                <w:b/>
                <w:sz w:val="21"/>
              </w:rPr>
              <w:t>服务标准及操作规范</w:t>
            </w:r>
          </w:p>
          <w:p>
            <w:pPr>
              <w:ind w:firstLine="422"/>
            </w:pPr>
            <w:r>
              <w:rPr>
                <w:b/>
                <w:sz w:val="21"/>
              </w:rPr>
              <w:t>1、服务基本标准</w:t>
            </w:r>
          </w:p>
          <w:p>
            <w:pPr>
              <w:ind w:firstLine="420"/>
            </w:pPr>
            <w:r>
              <w:rPr>
                <w:sz w:val="21"/>
              </w:rPr>
              <w:t>监测标准：《</w:t>
            </w:r>
            <w:r>
              <w:rPr>
                <w:sz w:val="21"/>
              </w:rPr>
              <w:t>&lt;中华人民共和</w:t>
            </w:r>
            <w:r>
              <w:rPr>
                <w:sz w:val="21"/>
              </w:rPr>
              <w:t>国国家标准（</w:t>
            </w:r>
            <w:r>
              <w:rPr>
                <w:sz w:val="21"/>
              </w:rPr>
              <w:t>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p>
            <w:pPr>
              <w:ind w:firstLine="420"/>
            </w:pPr>
            <w:r>
              <w:rPr>
                <w:sz w:val="21"/>
              </w:rPr>
              <w:t>控制水平标准：《中华人民共和国国家标准（</w:t>
            </w:r>
            <w:r>
              <w:rPr>
                <w:sz w:val="21"/>
              </w:rPr>
              <w:t>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tbl>
            <w:tblPr>
              <w:tblBorders>
                <w:top w:val="none" w:color="000000" w:sz="4"/>
                <w:left w:val="none" w:color="000000" w:sz="4"/>
                <w:bottom w:val="none" w:color="000000" w:sz="4"/>
                <w:right w:val="none" w:color="000000" w:sz="4"/>
                <w:insideH w:val="none"/>
                <w:insideV w:val="none"/>
              </w:tblBorders>
            </w:tblPr>
            <w:tblGrid>
              <w:gridCol w:w="909"/>
              <w:gridCol w:w="4689"/>
            </w:tblGrid>
            <w:tr>
              <w:tc>
                <w:tcPr>
                  <w:tcW w:type="dxa" w:w="909"/>
                  <w:tcBorders>
                    <w:top w:val="single" w:color="000000" w:sz="4"/>
                    <w:left w:val="single" w:color="000000" w:sz="4"/>
                    <w:bottom w:val="single" w:color="000000" w:sz="4"/>
                    <w:right w:val="single" w:color="000000" w:sz="4"/>
                  </w:tcBorders>
                  <w:vAlign w:val="top"/>
                </w:tcPr>
                <w:p>
                  <w:pPr>
                    <w:jc w:val="both"/>
                  </w:pPr>
                  <w:r>
                    <w:rPr>
                      <w:sz w:val="21"/>
                    </w:rPr>
                    <w:t>灭鼠标准</w:t>
                  </w:r>
                </w:p>
              </w:tc>
              <w:tc>
                <w:tcPr>
                  <w:tcW w:type="dxa" w:w="4689"/>
                  <w:tcBorders>
                    <w:top w:val="single" w:color="000000" w:sz="4"/>
                    <w:left w:val="none" w:color="000000" w:sz="4"/>
                    <w:bottom w:val="single" w:color="000000" w:sz="4"/>
                    <w:right w:val="single" w:color="000000" w:sz="4"/>
                  </w:tcBorders>
                  <w:vAlign w:val="top"/>
                </w:tcPr>
                <w:p>
                  <w:pPr>
                    <w:jc w:val="both"/>
                  </w:pPr>
                  <w:r>
                    <w:rPr>
                      <w:sz w:val="21"/>
                    </w:rPr>
                    <w:t>1、15平方米标准房间布放20×20厘米滑石粉块两块，一夜后阳性块不超过3%；有鼠洞、鼠粪、鼠咬痕等鼠迹的房间不超过2%；重点单位防鼠设施不合格处不超过5%。</w:t>
                  </w:r>
                </w:p>
                <w:p>
                  <w:pPr>
                    <w:jc w:val="both"/>
                  </w:pPr>
                  <w:r>
                    <w:rPr>
                      <w:sz w:val="21"/>
                    </w:rPr>
                    <w:t>2、不同类型的外环境累计2000米，鼠迹不超过5处。</w:t>
                  </w:r>
                </w:p>
              </w:tc>
            </w:tr>
            <w:tr>
              <w:tc>
                <w:tcPr>
                  <w:tcW w:type="dxa" w:w="909"/>
                  <w:tcBorders>
                    <w:top w:val="none" w:color="000000" w:sz="4"/>
                    <w:left w:val="single" w:color="000000" w:sz="4"/>
                    <w:bottom w:val="single" w:color="000000" w:sz="4"/>
                    <w:right w:val="single" w:color="000000" w:sz="4"/>
                  </w:tcBorders>
                  <w:vAlign w:val="top"/>
                </w:tcPr>
                <w:p>
                  <w:pPr>
                    <w:jc w:val="both"/>
                  </w:pPr>
                  <w:r>
                    <w:rPr>
                      <w:sz w:val="21"/>
                    </w:rPr>
                    <w:t>灭蚊标准</w:t>
                  </w:r>
                </w:p>
              </w:tc>
              <w:tc>
                <w:tcPr>
                  <w:tcW w:type="dxa" w:w="4689"/>
                  <w:tcBorders>
                    <w:top w:val="none" w:color="000000" w:sz="4"/>
                    <w:left w:val="none" w:color="000000" w:sz="4"/>
                    <w:bottom w:val="single" w:color="000000" w:sz="4"/>
                    <w:right w:val="single" w:color="000000" w:sz="4"/>
                  </w:tcBorders>
                  <w:vAlign w:val="top"/>
                </w:tcPr>
                <w:p>
                  <w:pPr>
                    <w:jc w:val="both"/>
                  </w:pPr>
                  <w:r>
                    <w:rPr>
                      <w:sz w:val="21"/>
                    </w:rPr>
                    <w:t>1、居民住宅、单位内外环境各种存水容器和积水中，蚊幼及蛹的阳性率不超过3%。</w:t>
                  </w:r>
                </w:p>
                <w:p>
                  <w:pPr>
                    <w:jc w:val="both"/>
                  </w:pPr>
                  <w:r>
                    <w:rPr>
                      <w:sz w:val="21"/>
                    </w:rPr>
                    <w:t>2、用500ml收集勺采集城区内大中型水体中的蚊幼或蛹阳性率不超过3%，阳性勺内幼虫或蛹的平均数不超过5只。</w:t>
                  </w:r>
                </w:p>
                <w:p>
                  <w:pPr>
                    <w:jc w:val="both"/>
                  </w:pPr>
                  <w:r>
                    <w:rPr>
                      <w:sz w:val="21"/>
                    </w:rPr>
                    <w:t>3、特殊场所白天人诱蚊30分钟，平均每人次诱获成蚊数不超过1只。</w:t>
                  </w:r>
                </w:p>
              </w:tc>
            </w:tr>
            <w:tr>
              <w:tc>
                <w:tcPr>
                  <w:tcW w:type="dxa" w:w="909"/>
                  <w:tcBorders>
                    <w:top w:val="none" w:color="000000" w:sz="4"/>
                    <w:left w:val="single" w:color="000000" w:sz="4"/>
                    <w:bottom w:val="single" w:color="000000" w:sz="4"/>
                    <w:right w:val="single" w:color="000000" w:sz="4"/>
                  </w:tcBorders>
                  <w:vAlign w:val="top"/>
                </w:tcPr>
                <w:p>
                  <w:pPr>
                    <w:jc w:val="both"/>
                  </w:pPr>
                  <w:r>
                    <w:rPr>
                      <w:sz w:val="21"/>
                    </w:rPr>
                    <w:t>灭蟑螂标准</w:t>
                  </w:r>
                </w:p>
              </w:tc>
              <w:tc>
                <w:tcPr>
                  <w:tcW w:type="dxa" w:w="4689"/>
                  <w:tcBorders>
                    <w:top w:val="none" w:color="000000" w:sz="4"/>
                    <w:left w:val="none" w:color="000000" w:sz="4"/>
                    <w:bottom w:val="single" w:color="000000" w:sz="4"/>
                    <w:right w:val="single" w:color="000000" w:sz="4"/>
                  </w:tcBorders>
                  <w:vAlign w:val="top"/>
                </w:tcPr>
                <w:p>
                  <w:pPr>
                    <w:jc w:val="both"/>
                  </w:pPr>
                  <w:r>
                    <w:rPr>
                      <w:sz w:val="21"/>
                    </w:rPr>
                    <w:t>1、室内有蟑螂成虫或若虫阳性房间不超过3%，平均每间房大蠊不超过5只，小蠊不超过10只。</w:t>
                  </w:r>
                </w:p>
                <w:p>
                  <w:pPr>
                    <w:jc w:val="both"/>
                  </w:pPr>
                  <w:r>
                    <w:rPr>
                      <w:sz w:val="21"/>
                    </w:rPr>
                    <w:t>2、有活蟑螂卵鞘房间不超过2%，平均每间房不超过4只。</w:t>
                  </w:r>
                </w:p>
                <w:p>
                  <w:pPr>
                    <w:jc w:val="both"/>
                  </w:pPr>
                  <w:r>
                    <w:rPr>
                      <w:sz w:val="21"/>
                    </w:rPr>
                    <w:t>3、有蟑螂粪便、蜕皮等蟑迹的房间不过5%。</w:t>
                  </w:r>
                </w:p>
              </w:tc>
            </w:tr>
            <w:tr>
              <w:tc>
                <w:tcPr>
                  <w:tcW w:type="dxa" w:w="909"/>
                  <w:tcBorders>
                    <w:top w:val="none" w:color="000000" w:sz="4"/>
                    <w:left w:val="single" w:color="000000" w:sz="4"/>
                    <w:bottom w:val="single" w:color="000000" w:sz="4"/>
                    <w:right w:val="single" w:color="000000" w:sz="4"/>
                  </w:tcBorders>
                  <w:vAlign w:val="top"/>
                </w:tcPr>
                <w:p>
                  <w:pPr>
                    <w:jc w:val="both"/>
                  </w:pPr>
                  <w:r>
                    <w:rPr>
                      <w:sz w:val="21"/>
                    </w:rPr>
                    <w:t>灭蝇标准</w:t>
                  </w:r>
                </w:p>
              </w:tc>
              <w:tc>
                <w:tcPr>
                  <w:tcW w:type="dxa" w:w="4689"/>
                  <w:tcBorders>
                    <w:top w:val="none" w:color="000000" w:sz="4"/>
                    <w:left w:val="none" w:color="000000" w:sz="4"/>
                    <w:bottom w:val="single" w:color="000000" w:sz="4"/>
                    <w:right w:val="single" w:color="000000" w:sz="4"/>
                  </w:tcBorders>
                  <w:vAlign w:val="top"/>
                </w:tcPr>
                <w:p>
                  <w:pPr>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jc w:val="both"/>
                  </w:pPr>
                  <w:r>
                    <w:rPr>
                      <w:sz w:val="21"/>
                    </w:rPr>
                    <w:t>2、蝇类孳生地得到有效治理，幼虫和蛹的检出率不超过3</w:t>
                  </w:r>
                  <w:r>
                    <w:rPr>
                      <w:sz w:val="21"/>
                    </w:rPr>
                    <w:t>%</w:t>
                  </w:r>
                  <w:r>
                    <w:rPr>
                      <w:sz w:val="21"/>
                    </w:rPr>
                    <w:t>。</w:t>
                  </w:r>
                </w:p>
              </w:tc>
            </w:tr>
          </w:tbl>
          <w:p/>
          <w:p>
            <w:r>
              <w:rPr>
                <w:b/>
                <w:sz w:val="21"/>
              </w:rPr>
              <w:t>2、</w:t>
            </w:r>
            <w:r>
              <w:rPr>
                <w:b/>
                <w:sz w:val="21"/>
              </w:rPr>
              <w:t>操作规范</w:t>
            </w:r>
          </w:p>
          <w:tbl>
            <w:tblPr>
              <w:tblBorders>
                <w:top w:val="none" w:color="000000" w:sz="4"/>
                <w:left w:val="none" w:color="000000" w:sz="4"/>
                <w:bottom w:val="none" w:color="000000" w:sz="4"/>
                <w:right w:val="none" w:color="000000" w:sz="4"/>
                <w:insideH w:val="none"/>
                <w:insideV w:val="none"/>
              </w:tblBorders>
            </w:tblPr>
            <w:tblGrid>
              <w:gridCol w:w="633"/>
              <w:gridCol w:w="3993"/>
              <w:gridCol w:w="972"/>
            </w:tblGrid>
            <w:tr>
              <w:tc>
                <w:tcPr>
                  <w:tcW w:type="dxa" w:w="633"/>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3993"/>
                  <w:tcBorders>
                    <w:top w:val="single" w:color="000000" w:sz="4"/>
                    <w:left w:val="none" w:color="000000" w:sz="4"/>
                    <w:bottom w:val="single" w:color="000000" w:sz="4"/>
                    <w:right w:val="single" w:color="000000" w:sz="4"/>
                  </w:tcBorders>
                  <w:vAlign w:val="top"/>
                </w:tcPr>
                <w:p>
                  <w:pPr>
                    <w:jc w:val="center"/>
                  </w:pPr>
                  <w:r>
                    <w:rPr>
                      <w:sz w:val="21"/>
                    </w:rPr>
                    <w:t>工作内容</w:t>
                  </w:r>
                </w:p>
              </w:tc>
              <w:tc>
                <w:tcPr>
                  <w:tcW w:type="dxa" w:w="972"/>
                  <w:tcBorders>
                    <w:top w:val="single" w:color="000000" w:sz="4"/>
                    <w:left w:val="none" w:color="000000" w:sz="4"/>
                    <w:bottom w:val="single" w:color="000000" w:sz="4"/>
                    <w:right w:val="single" w:color="000000" w:sz="4"/>
                  </w:tcBorders>
                  <w:vAlign w:val="top"/>
                </w:tcPr>
                <w:p>
                  <w:pPr>
                    <w:jc w:val="center"/>
                  </w:pPr>
                  <w:r>
                    <w:rPr>
                      <w:sz w:val="21"/>
                    </w:rPr>
                    <w:t>标</w:t>
                  </w:r>
                  <w:r>
                    <w:rPr>
                      <w:sz w:val="21"/>
                    </w:rPr>
                    <w:t xml:space="preserve">  </w:t>
                  </w:r>
                  <w:r>
                    <w:rPr>
                      <w:sz w:val="21"/>
                    </w:rPr>
                    <w:t>准</w:t>
                  </w:r>
                </w:p>
              </w:tc>
            </w:tr>
            <w:tr>
              <w:tc>
                <w:tcPr>
                  <w:tcW w:type="dxa" w:w="633"/>
                  <w:vMerge w:val="restart"/>
                  <w:tcBorders>
                    <w:top w:val="none" w:color="000000" w:sz="4"/>
                    <w:left w:val="single" w:color="000000" w:sz="4"/>
                    <w:bottom w:val="none" w:color="000000" w:sz="4"/>
                    <w:right w:val="single" w:color="000000" w:sz="4"/>
                  </w:tcBorders>
                  <w:vAlign w:val="top"/>
                </w:tcPr>
                <w:p>
                  <w:pPr>
                    <w:jc w:val="center"/>
                  </w:pPr>
                  <w:r>
                    <w:rPr>
                      <w:sz w:val="21"/>
                    </w:rPr>
                    <w:t>灭鼠</w:t>
                  </w:r>
                </w:p>
              </w:tc>
              <w:tc>
                <w:tcPr>
                  <w:tcW w:type="dxa" w:w="3993"/>
                  <w:tcBorders>
                    <w:top w:val="none" w:color="000000" w:sz="4"/>
                    <w:left w:val="none" w:color="000000" w:sz="4"/>
                    <w:bottom w:val="single" w:color="000000" w:sz="4"/>
                    <w:right w:val="single" w:color="000000" w:sz="4"/>
                  </w:tcBorders>
                  <w:vAlign w:val="top"/>
                </w:tcPr>
                <w:p>
                  <w:pPr>
                    <w:jc w:val="both"/>
                  </w:pPr>
                  <w:r>
                    <w:rPr>
                      <w:sz w:val="21"/>
                    </w:rPr>
                    <w:t>1、对项目服务范围内公共环境和扩大覆盖面范围进行饱和投放灭鼠药。</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2、定期对项目服务范围内的鼠迹进行检查，发现鼠迹立即清理并及时按常规投放和补充毒饵。</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3、定期对项目服务范围内的鼠情进行监测，按常规投药和补投药。</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4、对项目服务范围内主要重点单位如</w:t>
                  </w:r>
                  <w:r>
                    <w:rPr>
                      <w:sz w:val="21"/>
                    </w:rPr>
                    <w:t>农贸</w:t>
                  </w:r>
                  <w:r>
                    <w:rPr>
                      <w:sz w:val="21"/>
                    </w:rPr>
                    <w:t>市场、学校等外环境定期进行</w:t>
                  </w:r>
                  <w:r>
                    <w:rPr>
                      <w:sz w:val="21"/>
                    </w:rPr>
                    <w:t>目测法密度检测</w:t>
                  </w:r>
                  <w:r>
                    <w:rPr>
                      <w:sz w:val="21"/>
                    </w:rPr>
                    <w:t>鼠情调研。</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72"/>
                  <w:tcBorders>
                    <w:top w:val="none" w:color="000000" w:sz="4"/>
                    <w:left w:val="none" w:color="000000" w:sz="4"/>
                    <w:bottom w:val="single" w:color="000000" w:sz="4"/>
                    <w:right w:val="single" w:color="000000" w:sz="4"/>
                  </w:tcBorders>
                  <w:vAlign w:val="top"/>
                </w:tcPr>
                <w:p>
                  <w:pPr>
                    <w:jc w:val="center"/>
                  </w:pPr>
                  <w:r>
                    <w:rPr>
                      <w:sz w:val="21"/>
                    </w:rPr>
                    <w:t>原则上平均每居（村）</w:t>
                  </w:r>
                  <w:r>
                    <w:rPr>
                      <w:sz w:val="21"/>
                    </w:rPr>
                    <w:t>600个</w:t>
                  </w:r>
                </w:p>
                <w:p>
                  <w:pPr>
                    <w:jc w:val="center"/>
                  </w:pPr>
                  <w:r>
                    <w:rPr>
                      <w:sz w:val="21"/>
                    </w:rPr>
                    <w:t>（视实际情况调剂）</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6、每季度按国家考核标准对鼠密度进行监测。</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33"/>
                  <w:vMerge w:val="restart"/>
                  <w:tcBorders>
                    <w:top w:val="none" w:color="000000" w:sz="4"/>
                    <w:left w:val="single" w:color="000000" w:sz="4"/>
                    <w:bottom w:val="none" w:color="000000" w:sz="4"/>
                    <w:right w:val="single" w:color="000000" w:sz="4"/>
                  </w:tcBorders>
                  <w:vAlign w:val="top"/>
                </w:tcPr>
                <w:p>
                  <w:pPr>
                    <w:jc w:val="center"/>
                  </w:pPr>
                  <w:r>
                    <w:rPr>
                      <w:sz w:val="21"/>
                    </w:rPr>
                    <w:t>灭蚊</w:t>
                  </w:r>
                </w:p>
              </w:tc>
              <w:tc>
                <w:tcPr>
                  <w:tcW w:type="dxa" w:w="3993"/>
                  <w:tcBorders>
                    <w:top w:val="none" w:color="000000" w:sz="4"/>
                    <w:left w:val="none" w:color="000000" w:sz="4"/>
                    <w:bottom w:val="single" w:color="000000" w:sz="4"/>
                    <w:right w:val="single" w:color="000000" w:sz="4"/>
                  </w:tcBorders>
                  <w:vAlign w:val="top"/>
                </w:tcPr>
                <w:p>
                  <w:pPr>
                    <w:jc w:val="both"/>
                  </w:pPr>
                  <w:r>
                    <w:rPr>
                      <w:sz w:val="21"/>
                    </w:rPr>
                    <w:t>1、定期对项目服务范围内大、中型水体进行检查，发现幼虫孳生立即施药。</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每周</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w:t>
                  </w:r>
                  <w:r>
                    <w:rPr>
                      <w:sz w:val="21"/>
                    </w:rPr>
                    <w:t>月更换</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3、定期对项目服务范围内进行积水清理，确保控制蚊虫孳生。</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每周</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4、定期对项目服务范围内下水道进行热烟雾处理烟熏灭蚊。</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5、</w:t>
                  </w:r>
                  <w:r>
                    <w:rPr>
                      <w:sz w:val="21"/>
                    </w:rPr>
                    <w:t>居民住宅区、学校、幼儿园、农贸市场、闲置地、公园绿地、垃圾收集点、市政公厕、公寓楼梯间等特殊场所外环境，每半月全面查治孳生地一次，并作空间喷洒灭成蚊，视成蚊密度情况增加频次</w:t>
                  </w:r>
                  <w:r>
                    <w:rPr>
                      <w:sz w:val="21"/>
                    </w:rPr>
                    <w:t>。</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2</w:t>
                  </w:r>
                  <w:r>
                    <w:rPr>
                      <w:sz w:val="21"/>
                    </w:rPr>
                    <w:t>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6、定期对项目服务范围内场所进行孳生地全面查治。</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7、居民住宅区及公共环境各放2盏蚊灯，每月每村居布放诱蚊诱卵器60个，每月进行监测，及时掌握蚊虫密度，向采购人提供监测数据和技术支持。</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8、每季度按国家考核标准对蚊密度进行监测。</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每季度</w:t>
                  </w:r>
                  <w:r>
                    <w:rPr>
                      <w:sz w:val="21"/>
                    </w:rPr>
                    <w:t>1次</w:t>
                  </w:r>
                </w:p>
              </w:tc>
            </w:tr>
            <w:tr>
              <w:tc>
                <w:tcPr>
                  <w:tcW w:type="dxa" w:w="633"/>
                  <w:vMerge w:val="restart"/>
                  <w:tcBorders>
                    <w:top w:val="none" w:color="000000" w:sz="4"/>
                    <w:left w:val="single" w:color="000000" w:sz="4"/>
                    <w:bottom w:val="single" w:color="000000" w:sz="4"/>
                    <w:right w:val="single" w:color="000000" w:sz="4"/>
                  </w:tcBorders>
                  <w:vAlign w:val="top"/>
                </w:tcPr>
                <w:p>
                  <w:pPr>
                    <w:jc w:val="center"/>
                  </w:pPr>
                  <w:r>
                    <w:rPr>
                      <w:sz w:val="21"/>
                    </w:rPr>
                    <w:t>灭蝇</w:t>
                  </w:r>
                </w:p>
              </w:tc>
              <w:tc>
                <w:tcPr>
                  <w:tcW w:type="dxa" w:w="3993"/>
                  <w:tcBorders>
                    <w:top w:val="none" w:color="000000" w:sz="4"/>
                    <w:left w:val="none" w:color="000000" w:sz="4"/>
                    <w:bottom w:val="single" w:color="000000" w:sz="4"/>
                    <w:right w:val="single" w:color="000000" w:sz="4"/>
                  </w:tcBorders>
                  <w:vAlign w:val="top"/>
                </w:tcPr>
                <w:p>
                  <w:pPr>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w:t>
                  </w:r>
                  <w:r>
                    <w:rPr>
                      <w:sz w:val="21"/>
                    </w:rPr>
                    <w:t>周</w:t>
                  </w:r>
                  <w:r>
                    <w:rPr>
                      <w:sz w:val="21"/>
                    </w:rPr>
                    <w:t>1次</w:t>
                  </w:r>
                </w:p>
              </w:tc>
            </w:tr>
            <w:tr>
              <w:tc>
                <w:tcPr>
                  <w:tcW w:type="dxa" w:w="633"/>
                  <w:vMerge/>
                  <w:tcBorders>
                    <w:top w:val="none" w:color="000000" w:sz="4"/>
                    <w:left w:val="single" w:color="000000" w:sz="4"/>
                    <w:bottom w:val="singl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2、定期对项目服务范围内场所进行滞留喷洒灭成蝇。</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singl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3、定期对项目服务范围内主要重点单位如</w:t>
                  </w:r>
                  <w:r>
                    <w:rPr>
                      <w:sz w:val="21"/>
                    </w:rPr>
                    <w:t>农贸市场</w:t>
                  </w:r>
                  <w:r>
                    <w:rPr>
                      <w:sz w:val="21"/>
                    </w:rPr>
                    <w:t>、学校等外环境孳生地进行检查。</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singl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bottom"/>
                </w:tcPr>
                <w:p>
                  <w:pPr>
                    <w:jc w:val="both"/>
                  </w:pPr>
                  <w:r>
                    <w:rPr>
                      <w:sz w:val="21"/>
                    </w:rPr>
                    <w:t>4、定期对项目服务范围内居民住户孳生地进行检查处理。</w:t>
                  </w:r>
                </w:p>
              </w:tc>
              <w:tc>
                <w:tcPr>
                  <w:tcW w:type="dxa" w:w="972"/>
                  <w:tcBorders>
                    <w:top w:val="none" w:color="000000" w:sz="4"/>
                    <w:left w:val="none" w:color="000000" w:sz="4"/>
                    <w:bottom w:val="single" w:color="000000" w:sz="4"/>
                    <w:right w:val="single" w:color="000000" w:sz="4"/>
                  </w:tcBorders>
                  <w:vAlign w:val="bottom"/>
                </w:tcPr>
                <w:p>
                  <w:pPr>
                    <w:jc w:val="center"/>
                  </w:pPr>
                  <w:r>
                    <w:rPr>
                      <w:sz w:val="21"/>
                    </w:rPr>
                    <w:t>每季</w:t>
                  </w:r>
                  <w:r>
                    <w:rPr>
                      <w:sz w:val="21"/>
                    </w:rPr>
                    <w:t>1次</w:t>
                  </w:r>
                </w:p>
              </w:tc>
            </w:tr>
            <w:tr>
              <w:tc>
                <w:tcPr>
                  <w:tcW w:type="dxa" w:w="633"/>
                  <w:vMerge/>
                  <w:tcBorders>
                    <w:top w:val="none" w:color="000000" w:sz="4"/>
                    <w:left w:val="single" w:color="000000" w:sz="4"/>
                    <w:bottom w:val="singl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5、每季度按国家考核标准对成蝇密度进行监测。</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每季</w:t>
                  </w:r>
                  <w:r>
                    <w:rPr>
                      <w:sz w:val="21"/>
                    </w:rPr>
                    <w:t>1次</w:t>
                  </w:r>
                </w:p>
              </w:tc>
            </w:tr>
            <w:tr>
              <w:tc>
                <w:tcPr>
                  <w:tcW w:type="dxa" w:w="633"/>
                  <w:vMerge w:val="restart"/>
                  <w:tcBorders>
                    <w:top w:val="none" w:color="000000" w:sz="4"/>
                    <w:left w:val="single" w:color="000000" w:sz="4"/>
                    <w:bottom w:val="single" w:color="000000" w:sz="4"/>
                    <w:right w:val="single" w:color="000000" w:sz="4"/>
                  </w:tcBorders>
                  <w:vAlign w:val="top"/>
                </w:tcPr>
                <w:p>
                  <w:pPr>
                    <w:jc w:val="center"/>
                  </w:pPr>
                  <w:r>
                    <w:rPr>
                      <w:sz w:val="21"/>
                    </w:rPr>
                    <w:t>灭蟑螂</w:t>
                  </w:r>
                </w:p>
              </w:tc>
              <w:tc>
                <w:tcPr>
                  <w:tcW w:type="dxa" w:w="3993"/>
                  <w:tcBorders>
                    <w:top w:val="none" w:color="000000" w:sz="4"/>
                    <w:left w:val="none" w:color="000000" w:sz="4"/>
                    <w:bottom w:val="single" w:color="000000" w:sz="4"/>
                    <w:right w:val="single" w:color="000000" w:sz="4"/>
                  </w:tcBorders>
                  <w:vAlign w:val="top"/>
                </w:tcPr>
                <w:p>
                  <w:pPr>
                    <w:jc w:val="both"/>
                  </w:pPr>
                  <w:r>
                    <w:rPr>
                      <w:sz w:val="21"/>
                    </w:rPr>
                    <w:t>1、定期对项目服务范围内蟑迹进行检查和清理。</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singl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2、定期对项目服务范围内下水道进行热烟雾处理灭蟑螂。</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singl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3、按国家考核标准进行结蟑螂密度监测。</w:t>
                  </w:r>
                  <w:r>
                    <w:rPr>
                      <w:sz w:val="21"/>
                    </w:rPr>
                    <w:t>住户：每季度上门询问蟑情，</w:t>
                  </w:r>
                  <w:r>
                    <w:rPr>
                      <w:sz w:val="21"/>
                    </w:rPr>
                    <w:t>并对有蟑住户派发药物及追踪处理。</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每季</w:t>
                  </w:r>
                  <w:r>
                    <w:rPr>
                      <w:sz w:val="21"/>
                    </w:rPr>
                    <w:t>1次</w:t>
                  </w:r>
                </w:p>
              </w:tc>
            </w:tr>
            <w:tr>
              <w:tc>
                <w:tcPr>
                  <w:tcW w:type="dxa" w:w="633"/>
                  <w:vMerge w:val="restart"/>
                  <w:tcBorders>
                    <w:top w:val="none" w:color="000000" w:sz="4"/>
                    <w:left w:val="single" w:color="000000" w:sz="4"/>
                    <w:bottom w:val="none" w:color="000000" w:sz="4"/>
                    <w:right w:val="single" w:color="000000" w:sz="4"/>
                  </w:tcBorders>
                  <w:vAlign w:val="top"/>
                </w:tcPr>
                <w:p>
                  <w:pPr>
                    <w:jc w:val="center"/>
                  </w:pPr>
                  <w:r>
                    <w:rPr>
                      <w:sz w:val="21"/>
                    </w:rPr>
                    <w:t>其他</w:t>
                  </w:r>
                </w:p>
              </w:tc>
              <w:tc>
                <w:tcPr>
                  <w:tcW w:type="dxa" w:w="3993"/>
                  <w:tcBorders>
                    <w:top w:val="none" w:color="000000" w:sz="4"/>
                    <w:left w:val="none" w:color="000000" w:sz="4"/>
                    <w:bottom w:val="single" w:color="000000" w:sz="4"/>
                    <w:right w:val="single" w:color="000000" w:sz="4"/>
                  </w:tcBorders>
                  <w:vAlign w:val="top"/>
                </w:tcPr>
                <w:p>
                  <w:pPr>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每月</w:t>
                  </w:r>
                  <w:r>
                    <w:rPr>
                      <w:sz w:val="21"/>
                    </w:rPr>
                    <w:t>1次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2、在登革热或病媒生物</w:t>
                  </w:r>
                  <w:r>
                    <w:rPr>
                      <w:sz w:val="21"/>
                    </w:rPr>
                    <w:t>传染病</w:t>
                  </w:r>
                  <w:r>
                    <w:rPr>
                      <w:sz w:val="21"/>
                    </w:rPr>
                    <w:t>流行期间有义务配合政府做好宣传、消杀工作。</w:t>
                  </w:r>
                </w:p>
              </w:tc>
              <w:tc>
                <w:tcPr>
                  <w:tcW w:type="dxa" w:w="972"/>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3、对有需要的居民住户免费派发除“四害”药物或提供上门服务。</w:t>
                  </w:r>
                </w:p>
              </w:tc>
              <w:tc>
                <w:tcPr>
                  <w:tcW w:type="dxa" w:w="972"/>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4、中标人每年在“爱卫月、登革热”等期间不少于4次进社区公益宣传。</w:t>
                  </w:r>
                </w:p>
              </w:tc>
              <w:tc>
                <w:tcPr>
                  <w:tcW w:type="dxa" w:w="972"/>
                  <w:tcBorders>
                    <w:top w:val="none" w:color="000000" w:sz="4"/>
                    <w:left w:val="none" w:color="000000" w:sz="4"/>
                    <w:bottom w:val="single" w:color="000000" w:sz="4"/>
                    <w:right w:val="single" w:color="000000" w:sz="4"/>
                  </w:tcBorders>
                  <w:vAlign w:val="top"/>
                </w:tcPr>
                <w:p>
                  <w:pPr>
                    <w:jc w:val="center"/>
                  </w:pPr>
                  <w:r>
                    <w:rPr>
                      <w:sz w:val="21"/>
                    </w:rPr>
                    <w:t>每年</w:t>
                  </w:r>
                  <w:r>
                    <w:rPr>
                      <w:sz w:val="21"/>
                    </w:rPr>
                    <w:t>4次</w:t>
                  </w:r>
                </w:p>
              </w:tc>
            </w:tr>
            <w:tr>
              <w:tc>
                <w:tcPr>
                  <w:tcW w:type="dxa" w:w="633"/>
                  <w:vMerge/>
                  <w:tcBorders>
                    <w:top w:val="none" w:color="000000" w:sz="4"/>
                    <w:left w:val="single" w:color="000000" w:sz="4"/>
                    <w:bottom w:val="none" w:color="000000" w:sz="4"/>
                    <w:right w:val="single" w:color="000000" w:sz="4"/>
                  </w:tcBorders>
                </w:tcPr>
                <w:p/>
              </w:tc>
              <w:tc>
                <w:tcPr>
                  <w:tcW w:type="dxa" w:w="3993"/>
                  <w:tcBorders>
                    <w:top w:val="none" w:color="000000" w:sz="4"/>
                    <w:left w:val="none" w:color="000000" w:sz="4"/>
                    <w:bottom w:val="single" w:color="000000" w:sz="4"/>
                    <w:right w:val="single" w:color="000000" w:sz="4"/>
                  </w:tcBorders>
                  <w:vAlign w:val="top"/>
                </w:tcPr>
                <w:p>
                  <w:pPr>
                    <w:jc w:val="both"/>
                  </w:pPr>
                  <w:r>
                    <w:rPr>
                      <w:sz w:val="21"/>
                    </w:rPr>
                    <w:t>5、中标人应积极配合政府应急消杀处理，如鸡棚、猪舍强拆等。</w:t>
                  </w:r>
                </w:p>
              </w:tc>
              <w:tc>
                <w:tcPr>
                  <w:tcW w:type="dxa" w:w="972"/>
                  <w:tcBorders>
                    <w:top w:val="none" w:color="000000" w:sz="4"/>
                    <w:left w:val="none" w:color="000000" w:sz="4"/>
                    <w:bottom w:val="single" w:color="000000" w:sz="4"/>
                    <w:right w:val="single" w:color="000000" w:sz="4"/>
                  </w:tcBorders>
                  <w:vAlign w:val="top"/>
                </w:tcPr>
                <w:p>
                  <w:pPr>
                    <w:jc w:val="center"/>
                  </w:pPr>
                  <w:r>
                    <w:rPr>
                      <w:sz w:val="21"/>
                    </w:rPr>
                    <w:t>视情况而定</w:t>
                  </w:r>
                </w:p>
              </w:tc>
            </w:tr>
            <w:tr>
              <w:tc>
                <w:tcPr>
                  <w:tcW w:type="dxa" w:w="5598"/>
                  <w:gridSpan w:val="3"/>
                  <w:tcBorders>
                    <w:top w:val="none" w:color="000000" w:sz="4"/>
                    <w:left w:val="single" w:color="000000" w:sz="4"/>
                    <w:bottom w:val="single" w:color="000000" w:sz="4"/>
                    <w:right w:val="single" w:color="000000" w:sz="4"/>
                  </w:tcBorders>
                  <w:vAlign w:val="top"/>
                </w:tcPr>
                <w:p>
                  <w:pPr>
                    <w:jc w:val="both"/>
                  </w:pPr>
                  <w:r>
                    <w:rPr>
                      <w:sz w:val="21"/>
                    </w:rPr>
                    <w:t xml:space="preserve"> </w:t>
                  </w:r>
                  <w:r>
                    <w:rPr>
                      <w:sz w:val="21"/>
                    </w:rPr>
                    <w:t>备注：中标人作业前必须通知属地居（村）委会、顺峰山公园管理处等，</w:t>
                  </w:r>
                  <w:r>
                    <w:rPr>
                      <w:sz w:val="21"/>
                    </w:rPr>
                    <w:t>明确作业内容、时间、地点，接受属地居（村）委会、顺峰山公园管理处监督。</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1.采购代理机构：本项目是指广东中正弘毅工程管理有限公司，负责整个采购活动的组织，依法负责编制和发布招标文件，对招标文件拥有最终的解释权，不以任何身份出任评标委员会成员。</w:t>
      </w:r>
    </w:p>
    <w:p>
      <w:pPr>
        <w:ind w:firstLine="480"/>
      </w:pPr>
      <w:r>
        <w:rPr/>
        <w:t>2.采购人：本项目是指</w:t>
      </w:r>
      <w:r>
        <w:rPr/>
        <w:t>佛山市顺德区大良街道卫生健康办公室</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4</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p/>
          <w:p>
            <w:r>
              <w:rPr/>
              <w:t>采购包4：总价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r>
              <w:rPr/>
              <w:t>采购包4：保证金人民币：0.00元整。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p>
            <w:r>
              <w:rPr/>
              <w:t>采购包2：</w:t>
            </w:r>
            <w:r>
              <w:rPr/>
              <w:t>1家</w:t>
            </w:r>
          </w:p>
          <w:p>
            <w:r>
              <w:rPr/>
              <w:t>采购包3：</w:t>
            </w:r>
            <w:r>
              <w:rPr/>
              <w:t>1家</w:t>
            </w:r>
          </w:p>
          <w:p>
            <w:r>
              <w:rPr/>
              <w:t>采购包4：</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r>
              <w:rPr/>
              <w:t>采购包4：</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兼投不兼中，每个投标人最多只能被确定为1个子包的第一中标候选人，每个子包的合格投标人家数（即有效投标人家数）须满足3家或以上。已获得子包一的第一中标候选人资格的投标人将不再纳入子包二的合格投标人家数计算且不具有子包二的中标候选人推荐资格，子包二从具有中标候选人推荐资格的投标人中推荐评标总得分排名最高的作为该包组的第一中标候选人，依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招标向中标人收取采购代理服务费，服务费以中标价格为基数按国家计委“计价格[2002]1980号文”和“发改价格[2011]534号”中服务类招标类型按差额定率进法计算，项目分包的，按分包预算金额分别计算各包组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p>
            <w:pPr>
              <w:jc w:val="left"/>
            </w:pPr>
            <w:r>
              <w:rPr/>
              <w:t>采购包3：非专门面向中小企业</w:t>
            </w:r>
          </w:p>
          <w:p>
            <w:pPr>
              <w:jc w:val="left"/>
            </w:pPr>
            <w:r>
              <w:rPr/>
              <w:t>采购包4：非专门面向中小企业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广东中正弘毅工程管理有限公司</w:t>
      </w:r>
      <w:r>
        <w:rPr/>
        <w:t>代收。具体操作要求详见</w:t>
      </w:r>
      <w:r>
        <w:rPr/>
        <w:t>广东中正弘毅工程管理有限公司</w:t>
      </w:r>
      <w:r>
        <w:rPr/>
        <w:t>有关指引，递交事宜请自行咨询</w:t>
      </w:r>
      <w:r>
        <w:rPr/>
        <w:t>广东中正弘毅工程管理有限公司</w:t>
      </w:r>
      <w:r>
        <w:rPr/>
        <w:t>；请各投标人在投标文件递交截止时间前按须知前附表规定的金额递交至</w:t>
      </w:r>
      <w:r>
        <w:rPr/>
        <w:t>广东中正弘毅工程管理有限公司</w:t>
      </w:r>
      <w:r>
        <w:rPr/>
        <w:t>，到账情况以开标时</w:t>
      </w:r>
      <w:r>
        <w:rPr/>
        <w:t>广东中正弘毅工程管理有限公司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广东中正弘毅工程管理有限公司（http://zhongzheng.sowho.com.cn/）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广东中正弘毅工程管理有限公司（http://zhongzheng.sowho.com.cn/）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刘小姐</w:t>
      </w:r>
    </w:p>
    <w:p>
      <w:pPr>
        <w:ind w:firstLine="480"/>
      </w:pPr>
      <w:r>
        <w:rPr/>
        <w:t>电话：</w:t>
      </w:r>
      <w:r>
        <w:rPr/>
        <w:t>0757-22228717</w:t>
      </w:r>
    </w:p>
    <w:p>
      <w:pPr>
        <w:ind w:firstLine="480"/>
      </w:pPr>
      <w:r>
        <w:rPr/>
        <w:t>传真：</w:t>
      </w:r>
      <w:r>
        <w:rPr/>
        <w:t>/</w:t>
      </w:r>
    </w:p>
    <w:p>
      <w:pPr>
        <w:ind w:firstLine="480"/>
      </w:pPr>
      <w:r>
        <w:rPr/>
        <w:t>邮箱：</w:t>
      </w:r>
      <w:r>
        <w:rPr/>
        <w:t>89994368@qq.com</w:t>
      </w:r>
    </w:p>
    <w:p>
      <w:pPr>
        <w:ind w:firstLine="480"/>
      </w:pPr>
      <w:r>
        <w:rPr/>
        <w:t>地址：</w:t>
      </w:r>
      <w:r>
        <w:rPr/>
        <w:t>广东省佛山市顺德区大良街道近良社区南翔路6号至壹大厦806</w:t>
      </w:r>
    </w:p>
    <w:p>
      <w:pPr>
        <w:ind w:firstLine="480"/>
      </w:pPr>
      <w:r>
        <w:rPr/>
        <w:t>邮编：</w:t>
      </w:r>
      <w:r>
        <w:rPr/>
        <w:t>528300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政府采购监督管理机构名称：广东省佛山市顺德区财政局监督与绩效科</w:t>
      </w:r>
    </w:p>
    <w:p>
      <w:r>
        <w:rPr/>
        <w:t>地  址：佛山市顺德区大良德民路区政府行政大楼3楼</w:t>
      </w:r>
    </w:p>
    <w:p>
      <w:r>
        <w:rPr/>
        <w:t>电  话：0757-22831619、22831865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(2022-2025年大良街道公共环境除“四害”管理服务项目A标段)：综合评分法,是指投标文件满足招标文件全部实质性要求，且按照评审因素的量化指标评审得分最高的投标人为中标候选人的评标方法。（最低报价不是中标的唯一依据。）</w:t>
      </w:r>
    </w:p>
    <w:p/>
    <w:p>
      <w:r>
        <w:rPr/>
        <w:t>采购包2(2022-2025年大良街道公共环境除“四害”管理服务项目B标段)：综合评分法,是指投标文件满足招标文件全部实质性要求，且按照评审因素的量化指标评审得分最高的投标人为中标候选人的评标方法。（最低报价不是中标的唯一依据。）</w:t>
      </w:r>
    </w:p>
    <w:p/>
    <w:p>
      <w:r>
        <w:rPr/>
        <w:t>采购包3(2022-2025年大良街道公共环境除“四害”管理服务项目C标段)：综合评分法,是指投标文件满足招标文件全部实质性要求，且按照评审因素的量化指标评审得分最高的投标人为中标候选人的评标方法。（最低报价不是中标的唯一依据。）</w:t>
      </w:r>
    </w:p>
    <w:p/>
    <w:p>
      <w:r>
        <w:rPr/>
        <w:t>采购包4(2022-2025年大良街道公共环境除“四害”管理服务项目D标段)：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广东中正弘毅工程管理有限公司</w:t>
      </w:r>
      <w:r>
        <w:rPr/>
        <w:t>统一对外发布。</w:t>
      </w:r>
    </w:p>
    <w:p>
      <w:pPr>
        <w:ind w:firstLine="480"/>
      </w:pPr>
      <w:r>
        <w:rPr/>
        <w:t>（2）对</w:t>
      </w:r>
      <w:r>
        <w:rPr/>
        <w:t>广东中正弘毅工程管理有限公司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采购包1（2022-2025年大良街道公共环境除“四害”管理服务项目A标段）：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采购包2（2022-2025年大良街道公共环境除“四害”管理服务项目B标段）：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采购包3（2022-2025年大良街道公共环境除“四害”管理服务项目C标段）：</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采购包4（2022-2025年大良街道公共环境除“四害”管理服务项目D标段）：</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D1，即：评标价=核实价×（1-D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采购包1（2022-2025年大良街道公共环境除“四害”管理服务项目A标段）：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的相关材料。如依法免税的，需提供相应证明材料。提供投标截止日前6个月内任意1个月依法缴纳社会保险的凭据【专用收据或社会保险缴纳清单】相关证明材料，如依法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须提供下列任一项证明材料：①提供2020或2021年度经审计的财务状况报告复印件(要求：审计报告由第三方会计师事务所出具的，能清晰显示第三方会计师事务所的印章，并能反应审计结论)。②基本开户银行出具的资信证明复印件（要求：资信证明书内容应能够清晰准确反映投标人最近6个月内（从本项目招标公告发布之日起，往前倒推计算）的商业信誉情况和满足采购文件有关要求，且其符合性及有效性将以采购人审查结果为准。如成立时间不足6个月的，按成立时间提供）。③财政部门认可的政府采购专业担保机构出具的投标担保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r>
              <w:rPr/>
              <w:t>8</w:t>
            </w:r>
          </w:p>
        </w:tc>
        <w:tc>
          <w:tcPr>
            <w:tcW w:type="dxa" w:w="3178"/>
          </w:tcPr>
          <w:p>
            <w:r>
              <w:rPr/>
              <w:t>联合体及转包分包约定</w:t>
            </w:r>
          </w:p>
        </w:tc>
        <w:tc>
          <w:tcPr>
            <w:tcW w:type="dxa" w:w="4238"/>
          </w:tcPr>
          <w:p>
            <w:r>
              <w:rPr/>
              <w:t>本项目不接受联合体投标；中标后不允许转包、分包。</w:t>
            </w:r>
          </w:p>
        </w:tc>
      </w:tr>
      <w:tr>
        <w:tc>
          <w:tcPr>
            <w:tcW w:type="dxa" w:w="890"/>
          </w:tcPr>
          <w:p>
            <w:r>
              <w:rPr/>
              <w:t>9</w:t>
            </w:r>
          </w:p>
        </w:tc>
        <w:tc>
          <w:tcPr>
            <w:tcW w:type="dxa" w:w="3178"/>
          </w:tcPr>
          <w:p>
            <w:r>
              <w:rPr/>
              <w:t>本采购包专门面向中小企业采购</w:t>
            </w:r>
          </w:p>
        </w:tc>
        <w:tc>
          <w:tcPr>
            <w:tcW w:type="dxa" w:w="4238"/>
          </w:tcPr>
          <w:p>
            <w:r>
              <w:rPr/>
              <w:t>本次项目为专门面向中小企业进行采购，投标人应具备《政府采购法》第二十二条规定的条件，且属于依据国务院批准的中小企业划分标准确定的中型企业、小型企业和微型企业，但与大型企业的负责人为同一人，或者与大型企业存在直接控股、管理关系的除外。响应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w:t>
            </w:r>
          </w:p>
        </w:tc>
      </w:tr>
    </w:tbl>
    <w:p/>
    <w:p>
      <w:r>
        <w:rPr/>
        <w:t>采购包2（2022-2025年大良街道公共环境除“四害”管理服务项目B标段）：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的相关材料。如依法免税的，需提供相应证明材料。提供投标截止日前6个月内任意1个月依法缴纳社会保险的凭据【专用收据或社会保险缴纳清单】相关证明材料，如依法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须提供下列任一项证明材料：①提供2020或2021年度经审计的财务状况报告复印件(要求：审计报告由第三方会计师事务所出具的，能清晰显示第三方会计师事务所的印章，并能反应审计结论)。②基本开户银行出具的资信证明复印件（要求：资信证明书内容应能够清晰准确反映投标人最近6个月内（从本项目招标公告发布之日起，往前倒推计算）的商业信誉情况和满足采购文件有关要求，且其符合性及有效性将以采购人审查结果为准。如成立时间不足6个月的，按成立时间提供）。③财政部门认可的政府采购专业担保机构出具的投标担保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r>
              <w:rPr/>
              <w:t>8</w:t>
            </w:r>
          </w:p>
        </w:tc>
        <w:tc>
          <w:tcPr>
            <w:tcW w:type="dxa" w:w="3178"/>
          </w:tcPr>
          <w:p>
            <w:r>
              <w:rPr/>
              <w:t>联合体及转包分包约定</w:t>
            </w:r>
          </w:p>
        </w:tc>
        <w:tc>
          <w:tcPr>
            <w:tcW w:type="dxa" w:w="4238"/>
          </w:tcPr>
          <w:p>
            <w:r>
              <w:rPr/>
              <w:t>本项目不接受联合体投标；中标后不允许转包、分包。</w:t>
            </w:r>
          </w:p>
        </w:tc>
      </w:tr>
      <w:tr>
        <w:tc>
          <w:tcPr>
            <w:tcW w:type="dxa" w:w="890"/>
          </w:tcPr>
          <w:p>
            <w:r>
              <w:rPr/>
              <w:t>9</w:t>
            </w:r>
          </w:p>
        </w:tc>
        <w:tc>
          <w:tcPr>
            <w:tcW w:type="dxa" w:w="3178"/>
          </w:tcPr>
          <w:p>
            <w:r>
              <w:rPr/>
              <w:t>本采购包专门面向中小企业采购</w:t>
            </w:r>
          </w:p>
        </w:tc>
        <w:tc>
          <w:tcPr>
            <w:tcW w:type="dxa" w:w="4238"/>
          </w:tcPr>
          <w:p>
            <w:r>
              <w:rPr/>
              <w:t>本次项目为专门面向中小企业进行采购，投标人应具备《政府采购法》第二十二条规定的条件，且属于依据国务院批准的中小企业划分标准确定的中型企业、小型企业和微型企业，但与大型企业的负责人为同一人，或者与大型企业存在直接控股、管理关系的除外。响应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w:t>
            </w:r>
          </w:p>
        </w:tc>
      </w:tr>
    </w:tbl>
    <w:p/>
    <w:p>
      <w:r>
        <w:rPr/>
        <w:t>采购包3（2022-2025年大良街道公共环境除“四害”管理服务项目C标段）：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的相关材料。如依法免税的，需提供相应证明材料。提供投标截止日前6个月内任意1个月依法缴纳社会保险的凭据【专用收据或社会保险缴纳清单】相关证明材料，如依法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须提供下列任一项证明材料：①提供2020或2021年度经审计的财务状况报告复印件(要求：审计报告由第三方会计师事务所出具的，能清晰显示第三方会计师事务所的印章，并能反应审计结论)。②基本开户银行出具的资信证明复印件（要求：资信证明书内容应能够清晰准确反映投标人最近6个月内（从本项目招标公告发布之日起，往前倒推计算）的商业信誉情况和满足采购文件有关要求，且其符合性及有效性将以采购人审查结果为准。如成立时间不足6个月的，按成立时间提供）。③财政部门认可的政府采购专业担保机构出具的投标担保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r>
              <w:rPr/>
              <w:t>8</w:t>
            </w:r>
          </w:p>
        </w:tc>
        <w:tc>
          <w:tcPr>
            <w:tcW w:type="dxa" w:w="3178"/>
          </w:tcPr>
          <w:p>
            <w:r>
              <w:rPr/>
              <w:t>联合体及转包分包约定</w:t>
            </w:r>
          </w:p>
        </w:tc>
        <w:tc>
          <w:tcPr>
            <w:tcW w:type="dxa" w:w="4238"/>
          </w:tcPr>
          <w:p>
            <w:r>
              <w:rPr/>
              <w:t>本项目不接受联合体投标；中标后不允许转包、分包。</w:t>
            </w:r>
          </w:p>
        </w:tc>
      </w:tr>
      <w:tr>
        <w:tc>
          <w:tcPr>
            <w:tcW w:type="dxa" w:w="890"/>
          </w:tcPr>
          <w:p>
            <w:r>
              <w:rPr/>
              <w:t>9</w:t>
            </w:r>
          </w:p>
        </w:tc>
        <w:tc>
          <w:tcPr>
            <w:tcW w:type="dxa" w:w="3178"/>
          </w:tcPr>
          <w:p>
            <w:r>
              <w:rPr/>
              <w:t>本项目不属于专门面向中小企业采购的项目。</w:t>
            </w:r>
          </w:p>
        </w:tc>
        <w:tc>
          <w:tcPr>
            <w:tcW w:type="dxa" w:w="4238"/>
          </w:tcPr>
          <w:p>
            <w:r>
              <w:rPr/>
              <w:t>本项目不属于专门面向中小企业采购的项目。对于小微企业、监狱企业、残疾人福利性单位等参与本项目所享受的优惠政策，详见本项目采购文件。</w:t>
            </w:r>
          </w:p>
        </w:tc>
      </w:tr>
    </w:tbl>
    <w:p/>
    <w:p>
      <w:r>
        <w:rPr/>
        <w:t>采购包4（2022-2025年大良街道公共环境除“四害”管理服务项目D标段）：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的相关材料。如依法免税的，需提供相应证明材料。提供投标截止日前6个月内任意1个月依法缴纳社会保险的凭据【专用收据或社会保险缴纳清单】相关证明材料，如依法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须提供下列任一项证明材料：①提供2020或2021年度经审计的财务状况报告复印件(要求：审计报告由第三方会计师事务所出具的，能清晰显示第三方会计师事务所的印章，并能反应审计结论)。②基本开户银行出具的资信证明复印件（要求：资信证明书内容应能够清晰准确反映投标人最近6个月内（从本项目招标公告发布之日起，往前倒推计算）的商业信誉情况和满足采购文件有关要求，且其符合性及有效性将以采购人审查结果为准。如成立时间不足6个月的，按成立时间提供）。③财政部门认可的政府采购专业担保机构出具的投标担保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r>
              <w:rPr/>
              <w:t>8</w:t>
            </w:r>
          </w:p>
        </w:tc>
        <w:tc>
          <w:tcPr>
            <w:tcW w:type="dxa" w:w="3178"/>
          </w:tcPr>
          <w:p>
            <w:r>
              <w:rPr/>
              <w:t>联合体及转包分包约定</w:t>
            </w:r>
          </w:p>
        </w:tc>
        <w:tc>
          <w:tcPr>
            <w:tcW w:type="dxa" w:w="4238"/>
          </w:tcPr>
          <w:p>
            <w:r>
              <w:rPr/>
              <w:t>本项目不接受联合体投标；中标后不允许转包、分包。</w:t>
            </w:r>
          </w:p>
        </w:tc>
      </w:tr>
      <w:tr>
        <w:tc>
          <w:tcPr>
            <w:tcW w:type="dxa" w:w="890"/>
          </w:tcPr>
          <w:p>
            <w:r>
              <w:rPr/>
              <w:t>9</w:t>
            </w:r>
          </w:p>
        </w:tc>
        <w:tc>
          <w:tcPr>
            <w:tcW w:type="dxa" w:w="3178"/>
          </w:tcPr>
          <w:p>
            <w:r>
              <w:rPr/>
              <w:t>本项目不属于专门面向中小企业采购的项目。</w:t>
            </w:r>
          </w:p>
        </w:tc>
        <w:tc>
          <w:tcPr>
            <w:tcW w:type="dxa" w:w="4238"/>
          </w:tcPr>
          <w:p>
            <w:r>
              <w:rPr/>
              <w:t>本项目不属于专门面向中小企业采购的项目。对于小微企业、监狱企业、残疾人福利性单位等参与本项目所享受的优惠政策，详见本项目采购文件。</w:t>
            </w:r>
          </w:p>
        </w:tc>
      </w:tr>
    </w:tbl>
    <w:p/>
    <w:p>
      <w:pPr>
        <w:ind w:firstLine="480"/>
      </w:pPr>
      <w:r>
        <w:rPr/>
        <w:t>表二符合性审查表：</w:t>
      </w:r>
    </w:p>
    <w:p>
      <w:pPr>
        <w:ind w:firstLine="480"/>
      </w:pPr>
    </w:p>
    <w:p/>
    <w:p>
      <w:r>
        <w:rPr/>
        <w:t>采购包1（2022-2025年大良街道公共环境除“四害”管理服务项目A标段）：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按照招标文件规定要求签署、盖章且投标文件有法定代表人签名或签章（或签名人有法定代表人有效授权书）的；</w:t>
            </w:r>
          </w:p>
        </w:tc>
        <w:tc>
          <w:tcPr>
            <w:tcW w:type="dxa" w:w="4238"/>
          </w:tcPr>
          <w:p>
            <w:r>
              <w:rPr/>
              <w:t>按照招标文件规定要求签署、盖章且投标文件有法定代表人签名或签章（或签名人有法定代表人有效授权书）的；</w:t>
            </w:r>
          </w:p>
        </w:tc>
      </w:tr>
      <w:tr>
        <w:tc>
          <w:tcPr>
            <w:tcW w:type="dxa" w:w="890"/>
          </w:tcPr>
          <w:p>
            <w:r>
              <w:rPr/>
              <w:t>2</w:t>
            </w:r>
          </w:p>
        </w:tc>
        <w:tc>
          <w:tcPr>
            <w:tcW w:type="dxa" w:w="3178"/>
          </w:tcPr>
          <w:p>
            <w:r>
              <w:rPr/>
              <w:t>投标函已提交并符合招标文件要求的，且投标有效期不少于招标文件中载明的投标有效期；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投标报价未超过本采购包最高限价的；</w:t>
            </w:r>
          </w:p>
        </w:tc>
        <w:tc>
          <w:tcPr>
            <w:tcW w:type="dxa" w:w="4238"/>
          </w:tcPr>
          <w:p>
            <w:r>
              <w:rPr/>
              <w:t>投标报价未超过本采购包最高限价的；</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投标文件完全满足招标文件的实质性条款（即标注★号条款）无负偏离的；</w:t>
            </w:r>
          </w:p>
        </w:tc>
        <w:tc>
          <w:tcPr>
            <w:tcW w:type="dxa" w:w="4238"/>
          </w:tcPr>
          <w:p>
            <w:r>
              <w:rPr/>
              <w:t>投标文件完全满足招标文件的实质性条款（即标注★号条款）无负偏离的；</w:t>
            </w:r>
          </w:p>
        </w:tc>
      </w:tr>
      <w:tr>
        <w:tc>
          <w:tcPr>
            <w:tcW w:type="dxa" w:w="890"/>
          </w:tcPr>
          <w:p>
            <w:r>
              <w:rPr/>
              <w:t>6</w:t>
            </w:r>
          </w:p>
        </w:tc>
        <w:tc>
          <w:tcPr>
            <w:tcW w:type="dxa" w:w="3178"/>
          </w:tcPr>
          <w:p>
            <w:r>
              <w:rPr/>
              <w:t>已获得其他子包的中标候选人资格</w:t>
            </w:r>
          </w:p>
        </w:tc>
        <w:tc>
          <w:tcPr>
            <w:tcW w:type="dxa" w:w="4238"/>
          </w:tcPr>
          <w:p>
            <w:r>
              <w:rPr/>
              <w:t>已获得任一子包的第一中标候选人资格的投标人将不再作为合格投标人参与余下子包的评审且不具有余下子包的中标候选人推荐资格，依此类推。</w:t>
            </w:r>
          </w:p>
        </w:tc>
      </w:tr>
      <w:tr>
        <w:tc>
          <w:tcPr>
            <w:tcW w:type="dxa" w:w="890"/>
          </w:tcPr>
          <w:p>
            <w:r>
              <w:rPr/>
              <w:t>7</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r>
        <w:tc>
          <w:tcPr>
            <w:tcW w:type="dxa" w:w="890"/>
          </w:tcPr>
          <w:p>
            <w:r>
              <w:rPr/>
              <w:t>8</w:t>
            </w:r>
          </w:p>
        </w:tc>
        <w:tc>
          <w:tcPr>
            <w:tcW w:type="dxa" w:w="3178"/>
          </w:tcPr>
          <w:p>
            <w:r>
              <w:rPr/>
              <w:t>按有关法律、法规、规章不属于投标无效的。</w:t>
            </w:r>
          </w:p>
        </w:tc>
        <w:tc>
          <w:tcPr>
            <w:tcW w:type="dxa" w:w="4238"/>
          </w:tcPr>
          <w:p>
            <w:r>
              <w:rPr/>
              <w:t>按有关法律、法规、规章不属于投标无效的。</w:t>
            </w:r>
          </w:p>
        </w:tc>
      </w:tr>
    </w:tbl>
    <w:p/>
    <w:p>
      <w:r>
        <w:rPr/>
        <w:t>采购包2（2022-2025年大良街道公共环境除“四害”管理服务项目B标段）：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按照招标文件规定要求签署、盖章且投标文件有法定代表人签名或签章（或签名人有法定代表人有效授权书）的；</w:t>
            </w:r>
          </w:p>
        </w:tc>
        <w:tc>
          <w:tcPr>
            <w:tcW w:type="dxa" w:w="4238"/>
          </w:tcPr>
          <w:p>
            <w:r>
              <w:rPr/>
              <w:t>按照招标文件规定要求签署、盖章且投标文件有法定代表人签名或签章（或签名人有法定代表人有效授权书）的；</w:t>
            </w:r>
          </w:p>
        </w:tc>
      </w:tr>
      <w:tr>
        <w:tc>
          <w:tcPr>
            <w:tcW w:type="dxa" w:w="890"/>
          </w:tcPr>
          <w:p>
            <w:r>
              <w:rPr/>
              <w:t>2</w:t>
            </w:r>
          </w:p>
        </w:tc>
        <w:tc>
          <w:tcPr>
            <w:tcW w:type="dxa" w:w="3178"/>
          </w:tcPr>
          <w:p>
            <w:r>
              <w:rPr/>
              <w:t>投标函已提交并符合招标文件要求的，且投标有效期不少于招标文件中载明的投标有效期；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投标报价未超过本采购包最高限价的；</w:t>
            </w:r>
          </w:p>
        </w:tc>
        <w:tc>
          <w:tcPr>
            <w:tcW w:type="dxa" w:w="4238"/>
          </w:tcPr>
          <w:p>
            <w:r>
              <w:rPr/>
              <w:t>投标报价未超过本采购包最高限价的；</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投标文件完全满足招标文件的实质性条款（即标注★号条款）无负偏离的；</w:t>
            </w:r>
          </w:p>
        </w:tc>
        <w:tc>
          <w:tcPr>
            <w:tcW w:type="dxa" w:w="4238"/>
          </w:tcPr>
          <w:p>
            <w:r>
              <w:rPr/>
              <w:t>投标文件完全满足招标文件的实质性条款（即标注★号条款）无负偏离的；</w:t>
            </w:r>
          </w:p>
        </w:tc>
      </w:tr>
      <w:tr>
        <w:tc>
          <w:tcPr>
            <w:tcW w:type="dxa" w:w="890"/>
          </w:tcPr>
          <w:p>
            <w:r>
              <w:rPr/>
              <w:t>6</w:t>
            </w:r>
          </w:p>
        </w:tc>
        <w:tc>
          <w:tcPr>
            <w:tcW w:type="dxa" w:w="3178"/>
          </w:tcPr>
          <w:p>
            <w:r>
              <w:rPr/>
              <w:t>已获得其他子包的中标候选人资格</w:t>
            </w:r>
          </w:p>
        </w:tc>
        <w:tc>
          <w:tcPr>
            <w:tcW w:type="dxa" w:w="4238"/>
          </w:tcPr>
          <w:p>
            <w:r>
              <w:rPr/>
              <w:t>已获得任一子包的第一中标候选人资格的投标人将不再作为合格投标人参与余下子包的评审且不具有余下子包的中标候选人推荐资格，依此类推。</w:t>
            </w:r>
          </w:p>
        </w:tc>
      </w:tr>
      <w:tr>
        <w:tc>
          <w:tcPr>
            <w:tcW w:type="dxa" w:w="890"/>
          </w:tcPr>
          <w:p>
            <w:r>
              <w:rPr/>
              <w:t>7</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r>
        <w:tc>
          <w:tcPr>
            <w:tcW w:type="dxa" w:w="890"/>
          </w:tcPr>
          <w:p>
            <w:r>
              <w:rPr/>
              <w:t>8</w:t>
            </w:r>
          </w:p>
        </w:tc>
        <w:tc>
          <w:tcPr>
            <w:tcW w:type="dxa" w:w="3178"/>
          </w:tcPr>
          <w:p>
            <w:r>
              <w:rPr/>
              <w:t>按有关法律、法规、规章不属于投标无效的。</w:t>
            </w:r>
          </w:p>
        </w:tc>
        <w:tc>
          <w:tcPr>
            <w:tcW w:type="dxa" w:w="4238"/>
          </w:tcPr>
          <w:p>
            <w:r>
              <w:rPr/>
              <w:t>按有关法律、法规、规章不属于投标无效的。</w:t>
            </w:r>
          </w:p>
        </w:tc>
      </w:tr>
    </w:tbl>
    <w:p/>
    <w:p>
      <w:r>
        <w:rPr/>
        <w:t>采购包3（2022-2025年大良街道公共环境除“四害”管理服务项目C标段）：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按照招标文件规定要求签署、盖章且投标文件有法定代表人签名或签章（或签名人有法定代表人有效授权书）的；</w:t>
            </w:r>
          </w:p>
        </w:tc>
        <w:tc>
          <w:tcPr>
            <w:tcW w:type="dxa" w:w="4238"/>
          </w:tcPr>
          <w:p>
            <w:r>
              <w:rPr/>
              <w:t>按照招标文件规定要求签署、盖章且投标文件有法定代表人签名或签章（或签名人有法定代表人有效授权书）的；</w:t>
            </w:r>
          </w:p>
        </w:tc>
      </w:tr>
      <w:tr>
        <w:tc>
          <w:tcPr>
            <w:tcW w:type="dxa" w:w="890"/>
          </w:tcPr>
          <w:p>
            <w:r>
              <w:rPr/>
              <w:t>2</w:t>
            </w:r>
          </w:p>
        </w:tc>
        <w:tc>
          <w:tcPr>
            <w:tcW w:type="dxa" w:w="3178"/>
          </w:tcPr>
          <w:p>
            <w:r>
              <w:rPr/>
              <w:t>投标函已提交并符合招标文件要求的，且投标有效期不少于招标文件中载明的投标有效期；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投标报价未超过本采购包最高限价的；</w:t>
            </w:r>
          </w:p>
        </w:tc>
        <w:tc>
          <w:tcPr>
            <w:tcW w:type="dxa" w:w="4238"/>
          </w:tcPr>
          <w:p>
            <w:r>
              <w:rPr/>
              <w:t>投标报价未超过本采购包最高限价的；</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投标文件完全满足招标文件的实质性条款（即标注★号条款）无负偏离的；</w:t>
            </w:r>
          </w:p>
        </w:tc>
        <w:tc>
          <w:tcPr>
            <w:tcW w:type="dxa" w:w="4238"/>
          </w:tcPr>
          <w:p>
            <w:r>
              <w:rPr/>
              <w:t>投标文件完全满足招标文件的实质性条款（即标注★号条款）无负偏离的；</w:t>
            </w:r>
          </w:p>
        </w:tc>
      </w:tr>
      <w:tr>
        <w:tc>
          <w:tcPr>
            <w:tcW w:type="dxa" w:w="890"/>
          </w:tcPr>
          <w:p>
            <w:r>
              <w:rPr/>
              <w:t>6</w:t>
            </w:r>
          </w:p>
        </w:tc>
        <w:tc>
          <w:tcPr>
            <w:tcW w:type="dxa" w:w="3178"/>
          </w:tcPr>
          <w:p>
            <w:r>
              <w:rPr/>
              <w:t>已获得其他子包的中标候选人资格</w:t>
            </w:r>
          </w:p>
        </w:tc>
        <w:tc>
          <w:tcPr>
            <w:tcW w:type="dxa" w:w="4238"/>
          </w:tcPr>
          <w:p>
            <w:r>
              <w:rPr/>
              <w:t>已获得任一子包的第一中标候选人资格的投标人将不再作为合格投标人参与余下子包的评审且不具有余下子包的中标候选人推荐资格，依此类推。</w:t>
            </w:r>
          </w:p>
        </w:tc>
      </w:tr>
      <w:tr>
        <w:tc>
          <w:tcPr>
            <w:tcW w:type="dxa" w:w="890"/>
          </w:tcPr>
          <w:p>
            <w:r>
              <w:rPr/>
              <w:t>7</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r>
        <w:tc>
          <w:tcPr>
            <w:tcW w:type="dxa" w:w="890"/>
          </w:tcPr>
          <w:p>
            <w:r>
              <w:rPr/>
              <w:t>8</w:t>
            </w:r>
          </w:p>
        </w:tc>
        <w:tc>
          <w:tcPr>
            <w:tcW w:type="dxa" w:w="3178"/>
          </w:tcPr>
          <w:p>
            <w:r>
              <w:rPr/>
              <w:t>按有关法律、法规、规章不属于投标无效的。</w:t>
            </w:r>
          </w:p>
        </w:tc>
        <w:tc>
          <w:tcPr>
            <w:tcW w:type="dxa" w:w="4238"/>
          </w:tcPr>
          <w:p>
            <w:r>
              <w:rPr/>
              <w:t>按有关法律、法规、规章不属于投标无效的。</w:t>
            </w:r>
          </w:p>
        </w:tc>
      </w:tr>
    </w:tbl>
    <w:p/>
    <w:p>
      <w:r>
        <w:rPr/>
        <w:t>采购包4（2022-2025年大良街道公共环境除“四害”管理服务项目D标段）：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按照招标文件规定要求签署、盖章且投标文件有法定代表人签名或签章（或签名人有法定代表人有效授权书）的；</w:t>
            </w:r>
          </w:p>
        </w:tc>
        <w:tc>
          <w:tcPr>
            <w:tcW w:type="dxa" w:w="4238"/>
          </w:tcPr>
          <w:p>
            <w:r>
              <w:rPr/>
              <w:t>按照招标文件规定要求签署、盖章且投标文件有法定代表人签名或签章（或签名人有法定代表人有效授权书）的；</w:t>
            </w:r>
          </w:p>
        </w:tc>
      </w:tr>
      <w:tr>
        <w:tc>
          <w:tcPr>
            <w:tcW w:type="dxa" w:w="890"/>
          </w:tcPr>
          <w:p>
            <w:r>
              <w:rPr/>
              <w:t>2</w:t>
            </w:r>
          </w:p>
        </w:tc>
        <w:tc>
          <w:tcPr>
            <w:tcW w:type="dxa" w:w="3178"/>
          </w:tcPr>
          <w:p>
            <w:r>
              <w:rPr/>
              <w:t>投标函已提交并符合招标文件要求的，且投标有效期不少于招标文件中载明的投标有效期；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投标报价未超过本采购包最高限价的；</w:t>
            </w:r>
          </w:p>
        </w:tc>
        <w:tc>
          <w:tcPr>
            <w:tcW w:type="dxa" w:w="4238"/>
          </w:tcPr>
          <w:p>
            <w:r>
              <w:rPr/>
              <w:t>投标报价未超过本采购包最高限价的；</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投标文件完全满足招标文件的实质性条款（即标注★号条款）无负偏离的；</w:t>
            </w:r>
          </w:p>
        </w:tc>
        <w:tc>
          <w:tcPr>
            <w:tcW w:type="dxa" w:w="4238"/>
          </w:tcPr>
          <w:p>
            <w:r>
              <w:rPr/>
              <w:t>投标文件完全满足招标文件的实质性条款（即标注★号条款）无负偏离的；</w:t>
            </w:r>
          </w:p>
        </w:tc>
      </w:tr>
      <w:tr>
        <w:tc>
          <w:tcPr>
            <w:tcW w:type="dxa" w:w="890"/>
          </w:tcPr>
          <w:p>
            <w:r>
              <w:rPr/>
              <w:t>6</w:t>
            </w:r>
          </w:p>
        </w:tc>
        <w:tc>
          <w:tcPr>
            <w:tcW w:type="dxa" w:w="3178"/>
          </w:tcPr>
          <w:p>
            <w:r>
              <w:rPr/>
              <w:t>已获得其他子包的中标候选人资格</w:t>
            </w:r>
          </w:p>
        </w:tc>
        <w:tc>
          <w:tcPr>
            <w:tcW w:type="dxa" w:w="4238"/>
          </w:tcPr>
          <w:p>
            <w:r>
              <w:rPr/>
              <w:t>已获得任一子包的第一中标候选人资格的投标人将不再作为合格投标人参与余下子包的评审且不具有余下子包的中标候选人推荐资格，依此类推。</w:t>
            </w:r>
          </w:p>
        </w:tc>
      </w:tr>
      <w:tr>
        <w:tc>
          <w:tcPr>
            <w:tcW w:type="dxa" w:w="890"/>
          </w:tcPr>
          <w:p>
            <w:r>
              <w:rPr/>
              <w:t>7</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r>
        <w:tc>
          <w:tcPr>
            <w:tcW w:type="dxa" w:w="890"/>
          </w:tcPr>
          <w:p>
            <w:r>
              <w:rPr/>
              <w:t>8</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采购包12022-2025年大良街道公共环境除“四害”管理服务项目A标段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电动超低容量喷雾机 (5.0分)</w:t>
            </w:r>
          </w:p>
        </w:tc>
        <w:tc>
          <w:tcPr>
            <w:tcW w:type="dxa" w:w="5076"/>
          </w:tcPr>
          <w:p>
            <w:pPr>
              <w:jc w:val="left"/>
            </w:pPr>
            <w:r>
              <w:rPr/>
              <w:t>根据各投标人投入电动超低容量喷雾机的情况（满足招标人的技术参数要求）进行评审：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电动喷雾机 (5.0分)</w:t>
            </w:r>
          </w:p>
        </w:tc>
        <w:tc>
          <w:tcPr>
            <w:tcW w:type="dxa" w:w="5076"/>
          </w:tcPr>
          <w:p>
            <w:pPr>
              <w:jc w:val="left"/>
            </w:pPr>
            <w:r>
              <w:rPr/>
              <w:t>根据各投标人投入电动喷雾机的情况（满足招标人的技术参数要求）进行评审：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热烟雾机 (5.0分)</w:t>
            </w:r>
          </w:p>
        </w:tc>
        <w:tc>
          <w:tcPr>
            <w:tcW w:type="dxa" w:w="5076"/>
          </w:tcPr>
          <w:p>
            <w:pPr>
              <w:jc w:val="left"/>
            </w:pPr>
            <w:r>
              <w:rPr/>
              <w:t>根据各投标人投入热烟雾机的情况（满足招标人的技术参数要求）进行评审：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项目实施方案 (5.0分)</w:t>
            </w:r>
            <w:r>
              <w:rPr/>
              <w:t>，（等次分值选择：</w:t>
            </w:r>
            <w:r>
              <w:rPr/>
              <w:t>0.0;</w:t>
            </w:r>
            <w:r>
              <w:rPr/>
              <w:t>3.0;</w:t>
            </w:r>
            <w:r>
              <w:rPr/>
              <w:t>4.0;</w:t>
            </w:r>
            <w:r>
              <w:rPr/>
              <w:t>5.0;</w:t>
            </w:r>
            <w:r>
              <w:rPr/>
              <w:t>）</w:t>
            </w:r>
          </w:p>
        </w:tc>
        <w:tc>
          <w:tcPr>
            <w:tcW w:type="dxa" w:w="5076"/>
          </w:tcPr>
          <w:p>
            <w:pPr>
              <w:jc w:val="left"/>
            </w:pPr>
            <w:r>
              <w:rPr/>
              <w:t>根据投标人对本项目常态化管理而制定的防制方案，包括但不限于：病媒生物密度控制方案、病媒生物密度监测方案、服务流程、服务计划等，进行综合评审： 1、方案全面、科学，深入掌握并精准分析项目的重点、难点、风险点，并提出可行长效的解决方法，服务流程及服务计划高度贴合本项目的，得5分；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3、方案一般，未了解项目的重点、难点、风险点，分析不到位，未能提出可行的解决方法，服务流程及服务计划基本符合本项目的，得3分； 4、没有方案的，得0分。</w:t>
            </w:r>
          </w:p>
        </w:tc>
      </w:tr>
      <w:tr>
        <w:tc>
          <w:tcPr>
            <w:tcW w:type="dxa" w:w="922"/>
            <w:gridSpan w:val="2"/>
            <w:vMerge/>
          </w:tcPr>
          <w:p/>
        </w:tc>
        <w:tc>
          <w:tcPr>
            <w:tcW w:type="dxa" w:w="2307"/>
          </w:tcPr>
          <w:p>
            <w:pPr>
              <w:jc w:val="left"/>
            </w:pPr>
            <w:r>
              <w:rPr/>
              <w:t>巩卫迎检能力 (5.0分)</w:t>
            </w:r>
            <w:r>
              <w:rPr/>
              <w:t>，（等次分值选择：</w:t>
            </w:r>
            <w:r>
              <w:rPr/>
              <w:t>0.0;</w:t>
            </w:r>
            <w:r>
              <w:rPr/>
              <w:t>3.0;</w:t>
            </w:r>
            <w:r>
              <w:rPr/>
              <w:t>4.0;</w:t>
            </w:r>
            <w:r>
              <w:rPr/>
              <w:t>5.0;</w:t>
            </w:r>
            <w:r>
              <w:rPr/>
              <w:t>）</w:t>
            </w:r>
          </w:p>
        </w:tc>
        <w:tc>
          <w:tcPr>
            <w:tcW w:type="dxa" w:w="5076"/>
          </w:tcPr>
          <w:p>
            <w:pPr>
              <w:jc w:val="left"/>
            </w:pPr>
            <w:r>
              <w:rPr/>
              <w:t>根据投标人针对本项目而制定的巩固“国家卫生城市”迎检工作的实施方案，进行综合评审： 1、方案非常明确、清晰，分析非常到位，能切实有效地做好迎检工作的，得5分； 2、方案明确、清晰，分析到位，能做好迎检工作的，得4分； 3、方案为一般，分析不到位，得3分； 4、没有方案的，得0分。</w:t>
            </w:r>
          </w:p>
        </w:tc>
      </w:tr>
      <w:tr>
        <w:tc>
          <w:tcPr>
            <w:tcW w:type="dxa" w:w="922"/>
            <w:gridSpan w:val="2"/>
            <w:vMerge/>
          </w:tcPr>
          <w:p/>
        </w:tc>
        <w:tc>
          <w:tcPr>
            <w:tcW w:type="dxa" w:w="2307"/>
          </w:tcPr>
          <w:p>
            <w:pPr>
              <w:jc w:val="left"/>
            </w:pPr>
            <w:r>
              <w:rPr/>
              <w:t>个性化服务 (5.0分)</w:t>
            </w:r>
            <w:r>
              <w:rPr/>
              <w:t>，（等次分值选择：</w:t>
            </w:r>
            <w:r>
              <w:rPr/>
              <w:t>0.0;</w:t>
            </w:r>
            <w:r>
              <w:rPr/>
              <w:t>3.0;</w:t>
            </w:r>
            <w:r>
              <w:rPr/>
              <w:t>4.0;</w:t>
            </w:r>
            <w:r>
              <w:rPr/>
              <w:t>5.0;</w:t>
            </w:r>
            <w:r>
              <w:rPr/>
              <w:t>）</w:t>
            </w:r>
          </w:p>
        </w:tc>
        <w:tc>
          <w:tcPr>
            <w:tcW w:type="dxa" w:w="5076"/>
          </w:tcPr>
          <w:p>
            <w:pPr>
              <w:jc w:val="left"/>
            </w:pPr>
            <w:r>
              <w:rPr/>
              <w:t>合本地实际情况设置本项目有别于基本要求的特色服务，根据投标人对本项目服务能力及本地区熟悉情况： 1、非常熟悉本地情况，结合本地实际情况有独特精准全面的理解，分析和设计的服务方案非常到位，得5分； 2、熟悉本地情况，结合本地实际情况有全面的理解，分析和设计的服务方案到位，得4分； 3、对本地情况了解程度一般，结合本地实际情况有一般性理解，分析和设计的服务方案一般，得3分； 4、没有方案的，得0分。</w:t>
            </w:r>
          </w:p>
        </w:tc>
      </w:tr>
      <w:tr>
        <w:tc>
          <w:tcPr>
            <w:tcW w:type="dxa" w:w="922"/>
            <w:gridSpan w:val="2"/>
            <w:vMerge/>
          </w:tcPr>
          <w:p/>
        </w:tc>
        <w:tc>
          <w:tcPr>
            <w:tcW w:type="dxa" w:w="2307"/>
          </w:tcPr>
          <w:p>
            <w:pPr>
              <w:jc w:val="left"/>
            </w:pPr>
            <w:r>
              <w:rPr/>
              <w:t>突发公共卫生应急方案 (5.0分)</w:t>
            </w:r>
            <w:r>
              <w:rPr/>
              <w:t>，（等次分值选择：</w:t>
            </w:r>
            <w:r>
              <w:rPr/>
              <w:t>0.0;</w:t>
            </w:r>
            <w:r>
              <w:rPr/>
              <w:t>3.0;</w:t>
            </w:r>
            <w:r>
              <w:rPr/>
              <w:t>4.0;</w:t>
            </w:r>
            <w:r>
              <w:rPr/>
              <w:t>5.0;</w:t>
            </w:r>
            <w:r>
              <w:rPr/>
              <w:t>）</w:t>
            </w:r>
          </w:p>
        </w:tc>
        <w:tc>
          <w:tcPr>
            <w:tcW w:type="dxa" w:w="5076"/>
          </w:tcPr>
          <w:p>
            <w:pPr>
              <w:jc w:val="left"/>
            </w:pPr>
            <w:r>
              <w:rPr/>
              <w:t>突发公共卫生事件发生时，应急队伍的组织、安排及实施应急处理的具体措施。根据方案情况进行评审： 1、应急方案内容全面、应对措施得当、切实可行的，得5分； 2、应急方案内容基本全面、应对措施部分可行的，得4分； 3、应急方案内容片面、应对措施单一的，得3分； 4、没有方案的，得0分。</w:t>
            </w:r>
          </w:p>
        </w:tc>
      </w:tr>
      <w:tr>
        <w:tc>
          <w:tcPr>
            <w:tcW w:type="dxa" w:w="922"/>
            <w:gridSpan w:val="2"/>
            <w:vMerge/>
          </w:tcPr>
          <w:p/>
        </w:tc>
        <w:tc>
          <w:tcPr>
            <w:tcW w:type="dxa" w:w="2307"/>
          </w:tcPr>
          <w:p>
            <w:pPr>
              <w:jc w:val="left"/>
            </w:pPr>
            <w:r>
              <w:rPr/>
              <w:t>项目组织管理 (5.0分)</w:t>
            </w:r>
            <w:r>
              <w:rPr/>
              <w:t>，（等次分值选择：</w:t>
            </w:r>
            <w:r>
              <w:rPr/>
              <w:t>0.0;</w:t>
            </w:r>
            <w:r>
              <w:rPr/>
              <w:t>3.0;</w:t>
            </w:r>
            <w:r>
              <w:rPr/>
              <w:t>4.0;</w:t>
            </w:r>
            <w:r>
              <w:rPr/>
              <w:t>5.0;</w:t>
            </w:r>
            <w:r>
              <w:rPr/>
              <w:t>）</w:t>
            </w:r>
          </w:p>
        </w:tc>
        <w:tc>
          <w:tcPr>
            <w:tcW w:type="dxa" w:w="5076"/>
          </w:tcPr>
          <w:p>
            <w:pPr>
              <w:jc w:val="left"/>
            </w:pPr>
            <w:r>
              <w:rPr/>
              <w:t>1、管理架构：针对本项目设计的组织管理架构及各岗位职能等情况，（1）组织管理架构及各个岗位职能非常明确、清晰，设置非常到位的，得2.5分； （2）组织管理架构及各个岗位职能明确、清晰，设置到位的，得1.5分； （3）组织管理架构及各个岗位职能一般，设置不到位，得0.5分； （4）没有方案的，得0分。 2、管理制度：针对本项目的薪酬制度、奖惩制度、培训制度、质量管理制度、投诉处理制度、档案管理制度等情况进行评审： （1）管理制度非常明确、清晰，设置非常到位的，得2.5分； （2）管理制度明确、清晰，得1.5分； （3）管理制度一般，得0.5分； （4）没有方案的，得0分。 本项最高得分5分。</w:t>
            </w:r>
          </w:p>
        </w:tc>
      </w:tr>
      <w:tr>
        <w:tc>
          <w:tcPr>
            <w:tcW w:type="dxa" w:w="922"/>
            <w:gridSpan w:val="2"/>
            <w:vMerge w:val="restart"/>
          </w:tcPr>
          <w:p>
            <w:pPr>
              <w:jc w:val="center"/>
            </w:pPr>
            <w:r>
              <w:rPr/>
              <w:t>商务部分</w:t>
            </w:r>
          </w:p>
        </w:tc>
        <w:tc>
          <w:tcPr>
            <w:tcW w:type="dxa" w:w="2307"/>
          </w:tcPr>
          <w:p>
            <w:pPr>
              <w:jc w:val="left"/>
            </w:pPr>
            <w:r>
              <w:rPr/>
              <w:t>企业资质 (3.0分)</w:t>
            </w:r>
          </w:p>
        </w:tc>
        <w:tc>
          <w:tcPr>
            <w:tcW w:type="dxa" w:w="5076"/>
          </w:tcPr>
          <w:p>
            <w:pPr>
              <w:jc w:val="left"/>
            </w:pPr>
            <w:r>
              <w:rPr/>
              <w:t>投标人具有行业协会颁发的有效的有害生物防制服务机构能力（或有害生物防制资质）证书，得3分。 注：须提供有效期内的证书复印件及提供查证为有效状态的网页截图并加盖公章，并且在发证的协会官方网站能查询其真实性及有效期内的方可计分。</w:t>
            </w:r>
          </w:p>
        </w:tc>
      </w:tr>
      <w:tr>
        <w:tc>
          <w:tcPr>
            <w:tcW w:type="dxa" w:w="922"/>
            <w:gridSpan w:val="2"/>
            <w:vMerge/>
          </w:tcPr>
          <w:p/>
        </w:tc>
        <w:tc>
          <w:tcPr>
            <w:tcW w:type="dxa" w:w="2307"/>
          </w:tcPr>
          <w:p>
            <w:pPr>
              <w:jc w:val="left"/>
            </w:pPr>
            <w:r>
              <w:rPr/>
              <w:t>项目业绩 (9.0分)</w:t>
            </w:r>
          </w:p>
        </w:tc>
        <w:tc>
          <w:tcPr>
            <w:tcW w:type="dxa" w:w="5076"/>
          </w:tcPr>
          <w:p>
            <w:pPr>
              <w:jc w:val="left"/>
            </w:pPr>
            <w:r>
              <w:rPr/>
              <w:t>投标人自2017年以来（以合同签订时间为准）完成过或正在履行发包方为街道/镇级别或以上的公共环境区域（不包含私人物业及住宅小区、工厂、办公楼、商业等业绩）除四害项目（或病媒生物（含四害）防制项目，或有害生物防治（含四害）项目，或蚊媒传播疾病防控项目），且合同期限不少于1年的，每个3分，最高得9分。 注：须同时提供项目合同（要点包括项目名称、签约时间、合同期限、合同金额、项目主要内容和双方盖章页）扫描件，否则不得分。分包、转包或劳务合作合同无效。</w:t>
            </w:r>
          </w:p>
        </w:tc>
      </w:tr>
      <w:tr>
        <w:tc>
          <w:tcPr>
            <w:tcW w:type="dxa" w:w="922"/>
            <w:gridSpan w:val="2"/>
            <w:vMerge/>
          </w:tcPr>
          <w:p/>
        </w:tc>
        <w:tc>
          <w:tcPr>
            <w:tcW w:type="dxa" w:w="2307"/>
          </w:tcPr>
          <w:p>
            <w:pPr>
              <w:jc w:val="left"/>
            </w:pPr>
            <w:r>
              <w:rPr/>
              <w:t>满意度评价 (3.0分)</w:t>
            </w:r>
          </w:p>
        </w:tc>
        <w:tc>
          <w:tcPr>
            <w:tcW w:type="dxa" w:w="5076"/>
          </w:tcPr>
          <w:p>
            <w:pPr>
              <w:jc w:val="left"/>
            </w:pPr>
            <w:r>
              <w:rPr/>
              <w:t>投标人提供的上述项目业绩履约情况获得业主评价为优或满意的，每提供一项得1分，本项最高得3分。  注：提供用户评价表复印件加盖公章作为证明材料，否则不得分。</w:t>
            </w:r>
          </w:p>
        </w:tc>
      </w:tr>
      <w:tr>
        <w:tc>
          <w:tcPr>
            <w:tcW w:type="dxa" w:w="922"/>
            <w:gridSpan w:val="2"/>
            <w:vMerge/>
          </w:tcPr>
          <w:p/>
        </w:tc>
        <w:tc>
          <w:tcPr>
            <w:tcW w:type="dxa" w:w="2307"/>
          </w:tcPr>
          <w:p>
            <w:pPr>
              <w:jc w:val="left"/>
            </w:pPr>
            <w:r>
              <w:rPr/>
              <w:t>管理体系认证 (9.0分)</w:t>
            </w:r>
          </w:p>
        </w:tc>
        <w:tc>
          <w:tcPr>
            <w:tcW w:type="dxa" w:w="5076"/>
          </w:tcPr>
          <w:p>
            <w:pPr>
              <w:jc w:val="left"/>
            </w:pPr>
            <w:r>
              <w:rPr/>
              <w:t>投标人同时具有有效的质量管理体系认证得3分；投标人具有职业健康安全管理体系认证得3分；投标人具有环境管理体系认证得3分，本项最高得9分。 注：须提供相关证书复印件，并在“国家市场监督管理总局全国认证认可信息公共服务平台（网址http://cx.cnca.cn）”查证为有效状态的网页截图并加盖投标人公章方可计分，否则不得分。</w:t>
            </w:r>
          </w:p>
        </w:tc>
      </w:tr>
      <w:tr>
        <w:tc>
          <w:tcPr>
            <w:tcW w:type="dxa" w:w="922"/>
            <w:gridSpan w:val="2"/>
            <w:vMerge/>
          </w:tcPr>
          <w:p/>
        </w:tc>
        <w:tc>
          <w:tcPr>
            <w:tcW w:type="dxa" w:w="2307"/>
          </w:tcPr>
          <w:p>
            <w:pPr>
              <w:jc w:val="left"/>
            </w:pPr>
            <w:r>
              <w:rPr/>
              <w:t>协助获奖情况 (10.0分)</w:t>
            </w:r>
          </w:p>
        </w:tc>
        <w:tc>
          <w:tcPr>
            <w:tcW w:type="dxa" w:w="5076"/>
          </w:tcPr>
          <w:p>
            <w:pPr>
              <w:jc w:val="left"/>
            </w:pPr>
            <w:r>
              <w:rPr/>
              <w:t>1、投标人自2017年至今（即合同期须至少包含2017年1月1日至投标截止前的任意一日）在提供除四害服务期间，曾协助县城（乡镇）或以上通过全国爱国卫生运动委员会办公室评审或复审的，获得（或重新确认）国家卫生城市（镇）命名，每个得4分，本小项最高得8分； 2、投标人自2017年至今（即合同期须至少包含2017年1月1日至投标截止前的任意一日）在提供除四害服务期间，曾协助县城（乡镇）或以上通过省级爱国卫生运动委员会办公室评审或复审的，获得（或重新确认）省级卫生城市（镇）命名，每个得2分，本小项最高4分。 3、投标人自2017年至今（即合同期须至少包含2017年1月1日至投标截止前的任意一日）在提供除四害服务期间参加过镇街或以上级别与除四害相关的突发公共卫生应急处置（例如登革热、基孔肯雅热等），每个得1分，本小项最高得2分。 本项评分累计最高得10分。 注：1、须提供合同书（或证书、感谢状、锦旗等相关佐证材料）及合同发包方出具的证明文件（证明文件格式自拟）方能得分。2、多次协助同一城市（区）、县城（乡镇）通过同一级别卫生城市评审或复审的，只计算一次得分。</w:t>
            </w:r>
          </w:p>
        </w:tc>
      </w:tr>
      <w:tr>
        <w:tc>
          <w:tcPr>
            <w:tcW w:type="dxa" w:w="922"/>
            <w:gridSpan w:val="2"/>
            <w:vMerge/>
          </w:tcPr>
          <w:p/>
        </w:tc>
        <w:tc>
          <w:tcPr>
            <w:tcW w:type="dxa" w:w="2307"/>
          </w:tcPr>
          <w:p>
            <w:pPr>
              <w:jc w:val="left"/>
            </w:pPr>
            <w:r>
              <w:rPr/>
              <w:t>拟投入人员情况 (16.0分)</w:t>
            </w:r>
          </w:p>
        </w:tc>
        <w:tc>
          <w:tcPr>
            <w:tcW w:type="dxa" w:w="5076"/>
          </w:tcPr>
          <w:p>
            <w:pPr>
              <w:jc w:val="left"/>
            </w:pPr>
            <w:r>
              <w:rPr/>
              <w:t>投标人拟投入本项目人员满足“采购需求”中“人员基本配置要求”，且人员投入数量不变的基础上： 1、所派人员中若持有有害生物防制（治）员高级（三级）证书超过4人的，每增加1人的，得2分，本小项最高得16分； 2、所派人员中若持有有害生物防制（治）员中级（四级）证书超过2人的，每增加1人的，得1.5分，本小项最高得9分。 注：1、同一人同时具有上述两个或以上证书的，取最高级别计算，不重复计分。 2、所有具备证书的拟投入人员均须提供的相关证书、身份证复印件和在公告发布之日起前3个月（不含公告发布当月）任意一个月在投标人单位购买的社会保险参保证明复印件，加盖投标人公章，否则不得分。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采购包22022-2025年大良街道公共环境除“四害”管理服务项目B标段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电动超低容量喷雾机 (5.0分)</w:t>
            </w:r>
          </w:p>
        </w:tc>
        <w:tc>
          <w:tcPr>
            <w:tcW w:type="dxa" w:w="5076"/>
          </w:tcPr>
          <w:p>
            <w:pPr>
              <w:jc w:val="left"/>
            </w:pPr>
            <w:r>
              <w:rPr/>
              <w:t>根据各投标人投入电动超低容量喷雾机的情况（满足招标人的技术参数要求）进行评审：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电动喷雾机 (5.0分)</w:t>
            </w:r>
          </w:p>
        </w:tc>
        <w:tc>
          <w:tcPr>
            <w:tcW w:type="dxa" w:w="5076"/>
          </w:tcPr>
          <w:p>
            <w:pPr>
              <w:jc w:val="left"/>
            </w:pPr>
            <w:r>
              <w:rPr/>
              <w:t>根据各投标人投入电动喷雾机的情况（满足招标人的技术参数要求）进行评审：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热烟雾机 (5.0分)</w:t>
            </w:r>
          </w:p>
        </w:tc>
        <w:tc>
          <w:tcPr>
            <w:tcW w:type="dxa" w:w="5076"/>
          </w:tcPr>
          <w:p>
            <w:pPr>
              <w:jc w:val="left"/>
            </w:pPr>
            <w:r>
              <w:rPr/>
              <w:t>根据各投标人投入热烟雾机的情况（满足招标人的技术参数要求）进行评审：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项目实施方案 (5.0分)</w:t>
            </w:r>
            <w:r>
              <w:rPr/>
              <w:t>，（等次分值选择：</w:t>
            </w:r>
            <w:r>
              <w:rPr/>
              <w:t>0.0;</w:t>
            </w:r>
            <w:r>
              <w:rPr/>
              <w:t>3.0;</w:t>
            </w:r>
            <w:r>
              <w:rPr/>
              <w:t>4.0;</w:t>
            </w:r>
            <w:r>
              <w:rPr/>
              <w:t>5.0;</w:t>
            </w:r>
            <w:r>
              <w:rPr/>
              <w:t>）</w:t>
            </w:r>
          </w:p>
        </w:tc>
        <w:tc>
          <w:tcPr>
            <w:tcW w:type="dxa" w:w="5076"/>
          </w:tcPr>
          <w:p>
            <w:pPr>
              <w:jc w:val="left"/>
            </w:pPr>
            <w:r>
              <w:rPr/>
              <w:t>根据投标人对本项目常态化管理而制定的防制方案，包括但不限于：病媒生物密度控制方案、病媒生物密度监测方案、服务流程、服务计划等，进行综合评审： 1、方案全面、科学，深入掌握并精准分析项目的重点、难点、风险点，并提出可行长效的解决方法，服务流程及服务计划高度贴合本项目的，得5分；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3、方案一般，未了解项目的重点、难点、风险点，分析不到位，未能提出可行的解决方法，服务流程及服务计划基本符合本项目的，得3分； 4、没有方案的，得0分。</w:t>
            </w:r>
          </w:p>
        </w:tc>
      </w:tr>
      <w:tr>
        <w:tc>
          <w:tcPr>
            <w:tcW w:type="dxa" w:w="922"/>
            <w:gridSpan w:val="2"/>
            <w:vMerge/>
          </w:tcPr>
          <w:p/>
        </w:tc>
        <w:tc>
          <w:tcPr>
            <w:tcW w:type="dxa" w:w="2307"/>
          </w:tcPr>
          <w:p>
            <w:pPr>
              <w:jc w:val="left"/>
            </w:pPr>
            <w:r>
              <w:rPr/>
              <w:t>巩卫迎检能力 (5.0分)</w:t>
            </w:r>
            <w:r>
              <w:rPr/>
              <w:t>，（等次分值选择：</w:t>
            </w:r>
            <w:r>
              <w:rPr/>
              <w:t>0.0;</w:t>
            </w:r>
            <w:r>
              <w:rPr/>
              <w:t>3.0;</w:t>
            </w:r>
            <w:r>
              <w:rPr/>
              <w:t>4.0;</w:t>
            </w:r>
            <w:r>
              <w:rPr/>
              <w:t>5.0;</w:t>
            </w:r>
            <w:r>
              <w:rPr/>
              <w:t>）</w:t>
            </w:r>
          </w:p>
        </w:tc>
        <w:tc>
          <w:tcPr>
            <w:tcW w:type="dxa" w:w="5076"/>
          </w:tcPr>
          <w:p>
            <w:pPr>
              <w:jc w:val="left"/>
            </w:pPr>
            <w:r>
              <w:rPr/>
              <w:t>根据投标人针对本项目而制定的巩固“国家卫生城市”迎检工作的实施方案，进行综合评审： 1、方案非常明确、清晰，分析非常到位，能切实有效地做好迎检工作的，得5分； 2、方案明确、清晰，分析到位，能做好迎检工作的，得4分； 3、方案为一般，分析不到位，得3分； 4、没有方案的，得0分。</w:t>
            </w:r>
          </w:p>
        </w:tc>
      </w:tr>
      <w:tr>
        <w:tc>
          <w:tcPr>
            <w:tcW w:type="dxa" w:w="922"/>
            <w:gridSpan w:val="2"/>
            <w:vMerge/>
          </w:tcPr>
          <w:p/>
        </w:tc>
        <w:tc>
          <w:tcPr>
            <w:tcW w:type="dxa" w:w="2307"/>
          </w:tcPr>
          <w:p>
            <w:pPr>
              <w:jc w:val="left"/>
            </w:pPr>
            <w:r>
              <w:rPr/>
              <w:t>个性化服务 (5.0分)</w:t>
            </w:r>
            <w:r>
              <w:rPr/>
              <w:t>，（等次分值选择：</w:t>
            </w:r>
            <w:r>
              <w:rPr/>
              <w:t>0.0;</w:t>
            </w:r>
            <w:r>
              <w:rPr/>
              <w:t>3.0;</w:t>
            </w:r>
            <w:r>
              <w:rPr/>
              <w:t>4.0;</w:t>
            </w:r>
            <w:r>
              <w:rPr/>
              <w:t>5.0;</w:t>
            </w:r>
            <w:r>
              <w:rPr/>
              <w:t>）</w:t>
            </w:r>
          </w:p>
        </w:tc>
        <w:tc>
          <w:tcPr>
            <w:tcW w:type="dxa" w:w="5076"/>
          </w:tcPr>
          <w:p>
            <w:pPr>
              <w:jc w:val="left"/>
            </w:pPr>
            <w:r>
              <w:rPr/>
              <w:t>合本地实际情况设置本项目有别于基本要求的特色服务，根据投标人对本项目服务能力及本地区熟悉情况： 1、非常熟悉本地情况，结合本地实际情况有独特精准全面的理解，分析和设计的服务方案非常到位，得5分； 2、熟悉本地情况，结合本地实际情况有全面的理解，分析和设计的服务方案到位，得4分； 3、对本地情况了解程度一般，结合本地实际情况有一般性理解，分析和设计的服务方案一般，得3分； 4、没有方案的，得0分。</w:t>
            </w:r>
          </w:p>
        </w:tc>
      </w:tr>
      <w:tr>
        <w:tc>
          <w:tcPr>
            <w:tcW w:type="dxa" w:w="922"/>
            <w:gridSpan w:val="2"/>
            <w:vMerge/>
          </w:tcPr>
          <w:p/>
        </w:tc>
        <w:tc>
          <w:tcPr>
            <w:tcW w:type="dxa" w:w="2307"/>
          </w:tcPr>
          <w:p>
            <w:pPr>
              <w:jc w:val="left"/>
            </w:pPr>
            <w:r>
              <w:rPr/>
              <w:t>突发公共卫生应急方案 (5.0分)</w:t>
            </w:r>
            <w:r>
              <w:rPr/>
              <w:t>，（等次分值选择：</w:t>
            </w:r>
            <w:r>
              <w:rPr/>
              <w:t>0.0;</w:t>
            </w:r>
            <w:r>
              <w:rPr/>
              <w:t>3.0;</w:t>
            </w:r>
            <w:r>
              <w:rPr/>
              <w:t>4.0;</w:t>
            </w:r>
            <w:r>
              <w:rPr/>
              <w:t>5.0;</w:t>
            </w:r>
            <w:r>
              <w:rPr/>
              <w:t>）</w:t>
            </w:r>
          </w:p>
        </w:tc>
        <w:tc>
          <w:tcPr>
            <w:tcW w:type="dxa" w:w="5076"/>
          </w:tcPr>
          <w:p>
            <w:pPr>
              <w:jc w:val="left"/>
            </w:pPr>
            <w:r>
              <w:rPr/>
              <w:t>突发公共卫生事件发生时，应急队伍的组织、安排及实施应急处理的具体措施。根据方案情况进行评审： 1、应急方案内容全面、应对措施得当、切实可行的，得5分； 2、应急方案内容基本全面、应对措施部分可行的，得4分； 3、应急方案内容片面、应对措施单一的，得3分； 4、没有方案的，得0分。</w:t>
            </w:r>
          </w:p>
        </w:tc>
      </w:tr>
      <w:tr>
        <w:tc>
          <w:tcPr>
            <w:tcW w:type="dxa" w:w="922"/>
            <w:gridSpan w:val="2"/>
            <w:vMerge/>
          </w:tcPr>
          <w:p/>
        </w:tc>
        <w:tc>
          <w:tcPr>
            <w:tcW w:type="dxa" w:w="2307"/>
          </w:tcPr>
          <w:p>
            <w:pPr>
              <w:jc w:val="left"/>
            </w:pPr>
            <w:r>
              <w:rPr/>
              <w:t>项目组织管理 (5.0分)</w:t>
            </w:r>
            <w:r>
              <w:rPr/>
              <w:t>，（等次分值选择：</w:t>
            </w:r>
            <w:r>
              <w:rPr/>
              <w:t>0.0;</w:t>
            </w:r>
            <w:r>
              <w:rPr/>
              <w:t>3.0;</w:t>
            </w:r>
            <w:r>
              <w:rPr/>
              <w:t>4.0;</w:t>
            </w:r>
            <w:r>
              <w:rPr/>
              <w:t>5.0;</w:t>
            </w:r>
            <w:r>
              <w:rPr/>
              <w:t>）</w:t>
            </w:r>
          </w:p>
        </w:tc>
        <w:tc>
          <w:tcPr>
            <w:tcW w:type="dxa" w:w="5076"/>
          </w:tcPr>
          <w:p>
            <w:pPr>
              <w:jc w:val="left"/>
            </w:pPr>
            <w:r>
              <w:rPr/>
              <w:t>1、管理架构：针对本项目设计的组织管理架构及各岗位职能等情况，（1）组织管理架构及各个岗位职能非常明确、清晰，设置非常到位的，得2.5分； （2）组织管理架构及各个岗位职能明确、清晰，设置到位的，得1.5分； （3）组织管理架构及各个岗位职能一般，设置不到位，得0.5分； （4）没有方案的，得0分。 2、管理制度：针对本项目的薪酬制度、奖惩制度、培训制度、质量管理制度、投诉处理制度、档案管理制度等情况进行评审： （1）管理制度非常明确、清晰，设置非常到位的，得2.5分； （2）管理制度明确、清晰，得1.5分； （3）管理制度一般，得0.5分； （4）没有方案的，得0分。 本项最高得分5分。</w:t>
            </w:r>
          </w:p>
        </w:tc>
      </w:tr>
      <w:tr>
        <w:tc>
          <w:tcPr>
            <w:tcW w:type="dxa" w:w="922"/>
            <w:gridSpan w:val="2"/>
            <w:vMerge w:val="restart"/>
          </w:tcPr>
          <w:p>
            <w:pPr>
              <w:jc w:val="center"/>
            </w:pPr>
            <w:r>
              <w:rPr/>
              <w:t>商务部分</w:t>
            </w:r>
          </w:p>
        </w:tc>
        <w:tc>
          <w:tcPr>
            <w:tcW w:type="dxa" w:w="2307"/>
          </w:tcPr>
          <w:p>
            <w:pPr>
              <w:jc w:val="left"/>
            </w:pPr>
            <w:r>
              <w:rPr/>
              <w:t>企业资质 (3.0分)</w:t>
            </w:r>
          </w:p>
        </w:tc>
        <w:tc>
          <w:tcPr>
            <w:tcW w:type="dxa" w:w="5076"/>
          </w:tcPr>
          <w:p>
            <w:pPr>
              <w:jc w:val="left"/>
            </w:pPr>
            <w:r>
              <w:rPr/>
              <w:t>投标人具有行业协会颁发的有效的有害生物防制服务机构能力（或有害生物防制资质）证书，得3分。 注：须提供有效期内的证书复印件及提供查证为有效状态的网页截图并加盖公章，并且在发证的协会官方网站能查询其真实性及有效期内的方可计分。</w:t>
            </w:r>
          </w:p>
        </w:tc>
      </w:tr>
      <w:tr>
        <w:tc>
          <w:tcPr>
            <w:tcW w:type="dxa" w:w="922"/>
            <w:gridSpan w:val="2"/>
            <w:vMerge/>
          </w:tcPr>
          <w:p/>
        </w:tc>
        <w:tc>
          <w:tcPr>
            <w:tcW w:type="dxa" w:w="2307"/>
          </w:tcPr>
          <w:p>
            <w:pPr>
              <w:jc w:val="left"/>
            </w:pPr>
            <w:r>
              <w:rPr/>
              <w:t>项目业绩 (9.0分)</w:t>
            </w:r>
          </w:p>
        </w:tc>
        <w:tc>
          <w:tcPr>
            <w:tcW w:type="dxa" w:w="5076"/>
          </w:tcPr>
          <w:p>
            <w:pPr>
              <w:jc w:val="left"/>
            </w:pPr>
            <w:r>
              <w:rPr/>
              <w:t>投标人自2017年以来（以合同签订时间为准）完成过或正在履行发包方为街道/镇级别或以上的公共环境区域（不包含私人物业及住宅小区、工厂、办公楼、商业等业绩）除四害项目（或病媒生物（含四害）防制项目，或有害生物防治（含四害）项目，或蚊媒传播疾病防控项目），且合同期限不少于1年的，每个3分，最高得9分。 注：须同时提供项目合同（要点包括项目名称、签约时间、合同期限、合同金额、项目主要内容和双方盖章页）扫描件，否则不得分。分包、转包或劳务合作合同无效。</w:t>
            </w:r>
          </w:p>
        </w:tc>
      </w:tr>
      <w:tr>
        <w:tc>
          <w:tcPr>
            <w:tcW w:type="dxa" w:w="922"/>
            <w:gridSpan w:val="2"/>
            <w:vMerge/>
          </w:tcPr>
          <w:p/>
        </w:tc>
        <w:tc>
          <w:tcPr>
            <w:tcW w:type="dxa" w:w="2307"/>
          </w:tcPr>
          <w:p>
            <w:pPr>
              <w:jc w:val="left"/>
            </w:pPr>
            <w:r>
              <w:rPr/>
              <w:t>满意度评价 (3.0分)</w:t>
            </w:r>
          </w:p>
        </w:tc>
        <w:tc>
          <w:tcPr>
            <w:tcW w:type="dxa" w:w="5076"/>
          </w:tcPr>
          <w:p>
            <w:pPr>
              <w:jc w:val="left"/>
            </w:pPr>
            <w:r>
              <w:rPr/>
              <w:t>投标人提供的上述项目业绩履约情况获得业主评价为优或满意的，每提供一项得1分，本项最高得3分。  注：提供用户评价表复印件加盖公章作为证明材料，否则不得分。</w:t>
            </w:r>
          </w:p>
        </w:tc>
      </w:tr>
      <w:tr>
        <w:tc>
          <w:tcPr>
            <w:tcW w:type="dxa" w:w="922"/>
            <w:gridSpan w:val="2"/>
            <w:vMerge/>
          </w:tcPr>
          <w:p/>
        </w:tc>
        <w:tc>
          <w:tcPr>
            <w:tcW w:type="dxa" w:w="2307"/>
          </w:tcPr>
          <w:p>
            <w:pPr>
              <w:jc w:val="left"/>
            </w:pPr>
            <w:r>
              <w:rPr/>
              <w:t>管理体系认证 (9.0分)</w:t>
            </w:r>
          </w:p>
        </w:tc>
        <w:tc>
          <w:tcPr>
            <w:tcW w:type="dxa" w:w="5076"/>
          </w:tcPr>
          <w:p>
            <w:pPr>
              <w:jc w:val="left"/>
            </w:pPr>
            <w:r>
              <w:rPr/>
              <w:t>投标人同时具有有效的质量管理体系认证得3分；投标人具有职业健康安全管理体系认证得3分；投标人具有环境管理体系认证得3分，本项最高得9分。 注：须提供相关证书复印件，并在“国家市场监督管理总局全国认证认可信息公共服务平台（网址http://cx.cnca.cn）”查证为有效状态的网页截图并加盖投标人公章方可计分，否则不得分。</w:t>
            </w:r>
          </w:p>
        </w:tc>
      </w:tr>
      <w:tr>
        <w:tc>
          <w:tcPr>
            <w:tcW w:type="dxa" w:w="922"/>
            <w:gridSpan w:val="2"/>
            <w:vMerge/>
          </w:tcPr>
          <w:p/>
        </w:tc>
        <w:tc>
          <w:tcPr>
            <w:tcW w:type="dxa" w:w="2307"/>
          </w:tcPr>
          <w:p>
            <w:pPr>
              <w:jc w:val="left"/>
            </w:pPr>
            <w:r>
              <w:rPr/>
              <w:t>协助获奖情况 (10.0分)</w:t>
            </w:r>
          </w:p>
        </w:tc>
        <w:tc>
          <w:tcPr>
            <w:tcW w:type="dxa" w:w="5076"/>
          </w:tcPr>
          <w:p>
            <w:pPr>
              <w:jc w:val="left"/>
            </w:pPr>
            <w:r>
              <w:rPr/>
              <w:t>1、投标人自2017年至今（即合同期须至少包含2017年1月1日至投标截止前的任意一日）在提供除四害服务期间，曾协助县城（乡镇）或以上通过全国爱国卫生运动委员会办公室评审或复审的，获得（或重新确认）国家卫生城市（镇）命名，每个得4分，本小项最高得8分； 2、投标人自2017年至今（即合同期须至少包含2017年1月1日至投标截止前的任意一日）在提供除四害服务期间，曾协助县城（乡镇）或以上通过省级爱国卫生运动委员会办公室评审或复审的，获得（或重新确认）省级卫生城市（镇）命名，每个得2分，本小项最高4分。 3、投标人自2017年至今（即合同期须至少包含2017年1月1日至投标截止前的任意一日）在提供除四害服务期间参加过镇街或以上级别与除四害相关的突发公共卫生应急处置（例如登革热、基孔肯雅热等），每个得1分，本小项最高得2分。 本项评分累计最高得10分。 注：1、须提供合同书（或证书、感谢状、锦旗等相关佐证材料）及合同发包方出具的证明文件（证明文件格式自拟）方能得分。2、多次协助同一城市（区）、县城（乡镇）通过同一级别卫生城市评审或复审的，只计算一次得分。</w:t>
            </w:r>
          </w:p>
        </w:tc>
      </w:tr>
      <w:tr>
        <w:tc>
          <w:tcPr>
            <w:tcW w:type="dxa" w:w="922"/>
            <w:gridSpan w:val="2"/>
            <w:vMerge/>
          </w:tcPr>
          <w:p/>
        </w:tc>
        <w:tc>
          <w:tcPr>
            <w:tcW w:type="dxa" w:w="2307"/>
          </w:tcPr>
          <w:p>
            <w:pPr>
              <w:jc w:val="left"/>
            </w:pPr>
            <w:r>
              <w:rPr/>
              <w:t>拟投入人员情况 (16.0分)</w:t>
            </w:r>
          </w:p>
        </w:tc>
        <w:tc>
          <w:tcPr>
            <w:tcW w:type="dxa" w:w="5076"/>
          </w:tcPr>
          <w:p>
            <w:pPr>
              <w:jc w:val="left"/>
            </w:pPr>
            <w:r>
              <w:rPr/>
              <w:t>投标人拟投入本项目人员满足“采购需求”中“人员基本配置要求”，且人员投入数量不变的基础上： 1、所派人员中若持有有害生物防制（治）员高级（三级）证书超过4人的，每增加1人的，得2分，本小项最高得16分； 2、所派人员中若持有有害生物防制（治）员中级（四级）证书超过2人的，每增加1人的，得1.5分，本小项最高得9分。 注：1、同一人同时具有上述两个或以上证书的，取最高级别计算，不重复计分。 2、所有具备证书的拟投入人员均须提供的相关证书、身份证复印件和在公告发布之日起前3个月（不含公告发布当月）任意一个月在投标人单位购买的社会保险参保证明复印件，加盖投标人公章，否则不得分。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采购包32022-2025年大良街道公共环境除“四害”管理服务项目C标段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电动超低容量喷雾机 (5.0分)</w:t>
            </w:r>
          </w:p>
        </w:tc>
        <w:tc>
          <w:tcPr>
            <w:tcW w:type="dxa" w:w="5076"/>
          </w:tcPr>
          <w:p>
            <w:pPr>
              <w:jc w:val="left"/>
            </w:pPr>
            <w:r>
              <w:rPr/>
              <w:t>根据各投标人投入电动超低容量喷雾机的情况（满足招标人的技术参数要求）进行评审：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电动喷雾机 (5.0分)</w:t>
            </w:r>
          </w:p>
        </w:tc>
        <w:tc>
          <w:tcPr>
            <w:tcW w:type="dxa" w:w="5076"/>
          </w:tcPr>
          <w:p>
            <w:pPr>
              <w:jc w:val="left"/>
            </w:pPr>
            <w:r>
              <w:rPr/>
              <w:t>根据各投标人投入电动喷雾机的情况（满足招标人的技术参数要求）进行评审：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热烟雾机 (5.0分)</w:t>
            </w:r>
          </w:p>
        </w:tc>
        <w:tc>
          <w:tcPr>
            <w:tcW w:type="dxa" w:w="5076"/>
          </w:tcPr>
          <w:p>
            <w:pPr>
              <w:jc w:val="left"/>
            </w:pPr>
            <w:r>
              <w:rPr/>
              <w:t>根据各投标人投入热烟雾机的情况（满足招标人的技术参数要求）进行评审：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项目实施方案 (5.0分)</w:t>
            </w:r>
            <w:r>
              <w:rPr/>
              <w:t>，（等次分值选择：</w:t>
            </w:r>
            <w:r>
              <w:rPr/>
              <w:t>0.0;</w:t>
            </w:r>
            <w:r>
              <w:rPr/>
              <w:t>3.0;</w:t>
            </w:r>
            <w:r>
              <w:rPr/>
              <w:t>4.0;</w:t>
            </w:r>
            <w:r>
              <w:rPr/>
              <w:t>5.0;</w:t>
            </w:r>
            <w:r>
              <w:rPr/>
              <w:t>）</w:t>
            </w:r>
          </w:p>
        </w:tc>
        <w:tc>
          <w:tcPr>
            <w:tcW w:type="dxa" w:w="5076"/>
          </w:tcPr>
          <w:p>
            <w:pPr>
              <w:jc w:val="left"/>
            </w:pPr>
            <w:r>
              <w:rPr/>
              <w:t>根据投标人对本项目常态化管理而制定的防制方案，包括但不限于：病媒生物密度控制方案、病媒生物密度监测方案、服务流程、服务计划等，进行综合评审： 1、方案全面、科学，深入掌握并精准分析项目的重点、难点、风险点，并提出可行长效的解决方法，服务流程及服务计划高度贴合本项目的，得5分；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3、方案一般，未了解项目的重点、难点、风险点，分析不到位，未能提出可行的解决方法，服务流程及服务计划基本符合本项目的，得3分； 4、没有方案的，得0分。</w:t>
            </w:r>
          </w:p>
        </w:tc>
      </w:tr>
      <w:tr>
        <w:tc>
          <w:tcPr>
            <w:tcW w:type="dxa" w:w="922"/>
            <w:gridSpan w:val="2"/>
            <w:vMerge/>
          </w:tcPr>
          <w:p/>
        </w:tc>
        <w:tc>
          <w:tcPr>
            <w:tcW w:type="dxa" w:w="2307"/>
          </w:tcPr>
          <w:p>
            <w:pPr>
              <w:jc w:val="left"/>
            </w:pPr>
            <w:r>
              <w:rPr/>
              <w:t>巩卫迎检能力 (5.0分)</w:t>
            </w:r>
            <w:r>
              <w:rPr/>
              <w:t>，（等次分值选择：</w:t>
            </w:r>
            <w:r>
              <w:rPr/>
              <w:t>0.0;</w:t>
            </w:r>
            <w:r>
              <w:rPr/>
              <w:t>3.0;</w:t>
            </w:r>
            <w:r>
              <w:rPr/>
              <w:t>4.0;</w:t>
            </w:r>
            <w:r>
              <w:rPr/>
              <w:t>5.0;</w:t>
            </w:r>
            <w:r>
              <w:rPr/>
              <w:t>）</w:t>
            </w:r>
          </w:p>
        </w:tc>
        <w:tc>
          <w:tcPr>
            <w:tcW w:type="dxa" w:w="5076"/>
          </w:tcPr>
          <w:p>
            <w:pPr>
              <w:jc w:val="left"/>
            </w:pPr>
            <w:r>
              <w:rPr/>
              <w:t>根据投标人针对本项目而制定的巩固“国家卫生城市”迎检工作的实施方案，进行综合评审： 1、方案非常明确、清晰，分析非常到位，能切实有效地做好迎检工作的，得5分； 2、方案明确、清晰，分析到位，能做好迎检工作的，得4分； 3、方案为一般，分析不到位，得3分； 4、没有方案的，得0分。</w:t>
            </w:r>
          </w:p>
        </w:tc>
      </w:tr>
      <w:tr>
        <w:tc>
          <w:tcPr>
            <w:tcW w:type="dxa" w:w="922"/>
            <w:gridSpan w:val="2"/>
            <w:vMerge/>
          </w:tcPr>
          <w:p/>
        </w:tc>
        <w:tc>
          <w:tcPr>
            <w:tcW w:type="dxa" w:w="2307"/>
          </w:tcPr>
          <w:p>
            <w:pPr>
              <w:jc w:val="left"/>
            </w:pPr>
            <w:r>
              <w:rPr/>
              <w:t>个性化服务 (5.0分)</w:t>
            </w:r>
            <w:r>
              <w:rPr/>
              <w:t>，（等次分值选择：</w:t>
            </w:r>
            <w:r>
              <w:rPr/>
              <w:t>0.0;</w:t>
            </w:r>
            <w:r>
              <w:rPr/>
              <w:t>3.0;</w:t>
            </w:r>
            <w:r>
              <w:rPr/>
              <w:t>4.0;</w:t>
            </w:r>
            <w:r>
              <w:rPr/>
              <w:t>5.0;</w:t>
            </w:r>
            <w:r>
              <w:rPr/>
              <w:t>）</w:t>
            </w:r>
          </w:p>
        </w:tc>
        <w:tc>
          <w:tcPr>
            <w:tcW w:type="dxa" w:w="5076"/>
          </w:tcPr>
          <w:p>
            <w:pPr>
              <w:jc w:val="left"/>
            </w:pPr>
            <w:r>
              <w:rPr/>
              <w:t>合本地实际情况设置本项目有别于基本要求的特色服务，根据投标人对本项目服务能力及本地区熟悉情况： 1、非常熟悉本地情况，结合本地实际情况有独特精准全面的理解，分析和设计的服务方案非常到位，得5分； 2、熟悉本地情况，结合本地实际情况有全面的理解，分析和设计的服务方案到位，得4分； 3、对本地情况了解程度一般，结合本地实际情况有一般性理解，分析和设计的服务方案一般，得3分； 4、没有方案的，得0分。</w:t>
            </w:r>
          </w:p>
        </w:tc>
      </w:tr>
      <w:tr>
        <w:tc>
          <w:tcPr>
            <w:tcW w:type="dxa" w:w="922"/>
            <w:gridSpan w:val="2"/>
            <w:vMerge/>
          </w:tcPr>
          <w:p/>
        </w:tc>
        <w:tc>
          <w:tcPr>
            <w:tcW w:type="dxa" w:w="2307"/>
          </w:tcPr>
          <w:p>
            <w:pPr>
              <w:jc w:val="left"/>
            </w:pPr>
            <w:r>
              <w:rPr/>
              <w:t>突发公共卫生应急方案 (5.0分)</w:t>
            </w:r>
            <w:r>
              <w:rPr/>
              <w:t>，（等次分值选择：</w:t>
            </w:r>
            <w:r>
              <w:rPr/>
              <w:t>0.0;</w:t>
            </w:r>
            <w:r>
              <w:rPr/>
              <w:t>3.0;</w:t>
            </w:r>
            <w:r>
              <w:rPr/>
              <w:t>4.0;</w:t>
            </w:r>
            <w:r>
              <w:rPr/>
              <w:t>5.0;</w:t>
            </w:r>
            <w:r>
              <w:rPr/>
              <w:t>）</w:t>
            </w:r>
          </w:p>
        </w:tc>
        <w:tc>
          <w:tcPr>
            <w:tcW w:type="dxa" w:w="5076"/>
          </w:tcPr>
          <w:p>
            <w:pPr>
              <w:jc w:val="left"/>
            </w:pPr>
            <w:r>
              <w:rPr/>
              <w:t>突发公共卫生事件发生时，应急队伍的组织、安排及实施应急处理的具体措施。根据方案情况进行评审： 1、应急方案内容全面、应对措施得当、切实可行的，得5分； 2、应急方案内容基本全面、应对措施部分可行的，得4分； 3、应急方案内容片面、应对措施单一的，得3分； 4、没有方案的，得0分。</w:t>
            </w:r>
          </w:p>
        </w:tc>
      </w:tr>
      <w:tr>
        <w:tc>
          <w:tcPr>
            <w:tcW w:type="dxa" w:w="922"/>
            <w:gridSpan w:val="2"/>
            <w:vMerge/>
          </w:tcPr>
          <w:p/>
        </w:tc>
        <w:tc>
          <w:tcPr>
            <w:tcW w:type="dxa" w:w="2307"/>
          </w:tcPr>
          <w:p>
            <w:pPr>
              <w:jc w:val="left"/>
            </w:pPr>
            <w:r>
              <w:rPr/>
              <w:t>项目组织管理 (5.0分)</w:t>
            </w:r>
            <w:r>
              <w:rPr/>
              <w:t>，（等次分值选择：</w:t>
            </w:r>
            <w:r>
              <w:rPr/>
              <w:t>0.0;</w:t>
            </w:r>
            <w:r>
              <w:rPr/>
              <w:t>3.0;</w:t>
            </w:r>
            <w:r>
              <w:rPr/>
              <w:t>4.0;</w:t>
            </w:r>
            <w:r>
              <w:rPr/>
              <w:t>5.0;</w:t>
            </w:r>
            <w:r>
              <w:rPr/>
              <w:t>）</w:t>
            </w:r>
          </w:p>
        </w:tc>
        <w:tc>
          <w:tcPr>
            <w:tcW w:type="dxa" w:w="5076"/>
          </w:tcPr>
          <w:p>
            <w:pPr>
              <w:jc w:val="left"/>
            </w:pPr>
            <w:r>
              <w:rPr/>
              <w:t>1、管理架构：针对本项目设计的组织管理架构及各岗位职能等情况，（1）组织管理架构及各个岗位职能非常明确、清晰，设置非常到位的，得2.5分； （2）组织管理架构及各个岗位职能明确、清晰，设置到位的，得1.5分； （3）组织管理架构及各个岗位职能一般，设置不到位，得0.5分； （4）没有方案的，得0分。 2、管理制度：针对本项目的薪酬制度、奖惩制度、培训制度、质量管理制度、投诉处理制度、档案管理制度等情况进行评审： （1）管理制度非常明确、清晰，设置非常到位的，得2.5分； （2）管理制度明确、清晰，得1.5分； （3）管理制度一般，得0.5分； （4）没有方案的，得0分。 本项最高得分5分。</w:t>
            </w:r>
          </w:p>
        </w:tc>
      </w:tr>
      <w:tr>
        <w:tc>
          <w:tcPr>
            <w:tcW w:type="dxa" w:w="922"/>
            <w:gridSpan w:val="2"/>
            <w:vMerge w:val="restart"/>
          </w:tcPr>
          <w:p>
            <w:pPr>
              <w:jc w:val="center"/>
            </w:pPr>
            <w:r>
              <w:rPr/>
              <w:t>商务部分</w:t>
            </w:r>
          </w:p>
        </w:tc>
        <w:tc>
          <w:tcPr>
            <w:tcW w:type="dxa" w:w="2307"/>
          </w:tcPr>
          <w:p>
            <w:pPr>
              <w:jc w:val="left"/>
            </w:pPr>
            <w:r>
              <w:rPr/>
              <w:t>企业资质 (3.0分)</w:t>
            </w:r>
          </w:p>
        </w:tc>
        <w:tc>
          <w:tcPr>
            <w:tcW w:type="dxa" w:w="5076"/>
          </w:tcPr>
          <w:p>
            <w:pPr>
              <w:jc w:val="left"/>
            </w:pPr>
            <w:r>
              <w:rPr/>
              <w:t>投标人具有行业协会颁发的有效的有害生物防制服务机构能力（或有害生物防制资质）证书，得3分。 注：须提供有效期内的证书复印件及提供查证为有效状态的网页截图并加盖公章，并且在发证的协会官方网站能查询其真实性及有效期内的方可计分。</w:t>
            </w:r>
          </w:p>
        </w:tc>
      </w:tr>
      <w:tr>
        <w:tc>
          <w:tcPr>
            <w:tcW w:type="dxa" w:w="922"/>
            <w:gridSpan w:val="2"/>
            <w:vMerge/>
          </w:tcPr>
          <w:p/>
        </w:tc>
        <w:tc>
          <w:tcPr>
            <w:tcW w:type="dxa" w:w="2307"/>
          </w:tcPr>
          <w:p>
            <w:pPr>
              <w:jc w:val="left"/>
            </w:pPr>
            <w:r>
              <w:rPr/>
              <w:t>项目业绩 (9.0分)</w:t>
            </w:r>
          </w:p>
        </w:tc>
        <w:tc>
          <w:tcPr>
            <w:tcW w:type="dxa" w:w="5076"/>
          </w:tcPr>
          <w:p>
            <w:pPr>
              <w:jc w:val="left"/>
            </w:pPr>
            <w:r>
              <w:rPr/>
              <w:t>投标人自2017年以来（以合同签订时间为准）完成过或正在履行发包方为街道/镇级别或以上的公共环境区域（不包含私人物业及住宅小区、工厂、办公楼、商业等业绩）除四害项目（或病媒生物（含四害）防制项目，或有害生物防治（含四害）项目，或蚊媒传播疾病防控项目），且合同期限不少于1年的，每个3分，最高得9分。 注：须同时提供项目合同（要点包括项目名称、签约时间、合同期限、合同金额、项目主要内容和双方盖章页）扫描件，否则不得分。分包、转包或劳务合作合同无效。</w:t>
            </w:r>
          </w:p>
        </w:tc>
      </w:tr>
      <w:tr>
        <w:tc>
          <w:tcPr>
            <w:tcW w:type="dxa" w:w="922"/>
            <w:gridSpan w:val="2"/>
            <w:vMerge/>
          </w:tcPr>
          <w:p/>
        </w:tc>
        <w:tc>
          <w:tcPr>
            <w:tcW w:type="dxa" w:w="2307"/>
          </w:tcPr>
          <w:p>
            <w:pPr>
              <w:jc w:val="left"/>
            </w:pPr>
            <w:r>
              <w:rPr/>
              <w:t>满意度评价 (3.0分)</w:t>
            </w:r>
          </w:p>
        </w:tc>
        <w:tc>
          <w:tcPr>
            <w:tcW w:type="dxa" w:w="5076"/>
          </w:tcPr>
          <w:p>
            <w:pPr>
              <w:jc w:val="left"/>
            </w:pPr>
            <w:r>
              <w:rPr/>
              <w:t>投标人提供的上述项目业绩履约情况获得业主评价为优或满意的，每提供一项得1分，本项最高得3分。  注：提供用户评价表复印件加盖公章作为证明材料，否则不得分。</w:t>
            </w:r>
          </w:p>
        </w:tc>
      </w:tr>
      <w:tr>
        <w:tc>
          <w:tcPr>
            <w:tcW w:type="dxa" w:w="922"/>
            <w:gridSpan w:val="2"/>
            <w:vMerge/>
          </w:tcPr>
          <w:p/>
        </w:tc>
        <w:tc>
          <w:tcPr>
            <w:tcW w:type="dxa" w:w="2307"/>
          </w:tcPr>
          <w:p>
            <w:pPr>
              <w:jc w:val="left"/>
            </w:pPr>
            <w:r>
              <w:rPr/>
              <w:t>管理体系认证 (9.0分)</w:t>
            </w:r>
          </w:p>
        </w:tc>
        <w:tc>
          <w:tcPr>
            <w:tcW w:type="dxa" w:w="5076"/>
          </w:tcPr>
          <w:p>
            <w:pPr>
              <w:jc w:val="left"/>
            </w:pPr>
            <w:r>
              <w:rPr/>
              <w:t>投标人同时具有有效的质量管理体系认证得3分；投标人具有职业健康安全管理体系认证得3分；投标人具有环境管理体系认证得3分，本项最高得9分。 注：须提供相关证书复印件，并在“国家市场监督管理总局全国认证认可信息公共服务平台（网址http://cx.cnca.cn）”查证为有效状态的网页截图并加盖投标人公章方可计分，否则不得分。</w:t>
            </w:r>
          </w:p>
        </w:tc>
      </w:tr>
      <w:tr>
        <w:tc>
          <w:tcPr>
            <w:tcW w:type="dxa" w:w="922"/>
            <w:gridSpan w:val="2"/>
            <w:vMerge/>
          </w:tcPr>
          <w:p/>
        </w:tc>
        <w:tc>
          <w:tcPr>
            <w:tcW w:type="dxa" w:w="2307"/>
          </w:tcPr>
          <w:p>
            <w:pPr>
              <w:jc w:val="left"/>
            </w:pPr>
            <w:r>
              <w:rPr/>
              <w:t>协助获奖情况 (10.0分)</w:t>
            </w:r>
          </w:p>
        </w:tc>
        <w:tc>
          <w:tcPr>
            <w:tcW w:type="dxa" w:w="5076"/>
          </w:tcPr>
          <w:p>
            <w:pPr>
              <w:jc w:val="left"/>
            </w:pPr>
            <w:r>
              <w:rPr/>
              <w:t>1、投标人自2017年至今（即合同期须至少包含2017年1月1日至投标截止前的任意一日）在提供除四害服务期间，曾协助县城（乡镇）或以上通过全国爱国卫生运动委员会办公室评审或复审的，获得（或重新确认）国家卫生城市（镇）命名，每个得4分，本小项最高得8分； 2、投标人自2017年至今（即合同期须至少包含2017年1月1日至投标截止前的任意一日）在提供除四害服务期间，曾协助县城（乡镇）或以上通过省级爱国卫生运动委员会办公室评审或复审的，获得（或重新确认）省级卫生城市（镇）命名，每个得2分，本小项最高4分。 3、投标人自2017年至今（即合同期须至少包含2017年1月1日至投标截止前的任意一日）在提供除四害服务期间参加过镇街或以上级别与除四害相关的突发公共卫生应急处置（例如登革热、基孔肯雅热等），每个得1分，本小项最高得2分。 本项评分累计最高得10分。 注：1、须提供合同书（或证书、感谢状、锦旗等相关佐证材料）及合同发包方出具的证明文件（证明文件格式自拟）方能得分。2、多次协助同一城市（区）、县城（乡镇）通过同一级别卫生城市评审或复审的，只计算一次得分。</w:t>
            </w:r>
          </w:p>
        </w:tc>
      </w:tr>
      <w:tr>
        <w:tc>
          <w:tcPr>
            <w:tcW w:type="dxa" w:w="922"/>
            <w:gridSpan w:val="2"/>
            <w:vMerge/>
          </w:tcPr>
          <w:p/>
        </w:tc>
        <w:tc>
          <w:tcPr>
            <w:tcW w:type="dxa" w:w="2307"/>
          </w:tcPr>
          <w:p>
            <w:pPr>
              <w:jc w:val="left"/>
            </w:pPr>
            <w:r>
              <w:rPr/>
              <w:t>拟投入人员情况 (16.0分)</w:t>
            </w:r>
          </w:p>
        </w:tc>
        <w:tc>
          <w:tcPr>
            <w:tcW w:type="dxa" w:w="5076"/>
          </w:tcPr>
          <w:p>
            <w:pPr>
              <w:jc w:val="left"/>
            </w:pPr>
            <w:r>
              <w:rPr/>
              <w:t>投标人拟投入本项目人员满足“采购需求”中“人员基本配置要求”，且人员投入数量不变的基础上： 1、所派人员中若持有有害生物防制（治）员高级（三级）证书超过4人的，每增加1人的，得2分，本小项最高得16分； 2、所派人员中若持有有害生物防制（治）员中级（四级）证书超过2人的，每增加1人的，得1.5分，本小项最高得9分。 注：1、同一人同时具有上述两个或以上证书的，取最高级别计算，不重复计分。 2、所有具备证书的拟投入人员均须提供的相关证书、身份证复印件和在公告发布之日起前3个月（不含公告发布当月）任意一个月在投标人单位购买的社会保险参保证明复印件，加盖投标人公章，否则不得分。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采购包42022-2025年大良街道公共环境除“四害”管理服务项目D标段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电动超低容量喷雾机 (5.0分)</w:t>
            </w:r>
          </w:p>
        </w:tc>
        <w:tc>
          <w:tcPr>
            <w:tcW w:type="dxa" w:w="5076"/>
          </w:tcPr>
          <w:p>
            <w:pPr>
              <w:jc w:val="left"/>
            </w:pPr>
            <w:r>
              <w:rPr/>
              <w:t>根据各投标人投入电动超低容量喷雾机的情况（满足招标人的技术参数要求）进行评审：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电动喷雾机 (5.0分)</w:t>
            </w:r>
          </w:p>
        </w:tc>
        <w:tc>
          <w:tcPr>
            <w:tcW w:type="dxa" w:w="5076"/>
          </w:tcPr>
          <w:p>
            <w:pPr>
              <w:jc w:val="left"/>
            </w:pPr>
            <w:r>
              <w:rPr/>
              <w:t>根据各投标人投入电动喷雾机的情况（满足招标人的技术参数要求）进行评审：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热烟雾机 (5.0分)</w:t>
            </w:r>
          </w:p>
        </w:tc>
        <w:tc>
          <w:tcPr>
            <w:tcW w:type="dxa" w:w="5076"/>
          </w:tcPr>
          <w:p>
            <w:pPr>
              <w:jc w:val="left"/>
            </w:pPr>
            <w:r>
              <w:rPr/>
              <w:t>根据各投标人投入热烟雾机的情况（满足招标人的技术参数要求）进行评审： 1.投标人投入一台，得0.5分，本小项最高得5分； 本项最高得5分。 注：提供设备清单及投标人为购买人的设备购置发票扫描件和所有设备实景图片，且同类的所有设备必须反映在同一张图片内，否则不得分。</w:t>
            </w:r>
          </w:p>
        </w:tc>
      </w:tr>
      <w:tr>
        <w:tc>
          <w:tcPr>
            <w:tcW w:type="dxa" w:w="922"/>
            <w:gridSpan w:val="2"/>
            <w:vMerge/>
          </w:tcPr>
          <w:p/>
        </w:tc>
        <w:tc>
          <w:tcPr>
            <w:tcW w:type="dxa" w:w="2307"/>
          </w:tcPr>
          <w:p>
            <w:pPr>
              <w:jc w:val="left"/>
            </w:pPr>
            <w:r>
              <w:rPr/>
              <w:t>项目实施方案 (5.0分)</w:t>
            </w:r>
            <w:r>
              <w:rPr/>
              <w:t>，（等次分值选择：</w:t>
            </w:r>
            <w:r>
              <w:rPr/>
              <w:t>0.0;</w:t>
            </w:r>
            <w:r>
              <w:rPr/>
              <w:t>3.0;</w:t>
            </w:r>
            <w:r>
              <w:rPr/>
              <w:t>4.0;</w:t>
            </w:r>
            <w:r>
              <w:rPr/>
              <w:t>5.0;</w:t>
            </w:r>
            <w:r>
              <w:rPr/>
              <w:t>）</w:t>
            </w:r>
          </w:p>
        </w:tc>
        <w:tc>
          <w:tcPr>
            <w:tcW w:type="dxa" w:w="5076"/>
          </w:tcPr>
          <w:p>
            <w:pPr>
              <w:jc w:val="left"/>
            </w:pPr>
            <w:r>
              <w:rPr/>
              <w:t>根据投标人对本项目常态化管理而制定的防制方案，包括但不限于：病媒生物密度控制方案、病媒生物密度监测方案、服务流程、服务计划等，进行综合评审： 1、方案全面、科学，深入掌握并精准分析项目的重点、难点、风险点，并提出可行长效的解决方法，服务流程及服务计划高度贴合本项目的，得5分；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3、方案一般，未了解项目的重点、难点、风险点，分析不到位，未能提出可行的解决方法，服务流程及服务计划基本符合本项目的，得3分； 4、没有方案的，得0分。</w:t>
            </w:r>
          </w:p>
        </w:tc>
      </w:tr>
      <w:tr>
        <w:tc>
          <w:tcPr>
            <w:tcW w:type="dxa" w:w="922"/>
            <w:gridSpan w:val="2"/>
            <w:vMerge/>
          </w:tcPr>
          <w:p/>
        </w:tc>
        <w:tc>
          <w:tcPr>
            <w:tcW w:type="dxa" w:w="2307"/>
          </w:tcPr>
          <w:p>
            <w:pPr>
              <w:jc w:val="left"/>
            </w:pPr>
            <w:r>
              <w:rPr/>
              <w:t>巩卫迎检能力 (5.0分)</w:t>
            </w:r>
            <w:r>
              <w:rPr/>
              <w:t>，（等次分值选择：</w:t>
            </w:r>
            <w:r>
              <w:rPr/>
              <w:t>0.0;</w:t>
            </w:r>
            <w:r>
              <w:rPr/>
              <w:t>3.0;</w:t>
            </w:r>
            <w:r>
              <w:rPr/>
              <w:t>4.0;</w:t>
            </w:r>
            <w:r>
              <w:rPr/>
              <w:t>5.0;</w:t>
            </w:r>
            <w:r>
              <w:rPr/>
              <w:t>）</w:t>
            </w:r>
          </w:p>
        </w:tc>
        <w:tc>
          <w:tcPr>
            <w:tcW w:type="dxa" w:w="5076"/>
          </w:tcPr>
          <w:p>
            <w:pPr>
              <w:jc w:val="left"/>
            </w:pPr>
            <w:r>
              <w:rPr/>
              <w:t>根据投标人针对本项目而制定的巩固“国家卫生城市”迎检工作的实施方案，进行综合评审： 1、方案非常明确、清晰，分析非常到位，能切实有效地做好迎检工作的，得5分； 2、方案明确、清晰，分析到位，能做好迎检工作的，得4分； 3、方案为一般，分析不到位，得3分； 4、没有方案的，得0分。</w:t>
            </w:r>
          </w:p>
        </w:tc>
      </w:tr>
      <w:tr>
        <w:tc>
          <w:tcPr>
            <w:tcW w:type="dxa" w:w="922"/>
            <w:gridSpan w:val="2"/>
            <w:vMerge/>
          </w:tcPr>
          <w:p/>
        </w:tc>
        <w:tc>
          <w:tcPr>
            <w:tcW w:type="dxa" w:w="2307"/>
          </w:tcPr>
          <w:p>
            <w:pPr>
              <w:jc w:val="left"/>
            </w:pPr>
            <w:r>
              <w:rPr/>
              <w:t>个性化服务 (5.0分)</w:t>
            </w:r>
            <w:r>
              <w:rPr/>
              <w:t>，（等次分值选择：</w:t>
            </w:r>
            <w:r>
              <w:rPr/>
              <w:t>0.0;</w:t>
            </w:r>
            <w:r>
              <w:rPr/>
              <w:t>3.0;</w:t>
            </w:r>
            <w:r>
              <w:rPr/>
              <w:t>4.0;</w:t>
            </w:r>
            <w:r>
              <w:rPr/>
              <w:t>5.0;</w:t>
            </w:r>
            <w:r>
              <w:rPr/>
              <w:t>）</w:t>
            </w:r>
          </w:p>
        </w:tc>
        <w:tc>
          <w:tcPr>
            <w:tcW w:type="dxa" w:w="5076"/>
          </w:tcPr>
          <w:p>
            <w:pPr>
              <w:jc w:val="left"/>
            </w:pPr>
            <w:r>
              <w:rPr/>
              <w:t>合本地实际情况设置本项目有别于基本要求的特色服务，根据投标人对本项目服务能力及本地区熟悉情况： 1、非常熟悉本地情况，结合本地实际情况有独特精准全面的理解，分析和设计的服务方案非常到位，得5分； 2、熟悉本地情况，结合本地实际情况有全面的理解，分析和设计的服务方案到位，得4分； 3、对本地情况了解程度一般，结合本地实际情况有一般性理解，分析和设计的服务方案一般，得3分； 4、没有方案的，得0分。</w:t>
            </w:r>
          </w:p>
        </w:tc>
      </w:tr>
      <w:tr>
        <w:tc>
          <w:tcPr>
            <w:tcW w:type="dxa" w:w="922"/>
            <w:gridSpan w:val="2"/>
            <w:vMerge/>
          </w:tcPr>
          <w:p/>
        </w:tc>
        <w:tc>
          <w:tcPr>
            <w:tcW w:type="dxa" w:w="2307"/>
          </w:tcPr>
          <w:p>
            <w:pPr>
              <w:jc w:val="left"/>
            </w:pPr>
            <w:r>
              <w:rPr/>
              <w:t>突发公共卫生应急方案 (5.0分)</w:t>
            </w:r>
            <w:r>
              <w:rPr/>
              <w:t>，（等次分值选择：</w:t>
            </w:r>
            <w:r>
              <w:rPr/>
              <w:t>0.0;</w:t>
            </w:r>
            <w:r>
              <w:rPr/>
              <w:t>3.0;</w:t>
            </w:r>
            <w:r>
              <w:rPr/>
              <w:t>4.0;</w:t>
            </w:r>
            <w:r>
              <w:rPr/>
              <w:t>5.0;</w:t>
            </w:r>
            <w:r>
              <w:rPr/>
              <w:t>）</w:t>
            </w:r>
          </w:p>
        </w:tc>
        <w:tc>
          <w:tcPr>
            <w:tcW w:type="dxa" w:w="5076"/>
          </w:tcPr>
          <w:p>
            <w:pPr>
              <w:jc w:val="left"/>
            </w:pPr>
            <w:r>
              <w:rPr/>
              <w:t>突发公共卫生事件发生时，应急队伍的组织、安排及实施应急处理的具体措施。根据方案情况进行评审： 1、应急方案内容全面、应对措施得当、切实可行的，得5分； 2、应急方案内容基本全面、应对措施部分可行的，得4分； 3、应急方案内容片面、应对措施单一的，得3分； 4、没有方案的，得0分。</w:t>
            </w:r>
          </w:p>
        </w:tc>
      </w:tr>
      <w:tr>
        <w:tc>
          <w:tcPr>
            <w:tcW w:type="dxa" w:w="922"/>
            <w:gridSpan w:val="2"/>
            <w:vMerge/>
          </w:tcPr>
          <w:p/>
        </w:tc>
        <w:tc>
          <w:tcPr>
            <w:tcW w:type="dxa" w:w="2307"/>
          </w:tcPr>
          <w:p>
            <w:pPr>
              <w:jc w:val="left"/>
            </w:pPr>
            <w:r>
              <w:rPr/>
              <w:t>项目组织管理 (5.0分)</w:t>
            </w:r>
            <w:r>
              <w:rPr/>
              <w:t>，（等次分值选择：</w:t>
            </w:r>
            <w:r>
              <w:rPr/>
              <w:t>0.0;</w:t>
            </w:r>
            <w:r>
              <w:rPr/>
              <w:t>3.0;</w:t>
            </w:r>
            <w:r>
              <w:rPr/>
              <w:t>4.0;</w:t>
            </w:r>
            <w:r>
              <w:rPr/>
              <w:t>5.0;</w:t>
            </w:r>
            <w:r>
              <w:rPr/>
              <w:t>）</w:t>
            </w:r>
          </w:p>
        </w:tc>
        <w:tc>
          <w:tcPr>
            <w:tcW w:type="dxa" w:w="5076"/>
          </w:tcPr>
          <w:p>
            <w:pPr>
              <w:jc w:val="left"/>
            </w:pPr>
            <w:r>
              <w:rPr/>
              <w:t>1、管理架构：针对本项目设计的组织管理架构及各岗位职能等情况，（1）组织管理架构及各个岗位职能非常明确、清晰，设置非常到位的，得2.5分； （2）组织管理架构及各个岗位职能明确、清晰，设置到位的，得1.5分； （3）组织管理架构及各个岗位职能一般，设置不到位，得0.5分； （4）没有方案的，得0分。 2、管理制度：针对本项目的薪酬制度、奖惩制度、培训制度、质量管理制度、投诉处理制度、档案管理制度等情况进行评审： （1）管理制度非常明确、清晰，设置非常到位的，得2.5分； （2）管理制度明确、清晰，得1.5分； （3）管理制度一般，得0.5分； （4）没有方案的，得0分。 本项最高得分5分。</w:t>
            </w:r>
          </w:p>
        </w:tc>
      </w:tr>
      <w:tr>
        <w:tc>
          <w:tcPr>
            <w:tcW w:type="dxa" w:w="922"/>
            <w:gridSpan w:val="2"/>
            <w:vMerge w:val="restart"/>
          </w:tcPr>
          <w:p>
            <w:pPr>
              <w:jc w:val="center"/>
            </w:pPr>
            <w:r>
              <w:rPr/>
              <w:t>商务部分</w:t>
            </w:r>
          </w:p>
        </w:tc>
        <w:tc>
          <w:tcPr>
            <w:tcW w:type="dxa" w:w="2307"/>
          </w:tcPr>
          <w:p>
            <w:pPr>
              <w:jc w:val="left"/>
            </w:pPr>
            <w:r>
              <w:rPr/>
              <w:t>企业资质 (3.0分)</w:t>
            </w:r>
          </w:p>
        </w:tc>
        <w:tc>
          <w:tcPr>
            <w:tcW w:type="dxa" w:w="5076"/>
          </w:tcPr>
          <w:p>
            <w:pPr>
              <w:jc w:val="left"/>
            </w:pPr>
            <w:r>
              <w:rPr/>
              <w:t>投标人具有行业协会颁发的有效的有害生物防制服务机构能力（或有害生物防制资质）证书，得3分。 注：须提供有效期内的证书复印件及提供查证为有效状态的网页截图并加盖公章，并且在发证的协会官方网站能查询其真实性及有效期内的方可计分。</w:t>
            </w:r>
          </w:p>
        </w:tc>
      </w:tr>
      <w:tr>
        <w:tc>
          <w:tcPr>
            <w:tcW w:type="dxa" w:w="922"/>
            <w:gridSpan w:val="2"/>
            <w:vMerge/>
          </w:tcPr>
          <w:p/>
        </w:tc>
        <w:tc>
          <w:tcPr>
            <w:tcW w:type="dxa" w:w="2307"/>
          </w:tcPr>
          <w:p>
            <w:pPr>
              <w:jc w:val="left"/>
            </w:pPr>
            <w:r>
              <w:rPr/>
              <w:t>项目业绩 (9.0分)</w:t>
            </w:r>
          </w:p>
        </w:tc>
        <w:tc>
          <w:tcPr>
            <w:tcW w:type="dxa" w:w="5076"/>
          </w:tcPr>
          <w:p>
            <w:pPr>
              <w:jc w:val="left"/>
            </w:pPr>
            <w:r>
              <w:rPr/>
              <w:t>投标人自2017年以来（以合同签订时间为准）完成过或正在履行发包方为街道/镇级别或以上的公共环境区域（不包含私人物业及住宅小区、工厂、办公楼、商业等业绩）除四害项目（或病媒生物（含四害）防制项目，或有害生物防治（含四害）项目，或蚊媒传播疾病防控项目），且合同期限不少于1年的，每个3分，最高得9分。 注：须同时提供项目合同（要点包括项目名称、签约时间、合同期限、合同金额、项目主要内容和双方盖章页）扫描件，否则不得分。分包、转包或劳务合作合同无效。</w:t>
            </w:r>
          </w:p>
        </w:tc>
      </w:tr>
      <w:tr>
        <w:tc>
          <w:tcPr>
            <w:tcW w:type="dxa" w:w="922"/>
            <w:gridSpan w:val="2"/>
            <w:vMerge/>
          </w:tcPr>
          <w:p/>
        </w:tc>
        <w:tc>
          <w:tcPr>
            <w:tcW w:type="dxa" w:w="2307"/>
          </w:tcPr>
          <w:p>
            <w:pPr>
              <w:jc w:val="left"/>
            </w:pPr>
            <w:r>
              <w:rPr/>
              <w:t>满意度评价 (3.0分)</w:t>
            </w:r>
          </w:p>
        </w:tc>
        <w:tc>
          <w:tcPr>
            <w:tcW w:type="dxa" w:w="5076"/>
          </w:tcPr>
          <w:p>
            <w:pPr>
              <w:jc w:val="left"/>
            </w:pPr>
            <w:r>
              <w:rPr/>
              <w:t>投标人提供的上述项目业绩履约情况获得业主评价为优或满意的，每提供一项得1分，本项最高得3分。  注：提供用户评价表复印件加盖公章作为证明材料，否则不得分。</w:t>
            </w:r>
          </w:p>
        </w:tc>
      </w:tr>
      <w:tr>
        <w:tc>
          <w:tcPr>
            <w:tcW w:type="dxa" w:w="922"/>
            <w:gridSpan w:val="2"/>
            <w:vMerge/>
          </w:tcPr>
          <w:p/>
        </w:tc>
        <w:tc>
          <w:tcPr>
            <w:tcW w:type="dxa" w:w="2307"/>
          </w:tcPr>
          <w:p>
            <w:pPr>
              <w:jc w:val="left"/>
            </w:pPr>
            <w:r>
              <w:rPr/>
              <w:t>管理体系认证 (9.0分)</w:t>
            </w:r>
          </w:p>
        </w:tc>
        <w:tc>
          <w:tcPr>
            <w:tcW w:type="dxa" w:w="5076"/>
          </w:tcPr>
          <w:p>
            <w:pPr>
              <w:jc w:val="left"/>
            </w:pPr>
            <w:r>
              <w:rPr/>
              <w:t>投标人同时具有有效的质量管理体系认证得3分；投标人具有职业健康安全管理体系认证得3分；投标人具有环境管理体系认证得3分，本项最高得9分。 注：须提供相关证书复印件，并在“国家市场监督管理总局全国认证认可信息公共服务平台（网址http://cx.cnca.cn）”查证为有效状态的网页截图并加盖投标人公章方可计分，否则不得分。</w:t>
            </w:r>
          </w:p>
        </w:tc>
      </w:tr>
      <w:tr>
        <w:tc>
          <w:tcPr>
            <w:tcW w:type="dxa" w:w="922"/>
            <w:gridSpan w:val="2"/>
            <w:vMerge/>
          </w:tcPr>
          <w:p/>
        </w:tc>
        <w:tc>
          <w:tcPr>
            <w:tcW w:type="dxa" w:w="2307"/>
          </w:tcPr>
          <w:p>
            <w:pPr>
              <w:jc w:val="left"/>
            </w:pPr>
            <w:r>
              <w:rPr/>
              <w:t>协助获奖情况 (10.0分)</w:t>
            </w:r>
          </w:p>
        </w:tc>
        <w:tc>
          <w:tcPr>
            <w:tcW w:type="dxa" w:w="5076"/>
          </w:tcPr>
          <w:p>
            <w:pPr>
              <w:jc w:val="left"/>
            </w:pPr>
            <w:r>
              <w:rPr/>
              <w:t>1、投标人自2017年至今（即合同期须至少包含2017年1月1日至投标截止前的任意一日）在提供除四害服务期间，曾协助县城（乡镇）或以上通过全国爱国卫生运动委员会办公室评审或复审的，获得（或重新确认）国家卫生城市（镇）命名，每个得4分，本小项最高得8分； 2、投标人自2017年至今（即合同期须至少包含2017年1月1日至投标截止前的任意一日）在提供除四害服务期间，曾协助县城（乡镇）或以上通过省级爱国卫生运动委员会办公室评审或复审的，获得（或重新确认）省级卫生城市（镇）命名，每个得2分，本小项最高4分。 3、投标人自2017年至今（即合同期须至少包含2017年1月1日至投标截止前的任意一日）在提供除四害服务期间参加过镇街或以上级别与除四害相关的突发公共卫生应急处置（例如登革热、基孔肯雅热等），每个得1分，本小项最高得2分。 本项评分累计最高得10分。 注：1、须提供合同书（或证书、感谢状、锦旗等相关佐证材料）及合同发包方出具的证明文件（证明文件格式自拟）方能得分。2、多次协助同一城市（区）、县城（乡镇）通过同一级别卫生城市评审或复审的，只计算一次得分。</w:t>
            </w:r>
          </w:p>
        </w:tc>
      </w:tr>
      <w:tr>
        <w:tc>
          <w:tcPr>
            <w:tcW w:type="dxa" w:w="922"/>
            <w:gridSpan w:val="2"/>
            <w:vMerge/>
          </w:tcPr>
          <w:p/>
        </w:tc>
        <w:tc>
          <w:tcPr>
            <w:tcW w:type="dxa" w:w="2307"/>
          </w:tcPr>
          <w:p>
            <w:pPr>
              <w:jc w:val="left"/>
            </w:pPr>
            <w:r>
              <w:rPr/>
              <w:t>拟投入人员情况 (16.0分)</w:t>
            </w:r>
          </w:p>
        </w:tc>
        <w:tc>
          <w:tcPr>
            <w:tcW w:type="dxa" w:w="5076"/>
          </w:tcPr>
          <w:p>
            <w:pPr>
              <w:jc w:val="left"/>
            </w:pPr>
            <w:r>
              <w:rPr/>
              <w:t>投标人拟投入本项目人员满足“采购需求”中“人员基本配置要求”，且人员投入数量不变的基础上： 1、所派人员中若持有有害生物防制（治）员高级（三级）证书超过4人的，每增加1人的，得2分，本小项最高得16分； 2、所派人员中若持有有害生物防制（治）员中级（四级）证书超过2人的，每增加1人的，得1.5分，本小项最高得9分。 注：1、同一人同时具有上述两个或以上证书的，取最高级别计算，不重复计分。 2、所有具备证书的拟投入人员均须提供的相关证书、身份证复印件和在公告发布之日起前3个月（不含公告发布当月）任意一个月在投标人单位购买的社会保险参保证明复印件，加盖投标人公章，否则不得分。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24"/>
        </w:rPr>
        <w:t>注：本合同仅为合同的参考文本，合同签订双方可根据项目的具体要求进行修订。</w:t>
      </w:r>
    </w:p>
    <w:p>
      <w:pPr>
        <w:jc w:val="center"/>
      </w:pPr>
    </w:p>
    <w:p>
      <w:pPr>
        <w:jc w:val="center"/>
      </w:pPr>
    </w:p>
    <w:p>
      <w:pPr>
        <w:jc w:val="center"/>
      </w:pPr>
      <w:r>
        <w:rPr>
          <w:sz w:val="68"/>
        </w:rPr>
        <w:t>佛山市政府采购项目</w:t>
      </w:r>
    </w:p>
    <w:p>
      <w:pPr>
        <w:jc w:val="center"/>
      </w:pPr>
    </w:p>
    <w:p>
      <w:pPr>
        <w:jc w:val="center"/>
      </w:pPr>
      <w:r>
        <w:rPr>
          <w:sz w:val="68"/>
        </w:rPr>
        <w:t>合</w:t>
      </w:r>
      <w:r>
        <w:rPr>
          <w:sz w:val="68"/>
        </w:rPr>
        <w:t>同</w:t>
      </w:r>
      <w:r>
        <w:rPr>
          <w:sz w:val="68"/>
        </w:rPr>
        <w:t>书</w:t>
      </w:r>
    </w:p>
    <w:p>
      <w:pPr>
        <w:jc w:val="center"/>
      </w:pPr>
    </w:p>
    <w:p>
      <w:pPr>
        <w:jc w:val="center"/>
      </w:pPr>
    </w:p>
    <w:p>
      <w:pPr>
        <w:jc w:val="center"/>
      </w:pPr>
    </w:p>
    <w:p>
      <w:pPr>
        <w:jc w:val="center"/>
      </w:pPr>
    </w:p>
    <w:p>
      <w:pPr>
        <w:ind w:firstLine="2409"/>
      </w:pPr>
      <w:r>
        <w:rPr>
          <w:b/>
          <w:sz w:val="24"/>
        </w:rPr>
        <w:t>项目编号：</w:t>
      </w:r>
      <w:r>
        <w:rPr>
          <w:b/>
          <w:u w:val="single"/>
        </w:rPr>
        <w:t xml:space="preserve">                   </w:t>
      </w:r>
    </w:p>
    <w:p>
      <w:pPr>
        <w:ind w:firstLine="2409"/>
      </w:pPr>
      <w:r>
        <w:rPr>
          <w:b/>
          <w:sz w:val="24"/>
        </w:rPr>
        <w:t>项目名称：</w:t>
      </w:r>
      <w:r>
        <w:rPr>
          <w:b/>
          <w:u w:val="single"/>
        </w:rPr>
        <w:t xml:space="preserve">                   </w:t>
      </w:r>
    </w:p>
    <w:p>
      <w:pPr>
        <w:ind w:firstLine="2409"/>
      </w:pPr>
      <w:r>
        <w:rPr>
          <w:b/>
          <w:sz w:val="24"/>
          <w:u w:val="single"/>
        </w:rPr>
        <w:t>采购包：</w:t>
      </w:r>
    </w:p>
    <w:p>
      <w:pPr>
        <w:jc w:val="center"/>
      </w:pPr>
    </w:p>
    <w:p>
      <w:pPr>
        <w:jc w:val="center"/>
      </w:pP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2276"/>
        <w:gridCol w:w="6030"/>
      </w:tblGrid>
      <w:tr>
        <w:tc>
          <w:tcPr>
            <w:tcW w:type="dxa" w:w="2276"/>
            <w:tcBorders>
              <w:top w:val="none" w:color="000000" w:sz="4"/>
              <w:left w:val="none" w:color="000000" w:sz="4"/>
              <w:bottom w:val="none" w:color="000000" w:sz="4"/>
              <w:right w:val="none" w:color="000000" w:sz="4"/>
            </w:tcBorders>
            <w:vAlign w:val="top"/>
          </w:tcPr>
          <w:p>
            <w:pPr>
              <w:jc w:val="center"/>
            </w:pPr>
            <w:r>
              <w:rPr>
                <w:sz w:val="28"/>
              </w:rPr>
              <w:t>甲</w:t>
            </w:r>
            <w:r>
              <w:rPr>
                <w:sz w:val="28"/>
              </w:rPr>
              <w:t xml:space="preserve">   </w:t>
            </w:r>
            <w:r>
              <w:rPr>
                <w:sz w:val="28"/>
              </w:rPr>
              <w:t>方：</w:t>
            </w:r>
          </w:p>
        </w:tc>
        <w:tc>
          <w:tcPr>
            <w:tcW w:type="dxa" w:w="6030"/>
            <w:tcBorders>
              <w:top w:val="none" w:color="000000" w:sz="4"/>
              <w:left w:val="none" w:color="000000" w:sz="4"/>
              <w:bottom w:val="none" w:color="000000" w:sz="4"/>
              <w:right w:val="none" w:color="000000" w:sz="4"/>
            </w:tcBorders>
            <w:vAlign w:val="top"/>
          </w:tcPr>
          <w:p>
            <w:pPr>
              <w:jc w:val="left"/>
            </w:pPr>
            <w:r>
              <w:rPr>
                <w:sz w:val="28"/>
                <w:u w:val="single"/>
              </w:rPr>
              <w:t xml:space="preserve">         </w:t>
            </w:r>
            <w:r>
              <w:rPr>
                <w:sz w:val="19"/>
                <w:u w:val="single"/>
              </w:rPr>
              <w:t>采购人名称</w:t>
            </w:r>
            <w:r>
              <w:rPr>
                <w:sz w:val="19"/>
                <w:u w:val="single"/>
              </w:rPr>
              <w:t xml:space="preserve">         </w:t>
            </w:r>
          </w:p>
        </w:tc>
      </w:tr>
      <w:tr>
        <w:tc>
          <w:tcPr>
            <w:tcW w:type="dxa" w:w="2276"/>
            <w:tcBorders>
              <w:top w:val="none" w:color="000000" w:sz="4"/>
              <w:left w:val="none" w:color="000000" w:sz="4"/>
              <w:bottom w:val="none" w:color="000000" w:sz="4"/>
              <w:right w:val="none" w:color="000000" w:sz="4"/>
            </w:tcBorders>
            <w:vAlign w:val="top"/>
          </w:tcPr>
          <w:p>
            <w:pPr>
              <w:jc w:val="center"/>
            </w:pPr>
            <w:r>
              <w:rPr>
                <w:sz w:val="28"/>
              </w:rPr>
              <w:t>乙</w:t>
            </w:r>
            <w:r>
              <w:rPr>
                <w:sz w:val="28"/>
              </w:rPr>
              <w:t xml:space="preserve">   </w:t>
            </w:r>
            <w:r>
              <w:rPr>
                <w:sz w:val="28"/>
              </w:rPr>
              <w:t>方：</w:t>
            </w:r>
          </w:p>
        </w:tc>
        <w:tc>
          <w:tcPr>
            <w:tcW w:type="dxa" w:w="6030"/>
            <w:tcBorders>
              <w:top w:val="none" w:color="000000" w:sz="4"/>
              <w:left w:val="none" w:color="000000" w:sz="4"/>
              <w:bottom w:val="none" w:color="000000" w:sz="4"/>
              <w:right w:val="none" w:color="000000" w:sz="4"/>
            </w:tcBorders>
            <w:vAlign w:val="top"/>
          </w:tcPr>
          <w:p>
            <w:pPr>
              <w:jc w:val="left"/>
            </w:pPr>
            <w:r>
              <w:rPr>
                <w:sz w:val="28"/>
                <w:u w:val="single"/>
              </w:rPr>
              <w:t xml:space="preserve">  </w:t>
            </w:r>
            <w:r>
              <w:rPr>
                <w:sz w:val="28"/>
                <w:u w:val="single"/>
              </w:rPr>
              <w:t>（中标</w:t>
            </w:r>
            <w:r>
              <w:rPr>
                <w:sz w:val="28"/>
                <w:u w:val="single"/>
              </w:rPr>
              <w:t xml:space="preserve">/成交供应商名称）      </w:t>
            </w:r>
          </w:p>
        </w:tc>
      </w:tr>
      <w:tr>
        <w:tc>
          <w:tcPr>
            <w:tcW w:type="dxa" w:w="2276"/>
            <w:tcBorders>
              <w:top w:val="none" w:color="000000" w:sz="4"/>
              <w:left w:val="none" w:color="000000" w:sz="4"/>
              <w:bottom w:val="none" w:color="000000" w:sz="4"/>
              <w:right w:val="none" w:color="000000" w:sz="4"/>
            </w:tcBorders>
            <w:vAlign w:val="top"/>
          </w:tcPr>
          <w:p>
            <w:pPr>
              <w:jc w:val="center"/>
            </w:pPr>
            <w:r>
              <w:rPr>
                <w:sz w:val="28"/>
              </w:rPr>
              <w:t>签订日期：</w:t>
            </w:r>
          </w:p>
        </w:tc>
        <w:tc>
          <w:tcPr>
            <w:tcW w:type="dxa" w:w="6030"/>
            <w:tcBorders>
              <w:top w:val="none" w:color="000000" w:sz="4"/>
              <w:left w:val="none" w:color="000000" w:sz="4"/>
              <w:bottom w:val="none" w:color="000000" w:sz="4"/>
              <w:right w:val="none" w:color="000000" w:sz="4"/>
            </w:tcBorders>
            <w:vAlign w:val="top"/>
          </w:tcPr>
          <w:p>
            <w:pPr>
              <w:jc w:val="left"/>
            </w:pPr>
            <w:r>
              <w:rPr>
                <w:sz w:val="19"/>
                <w:u w:val="single"/>
              </w:rPr>
              <w:t xml:space="preserve">       </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r>
              <w:rPr>
                <w:sz w:val="28"/>
                <w:u w:val="single"/>
              </w:rPr>
              <w:t xml:space="preserve">       </w:t>
            </w:r>
          </w:p>
        </w:tc>
      </w:tr>
    </w:tbl>
    <w:p>
      <w:pPr>
        <w:jc w:val="center"/>
      </w:pPr>
    </w:p>
    <w:p>
      <w:pPr>
        <w:jc w:val="center"/>
      </w:pPr>
    </w:p>
    <w:p>
      <w:pPr>
        <w:jc w:val="center"/>
      </w:pPr>
    </w:p>
    <w:p>
      <w:pPr>
        <w:jc w:val="center"/>
      </w:pPr>
    </w:p>
    <w:p>
      <w:pPr>
        <w:jc w:val="center"/>
      </w:pPr>
      <w:r>
        <w:rPr>
          <w:b/>
          <w:sz w:val="44"/>
        </w:rPr>
        <w:t>佛山市政府采购项目合同书</w:t>
      </w:r>
    </w:p>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vAlign w:val="top"/>
          </w:tcPr>
          <w:p>
            <w:r>
              <w:rPr>
                <w:b/>
                <w:sz w:val="24"/>
              </w:rPr>
              <w:t>项目名称</w:t>
            </w:r>
            <w:r>
              <w:rPr>
                <w:b/>
                <w:sz w:val="21"/>
              </w:rPr>
              <w:t>：</w:t>
            </w:r>
          </w:p>
        </w:tc>
        <w:tc>
          <w:tcPr>
            <w:tcW w:type="dxa" w:w="6671"/>
            <w:tcBorders>
              <w:top w:val="none" w:color="000000" w:sz="4"/>
              <w:left w:val="none" w:color="000000" w:sz="4"/>
              <w:bottom w:val="none" w:color="000000" w:sz="4"/>
              <w:right w:val="none" w:color="000000" w:sz="4"/>
            </w:tcBorders>
            <w:vAlign w:val="top"/>
          </w:tcPr>
          <w:p>
            <w:pPr>
              <w:jc w:val="left"/>
            </w:pPr>
            <w:r>
              <w:rPr>
                <w:sz w:val="19"/>
                <w:u w:val="single"/>
              </w:rPr>
              <w:t xml:space="preserve">                                                    </w:t>
            </w:r>
          </w:p>
        </w:tc>
      </w:tr>
      <w:tr>
        <w:tc>
          <w:tcPr>
            <w:tcW w:type="dxa" w:w="1635"/>
            <w:tcBorders>
              <w:top w:val="none" w:color="000000" w:sz="4"/>
              <w:left w:val="none" w:color="000000" w:sz="4"/>
              <w:bottom w:val="none" w:color="000000" w:sz="4"/>
              <w:right w:val="none" w:color="000000" w:sz="4"/>
            </w:tcBorders>
            <w:vAlign w:val="top"/>
          </w:tcPr>
          <w:p>
            <w:r>
              <w:rPr>
                <w:b/>
                <w:sz w:val="24"/>
              </w:rPr>
              <w:t>项目编号：</w:t>
            </w:r>
          </w:p>
        </w:tc>
        <w:tc>
          <w:tcPr>
            <w:tcW w:type="dxa" w:w="6671"/>
            <w:tcBorders>
              <w:top w:val="none" w:color="000000" w:sz="4"/>
              <w:left w:val="none" w:color="000000" w:sz="4"/>
              <w:bottom w:val="none" w:color="000000" w:sz="4"/>
              <w:right w:val="none" w:color="000000" w:sz="4"/>
            </w:tcBorders>
            <w:vAlign w:val="top"/>
          </w:tcPr>
          <w:p>
            <w:r>
              <w:rPr>
                <w:sz w:val="19"/>
                <w:u w:val="single"/>
              </w:rPr>
              <w:t xml:space="preserve">                                                    </w:t>
            </w:r>
          </w:p>
        </w:tc>
      </w:tr>
      <w:tr>
        <w:tc>
          <w:tcPr>
            <w:tcW w:type="dxa" w:w="1635"/>
            <w:tcBorders>
              <w:top w:val="none" w:color="000000" w:sz="4"/>
              <w:left w:val="none" w:color="000000" w:sz="4"/>
              <w:bottom w:val="none" w:color="000000" w:sz="4"/>
              <w:right w:val="none" w:color="000000" w:sz="4"/>
            </w:tcBorders>
            <w:vAlign w:val="top"/>
          </w:tcPr>
          <w:p>
            <w:r>
              <w:rPr>
                <w:b/>
                <w:sz w:val="24"/>
              </w:rPr>
              <w:t>甲</w:t>
            </w:r>
            <w:r>
              <w:rPr>
                <w:b/>
                <w:sz w:val="19"/>
              </w:rPr>
              <w:t xml:space="preserve">    </w:t>
            </w:r>
            <w:r>
              <w:rPr>
                <w:b/>
                <w:sz w:val="24"/>
              </w:rPr>
              <w:t>方：</w:t>
            </w:r>
          </w:p>
        </w:tc>
        <w:tc>
          <w:tcPr>
            <w:tcW w:type="dxa" w:w="6671"/>
            <w:tcBorders>
              <w:top w:val="none" w:color="000000" w:sz="4"/>
              <w:left w:val="none" w:color="000000" w:sz="4"/>
              <w:bottom w:val="none" w:color="000000" w:sz="4"/>
              <w:right w:val="none" w:color="000000" w:sz="4"/>
            </w:tcBorders>
            <w:vAlign w:val="top"/>
          </w:tcPr>
          <w:p>
            <w:r>
              <w:rPr>
                <w:sz w:val="19"/>
                <w:u w:val="single"/>
              </w:rPr>
              <w:t xml:space="preserve">  </w:t>
            </w:r>
            <w:r>
              <w:rPr>
                <w:sz w:val="24"/>
                <w:u w:val="single"/>
              </w:rPr>
              <w:t>（采购人名称）</w:t>
            </w:r>
            <w:r>
              <w:rPr>
                <w:sz w:val="19"/>
                <w:u w:val="single"/>
              </w:rPr>
              <w:t xml:space="preserve">                                    </w:t>
            </w:r>
          </w:p>
        </w:tc>
      </w:tr>
      <w:tr>
        <w:tc>
          <w:tcPr>
            <w:tcW w:type="dxa" w:w="1635"/>
            <w:tcBorders>
              <w:top w:val="none" w:color="000000" w:sz="4"/>
              <w:left w:val="none" w:color="000000" w:sz="4"/>
              <w:bottom w:val="none" w:color="000000" w:sz="4"/>
              <w:right w:val="none" w:color="000000" w:sz="4"/>
            </w:tcBorders>
            <w:vAlign w:val="top"/>
          </w:tcPr>
          <w:p>
            <w:r>
              <w:rPr>
                <w:b/>
                <w:sz w:val="24"/>
              </w:rPr>
              <w:t>乙</w:t>
            </w:r>
            <w:r>
              <w:rPr>
                <w:b/>
                <w:sz w:val="24"/>
              </w:rPr>
              <w:t xml:space="preserve">   </w:t>
            </w:r>
            <w:r>
              <w:rPr>
                <w:b/>
                <w:sz w:val="24"/>
              </w:rPr>
              <w:t>方：</w:t>
            </w:r>
          </w:p>
        </w:tc>
        <w:tc>
          <w:tcPr>
            <w:tcW w:type="dxa" w:w="6671"/>
            <w:tcBorders>
              <w:top w:val="none" w:color="000000" w:sz="4"/>
              <w:left w:val="none" w:color="000000" w:sz="4"/>
              <w:bottom w:val="none" w:color="000000" w:sz="4"/>
              <w:right w:val="none" w:color="000000" w:sz="4"/>
            </w:tcBorders>
            <w:vAlign w:val="top"/>
          </w:tcPr>
          <w:p>
            <w:r>
              <w:rPr>
                <w:sz w:val="24"/>
                <w:u w:val="single"/>
              </w:rPr>
              <w:t>（中标</w:t>
            </w:r>
            <w:r>
              <w:rPr>
                <w:sz w:val="24"/>
                <w:u w:val="single"/>
              </w:rPr>
              <w:t xml:space="preserve">/成交供应商）                                 </w:t>
            </w:r>
          </w:p>
        </w:tc>
      </w:tr>
    </w:tbl>
    <w:p/>
    <w:p>
      <w:pPr>
        <w:ind w:firstLine="420"/>
      </w:pPr>
      <w:r>
        <w:rPr>
          <w:sz w:val="24"/>
        </w:rPr>
        <w:t>根据《中华人民共和国政府采购法》《中华人民共和国民法典》和本项目采购文件的要求，</w:t>
      </w:r>
      <w:r>
        <w:rPr>
          <w:sz w:val="24"/>
        </w:rPr>
        <w:t>经双方协商，</w:t>
      </w:r>
      <w:r>
        <w:rPr>
          <w:sz w:val="24"/>
        </w:rPr>
        <w:t>本着平等互利和诚实信用的原则，</w:t>
      </w:r>
      <w:r>
        <w:rPr>
          <w:sz w:val="24"/>
        </w:rPr>
        <w:t>一致同意签订本合同如下。</w:t>
      </w:r>
    </w:p>
    <w:p>
      <w:r>
        <w:rPr>
          <w:b/>
          <w:sz w:val="24"/>
        </w:rPr>
        <w:t>一、</w:t>
      </w:r>
      <w:r>
        <w:rPr>
          <w:b/>
          <w:sz w:val="24"/>
        </w:rPr>
        <w:t>项目主要内容及实现功能目标：</w:t>
      </w:r>
    </w:p>
    <w:p>
      <w:pPr>
        <w:ind w:firstLine="420"/>
      </w:pPr>
      <w:r>
        <w:rPr>
          <w:sz w:val="24"/>
        </w:rPr>
        <w:t>（按照采购文件和投标</w:t>
      </w:r>
      <w:r>
        <w:rPr>
          <w:sz w:val="24"/>
        </w:rPr>
        <w:t>/</w:t>
      </w:r>
      <w:r>
        <w:rPr>
          <w:sz w:val="24"/>
        </w:rPr>
        <w:t>响应文件执行）</w:t>
      </w:r>
    </w:p>
    <w:p>
      <w:r>
        <w:rPr>
          <w:b/>
          <w:sz w:val="24"/>
        </w:rPr>
        <w:t>二、</w:t>
      </w:r>
      <w:r>
        <w:rPr>
          <w:b/>
          <w:sz w:val="24"/>
        </w:rPr>
        <w:t>产品及服务供应清单：</w:t>
      </w:r>
      <w:r>
        <w:rPr>
          <w:sz w:val="24"/>
        </w:rPr>
        <w:t>见附件一</w:t>
      </w:r>
      <w:r>
        <w:rPr>
          <w:sz w:val="24"/>
        </w:rPr>
        <w:t>《报价清单明细表》。</w:t>
      </w:r>
    </w:p>
    <w:p>
      <w:r>
        <w:rPr>
          <w:b/>
          <w:sz w:val="24"/>
        </w:rPr>
        <w:t>三、</w:t>
      </w:r>
      <w:r>
        <w:rPr>
          <w:b/>
          <w:sz w:val="24"/>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40"/>
        <w:gridCol w:w="6196"/>
      </w:tblGrid>
      <w:tr>
        <w:tc>
          <w:tcPr>
            <w:tcW w:type="dxa" w:w="670"/>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440"/>
            <w:tcBorders>
              <w:top w:val="single" w:color="000000" w:sz="4"/>
              <w:left w:val="none" w:color="000000" w:sz="4"/>
              <w:bottom w:val="single" w:color="000000" w:sz="4"/>
              <w:right w:val="single" w:color="000000" w:sz="4"/>
            </w:tcBorders>
            <w:vAlign w:val="top"/>
          </w:tcPr>
          <w:p>
            <w:pPr>
              <w:jc w:val="center"/>
            </w:pPr>
            <w:r>
              <w:rPr>
                <w:b/>
                <w:sz w:val="21"/>
              </w:rPr>
              <w:t>合同条款</w:t>
            </w:r>
          </w:p>
        </w:tc>
        <w:tc>
          <w:tcPr>
            <w:tcW w:type="dxa" w:w="6196"/>
            <w:tcBorders>
              <w:top w:val="single" w:color="000000" w:sz="4"/>
              <w:left w:val="none" w:color="000000" w:sz="4"/>
              <w:bottom w:val="single" w:color="000000" w:sz="4"/>
              <w:right w:val="single" w:color="000000" w:sz="4"/>
            </w:tcBorders>
            <w:vAlign w:val="top"/>
          </w:tcPr>
          <w:p>
            <w:pPr>
              <w:jc w:val="center"/>
            </w:pPr>
            <w:r>
              <w:rPr>
                <w:b/>
                <w:sz w:val="21"/>
              </w:rPr>
              <w:t>内</w:t>
            </w:r>
            <w:r>
              <w:rPr>
                <w:b/>
                <w:sz w:val="21"/>
              </w:rPr>
              <w:t xml:space="preserve"> </w:t>
            </w:r>
            <w:r>
              <w:rPr>
                <w:b/>
                <w:sz w:val="21"/>
              </w:rPr>
              <w:t>容</w:t>
            </w:r>
          </w:p>
        </w:tc>
      </w:tr>
      <w:tr>
        <w:tc>
          <w:tcPr>
            <w:tcW w:type="dxa" w:w="670"/>
            <w:tcBorders>
              <w:top w:val="none" w:color="000000" w:sz="4"/>
              <w:left w:val="single" w:color="000000" w:sz="4"/>
              <w:bottom w:val="single" w:color="000000" w:sz="4"/>
              <w:right w:val="single" w:color="000000" w:sz="4"/>
            </w:tcBorders>
            <w:vAlign w:val="top"/>
          </w:tcPr>
          <w:p>
            <w:pPr>
              <w:numPr>
                <w:ilvl w:val="0"/>
                <w:numId w:val="2"/>
              </w:numP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合同总额</w:t>
            </w:r>
          </w:p>
        </w:tc>
        <w:tc>
          <w:tcPr>
            <w:tcW w:type="dxa" w:w="6196"/>
            <w:tcBorders>
              <w:top w:val="none" w:color="000000" w:sz="4"/>
              <w:left w:val="none" w:color="000000" w:sz="4"/>
              <w:bottom w:val="single" w:color="000000" w:sz="4"/>
              <w:right w:val="single" w:color="000000" w:sz="4"/>
            </w:tcBorders>
            <w:vAlign w:val="top"/>
          </w:tcPr>
          <w:p>
            <w:r>
              <w:rPr>
                <w:sz w:val="21"/>
              </w:rPr>
              <w:t>人民币</w:t>
            </w:r>
            <w:r>
              <w:rPr>
                <w:sz w:val="21"/>
              </w:rPr>
              <w:t xml:space="preserve"> </w:t>
            </w:r>
            <w:r>
              <w:rPr>
                <w:sz w:val="21"/>
              </w:rPr>
              <w:t>小写：</w:t>
            </w:r>
            <w:r>
              <w:rPr>
                <w:sz w:val="19"/>
                <w:u w:val="single"/>
              </w:rPr>
              <w:t xml:space="preserve">             </w:t>
            </w:r>
            <w:r>
              <w:rPr>
                <w:sz w:val="21"/>
              </w:rPr>
              <w:t>元；</w:t>
            </w:r>
          </w:p>
          <w:p>
            <w:r>
              <w:rPr>
                <w:sz w:val="21"/>
              </w:rPr>
              <w:t>大写：</w:t>
            </w:r>
            <w:r>
              <w:rPr>
                <w:sz w:val="19"/>
                <w:u w:val="single"/>
              </w:rPr>
              <w:t xml:space="preserve">                          </w:t>
            </w:r>
          </w:p>
        </w:tc>
      </w:tr>
      <w:tr>
        <w:tc>
          <w:tcPr>
            <w:tcW w:type="dxa" w:w="670"/>
            <w:tcBorders>
              <w:top w:val="none" w:color="000000" w:sz="4"/>
              <w:left w:val="single" w:color="000000" w:sz="4"/>
              <w:bottom w:val="single" w:color="000000" w:sz="4"/>
              <w:right w:val="single" w:color="000000" w:sz="4"/>
            </w:tcBorders>
            <w:vAlign w:val="top"/>
          </w:tcPr>
          <w:p>
            <w:pPr>
              <w:numPr>
                <w:ilvl w:val="0"/>
                <w:numId w:val="1"/>
              </w:numPr>
              <w:jc w:val="cente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合同总额内容</w:t>
            </w:r>
          </w:p>
        </w:tc>
        <w:tc>
          <w:tcPr>
            <w:tcW w:type="dxa" w:w="6196"/>
            <w:tcBorders>
              <w:top w:val="none" w:color="000000" w:sz="4"/>
              <w:left w:val="none" w:color="000000" w:sz="4"/>
              <w:bottom w:val="single" w:color="000000" w:sz="4"/>
              <w:right w:val="single" w:color="000000" w:sz="4"/>
            </w:tcBorders>
            <w:vAlign w:val="top"/>
          </w:tcPr>
          <w:p>
            <w:pPr>
              <w:numPr>
                <w:ilvl w:val="0"/>
                <w:numId w:val="2"/>
              </w:numPr>
            </w:pPr>
            <w:r>
              <w:rPr>
                <w:sz w:val="21"/>
              </w:rPr>
              <w:t>合同总额包括</w:t>
            </w:r>
            <w:r>
              <w:rPr>
                <w:sz w:val="21"/>
              </w:rPr>
              <w:t>……</w:t>
            </w:r>
            <w:r>
              <w:rPr>
                <w:sz w:val="21"/>
              </w:rPr>
              <w:t>、税费、合理利润、风险费用及合同实施过程中的不可预见费用等。</w:t>
            </w:r>
          </w:p>
          <w:p>
            <w:pPr>
              <w:numPr>
                <w:ilvl w:val="0"/>
                <w:numId w:val="2"/>
              </w:numPr>
            </w:pPr>
            <w:r>
              <w:rPr>
                <w:sz w:val="21"/>
              </w:rPr>
              <w:t>价格为固定不变价，天数为公历日。</w:t>
            </w:r>
          </w:p>
        </w:tc>
      </w:tr>
      <w:tr>
        <w:tc>
          <w:tcPr>
            <w:tcW w:type="dxa" w:w="670"/>
            <w:tcBorders>
              <w:top w:val="none" w:color="000000" w:sz="4"/>
              <w:left w:val="single" w:color="000000" w:sz="4"/>
              <w:bottom w:val="single" w:color="000000" w:sz="4"/>
              <w:right w:val="single" w:color="000000" w:sz="4"/>
            </w:tcBorders>
            <w:vAlign w:val="top"/>
          </w:tcPr>
          <w:p>
            <w:pPr>
              <w:numPr>
                <w:ilvl w:val="0"/>
                <w:numId w:val="1"/>
              </w:numPr>
              <w:jc w:val="cente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项目服务地点</w:t>
            </w:r>
          </w:p>
        </w:tc>
        <w:tc>
          <w:tcPr>
            <w:tcW w:type="dxa" w:w="6196"/>
            <w:tcBorders>
              <w:top w:val="none" w:color="000000" w:sz="4"/>
              <w:left w:val="none" w:color="000000" w:sz="4"/>
              <w:bottom w:val="single" w:color="000000" w:sz="4"/>
              <w:right w:val="single" w:color="000000" w:sz="4"/>
            </w:tcBorders>
            <w:vAlign w:val="top"/>
          </w:tcPr>
          <w:p>
            <w:pPr>
              <w:jc w:val="left"/>
            </w:pPr>
            <w:r>
              <w:rPr>
                <w:sz w:val="21"/>
              </w:rPr>
              <w:t>甲方（用户）指定地点。详细地址为：</w:t>
            </w:r>
          </w:p>
        </w:tc>
      </w:tr>
      <w:tr>
        <w:tc>
          <w:tcPr>
            <w:tcW w:type="dxa" w:w="670"/>
            <w:tcBorders>
              <w:top w:val="none" w:color="000000" w:sz="4"/>
              <w:left w:val="single" w:color="000000" w:sz="4"/>
              <w:bottom w:val="single" w:color="000000" w:sz="4"/>
              <w:right w:val="single" w:color="000000" w:sz="4"/>
            </w:tcBorders>
            <w:vAlign w:val="top"/>
          </w:tcPr>
          <w:p>
            <w:pPr>
              <w:numPr>
                <w:ilvl w:val="0"/>
                <w:numId w:val="1"/>
              </w:numPr>
              <w:jc w:val="cente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服务期</w:t>
            </w:r>
          </w:p>
        </w:tc>
        <w:tc>
          <w:tcPr>
            <w:tcW w:type="dxa" w:w="6196"/>
            <w:tcBorders>
              <w:top w:val="none" w:color="000000" w:sz="4"/>
              <w:left w:val="none" w:color="000000" w:sz="4"/>
              <w:bottom w:val="single" w:color="000000" w:sz="4"/>
              <w:right w:val="single" w:color="000000" w:sz="4"/>
            </w:tcBorders>
            <w:vAlign w:val="top"/>
          </w:tcPr>
          <w:p>
            <w:pPr>
              <w:jc w:val="left"/>
            </w:pPr>
            <w:r>
              <w:rPr>
                <w:sz w:val="24"/>
              </w:rPr>
              <w:t>202</w:t>
            </w:r>
            <w:r>
              <w:rPr>
                <w:sz w:val="24"/>
              </w:rPr>
              <w:t>2</w:t>
            </w:r>
            <w:r>
              <w:rPr>
                <w:sz w:val="24"/>
              </w:rPr>
              <w:t>年</w:t>
            </w:r>
            <w:r>
              <w:rPr>
                <w:sz w:val="24"/>
              </w:rPr>
              <w:t>12</w:t>
            </w:r>
            <w:r>
              <w:rPr>
                <w:sz w:val="24"/>
              </w:rPr>
              <w:t>月</w:t>
            </w:r>
            <w:r>
              <w:rPr>
                <w:sz w:val="24"/>
              </w:rPr>
              <w:t>1</w:t>
            </w:r>
            <w:r>
              <w:rPr>
                <w:sz w:val="24"/>
              </w:rPr>
              <w:t>日至</w:t>
            </w:r>
            <w:r>
              <w:rPr>
                <w:sz w:val="24"/>
              </w:rPr>
              <w:t>202</w:t>
            </w:r>
            <w:r>
              <w:rPr>
                <w:sz w:val="24"/>
              </w:rPr>
              <w:t>5</w:t>
            </w:r>
            <w:r>
              <w:rPr>
                <w:sz w:val="24"/>
              </w:rPr>
              <w:t>年</w:t>
            </w:r>
            <w:r>
              <w:rPr>
                <w:sz w:val="24"/>
              </w:rPr>
              <w:t>11</w:t>
            </w:r>
            <w:r>
              <w:rPr>
                <w:sz w:val="24"/>
              </w:rPr>
              <w:t>月</w:t>
            </w:r>
            <w:r>
              <w:rPr>
                <w:sz w:val="24"/>
              </w:rPr>
              <w:t>30</w:t>
            </w:r>
            <w:r>
              <w:rPr>
                <w:sz w:val="24"/>
              </w:rPr>
              <w:t>日止，合共</w:t>
            </w:r>
            <w:r>
              <w:rPr>
                <w:sz w:val="24"/>
              </w:rPr>
              <w:t>36</w:t>
            </w:r>
            <w:r>
              <w:rPr>
                <w:sz w:val="24"/>
              </w:rPr>
              <w:t>个月。</w:t>
            </w:r>
          </w:p>
        </w:tc>
      </w:tr>
      <w:tr>
        <w:tc>
          <w:tcPr>
            <w:tcW w:type="dxa" w:w="670"/>
            <w:tcBorders>
              <w:top w:val="none" w:color="000000" w:sz="4"/>
              <w:left w:val="single" w:color="000000" w:sz="4"/>
              <w:bottom w:val="single" w:color="000000" w:sz="4"/>
              <w:right w:val="single" w:color="000000" w:sz="4"/>
            </w:tcBorders>
            <w:vAlign w:val="top"/>
          </w:tcPr>
          <w:p>
            <w:pPr>
              <w:numPr>
                <w:ilvl w:val="0"/>
                <w:numId w:val="1"/>
              </w:numPr>
              <w:jc w:val="cente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合同签订方式及情况</w:t>
            </w:r>
          </w:p>
        </w:tc>
        <w:tc>
          <w:tcPr>
            <w:tcW w:type="dxa" w:w="6196"/>
            <w:tcBorders>
              <w:top w:val="none" w:color="000000" w:sz="4"/>
              <w:left w:val="none" w:color="000000" w:sz="4"/>
              <w:bottom w:val="single" w:color="000000" w:sz="4"/>
              <w:right w:val="single" w:color="000000" w:sz="4"/>
            </w:tcBorders>
            <w:vAlign w:val="top"/>
          </w:tcPr>
          <w:p>
            <w:pPr>
              <w:numPr>
                <w:ilvl w:val="0"/>
                <w:numId w:val="2"/>
              </w:numPr>
            </w:pPr>
            <w:r>
              <w:rPr>
                <w:sz w:val="21"/>
              </w:rPr>
              <w:t>一次性签订本项目采购合同。</w:t>
            </w:r>
          </w:p>
          <w:p>
            <w:pPr>
              <w:numPr>
                <w:ilvl w:val="0"/>
                <w:numId w:val="2"/>
              </w:numPr>
            </w:pPr>
            <w:r>
              <w:rPr>
                <w:sz w:val="21"/>
              </w:rPr>
              <w:t>本项目分</w:t>
            </w:r>
            <w:r>
              <w:rPr>
                <w:sz w:val="19"/>
                <w:u w:val="single"/>
              </w:rPr>
              <w:t xml:space="preserve">   </w:t>
            </w:r>
            <w:r>
              <w:rPr>
                <w:sz w:val="21"/>
              </w:rPr>
              <w:t>次签订合同，</w:t>
            </w:r>
            <w:r>
              <w:rPr>
                <w:sz w:val="21"/>
              </w:rPr>
              <w:t>每次合同服务期为一年。本次情况如下：</w:t>
            </w:r>
          </w:p>
          <w:p>
            <w:r>
              <w:rPr>
                <w:sz w:val="21"/>
              </w:rPr>
              <w:t>（</w:t>
            </w:r>
            <w:r>
              <w:rPr>
                <w:sz w:val="21"/>
              </w:rPr>
              <w:t>1</w:t>
            </w:r>
            <w:r>
              <w:rPr>
                <w:sz w:val="21"/>
              </w:rPr>
              <w:t>）本次签订为第</w:t>
            </w:r>
            <w:r>
              <w:rPr>
                <w:sz w:val="19"/>
                <w:u w:val="single"/>
              </w:rPr>
              <w:t xml:space="preserve">   </w:t>
            </w:r>
            <w:r>
              <w:rPr>
                <w:sz w:val="21"/>
              </w:rPr>
              <w:t>次；</w:t>
            </w:r>
          </w:p>
          <w:p>
            <w:r>
              <w:rPr>
                <w:sz w:val="21"/>
              </w:rPr>
              <w:t>（</w:t>
            </w:r>
            <w:r>
              <w:rPr>
                <w:sz w:val="21"/>
              </w:rPr>
              <w:t>2</w:t>
            </w:r>
            <w:r>
              <w:rPr>
                <w:sz w:val="21"/>
              </w:rPr>
              <w:t>）本次合同金额为（大写）：</w:t>
            </w:r>
            <w:r>
              <w:rPr>
                <w:sz w:val="19"/>
                <w:u w:val="single"/>
              </w:rPr>
              <w:t xml:space="preserve">       </w:t>
            </w:r>
            <w:r>
              <w:rPr>
                <w:sz w:val="21"/>
              </w:rPr>
              <w:t>元，</w:t>
            </w:r>
            <w:r>
              <w:rPr>
                <w:sz w:val="21"/>
                <w:u w:val="single"/>
              </w:rPr>
              <w:t>（￥</w:t>
            </w:r>
            <w:r>
              <w:rPr>
                <w:sz w:val="21"/>
                <w:u w:val="single"/>
              </w:rPr>
              <w:t xml:space="preserve">       </w:t>
            </w:r>
            <w:r>
              <w:rPr>
                <w:sz w:val="21"/>
                <w:u w:val="single"/>
              </w:rPr>
              <w:t>元）；</w:t>
            </w:r>
          </w:p>
          <w:p>
            <w:r>
              <w:rPr>
                <w:sz w:val="21"/>
              </w:rPr>
              <w:t>（</w:t>
            </w:r>
            <w:r>
              <w:rPr>
                <w:sz w:val="21"/>
              </w:rPr>
              <w:t>3</w:t>
            </w:r>
            <w:r>
              <w:rPr>
                <w:sz w:val="21"/>
              </w:rPr>
              <w:t>）本次服务期起止时间：</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w:t>
            </w:r>
          </w:p>
        </w:tc>
      </w:tr>
      <w:tr>
        <w:tc>
          <w:tcPr>
            <w:tcW w:type="dxa" w:w="670"/>
            <w:tcBorders>
              <w:top w:val="none" w:color="000000" w:sz="4"/>
              <w:left w:val="single" w:color="000000" w:sz="4"/>
              <w:bottom w:val="single" w:color="000000" w:sz="4"/>
              <w:right w:val="single" w:color="000000" w:sz="4"/>
            </w:tcBorders>
            <w:vAlign w:val="top"/>
          </w:tcPr>
          <w:p>
            <w:pPr>
              <w:numPr>
                <w:ilvl w:val="0"/>
                <w:numId w:val="1"/>
              </w:numPr>
              <w:jc w:val="cente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付款方式</w:t>
            </w:r>
          </w:p>
        </w:tc>
        <w:tc>
          <w:tcPr>
            <w:tcW w:type="dxa" w:w="6196"/>
            <w:tcBorders>
              <w:top w:val="none" w:color="000000" w:sz="4"/>
              <w:left w:val="none" w:color="000000" w:sz="4"/>
              <w:bottom w:val="single" w:color="000000" w:sz="4"/>
              <w:right w:val="single" w:color="000000" w:sz="4"/>
            </w:tcBorders>
            <w:vAlign w:val="top"/>
          </w:tcPr>
          <w:p>
            <w:pPr>
              <w:ind w:firstLine="478"/>
              <w:jc w:val="both"/>
            </w:pPr>
            <w:r>
              <w:rPr>
                <w:sz w:val="21"/>
              </w:rPr>
              <w:t>1、本项目的管理服务费采用</w:t>
            </w:r>
            <w:r>
              <w:rPr>
                <w:sz w:val="21"/>
              </w:rPr>
              <w:t>按季度平均方式向中标供应商支付服务费用，经季度考核后，每季度的第一个月支付上一季度的服务费用，支付服务费用</w:t>
            </w:r>
            <w:r>
              <w:rPr>
                <w:sz w:val="21"/>
              </w:rPr>
              <w:t>=季度服务费用—扣减费用。【注：1、甲方核定当期的结算金额后，中标供应商须提供该期相应金额的服务费发票，收款方、发票出具方、合同中标供应商均须与中标供应商名称一致；2、甲方在中标供应商提供该期服务费发票15个工作日内向中标供应商支付服务费。】</w:t>
            </w:r>
          </w:p>
          <w:p>
            <w:pPr>
              <w:jc w:val="left"/>
            </w:pPr>
            <w:r>
              <w:rPr>
                <w:sz w:val="21"/>
              </w:rPr>
              <w:t>2</w:t>
            </w:r>
            <w:r>
              <w:rPr>
                <w:sz w:val="21"/>
              </w:rPr>
              <w:t>、因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已经按期申请支付，</w:t>
            </w:r>
            <w:r>
              <w:rPr>
                <w:sz w:val="21"/>
              </w:rPr>
              <w:t>乙方</w:t>
            </w:r>
            <w:r>
              <w:rPr>
                <w:sz w:val="21"/>
              </w:rPr>
              <w:t>对此知悉并同意。</w:t>
            </w:r>
          </w:p>
        </w:tc>
      </w:tr>
      <w:tr>
        <w:tc>
          <w:tcPr>
            <w:tcW w:type="dxa" w:w="670"/>
            <w:tcBorders>
              <w:top w:val="none" w:color="000000" w:sz="4"/>
              <w:left w:val="single" w:color="000000" w:sz="4"/>
              <w:bottom w:val="single" w:color="000000" w:sz="4"/>
              <w:right w:val="single" w:color="000000" w:sz="4"/>
            </w:tcBorders>
            <w:vAlign w:val="top"/>
          </w:tcPr>
          <w:p>
            <w:pPr>
              <w:numPr>
                <w:ilvl w:val="0"/>
                <w:numId w:val="1"/>
              </w:numPr>
              <w:jc w:val="cente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付款要求</w:t>
            </w:r>
          </w:p>
        </w:tc>
        <w:tc>
          <w:tcPr>
            <w:tcW w:type="dxa" w:w="6196"/>
            <w:tcBorders>
              <w:top w:val="none" w:color="000000" w:sz="4"/>
              <w:left w:val="none" w:color="000000" w:sz="4"/>
              <w:bottom w:val="single" w:color="000000" w:sz="4"/>
              <w:right w:val="single" w:color="000000" w:sz="4"/>
            </w:tcBorders>
            <w:vAlign w:val="top"/>
          </w:tcPr>
          <w:p>
            <w:pPr>
              <w:numPr>
                <w:ilvl w:val="0"/>
                <w:numId w:val="2"/>
              </w:numPr>
              <w:jc w:val="left"/>
            </w:pPr>
            <w:r>
              <w:rPr>
                <w:sz w:val="21"/>
              </w:rPr>
              <w:t>乙方须向甲方提供依法纳税的服务费发票。</w:t>
            </w:r>
          </w:p>
          <w:p>
            <w:pPr>
              <w:numPr>
                <w:ilvl w:val="0"/>
                <w:numId w:val="2"/>
              </w:numPr>
              <w:jc w:val="left"/>
            </w:pPr>
            <w:r>
              <w:rPr>
                <w:sz w:val="21"/>
              </w:rPr>
              <w:t>服务费以转账方式转入乙方的银行账户。</w:t>
            </w:r>
          </w:p>
          <w:p>
            <w:pPr>
              <w:numPr>
                <w:ilvl w:val="0"/>
                <w:numId w:val="2"/>
              </w:numPr>
              <w:jc w:val="left"/>
            </w:pPr>
            <w:r>
              <w:rPr>
                <w:sz w:val="21"/>
              </w:rPr>
              <w:t>收款方、出具发票方、合同乙方均必须与中标（成交）</w:t>
            </w:r>
            <w:r>
              <w:rPr>
                <w:sz w:val="21"/>
              </w:rPr>
              <w:t>人</w:t>
            </w:r>
            <w:r>
              <w:rPr>
                <w:sz w:val="21"/>
              </w:rPr>
              <w:t>名称一致。</w:t>
            </w:r>
          </w:p>
        </w:tc>
      </w:tr>
      <w:tr>
        <w:tc>
          <w:tcPr>
            <w:tcW w:type="dxa" w:w="670"/>
            <w:tcBorders>
              <w:top w:val="none" w:color="000000" w:sz="4"/>
              <w:left w:val="single" w:color="000000" w:sz="4"/>
              <w:bottom w:val="single" w:color="000000" w:sz="4"/>
              <w:right w:val="single" w:color="000000" w:sz="4"/>
            </w:tcBorders>
            <w:vAlign w:val="top"/>
          </w:tcPr>
          <w:p>
            <w:pPr>
              <w:numPr>
                <w:ilvl w:val="0"/>
                <w:numId w:val="1"/>
              </w:numPr>
              <w:jc w:val="center"/>
            </w:pPr>
          </w:p>
        </w:tc>
        <w:tc>
          <w:tcPr>
            <w:tcW w:type="dxa" w:w="1440"/>
            <w:tcBorders>
              <w:top w:val="none" w:color="000000" w:sz="4"/>
              <w:left w:val="none" w:color="000000" w:sz="4"/>
              <w:bottom w:val="single" w:color="000000" w:sz="4"/>
              <w:right w:val="single" w:color="000000" w:sz="4"/>
            </w:tcBorders>
            <w:vAlign w:val="top"/>
          </w:tcPr>
          <w:p>
            <w:pPr>
              <w:jc w:val="center"/>
            </w:pPr>
            <w:r>
              <w:rPr>
                <w:b/>
                <w:sz w:val="21"/>
              </w:rPr>
              <w:t>履约保证金</w:t>
            </w:r>
          </w:p>
        </w:tc>
        <w:tc>
          <w:tcPr>
            <w:tcW w:type="dxa" w:w="6196"/>
            <w:tcBorders>
              <w:top w:val="none" w:color="000000" w:sz="4"/>
              <w:left w:val="none" w:color="000000" w:sz="4"/>
              <w:bottom w:val="single" w:color="000000" w:sz="4"/>
              <w:right w:val="single" w:color="000000" w:sz="4"/>
            </w:tcBorders>
            <w:vAlign w:val="top"/>
          </w:tcPr>
          <w:p>
            <w:pPr>
              <w:ind w:firstLine="420"/>
              <w:jc w:val="both"/>
            </w:pPr>
            <w:r>
              <w:rPr>
                <w:sz w:val="21"/>
              </w:rPr>
              <w:t>收取</w:t>
            </w:r>
            <w:r>
              <w:rPr>
                <w:sz w:val="21"/>
              </w:rPr>
              <w:t>。</w:t>
            </w:r>
            <w:r>
              <w:rPr>
                <w:sz w:val="21"/>
              </w:rPr>
              <w:t>1、履约保证金的金额：本项目中标价（签约合同价）的5%（四舍五入到分）；</w:t>
            </w:r>
          </w:p>
          <w:p>
            <w:pPr>
              <w:ind w:firstLine="420"/>
              <w:jc w:val="both"/>
            </w:pPr>
            <w:r>
              <w:rPr>
                <w:sz w:val="21"/>
              </w:rPr>
              <w:t>2、乙方必须在本项目合同签署之日起30个工作日内以支票、汇票、本票或者银行保函、专业担保公司保函等非现金形式提交给甲方作履约保证金。采用银行保函形式的，出具履约担保的银行级别为国有商业银行或股份制商业银行。具体提交方式以甲方最终确认为准。否则将视为乙方放弃中标的权利，甲方有权对本项目重新进行招标，由此带来一切损失由乙方自行承担；</w:t>
            </w:r>
          </w:p>
          <w:p>
            <w:r>
              <w:rPr>
                <w:sz w:val="21"/>
              </w:rPr>
              <w:t>3、保函须为见索即付、不可撤销的保函，且必须包令以下内容：</w:t>
            </w:r>
          </w:p>
          <w:p>
            <w:r>
              <w:rPr>
                <w:sz w:val="21"/>
              </w:rPr>
              <w:t>（</w:t>
            </w:r>
            <w:r>
              <w:rPr>
                <w:sz w:val="21"/>
              </w:rPr>
              <w:t>1）</w:t>
            </w:r>
            <w:r>
              <w:rPr>
                <w:sz w:val="21"/>
              </w:rPr>
              <w:t>甲方</w:t>
            </w:r>
            <w:r>
              <w:rPr>
                <w:sz w:val="21"/>
              </w:rPr>
              <w:t>名称、项目名称、</w:t>
            </w:r>
            <w:r>
              <w:rPr>
                <w:sz w:val="21"/>
              </w:rPr>
              <w:t>乙方</w:t>
            </w:r>
            <w:r>
              <w:rPr>
                <w:sz w:val="21"/>
              </w:rPr>
              <w:t>名称、担保金额、担保期限。</w:t>
            </w:r>
          </w:p>
          <w:p>
            <w:r>
              <w:rPr>
                <w:sz w:val="21"/>
              </w:rPr>
              <w:t>（</w:t>
            </w:r>
            <w:r>
              <w:rPr>
                <w:sz w:val="21"/>
              </w:rPr>
              <w:t>2）</w:t>
            </w:r>
            <w:r>
              <w:rPr>
                <w:sz w:val="21"/>
              </w:rPr>
              <w:t>甲方</w:t>
            </w:r>
            <w:r>
              <w:rPr>
                <w:sz w:val="21"/>
              </w:rPr>
              <w:t>可在担保限额内要求多次赔付。</w:t>
            </w:r>
          </w:p>
          <w:p>
            <w:r>
              <w:rPr>
                <w:sz w:val="21"/>
              </w:rPr>
              <w:t>（</w:t>
            </w:r>
            <w:r>
              <w:rPr>
                <w:sz w:val="21"/>
              </w:rPr>
              <w:t>3）在</w:t>
            </w:r>
            <w:r>
              <w:rPr>
                <w:sz w:val="21"/>
              </w:rPr>
              <w:t>甲方</w:t>
            </w:r>
            <w:r>
              <w:rPr>
                <w:sz w:val="21"/>
              </w:rPr>
              <w:t>向担保机构提出索赔时，担保机构将不要求</w:t>
            </w:r>
            <w:r>
              <w:rPr>
                <w:sz w:val="21"/>
              </w:rPr>
              <w:t>甲方</w:t>
            </w:r>
            <w:r>
              <w:rPr>
                <w:sz w:val="21"/>
              </w:rPr>
              <w:t>先向</w:t>
            </w:r>
            <w:r>
              <w:rPr>
                <w:sz w:val="21"/>
              </w:rPr>
              <w:t>乙方</w:t>
            </w:r>
            <w:r>
              <w:rPr>
                <w:sz w:val="21"/>
              </w:rPr>
              <w:t>提出索赔或要求</w:t>
            </w:r>
            <w:r>
              <w:rPr>
                <w:sz w:val="21"/>
              </w:rPr>
              <w:t>甲方</w:t>
            </w:r>
            <w:r>
              <w:rPr>
                <w:sz w:val="21"/>
              </w:rPr>
              <w:t>提供其他任何证明材料。</w:t>
            </w:r>
          </w:p>
          <w:p>
            <w:r>
              <w:rPr>
                <w:sz w:val="21"/>
              </w:rPr>
              <w:t>（</w:t>
            </w:r>
            <w:r>
              <w:rPr>
                <w:sz w:val="21"/>
              </w:rPr>
              <w:t>4）如果</w:t>
            </w:r>
            <w:r>
              <w:rPr>
                <w:sz w:val="21"/>
              </w:rPr>
              <w:t>乙方</w:t>
            </w:r>
            <w:r>
              <w:rPr>
                <w:sz w:val="21"/>
              </w:rPr>
              <w:t>没有按照要求提交履约担保，则</w:t>
            </w:r>
            <w:r>
              <w:rPr>
                <w:sz w:val="21"/>
              </w:rPr>
              <w:t>甲方</w:t>
            </w:r>
            <w:r>
              <w:rPr>
                <w:sz w:val="21"/>
              </w:rPr>
              <w:t>有权单方解除合同并对本项目重新招标，</w:t>
            </w:r>
            <w:r>
              <w:rPr>
                <w:sz w:val="21"/>
              </w:rPr>
              <w:t>乙方</w:t>
            </w:r>
            <w:r>
              <w:rPr>
                <w:sz w:val="21"/>
              </w:rPr>
              <w:t>须赔偿</w:t>
            </w:r>
            <w:r>
              <w:rPr>
                <w:sz w:val="21"/>
              </w:rPr>
              <w:t>甲方</w:t>
            </w:r>
            <w:r>
              <w:rPr>
                <w:sz w:val="21"/>
              </w:rPr>
              <w:t>因此造成的损失。</w:t>
            </w:r>
          </w:p>
          <w:p>
            <w:r>
              <w:rPr>
                <w:sz w:val="21"/>
              </w:rPr>
              <w:t>（</w:t>
            </w:r>
            <w:r>
              <w:rPr>
                <w:sz w:val="21"/>
              </w:rPr>
              <w:t>5）合同履行期间，</w:t>
            </w:r>
            <w:r>
              <w:rPr>
                <w:sz w:val="21"/>
              </w:rPr>
              <w:t>乙方</w:t>
            </w:r>
            <w:r>
              <w:rPr>
                <w:sz w:val="21"/>
              </w:rPr>
              <w:t>单方解除合同或</w:t>
            </w:r>
            <w:r>
              <w:rPr>
                <w:sz w:val="21"/>
              </w:rPr>
              <w:t>乙方</w:t>
            </w:r>
            <w:r>
              <w:rPr>
                <w:sz w:val="21"/>
              </w:rPr>
              <w:t>违约导致</w:t>
            </w:r>
            <w:r>
              <w:rPr>
                <w:sz w:val="21"/>
              </w:rPr>
              <w:t>甲方</w:t>
            </w:r>
            <w:r>
              <w:rPr>
                <w:sz w:val="21"/>
              </w:rPr>
              <w:t>单方解除合同的，</w:t>
            </w:r>
            <w:r>
              <w:rPr>
                <w:sz w:val="21"/>
              </w:rPr>
              <w:t>甲方</w:t>
            </w:r>
            <w:r>
              <w:rPr>
                <w:sz w:val="21"/>
              </w:rPr>
              <w:t>没收</w:t>
            </w:r>
            <w:r>
              <w:rPr>
                <w:sz w:val="21"/>
              </w:rPr>
              <w:t>乙方</w:t>
            </w:r>
            <w:r>
              <w:rPr>
                <w:sz w:val="21"/>
              </w:rPr>
              <w:t>的全部履约担保。</w:t>
            </w:r>
          </w:p>
          <w:p>
            <w:r>
              <w:rPr>
                <w:sz w:val="21"/>
              </w:rPr>
              <w:t>（</w:t>
            </w:r>
            <w:r>
              <w:rPr>
                <w:sz w:val="21"/>
              </w:rPr>
              <w:t>6）合同履行期间，履约担保被扣除、没收或履约保函过期的，</w:t>
            </w:r>
            <w:r>
              <w:rPr>
                <w:sz w:val="21"/>
              </w:rPr>
              <w:t>乙方</w:t>
            </w:r>
            <w:r>
              <w:rPr>
                <w:sz w:val="21"/>
              </w:rPr>
              <w:t>应于</w:t>
            </w:r>
            <w:r>
              <w:rPr>
                <w:sz w:val="21"/>
              </w:rPr>
              <w:t>30日内向</w:t>
            </w:r>
            <w:r>
              <w:rPr>
                <w:sz w:val="21"/>
              </w:rPr>
              <w:t>甲方</w:t>
            </w:r>
            <w:r>
              <w:rPr>
                <w:sz w:val="21"/>
              </w:rPr>
              <w:t>补足被扣除部分或按本协议约定重新出具合法有效的履约保函。否则，</w:t>
            </w:r>
            <w:r>
              <w:rPr>
                <w:sz w:val="21"/>
              </w:rPr>
              <w:t>甲方</w:t>
            </w:r>
            <w:r>
              <w:rPr>
                <w:sz w:val="21"/>
              </w:rPr>
              <w:t>有权单方解除合同，</w:t>
            </w:r>
            <w:r>
              <w:rPr>
                <w:sz w:val="21"/>
              </w:rPr>
              <w:t>乙方</w:t>
            </w:r>
            <w:r>
              <w:rPr>
                <w:sz w:val="21"/>
              </w:rPr>
              <w:t>应每日以履约担保不足部分为基数按银行同期贷款利率向</w:t>
            </w:r>
            <w:r>
              <w:rPr>
                <w:sz w:val="21"/>
              </w:rPr>
              <w:t>甲方</w:t>
            </w:r>
            <w:r>
              <w:rPr>
                <w:sz w:val="21"/>
              </w:rPr>
              <w:t>支付滞纳金。</w:t>
            </w:r>
          </w:p>
          <w:p>
            <w:pPr>
              <w:ind w:firstLine="420"/>
              <w:jc w:val="both"/>
            </w:pPr>
            <w:r>
              <w:rPr>
                <w:sz w:val="21"/>
              </w:rPr>
              <w:t>（</w:t>
            </w:r>
            <w:r>
              <w:rPr>
                <w:sz w:val="21"/>
              </w:rPr>
              <w:t>7）履约担保退还时间的约定:</w:t>
            </w:r>
            <w:r>
              <w:rPr>
                <w:sz w:val="21"/>
              </w:rPr>
              <w:t>合同期满，乙方全部合同义务履行完毕，无违约责任或违约责任已处理完成，</w:t>
            </w:r>
            <w:r>
              <w:rPr>
                <w:sz w:val="21"/>
              </w:rPr>
              <w:t>乙方向甲方提出后，</w:t>
            </w:r>
            <w:r>
              <w:rPr>
                <w:sz w:val="21"/>
              </w:rPr>
              <w:t>甲方</w:t>
            </w:r>
            <w:r>
              <w:rPr>
                <w:sz w:val="21"/>
              </w:rPr>
              <w:t>于保函到期后无息退还履约保函给乙方</w:t>
            </w:r>
            <w:r>
              <w:rPr>
                <w:sz w:val="21"/>
              </w:rPr>
              <w:t>；</w:t>
            </w:r>
          </w:p>
          <w:p>
            <w:r>
              <w:rPr>
                <w:sz w:val="21"/>
              </w:rPr>
              <w:t>（</w:t>
            </w:r>
            <w:r>
              <w:rPr>
                <w:sz w:val="21"/>
              </w:rPr>
              <w:t>8）</w:t>
            </w:r>
            <w:r>
              <w:rPr>
                <w:sz w:val="21"/>
              </w:rPr>
              <w:t>甲方</w:t>
            </w:r>
            <w:r>
              <w:rPr>
                <w:sz w:val="21"/>
              </w:rPr>
              <w:t>不提供支付担保，</w:t>
            </w:r>
            <w:r>
              <w:rPr>
                <w:sz w:val="21"/>
              </w:rPr>
              <w:t>乙方</w:t>
            </w:r>
            <w:r>
              <w:rPr>
                <w:sz w:val="21"/>
              </w:rPr>
              <w:t>在提供履约担保时所发生的一切费用由</w:t>
            </w:r>
            <w:r>
              <w:rPr>
                <w:sz w:val="21"/>
              </w:rPr>
              <w:t>乙方</w:t>
            </w:r>
            <w:r>
              <w:rPr>
                <w:sz w:val="21"/>
              </w:rPr>
              <w:t>承担。</w:t>
            </w:r>
          </w:p>
          <w:p>
            <w:r>
              <w:rPr>
                <w:sz w:val="21"/>
              </w:rPr>
              <w:t>（</w:t>
            </w:r>
            <w:r>
              <w:rPr>
                <w:sz w:val="21"/>
              </w:rPr>
              <w:t>9）因本保函发生的纠纷，由</w:t>
            </w:r>
            <w:r>
              <w:rPr>
                <w:sz w:val="21"/>
              </w:rPr>
              <w:t>甲方</w:t>
            </w:r>
            <w:r>
              <w:rPr>
                <w:sz w:val="21"/>
              </w:rPr>
              <w:t>和</w:t>
            </w:r>
            <w:r>
              <w:rPr>
                <w:sz w:val="21"/>
              </w:rPr>
              <w:t>乙方</w:t>
            </w:r>
            <w:r>
              <w:rPr>
                <w:sz w:val="21"/>
              </w:rPr>
              <w:t>协商解决，协商不成的，任意一方均有权将争议提交项目所在地有管辖权的人民法院诉讼解决。</w:t>
            </w:r>
          </w:p>
          <w:p>
            <w:pPr>
              <w:jc w:val="left"/>
            </w:pPr>
            <w:r>
              <w:rPr>
                <w:sz w:val="21"/>
              </w:rPr>
              <w:t>4、如乙方出现违约情况，甲方有权扣减部分履约保证金或没收全部履约保证金。因扣减履约保证金而使履约保证金不足的，甲方有权向乙方收取补足。乙方须在接到甲方通知的 5 个工作日内补足履约保证金，乙方逾期补足履约保证金的，每逾期一天按应补足履约保证金金额的1%向甲方支付违约金，逾期30天仍未补足履约保证金的，甲方有权单方解除合同，同时按履约保证金全额向乙方收取违约金</w:t>
            </w:r>
            <w:r>
              <w:rPr>
                <w:sz w:val="21"/>
              </w:rPr>
              <w:t>。</w:t>
            </w:r>
          </w:p>
        </w:tc>
      </w:tr>
    </w:tbl>
    <w:p/>
    <w:p>
      <w:r>
        <w:rPr>
          <w:b/>
          <w:sz w:val="24"/>
        </w:rPr>
        <w:t>四、</w:t>
      </w:r>
      <w:r>
        <w:rPr>
          <w:b/>
          <w:sz w:val="24"/>
        </w:rPr>
        <w:t>服务对照执行标准：</w:t>
      </w:r>
    </w:p>
    <w:p>
      <w:r>
        <w:rPr>
          <w:sz w:val="24"/>
        </w:rPr>
        <w:t>1.</w:t>
      </w:r>
      <w:r>
        <w:rPr>
          <w:sz w:val="24"/>
        </w:rPr>
        <w:t>符合中华人民共和国国家和履约地相关安全质量标准、行业技术规范标准；</w:t>
      </w:r>
    </w:p>
    <w:p>
      <w:r>
        <w:rPr>
          <w:sz w:val="24"/>
        </w:rPr>
        <w:t>2.</w:t>
      </w:r>
      <w:r>
        <w:rPr>
          <w:sz w:val="24"/>
        </w:rPr>
        <w:t>符合采购文件和响应承诺中各方共同认可的合理要求；</w:t>
      </w:r>
    </w:p>
    <w:p>
      <w:pPr>
        <w:ind w:firstLine="420"/>
      </w:pPr>
      <w:r>
        <w:rPr>
          <w:sz w:val="24"/>
        </w:rPr>
        <w:t>上述各类标准与法规必须是有关官方机构最新发布的现行标准版本。</w:t>
      </w:r>
    </w:p>
    <w:p>
      <w:r>
        <w:rPr>
          <w:b/>
          <w:sz w:val="24"/>
        </w:rPr>
        <w:t>五、</w:t>
      </w:r>
      <w:r>
        <w:rPr>
          <w:b/>
          <w:sz w:val="24"/>
        </w:rPr>
        <w:t>投诉跟踪服务要求：</w:t>
      </w:r>
    </w:p>
    <w:p>
      <w:r>
        <w:rPr>
          <w:sz w:val="24"/>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r>
        <w:rPr>
          <w:sz w:val="24"/>
        </w:rPr>
        <w:t>2.</w:t>
      </w:r>
      <w:r>
        <w:rPr>
          <w:sz w:val="24"/>
        </w:rPr>
        <w:t>服务期内，甲方有权按本项目的管理要求对乙方进行不定期抽查检查，若对不合格的管理服务提出警告后，仍未得到有效解决时，甲方有权终止管理合同。</w:t>
      </w:r>
    </w:p>
    <w:p>
      <w:r>
        <w:rPr>
          <w:sz w:val="24"/>
        </w:rPr>
        <w:t>3.</w:t>
      </w:r>
      <w:r>
        <w:rPr>
          <w:sz w:val="24"/>
        </w:rPr>
        <w:t>乙方服务机构名称及地址：</w:t>
      </w:r>
      <w:r>
        <w:rPr/>
        <w:t xml:space="preserve"> </w:t>
      </w:r>
    </w:p>
    <w:p>
      <w:pPr>
        <w:ind w:firstLine="420"/>
      </w:pPr>
      <w:r>
        <w:rPr>
          <w:sz w:val="24"/>
        </w:rPr>
        <w:t>联系人</w:t>
      </w:r>
      <w:r>
        <w:rPr>
          <w:sz w:val="24"/>
        </w:rPr>
        <w:t>1</w:t>
      </w:r>
      <w:r>
        <w:rPr>
          <w:sz w:val="24"/>
        </w:rPr>
        <w:t>：          ，联系电话：            ，手机：          ；</w:t>
      </w:r>
    </w:p>
    <w:p>
      <w:pPr>
        <w:ind w:firstLine="420"/>
      </w:pPr>
      <w:r>
        <w:rPr>
          <w:sz w:val="24"/>
        </w:rPr>
        <w:t>联系人</w:t>
      </w:r>
      <w:r>
        <w:rPr>
          <w:sz w:val="24"/>
        </w:rPr>
        <w:t>2</w:t>
      </w:r>
      <w:r>
        <w:rPr>
          <w:sz w:val="24"/>
        </w:rPr>
        <w:t>：          ，联系电话：            ，手机：          ；</w:t>
      </w:r>
    </w:p>
    <w:p>
      <w:pPr>
        <w:ind w:firstLine="420"/>
      </w:pPr>
      <w:r>
        <w:rPr>
          <w:sz w:val="24"/>
        </w:rPr>
        <w:t>服务专线电话：</w:t>
      </w:r>
    </w:p>
    <w:p>
      <w:r>
        <w:rPr>
          <w:sz w:val="24"/>
        </w:rPr>
        <w:t>4.</w:t>
      </w:r>
      <w:r>
        <w:rPr>
          <w:sz w:val="24"/>
        </w:rPr>
        <w:t>其他服务要求：（补充内容不得对采购文件和投标</w:t>
      </w:r>
      <w:r>
        <w:rPr>
          <w:sz w:val="24"/>
        </w:rPr>
        <w:t>/</w:t>
      </w:r>
      <w:r>
        <w:rPr>
          <w:sz w:val="24"/>
        </w:rPr>
        <w:t>响应文件作实质性修改）</w:t>
      </w:r>
    </w:p>
    <w:p>
      <w:r>
        <w:rPr>
          <w:u w:val="single"/>
        </w:rPr>
        <w:t xml:space="preserve">                                                          </w:t>
      </w:r>
      <w:r>
        <w:rPr>
          <w:sz w:val="24"/>
        </w:rPr>
        <w:t>。</w:t>
      </w:r>
    </w:p>
    <w:p>
      <w:r>
        <w:rPr>
          <w:b/>
          <w:sz w:val="24"/>
        </w:rPr>
        <w:t>六、</w:t>
      </w:r>
      <w:r>
        <w:rPr>
          <w:b/>
          <w:sz w:val="24"/>
        </w:rPr>
        <w:t>验收要求：</w:t>
      </w:r>
    </w:p>
    <w:p>
      <w:r>
        <w:rPr>
          <w:sz w:val="24"/>
        </w:rPr>
        <w:t>1.</w:t>
      </w:r>
      <w:r>
        <w:rPr>
          <w:sz w:val="24"/>
        </w:rPr>
        <w:t>符合国家、佛山市和顺德区现行行业标准，质量达到合格或以上。</w:t>
      </w:r>
    </w:p>
    <w:p>
      <w:r>
        <w:rPr>
          <w:sz w:val="24"/>
        </w:rPr>
        <w:t>2.</w:t>
      </w:r>
      <w:r>
        <w:rPr>
          <w:sz w:val="24"/>
        </w:rPr>
        <w:t>符合招标文件的规定要求，满足考评标准要求。</w:t>
      </w:r>
    </w:p>
    <w:p>
      <w:r>
        <w:rPr>
          <w:sz w:val="24"/>
        </w:rPr>
        <w:t>3.</w:t>
      </w:r>
      <w:r>
        <w:rPr>
          <w:sz w:val="24"/>
        </w:rPr>
        <w:t>验收由甲方组织相关人员依照有关标准、项目及合同要求进行。</w:t>
      </w:r>
    </w:p>
    <w:p>
      <w:r>
        <w:rPr>
          <w:sz w:val="24"/>
        </w:rPr>
        <w:t>4.乙方</w:t>
      </w:r>
      <w:r>
        <w:rPr>
          <w:sz w:val="24"/>
        </w:rPr>
        <w:t>开展的相关工作及提交的工作报告应得到甲方认同、验收后方为完成合同内容。对验收不合格的部分，</w:t>
      </w:r>
      <w:r>
        <w:rPr>
          <w:sz w:val="24"/>
        </w:rPr>
        <w:t>乙方</w:t>
      </w:r>
      <w:r>
        <w:rPr>
          <w:sz w:val="24"/>
        </w:rPr>
        <w:t>应在甲方规定时间内及时整改完善直至合格。</w:t>
      </w:r>
    </w:p>
    <w:p>
      <w:r>
        <w:rPr>
          <w:sz w:val="24"/>
        </w:rPr>
        <w:t>5.</w:t>
      </w:r>
      <w:r>
        <w:rPr>
          <w:sz w:val="24"/>
        </w:rPr>
        <w:t>其他验收要求：（补充内容不得对采购文件和投标</w:t>
      </w:r>
      <w:r>
        <w:rPr>
          <w:sz w:val="24"/>
        </w:rPr>
        <w:t>/</w:t>
      </w:r>
      <w:r>
        <w:rPr>
          <w:sz w:val="24"/>
        </w:rPr>
        <w:t>响应文件作实质性修改）</w:t>
      </w:r>
    </w:p>
    <w:p>
      <w:pPr>
        <w:ind w:firstLine="480"/>
      </w:pPr>
      <w:r>
        <w:rPr>
          <w:u w:val="single"/>
        </w:rPr>
        <w:t xml:space="preserve">                                                              </w:t>
      </w:r>
      <w:r>
        <w:rPr>
          <w:u w:val="single"/>
        </w:rPr>
        <w:t xml:space="preserve"> </w:t>
      </w:r>
      <w:r>
        <w:rPr>
          <w:u w:val="single"/>
        </w:rPr>
        <w:t xml:space="preserve"> </w:t>
      </w:r>
      <w:r>
        <w:rPr>
          <w:sz w:val="24"/>
        </w:rPr>
        <w:t>。</w:t>
      </w:r>
    </w:p>
    <w:p>
      <w:r>
        <w:rPr>
          <w:b/>
          <w:sz w:val="24"/>
        </w:rPr>
        <w:t>七、</w:t>
      </w:r>
      <w:r>
        <w:rPr>
          <w:b/>
          <w:sz w:val="24"/>
        </w:rPr>
        <w:t>知识产权和保密要求：</w:t>
      </w:r>
    </w:p>
    <w:p>
      <w:r>
        <w:rPr>
          <w:u w:val="single"/>
        </w:rPr>
        <w:t xml:space="preserve">                                                                </w:t>
      </w:r>
      <w:r>
        <w:rPr>
          <w:sz w:val="24"/>
        </w:rPr>
        <w:t>。</w:t>
      </w:r>
    </w:p>
    <w:p>
      <w:r>
        <w:rPr>
          <w:b/>
          <w:sz w:val="24"/>
        </w:rPr>
        <w:t>八、</w:t>
      </w:r>
      <w:r>
        <w:rPr>
          <w:b/>
          <w:sz w:val="24"/>
        </w:rPr>
        <w:t>违约责任：</w:t>
      </w:r>
    </w:p>
    <w:p>
      <w:r>
        <w:rPr>
          <w:sz w:val="24"/>
        </w:rPr>
        <w:t>1.</w:t>
      </w:r>
      <w:r>
        <w:rPr>
          <w:sz w:val="24"/>
        </w:rPr>
        <w:t>乙方未按要求履行合同义务时，须从违约之日起每日按合同总额的</w:t>
      </w:r>
      <w:r>
        <w:rPr>
          <w:u w:val="single"/>
        </w:rPr>
        <w:t xml:space="preserve">    </w:t>
      </w:r>
      <w:r>
        <w:rPr>
          <w:sz w:val="24"/>
        </w:rPr>
        <w:t>比例向甲方支付违约金；逾期</w:t>
      </w:r>
      <w:r>
        <w:rPr>
          <w:u w:val="single"/>
        </w:rPr>
        <w:t xml:space="preserve">    </w:t>
      </w:r>
      <w:r>
        <w:rPr>
          <w:sz w:val="24"/>
        </w:rPr>
        <w:t>日以上时，甲方有权终止合同，由此造成甲方的经济损失由乙方承担。违约金不足以弥补损失的，乙方应按全额赔偿。</w:t>
      </w:r>
    </w:p>
    <w:p>
      <w:r>
        <w:rPr>
          <w:sz w:val="24"/>
        </w:rPr>
        <w:t>2.</w:t>
      </w:r>
      <w:r>
        <w:rPr>
          <w:sz w:val="24"/>
        </w:rPr>
        <w:t>甲方未按要求履行合同义务时，或无故拖延验收、付款时，甲方须向乙方支付滞纳金，标准为每日按逾期应付款总额的</w:t>
      </w:r>
      <w:r>
        <w:rPr>
          <w:u w:val="single"/>
        </w:rPr>
        <w:t xml:space="preserve">    </w:t>
      </w:r>
      <w:r>
        <w:rPr>
          <w:sz w:val="24"/>
        </w:rPr>
        <w:t>累计。</w:t>
      </w:r>
    </w:p>
    <w:p>
      <w:r>
        <w:rPr>
          <w:b/>
          <w:sz w:val="24"/>
        </w:rPr>
        <w:t>九、</w:t>
      </w:r>
      <w:r>
        <w:rPr>
          <w:b/>
          <w:sz w:val="24"/>
        </w:rPr>
        <w:t>提出异议的时间和方法：</w:t>
      </w:r>
    </w:p>
    <w:p>
      <w:r>
        <w:rPr>
          <w:sz w:val="24"/>
        </w:rPr>
        <w:t>1.</w:t>
      </w:r>
      <w:r>
        <w:rPr>
          <w:sz w:val="24"/>
        </w:rPr>
        <w:t>甲方有异议时，应</w:t>
      </w:r>
      <w:r>
        <w:rPr>
          <w:u w:val="single"/>
        </w:rPr>
        <w:t xml:space="preserve">     </w:t>
      </w:r>
      <w:r>
        <w:rPr>
          <w:sz w:val="24"/>
        </w:rPr>
        <w:t>天内向乙方提出书面异议。</w:t>
      </w:r>
    </w:p>
    <w:p>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r>
        <w:rPr>
          <w:b/>
          <w:sz w:val="24"/>
        </w:rPr>
        <w:t>十、</w:t>
      </w:r>
      <w:r>
        <w:rPr>
          <w:b/>
          <w:sz w:val="24"/>
        </w:rPr>
        <w:t>争议的解决：</w:t>
      </w:r>
    </w:p>
    <w:p>
      <w:r>
        <w:rPr>
          <w:sz w:val="24"/>
        </w:rPr>
        <w:t>1.</w:t>
      </w:r>
      <w:r>
        <w:rPr>
          <w:sz w:val="24"/>
        </w:rPr>
        <w:t>合同履行过程中发生的任何争议，如双方未能通过友好协商解决，应向佛山市有管辖权的人民法院提起诉讼。</w:t>
      </w:r>
    </w:p>
    <w:p>
      <w:r>
        <w:rPr>
          <w:sz w:val="24"/>
        </w:rPr>
        <w:t>2.</w:t>
      </w:r>
      <w:r>
        <w:rPr>
          <w:sz w:val="24"/>
        </w:rPr>
        <w:t>法院审理期间，除提交法院审理的事项外，其它无争议的事项和条款仍应继续履行。</w:t>
      </w:r>
    </w:p>
    <w:p>
      <w:r>
        <w:rPr>
          <w:b/>
          <w:sz w:val="24"/>
        </w:rPr>
        <w:t>十一、</w:t>
      </w:r>
      <w:r>
        <w:rPr>
          <w:b/>
          <w:sz w:val="24"/>
        </w:rPr>
        <w:t>不可抗力：</w:t>
      </w:r>
    </w:p>
    <w:p>
      <w:pPr>
        <w:ind w:firstLine="420"/>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r>
        <w:rPr>
          <w:b/>
          <w:sz w:val="24"/>
        </w:rPr>
        <w:t>十二、</w:t>
      </w:r>
      <w:r>
        <w:rPr>
          <w:b/>
          <w:sz w:val="24"/>
        </w:rPr>
        <w:t>税费：</w:t>
      </w:r>
    </w:p>
    <w:p>
      <w:r>
        <w:rPr>
          <w:sz w:val="24"/>
        </w:rPr>
        <w:t>1.</w:t>
      </w:r>
      <w:r>
        <w:rPr>
          <w:sz w:val="24"/>
        </w:rPr>
        <w:t>本合同实施过程中所发生的一切税费及不可预见费均由乙方承担。</w:t>
      </w:r>
    </w:p>
    <w:p>
      <w:r>
        <w:rPr>
          <w:sz w:val="24"/>
        </w:rPr>
        <w:t>2.</w:t>
      </w:r>
      <w:r>
        <w:rPr>
          <w:sz w:val="24"/>
        </w:rPr>
        <w:t>乙方依照税务规章优先在合同履约地开具发票及纳税，咨询：</w:t>
      </w:r>
      <w:r>
        <w:rPr>
          <w:sz w:val="24"/>
        </w:rPr>
        <w:t>0757-12366</w:t>
      </w:r>
      <w:r>
        <w:rPr>
          <w:sz w:val="24"/>
        </w:rPr>
        <w:t>。</w:t>
      </w:r>
    </w:p>
    <w:p>
      <w:r>
        <w:rPr>
          <w:b/>
          <w:sz w:val="24"/>
        </w:rPr>
        <w:t>十三、</w:t>
      </w:r>
      <w:r>
        <w:rPr>
          <w:b/>
          <w:sz w:val="24"/>
        </w:rPr>
        <w:t>合同生效与合同备案：</w:t>
      </w:r>
    </w:p>
    <w:p>
      <w:r>
        <w:rPr>
          <w:sz w:val="24"/>
        </w:rPr>
        <w:t>1.</w:t>
      </w:r>
      <w:r>
        <w:rPr>
          <w:sz w:val="24"/>
        </w:rPr>
        <w:t>本合同在甲乙双方法人代表或其授权代表签字盖章后生效。</w:t>
      </w:r>
    </w:p>
    <w:p>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r>
        <w:rPr>
          <w:b/>
          <w:sz w:val="24"/>
        </w:rPr>
        <w:t>十四、</w:t>
      </w:r>
      <w:r>
        <w:rPr>
          <w:b/>
          <w:sz w:val="24"/>
        </w:rPr>
        <w:t>乙方应提供的资料内容：</w:t>
      </w:r>
    </w:p>
    <w:p>
      <w:r>
        <w:rPr>
          <w:u w:val="single"/>
        </w:rPr>
        <w:t xml:space="preserve">                                          </w:t>
      </w:r>
      <w:r>
        <w:rPr>
          <w:u w:val="single"/>
        </w:rPr>
        <w:t xml:space="preserve">      </w:t>
      </w:r>
      <w:r>
        <w:rPr>
          <w:u w:val="single"/>
        </w:rPr>
        <w:t xml:space="preserve">            </w:t>
      </w:r>
      <w:r>
        <w:rPr>
          <w:sz w:val="24"/>
        </w:rPr>
        <w:t>。</w:t>
      </w:r>
    </w:p>
    <w:p>
      <w:r>
        <w:rPr>
          <w:b/>
          <w:sz w:val="24"/>
        </w:rPr>
        <w:t>十五、</w:t>
      </w:r>
      <w:r>
        <w:rPr>
          <w:b/>
          <w:sz w:val="24"/>
        </w:rPr>
        <w:t>关于政府采购合同融资</w:t>
      </w:r>
    </w:p>
    <w:p>
      <w:r>
        <w:rPr>
          <w:sz w:val="24"/>
        </w:rPr>
        <w:t>1.</w:t>
      </w: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否  </w:t>
      </w:r>
      <w:r>
        <w:rPr>
          <w:sz w:val="24"/>
        </w:rPr>
        <w:t>；</w:t>
      </w:r>
    </w:p>
    <w:p>
      <w:r>
        <w:rPr>
          <w:sz w:val="24"/>
        </w:rPr>
        <w:t>2.</w:t>
      </w:r>
      <w:r>
        <w:rPr>
          <w:sz w:val="24"/>
        </w:rPr>
        <w:t>融资银行及联系方式：</w:t>
      </w:r>
      <w:r>
        <w:rPr>
          <w:u w:val="single"/>
        </w:rPr>
        <w:t xml:space="preserve">                                                </w:t>
      </w:r>
      <w:r>
        <w:rPr>
          <w:sz w:val="24"/>
        </w:rPr>
        <w:t>。</w:t>
      </w:r>
    </w:p>
    <w:p>
      <w:r>
        <w:rPr>
          <w:sz w:val="24"/>
        </w:rPr>
        <w:t>3.</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sz w:val="24"/>
        </w:rPr>
        <w:t>。</w:t>
      </w:r>
    </w:p>
    <w:p>
      <w:r>
        <w:rPr>
          <w:b/>
          <w:sz w:val="24"/>
        </w:rPr>
        <w:t>十六、</w:t>
      </w:r>
      <w:r>
        <w:rPr>
          <w:b/>
          <w:sz w:val="24"/>
        </w:rPr>
        <w:t>其它：</w:t>
      </w:r>
    </w:p>
    <w:p>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r>
        <w:rPr>
          <w:sz w:val="24"/>
        </w:rPr>
        <w:t>3.</w:t>
      </w:r>
      <w:r>
        <w:rPr>
          <w:sz w:val="24"/>
        </w:rPr>
        <w:t>未经甲方书面同意，乙方不得擅自向第三方转让其主体性和关键性合同义务。</w:t>
      </w:r>
    </w:p>
    <w:p>
      <w:r>
        <w:rPr>
          <w:sz w:val="24"/>
        </w:rPr>
        <w:t>4.</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w:t>
      </w:r>
    </w:p>
    <w:p>
      <w:r>
        <w:rPr>
          <w:sz w:val="24"/>
        </w:rPr>
        <w:t>5.</w:t>
      </w:r>
      <w:r>
        <w:rPr>
          <w:sz w:val="24"/>
        </w:rPr>
        <w:t>本合同（含附件）共计</w:t>
      </w:r>
      <w:r>
        <w:rPr>
          <w:u w:val="single"/>
        </w:rPr>
        <w:t xml:space="preserve">    </w:t>
      </w:r>
      <w:r>
        <w:rPr>
          <w:sz w:val="24"/>
        </w:rPr>
        <w:t>页，缺页之合同为无效合同。</w:t>
      </w:r>
    </w:p>
    <w:p>
      <w:r>
        <w:rPr>
          <w:sz w:val="24"/>
        </w:rPr>
        <w:t>6.</w:t>
      </w:r>
      <w:r>
        <w:rPr>
          <w:sz w:val="24"/>
        </w:rPr>
        <w:t>本合同签约履约地点：广东省佛山市。</w:t>
      </w:r>
    </w:p>
    <w:p>
      <w:r>
        <w:rPr>
          <w:sz w:val="24"/>
        </w:rPr>
        <w:t>7.</w:t>
      </w:r>
      <w:r>
        <w:rPr>
          <w:sz w:val="24"/>
        </w:rPr>
        <w:t>本合同所指</w:t>
      </w:r>
      <w:r>
        <w:rPr>
          <w:sz w:val="24"/>
        </w:rPr>
        <w:t>“</w:t>
      </w:r>
      <w:r>
        <w:rPr>
          <w:sz w:val="24"/>
        </w:rPr>
        <w:t>书面通知</w:t>
      </w:r>
      <w:r>
        <w:rPr>
          <w:sz w:val="24"/>
        </w:rPr>
        <w:t>”</w:t>
      </w:r>
      <w:r>
        <w:rPr>
          <w:sz w:val="24"/>
        </w:rPr>
        <w:t>包括但不限于短信、电子邮件等数据电文的通知形式，到达时间以民事诉讼法的规定为准，但进行书面通知前后，通知方均有义务电话确认通知事项。</w:t>
      </w:r>
    </w:p>
    <w:p>
      <w:r>
        <w:rPr>
          <w:sz w:val="24"/>
        </w:rPr>
        <w:t>8.</w:t>
      </w:r>
      <w:r>
        <w:rPr>
          <w:sz w:val="24"/>
        </w:rPr>
        <w:t>双方均已对以上各条款及附件作充分了解，并明确理解由此而产生的相关权责。</w:t>
      </w:r>
    </w:p>
    <w:p/>
    <w:tbl>
      <w:tblPr>
        <w:tblW w:w="0" w:type="auto"/>
        <w:tblBorders>
          <w:top w:val="none" w:color="000000" w:sz="4"/>
          <w:left w:val="none" w:color="000000" w:sz="4"/>
          <w:bottom w:val="none" w:color="000000" w:sz="4"/>
          <w:right w:val="none" w:color="000000" w:sz="4"/>
          <w:insideH w:val="none"/>
          <w:insideV w:val="none"/>
        </w:tblBorders>
      </w:tblPr>
      <w:tblGrid>
        <w:gridCol w:w="4291"/>
        <w:gridCol w:w="4015"/>
      </w:tblGrid>
      <w:tr>
        <w:tc>
          <w:tcPr>
            <w:tcW w:type="dxa" w:w="4291"/>
            <w:tcBorders>
              <w:top w:val="none" w:color="000000" w:sz="4"/>
              <w:left w:val="none" w:color="000000" w:sz="4"/>
              <w:bottom w:val="none" w:color="000000" w:sz="4"/>
              <w:right w:val="dashed" w:color="000000" w:sz="4"/>
            </w:tcBorders>
            <w:vAlign w:val="top"/>
          </w:tcPr>
          <w:p>
            <w:r>
              <w:rPr>
                <w:b/>
                <w:sz w:val="21"/>
              </w:rPr>
              <w:t>甲方（盖章）：</w:t>
            </w:r>
          </w:p>
          <w:p>
            <w:r>
              <w:rPr>
                <w:sz w:val="21"/>
              </w:rPr>
              <w:t>代表：</w:t>
            </w:r>
            <w:r>
              <w:rPr>
                <w:sz w:val="19"/>
                <w:u w:val="single"/>
              </w:rPr>
              <w:t xml:space="preserve">                              </w:t>
            </w:r>
            <w:r>
              <w:rPr>
                <w:sz w:val="19"/>
              </w:rPr>
              <w:t xml:space="preserve"> </w:t>
            </w:r>
          </w:p>
          <w:p>
            <w:r>
              <w:rPr>
                <w:sz w:val="21"/>
              </w:rPr>
              <w:t>地址：</w:t>
            </w:r>
          </w:p>
          <w:p>
            <w:r>
              <w:rPr>
                <w:sz w:val="21"/>
              </w:rPr>
              <w:t>电话：</w:t>
            </w:r>
          </w:p>
          <w:p>
            <w:r>
              <w:rPr>
                <w:sz w:val="21"/>
              </w:rPr>
              <w:t>传真：</w:t>
            </w:r>
          </w:p>
          <w:p>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4015"/>
            <w:tcBorders>
              <w:top w:val="none" w:color="000000" w:sz="4"/>
              <w:left w:val="none" w:color="000000" w:sz="4"/>
              <w:bottom w:val="none" w:color="000000" w:sz="4"/>
              <w:right w:val="none" w:color="000000" w:sz="4"/>
            </w:tcBorders>
            <w:vAlign w:val="top"/>
          </w:tcPr>
          <w:p>
            <w:r>
              <w:rPr>
                <w:b/>
                <w:sz w:val="21"/>
              </w:rPr>
              <w:t>乙方（盖章）：</w:t>
            </w:r>
          </w:p>
          <w:p>
            <w:r>
              <w:rPr>
                <w:sz w:val="21"/>
              </w:rPr>
              <w:t>代表：</w:t>
            </w:r>
            <w:r>
              <w:rPr>
                <w:sz w:val="19"/>
                <w:u w:val="single"/>
              </w:rPr>
              <w:t xml:space="preserve">                           </w:t>
            </w:r>
          </w:p>
          <w:p>
            <w:r>
              <w:rPr>
                <w:sz w:val="21"/>
              </w:rPr>
              <w:t>地址：</w:t>
            </w:r>
          </w:p>
          <w:p>
            <w:r>
              <w:rPr>
                <w:sz w:val="21"/>
              </w:rPr>
              <w:t>电话：</w:t>
            </w:r>
          </w:p>
          <w:p>
            <w:r>
              <w:rPr>
                <w:sz w:val="21"/>
              </w:rPr>
              <w:t>传真：</w:t>
            </w:r>
          </w:p>
          <w:p>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r>
      <w:tr>
        <w:tc>
          <w:tcPr>
            <w:tcW w:type="dxa" w:w="4291"/>
            <w:tcBorders>
              <w:top w:val="none" w:color="000000" w:sz="4"/>
              <w:left w:val="none" w:color="000000" w:sz="4"/>
              <w:bottom w:val="single" w:color="FFFFFF" w:sz="4"/>
              <w:right w:val="dashed" w:color="000000" w:sz="4"/>
            </w:tcBorders>
            <w:vAlign w:val="top"/>
          </w:tcPr>
          <w:p/>
          <w:p/>
        </w:tc>
        <w:tc>
          <w:tcPr>
            <w:tcW w:type="dxa" w:w="4015"/>
            <w:tcBorders>
              <w:top w:val="none" w:color="000000" w:sz="4"/>
              <w:left w:val="none" w:color="000000" w:sz="4"/>
              <w:bottom w:val="single" w:color="FFFFFF" w:sz="4"/>
              <w:right w:val="none" w:color="000000" w:sz="4"/>
            </w:tcBorders>
            <w:vAlign w:val="top"/>
          </w:tcPr>
          <w:p/>
          <w:p>
            <w:r>
              <w:rPr>
                <w:b/>
                <w:sz w:val="21"/>
              </w:rPr>
              <w:t>收款方、开票方须与乙方一致，专户为：</w:t>
            </w:r>
          </w:p>
          <w:p>
            <w:r>
              <w:rPr>
                <w:sz w:val="21"/>
              </w:rPr>
              <w:t>开户名称：</w:t>
            </w:r>
          </w:p>
          <w:p>
            <w:r>
              <w:rPr>
                <w:sz w:val="21"/>
              </w:rPr>
              <w:t>银行账号：</w:t>
            </w:r>
          </w:p>
          <w:p>
            <w:r>
              <w:rPr>
                <w:sz w:val="21"/>
              </w:rPr>
              <w:t>开</w:t>
            </w:r>
            <w:r>
              <w:rPr>
                <w:sz w:val="19"/>
              </w:rPr>
              <w:t xml:space="preserve"> </w:t>
            </w:r>
            <w:r>
              <w:rPr>
                <w:sz w:val="21"/>
              </w:rPr>
              <w:t>户</w:t>
            </w:r>
            <w:r>
              <w:rPr>
                <w:sz w:val="19"/>
              </w:rPr>
              <w:t xml:space="preserve"> </w:t>
            </w:r>
            <w:r>
              <w:rPr>
                <w:sz w:val="21"/>
              </w:rPr>
              <w:t>行：</w:t>
            </w:r>
          </w:p>
        </w:tc>
      </w:tr>
    </w:tbl>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440606-2022-09796</w:t>
      </w:r>
    </w:p>
    <w:p>
      <w:pPr>
        <w:jc w:val="center"/>
      </w:pPr>
      <w:r>
        <w:rPr>
          <w:b/>
          <w:sz w:val="24"/>
        </w:rPr>
        <w:t>采购项目编号：</w:t>
      </w:r>
      <w:r>
        <w:rPr>
          <w:b/>
          <w:sz w:val="24"/>
        </w:rPr>
        <w:t>440606-2022-09796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广东中正弘毅工程管理有限公司</w:t>
      </w:r>
    </w:p>
    <w:p>
      <w:pPr>
        <w:ind w:firstLine="480"/>
      </w:pPr>
      <w:r>
        <w:rPr/>
        <w:t>你方组织的</w:t>
      </w:r>
      <w:r>
        <w:rPr>
          <w:u w:val="single"/>
        </w:rPr>
        <w:t>“</w:t>
      </w:r>
      <w:r>
        <w:rPr>
          <w:u w:val="single"/>
        </w:rPr>
        <w:t>2022-2025年大良街道公共环境除“四害”管理服务项目</w:t>
      </w:r>
      <w:r>
        <w:rPr>
          <w:u w:val="single"/>
        </w:rPr>
        <w:t>”</w:t>
      </w:r>
      <w:r>
        <w:rPr/>
        <w:t>项目的招标[采购项目编号为：</w:t>
      </w:r>
      <w:r>
        <w:rPr>
          <w:u w:val="single"/>
        </w:rPr>
        <w:t>440606-2022-09796</w:t>
      </w:r>
      <w:r>
        <w:rPr/>
        <w:t>]，我方愿参与投标。</w:t>
      </w:r>
    </w:p>
    <w:p>
      <w:pPr>
        <w:ind w:firstLine="480"/>
      </w:pPr>
      <w:r>
        <w:rPr/>
        <w:t>我方确认收到贵方提供的</w:t>
      </w:r>
      <w:r>
        <w:rPr>
          <w:u w:val="single"/>
        </w:rPr>
        <w:t>“</w:t>
      </w:r>
      <w:r>
        <w:rPr>
          <w:u w:val="single"/>
        </w:rPr>
        <w:t>2022-2025年大良街道公共环境除“四害”管理服务项目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广东中正弘毅工程管理有限公司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2022-2025年大良街道公共环境除“四害”管理服务项目</w:t>
      </w:r>
      <w:r>
        <w:rPr/>
        <w:t>”项目采购[采购项目编号为</w:t>
      </w:r>
      <w:r>
        <w:rPr/>
        <w:t>440606-2022-09796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佛山市顺德区大良街道卫生健康办公室</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广东中正弘毅工程管理有限公司</w:t>
      </w:r>
    </w:p>
    <w:p>
      <w:pPr>
        <w:ind w:firstLine="480"/>
      </w:pPr>
      <w:r>
        <w:rPr/>
        <w:t>如果我方在贵采购代理机构组织的</w:t>
      </w:r>
      <w:r>
        <w:rPr/>
        <w:t>2022-2025年大良街道公共环境除“四害”管理服务项目</w:t>
      </w:r>
      <w:r>
        <w:rPr/>
        <w:t>招标中获中标（采购项目编号：</w:t>
      </w:r>
      <w:r>
        <w:rPr/>
        <w:t>440606-2022-09796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广东中正弘毅工程管理有限公司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广东中正弘毅工程管理有限公司</w:t>
      </w:r>
    </w:p>
    <w:p>
      <w:pPr>
        <w:ind w:firstLine="480"/>
      </w:pPr>
      <w:r>
        <w:rPr/>
        <w:t>我单位已登记并准备参与“</w:t>
      </w:r>
      <w:r>
        <w:rPr/>
        <w:t>2022-2025年大良街道公共环境除“四害”管理服务项目</w:t>
      </w:r>
      <w:r>
        <w:rPr/>
        <w:t>”项目（采购项目编号：</w:t>
      </w:r>
      <w:r>
        <w:rPr/>
        <w:t>440606-2022-09796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