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color w:val="FF0000"/>
          <w:sz w:val="72"/>
          <w:szCs w:val="72"/>
        </w:rPr>
      </w:pPr>
    </w:p>
    <w:p>
      <w:pPr>
        <w:spacing w:afterLines="300"/>
        <w:jc w:val="center"/>
        <w:rPr>
          <w:rFonts w:ascii="黑体" w:hAnsi="黑体" w:eastAsia="黑体" w:cs="方正小标宋简体"/>
          <w:b/>
          <w:bCs/>
          <w:sz w:val="82"/>
          <w:szCs w:val="82"/>
        </w:rPr>
      </w:pPr>
      <w:r>
        <w:rPr>
          <w:rFonts w:hint="eastAsia" w:ascii="黑体" w:hAnsi="黑体" w:eastAsia="黑体" w:cs="方正小标宋简体"/>
          <w:b/>
          <w:bCs/>
          <w:spacing w:val="20"/>
          <w:w w:val="90"/>
          <w:sz w:val="72"/>
          <w:szCs w:val="72"/>
        </w:rPr>
        <w:t>阳新县</w:t>
      </w:r>
      <w:r>
        <w:rPr>
          <w:rFonts w:hint="eastAsia" w:ascii="黑体" w:hAnsi="黑体" w:eastAsia="黑体" w:cs="方正小标宋简体"/>
          <w:b/>
          <w:bCs/>
          <w:spacing w:val="20"/>
          <w:w w:val="90"/>
          <w:sz w:val="72"/>
          <w:szCs w:val="72"/>
          <w:lang w:val="en-US" w:eastAsia="zh-CN"/>
        </w:rPr>
        <w:t>县级</w:t>
      </w:r>
      <w:r>
        <w:rPr>
          <w:rFonts w:hint="eastAsia" w:ascii="黑体" w:hAnsi="黑体" w:eastAsia="黑体" w:cs="方正小标宋简体"/>
          <w:b/>
          <w:bCs/>
          <w:spacing w:val="20"/>
          <w:w w:val="90"/>
          <w:sz w:val="72"/>
          <w:szCs w:val="72"/>
        </w:rPr>
        <w:t>政府采</w:t>
      </w:r>
      <w:r>
        <w:rPr>
          <w:rFonts w:hint="eastAsia" w:ascii="黑体" w:hAnsi="黑体" w:eastAsia="黑体" w:cs="方正小标宋简体"/>
          <w:b/>
          <w:bCs/>
          <w:w w:val="90"/>
          <w:sz w:val="72"/>
          <w:szCs w:val="72"/>
        </w:rPr>
        <w:t>购</w:t>
      </w:r>
    </w:p>
    <w:p>
      <w:pPr>
        <w:jc w:val="center"/>
        <w:rPr>
          <w:rFonts w:ascii="方正小标宋简体" w:hAnsi="Times New Roman" w:eastAsia="方正小标宋简体" w:cs="Times New Roman"/>
          <w:bCs/>
          <w:color w:val="000000" w:themeColor="text1"/>
          <w:w w:val="66"/>
          <w:sz w:val="120"/>
          <w:szCs w:val="120"/>
        </w:rPr>
      </w:pPr>
      <w:r>
        <w:rPr>
          <w:rFonts w:hint="eastAsia" w:ascii="方正小标宋简体" w:hAnsi="Times New Roman" w:eastAsia="方正小标宋简体" w:cs="Times New Roman"/>
          <w:bCs/>
          <w:color w:val="000000" w:themeColor="text1"/>
          <w:w w:val="90"/>
          <w:sz w:val="120"/>
          <w:szCs w:val="120"/>
        </w:rPr>
        <w:t>竞争性磋商文件</w:t>
      </w:r>
    </w:p>
    <w:p>
      <w:pPr>
        <w:jc w:val="center"/>
        <w:rPr>
          <w:rFonts w:ascii="Times New Roman" w:hAnsi="Times New Roman" w:cs="Times New Roman"/>
          <w:sz w:val="72"/>
          <w:szCs w:val="20"/>
        </w:rPr>
      </w:pPr>
    </w:p>
    <w:p>
      <w:pPr>
        <w:ind w:firstLine="835" w:firstLineChars="116"/>
        <w:jc w:val="center"/>
        <w:rPr>
          <w:rFonts w:ascii="Times New Roman" w:hAnsi="Times New Roman" w:cs="Times New Roman"/>
          <w:sz w:val="72"/>
          <w:szCs w:val="20"/>
        </w:rPr>
      </w:pPr>
    </w:p>
    <w:p>
      <w:pPr>
        <w:keepNext w:val="0"/>
        <w:keepLines w:val="0"/>
        <w:pageBreakBefore w:val="0"/>
        <w:kinsoku/>
        <w:wordWrap/>
        <w:overflowPunct/>
        <w:topLinePunct w:val="0"/>
        <w:bidi w:val="0"/>
        <w:spacing w:line="600" w:lineRule="exact"/>
        <w:ind w:firstLine="361" w:firstLineChars="100"/>
        <w:jc w:val="left"/>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420222-2022-00161</w:t>
      </w:r>
    </w:p>
    <w:p>
      <w:pPr>
        <w:pStyle w:val="2"/>
        <w:keepNext w:val="0"/>
        <w:keepLines w:val="0"/>
        <w:pageBreakBefore w:val="0"/>
        <w:kinsoku/>
        <w:wordWrap/>
        <w:overflowPunct/>
        <w:topLinePunct w:val="0"/>
        <w:bidi w:val="0"/>
        <w:spacing w:line="600" w:lineRule="exact"/>
        <w:ind w:left="0" w:leftChars="0" w:firstLine="361" w:firstLineChars="100"/>
        <w:textAlignment w:val="auto"/>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采购人：阳新县卫生健康局</w:t>
      </w:r>
    </w:p>
    <w:p>
      <w:pPr>
        <w:keepNext w:val="0"/>
        <w:keepLines w:val="0"/>
        <w:pageBreakBefore w:val="0"/>
        <w:kinsoku/>
        <w:wordWrap/>
        <w:overflowPunct/>
        <w:topLinePunct w:val="0"/>
        <w:bidi w:val="0"/>
        <w:spacing w:line="600" w:lineRule="exact"/>
        <w:ind w:firstLine="361" w:firstLineChars="100"/>
        <w:jc w:val="left"/>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rPr>
        <w:t>项目名称：</w:t>
      </w:r>
      <w:r>
        <w:rPr>
          <w:rFonts w:hint="eastAsia" w:ascii="宋体" w:hAnsi="宋体" w:eastAsia="宋体" w:cs="宋体"/>
          <w:b/>
          <w:bCs/>
          <w:sz w:val="36"/>
          <w:szCs w:val="36"/>
          <w:lang w:eastAsia="zh-CN"/>
        </w:rPr>
        <w:t>灭四害防制服务项目</w:t>
      </w:r>
    </w:p>
    <w:p>
      <w:pPr>
        <w:keepNext w:val="0"/>
        <w:keepLines w:val="0"/>
        <w:pageBreakBefore w:val="0"/>
        <w:kinsoku/>
        <w:wordWrap/>
        <w:overflowPunct/>
        <w:topLinePunct w:val="0"/>
        <w:bidi w:val="0"/>
        <w:spacing w:line="600" w:lineRule="exact"/>
        <w:ind w:firstLine="361" w:firstLineChars="100"/>
        <w:jc w:val="left"/>
        <w:textAlignment w:val="auto"/>
        <w:rPr>
          <w:rFonts w:ascii="仿宋" w:hAnsi="仿宋" w:eastAsia="宋体" w:cs="Times New Roman"/>
          <w:sz w:val="36"/>
          <w:szCs w:val="36"/>
        </w:rPr>
      </w:pPr>
      <w:r>
        <w:rPr>
          <w:rFonts w:hint="eastAsia" w:ascii="宋体" w:hAnsi="宋体" w:eastAsia="宋体" w:cs="宋体"/>
          <w:b/>
          <w:bCs/>
          <w:sz w:val="36"/>
          <w:szCs w:val="36"/>
        </w:rPr>
        <w:t>磋商内容：详见采购需求</w:t>
      </w:r>
    </w:p>
    <w:p>
      <w:pPr>
        <w:rPr>
          <w:rFonts w:ascii="Times New Roman" w:hAnsi="Times New Roman" w:cs="Times New Roman"/>
          <w:sz w:val="30"/>
          <w:szCs w:val="30"/>
        </w:rPr>
      </w:pPr>
    </w:p>
    <w:p>
      <w:pPr>
        <w:spacing w:line="360" w:lineRule="auto"/>
        <w:ind w:firstLine="882" w:firstLineChars="245"/>
        <w:rPr>
          <w:rFonts w:ascii="Times New Roman" w:hAnsi="Times New Roman" w:cs="Times New Roman"/>
          <w:sz w:val="36"/>
        </w:rPr>
      </w:pPr>
    </w:p>
    <w:p>
      <w:pPr>
        <w:jc w:val="center"/>
        <w:rPr>
          <w:rFonts w:hint="eastAsia" w:ascii="楷体" w:hAnsi="楷体" w:eastAsia="楷体"/>
          <w:b/>
          <w:spacing w:val="100"/>
          <w:sz w:val="36"/>
          <w:szCs w:val="20"/>
          <w:lang w:eastAsia="zh-CN"/>
        </w:rPr>
      </w:pPr>
    </w:p>
    <w:p>
      <w:pPr>
        <w:jc w:val="center"/>
        <w:rPr>
          <w:rFonts w:hint="eastAsia" w:ascii="楷体" w:hAnsi="楷体" w:eastAsia="楷体"/>
          <w:b/>
          <w:spacing w:val="100"/>
          <w:sz w:val="36"/>
          <w:szCs w:val="20"/>
          <w:lang w:eastAsia="zh-CN"/>
        </w:rPr>
      </w:pPr>
    </w:p>
    <w:p>
      <w:pPr>
        <w:jc w:val="center"/>
        <w:rPr>
          <w:rFonts w:hint="eastAsia" w:ascii="楷体" w:hAnsi="楷体" w:eastAsia="楷体"/>
          <w:b/>
          <w:sz w:val="36"/>
          <w:szCs w:val="20"/>
          <w:lang w:eastAsia="zh-CN"/>
        </w:rPr>
      </w:pPr>
      <w:r>
        <w:rPr>
          <w:rFonts w:hint="eastAsia" w:ascii="楷体" w:hAnsi="楷体" w:eastAsia="楷体"/>
          <w:b/>
          <w:spacing w:val="100"/>
          <w:sz w:val="36"/>
          <w:szCs w:val="20"/>
          <w:lang w:eastAsia="zh-CN"/>
        </w:rPr>
        <w:t>陕西希地工程项目管理有限公司</w:t>
      </w:r>
    </w:p>
    <w:p>
      <w:pPr>
        <w:widowControl/>
        <w:jc w:val="center"/>
        <w:rPr>
          <w:rFonts w:ascii="楷体" w:hAnsi="楷体"/>
          <w:b/>
          <w:color w:val="000000"/>
          <w:sz w:val="44"/>
        </w:rPr>
        <w:sectPr>
          <w:headerReference r:id="rId3" w:type="default"/>
          <w:headerReference r:id="rId4" w:type="even"/>
          <w:footerReference r:id="rId5" w:type="even"/>
          <w:type w:val="continuous"/>
          <w:pgSz w:w="11906" w:h="16838"/>
          <w:pgMar w:top="1440" w:right="1800" w:bottom="1440" w:left="1800" w:header="992" w:footer="992" w:gutter="0"/>
          <w:cols w:space="425" w:num="1"/>
          <w:docGrid w:type="lines" w:linePitch="312" w:charSpace="0"/>
        </w:sectPr>
      </w:pPr>
      <w:r>
        <w:rPr>
          <w:rFonts w:hint="eastAsia" w:ascii="楷体" w:hAnsi="楷体" w:eastAsia="楷体"/>
          <w:b/>
          <w:spacing w:val="100"/>
          <w:sz w:val="36"/>
          <w:szCs w:val="20"/>
          <w:lang w:val="en-US" w:eastAsia="zh-CN"/>
        </w:rPr>
        <w:t>2022年9月</w:t>
      </w:r>
      <w:r>
        <w:rPr>
          <w:rFonts w:ascii="楷体" w:hAnsi="楷体"/>
          <w:b/>
          <w:color w:val="000000"/>
          <w:sz w:val="44"/>
        </w:rPr>
        <w:br w:type="page"/>
      </w:r>
    </w:p>
    <w:p>
      <w:pPr>
        <w:pStyle w:val="3"/>
        <w:spacing w:line="360" w:lineRule="auto"/>
        <w:rPr>
          <w:rFonts w:ascii="方正小标宋简体" w:eastAsia="方正小标宋简体"/>
          <w:sz w:val="44"/>
        </w:rPr>
      </w:pPr>
      <w:r>
        <w:rPr>
          <w:rFonts w:hint="eastAsia" w:ascii="方正小标宋简体" w:eastAsia="方正小标宋简体"/>
          <w:sz w:val="44"/>
        </w:rPr>
        <w:t>目  录</w:t>
      </w:r>
    </w:p>
    <w:p>
      <w:pPr>
        <w:pStyle w:val="13"/>
        <w:tabs>
          <w:tab w:val="right" w:leader="dot" w:pos="8306"/>
        </w:tabs>
        <w:rPr>
          <w:rFonts w:ascii="Times New Roman" w:hAnsi="Times New Roman" w:cs="Times New Roman"/>
          <w:b/>
          <w:sz w:val="24"/>
          <w:szCs w:val="24"/>
        </w:rPr>
      </w:pPr>
    </w:p>
    <w:p>
      <w:pPr>
        <w:pStyle w:val="13"/>
        <w:tabs>
          <w:tab w:val="right" w:leader="dot" w:pos="8306"/>
        </w:tabs>
        <w:rPr>
          <w:rFonts w:ascii="Times New Roman" w:hAnsi="Times New Roman" w:cs="Times New Roman"/>
          <w:b/>
          <w:sz w:val="24"/>
          <w:szCs w:val="24"/>
        </w:rPr>
      </w:pPr>
    </w:p>
    <w:p>
      <w:pPr>
        <w:pStyle w:val="13"/>
        <w:tabs>
          <w:tab w:val="right" w:leader="dot" w:pos="8306"/>
        </w:tabs>
        <w:rPr>
          <w:rFonts w:ascii="Times New Roman" w:hAnsi="Times New Roman" w:cs="Times New Roman"/>
          <w:b/>
          <w:sz w:val="24"/>
          <w:szCs w:val="24"/>
        </w:rPr>
      </w:pPr>
    </w:p>
    <w:p>
      <w:pPr>
        <w:pStyle w:val="13"/>
        <w:tabs>
          <w:tab w:val="right" w:leader="dot" w:pos="8306"/>
        </w:tabs>
        <w:spacing w:line="720" w:lineRule="auto"/>
        <w:rPr>
          <w:rFonts w:ascii="楷体" w:hAnsi="楷体" w:cs="楷体"/>
        </w:rPr>
      </w:pPr>
      <w:r>
        <w:rPr>
          <w:rFonts w:hint="eastAsia" w:ascii="楷体" w:hAnsi="楷体" w:cs="楷体"/>
          <w:b/>
          <w:sz w:val="24"/>
          <w:szCs w:val="24"/>
        </w:rPr>
        <w:fldChar w:fldCharType="begin"/>
      </w:r>
      <w:r>
        <w:rPr>
          <w:rFonts w:hint="eastAsia" w:ascii="楷体" w:hAnsi="楷体" w:cs="楷体"/>
          <w:b/>
          <w:sz w:val="24"/>
          <w:szCs w:val="24"/>
        </w:rPr>
        <w:instrText xml:space="preserve">TOC \o "1-1" \h \u </w:instrText>
      </w:r>
      <w:r>
        <w:rPr>
          <w:rFonts w:hint="eastAsia" w:ascii="楷体" w:hAnsi="楷体" w:cs="楷体"/>
          <w:b/>
          <w:sz w:val="24"/>
          <w:szCs w:val="24"/>
        </w:rPr>
        <w:fldChar w:fldCharType="separate"/>
      </w:r>
      <w:r>
        <w:fldChar w:fldCharType="begin"/>
      </w:r>
      <w:r>
        <w:instrText xml:space="preserve"> HYPERLINK \l "_Toc1504" </w:instrText>
      </w:r>
      <w:r>
        <w:fldChar w:fldCharType="separate"/>
      </w:r>
      <w:r>
        <w:rPr>
          <w:rFonts w:hint="eastAsia" w:ascii="楷体" w:hAnsi="楷体" w:cs="楷体"/>
        </w:rPr>
        <w:t>第一章  磋商公告</w:t>
      </w:r>
      <w:r>
        <w:rPr>
          <w:rFonts w:hint="eastAsia" w:ascii="楷体" w:hAnsi="楷体" w:cs="楷体"/>
        </w:rPr>
        <w:tab/>
      </w:r>
      <w:r>
        <w:rPr>
          <w:rFonts w:ascii="楷体" w:hAnsi="楷体" w:cs="楷体"/>
        </w:rPr>
        <w:t>1</w:t>
      </w:r>
      <w:r>
        <w:rPr>
          <w:rFonts w:ascii="楷体" w:hAnsi="楷体" w:cs="楷体"/>
        </w:rPr>
        <w:fldChar w:fldCharType="end"/>
      </w:r>
    </w:p>
    <w:p>
      <w:pPr>
        <w:pStyle w:val="13"/>
        <w:tabs>
          <w:tab w:val="right" w:leader="dot" w:pos="8306"/>
        </w:tabs>
        <w:spacing w:line="720" w:lineRule="auto"/>
        <w:rPr>
          <w:rFonts w:ascii="楷体" w:hAnsi="楷体" w:cs="楷体"/>
        </w:rPr>
      </w:pPr>
      <w:r>
        <w:fldChar w:fldCharType="begin"/>
      </w:r>
      <w:r>
        <w:instrText xml:space="preserve"> HYPERLINK \l "_Toc5899" </w:instrText>
      </w:r>
      <w:r>
        <w:fldChar w:fldCharType="separate"/>
      </w:r>
      <w:r>
        <w:rPr>
          <w:rFonts w:hint="eastAsia" w:ascii="楷体" w:hAnsi="楷体" w:cs="楷体"/>
        </w:rPr>
        <w:t>第二章  磋商须知</w:t>
      </w:r>
      <w:r>
        <w:rPr>
          <w:rFonts w:hint="eastAsia" w:ascii="楷体" w:hAnsi="楷体" w:cs="楷体"/>
        </w:rPr>
        <w:tab/>
      </w:r>
      <w:r>
        <w:rPr>
          <w:rFonts w:ascii="楷体" w:hAnsi="楷体" w:cs="楷体"/>
        </w:rPr>
        <w:t>7</w:t>
      </w:r>
      <w:r>
        <w:rPr>
          <w:rFonts w:ascii="楷体" w:hAnsi="楷体" w:cs="楷体"/>
        </w:rPr>
        <w:fldChar w:fldCharType="end"/>
      </w:r>
    </w:p>
    <w:p>
      <w:pPr>
        <w:pStyle w:val="13"/>
        <w:tabs>
          <w:tab w:val="right" w:leader="dot" w:pos="8306"/>
        </w:tabs>
        <w:spacing w:line="720" w:lineRule="auto"/>
        <w:rPr>
          <w:rFonts w:ascii="楷体" w:hAnsi="楷体" w:cs="楷体"/>
        </w:rPr>
      </w:pPr>
      <w:r>
        <w:fldChar w:fldCharType="begin"/>
      </w:r>
      <w:r>
        <w:instrText xml:space="preserve"> HYPERLINK \l "_Toc27924" </w:instrText>
      </w:r>
      <w:r>
        <w:fldChar w:fldCharType="separate"/>
      </w:r>
      <w:r>
        <w:rPr>
          <w:rFonts w:hint="eastAsia" w:ascii="楷体" w:hAnsi="楷体" w:cs="楷体"/>
        </w:rPr>
        <w:t>第三章  采购货物（服务）技术参数、规格及要求</w:t>
      </w:r>
      <w:r>
        <w:rPr>
          <w:rFonts w:hint="eastAsia" w:ascii="楷体" w:hAnsi="楷体" w:cs="楷体"/>
        </w:rPr>
        <w:tab/>
      </w:r>
      <w:r>
        <w:rPr>
          <w:rFonts w:hint="eastAsia" w:ascii="楷体" w:hAnsi="楷体" w:cs="楷体"/>
        </w:rPr>
        <w:fldChar w:fldCharType="begin"/>
      </w:r>
      <w:r>
        <w:rPr>
          <w:rFonts w:hint="eastAsia" w:ascii="楷体" w:hAnsi="楷体" w:cs="楷体"/>
        </w:rPr>
        <w:instrText xml:space="preserve"> PAGEREF _Toc27924 </w:instrText>
      </w:r>
      <w:r>
        <w:rPr>
          <w:rFonts w:hint="eastAsia" w:ascii="楷体" w:hAnsi="楷体" w:cs="楷体"/>
        </w:rPr>
        <w:fldChar w:fldCharType="separate"/>
      </w:r>
      <w:r>
        <w:rPr>
          <w:rFonts w:hint="eastAsia" w:ascii="楷体" w:hAnsi="楷体" w:cs="楷体"/>
        </w:rPr>
        <w:t>19</w:t>
      </w:r>
      <w:r>
        <w:rPr>
          <w:rFonts w:hint="eastAsia" w:ascii="楷体" w:hAnsi="楷体" w:cs="楷体"/>
        </w:rPr>
        <w:fldChar w:fldCharType="end"/>
      </w:r>
      <w:r>
        <w:rPr>
          <w:rFonts w:hint="eastAsia" w:ascii="楷体" w:hAnsi="楷体" w:cs="楷体"/>
        </w:rPr>
        <w:fldChar w:fldCharType="end"/>
      </w:r>
    </w:p>
    <w:p>
      <w:pPr>
        <w:pStyle w:val="13"/>
        <w:tabs>
          <w:tab w:val="right" w:leader="dot" w:pos="8306"/>
        </w:tabs>
        <w:spacing w:line="720" w:lineRule="auto"/>
        <w:rPr>
          <w:rFonts w:ascii="楷体" w:hAnsi="楷体" w:cs="楷体"/>
        </w:rPr>
      </w:pPr>
      <w:r>
        <w:fldChar w:fldCharType="begin"/>
      </w:r>
      <w:r>
        <w:instrText xml:space="preserve"> HYPERLINK \l "_Toc12057" </w:instrText>
      </w:r>
      <w:r>
        <w:fldChar w:fldCharType="separate"/>
      </w:r>
      <w:r>
        <w:rPr>
          <w:rFonts w:hint="eastAsia" w:ascii="楷体" w:hAnsi="楷体" w:cs="楷体"/>
        </w:rPr>
        <w:t>第四章  评审办法及评分标准</w:t>
      </w:r>
      <w:r>
        <w:rPr>
          <w:rFonts w:hint="eastAsia" w:ascii="楷体" w:hAnsi="楷体" w:cs="楷体"/>
        </w:rPr>
        <w:tab/>
      </w:r>
      <w:r>
        <w:rPr>
          <w:rFonts w:hint="eastAsia" w:ascii="楷体" w:hAnsi="楷体" w:cs="楷体"/>
        </w:rPr>
        <w:t>6</w:t>
      </w:r>
      <w:r>
        <w:rPr>
          <w:rFonts w:hint="eastAsia" w:ascii="楷体" w:hAnsi="楷体" w:cs="楷体"/>
        </w:rPr>
        <w:fldChar w:fldCharType="end"/>
      </w:r>
      <w:r>
        <w:rPr>
          <w:rFonts w:hint="eastAsia" w:ascii="楷体" w:hAnsi="楷体" w:cs="楷体"/>
        </w:rPr>
        <w:t>3</w:t>
      </w:r>
    </w:p>
    <w:p>
      <w:pPr>
        <w:pStyle w:val="13"/>
        <w:tabs>
          <w:tab w:val="right" w:leader="dot" w:pos="8306"/>
        </w:tabs>
        <w:spacing w:line="720" w:lineRule="auto"/>
        <w:rPr>
          <w:rFonts w:ascii="楷体" w:hAnsi="楷体" w:cs="楷体"/>
        </w:rPr>
      </w:pPr>
      <w:r>
        <w:fldChar w:fldCharType="begin"/>
      </w:r>
      <w:r>
        <w:instrText xml:space="preserve"> HYPERLINK \l "_Toc25865" </w:instrText>
      </w:r>
      <w:r>
        <w:fldChar w:fldCharType="separate"/>
      </w:r>
      <w:r>
        <w:rPr>
          <w:rFonts w:hint="eastAsia" w:ascii="楷体" w:hAnsi="楷体" w:cs="楷体"/>
        </w:rPr>
        <w:t>第五章  合同书（参考格式）</w:t>
      </w:r>
      <w:r>
        <w:rPr>
          <w:rFonts w:hint="eastAsia" w:ascii="楷体" w:hAnsi="楷体" w:cs="楷体"/>
        </w:rPr>
        <w:tab/>
      </w:r>
      <w:r>
        <w:rPr>
          <w:rFonts w:hint="eastAsia" w:ascii="楷体" w:hAnsi="楷体" w:cs="楷体"/>
        </w:rPr>
        <w:t>7</w:t>
      </w:r>
      <w:r>
        <w:rPr>
          <w:rFonts w:hint="eastAsia" w:ascii="楷体" w:hAnsi="楷体" w:cs="楷体"/>
        </w:rPr>
        <w:fldChar w:fldCharType="end"/>
      </w:r>
      <w:r>
        <w:rPr>
          <w:rFonts w:hint="eastAsia" w:ascii="楷体" w:hAnsi="楷体" w:cs="楷体"/>
        </w:rPr>
        <w:t>1</w:t>
      </w:r>
    </w:p>
    <w:p>
      <w:pPr>
        <w:pStyle w:val="13"/>
        <w:tabs>
          <w:tab w:val="right" w:leader="dot" w:pos="8306"/>
        </w:tabs>
        <w:spacing w:line="720" w:lineRule="auto"/>
        <w:rPr>
          <w:rFonts w:ascii="楷体" w:hAnsi="楷体" w:cs="楷体"/>
        </w:rPr>
      </w:pPr>
      <w:r>
        <w:fldChar w:fldCharType="begin"/>
      </w:r>
      <w:r>
        <w:instrText xml:space="preserve"> HYPERLINK \l "_Toc18724" </w:instrText>
      </w:r>
      <w:r>
        <w:fldChar w:fldCharType="separate"/>
      </w:r>
      <w:r>
        <w:rPr>
          <w:rFonts w:hint="eastAsia" w:ascii="楷体" w:hAnsi="楷体" w:cs="楷体"/>
        </w:rPr>
        <w:t>第六章  响应文件格式</w:t>
      </w:r>
      <w:r>
        <w:rPr>
          <w:rFonts w:hint="eastAsia" w:ascii="楷体" w:hAnsi="楷体" w:cs="楷体"/>
        </w:rPr>
        <w:tab/>
      </w:r>
      <w:r>
        <w:rPr>
          <w:rFonts w:hint="eastAsia" w:ascii="楷体" w:hAnsi="楷体" w:cs="楷体"/>
        </w:rPr>
        <w:t>7</w:t>
      </w:r>
      <w:r>
        <w:rPr>
          <w:rFonts w:hint="eastAsia" w:ascii="楷体" w:hAnsi="楷体" w:cs="楷体"/>
        </w:rPr>
        <w:fldChar w:fldCharType="end"/>
      </w:r>
      <w:r>
        <w:rPr>
          <w:rFonts w:hint="eastAsia" w:ascii="楷体" w:hAnsi="楷体" w:cs="楷体"/>
        </w:rPr>
        <w:t>4</w:t>
      </w:r>
    </w:p>
    <w:p>
      <w:pPr>
        <w:pStyle w:val="13"/>
        <w:tabs>
          <w:tab w:val="right" w:leader="dot" w:pos="8306"/>
        </w:tabs>
        <w:rPr>
          <w:rFonts w:ascii="楷体" w:hAnsi="楷体" w:cs="楷体"/>
        </w:rPr>
      </w:pPr>
    </w:p>
    <w:p/>
    <w:p/>
    <w:p/>
    <w:p/>
    <w:p/>
    <w:p/>
    <w:p/>
    <w:p/>
    <w:p/>
    <w:p/>
    <w:p/>
    <w:p/>
    <w:p/>
    <w:p>
      <w:pPr>
        <w:sectPr>
          <w:type w:val="continuous"/>
          <w:pgSz w:w="11906" w:h="16838"/>
          <w:pgMar w:top="1440" w:right="1800" w:bottom="1440" w:left="1800" w:header="851" w:footer="1134" w:gutter="0"/>
          <w:cols w:space="425" w:num="1"/>
          <w:titlePg/>
          <w:docGrid w:type="lines" w:linePitch="312" w:charSpace="0"/>
        </w:sectPr>
      </w:pPr>
    </w:p>
    <w:p>
      <w:pPr>
        <w:pStyle w:val="3"/>
        <w:spacing w:line="360" w:lineRule="auto"/>
        <w:ind w:right="-199" w:rightChars="-95"/>
        <w:rPr>
          <w:rFonts w:ascii="方正小标宋简体" w:eastAsia="方正小标宋简体"/>
          <w:sz w:val="40"/>
          <w:szCs w:val="40"/>
        </w:rPr>
      </w:pPr>
      <w:r>
        <w:rPr>
          <w:rFonts w:hint="eastAsia" w:ascii="楷体" w:hAnsi="楷体" w:eastAsia="楷体" w:cs="楷体"/>
          <w:szCs w:val="24"/>
        </w:rPr>
        <w:fldChar w:fldCharType="end"/>
      </w:r>
      <w:bookmarkStart w:id="0" w:name="_Toc502096725"/>
      <w:bookmarkStart w:id="1" w:name="_Toc1504"/>
      <w:r>
        <w:rPr>
          <w:rFonts w:hint="eastAsia" w:ascii="方正小标宋简体" w:eastAsia="方正小标宋简体"/>
          <w:sz w:val="44"/>
        </w:rPr>
        <w:t>第一章 磋商</w:t>
      </w:r>
      <w:bookmarkEnd w:id="0"/>
      <w:bookmarkEnd w:id="1"/>
      <w:r>
        <w:rPr>
          <w:rFonts w:hint="eastAsia" w:ascii="方正小标宋简体" w:eastAsia="方正小标宋简体"/>
          <w:sz w:val="44"/>
        </w:rPr>
        <w:t>公告</w:t>
      </w:r>
    </w:p>
    <w:p>
      <w:pPr>
        <w:pBdr>
          <w:top w:val="single" w:color="auto" w:sz="4" w:space="1"/>
          <w:left w:val="single" w:color="auto" w:sz="4" w:space="4"/>
          <w:bottom w:val="single" w:color="auto" w:sz="4" w:space="1"/>
          <w:right w:val="single" w:color="auto" w:sz="4" w:space="4"/>
        </w:pBdr>
        <w:rPr>
          <w:rFonts w:asciiTheme="minorEastAsia" w:hAnsiTheme="minorEastAsia" w:cstheme="minorEastAsia"/>
          <w:b/>
          <w:sz w:val="24"/>
          <w:szCs w:val="24"/>
        </w:rPr>
      </w:pPr>
      <w:r>
        <w:rPr>
          <w:rFonts w:hint="eastAsia" w:asciiTheme="minorEastAsia" w:hAnsiTheme="minorEastAsia" w:cstheme="minorEastAsia"/>
          <w:b/>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eastAsia="zh-CN"/>
        </w:rPr>
        <w:t>灭四害防制服务项目</w:t>
      </w:r>
      <w:r>
        <w:rPr>
          <w:rFonts w:hint="eastAsia" w:asciiTheme="minorEastAsia" w:hAnsiTheme="minorEastAsia" w:cstheme="minorEastAsia"/>
          <w:sz w:val="24"/>
          <w:szCs w:val="24"/>
        </w:rPr>
        <w:t>的潜在供应商</w:t>
      </w:r>
      <w:r>
        <w:rPr>
          <w:rFonts w:hint="eastAsia" w:ascii="宋体" w:hAnsi="宋体"/>
          <w:color w:val="0000FF"/>
          <w:sz w:val="24"/>
          <w:szCs w:val="24"/>
          <w:highlight w:val="yellow"/>
        </w:rPr>
        <w:t>应在</w:t>
      </w:r>
      <w:r>
        <w:rPr>
          <w:rFonts w:hint="eastAsia" w:ascii="宋体" w:hAnsi="宋体" w:cs="Helvetica"/>
          <w:color w:val="0000FF"/>
          <w:kern w:val="0"/>
          <w:sz w:val="24"/>
          <w:szCs w:val="24"/>
          <w:highlight w:val="yellow"/>
          <w:lang w:val="zh-CN"/>
        </w:rPr>
        <w:t>湖北省政府采购网</w:t>
      </w:r>
      <w:r>
        <w:rPr>
          <w:rFonts w:hint="eastAsia" w:ascii="宋体" w:hAnsi="宋体" w:cs="Helvetica"/>
          <w:color w:val="0000FF"/>
          <w:kern w:val="0"/>
          <w:sz w:val="24"/>
          <w:szCs w:val="24"/>
          <w:highlight w:val="yellow"/>
        </w:rPr>
        <w:t>（</w:t>
      </w:r>
      <w:r>
        <w:rPr>
          <w:rFonts w:ascii="宋体" w:hAnsi="宋体" w:cs="Helvetica"/>
          <w:color w:val="0000FF"/>
          <w:kern w:val="0"/>
          <w:sz w:val="24"/>
          <w:szCs w:val="24"/>
          <w:highlight w:val="yellow"/>
        </w:rPr>
        <w:t>www.ccgp-hubei.gov.cn</w:t>
      </w:r>
      <w:r>
        <w:rPr>
          <w:rFonts w:hint="eastAsia" w:ascii="宋体" w:hAnsi="宋体" w:cs="Helvetica"/>
          <w:color w:val="0000FF"/>
          <w:kern w:val="0"/>
          <w:sz w:val="24"/>
          <w:szCs w:val="24"/>
          <w:highlight w:val="yellow"/>
        </w:rPr>
        <w:t>）或</w:t>
      </w:r>
      <w:r>
        <w:rPr>
          <w:rFonts w:hint="eastAsia" w:ascii="宋体" w:hAnsi="宋体"/>
          <w:color w:val="0000FF"/>
          <w:sz w:val="24"/>
          <w:szCs w:val="24"/>
          <w:highlight w:val="yellow"/>
        </w:rPr>
        <w:t>登录黄石市政府采购交易系统（</w:t>
      </w:r>
      <w:r>
        <w:rPr>
          <w:rFonts w:ascii="宋体" w:hAnsi="宋体"/>
          <w:color w:val="0000FF"/>
          <w:sz w:val="24"/>
          <w:szCs w:val="24"/>
          <w:highlight w:val="yellow"/>
        </w:rPr>
        <w:t>https://hsszfcg.hbdzcg.com:10060/#/index</w:t>
      </w:r>
      <w:r>
        <w:rPr>
          <w:rFonts w:hint="eastAsia" w:ascii="宋体" w:hAnsi="宋体"/>
          <w:color w:val="0000FF"/>
          <w:sz w:val="24"/>
          <w:szCs w:val="24"/>
          <w:highlight w:val="yellow"/>
        </w:rPr>
        <w:t>）</w:t>
      </w:r>
      <w:r>
        <w:rPr>
          <w:rStyle w:val="20"/>
          <w:rFonts w:hint="eastAsia" w:ascii="宋体" w:hAnsi="宋体"/>
          <w:color w:val="0000FF"/>
          <w:sz w:val="24"/>
          <w:szCs w:val="24"/>
          <w:u w:val="none"/>
        </w:rPr>
        <w:t>免费</w:t>
      </w:r>
      <w:r>
        <w:rPr>
          <w:rFonts w:hint="eastAsia" w:asciiTheme="minorEastAsia" w:hAnsiTheme="minorEastAsia" w:cstheme="minorEastAsia"/>
          <w:sz w:val="24"/>
          <w:szCs w:val="24"/>
        </w:rPr>
        <w:t>获取采购文件，并于</w:t>
      </w:r>
      <w:r>
        <w:rPr>
          <w:rFonts w:hint="eastAsia" w:asciiTheme="minorEastAsia" w:hAnsiTheme="minorEastAsia" w:cstheme="minorEastAsia"/>
          <w:sz w:val="24"/>
          <w:szCs w:val="24"/>
          <w:u w:val="single"/>
          <w:lang w:val="en-US" w:eastAsia="zh-CN"/>
        </w:rPr>
        <w:t>2022</w:t>
      </w:r>
      <w:r>
        <w:rPr>
          <w:rFonts w:hint="eastAsia" w:asciiTheme="minorEastAsia" w:hAnsiTheme="minorEastAsia" w:cstheme="minorEastAsia"/>
          <w:bCs/>
          <w:sz w:val="24"/>
          <w:szCs w:val="24"/>
          <w:u w:val="single"/>
        </w:rPr>
        <w:t>年</w:t>
      </w:r>
      <w:r>
        <w:rPr>
          <w:rFonts w:hint="eastAsia" w:asciiTheme="minorEastAsia" w:hAnsiTheme="minorEastAsia" w:cstheme="minorEastAsia"/>
          <w:bCs/>
          <w:sz w:val="24"/>
          <w:szCs w:val="24"/>
          <w:u w:val="single"/>
          <w:lang w:val="en-US" w:eastAsia="zh-CN"/>
        </w:rPr>
        <w:t>10</w:t>
      </w:r>
      <w:r>
        <w:rPr>
          <w:rFonts w:hint="eastAsia" w:asciiTheme="minorEastAsia" w:hAnsiTheme="minorEastAsia" w:cstheme="minorEastAsia"/>
          <w:bCs/>
          <w:sz w:val="24"/>
          <w:szCs w:val="24"/>
          <w:u w:val="single"/>
        </w:rPr>
        <w:t>月</w:t>
      </w:r>
      <w:r>
        <w:rPr>
          <w:rFonts w:hint="eastAsia" w:asciiTheme="minorEastAsia" w:hAnsiTheme="minorEastAsia" w:cstheme="minorEastAsia"/>
          <w:bCs/>
          <w:sz w:val="24"/>
          <w:szCs w:val="24"/>
          <w:u w:val="single"/>
          <w:lang w:val="en-US" w:eastAsia="zh-CN"/>
        </w:rPr>
        <w:t>26</w:t>
      </w:r>
      <w:r>
        <w:rPr>
          <w:rFonts w:hint="eastAsia" w:asciiTheme="minorEastAsia" w:hAnsiTheme="minorEastAsia" w:cstheme="minorEastAsia"/>
          <w:bCs/>
          <w:sz w:val="24"/>
          <w:szCs w:val="24"/>
          <w:u w:val="single"/>
        </w:rPr>
        <w:t>日</w:t>
      </w:r>
      <w:r>
        <w:rPr>
          <w:rFonts w:hint="eastAsia" w:asciiTheme="minorEastAsia" w:hAnsiTheme="minorEastAsia" w:cstheme="minorEastAsia"/>
          <w:bCs/>
          <w:sz w:val="24"/>
          <w:szCs w:val="24"/>
          <w:u w:val="single"/>
          <w:lang w:val="en-US" w:eastAsia="zh-CN"/>
        </w:rPr>
        <w:t>15</w:t>
      </w:r>
      <w:r>
        <w:rPr>
          <w:rFonts w:hint="eastAsia" w:asciiTheme="minorEastAsia" w:hAnsiTheme="minorEastAsia" w:cstheme="minorEastAsia"/>
          <w:bCs/>
          <w:sz w:val="24"/>
          <w:szCs w:val="24"/>
          <w:u w:val="single"/>
        </w:rPr>
        <w:t>点</w:t>
      </w:r>
      <w:r>
        <w:rPr>
          <w:rFonts w:hint="eastAsia" w:asciiTheme="minorEastAsia" w:hAnsiTheme="minorEastAsia" w:cstheme="minorEastAsia"/>
          <w:bCs/>
          <w:sz w:val="24"/>
          <w:szCs w:val="24"/>
          <w:u w:val="single"/>
          <w:lang w:val="en-US" w:eastAsia="zh-CN"/>
        </w:rPr>
        <w:t>00</w:t>
      </w:r>
      <w:r>
        <w:rPr>
          <w:rFonts w:hint="eastAsia" w:asciiTheme="minorEastAsia" w:hAnsiTheme="minorEastAsia" w:cstheme="minorEastAsia"/>
          <w:bCs/>
          <w:sz w:val="24"/>
          <w:szCs w:val="24"/>
          <w:u w:val="single"/>
        </w:rPr>
        <w:t>分</w:t>
      </w:r>
      <w:r>
        <w:rPr>
          <w:rFonts w:hint="eastAsia" w:asciiTheme="minorEastAsia" w:hAnsiTheme="minorEastAsia" w:cstheme="minorEastAsia"/>
          <w:bCs/>
          <w:sz w:val="24"/>
          <w:szCs w:val="24"/>
        </w:rPr>
        <w:t>（北京时间）前提交响应文件</w:t>
      </w:r>
      <w:r>
        <w:rPr>
          <w:rFonts w:hint="eastAsia" w:asciiTheme="minorEastAsia" w:hAnsiTheme="minorEastAsia" w:cstheme="minorEastAsia"/>
          <w:sz w:val="24"/>
          <w:szCs w:val="24"/>
        </w:rPr>
        <w:t>。</w:t>
      </w:r>
    </w:p>
    <w:p>
      <w:pPr>
        <w:rPr>
          <w:rFonts w:asciiTheme="minorEastAsia" w:hAnsiTheme="minorEastAsia" w:cstheme="minorEastAsia"/>
          <w:sz w:val="20"/>
          <w:szCs w:val="21"/>
        </w:rPr>
      </w:pPr>
    </w:p>
    <w:p>
      <w:pPr>
        <w:pStyle w:val="4"/>
        <w:spacing w:line="240" w:lineRule="auto"/>
        <w:rPr>
          <w:rFonts w:asciiTheme="minorEastAsia" w:hAnsiTheme="minorEastAsia" w:eastAsiaTheme="minorEastAsia" w:cstheme="minorEastAsia"/>
          <w:b w:val="0"/>
          <w:bCs w:val="0"/>
          <w:sz w:val="24"/>
          <w:szCs w:val="24"/>
        </w:rPr>
      </w:pPr>
      <w:bookmarkStart w:id="2" w:name="_Toc35393798"/>
      <w:bookmarkStart w:id="3" w:name="_Toc28359089"/>
      <w:bookmarkStart w:id="4" w:name="_Toc35393629"/>
      <w:bookmarkStart w:id="5" w:name="_Toc28359012"/>
      <w:r>
        <w:rPr>
          <w:rFonts w:hint="eastAsia" w:ascii="宋体" w:hAnsi="宋体" w:eastAsia="黑体" w:cs="Times New Roman"/>
          <w:b w:val="0"/>
          <w:bCs w:val="0"/>
          <w:sz w:val="24"/>
          <w:szCs w:val="24"/>
        </w:rPr>
        <w:t>一、项目基本情况</w:t>
      </w:r>
      <w:bookmarkEnd w:id="2"/>
      <w:bookmarkEnd w:id="3"/>
      <w:bookmarkEnd w:id="4"/>
      <w:bookmarkEnd w:id="5"/>
    </w:p>
    <w:p>
      <w:pPr>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项目编号:</w:t>
      </w:r>
      <w:r>
        <w:rPr>
          <w:rFonts w:hint="eastAsia" w:asciiTheme="minorEastAsia" w:hAnsiTheme="minorEastAsia" w:cstheme="minorEastAsia"/>
          <w:sz w:val="24"/>
          <w:szCs w:val="24"/>
          <w:lang w:val="en-US" w:eastAsia="zh-CN"/>
        </w:rPr>
        <w:t>420222-2022-00161</w:t>
      </w:r>
    </w:p>
    <w:p>
      <w:pPr>
        <w:ind w:firstLine="480" w:firstLineChars="200"/>
        <w:rPr>
          <w:rFonts w:hint="eastAsia" w:asciiTheme="minorEastAsia" w:hAnsiTheme="minorEastAsia" w:eastAsiaTheme="minorEastAsia" w:cstheme="minorEastAsia"/>
          <w:sz w:val="24"/>
          <w:szCs w:val="24"/>
          <w:u w:val="single"/>
          <w:lang w:eastAsia="zh-CN"/>
        </w:rPr>
      </w:pPr>
      <w:r>
        <w:rPr>
          <w:rFonts w:hint="eastAsia" w:asciiTheme="minorEastAsia" w:hAnsiTheme="minorEastAsia" w:cstheme="minorEastAsia"/>
          <w:sz w:val="24"/>
          <w:szCs w:val="24"/>
        </w:rPr>
        <w:t>项目名称：</w:t>
      </w:r>
      <w:r>
        <w:rPr>
          <w:rFonts w:hint="eastAsia" w:asciiTheme="minorEastAsia" w:hAnsiTheme="minorEastAsia" w:cstheme="minorEastAsia"/>
          <w:sz w:val="24"/>
          <w:szCs w:val="24"/>
          <w:lang w:eastAsia="zh-CN"/>
        </w:rPr>
        <w:t>灭四害防制服务项目</w:t>
      </w:r>
    </w:p>
    <w:p>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采购方式：竞争性磋商</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预算金额：</w:t>
      </w:r>
      <w:r>
        <w:rPr>
          <w:rFonts w:hint="eastAsia" w:asciiTheme="minorEastAsia" w:hAnsiTheme="minorEastAsia" w:cstheme="minorEastAsia"/>
          <w:sz w:val="24"/>
          <w:szCs w:val="24"/>
          <w:lang w:val="en-US" w:eastAsia="zh-CN"/>
        </w:rPr>
        <w:t>63万元</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最高限价：</w:t>
      </w:r>
      <w:r>
        <w:rPr>
          <w:rFonts w:hint="eastAsia" w:asciiTheme="minorEastAsia" w:hAnsiTheme="minorEastAsia" w:cstheme="minorEastAsia"/>
          <w:sz w:val="24"/>
          <w:szCs w:val="24"/>
          <w:lang w:val="en-US" w:eastAsia="zh-CN"/>
        </w:rPr>
        <w:t>63万元</w:t>
      </w:r>
    </w:p>
    <w:p>
      <w:pPr>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采购需求：</w:t>
      </w:r>
      <w:r>
        <w:rPr>
          <w:rFonts w:hint="eastAsia" w:asciiTheme="minorEastAsia" w:hAnsiTheme="minorEastAsia" w:cstheme="minorEastAsia"/>
          <w:sz w:val="24"/>
          <w:szCs w:val="24"/>
          <w:lang w:val="en-US" w:eastAsia="zh-CN"/>
        </w:rPr>
        <w:t>详见第三章采购货物（服务）技术参数、规格及要求</w:t>
      </w:r>
    </w:p>
    <w:p>
      <w:pPr>
        <w:ind w:firstLine="480" w:firstLineChars="200"/>
        <w:rPr>
          <w:rFonts w:asciiTheme="minorEastAsia" w:hAnsiTheme="minorEastAsia" w:cstheme="minorEastAsia"/>
          <w:sz w:val="24"/>
          <w:szCs w:val="24"/>
          <w:u w:val="single"/>
        </w:rPr>
      </w:pPr>
      <w:r>
        <w:rPr>
          <w:rFonts w:hint="eastAsia" w:asciiTheme="minorEastAsia" w:hAnsiTheme="minorEastAsia" w:cstheme="minorEastAsia"/>
          <w:sz w:val="24"/>
          <w:szCs w:val="24"/>
        </w:rPr>
        <w:t>合同履行期限：</w:t>
      </w:r>
      <w:r>
        <w:rPr>
          <w:rFonts w:hint="eastAsia" w:ascii="宋体" w:hAnsi="宋体"/>
          <w:color w:val="FF0000"/>
          <w:sz w:val="24"/>
          <w:szCs w:val="24"/>
          <w:lang w:eastAsia="zh-CN"/>
        </w:rPr>
        <w:t>30日历天</w:t>
      </w:r>
      <w:r>
        <w:rPr>
          <w:rFonts w:hint="eastAsia" w:ascii="宋体" w:hAnsi="宋体"/>
          <w:sz w:val="24"/>
          <w:szCs w:val="24"/>
        </w:rPr>
        <w:t>。</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本项目（是/否)接受联合体投标:</w:t>
      </w:r>
      <w:r>
        <w:rPr>
          <w:rFonts w:hint="eastAsia" w:asciiTheme="minorEastAsia" w:hAnsiTheme="minorEastAsia" w:cstheme="minorEastAsia"/>
          <w:sz w:val="24"/>
          <w:szCs w:val="24"/>
          <w:lang w:val="en-US" w:eastAsia="zh-CN"/>
        </w:rPr>
        <w:t>否</w:t>
      </w:r>
    </w:p>
    <w:p>
      <w:pPr>
        <w:pStyle w:val="4"/>
        <w:spacing w:line="240" w:lineRule="auto"/>
        <w:rPr>
          <w:rFonts w:asciiTheme="minorEastAsia" w:hAnsiTheme="minorEastAsia" w:eastAsiaTheme="minorEastAsia" w:cstheme="minorEastAsia"/>
          <w:b w:val="0"/>
          <w:sz w:val="24"/>
          <w:szCs w:val="24"/>
        </w:rPr>
      </w:pPr>
      <w:bookmarkStart w:id="6" w:name="_Toc28359013"/>
      <w:bookmarkStart w:id="7" w:name="_Toc35393799"/>
      <w:bookmarkStart w:id="8" w:name="_Toc35393630"/>
      <w:bookmarkStart w:id="9" w:name="_Toc28359090"/>
      <w:r>
        <w:rPr>
          <w:rFonts w:hint="eastAsia" w:ascii="宋体" w:hAnsi="宋体" w:eastAsia="黑体" w:cs="Times New Roman"/>
          <w:b w:val="0"/>
          <w:bCs w:val="0"/>
          <w:sz w:val="24"/>
          <w:szCs w:val="24"/>
        </w:rPr>
        <w:t>二、申请人的资格要求：</w:t>
      </w:r>
      <w:bookmarkEnd w:id="6"/>
      <w:bookmarkEnd w:id="7"/>
      <w:bookmarkEnd w:id="8"/>
      <w:bookmarkEnd w:id="9"/>
    </w:p>
    <w:p>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1.满足《中华人民共和国政府采购法》第二十二条规定；</w:t>
      </w:r>
    </w:p>
    <w:p>
      <w:pPr>
        <w:ind w:firstLine="480" w:firstLineChars="200"/>
        <w:rPr>
          <w:rFonts w:asciiTheme="minorEastAsia" w:hAnsiTheme="minorEastAsia" w:cstheme="minorEastAsia"/>
          <w:sz w:val="24"/>
          <w:szCs w:val="24"/>
          <w:u w:val="single"/>
        </w:rPr>
      </w:pPr>
      <w:bookmarkStart w:id="10" w:name="_Toc28359091"/>
      <w:bookmarkStart w:id="11" w:name="_Toc28359014"/>
      <w:r>
        <w:rPr>
          <w:rFonts w:hint="eastAsia" w:asciiTheme="minorEastAsia" w:hAnsiTheme="minorEastAsia" w:cstheme="minorEastAsia"/>
          <w:sz w:val="24"/>
          <w:szCs w:val="24"/>
        </w:rPr>
        <w:t>2.落实政府采购政策需满足的资格要求：</w:t>
      </w:r>
      <w:r>
        <w:rPr>
          <w:rFonts w:hint="eastAsia" w:asciiTheme="minorEastAsia" w:hAnsiTheme="minorEastAsia" w:cstheme="minorEastAsia"/>
          <w:sz w:val="24"/>
          <w:szCs w:val="24"/>
          <w:lang w:val="en-US" w:eastAsia="zh-CN"/>
        </w:rPr>
        <w:t>未被列入"信用中国"网站失信被执行人、重大税收违法失信主体，未被列入政府采购严重违法失信行为记录名单。</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3.本项目的特定资格要求：</w:t>
      </w:r>
    </w:p>
    <w:p>
      <w:pPr>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（1）中华人民共和国境内注册供应商，</w:t>
      </w:r>
      <w:r>
        <w:rPr>
          <w:rFonts w:hint="eastAsia" w:asciiTheme="minorEastAsia" w:hAnsiTheme="minorEastAsia" w:cstheme="minorEastAsia"/>
          <w:sz w:val="24"/>
          <w:szCs w:val="24"/>
          <w:lang w:val="zh-CN" w:eastAsia="zh-CN"/>
        </w:rPr>
        <w:t>具有独立承担民事责任的法人或其他组织</w:t>
      </w:r>
      <w:r>
        <w:rPr>
          <w:rFonts w:hint="eastAsia" w:asciiTheme="minorEastAsia" w:hAnsiTheme="minorEastAsia" w:cstheme="minorEastAsia"/>
          <w:sz w:val="24"/>
          <w:szCs w:val="24"/>
          <w:lang w:val="en-US" w:eastAsia="zh-CN"/>
        </w:rPr>
        <w:t>；</w:t>
      </w:r>
    </w:p>
    <w:p>
      <w:pPr>
        <w:ind w:firstLine="480" w:firstLineChars="200"/>
        <w:rPr>
          <w:rFonts w:hint="eastAsia" w:asciiTheme="minorEastAsia" w:hAnsiTheme="minorEastAsia" w:cstheme="minorEastAsia"/>
          <w:sz w:val="24"/>
          <w:szCs w:val="24"/>
          <w:lang w:val="zh-CN" w:eastAsia="zh-CN"/>
        </w:rPr>
      </w:pPr>
      <w:r>
        <w:rPr>
          <w:rFonts w:hint="eastAsia" w:asciiTheme="minorEastAsia" w:hAnsiTheme="minorEastAsia" w:cstheme="minorEastAsia"/>
          <w:sz w:val="24"/>
          <w:szCs w:val="24"/>
          <w:lang w:val="en-US" w:eastAsia="zh-CN"/>
        </w:rPr>
        <w:t>（2）营业执照经营范围需</w:t>
      </w:r>
      <w:r>
        <w:rPr>
          <w:rFonts w:hint="eastAsia" w:asciiTheme="minorEastAsia" w:hAnsiTheme="minorEastAsia" w:cstheme="minorEastAsia"/>
          <w:color w:val="FF0000"/>
          <w:sz w:val="24"/>
          <w:szCs w:val="24"/>
          <w:lang w:val="en-US" w:eastAsia="zh-CN"/>
        </w:rPr>
        <w:t>具有灭四害或生物防治</w:t>
      </w:r>
      <w:r>
        <w:rPr>
          <w:rFonts w:hint="eastAsia" w:asciiTheme="minorEastAsia" w:hAnsiTheme="minorEastAsia" w:cstheme="minorEastAsia"/>
          <w:sz w:val="24"/>
          <w:szCs w:val="24"/>
          <w:lang w:val="en-US" w:eastAsia="zh-CN"/>
        </w:rPr>
        <w:t>经营范围</w:t>
      </w:r>
    </w:p>
    <w:p>
      <w:pPr>
        <w:ind w:firstLine="480" w:firstLineChars="200"/>
        <w:rPr>
          <w:rFonts w:asciiTheme="minorEastAsia" w:hAnsiTheme="minorEastAsia" w:cstheme="minorEastAsia"/>
          <w:i/>
          <w:iCs/>
          <w:sz w:val="24"/>
          <w:szCs w:val="24"/>
        </w:rPr>
      </w:pPr>
    </w:p>
    <w:p>
      <w:pPr>
        <w:pStyle w:val="4"/>
        <w:spacing w:line="240" w:lineRule="auto"/>
        <w:rPr>
          <w:rFonts w:ascii="宋体" w:hAnsi="宋体" w:eastAsia="黑体" w:cs="Times New Roman"/>
          <w:b w:val="0"/>
          <w:bCs w:val="0"/>
          <w:sz w:val="24"/>
          <w:szCs w:val="24"/>
        </w:rPr>
      </w:pPr>
      <w:bookmarkStart w:id="12" w:name="_Toc35393631"/>
      <w:bookmarkStart w:id="13" w:name="_Toc35393800"/>
      <w:r>
        <w:rPr>
          <w:rFonts w:hint="eastAsia" w:ascii="宋体" w:hAnsi="宋体" w:eastAsia="黑体" w:cs="Times New Roman"/>
          <w:b w:val="0"/>
          <w:bCs w:val="0"/>
          <w:sz w:val="24"/>
          <w:szCs w:val="24"/>
        </w:rPr>
        <w:t>三、获取采购文件</w:t>
      </w:r>
      <w:bookmarkEnd w:id="10"/>
      <w:bookmarkEnd w:id="11"/>
      <w:bookmarkEnd w:id="12"/>
      <w:bookmarkEnd w:id="13"/>
    </w:p>
    <w:p>
      <w:pPr>
        <w:ind w:firstLine="540"/>
        <w:rPr>
          <w:rFonts w:asciiTheme="minorEastAsia" w:hAnsiTheme="minorEastAsia" w:cstheme="minorEastAsia"/>
          <w:sz w:val="24"/>
          <w:szCs w:val="24"/>
        </w:rPr>
      </w:pPr>
      <w:r>
        <w:rPr>
          <w:rFonts w:hint="eastAsia" w:asciiTheme="minorEastAsia" w:hAnsiTheme="minorEastAsia" w:cstheme="minorEastAsia"/>
          <w:sz w:val="24"/>
          <w:szCs w:val="24"/>
        </w:rPr>
        <w:t>时间：</w:t>
      </w:r>
      <w:r>
        <w:rPr>
          <w:rFonts w:hint="eastAsia" w:asciiTheme="minorEastAsia" w:hAnsiTheme="minorEastAsia" w:cstheme="minorEastAsia"/>
          <w:sz w:val="24"/>
          <w:szCs w:val="24"/>
          <w:u w:val="single"/>
          <w:lang w:val="en-US" w:eastAsia="zh-CN"/>
        </w:rPr>
        <w:t>2022</w:t>
      </w:r>
      <w:r>
        <w:rPr>
          <w:rFonts w:hint="eastAsia" w:asciiTheme="minorEastAsia" w:hAnsiTheme="minorEastAsia" w:cstheme="minorEastAsia"/>
          <w:sz w:val="24"/>
          <w:szCs w:val="24"/>
          <w:u w:val="single"/>
        </w:rPr>
        <w:t>年</w:t>
      </w:r>
      <w:r>
        <w:rPr>
          <w:rFonts w:hint="eastAsia" w:asciiTheme="minorEastAsia" w:hAnsiTheme="minorEastAsia" w:cstheme="minorEastAsia"/>
          <w:sz w:val="24"/>
          <w:szCs w:val="24"/>
          <w:u w:val="single"/>
          <w:lang w:val="en-US" w:eastAsia="zh-CN"/>
        </w:rPr>
        <w:t>10</w:t>
      </w:r>
      <w:r>
        <w:rPr>
          <w:rFonts w:hint="eastAsia" w:asciiTheme="minorEastAsia" w:hAnsiTheme="minorEastAsia" w:cstheme="minorEastAsia"/>
          <w:sz w:val="24"/>
          <w:szCs w:val="24"/>
          <w:u w:val="single"/>
        </w:rPr>
        <w:t>月</w:t>
      </w:r>
      <w:r>
        <w:rPr>
          <w:rFonts w:hint="eastAsia" w:asciiTheme="minorEastAsia" w:hAnsiTheme="minorEastAsia" w:cstheme="minorEastAsia"/>
          <w:sz w:val="24"/>
          <w:szCs w:val="24"/>
          <w:u w:val="single"/>
          <w:lang w:val="en-US" w:eastAsia="zh-CN"/>
        </w:rPr>
        <w:t>17</w:t>
      </w:r>
      <w:r>
        <w:rPr>
          <w:rFonts w:hint="eastAsia" w:asciiTheme="minorEastAsia" w:hAnsiTheme="minorEastAsia" w:cstheme="minorEastAsia"/>
          <w:sz w:val="24"/>
          <w:szCs w:val="24"/>
          <w:u w:val="single"/>
        </w:rPr>
        <w:t>日</w:t>
      </w:r>
      <w:r>
        <w:rPr>
          <w:rFonts w:hint="eastAsia" w:asciiTheme="minorEastAsia" w:hAnsiTheme="minorEastAsia" w:cstheme="minorEastAsia"/>
          <w:sz w:val="24"/>
          <w:szCs w:val="24"/>
        </w:rPr>
        <w:t>至</w:t>
      </w:r>
      <w:r>
        <w:rPr>
          <w:rFonts w:hint="eastAsia" w:asciiTheme="minorEastAsia" w:hAnsiTheme="minorEastAsia" w:cstheme="minorEastAsia"/>
          <w:sz w:val="24"/>
          <w:szCs w:val="24"/>
          <w:u w:val="single"/>
          <w:lang w:val="en-US" w:eastAsia="zh-CN"/>
        </w:rPr>
        <w:t>2022</w:t>
      </w:r>
      <w:r>
        <w:rPr>
          <w:rFonts w:hint="eastAsia" w:asciiTheme="minorEastAsia" w:hAnsiTheme="minorEastAsia" w:cstheme="minorEastAsia"/>
          <w:sz w:val="24"/>
          <w:szCs w:val="24"/>
          <w:u w:val="single"/>
        </w:rPr>
        <w:t>年</w:t>
      </w:r>
      <w:r>
        <w:rPr>
          <w:rFonts w:hint="eastAsia" w:asciiTheme="minorEastAsia" w:hAnsiTheme="minorEastAsia" w:cstheme="minorEastAsia"/>
          <w:sz w:val="24"/>
          <w:szCs w:val="24"/>
          <w:u w:val="single"/>
          <w:lang w:val="en-US" w:eastAsia="zh-CN"/>
        </w:rPr>
        <w:t>10</w:t>
      </w:r>
      <w:r>
        <w:rPr>
          <w:rFonts w:hint="eastAsia" w:asciiTheme="minorEastAsia" w:hAnsiTheme="minorEastAsia" w:cstheme="minorEastAsia"/>
          <w:sz w:val="24"/>
          <w:szCs w:val="24"/>
          <w:u w:val="single"/>
        </w:rPr>
        <w:t>月</w:t>
      </w:r>
      <w:r>
        <w:rPr>
          <w:rFonts w:hint="eastAsia" w:asciiTheme="minorEastAsia" w:hAnsiTheme="minorEastAsia" w:cstheme="minorEastAsia"/>
          <w:sz w:val="24"/>
          <w:szCs w:val="24"/>
          <w:u w:val="single"/>
          <w:lang w:val="en-US" w:eastAsia="zh-CN"/>
        </w:rPr>
        <w:t>21</w:t>
      </w:r>
      <w:r>
        <w:rPr>
          <w:rFonts w:hint="eastAsia" w:asciiTheme="minorEastAsia" w:hAnsiTheme="minorEastAsia" w:cstheme="minorEastAsia"/>
          <w:sz w:val="24"/>
          <w:szCs w:val="24"/>
          <w:u w:val="single"/>
        </w:rPr>
        <w:t>日</w:t>
      </w:r>
      <w:r>
        <w:rPr>
          <w:rFonts w:hint="eastAsia" w:asciiTheme="minorEastAsia" w:hAnsiTheme="minorEastAsia" w:cstheme="minorEastAsia"/>
          <w:sz w:val="24"/>
          <w:szCs w:val="24"/>
        </w:rPr>
        <w:t>，每天上午</w:t>
      </w:r>
      <w:r>
        <w:rPr>
          <w:rFonts w:hint="eastAsia" w:asciiTheme="minorEastAsia" w:hAnsiTheme="minorEastAsia" w:cstheme="minorEastAsia"/>
          <w:sz w:val="24"/>
          <w:szCs w:val="24"/>
          <w:u w:val="single"/>
        </w:rPr>
        <w:t>8:30</w:t>
      </w:r>
      <w:r>
        <w:rPr>
          <w:rFonts w:hint="eastAsia" w:asciiTheme="minorEastAsia" w:hAnsiTheme="minorEastAsia" w:cstheme="minorEastAsia"/>
          <w:sz w:val="24"/>
          <w:szCs w:val="24"/>
        </w:rPr>
        <w:t>至</w:t>
      </w:r>
      <w:r>
        <w:rPr>
          <w:rFonts w:hint="eastAsia" w:asciiTheme="minorEastAsia" w:hAnsiTheme="minorEastAsia" w:cstheme="minorEastAsia"/>
          <w:sz w:val="24"/>
          <w:szCs w:val="24"/>
          <w:u w:val="single"/>
        </w:rPr>
        <w:t>12:00</w:t>
      </w:r>
      <w:r>
        <w:rPr>
          <w:rFonts w:hint="eastAsia" w:asciiTheme="minorEastAsia" w:hAnsiTheme="minorEastAsia" w:cstheme="minorEastAsia"/>
          <w:sz w:val="24"/>
          <w:szCs w:val="24"/>
        </w:rPr>
        <w:t>，下午</w:t>
      </w:r>
      <w:r>
        <w:rPr>
          <w:rFonts w:hint="eastAsia" w:asciiTheme="minorEastAsia" w:hAnsiTheme="minorEastAsia" w:cstheme="minorEastAsia"/>
          <w:sz w:val="24"/>
          <w:szCs w:val="24"/>
          <w:u w:val="single"/>
        </w:rPr>
        <w:t>14:00</w:t>
      </w:r>
      <w:r>
        <w:rPr>
          <w:rFonts w:hint="eastAsia" w:asciiTheme="minorEastAsia" w:hAnsiTheme="minorEastAsia" w:cstheme="minorEastAsia"/>
          <w:sz w:val="24"/>
          <w:szCs w:val="24"/>
        </w:rPr>
        <w:t>至</w:t>
      </w:r>
      <w:r>
        <w:rPr>
          <w:rFonts w:hint="eastAsia" w:asciiTheme="minorEastAsia" w:hAnsiTheme="minorEastAsia" w:cstheme="minorEastAsia"/>
          <w:sz w:val="24"/>
          <w:szCs w:val="24"/>
          <w:u w:val="single"/>
        </w:rPr>
        <w:t>17:00</w:t>
      </w:r>
      <w:r>
        <w:rPr>
          <w:rFonts w:hint="eastAsia" w:asciiTheme="minorEastAsia" w:hAnsiTheme="minorEastAsia" w:cstheme="minorEastAsia"/>
          <w:sz w:val="24"/>
          <w:szCs w:val="24"/>
        </w:rPr>
        <w:t>（北京时间，法定节假日除外 ）</w:t>
      </w:r>
    </w:p>
    <w:p>
      <w:pPr>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地点：</w:t>
      </w:r>
      <w:r>
        <w:rPr>
          <w:rFonts w:hint="eastAsia" w:asciiTheme="minorEastAsia" w:hAnsiTheme="minorEastAsia" w:cstheme="minorEastAsia"/>
          <w:color w:val="auto"/>
          <w:sz w:val="24"/>
          <w:szCs w:val="24"/>
          <w:lang w:val="zh-CN"/>
        </w:rPr>
        <w:t>湖北省政府采购网、黄石市政府采购交易系统</w:t>
      </w:r>
    </w:p>
    <w:p>
      <w:pPr>
        <w:pStyle w:val="16"/>
        <w:widowControl/>
        <w:spacing w:before="0" w:after="0" w:line="240" w:lineRule="auto"/>
        <w:ind w:left="0" w:firstLine="484" w:firstLineChars="202"/>
        <w:jc w:val="both"/>
        <w:rPr>
          <w:rFonts w:asciiTheme="minorEastAsia" w:hAnsiTheme="minorEastAsia" w:cstheme="minorEastAsia"/>
          <w:color w:val="0000FF"/>
          <w:sz w:val="24"/>
          <w:szCs w:val="24"/>
          <w:u w:val="single"/>
        </w:rPr>
      </w:pPr>
      <w:r>
        <w:rPr>
          <w:rFonts w:hint="eastAsia" w:asciiTheme="minorEastAsia" w:hAnsiTheme="minorEastAsia" w:cstheme="minorEastAsia"/>
          <w:color w:val="auto"/>
          <w:sz w:val="24"/>
          <w:szCs w:val="24"/>
        </w:rPr>
        <w:t>方式：通过资格审查被确定为参加本项目磋商的供应商</w:t>
      </w:r>
      <w:r>
        <w:rPr>
          <w:rFonts w:hint="eastAsia" w:ascii="宋体" w:hAnsi="宋体"/>
          <w:color w:val="auto"/>
          <w:sz w:val="24"/>
          <w:szCs w:val="24"/>
          <w:highlight w:val="yellow"/>
        </w:rPr>
        <w:t>应在黄石市政府采购交易系统（</w:t>
      </w:r>
      <w:r>
        <w:rPr>
          <w:rFonts w:ascii="宋体" w:hAnsi="宋体"/>
          <w:color w:val="auto"/>
          <w:sz w:val="24"/>
          <w:szCs w:val="24"/>
          <w:highlight w:val="yellow"/>
        </w:rPr>
        <w:t>https://hsszfcg.hbdzcg.com:10060/#/index</w:t>
      </w:r>
      <w:r>
        <w:rPr>
          <w:rFonts w:hint="eastAsia" w:ascii="宋体" w:hAnsi="宋体"/>
          <w:color w:val="auto"/>
          <w:sz w:val="24"/>
          <w:szCs w:val="24"/>
          <w:highlight w:val="yellow"/>
        </w:rPr>
        <w:t>）</w:t>
      </w:r>
      <w:r>
        <w:rPr>
          <w:color w:val="auto"/>
          <w:sz w:val="22"/>
          <w:szCs w:val="21"/>
        </w:rPr>
        <w:fldChar w:fldCharType="begin"/>
      </w:r>
      <w:r>
        <w:rPr>
          <w:color w:val="auto"/>
          <w:sz w:val="22"/>
          <w:szCs w:val="21"/>
        </w:rPr>
        <w:instrText xml:space="preserve"> HYPERLINK "http://www.hsztbzx.com/）免费获取招标文件，并于2021年" </w:instrText>
      </w:r>
      <w:r>
        <w:rPr>
          <w:color w:val="auto"/>
          <w:sz w:val="22"/>
          <w:szCs w:val="21"/>
        </w:rPr>
        <w:fldChar w:fldCharType="separate"/>
      </w:r>
      <w:r>
        <w:rPr>
          <w:rStyle w:val="20"/>
          <w:rFonts w:hint="eastAsia" w:ascii="宋体" w:hAnsi="宋体"/>
          <w:color w:val="auto"/>
          <w:sz w:val="24"/>
          <w:szCs w:val="24"/>
          <w:u w:val="none"/>
        </w:rPr>
        <w:t>免费获取磋商文件</w:t>
      </w:r>
      <w:r>
        <w:rPr>
          <w:rStyle w:val="20"/>
          <w:rFonts w:hint="eastAsia" w:ascii="宋体" w:hAnsi="宋体"/>
          <w:color w:val="auto"/>
          <w:sz w:val="24"/>
          <w:szCs w:val="24"/>
          <w:u w:val="none"/>
        </w:rPr>
        <w:fldChar w:fldCharType="end"/>
      </w:r>
      <w:r>
        <w:rPr>
          <w:rFonts w:hint="eastAsia" w:ascii="宋体" w:hAnsi="宋体"/>
          <w:color w:val="auto"/>
          <w:sz w:val="24"/>
          <w:szCs w:val="24"/>
        </w:rPr>
        <w:t>。</w:t>
      </w:r>
    </w:p>
    <w:p>
      <w:pPr>
        <w:ind w:firstLine="540"/>
        <w:rPr>
          <w:rFonts w:asciiTheme="minorEastAsia" w:hAnsiTheme="minorEastAsia" w:cstheme="minorEastAsia"/>
          <w:sz w:val="24"/>
          <w:szCs w:val="24"/>
        </w:rPr>
      </w:pPr>
      <w:r>
        <w:rPr>
          <w:rFonts w:hint="eastAsia" w:asciiTheme="minorEastAsia" w:hAnsiTheme="minorEastAsia" w:cstheme="minorEastAsia"/>
          <w:sz w:val="24"/>
          <w:szCs w:val="24"/>
        </w:rPr>
        <w:t>售价：0元</w:t>
      </w:r>
    </w:p>
    <w:p>
      <w:pPr>
        <w:pStyle w:val="4"/>
        <w:spacing w:line="240" w:lineRule="auto"/>
        <w:rPr>
          <w:rFonts w:ascii="宋体" w:hAnsi="宋体" w:eastAsia="黑体" w:cs="Times New Roman"/>
          <w:b w:val="0"/>
          <w:bCs w:val="0"/>
          <w:sz w:val="24"/>
          <w:szCs w:val="24"/>
        </w:rPr>
      </w:pPr>
      <w:bookmarkStart w:id="14" w:name="_Toc35393801"/>
      <w:bookmarkStart w:id="15" w:name="_Toc35393632"/>
      <w:bookmarkStart w:id="16" w:name="_Toc28359092"/>
      <w:bookmarkStart w:id="17" w:name="_Toc28359015"/>
      <w:r>
        <w:rPr>
          <w:rFonts w:hint="eastAsia" w:ascii="宋体" w:hAnsi="宋体" w:eastAsia="黑体" w:cs="Times New Roman"/>
          <w:b w:val="0"/>
          <w:bCs w:val="0"/>
          <w:sz w:val="24"/>
          <w:szCs w:val="24"/>
        </w:rPr>
        <w:t>四、响应文件提交</w:t>
      </w:r>
      <w:bookmarkEnd w:id="14"/>
      <w:bookmarkEnd w:id="15"/>
      <w:bookmarkEnd w:id="16"/>
      <w:bookmarkEnd w:id="17"/>
    </w:p>
    <w:p>
      <w:pPr>
        <w:ind w:firstLine="480" w:firstLineChars="200"/>
        <w:rPr>
          <w:rFonts w:asciiTheme="minorEastAsia" w:hAnsiTheme="minorEastAsia" w:cstheme="minorEastAsia"/>
          <w:bCs/>
          <w:sz w:val="24"/>
          <w:szCs w:val="24"/>
        </w:rPr>
      </w:pPr>
      <w:r>
        <w:rPr>
          <w:rFonts w:hint="eastAsia" w:asciiTheme="minorEastAsia" w:hAnsiTheme="minorEastAsia" w:cstheme="minorEastAsia"/>
          <w:sz w:val="24"/>
          <w:szCs w:val="24"/>
        </w:rPr>
        <w:t>截止时间：</w:t>
      </w:r>
      <w:r>
        <w:rPr>
          <w:rFonts w:hint="eastAsia" w:asciiTheme="minorEastAsia" w:hAnsiTheme="minorEastAsia" w:cstheme="minorEastAsia"/>
          <w:sz w:val="24"/>
          <w:szCs w:val="24"/>
          <w:u w:val="single"/>
          <w:lang w:val="en-US" w:eastAsia="zh-CN"/>
        </w:rPr>
        <w:t>2022</w:t>
      </w:r>
      <w:r>
        <w:rPr>
          <w:rFonts w:hint="eastAsia" w:asciiTheme="minorEastAsia" w:hAnsiTheme="minorEastAsia" w:cstheme="minorEastAsia"/>
          <w:bCs/>
          <w:sz w:val="24"/>
          <w:szCs w:val="24"/>
          <w:u w:val="single"/>
        </w:rPr>
        <w:t>年</w:t>
      </w:r>
      <w:r>
        <w:rPr>
          <w:rFonts w:hint="eastAsia" w:asciiTheme="minorEastAsia" w:hAnsiTheme="minorEastAsia" w:cstheme="minorEastAsia"/>
          <w:bCs/>
          <w:sz w:val="24"/>
          <w:szCs w:val="24"/>
          <w:u w:val="single"/>
          <w:lang w:val="en-US" w:eastAsia="zh-CN"/>
        </w:rPr>
        <w:t>10</w:t>
      </w:r>
      <w:r>
        <w:rPr>
          <w:rFonts w:hint="eastAsia" w:asciiTheme="minorEastAsia" w:hAnsiTheme="minorEastAsia" w:cstheme="minorEastAsia"/>
          <w:bCs/>
          <w:sz w:val="24"/>
          <w:szCs w:val="24"/>
          <w:u w:val="single"/>
        </w:rPr>
        <w:t>月</w:t>
      </w:r>
      <w:r>
        <w:rPr>
          <w:rFonts w:hint="eastAsia" w:asciiTheme="minorEastAsia" w:hAnsiTheme="minorEastAsia" w:cstheme="minorEastAsia"/>
          <w:bCs/>
          <w:sz w:val="24"/>
          <w:szCs w:val="24"/>
          <w:u w:val="single"/>
          <w:lang w:val="en-US" w:eastAsia="zh-CN"/>
        </w:rPr>
        <w:t>26</w:t>
      </w:r>
      <w:r>
        <w:rPr>
          <w:rFonts w:hint="eastAsia" w:asciiTheme="minorEastAsia" w:hAnsiTheme="minorEastAsia" w:cstheme="minorEastAsia"/>
          <w:bCs/>
          <w:sz w:val="24"/>
          <w:szCs w:val="24"/>
          <w:u w:val="single"/>
        </w:rPr>
        <w:t>日</w:t>
      </w:r>
      <w:r>
        <w:rPr>
          <w:rFonts w:hint="eastAsia" w:asciiTheme="minorEastAsia" w:hAnsiTheme="minorEastAsia" w:cstheme="minorEastAsia"/>
          <w:bCs/>
          <w:sz w:val="24"/>
          <w:szCs w:val="24"/>
          <w:u w:val="single"/>
          <w:lang w:val="en-US" w:eastAsia="zh-CN"/>
        </w:rPr>
        <w:t>15</w:t>
      </w:r>
      <w:r>
        <w:rPr>
          <w:rFonts w:hint="eastAsia" w:asciiTheme="minorEastAsia" w:hAnsiTheme="minorEastAsia" w:cstheme="minorEastAsia"/>
          <w:bCs/>
          <w:sz w:val="24"/>
          <w:szCs w:val="24"/>
          <w:u w:val="single"/>
        </w:rPr>
        <w:t>点</w:t>
      </w:r>
      <w:r>
        <w:rPr>
          <w:rFonts w:hint="eastAsia" w:asciiTheme="minorEastAsia" w:hAnsiTheme="minorEastAsia" w:cstheme="minorEastAsia"/>
          <w:bCs/>
          <w:sz w:val="24"/>
          <w:szCs w:val="24"/>
          <w:u w:val="single"/>
          <w:lang w:val="en-US" w:eastAsia="zh-CN"/>
        </w:rPr>
        <w:t>00</w:t>
      </w:r>
      <w:r>
        <w:rPr>
          <w:rFonts w:hint="eastAsia" w:asciiTheme="minorEastAsia" w:hAnsiTheme="minorEastAsia" w:cstheme="minorEastAsia"/>
          <w:bCs/>
          <w:sz w:val="24"/>
          <w:szCs w:val="24"/>
          <w:u w:val="single"/>
        </w:rPr>
        <w:t>分</w:t>
      </w:r>
      <w:r>
        <w:rPr>
          <w:rFonts w:hint="eastAsia" w:asciiTheme="minorEastAsia" w:hAnsiTheme="minorEastAsia" w:cstheme="minorEastAsia"/>
          <w:bCs/>
          <w:sz w:val="24"/>
          <w:szCs w:val="24"/>
        </w:rPr>
        <w:t>（北京时间）</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地点：黄石市政府采购交易系统（https://hsszfcg.hbdzcg.com:10060/#/index）</w:t>
      </w:r>
    </w:p>
    <w:p>
      <w:pPr>
        <w:pStyle w:val="4"/>
        <w:spacing w:line="240" w:lineRule="auto"/>
        <w:rPr>
          <w:rFonts w:ascii="宋体" w:hAnsi="宋体" w:eastAsia="黑体" w:cs="Times New Roman"/>
          <w:b w:val="0"/>
          <w:bCs w:val="0"/>
          <w:sz w:val="24"/>
          <w:szCs w:val="24"/>
        </w:rPr>
      </w:pPr>
      <w:bookmarkStart w:id="18" w:name="_Toc28359016"/>
      <w:bookmarkStart w:id="19" w:name="_Toc28359093"/>
      <w:bookmarkStart w:id="20" w:name="_Toc35393802"/>
      <w:bookmarkStart w:id="21" w:name="_Toc35393633"/>
      <w:r>
        <w:rPr>
          <w:rFonts w:hint="eastAsia" w:ascii="宋体" w:hAnsi="宋体" w:eastAsia="黑体" w:cs="Times New Roman"/>
          <w:b w:val="0"/>
          <w:bCs w:val="0"/>
          <w:sz w:val="24"/>
          <w:szCs w:val="24"/>
        </w:rPr>
        <w:t>五、开启</w:t>
      </w:r>
      <w:bookmarkEnd w:id="18"/>
      <w:bookmarkEnd w:id="19"/>
      <w:bookmarkEnd w:id="20"/>
      <w:bookmarkEnd w:id="21"/>
    </w:p>
    <w:p>
      <w:pPr>
        <w:ind w:firstLine="480" w:firstLineChars="200"/>
        <w:rPr>
          <w:rFonts w:asciiTheme="minorEastAsia" w:hAnsiTheme="minorEastAsia" w:cstheme="minorEastAsia"/>
          <w:bCs/>
          <w:sz w:val="24"/>
          <w:szCs w:val="24"/>
          <w:u w:val="single"/>
        </w:rPr>
      </w:pPr>
      <w:r>
        <w:rPr>
          <w:rFonts w:hint="eastAsia" w:asciiTheme="minorEastAsia" w:hAnsiTheme="minorEastAsia" w:cstheme="minorEastAsia"/>
          <w:sz w:val="24"/>
          <w:szCs w:val="24"/>
        </w:rPr>
        <w:t>时间：</w:t>
      </w:r>
      <w:r>
        <w:rPr>
          <w:rFonts w:hint="eastAsia" w:asciiTheme="minorEastAsia" w:hAnsiTheme="minorEastAsia" w:cstheme="minorEastAsia"/>
          <w:sz w:val="24"/>
          <w:szCs w:val="24"/>
          <w:u w:val="single"/>
          <w:lang w:val="en-US" w:eastAsia="zh-CN"/>
        </w:rPr>
        <w:t>2022</w:t>
      </w:r>
      <w:r>
        <w:rPr>
          <w:rFonts w:hint="eastAsia" w:asciiTheme="minorEastAsia" w:hAnsiTheme="minorEastAsia" w:cstheme="minorEastAsia"/>
          <w:bCs/>
          <w:sz w:val="24"/>
          <w:szCs w:val="24"/>
          <w:u w:val="single"/>
        </w:rPr>
        <w:t>年</w:t>
      </w:r>
      <w:r>
        <w:rPr>
          <w:rFonts w:hint="eastAsia" w:asciiTheme="minorEastAsia" w:hAnsiTheme="minorEastAsia" w:cstheme="minorEastAsia"/>
          <w:bCs/>
          <w:sz w:val="24"/>
          <w:szCs w:val="24"/>
          <w:u w:val="single"/>
          <w:lang w:val="en-US" w:eastAsia="zh-CN"/>
        </w:rPr>
        <w:t>10</w:t>
      </w:r>
      <w:r>
        <w:rPr>
          <w:rFonts w:hint="eastAsia" w:asciiTheme="minorEastAsia" w:hAnsiTheme="minorEastAsia" w:cstheme="minorEastAsia"/>
          <w:bCs/>
          <w:sz w:val="24"/>
          <w:szCs w:val="24"/>
          <w:u w:val="single"/>
        </w:rPr>
        <w:t>月</w:t>
      </w:r>
      <w:r>
        <w:rPr>
          <w:rFonts w:hint="eastAsia" w:asciiTheme="minorEastAsia" w:hAnsiTheme="minorEastAsia" w:cstheme="minorEastAsia"/>
          <w:bCs/>
          <w:sz w:val="24"/>
          <w:szCs w:val="24"/>
          <w:u w:val="single"/>
          <w:lang w:val="en-US" w:eastAsia="zh-CN"/>
        </w:rPr>
        <w:t>26</w:t>
      </w:r>
      <w:r>
        <w:rPr>
          <w:rFonts w:hint="eastAsia" w:asciiTheme="minorEastAsia" w:hAnsiTheme="minorEastAsia" w:cstheme="minorEastAsia"/>
          <w:bCs/>
          <w:sz w:val="24"/>
          <w:szCs w:val="24"/>
          <w:u w:val="single"/>
        </w:rPr>
        <w:t>日</w:t>
      </w:r>
      <w:r>
        <w:rPr>
          <w:rFonts w:hint="eastAsia" w:asciiTheme="minorEastAsia" w:hAnsiTheme="minorEastAsia" w:cstheme="minorEastAsia"/>
          <w:bCs/>
          <w:sz w:val="24"/>
          <w:szCs w:val="24"/>
          <w:u w:val="single"/>
          <w:lang w:val="en-US" w:eastAsia="zh-CN"/>
        </w:rPr>
        <w:t>10</w:t>
      </w:r>
      <w:r>
        <w:rPr>
          <w:rFonts w:hint="eastAsia" w:asciiTheme="minorEastAsia" w:hAnsiTheme="minorEastAsia" w:cstheme="minorEastAsia"/>
          <w:bCs/>
          <w:sz w:val="24"/>
          <w:szCs w:val="24"/>
          <w:u w:val="single"/>
        </w:rPr>
        <w:t xml:space="preserve">点 </w:t>
      </w:r>
      <w:r>
        <w:rPr>
          <w:rFonts w:hint="eastAsia" w:asciiTheme="minorEastAsia" w:hAnsiTheme="minorEastAsia" w:cstheme="minorEastAsia"/>
          <w:bCs/>
          <w:sz w:val="24"/>
          <w:szCs w:val="24"/>
          <w:u w:val="single"/>
          <w:lang w:val="en-US" w:eastAsia="zh-CN"/>
        </w:rPr>
        <w:t>00</w:t>
      </w:r>
      <w:r>
        <w:rPr>
          <w:rFonts w:hint="eastAsia" w:asciiTheme="minorEastAsia" w:hAnsiTheme="minorEastAsia" w:cstheme="minorEastAsia"/>
          <w:bCs/>
          <w:sz w:val="24"/>
          <w:szCs w:val="24"/>
          <w:u w:val="single"/>
        </w:rPr>
        <w:t>分</w:t>
      </w:r>
      <w:r>
        <w:rPr>
          <w:rFonts w:hint="eastAsia" w:asciiTheme="minorEastAsia" w:hAnsiTheme="minorEastAsia" w:cstheme="minorEastAsia"/>
          <w:bCs/>
          <w:sz w:val="24"/>
          <w:szCs w:val="24"/>
        </w:rPr>
        <w:t>（北京时间）</w:t>
      </w:r>
    </w:p>
    <w:p>
      <w:pPr>
        <w:ind w:firstLine="480" w:firstLineChars="200"/>
        <w:rPr>
          <w:rFonts w:hint="default" w:asciiTheme="minorEastAsia" w:hAnsiTheme="minorEastAsia" w:eastAsiaTheme="minorEastAsia" w:cstheme="minorEastAsia"/>
          <w:bCs/>
          <w:color w:val="0000FF"/>
          <w:sz w:val="24"/>
          <w:szCs w:val="24"/>
          <w:u w:val="single"/>
          <w:lang w:val="en-US" w:eastAsia="zh-CN"/>
        </w:rPr>
      </w:pPr>
      <w:r>
        <w:rPr>
          <w:rFonts w:hint="eastAsia" w:asciiTheme="minorEastAsia" w:hAnsiTheme="minorEastAsia" w:cstheme="minorEastAsia"/>
          <w:color w:val="0000FF"/>
          <w:sz w:val="24"/>
          <w:szCs w:val="24"/>
        </w:rPr>
        <w:t>地点：</w:t>
      </w:r>
      <w:r>
        <w:rPr>
          <w:rFonts w:hint="eastAsia" w:asciiTheme="minorEastAsia" w:hAnsiTheme="minorEastAsia" w:cstheme="minorEastAsia"/>
          <w:color w:val="0000FF"/>
          <w:sz w:val="24"/>
          <w:szCs w:val="24"/>
          <w:lang w:val="en-US" w:eastAsia="zh-CN"/>
        </w:rPr>
        <w:t>陕西希地工程项目管理有限公司一楼评标一室</w:t>
      </w:r>
    </w:p>
    <w:p>
      <w:pPr>
        <w:pStyle w:val="4"/>
        <w:spacing w:line="240" w:lineRule="auto"/>
        <w:rPr>
          <w:rFonts w:ascii="宋体" w:hAnsi="宋体" w:eastAsia="黑体" w:cs="Times New Roman"/>
          <w:b w:val="0"/>
          <w:bCs w:val="0"/>
          <w:sz w:val="24"/>
          <w:szCs w:val="24"/>
        </w:rPr>
      </w:pPr>
      <w:bookmarkStart w:id="22" w:name="_Toc28359017"/>
      <w:bookmarkStart w:id="23" w:name="_Toc35393634"/>
      <w:bookmarkStart w:id="24" w:name="_Toc28359094"/>
      <w:bookmarkStart w:id="25" w:name="_Toc35393803"/>
      <w:r>
        <w:rPr>
          <w:rFonts w:hint="eastAsia" w:ascii="宋体" w:hAnsi="宋体" w:eastAsia="黑体" w:cs="Times New Roman"/>
          <w:b w:val="0"/>
          <w:bCs w:val="0"/>
          <w:sz w:val="24"/>
          <w:szCs w:val="24"/>
        </w:rPr>
        <w:t>六、公告期限</w:t>
      </w:r>
      <w:bookmarkEnd w:id="22"/>
      <w:bookmarkEnd w:id="23"/>
      <w:bookmarkEnd w:id="24"/>
      <w:bookmarkEnd w:id="25"/>
    </w:p>
    <w:p>
      <w:pPr>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自本公告发布之</w:t>
      </w:r>
      <w:r>
        <w:rPr>
          <w:rFonts w:hint="eastAsia" w:ascii="黑体" w:hAnsi="黑体" w:cs="宋体" w:eastAsiaTheme="majorEastAsia"/>
          <w:bCs/>
          <w:sz w:val="24"/>
          <w:szCs w:val="24"/>
        </w:rPr>
        <w:t>日起5个工作日。</w:t>
      </w:r>
    </w:p>
    <w:p>
      <w:pPr>
        <w:pStyle w:val="4"/>
        <w:numPr>
          <w:ilvl w:val="0"/>
          <w:numId w:val="1"/>
        </w:numPr>
        <w:spacing w:line="240" w:lineRule="auto"/>
        <w:rPr>
          <w:rFonts w:ascii="宋体" w:hAnsi="宋体" w:eastAsia="黑体" w:cs="Times New Roman"/>
          <w:b w:val="0"/>
          <w:bCs w:val="0"/>
          <w:sz w:val="24"/>
          <w:szCs w:val="24"/>
        </w:rPr>
      </w:pPr>
      <w:bookmarkStart w:id="26" w:name="_Toc35393804"/>
      <w:bookmarkStart w:id="27" w:name="_Toc35393635"/>
      <w:r>
        <w:rPr>
          <w:rFonts w:hint="eastAsia" w:ascii="宋体" w:hAnsi="宋体" w:eastAsia="黑体" w:cs="Times New Roman"/>
          <w:b w:val="0"/>
          <w:bCs w:val="0"/>
          <w:sz w:val="24"/>
          <w:szCs w:val="24"/>
        </w:rPr>
        <w:t>其他补充事宜</w:t>
      </w:r>
      <w:bookmarkEnd w:id="26"/>
      <w:bookmarkEnd w:id="27"/>
    </w:p>
    <w:p>
      <w:pPr>
        <w:ind w:firstLine="480" w:firstLineChars="200"/>
        <w:rPr>
          <w:rFonts w:ascii="宋体" w:hAnsi="宋体"/>
          <w:color w:val="FF0000"/>
          <w:kern w:val="0"/>
          <w:sz w:val="24"/>
          <w:szCs w:val="24"/>
        </w:rPr>
      </w:pPr>
      <w:r>
        <w:rPr>
          <w:rFonts w:hint="eastAsia" w:ascii="宋体" w:hAnsi="宋体"/>
          <w:color w:val="FF0000"/>
          <w:kern w:val="0"/>
          <w:sz w:val="24"/>
          <w:szCs w:val="24"/>
        </w:rPr>
        <w:t>（一）</w:t>
      </w:r>
      <w:r>
        <w:rPr>
          <w:rFonts w:hint="eastAsia" w:ascii="宋体" w:hAnsi="宋体"/>
          <w:b/>
          <w:color w:val="FF0000"/>
          <w:kern w:val="0"/>
          <w:sz w:val="24"/>
          <w:szCs w:val="24"/>
        </w:rPr>
        <w:t>数字证书（CA）办理。</w:t>
      </w:r>
      <w:r>
        <w:rPr>
          <w:rFonts w:hint="eastAsia" w:ascii="宋体" w:hAnsi="宋体"/>
          <w:color w:val="FF0000"/>
          <w:kern w:val="0"/>
          <w:sz w:val="24"/>
          <w:szCs w:val="24"/>
        </w:rPr>
        <w:t>各政府采购当事人应在交易系统完成注册登记，按《黄石市政府采购交易系统数字证书（CA）办理流程》规定办理数字证书（CA），并严格按照规定使用电子签名和电子印章。各政府采购当事人通过数字证书登录交易系统，对相关信息加盖电子签章，并对交易行为的真实性、有效性、合法性负责。</w:t>
      </w:r>
    </w:p>
    <w:p>
      <w:pPr>
        <w:spacing w:line="360" w:lineRule="auto"/>
        <w:ind w:firstLine="540"/>
        <w:rPr>
          <w:rFonts w:ascii="宋体" w:hAnsi="宋体" w:cs="宋体"/>
          <w:sz w:val="24"/>
          <w:szCs w:val="24"/>
          <w:highlight w:val="yellow"/>
        </w:rPr>
      </w:pPr>
      <w:r>
        <w:rPr>
          <w:rFonts w:hint="eastAsia" w:ascii="宋体" w:hAnsi="宋体" w:cs="宋体"/>
          <w:sz w:val="24"/>
          <w:szCs w:val="24"/>
          <w:highlight w:val="yellow"/>
        </w:rPr>
        <w:t>（二）未注册账号的供应商，先完成账号注册，经审核通过后办理ＣＡ锁。方式：打开黄石市政府采购交易系统首页，点击“供应商注册”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锁办理（办理流程可在黄石市政府采购交易系统首页-下载中心，下载《黄石市政府采购交易系统数字证书申请流程》）。</w:t>
      </w:r>
    </w:p>
    <w:p>
      <w:pPr>
        <w:spacing w:line="360" w:lineRule="auto"/>
        <w:ind w:firstLine="540"/>
        <w:rPr>
          <w:rFonts w:ascii="宋体" w:hAnsi="宋体" w:cs="宋体"/>
          <w:sz w:val="24"/>
          <w:szCs w:val="24"/>
          <w:highlight w:val="yellow"/>
        </w:rPr>
      </w:pPr>
      <w:r>
        <w:rPr>
          <w:rFonts w:hint="eastAsia" w:ascii="宋体" w:hAnsi="宋体" w:cs="宋体"/>
          <w:sz w:val="24"/>
          <w:szCs w:val="24"/>
          <w:highlight w:val="yellow"/>
        </w:rPr>
        <w:t>（三）已有账号但未办理 CA 的供应商，登录黄石市政府采购交易系统，明确所参与项目标段，在获取文件有效时间内直接下载采购文件（注：未办理 CA 锁无法网上投标！请潜在供应商及时前往黄石市民之家四楼大厅窗口办理 CA，否则产生的后果由供应商自行承担）。</w:t>
      </w:r>
    </w:p>
    <w:p>
      <w:pPr>
        <w:spacing w:line="360" w:lineRule="auto"/>
        <w:ind w:firstLine="540"/>
        <w:rPr>
          <w:rFonts w:ascii="宋体" w:hAnsi="宋体" w:cs="宋体"/>
          <w:sz w:val="24"/>
          <w:szCs w:val="24"/>
          <w:highlight w:val="yellow"/>
        </w:rPr>
      </w:pPr>
      <w:r>
        <w:rPr>
          <w:rFonts w:hint="eastAsia" w:ascii="宋体" w:hAnsi="宋体" w:cs="宋体"/>
          <w:sz w:val="24"/>
          <w:szCs w:val="24"/>
          <w:highlight w:val="yellow"/>
        </w:rPr>
        <w:t>（四）已办理 CA 的供应商，登录黄石市政府采购交易系统，可在获取文件有效时间内直接下载采购文件。</w:t>
      </w:r>
    </w:p>
    <w:p>
      <w:pPr>
        <w:ind w:firstLine="560"/>
        <w:rPr>
          <w:rFonts w:ascii="宋体" w:hAnsi="宋体"/>
          <w:sz w:val="24"/>
          <w:szCs w:val="24"/>
          <w:highlight w:val="yellow"/>
        </w:rPr>
      </w:pPr>
      <w:r>
        <w:rPr>
          <w:rFonts w:hint="eastAsia" w:ascii="宋体" w:hAnsi="宋体" w:cs="宋体"/>
          <w:sz w:val="24"/>
          <w:szCs w:val="24"/>
          <w:highlight w:val="yellow"/>
        </w:rPr>
        <w:t>（五）</w:t>
      </w:r>
      <w:r>
        <w:rPr>
          <w:rFonts w:hint="eastAsia" w:ascii="宋体" w:hAnsi="宋体"/>
          <w:sz w:val="24"/>
          <w:szCs w:val="24"/>
          <w:highlight w:val="yellow"/>
        </w:rPr>
        <w:t>供应商无需提交纸质响应文件，需于磋商文件规定的截止时间前在黄石市政府采购交易系统上传已加密的电子响应文件一份；磋商过程中如遇系统操作问题请拨打咨询服务电话：0714-6209015。</w:t>
      </w:r>
    </w:p>
    <w:p>
      <w:pPr>
        <w:ind w:firstLine="560"/>
        <w:rPr>
          <w:rFonts w:ascii="宋体" w:hAnsi="宋体" w:eastAsia="宋体" w:cs="黑体"/>
          <w:color w:val="FF0000"/>
          <w:sz w:val="24"/>
          <w:szCs w:val="24"/>
        </w:rPr>
      </w:pPr>
      <w:r>
        <w:rPr>
          <w:rFonts w:hint="eastAsia" w:ascii="宋体" w:hAnsi="宋体" w:eastAsia="宋体" w:cs="黑体"/>
          <w:color w:val="FF0000"/>
          <w:sz w:val="24"/>
          <w:szCs w:val="24"/>
        </w:rPr>
        <w:t>（六）供应商应</w:t>
      </w:r>
    </w:p>
    <w:p>
      <w:pPr>
        <w:ind w:firstLine="560"/>
        <w:rPr>
          <w:rFonts w:ascii="宋体" w:hAnsi="宋体" w:eastAsia="宋体" w:cs="黑体"/>
          <w:color w:val="FF0000"/>
          <w:sz w:val="24"/>
          <w:szCs w:val="24"/>
        </w:rPr>
      </w:pPr>
      <w:r>
        <w:rPr>
          <w:rFonts w:hint="eastAsia" w:ascii="宋体" w:hAnsi="宋体" w:eastAsia="宋体" w:cs="黑体"/>
          <w:color w:val="FF0000"/>
          <w:sz w:val="24"/>
          <w:szCs w:val="24"/>
        </w:rPr>
        <w:t>1.在线完成政府采购项目磋商文件获取和响应文件提交；</w:t>
      </w:r>
    </w:p>
    <w:p>
      <w:pPr>
        <w:ind w:firstLine="560"/>
        <w:rPr>
          <w:rFonts w:ascii="宋体" w:hAnsi="宋体" w:eastAsia="宋体" w:cs="黑体"/>
          <w:color w:val="FF0000"/>
          <w:sz w:val="24"/>
          <w:szCs w:val="24"/>
        </w:rPr>
      </w:pPr>
      <w:r>
        <w:rPr>
          <w:rFonts w:hint="eastAsia" w:ascii="宋体" w:hAnsi="宋体" w:eastAsia="宋体" w:cs="黑体"/>
          <w:color w:val="FF0000"/>
          <w:sz w:val="24"/>
          <w:szCs w:val="24"/>
        </w:rPr>
        <w:t>2.在线完成响应文件制作、签章、加密和上传；</w:t>
      </w:r>
    </w:p>
    <w:p>
      <w:pPr>
        <w:ind w:firstLine="560"/>
        <w:rPr>
          <w:rFonts w:ascii="宋体" w:hAnsi="宋体" w:eastAsia="宋体" w:cs="黑体"/>
          <w:color w:val="FF0000"/>
          <w:sz w:val="24"/>
          <w:szCs w:val="24"/>
        </w:rPr>
      </w:pPr>
      <w:r>
        <w:rPr>
          <w:rFonts w:hint="eastAsia" w:ascii="宋体" w:hAnsi="宋体" w:eastAsia="宋体" w:cs="黑体"/>
          <w:color w:val="FF0000"/>
          <w:sz w:val="24"/>
          <w:szCs w:val="24"/>
        </w:rPr>
        <w:t>3.按照采购项目磋商程序在线完成签到、响应文件解密和磋商结果确认；</w:t>
      </w:r>
    </w:p>
    <w:p>
      <w:pPr>
        <w:ind w:firstLine="560"/>
        <w:rPr>
          <w:rFonts w:ascii="宋体" w:hAnsi="宋体" w:eastAsia="宋体" w:cs="黑体"/>
          <w:color w:val="FF0000"/>
          <w:sz w:val="24"/>
          <w:szCs w:val="24"/>
        </w:rPr>
      </w:pPr>
      <w:r>
        <w:rPr>
          <w:rFonts w:hint="eastAsia" w:ascii="宋体" w:hAnsi="宋体" w:eastAsia="宋体" w:cs="黑体"/>
          <w:color w:val="FF0000"/>
          <w:sz w:val="24"/>
          <w:szCs w:val="24"/>
        </w:rPr>
        <w:t>4.在线完成磋商、报价及响应文件内容澄清；</w:t>
      </w:r>
    </w:p>
    <w:p>
      <w:pPr>
        <w:ind w:firstLine="560"/>
        <w:rPr>
          <w:rFonts w:ascii="宋体" w:hAnsi="宋体" w:eastAsia="宋体" w:cs="黑体"/>
          <w:color w:val="FF0000"/>
          <w:sz w:val="24"/>
          <w:szCs w:val="24"/>
        </w:rPr>
      </w:pPr>
      <w:r>
        <w:rPr>
          <w:rFonts w:hint="eastAsia" w:ascii="宋体" w:hAnsi="宋体" w:eastAsia="宋体" w:cs="黑体"/>
          <w:color w:val="FF0000"/>
          <w:sz w:val="24"/>
          <w:szCs w:val="24"/>
        </w:rPr>
        <w:t>5.成交供应商在线获取成交通知书、与采购人完成合同签订；</w:t>
      </w:r>
    </w:p>
    <w:p>
      <w:pPr>
        <w:ind w:firstLine="560"/>
        <w:rPr>
          <w:rFonts w:ascii="宋体" w:hAnsi="宋体" w:eastAsia="宋体" w:cs="黑体"/>
          <w:color w:val="FF0000"/>
          <w:sz w:val="24"/>
          <w:szCs w:val="24"/>
        </w:rPr>
      </w:pPr>
      <w:r>
        <w:rPr>
          <w:rFonts w:hint="eastAsia" w:ascii="宋体" w:hAnsi="宋体" w:eastAsia="宋体" w:cs="黑体"/>
          <w:color w:val="FF0000"/>
          <w:sz w:val="24"/>
          <w:szCs w:val="24"/>
        </w:rPr>
        <w:t>6.统一应用数字证书（CA）完成政府采购项目电子化交易过程中的可信电子签名、签章操作。</w:t>
      </w:r>
    </w:p>
    <w:p>
      <w:pPr>
        <w:rPr>
          <w:rFonts w:asciiTheme="minorEastAsia" w:hAnsiTheme="minorEastAsia" w:cstheme="minorEastAsia"/>
          <w:sz w:val="20"/>
          <w:szCs w:val="21"/>
        </w:rPr>
      </w:pPr>
    </w:p>
    <w:p>
      <w:pPr>
        <w:pStyle w:val="4"/>
        <w:spacing w:line="240" w:lineRule="auto"/>
        <w:rPr>
          <w:rFonts w:ascii="宋体" w:hAnsi="宋体" w:eastAsia="黑体" w:cs="Times New Roman"/>
          <w:b w:val="0"/>
          <w:bCs w:val="0"/>
          <w:sz w:val="24"/>
          <w:szCs w:val="24"/>
        </w:rPr>
      </w:pPr>
      <w:bookmarkStart w:id="28" w:name="_Toc35393805"/>
      <w:bookmarkStart w:id="29" w:name="_Toc28359095"/>
      <w:bookmarkStart w:id="30" w:name="_Toc28359018"/>
      <w:bookmarkStart w:id="31" w:name="_Toc35393636"/>
      <w:r>
        <w:rPr>
          <w:rFonts w:hint="eastAsia" w:ascii="宋体" w:hAnsi="宋体" w:eastAsia="黑体" w:cs="Times New Roman"/>
          <w:b w:val="0"/>
          <w:bCs w:val="0"/>
          <w:sz w:val="24"/>
          <w:szCs w:val="24"/>
        </w:rPr>
        <w:t>八、凡对本次采购提出询问，请按以下方式联系。</w:t>
      </w:r>
      <w:bookmarkEnd w:id="28"/>
      <w:bookmarkEnd w:id="29"/>
      <w:bookmarkEnd w:id="30"/>
      <w:bookmarkEnd w:id="31"/>
    </w:p>
    <w:p>
      <w:pPr>
        <w:ind w:firstLine="720" w:firstLineChars="300"/>
        <w:rPr>
          <w:rFonts w:hint="eastAsia" w:asciiTheme="minorEastAsia" w:hAnsiTheme="minorEastAsia" w:cstheme="minorEastAsia"/>
          <w:sz w:val="24"/>
          <w:szCs w:val="24"/>
          <w:lang w:val="hr-HR" w:eastAsia="zh-CN"/>
        </w:rPr>
      </w:pPr>
      <w:bookmarkStart w:id="32" w:name="_Toc5899"/>
      <w:bookmarkStart w:id="33" w:name="_Toc502096726"/>
      <w:r>
        <w:rPr>
          <w:rFonts w:hint="eastAsia" w:asciiTheme="minorEastAsia" w:hAnsiTheme="minorEastAsia" w:cstheme="minorEastAsia"/>
          <w:sz w:val="24"/>
          <w:szCs w:val="24"/>
          <w:lang w:val="hr-HR" w:eastAsia="zh-CN"/>
        </w:rPr>
        <w:t>采购代理机构：陕西希地工程项目管理有限公司</w:t>
      </w:r>
    </w:p>
    <w:p>
      <w:pPr>
        <w:ind w:firstLine="720" w:firstLineChars="300"/>
        <w:rPr>
          <w:rFonts w:hint="eastAsia" w:asciiTheme="minorEastAsia" w:hAnsiTheme="minorEastAsia" w:cstheme="minorEastAsia"/>
          <w:sz w:val="24"/>
          <w:szCs w:val="24"/>
          <w:lang w:val="hr-HR" w:eastAsia="zh-CN"/>
        </w:rPr>
      </w:pPr>
      <w:r>
        <w:rPr>
          <w:rFonts w:hint="eastAsia" w:asciiTheme="minorEastAsia" w:hAnsiTheme="minorEastAsia" w:cstheme="minorEastAsia"/>
          <w:sz w:val="24"/>
          <w:szCs w:val="24"/>
          <w:lang w:val="hr-HR" w:eastAsia="zh-CN"/>
        </w:rPr>
        <w:t xml:space="preserve">联系人： 柯阿剑     </w:t>
      </w:r>
    </w:p>
    <w:p>
      <w:pPr>
        <w:ind w:firstLine="720" w:firstLineChars="300"/>
        <w:rPr>
          <w:rFonts w:hint="eastAsia" w:asciiTheme="minorEastAsia" w:hAnsiTheme="minorEastAsia" w:cstheme="minorEastAsia"/>
          <w:sz w:val="24"/>
          <w:szCs w:val="24"/>
          <w:lang w:val="hr-HR" w:eastAsia="zh-CN"/>
        </w:rPr>
      </w:pPr>
      <w:r>
        <w:rPr>
          <w:rFonts w:hint="eastAsia" w:asciiTheme="minorEastAsia" w:hAnsiTheme="minorEastAsia" w:cstheme="minorEastAsia"/>
          <w:sz w:val="24"/>
          <w:szCs w:val="24"/>
          <w:lang w:val="hr-HR" w:eastAsia="zh-CN"/>
        </w:rPr>
        <w:t>电话：  15337385494</w:t>
      </w:r>
    </w:p>
    <w:p>
      <w:pPr>
        <w:ind w:firstLine="720" w:firstLineChars="300"/>
        <w:rPr>
          <w:rFonts w:hint="eastAsia" w:asciiTheme="minorEastAsia" w:hAnsiTheme="minorEastAsia" w:cstheme="minorEastAsia"/>
          <w:sz w:val="24"/>
          <w:szCs w:val="24"/>
          <w:lang w:val="hr-HR" w:eastAsia="zh-CN"/>
        </w:rPr>
      </w:pPr>
      <w:r>
        <w:rPr>
          <w:rFonts w:hint="eastAsia" w:asciiTheme="minorEastAsia" w:hAnsiTheme="minorEastAsia" w:cstheme="minorEastAsia"/>
          <w:sz w:val="24"/>
          <w:szCs w:val="24"/>
          <w:lang w:val="hr-HR" w:eastAsia="zh-CN"/>
        </w:rPr>
        <w:t>联系地址：阳新县城东新区莲花湖一号20号楼幢110铺号房</w:t>
      </w:r>
    </w:p>
    <w:p>
      <w:pPr>
        <w:ind w:firstLine="720" w:firstLineChars="300"/>
        <w:rPr>
          <w:rFonts w:hint="eastAsia" w:asciiTheme="minorEastAsia" w:hAnsiTheme="minorEastAsia" w:cstheme="minorEastAsia"/>
          <w:sz w:val="24"/>
          <w:szCs w:val="24"/>
          <w:lang w:val="hr-HR" w:eastAsia="zh-CN"/>
        </w:rPr>
      </w:pPr>
      <w:r>
        <w:rPr>
          <w:rFonts w:hint="eastAsia" w:asciiTheme="minorEastAsia" w:hAnsiTheme="minorEastAsia" w:cstheme="minorEastAsia"/>
          <w:sz w:val="24"/>
          <w:szCs w:val="24"/>
          <w:lang w:val="hr-HR" w:eastAsia="zh-CN"/>
        </w:rPr>
        <w:t>采购人名称：阳新县卫生健康局</w:t>
      </w:r>
    </w:p>
    <w:p>
      <w:pPr>
        <w:ind w:firstLine="720" w:firstLineChars="300"/>
        <w:rPr>
          <w:rFonts w:hint="eastAsia" w:asciiTheme="minorEastAsia" w:hAnsiTheme="minorEastAsia" w:cstheme="minorEastAsia"/>
          <w:sz w:val="24"/>
          <w:szCs w:val="24"/>
          <w:lang w:val="hr-HR" w:eastAsia="zh-CN"/>
        </w:rPr>
      </w:pPr>
      <w:r>
        <w:rPr>
          <w:rFonts w:hint="eastAsia" w:asciiTheme="minorEastAsia" w:hAnsiTheme="minorEastAsia" w:cstheme="minorEastAsia"/>
          <w:sz w:val="24"/>
          <w:szCs w:val="24"/>
          <w:lang w:val="hr-HR" w:eastAsia="zh-CN"/>
        </w:rPr>
        <w:t>联系人：黄主任</w:t>
      </w:r>
    </w:p>
    <w:p>
      <w:pPr>
        <w:ind w:firstLine="720" w:firstLineChars="300"/>
        <w:rPr>
          <w:rFonts w:hint="eastAsia" w:asciiTheme="minorEastAsia" w:hAnsiTheme="minorEastAsia" w:cstheme="minorEastAsia"/>
          <w:sz w:val="24"/>
          <w:szCs w:val="24"/>
          <w:lang w:val="hr-HR" w:eastAsia="zh-CN"/>
        </w:rPr>
      </w:pPr>
      <w:r>
        <w:rPr>
          <w:rFonts w:hint="eastAsia" w:asciiTheme="minorEastAsia" w:hAnsiTheme="minorEastAsia" w:cstheme="minorEastAsia"/>
          <w:sz w:val="24"/>
          <w:szCs w:val="24"/>
          <w:lang w:val="hr-HR" w:eastAsia="zh-CN"/>
        </w:rPr>
        <w:t xml:space="preserve">联系电话：18171690186     </w:t>
      </w:r>
    </w:p>
    <w:p>
      <w:pPr>
        <w:ind w:firstLine="720" w:firstLineChars="30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hr-HR" w:eastAsia="zh-CN"/>
        </w:rPr>
        <w:t>地址：</w:t>
      </w:r>
      <w:r>
        <w:rPr>
          <w:rFonts w:hint="eastAsia" w:asciiTheme="minorEastAsia" w:hAnsiTheme="minorEastAsia" w:cstheme="minorEastAsia"/>
          <w:sz w:val="24"/>
          <w:szCs w:val="24"/>
          <w:lang w:val="en-US" w:eastAsia="zh-CN"/>
        </w:rPr>
        <w:t>阳新县兴国镇</w:t>
      </w:r>
    </w:p>
    <w:p>
      <w:pPr>
        <w:pStyle w:val="8"/>
        <w:keepNext w:val="0"/>
        <w:keepLines w:val="0"/>
        <w:pageBreakBefore w:val="0"/>
        <w:widowControl w:val="0"/>
        <w:kinsoku/>
        <w:wordWrap/>
        <w:overflowPunct/>
        <w:topLinePunct w:val="0"/>
        <w:autoSpaceDE/>
        <w:autoSpaceDN/>
        <w:bidi w:val="0"/>
        <w:adjustRightInd/>
        <w:snapToGrid/>
        <w:ind w:firstLine="720" w:firstLineChars="300"/>
        <w:textAlignment w:val="auto"/>
        <w:rPr>
          <w:rFonts w:hint="default" w:asciiTheme="minorEastAsia" w:hAnsiTheme="minorEastAsia" w:eastAsiaTheme="minorEastAsia" w:cstheme="minorEastAsia"/>
          <w:kern w:val="2"/>
          <w:sz w:val="24"/>
          <w:szCs w:val="24"/>
          <w:lang w:val="en-US" w:eastAsia="zh-CN" w:bidi="ar-SA"/>
        </w:rPr>
      </w:pPr>
      <w:bookmarkStart w:id="34" w:name="_Toc28359098"/>
      <w:bookmarkStart w:id="35" w:name="_Toc35393639"/>
      <w:bookmarkStart w:id="36" w:name="_Toc28359021"/>
      <w:bookmarkStart w:id="37" w:name="_Toc35393808"/>
      <w:r>
        <w:rPr>
          <w:rFonts w:hint="default" w:asciiTheme="minorEastAsia" w:hAnsiTheme="minorEastAsia" w:eastAsiaTheme="minorEastAsia" w:cstheme="minorEastAsia"/>
          <w:kern w:val="2"/>
          <w:sz w:val="24"/>
          <w:szCs w:val="24"/>
          <w:lang w:val="en-US" w:eastAsia="zh-CN" w:bidi="ar-SA"/>
        </w:rPr>
        <w:t>项目联系方式</w:t>
      </w:r>
      <w:bookmarkEnd w:id="34"/>
      <w:bookmarkEnd w:id="35"/>
      <w:bookmarkEnd w:id="36"/>
      <w:bookmarkEnd w:id="37"/>
    </w:p>
    <w:p>
      <w:pPr>
        <w:pStyle w:val="8"/>
        <w:keepNext w:val="0"/>
        <w:keepLines w:val="0"/>
        <w:pageBreakBefore w:val="0"/>
        <w:widowControl w:val="0"/>
        <w:kinsoku/>
        <w:wordWrap/>
        <w:overflowPunct/>
        <w:topLinePunct w:val="0"/>
        <w:autoSpaceDE/>
        <w:autoSpaceDN/>
        <w:bidi w:val="0"/>
        <w:adjustRightInd/>
        <w:snapToGrid/>
        <w:ind w:firstLine="720" w:firstLineChars="300"/>
        <w:textAlignment w:val="auto"/>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项目联系人：柯阿剑</w:t>
      </w:r>
    </w:p>
    <w:p>
      <w:pPr>
        <w:pStyle w:val="8"/>
        <w:keepNext w:val="0"/>
        <w:keepLines w:val="0"/>
        <w:pageBreakBefore w:val="0"/>
        <w:widowControl w:val="0"/>
        <w:kinsoku/>
        <w:wordWrap/>
        <w:overflowPunct/>
        <w:topLinePunct w:val="0"/>
        <w:autoSpaceDE/>
        <w:autoSpaceDN/>
        <w:bidi w:val="0"/>
        <w:adjustRightInd/>
        <w:snapToGrid/>
        <w:ind w:firstLine="720" w:firstLineChars="300"/>
        <w:textAlignment w:val="auto"/>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电　　 话：15337385494</w:t>
      </w:r>
    </w:p>
    <w:p>
      <w:pPr>
        <w:pStyle w:val="8"/>
        <w:rPr>
          <w:rFonts w:hint="default"/>
          <w:sz w:val="20"/>
          <w:szCs w:val="21"/>
          <w:lang w:val="en-US" w:eastAsia="zh-CN"/>
        </w:rPr>
      </w:pPr>
    </w:p>
    <w:p>
      <w:pPr>
        <w:pStyle w:val="8"/>
        <w:jc w:val="right"/>
        <w:rPr>
          <w:rFonts w:hint="default" w:asciiTheme="minorEastAsia" w:hAnsiTheme="minorEastAsia" w:cstheme="minorEastAsia"/>
          <w:color w:val="FF0000"/>
          <w:sz w:val="24"/>
          <w:szCs w:val="24"/>
          <w:lang w:val="en-US"/>
        </w:rPr>
      </w:pPr>
      <w:r>
        <w:rPr>
          <w:rFonts w:hint="eastAsia" w:asciiTheme="minorEastAsia" w:hAnsiTheme="minorEastAsia" w:cstheme="minorEastAsia"/>
          <w:color w:val="FF0000"/>
          <w:sz w:val="24"/>
          <w:szCs w:val="24"/>
          <w:lang w:val="en-US" w:eastAsia="zh-CN"/>
        </w:rPr>
        <w:t>2022年10月14日</w:t>
      </w:r>
    </w:p>
    <w:p>
      <w:pPr>
        <w:pStyle w:val="7"/>
        <w:rPr>
          <w:rFonts w:asciiTheme="minorEastAsia" w:hAnsiTheme="minorEastAsia" w:cstheme="minorEastAsia"/>
          <w:szCs w:val="28"/>
        </w:rPr>
      </w:pPr>
    </w:p>
    <w:p>
      <w:pPr>
        <w:rPr>
          <w:rFonts w:hint="eastAsia" w:asciiTheme="minorEastAsia" w:hAnsiTheme="minorEastAsia" w:eastAsiaTheme="minorEastAsia" w:cstheme="minorEastAsia"/>
          <w:sz w:val="44"/>
        </w:rPr>
      </w:pPr>
      <w:r>
        <w:rPr>
          <w:rFonts w:hint="eastAsia" w:asciiTheme="minorEastAsia" w:hAnsiTheme="minorEastAsia" w:eastAsiaTheme="minorEastAsia" w:cstheme="minorEastAsia"/>
          <w:sz w:val="44"/>
        </w:rPr>
        <w:br w:type="page"/>
      </w:r>
    </w:p>
    <w:p>
      <w:pPr>
        <w:pStyle w:val="3"/>
        <w:spacing w:line="360" w:lineRule="auto"/>
        <w:rPr>
          <w:rFonts w:asciiTheme="minorEastAsia" w:hAnsiTheme="minorEastAsia" w:eastAsiaTheme="minorEastAsia" w:cstheme="minorEastAsia"/>
          <w:sz w:val="44"/>
        </w:rPr>
      </w:pPr>
      <w:r>
        <w:rPr>
          <w:rFonts w:hint="eastAsia" w:asciiTheme="minorEastAsia" w:hAnsiTheme="minorEastAsia" w:eastAsiaTheme="minorEastAsia" w:cstheme="minorEastAsia"/>
          <w:sz w:val="44"/>
        </w:rPr>
        <w:t>第二章 磋商须知</w:t>
      </w:r>
      <w:bookmarkEnd w:id="32"/>
      <w:bookmarkEnd w:id="33"/>
    </w:p>
    <w:p>
      <w:pPr>
        <w:jc w:val="center"/>
        <w:rPr>
          <w:rFonts w:asciiTheme="minorEastAsia" w:hAnsiTheme="minorEastAsia" w:cstheme="minorEastAsia"/>
          <w:sz w:val="28"/>
          <w:szCs w:val="28"/>
        </w:rPr>
      </w:pPr>
      <w:r>
        <w:rPr>
          <w:rFonts w:hint="eastAsia" w:asciiTheme="minorEastAsia" w:hAnsiTheme="minorEastAsia" w:cstheme="minorEastAsia"/>
          <w:sz w:val="28"/>
          <w:szCs w:val="28"/>
        </w:rPr>
        <w:t>磋商须知前附表</w:t>
      </w:r>
    </w:p>
    <w:tbl>
      <w:tblPr>
        <w:tblStyle w:val="17"/>
        <w:tblW w:w="8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2622"/>
        <w:gridCol w:w="4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7" w:hRule="atLeast"/>
          <w:jc w:val="center"/>
        </w:trPr>
        <w:tc>
          <w:tcPr>
            <w:tcW w:w="794" w:type="dxa"/>
            <w:tcBorders>
              <w:top w:val="single" w:color="auto" w:sz="4" w:space="0"/>
              <w:bottom w:val="single" w:color="auto" w:sz="4" w:space="0"/>
              <w:right w:val="single" w:color="auto" w:sz="4" w:space="0"/>
            </w:tcBorders>
            <w:vAlign w:val="center"/>
          </w:tcPr>
          <w:p>
            <w:pPr>
              <w:spacing w:line="52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序号</w:t>
            </w:r>
          </w:p>
        </w:tc>
        <w:tc>
          <w:tcPr>
            <w:tcW w:w="2622" w:type="dxa"/>
            <w:tcBorders>
              <w:top w:val="single" w:color="auto" w:sz="4" w:space="0"/>
              <w:left w:val="single" w:color="auto" w:sz="4" w:space="0"/>
              <w:bottom w:val="single" w:color="auto" w:sz="4" w:space="0"/>
              <w:right w:val="single" w:color="auto" w:sz="4" w:space="0"/>
            </w:tcBorders>
            <w:vAlign w:val="center"/>
          </w:tcPr>
          <w:p>
            <w:pPr>
              <w:spacing w:line="520" w:lineRule="exact"/>
              <w:ind w:right="57"/>
              <w:jc w:val="center"/>
              <w:rPr>
                <w:rFonts w:asciiTheme="minorEastAsia" w:hAnsiTheme="minorEastAsia" w:cstheme="minorEastAsia"/>
                <w:sz w:val="24"/>
                <w:szCs w:val="24"/>
              </w:rPr>
            </w:pPr>
            <w:r>
              <w:rPr>
                <w:rFonts w:hint="eastAsia" w:asciiTheme="minorEastAsia" w:hAnsiTheme="minorEastAsia" w:cstheme="minorEastAsia"/>
                <w:sz w:val="24"/>
                <w:szCs w:val="24"/>
              </w:rPr>
              <w:t>项    目</w:t>
            </w:r>
          </w:p>
        </w:tc>
        <w:tc>
          <w:tcPr>
            <w:tcW w:w="4880" w:type="dxa"/>
            <w:tcBorders>
              <w:top w:val="single" w:color="auto" w:sz="4" w:space="0"/>
              <w:left w:val="single" w:color="auto" w:sz="4" w:space="0"/>
              <w:bottom w:val="single" w:color="auto" w:sz="4" w:space="0"/>
            </w:tcBorders>
            <w:vAlign w:val="center"/>
          </w:tcPr>
          <w:p>
            <w:pPr>
              <w:spacing w:line="520" w:lineRule="exact"/>
              <w:ind w:left="57" w:right="57" w:firstLine="482" w:firstLineChars="201"/>
              <w:jc w:val="center"/>
              <w:rPr>
                <w:rFonts w:asciiTheme="minorEastAsia" w:hAnsiTheme="minorEastAsia" w:cstheme="minorEastAsia"/>
                <w:sz w:val="24"/>
                <w:szCs w:val="24"/>
              </w:rPr>
            </w:pPr>
            <w:r>
              <w:rPr>
                <w:rFonts w:hint="eastAsia" w:asciiTheme="minorEastAsia" w:hAnsiTheme="minorEastAsia" w:cstheme="minorEastAsia"/>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94" w:type="dxa"/>
            <w:tcBorders>
              <w:top w:val="single" w:color="auto" w:sz="4" w:space="0"/>
              <w:bottom w:val="single" w:color="auto" w:sz="4" w:space="0"/>
              <w:right w:val="single" w:color="auto" w:sz="4" w:space="0"/>
            </w:tcBorders>
            <w:vAlign w:val="center"/>
          </w:tcPr>
          <w:p>
            <w:pPr>
              <w:spacing w:line="520" w:lineRule="exact"/>
              <w:ind w:right="57"/>
              <w:jc w:val="center"/>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项目名称</w:t>
            </w:r>
          </w:p>
        </w:tc>
        <w:tc>
          <w:tcPr>
            <w:tcW w:w="4880" w:type="dxa"/>
            <w:tcBorders>
              <w:top w:val="single" w:color="auto" w:sz="4" w:space="0"/>
              <w:left w:val="single" w:color="auto" w:sz="4" w:space="0"/>
              <w:bottom w:val="single" w:color="auto" w:sz="4" w:space="0"/>
            </w:tcBorders>
            <w:vAlign w:val="center"/>
          </w:tcPr>
          <w:p>
            <w:pPr>
              <w:spacing w:line="520" w:lineRule="exact"/>
              <w:jc w:val="center"/>
              <w:rPr>
                <w:rFonts w:asciiTheme="minorEastAsia" w:hAnsiTheme="minorEastAsia" w:cstheme="minorEastAsia"/>
                <w:sz w:val="22"/>
                <w:szCs w:val="22"/>
              </w:rPr>
            </w:pPr>
            <w:r>
              <w:rPr>
                <w:rFonts w:hint="eastAsia" w:asciiTheme="minorEastAsia" w:hAnsiTheme="minorEastAsia" w:cstheme="minorEastAsia"/>
                <w:sz w:val="22"/>
                <w:szCs w:val="22"/>
                <w:lang w:eastAsia="zh-CN"/>
              </w:rPr>
              <w:t>灭四害防制服务项目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94" w:type="dxa"/>
            <w:tcBorders>
              <w:top w:val="single" w:color="auto" w:sz="4" w:space="0"/>
              <w:bottom w:val="single" w:color="auto" w:sz="4" w:space="0"/>
              <w:right w:val="single" w:color="auto" w:sz="4" w:space="0"/>
            </w:tcBorders>
            <w:vAlign w:val="center"/>
          </w:tcPr>
          <w:p>
            <w:pPr>
              <w:spacing w:line="520" w:lineRule="exact"/>
              <w:ind w:right="57"/>
              <w:jc w:val="center"/>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项目编号</w:t>
            </w:r>
          </w:p>
        </w:tc>
        <w:tc>
          <w:tcPr>
            <w:tcW w:w="4880" w:type="dxa"/>
            <w:tcBorders>
              <w:top w:val="single" w:color="auto" w:sz="4" w:space="0"/>
              <w:left w:val="single" w:color="auto" w:sz="4" w:space="0"/>
              <w:bottom w:val="single" w:color="auto" w:sz="4" w:space="0"/>
            </w:tcBorders>
            <w:vAlign w:val="center"/>
          </w:tcPr>
          <w:p>
            <w:pPr>
              <w:spacing w:line="360" w:lineRule="auto"/>
              <w:jc w:val="center"/>
              <w:rPr>
                <w:rFonts w:hint="default" w:asciiTheme="minorEastAsia" w:hAnsiTheme="minorEastAsia" w:cstheme="minorEastAsia"/>
                <w:sz w:val="20"/>
                <w:szCs w:val="20"/>
                <w:lang w:val="en-US"/>
              </w:rPr>
            </w:pPr>
            <w:r>
              <w:rPr>
                <w:rFonts w:hint="eastAsia" w:asciiTheme="minorEastAsia" w:hAnsiTheme="minorEastAsia" w:cstheme="minorEastAsia"/>
                <w:sz w:val="22"/>
                <w:szCs w:val="22"/>
                <w:lang w:val="en-US" w:eastAsia="zh-CN"/>
              </w:rPr>
              <w:t>420222-2022-00161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794" w:type="dxa"/>
            <w:tcBorders>
              <w:top w:val="single" w:color="auto" w:sz="4" w:space="0"/>
              <w:bottom w:val="single" w:color="auto" w:sz="4" w:space="0"/>
              <w:right w:val="single" w:color="auto" w:sz="4" w:space="0"/>
            </w:tcBorders>
            <w:vAlign w:val="center"/>
          </w:tcPr>
          <w:p>
            <w:pPr>
              <w:spacing w:line="520" w:lineRule="exact"/>
              <w:ind w:right="57"/>
              <w:jc w:val="center"/>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采购人</w:t>
            </w:r>
          </w:p>
        </w:tc>
        <w:tc>
          <w:tcPr>
            <w:tcW w:w="4880" w:type="dxa"/>
            <w:tcBorders>
              <w:top w:val="single" w:color="auto" w:sz="4" w:space="0"/>
              <w:left w:val="single" w:color="auto" w:sz="4" w:space="0"/>
              <w:bottom w:val="single" w:color="auto" w:sz="4" w:space="0"/>
            </w:tcBorders>
            <w:vAlign w:val="center"/>
          </w:tcPr>
          <w:p>
            <w:pPr>
              <w:widowControl/>
              <w:spacing w:line="360" w:lineRule="auto"/>
              <w:ind w:firstLine="12" w:firstLineChars="5"/>
              <w:jc w:val="center"/>
              <w:rPr>
                <w:rFonts w:asciiTheme="minorEastAsia" w:hAnsiTheme="minorEastAsia" w:cstheme="minorEastAsia"/>
                <w:sz w:val="20"/>
                <w:szCs w:val="20"/>
              </w:rPr>
            </w:pPr>
            <w:r>
              <w:rPr>
                <w:rFonts w:hint="eastAsia" w:asciiTheme="minorEastAsia" w:hAnsiTheme="minorEastAsia" w:cstheme="minorEastAsia"/>
                <w:sz w:val="24"/>
                <w:szCs w:val="24"/>
                <w:lang w:val="en-US" w:eastAsia="zh-CN"/>
              </w:rPr>
              <w:t>阳新县卫生健康局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794" w:type="dxa"/>
            <w:tcBorders>
              <w:top w:val="single" w:color="auto" w:sz="4" w:space="0"/>
              <w:bottom w:val="single" w:color="auto" w:sz="4" w:space="0"/>
              <w:right w:val="single" w:color="auto" w:sz="4" w:space="0"/>
            </w:tcBorders>
            <w:vAlign w:val="center"/>
          </w:tcPr>
          <w:p>
            <w:pPr>
              <w:spacing w:line="520" w:lineRule="exact"/>
              <w:ind w:right="57"/>
              <w:jc w:val="center"/>
              <w:rPr>
                <w:rFonts w:asciiTheme="minorEastAsia" w:hAnsiTheme="minorEastAsia" w:cstheme="minorEastAsia"/>
                <w:sz w:val="24"/>
                <w:szCs w:val="24"/>
              </w:rPr>
            </w:pPr>
            <w:r>
              <w:rPr>
                <w:rFonts w:hint="eastAsia" w:asciiTheme="minorEastAsia" w:hAnsiTheme="minorEastAsia" w:cstheme="minorEastAsia"/>
                <w:sz w:val="24"/>
                <w:szCs w:val="24"/>
              </w:rPr>
              <w:t>4</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采购</w:t>
            </w:r>
            <w:r>
              <w:rPr>
                <w:rFonts w:hint="eastAsia" w:asciiTheme="minorEastAsia" w:hAnsiTheme="minorEastAsia" w:cstheme="minorEastAsia"/>
                <w:sz w:val="24"/>
                <w:szCs w:val="24"/>
                <w:lang w:val="en-US" w:eastAsia="zh-CN"/>
              </w:rPr>
              <w:t>代理</w:t>
            </w:r>
            <w:r>
              <w:rPr>
                <w:rFonts w:hint="eastAsia" w:asciiTheme="minorEastAsia" w:hAnsiTheme="minorEastAsia" w:cstheme="minorEastAsia"/>
                <w:sz w:val="24"/>
                <w:szCs w:val="24"/>
              </w:rPr>
              <w:t>机构</w:t>
            </w:r>
          </w:p>
        </w:tc>
        <w:tc>
          <w:tcPr>
            <w:tcW w:w="4880" w:type="dxa"/>
            <w:tcBorders>
              <w:top w:val="single" w:color="auto" w:sz="4" w:space="0"/>
              <w:left w:val="single" w:color="auto" w:sz="4" w:space="0"/>
              <w:bottom w:val="single" w:color="auto" w:sz="4" w:space="0"/>
            </w:tcBorders>
            <w:vAlign w:val="center"/>
          </w:tcPr>
          <w:p>
            <w:pPr>
              <w:widowControl/>
              <w:spacing w:line="360" w:lineRule="auto"/>
              <w:jc w:val="center"/>
              <w:rPr>
                <w:rFonts w:asciiTheme="minorEastAsia" w:hAnsiTheme="minorEastAsia" w:cstheme="minorEastAsia"/>
                <w:sz w:val="20"/>
                <w:szCs w:val="20"/>
              </w:rPr>
            </w:pPr>
            <w:r>
              <w:rPr>
                <w:rFonts w:hint="eastAsia" w:asciiTheme="minorEastAsia" w:hAnsiTheme="minorEastAsia" w:cstheme="minorEastAsia"/>
                <w:sz w:val="24"/>
                <w:szCs w:val="24"/>
                <w:lang w:val="en-US" w:eastAsia="zh-CN"/>
              </w:rPr>
              <w:t>陕西希地工程项目管理有限公司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94" w:type="dxa"/>
            <w:tcBorders>
              <w:top w:val="single" w:color="auto" w:sz="4" w:space="0"/>
              <w:bottom w:val="single" w:color="auto" w:sz="4" w:space="0"/>
              <w:right w:val="single" w:color="auto" w:sz="4" w:space="0"/>
            </w:tcBorders>
            <w:vAlign w:val="center"/>
          </w:tcPr>
          <w:p>
            <w:pPr>
              <w:spacing w:line="520" w:lineRule="exact"/>
              <w:ind w:right="57"/>
              <w:jc w:val="center"/>
              <w:rPr>
                <w:rFonts w:asciiTheme="minorEastAsia" w:hAnsiTheme="minorEastAsia" w:cstheme="minorEastAsia"/>
                <w:sz w:val="24"/>
                <w:szCs w:val="24"/>
              </w:rPr>
            </w:pPr>
            <w:r>
              <w:rPr>
                <w:rFonts w:ascii="宋体" w:hAnsi="宋体" w:eastAsia="宋体" w:cs="Times New Roman"/>
                <w:sz w:val="24"/>
                <w:szCs w:val="24"/>
              </w:rPr>
              <w:t>5</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是否专门面向中小企业(监狱企业、残疾人福利性单位等)</w:t>
            </w:r>
          </w:p>
        </w:tc>
        <w:tc>
          <w:tcPr>
            <w:tcW w:w="4880" w:type="dxa"/>
            <w:tcBorders>
              <w:top w:val="single" w:color="auto" w:sz="4" w:space="0"/>
              <w:left w:val="single" w:color="auto" w:sz="4" w:space="0"/>
              <w:bottom w:val="single" w:color="auto" w:sz="4" w:space="0"/>
            </w:tcBorders>
            <w:vAlign w:val="center"/>
          </w:tcPr>
          <w:p>
            <w:pPr>
              <w:spacing w:line="520" w:lineRule="exact"/>
              <w:ind w:right="-105" w:rightChars="-50"/>
              <w:jc w:val="left"/>
              <w:rPr>
                <w:rFonts w:asciiTheme="minorEastAsia" w:hAnsiTheme="minorEastAsia" w:cstheme="minorEastAsia"/>
                <w:kern w:val="0"/>
                <w:sz w:val="20"/>
                <w:szCs w:val="20"/>
              </w:rPr>
            </w:pPr>
            <w:r>
              <w:rPr>
                <w:rFonts w:hint="eastAsia" w:ascii="宋体" w:hAnsi="宋体" w:cs="宋体"/>
                <w:color w:val="FF0000"/>
                <w:kern w:val="0"/>
                <w:sz w:val="24"/>
                <w:szCs w:val="24"/>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794" w:type="dxa"/>
            <w:tcBorders>
              <w:top w:val="single" w:color="auto" w:sz="4" w:space="0"/>
              <w:bottom w:val="single" w:color="auto" w:sz="4" w:space="0"/>
              <w:right w:val="single" w:color="auto" w:sz="4" w:space="0"/>
            </w:tcBorders>
            <w:vAlign w:val="center"/>
          </w:tcPr>
          <w:p>
            <w:pPr>
              <w:spacing w:line="520" w:lineRule="exact"/>
              <w:ind w:right="57"/>
              <w:jc w:val="center"/>
              <w:rPr>
                <w:rFonts w:asciiTheme="minorEastAsia" w:hAnsiTheme="minorEastAsia" w:cstheme="minorEastAsia"/>
                <w:sz w:val="24"/>
                <w:szCs w:val="24"/>
              </w:rPr>
            </w:pPr>
            <w:r>
              <w:rPr>
                <w:rFonts w:hint="eastAsia" w:asciiTheme="minorEastAsia" w:hAnsiTheme="minorEastAsia" w:cstheme="minorEastAsia"/>
                <w:sz w:val="24"/>
                <w:szCs w:val="24"/>
              </w:rPr>
              <w:t>6</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Theme="minorEastAsia" w:hAnsiTheme="minorEastAsia" w:cstheme="minorEastAsia"/>
                <w:sz w:val="22"/>
                <w:szCs w:val="22"/>
              </w:rPr>
            </w:pPr>
            <w:r>
              <w:rPr>
                <w:rFonts w:hint="eastAsia" w:ascii="宋体" w:hAnsi="宋体" w:cs="宋体"/>
                <w:color w:val="FF0000"/>
                <w:kern w:val="0"/>
                <w:sz w:val="24"/>
                <w:szCs w:val="24"/>
              </w:rPr>
              <w:t>非专门面向中小企业的，中小企业价格扣除比例</w:t>
            </w:r>
          </w:p>
        </w:tc>
        <w:tc>
          <w:tcPr>
            <w:tcW w:w="4880" w:type="dxa"/>
            <w:tcBorders>
              <w:top w:val="single" w:color="auto" w:sz="4" w:space="0"/>
              <w:left w:val="single" w:color="auto" w:sz="4" w:space="0"/>
              <w:bottom w:val="single" w:color="auto" w:sz="4" w:space="0"/>
            </w:tcBorders>
            <w:vAlign w:val="center"/>
          </w:tcPr>
          <w:p>
            <w:pPr>
              <w:adjustRightInd w:val="0"/>
              <w:snapToGrid w:val="0"/>
              <w:spacing w:line="420" w:lineRule="exact"/>
              <w:rPr>
                <w:rFonts w:asciiTheme="minorEastAsia" w:hAnsiTheme="minorEastAsia" w:cstheme="minorEastAsia"/>
                <w:sz w:val="20"/>
                <w:szCs w:val="20"/>
              </w:rPr>
            </w:pPr>
            <w:r>
              <w:rPr>
                <w:rFonts w:hint="eastAsia" w:asciiTheme="minorEastAsia" w:hAnsiTheme="minorEastAsia" w:cstheme="minorEastAsia"/>
                <w:sz w:val="24"/>
                <w:szCs w:val="24"/>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794" w:type="dxa"/>
            <w:tcBorders>
              <w:top w:val="single" w:color="auto" w:sz="4" w:space="0"/>
              <w:bottom w:val="single" w:color="auto" w:sz="4" w:space="0"/>
              <w:right w:val="single" w:color="auto" w:sz="4" w:space="0"/>
            </w:tcBorders>
            <w:vAlign w:val="center"/>
          </w:tcPr>
          <w:p>
            <w:pPr>
              <w:spacing w:line="520" w:lineRule="exact"/>
              <w:ind w:right="57"/>
              <w:jc w:val="center"/>
              <w:rPr>
                <w:rFonts w:asciiTheme="minorEastAsia" w:hAnsiTheme="minorEastAsia" w:cstheme="minorEastAsia"/>
                <w:sz w:val="24"/>
                <w:szCs w:val="24"/>
              </w:rPr>
            </w:pPr>
            <w:r>
              <w:rPr>
                <w:rFonts w:hint="eastAsia" w:asciiTheme="minorEastAsia" w:hAnsiTheme="minorEastAsia" w:cstheme="minorEastAsia"/>
                <w:sz w:val="24"/>
                <w:szCs w:val="24"/>
              </w:rPr>
              <w:t>7</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质疑及提交</w:t>
            </w:r>
          </w:p>
        </w:tc>
        <w:tc>
          <w:tcPr>
            <w:tcW w:w="4880" w:type="dxa"/>
            <w:tcBorders>
              <w:top w:val="single" w:color="auto" w:sz="4" w:space="0"/>
              <w:left w:val="single" w:color="auto" w:sz="4" w:space="0"/>
              <w:bottom w:val="single" w:color="auto" w:sz="4" w:space="0"/>
            </w:tcBorders>
            <w:vAlign w:val="center"/>
          </w:tcPr>
          <w:p>
            <w:pPr>
              <w:spacing w:line="520" w:lineRule="exact"/>
              <w:ind w:right="-107" w:rightChars="-51"/>
              <w:jc w:val="left"/>
              <w:rPr>
                <w:rFonts w:asciiTheme="minorEastAsia" w:hAnsiTheme="minorEastAsia" w:cstheme="minorEastAsia"/>
                <w:sz w:val="20"/>
                <w:szCs w:val="20"/>
              </w:rPr>
            </w:pPr>
            <w:r>
              <w:rPr>
                <w:rFonts w:hint="eastAsia" w:asciiTheme="minorEastAsia" w:hAnsiTheme="minorEastAsia" w:cstheme="minorEastAsia"/>
                <w:sz w:val="24"/>
                <w:szCs w:val="24"/>
              </w:rPr>
              <w:t>详见本章“质疑及提交”要求</w:t>
            </w:r>
          </w:p>
        </w:tc>
      </w:tr>
    </w:tbl>
    <w:p>
      <w:pPr>
        <w:widowControl/>
        <w:jc w:val="left"/>
        <w:rPr>
          <w:rFonts w:asciiTheme="minorEastAsia" w:hAnsiTheme="minorEastAsia" w:cstheme="minorEastAsia"/>
          <w:bCs/>
          <w:sz w:val="22"/>
          <w:szCs w:val="22"/>
        </w:rPr>
      </w:pPr>
    </w:p>
    <w:p>
      <w:pPr>
        <w:spacing w:line="360" w:lineRule="auto"/>
        <w:ind w:firstLine="495" w:firstLineChars="176"/>
        <w:rPr>
          <w:rFonts w:asciiTheme="minorEastAsia" w:hAnsiTheme="minorEastAsia" w:cstheme="minorEastAsia"/>
          <w:b/>
          <w:sz w:val="28"/>
          <w:szCs w:val="28"/>
        </w:rPr>
      </w:pPr>
    </w:p>
    <w:p>
      <w:pPr>
        <w:spacing w:line="360" w:lineRule="auto"/>
        <w:ind w:firstLine="495" w:firstLineChars="176"/>
        <w:rPr>
          <w:rFonts w:asciiTheme="minorEastAsia" w:hAnsiTheme="minorEastAsia" w:cstheme="minorEastAsia"/>
          <w:b/>
          <w:sz w:val="28"/>
          <w:szCs w:val="28"/>
        </w:rPr>
      </w:pPr>
    </w:p>
    <w:p>
      <w:pPr>
        <w:spacing w:line="360" w:lineRule="auto"/>
        <w:ind w:firstLine="495" w:firstLineChars="176"/>
        <w:rPr>
          <w:rFonts w:asciiTheme="minorEastAsia" w:hAnsiTheme="minorEastAsia" w:cstheme="minorEastAsia"/>
          <w:b/>
          <w:sz w:val="28"/>
          <w:szCs w:val="28"/>
        </w:rPr>
      </w:pPr>
    </w:p>
    <w:p>
      <w:pPr>
        <w:spacing w:line="360" w:lineRule="auto"/>
        <w:ind w:firstLine="495" w:firstLineChars="176"/>
        <w:rPr>
          <w:rFonts w:asciiTheme="minorEastAsia" w:hAnsiTheme="minorEastAsia" w:cstheme="minorEastAsia"/>
          <w:b/>
          <w:sz w:val="28"/>
          <w:szCs w:val="28"/>
        </w:rPr>
      </w:pPr>
    </w:p>
    <w:p>
      <w:pPr>
        <w:spacing w:line="360" w:lineRule="auto"/>
        <w:ind w:firstLine="495" w:firstLineChars="176"/>
        <w:rPr>
          <w:rFonts w:asciiTheme="minorEastAsia" w:hAnsiTheme="minorEastAsia" w:cstheme="minorEastAsia"/>
          <w:b/>
          <w:sz w:val="28"/>
          <w:szCs w:val="28"/>
        </w:rPr>
      </w:pPr>
    </w:p>
    <w:p>
      <w:pPr>
        <w:pStyle w:val="8"/>
        <w:rPr>
          <w:sz w:val="20"/>
          <w:szCs w:val="21"/>
        </w:rPr>
      </w:pPr>
    </w:p>
    <w:p>
      <w:pPr>
        <w:spacing w:line="360" w:lineRule="auto"/>
        <w:ind w:firstLine="495" w:firstLineChars="176"/>
        <w:rPr>
          <w:rFonts w:asciiTheme="minorEastAsia" w:hAnsiTheme="minorEastAsia" w:cstheme="minorEastAsia"/>
          <w:b/>
          <w:sz w:val="28"/>
          <w:szCs w:val="28"/>
        </w:rPr>
      </w:pPr>
    </w:p>
    <w:p>
      <w:pPr>
        <w:spacing w:line="360" w:lineRule="auto"/>
        <w:ind w:firstLine="495" w:firstLineChars="176"/>
        <w:rPr>
          <w:rFonts w:asciiTheme="minorEastAsia" w:hAnsiTheme="minorEastAsia" w:cstheme="minorEastAsia"/>
          <w:b/>
          <w:sz w:val="28"/>
          <w:szCs w:val="28"/>
        </w:rPr>
      </w:pPr>
      <w:r>
        <w:rPr>
          <w:rFonts w:hint="eastAsia" w:asciiTheme="minorEastAsia" w:hAnsiTheme="minorEastAsia" w:cstheme="minorEastAsia"/>
          <w:b/>
          <w:sz w:val="28"/>
          <w:szCs w:val="28"/>
        </w:rPr>
        <w:t>一、总　则</w:t>
      </w:r>
    </w:p>
    <w:p>
      <w:pPr>
        <w:spacing w:line="360" w:lineRule="auto"/>
        <w:ind w:firstLine="424" w:firstLineChars="176"/>
        <w:rPr>
          <w:rFonts w:asciiTheme="minorEastAsia" w:hAnsiTheme="minorEastAsia" w:cstheme="minorEastAsia"/>
          <w:b/>
          <w:sz w:val="24"/>
          <w:szCs w:val="24"/>
        </w:rPr>
      </w:pPr>
      <w:r>
        <w:rPr>
          <w:rFonts w:hint="eastAsia" w:asciiTheme="minorEastAsia" w:hAnsiTheme="minorEastAsia" w:cstheme="minorEastAsia"/>
          <w:b/>
          <w:sz w:val="24"/>
          <w:szCs w:val="24"/>
        </w:rPr>
        <w:t>（一）适用范围</w:t>
      </w:r>
    </w:p>
    <w:p>
      <w:pPr>
        <w:spacing w:line="360" w:lineRule="auto"/>
        <w:ind w:firstLine="422" w:firstLineChars="176"/>
        <w:rPr>
          <w:rFonts w:asciiTheme="minorEastAsia" w:hAnsiTheme="minorEastAsia" w:cstheme="minorEastAsia"/>
          <w:bCs/>
          <w:sz w:val="24"/>
          <w:szCs w:val="24"/>
        </w:rPr>
      </w:pPr>
      <w:r>
        <w:rPr>
          <w:rFonts w:hint="eastAsia" w:asciiTheme="minorEastAsia" w:hAnsiTheme="minorEastAsia" w:cstheme="minorEastAsia"/>
          <w:bCs/>
          <w:sz w:val="24"/>
          <w:szCs w:val="24"/>
        </w:rPr>
        <w:t>本文件仅适用于本文件中所叙述的货物、服务类政府采购项目。</w:t>
      </w:r>
    </w:p>
    <w:p>
      <w:pPr>
        <w:spacing w:line="360" w:lineRule="auto"/>
        <w:ind w:firstLine="424" w:firstLineChars="176"/>
        <w:rPr>
          <w:rFonts w:asciiTheme="minorEastAsia" w:hAnsiTheme="minorEastAsia" w:cstheme="minorEastAsia"/>
          <w:bCs/>
          <w:sz w:val="24"/>
          <w:szCs w:val="24"/>
        </w:rPr>
      </w:pPr>
      <w:r>
        <w:rPr>
          <w:rFonts w:hint="eastAsia" w:asciiTheme="minorEastAsia" w:hAnsiTheme="minorEastAsia" w:cstheme="minorEastAsia"/>
          <w:b/>
          <w:sz w:val="24"/>
          <w:szCs w:val="24"/>
        </w:rPr>
        <w:t>（二）定义</w:t>
      </w:r>
    </w:p>
    <w:p>
      <w:pPr>
        <w:spacing w:line="360" w:lineRule="auto"/>
        <w:ind w:firstLine="424" w:firstLineChars="176"/>
        <w:rPr>
          <w:rFonts w:asciiTheme="minorEastAsia" w:hAnsiTheme="minorEastAsia" w:cstheme="minorEastAsia"/>
          <w:bCs/>
          <w:sz w:val="24"/>
          <w:szCs w:val="24"/>
        </w:rPr>
      </w:pPr>
      <w:r>
        <w:rPr>
          <w:rFonts w:hint="eastAsia" w:asciiTheme="minorEastAsia" w:hAnsiTheme="minorEastAsia" w:cstheme="minorEastAsia"/>
          <w:b/>
          <w:sz w:val="24"/>
          <w:szCs w:val="24"/>
        </w:rPr>
        <w:t>1.“采购人”是指：</w:t>
      </w:r>
      <w:r>
        <w:rPr>
          <w:rFonts w:hint="eastAsia" w:asciiTheme="minorEastAsia" w:hAnsiTheme="minorEastAsia" w:cstheme="minorEastAsia"/>
          <w:bCs/>
          <w:color w:val="000000" w:themeColor="text1"/>
          <w:sz w:val="24"/>
          <w:szCs w:val="24"/>
        </w:rPr>
        <w:t>详见《磋商须知前附表》</w:t>
      </w:r>
      <w:r>
        <w:rPr>
          <w:rFonts w:hint="eastAsia" w:asciiTheme="minorEastAsia" w:hAnsiTheme="minorEastAsia" w:cstheme="minorEastAsia"/>
          <w:bCs/>
          <w:sz w:val="24"/>
          <w:szCs w:val="24"/>
        </w:rPr>
        <w:t>。</w:t>
      </w:r>
    </w:p>
    <w:p>
      <w:pPr>
        <w:spacing w:line="360" w:lineRule="auto"/>
        <w:ind w:firstLine="424" w:firstLineChars="176"/>
        <w:rPr>
          <w:rFonts w:asciiTheme="minorEastAsia" w:hAnsiTheme="minorEastAsia" w:cstheme="minorEastAsia"/>
          <w:bCs/>
          <w:sz w:val="24"/>
          <w:szCs w:val="24"/>
        </w:rPr>
      </w:pPr>
      <w:r>
        <w:rPr>
          <w:rFonts w:hint="eastAsia" w:asciiTheme="minorEastAsia" w:hAnsiTheme="minorEastAsia" w:cstheme="minorEastAsia"/>
          <w:b/>
          <w:sz w:val="24"/>
          <w:szCs w:val="24"/>
        </w:rPr>
        <w:t>2.“监管部门”是指：</w:t>
      </w:r>
      <w:r>
        <w:rPr>
          <w:rFonts w:hint="eastAsia" w:asciiTheme="minorEastAsia" w:hAnsiTheme="minorEastAsia" w:cstheme="minorEastAsia"/>
          <w:b w:val="0"/>
          <w:bCs/>
          <w:sz w:val="24"/>
          <w:szCs w:val="24"/>
        </w:rPr>
        <w:t>阳新县政府采购办公室、</w:t>
      </w:r>
      <w:r>
        <w:rPr>
          <w:rFonts w:hint="eastAsia" w:asciiTheme="minorEastAsia" w:hAnsiTheme="minorEastAsia" w:cstheme="minorEastAsia"/>
          <w:b w:val="0"/>
          <w:bCs/>
          <w:sz w:val="24"/>
          <w:szCs w:val="24"/>
          <w:lang w:eastAsia="zh-CN"/>
        </w:rPr>
        <w:t>阳新县政务服务和大数据管理局</w:t>
      </w:r>
      <w:r>
        <w:rPr>
          <w:rFonts w:hint="eastAsia" w:asciiTheme="minorEastAsia" w:hAnsiTheme="minorEastAsia" w:cstheme="minorEastAsia"/>
          <w:bCs/>
          <w:sz w:val="24"/>
          <w:szCs w:val="24"/>
        </w:rPr>
        <w:t>。</w:t>
      </w:r>
    </w:p>
    <w:p>
      <w:pPr>
        <w:spacing w:line="360" w:lineRule="auto"/>
        <w:ind w:firstLine="424" w:firstLineChars="176"/>
        <w:rPr>
          <w:rFonts w:asciiTheme="minorEastAsia" w:hAnsiTheme="minorEastAsia" w:cstheme="minorEastAsia"/>
          <w:bCs/>
          <w:sz w:val="24"/>
          <w:szCs w:val="24"/>
        </w:rPr>
      </w:pPr>
      <w:r>
        <w:rPr>
          <w:rFonts w:hint="eastAsia" w:asciiTheme="minorEastAsia" w:hAnsiTheme="minorEastAsia" w:cstheme="minorEastAsia"/>
          <w:b/>
          <w:sz w:val="24"/>
          <w:szCs w:val="24"/>
        </w:rPr>
        <w:t>3.“</w:t>
      </w:r>
      <w:r>
        <w:rPr>
          <w:rFonts w:hint="eastAsia" w:asciiTheme="minorEastAsia" w:hAnsiTheme="minorEastAsia" w:cstheme="minorEastAsia"/>
          <w:b/>
          <w:sz w:val="24"/>
          <w:szCs w:val="24"/>
          <w:lang w:eastAsia="zh-CN"/>
        </w:rPr>
        <w:t>采购代理机构</w:t>
      </w:r>
      <w:r>
        <w:rPr>
          <w:rFonts w:hint="eastAsia" w:asciiTheme="minorEastAsia" w:hAnsiTheme="minorEastAsia" w:cstheme="minorEastAsia"/>
          <w:b/>
          <w:sz w:val="24"/>
          <w:szCs w:val="24"/>
        </w:rPr>
        <w:t>”是指：</w:t>
      </w:r>
      <w:r>
        <w:rPr>
          <w:rFonts w:hint="eastAsia" w:asciiTheme="minorEastAsia" w:hAnsiTheme="minorEastAsia" w:cstheme="minorEastAsia"/>
          <w:bCs/>
          <w:color w:val="000000" w:themeColor="text1"/>
          <w:sz w:val="24"/>
          <w:szCs w:val="24"/>
        </w:rPr>
        <w:t>详见《磋商须知前附表》</w:t>
      </w:r>
      <w:r>
        <w:rPr>
          <w:rFonts w:hint="eastAsia" w:asciiTheme="minorEastAsia" w:hAnsiTheme="minorEastAsia" w:cstheme="minorEastAsia"/>
          <w:bCs/>
          <w:sz w:val="24"/>
          <w:szCs w:val="24"/>
        </w:rPr>
        <w:t>。</w:t>
      </w:r>
    </w:p>
    <w:p>
      <w:pPr>
        <w:spacing w:line="360" w:lineRule="auto"/>
        <w:ind w:firstLine="424" w:firstLineChars="176"/>
        <w:rPr>
          <w:rFonts w:asciiTheme="minorEastAsia" w:hAnsiTheme="minorEastAsia" w:cstheme="minorEastAsia"/>
          <w:bCs/>
          <w:sz w:val="24"/>
          <w:szCs w:val="24"/>
        </w:rPr>
      </w:pPr>
      <w:r>
        <w:rPr>
          <w:rFonts w:hint="eastAsia" w:asciiTheme="minorEastAsia" w:hAnsiTheme="minorEastAsia" w:cstheme="minorEastAsia"/>
          <w:b/>
          <w:sz w:val="24"/>
          <w:szCs w:val="24"/>
        </w:rPr>
        <w:t>4.“磋商文件”是指：</w:t>
      </w:r>
      <w:r>
        <w:rPr>
          <w:rFonts w:hint="eastAsia" w:asciiTheme="minorEastAsia" w:hAnsiTheme="minorEastAsia" w:cstheme="minorEastAsia"/>
          <w:bCs/>
          <w:sz w:val="24"/>
          <w:szCs w:val="24"/>
        </w:rPr>
        <w:t>竞争性磋商文件。</w:t>
      </w:r>
    </w:p>
    <w:p>
      <w:pPr>
        <w:spacing w:line="360" w:lineRule="auto"/>
        <w:ind w:firstLine="424" w:firstLineChars="176"/>
        <w:rPr>
          <w:rFonts w:asciiTheme="minorEastAsia" w:hAnsiTheme="minorEastAsia" w:cstheme="minorEastAsia"/>
          <w:bCs/>
          <w:sz w:val="24"/>
          <w:szCs w:val="24"/>
        </w:rPr>
      </w:pPr>
      <w:r>
        <w:rPr>
          <w:rFonts w:hint="eastAsia" w:asciiTheme="minorEastAsia" w:hAnsiTheme="minorEastAsia" w:cstheme="minorEastAsia"/>
          <w:b/>
          <w:sz w:val="24"/>
          <w:szCs w:val="24"/>
        </w:rPr>
        <w:t>5.“供应商”是指：</w:t>
      </w:r>
      <w:r>
        <w:rPr>
          <w:rFonts w:hint="eastAsia" w:asciiTheme="minorEastAsia" w:hAnsiTheme="minorEastAsia" w:cstheme="minorEastAsia"/>
          <w:bCs/>
          <w:sz w:val="24"/>
          <w:szCs w:val="24"/>
        </w:rPr>
        <w:t>获得该项目磋商小组确定参加竞争性磋商的法人、其他组织或者自然人。如果该供应商在本次磋商中成交,即成为“成交供应商”。</w:t>
      </w:r>
    </w:p>
    <w:p>
      <w:pPr>
        <w:spacing w:line="360" w:lineRule="auto"/>
        <w:ind w:firstLine="424" w:firstLineChars="176"/>
        <w:rPr>
          <w:rFonts w:asciiTheme="minorEastAsia" w:hAnsiTheme="minorEastAsia" w:cstheme="minorEastAsia"/>
          <w:bCs/>
          <w:sz w:val="24"/>
          <w:szCs w:val="24"/>
        </w:rPr>
      </w:pPr>
      <w:r>
        <w:rPr>
          <w:rFonts w:hint="eastAsia" w:asciiTheme="minorEastAsia" w:hAnsiTheme="minorEastAsia" w:cstheme="minorEastAsia"/>
          <w:b/>
          <w:sz w:val="24"/>
          <w:szCs w:val="24"/>
        </w:rPr>
        <w:t>6.“货物”是指：</w:t>
      </w:r>
      <w:r>
        <w:rPr>
          <w:rFonts w:hint="eastAsia" w:asciiTheme="minorEastAsia" w:hAnsiTheme="minorEastAsia" w:cstheme="minorEastAsia"/>
          <w:bCs/>
          <w:sz w:val="24"/>
          <w:szCs w:val="24"/>
        </w:rPr>
        <w:t>是指成交供应商按本文件规定，向采购人提供的一切货物及其相关服务。根据《政府采购法》的相关规定均应是本国货物，另有规定的除外。</w:t>
      </w:r>
    </w:p>
    <w:p>
      <w:pPr>
        <w:spacing w:line="360" w:lineRule="auto"/>
        <w:ind w:firstLine="424" w:firstLineChars="176"/>
        <w:rPr>
          <w:rFonts w:asciiTheme="minorEastAsia" w:hAnsiTheme="minorEastAsia" w:cstheme="minorEastAsia"/>
          <w:bCs/>
          <w:sz w:val="24"/>
          <w:szCs w:val="24"/>
        </w:rPr>
      </w:pPr>
      <w:r>
        <w:rPr>
          <w:rFonts w:hint="eastAsia" w:asciiTheme="minorEastAsia" w:hAnsiTheme="minorEastAsia" w:cstheme="minorEastAsia"/>
          <w:b/>
          <w:sz w:val="24"/>
          <w:szCs w:val="24"/>
        </w:rPr>
        <w:t>7.“服务”是指：</w:t>
      </w:r>
      <w:r>
        <w:rPr>
          <w:rFonts w:hint="eastAsia" w:asciiTheme="minorEastAsia" w:hAnsiTheme="minorEastAsia" w:cstheme="minorEastAsia"/>
          <w:bCs/>
          <w:sz w:val="24"/>
          <w:szCs w:val="24"/>
        </w:rPr>
        <w:t>成交供应商按本文件规定向采购人提供的所有服务。</w:t>
      </w:r>
    </w:p>
    <w:p>
      <w:pPr>
        <w:spacing w:line="360" w:lineRule="auto"/>
        <w:ind w:firstLine="424" w:firstLineChars="176"/>
        <w:rPr>
          <w:rFonts w:ascii="宋体" w:hAnsi="宋体" w:eastAsia="宋体" w:cs="Times New Roman"/>
          <w:bCs/>
          <w:sz w:val="24"/>
          <w:szCs w:val="24"/>
        </w:rPr>
      </w:pPr>
      <w:r>
        <w:rPr>
          <w:rFonts w:hint="eastAsia" w:asciiTheme="minorEastAsia" w:hAnsiTheme="minorEastAsia" w:cstheme="minorEastAsia"/>
          <w:b/>
          <w:sz w:val="24"/>
          <w:szCs w:val="24"/>
        </w:rPr>
        <w:t>8.“工程”是指：</w:t>
      </w:r>
      <w:r>
        <w:rPr>
          <w:rFonts w:hint="eastAsia" w:ascii="宋体" w:hAnsi="宋体" w:eastAsia="宋体" w:cs="Times New Roman"/>
          <w:bCs/>
          <w:sz w:val="24"/>
          <w:szCs w:val="24"/>
        </w:rPr>
        <w:t>与建筑物和构建物新建、改建、扩建无关、单独的装修工程、修缮工程等。</w:t>
      </w:r>
    </w:p>
    <w:p>
      <w:pPr>
        <w:spacing w:line="360" w:lineRule="auto"/>
        <w:ind w:firstLine="424" w:firstLineChars="176"/>
        <w:rPr>
          <w:rFonts w:ascii="宋体" w:hAnsi="宋体" w:eastAsia="宋体" w:cs="Times New Roman"/>
          <w:bCs/>
          <w:sz w:val="24"/>
          <w:szCs w:val="24"/>
        </w:rPr>
      </w:pPr>
      <w:r>
        <w:rPr>
          <w:rFonts w:hint="eastAsia" w:asciiTheme="minorEastAsia" w:hAnsiTheme="minorEastAsia" w:cstheme="minorEastAsia"/>
          <w:b/>
          <w:sz w:val="24"/>
          <w:szCs w:val="24"/>
        </w:rPr>
        <w:t>9.“响应文件”是指：</w:t>
      </w:r>
      <w:r>
        <w:rPr>
          <w:rFonts w:ascii="宋体" w:hAnsi="宋体" w:eastAsia="宋体" w:cs="Times New Roman"/>
          <w:bCs/>
          <w:sz w:val="24"/>
          <w:szCs w:val="24"/>
        </w:rPr>
        <w:t>供应商根据本文件要求编制包含价格、技术、服务和合同草案条款等所有内容的文件。</w:t>
      </w:r>
    </w:p>
    <w:p>
      <w:pPr>
        <w:spacing w:line="360" w:lineRule="auto"/>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（三）</w:t>
      </w:r>
      <w:r>
        <w:rPr>
          <w:rFonts w:ascii="宋体" w:hAnsi="宋体" w:eastAsia="宋体" w:cs="Times New Roman"/>
          <w:b/>
          <w:bCs/>
          <w:sz w:val="24"/>
          <w:szCs w:val="24"/>
        </w:rPr>
        <w:t>供应商应具备以下条件，并提供相关证明材料，对于未提供或提供的材料不符合本文件要求的，磋商小组将拒绝其参加磋商。资格证明文件应真实可靠、不得伪造。</w:t>
      </w:r>
      <w:r>
        <w:rPr>
          <w:rFonts w:ascii="宋体" w:hAnsi="宋体" w:eastAsia="宋体" w:cs="Times New Roman"/>
          <w:b/>
          <w:bCs/>
          <w:sz w:val="24"/>
          <w:szCs w:val="24"/>
          <w:highlight w:val="yellow"/>
        </w:rPr>
        <w:t>响应文件中提交的资格证明文件</w:t>
      </w:r>
      <w:r>
        <w:rPr>
          <w:rFonts w:hint="eastAsia" w:ascii="宋体" w:hAnsi="宋体" w:eastAsia="宋体" w:cs="Times New Roman"/>
          <w:b/>
          <w:bCs/>
          <w:sz w:val="24"/>
          <w:szCs w:val="24"/>
          <w:highlight w:val="yellow"/>
        </w:rPr>
        <w:t>均</w:t>
      </w:r>
      <w:r>
        <w:rPr>
          <w:rFonts w:ascii="宋体" w:hAnsi="宋体" w:eastAsia="宋体" w:cs="Times New Roman"/>
          <w:b/>
          <w:bCs/>
          <w:sz w:val="24"/>
          <w:szCs w:val="24"/>
          <w:highlight w:val="yellow"/>
        </w:rPr>
        <w:t>为</w:t>
      </w:r>
      <w:r>
        <w:rPr>
          <w:rFonts w:hint="eastAsia" w:ascii="宋体" w:hAnsi="宋体" w:eastAsia="宋体" w:cs="Times New Roman"/>
          <w:b/>
          <w:bCs/>
          <w:sz w:val="24"/>
          <w:szCs w:val="24"/>
          <w:highlight w:val="yellow"/>
        </w:rPr>
        <w:t>原件电子扫描件且</w:t>
      </w:r>
      <w:r>
        <w:rPr>
          <w:rFonts w:ascii="宋体" w:hAnsi="宋体" w:eastAsia="宋体" w:cs="Times New Roman"/>
          <w:b/>
          <w:bCs/>
          <w:sz w:val="24"/>
          <w:szCs w:val="24"/>
          <w:highlight w:val="yellow"/>
        </w:rPr>
        <w:t>加盖</w:t>
      </w:r>
      <w:r>
        <w:rPr>
          <w:rFonts w:hint="eastAsia" w:ascii="宋体" w:hAnsi="宋体" w:eastAsia="宋体" w:cs="Times New Roman"/>
          <w:b/>
          <w:bCs/>
          <w:sz w:val="24"/>
          <w:szCs w:val="24"/>
          <w:highlight w:val="yellow"/>
        </w:rPr>
        <w:t>签</w:t>
      </w:r>
      <w:r>
        <w:rPr>
          <w:rFonts w:ascii="宋体" w:hAnsi="宋体" w:eastAsia="宋体" w:cs="Times New Roman"/>
          <w:b/>
          <w:bCs/>
          <w:sz w:val="24"/>
          <w:szCs w:val="24"/>
          <w:highlight w:val="yellow"/>
        </w:rPr>
        <w:t>章。</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w:t>
      </w:r>
      <w:r>
        <w:rPr>
          <w:rFonts w:ascii="宋体" w:hAnsi="宋体" w:eastAsia="宋体" w:cs="Times New Roman"/>
          <w:bCs/>
          <w:sz w:val="24"/>
          <w:szCs w:val="24"/>
        </w:rPr>
        <w:t>具备《政府采购法》第二十二条第一款规定的条件，并提供以下证明材料：</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w:t>
      </w:r>
      <w:r>
        <w:rPr>
          <w:rFonts w:ascii="宋体" w:hAnsi="宋体" w:eastAsia="宋体" w:cs="Times New Roman"/>
          <w:bCs/>
          <w:sz w:val="24"/>
          <w:szCs w:val="24"/>
        </w:rPr>
        <w:t>法人或者其他组织的营业执照等证明文件，如供应商是自然人的提供身份证明材料；</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（2）</w:t>
      </w:r>
      <w:r>
        <w:rPr>
          <w:rFonts w:ascii="宋体" w:hAnsi="宋体" w:eastAsia="宋体" w:cs="Times New Roman"/>
          <w:bCs/>
          <w:sz w:val="24"/>
          <w:szCs w:val="24"/>
        </w:rPr>
        <w:t>财务状况报告，依法缴纳税收和社会保障资金的相关材料；</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（3）</w:t>
      </w:r>
      <w:r>
        <w:rPr>
          <w:rFonts w:ascii="宋体" w:hAnsi="宋体" w:eastAsia="宋体" w:cs="Times New Roman"/>
          <w:bCs/>
          <w:sz w:val="24"/>
          <w:szCs w:val="24"/>
        </w:rPr>
        <w:t>具备履行合同所必需的设备和专业技术能力的证明材料；</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（4）</w:t>
      </w:r>
      <w:r>
        <w:rPr>
          <w:rFonts w:ascii="宋体" w:hAnsi="宋体" w:eastAsia="宋体" w:cs="Times New Roman"/>
          <w:bCs/>
          <w:sz w:val="24"/>
          <w:szCs w:val="24"/>
        </w:rPr>
        <w:t>参加政府采购活动前3年内在经营活动中没有重大违法记录的书面声明；</w:t>
      </w:r>
    </w:p>
    <w:p>
      <w:pPr>
        <w:spacing w:line="360" w:lineRule="auto"/>
        <w:ind w:firstLine="422" w:firstLineChars="176"/>
        <w:rPr>
          <w:rFonts w:ascii="宋体" w:hAnsi="宋体" w:eastAsia="宋体" w:cs="Times New Roman"/>
          <w:bCs/>
          <w:sz w:val="24"/>
          <w:szCs w:val="24"/>
        </w:rPr>
      </w:pP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lang w:val="en-US" w:eastAsia="zh-CN"/>
        </w:rPr>
        <w:t>2</w:t>
      </w:r>
      <w:r>
        <w:rPr>
          <w:rFonts w:hint="eastAsia" w:ascii="宋体" w:hAnsi="宋体" w:eastAsia="宋体" w:cs="Times New Roman"/>
          <w:bCs/>
          <w:sz w:val="24"/>
          <w:szCs w:val="24"/>
        </w:rPr>
        <w:t>.未被列入“信用中国”网站(www.creditchina.gov.cn)、失信被执行人、重大税收违法案件当事人名单，中国政府采购网（www.ccgp.gov.cn）政府采购严重违法失信行为记录名单的网页截图。</w:t>
      </w:r>
    </w:p>
    <w:p>
      <w:pPr>
        <w:spacing w:line="360" w:lineRule="auto"/>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（四）</w:t>
      </w:r>
      <w:r>
        <w:rPr>
          <w:rFonts w:ascii="宋体" w:hAnsi="宋体" w:eastAsia="宋体" w:cs="Times New Roman"/>
          <w:b/>
          <w:bCs/>
          <w:sz w:val="24"/>
          <w:szCs w:val="24"/>
        </w:rPr>
        <w:t>费用</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w:t>
      </w:r>
      <w:r>
        <w:rPr>
          <w:rFonts w:ascii="宋体" w:hAnsi="宋体" w:eastAsia="宋体" w:cs="Times New Roman"/>
          <w:bCs/>
          <w:sz w:val="24"/>
          <w:szCs w:val="24"/>
        </w:rPr>
        <w:t>供应商应自行承担所有与编写和提交响应文件有关的费用，不论磋商结果如何，采购人和</w:t>
      </w:r>
      <w:r>
        <w:rPr>
          <w:rFonts w:hint="eastAsia" w:ascii="宋体" w:hAnsi="宋体" w:eastAsia="宋体" w:cs="宋体"/>
          <w:sz w:val="24"/>
          <w:szCs w:val="24"/>
          <w:lang w:eastAsia="zh-CN"/>
        </w:rPr>
        <w:t>采购代理机构</w:t>
      </w:r>
      <w:r>
        <w:rPr>
          <w:rFonts w:ascii="宋体" w:hAnsi="宋体" w:eastAsia="宋体" w:cs="Times New Roman"/>
          <w:bCs/>
          <w:sz w:val="24"/>
          <w:szCs w:val="24"/>
        </w:rPr>
        <w:t>在任何情况下</w:t>
      </w:r>
      <w:r>
        <w:rPr>
          <w:rFonts w:hint="eastAsia" w:ascii="宋体" w:hAnsi="宋体"/>
          <w:sz w:val="24"/>
          <w:szCs w:val="22"/>
        </w:rPr>
        <w:t>均无义务和责任承担这些费用</w:t>
      </w:r>
      <w:r>
        <w:rPr>
          <w:rFonts w:ascii="宋体" w:hAnsi="宋体" w:eastAsia="宋体" w:cs="Times New Roman"/>
          <w:bCs/>
          <w:sz w:val="24"/>
          <w:szCs w:val="24"/>
        </w:rPr>
        <w:t>。</w:t>
      </w:r>
    </w:p>
    <w:p>
      <w:pPr>
        <w:spacing w:line="360" w:lineRule="auto"/>
        <w:ind w:firstLine="422" w:firstLineChars="176"/>
        <w:rPr>
          <w:rFonts w:hint="eastAsia" w:ascii="宋体" w:hAnsi="宋体" w:eastAsia="宋体" w:cs="Times New Roman"/>
          <w:bCs/>
          <w:sz w:val="24"/>
          <w:szCs w:val="24"/>
        </w:rPr>
      </w:pPr>
      <w:r>
        <w:rPr>
          <w:rFonts w:hint="eastAsia" w:ascii="宋体" w:hAnsi="宋体" w:eastAsia="宋体" w:cs="Times New Roman"/>
          <w:bCs/>
          <w:sz w:val="24"/>
          <w:szCs w:val="24"/>
        </w:rPr>
        <w:t>2.采购代理服务费</w:t>
      </w:r>
    </w:p>
    <w:p>
      <w:pPr>
        <w:spacing w:line="360" w:lineRule="auto"/>
        <w:ind w:firstLine="422" w:firstLineChars="176"/>
        <w:rPr>
          <w:rFonts w:hint="eastAsia" w:ascii="宋体" w:hAnsi="宋体" w:eastAsia="宋体" w:cs="Times New Roman"/>
          <w:bCs/>
          <w:sz w:val="24"/>
          <w:szCs w:val="24"/>
          <w:lang w:val="zh-CN" w:eastAsia="zh-CN"/>
        </w:rPr>
      </w:pPr>
      <w:r>
        <w:rPr>
          <w:rFonts w:hint="eastAsia" w:ascii="宋体" w:hAnsi="宋体" w:eastAsia="宋体" w:cs="Times New Roman"/>
          <w:bCs/>
          <w:sz w:val="24"/>
          <w:szCs w:val="24"/>
          <w:lang w:val="zh-CN" w:eastAsia="zh-CN"/>
        </w:rPr>
        <w:t>代理服务费参照国家发展与改革委员会办公厅发改办价格【2003】857 号文的规定，按国家发展和改革委员发改价格【2011】534 号文规定的费率，向政府采购代理机构支付招标服务费，由中标人支付。</w:t>
      </w:r>
    </w:p>
    <w:p>
      <w:pPr>
        <w:spacing w:line="360" w:lineRule="auto"/>
        <w:ind w:firstLine="495" w:firstLineChars="176"/>
        <w:rPr>
          <w:rFonts w:ascii="宋体" w:hAnsi="宋体" w:eastAsia="宋体" w:cs="Times New Roman"/>
          <w:b/>
          <w:sz w:val="28"/>
          <w:szCs w:val="28"/>
        </w:rPr>
      </w:pPr>
      <w:r>
        <w:rPr>
          <w:rFonts w:ascii="宋体" w:hAnsi="宋体" w:eastAsia="宋体" w:cs="Times New Roman"/>
          <w:b/>
          <w:sz w:val="28"/>
          <w:szCs w:val="28"/>
        </w:rPr>
        <w:t>二、响应文件的编制</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（一）</w:t>
      </w:r>
      <w:r>
        <w:rPr>
          <w:rFonts w:ascii="宋体" w:hAnsi="宋体" w:eastAsia="宋体" w:cs="Times New Roman"/>
          <w:bCs/>
          <w:sz w:val="24"/>
          <w:szCs w:val="24"/>
        </w:rPr>
        <w:t xml:space="preserve"> 响应文件编制基本要求</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w:t>
      </w:r>
      <w:r>
        <w:rPr>
          <w:rFonts w:ascii="宋体" w:hAnsi="宋体" w:eastAsia="宋体" w:cs="Times New Roman"/>
          <w:bCs/>
          <w:sz w:val="24"/>
          <w:szCs w:val="24"/>
        </w:rPr>
        <w:t>响应文件以及与</w:t>
      </w:r>
      <w:r>
        <w:rPr>
          <w:rFonts w:hint="eastAsia" w:ascii="宋体" w:hAnsi="宋体" w:eastAsia="宋体" w:cs="宋体"/>
          <w:sz w:val="24"/>
          <w:szCs w:val="24"/>
          <w:lang w:eastAsia="zh-CN"/>
        </w:rPr>
        <w:t>采购代理机构</w:t>
      </w:r>
      <w:r>
        <w:rPr>
          <w:rFonts w:ascii="宋体" w:hAnsi="宋体" w:eastAsia="宋体" w:cs="Times New Roman"/>
          <w:bCs/>
          <w:sz w:val="24"/>
          <w:szCs w:val="24"/>
        </w:rPr>
        <w:t>和采购人就有关磋商的所有来往函电均应使用简体中文。</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2.</w:t>
      </w:r>
      <w:r>
        <w:rPr>
          <w:rFonts w:ascii="宋体" w:hAnsi="宋体" w:eastAsia="宋体" w:cs="Times New Roman"/>
          <w:bCs/>
          <w:sz w:val="24"/>
          <w:szCs w:val="24"/>
        </w:rPr>
        <w:t>供应商应认真阅读、并充分理解本文件的全部内容（包括所有的补充、修改内容），承诺并履行本文件中各项条款规定及要求。</w:t>
      </w:r>
    </w:p>
    <w:p>
      <w:pPr>
        <w:spacing w:line="360" w:lineRule="auto"/>
        <w:ind w:firstLine="422" w:firstLineChars="176"/>
        <w:rPr>
          <w:rFonts w:ascii="宋体" w:hAnsi="宋体"/>
          <w:sz w:val="24"/>
          <w:szCs w:val="22"/>
          <w:highlight w:val="yellow"/>
        </w:rPr>
      </w:pPr>
      <w:r>
        <w:rPr>
          <w:rFonts w:hint="eastAsia" w:ascii="宋体" w:hAnsi="宋体" w:eastAsia="宋体" w:cs="Times New Roman"/>
          <w:bCs/>
          <w:sz w:val="24"/>
          <w:szCs w:val="24"/>
        </w:rPr>
        <w:t>3.</w:t>
      </w:r>
      <w:r>
        <w:rPr>
          <w:rFonts w:ascii="宋体" w:hAnsi="宋体" w:eastAsia="宋体" w:cs="Times New Roman"/>
          <w:bCs/>
          <w:sz w:val="24"/>
          <w:szCs w:val="24"/>
        </w:rPr>
        <w:t>响应文件应按本文件的全部内容，包括所有的补充通知及附件进行编制。供应商受邀参加本文件多个包磋商的，其响应文件的编制应按每包要求</w:t>
      </w:r>
      <w:r>
        <w:rPr>
          <w:rFonts w:hint="eastAsia" w:ascii="宋体" w:hAnsi="宋体"/>
          <w:sz w:val="24"/>
          <w:szCs w:val="22"/>
          <w:highlight w:val="yellow"/>
        </w:rPr>
        <w:t>分别上传。</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4.</w:t>
      </w:r>
      <w:r>
        <w:rPr>
          <w:rFonts w:ascii="宋体" w:hAnsi="宋体" w:eastAsia="宋体" w:cs="Times New Roman"/>
          <w:bCs/>
          <w:sz w:val="24"/>
          <w:szCs w:val="24"/>
        </w:rPr>
        <w:t>如因供应商只填写和提供了本文件要求的部分内容和附件，磋商小组有权拒绝其补充和磋商。</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5.</w:t>
      </w:r>
      <w:r>
        <w:rPr>
          <w:rFonts w:ascii="宋体" w:hAnsi="宋体" w:eastAsia="宋体" w:cs="Times New Roman"/>
          <w:bCs/>
          <w:sz w:val="24"/>
          <w:szCs w:val="24"/>
        </w:rPr>
        <w:t>响应文件的组成</w:t>
      </w:r>
    </w:p>
    <w:p>
      <w:pPr>
        <w:spacing w:line="360" w:lineRule="auto"/>
        <w:ind w:firstLine="422" w:firstLineChars="176"/>
        <w:rPr>
          <w:rFonts w:ascii="宋体" w:hAnsi="宋体" w:eastAsia="宋体" w:cs="Times New Roman"/>
          <w:bCs/>
          <w:sz w:val="24"/>
          <w:szCs w:val="24"/>
        </w:rPr>
      </w:pPr>
      <w:r>
        <w:rPr>
          <w:rFonts w:ascii="宋体" w:hAnsi="宋体" w:eastAsia="宋体" w:cs="Times New Roman"/>
          <w:bCs/>
          <w:sz w:val="24"/>
          <w:szCs w:val="24"/>
        </w:rPr>
        <w:t>不限于以下内容</w:t>
      </w:r>
      <w:r>
        <w:rPr>
          <w:rFonts w:hint="eastAsia" w:ascii="宋体" w:hAnsi="宋体" w:eastAsia="宋体" w:cs="Times New Roman"/>
          <w:bCs/>
          <w:sz w:val="24"/>
          <w:szCs w:val="24"/>
        </w:rPr>
        <w:t>，</w:t>
      </w:r>
      <w:r>
        <w:rPr>
          <w:rFonts w:ascii="宋体" w:hAnsi="宋体" w:eastAsia="宋体" w:cs="Times New Roman"/>
          <w:bCs/>
          <w:sz w:val="24"/>
          <w:szCs w:val="24"/>
        </w:rPr>
        <w:t>应该有的必须提供</w:t>
      </w:r>
      <w:r>
        <w:rPr>
          <w:rFonts w:hint="eastAsia" w:ascii="宋体" w:hAnsi="宋体" w:eastAsia="宋体" w:cs="Times New Roman"/>
          <w:bCs/>
          <w:sz w:val="24"/>
          <w:szCs w:val="24"/>
        </w:rPr>
        <w:t>，</w:t>
      </w:r>
      <w:r>
        <w:rPr>
          <w:rFonts w:ascii="宋体" w:hAnsi="宋体" w:eastAsia="宋体" w:cs="Times New Roman"/>
          <w:bCs/>
          <w:sz w:val="24"/>
          <w:szCs w:val="24"/>
        </w:rPr>
        <w:t>如未提供</w:t>
      </w:r>
      <w:r>
        <w:rPr>
          <w:rFonts w:hint="eastAsia" w:ascii="宋体" w:hAnsi="宋体" w:eastAsia="宋体" w:cs="Times New Roman"/>
          <w:bCs/>
          <w:sz w:val="24"/>
          <w:szCs w:val="24"/>
        </w:rPr>
        <w:t>，</w:t>
      </w:r>
      <w:r>
        <w:rPr>
          <w:rFonts w:ascii="宋体" w:hAnsi="宋体" w:eastAsia="宋体" w:cs="Times New Roman"/>
          <w:bCs/>
          <w:sz w:val="24"/>
          <w:szCs w:val="24"/>
        </w:rPr>
        <w:t>磋商小组有权拒绝其响应文件：</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w:t>
      </w:r>
      <w:r>
        <w:rPr>
          <w:rFonts w:ascii="宋体" w:hAnsi="宋体" w:eastAsia="宋体" w:cs="Times New Roman"/>
          <w:bCs/>
          <w:sz w:val="24"/>
          <w:szCs w:val="24"/>
        </w:rPr>
        <w:t>磋商书 (附件1) ；</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（2）</w:t>
      </w:r>
      <w:r>
        <w:rPr>
          <w:rFonts w:ascii="宋体" w:hAnsi="宋体" w:eastAsia="宋体" w:cs="Times New Roman"/>
          <w:bCs/>
          <w:sz w:val="24"/>
          <w:szCs w:val="24"/>
        </w:rPr>
        <w:t>报价组成情况表(附件2) ；</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（3）</w:t>
      </w:r>
      <w:r>
        <w:rPr>
          <w:rFonts w:ascii="宋体" w:hAnsi="宋体" w:eastAsia="宋体" w:cs="Times New Roman"/>
          <w:bCs/>
          <w:sz w:val="24"/>
          <w:szCs w:val="24"/>
        </w:rPr>
        <w:t>资格性符合性检查对照表(附件</w:t>
      </w:r>
      <w:r>
        <w:rPr>
          <w:rFonts w:hint="eastAsia" w:ascii="宋体" w:hAnsi="宋体" w:eastAsia="宋体" w:cs="Times New Roman"/>
          <w:bCs/>
          <w:sz w:val="24"/>
          <w:szCs w:val="24"/>
        </w:rPr>
        <w:t>3</w:t>
      </w:r>
      <w:r>
        <w:rPr>
          <w:rFonts w:ascii="宋体" w:hAnsi="宋体" w:eastAsia="宋体" w:cs="Times New Roman"/>
          <w:bCs/>
          <w:sz w:val="24"/>
          <w:szCs w:val="24"/>
        </w:rPr>
        <w:t>)；</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（4）</w:t>
      </w:r>
      <w:r>
        <w:rPr>
          <w:rFonts w:ascii="宋体" w:hAnsi="宋体" w:eastAsia="宋体" w:cs="Times New Roman"/>
          <w:bCs/>
          <w:sz w:val="24"/>
          <w:szCs w:val="24"/>
        </w:rPr>
        <w:t>技术响应、偏离情况说明表(附件</w:t>
      </w:r>
      <w:r>
        <w:rPr>
          <w:rFonts w:hint="eastAsia" w:ascii="宋体" w:hAnsi="宋体" w:eastAsia="宋体" w:cs="Times New Roman"/>
          <w:bCs/>
          <w:sz w:val="24"/>
          <w:szCs w:val="24"/>
        </w:rPr>
        <w:t>4</w:t>
      </w:r>
      <w:r>
        <w:rPr>
          <w:rFonts w:ascii="宋体" w:hAnsi="宋体" w:eastAsia="宋体" w:cs="Times New Roman"/>
          <w:bCs/>
          <w:sz w:val="24"/>
          <w:szCs w:val="24"/>
        </w:rPr>
        <w:t>)；</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（5）</w:t>
      </w:r>
      <w:r>
        <w:rPr>
          <w:rFonts w:hint="eastAsia" w:ascii="宋体" w:hAnsi="宋体" w:eastAsia="宋体" w:cs="Times New Roman"/>
          <w:bCs/>
          <w:color w:val="FF0000"/>
          <w:sz w:val="24"/>
          <w:szCs w:val="24"/>
        </w:rPr>
        <w:t>法定代表人授权书</w:t>
      </w:r>
      <w:r>
        <w:rPr>
          <w:rFonts w:ascii="宋体" w:hAnsi="宋体" w:eastAsia="宋体" w:cs="Times New Roman"/>
          <w:bCs/>
          <w:sz w:val="24"/>
          <w:szCs w:val="24"/>
        </w:rPr>
        <w:t>（附件</w:t>
      </w:r>
      <w:r>
        <w:rPr>
          <w:rFonts w:hint="eastAsia" w:ascii="宋体" w:hAnsi="宋体" w:eastAsia="宋体" w:cs="Times New Roman"/>
          <w:bCs/>
          <w:sz w:val="24"/>
          <w:szCs w:val="24"/>
        </w:rPr>
        <w:t>5</w:t>
      </w:r>
      <w:r>
        <w:rPr>
          <w:rFonts w:ascii="宋体" w:hAnsi="宋体" w:eastAsia="宋体" w:cs="Times New Roman"/>
          <w:bCs/>
          <w:sz w:val="24"/>
          <w:szCs w:val="24"/>
        </w:rPr>
        <w:t>）；</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（6）</w:t>
      </w:r>
      <w:r>
        <w:rPr>
          <w:rFonts w:ascii="宋体" w:hAnsi="宋体" w:eastAsia="宋体" w:cs="Times New Roman"/>
          <w:bCs/>
          <w:sz w:val="24"/>
          <w:szCs w:val="24"/>
        </w:rPr>
        <w:t>法人或者其他组织的营业执照等证明文件，自然人的身份证明(附件</w:t>
      </w:r>
      <w:r>
        <w:rPr>
          <w:rFonts w:hint="eastAsia" w:ascii="宋体" w:hAnsi="宋体" w:eastAsia="宋体" w:cs="Times New Roman"/>
          <w:bCs/>
          <w:sz w:val="24"/>
          <w:szCs w:val="24"/>
        </w:rPr>
        <w:t>6</w:t>
      </w:r>
      <w:r>
        <w:rPr>
          <w:rFonts w:ascii="宋体" w:hAnsi="宋体" w:eastAsia="宋体" w:cs="Times New Roman"/>
          <w:bCs/>
          <w:sz w:val="24"/>
          <w:szCs w:val="24"/>
        </w:rPr>
        <w:t>)；</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（7）</w:t>
      </w:r>
      <w:r>
        <w:rPr>
          <w:rFonts w:ascii="宋体" w:hAnsi="宋体" w:eastAsia="宋体" w:cs="Times New Roman"/>
          <w:bCs/>
          <w:sz w:val="24"/>
          <w:szCs w:val="24"/>
        </w:rPr>
        <w:t>财务状况报告，依法缴纳税收和社会保障资金的相关材料(附件</w:t>
      </w:r>
      <w:r>
        <w:rPr>
          <w:rFonts w:hint="eastAsia" w:ascii="宋体" w:hAnsi="宋体" w:eastAsia="宋体" w:cs="Times New Roman"/>
          <w:bCs/>
          <w:sz w:val="24"/>
          <w:szCs w:val="24"/>
        </w:rPr>
        <w:t>7</w:t>
      </w:r>
      <w:r>
        <w:rPr>
          <w:rFonts w:ascii="宋体" w:hAnsi="宋体" w:eastAsia="宋体" w:cs="Times New Roman"/>
          <w:bCs/>
          <w:sz w:val="24"/>
          <w:szCs w:val="24"/>
        </w:rPr>
        <w:t>)；</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（8）</w:t>
      </w:r>
      <w:r>
        <w:rPr>
          <w:rFonts w:ascii="宋体" w:hAnsi="宋体" w:eastAsia="宋体" w:cs="Times New Roman"/>
          <w:bCs/>
          <w:sz w:val="24"/>
          <w:szCs w:val="24"/>
        </w:rPr>
        <w:t>具备履行合同所必需的设备和专业技术能力的证明材料(附件</w:t>
      </w:r>
      <w:r>
        <w:rPr>
          <w:rFonts w:hint="eastAsia" w:ascii="宋体" w:hAnsi="宋体" w:eastAsia="宋体" w:cs="Times New Roman"/>
          <w:bCs/>
          <w:sz w:val="24"/>
          <w:szCs w:val="24"/>
        </w:rPr>
        <w:t>8</w:t>
      </w:r>
      <w:r>
        <w:rPr>
          <w:rFonts w:ascii="宋体" w:hAnsi="宋体" w:eastAsia="宋体" w:cs="Times New Roman"/>
          <w:bCs/>
          <w:sz w:val="24"/>
          <w:szCs w:val="24"/>
        </w:rPr>
        <w:t>)；</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（9）</w:t>
      </w:r>
      <w:r>
        <w:rPr>
          <w:rFonts w:ascii="宋体" w:hAnsi="宋体" w:eastAsia="宋体" w:cs="Times New Roman"/>
          <w:bCs/>
          <w:sz w:val="24"/>
          <w:szCs w:val="24"/>
        </w:rPr>
        <w:t>参加政府采购活动前3年内在经营活动中没有重大违法记录的书面声明(附件</w:t>
      </w:r>
      <w:r>
        <w:rPr>
          <w:rFonts w:hint="eastAsia" w:ascii="宋体" w:hAnsi="宋体" w:eastAsia="宋体" w:cs="Times New Roman"/>
          <w:bCs/>
          <w:sz w:val="24"/>
          <w:szCs w:val="24"/>
        </w:rPr>
        <w:t>9</w:t>
      </w:r>
      <w:r>
        <w:rPr>
          <w:rFonts w:ascii="宋体" w:hAnsi="宋体" w:eastAsia="宋体" w:cs="Times New Roman"/>
          <w:bCs/>
          <w:sz w:val="24"/>
          <w:szCs w:val="24"/>
        </w:rPr>
        <w:t>)；</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（10）未被列入“信用中国”网站(www.creditchina.gov.cn)、失信被执行人、重大税收违法案件当事人名单，中国政府采购网（www.ccgp.gov.cn）政府采购严重违法失信行为记录名单</w:t>
      </w:r>
      <w:r>
        <w:rPr>
          <w:rFonts w:ascii="宋体" w:hAnsi="宋体" w:eastAsia="宋体" w:cs="Times New Roman"/>
          <w:bCs/>
          <w:sz w:val="24"/>
          <w:szCs w:val="24"/>
        </w:rPr>
        <w:t>的</w:t>
      </w:r>
      <w:r>
        <w:rPr>
          <w:rFonts w:ascii="宋体" w:hAnsi="宋体" w:eastAsia="宋体" w:cs="Times New Roman"/>
          <w:bCs/>
          <w:sz w:val="24"/>
          <w:szCs w:val="24"/>
          <w:highlight w:val="yellow"/>
        </w:rPr>
        <w:t>网页</w:t>
      </w:r>
      <w:r>
        <w:rPr>
          <w:rFonts w:hint="eastAsia" w:ascii="宋体" w:hAnsi="宋体" w:eastAsia="宋体" w:cs="Times New Roman"/>
          <w:bCs/>
          <w:sz w:val="24"/>
          <w:szCs w:val="24"/>
          <w:highlight w:val="yellow"/>
        </w:rPr>
        <w:t>截图</w:t>
      </w:r>
      <w:r>
        <w:rPr>
          <w:rFonts w:ascii="宋体" w:hAnsi="宋体" w:eastAsia="宋体" w:cs="Times New Roman"/>
          <w:bCs/>
          <w:sz w:val="24"/>
          <w:szCs w:val="24"/>
        </w:rPr>
        <w:t>(附件1</w:t>
      </w:r>
      <w:r>
        <w:rPr>
          <w:rFonts w:hint="eastAsia" w:ascii="宋体" w:hAnsi="宋体" w:eastAsia="宋体" w:cs="Times New Roman"/>
          <w:bCs/>
          <w:sz w:val="24"/>
          <w:szCs w:val="24"/>
        </w:rPr>
        <w:t>0</w:t>
      </w:r>
      <w:r>
        <w:rPr>
          <w:rFonts w:ascii="宋体" w:hAnsi="宋体" w:eastAsia="宋体" w:cs="Times New Roman"/>
          <w:bCs/>
          <w:sz w:val="24"/>
          <w:szCs w:val="24"/>
        </w:rPr>
        <w:t>)。</w:t>
      </w:r>
    </w:p>
    <w:p>
      <w:pPr>
        <w:spacing w:line="360" w:lineRule="auto"/>
        <w:ind w:firstLine="422" w:firstLineChars="176"/>
        <w:rPr>
          <w:rFonts w:ascii="宋体" w:hAnsi="宋体" w:eastAsia="宋体" w:cs="Times New Roman"/>
          <w:bCs/>
          <w:sz w:val="24"/>
          <w:szCs w:val="24"/>
        </w:rPr>
      </w:pPr>
      <w:r>
        <w:rPr>
          <w:rFonts w:ascii="宋体" w:hAnsi="宋体" w:eastAsia="宋体" w:cs="Times New Roman"/>
          <w:bCs/>
          <w:sz w:val="24"/>
          <w:szCs w:val="24"/>
        </w:rPr>
        <w:t>本文件要求提供的其他资格证明文件及资料。</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（二）</w:t>
      </w:r>
      <w:r>
        <w:rPr>
          <w:rFonts w:ascii="宋体" w:hAnsi="宋体" w:eastAsia="宋体" w:cs="Times New Roman"/>
          <w:bCs/>
          <w:sz w:val="24"/>
          <w:szCs w:val="24"/>
        </w:rPr>
        <w:t>计量单位</w:t>
      </w:r>
    </w:p>
    <w:p>
      <w:pPr>
        <w:spacing w:line="360" w:lineRule="auto"/>
        <w:ind w:firstLine="422" w:firstLineChars="176"/>
        <w:rPr>
          <w:rFonts w:ascii="宋体" w:hAnsi="宋体" w:eastAsia="宋体" w:cs="Times New Roman"/>
          <w:bCs/>
          <w:sz w:val="24"/>
          <w:szCs w:val="24"/>
        </w:rPr>
      </w:pPr>
      <w:r>
        <w:rPr>
          <w:rFonts w:ascii="宋体" w:hAnsi="宋体" w:eastAsia="宋体" w:cs="Times New Roman"/>
          <w:bCs/>
          <w:sz w:val="24"/>
          <w:szCs w:val="24"/>
        </w:rPr>
        <w:t>除技术要求中另有规定外，本文件所使用的计量单位均应采用国家法定计量单位。</w:t>
      </w:r>
    </w:p>
    <w:p>
      <w:pPr>
        <w:numPr>
          <w:ilvl w:val="0"/>
          <w:numId w:val="2"/>
        </w:numPr>
        <w:spacing w:line="360" w:lineRule="auto"/>
        <w:ind w:firstLine="424" w:firstLineChars="176"/>
        <w:rPr>
          <w:rFonts w:ascii="宋体" w:hAnsi="宋体" w:cs="宋体"/>
          <w:b/>
          <w:color w:val="000000"/>
          <w:sz w:val="24"/>
          <w:szCs w:val="22"/>
        </w:rPr>
      </w:pPr>
      <w:r>
        <w:rPr>
          <w:rFonts w:hint="eastAsia" w:ascii="宋体" w:hAnsi="宋体" w:cs="宋体"/>
          <w:b/>
          <w:color w:val="000000"/>
          <w:sz w:val="24"/>
          <w:szCs w:val="22"/>
        </w:rPr>
        <w:t>依据财库[2019]9号文的规定，招标文件采购清单中注明“节能产品”的货物，提供国家确定的认证机构出具的节能产品认证证书。</w:t>
      </w:r>
    </w:p>
    <w:p>
      <w:pPr>
        <w:spacing w:line="360" w:lineRule="auto"/>
        <w:ind w:firstLine="495" w:firstLineChars="176"/>
        <w:rPr>
          <w:rFonts w:ascii="宋体" w:hAnsi="宋体" w:eastAsia="宋体" w:cs="Times New Roman"/>
          <w:b/>
          <w:sz w:val="28"/>
          <w:szCs w:val="28"/>
        </w:rPr>
      </w:pPr>
      <w:r>
        <w:rPr>
          <w:rFonts w:ascii="宋体" w:hAnsi="宋体" w:eastAsia="宋体" w:cs="Times New Roman"/>
          <w:b/>
          <w:sz w:val="28"/>
          <w:szCs w:val="28"/>
        </w:rPr>
        <w:t>三、响应文件有效期</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（一）</w:t>
      </w:r>
      <w:r>
        <w:rPr>
          <w:rFonts w:ascii="宋体" w:hAnsi="宋体" w:eastAsia="宋体" w:cs="Times New Roman"/>
          <w:bCs/>
          <w:sz w:val="24"/>
          <w:szCs w:val="24"/>
        </w:rPr>
        <w:t>本项目磋商内容自磋商之日算</w:t>
      </w:r>
      <w:r>
        <w:rPr>
          <w:rFonts w:ascii="宋体" w:hAnsi="宋体" w:eastAsia="宋体"/>
          <w:bCs/>
          <w:color w:val="000000" w:themeColor="text1"/>
          <w:sz w:val="24"/>
          <w:szCs w:val="24"/>
        </w:rPr>
        <w:t>起</w:t>
      </w:r>
      <w:r>
        <w:rPr>
          <w:rFonts w:ascii="宋体" w:hAnsi="宋体" w:eastAsia="宋体"/>
          <w:bCs/>
          <w:color w:val="FF0000"/>
          <w:sz w:val="24"/>
          <w:szCs w:val="24"/>
          <w:u w:val="single"/>
        </w:rPr>
        <w:t>90</w:t>
      </w:r>
      <w:r>
        <w:rPr>
          <w:rFonts w:ascii="宋体" w:hAnsi="宋体" w:eastAsia="宋体"/>
          <w:bCs/>
          <w:color w:val="000000" w:themeColor="text1"/>
          <w:sz w:val="24"/>
          <w:szCs w:val="24"/>
        </w:rPr>
        <w:t>日历日</w:t>
      </w:r>
      <w:r>
        <w:rPr>
          <w:rFonts w:hint="eastAsia" w:ascii="宋体" w:hAnsi="宋体" w:eastAsia="宋体"/>
          <w:bCs/>
          <w:color w:val="000000" w:themeColor="text1"/>
          <w:sz w:val="24"/>
          <w:szCs w:val="24"/>
        </w:rPr>
        <w:t>内</w:t>
      </w:r>
      <w:r>
        <w:rPr>
          <w:rFonts w:ascii="宋体" w:hAnsi="宋体" w:eastAsia="宋体" w:cs="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（二）</w:t>
      </w:r>
      <w:r>
        <w:rPr>
          <w:rFonts w:ascii="宋体" w:hAnsi="宋体" w:eastAsia="宋体" w:cs="Times New Roman"/>
          <w:bCs/>
          <w:sz w:val="24"/>
          <w:szCs w:val="24"/>
        </w:rPr>
        <w:t>在特殊情况下，在原磋商有效期满之前，</w:t>
      </w:r>
      <w:r>
        <w:rPr>
          <w:rFonts w:hint="eastAsia" w:ascii="宋体" w:hAnsi="宋体" w:eastAsia="宋体" w:cs="宋体"/>
          <w:sz w:val="24"/>
          <w:szCs w:val="24"/>
          <w:lang w:eastAsia="zh-CN"/>
        </w:rPr>
        <w:t>采购代理机构</w:t>
      </w:r>
      <w:r>
        <w:rPr>
          <w:rFonts w:ascii="宋体" w:hAnsi="宋体" w:eastAsia="宋体" w:cs="Times New Roman"/>
          <w:bCs/>
          <w:sz w:val="24"/>
          <w:szCs w:val="24"/>
        </w:rPr>
        <w:t>可向供应商提出延长磋商有效期的要求。这种要求与答复均应采用书面形式。供应商可以拒绝</w:t>
      </w:r>
      <w:r>
        <w:rPr>
          <w:rFonts w:hint="eastAsia" w:ascii="宋体" w:hAnsi="宋体" w:eastAsia="宋体" w:cs="宋体"/>
          <w:sz w:val="24"/>
          <w:szCs w:val="24"/>
          <w:lang w:eastAsia="zh-CN"/>
        </w:rPr>
        <w:t>采购代理机构</w:t>
      </w:r>
      <w:r>
        <w:rPr>
          <w:rFonts w:ascii="宋体" w:hAnsi="宋体" w:eastAsia="宋体" w:cs="Times New Roman"/>
          <w:bCs/>
          <w:sz w:val="24"/>
          <w:szCs w:val="24"/>
        </w:rPr>
        <w:t>的要求，但其响应文件在原有效期期满后将不再有效。同意延长磋商有效期的供应商不允许修改其响应文件。</w:t>
      </w:r>
    </w:p>
    <w:p>
      <w:pPr>
        <w:spacing w:line="360" w:lineRule="auto"/>
        <w:ind w:firstLine="495" w:firstLineChars="176"/>
        <w:rPr>
          <w:rFonts w:ascii="宋体" w:hAnsi="宋体" w:eastAsia="宋体" w:cs="Times New Roman"/>
          <w:b/>
          <w:sz w:val="28"/>
          <w:szCs w:val="28"/>
        </w:rPr>
      </w:pPr>
      <w:bookmarkStart w:id="38" w:name="_Toc502096727"/>
      <w:bookmarkStart w:id="39" w:name="_Toc29968"/>
      <w:r>
        <w:rPr>
          <w:rFonts w:hint="eastAsia" w:ascii="宋体" w:hAnsi="宋体" w:eastAsia="宋体" w:cs="Times New Roman"/>
          <w:b/>
          <w:sz w:val="28"/>
          <w:szCs w:val="28"/>
        </w:rPr>
        <w:t>四</w:t>
      </w:r>
      <w:r>
        <w:rPr>
          <w:rFonts w:ascii="宋体" w:hAnsi="宋体" w:eastAsia="宋体" w:cs="Times New Roman"/>
          <w:b/>
          <w:sz w:val="28"/>
          <w:szCs w:val="28"/>
        </w:rPr>
        <w:t>、报价要求</w:t>
      </w:r>
      <w:bookmarkEnd w:id="38"/>
      <w:bookmarkEnd w:id="39"/>
    </w:p>
    <w:p>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.报价以人民币报价。</w:t>
      </w:r>
    </w:p>
    <w:p>
      <w:pPr>
        <w:spacing w:line="360" w:lineRule="auto"/>
        <w:ind w:firstLine="422" w:firstLineChars="176"/>
        <w:rPr>
          <w:rFonts w:ascii="宋体" w:hAnsi="宋体" w:eastAsia="宋体" w:cs="Times New Roman"/>
          <w:bCs/>
          <w:sz w:val="24"/>
          <w:szCs w:val="24"/>
        </w:rPr>
      </w:pPr>
      <w:r>
        <w:rPr>
          <w:rFonts w:ascii="宋体" w:hAnsi="宋体" w:eastAsia="宋体" w:cs="Times New Roman"/>
          <w:bCs/>
          <w:sz w:val="24"/>
          <w:szCs w:val="24"/>
        </w:rPr>
        <w:t>2.对于本文件中未列明，而供应商认为必需的费用也需列入总报价。在合同实施时，采购人不予支付成交供应商没有列入的项目费用，并认为此项目的费用已包括在总报价中。</w:t>
      </w:r>
    </w:p>
    <w:p>
      <w:pPr>
        <w:spacing w:line="360" w:lineRule="auto"/>
        <w:ind w:firstLine="422" w:firstLineChars="176"/>
        <w:rPr>
          <w:rFonts w:ascii="宋体" w:hAnsi="宋体" w:eastAsia="宋体" w:cs="Times New Roman"/>
          <w:sz w:val="24"/>
          <w:szCs w:val="24"/>
        </w:rPr>
      </w:pPr>
      <w:r>
        <w:rPr>
          <w:rFonts w:ascii="宋体" w:hAnsi="宋体" w:eastAsia="宋体" w:cs="Times New Roman"/>
          <w:bCs/>
          <w:sz w:val="24"/>
          <w:szCs w:val="24"/>
        </w:rPr>
        <w:t>3.成交供应商负</w:t>
      </w:r>
      <w:r>
        <w:rPr>
          <w:rFonts w:ascii="宋体" w:hAnsi="宋体" w:eastAsia="宋体" w:cs="Times New Roman"/>
          <w:sz w:val="24"/>
          <w:szCs w:val="24"/>
        </w:rPr>
        <w:t>责本项目所需的售后服务等全部工作，文件另有规定的除外。</w:t>
      </w:r>
    </w:p>
    <w:p>
      <w:pPr>
        <w:spacing w:line="360" w:lineRule="auto"/>
        <w:ind w:firstLine="495" w:firstLineChars="176"/>
        <w:rPr>
          <w:rFonts w:ascii="宋体" w:hAnsi="宋体" w:eastAsia="宋体" w:cs="Times New Roman"/>
          <w:b/>
          <w:sz w:val="28"/>
          <w:szCs w:val="28"/>
        </w:rPr>
      </w:pPr>
      <w:r>
        <w:rPr>
          <w:rFonts w:ascii="宋体" w:hAnsi="宋体" w:eastAsia="宋体" w:cs="Times New Roman"/>
          <w:b/>
          <w:sz w:val="28"/>
          <w:szCs w:val="28"/>
        </w:rPr>
        <w:t>五、响应文件的</w:t>
      </w:r>
      <w:r>
        <w:rPr>
          <w:rFonts w:hint="eastAsia" w:ascii="宋体" w:hAnsi="宋体" w:eastAsia="宋体" w:cs="Times New Roman"/>
          <w:b/>
          <w:sz w:val="28"/>
          <w:szCs w:val="28"/>
        </w:rPr>
        <w:t>签署</w:t>
      </w:r>
      <w:r>
        <w:rPr>
          <w:rFonts w:ascii="宋体" w:hAnsi="宋体" w:eastAsia="宋体" w:cs="Times New Roman"/>
          <w:b/>
          <w:sz w:val="28"/>
          <w:szCs w:val="28"/>
        </w:rPr>
        <w:t>和递交</w:t>
      </w:r>
    </w:p>
    <w:p>
      <w:pPr>
        <w:spacing w:line="360" w:lineRule="auto"/>
        <w:rPr>
          <w:sz w:val="24"/>
          <w:szCs w:val="36"/>
        </w:rPr>
      </w:pPr>
      <w:r>
        <w:rPr>
          <w:sz w:val="24"/>
          <w:szCs w:val="36"/>
        </w:rPr>
        <w:t>1. 响应文件的</w:t>
      </w:r>
      <w:r>
        <w:rPr>
          <w:rFonts w:hint="eastAsia"/>
          <w:sz w:val="24"/>
          <w:szCs w:val="36"/>
        </w:rPr>
        <w:t>签署</w:t>
      </w:r>
      <w:r>
        <w:rPr>
          <w:sz w:val="24"/>
          <w:szCs w:val="36"/>
        </w:rPr>
        <w:t>。</w:t>
      </w:r>
    </w:p>
    <w:p>
      <w:pPr>
        <w:spacing w:line="360" w:lineRule="auto"/>
        <w:ind w:firstLine="480" w:firstLineChars="200"/>
        <w:rPr>
          <w:rFonts w:ascii="宋体" w:hAnsi="宋体"/>
          <w:sz w:val="24"/>
          <w:szCs w:val="22"/>
          <w:highlight w:val="yellow"/>
        </w:rPr>
      </w:pPr>
      <w:r>
        <w:rPr>
          <w:rFonts w:hint="eastAsia" w:ascii="宋体" w:hAnsi="宋体"/>
          <w:sz w:val="24"/>
          <w:szCs w:val="22"/>
          <w:highlight w:val="yellow"/>
        </w:rPr>
        <w:t>1</w:t>
      </w:r>
      <w:r>
        <w:rPr>
          <w:rFonts w:ascii="宋体" w:hAnsi="宋体"/>
          <w:sz w:val="24"/>
          <w:szCs w:val="22"/>
          <w:highlight w:val="yellow"/>
        </w:rPr>
        <w:t>.</w:t>
      </w:r>
      <w:r>
        <w:rPr>
          <w:rFonts w:hint="eastAsia" w:ascii="宋体" w:hAnsi="宋体"/>
          <w:sz w:val="24"/>
          <w:szCs w:val="22"/>
          <w:highlight w:val="yellow"/>
        </w:rPr>
        <w:t>1本次采购项目响应文件需在黄石市政府采购交易系统上传一份加密电子响应文件。未按要求提供规定格式响应文件的，将作无效投标处理。</w:t>
      </w:r>
    </w:p>
    <w:p>
      <w:pPr>
        <w:spacing w:line="360" w:lineRule="auto"/>
        <w:ind w:firstLine="480" w:firstLineChars="200"/>
        <w:rPr>
          <w:rFonts w:ascii="宋体" w:hAnsi="宋体"/>
          <w:sz w:val="24"/>
          <w:szCs w:val="22"/>
          <w:highlight w:val="yellow"/>
        </w:rPr>
      </w:pPr>
      <w:r>
        <w:rPr>
          <w:rFonts w:hint="eastAsia" w:ascii="宋体" w:hAnsi="宋体"/>
          <w:sz w:val="24"/>
          <w:szCs w:val="22"/>
          <w:highlight w:val="yellow"/>
        </w:rPr>
        <w:t>1</w:t>
      </w:r>
      <w:r>
        <w:rPr>
          <w:rFonts w:ascii="宋体" w:hAnsi="宋体"/>
          <w:sz w:val="24"/>
          <w:szCs w:val="22"/>
          <w:highlight w:val="yellow"/>
        </w:rPr>
        <w:t>.</w:t>
      </w:r>
      <w:r>
        <w:rPr>
          <w:rFonts w:hint="eastAsia" w:ascii="宋体" w:hAnsi="宋体"/>
          <w:sz w:val="24"/>
          <w:szCs w:val="22"/>
          <w:highlight w:val="yellow"/>
        </w:rPr>
        <w:t>2 响应文件格式文件要求“盖单位章”的地方，供应商应使用 CA 数字证书加盖供应商的单位电子印章；要求“签字”的地方，供应商应使用 CA 数字证书加盖法定代表人的个人电子印章或电子签名章。联合体投标的，响应文件由联合体牵头人按上述规定在要求“盖单位章”的地方加盖联合体牵头人单位电子印章；在要求“签字”的地方加盖联合体牵头人法定代表人的个人电子印章或电子签名章。磋商文件有特别说明的除外，否则按照无效投标处理。</w:t>
      </w:r>
    </w:p>
    <w:p>
      <w:pPr>
        <w:spacing w:line="360" w:lineRule="auto"/>
        <w:ind w:firstLine="480" w:firstLineChars="200"/>
        <w:rPr>
          <w:rFonts w:ascii="宋体" w:hAnsi="宋体"/>
          <w:sz w:val="24"/>
          <w:szCs w:val="22"/>
          <w:highlight w:val="yellow"/>
        </w:rPr>
      </w:pPr>
      <w:r>
        <w:rPr>
          <w:rFonts w:hint="eastAsia" w:ascii="宋体" w:hAnsi="宋体"/>
          <w:sz w:val="24"/>
          <w:szCs w:val="22"/>
          <w:highlight w:val="yellow"/>
        </w:rPr>
        <w:t>1</w:t>
      </w:r>
      <w:r>
        <w:rPr>
          <w:rFonts w:ascii="宋体" w:hAnsi="宋体"/>
          <w:sz w:val="24"/>
          <w:szCs w:val="22"/>
          <w:highlight w:val="yellow"/>
        </w:rPr>
        <w:t>.</w:t>
      </w:r>
      <w:r>
        <w:rPr>
          <w:rFonts w:hint="eastAsia" w:ascii="宋体" w:hAnsi="宋体"/>
          <w:sz w:val="24"/>
          <w:szCs w:val="22"/>
          <w:highlight w:val="yellow"/>
        </w:rPr>
        <w:t>3 黄石市政府采购交易系统支持响应文件一键签章功能，供应商使用一键签章功能即代表供应商认可响应文件所有盖章页面当前页的内容。</w:t>
      </w:r>
    </w:p>
    <w:p>
      <w:pPr>
        <w:spacing w:line="360" w:lineRule="auto"/>
        <w:rPr>
          <w:sz w:val="24"/>
          <w:szCs w:val="36"/>
        </w:rPr>
      </w:pPr>
      <w:r>
        <w:rPr>
          <w:sz w:val="24"/>
          <w:szCs w:val="36"/>
        </w:rPr>
        <w:t>2. 响应文件的递交</w:t>
      </w:r>
    </w:p>
    <w:p>
      <w:pPr>
        <w:spacing w:line="360" w:lineRule="auto"/>
        <w:ind w:firstLine="480" w:firstLineChars="200"/>
        <w:rPr>
          <w:rFonts w:ascii="宋体" w:hAnsi="宋体"/>
          <w:sz w:val="24"/>
          <w:szCs w:val="22"/>
          <w:highlight w:val="yellow"/>
        </w:rPr>
      </w:pPr>
      <w:r>
        <w:rPr>
          <w:rFonts w:hint="eastAsia" w:ascii="宋体" w:hAnsi="宋体"/>
          <w:sz w:val="24"/>
          <w:szCs w:val="22"/>
          <w:highlight w:val="yellow"/>
        </w:rPr>
        <w:t>1.供应商应当在磋商文件要求的截止时间前，登录黄石市政府采购交易系统，并使用数字证书（CA）登录，选择所投包号进行投标。</w:t>
      </w:r>
    </w:p>
    <w:p>
      <w:pPr>
        <w:spacing w:line="360" w:lineRule="auto"/>
        <w:ind w:firstLine="480" w:firstLineChars="200"/>
        <w:rPr>
          <w:rFonts w:ascii="宋体" w:hAnsi="宋体"/>
          <w:b/>
          <w:sz w:val="24"/>
          <w:szCs w:val="22"/>
          <w:highlight w:val="yellow"/>
        </w:rPr>
      </w:pPr>
      <w:r>
        <w:rPr>
          <w:rFonts w:hint="eastAsia" w:ascii="宋体" w:hAnsi="宋体"/>
          <w:sz w:val="24"/>
          <w:szCs w:val="22"/>
          <w:highlight w:val="yellow"/>
        </w:rPr>
        <w:t>2.供应商应按照黄石市政府采购交易系统的要求上传相应的响应内容，合成响应文件，并通过 CA 上传响应文件。如未按照要求对应上传的，采购代理机构、评标委员会可视为其未提供该项的证明文件或响应内容。</w:t>
      </w:r>
    </w:p>
    <w:p>
      <w:pPr>
        <w:spacing w:line="360" w:lineRule="auto"/>
        <w:ind w:firstLine="480" w:firstLineChars="200"/>
        <w:rPr>
          <w:sz w:val="20"/>
          <w:szCs w:val="21"/>
        </w:rPr>
      </w:pPr>
      <w:r>
        <w:rPr>
          <w:rFonts w:hint="eastAsia" w:ascii="宋体" w:hAnsi="宋体"/>
          <w:sz w:val="24"/>
          <w:szCs w:val="22"/>
          <w:highlight w:val="yellow"/>
        </w:rPr>
        <w:t>3.如响应文件有分包要求，供应商对响应文件中多个包进行投标的，其电子响应文件的编制应按每包要求分别上传。</w:t>
      </w:r>
    </w:p>
    <w:p>
      <w:pPr>
        <w:spacing w:line="360" w:lineRule="auto"/>
        <w:ind w:firstLine="480" w:firstLineChars="200"/>
        <w:rPr>
          <w:rFonts w:ascii="Helvetica" w:hAnsi="Helvetica" w:cs="Helvetica"/>
          <w:kern w:val="0"/>
          <w:sz w:val="24"/>
          <w:szCs w:val="22"/>
          <w:highlight w:val="yellow"/>
        </w:rPr>
      </w:pPr>
      <w:r>
        <w:rPr>
          <w:rFonts w:hint="eastAsia" w:ascii="宋体" w:hAnsi="宋体" w:eastAsia="宋体" w:cs="黑体"/>
          <w:sz w:val="24"/>
          <w:szCs w:val="22"/>
          <w:highlight w:val="yellow"/>
        </w:rPr>
        <w:t>4.</w:t>
      </w:r>
      <w:r>
        <w:rPr>
          <w:rFonts w:hint="eastAsia" w:ascii="Helvetica" w:hAnsi="Helvetica" w:eastAsia="宋体" w:cs="Helvetica"/>
          <w:kern w:val="0"/>
          <w:sz w:val="24"/>
          <w:szCs w:val="22"/>
          <w:highlight w:val="yellow"/>
        </w:rPr>
        <w:t>供应商</w:t>
      </w:r>
      <w:r>
        <w:rPr>
          <w:rFonts w:hint="eastAsia" w:ascii="Helvetica" w:hAnsi="Helvetica" w:cs="Helvetica"/>
          <w:kern w:val="0"/>
          <w:sz w:val="24"/>
          <w:szCs w:val="22"/>
          <w:highlight w:val="yellow"/>
        </w:rPr>
        <w:t>完成响应文件上传后，“黄石市政府采购交易系统”即时向供应商发出电子签收凭证，递交时间以电子签收凭证载明的传输完成时间为准。供应商应充分考虑上传文件时的不可预见因素，响应文件未在</w:t>
      </w:r>
      <w:r>
        <w:rPr>
          <w:rFonts w:hint="eastAsia" w:ascii="宋体" w:hAnsi="宋体"/>
          <w:sz w:val="24"/>
          <w:szCs w:val="22"/>
          <w:highlight w:val="yellow"/>
        </w:rPr>
        <w:t>磋商文件要求的</w:t>
      </w:r>
      <w:r>
        <w:rPr>
          <w:rFonts w:hint="eastAsia" w:ascii="Helvetica" w:hAnsi="Helvetica" w:cs="Helvetica"/>
          <w:kern w:val="0"/>
          <w:sz w:val="24"/>
          <w:szCs w:val="22"/>
          <w:highlight w:val="yellow"/>
        </w:rPr>
        <w:t>截止时间前完成上传的，视为逾期送达，采购人和采购代理机构（“黄石市政府采购交易系统”）将拒收。</w:t>
      </w:r>
    </w:p>
    <w:p>
      <w:pPr>
        <w:pStyle w:val="8"/>
        <w:rPr>
          <w:rFonts w:ascii="Helvetica" w:hAnsi="Helvetica" w:cs="Helvetica"/>
          <w:kern w:val="0"/>
          <w:sz w:val="24"/>
          <w:szCs w:val="22"/>
          <w:highlight w:val="yellow"/>
        </w:rPr>
      </w:pPr>
      <w:r>
        <w:rPr>
          <w:rFonts w:hint="eastAsia" w:ascii="Helvetica" w:hAnsi="Helvetica" w:eastAsia="宋体" w:cs="Helvetica"/>
          <w:color w:val="FF0000"/>
          <w:kern w:val="0"/>
          <w:sz w:val="24"/>
          <w:szCs w:val="22"/>
        </w:rPr>
        <w:t>5、供应商未按规定上传响应文件的，其响应无效。</w:t>
      </w:r>
    </w:p>
    <w:p>
      <w:pPr>
        <w:spacing w:line="360" w:lineRule="auto"/>
        <w:ind w:firstLine="495" w:firstLineChars="176"/>
        <w:rPr>
          <w:rFonts w:ascii="宋体" w:hAnsi="宋体" w:eastAsia="宋体" w:cs="Times New Roman"/>
          <w:b/>
          <w:sz w:val="28"/>
          <w:szCs w:val="28"/>
        </w:rPr>
      </w:pPr>
      <w:r>
        <w:rPr>
          <w:rFonts w:ascii="宋体" w:hAnsi="宋体" w:eastAsia="宋体" w:cs="Times New Roman"/>
          <w:b/>
          <w:sz w:val="28"/>
          <w:szCs w:val="28"/>
        </w:rPr>
        <w:t>六、磋商小组的组成</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w:t>
      </w:r>
      <w:r>
        <w:rPr>
          <w:rFonts w:ascii="宋体" w:hAnsi="宋体" w:eastAsia="宋体" w:cs="Times New Roman"/>
          <w:bCs/>
          <w:sz w:val="24"/>
          <w:szCs w:val="24"/>
        </w:rPr>
        <w:t>磋商小组由采购人代表和</w:t>
      </w:r>
      <w:r>
        <w:rPr>
          <w:rFonts w:hint="eastAsia" w:ascii="宋体" w:hAnsi="宋体" w:eastAsia="宋体" w:cs="Times New Roman"/>
          <w:bCs/>
          <w:sz w:val="24"/>
          <w:szCs w:val="24"/>
        </w:rPr>
        <w:t>评审</w:t>
      </w:r>
      <w:r>
        <w:rPr>
          <w:rFonts w:ascii="宋体" w:hAnsi="宋体" w:eastAsia="宋体" w:cs="Times New Roman"/>
          <w:bCs/>
          <w:sz w:val="24"/>
          <w:szCs w:val="24"/>
        </w:rPr>
        <w:t>专家（技术、经济、法律等方面）</w:t>
      </w:r>
      <w:r>
        <w:rPr>
          <w:rFonts w:hint="eastAsia" w:ascii="宋体" w:hAnsi="宋体" w:eastAsia="宋体" w:cs="Times New Roman"/>
          <w:bCs/>
          <w:sz w:val="24"/>
          <w:szCs w:val="24"/>
        </w:rPr>
        <w:t>共3人</w:t>
      </w:r>
      <w:r>
        <w:rPr>
          <w:rFonts w:ascii="宋体" w:hAnsi="宋体" w:eastAsia="宋体" w:cs="Times New Roman"/>
          <w:bCs/>
          <w:sz w:val="24"/>
          <w:szCs w:val="24"/>
        </w:rPr>
        <w:t>以上</w:t>
      </w:r>
      <w:r>
        <w:rPr>
          <w:rFonts w:hint="eastAsia" w:ascii="宋体" w:hAnsi="宋体" w:eastAsia="宋体" w:cs="Times New Roman"/>
          <w:bCs/>
          <w:sz w:val="24"/>
          <w:szCs w:val="24"/>
        </w:rPr>
        <w:t>单数</w:t>
      </w:r>
      <w:r>
        <w:rPr>
          <w:rFonts w:ascii="宋体" w:hAnsi="宋体" w:eastAsia="宋体" w:cs="Times New Roman"/>
          <w:bCs/>
          <w:sz w:val="24"/>
          <w:szCs w:val="24"/>
        </w:rPr>
        <w:t>组成，</w:t>
      </w:r>
      <w:r>
        <w:rPr>
          <w:rFonts w:hint="eastAsia" w:ascii="宋体" w:hAnsi="宋体" w:eastAsia="宋体" w:cs="Times New Roman"/>
          <w:bCs/>
          <w:sz w:val="24"/>
          <w:szCs w:val="24"/>
        </w:rPr>
        <w:t>评审</w:t>
      </w:r>
      <w:r>
        <w:rPr>
          <w:rFonts w:ascii="宋体" w:hAnsi="宋体" w:eastAsia="宋体" w:cs="Times New Roman"/>
          <w:bCs/>
          <w:sz w:val="24"/>
          <w:szCs w:val="24"/>
        </w:rPr>
        <w:t>专家从省级政府采购专家库中随机抽取。</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2.</w:t>
      </w:r>
      <w:r>
        <w:rPr>
          <w:rFonts w:ascii="宋体" w:hAnsi="宋体" w:eastAsia="宋体" w:cs="Times New Roman"/>
          <w:bCs/>
          <w:sz w:val="24"/>
          <w:szCs w:val="24"/>
        </w:rPr>
        <w:t>磋商小组负责制定磋商文件、确定磋商供应商名单、响应文件的评审、磋商谈判、商务服务评议并评分、根据综合评分情况编写评审报告，协助处理质疑等工作。</w:t>
      </w:r>
    </w:p>
    <w:p>
      <w:pPr>
        <w:spacing w:line="360" w:lineRule="auto"/>
        <w:ind w:firstLine="495" w:firstLineChars="176"/>
        <w:rPr>
          <w:rFonts w:ascii="宋体" w:hAnsi="宋体" w:eastAsia="宋体" w:cs="Times New Roman"/>
          <w:b/>
          <w:sz w:val="28"/>
          <w:szCs w:val="28"/>
        </w:rPr>
      </w:pPr>
      <w:r>
        <w:rPr>
          <w:rFonts w:ascii="宋体" w:hAnsi="宋体" w:eastAsia="宋体" w:cs="Times New Roman"/>
          <w:b/>
          <w:sz w:val="28"/>
          <w:szCs w:val="28"/>
        </w:rPr>
        <w:t>七、磋商的步骤</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（一）</w:t>
      </w:r>
      <w:r>
        <w:rPr>
          <w:rFonts w:ascii="宋体" w:hAnsi="宋体" w:eastAsia="宋体" w:cs="Times New Roman"/>
          <w:bCs/>
          <w:sz w:val="24"/>
          <w:szCs w:val="24"/>
        </w:rPr>
        <w:t>供应商授权代表及其项目相关的商务技术人员按要求参加本项目磋商过程。</w:t>
      </w:r>
    </w:p>
    <w:p>
      <w:pPr>
        <w:spacing w:line="360" w:lineRule="auto"/>
        <w:ind w:firstLine="480" w:firstLineChars="200"/>
        <w:rPr>
          <w:rFonts w:ascii="宋体" w:hAnsi="宋体"/>
          <w:sz w:val="24"/>
          <w:szCs w:val="18"/>
          <w:highlight w:val="yellow"/>
        </w:rPr>
      </w:pPr>
      <w:r>
        <w:rPr>
          <w:rFonts w:hint="eastAsia" w:ascii="宋体" w:hAnsi="宋体"/>
          <w:sz w:val="24"/>
          <w:szCs w:val="18"/>
          <w:highlight w:val="yellow"/>
        </w:rPr>
        <w:t>1</w:t>
      </w:r>
      <w:r>
        <w:rPr>
          <w:rFonts w:ascii="宋体" w:hAnsi="宋体"/>
          <w:sz w:val="24"/>
          <w:szCs w:val="18"/>
          <w:highlight w:val="yellow"/>
        </w:rPr>
        <w:t>.供应商</w:t>
      </w:r>
      <w:r>
        <w:rPr>
          <w:rFonts w:hint="eastAsia" w:ascii="宋体" w:hAnsi="宋体"/>
          <w:sz w:val="24"/>
          <w:szCs w:val="18"/>
          <w:highlight w:val="yellow"/>
        </w:rPr>
        <w:t>可在能够保证设施设备可靠、互联网畅通的任意地点，通过互联网在线参加磋商，并实时在线关注磋商情况。</w:t>
      </w:r>
    </w:p>
    <w:p>
      <w:pPr>
        <w:spacing w:line="360" w:lineRule="auto"/>
        <w:ind w:firstLine="480" w:firstLineChars="200"/>
        <w:rPr>
          <w:rFonts w:ascii="Helvetica" w:hAnsi="Helvetica" w:eastAsia="宋体" w:cs="Helvetica"/>
          <w:color w:val="FF0000"/>
          <w:kern w:val="0"/>
          <w:sz w:val="24"/>
          <w:szCs w:val="22"/>
        </w:rPr>
      </w:pPr>
      <w:r>
        <w:rPr>
          <w:rFonts w:hint="eastAsia" w:ascii="宋体" w:hAnsi="宋体"/>
          <w:sz w:val="24"/>
          <w:szCs w:val="18"/>
          <w:highlight w:val="yellow"/>
        </w:rPr>
        <w:t>2</w:t>
      </w:r>
      <w:r>
        <w:rPr>
          <w:rFonts w:ascii="宋体" w:hAnsi="宋体"/>
          <w:sz w:val="24"/>
          <w:szCs w:val="18"/>
          <w:highlight w:val="yellow"/>
        </w:rPr>
        <w:t>.</w:t>
      </w:r>
      <w:r>
        <w:rPr>
          <w:rFonts w:hint="eastAsia" w:ascii="Helvetica" w:hAnsi="Helvetica" w:eastAsia="宋体" w:cs="Helvetica"/>
          <w:color w:val="FF0000"/>
          <w:kern w:val="0"/>
          <w:sz w:val="24"/>
          <w:szCs w:val="22"/>
        </w:rPr>
        <w:t>采购人、采购代理机构按照</w:t>
      </w:r>
      <w:r>
        <w:rPr>
          <w:rFonts w:hint="eastAsia" w:ascii="宋体" w:hAnsi="宋体"/>
          <w:sz w:val="24"/>
          <w:szCs w:val="18"/>
          <w:highlight w:val="yellow"/>
        </w:rPr>
        <w:t>磋商</w:t>
      </w:r>
      <w:r>
        <w:rPr>
          <w:rFonts w:hint="eastAsia" w:ascii="Helvetica" w:hAnsi="Helvetica" w:eastAsia="宋体" w:cs="Helvetica"/>
          <w:color w:val="FF0000"/>
          <w:kern w:val="0"/>
          <w:sz w:val="24"/>
          <w:szCs w:val="22"/>
        </w:rPr>
        <w:t>文件规定的时间通过交易系统组织</w:t>
      </w:r>
      <w:r>
        <w:rPr>
          <w:rFonts w:hint="eastAsia" w:ascii="宋体" w:hAnsi="宋体"/>
          <w:sz w:val="24"/>
          <w:szCs w:val="18"/>
          <w:highlight w:val="yellow"/>
        </w:rPr>
        <w:t>磋商</w:t>
      </w:r>
      <w:r>
        <w:rPr>
          <w:rFonts w:hint="eastAsia" w:ascii="Helvetica" w:hAnsi="Helvetica" w:eastAsia="宋体" w:cs="Helvetica"/>
          <w:color w:val="FF0000"/>
          <w:kern w:val="0"/>
          <w:sz w:val="24"/>
          <w:szCs w:val="22"/>
        </w:rPr>
        <w:t>，线上解密并开启响应文件。响应文件递交截止时间，</w:t>
      </w:r>
      <w:r>
        <w:rPr>
          <w:rFonts w:ascii="宋体" w:hAnsi="宋体"/>
          <w:sz w:val="24"/>
          <w:szCs w:val="18"/>
          <w:highlight w:val="yellow"/>
        </w:rPr>
        <w:t>供应商</w:t>
      </w:r>
      <w:r>
        <w:rPr>
          <w:rFonts w:hint="eastAsia" w:ascii="Helvetica" w:hAnsi="Helvetica" w:eastAsia="宋体" w:cs="Helvetica"/>
          <w:color w:val="FF0000"/>
          <w:kern w:val="0"/>
          <w:sz w:val="24"/>
          <w:szCs w:val="22"/>
        </w:rPr>
        <w:t>不足3家的，不进行</w:t>
      </w:r>
      <w:r>
        <w:rPr>
          <w:rFonts w:hint="eastAsia" w:ascii="宋体" w:hAnsi="宋体"/>
          <w:sz w:val="24"/>
          <w:szCs w:val="18"/>
          <w:highlight w:val="yellow"/>
        </w:rPr>
        <w:t>磋商</w:t>
      </w:r>
      <w:r>
        <w:rPr>
          <w:rFonts w:hint="eastAsia" w:ascii="Helvetica" w:hAnsi="Helvetica" w:eastAsia="宋体" w:cs="Helvetica"/>
          <w:color w:val="FF0000"/>
          <w:kern w:val="0"/>
          <w:sz w:val="24"/>
          <w:szCs w:val="22"/>
        </w:rPr>
        <w:t>。</w:t>
      </w:r>
    </w:p>
    <w:p>
      <w:pPr>
        <w:spacing w:line="360" w:lineRule="auto"/>
        <w:ind w:firstLine="480" w:firstLineChars="200"/>
        <w:rPr>
          <w:rFonts w:ascii="Helvetica" w:hAnsi="Helvetica" w:eastAsia="宋体" w:cs="Helvetica"/>
          <w:color w:val="FF0000"/>
          <w:kern w:val="0"/>
          <w:sz w:val="24"/>
          <w:szCs w:val="22"/>
        </w:rPr>
      </w:pPr>
      <w:r>
        <w:rPr>
          <w:rFonts w:hint="eastAsia" w:ascii="Helvetica" w:hAnsi="Helvetica" w:eastAsia="宋体" w:cs="Helvetica"/>
          <w:color w:val="FF0000"/>
          <w:kern w:val="0"/>
          <w:sz w:val="24"/>
          <w:szCs w:val="22"/>
        </w:rPr>
        <w:t>3.特殊情况的处置</w:t>
      </w:r>
    </w:p>
    <w:p>
      <w:pPr>
        <w:spacing w:line="360" w:lineRule="auto"/>
        <w:ind w:firstLine="480" w:firstLineChars="200"/>
        <w:rPr>
          <w:rFonts w:ascii="Helvetica" w:hAnsi="Helvetica" w:eastAsia="宋体" w:cs="Helvetica"/>
          <w:color w:val="FF0000"/>
          <w:kern w:val="0"/>
          <w:sz w:val="24"/>
          <w:szCs w:val="22"/>
        </w:rPr>
      </w:pPr>
      <w:r>
        <w:rPr>
          <w:rFonts w:hint="eastAsia" w:ascii="Helvetica" w:hAnsi="Helvetica" w:eastAsia="宋体" w:cs="Helvetica"/>
          <w:color w:val="FF0000"/>
          <w:kern w:val="0"/>
          <w:sz w:val="24"/>
          <w:szCs w:val="22"/>
        </w:rPr>
        <w:t>在</w:t>
      </w:r>
      <w:r>
        <w:rPr>
          <w:rFonts w:hint="eastAsia" w:ascii="宋体" w:hAnsi="宋体"/>
          <w:sz w:val="24"/>
          <w:szCs w:val="18"/>
          <w:highlight w:val="yellow"/>
        </w:rPr>
        <w:t>磋商</w:t>
      </w:r>
      <w:r>
        <w:rPr>
          <w:rFonts w:hint="eastAsia" w:ascii="Helvetica" w:hAnsi="Helvetica" w:eastAsia="宋体" w:cs="Helvetica"/>
          <w:color w:val="FF0000"/>
          <w:kern w:val="0"/>
          <w:sz w:val="24"/>
          <w:szCs w:val="22"/>
        </w:rPr>
        <w:t>过程中出现异常情况，采购人或采购代理机构可以采用采购文件中规定的其他补救措施进行</w:t>
      </w:r>
      <w:r>
        <w:rPr>
          <w:rFonts w:hint="eastAsia" w:ascii="宋体" w:hAnsi="宋体"/>
          <w:sz w:val="24"/>
          <w:szCs w:val="18"/>
          <w:highlight w:val="yellow"/>
        </w:rPr>
        <w:t>磋商</w:t>
      </w:r>
      <w:r>
        <w:rPr>
          <w:rFonts w:hint="eastAsia" w:ascii="Helvetica" w:hAnsi="Helvetica" w:eastAsia="宋体" w:cs="Helvetica"/>
          <w:color w:val="FF0000"/>
          <w:kern w:val="0"/>
          <w:sz w:val="24"/>
          <w:szCs w:val="22"/>
        </w:rPr>
        <w:t>，也可以封存相关数据及信息，暂停开</w:t>
      </w:r>
      <w:r>
        <w:rPr>
          <w:rFonts w:hint="eastAsia" w:ascii="宋体" w:hAnsi="宋体"/>
          <w:sz w:val="24"/>
          <w:szCs w:val="18"/>
          <w:highlight w:val="yellow"/>
        </w:rPr>
        <w:t>磋商</w:t>
      </w:r>
      <w:r>
        <w:rPr>
          <w:rFonts w:hint="eastAsia" w:ascii="Helvetica" w:hAnsi="Helvetica" w:eastAsia="宋体" w:cs="Helvetica"/>
          <w:color w:val="FF0000"/>
          <w:kern w:val="0"/>
          <w:sz w:val="24"/>
          <w:szCs w:val="22"/>
        </w:rPr>
        <w:t>工作，待故障排除后，继续</w:t>
      </w:r>
      <w:r>
        <w:rPr>
          <w:rFonts w:hint="eastAsia" w:ascii="宋体" w:hAnsi="宋体"/>
          <w:sz w:val="24"/>
          <w:szCs w:val="18"/>
          <w:highlight w:val="yellow"/>
        </w:rPr>
        <w:t>磋商</w:t>
      </w:r>
      <w:r>
        <w:rPr>
          <w:rFonts w:hint="eastAsia" w:ascii="Helvetica" w:hAnsi="Helvetica" w:eastAsia="宋体" w:cs="Helvetica"/>
          <w:color w:val="FF0000"/>
          <w:kern w:val="0"/>
          <w:sz w:val="24"/>
          <w:szCs w:val="22"/>
        </w:rPr>
        <w:t>工作。如继续进行影响采购过程公平、公正的，或者可能损害采购人或供应商利益的，经财政部门批准同意后，应当重新开展采购活动。</w:t>
      </w:r>
    </w:p>
    <w:p>
      <w:pPr>
        <w:spacing w:line="360" w:lineRule="auto"/>
        <w:ind w:firstLine="480" w:firstLineChars="200"/>
        <w:rPr>
          <w:rFonts w:ascii="Helvetica" w:hAnsi="Helvetica" w:eastAsia="宋体" w:cs="Helvetica"/>
          <w:color w:val="FF0000"/>
          <w:kern w:val="0"/>
          <w:sz w:val="24"/>
          <w:szCs w:val="22"/>
        </w:rPr>
      </w:pPr>
      <w:r>
        <w:rPr>
          <w:rFonts w:hint="eastAsia" w:ascii="Helvetica" w:hAnsi="Helvetica" w:eastAsia="宋体" w:cs="Helvetica"/>
          <w:color w:val="FF0000"/>
          <w:kern w:val="0"/>
          <w:sz w:val="24"/>
          <w:szCs w:val="22"/>
        </w:rPr>
        <w:t xml:space="preserve"> “黄石市政府采购交易系统”异常情况是指下列情形：</w:t>
      </w:r>
    </w:p>
    <w:p>
      <w:pPr>
        <w:spacing w:line="360" w:lineRule="auto"/>
        <w:ind w:firstLine="480" w:firstLineChars="200"/>
        <w:rPr>
          <w:rFonts w:ascii="Helvetica" w:hAnsi="Helvetica" w:eastAsia="宋体" w:cs="Helvetica"/>
          <w:color w:val="FF0000"/>
          <w:kern w:val="0"/>
          <w:sz w:val="24"/>
          <w:szCs w:val="22"/>
        </w:rPr>
      </w:pPr>
      <w:r>
        <w:rPr>
          <w:rFonts w:hint="eastAsia" w:ascii="Helvetica" w:hAnsi="Helvetica" w:eastAsia="宋体" w:cs="Helvetica"/>
          <w:color w:val="FF0000"/>
          <w:kern w:val="0"/>
          <w:sz w:val="24"/>
          <w:szCs w:val="22"/>
        </w:rPr>
        <w:t>（1）系统服务器发生故障，无法访问或无法使用系统；</w:t>
      </w:r>
    </w:p>
    <w:p>
      <w:pPr>
        <w:spacing w:line="360" w:lineRule="auto"/>
        <w:ind w:firstLine="480" w:firstLineChars="200"/>
        <w:rPr>
          <w:rFonts w:ascii="Helvetica" w:hAnsi="Helvetica" w:eastAsia="宋体" w:cs="Helvetica"/>
          <w:color w:val="FF0000"/>
          <w:kern w:val="0"/>
          <w:sz w:val="24"/>
          <w:szCs w:val="22"/>
        </w:rPr>
      </w:pPr>
      <w:r>
        <w:rPr>
          <w:rFonts w:hint="eastAsia" w:ascii="Helvetica" w:hAnsi="Helvetica" w:eastAsia="宋体" w:cs="Helvetica"/>
          <w:color w:val="FF0000"/>
          <w:kern w:val="0"/>
          <w:sz w:val="24"/>
          <w:szCs w:val="22"/>
        </w:rPr>
        <w:t>（2）系统的软件或数据库出现错误，不能进行正常操作；</w:t>
      </w:r>
    </w:p>
    <w:p>
      <w:pPr>
        <w:spacing w:line="360" w:lineRule="auto"/>
        <w:ind w:firstLine="480" w:firstLineChars="200"/>
        <w:rPr>
          <w:rFonts w:ascii="Helvetica" w:hAnsi="Helvetica" w:eastAsia="宋体" w:cs="Helvetica"/>
          <w:color w:val="FF0000"/>
          <w:kern w:val="0"/>
          <w:sz w:val="24"/>
          <w:szCs w:val="22"/>
        </w:rPr>
      </w:pPr>
      <w:r>
        <w:rPr>
          <w:rFonts w:hint="eastAsia" w:ascii="Helvetica" w:hAnsi="Helvetica" w:eastAsia="宋体" w:cs="Helvetica"/>
          <w:color w:val="FF0000"/>
          <w:kern w:val="0"/>
          <w:sz w:val="24"/>
          <w:szCs w:val="22"/>
        </w:rPr>
        <w:t>（3）系统发现有安全漏洞，有潜在的泄密危险；</w:t>
      </w:r>
    </w:p>
    <w:p>
      <w:pPr>
        <w:spacing w:line="360" w:lineRule="auto"/>
        <w:ind w:firstLine="480" w:firstLineChars="200"/>
        <w:rPr>
          <w:rFonts w:ascii="Helvetica" w:hAnsi="Helvetica" w:eastAsia="宋体" w:cs="Helvetica"/>
          <w:color w:val="FF0000"/>
          <w:kern w:val="0"/>
          <w:sz w:val="24"/>
          <w:szCs w:val="22"/>
        </w:rPr>
      </w:pPr>
      <w:r>
        <w:rPr>
          <w:rFonts w:hint="eastAsia" w:ascii="Helvetica" w:hAnsi="Helvetica" w:eastAsia="宋体" w:cs="Helvetica"/>
          <w:color w:val="FF0000"/>
          <w:kern w:val="0"/>
          <w:sz w:val="24"/>
          <w:szCs w:val="22"/>
        </w:rPr>
        <w:t>（4）出现断电、断网事故；</w:t>
      </w:r>
    </w:p>
    <w:p>
      <w:pPr>
        <w:spacing w:line="360" w:lineRule="auto"/>
        <w:ind w:firstLine="480" w:firstLineChars="200"/>
        <w:rPr>
          <w:rFonts w:ascii="Helvetica" w:hAnsi="Helvetica" w:eastAsia="宋体" w:cs="Helvetica"/>
          <w:color w:val="FF0000"/>
          <w:kern w:val="0"/>
          <w:sz w:val="24"/>
          <w:szCs w:val="22"/>
        </w:rPr>
      </w:pPr>
      <w:r>
        <w:rPr>
          <w:rFonts w:hint="eastAsia" w:ascii="Helvetica" w:hAnsi="Helvetica" w:eastAsia="宋体" w:cs="Helvetica"/>
          <w:color w:val="FF0000"/>
          <w:kern w:val="0"/>
          <w:sz w:val="24"/>
          <w:szCs w:val="22"/>
        </w:rPr>
        <w:t>（5）其他无法保证政府采购活动正常进行的情形。</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（二）</w:t>
      </w:r>
      <w:r>
        <w:rPr>
          <w:rFonts w:ascii="宋体" w:hAnsi="宋体" w:eastAsia="宋体" w:cs="Times New Roman"/>
          <w:bCs/>
          <w:sz w:val="24"/>
          <w:szCs w:val="24"/>
        </w:rPr>
        <w:t>资格性审查</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w:t>
      </w:r>
      <w:r>
        <w:rPr>
          <w:rFonts w:ascii="宋体" w:hAnsi="宋体" w:eastAsia="宋体" w:cs="Times New Roman"/>
          <w:bCs/>
          <w:sz w:val="24"/>
          <w:szCs w:val="24"/>
        </w:rPr>
        <w:t>磋商小组验证各供应商代表或委托授权人的身份。供应商代表或委托授权人身份与响应文件不符的、响应文件未按要求加盖印章和签字的，磋商小组</w:t>
      </w:r>
      <w:r>
        <w:rPr>
          <w:rFonts w:hint="eastAsia" w:ascii="宋体" w:hAnsi="宋体" w:eastAsia="宋体" w:cs="Times New Roman"/>
          <w:bCs/>
          <w:sz w:val="24"/>
          <w:szCs w:val="24"/>
        </w:rPr>
        <w:t>将</w:t>
      </w:r>
      <w:r>
        <w:rPr>
          <w:rFonts w:ascii="宋体" w:hAnsi="宋体" w:eastAsia="宋体" w:cs="Times New Roman"/>
          <w:bCs/>
          <w:sz w:val="24"/>
          <w:szCs w:val="24"/>
        </w:rPr>
        <w:t>拒绝该供应商参加磋商。</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2.</w:t>
      </w:r>
      <w:r>
        <w:rPr>
          <w:rFonts w:ascii="宋体" w:hAnsi="宋体" w:eastAsia="宋体" w:cs="Times New Roman"/>
          <w:bCs/>
          <w:sz w:val="24"/>
          <w:szCs w:val="24"/>
        </w:rPr>
        <w:t>磋商小组根据磋商文件规定对供应商响应文件的有效性、完整性和响应程度进行审查。审查内容包括供应商资格条件、实质性响应的情况等。未实质性响应磋商文件的响应文件按无效处理，并告知有关供应商。</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（三）</w:t>
      </w:r>
      <w:r>
        <w:rPr>
          <w:rFonts w:ascii="宋体" w:hAnsi="宋体" w:eastAsia="宋体" w:cs="Times New Roman"/>
          <w:bCs/>
          <w:sz w:val="24"/>
          <w:szCs w:val="24"/>
        </w:rPr>
        <w:t>第一轮磋商</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w:t>
      </w:r>
      <w:r>
        <w:rPr>
          <w:rFonts w:ascii="宋体" w:hAnsi="宋体" w:eastAsia="宋体" w:cs="Times New Roman"/>
          <w:bCs/>
          <w:sz w:val="24"/>
          <w:szCs w:val="24"/>
        </w:rPr>
        <w:t>磋商小组将按照随机抽签的顺序决定供应商的磋商顺序，并与单一供应商分别进行磋商。</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2.</w:t>
      </w:r>
      <w:r>
        <w:rPr>
          <w:rFonts w:ascii="宋体" w:hAnsi="宋体" w:eastAsia="宋体" w:cs="Times New Roman"/>
          <w:bCs/>
          <w:sz w:val="24"/>
          <w:szCs w:val="24"/>
        </w:rPr>
        <w:t>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3.</w:t>
      </w:r>
      <w:r>
        <w:rPr>
          <w:rFonts w:ascii="宋体" w:hAnsi="宋体" w:eastAsia="宋体" w:cs="Times New Roman"/>
          <w:bCs/>
          <w:sz w:val="24"/>
          <w:szCs w:val="24"/>
        </w:rPr>
        <w:t xml:space="preserve"> 响应文件的澄清和说明</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w:t>
      </w:r>
      <w:r>
        <w:rPr>
          <w:rFonts w:ascii="宋体" w:hAnsi="宋体" w:eastAsia="宋体" w:cs="Times New Roman"/>
          <w:bCs/>
          <w:sz w:val="24"/>
          <w:szCs w:val="24"/>
        </w:rPr>
        <w:t>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（2）</w:t>
      </w:r>
      <w:r>
        <w:rPr>
          <w:rFonts w:ascii="宋体" w:hAnsi="宋体" w:eastAsia="宋体" w:cs="Times New Roman"/>
          <w:bCs/>
          <w:sz w:val="24"/>
          <w:szCs w:val="24"/>
        </w:rPr>
        <w:t>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（3）</w:t>
      </w:r>
      <w:r>
        <w:rPr>
          <w:rFonts w:ascii="宋体" w:hAnsi="宋体" w:eastAsia="宋体" w:cs="Times New Roman"/>
          <w:bCs/>
          <w:sz w:val="24"/>
          <w:szCs w:val="24"/>
        </w:rPr>
        <w:t>供应商可以对参加竞争性磋商项目的采购需求提出优化建议，并以书面提交磋商小组。</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4.</w:t>
      </w:r>
      <w:r>
        <w:rPr>
          <w:rFonts w:ascii="宋体" w:hAnsi="宋体" w:eastAsia="宋体" w:cs="Times New Roman"/>
          <w:bCs/>
          <w:sz w:val="24"/>
          <w:szCs w:val="24"/>
        </w:rPr>
        <w:t>磋商小组按磋商文件设定的方法和标准确定供应商符合磋商文件要求的，该供应商即为合格的供应商。</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5.</w:t>
      </w:r>
      <w:r>
        <w:rPr>
          <w:rFonts w:ascii="宋体" w:hAnsi="宋体" w:eastAsia="宋体" w:cs="Times New Roman"/>
          <w:bCs/>
          <w:sz w:val="24"/>
          <w:szCs w:val="24"/>
        </w:rPr>
        <w:t>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6.</w:t>
      </w:r>
      <w:r>
        <w:rPr>
          <w:rFonts w:ascii="宋体" w:hAnsi="宋体" w:eastAsia="宋体" w:cs="Times New Roman"/>
          <w:bCs/>
          <w:sz w:val="24"/>
          <w:szCs w:val="24"/>
        </w:rPr>
        <w:t>合格的供应商不足三家的，磋商小组、采购人在调整采购需求中的技术、服务要求以及合同草案条款后进行下一轮磋商。否则，本次磋商终止。</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（四）</w:t>
      </w:r>
      <w:r>
        <w:rPr>
          <w:rFonts w:ascii="宋体" w:hAnsi="宋体" w:eastAsia="宋体" w:cs="Times New Roman"/>
          <w:bCs/>
          <w:sz w:val="24"/>
          <w:szCs w:val="24"/>
        </w:rPr>
        <w:t>磋商文件修正</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w:t>
      </w:r>
      <w:r>
        <w:rPr>
          <w:rFonts w:ascii="宋体" w:hAnsi="宋体" w:eastAsia="宋体" w:cs="Times New Roman"/>
          <w:bCs/>
          <w:sz w:val="24"/>
          <w:szCs w:val="24"/>
        </w:rPr>
        <w:t>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2.</w:t>
      </w:r>
      <w:r>
        <w:rPr>
          <w:rFonts w:ascii="宋体" w:hAnsi="宋体" w:eastAsia="宋体" w:cs="Times New Roman"/>
          <w:bCs/>
          <w:sz w:val="24"/>
          <w:szCs w:val="24"/>
        </w:rPr>
        <w:t>磋商小组将磋商文件的修改结果以书面形式通知参加磋商的供应商。</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3.</w:t>
      </w:r>
      <w:r>
        <w:rPr>
          <w:rFonts w:ascii="宋体" w:hAnsi="宋体" w:eastAsia="宋体" w:cs="Times New Roman"/>
          <w:bCs/>
          <w:sz w:val="24"/>
          <w:szCs w:val="24"/>
        </w:rPr>
        <w:t>供应商根据第一轮磋商情况和磋商文件修改书面通知，对原响应文件进行修正，并将修正文件签字（或盖章）后</w:t>
      </w:r>
      <w:r>
        <w:rPr>
          <w:rFonts w:hint="eastAsia" w:ascii="宋体" w:hAnsi="宋体" w:eastAsia="宋体" w:cs="Times New Roman"/>
          <w:bCs/>
          <w:sz w:val="24"/>
          <w:szCs w:val="24"/>
          <w:highlight w:val="yellow"/>
        </w:rPr>
        <w:t>加密</w:t>
      </w:r>
      <w:r>
        <w:rPr>
          <w:rFonts w:hint="eastAsia" w:ascii="宋体" w:hAnsi="宋体" w:eastAsia="宋体" w:cs="Times New Roman"/>
          <w:bCs/>
          <w:color w:val="0000FF"/>
          <w:sz w:val="24"/>
          <w:szCs w:val="24"/>
        </w:rPr>
        <w:t>上传至黄石市政府采购交易系统</w:t>
      </w:r>
      <w:r>
        <w:rPr>
          <w:rFonts w:ascii="宋体" w:hAnsi="宋体" w:eastAsia="宋体" w:cs="Times New Roman"/>
          <w:bCs/>
          <w:sz w:val="24"/>
          <w:szCs w:val="24"/>
        </w:rPr>
        <w:t>。逾时不交的，视同放弃磋商。修正文件与响应文件同具法律效应。</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4.</w:t>
      </w:r>
      <w:r>
        <w:rPr>
          <w:rFonts w:ascii="宋体" w:hAnsi="宋体" w:eastAsia="宋体" w:cs="Times New Roman"/>
          <w:bCs/>
          <w:sz w:val="24"/>
          <w:szCs w:val="24"/>
        </w:rPr>
        <w:t>对无法详细描述需求，需要供应商提供设计或者解决方案的项目，磋商小组可以根据采购人对需求确认情况，进行多轮磋商，直至采购人代表最终确认</w:t>
      </w:r>
      <w:r>
        <w:rPr>
          <w:rFonts w:hint="eastAsia" w:ascii="宋体" w:hAnsi="宋体" w:eastAsia="宋体" w:cs="Times New Roman"/>
          <w:bCs/>
          <w:sz w:val="24"/>
          <w:szCs w:val="24"/>
        </w:rPr>
        <w:t>采购</w:t>
      </w:r>
      <w:r>
        <w:rPr>
          <w:rFonts w:ascii="宋体" w:hAnsi="宋体" w:eastAsia="宋体" w:cs="Times New Roman"/>
          <w:bCs/>
          <w:sz w:val="24"/>
          <w:szCs w:val="24"/>
        </w:rPr>
        <w:t>需求为止。</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（五）</w:t>
      </w:r>
      <w:r>
        <w:rPr>
          <w:rFonts w:ascii="宋体" w:hAnsi="宋体" w:eastAsia="宋体" w:cs="Times New Roman"/>
          <w:bCs/>
          <w:sz w:val="24"/>
          <w:szCs w:val="24"/>
        </w:rPr>
        <w:t>第二轮磋商</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w:t>
      </w:r>
      <w:r>
        <w:rPr>
          <w:rFonts w:ascii="宋体" w:hAnsi="宋体" w:eastAsia="宋体" w:cs="Times New Roman"/>
          <w:bCs/>
          <w:sz w:val="24"/>
          <w:szCs w:val="24"/>
        </w:rPr>
        <w:t>磋商小组就修正后的磋商文件与供应商分别进行磋商。</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2.</w:t>
      </w:r>
      <w:r>
        <w:rPr>
          <w:rFonts w:ascii="宋体" w:hAnsi="宋体" w:eastAsia="宋体" w:cs="Times New Roman"/>
          <w:bCs/>
          <w:sz w:val="24"/>
          <w:szCs w:val="24"/>
        </w:rPr>
        <w:t>第二轮磋商结束后，实质性响应磋商文件及变动后磋商文件要求的供应商超过或不足三家的，按照上一轮磋商程序办理，以此类推。</w:t>
      </w:r>
    </w:p>
    <w:p>
      <w:pPr>
        <w:spacing w:line="360" w:lineRule="auto"/>
        <w:ind w:firstLine="422" w:firstLineChars="176"/>
        <w:rPr>
          <w:rFonts w:ascii="宋体" w:hAnsi="宋体" w:eastAsia="宋体" w:cs="Times New Roman"/>
          <w:bCs/>
          <w:color w:val="FF0000"/>
          <w:sz w:val="24"/>
          <w:szCs w:val="24"/>
        </w:rPr>
      </w:pPr>
      <w:r>
        <w:rPr>
          <w:rFonts w:hint="eastAsia" w:ascii="宋体" w:hAnsi="宋体" w:eastAsia="宋体" w:cs="Times New Roman"/>
          <w:bCs/>
          <w:sz w:val="24"/>
          <w:szCs w:val="24"/>
        </w:rPr>
        <w:t>（六）</w:t>
      </w:r>
      <w:r>
        <w:rPr>
          <w:rFonts w:ascii="宋体" w:hAnsi="宋体" w:eastAsia="宋体" w:cs="Times New Roman"/>
          <w:bCs/>
          <w:sz w:val="24"/>
          <w:szCs w:val="24"/>
        </w:rPr>
        <w:t>最后报价</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w:t>
      </w:r>
      <w:r>
        <w:rPr>
          <w:rFonts w:ascii="宋体" w:hAnsi="宋体" w:eastAsia="宋体" w:cs="Times New Roman"/>
          <w:bCs/>
          <w:sz w:val="24"/>
          <w:szCs w:val="24"/>
        </w:rPr>
        <w:t>磋商文件中能够详细列明采购标的的技术、服务要求的，在磋商结束后，所有继续参加磋商合格的供应商应在规定时间内提交最后报价。</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2.</w:t>
      </w:r>
      <w:r>
        <w:rPr>
          <w:rFonts w:ascii="宋体" w:hAnsi="宋体" w:eastAsia="宋体" w:cs="Times New Roman"/>
          <w:bCs/>
          <w:sz w:val="24"/>
          <w:szCs w:val="24"/>
        </w:rPr>
        <w:t>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3.</w:t>
      </w:r>
      <w:r>
        <w:rPr>
          <w:rFonts w:ascii="宋体" w:hAnsi="宋体" w:eastAsia="宋体" w:cs="Times New Roman"/>
          <w:bCs/>
          <w:sz w:val="24"/>
          <w:szCs w:val="24"/>
        </w:rPr>
        <w:t>供应商的报价均超过了政府采购预算或报价未超过采购预算的供应商不足三家的，磋商活动终止。</w:t>
      </w:r>
      <w:r>
        <w:rPr>
          <w:rFonts w:hint="eastAsia" w:ascii="宋体" w:hAnsi="宋体" w:eastAsia="宋体" w:cs="Times New Roman"/>
          <w:bCs/>
          <w:sz w:val="24"/>
          <w:szCs w:val="24"/>
        </w:rPr>
        <w:t>（采用竞争性磋商采购方式采购的政府购买服务项目（含政府和社会资本合作项目），在采购过程中符合要求的供应商（社会资本）只有2家的，竞争性磋商采购活动可以继续进行。）</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4.</w:t>
      </w:r>
      <w:r>
        <w:rPr>
          <w:rFonts w:ascii="宋体" w:hAnsi="宋体" w:eastAsia="宋体" w:cs="Times New Roman"/>
          <w:bCs/>
          <w:sz w:val="24"/>
          <w:szCs w:val="24"/>
        </w:rPr>
        <w:t>最后报价文件应</w:t>
      </w:r>
      <w:r>
        <w:rPr>
          <w:rFonts w:hint="eastAsia" w:ascii="宋体" w:hAnsi="宋体" w:eastAsia="宋体" w:cs="Times New Roman"/>
          <w:bCs/>
          <w:sz w:val="24"/>
          <w:szCs w:val="24"/>
          <w:highlight w:val="yellow"/>
        </w:rPr>
        <w:t>加密</w:t>
      </w:r>
      <w:r>
        <w:rPr>
          <w:rFonts w:hint="eastAsia" w:ascii="宋体" w:hAnsi="宋体" w:eastAsia="宋体" w:cs="Times New Roman"/>
          <w:bCs/>
          <w:color w:val="0000FF"/>
          <w:sz w:val="24"/>
          <w:szCs w:val="24"/>
        </w:rPr>
        <w:t>上传至黄石市政府采购交易系统</w:t>
      </w:r>
      <w:r>
        <w:rPr>
          <w:rFonts w:ascii="宋体" w:hAnsi="宋体" w:eastAsia="宋体" w:cs="Times New Roman"/>
          <w:bCs/>
          <w:sz w:val="24"/>
          <w:szCs w:val="24"/>
        </w:rPr>
        <w:t>，并在规定的同一时间内提交。最后报价是供应商响应文件的有效组成部分。</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5.</w:t>
      </w:r>
      <w:r>
        <w:rPr>
          <w:rFonts w:ascii="宋体" w:hAnsi="宋体" w:eastAsia="宋体" w:cs="Times New Roman"/>
          <w:bCs/>
          <w:sz w:val="24"/>
          <w:szCs w:val="24"/>
        </w:rPr>
        <w:t>在提交最后报价之前，供应商可以根据磋商情况退出磋商。</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（七）</w:t>
      </w:r>
      <w:r>
        <w:rPr>
          <w:rFonts w:ascii="宋体" w:hAnsi="宋体" w:eastAsia="宋体" w:cs="Times New Roman"/>
          <w:bCs/>
          <w:sz w:val="24"/>
          <w:szCs w:val="24"/>
        </w:rPr>
        <w:t>综合评议</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w:t>
      </w:r>
      <w:r>
        <w:rPr>
          <w:rFonts w:ascii="宋体" w:hAnsi="宋体" w:eastAsia="宋体" w:cs="Times New Roman"/>
          <w:bCs/>
          <w:sz w:val="24"/>
          <w:szCs w:val="24"/>
        </w:rPr>
        <w:t>磋商小组将按照磋商文件确定的评审办法对各供应商的响应文件进行商务服务评议和价格评议。</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2.</w:t>
      </w:r>
      <w:r>
        <w:rPr>
          <w:rFonts w:ascii="宋体" w:hAnsi="宋体" w:eastAsia="宋体" w:cs="Times New Roman"/>
          <w:bCs/>
          <w:sz w:val="24"/>
          <w:szCs w:val="24"/>
        </w:rPr>
        <w:t>评审采用综合评分法，具体见“第四章评审办法及评审标准”。</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（八）非专门面向中小企业、监狱企业或残疾人福利性单位采购项目价格评议</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小型和微型企业、监狱企业或残疾人福利性单位参加非专门面向中小企业、监狱企业或残疾人福利性单位采购项目，提供本企业制造的产品、承担的服务，或者提供其他小型和微型企业、监狱企业或残疾人福利性单位制造的产品参加报价的，给予20%的价格扣除，用扣除后的价格参与评审。本项所称产品不包括使用大型企业注册商标的产品、使用非残疾人福利性单位注册商标的货物或非监狱企业生产的货物。</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2.提供本企业制造的产品、承担的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3.对小型、微型企业与大中型企业和其他自然人、法人或者其他组织组成联合体共同参加非专门面向中小企业的政府采购活动，联合协议中小型、微型企业的协议合同金额占协议合同总金额30%以上的，给予联合体6%的价格扣除。联合体各方均为小型、微型企业的，给予联合体20%的价格扣除。</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4.对于未按规定提供《中小企业声明函》、《残疾人福利性单位声明函》或属于监狱企业的证明文件等原件，或声明函内容不能说明所提供产品、承担的服务的企业属于小型和微型企业、监狱企业或残疾人福利性单位的，不给予价格扣除。残疾人福利性单位属于小型、微型企业的，不重复享受政策。</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（九）</w:t>
      </w:r>
      <w:r>
        <w:rPr>
          <w:rFonts w:ascii="宋体" w:hAnsi="宋体" w:eastAsia="宋体" w:cs="Times New Roman"/>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360" w:lineRule="auto"/>
        <w:ind w:firstLine="422" w:firstLineChars="176"/>
        <w:rPr>
          <w:rFonts w:ascii="宋体" w:hAnsi="宋体" w:eastAsia="宋体" w:cs="Times New Roman"/>
          <w:bCs/>
          <w:sz w:val="24"/>
          <w:szCs w:val="24"/>
        </w:rPr>
      </w:pPr>
      <w:r>
        <w:rPr>
          <w:rFonts w:ascii="宋体" w:hAnsi="宋体" w:eastAsia="宋体"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（十）</w:t>
      </w:r>
      <w:r>
        <w:rPr>
          <w:rFonts w:ascii="宋体" w:hAnsi="宋体" w:eastAsia="宋体" w:cs="Times New Roman"/>
          <w:bCs/>
          <w:sz w:val="24"/>
          <w:szCs w:val="24"/>
        </w:rPr>
        <w:t>磋商小组决定响应文件的响应性只根据响应文件本身的真实无误的内容，而不依据外部的证据，但响应文件有不真实不正确的内容时除外。</w:t>
      </w:r>
    </w:p>
    <w:p>
      <w:pPr>
        <w:spacing w:line="360" w:lineRule="auto"/>
        <w:ind w:firstLine="495" w:firstLineChars="176"/>
        <w:rPr>
          <w:rFonts w:ascii="宋体" w:hAnsi="宋体" w:eastAsia="宋体" w:cs="Times New Roman"/>
          <w:b/>
          <w:sz w:val="28"/>
          <w:szCs w:val="28"/>
        </w:rPr>
      </w:pPr>
      <w:r>
        <w:rPr>
          <w:rFonts w:ascii="宋体" w:hAnsi="宋体" w:eastAsia="宋体" w:cs="Times New Roman"/>
          <w:b/>
          <w:sz w:val="28"/>
          <w:szCs w:val="28"/>
        </w:rPr>
        <w:t>八、确定成交供应商</w:t>
      </w:r>
    </w:p>
    <w:p>
      <w:pPr>
        <w:spacing w:line="360" w:lineRule="auto"/>
        <w:ind w:firstLine="422" w:firstLineChars="176"/>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1、</w:t>
      </w:r>
      <w:r>
        <w:rPr>
          <w:rFonts w:hint="eastAsia" w:ascii="宋体" w:hAnsi="宋体" w:eastAsia="宋体" w:cs="Times New Roman"/>
          <w:bCs/>
          <w:sz w:val="24"/>
          <w:szCs w:val="24"/>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spacing w:line="360" w:lineRule="auto"/>
        <w:ind w:firstLine="422" w:firstLineChars="176"/>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2、采购人从评审报告提出的成交候选供应商中，按照排序由高到低的原则确定成交供应商。</w:t>
      </w:r>
    </w:p>
    <w:p>
      <w:pPr>
        <w:spacing w:line="360" w:lineRule="auto"/>
        <w:ind w:firstLine="495" w:firstLineChars="176"/>
        <w:rPr>
          <w:rFonts w:ascii="宋体" w:hAnsi="宋体" w:eastAsia="宋体" w:cs="Times New Roman"/>
          <w:b/>
          <w:sz w:val="28"/>
          <w:szCs w:val="28"/>
        </w:rPr>
      </w:pPr>
      <w:r>
        <w:rPr>
          <w:rFonts w:ascii="宋体" w:hAnsi="宋体" w:eastAsia="宋体" w:cs="Times New Roman"/>
          <w:b/>
          <w:sz w:val="28"/>
          <w:szCs w:val="28"/>
        </w:rPr>
        <w:t>九、成交公告和质疑</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（一）</w:t>
      </w:r>
      <w:r>
        <w:rPr>
          <w:rFonts w:hint="eastAsia" w:ascii="宋体" w:hAnsi="宋体" w:eastAsia="宋体" w:cs="宋体"/>
          <w:sz w:val="24"/>
          <w:szCs w:val="24"/>
          <w:lang w:eastAsia="zh-CN"/>
        </w:rPr>
        <w:t>采购代理机构</w:t>
      </w:r>
      <w:r>
        <w:rPr>
          <w:rFonts w:ascii="宋体" w:hAnsi="宋体" w:eastAsia="宋体" w:cs="Times New Roman"/>
          <w:bCs/>
          <w:sz w:val="24"/>
          <w:szCs w:val="24"/>
        </w:rPr>
        <w:t>在成交供应商确定后，在财政部门指定的媒体上公告成交结果，同时向成交供应商发出成交通知书。公告期为一个工作日。</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（二）</w:t>
      </w:r>
      <w:r>
        <w:rPr>
          <w:rFonts w:ascii="宋体" w:hAnsi="宋体" w:eastAsia="宋体" w:cs="Times New Roman"/>
          <w:bCs/>
          <w:sz w:val="24"/>
          <w:szCs w:val="24"/>
        </w:rPr>
        <w:t>相关供应商对成交结果、磋商过程有询问或质疑的，可在公告期届满之日起七个工作日内，依据政府采购相关规定，向</w:t>
      </w:r>
      <w:r>
        <w:rPr>
          <w:rFonts w:hint="eastAsia" w:ascii="宋体" w:hAnsi="宋体" w:eastAsia="宋体" w:cs="宋体"/>
          <w:sz w:val="24"/>
          <w:szCs w:val="24"/>
          <w:lang w:eastAsia="zh-CN"/>
        </w:rPr>
        <w:t>采购代理机构</w:t>
      </w:r>
      <w:r>
        <w:rPr>
          <w:rFonts w:ascii="宋体" w:hAnsi="宋体" w:eastAsia="宋体" w:cs="Times New Roman"/>
          <w:bCs/>
          <w:sz w:val="24"/>
          <w:szCs w:val="24"/>
        </w:rPr>
        <w:t>提出询问或质疑，</w:t>
      </w:r>
      <w:r>
        <w:rPr>
          <w:rFonts w:hint="eastAsia" w:ascii="宋体" w:hAnsi="宋体" w:eastAsia="宋体" w:cs="宋体"/>
          <w:sz w:val="24"/>
          <w:szCs w:val="24"/>
          <w:lang w:eastAsia="zh-CN"/>
        </w:rPr>
        <w:t>采购代理机构</w:t>
      </w:r>
      <w:r>
        <w:rPr>
          <w:rFonts w:ascii="宋体" w:hAnsi="宋体" w:eastAsia="宋体" w:cs="Times New Roman"/>
          <w:bCs/>
          <w:sz w:val="24"/>
          <w:szCs w:val="24"/>
        </w:rPr>
        <w:t>将按政府采购询问或质疑程序处理。</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1.询问</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（1）供应商对政府采购活动事项有疑问的，可以向采购人、</w:t>
      </w:r>
      <w:r>
        <w:rPr>
          <w:rFonts w:hint="eastAsia" w:ascii="宋体" w:hAnsi="宋体" w:eastAsia="宋体" w:cs="宋体"/>
          <w:sz w:val="24"/>
          <w:szCs w:val="24"/>
          <w:lang w:eastAsia="zh-CN"/>
        </w:rPr>
        <w:t>采购代理机构</w:t>
      </w:r>
      <w:r>
        <w:rPr>
          <w:rFonts w:hint="eastAsia" w:ascii="宋体" w:hAnsi="宋体" w:eastAsia="宋体" w:cs="Times New Roman"/>
          <w:bCs/>
          <w:sz w:val="24"/>
          <w:szCs w:val="24"/>
        </w:rPr>
        <w:t>提出询问。</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（2）询问可以采取电话、当面询问或书面形式提出。</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（3）采购人、</w:t>
      </w:r>
      <w:r>
        <w:rPr>
          <w:rFonts w:hint="eastAsia" w:ascii="宋体" w:hAnsi="宋体" w:eastAsia="宋体" w:cs="Times New Roman"/>
          <w:bCs/>
          <w:sz w:val="24"/>
          <w:szCs w:val="24"/>
          <w:lang w:eastAsia="zh-CN"/>
        </w:rPr>
        <w:t>采购代理机构</w:t>
      </w:r>
      <w:r>
        <w:rPr>
          <w:rFonts w:hint="eastAsia" w:ascii="宋体" w:hAnsi="宋体" w:eastAsia="宋体" w:cs="Times New Roman"/>
          <w:bCs/>
          <w:sz w:val="24"/>
          <w:szCs w:val="24"/>
        </w:rPr>
        <w:t>在收到供应商询问之日起三个工作日内进行答复，答复的内容仅限于供应商的询问，不得涉及国家秘密和商业秘密，也不得涉及已获取采购文件的供应商名称、数量以及可能影响公平竞争的其他有关情况。</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2. 质疑</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（1）质疑函应当包括下列主要内容：</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质疑人的名称、地址、联系人及联系电话等；</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被质疑人的名称、地址、联系人及联系电话等；</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质疑项目名称及编号、质疑事项和明确的请求；</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质疑事项的事实根据、法律依据及其他必要的证明材料；</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提出质疑的日期；</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质疑人的署名及签章（质疑人为自然人的，应当由本人签字；质疑人为法人或者其他组织的，应当由法定代表人或者主要负责人签字盖章并加盖公章）；</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法人授权委托书（质疑人或法人委托代理人办理质疑事务的，应当提供授权委托书，授权委托书应当载明委托代理的具体权限和事项）。</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（2）办理质疑事项的被授权人必须提供本人有效身份证明和法定代表人授权委托书原件。</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（3）质疑函应由</w:t>
      </w:r>
      <w:r>
        <w:rPr>
          <w:rFonts w:hint="eastAsia" w:ascii="宋体" w:hAnsi="宋体" w:eastAsia="宋体" w:cs="宋体"/>
          <w:sz w:val="24"/>
          <w:szCs w:val="24"/>
          <w:lang w:eastAsia="zh-CN"/>
        </w:rPr>
        <w:t>采购代理机构</w:t>
      </w:r>
      <w:r>
        <w:rPr>
          <w:rFonts w:hint="eastAsia" w:ascii="宋体" w:hAnsi="宋体" w:eastAsia="宋体" w:cs="Times New Roman"/>
          <w:bCs/>
          <w:sz w:val="24"/>
          <w:szCs w:val="24"/>
        </w:rPr>
        <w:t>工作人员办理签收回执确认受理时间。</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（4）供应商提出质疑的格式和内容不符合上述要求以及提供的资料和手续不全，</w:t>
      </w:r>
      <w:r>
        <w:rPr>
          <w:rFonts w:hint="eastAsia" w:ascii="宋体" w:hAnsi="宋体" w:eastAsia="宋体" w:cs="Times New Roman"/>
          <w:bCs/>
          <w:sz w:val="24"/>
          <w:szCs w:val="24"/>
          <w:lang w:eastAsia="zh-CN"/>
        </w:rPr>
        <w:t>采购代理机构</w:t>
      </w:r>
      <w:r>
        <w:rPr>
          <w:rFonts w:hint="eastAsia" w:ascii="宋体" w:hAnsi="宋体" w:eastAsia="宋体" w:cs="Times New Roman"/>
          <w:bCs/>
          <w:sz w:val="24"/>
          <w:szCs w:val="24"/>
        </w:rPr>
        <w:t>可以要求质疑供应商在一定时间内修改补正后再提出质疑，质疑供应商逾期未能修改补正的，视为自动放弃质疑。</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（5）没有登记的供应商提出的质疑或逾期提出的质疑，以及对已经开始磋商项目的《磋商文件》进行质疑，</w:t>
      </w:r>
      <w:r>
        <w:rPr>
          <w:rFonts w:hint="eastAsia" w:ascii="宋体" w:hAnsi="宋体" w:eastAsia="宋体" w:cs="Times New Roman"/>
          <w:bCs/>
          <w:sz w:val="24"/>
          <w:szCs w:val="24"/>
          <w:lang w:eastAsia="zh-CN"/>
        </w:rPr>
        <w:t>采购代理机构</w:t>
      </w:r>
      <w:r>
        <w:rPr>
          <w:rFonts w:hint="eastAsia" w:ascii="宋体" w:hAnsi="宋体" w:eastAsia="宋体" w:cs="Times New Roman"/>
          <w:bCs/>
          <w:sz w:val="24"/>
          <w:szCs w:val="24"/>
        </w:rPr>
        <w:t>将不予受理。已登记但未提交磋商响应文件的供应商，就采购响应截止时间后的采购过程、采购结果提出质疑，将不予受理。</w:t>
      </w:r>
    </w:p>
    <w:p>
      <w:pPr>
        <w:spacing w:line="360" w:lineRule="auto"/>
        <w:ind w:firstLine="422" w:firstLineChars="176"/>
        <w:rPr>
          <w:rFonts w:ascii="宋体" w:hAnsi="宋体" w:eastAsia="宋体" w:cs="Times New Roman"/>
          <w:bCs/>
          <w:sz w:val="24"/>
          <w:szCs w:val="24"/>
        </w:rPr>
      </w:pPr>
      <w:r>
        <w:rPr>
          <w:rFonts w:hint="eastAsia" w:ascii="宋体" w:hAnsi="宋体" w:eastAsia="宋体" w:cs="Times New Roman"/>
          <w:bCs/>
          <w:sz w:val="24"/>
          <w:szCs w:val="24"/>
        </w:rPr>
        <w:t>（6）供应商捏造事实、提供虚假材料或者以非法手段取得证明材料进行质疑投诉的，将由财政部门列入不良行为记录名单。</w:t>
      </w:r>
    </w:p>
    <w:p>
      <w:pPr>
        <w:autoSpaceDE w:val="0"/>
        <w:spacing w:line="460" w:lineRule="exact"/>
        <w:ind w:firstLine="480" w:firstLineChars="200"/>
        <w:rPr>
          <w:sz w:val="24"/>
          <w:szCs w:val="24"/>
        </w:rPr>
      </w:pPr>
      <w:r>
        <w:rPr>
          <w:rFonts w:hint="eastAsia" w:ascii="宋体" w:hAnsi="宋体" w:eastAsia="宋体" w:cs="Times New Roman"/>
          <w:bCs/>
          <w:sz w:val="24"/>
          <w:szCs w:val="24"/>
        </w:rPr>
        <w:t>（三）</w:t>
      </w:r>
      <w:r>
        <w:rPr>
          <w:color w:val="FF0000"/>
          <w:sz w:val="24"/>
          <w:szCs w:val="24"/>
        </w:rPr>
        <w:t>供应商在法定质疑期内</w:t>
      </w:r>
      <w:r>
        <w:rPr>
          <w:rFonts w:hint="eastAsia"/>
          <w:color w:val="FF0000"/>
          <w:sz w:val="24"/>
          <w:szCs w:val="24"/>
        </w:rPr>
        <w:t>应当</w:t>
      </w:r>
      <w:r>
        <w:rPr>
          <w:color w:val="FF0000"/>
          <w:sz w:val="24"/>
          <w:szCs w:val="24"/>
        </w:rPr>
        <w:t>一次性提出针对同一采购程序环节的质疑。</w:t>
      </w:r>
    </w:p>
    <w:p>
      <w:pPr>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十、政府采购相关政策执行：</w:t>
      </w:r>
    </w:p>
    <w:p>
      <w:pPr>
        <w:spacing w:line="360" w:lineRule="auto"/>
        <w:ind w:firstLine="480" w:firstLineChars="200"/>
        <w:rPr>
          <w:rFonts w:asciiTheme="minorEastAsia" w:hAnsiTheme="minorEastAsia" w:cstheme="minorEastAsia"/>
          <w:sz w:val="24"/>
          <w:szCs w:val="18"/>
        </w:rPr>
      </w:pPr>
      <w:r>
        <w:rPr>
          <w:rFonts w:hint="eastAsia" w:asciiTheme="minorEastAsia" w:hAnsiTheme="minorEastAsia" w:cstheme="minorEastAsia"/>
          <w:sz w:val="24"/>
          <w:szCs w:val="18"/>
        </w:rPr>
        <w:t>1、面向中小企业预留份额：200 万元以下的货物和服务项目、400 万元以下的工程项目，适宜由中小企业提供的，专门面向中小企业采购；200 万元以上的货物和服务项目、400 万元以上的工程项目，适宜由中小企业提供的，预留该部分采购项目预算总额的40%以上专门面向中小企业采购，其中预留给小微企业的比例不低于 60%。</w:t>
      </w:r>
    </w:p>
    <w:p>
      <w:pPr>
        <w:ind w:firstLine="480" w:firstLineChars="200"/>
        <w:rPr>
          <w:rFonts w:ascii="宋体" w:hAnsi="宋体"/>
          <w:sz w:val="24"/>
          <w:szCs w:val="18"/>
        </w:rPr>
      </w:pPr>
      <w:r>
        <w:rPr>
          <w:rFonts w:hint="eastAsia" w:ascii="宋体" w:hAnsi="宋体"/>
          <w:sz w:val="24"/>
          <w:szCs w:val="18"/>
        </w:rPr>
        <w:t>2、价格评审优惠：对于经主管预算单位统筹后未预留份额专门面向中小企业采购的采购项目，以及预留份额项目中的非预留部分采购包，货物服务采购项目对小微企业报价给予20%（工程项目为5%）的扣除，用扣除后的价格参加评审。</w:t>
      </w:r>
      <w:r>
        <w:rPr>
          <w:rFonts w:hint="eastAsia" w:ascii="宋体" w:hAnsi="宋体"/>
          <w:color w:val="FF0000"/>
          <w:sz w:val="24"/>
          <w:szCs w:val="18"/>
        </w:rPr>
        <w:t>对小微企业中的残疾人企业、监狱企业、采购产品纳入创新产品应用示范推荐目录内企业、采购产品获得节能产品或环境标志产品认证证书的企业，以价格评审优惠20%给予评审优惠。</w:t>
      </w:r>
      <w:r>
        <w:rPr>
          <w:rFonts w:hint="eastAsia" w:ascii="宋体" w:hAnsi="宋体"/>
          <w:sz w:val="24"/>
          <w:szCs w:val="18"/>
        </w:rPr>
        <w:t>大中型企业与小微企业组成联合体或者大中型企业向小微企业分包的，评审优惠幅度为6%（工程项目为2%）。</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18"/>
        </w:rPr>
        <w:t>3、</w:t>
      </w:r>
      <w:r>
        <w:rPr>
          <w:rFonts w:hint="eastAsia" w:asciiTheme="minorEastAsia" w:hAnsiTheme="minorEastAsia" w:cstheme="minorEastAsia"/>
          <w:color w:val="FF0000"/>
          <w:sz w:val="24"/>
          <w:szCs w:val="18"/>
        </w:rPr>
        <w:t>政采贷：根据《中国人民银行黄石市中心支行 黄石市财政局 黄石市政务服务和大数据管理局关于印发&lt;黄石市政府采购合同线上信用融资实施意见&gt;的通知（黄银[2019]25号）》的文件精神，对于有融资需求的供应商可在政府采购项目中标后登录黄石市政府采购信息共享平台，查询融资金融机构信息，并向意向金融机构提出政府采购合同线上信用融资申请。登陆网址：http://47.111.97.150/user/jump，用户名为联系人手机号，密码为统一社会信用代码，登录后就会自动跳转到中征供应商平台。</w:t>
      </w:r>
    </w:p>
    <w:p>
      <w:pPr>
        <w:ind w:firstLine="480" w:firstLineChars="200"/>
        <w:rPr>
          <w:rFonts w:ascii="宋体" w:hAnsi="宋体" w:eastAsia="宋体" w:cs="Times New Roman"/>
          <w:bCs/>
          <w:sz w:val="24"/>
          <w:szCs w:val="24"/>
        </w:rPr>
      </w:pPr>
      <w:r>
        <w:rPr>
          <w:rFonts w:hint="eastAsia" w:ascii="宋体" w:hAnsi="宋体"/>
          <w:color w:val="000000"/>
          <w:sz w:val="24"/>
          <w:szCs w:val="18"/>
        </w:rPr>
        <w:t>4.落实政府采购强制、优先采购节能产品政策：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政府采购优先采购环保产品政策;</w:t>
      </w:r>
      <w:r>
        <w:rPr>
          <w:rFonts w:hint="eastAsia" w:asciiTheme="minorEastAsia" w:hAnsiTheme="minorEastAsia" w:cstheme="minorEastAsia"/>
          <w:sz w:val="24"/>
          <w:szCs w:val="18"/>
        </w:rPr>
        <w:t>政府采购促进中小企业发展（监狱企业、残疾人福利性单位视同小微企业）等政策。</w:t>
      </w:r>
    </w:p>
    <w:p>
      <w:pPr>
        <w:spacing w:line="360" w:lineRule="auto"/>
        <w:ind w:firstLine="281" w:firstLineChars="100"/>
        <w:rPr>
          <w:rFonts w:ascii="宋体" w:hAnsi="宋体" w:eastAsia="宋体" w:cs="Times New Roman"/>
          <w:b/>
          <w:sz w:val="28"/>
          <w:szCs w:val="28"/>
        </w:rPr>
      </w:pPr>
      <w:r>
        <w:rPr>
          <w:rFonts w:ascii="宋体" w:hAnsi="宋体" w:eastAsia="宋体" w:cs="Times New Roman"/>
          <w:b/>
          <w:sz w:val="28"/>
          <w:szCs w:val="28"/>
        </w:rPr>
        <w:t>十</w:t>
      </w:r>
      <w:r>
        <w:rPr>
          <w:rFonts w:hint="eastAsia" w:ascii="宋体" w:hAnsi="宋体" w:eastAsia="宋体" w:cs="Times New Roman"/>
          <w:b/>
          <w:sz w:val="28"/>
          <w:szCs w:val="28"/>
        </w:rPr>
        <w:t>一</w:t>
      </w:r>
      <w:r>
        <w:rPr>
          <w:rFonts w:ascii="宋体" w:hAnsi="宋体" w:eastAsia="宋体" w:cs="Times New Roman"/>
          <w:b/>
          <w:sz w:val="28"/>
          <w:szCs w:val="28"/>
        </w:rPr>
        <w:t>、合同签订</w:t>
      </w:r>
    </w:p>
    <w:p>
      <w:pPr>
        <w:spacing w:line="360" w:lineRule="auto"/>
        <w:ind w:firstLine="480" w:firstLineChars="200"/>
        <w:rPr>
          <w:rFonts w:ascii="宋体" w:hAnsi="宋体"/>
          <w:color w:val="auto"/>
          <w:sz w:val="24"/>
          <w:szCs w:val="18"/>
        </w:rPr>
      </w:pPr>
      <w:r>
        <w:rPr>
          <w:rFonts w:hint="eastAsia" w:ascii="宋体" w:hAnsi="宋体"/>
          <w:color w:val="auto"/>
          <w:sz w:val="24"/>
          <w:szCs w:val="18"/>
        </w:rPr>
        <w:t>1</w:t>
      </w:r>
      <w:r>
        <w:rPr>
          <w:rFonts w:ascii="宋体" w:hAnsi="宋体"/>
          <w:color w:val="auto"/>
          <w:sz w:val="24"/>
          <w:szCs w:val="18"/>
        </w:rPr>
        <w:t>.采购人应当自</w:t>
      </w:r>
      <w:r>
        <w:rPr>
          <w:rFonts w:hint="eastAsia" w:ascii="宋体" w:hAnsi="宋体"/>
          <w:color w:val="auto"/>
          <w:sz w:val="24"/>
          <w:szCs w:val="18"/>
        </w:rPr>
        <w:t>成交</w:t>
      </w:r>
      <w:r>
        <w:rPr>
          <w:rFonts w:ascii="宋体" w:hAnsi="宋体"/>
          <w:color w:val="auto"/>
          <w:sz w:val="24"/>
          <w:szCs w:val="18"/>
        </w:rPr>
        <w:t>通知书发出之日起30日内，按照</w:t>
      </w:r>
      <w:r>
        <w:rPr>
          <w:rFonts w:hint="eastAsia" w:ascii="宋体" w:hAnsi="宋体"/>
          <w:color w:val="auto"/>
          <w:sz w:val="24"/>
          <w:szCs w:val="18"/>
        </w:rPr>
        <w:t>采购</w:t>
      </w:r>
      <w:r>
        <w:rPr>
          <w:rFonts w:ascii="宋体" w:hAnsi="宋体"/>
          <w:color w:val="auto"/>
          <w:sz w:val="24"/>
          <w:szCs w:val="18"/>
        </w:rPr>
        <w:t>文件</w:t>
      </w:r>
      <w:r>
        <w:rPr>
          <w:rFonts w:hint="eastAsia" w:ascii="宋体" w:hAnsi="宋体"/>
          <w:color w:val="auto"/>
          <w:sz w:val="24"/>
          <w:szCs w:val="18"/>
        </w:rPr>
        <w:t>规定</w:t>
      </w:r>
      <w:r>
        <w:rPr>
          <w:rFonts w:ascii="宋体" w:hAnsi="宋体"/>
          <w:color w:val="auto"/>
          <w:sz w:val="24"/>
          <w:szCs w:val="18"/>
        </w:rPr>
        <w:t>和</w:t>
      </w:r>
      <w:r>
        <w:rPr>
          <w:rFonts w:hint="eastAsia" w:ascii="宋体" w:hAnsi="宋体"/>
          <w:color w:val="auto"/>
          <w:sz w:val="24"/>
          <w:szCs w:val="18"/>
        </w:rPr>
        <w:t>成交供应商响应</w:t>
      </w:r>
      <w:r>
        <w:rPr>
          <w:rFonts w:ascii="宋体" w:hAnsi="宋体"/>
          <w:color w:val="auto"/>
          <w:sz w:val="24"/>
          <w:szCs w:val="18"/>
        </w:rPr>
        <w:t>文件的</w:t>
      </w:r>
      <w:r>
        <w:rPr>
          <w:rFonts w:hint="eastAsia" w:ascii="宋体" w:hAnsi="宋体"/>
          <w:color w:val="auto"/>
          <w:sz w:val="24"/>
          <w:szCs w:val="18"/>
        </w:rPr>
        <w:t>承诺</w:t>
      </w:r>
      <w:r>
        <w:rPr>
          <w:rFonts w:ascii="宋体" w:hAnsi="宋体"/>
          <w:color w:val="auto"/>
          <w:sz w:val="24"/>
          <w:szCs w:val="18"/>
        </w:rPr>
        <w:t>，与</w:t>
      </w:r>
      <w:r>
        <w:rPr>
          <w:rFonts w:hint="eastAsia" w:ascii="宋体" w:hAnsi="宋体"/>
          <w:color w:val="auto"/>
          <w:sz w:val="24"/>
          <w:szCs w:val="18"/>
        </w:rPr>
        <w:t>成交供应商</w:t>
      </w:r>
      <w:r>
        <w:rPr>
          <w:rFonts w:ascii="宋体" w:hAnsi="宋体"/>
          <w:color w:val="auto"/>
          <w:sz w:val="24"/>
          <w:szCs w:val="18"/>
        </w:rPr>
        <w:t>签订</w:t>
      </w:r>
      <w:r>
        <w:rPr>
          <w:rFonts w:hint="eastAsia" w:ascii="宋体" w:hAnsi="宋体"/>
          <w:color w:val="auto"/>
          <w:sz w:val="24"/>
          <w:szCs w:val="18"/>
        </w:rPr>
        <w:t>书面</w:t>
      </w:r>
      <w:r>
        <w:rPr>
          <w:rFonts w:ascii="宋体" w:hAnsi="宋体"/>
          <w:color w:val="auto"/>
          <w:sz w:val="24"/>
          <w:szCs w:val="18"/>
        </w:rPr>
        <w:t>合同。所签订的合同不得对</w:t>
      </w:r>
      <w:r>
        <w:rPr>
          <w:rFonts w:hint="eastAsia" w:ascii="宋体" w:hAnsi="宋体"/>
          <w:color w:val="auto"/>
          <w:sz w:val="24"/>
          <w:szCs w:val="18"/>
        </w:rPr>
        <w:t>采购</w:t>
      </w:r>
      <w:r>
        <w:rPr>
          <w:rFonts w:ascii="宋体" w:hAnsi="宋体"/>
          <w:color w:val="auto"/>
          <w:sz w:val="24"/>
          <w:szCs w:val="18"/>
        </w:rPr>
        <w:t>文件确定的事项和</w:t>
      </w:r>
      <w:r>
        <w:rPr>
          <w:rFonts w:hint="eastAsia" w:ascii="宋体" w:hAnsi="宋体"/>
          <w:color w:val="auto"/>
          <w:sz w:val="24"/>
          <w:szCs w:val="18"/>
        </w:rPr>
        <w:t>成交供应商响应</w:t>
      </w:r>
      <w:r>
        <w:rPr>
          <w:rFonts w:ascii="宋体" w:hAnsi="宋体"/>
          <w:color w:val="auto"/>
          <w:sz w:val="24"/>
          <w:szCs w:val="18"/>
        </w:rPr>
        <w:t>文件作实质性修改。</w:t>
      </w:r>
    </w:p>
    <w:p>
      <w:pPr>
        <w:tabs>
          <w:tab w:val="left" w:pos="616"/>
        </w:tabs>
        <w:spacing w:line="360" w:lineRule="auto"/>
        <w:ind w:firstLine="480" w:firstLineChars="200"/>
        <w:rPr>
          <w:rFonts w:ascii="宋体" w:hAnsi="宋体"/>
          <w:color w:val="auto"/>
          <w:sz w:val="24"/>
          <w:szCs w:val="18"/>
        </w:rPr>
      </w:pPr>
      <w:r>
        <w:rPr>
          <w:rFonts w:ascii="宋体" w:hAnsi="宋体"/>
          <w:color w:val="auto"/>
          <w:sz w:val="24"/>
          <w:szCs w:val="18"/>
        </w:rPr>
        <w:t>2.</w:t>
      </w:r>
      <w:r>
        <w:rPr>
          <w:rFonts w:ascii="Helvetica" w:hAnsi="Helvetica" w:cs="Helvetica"/>
          <w:color w:val="auto"/>
          <w:kern w:val="0"/>
          <w:sz w:val="24"/>
          <w:szCs w:val="22"/>
        </w:rPr>
        <w:t>采购人不得向</w:t>
      </w:r>
      <w:r>
        <w:rPr>
          <w:rFonts w:hint="eastAsia" w:ascii="宋体" w:hAnsi="宋体"/>
          <w:color w:val="auto"/>
          <w:sz w:val="24"/>
          <w:szCs w:val="18"/>
        </w:rPr>
        <w:t>成交供应商</w:t>
      </w:r>
      <w:r>
        <w:rPr>
          <w:rFonts w:ascii="Helvetica" w:hAnsi="Helvetica" w:cs="Helvetica"/>
          <w:color w:val="auto"/>
          <w:kern w:val="0"/>
          <w:sz w:val="24"/>
          <w:szCs w:val="22"/>
        </w:rPr>
        <w:t>提出任何不合理的要求作为签订合同的条件。</w:t>
      </w:r>
    </w:p>
    <w:p>
      <w:pPr>
        <w:tabs>
          <w:tab w:val="left" w:pos="616"/>
        </w:tabs>
        <w:spacing w:line="360" w:lineRule="auto"/>
        <w:ind w:firstLine="480" w:firstLineChars="200"/>
        <w:rPr>
          <w:rFonts w:ascii="宋体" w:hAnsi="宋体"/>
          <w:color w:val="auto"/>
          <w:sz w:val="24"/>
          <w:szCs w:val="18"/>
        </w:rPr>
      </w:pPr>
      <w:r>
        <w:rPr>
          <w:rFonts w:hint="eastAsia" w:ascii="宋体" w:hAnsi="宋体"/>
          <w:color w:val="auto"/>
          <w:sz w:val="24"/>
          <w:szCs w:val="18"/>
        </w:rPr>
        <w:t>3</w:t>
      </w:r>
      <w:r>
        <w:rPr>
          <w:rFonts w:ascii="宋体" w:hAnsi="宋体"/>
          <w:color w:val="auto"/>
          <w:sz w:val="24"/>
          <w:szCs w:val="18"/>
        </w:rPr>
        <w:t>.政府采购合同应当包括采购人与</w:t>
      </w:r>
      <w:r>
        <w:rPr>
          <w:rFonts w:hint="eastAsia" w:ascii="宋体" w:hAnsi="宋体"/>
          <w:color w:val="auto"/>
          <w:sz w:val="24"/>
          <w:szCs w:val="18"/>
        </w:rPr>
        <w:t>成交供应商</w:t>
      </w:r>
      <w:r>
        <w:rPr>
          <w:rFonts w:ascii="宋体" w:hAnsi="宋体"/>
          <w:color w:val="auto"/>
          <w:sz w:val="24"/>
          <w:szCs w:val="18"/>
        </w:rPr>
        <w:t>的名称和住所、标的、数量、质量、价款或者报酬、履行期限及地点和方式、验收要求、违约责任、解决争议的方法等内容。</w:t>
      </w:r>
    </w:p>
    <w:p>
      <w:pPr>
        <w:tabs>
          <w:tab w:val="left" w:pos="616"/>
        </w:tabs>
        <w:spacing w:line="360" w:lineRule="auto"/>
        <w:ind w:firstLine="480" w:firstLineChars="200"/>
        <w:rPr>
          <w:rFonts w:ascii="宋体" w:hAnsi="宋体"/>
          <w:color w:val="auto"/>
          <w:sz w:val="24"/>
          <w:szCs w:val="18"/>
        </w:rPr>
      </w:pPr>
      <w:r>
        <w:rPr>
          <w:rFonts w:hint="eastAsia" w:ascii="宋体" w:hAnsi="宋体"/>
          <w:color w:val="auto"/>
          <w:sz w:val="24"/>
          <w:szCs w:val="18"/>
        </w:rPr>
        <w:t>4</w:t>
      </w:r>
      <w:r>
        <w:rPr>
          <w:rFonts w:ascii="宋体" w:hAnsi="宋体"/>
          <w:color w:val="auto"/>
          <w:sz w:val="24"/>
          <w:szCs w:val="18"/>
        </w:rPr>
        <w:t>.</w:t>
      </w:r>
      <w:r>
        <w:rPr>
          <w:rFonts w:ascii="Helvetica" w:hAnsi="Helvetica" w:cs="Helvetica"/>
          <w:color w:val="auto"/>
          <w:kern w:val="0"/>
          <w:sz w:val="24"/>
          <w:szCs w:val="22"/>
        </w:rPr>
        <w:t>采购人与</w:t>
      </w:r>
      <w:r>
        <w:rPr>
          <w:rFonts w:hint="eastAsia" w:ascii="宋体" w:hAnsi="宋体"/>
          <w:color w:val="auto"/>
          <w:sz w:val="24"/>
          <w:szCs w:val="18"/>
        </w:rPr>
        <w:t>成交供应商</w:t>
      </w:r>
      <w:r>
        <w:rPr>
          <w:rFonts w:ascii="Helvetica" w:hAnsi="Helvetica" w:cs="Helvetica"/>
          <w:color w:val="auto"/>
          <w:kern w:val="0"/>
          <w:sz w:val="24"/>
          <w:szCs w:val="22"/>
        </w:rPr>
        <w:t>应当根据合同的约定依法履行合同义务。政府采购合同的履行、违约责任和解决争议的方法等适用《中华人民共和国合同法》。</w:t>
      </w:r>
    </w:p>
    <w:p>
      <w:pPr>
        <w:tabs>
          <w:tab w:val="left" w:pos="616"/>
        </w:tabs>
        <w:spacing w:line="360" w:lineRule="auto"/>
        <w:ind w:firstLine="480" w:firstLineChars="200"/>
        <w:rPr>
          <w:rFonts w:ascii="宋体" w:hAnsi="宋体"/>
          <w:color w:val="auto"/>
          <w:sz w:val="24"/>
          <w:szCs w:val="18"/>
        </w:rPr>
      </w:pPr>
      <w:r>
        <w:rPr>
          <w:rFonts w:hint="eastAsia" w:ascii="宋体" w:hAnsi="宋体"/>
          <w:color w:val="auto"/>
          <w:sz w:val="24"/>
          <w:szCs w:val="18"/>
        </w:rPr>
        <w:t>5</w:t>
      </w:r>
      <w:r>
        <w:rPr>
          <w:rFonts w:ascii="宋体" w:hAnsi="宋体"/>
          <w:color w:val="auto"/>
          <w:sz w:val="24"/>
          <w:szCs w:val="18"/>
        </w:rPr>
        <w:t>.</w:t>
      </w:r>
      <w:r>
        <w:rPr>
          <w:rFonts w:hint="eastAsia" w:ascii="宋体" w:hAnsi="宋体"/>
          <w:color w:val="auto"/>
          <w:sz w:val="24"/>
          <w:szCs w:val="18"/>
        </w:rPr>
        <w:t>采购人应当自政府采购合同签订之日起2个工作日内，将政府采购合同在省级以上人民政府财政部门指定的媒体上公告，但政府采购合同中涉及国家秘密、商业秘密的内容除外。</w:t>
      </w:r>
    </w:p>
    <w:p>
      <w:pPr>
        <w:tabs>
          <w:tab w:val="left" w:pos="616"/>
        </w:tabs>
        <w:spacing w:line="360" w:lineRule="auto"/>
        <w:ind w:firstLine="480" w:firstLineChars="200"/>
        <w:rPr>
          <w:rFonts w:ascii="Helvetica" w:hAnsi="Helvetica" w:cs="Helvetica"/>
          <w:color w:val="auto"/>
          <w:kern w:val="0"/>
          <w:sz w:val="24"/>
          <w:szCs w:val="22"/>
        </w:rPr>
      </w:pPr>
      <w:r>
        <w:rPr>
          <w:rFonts w:hint="eastAsia" w:ascii="宋体" w:hAnsi="宋体"/>
          <w:color w:val="auto"/>
          <w:sz w:val="24"/>
          <w:szCs w:val="18"/>
        </w:rPr>
        <w:t>6</w:t>
      </w:r>
      <w:r>
        <w:rPr>
          <w:rFonts w:ascii="宋体" w:hAnsi="宋体"/>
          <w:color w:val="auto"/>
          <w:sz w:val="24"/>
          <w:szCs w:val="18"/>
        </w:rPr>
        <w:t>.</w:t>
      </w:r>
      <w:r>
        <w:rPr>
          <w:rFonts w:ascii="Helvetica" w:hAnsi="Helvetica" w:cs="Helvetica"/>
          <w:color w:val="auto"/>
          <w:kern w:val="0"/>
          <w:sz w:val="24"/>
          <w:szCs w:val="22"/>
        </w:rPr>
        <w:t>采购人应当加强对</w:t>
      </w:r>
      <w:r>
        <w:rPr>
          <w:rFonts w:hint="eastAsia" w:ascii="宋体" w:hAnsi="宋体"/>
          <w:color w:val="auto"/>
          <w:sz w:val="24"/>
          <w:szCs w:val="18"/>
        </w:rPr>
        <w:t>成交供应商</w:t>
      </w:r>
      <w:r>
        <w:rPr>
          <w:rFonts w:ascii="Helvetica" w:hAnsi="Helvetica" w:cs="Helvetica"/>
          <w:color w:val="auto"/>
          <w:kern w:val="0"/>
          <w:sz w:val="24"/>
          <w:szCs w:val="22"/>
        </w:rPr>
        <w:t>的履约管理，并按照采购合同约定，及时向</w:t>
      </w:r>
      <w:r>
        <w:rPr>
          <w:rFonts w:hint="eastAsia" w:ascii="宋体" w:hAnsi="宋体"/>
          <w:color w:val="auto"/>
          <w:sz w:val="24"/>
          <w:szCs w:val="18"/>
        </w:rPr>
        <w:t>成交供应商</w:t>
      </w:r>
      <w:r>
        <w:rPr>
          <w:rFonts w:ascii="Helvetica" w:hAnsi="Helvetica" w:cs="Helvetica"/>
          <w:color w:val="auto"/>
          <w:kern w:val="0"/>
          <w:sz w:val="24"/>
          <w:szCs w:val="22"/>
        </w:rPr>
        <w:t>支付采购资金。对于</w:t>
      </w:r>
      <w:r>
        <w:rPr>
          <w:rFonts w:hint="eastAsia" w:ascii="宋体" w:hAnsi="宋体"/>
          <w:color w:val="auto"/>
          <w:sz w:val="24"/>
          <w:szCs w:val="18"/>
        </w:rPr>
        <w:t>成交供应商</w:t>
      </w:r>
      <w:r>
        <w:rPr>
          <w:rFonts w:ascii="Helvetica" w:hAnsi="Helvetica" w:cs="Helvetica"/>
          <w:color w:val="auto"/>
          <w:kern w:val="0"/>
          <w:sz w:val="24"/>
          <w:szCs w:val="22"/>
        </w:rPr>
        <w:t>违反采购合同约定的行为，采购人应当及时处理，依法追究其违约责任。</w:t>
      </w:r>
    </w:p>
    <w:p>
      <w:pPr>
        <w:numPr>
          <w:ilvl w:val="0"/>
          <w:numId w:val="3"/>
        </w:numPr>
        <w:spacing w:line="360" w:lineRule="auto"/>
        <w:ind w:firstLine="281" w:firstLineChars="100"/>
        <w:rPr>
          <w:rFonts w:ascii="宋体" w:hAnsi="宋体" w:eastAsia="宋体" w:cs="Times New Roman"/>
          <w:b/>
          <w:color w:val="auto"/>
          <w:sz w:val="28"/>
          <w:szCs w:val="28"/>
        </w:rPr>
      </w:pPr>
      <w:r>
        <w:rPr>
          <w:rFonts w:ascii="宋体" w:hAnsi="宋体" w:eastAsia="宋体" w:cs="Times New Roman"/>
          <w:b/>
          <w:color w:val="auto"/>
          <w:sz w:val="28"/>
          <w:szCs w:val="28"/>
        </w:rPr>
        <w:t>付款方式</w:t>
      </w:r>
    </w:p>
    <w:p>
      <w:pPr>
        <w:spacing w:line="360" w:lineRule="auto"/>
        <w:ind w:firstLine="480" w:firstLineChars="200"/>
        <w:rPr>
          <w:rFonts w:ascii="宋体" w:hAnsi="宋体" w:eastAsia="宋体" w:cs="黑体"/>
          <w:color w:val="FF0000"/>
          <w:sz w:val="24"/>
          <w:szCs w:val="18"/>
        </w:rPr>
      </w:pPr>
      <w:r>
        <w:rPr>
          <w:rFonts w:hint="eastAsia" w:ascii="Calibri" w:hAnsi="Calibri" w:eastAsia="宋体" w:cs="Times New Roman"/>
          <w:color w:val="FF0000"/>
          <w:sz w:val="24"/>
          <w:szCs w:val="24"/>
        </w:rPr>
        <w:t>付款方式</w:t>
      </w:r>
      <w:r>
        <w:rPr>
          <w:rFonts w:hint="eastAsia" w:ascii="宋体" w:hAnsi="宋体" w:cs="宋体"/>
          <w:color w:val="FF0000"/>
          <w:sz w:val="22"/>
          <w:szCs w:val="22"/>
        </w:rPr>
        <w:t>：</w:t>
      </w:r>
      <w:r>
        <w:rPr>
          <w:rFonts w:hint="eastAsia" w:ascii="宋体" w:hAnsi="宋体" w:cs="宋体"/>
          <w:color w:val="FF0000"/>
          <w:sz w:val="22"/>
          <w:szCs w:val="22"/>
          <w:lang w:val="en-US" w:eastAsia="zh-CN"/>
        </w:rPr>
        <w:t>甲方验收合格后一次性付款</w:t>
      </w:r>
    </w:p>
    <w:p>
      <w:pPr>
        <w:spacing w:line="360" w:lineRule="auto"/>
        <w:ind w:firstLine="281" w:firstLineChars="100"/>
        <w:rPr>
          <w:rFonts w:ascii="宋体" w:hAnsi="宋体" w:eastAsia="宋体" w:cs="Times New Roman"/>
          <w:b/>
          <w:sz w:val="28"/>
          <w:szCs w:val="28"/>
        </w:rPr>
      </w:pPr>
      <w:r>
        <w:rPr>
          <w:rFonts w:ascii="宋体" w:hAnsi="宋体" w:eastAsia="宋体" w:cs="Times New Roman"/>
          <w:b/>
          <w:sz w:val="28"/>
          <w:szCs w:val="28"/>
        </w:rPr>
        <w:t>十</w:t>
      </w:r>
      <w:r>
        <w:rPr>
          <w:rFonts w:hint="eastAsia" w:ascii="宋体" w:hAnsi="宋体" w:eastAsia="宋体" w:cs="Times New Roman"/>
          <w:b/>
          <w:sz w:val="28"/>
          <w:szCs w:val="28"/>
        </w:rPr>
        <w:t>三</w:t>
      </w:r>
      <w:r>
        <w:rPr>
          <w:rFonts w:ascii="宋体" w:hAnsi="宋体" w:eastAsia="宋体" w:cs="Times New Roman"/>
          <w:b/>
          <w:sz w:val="28"/>
          <w:szCs w:val="28"/>
        </w:rPr>
        <w:t>、适用法律</w:t>
      </w:r>
    </w:p>
    <w:p>
      <w:pPr>
        <w:adjustRightInd w:val="0"/>
        <w:snapToGrid w:val="0"/>
        <w:spacing w:line="360" w:lineRule="auto"/>
        <w:ind w:firstLine="422" w:firstLineChars="176"/>
        <w:rPr>
          <w:rFonts w:ascii="宋体" w:hAnsi="宋体" w:eastAsia="宋体" w:cs="Times New Roman"/>
          <w:bCs/>
          <w:sz w:val="24"/>
          <w:szCs w:val="24"/>
        </w:rPr>
      </w:pPr>
      <w:r>
        <w:rPr>
          <w:rFonts w:hint="eastAsia" w:ascii="宋体" w:hAnsi="宋体"/>
          <w:sz w:val="24"/>
          <w:szCs w:val="18"/>
        </w:rPr>
        <w:t>（一）</w:t>
      </w:r>
      <w:r>
        <w:rPr>
          <w:rFonts w:ascii="宋体" w:hAnsi="宋体" w:eastAsia="宋体" w:cs="Times New Roman"/>
          <w:bCs/>
          <w:sz w:val="24"/>
          <w:szCs w:val="24"/>
        </w:rPr>
        <w:t>采购当事人的一切活动均适用于《中华人民共和国政府采购法》、《中华人民共和国政府采购法实施条例》、《政府采购非招标采购方式管理办法》</w:t>
      </w:r>
      <w:r>
        <w:rPr>
          <w:rFonts w:hint="eastAsia" w:ascii="宋体" w:hAnsi="宋体" w:eastAsia="宋体" w:cs="Times New Roman"/>
          <w:bCs/>
          <w:sz w:val="24"/>
          <w:szCs w:val="24"/>
        </w:rPr>
        <w:t>、《政府采购竞争性磋商采购方式管理暂行办法》</w:t>
      </w:r>
      <w:r>
        <w:rPr>
          <w:rFonts w:ascii="宋体" w:hAnsi="宋体" w:eastAsia="宋体" w:cs="Times New Roman"/>
          <w:bCs/>
          <w:sz w:val="24"/>
          <w:szCs w:val="24"/>
        </w:rPr>
        <w:t>及相关法规。</w:t>
      </w:r>
    </w:p>
    <w:p>
      <w:pPr>
        <w:spacing w:line="360" w:lineRule="auto"/>
        <w:ind w:firstLine="480" w:firstLineChars="200"/>
        <w:rPr>
          <w:rFonts w:ascii="Helvetica" w:hAnsi="Helvetica" w:cs="Helvetica"/>
          <w:color w:val="auto"/>
          <w:kern w:val="0"/>
          <w:sz w:val="24"/>
          <w:szCs w:val="22"/>
        </w:rPr>
      </w:pPr>
      <w:r>
        <w:rPr>
          <w:rFonts w:hint="eastAsia" w:ascii="Helvetica" w:hAnsi="Helvetica" w:cs="Helvetica"/>
          <w:color w:val="auto"/>
          <w:kern w:val="0"/>
          <w:sz w:val="24"/>
          <w:szCs w:val="22"/>
        </w:rPr>
        <w:t>（二）</w:t>
      </w:r>
      <w:r>
        <w:rPr>
          <w:rFonts w:ascii="Helvetica" w:hAnsi="Helvetica" w:cs="Helvetica"/>
          <w:color w:val="auto"/>
          <w:kern w:val="0"/>
          <w:sz w:val="24"/>
          <w:szCs w:val="22"/>
        </w:rPr>
        <w:t>政府采购合同的履行、违约责任和解决争议的方法等适用《</w:t>
      </w:r>
      <w:r>
        <w:rPr>
          <w:rFonts w:hint="eastAsia" w:ascii="Helvetica" w:hAnsi="Helvetica" w:cs="Helvetica"/>
          <w:color w:val="auto"/>
          <w:kern w:val="0"/>
          <w:sz w:val="24"/>
          <w:szCs w:val="22"/>
        </w:rPr>
        <w:t>民法典</w:t>
      </w:r>
      <w:r>
        <w:rPr>
          <w:rFonts w:ascii="Helvetica" w:hAnsi="Helvetica" w:cs="Helvetica"/>
          <w:color w:val="auto"/>
          <w:kern w:val="0"/>
          <w:sz w:val="24"/>
          <w:szCs w:val="22"/>
        </w:rPr>
        <w:t>》。</w:t>
      </w:r>
    </w:p>
    <w:p>
      <w:pPr>
        <w:pStyle w:val="4"/>
        <w:spacing w:before="40" w:after="40" w:line="360" w:lineRule="auto"/>
        <w:ind w:firstLine="562" w:firstLineChars="200"/>
        <w:rPr>
          <w:rFonts w:ascii="宋体" w:hAnsi="宋体"/>
          <w:bCs w:val="0"/>
          <w:color w:val="auto"/>
          <w:sz w:val="28"/>
          <w:szCs w:val="28"/>
        </w:rPr>
      </w:pPr>
      <w:bookmarkStart w:id="40" w:name="_Toc509501041"/>
      <w:bookmarkStart w:id="41" w:name="_Toc272247702"/>
      <w:bookmarkStart w:id="42" w:name="_Toc510531523"/>
      <w:bookmarkStart w:id="43" w:name="_Toc510530793"/>
      <w:bookmarkStart w:id="44" w:name="_Toc278891599"/>
      <w:bookmarkStart w:id="45" w:name="_Toc494561950"/>
      <w:bookmarkStart w:id="46" w:name="_Toc510530936"/>
      <w:bookmarkStart w:id="47" w:name="_Toc510531084"/>
      <w:bookmarkStart w:id="48" w:name="_Toc510530994"/>
      <w:r>
        <w:rPr>
          <w:rFonts w:hint="eastAsia" w:ascii="宋体" w:hAnsi="宋体"/>
          <w:bCs w:val="0"/>
          <w:color w:val="auto"/>
          <w:sz w:val="28"/>
          <w:szCs w:val="28"/>
        </w:rPr>
        <w:t>十四、采购文件的解释权</w:t>
      </w:r>
      <w:bookmarkEnd w:id="40"/>
      <w:bookmarkEnd w:id="41"/>
      <w:bookmarkEnd w:id="42"/>
      <w:bookmarkEnd w:id="43"/>
      <w:bookmarkEnd w:id="44"/>
      <w:bookmarkEnd w:id="45"/>
      <w:bookmarkEnd w:id="46"/>
      <w:bookmarkEnd w:id="47"/>
      <w:bookmarkEnd w:id="48"/>
    </w:p>
    <w:p>
      <w:pPr>
        <w:spacing w:line="360" w:lineRule="auto"/>
        <w:ind w:firstLine="480" w:firstLineChars="200"/>
        <w:rPr>
          <w:rFonts w:ascii="宋体" w:hAnsi="宋体"/>
          <w:color w:val="auto"/>
          <w:sz w:val="24"/>
          <w:szCs w:val="18"/>
        </w:rPr>
      </w:pPr>
      <w:r>
        <w:rPr>
          <w:rFonts w:hint="eastAsia" w:ascii="宋体" w:hAnsi="宋体"/>
          <w:color w:val="auto"/>
          <w:sz w:val="24"/>
          <w:szCs w:val="18"/>
        </w:rPr>
        <w:t>采购文件的最终解释权为采购人、</w:t>
      </w:r>
      <w:r>
        <w:rPr>
          <w:rFonts w:hint="eastAsia" w:ascii="宋体" w:hAnsi="宋体"/>
          <w:color w:val="auto"/>
          <w:sz w:val="24"/>
          <w:szCs w:val="18"/>
          <w:lang w:eastAsia="zh-CN"/>
        </w:rPr>
        <w:t>采购代理机构</w:t>
      </w:r>
      <w:r>
        <w:rPr>
          <w:rFonts w:hint="eastAsia" w:ascii="宋体" w:hAnsi="宋体"/>
          <w:color w:val="auto"/>
          <w:sz w:val="24"/>
          <w:szCs w:val="18"/>
        </w:rPr>
        <w:t>所有。</w:t>
      </w:r>
    </w:p>
    <w:p>
      <w:pPr>
        <w:pStyle w:val="8"/>
      </w:pPr>
    </w:p>
    <w:p>
      <w:pPr>
        <w:pStyle w:val="8"/>
      </w:pPr>
    </w:p>
    <w:p>
      <w:pPr>
        <w:widowControl/>
        <w:jc w:val="left"/>
        <w:rPr>
          <w:rFonts w:ascii="宋体" w:hAnsi="宋体" w:eastAsia="宋体" w:cs="Times New Roman"/>
          <w:bCs/>
          <w:sz w:val="28"/>
          <w:szCs w:val="28"/>
        </w:rPr>
      </w:pPr>
      <w:r>
        <w:rPr>
          <w:rFonts w:ascii="宋体" w:hAnsi="宋体" w:eastAsia="宋体" w:cs="Times New Roman"/>
          <w:bCs/>
          <w:sz w:val="28"/>
          <w:szCs w:val="28"/>
        </w:rPr>
        <w:br w:type="page"/>
      </w:r>
    </w:p>
    <w:p>
      <w:pPr>
        <w:numPr>
          <w:ilvl w:val="0"/>
          <w:numId w:val="4"/>
        </w:numPr>
        <w:adjustRightInd w:val="0"/>
        <w:snapToGrid w:val="0"/>
        <w:spacing w:line="360" w:lineRule="auto"/>
        <w:jc w:val="center"/>
        <w:outlineLvl w:val="0"/>
        <w:rPr>
          <w:rFonts w:ascii="方正小标宋简体" w:eastAsia="方正小标宋简体"/>
          <w:sz w:val="36"/>
          <w:szCs w:val="36"/>
        </w:rPr>
      </w:pPr>
      <w:bookmarkStart w:id="49" w:name="_Toc502096728"/>
      <w:bookmarkStart w:id="50" w:name="_Toc27924"/>
      <w:r>
        <w:rPr>
          <w:rFonts w:hint="eastAsia" w:ascii="方正小标宋简体" w:eastAsia="方正小标宋简体"/>
          <w:sz w:val="36"/>
          <w:szCs w:val="36"/>
        </w:rPr>
        <w:t>采购货物（服务）技术参数、规格及要求</w:t>
      </w:r>
      <w:bookmarkEnd w:id="49"/>
      <w:bookmarkEnd w:id="50"/>
    </w:p>
    <w:p>
      <w:pPr>
        <w:pStyle w:val="50"/>
        <w:spacing w:before="80"/>
        <w:ind w:right="335"/>
        <w:rPr>
          <w:rFonts w:hint="default"/>
          <w:b/>
          <w:bCs/>
          <w:sz w:val="28"/>
          <w:szCs w:val="28"/>
          <w:lang w:val="en-US" w:eastAsia="zh-CN"/>
        </w:rPr>
      </w:pPr>
      <w:bookmarkStart w:id="51" w:name="_Toc502096729"/>
      <w:bookmarkStart w:id="52" w:name="_Toc12057"/>
      <w:r>
        <w:rPr>
          <w:rFonts w:hint="eastAsia"/>
          <w:b/>
          <w:bCs/>
          <w:sz w:val="28"/>
          <w:szCs w:val="28"/>
          <w:lang w:val="en-US" w:eastAsia="zh-CN"/>
        </w:rPr>
        <w:t>服务范围：</w:t>
      </w:r>
      <w:r>
        <w:rPr>
          <w:rFonts w:hint="eastAsia"/>
          <w:b w:val="0"/>
          <w:bCs w:val="0"/>
          <w:sz w:val="28"/>
          <w:szCs w:val="28"/>
          <w:lang w:val="en-US" w:eastAsia="zh-CN"/>
        </w:rPr>
        <w:t>灭四害防制服务项目其中户灭蚊蝇的区域涉及58个公厕、一个垃圾中转站、3家农贸市场、19条主次干道绿化带，6个大型公园、广场、观景渠，共计消毒面积1670226平方米；灭鼠指定场所包括：阳新县兴国镇28个社区外环境和19条主次干道绿化带；阳新县城区6个大型公园、广场、观景渠；58座公共厕所、3家农贸市场、1个垃圾中转站。</w:t>
      </w:r>
    </w:p>
    <w:p>
      <w:pPr>
        <w:pStyle w:val="50"/>
        <w:spacing w:before="80"/>
        <w:ind w:right="335"/>
        <w:rPr>
          <w:b/>
          <w:bCs/>
          <w:sz w:val="28"/>
          <w:szCs w:val="28"/>
        </w:rPr>
      </w:pPr>
      <w:r>
        <w:rPr>
          <w:rFonts w:hint="eastAsia"/>
          <w:b/>
          <w:bCs/>
          <w:sz w:val="28"/>
          <w:szCs w:val="28"/>
          <w:lang w:val="en-US" w:eastAsia="zh-CN"/>
        </w:rPr>
        <w:t>技术要求：按照国家相关规定及标准执行。</w:t>
      </w:r>
    </w:p>
    <w:p>
      <w:pPr>
        <w:pStyle w:val="52"/>
        <w:spacing w:line="276" w:lineRule="auto"/>
        <w:rPr>
          <w:rFonts w:ascii="宋体" w:hAnsi="宋体"/>
          <w:color w:val="FF0000"/>
          <w:sz w:val="21"/>
          <w:szCs w:val="21"/>
        </w:rPr>
      </w:pPr>
    </w:p>
    <w:p>
      <w:pPr>
        <w:widowControl/>
        <w:spacing w:line="360" w:lineRule="auto"/>
        <w:jc w:val="left"/>
        <w:rPr>
          <w:rFonts w:hint="eastAsia" w:ascii="Helvetica" w:hAnsi="Helvetica" w:eastAsia="宋体" w:cs="Helvetica"/>
          <w:b/>
          <w:bCs/>
          <w:color w:val="000000" w:themeColor="text1"/>
          <w:kern w:val="0"/>
          <w:sz w:val="32"/>
          <w:szCs w:val="32"/>
          <w:highlight w:val="none"/>
          <w:lang w:val="en-US" w:eastAsia="zh-CN"/>
        </w:rPr>
      </w:pPr>
      <w:r>
        <w:rPr>
          <w:rFonts w:hint="eastAsia" w:ascii="Helvetica" w:hAnsi="Helvetica" w:eastAsia="宋体" w:cs="Helvetica"/>
          <w:b/>
          <w:bCs/>
          <w:color w:val="000000" w:themeColor="text1"/>
          <w:kern w:val="0"/>
          <w:sz w:val="32"/>
          <w:szCs w:val="32"/>
          <w:highlight w:val="none"/>
          <w:lang w:val="en-US" w:eastAsia="zh-CN"/>
        </w:rPr>
        <w:t>商务要求：</w:t>
      </w:r>
    </w:p>
    <w:p>
      <w:pPr>
        <w:keepNext w:val="0"/>
        <w:keepLines w:val="0"/>
        <w:pageBreakBefore w:val="0"/>
        <w:widowControl/>
        <w:kinsoku/>
        <w:wordWrap/>
        <w:overflowPunct/>
        <w:topLinePunct w:val="0"/>
        <w:autoSpaceDE/>
        <w:autoSpaceDN/>
        <w:bidi w:val="0"/>
        <w:adjustRightInd/>
        <w:snapToGrid/>
        <w:spacing w:line="360" w:lineRule="auto"/>
        <w:ind w:firstLine="1405" w:firstLineChars="500"/>
        <w:jc w:val="left"/>
        <w:textAlignment w:val="auto"/>
        <w:rPr>
          <w:rFonts w:hint="default" w:ascii="Helvetica" w:hAnsi="Helvetica" w:eastAsia="宋体" w:cs="Helvetica"/>
          <w:b/>
          <w:bCs/>
          <w:color w:val="000000" w:themeColor="text1"/>
          <w:kern w:val="0"/>
          <w:sz w:val="28"/>
          <w:szCs w:val="28"/>
          <w:highlight w:val="none"/>
          <w:lang w:val="en-US" w:eastAsia="zh-CN"/>
        </w:rPr>
      </w:pPr>
      <w:r>
        <w:rPr>
          <w:rFonts w:hint="eastAsia" w:ascii="Helvetica" w:hAnsi="Helvetica" w:eastAsia="宋体" w:cs="Helvetica"/>
          <w:b/>
          <w:bCs/>
          <w:color w:val="000000" w:themeColor="text1"/>
          <w:kern w:val="0"/>
          <w:sz w:val="28"/>
          <w:szCs w:val="28"/>
          <w:highlight w:val="none"/>
          <w:lang w:val="en-US" w:eastAsia="zh-CN"/>
        </w:rPr>
        <w:t>服务期：30天</w:t>
      </w:r>
    </w:p>
    <w:p>
      <w:pPr>
        <w:keepNext w:val="0"/>
        <w:keepLines w:val="0"/>
        <w:pageBreakBefore w:val="0"/>
        <w:widowControl/>
        <w:kinsoku/>
        <w:wordWrap/>
        <w:overflowPunct/>
        <w:topLinePunct w:val="0"/>
        <w:autoSpaceDE/>
        <w:autoSpaceDN/>
        <w:bidi w:val="0"/>
        <w:adjustRightInd/>
        <w:snapToGrid/>
        <w:spacing w:line="360" w:lineRule="auto"/>
        <w:ind w:firstLine="1405" w:firstLineChars="500"/>
        <w:jc w:val="left"/>
        <w:textAlignment w:val="auto"/>
        <w:rPr>
          <w:rFonts w:hint="default" w:ascii="Helvetica" w:hAnsi="Helvetica" w:eastAsia="宋体" w:cs="Helvetica"/>
          <w:b/>
          <w:bCs/>
          <w:color w:val="000000" w:themeColor="text1"/>
          <w:kern w:val="0"/>
          <w:sz w:val="28"/>
          <w:szCs w:val="28"/>
          <w:highlight w:val="none"/>
          <w:lang w:val="en-US" w:eastAsia="zh-CN"/>
        </w:rPr>
      </w:pPr>
      <w:r>
        <w:rPr>
          <w:rFonts w:hint="eastAsia" w:ascii="Helvetica" w:hAnsi="Helvetica" w:eastAsia="宋体" w:cs="Helvetica"/>
          <w:b/>
          <w:bCs/>
          <w:color w:val="000000" w:themeColor="text1"/>
          <w:kern w:val="0"/>
          <w:sz w:val="28"/>
          <w:szCs w:val="28"/>
          <w:highlight w:val="none"/>
          <w:lang w:val="en-US" w:eastAsia="zh-CN"/>
        </w:rPr>
        <w:t>服务地点：服务范所涵盖地点</w:t>
      </w:r>
    </w:p>
    <w:p>
      <w:pPr>
        <w:pStyle w:val="3"/>
        <w:keepNext/>
        <w:keepLines/>
        <w:pageBreakBefore w:val="0"/>
        <w:widowControl w:val="0"/>
        <w:kinsoku/>
        <w:wordWrap/>
        <w:overflowPunct/>
        <w:topLinePunct w:val="0"/>
        <w:autoSpaceDE/>
        <w:autoSpaceDN/>
        <w:bidi w:val="0"/>
        <w:adjustRightInd/>
        <w:snapToGrid/>
        <w:spacing w:before="0" w:after="0" w:line="360" w:lineRule="auto"/>
        <w:ind w:firstLine="1405" w:firstLineChars="500"/>
        <w:jc w:val="both"/>
        <w:textAlignment w:val="auto"/>
        <w:rPr>
          <w:rFonts w:hint="eastAsia" w:ascii="Helvetica" w:hAnsi="Helvetica" w:eastAsia="宋体" w:cs="Helvetica"/>
          <w:b/>
          <w:bCs/>
          <w:color w:val="000000" w:themeColor="text1"/>
          <w:kern w:val="0"/>
          <w:sz w:val="32"/>
          <w:szCs w:val="32"/>
          <w:highlight w:val="none"/>
          <w:lang w:val="en-US" w:eastAsia="zh-CN" w:bidi="ar-SA"/>
        </w:rPr>
      </w:pPr>
      <w:r>
        <w:rPr>
          <w:rFonts w:hint="eastAsia" w:ascii="Helvetica" w:hAnsi="Helvetica" w:eastAsia="宋体" w:cs="Helvetica"/>
          <w:b/>
          <w:bCs/>
          <w:color w:val="000000" w:themeColor="text1"/>
          <w:kern w:val="0"/>
          <w:sz w:val="28"/>
          <w:szCs w:val="28"/>
          <w:highlight w:val="none"/>
          <w:lang w:val="en-US" w:eastAsia="zh-CN" w:bidi="ar-SA"/>
        </w:rPr>
        <w:t>付款方式：甲方验收合格后一次性付款</w:t>
      </w:r>
    </w:p>
    <w:p>
      <w:pPr>
        <w:rPr>
          <w:rFonts w:hint="eastAsia" w:ascii="Helvetica" w:hAnsi="Helvetica" w:eastAsia="宋体" w:cs="Helvetica"/>
          <w:b/>
          <w:bCs/>
          <w:color w:val="000000" w:themeColor="text1"/>
          <w:kern w:val="0"/>
          <w:sz w:val="32"/>
          <w:szCs w:val="32"/>
          <w:highlight w:val="none"/>
          <w:lang w:val="en-US" w:eastAsia="zh-CN"/>
        </w:rPr>
      </w:pPr>
      <w:r>
        <w:rPr>
          <w:rFonts w:hint="eastAsia" w:ascii="Helvetica" w:hAnsi="Helvetica" w:eastAsia="宋体" w:cs="Helvetica"/>
          <w:b/>
          <w:bCs/>
          <w:color w:val="000000" w:themeColor="text1"/>
          <w:kern w:val="0"/>
          <w:sz w:val="32"/>
          <w:szCs w:val="32"/>
          <w:highlight w:val="none"/>
          <w:lang w:val="en-US" w:eastAsia="zh-CN"/>
        </w:rPr>
        <w:br w:type="page"/>
      </w:r>
    </w:p>
    <w:p>
      <w:pPr>
        <w:pStyle w:val="3"/>
        <w:keepNext/>
        <w:keepLines/>
        <w:pageBreakBefore w:val="0"/>
        <w:widowControl w:val="0"/>
        <w:kinsoku/>
        <w:wordWrap/>
        <w:overflowPunct/>
        <w:topLinePunct w:val="0"/>
        <w:autoSpaceDE/>
        <w:autoSpaceDN/>
        <w:bidi w:val="0"/>
        <w:adjustRightInd/>
        <w:snapToGrid/>
        <w:spacing w:before="200" w:after="200" w:line="240" w:lineRule="auto"/>
        <w:textAlignment w:val="auto"/>
        <w:rPr>
          <w:rFonts w:ascii="方正小标宋简体" w:eastAsia="方正小标宋简体"/>
          <w:sz w:val="44"/>
        </w:rPr>
      </w:pPr>
      <w:r>
        <w:rPr>
          <w:rFonts w:hint="eastAsia" w:ascii="方正小标宋简体" w:eastAsia="方正小标宋简体"/>
          <w:sz w:val="44"/>
        </w:rPr>
        <w:t>第四章 评审办法及评分标准</w:t>
      </w:r>
      <w:bookmarkEnd w:id="51"/>
      <w:bookmarkEnd w:id="52"/>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根据《政府采购法》、《政府采购竞争性磋商采购方式管理暂行办法》等相关规定，本项目磋商活动按以下方法、步骤及成交标准进行：</w:t>
      </w:r>
    </w:p>
    <w:p>
      <w:pPr>
        <w:tabs>
          <w:tab w:val="center" w:pos="4422"/>
        </w:tabs>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一、磋商及报价</w:t>
      </w:r>
    </w:p>
    <w:p>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1、</w:t>
      </w:r>
      <w:r>
        <w:rPr>
          <w:rFonts w:hint="eastAsia" w:ascii="Times New Roman" w:hAnsi="Times New Roman" w:eastAsia="宋体" w:cs="Times New Roman"/>
          <w:sz w:val="24"/>
          <w:szCs w:val="24"/>
        </w:rPr>
        <w:t>磋商供应商按照磋商文件规定的时间、方式上传磋商响应文件。</w:t>
      </w:r>
    </w:p>
    <w:p>
      <w:pPr>
        <w:spacing w:line="360" w:lineRule="auto"/>
        <w:ind w:firstLine="480" w:firstLineChars="200"/>
        <w:rPr>
          <w:rFonts w:ascii="宋体" w:hAnsi="宋体" w:eastAsia="宋体" w:cs="宋体"/>
          <w:bCs/>
          <w:kern w:val="0"/>
          <w:sz w:val="24"/>
          <w:szCs w:val="24"/>
        </w:rPr>
      </w:pPr>
      <w:r>
        <w:rPr>
          <w:rFonts w:hint="eastAsia" w:ascii="宋体" w:hAnsi="宋体" w:eastAsia="宋体" w:cs="Times New Roman"/>
          <w:sz w:val="24"/>
          <w:szCs w:val="24"/>
        </w:rPr>
        <w:t>2、</w:t>
      </w:r>
      <w:r>
        <w:rPr>
          <w:rFonts w:hint="eastAsia" w:ascii="Times New Roman" w:hAnsi="Times New Roman" w:eastAsia="宋体" w:cs="Times New Roman"/>
          <w:sz w:val="24"/>
          <w:szCs w:val="24"/>
        </w:rPr>
        <w:t>磋商小组对各磋商供应商提交的响应文件进行资格性审查，</w:t>
      </w:r>
      <w:r>
        <w:rPr>
          <w:rFonts w:hint="eastAsia" w:ascii="宋体" w:hAnsi="宋体" w:eastAsia="宋体" w:cs="宋体"/>
          <w:bCs/>
          <w:kern w:val="0"/>
          <w:sz w:val="24"/>
          <w:szCs w:val="24"/>
        </w:rPr>
        <w:t>供应商对其提交资料的真实性负责。采购人可在确定成交供应商之后进行相关资料和证件的审核，同时欢迎各供应商互相监督和举报。</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3、</w:t>
      </w:r>
      <w:r>
        <w:rPr>
          <w:rFonts w:hint="eastAsia" w:ascii="Times New Roman" w:hAnsi="Times New Roman" w:eastAsia="宋体" w:cs="Times New Roman"/>
          <w:sz w:val="24"/>
          <w:szCs w:val="24"/>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磋商小组要求供应商澄清、说明或者更正响应文件应以书面形式作出。供应商的澄清、说明或者更正应当由法定代表人或其授权代表签字或者加盖公章。</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4、磋商中，参加磋商的任何一方不得透露与磋商有关的其他供应商的技术资料、价格和其他信息。</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5、第一轮磋商</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磋商小组所有成员集中按已确定的磋商顺序与通过了资格性审查的供应商进行单一磋商。</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供应商可以对参加项目的技术、服务要求以及合同草案提出优化建议，并以书面形式提交磋商小组。</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第一轮磋商结束后，磋商小组可根据采购项目的特点、采购人的实际需求及与各供应商的磋商情况对磋商文件作出实质性变动并进行下一轮磋商，或直接进入最后书面报价。</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6、磋商文件变动</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磋商小组可根据磋商文件和磋商情况实质性变动采购需求中的技术、服务要求以及合同草案条款。实质性变动的内容以书面形式同时通知所有参加磋商的供应商。对磋商文件作出的实质性变动是磋商文件的有效组成部分。</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对无法详细描述需求，需要供应商提供设计或者解决方案的项目，磋商小组可以根据采购人的需求情况，进行多轮磋商，直至采购人代表最终确认需求为止。</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供应商应当按照磋商文件实质性变动变动情况和磋商小组的要求在规定的时间内提交修正文件或重新提交修正后的响应文件，逾时不提交的，视同放弃磋商。修正文件或修正后的响应文件应由其法定代表人或授权代表签字或者加盖印章。</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7、第二轮磋商或多轮磋商</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参照第一轮磋商的程序，磋商小组按照变动后的磋商文件对供应商提交的修正文件或修正后的响应文件进行评审，并由磋商小组集中与单一供应商进行第二轮磋商。</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磋商小组可以根据需要与磋商供应商进行多轮磋商。</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8、最后书面报价</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磋商文件中能够详细列明采购标的的技术、服务要求的，在磋商结束后，所有实质性响应磋商文件及变动后磋商文件要求的供应商应按磋商小组的要求在规定时间内提交最后书面报价。</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磋商文件中不能详细描述和列明采购标的的技术、服务要求，需经磋商由供应商提供最终设计方案或解决方案的，在磋商结束后，磋商小组按照少数服从多数的原则投票推荐3家以上供应商的设计方案或者解决方案，并要求其在规定时间内提交最后书面报价。</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最后书面报价是供应商磋商响应文件的有效组成部分。</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若响应供应商的最后书面报价均超过了政府采购预算，采购人不能支付的，磋商活动终止。</w:t>
      </w:r>
    </w:p>
    <w:p>
      <w:pPr>
        <w:tabs>
          <w:tab w:val="center" w:pos="4422"/>
        </w:tabs>
        <w:spacing w:line="360" w:lineRule="auto"/>
        <w:ind w:firstLine="482" w:firstLineChars="200"/>
        <w:rPr>
          <w:rFonts w:ascii="宋体" w:hAnsi="宋体" w:eastAsia="宋体" w:cs="Times New Roman"/>
          <w:b/>
          <w:bCs/>
          <w:sz w:val="24"/>
          <w:szCs w:val="24"/>
        </w:rPr>
      </w:pPr>
      <w:r>
        <w:rPr>
          <w:rFonts w:hint="eastAsia" w:ascii="Times New Roman" w:hAnsi="Times New Roman" w:eastAsia="宋体" w:cs="Times New Roman"/>
          <w:b/>
          <w:sz w:val="24"/>
          <w:szCs w:val="24"/>
        </w:rPr>
        <w:t>二、响应文件及报价的</w:t>
      </w:r>
      <w:r>
        <w:rPr>
          <w:rFonts w:hint="eastAsia" w:ascii="宋体" w:hAnsi="宋体" w:eastAsia="宋体" w:cs="Times New Roman"/>
          <w:b/>
          <w:bCs/>
          <w:sz w:val="24"/>
          <w:szCs w:val="24"/>
        </w:rPr>
        <w:t>比较与评审</w:t>
      </w:r>
    </w:p>
    <w:p>
      <w:pPr>
        <w:tabs>
          <w:tab w:val="center" w:pos="4422"/>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经磋商确定最终响应采购需求并提交最后报价的供应商后，由磋商小组采用综合评分法对提交最后报价的供应商的响应文件和最后报价进行综合评分。</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磋商小组组长负责对各评委的总分进行复核和汇总，采购中心可进行协助；各磋商供应商的最终得分为评委所评定分数的算术平均值。</w:t>
      </w:r>
    </w:p>
    <w:p>
      <w:pPr>
        <w:spacing w:line="360" w:lineRule="auto"/>
        <w:rPr>
          <w:sz w:val="24"/>
          <w:szCs w:val="24"/>
        </w:rPr>
      </w:pPr>
      <w:r>
        <w:rPr>
          <w:rFonts w:hint="eastAsia" w:ascii="宋体" w:hAnsi="宋体" w:eastAsia="宋体" w:cs="Times New Roman"/>
          <w:bCs/>
          <w:sz w:val="24"/>
          <w:szCs w:val="24"/>
        </w:rPr>
        <w:t>磋商小组将依据对各投标文件的评审结果</w:t>
      </w:r>
      <w:r>
        <w:rPr>
          <w:rFonts w:hint="eastAsia" w:ascii="宋体" w:hAnsi="宋体" w:eastAsia="宋体" w:cs="Times New Roman"/>
          <w:sz w:val="24"/>
          <w:szCs w:val="24"/>
        </w:rPr>
        <w:t>形成书面的评标报告</w:t>
      </w:r>
      <w:r>
        <w:rPr>
          <w:rFonts w:hint="eastAsia" w:ascii="宋体" w:hAnsi="宋体" w:eastAsia="宋体" w:cs="Times New Roman"/>
          <w:bCs/>
          <w:sz w:val="24"/>
          <w:szCs w:val="24"/>
        </w:rPr>
        <w:t>，并根据相关规定，</w:t>
      </w:r>
      <w:r>
        <w:rPr>
          <w:rFonts w:hint="eastAsia" w:ascii="宋体" w:hAnsi="宋体" w:eastAsia="宋体" w:cs="Times New Roman"/>
          <w:sz w:val="24"/>
          <w:szCs w:val="24"/>
        </w:rPr>
        <w:t>确定成交供应商。</w:t>
      </w:r>
    </w:p>
    <w:p>
      <w:pPr>
        <w:rPr>
          <w:rFonts w:ascii="宋体" w:hAnsi="宋体" w:eastAsia="宋体" w:cs="Times New Roman"/>
          <w:b/>
          <w:bCs/>
          <w:sz w:val="24"/>
          <w:szCs w:val="24"/>
        </w:rPr>
      </w:pPr>
      <w:bookmarkStart w:id="53" w:name="_Toc355985903"/>
      <w:r>
        <w:rPr>
          <w:rFonts w:hint="eastAsia" w:ascii="宋体" w:hAnsi="宋体" w:eastAsia="宋体" w:cs="Times New Roman"/>
          <w:b/>
          <w:bCs/>
          <w:sz w:val="24"/>
          <w:szCs w:val="24"/>
        </w:rPr>
        <w:br w:type="page"/>
      </w:r>
    </w:p>
    <w:p>
      <w:pPr>
        <w:spacing w:line="500" w:lineRule="exact"/>
        <w:jc w:val="left"/>
        <w:outlineLvl w:val="1"/>
        <w:rPr>
          <w:rFonts w:cs="Times New Roman" w:asciiTheme="minorEastAsia" w:hAnsiTheme="minorEastAsia"/>
          <w:b/>
          <w:sz w:val="36"/>
          <w:szCs w:val="36"/>
          <w:lang w:val="hr-HR" w:bidi="ar-EG"/>
        </w:rPr>
      </w:pPr>
      <w:r>
        <w:rPr>
          <w:rFonts w:hint="eastAsia" w:cs="Times New Roman" w:asciiTheme="minorEastAsia" w:hAnsiTheme="minorEastAsia"/>
          <w:b/>
          <w:sz w:val="28"/>
          <w:szCs w:val="28"/>
          <w:lang w:val="en-US" w:eastAsia="zh-CN" w:bidi="ar-EG"/>
        </w:rPr>
        <w:t>三</w:t>
      </w:r>
      <w:r>
        <w:rPr>
          <w:rFonts w:hint="eastAsia" w:cs="Times New Roman" w:asciiTheme="minorEastAsia" w:hAnsiTheme="minorEastAsia"/>
          <w:b/>
          <w:sz w:val="28"/>
          <w:szCs w:val="28"/>
          <w:lang w:val="hr-HR" w:bidi="ar-EG"/>
        </w:rPr>
        <w:t>、资格审查</w:t>
      </w:r>
    </w:p>
    <w:tbl>
      <w:tblPr>
        <w:tblStyle w:val="17"/>
        <w:tblpPr w:leftFromText="180" w:rightFromText="180" w:vertAnchor="text" w:horzAnchor="page" w:tblpX="985" w:tblpY="567"/>
        <w:tblOverlap w:val="never"/>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2545"/>
        <w:gridCol w:w="6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555"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资格审查资料</w:t>
            </w:r>
          </w:p>
        </w:tc>
        <w:tc>
          <w:tcPr>
            <w:tcW w:w="2545" w:type="dxa"/>
            <w:tcBorders>
              <w:top w:val="single" w:color="auto" w:sz="4" w:space="0"/>
              <w:left w:val="single" w:color="auto" w:sz="4" w:space="0"/>
              <w:bottom w:val="single" w:color="auto" w:sz="4" w:space="0"/>
              <w:right w:val="single" w:color="auto" w:sz="4" w:space="0"/>
            </w:tcBorders>
            <w:vAlign w:val="top"/>
          </w:tcPr>
          <w:p>
            <w:pPr>
              <w:rPr>
                <w:rFonts w:asciiTheme="minorEastAsia" w:hAnsiTheme="minorEastAsia" w:eastAsiaTheme="minorEastAsia" w:cstheme="minorEastAsia"/>
                <w:szCs w:val="21"/>
              </w:rPr>
            </w:pPr>
            <w:r>
              <w:rPr>
                <w:rFonts w:hint="eastAsia" w:ascii="宋体" w:hAnsi="宋体" w:eastAsia="宋体" w:cs="宋体"/>
                <w:szCs w:val="21"/>
              </w:rPr>
              <w:t>1.具有独立承担民事责任的能力。</w:t>
            </w:r>
          </w:p>
        </w:tc>
        <w:tc>
          <w:tcPr>
            <w:tcW w:w="6879" w:type="dxa"/>
            <w:tcBorders>
              <w:top w:val="single" w:color="auto" w:sz="4" w:space="0"/>
              <w:left w:val="single" w:color="auto" w:sz="4" w:space="0"/>
              <w:bottom w:val="single" w:color="auto" w:sz="4" w:space="0"/>
              <w:right w:val="single" w:color="auto" w:sz="4" w:space="0"/>
            </w:tcBorders>
            <w:vAlign w:val="top"/>
          </w:tcPr>
          <w:p>
            <w:pPr>
              <w:jc w:val="left"/>
              <w:rPr>
                <w:rFonts w:asciiTheme="minorEastAsia" w:hAnsiTheme="minorEastAsia" w:eastAsiaTheme="minorEastAsia" w:cstheme="minorEastAsia"/>
                <w:szCs w:val="21"/>
              </w:rPr>
            </w:pPr>
            <w:r>
              <w:rPr>
                <w:rFonts w:hint="eastAsia" w:ascii="宋体" w:hAnsi="宋体" w:eastAsia="宋体" w:cs="宋体"/>
                <w:color w:val="000000"/>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55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Cs w:val="21"/>
              </w:rPr>
            </w:pPr>
          </w:p>
        </w:tc>
        <w:tc>
          <w:tcPr>
            <w:tcW w:w="2545" w:type="dxa"/>
            <w:tcBorders>
              <w:top w:val="single" w:color="auto" w:sz="4" w:space="0"/>
              <w:left w:val="single" w:color="auto" w:sz="4" w:space="0"/>
              <w:bottom w:val="single" w:color="auto" w:sz="4" w:space="0"/>
              <w:right w:val="single" w:color="auto" w:sz="4" w:space="0"/>
            </w:tcBorders>
            <w:vAlign w:val="top"/>
          </w:tcPr>
          <w:p>
            <w:pPr>
              <w:rPr>
                <w:rFonts w:asciiTheme="minorEastAsia" w:hAnsiTheme="minorEastAsia" w:eastAsiaTheme="minorEastAsia" w:cstheme="minorEastAsia"/>
                <w:szCs w:val="21"/>
              </w:rPr>
            </w:pPr>
            <w:r>
              <w:rPr>
                <w:rFonts w:hint="eastAsia" w:ascii="宋体" w:hAnsi="宋体" w:eastAsia="宋体" w:cs="宋体"/>
                <w:szCs w:val="21"/>
              </w:rPr>
              <w:t>2.具有良好的商业信誉和健全的财务会计制度。</w:t>
            </w:r>
          </w:p>
        </w:tc>
        <w:tc>
          <w:tcPr>
            <w:tcW w:w="6879"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eastAsia="宋体" w:cs="宋体"/>
                <w:color w:val="000000"/>
                <w:szCs w:val="21"/>
              </w:rPr>
            </w:pPr>
            <w:r>
              <w:rPr>
                <w:rFonts w:hint="eastAsia" w:ascii="宋体" w:hAnsi="宋体" w:eastAsia="宋体" w:cs="宋体"/>
                <w:color w:val="000000"/>
                <w:szCs w:val="21"/>
              </w:rPr>
              <w:t>供应商是法人的，应提供上一年度经审计的财务报告，或其基本开户银行出具的资信证明。其他组织和自然人，没有经审计的财务报告，提供银行出具的资信证明。</w:t>
            </w:r>
          </w:p>
          <w:p>
            <w:pPr>
              <w:jc w:val="left"/>
              <w:rPr>
                <w:rFonts w:asciiTheme="minorEastAsia" w:hAnsiTheme="minorEastAsia" w:eastAsiaTheme="minorEastAsia" w:cstheme="minorEastAsia"/>
                <w:color w:val="000000"/>
                <w:szCs w:val="21"/>
              </w:rPr>
            </w:pPr>
            <w:r>
              <w:rPr>
                <w:rFonts w:hint="eastAsia" w:ascii="宋体" w:hAnsi="宋体" w:eastAsia="宋体" w:cs="宋体"/>
                <w:color w:val="000000"/>
                <w:szCs w:val="21"/>
              </w:rPr>
              <w:t>专业担保机构对供应商进行资信审查后出具投标担保函的，可以不用提供经审计的财务报告和银行资信证明文件。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5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Cs w:val="21"/>
              </w:rPr>
            </w:pPr>
          </w:p>
        </w:tc>
        <w:tc>
          <w:tcPr>
            <w:tcW w:w="2545" w:type="dxa"/>
            <w:tcBorders>
              <w:top w:val="single" w:color="auto" w:sz="4" w:space="0"/>
              <w:left w:val="single" w:color="auto" w:sz="4" w:space="0"/>
              <w:bottom w:val="single" w:color="auto" w:sz="4" w:space="0"/>
              <w:right w:val="single" w:color="auto" w:sz="4" w:space="0"/>
            </w:tcBorders>
            <w:vAlign w:val="top"/>
          </w:tcPr>
          <w:p>
            <w:pPr>
              <w:rPr>
                <w:rFonts w:asciiTheme="minorEastAsia" w:hAnsiTheme="minorEastAsia" w:eastAsiaTheme="minorEastAsia" w:cstheme="minorEastAsia"/>
                <w:szCs w:val="21"/>
              </w:rPr>
            </w:pPr>
            <w:r>
              <w:rPr>
                <w:rFonts w:hint="eastAsia" w:ascii="宋体" w:hAnsi="宋体" w:eastAsia="宋体" w:cs="宋体"/>
                <w:szCs w:val="21"/>
              </w:rPr>
              <w:t>3.具有履行合同所必需的设备和专业技术能力的证明材料。</w:t>
            </w:r>
          </w:p>
        </w:tc>
        <w:tc>
          <w:tcPr>
            <w:tcW w:w="6879" w:type="dxa"/>
            <w:tcBorders>
              <w:top w:val="single" w:color="auto" w:sz="4" w:space="0"/>
              <w:left w:val="single" w:color="auto" w:sz="4" w:space="0"/>
              <w:bottom w:val="single" w:color="auto" w:sz="4" w:space="0"/>
              <w:right w:val="single" w:color="auto" w:sz="4" w:space="0"/>
            </w:tcBorders>
            <w:vAlign w:val="top"/>
          </w:tcPr>
          <w:p>
            <w:pPr>
              <w:jc w:val="left"/>
              <w:rPr>
                <w:rFonts w:asciiTheme="minorEastAsia" w:hAnsiTheme="minorEastAsia" w:eastAsiaTheme="minorEastAsia" w:cstheme="minorEastAsia"/>
                <w:szCs w:val="21"/>
              </w:rPr>
            </w:pPr>
            <w:r>
              <w:rPr>
                <w:rFonts w:hint="eastAsia" w:ascii="宋体" w:hAnsi="宋体" w:eastAsia="宋体" w:cs="宋体"/>
                <w:color w:val="000000"/>
                <w:szCs w:val="21"/>
              </w:rPr>
              <w:t>供应商履行合同所必须的设备和专业技术能力的证明材料。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7" w:hRule="atLeast"/>
        </w:trPr>
        <w:tc>
          <w:tcPr>
            <w:tcW w:w="55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Cs w:val="21"/>
              </w:rPr>
            </w:pPr>
          </w:p>
        </w:tc>
        <w:tc>
          <w:tcPr>
            <w:tcW w:w="2545" w:type="dxa"/>
            <w:tcBorders>
              <w:top w:val="single" w:color="auto" w:sz="4" w:space="0"/>
              <w:left w:val="single" w:color="auto" w:sz="4" w:space="0"/>
              <w:bottom w:val="single" w:color="auto" w:sz="4" w:space="0"/>
              <w:right w:val="single" w:color="auto" w:sz="4" w:space="0"/>
            </w:tcBorders>
            <w:vAlign w:val="top"/>
          </w:tcPr>
          <w:p>
            <w:pPr>
              <w:rPr>
                <w:rFonts w:asciiTheme="minorEastAsia" w:hAnsiTheme="minorEastAsia" w:eastAsiaTheme="minorEastAsia" w:cstheme="minorEastAsia"/>
                <w:color w:val="auto"/>
                <w:szCs w:val="21"/>
              </w:rPr>
            </w:pPr>
            <w:r>
              <w:rPr>
                <w:rFonts w:hint="eastAsia" w:ascii="宋体" w:hAnsi="宋体" w:eastAsia="宋体" w:cs="宋体"/>
                <w:szCs w:val="21"/>
              </w:rPr>
              <w:t>4.有依法缴纳税收和社会保障资金的良好记录。</w:t>
            </w:r>
          </w:p>
        </w:tc>
        <w:tc>
          <w:tcPr>
            <w:tcW w:w="6879"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eastAsia="宋体" w:cs="宋体"/>
                <w:color w:val="000000"/>
                <w:szCs w:val="21"/>
              </w:rPr>
            </w:pPr>
            <w:r>
              <w:rPr>
                <w:rFonts w:hint="eastAsia" w:ascii="宋体" w:hAnsi="宋体" w:eastAsia="宋体" w:cs="宋体"/>
                <w:szCs w:val="21"/>
              </w:rPr>
              <w:t>1.依法缴纳税收：</w:t>
            </w:r>
            <w:r>
              <w:rPr>
                <w:rFonts w:hint="eastAsia" w:ascii="宋体" w:hAnsi="宋体" w:eastAsia="宋体" w:cs="宋体"/>
                <w:color w:val="000000"/>
                <w:szCs w:val="21"/>
              </w:rPr>
              <w:t>供应商依法缴纳税收的证明材料：本项目公告发布时间前6个月内（至少提供1个月）缴纳税收的凭据（完税证、缴款书、印花税票、银行代扣（代缴）转账凭证等均可）。</w:t>
            </w:r>
          </w:p>
          <w:p>
            <w:pPr>
              <w:jc w:val="left"/>
              <w:rPr>
                <w:rFonts w:ascii="宋体" w:hAnsi="宋体" w:eastAsia="宋体" w:cs="宋体"/>
                <w:color w:val="000000"/>
                <w:szCs w:val="21"/>
              </w:rPr>
            </w:pPr>
            <w:r>
              <w:rPr>
                <w:rFonts w:hint="eastAsia" w:ascii="宋体" w:hAnsi="宋体" w:eastAsia="宋体" w:cs="宋体"/>
                <w:szCs w:val="21"/>
              </w:rPr>
              <w:t>2.社会保障资金：</w:t>
            </w:r>
            <w:r>
              <w:rPr>
                <w:rFonts w:hint="eastAsia" w:ascii="宋体" w:hAnsi="宋体" w:eastAsia="宋体" w:cs="宋体"/>
                <w:color w:val="000000"/>
                <w:szCs w:val="21"/>
              </w:rPr>
              <w:t>供应商依法缴纳社会保障资金的证明材料：本项目公告发布时间前6个月内（至少提供1个月）缴纳社会保险的凭据（专用收据或社会保险交纳清单）；</w:t>
            </w:r>
          </w:p>
          <w:p>
            <w:pPr>
              <w:jc w:val="left"/>
              <w:rPr>
                <w:rFonts w:ascii="宋体" w:hAnsi="宋体" w:eastAsia="宋体" w:cs="宋体"/>
                <w:color w:val="000000"/>
                <w:szCs w:val="21"/>
              </w:rPr>
            </w:pPr>
            <w:r>
              <w:rPr>
                <w:rFonts w:hint="eastAsia" w:ascii="宋体" w:hAnsi="宋体" w:eastAsia="宋体" w:cs="宋体"/>
                <w:color w:val="0000FF"/>
                <w:szCs w:val="21"/>
              </w:rPr>
              <w:t>注：</w:t>
            </w:r>
            <w:r>
              <w:rPr>
                <w:rFonts w:hint="eastAsia" w:ascii="宋体" w:hAnsi="宋体" w:eastAsia="宋体" w:cs="宋体"/>
                <w:color w:val="000000"/>
                <w:szCs w:val="21"/>
              </w:rPr>
              <w:t>供应商为其他组织或自然人的，也需要按此项规定提供缴纳税收的凭据和交纳社会保险的凭据；</w:t>
            </w:r>
          </w:p>
          <w:p>
            <w:pPr>
              <w:ind w:firstLine="420" w:firstLineChars="200"/>
              <w:jc w:val="left"/>
              <w:rPr>
                <w:rFonts w:ascii="宋体" w:hAnsi="宋体" w:eastAsia="宋体" w:cs="宋体"/>
                <w:color w:val="000000"/>
                <w:szCs w:val="21"/>
              </w:rPr>
            </w:pPr>
            <w:r>
              <w:rPr>
                <w:rFonts w:hint="eastAsia" w:ascii="宋体" w:hAnsi="宋体" w:eastAsia="宋体" w:cs="宋体"/>
                <w:color w:val="000000"/>
                <w:szCs w:val="21"/>
              </w:rPr>
              <w:t>递交响应文件截止时间的当月成立但因税务机关原因导致其尚未依法缴纳税收的供应商，提供依法缴纳税收承诺书原件（格式自拟），该承诺书视同税收缴纳凭据。</w:t>
            </w:r>
          </w:p>
          <w:p>
            <w:pPr>
              <w:ind w:firstLine="420" w:firstLineChars="200"/>
              <w:jc w:val="left"/>
              <w:rPr>
                <w:rFonts w:ascii="宋体" w:hAnsi="宋体" w:eastAsia="宋体" w:cs="宋体"/>
                <w:color w:val="000000"/>
                <w:szCs w:val="21"/>
              </w:rPr>
            </w:pPr>
            <w:r>
              <w:rPr>
                <w:rFonts w:hint="eastAsia" w:ascii="宋体" w:hAnsi="宋体" w:eastAsia="宋体" w:cs="宋体"/>
                <w:color w:val="000000"/>
                <w:szCs w:val="21"/>
              </w:rPr>
              <w:t xml:space="preserve">递交响应文件截止时间的当月成立但因社会保障资金管理机关原因导致其尚未依法缴纳社会保障资金的供应商，提供依法缴纳社会保障资金承诺书原件（格式自拟），该承诺书视同社会保险凭据。 </w:t>
            </w:r>
          </w:p>
          <w:p>
            <w:pPr>
              <w:jc w:val="left"/>
              <w:rPr>
                <w:rFonts w:asciiTheme="minorEastAsia" w:hAnsiTheme="minorEastAsia" w:eastAsiaTheme="minorEastAsia" w:cstheme="minorEastAsia"/>
                <w:color w:val="auto"/>
                <w:szCs w:val="21"/>
              </w:rPr>
            </w:pPr>
            <w:r>
              <w:rPr>
                <w:rFonts w:hint="eastAsia" w:ascii="宋体" w:hAnsi="宋体" w:eastAsia="宋体" w:cs="宋体"/>
                <w:color w:val="000000"/>
                <w:szCs w:val="21"/>
              </w:rPr>
              <w:t>依法免税或不需要缴纳社会保障资金的供应商，应提供相应文件证明其依法免税或不需要交纳社会保障资金。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55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Cs w:val="21"/>
              </w:rPr>
            </w:pPr>
          </w:p>
        </w:tc>
        <w:tc>
          <w:tcPr>
            <w:tcW w:w="2545" w:type="dxa"/>
            <w:tcBorders>
              <w:top w:val="single" w:color="auto" w:sz="4" w:space="0"/>
              <w:left w:val="single" w:color="auto" w:sz="4" w:space="0"/>
              <w:bottom w:val="single" w:color="auto" w:sz="4" w:space="0"/>
              <w:right w:val="single" w:color="auto" w:sz="4" w:space="0"/>
            </w:tcBorders>
            <w:vAlign w:val="top"/>
          </w:tcPr>
          <w:p>
            <w:pPr>
              <w:rPr>
                <w:rFonts w:asciiTheme="minorEastAsia" w:hAnsiTheme="minorEastAsia" w:eastAsiaTheme="minorEastAsia" w:cstheme="minorEastAsia"/>
                <w:szCs w:val="21"/>
              </w:rPr>
            </w:pPr>
            <w:r>
              <w:rPr>
                <w:rFonts w:hint="eastAsia" w:ascii="宋体" w:hAnsi="宋体" w:eastAsia="宋体" w:cs="宋体"/>
                <w:szCs w:val="21"/>
              </w:rPr>
              <w:t>5.参加政府采购活动前3年内，在经营活动中没有重大违法记录。</w:t>
            </w:r>
          </w:p>
        </w:tc>
        <w:tc>
          <w:tcPr>
            <w:tcW w:w="6879"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eastAsia="宋体" w:cs="宋体"/>
                <w:szCs w:val="21"/>
              </w:rPr>
            </w:pPr>
            <w:r>
              <w:rPr>
                <w:rFonts w:hint="eastAsia" w:ascii="宋体" w:hAnsi="宋体" w:eastAsia="宋体" w:cs="宋体"/>
                <w:szCs w:val="21"/>
              </w:rPr>
              <w:t>格式如下：</w:t>
            </w:r>
          </w:p>
          <w:p>
            <w:pPr>
              <w:jc w:val="center"/>
              <w:rPr>
                <w:rFonts w:ascii="宋体" w:hAnsi="宋体" w:eastAsia="宋体" w:cs="宋体"/>
                <w:szCs w:val="21"/>
              </w:rPr>
            </w:pPr>
            <w:r>
              <w:rPr>
                <w:rFonts w:hint="eastAsia" w:ascii="宋体" w:hAnsi="宋体" w:eastAsia="宋体" w:cs="宋体"/>
                <w:szCs w:val="21"/>
              </w:rPr>
              <w:t>参加政府采购活动前3年内在经营活动中没有重大违法记录的书面声明</w:t>
            </w:r>
          </w:p>
          <w:p>
            <w:pPr>
              <w:rPr>
                <w:rFonts w:ascii="宋体" w:hAnsi="宋体" w:eastAsia="宋体" w:cs="宋体"/>
                <w:szCs w:val="21"/>
              </w:rPr>
            </w:pPr>
            <w:r>
              <w:rPr>
                <w:rFonts w:hint="eastAsia" w:ascii="宋体" w:hAnsi="宋体" w:eastAsia="宋体" w:cs="宋体"/>
                <w:szCs w:val="21"/>
              </w:rPr>
              <w:t xml:space="preserve">采购人和集中采购机构： </w:t>
            </w:r>
          </w:p>
          <w:p>
            <w:pPr>
              <w:ind w:firstLine="420" w:firstLineChars="200"/>
              <w:rPr>
                <w:rFonts w:ascii="宋体" w:hAnsi="宋体" w:eastAsia="宋体" w:cs="宋体"/>
                <w:szCs w:val="21"/>
              </w:rPr>
            </w:pPr>
            <w:r>
              <w:rPr>
                <w:rFonts w:hint="eastAsia" w:ascii="宋体" w:hAnsi="宋体" w:eastAsia="宋体" w:cs="宋体"/>
                <w:szCs w:val="21"/>
              </w:rPr>
              <w:t xml:space="preserve">我方在此声明，我方在参加本次政府采购活动前三年内，在经营活动中没有以下重大违法记录： </w:t>
            </w:r>
          </w:p>
          <w:p>
            <w:pPr>
              <w:ind w:firstLine="420" w:firstLineChars="200"/>
              <w:rPr>
                <w:rFonts w:ascii="宋体" w:hAnsi="宋体" w:eastAsia="宋体" w:cs="宋体"/>
                <w:szCs w:val="21"/>
              </w:rPr>
            </w:pPr>
            <w:r>
              <w:rPr>
                <w:rFonts w:hint="eastAsia" w:ascii="宋体" w:hAnsi="宋体" w:eastAsia="宋体" w:cs="宋体"/>
                <w:szCs w:val="21"/>
              </w:rPr>
              <w:t xml:space="preserve">1、我方因违法经营被追究过刑事责任； </w:t>
            </w:r>
          </w:p>
          <w:p>
            <w:pPr>
              <w:ind w:firstLine="420" w:firstLineChars="200"/>
              <w:rPr>
                <w:rFonts w:ascii="宋体" w:hAnsi="宋体" w:eastAsia="宋体" w:cs="宋体"/>
                <w:szCs w:val="21"/>
              </w:rPr>
            </w:pPr>
            <w:r>
              <w:rPr>
                <w:rFonts w:hint="eastAsia" w:ascii="宋体" w:hAnsi="宋体" w:eastAsia="宋体" w:cs="宋体"/>
                <w:szCs w:val="21"/>
              </w:rPr>
              <w:t xml:space="preserve">2、我方因违法经营被责令停产停业、吊销许可证或者执照； </w:t>
            </w:r>
          </w:p>
          <w:p>
            <w:pPr>
              <w:ind w:firstLine="420" w:firstLineChars="200"/>
              <w:rPr>
                <w:rFonts w:ascii="宋体" w:hAnsi="宋体" w:eastAsia="宋体" w:cs="宋体"/>
                <w:szCs w:val="21"/>
              </w:rPr>
            </w:pPr>
            <w:r>
              <w:rPr>
                <w:rFonts w:hint="eastAsia" w:ascii="宋体" w:hAnsi="宋体" w:eastAsia="宋体" w:cs="宋体"/>
                <w:szCs w:val="21"/>
              </w:rPr>
              <w:t xml:space="preserve">3、我方因违法经营被处以较大数额罚款等行政处罚。 </w:t>
            </w:r>
          </w:p>
          <w:p>
            <w:pPr>
              <w:ind w:firstLine="420" w:firstLineChars="200"/>
              <w:rPr>
                <w:rFonts w:ascii="宋体" w:hAnsi="宋体" w:eastAsia="宋体" w:cs="宋体"/>
                <w:szCs w:val="21"/>
              </w:rPr>
            </w:pPr>
            <w:r>
              <w:rPr>
                <w:rFonts w:hint="eastAsia" w:ascii="宋体" w:hAnsi="宋体" w:eastAsia="宋体" w:cs="宋体"/>
                <w:szCs w:val="21"/>
              </w:rPr>
              <w:t xml:space="preserve">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 </w:t>
            </w:r>
          </w:p>
          <w:p>
            <w:pPr>
              <w:rPr>
                <w:rFonts w:ascii="宋体" w:hAnsi="宋体" w:eastAsia="宋体" w:cs="宋体"/>
                <w:szCs w:val="21"/>
              </w:rPr>
            </w:pPr>
            <w:r>
              <w:rPr>
                <w:rFonts w:hint="eastAsia" w:ascii="宋体" w:hAnsi="宋体" w:eastAsia="宋体" w:cs="宋体"/>
                <w:szCs w:val="21"/>
              </w:rPr>
              <w:t xml:space="preserve">特此声明！ </w:t>
            </w:r>
          </w:p>
          <w:p>
            <w:pPr>
              <w:rPr>
                <w:rFonts w:ascii="宋体" w:hAnsi="宋体" w:eastAsia="宋体" w:cs="宋体"/>
                <w:szCs w:val="21"/>
                <w:u w:val="single"/>
              </w:rPr>
            </w:pPr>
            <w:r>
              <w:rPr>
                <w:rFonts w:hint="eastAsia" w:ascii="宋体" w:hAnsi="宋体" w:eastAsia="宋体" w:cs="宋体"/>
                <w:szCs w:val="21"/>
              </w:rPr>
              <w:t>供应商：</w:t>
            </w:r>
            <w:r>
              <w:rPr>
                <w:rFonts w:hint="eastAsia" w:ascii="宋体" w:hAnsi="宋体" w:eastAsia="宋体" w:cs="宋体"/>
                <w:szCs w:val="21"/>
                <w:u w:val="single"/>
              </w:rPr>
              <w:t xml:space="preserve"> （盖单位章）             </w:t>
            </w:r>
          </w:p>
          <w:p>
            <w:pPr>
              <w:rPr>
                <w:rFonts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      </w:t>
            </w:r>
          </w:p>
          <w:p>
            <w:pPr>
              <w:jc w:val="right"/>
              <w:rPr>
                <w:rFonts w:asciiTheme="minorEastAsia" w:hAnsiTheme="minorEastAsia" w:eastAsiaTheme="minorEastAsia" w:cstheme="minorEastAsia"/>
                <w:szCs w:val="21"/>
              </w:rPr>
            </w:pPr>
            <w:r>
              <w:rPr>
                <w:rFonts w:hint="eastAsia" w:ascii="宋体" w:hAnsi="宋体" w:eastAsia="宋体" w:cs="宋体"/>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5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Cs w:val="21"/>
              </w:rPr>
            </w:pPr>
          </w:p>
        </w:tc>
        <w:tc>
          <w:tcPr>
            <w:tcW w:w="2545" w:type="dxa"/>
            <w:tcBorders>
              <w:top w:val="single" w:color="auto" w:sz="4" w:space="0"/>
              <w:left w:val="single" w:color="auto" w:sz="4" w:space="0"/>
              <w:bottom w:val="single" w:color="auto" w:sz="4" w:space="0"/>
              <w:right w:val="single" w:color="auto" w:sz="4" w:space="0"/>
            </w:tcBorders>
            <w:vAlign w:val="top"/>
          </w:tcPr>
          <w:p>
            <w:pPr>
              <w:rPr>
                <w:rFonts w:asciiTheme="minorEastAsia" w:hAnsiTheme="minorEastAsia" w:eastAsiaTheme="minorEastAsia" w:cstheme="minorEastAsia"/>
                <w:szCs w:val="21"/>
              </w:rPr>
            </w:pPr>
            <w:r>
              <w:rPr>
                <w:rFonts w:hint="eastAsia" w:ascii="宋体" w:hAnsi="宋体" w:eastAsia="宋体" w:cs="宋体"/>
                <w:szCs w:val="21"/>
              </w:rPr>
              <w:t>6.具备法律、行政法规规定的其他条件的证明材料。</w:t>
            </w:r>
          </w:p>
        </w:tc>
        <w:tc>
          <w:tcPr>
            <w:tcW w:w="6879" w:type="dxa"/>
            <w:tcBorders>
              <w:top w:val="single" w:color="auto" w:sz="4" w:space="0"/>
              <w:left w:val="single" w:color="auto" w:sz="4" w:space="0"/>
              <w:bottom w:val="single" w:color="auto" w:sz="4" w:space="0"/>
              <w:right w:val="single" w:color="auto" w:sz="4" w:space="0"/>
            </w:tcBorders>
            <w:vAlign w:val="top"/>
          </w:tcPr>
          <w:p>
            <w:pPr>
              <w:jc w:val="left"/>
              <w:rPr>
                <w:rFonts w:asciiTheme="minorEastAsia" w:hAnsiTheme="minorEastAsia" w:eastAsiaTheme="minorEastAsia" w:cstheme="minorEastAsia"/>
                <w:szCs w:val="21"/>
              </w:rPr>
            </w:pPr>
            <w:r>
              <w:rPr>
                <w:rFonts w:hint="eastAsia" w:ascii="宋体" w:hAnsi="宋体" w:eastAsia="宋体" w:cs="宋体"/>
                <w:color w:val="000000"/>
                <w:szCs w:val="21"/>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5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Cs w:val="21"/>
              </w:rPr>
            </w:pPr>
          </w:p>
        </w:tc>
        <w:tc>
          <w:tcPr>
            <w:tcW w:w="2545" w:type="dxa"/>
            <w:tcBorders>
              <w:top w:val="single" w:color="auto" w:sz="4" w:space="0"/>
              <w:left w:val="single" w:color="auto" w:sz="4" w:space="0"/>
              <w:bottom w:val="single" w:color="auto" w:sz="4" w:space="0"/>
              <w:right w:val="single" w:color="auto" w:sz="4" w:space="0"/>
            </w:tcBorders>
            <w:vAlign w:val="top"/>
          </w:tcPr>
          <w:p>
            <w:pPr>
              <w:rPr>
                <w:rFonts w:asciiTheme="minorEastAsia" w:hAnsiTheme="minorEastAsia" w:eastAsiaTheme="minorEastAsia" w:cstheme="minorEastAsia"/>
                <w:szCs w:val="21"/>
              </w:rPr>
            </w:pPr>
            <w:r>
              <w:rPr>
                <w:rFonts w:hint="eastAsia" w:ascii="宋体" w:hAnsi="宋体" w:eastAsia="宋体" w:cs="宋体"/>
                <w:szCs w:val="21"/>
              </w:rPr>
              <w:t>7.未被列入失信被执行人、重大税收违法案件当事人名单，未被列入政府采购严重违法失信行为记录名单。</w:t>
            </w:r>
          </w:p>
        </w:tc>
        <w:tc>
          <w:tcPr>
            <w:tcW w:w="6879" w:type="dxa"/>
            <w:tcBorders>
              <w:top w:val="single" w:color="auto" w:sz="4" w:space="0"/>
              <w:left w:val="single" w:color="auto" w:sz="4" w:space="0"/>
              <w:bottom w:val="single" w:color="auto" w:sz="4" w:space="0"/>
              <w:right w:val="single" w:color="auto" w:sz="4" w:space="0"/>
            </w:tcBorders>
            <w:vAlign w:val="top"/>
          </w:tcPr>
          <w:p>
            <w:pPr>
              <w:rPr>
                <w:rFonts w:asciiTheme="minorEastAsia" w:hAnsiTheme="minorEastAsia" w:eastAsiaTheme="minorEastAsia" w:cstheme="minorEastAsia"/>
                <w:szCs w:val="21"/>
              </w:rPr>
            </w:pPr>
            <w:r>
              <w:rPr>
                <w:rFonts w:hint="eastAsia" w:ascii="宋体" w:hAnsi="宋体" w:eastAsia="宋体" w:cs="宋体"/>
                <w:szCs w:val="21"/>
              </w:rPr>
              <w:t>未被列入"信用中国"网站(www.creditchina.gov.cn)失信被执行人、重大税收违法案件当事人、"中国政府采购网"（www.ccgp.gov.cn）政府采购严重违法失信行为记录名单的网页截图。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5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Cs w:val="21"/>
              </w:rPr>
            </w:pPr>
          </w:p>
        </w:tc>
        <w:tc>
          <w:tcPr>
            <w:tcW w:w="2545" w:type="dxa"/>
            <w:tcBorders>
              <w:top w:val="single" w:color="auto" w:sz="4" w:space="0"/>
              <w:left w:val="single" w:color="auto" w:sz="4" w:space="0"/>
              <w:bottom w:val="single" w:color="auto" w:sz="4" w:space="0"/>
              <w:right w:val="single" w:color="auto" w:sz="4" w:space="0"/>
            </w:tcBorders>
            <w:vAlign w:val="top"/>
          </w:tcPr>
          <w:p>
            <w:pPr>
              <w:rPr>
                <w:rFonts w:asciiTheme="minorEastAsia" w:hAnsiTheme="minorEastAsia" w:eastAsiaTheme="minorEastAsia" w:cstheme="minorEastAsia"/>
                <w:szCs w:val="21"/>
              </w:rPr>
            </w:pPr>
            <w:r>
              <w:rPr>
                <w:rFonts w:hint="eastAsia" w:ascii="宋体" w:hAnsi="宋体" w:eastAsia="宋体" w:cs="宋体"/>
                <w:szCs w:val="21"/>
              </w:rPr>
              <w:t>8.特定条件：</w:t>
            </w:r>
          </w:p>
        </w:tc>
        <w:tc>
          <w:tcPr>
            <w:tcW w:w="6879" w:type="dxa"/>
            <w:tcBorders>
              <w:top w:val="single" w:color="auto" w:sz="4" w:space="0"/>
              <w:left w:val="single" w:color="auto" w:sz="4" w:space="0"/>
              <w:bottom w:val="single" w:color="auto" w:sz="4" w:space="0"/>
              <w:right w:val="single" w:color="auto" w:sz="4" w:space="0"/>
            </w:tcBorders>
            <w:vAlign w:val="top"/>
          </w:tcPr>
          <w:p>
            <w:pPr>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（1）中华人民共和国境内注册供应商，</w:t>
            </w:r>
            <w:r>
              <w:rPr>
                <w:rFonts w:hint="eastAsia" w:asciiTheme="minorEastAsia" w:hAnsiTheme="minorEastAsia" w:cstheme="minorEastAsia"/>
                <w:sz w:val="24"/>
                <w:szCs w:val="24"/>
                <w:lang w:val="zh-CN" w:eastAsia="zh-CN"/>
              </w:rPr>
              <w:t>具有独立承担民事责任的法人或其他组织</w:t>
            </w:r>
            <w:r>
              <w:rPr>
                <w:rFonts w:hint="eastAsia" w:asciiTheme="minorEastAsia" w:hAnsiTheme="minorEastAsia" w:cstheme="minorEastAsia"/>
                <w:sz w:val="24"/>
                <w:szCs w:val="24"/>
                <w:lang w:val="en-US" w:eastAsia="zh-CN"/>
              </w:rPr>
              <w:t>；</w:t>
            </w:r>
          </w:p>
          <w:p>
            <w:pPr>
              <w:ind w:firstLine="480" w:firstLineChars="200"/>
              <w:rPr>
                <w:rFonts w:asciiTheme="minorEastAsia" w:hAnsiTheme="minorEastAsia" w:eastAsiaTheme="minorEastAsia" w:cstheme="minorEastAsia"/>
                <w:szCs w:val="21"/>
              </w:rPr>
            </w:pPr>
            <w:r>
              <w:rPr>
                <w:rFonts w:hint="eastAsia" w:asciiTheme="minorEastAsia" w:hAnsiTheme="minorEastAsia" w:cstheme="minorEastAsia"/>
                <w:sz w:val="24"/>
                <w:szCs w:val="24"/>
                <w:lang w:val="en-US" w:eastAsia="zh-CN"/>
              </w:rPr>
              <w:t>（2）营业执照经营范围需</w:t>
            </w:r>
            <w:r>
              <w:rPr>
                <w:rFonts w:hint="eastAsia" w:asciiTheme="minorEastAsia" w:hAnsiTheme="minorEastAsia" w:cstheme="minorEastAsia"/>
                <w:color w:val="FF0000"/>
                <w:sz w:val="24"/>
                <w:szCs w:val="24"/>
                <w:lang w:val="en-US" w:eastAsia="zh-CN"/>
              </w:rPr>
              <w:t>具有灭四害或生物防治</w:t>
            </w:r>
            <w:r>
              <w:rPr>
                <w:rFonts w:hint="eastAsia" w:asciiTheme="minorEastAsia" w:hAnsiTheme="minorEastAsia" w:cstheme="minorEastAsia"/>
                <w:sz w:val="24"/>
                <w:szCs w:val="24"/>
                <w:lang w:val="en-US" w:eastAsia="zh-CN"/>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555" w:type="dxa"/>
            <w:vMerge w:val="continue"/>
            <w:tcBorders>
              <w:left w:val="single" w:color="auto" w:sz="4" w:space="0"/>
              <w:bottom w:val="single" w:color="auto" w:sz="4" w:space="0"/>
              <w:right w:val="single" w:color="auto" w:sz="4" w:space="0"/>
            </w:tcBorders>
          </w:tcPr>
          <w:p>
            <w:pPr>
              <w:rPr>
                <w:rFonts w:asciiTheme="minorEastAsia" w:hAnsiTheme="minorEastAsia" w:eastAsiaTheme="minorEastAsia" w:cstheme="minorEastAsia"/>
                <w:b/>
                <w:szCs w:val="21"/>
              </w:rPr>
            </w:pPr>
          </w:p>
        </w:tc>
        <w:tc>
          <w:tcPr>
            <w:tcW w:w="2545" w:type="dxa"/>
            <w:tcBorders>
              <w:top w:val="single" w:color="auto" w:sz="4" w:space="0"/>
              <w:left w:val="single" w:color="auto" w:sz="4" w:space="0"/>
              <w:bottom w:val="single" w:color="auto" w:sz="4" w:space="0"/>
              <w:right w:val="single" w:color="auto" w:sz="4" w:space="0"/>
            </w:tcBorders>
            <w:vAlign w:val="top"/>
          </w:tcPr>
          <w:p>
            <w:pPr>
              <w:rPr>
                <w:rFonts w:asciiTheme="minorEastAsia" w:hAnsiTheme="minorEastAsia" w:eastAsiaTheme="minorEastAsia" w:cstheme="minorEastAsia"/>
                <w:b/>
                <w:szCs w:val="21"/>
              </w:rPr>
            </w:pPr>
            <w:r>
              <w:rPr>
                <w:rFonts w:hint="eastAsia" w:ascii="宋体" w:hAnsi="宋体" w:eastAsia="宋体" w:cs="宋体"/>
                <w:szCs w:val="21"/>
              </w:rPr>
              <w:t>9.落实政府采购政策需满足的资格要求：本项目专门面向中小微企业采购。</w:t>
            </w:r>
          </w:p>
        </w:tc>
        <w:tc>
          <w:tcPr>
            <w:tcW w:w="6879" w:type="dxa"/>
            <w:tcBorders>
              <w:top w:val="single" w:color="auto" w:sz="4" w:space="0"/>
              <w:left w:val="single" w:color="auto" w:sz="4" w:space="0"/>
              <w:bottom w:val="single" w:color="auto" w:sz="4" w:space="0"/>
              <w:right w:val="single" w:color="auto" w:sz="4" w:space="0"/>
            </w:tcBorders>
            <w:vAlign w:val="top"/>
          </w:tcPr>
          <w:p>
            <w:pPr>
              <w:rPr>
                <w:rFonts w:asciiTheme="minorEastAsia" w:hAnsiTheme="minorEastAsia" w:eastAsiaTheme="minorEastAsia" w:cstheme="minorEastAsia"/>
                <w:b/>
                <w:szCs w:val="21"/>
              </w:rPr>
            </w:pPr>
            <w:r>
              <w:rPr>
                <w:rFonts w:hint="eastAsia" w:ascii="宋体" w:hAnsi="宋体" w:eastAsia="宋体" w:cs="宋体"/>
                <w:b/>
                <w:szCs w:val="21"/>
              </w:rPr>
              <w:t>供应商应提供中小企业声明函，声明函格式见本采购文件附件。</w:t>
            </w:r>
          </w:p>
        </w:tc>
      </w:tr>
    </w:tbl>
    <w:p>
      <w:pPr>
        <w:pStyle w:val="5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cs="Times New Roman" w:asciiTheme="minorEastAsia" w:hAnsiTheme="minorEastAsia"/>
          <w:bCs/>
          <w:sz w:val="22"/>
          <w:szCs w:val="22"/>
        </w:rPr>
      </w:pPr>
      <w:r>
        <w:rPr>
          <w:rFonts w:hint="eastAsia" w:cs="Times New Roman" w:asciiTheme="minorEastAsia" w:hAnsiTheme="minorEastAsia"/>
          <w:bCs/>
          <w:sz w:val="22"/>
          <w:szCs w:val="22"/>
        </w:rPr>
        <w:t xml:space="preserve">备注： </w:t>
      </w:r>
    </w:p>
    <w:p>
      <w:pPr>
        <w:pStyle w:val="51"/>
        <w:keepNext w:val="0"/>
        <w:keepLines w:val="0"/>
        <w:pageBreakBefore w:val="0"/>
        <w:widowControl w:val="0"/>
        <w:kinsoku/>
        <w:wordWrap/>
        <w:overflowPunct/>
        <w:topLinePunct w:val="0"/>
        <w:autoSpaceDE/>
        <w:autoSpaceDN/>
        <w:bidi w:val="0"/>
        <w:adjustRightInd/>
        <w:snapToGrid/>
        <w:spacing w:line="360" w:lineRule="exact"/>
        <w:ind w:firstLine="440"/>
        <w:textAlignment w:val="auto"/>
        <w:rPr>
          <w:rFonts w:cs="Times New Roman" w:asciiTheme="minorEastAsia" w:hAnsiTheme="minorEastAsia"/>
          <w:bCs/>
          <w:sz w:val="22"/>
          <w:szCs w:val="22"/>
        </w:rPr>
      </w:pPr>
      <w:r>
        <w:rPr>
          <w:rFonts w:hint="eastAsia" w:cs="Times New Roman" w:asciiTheme="minorEastAsia" w:hAnsiTheme="minorEastAsia"/>
          <w:bCs/>
          <w:sz w:val="22"/>
          <w:szCs w:val="22"/>
        </w:rPr>
        <w:t xml:space="preserve">（1）所有证书、证明文件包括按要求提供的官网截图必须是真实可查证的，须注明资料来源。资格证明文件应为原件的扫描件，响应文件中须编入清晰的彩色扫描件或彩色复印件。所有证明材料须清晰可辨认，如因证明材料模糊无法辨认，缺页、漏页导致无法进行评审认定的责任由供应商自负。如发现弄虚作假将按照有关规定严肃处理。 </w:t>
      </w:r>
    </w:p>
    <w:p>
      <w:pPr>
        <w:pStyle w:val="51"/>
        <w:keepNext w:val="0"/>
        <w:keepLines w:val="0"/>
        <w:pageBreakBefore w:val="0"/>
        <w:widowControl w:val="0"/>
        <w:kinsoku/>
        <w:wordWrap/>
        <w:overflowPunct/>
        <w:topLinePunct w:val="0"/>
        <w:autoSpaceDE/>
        <w:autoSpaceDN/>
        <w:bidi w:val="0"/>
        <w:adjustRightInd/>
        <w:snapToGrid/>
        <w:spacing w:line="360" w:lineRule="exact"/>
        <w:ind w:firstLine="440"/>
        <w:textAlignment w:val="auto"/>
        <w:rPr>
          <w:rFonts w:cs="Times New Roman" w:asciiTheme="minorEastAsia" w:hAnsiTheme="minorEastAsia"/>
          <w:bCs/>
          <w:sz w:val="22"/>
          <w:szCs w:val="22"/>
        </w:rPr>
      </w:pPr>
      <w:r>
        <w:rPr>
          <w:rFonts w:hint="eastAsia" w:cs="Times New Roman" w:asciiTheme="minorEastAsia" w:hAnsiTheme="minorEastAsia"/>
          <w:bCs/>
          <w:sz w:val="22"/>
          <w:szCs w:val="22"/>
        </w:rPr>
        <w:t xml:space="preserve">证明材料仅限于供应商本身，参股或控股单位及独立法人子公司的材料不能作为证明材料，但供应商兼并的企业的材料可作为证明材料。 </w:t>
      </w:r>
    </w:p>
    <w:p>
      <w:pPr>
        <w:numPr>
          <w:ilvl w:val="0"/>
          <w:numId w:val="5"/>
        </w:numPr>
        <w:spacing w:line="360" w:lineRule="auto"/>
        <w:rPr>
          <w:rFonts w:hint="eastAsia" w:cs="Times New Roman" w:asciiTheme="minorEastAsia" w:hAnsiTheme="minorEastAsia"/>
          <w:bCs/>
          <w:sz w:val="22"/>
          <w:szCs w:val="22"/>
        </w:rPr>
      </w:pPr>
      <w:r>
        <w:rPr>
          <w:rFonts w:hint="eastAsia" w:cs="Times New Roman" w:asciiTheme="minorEastAsia" w:hAnsiTheme="minorEastAsia"/>
          <w:bCs/>
          <w:sz w:val="22"/>
          <w:szCs w:val="22"/>
        </w:rPr>
        <w:t xml:space="preserve">对于响应文件中有任意一条不满足上表要求的将视为未实质性响应谈判文件，不进入下一项评审。 </w:t>
      </w:r>
    </w:p>
    <w:p>
      <w:pPr>
        <w:pStyle w:val="51"/>
        <w:ind w:firstLine="0" w:firstLineChars="0"/>
        <w:outlineLvl w:val="1"/>
        <w:rPr>
          <w:rFonts w:cs="Times New Roman" w:asciiTheme="minorEastAsia" w:hAnsiTheme="minorEastAsia"/>
          <w:bCs/>
          <w:szCs w:val="24"/>
        </w:rPr>
      </w:pPr>
      <w:r>
        <w:rPr>
          <w:rFonts w:hint="eastAsia" w:cs="Times New Roman" w:asciiTheme="minorEastAsia" w:hAnsiTheme="minorEastAsia"/>
          <w:b/>
          <w:color w:val="auto"/>
          <w:sz w:val="28"/>
          <w:szCs w:val="28"/>
          <w:lang w:val="en-US" w:eastAsia="zh-CN" w:bidi="ar-EG"/>
        </w:rPr>
        <w:t>三、</w:t>
      </w:r>
      <w:r>
        <w:rPr>
          <w:rFonts w:hint="eastAsia" w:cs="Times New Roman" w:asciiTheme="minorEastAsia" w:hAnsiTheme="minorEastAsia"/>
          <w:b/>
          <w:color w:val="auto"/>
          <w:sz w:val="28"/>
          <w:szCs w:val="28"/>
          <w:lang w:val="hr-HR" w:bidi="ar-EG"/>
        </w:rPr>
        <w:t>符合性审查</w:t>
      </w:r>
    </w:p>
    <w:tbl>
      <w:tblPr>
        <w:tblStyle w:val="18"/>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5276"/>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restart"/>
            <w:vAlign w:val="center"/>
          </w:tcPr>
          <w:p>
            <w:pPr>
              <w:jc w:val="center"/>
              <w:rPr>
                <w:kern w:val="0"/>
                <w:szCs w:val="21"/>
              </w:rPr>
            </w:pPr>
            <w:r>
              <w:rPr>
                <w:rFonts w:hint="eastAsia"/>
                <w:kern w:val="0"/>
                <w:szCs w:val="21"/>
              </w:rPr>
              <w:t>符合性审查</w:t>
            </w:r>
          </w:p>
        </w:tc>
        <w:tc>
          <w:tcPr>
            <w:tcW w:w="5276" w:type="dxa"/>
          </w:tcPr>
          <w:p>
            <w:pPr>
              <w:jc w:val="center"/>
              <w:rPr>
                <w:rFonts w:ascii="宋体" w:hAnsi="宋体"/>
                <w:color w:val="000000"/>
              </w:rPr>
            </w:pPr>
            <w:r>
              <w:rPr>
                <w:rFonts w:hint="eastAsia" w:ascii="宋体" w:hAnsi="宋体"/>
                <w:color w:val="000000"/>
              </w:rPr>
              <w:t>审查内容</w:t>
            </w:r>
          </w:p>
        </w:tc>
        <w:tc>
          <w:tcPr>
            <w:tcW w:w="1920" w:type="dxa"/>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kern w:val="0"/>
                <w:szCs w:val="21"/>
              </w:rPr>
            </w:pPr>
          </w:p>
        </w:tc>
        <w:tc>
          <w:tcPr>
            <w:tcW w:w="5276" w:type="dxa"/>
            <w:vAlign w:val="center"/>
          </w:tcPr>
          <w:p>
            <w:pPr>
              <w:rPr>
                <w:sz w:val="22"/>
              </w:rPr>
            </w:pPr>
            <w:r>
              <w:rPr>
                <w:rFonts w:hint="eastAsia" w:ascii="宋体" w:hAnsi="宋体"/>
                <w:color w:val="000000"/>
              </w:rPr>
              <w:t xml:space="preserve">1.按照磋商文件规定要求签署、盖章； </w:t>
            </w:r>
          </w:p>
        </w:tc>
        <w:tc>
          <w:tcPr>
            <w:tcW w:w="1920" w:type="dxa"/>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kern w:val="0"/>
                <w:szCs w:val="21"/>
              </w:rPr>
            </w:pPr>
          </w:p>
        </w:tc>
        <w:tc>
          <w:tcPr>
            <w:tcW w:w="5276" w:type="dxa"/>
            <w:vAlign w:val="center"/>
          </w:tcPr>
          <w:p>
            <w:pPr>
              <w:rPr>
                <w:sz w:val="22"/>
              </w:rPr>
            </w:pPr>
            <w:r>
              <w:rPr>
                <w:rFonts w:hint="eastAsia" w:ascii="宋体" w:hAnsi="宋体"/>
                <w:color w:val="000000"/>
              </w:rPr>
              <w:t xml:space="preserve">2.按磋商文件要求进行报价； </w:t>
            </w:r>
          </w:p>
        </w:tc>
        <w:tc>
          <w:tcPr>
            <w:tcW w:w="1920" w:type="dxa"/>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kern w:val="0"/>
                <w:szCs w:val="21"/>
              </w:rPr>
            </w:pPr>
          </w:p>
        </w:tc>
        <w:tc>
          <w:tcPr>
            <w:tcW w:w="5276" w:type="dxa"/>
            <w:vAlign w:val="center"/>
          </w:tcPr>
          <w:p>
            <w:pPr>
              <w:rPr>
                <w:sz w:val="22"/>
              </w:rPr>
            </w:pPr>
            <w:r>
              <w:rPr>
                <w:rFonts w:hint="eastAsia" w:ascii="宋体" w:hAnsi="宋体"/>
                <w:color w:val="000000"/>
              </w:rPr>
              <w:t xml:space="preserve">3.响应文件有效期满足磋商文件规定； </w:t>
            </w:r>
          </w:p>
        </w:tc>
        <w:tc>
          <w:tcPr>
            <w:tcW w:w="1920" w:type="dxa"/>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kern w:val="0"/>
                <w:szCs w:val="21"/>
              </w:rPr>
            </w:pPr>
          </w:p>
        </w:tc>
        <w:tc>
          <w:tcPr>
            <w:tcW w:w="5276" w:type="dxa"/>
            <w:vAlign w:val="center"/>
          </w:tcPr>
          <w:p>
            <w:pPr>
              <w:rPr>
                <w:sz w:val="22"/>
              </w:rPr>
            </w:pPr>
            <w:r>
              <w:rPr>
                <w:rFonts w:hint="eastAsia" w:ascii="宋体" w:hAnsi="宋体"/>
                <w:color w:val="000000"/>
              </w:rPr>
              <w:t xml:space="preserve">4.响应文件中未附有采购人不能接受条件； </w:t>
            </w:r>
          </w:p>
        </w:tc>
        <w:tc>
          <w:tcPr>
            <w:tcW w:w="1920" w:type="dxa"/>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662" w:type="dxa"/>
            <w:vMerge w:val="continue"/>
            <w:vAlign w:val="center"/>
          </w:tcPr>
          <w:p>
            <w:pPr>
              <w:jc w:val="center"/>
              <w:rPr>
                <w:kern w:val="0"/>
                <w:szCs w:val="21"/>
              </w:rPr>
            </w:pPr>
          </w:p>
        </w:tc>
        <w:tc>
          <w:tcPr>
            <w:tcW w:w="5276" w:type="dxa"/>
            <w:vAlign w:val="center"/>
          </w:tcPr>
          <w:p>
            <w:pPr>
              <w:rPr>
                <w:rFonts w:ascii="宋体" w:hAnsi="宋体"/>
                <w:color w:val="000000"/>
              </w:rPr>
            </w:pPr>
            <w:r>
              <w:rPr>
                <w:rFonts w:hint="eastAsia" w:ascii="宋体" w:hAnsi="宋体"/>
                <w:color w:val="000000"/>
              </w:rPr>
              <w:t xml:space="preserve">5.响应文件满足磋商文件商务、技术等实质性要求； </w:t>
            </w:r>
          </w:p>
        </w:tc>
        <w:tc>
          <w:tcPr>
            <w:tcW w:w="1920" w:type="dxa"/>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662" w:type="dxa"/>
            <w:vMerge w:val="continue"/>
            <w:vAlign w:val="center"/>
          </w:tcPr>
          <w:p>
            <w:pPr>
              <w:jc w:val="center"/>
              <w:rPr>
                <w:kern w:val="0"/>
                <w:szCs w:val="21"/>
              </w:rPr>
            </w:pPr>
          </w:p>
        </w:tc>
        <w:tc>
          <w:tcPr>
            <w:tcW w:w="5276" w:type="dxa"/>
            <w:vAlign w:val="center"/>
          </w:tcPr>
          <w:p>
            <w:pPr>
              <w:rPr>
                <w:rFonts w:ascii="宋体" w:hAnsi="宋体"/>
                <w:color w:val="000000"/>
              </w:rPr>
            </w:pPr>
            <w:r>
              <w:rPr>
                <w:rFonts w:hint="eastAsia" w:ascii="宋体" w:hAnsi="宋体"/>
                <w:color w:val="000000"/>
              </w:rPr>
              <w:t xml:space="preserve">6.供应商未出现磋商文件中规定无效的其它条款； </w:t>
            </w:r>
          </w:p>
        </w:tc>
        <w:tc>
          <w:tcPr>
            <w:tcW w:w="1920" w:type="dxa"/>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1662" w:type="dxa"/>
            <w:vMerge w:val="continue"/>
            <w:vAlign w:val="center"/>
          </w:tcPr>
          <w:p>
            <w:pPr>
              <w:jc w:val="center"/>
              <w:rPr>
                <w:kern w:val="0"/>
                <w:szCs w:val="21"/>
              </w:rPr>
            </w:pPr>
          </w:p>
        </w:tc>
        <w:tc>
          <w:tcPr>
            <w:tcW w:w="5276" w:type="dxa"/>
            <w:vAlign w:val="center"/>
          </w:tcPr>
          <w:p>
            <w:pPr>
              <w:rPr>
                <w:rFonts w:ascii="宋体" w:hAnsi="宋体"/>
                <w:color w:val="000000"/>
              </w:rPr>
            </w:pPr>
            <w:r>
              <w:rPr>
                <w:rFonts w:hint="eastAsia" w:ascii="宋体" w:hAnsi="宋体"/>
                <w:color w:val="000000"/>
              </w:rPr>
              <w:t xml:space="preserve">7.供应商未有下列任一情形： </w:t>
            </w:r>
          </w:p>
          <w:p>
            <w:pPr>
              <w:rPr>
                <w:rFonts w:ascii="宋体" w:hAnsi="宋体"/>
                <w:color w:val="000000"/>
              </w:rPr>
            </w:pPr>
            <w:r>
              <w:rPr>
                <w:rFonts w:hint="eastAsia" w:ascii="宋体" w:hAnsi="宋体"/>
                <w:color w:val="000000"/>
              </w:rPr>
              <w:t xml:space="preserve">（1）不同供应商的响应文件由同一单位或者个人编制； </w:t>
            </w:r>
          </w:p>
          <w:p>
            <w:pPr>
              <w:rPr>
                <w:rFonts w:ascii="宋体" w:hAnsi="宋体"/>
                <w:color w:val="000000"/>
              </w:rPr>
            </w:pPr>
            <w:r>
              <w:rPr>
                <w:rFonts w:hint="eastAsia" w:ascii="宋体" w:hAnsi="宋体"/>
                <w:color w:val="000000"/>
              </w:rPr>
              <w:t xml:space="preserve">（2）不同供应商委托同一单位或者个人办理投标事宜； </w:t>
            </w:r>
          </w:p>
          <w:p>
            <w:pPr>
              <w:rPr>
                <w:rFonts w:ascii="宋体" w:hAnsi="宋体"/>
                <w:color w:val="000000"/>
              </w:rPr>
            </w:pPr>
            <w:r>
              <w:rPr>
                <w:rFonts w:hint="eastAsia" w:ascii="宋体" w:hAnsi="宋体"/>
                <w:color w:val="000000"/>
              </w:rPr>
              <w:t xml:space="preserve">（3）不同供应商的响应文件载明的项目管理成员或者联系人员为同一人； </w:t>
            </w:r>
          </w:p>
          <w:p>
            <w:pPr>
              <w:rPr>
                <w:rFonts w:ascii="宋体" w:hAnsi="宋体"/>
                <w:color w:val="000000"/>
              </w:rPr>
            </w:pPr>
            <w:r>
              <w:rPr>
                <w:rFonts w:hint="eastAsia" w:ascii="宋体" w:hAnsi="宋体"/>
                <w:color w:val="000000"/>
              </w:rPr>
              <w:t xml:space="preserve">（4）不同供应商的响应文件异常一致或者投标报价呈规律性差异； </w:t>
            </w:r>
          </w:p>
          <w:p>
            <w:pPr>
              <w:rPr>
                <w:rFonts w:ascii="宋体" w:hAnsi="宋体"/>
                <w:color w:val="000000"/>
              </w:rPr>
            </w:pPr>
            <w:r>
              <w:rPr>
                <w:rFonts w:hint="eastAsia" w:ascii="宋体" w:hAnsi="宋体"/>
                <w:color w:val="000000"/>
              </w:rPr>
              <w:t>（5）不同供应商的响应文件相互混装。</w:t>
            </w:r>
          </w:p>
        </w:tc>
        <w:tc>
          <w:tcPr>
            <w:tcW w:w="1920" w:type="dxa"/>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38" w:type="dxa"/>
            <w:gridSpan w:val="2"/>
            <w:vAlign w:val="center"/>
          </w:tcPr>
          <w:p>
            <w:pPr>
              <w:jc w:val="center"/>
              <w:rPr>
                <w:rFonts w:ascii="宋体" w:hAnsi="宋体"/>
                <w:color w:val="000000"/>
              </w:rPr>
            </w:pPr>
            <w:r>
              <w:rPr>
                <w:rFonts w:hint="eastAsia" w:ascii="宋体" w:hAnsi="宋体"/>
                <w:color w:val="000000"/>
              </w:rPr>
              <w:t>审查结论</w:t>
            </w:r>
          </w:p>
        </w:tc>
        <w:tc>
          <w:tcPr>
            <w:tcW w:w="1920" w:type="dxa"/>
          </w:tcPr>
          <w:p>
            <w:pPr>
              <w:jc w:val="center"/>
              <w:rPr>
                <w:kern w:val="0"/>
                <w:szCs w:val="21"/>
              </w:rPr>
            </w:pPr>
          </w:p>
        </w:tc>
      </w:tr>
    </w:tbl>
    <w:p>
      <w:pPr>
        <w:jc w:val="left"/>
        <w:rPr>
          <w:rFonts w:ascii="宋体" w:hAnsi="宋体"/>
          <w:color w:val="000000"/>
          <w:sz w:val="24"/>
        </w:rPr>
      </w:pPr>
    </w:p>
    <w:tbl>
      <w:tblPr>
        <w:tblStyle w:val="17"/>
        <w:tblW w:w="8842" w:type="dxa"/>
        <w:tblInd w:w="0" w:type="dxa"/>
        <w:tblLayout w:type="fixed"/>
        <w:tblCellMar>
          <w:top w:w="0" w:type="dxa"/>
          <w:left w:w="108" w:type="dxa"/>
          <w:bottom w:w="0" w:type="dxa"/>
          <w:right w:w="108" w:type="dxa"/>
        </w:tblCellMar>
      </w:tblPr>
      <w:tblGrid>
        <w:gridCol w:w="8842"/>
      </w:tblGrid>
      <w:tr>
        <w:tblPrEx>
          <w:tblCellMar>
            <w:top w:w="0" w:type="dxa"/>
            <w:left w:w="108" w:type="dxa"/>
            <w:bottom w:w="0" w:type="dxa"/>
            <w:right w:w="108" w:type="dxa"/>
          </w:tblCellMar>
        </w:tblPrEx>
        <w:trPr>
          <w:trHeight w:val="105" w:hRule="atLeast"/>
        </w:trPr>
        <w:tc>
          <w:tcPr>
            <w:tcW w:w="8842" w:type="dxa"/>
            <w:tcBorders>
              <w:tl2br w:val="nil"/>
              <w:tr2bl w:val="nil"/>
            </w:tcBorders>
          </w:tcPr>
          <w:p>
            <w:pPr>
              <w:jc w:val="left"/>
              <w:rPr>
                <w:rFonts w:ascii="宋体" w:hAnsi="宋体"/>
                <w:color w:val="000000"/>
              </w:rPr>
            </w:pPr>
            <w:r>
              <w:rPr>
                <w:rFonts w:hint="eastAsia" w:ascii="宋体" w:hAnsi="宋体"/>
                <w:color w:val="000000"/>
              </w:rPr>
              <w:t xml:space="preserve">说明： </w:t>
            </w:r>
          </w:p>
        </w:tc>
      </w:tr>
      <w:tr>
        <w:tblPrEx>
          <w:tblCellMar>
            <w:top w:w="0" w:type="dxa"/>
            <w:left w:w="108" w:type="dxa"/>
            <w:bottom w:w="0" w:type="dxa"/>
            <w:right w:w="108" w:type="dxa"/>
          </w:tblCellMar>
        </w:tblPrEx>
        <w:trPr>
          <w:trHeight w:val="105" w:hRule="atLeast"/>
        </w:trPr>
        <w:tc>
          <w:tcPr>
            <w:tcW w:w="8842" w:type="dxa"/>
            <w:tcBorders>
              <w:tl2br w:val="nil"/>
              <w:tr2bl w:val="nil"/>
            </w:tcBorders>
          </w:tcPr>
          <w:p>
            <w:pPr>
              <w:jc w:val="left"/>
              <w:rPr>
                <w:rFonts w:ascii="宋体" w:hAnsi="宋体"/>
                <w:color w:val="000000"/>
              </w:rPr>
            </w:pPr>
            <w:r>
              <w:rPr>
                <w:rFonts w:hint="eastAsia" w:ascii="宋体" w:hAnsi="宋体"/>
                <w:color w:val="000000"/>
              </w:rPr>
              <w:t xml:space="preserve">1）谈判小组分别对每一响应文件依据上表进行检查。 </w:t>
            </w:r>
          </w:p>
        </w:tc>
      </w:tr>
      <w:tr>
        <w:tblPrEx>
          <w:tblCellMar>
            <w:top w:w="0" w:type="dxa"/>
            <w:left w:w="108" w:type="dxa"/>
            <w:bottom w:w="0" w:type="dxa"/>
            <w:right w:w="108" w:type="dxa"/>
          </w:tblCellMar>
        </w:tblPrEx>
        <w:trPr>
          <w:trHeight w:val="241" w:hRule="atLeast"/>
        </w:trPr>
        <w:tc>
          <w:tcPr>
            <w:tcW w:w="8842" w:type="dxa"/>
            <w:tcBorders>
              <w:tl2br w:val="nil"/>
              <w:tr2bl w:val="nil"/>
            </w:tcBorders>
          </w:tcPr>
          <w:p>
            <w:pPr>
              <w:jc w:val="left"/>
              <w:rPr>
                <w:rFonts w:ascii="宋体" w:hAnsi="宋体"/>
                <w:color w:val="000000"/>
              </w:rPr>
            </w:pPr>
            <w:r>
              <w:rPr>
                <w:rFonts w:hint="eastAsia" w:ascii="宋体" w:hAnsi="宋体"/>
                <w:color w:val="000000"/>
              </w:rPr>
              <w:t xml:space="preserve">2）谈判小组决定供应商的响应性只根据响应文件本身的真实无误的内容，而不依据外部的证据，但响应文件有不真实不正确的内容时除外。 </w:t>
            </w:r>
          </w:p>
        </w:tc>
      </w:tr>
      <w:tr>
        <w:tblPrEx>
          <w:tblCellMar>
            <w:top w:w="0" w:type="dxa"/>
            <w:left w:w="108" w:type="dxa"/>
            <w:bottom w:w="0" w:type="dxa"/>
            <w:right w:w="108" w:type="dxa"/>
          </w:tblCellMar>
        </w:tblPrEx>
        <w:trPr>
          <w:trHeight w:val="105" w:hRule="atLeast"/>
        </w:trPr>
        <w:tc>
          <w:tcPr>
            <w:tcW w:w="8842" w:type="dxa"/>
            <w:tcBorders>
              <w:tl2br w:val="nil"/>
              <w:tr2bl w:val="nil"/>
            </w:tcBorders>
          </w:tcPr>
          <w:p>
            <w:pPr>
              <w:jc w:val="left"/>
              <w:rPr>
                <w:rFonts w:ascii="宋体" w:hAnsi="宋体"/>
                <w:color w:val="000000"/>
              </w:rPr>
            </w:pPr>
            <w:r>
              <w:rPr>
                <w:rFonts w:hint="eastAsia" w:ascii="宋体" w:hAnsi="宋体"/>
                <w:color w:val="000000"/>
              </w:rPr>
              <w:t>3）满足要求的条款打</w:t>
            </w:r>
            <w:r>
              <w:rPr>
                <w:rFonts w:ascii="宋体" w:hAnsi="宋体"/>
                <w:color w:val="000000"/>
              </w:rPr>
              <w:t>“</w:t>
            </w:r>
            <w:r>
              <w:rPr>
                <w:rFonts w:hint="eastAsia" w:ascii="宋体" w:hAnsi="宋体"/>
                <w:color w:val="000000"/>
              </w:rPr>
              <w:t>√</w:t>
            </w:r>
            <w:r>
              <w:rPr>
                <w:rFonts w:ascii="宋体" w:hAnsi="宋体"/>
                <w:color w:val="000000"/>
              </w:rPr>
              <w:t>”</w:t>
            </w:r>
            <w:r>
              <w:rPr>
                <w:rFonts w:hint="eastAsia" w:ascii="宋体" w:hAnsi="宋体"/>
                <w:color w:val="000000"/>
              </w:rPr>
              <w:t>，否则为</w:t>
            </w:r>
            <w:r>
              <w:rPr>
                <w:rFonts w:ascii="宋体" w:hAnsi="宋体"/>
                <w:color w:val="000000"/>
              </w:rPr>
              <w:t>“</w:t>
            </w:r>
            <w:r>
              <w:rPr>
                <w:rFonts w:hint="eastAsia" w:ascii="宋体" w:hAnsi="宋体"/>
                <w:color w:val="000000"/>
              </w:rPr>
              <w:t>×</w:t>
            </w:r>
            <w:r>
              <w:rPr>
                <w:rFonts w:ascii="宋体" w:hAnsi="宋体"/>
                <w:color w:val="000000"/>
              </w:rPr>
              <w:t>”</w:t>
            </w:r>
            <w:r>
              <w:rPr>
                <w:rFonts w:hint="eastAsia" w:ascii="宋体" w:hAnsi="宋体"/>
                <w:color w:val="000000"/>
              </w:rPr>
              <w:t xml:space="preserve">。 </w:t>
            </w:r>
          </w:p>
        </w:tc>
      </w:tr>
      <w:tr>
        <w:tblPrEx>
          <w:tblCellMar>
            <w:top w:w="0" w:type="dxa"/>
            <w:left w:w="108" w:type="dxa"/>
            <w:bottom w:w="0" w:type="dxa"/>
            <w:right w:w="108" w:type="dxa"/>
          </w:tblCellMar>
        </w:tblPrEx>
        <w:trPr>
          <w:trHeight w:val="105" w:hRule="atLeast"/>
        </w:trPr>
        <w:tc>
          <w:tcPr>
            <w:tcW w:w="8842" w:type="dxa"/>
            <w:tcBorders>
              <w:tl2br w:val="nil"/>
              <w:tr2bl w:val="nil"/>
            </w:tcBorders>
          </w:tcPr>
          <w:p>
            <w:pPr>
              <w:jc w:val="left"/>
              <w:rPr>
                <w:rFonts w:ascii="宋体" w:hAnsi="宋体"/>
                <w:color w:val="000000"/>
              </w:rPr>
            </w:pPr>
            <w:r>
              <w:rPr>
                <w:rFonts w:hint="eastAsia" w:ascii="宋体" w:hAnsi="宋体"/>
                <w:color w:val="000000"/>
              </w:rPr>
              <w:t xml:space="preserve">4）对于响应文件中有任意一条不满足要求将视为未实质性响应谈判文件，不进入谈判程序。 </w:t>
            </w:r>
          </w:p>
        </w:tc>
      </w:tr>
    </w:tbl>
    <w:p>
      <w:pPr>
        <w:pStyle w:val="2"/>
        <w:numPr>
          <w:ilvl w:val="0"/>
          <w:numId w:val="0"/>
        </w:numPr>
      </w:pPr>
    </w:p>
    <w:p>
      <w:pPr>
        <w:rPr>
          <w:rFonts w:ascii="宋体" w:hAnsi="宋体" w:eastAsia="宋体" w:cs="Times New Roman"/>
          <w:b/>
          <w:bCs/>
          <w:sz w:val="28"/>
          <w:szCs w:val="28"/>
        </w:rPr>
      </w:pPr>
      <w:r>
        <w:rPr>
          <w:rFonts w:hint="eastAsia" w:ascii="宋体" w:hAnsi="宋体" w:eastAsia="宋体" w:cs="Times New Roman"/>
          <w:b/>
          <w:bCs/>
          <w:sz w:val="28"/>
          <w:szCs w:val="28"/>
        </w:rPr>
        <w:br w:type="page"/>
      </w:r>
    </w:p>
    <w:p>
      <w:pPr>
        <w:numPr>
          <w:ilvl w:val="0"/>
          <w:numId w:val="0"/>
        </w:numPr>
        <w:spacing w:line="360" w:lineRule="auto"/>
        <w:rPr>
          <w:rFonts w:ascii="宋体" w:hAnsi="宋体" w:eastAsia="宋体" w:cs="Times New Roman"/>
          <w:b/>
          <w:bCs/>
          <w:sz w:val="28"/>
          <w:szCs w:val="28"/>
        </w:rPr>
      </w:pPr>
      <w:r>
        <w:rPr>
          <w:rFonts w:hint="eastAsia" w:ascii="宋体" w:hAnsi="宋体" w:eastAsia="宋体" w:cs="Times New Roman"/>
          <w:b/>
          <w:bCs/>
          <w:sz w:val="28"/>
          <w:szCs w:val="28"/>
          <w:lang w:val="en-US" w:eastAsia="zh-CN"/>
        </w:rPr>
        <w:t>四、</w:t>
      </w:r>
      <w:r>
        <w:rPr>
          <w:rFonts w:hint="eastAsia" w:ascii="宋体" w:hAnsi="宋体" w:eastAsia="宋体" w:cs="Times New Roman"/>
          <w:b/>
          <w:bCs/>
          <w:sz w:val="28"/>
          <w:szCs w:val="28"/>
        </w:rPr>
        <w:t>评分标准</w:t>
      </w:r>
      <w:bookmarkEnd w:id="53"/>
    </w:p>
    <w:tbl>
      <w:tblPr>
        <w:tblStyle w:val="17"/>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67"/>
        <w:gridCol w:w="962"/>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4"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widowControl/>
              <w:suppressLineNumbers w:val="0"/>
              <w:jc w:val="center"/>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评审</w:t>
            </w:r>
          </w:p>
          <w:p>
            <w:pPr>
              <w:keepNext w:val="0"/>
              <w:keepLines w:val="0"/>
              <w:widowControl/>
              <w:suppressLineNumbers w:val="0"/>
              <w:jc w:val="center"/>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项目</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项目</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分数</w:t>
            </w:r>
          </w:p>
        </w:tc>
        <w:tc>
          <w:tcPr>
            <w:tcW w:w="6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分数</w:t>
            </w:r>
          </w:p>
          <w:p>
            <w:pPr>
              <w:keepNext w:val="0"/>
              <w:keepLines w:val="0"/>
              <w:widowControl/>
              <w:suppressLineNumbers w:val="0"/>
              <w:jc w:val="center"/>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价格</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评议</w:t>
            </w:r>
          </w:p>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10分</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投标报价</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cstheme="minorBidi"/>
                <w:color w:val="auto"/>
                <w:kern w:val="2"/>
                <w:sz w:val="21"/>
                <w:szCs w:val="21"/>
                <w:lang w:val="en-US" w:eastAsia="zh-CN" w:bidi="ar-SA"/>
              </w:rPr>
              <w:t>10</w:t>
            </w:r>
            <w:r>
              <w:rPr>
                <w:rFonts w:hint="eastAsia" w:asciiTheme="minorHAnsi" w:hAnsiTheme="minorHAnsi" w:eastAsiaTheme="minorEastAsia" w:cstheme="minorBidi"/>
                <w:color w:val="auto"/>
                <w:kern w:val="2"/>
                <w:sz w:val="21"/>
                <w:szCs w:val="21"/>
                <w:lang w:val="en-US" w:eastAsia="zh-CN" w:bidi="ar-SA"/>
              </w:rPr>
              <w:t>分</w:t>
            </w:r>
          </w:p>
        </w:tc>
        <w:tc>
          <w:tcPr>
            <w:tcW w:w="6771" w:type="dxa"/>
            <w:tcBorders>
              <w:top w:val="single" w:color="auto" w:sz="4" w:space="0"/>
              <w:left w:val="single" w:color="auto" w:sz="4" w:space="0"/>
              <w:bottom w:val="single" w:color="auto" w:sz="4" w:space="0"/>
              <w:right w:val="single" w:color="auto" w:sz="4" w:space="0"/>
            </w:tcBorders>
            <w:noWrap w:val="0"/>
            <w:vAlign w:val="center"/>
          </w:tcPr>
          <w:p>
            <w:pPr>
              <w:pStyle w:val="53"/>
              <w:ind w:left="0" w:leftChars="0" w:firstLine="0" w:firstLineChars="0"/>
              <w:rPr>
                <w:color w:val="auto"/>
                <w:sz w:val="21"/>
                <w:szCs w:val="21"/>
              </w:rPr>
            </w:pPr>
            <w:r>
              <w:rPr>
                <w:rFonts w:hint="eastAsia"/>
                <w:color w:val="auto"/>
                <w:sz w:val="21"/>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w:t>
            </w:r>
            <w:r>
              <w:rPr>
                <w:rFonts w:hint="eastAsia"/>
                <w:color w:val="0000FF"/>
                <w:sz w:val="21"/>
                <w:szCs w:val="21"/>
                <w:lang w:val="en-US" w:eastAsia="zh-CN"/>
              </w:rPr>
              <w:t>9</w:t>
            </w:r>
            <w:r>
              <w:rPr>
                <w:rFonts w:hint="eastAsia"/>
                <w:color w:val="0000FF"/>
                <w:sz w:val="21"/>
                <w:szCs w:val="21"/>
              </w:rPr>
              <w:t>0%</w:t>
            </w:r>
            <w:r>
              <w:rPr>
                <w:rFonts w:hint="eastAsia"/>
                <w:color w:val="auto"/>
                <w:sz w:val="21"/>
                <w:szCs w:val="21"/>
              </w:rPr>
              <w:t>时，评标委员会将对其进行成本分析，评标委员会认为报价低于成本价时将否决其投标。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4"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r>
              <w:rPr>
                <w:rFonts w:hint="eastAsia" w:ascii="宋体" w:cs="宋体"/>
                <w:color w:val="auto"/>
                <w:sz w:val="21"/>
                <w:szCs w:val="21"/>
              </w:rPr>
              <w:t>商务</w:t>
            </w:r>
            <w:r>
              <w:rPr>
                <w:rFonts w:hint="eastAsia" w:ascii="宋体" w:cs="宋体"/>
                <w:color w:val="auto"/>
                <w:sz w:val="21"/>
                <w:szCs w:val="21"/>
                <w:lang w:eastAsia="zh-CN"/>
              </w:rPr>
              <w:t>评议</w:t>
            </w:r>
            <w:r>
              <w:rPr>
                <w:rFonts w:hint="eastAsia" w:ascii="宋体" w:cs="宋体"/>
                <w:color w:val="auto"/>
                <w:sz w:val="21"/>
                <w:szCs w:val="21"/>
                <w:lang w:val="en-US" w:eastAsia="zh-CN"/>
              </w:rPr>
              <w:t>40分</w:t>
            </w:r>
          </w:p>
        </w:tc>
        <w:tc>
          <w:tcPr>
            <w:tcW w:w="106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响应文件编制</w:t>
            </w:r>
          </w:p>
        </w:tc>
        <w:tc>
          <w:tcPr>
            <w:tcW w:w="962"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3分</w:t>
            </w:r>
          </w:p>
        </w:tc>
        <w:tc>
          <w:tcPr>
            <w:tcW w:w="6771"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eastAsia"/>
                <w:sz w:val="21"/>
                <w:szCs w:val="22"/>
                <w:lang w:eastAsia="zh-CN"/>
              </w:rPr>
            </w:pPr>
            <w:r>
              <w:rPr>
                <w:rFonts w:hint="eastAsia" w:asciiTheme="minorHAnsi" w:hAnsiTheme="minorHAnsi" w:eastAsiaTheme="minorEastAsia" w:cstheme="minorBidi"/>
                <w:color w:val="auto"/>
                <w:kern w:val="2"/>
                <w:sz w:val="21"/>
                <w:szCs w:val="21"/>
                <w:lang w:val="en-US" w:eastAsia="zh-CN" w:bidi="ar-SA"/>
              </w:rPr>
              <w:t>响应文件应该为不可拆卸的胶装，制作规范，编制完整、详细、清晰；逐页有连续页码，查阅方便，对采购文件规定要求提交的商务技术资料完整齐全得3分；有缺陷、不完整、前后不一、查阅困难的得 1 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04" w:type="dxa"/>
            <w:vMerge w:val="continue"/>
            <w:tcBorders>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供应商优势及优惠承诺</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7分</w:t>
            </w:r>
          </w:p>
        </w:tc>
        <w:tc>
          <w:tcPr>
            <w:tcW w:w="6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供应商根据自身的情况，提出承制本项目的优势及与本项目有关的优惠承诺。科学、合理、针对性强的得 7-5 分；合理、可行的得 4-3 分；欠合理，基本可行的得 2-1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04" w:type="dxa"/>
            <w:vMerge w:val="continue"/>
            <w:tcBorders>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p>
        </w:tc>
        <w:tc>
          <w:tcPr>
            <w:tcW w:w="106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类似业绩</w:t>
            </w:r>
          </w:p>
        </w:tc>
        <w:tc>
          <w:tcPr>
            <w:tcW w:w="962"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cstheme="minorBidi"/>
                <w:color w:val="auto"/>
                <w:kern w:val="2"/>
                <w:sz w:val="21"/>
                <w:szCs w:val="21"/>
                <w:lang w:val="en-US" w:eastAsia="zh-CN" w:bidi="ar-SA"/>
              </w:rPr>
              <w:t>30</w:t>
            </w:r>
            <w:r>
              <w:rPr>
                <w:rFonts w:hint="eastAsia" w:asciiTheme="minorHAnsi" w:hAnsiTheme="minorHAnsi" w:eastAsiaTheme="minorEastAsia" w:cstheme="minorBidi"/>
                <w:color w:val="auto"/>
                <w:kern w:val="2"/>
                <w:sz w:val="21"/>
                <w:szCs w:val="21"/>
                <w:lang w:val="en-US" w:eastAsia="zh-CN" w:bidi="ar-SA"/>
              </w:rPr>
              <w:t>分</w:t>
            </w:r>
          </w:p>
        </w:tc>
        <w:tc>
          <w:tcPr>
            <w:tcW w:w="6771"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供应商近三年（磋商截止时间前 36 个月）</w:t>
            </w:r>
            <w:r>
              <w:rPr>
                <w:rFonts w:hint="eastAsia" w:cstheme="minorBidi"/>
                <w:color w:val="auto"/>
                <w:kern w:val="2"/>
                <w:sz w:val="21"/>
                <w:szCs w:val="21"/>
                <w:lang w:val="en-US" w:eastAsia="zh-CN" w:bidi="ar-SA"/>
              </w:rPr>
              <w:t>有过与本项目类似</w:t>
            </w:r>
            <w:r>
              <w:rPr>
                <w:rFonts w:hint="eastAsia" w:asciiTheme="minorHAnsi" w:hAnsiTheme="minorHAnsi" w:eastAsiaTheme="minorEastAsia" w:cstheme="minorBidi"/>
                <w:color w:val="auto"/>
                <w:kern w:val="2"/>
                <w:sz w:val="21"/>
                <w:szCs w:val="21"/>
                <w:lang w:val="en-US" w:eastAsia="zh-CN" w:bidi="ar-SA"/>
              </w:rPr>
              <w:t>业绩</w:t>
            </w:r>
            <w:r>
              <w:rPr>
                <w:rFonts w:hint="eastAsia" w:cstheme="minorBidi"/>
                <w:color w:val="auto"/>
                <w:kern w:val="2"/>
                <w:sz w:val="21"/>
                <w:szCs w:val="21"/>
                <w:lang w:val="en-US" w:eastAsia="zh-CN" w:bidi="ar-SA"/>
              </w:rPr>
              <w:t>的（需提供合同或中标通知书复印件）</w:t>
            </w:r>
            <w:r>
              <w:rPr>
                <w:rFonts w:hint="eastAsia" w:asciiTheme="minorHAnsi" w:hAnsiTheme="minorHAnsi" w:eastAsiaTheme="minorEastAsia" w:cstheme="minorBidi"/>
                <w:color w:val="auto"/>
                <w:kern w:val="2"/>
                <w:sz w:val="21"/>
                <w:szCs w:val="21"/>
                <w:lang w:val="en-US" w:eastAsia="zh-CN" w:bidi="ar-SA"/>
              </w:rPr>
              <w:t xml:space="preserve">。每提供 1 份业绩得 </w:t>
            </w:r>
            <w:r>
              <w:rPr>
                <w:rFonts w:hint="eastAsia" w:cstheme="minorBidi"/>
                <w:color w:val="auto"/>
                <w:kern w:val="2"/>
                <w:sz w:val="21"/>
                <w:szCs w:val="21"/>
                <w:lang w:val="en-US" w:eastAsia="zh-CN" w:bidi="ar-SA"/>
              </w:rPr>
              <w:t>6</w:t>
            </w:r>
            <w:r>
              <w:rPr>
                <w:rFonts w:hint="eastAsia" w:asciiTheme="minorHAnsi" w:hAnsiTheme="minorHAnsi" w:eastAsiaTheme="minorEastAsia" w:cstheme="minorBidi"/>
                <w:color w:val="auto"/>
                <w:kern w:val="2"/>
                <w:sz w:val="21"/>
                <w:szCs w:val="21"/>
                <w:lang w:val="en-US" w:eastAsia="zh-CN" w:bidi="ar-SA"/>
              </w:rPr>
              <w:t xml:space="preserve"> 分，本项最高得</w:t>
            </w:r>
            <w:r>
              <w:rPr>
                <w:rFonts w:hint="eastAsia" w:cstheme="minorBidi"/>
                <w:color w:val="auto"/>
                <w:kern w:val="2"/>
                <w:sz w:val="21"/>
                <w:szCs w:val="21"/>
                <w:lang w:val="en-US" w:eastAsia="zh-CN" w:bidi="ar-SA"/>
              </w:rPr>
              <w:t>30</w:t>
            </w:r>
            <w:r>
              <w:rPr>
                <w:rFonts w:hint="eastAsia" w:asciiTheme="minorHAnsi" w:hAnsiTheme="minorHAnsi" w:eastAsiaTheme="minorEastAsia" w:cstheme="minorBidi"/>
                <w:color w:val="auto"/>
                <w:kern w:val="2"/>
                <w:sz w:val="21"/>
                <w:szCs w:val="21"/>
                <w:lang w:val="en-US" w:eastAsia="zh-CN" w:bidi="ar-SA"/>
              </w:rPr>
              <w:t xml:space="preserve"> 分。</w:t>
            </w:r>
            <w:r>
              <w:rPr>
                <w:rFonts w:hint="eastAsia" w:cstheme="minorBidi"/>
                <w:color w:val="auto"/>
                <w:kern w:val="2"/>
                <w:sz w:val="21"/>
                <w:szCs w:val="21"/>
                <w:lang w:val="en-US" w:eastAsia="zh-CN" w:bidi="ar-SA"/>
              </w:rPr>
              <w:t>需提供合同复印件，金额不限。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04" w:type="dxa"/>
            <w:vMerge w:val="restart"/>
            <w:tcBorders>
              <w:top w:val="single" w:color="auto" w:sz="4" w:space="0"/>
              <w:left w:val="single" w:color="auto" w:sz="4" w:space="0"/>
              <w:right w:val="single" w:color="auto" w:sz="4" w:space="0"/>
            </w:tcBorders>
            <w:noWrap w:val="0"/>
            <w:vAlign w:val="center"/>
          </w:tcPr>
          <w:p>
            <w:pPr>
              <w:spacing w:line="360" w:lineRule="auto"/>
              <w:jc w:val="both"/>
              <w:rPr>
                <w:rFonts w:hint="eastAsia" w:ascii="宋体" w:hAnsi="宋体" w:cs="宋体" w:eastAsiaTheme="minorEastAsia"/>
                <w:color w:val="auto"/>
                <w:sz w:val="21"/>
                <w:szCs w:val="21"/>
                <w:lang w:eastAsia="zh-CN"/>
              </w:rPr>
            </w:pPr>
            <w:r>
              <w:rPr>
                <w:rFonts w:hint="eastAsia" w:ascii="宋体" w:hAnsi="宋体" w:cs="宋体"/>
                <w:color w:val="auto"/>
                <w:sz w:val="21"/>
                <w:szCs w:val="21"/>
                <w:lang w:eastAsia="zh-CN"/>
              </w:rPr>
              <w:t>技</w:t>
            </w:r>
            <w:r>
              <w:rPr>
                <w:rFonts w:hint="eastAsia" w:ascii="宋体" w:hAnsi="宋体" w:cs="宋体"/>
                <w:color w:val="auto"/>
                <w:sz w:val="21"/>
                <w:szCs w:val="21"/>
              </w:rPr>
              <w:t>术</w:t>
            </w:r>
            <w:r>
              <w:rPr>
                <w:rFonts w:hint="eastAsia" w:ascii="宋体" w:hAnsi="宋体" w:cs="宋体"/>
                <w:color w:val="auto"/>
                <w:sz w:val="21"/>
                <w:szCs w:val="21"/>
                <w:lang w:eastAsia="zh-CN"/>
              </w:rPr>
              <w:t>评议</w:t>
            </w:r>
          </w:p>
          <w:p>
            <w:pPr>
              <w:spacing w:line="360" w:lineRule="auto"/>
              <w:jc w:val="center"/>
              <w:rPr>
                <w:rFonts w:hint="default" w:ascii="宋体" w:cs="宋体" w:eastAsiaTheme="minorEastAsia"/>
                <w:color w:val="auto"/>
                <w:sz w:val="21"/>
                <w:szCs w:val="21"/>
                <w:lang w:val="en-US" w:eastAsia="zh-CN"/>
              </w:rPr>
            </w:pPr>
            <w:r>
              <w:rPr>
                <w:rFonts w:hint="eastAsia" w:ascii="宋体" w:cs="宋体"/>
                <w:color w:val="auto"/>
                <w:sz w:val="21"/>
                <w:szCs w:val="21"/>
                <w:lang w:val="en-US" w:eastAsia="zh-CN"/>
              </w:rPr>
              <w:t>50分</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服务工作方案</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cstheme="minorBidi"/>
                <w:color w:val="auto"/>
                <w:kern w:val="2"/>
                <w:sz w:val="21"/>
                <w:szCs w:val="21"/>
                <w:lang w:val="en-US" w:eastAsia="zh-CN" w:bidi="ar-SA"/>
              </w:rPr>
              <w:t>17</w:t>
            </w:r>
            <w:r>
              <w:rPr>
                <w:rFonts w:hint="eastAsia" w:asciiTheme="minorHAnsi" w:hAnsiTheme="minorHAnsi" w:eastAsiaTheme="minorEastAsia" w:cstheme="minorBidi"/>
                <w:color w:val="auto"/>
                <w:kern w:val="2"/>
                <w:sz w:val="21"/>
                <w:szCs w:val="21"/>
                <w:lang w:val="en-US" w:eastAsia="zh-CN" w:bidi="ar-SA"/>
              </w:rPr>
              <w:t>分</w:t>
            </w:r>
          </w:p>
        </w:tc>
        <w:tc>
          <w:tcPr>
            <w:tcW w:w="6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根据供应商提交</w:t>
            </w:r>
            <w:r>
              <w:rPr>
                <w:rFonts w:hint="eastAsia" w:cstheme="minorBidi"/>
                <w:color w:val="auto"/>
                <w:kern w:val="2"/>
                <w:sz w:val="21"/>
                <w:szCs w:val="21"/>
                <w:lang w:val="en-US" w:eastAsia="zh-CN" w:bidi="ar-SA"/>
              </w:rPr>
              <w:t>的服务方案进行评分</w:t>
            </w:r>
            <w:r>
              <w:rPr>
                <w:rFonts w:hint="eastAsia" w:asciiTheme="minorHAnsi" w:hAnsiTheme="minorHAnsi" w:eastAsiaTheme="minorEastAsia" w:cstheme="minorBidi"/>
                <w:color w:val="auto"/>
                <w:kern w:val="2"/>
                <w:sz w:val="21"/>
                <w:szCs w:val="21"/>
                <w:lang w:val="en-US" w:eastAsia="zh-CN" w:bidi="ar-SA"/>
              </w:rPr>
              <w:t>，提供的</w:t>
            </w:r>
            <w:r>
              <w:rPr>
                <w:rFonts w:hint="eastAsia" w:cstheme="minorBidi"/>
                <w:color w:val="auto"/>
                <w:kern w:val="2"/>
                <w:sz w:val="21"/>
                <w:szCs w:val="21"/>
                <w:lang w:val="en-US" w:eastAsia="zh-CN" w:bidi="ar-SA"/>
              </w:rPr>
              <w:t>服务方案</w:t>
            </w:r>
            <w:r>
              <w:rPr>
                <w:rFonts w:hint="eastAsia" w:asciiTheme="minorHAnsi" w:hAnsiTheme="minorHAnsi" w:eastAsiaTheme="minorEastAsia" w:cstheme="minorBidi"/>
                <w:color w:val="auto"/>
                <w:kern w:val="2"/>
                <w:sz w:val="21"/>
                <w:szCs w:val="21"/>
                <w:lang w:val="en-US" w:eastAsia="zh-CN" w:bidi="ar-SA"/>
              </w:rPr>
              <w:t xml:space="preserve">科学、合理、针对性强的得 </w:t>
            </w:r>
            <w:r>
              <w:rPr>
                <w:rFonts w:hint="eastAsia" w:cstheme="minorBidi"/>
                <w:color w:val="auto"/>
                <w:kern w:val="2"/>
                <w:sz w:val="21"/>
                <w:szCs w:val="21"/>
                <w:lang w:val="en-US" w:eastAsia="zh-CN" w:bidi="ar-SA"/>
              </w:rPr>
              <w:t>12-17</w:t>
            </w:r>
            <w:r>
              <w:rPr>
                <w:rFonts w:hint="eastAsia" w:asciiTheme="minorHAnsi" w:hAnsiTheme="minorHAnsi" w:eastAsiaTheme="minorEastAsia" w:cstheme="minorBidi"/>
                <w:color w:val="auto"/>
                <w:kern w:val="2"/>
                <w:sz w:val="21"/>
                <w:szCs w:val="21"/>
                <w:lang w:val="en-US" w:eastAsia="zh-CN" w:bidi="ar-SA"/>
              </w:rPr>
              <w:t xml:space="preserve"> 分，合理、 可行的得 </w:t>
            </w:r>
            <w:r>
              <w:rPr>
                <w:rFonts w:hint="eastAsia" w:cstheme="minorBidi"/>
                <w:color w:val="auto"/>
                <w:kern w:val="2"/>
                <w:sz w:val="21"/>
                <w:szCs w:val="21"/>
                <w:lang w:val="en-US" w:eastAsia="zh-CN" w:bidi="ar-SA"/>
              </w:rPr>
              <w:t>6-11</w:t>
            </w:r>
            <w:r>
              <w:rPr>
                <w:rFonts w:hint="eastAsia" w:asciiTheme="minorHAnsi" w:hAnsiTheme="minorHAnsi" w:eastAsiaTheme="minorEastAsia" w:cstheme="minorBidi"/>
                <w:color w:val="auto"/>
                <w:kern w:val="2"/>
                <w:sz w:val="21"/>
                <w:szCs w:val="21"/>
                <w:lang w:val="en-US" w:eastAsia="zh-CN" w:bidi="ar-SA"/>
              </w:rPr>
              <w:t xml:space="preserve">分，欠合理，基本可行得 </w:t>
            </w:r>
            <w:r>
              <w:rPr>
                <w:rFonts w:hint="eastAsia" w:cstheme="minorBidi"/>
                <w:color w:val="auto"/>
                <w:kern w:val="2"/>
                <w:sz w:val="21"/>
                <w:szCs w:val="21"/>
                <w:lang w:val="en-US" w:eastAsia="zh-CN" w:bidi="ar-SA"/>
              </w:rPr>
              <w:t>1-6</w:t>
            </w:r>
            <w:r>
              <w:rPr>
                <w:rFonts w:hint="eastAsia" w:asciiTheme="minorHAnsi" w:hAnsiTheme="minorHAnsi" w:eastAsiaTheme="minorEastAsia" w:cstheme="minorBidi"/>
                <w:color w:val="auto"/>
                <w:kern w:val="2"/>
                <w:sz w:val="21"/>
                <w:szCs w:val="21"/>
                <w:lang w:val="en-US" w:eastAsia="zh-CN" w:bidi="ar-SA"/>
              </w:rPr>
              <w:t xml:space="preserve">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cstheme="minorBidi"/>
                <w:color w:val="auto"/>
                <w:kern w:val="2"/>
                <w:sz w:val="21"/>
                <w:szCs w:val="21"/>
                <w:lang w:val="en-US" w:eastAsia="zh-CN" w:bidi="ar-SA"/>
              </w:rPr>
              <w:t>质量保证措施</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cstheme="minorBidi"/>
                <w:color w:val="auto"/>
                <w:kern w:val="2"/>
                <w:sz w:val="21"/>
                <w:szCs w:val="21"/>
                <w:lang w:val="en-US" w:eastAsia="zh-CN" w:bidi="ar-SA"/>
              </w:rPr>
              <w:t>13分</w:t>
            </w:r>
          </w:p>
        </w:tc>
        <w:tc>
          <w:tcPr>
            <w:tcW w:w="6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根据供应商提交</w:t>
            </w:r>
            <w:r>
              <w:rPr>
                <w:rFonts w:hint="eastAsia" w:cstheme="minorBidi"/>
                <w:color w:val="auto"/>
                <w:kern w:val="2"/>
                <w:sz w:val="21"/>
                <w:szCs w:val="21"/>
                <w:lang w:val="en-US" w:eastAsia="zh-CN" w:bidi="ar-SA"/>
              </w:rPr>
              <w:t>的质量保证措施进行评分</w:t>
            </w:r>
            <w:r>
              <w:rPr>
                <w:rFonts w:hint="eastAsia" w:asciiTheme="minorHAnsi" w:hAnsiTheme="minorHAnsi" w:eastAsiaTheme="minorEastAsia" w:cstheme="minorBidi"/>
                <w:color w:val="auto"/>
                <w:kern w:val="2"/>
                <w:sz w:val="21"/>
                <w:szCs w:val="21"/>
                <w:lang w:val="en-US" w:eastAsia="zh-CN" w:bidi="ar-SA"/>
              </w:rPr>
              <w:t>，提供的</w:t>
            </w:r>
            <w:r>
              <w:rPr>
                <w:rFonts w:hint="eastAsia" w:cstheme="minorBidi"/>
                <w:color w:val="auto"/>
                <w:kern w:val="2"/>
                <w:sz w:val="21"/>
                <w:szCs w:val="21"/>
                <w:lang w:val="en-US" w:eastAsia="zh-CN" w:bidi="ar-SA"/>
              </w:rPr>
              <w:t>质量保证措施</w:t>
            </w:r>
            <w:r>
              <w:rPr>
                <w:rFonts w:hint="eastAsia" w:asciiTheme="minorHAnsi" w:hAnsiTheme="minorHAnsi" w:eastAsiaTheme="minorEastAsia" w:cstheme="minorBidi"/>
                <w:color w:val="auto"/>
                <w:kern w:val="2"/>
                <w:sz w:val="21"/>
                <w:szCs w:val="21"/>
                <w:lang w:val="en-US" w:eastAsia="zh-CN" w:bidi="ar-SA"/>
              </w:rPr>
              <w:t xml:space="preserve">科学、合理、针对性强的得 </w:t>
            </w:r>
            <w:r>
              <w:rPr>
                <w:rFonts w:hint="eastAsia" w:cstheme="minorBidi"/>
                <w:color w:val="auto"/>
                <w:kern w:val="2"/>
                <w:sz w:val="21"/>
                <w:szCs w:val="21"/>
                <w:lang w:val="en-US" w:eastAsia="zh-CN" w:bidi="ar-SA"/>
              </w:rPr>
              <w:t>13-9</w:t>
            </w:r>
            <w:r>
              <w:rPr>
                <w:rFonts w:hint="eastAsia" w:asciiTheme="minorHAnsi" w:hAnsiTheme="minorHAnsi" w:eastAsiaTheme="minorEastAsia" w:cstheme="minorBidi"/>
                <w:color w:val="auto"/>
                <w:kern w:val="2"/>
                <w:sz w:val="21"/>
                <w:szCs w:val="21"/>
                <w:lang w:val="en-US" w:eastAsia="zh-CN" w:bidi="ar-SA"/>
              </w:rPr>
              <w:t xml:space="preserve"> 分，合理、 可行的得</w:t>
            </w:r>
            <w:r>
              <w:rPr>
                <w:rFonts w:hint="eastAsia" w:cstheme="minorBidi"/>
                <w:color w:val="auto"/>
                <w:kern w:val="2"/>
                <w:sz w:val="21"/>
                <w:szCs w:val="21"/>
                <w:lang w:val="en-US" w:eastAsia="zh-CN" w:bidi="ar-SA"/>
              </w:rPr>
              <w:t>4-8</w:t>
            </w:r>
            <w:r>
              <w:rPr>
                <w:rFonts w:hint="eastAsia" w:asciiTheme="minorHAnsi" w:hAnsiTheme="minorHAnsi" w:eastAsiaTheme="minorEastAsia" w:cstheme="minorBidi"/>
                <w:color w:val="auto"/>
                <w:kern w:val="2"/>
                <w:sz w:val="21"/>
                <w:szCs w:val="21"/>
                <w:lang w:val="en-US" w:eastAsia="zh-CN" w:bidi="ar-SA"/>
              </w:rPr>
              <w:t xml:space="preserve">分，欠合理，基本可行得 </w:t>
            </w:r>
            <w:r>
              <w:rPr>
                <w:rFonts w:hint="eastAsia" w:cstheme="minorBidi"/>
                <w:color w:val="auto"/>
                <w:kern w:val="2"/>
                <w:sz w:val="21"/>
                <w:szCs w:val="21"/>
                <w:lang w:val="en-US" w:eastAsia="zh-CN" w:bidi="ar-SA"/>
              </w:rPr>
              <w:t>1-3</w:t>
            </w:r>
            <w:r>
              <w:rPr>
                <w:rFonts w:hint="eastAsia" w:asciiTheme="minorHAnsi" w:hAnsiTheme="minorHAnsi" w:eastAsiaTheme="minorEastAsia" w:cstheme="minorBidi"/>
                <w:color w:val="auto"/>
                <w:kern w:val="2"/>
                <w:sz w:val="21"/>
                <w:szCs w:val="21"/>
                <w:lang w:val="en-US" w:eastAsia="zh-CN" w:bidi="ar-SA"/>
              </w:rPr>
              <w:t xml:space="preserve">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人员配置</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1"/>
                <w:lang w:val="en-US" w:eastAsia="zh-CN" w:bidi="ar-SA"/>
              </w:rPr>
            </w:pPr>
            <w:r>
              <w:rPr>
                <w:rFonts w:hint="eastAsia" w:cstheme="minorBidi"/>
                <w:color w:val="auto"/>
                <w:kern w:val="2"/>
                <w:sz w:val="21"/>
                <w:szCs w:val="21"/>
                <w:lang w:val="en-US" w:eastAsia="zh-CN" w:bidi="ar-SA"/>
              </w:rPr>
              <w:t>15</w:t>
            </w:r>
            <w:r>
              <w:rPr>
                <w:rFonts w:hint="eastAsia" w:asciiTheme="minorHAnsi" w:hAnsiTheme="minorHAnsi" w:eastAsiaTheme="minorEastAsia" w:cstheme="minorBidi"/>
                <w:color w:val="auto"/>
                <w:kern w:val="2"/>
                <w:sz w:val="21"/>
                <w:szCs w:val="21"/>
                <w:lang w:val="en-US" w:eastAsia="zh-CN" w:bidi="ar-SA"/>
              </w:rPr>
              <w:t>分</w:t>
            </w:r>
          </w:p>
        </w:tc>
        <w:tc>
          <w:tcPr>
            <w:tcW w:w="6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供应商须提供拟投入本项目详细人员配备情况表，</w:t>
            </w:r>
            <w:r>
              <w:rPr>
                <w:rFonts w:hint="eastAsia" w:cstheme="minorBidi"/>
                <w:color w:val="auto"/>
                <w:kern w:val="2"/>
                <w:sz w:val="21"/>
                <w:szCs w:val="21"/>
                <w:lang w:val="en-US" w:eastAsia="zh-CN" w:bidi="ar-SA"/>
              </w:rPr>
              <w:t>项目拟派人员每具有一个相关专业高级及以上培训证书的得5分、中级得3分、初级得1分，本项最高15分，未提供不得分。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4"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106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default" w:asciiTheme="minorHAnsi" w:hAnsiTheme="minorHAnsi" w:eastAsiaTheme="minorEastAsia" w:cstheme="minorBidi"/>
                <w:color w:val="auto"/>
                <w:kern w:val="2"/>
                <w:sz w:val="21"/>
                <w:szCs w:val="21"/>
                <w:lang w:val="en-US" w:eastAsia="zh-CN" w:bidi="ar-SA"/>
              </w:rPr>
              <w:t>售后及质保期服务方案</w:t>
            </w:r>
          </w:p>
        </w:tc>
        <w:tc>
          <w:tcPr>
            <w:tcW w:w="962"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cstheme="minorBidi"/>
                <w:color w:val="auto"/>
                <w:kern w:val="2"/>
                <w:sz w:val="21"/>
                <w:szCs w:val="21"/>
                <w:lang w:val="en-US" w:eastAsia="zh-CN" w:bidi="ar-SA"/>
              </w:rPr>
              <w:t>5分</w:t>
            </w:r>
          </w:p>
        </w:tc>
        <w:tc>
          <w:tcPr>
            <w:tcW w:w="6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根据供应商提交</w:t>
            </w:r>
            <w:r>
              <w:rPr>
                <w:rFonts w:hint="eastAsia" w:cstheme="minorBidi"/>
                <w:color w:val="auto"/>
                <w:kern w:val="2"/>
                <w:sz w:val="21"/>
                <w:szCs w:val="21"/>
                <w:lang w:val="en-US" w:eastAsia="zh-CN" w:bidi="ar-SA"/>
              </w:rPr>
              <w:t>的</w:t>
            </w:r>
            <w:r>
              <w:rPr>
                <w:rFonts w:hint="default" w:asciiTheme="minorHAnsi" w:hAnsiTheme="minorHAnsi" w:eastAsiaTheme="minorEastAsia" w:cstheme="minorBidi"/>
                <w:color w:val="auto"/>
                <w:kern w:val="2"/>
                <w:sz w:val="21"/>
                <w:szCs w:val="21"/>
                <w:lang w:val="en-US" w:eastAsia="zh-CN" w:bidi="ar-SA"/>
              </w:rPr>
              <w:t>售后及质保期服务方案</w:t>
            </w:r>
            <w:r>
              <w:rPr>
                <w:rFonts w:hint="eastAsia" w:cstheme="minorBidi"/>
                <w:color w:val="auto"/>
                <w:kern w:val="2"/>
                <w:sz w:val="21"/>
                <w:szCs w:val="21"/>
                <w:lang w:val="en-US" w:eastAsia="zh-CN" w:bidi="ar-SA"/>
              </w:rPr>
              <w:t>进行评分</w:t>
            </w:r>
            <w:r>
              <w:rPr>
                <w:rFonts w:hint="eastAsia" w:asciiTheme="minorHAnsi" w:hAnsiTheme="minorHAnsi" w:eastAsiaTheme="minorEastAsia" w:cstheme="minorBidi"/>
                <w:color w:val="auto"/>
                <w:kern w:val="2"/>
                <w:sz w:val="21"/>
                <w:szCs w:val="21"/>
                <w:lang w:val="en-US" w:eastAsia="zh-CN" w:bidi="ar-SA"/>
              </w:rPr>
              <w:t>，提供的</w:t>
            </w:r>
            <w:r>
              <w:rPr>
                <w:rFonts w:hint="default" w:asciiTheme="minorHAnsi" w:hAnsiTheme="minorHAnsi" w:eastAsiaTheme="minorEastAsia" w:cstheme="minorBidi"/>
                <w:color w:val="auto"/>
                <w:kern w:val="2"/>
                <w:sz w:val="21"/>
                <w:szCs w:val="21"/>
                <w:lang w:val="en-US" w:eastAsia="zh-CN" w:bidi="ar-SA"/>
              </w:rPr>
              <w:t>售后及质保期服务方案</w:t>
            </w:r>
            <w:r>
              <w:rPr>
                <w:rFonts w:hint="eastAsia" w:asciiTheme="minorHAnsi" w:hAnsiTheme="minorHAnsi" w:eastAsiaTheme="minorEastAsia" w:cstheme="minorBidi"/>
                <w:color w:val="auto"/>
                <w:kern w:val="2"/>
                <w:sz w:val="21"/>
                <w:szCs w:val="21"/>
                <w:lang w:val="en-US" w:eastAsia="zh-CN" w:bidi="ar-SA"/>
              </w:rPr>
              <w:t xml:space="preserve">科学、合理、针对性强的得 </w:t>
            </w:r>
            <w:r>
              <w:rPr>
                <w:rFonts w:hint="eastAsia" w:cstheme="minorBidi"/>
                <w:color w:val="auto"/>
                <w:kern w:val="2"/>
                <w:sz w:val="21"/>
                <w:szCs w:val="21"/>
                <w:lang w:val="en-US" w:eastAsia="zh-CN" w:bidi="ar-SA"/>
              </w:rPr>
              <w:t>4-5</w:t>
            </w:r>
            <w:r>
              <w:rPr>
                <w:rFonts w:hint="eastAsia" w:asciiTheme="minorHAnsi" w:hAnsiTheme="minorHAnsi" w:eastAsiaTheme="minorEastAsia" w:cstheme="minorBidi"/>
                <w:color w:val="auto"/>
                <w:kern w:val="2"/>
                <w:sz w:val="21"/>
                <w:szCs w:val="21"/>
                <w:lang w:val="en-US" w:eastAsia="zh-CN" w:bidi="ar-SA"/>
              </w:rPr>
              <w:t xml:space="preserve">分，合理、 可行的得 </w:t>
            </w:r>
            <w:r>
              <w:rPr>
                <w:rFonts w:hint="eastAsia" w:cstheme="minorBidi"/>
                <w:color w:val="auto"/>
                <w:kern w:val="2"/>
                <w:sz w:val="21"/>
                <w:szCs w:val="21"/>
                <w:lang w:val="en-US" w:eastAsia="zh-CN" w:bidi="ar-SA"/>
              </w:rPr>
              <w:t>2-3</w:t>
            </w:r>
            <w:r>
              <w:rPr>
                <w:rFonts w:hint="eastAsia" w:asciiTheme="minorHAnsi" w:hAnsiTheme="minorHAnsi" w:eastAsiaTheme="minorEastAsia" w:cstheme="minorBidi"/>
                <w:color w:val="auto"/>
                <w:kern w:val="2"/>
                <w:sz w:val="21"/>
                <w:szCs w:val="21"/>
                <w:lang w:val="en-US" w:eastAsia="zh-CN" w:bidi="ar-SA"/>
              </w:rPr>
              <w:t xml:space="preserve">分，欠合理，基本可行得 </w:t>
            </w:r>
            <w:r>
              <w:rPr>
                <w:rFonts w:hint="eastAsia" w:cstheme="minorBidi"/>
                <w:color w:val="auto"/>
                <w:kern w:val="2"/>
                <w:sz w:val="21"/>
                <w:szCs w:val="21"/>
                <w:lang w:val="en-US" w:eastAsia="zh-CN" w:bidi="ar-SA"/>
              </w:rPr>
              <w:t>1</w:t>
            </w:r>
            <w:r>
              <w:rPr>
                <w:rFonts w:hint="eastAsia" w:asciiTheme="minorHAnsi" w:hAnsiTheme="minorHAnsi" w:eastAsiaTheme="minorEastAsia" w:cstheme="minorBidi"/>
                <w:color w:val="auto"/>
                <w:kern w:val="2"/>
                <w:sz w:val="21"/>
                <w:szCs w:val="21"/>
                <w:lang w:val="en-US" w:eastAsia="zh-CN" w:bidi="ar-SA"/>
              </w:rPr>
              <w:t xml:space="preserve"> 分，不提供不得分。</w:t>
            </w:r>
          </w:p>
        </w:tc>
      </w:tr>
    </w:tbl>
    <w:p>
      <w:pPr>
        <w:spacing w:line="240" w:lineRule="auto"/>
        <w:ind w:firstLine="405"/>
        <w:rPr>
          <w:rFonts w:ascii="仿宋_GB2312" w:hAnsi="新宋体" w:eastAsia="仿宋_GB2312"/>
          <w:b/>
          <w:bCs/>
          <w:sz w:val="24"/>
          <w:szCs w:val="24"/>
        </w:rPr>
      </w:pPr>
      <w:r>
        <w:rPr>
          <w:rFonts w:hint="eastAsia" w:ascii="仿宋_GB2312" w:hAnsi="新宋体" w:eastAsia="仿宋_GB2312"/>
          <w:b/>
          <w:bCs/>
          <w:sz w:val="24"/>
          <w:szCs w:val="24"/>
        </w:rPr>
        <w:t>备注：</w:t>
      </w:r>
    </w:p>
    <w:p>
      <w:pPr>
        <w:pStyle w:val="51"/>
        <w:spacing w:line="240" w:lineRule="auto"/>
        <w:ind w:firstLine="402"/>
        <w:rPr>
          <w:rFonts w:ascii="仿宋_GB2312" w:hAnsi="新宋体" w:eastAsia="仿宋_GB2312"/>
          <w:b/>
          <w:bCs/>
          <w:sz w:val="24"/>
          <w:szCs w:val="24"/>
        </w:rPr>
      </w:pPr>
      <w:r>
        <w:rPr>
          <w:rFonts w:hint="eastAsia" w:ascii="仿宋_GB2312" w:hAnsi="新宋体" w:eastAsia="仿宋_GB2312"/>
          <w:b/>
          <w:bCs/>
          <w:sz w:val="24"/>
          <w:szCs w:val="24"/>
        </w:rPr>
        <w:t>1.以上所有须提供的证件、证书、有关资料等</w:t>
      </w:r>
      <w:r>
        <w:rPr>
          <w:rFonts w:hint="eastAsia" w:ascii="仿宋_GB2312" w:hAnsi="新宋体" w:eastAsia="仿宋_GB2312"/>
          <w:b/>
          <w:bCs/>
          <w:sz w:val="24"/>
          <w:szCs w:val="24"/>
          <w:lang w:eastAsia="zh-CN"/>
        </w:rPr>
        <w:t>供应商</w:t>
      </w:r>
      <w:r>
        <w:rPr>
          <w:rFonts w:hint="eastAsia" w:ascii="仿宋_GB2312" w:hAnsi="新宋体" w:eastAsia="仿宋_GB2312"/>
          <w:b/>
          <w:bCs/>
          <w:sz w:val="24"/>
          <w:szCs w:val="24"/>
        </w:rPr>
        <w:t>都须提供原始资料的真彩扫描打印件供专家评委评审，否则不得分。</w:t>
      </w:r>
      <w:r>
        <w:rPr>
          <w:rFonts w:hint="eastAsia" w:ascii="仿宋_GB2312" w:hAnsi="新宋体" w:eastAsia="仿宋_GB2312"/>
          <w:b/>
          <w:bCs/>
          <w:sz w:val="24"/>
          <w:szCs w:val="24"/>
          <w:lang w:eastAsia="zh-CN"/>
        </w:rPr>
        <w:t>供应商</w:t>
      </w:r>
      <w:r>
        <w:rPr>
          <w:rFonts w:hint="eastAsia" w:ascii="仿宋_GB2312" w:hAnsi="新宋体" w:eastAsia="仿宋_GB2312"/>
          <w:b/>
          <w:bCs/>
          <w:sz w:val="24"/>
          <w:szCs w:val="24"/>
        </w:rPr>
        <w:t>投标时须认真对待、如实应标。凡提供虚假材料谋取中标的，一经查实，根据《政府采购法》第七十七条之规定，将对供应商处以罚款、列入不良行为记录名单、依法追究刑事责任等。</w:t>
      </w:r>
    </w:p>
    <w:p>
      <w:pPr>
        <w:spacing w:line="360" w:lineRule="auto"/>
        <w:rPr>
          <w:rFonts w:cs="Times New Roman"/>
          <w:sz w:val="28"/>
          <w:szCs w:val="28"/>
        </w:rPr>
      </w:pPr>
      <w:r>
        <w:rPr>
          <w:rFonts w:hint="eastAsia" w:ascii="仿宋_GB2312" w:hAnsi="新宋体" w:eastAsia="仿宋_GB2312"/>
          <w:b/>
          <w:bCs/>
          <w:sz w:val="24"/>
          <w:szCs w:val="24"/>
        </w:rPr>
        <w:t>2.商务标计算按报价人最终报价计算。</w:t>
      </w:r>
      <w:r>
        <w:rPr>
          <w:rFonts w:hint="eastAsia" w:ascii="仿宋_GB2312" w:hAnsi="新宋体" w:eastAsia="仿宋_GB2312"/>
          <w:b/>
          <w:bCs/>
          <w:color w:val="000000"/>
          <w:sz w:val="24"/>
          <w:szCs w:val="36"/>
        </w:rPr>
        <w:t>本次评标采用综合评分法。磋商小组对满足竞争性磋商文件实质性要求的报价文件，按照本章规定的评分标准进行打分，并按得分由高到低顺序推荐中标候选人，但投标报价低于其成本的除外。评审得分相同的，按照最后报价由低到高的顺序推荐。评审得分且最后报价相同的，按照技术指标优劣顺序推荐。</w:t>
      </w:r>
    </w:p>
    <w:p>
      <w:pPr>
        <w:tabs>
          <w:tab w:val="center" w:pos="4422"/>
        </w:tabs>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lang w:val="en-US" w:eastAsia="zh-CN"/>
        </w:rPr>
        <w:t>五</w:t>
      </w:r>
      <w:r>
        <w:rPr>
          <w:rFonts w:hint="eastAsia" w:ascii="宋体" w:hAnsi="宋体" w:eastAsia="宋体" w:cs="Times New Roman"/>
          <w:b/>
          <w:sz w:val="24"/>
          <w:szCs w:val="24"/>
        </w:rPr>
        <w:t>、</w:t>
      </w:r>
      <w:r>
        <w:rPr>
          <w:rFonts w:hint="eastAsia" w:ascii="宋体" w:hAnsi="宋体" w:eastAsia="宋体" w:cs="Times New Roman"/>
          <w:b/>
          <w:sz w:val="24"/>
          <w:szCs w:val="24"/>
          <w:highlight w:val="yellow"/>
        </w:rPr>
        <w:t>无效投标</w:t>
      </w:r>
    </w:p>
    <w:p>
      <w:pPr>
        <w:tabs>
          <w:tab w:val="center" w:pos="4422"/>
        </w:tabs>
        <w:spacing w:line="360" w:lineRule="auto"/>
        <w:ind w:firstLine="460" w:firstLineChars="192"/>
        <w:rPr>
          <w:rFonts w:ascii="宋体" w:hAnsi="宋体" w:eastAsia="宋体" w:cs="Times New Roman"/>
          <w:b/>
          <w:sz w:val="24"/>
          <w:szCs w:val="24"/>
        </w:rPr>
      </w:pPr>
      <w:r>
        <w:rPr>
          <w:rFonts w:hint="eastAsia" w:ascii="宋体" w:hAnsi="宋体" w:eastAsia="宋体" w:cs="Times New Roman"/>
          <w:sz w:val="24"/>
          <w:szCs w:val="24"/>
        </w:rPr>
        <w:t>磋商响应文件有如下情形之一者，作无效投标处理：</w:t>
      </w:r>
    </w:p>
    <w:p>
      <w:pPr>
        <w:tabs>
          <w:tab w:val="center" w:pos="442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（1）磋商供应商法定代表人或被授权人不按时参加磋商者或在磋商开始之前退出的；</w:t>
      </w:r>
    </w:p>
    <w:p>
      <w:pPr>
        <w:tabs>
          <w:tab w:val="center" w:pos="442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（2）磋商响应文件中未提供《磋商书》、《磋商报价表》、《法定代表人授权委托书》（非法人参与磋商）以及提供的《磋商书》、《磋商报价表》、《法定代表人授权委托书》</w:t>
      </w:r>
      <w:r>
        <w:rPr>
          <w:rFonts w:hint="eastAsia" w:ascii="宋体" w:hAnsi="宋体" w:cs="宋体"/>
          <w:sz w:val="24"/>
          <w:szCs w:val="22"/>
          <w:highlight w:val="yellow"/>
        </w:rPr>
        <w:t>供应商未使用 CA 数字证书加盖供应商的单位电子印章或扫描上传加盖单位公章的电子投标文件；要求“签字”的地方，供应商未使用 CA 数字证书加盖法定代表人的个人电子印章或电子签名章或扫描上传法定代表人签字或盖章的电子投标文件（投标文件签字人非法定代表人的</w:t>
      </w:r>
      <w:r>
        <w:rPr>
          <w:rFonts w:hint="eastAsia" w:ascii="宋体" w:hAnsi="宋体" w:eastAsia="宋体" w:cs="Times New Roman"/>
          <w:sz w:val="24"/>
          <w:szCs w:val="24"/>
        </w:rPr>
        <w:t>；</w:t>
      </w:r>
    </w:p>
    <w:p>
      <w:pPr>
        <w:tabs>
          <w:tab w:val="center" w:pos="4422"/>
        </w:tabs>
        <w:spacing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（3）磋商响应文件未按磋商文件要求提供有关材料以及提供的相关材料不符合本次磋商要求的；</w:t>
      </w:r>
    </w:p>
    <w:p>
      <w:pPr>
        <w:tabs>
          <w:tab w:val="center" w:pos="4422"/>
        </w:tabs>
        <w:spacing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（4）磋商响应文件关键内容字迹模糊，难以辨认的；</w:t>
      </w:r>
    </w:p>
    <w:p>
      <w:pPr>
        <w:tabs>
          <w:tab w:val="center" w:pos="4422"/>
        </w:tabs>
        <w:spacing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（5）不能响应本磋商文件中规定的实质性要求或在磋商过程中磋商小组对技术服务要求作出实质性变动后供应商不能完全响应的；</w:t>
      </w:r>
    </w:p>
    <w:p>
      <w:pPr>
        <w:tabs>
          <w:tab w:val="center" w:pos="4422"/>
        </w:tabs>
        <w:spacing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（6）对采购人要求磋商供应商作出承诺的内容，供应商没有作出承诺或其承诺没有满足采购人需求的；</w:t>
      </w:r>
    </w:p>
    <w:p>
      <w:pPr>
        <w:tabs>
          <w:tab w:val="center" w:pos="4422"/>
        </w:tabs>
        <w:spacing w:line="360" w:lineRule="auto"/>
        <w:ind w:firstLine="460" w:firstLineChars="192"/>
        <w:rPr>
          <w:sz w:val="20"/>
          <w:szCs w:val="21"/>
        </w:rPr>
      </w:pPr>
      <w:r>
        <w:rPr>
          <w:rFonts w:hint="eastAsia" w:ascii="宋体" w:hAnsi="宋体" w:eastAsia="宋体" w:cs="Times New Roman"/>
          <w:sz w:val="24"/>
          <w:szCs w:val="24"/>
        </w:rPr>
        <w:t>（7）提供虚假资料者或违反有关法律法规及重要政策规定的；</w:t>
      </w:r>
    </w:p>
    <w:p>
      <w:pPr>
        <w:tabs>
          <w:tab w:val="center" w:pos="4422"/>
        </w:tabs>
        <w:spacing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8</w:t>
      </w:r>
      <w:r>
        <w:rPr>
          <w:rFonts w:hint="eastAsia" w:ascii="宋体" w:hAnsi="宋体" w:eastAsia="宋体" w:cs="Times New Roman"/>
          <w:sz w:val="24"/>
          <w:szCs w:val="24"/>
        </w:rPr>
        <w:t>）其他违背磋商文件或因供应商存在缺陷等情形，经磋商小组确认为无效的。</w:t>
      </w:r>
    </w:p>
    <w:p>
      <w:pPr>
        <w:tabs>
          <w:tab w:val="center" w:pos="4422"/>
        </w:tabs>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lang w:val="en-US" w:eastAsia="zh-CN"/>
        </w:rPr>
        <w:t>六</w:t>
      </w:r>
      <w:r>
        <w:rPr>
          <w:rFonts w:hint="eastAsia" w:ascii="宋体" w:hAnsi="宋体" w:eastAsia="宋体" w:cs="Times New Roman"/>
          <w:b/>
          <w:sz w:val="24"/>
          <w:szCs w:val="24"/>
        </w:rPr>
        <w:t>、确定成交供应商办法</w:t>
      </w:r>
    </w:p>
    <w:p>
      <w:pPr>
        <w:spacing w:line="360" w:lineRule="auto"/>
        <w:ind w:firstLine="480" w:firstLineChars="200"/>
        <w:rPr>
          <w:rFonts w:ascii="宋体" w:hAnsi="宋体" w:eastAsia="宋体" w:cs="Times New Roman"/>
          <w:bCs/>
          <w:color w:val="FF0000"/>
          <w:sz w:val="24"/>
          <w:szCs w:val="24"/>
        </w:rPr>
      </w:pPr>
      <w:r>
        <w:rPr>
          <w:rFonts w:hint="eastAsia" w:ascii="宋体" w:hAnsi="宋体" w:eastAsia="宋体" w:cs="Times New Roman"/>
          <w:sz w:val="24"/>
          <w:szCs w:val="24"/>
        </w:rPr>
        <w:t>磋商小组根据评审情况，确定综合得分最高者为成交供应商，并编写评审报告。</w:t>
      </w:r>
    </w:p>
    <w:p>
      <w:pPr>
        <w:pStyle w:val="3"/>
        <w:spacing w:line="360" w:lineRule="auto"/>
        <w:rPr>
          <w:rFonts w:ascii="方正小标宋简体" w:eastAsia="方正小标宋简体"/>
          <w:sz w:val="44"/>
        </w:rPr>
      </w:pPr>
      <w:r>
        <w:rPr>
          <w:rFonts w:ascii="Times New Roman" w:hAnsi="Times New Roman" w:cs="Times New Roman"/>
          <w:b/>
          <w:sz w:val="28"/>
          <w:szCs w:val="28"/>
        </w:rPr>
        <w:br w:type="page"/>
      </w:r>
      <w:bookmarkStart w:id="54" w:name="_Toc25865"/>
      <w:bookmarkStart w:id="55" w:name="_Toc502096730"/>
      <w:r>
        <w:rPr>
          <w:rFonts w:hint="eastAsia" w:ascii="方正小标宋简体" w:eastAsia="方正小标宋简体"/>
          <w:sz w:val="44"/>
        </w:rPr>
        <w:t>第五章 合同书（参考格式）</w:t>
      </w:r>
      <w:bookmarkEnd w:id="54"/>
      <w:bookmarkEnd w:id="55"/>
    </w:p>
    <w:p>
      <w:pPr>
        <w:spacing w:line="300" w:lineRule="auto"/>
        <w:ind w:firstLine="480" w:firstLineChars="200"/>
        <w:rPr>
          <w:rFonts w:ascii="Times New Roman" w:hAnsi="Times New Roman" w:cs="Times New Roman"/>
          <w:spacing w:val="-10"/>
          <w:sz w:val="24"/>
          <w:szCs w:val="24"/>
        </w:rPr>
      </w:pPr>
      <w:r>
        <w:rPr>
          <w:rFonts w:ascii="Times New Roman" w:hAnsi="Times New Roman" w:cs="Times New Roman"/>
          <w:sz w:val="24"/>
          <w:szCs w:val="24"/>
        </w:rPr>
        <w:t>（根据《政府采购法》和《</w:t>
      </w:r>
      <w:r>
        <w:rPr>
          <w:rFonts w:hint="eastAsia" w:ascii="Times New Roman" w:hAnsi="Times New Roman" w:cs="Times New Roman"/>
          <w:sz w:val="24"/>
          <w:szCs w:val="24"/>
        </w:rPr>
        <w:t>民法典</w:t>
      </w:r>
      <w:r>
        <w:rPr>
          <w:rFonts w:ascii="Times New Roman" w:hAnsi="Times New Roman" w:cs="Times New Roman"/>
          <w:sz w:val="24"/>
          <w:szCs w:val="24"/>
        </w:rPr>
        <w:t>》。采购人和供应商之间的权利和义务，应当按照平等的原则以合同方式约定。此合同书仅作为签订正式合同时的参考，正式合同书应包括本参考格式之内容。）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ascii="Times New Roman" w:hAnsi="Times New Roman" w:cs="Times New Roman"/>
          <w:b/>
          <w:kern w:val="0"/>
          <w:sz w:val="24"/>
          <w:szCs w:val="24"/>
        </w:rPr>
      </w:pPr>
    </w:p>
    <w:p>
      <w:pPr>
        <w:spacing w:line="500" w:lineRule="exact"/>
        <w:ind w:firstLine="540"/>
        <w:jc w:val="center"/>
        <w:rPr>
          <w:rFonts w:ascii="Times New Roman" w:hAnsi="Times New Roman" w:cs="Times New Roman"/>
          <w:b/>
          <w:kern w:val="0"/>
          <w:sz w:val="30"/>
          <w:szCs w:val="30"/>
        </w:rPr>
      </w:pPr>
      <w:r>
        <w:rPr>
          <w:rFonts w:ascii="Times New Roman" w:hAnsi="Times New Roman" w:cs="Times New Roman"/>
          <w:b/>
          <w:kern w:val="0"/>
          <w:sz w:val="30"/>
          <w:szCs w:val="30"/>
        </w:rPr>
        <w:t>合 同 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项目名称：</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合同编号：</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签订日期：</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签订合同地点：</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本合同由（以下简称“需方”）与（以下简称“供方”）签订。</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供方以总金额万元人民币（用大写数字书写）向需方提供如下货物：</w:t>
      </w:r>
    </w:p>
    <w:p>
      <w:pPr>
        <w:autoSpaceDE w:val="0"/>
        <w:autoSpaceDN w:val="0"/>
        <w:adjustRightInd w:val="0"/>
        <w:spacing w:line="500" w:lineRule="exact"/>
        <w:jc w:val="left"/>
        <w:rPr>
          <w:rFonts w:ascii="Times New Roman" w:hAnsi="Times New Roman" w:cs="Times New Roman"/>
          <w:kern w:val="0"/>
          <w:sz w:val="24"/>
          <w:szCs w:val="24"/>
        </w:rPr>
      </w:pPr>
      <w:r>
        <w:rPr>
          <w:rFonts w:ascii="Times New Roman" w:hAnsi="Times New Roman" w:cs="Times New Roman"/>
          <w:kern w:val="0"/>
          <w:sz w:val="24"/>
          <w:szCs w:val="24"/>
        </w:rPr>
        <w:t>经双方协商，同意按下列条文执行：</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一、</w:t>
      </w:r>
      <w:r>
        <w:rPr>
          <w:rFonts w:ascii="Times New Roman" w:hAnsi="Times New Roman" w:cs="Times New Roman"/>
          <w:kern w:val="0"/>
          <w:sz w:val="24"/>
          <w:szCs w:val="24"/>
        </w:rPr>
        <w:t>本合同供、需双方必须遵守国家颁布的《中华人民共和国</w:t>
      </w:r>
      <w:r>
        <w:rPr>
          <w:rFonts w:hint="eastAsia" w:ascii="Times New Roman" w:hAnsi="Times New Roman" w:cs="Times New Roman"/>
          <w:kern w:val="0"/>
          <w:sz w:val="24"/>
          <w:szCs w:val="24"/>
        </w:rPr>
        <w:t>民法典</w:t>
      </w:r>
      <w:r>
        <w:rPr>
          <w:rFonts w:ascii="Times New Roman" w:hAnsi="Times New Roman" w:cs="Times New Roman"/>
          <w:kern w:val="0"/>
          <w:sz w:val="24"/>
          <w:szCs w:val="24"/>
        </w:rPr>
        <w:t>》、《中华人民共和国政府采购法》，并各自履行应负的全部责任和义务。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二、</w:t>
      </w:r>
      <w:r>
        <w:rPr>
          <w:rFonts w:ascii="Times New Roman" w:hAnsi="Times New Roman" w:cs="Times New Roman"/>
          <w:kern w:val="0"/>
          <w:sz w:val="24"/>
          <w:szCs w:val="24"/>
        </w:rPr>
        <w:t>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三、</w:t>
      </w:r>
      <w:r>
        <w:rPr>
          <w:rFonts w:ascii="Times New Roman" w:hAnsi="Times New Roman" w:cs="Times New Roman"/>
          <w:kern w:val="0"/>
          <w:sz w:val="24"/>
          <w:szCs w:val="24"/>
        </w:rPr>
        <w:t>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四、</w:t>
      </w:r>
      <w:r>
        <w:rPr>
          <w:rFonts w:ascii="Times New Roman" w:hAnsi="Times New Roman" w:cs="Times New Roman"/>
          <w:kern w:val="0"/>
          <w:sz w:val="24"/>
          <w:szCs w:val="24"/>
        </w:rPr>
        <w:t>合同文件</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下列文件为本合同不可分割的部分：</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（1）</w:t>
      </w:r>
      <w:r>
        <w:rPr>
          <w:rFonts w:ascii="Times New Roman" w:hAnsi="Times New Roman" w:cs="Times New Roman"/>
          <w:kern w:val="0"/>
          <w:sz w:val="24"/>
          <w:szCs w:val="24"/>
        </w:rPr>
        <w:t>竞争性磋商文件(编号：)；</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（2）</w:t>
      </w:r>
      <w:r>
        <w:rPr>
          <w:rFonts w:ascii="Times New Roman" w:hAnsi="Times New Roman" w:cs="Times New Roman"/>
          <w:kern w:val="0"/>
          <w:sz w:val="24"/>
          <w:szCs w:val="24"/>
        </w:rPr>
        <w:t>供方成交的响应文件（副本）；</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（3）</w:t>
      </w:r>
      <w:r>
        <w:rPr>
          <w:rFonts w:ascii="Times New Roman" w:hAnsi="Times New Roman" w:cs="Times New Roman"/>
          <w:kern w:val="0"/>
          <w:sz w:val="24"/>
          <w:szCs w:val="24"/>
        </w:rPr>
        <w:t>合同书；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（4）</w:t>
      </w:r>
      <w:r>
        <w:rPr>
          <w:rFonts w:ascii="Times New Roman" w:hAnsi="Times New Roman" w:cs="Times New Roman"/>
          <w:kern w:val="0"/>
          <w:sz w:val="24"/>
          <w:szCs w:val="24"/>
        </w:rPr>
        <w:t>合同条款；</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kern w:val="0"/>
          <w:sz w:val="24"/>
          <w:szCs w:val="20"/>
        </w:rPr>
        <w:t>（5）</w:t>
      </w:r>
      <w:r>
        <w:rPr>
          <w:rFonts w:hint="eastAsia"/>
          <w:kern w:val="0"/>
          <w:sz w:val="24"/>
          <w:szCs w:val="20"/>
          <w:lang w:eastAsia="zh-CN"/>
        </w:rPr>
        <w:t>采购代理机构</w:t>
      </w:r>
      <w:r>
        <w:rPr>
          <w:rFonts w:ascii="Times New Roman" w:hAnsi="Times New Roman" w:cs="Times New Roman"/>
          <w:kern w:val="0"/>
          <w:sz w:val="24"/>
          <w:szCs w:val="24"/>
        </w:rPr>
        <w:t>发出的成交通知书；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（6）</w:t>
      </w:r>
      <w:r>
        <w:rPr>
          <w:rFonts w:ascii="Times New Roman" w:hAnsi="Times New Roman" w:cs="Times New Roman"/>
          <w:kern w:val="0"/>
          <w:sz w:val="24"/>
          <w:szCs w:val="24"/>
        </w:rPr>
        <w:t>在商洽本合同时，双方澄清、确认并共同签字的补充文件、技术协议。</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五、</w:t>
      </w:r>
      <w:r>
        <w:rPr>
          <w:rFonts w:ascii="Times New Roman" w:hAnsi="Times New Roman" w:cs="Times New Roman"/>
          <w:kern w:val="0"/>
          <w:sz w:val="24"/>
          <w:szCs w:val="24"/>
        </w:rPr>
        <w:t>合同范围和条件</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六、</w:t>
      </w:r>
      <w:r>
        <w:rPr>
          <w:rFonts w:ascii="Times New Roman" w:hAnsi="Times New Roman" w:cs="Times New Roman"/>
          <w:kern w:val="0"/>
          <w:sz w:val="24"/>
          <w:szCs w:val="24"/>
        </w:rPr>
        <w:t>货物及数量</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七、</w:t>
      </w:r>
      <w:r>
        <w:rPr>
          <w:rFonts w:ascii="Times New Roman" w:hAnsi="Times New Roman" w:cs="Times New Roman"/>
          <w:kern w:val="0"/>
          <w:sz w:val="24"/>
          <w:szCs w:val="24"/>
        </w:rPr>
        <w:t>付款条件</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八、</w:t>
      </w:r>
      <w:r>
        <w:rPr>
          <w:rFonts w:ascii="Times New Roman" w:hAnsi="Times New Roman" w:cs="Times New Roman"/>
          <w:kern w:val="0"/>
          <w:sz w:val="24"/>
          <w:szCs w:val="24"/>
        </w:rPr>
        <w:t>合同金额</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九、</w:t>
      </w:r>
      <w:r>
        <w:rPr>
          <w:rFonts w:ascii="Times New Roman" w:hAnsi="Times New Roman" w:cs="Times New Roman"/>
          <w:kern w:val="0"/>
          <w:sz w:val="24"/>
          <w:szCs w:val="24"/>
        </w:rPr>
        <w:t>交货时间和交货地点</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十、</w:t>
      </w:r>
      <w:r>
        <w:rPr>
          <w:rFonts w:ascii="Times New Roman" w:hAnsi="Times New Roman" w:cs="Times New Roman"/>
          <w:kern w:val="0"/>
          <w:sz w:val="24"/>
          <w:szCs w:val="24"/>
        </w:rPr>
        <w:t>合同生效</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十一、</w:t>
      </w:r>
      <w:r>
        <w:rPr>
          <w:rFonts w:ascii="Times New Roman" w:hAnsi="Times New Roman" w:cs="Times New Roman"/>
          <w:kern w:val="0"/>
          <w:sz w:val="24"/>
          <w:szCs w:val="24"/>
        </w:rPr>
        <w:t>合同的份数</w:t>
      </w:r>
    </w:p>
    <w:p>
      <w:pPr>
        <w:autoSpaceDE w:val="0"/>
        <w:autoSpaceDN w:val="0"/>
        <w:adjustRightInd w:val="0"/>
        <w:spacing w:line="500" w:lineRule="exact"/>
        <w:ind w:firstLine="480" w:firstLineChars="200"/>
        <w:jc w:val="left"/>
        <w:rPr>
          <w:rFonts w:ascii="楷体" w:hAnsi="楷体" w:eastAsia="楷体" w:cs="Times New Roman"/>
          <w:kern w:val="0"/>
          <w:sz w:val="24"/>
          <w:szCs w:val="24"/>
        </w:rPr>
      </w:pPr>
      <w:r>
        <w:rPr>
          <w:rFonts w:ascii="楷体" w:hAnsi="楷体" w:eastAsia="楷体" w:cs="Times New Roman"/>
          <w:kern w:val="0"/>
          <w:sz w:val="24"/>
          <w:szCs w:val="24"/>
        </w:rPr>
        <w:t>本合同正本一式　　份，需方执　　份，供方执　　份；副本一式　　份，需方执　　份，供方执　　份，</w:t>
      </w:r>
      <w:r>
        <w:rPr>
          <w:rFonts w:hint="eastAsia" w:ascii="楷体" w:hAnsi="楷体" w:eastAsia="楷体" w:cs="Times New Roman"/>
          <w:kern w:val="0"/>
          <w:sz w:val="24"/>
          <w:szCs w:val="24"/>
        </w:rPr>
        <w:t>黄石市财政局</w:t>
      </w:r>
      <w:r>
        <w:rPr>
          <w:rFonts w:ascii="楷体" w:hAnsi="楷体" w:eastAsia="楷体" w:cs="Times New Roman"/>
          <w:kern w:val="0"/>
          <w:sz w:val="24"/>
          <w:szCs w:val="24"/>
        </w:rPr>
        <w:t>壹份备案。</w:t>
      </w:r>
    </w:p>
    <w:p>
      <w:pPr>
        <w:autoSpaceDE w:val="0"/>
        <w:autoSpaceDN w:val="0"/>
        <w:adjustRightInd w:val="0"/>
        <w:spacing w:line="500" w:lineRule="exact"/>
        <w:ind w:firstLine="480" w:firstLineChars="200"/>
        <w:jc w:val="left"/>
        <w:rPr>
          <w:rFonts w:ascii="楷体" w:hAnsi="楷体" w:eastAsia="楷体" w:cs="Times New Roman"/>
          <w:kern w:val="0"/>
          <w:sz w:val="24"/>
          <w:szCs w:val="24"/>
        </w:rPr>
      </w:pPr>
    </w:p>
    <w:p>
      <w:pPr>
        <w:autoSpaceDE w:val="0"/>
        <w:autoSpaceDN w:val="0"/>
        <w:adjustRightInd w:val="0"/>
        <w:spacing w:line="500" w:lineRule="exact"/>
        <w:ind w:firstLine="480" w:firstLineChars="200"/>
        <w:jc w:val="left"/>
        <w:rPr>
          <w:rFonts w:ascii="楷体" w:hAnsi="楷体" w:eastAsia="楷体" w:cs="Times New Roman"/>
          <w:kern w:val="0"/>
          <w:sz w:val="24"/>
          <w:szCs w:val="24"/>
        </w:rPr>
      </w:pPr>
      <w:r>
        <w:rPr>
          <w:rFonts w:ascii="楷体" w:hAnsi="楷体" w:eastAsia="楷体" w:cs="Times New Roman"/>
          <w:kern w:val="0"/>
          <w:sz w:val="24"/>
          <w:szCs w:val="24"/>
        </w:rPr>
        <w:t>需　　方：</w:t>
      </w:r>
      <w:r>
        <w:rPr>
          <w:rFonts w:ascii="楷体" w:hAnsi="楷体" w:eastAsia="楷体" w:cs="Times New Roman"/>
          <w:kern w:val="0"/>
          <w:sz w:val="24"/>
          <w:szCs w:val="24"/>
        </w:rPr>
        <w:tab/>
      </w:r>
      <w:r>
        <w:rPr>
          <w:rFonts w:ascii="楷体" w:hAnsi="楷体" w:eastAsia="楷体" w:cs="Times New Roman"/>
          <w:kern w:val="0"/>
          <w:sz w:val="24"/>
          <w:szCs w:val="24"/>
        </w:rPr>
        <w:t>供　　方：</w:t>
      </w:r>
    </w:p>
    <w:p>
      <w:pPr>
        <w:autoSpaceDE w:val="0"/>
        <w:autoSpaceDN w:val="0"/>
        <w:adjustRightInd w:val="0"/>
        <w:spacing w:line="500" w:lineRule="exact"/>
        <w:ind w:firstLine="480" w:firstLineChars="200"/>
        <w:jc w:val="left"/>
        <w:rPr>
          <w:rFonts w:ascii="楷体" w:hAnsi="楷体" w:eastAsia="楷体" w:cs="Times New Roman"/>
          <w:kern w:val="0"/>
          <w:sz w:val="24"/>
          <w:szCs w:val="24"/>
        </w:rPr>
      </w:pPr>
      <w:r>
        <w:rPr>
          <w:rFonts w:ascii="楷体" w:hAnsi="楷体" w:eastAsia="楷体" w:cs="Times New Roman"/>
          <w:kern w:val="0"/>
          <w:sz w:val="24"/>
          <w:szCs w:val="24"/>
        </w:rPr>
        <w:t>单位名称（盖章）：</w:t>
      </w:r>
      <w:r>
        <w:rPr>
          <w:rFonts w:ascii="楷体" w:hAnsi="楷体" w:eastAsia="楷体" w:cs="Times New Roman"/>
          <w:kern w:val="0"/>
          <w:sz w:val="24"/>
          <w:szCs w:val="24"/>
        </w:rPr>
        <w:tab/>
      </w:r>
      <w:r>
        <w:rPr>
          <w:rFonts w:ascii="楷体" w:hAnsi="楷体" w:eastAsia="楷体" w:cs="Times New Roman"/>
          <w:kern w:val="0"/>
          <w:sz w:val="24"/>
          <w:szCs w:val="24"/>
        </w:rPr>
        <w:t>单位名称（盖章）：</w:t>
      </w:r>
    </w:p>
    <w:p>
      <w:pPr>
        <w:autoSpaceDE w:val="0"/>
        <w:autoSpaceDN w:val="0"/>
        <w:adjustRightInd w:val="0"/>
        <w:spacing w:line="500" w:lineRule="exact"/>
        <w:ind w:firstLine="480" w:firstLineChars="200"/>
        <w:jc w:val="left"/>
        <w:rPr>
          <w:rFonts w:ascii="楷体" w:hAnsi="楷体" w:eastAsia="楷体" w:cs="Times New Roman"/>
          <w:kern w:val="0"/>
          <w:sz w:val="24"/>
          <w:szCs w:val="24"/>
        </w:rPr>
      </w:pPr>
      <w:r>
        <w:rPr>
          <w:rFonts w:ascii="楷体" w:hAnsi="楷体" w:eastAsia="楷体" w:cs="Times New Roman"/>
          <w:kern w:val="0"/>
          <w:sz w:val="24"/>
          <w:szCs w:val="24"/>
        </w:rPr>
        <w:t>单位地址：</w:t>
      </w:r>
      <w:r>
        <w:rPr>
          <w:rFonts w:ascii="楷体" w:hAnsi="楷体" w:eastAsia="楷体" w:cs="Times New Roman"/>
          <w:kern w:val="0"/>
          <w:sz w:val="24"/>
          <w:szCs w:val="24"/>
        </w:rPr>
        <w:tab/>
      </w:r>
      <w:r>
        <w:rPr>
          <w:rFonts w:ascii="楷体" w:hAnsi="楷体" w:eastAsia="楷体" w:cs="Times New Roman"/>
          <w:kern w:val="0"/>
          <w:sz w:val="24"/>
          <w:szCs w:val="24"/>
        </w:rPr>
        <w:t>单位地址：</w:t>
      </w:r>
    </w:p>
    <w:p>
      <w:pPr>
        <w:autoSpaceDE w:val="0"/>
        <w:autoSpaceDN w:val="0"/>
        <w:adjustRightInd w:val="0"/>
        <w:spacing w:line="500" w:lineRule="exact"/>
        <w:ind w:firstLine="480" w:firstLineChars="200"/>
        <w:jc w:val="left"/>
        <w:rPr>
          <w:rFonts w:ascii="楷体" w:hAnsi="楷体" w:eastAsia="楷体" w:cs="Times New Roman"/>
          <w:kern w:val="0"/>
          <w:sz w:val="24"/>
          <w:szCs w:val="24"/>
        </w:rPr>
      </w:pPr>
      <w:r>
        <w:rPr>
          <w:rFonts w:hint="eastAsia" w:ascii="楷体" w:hAnsi="楷体" w:eastAsia="楷体" w:cs="Times New Roman"/>
          <w:kern w:val="0"/>
          <w:sz w:val="24"/>
          <w:szCs w:val="24"/>
        </w:rPr>
        <w:t>法定代表人</w:t>
      </w:r>
      <w:r>
        <w:rPr>
          <w:rFonts w:ascii="楷体" w:hAnsi="楷体" w:eastAsia="楷体" w:cs="Times New Roman"/>
          <w:kern w:val="0"/>
          <w:sz w:val="24"/>
          <w:szCs w:val="24"/>
        </w:rPr>
        <w:t>授权人(签字)：</w:t>
      </w:r>
      <w:r>
        <w:rPr>
          <w:rFonts w:hint="eastAsia" w:ascii="楷体" w:hAnsi="楷体" w:eastAsia="楷体" w:cs="Times New Roman"/>
          <w:kern w:val="0"/>
          <w:sz w:val="24"/>
          <w:szCs w:val="24"/>
        </w:rPr>
        <w:t>法定代表人</w:t>
      </w:r>
      <w:r>
        <w:rPr>
          <w:rFonts w:ascii="楷体" w:hAnsi="楷体" w:eastAsia="楷体" w:cs="Times New Roman"/>
          <w:kern w:val="0"/>
          <w:sz w:val="24"/>
          <w:szCs w:val="24"/>
        </w:rPr>
        <w:t>授权人(签字)：</w:t>
      </w:r>
    </w:p>
    <w:p>
      <w:pPr>
        <w:autoSpaceDE w:val="0"/>
        <w:autoSpaceDN w:val="0"/>
        <w:adjustRightInd w:val="0"/>
        <w:spacing w:line="500" w:lineRule="exact"/>
        <w:ind w:firstLine="480" w:firstLineChars="200"/>
        <w:jc w:val="left"/>
        <w:rPr>
          <w:rFonts w:ascii="楷体" w:hAnsi="楷体" w:eastAsia="楷体" w:cs="Times New Roman"/>
          <w:kern w:val="0"/>
          <w:sz w:val="24"/>
          <w:szCs w:val="24"/>
        </w:rPr>
      </w:pPr>
      <w:r>
        <w:rPr>
          <w:rFonts w:ascii="楷体" w:hAnsi="楷体" w:eastAsia="楷体" w:cs="Times New Roman"/>
          <w:kern w:val="0"/>
          <w:sz w:val="24"/>
          <w:szCs w:val="24"/>
        </w:rPr>
        <w:t>联系人：</w:t>
      </w:r>
      <w:r>
        <w:rPr>
          <w:rFonts w:ascii="楷体" w:hAnsi="楷体" w:eastAsia="楷体" w:cs="Times New Roman"/>
          <w:kern w:val="0"/>
          <w:sz w:val="24"/>
          <w:szCs w:val="24"/>
        </w:rPr>
        <w:tab/>
      </w:r>
      <w:r>
        <w:rPr>
          <w:rFonts w:ascii="楷体" w:hAnsi="楷体" w:eastAsia="楷体" w:cs="Times New Roman"/>
          <w:kern w:val="0"/>
          <w:sz w:val="24"/>
          <w:szCs w:val="24"/>
        </w:rPr>
        <w:t>联系人：</w:t>
      </w:r>
    </w:p>
    <w:p>
      <w:pPr>
        <w:autoSpaceDE w:val="0"/>
        <w:autoSpaceDN w:val="0"/>
        <w:adjustRightInd w:val="0"/>
        <w:spacing w:line="500" w:lineRule="exact"/>
        <w:ind w:firstLine="480" w:firstLineChars="200"/>
        <w:jc w:val="left"/>
        <w:rPr>
          <w:rFonts w:ascii="楷体" w:hAnsi="楷体" w:eastAsia="楷体" w:cs="Times New Roman"/>
          <w:kern w:val="0"/>
          <w:sz w:val="24"/>
          <w:szCs w:val="24"/>
        </w:rPr>
      </w:pPr>
      <w:r>
        <w:rPr>
          <w:rFonts w:ascii="楷体" w:hAnsi="楷体" w:eastAsia="楷体" w:cs="Times New Roman"/>
          <w:kern w:val="0"/>
          <w:sz w:val="24"/>
          <w:szCs w:val="24"/>
        </w:rPr>
        <w:t>电　话：</w:t>
      </w:r>
      <w:r>
        <w:rPr>
          <w:rFonts w:ascii="楷体" w:hAnsi="楷体" w:eastAsia="楷体" w:cs="Times New Roman"/>
          <w:kern w:val="0"/>
          <w:sz w:val="24"/>
          <w:szCs w:val="24"/>
        </w:rPr>
        <w:tab/>
      </w:r>
      <w:r>
        <w:rPr>
          <w:rFonts w:ascii="楷体" w:hAnsi="楷体" w:eastAsia="楷体" w:cs="Times New Roman"/>
          <w:kern w:val="0"/>
          <w:sz w:val="24"/>
          <w:szCs w:val="24"/>
        </w:rPr>
        <w:t>电　话：</w:t>
      </w:r>
    </w:p>
    <w:p>
      <w:pPr>
        <w:autoSpaceDE w:val="0"/>
        <w:autoSpaceDN w:val="0"/>
        <w:adjustRightInd w:val="0"/>
        <w:spacing w:line="500" w:lineRule="exact"/>
        <w:ind w:firstLine="480" w:firstLineChars="200"/>
        <w:jc w:val="left"/>
        <w:rPr>
          <w:rFonts w:ascii="楷体" w:hAnsi="楷体" w:eastAsia="楷体" w:cs="Times New Roman"/>
          <w:kern w:val="0"/>
          <w:sz w:val="24"/>
          <w:szCs w:val="24"/>
        </w:rPr>
      </w:pPr>
      <w:r>
        <w:rPr>
          <w:rFonts w:ascii="楷体" w:hAnsi="楷体" w:eastAsia="楷体" w:cs="Times New Roman"/>
          <w:kern w:val="0"/>
          <w:sz w:val="24"/>
          <w:szCs w:val="24"/>
        </w:rPr>
        <w:t>传　真：</w:t>
      </w:r>
      <w:r>
        <w:rPr>
          <w:rFonts w:ascii="楷体" w:hAnsi="楷体" w:eastAsia="楷体" w:cs="Times New Roman"/>
          <w:kern w:val="0"/>
          <w:sz w:val="24"/>
          <w:szCs w:val="24"/>
        </w:rPr>
        <w:tab/>
      </w:r>
      <w:r>
        <w:rPr>
          <w:rFonts w:ascii="楷体" w:hAnsi="楷体" w:eastAsia="楷体" w:cs="Times New Roman"/>
          <w:kern w:val="0"/>
          <w:sz w:val="24"/>
          <w:szCs w:val="24"/>
        </w:rPr>
        <w:t>传　真：</w:t>
      </w:r>
    </w:p>
    <w:p>
      <w:pPr>
        <w:autoSpaceDE w:val="0"/>
        <w:autoSpaceDN w:val="0"/>
        <w:adjustRightInd w:val="0"/>
        <w:spacing w:line="500" w:lineRule="exact"/>
        <w:ind w:firstLine="480" w:firstLineChars="200"/>
        <w:jc w:val="left"/>
        <w:rPr>
          <w:rFonts w:ascii="楷体" w:hAnsi="楷体" w:eastAsia="楷体" w:cs="Times New Roman"/>
          <w:kern w:val="0"/>
          <w:sz w:val="24"/>
          <w:szCs w:val="24"/>
        </w:rPr>
      </w:pPr>
      <w:r>
        <w:rPr>
          <w:rFonts w:ascii="楷体" w:hAnsi="楷体" w:eastAsia="楷体" w:cs="Times New Roman"/>
          <w:kern w:val="0"/>
          <w:sz w:val="24"/>
          <w:szCs w:val="24"/>
        </w:rPr>
        <w:t>邮政编码：</w:t>
      </w:r>
      <w:r>
        <w:rPr>
          <w:rFonts w:ascii="楷体" w:hAnsi="楷体" w:eastAsia="楷体" w:cs="Times New Roman"/>
          <w:kern w:val="0"/>
          <w:sz w:val="24"/>
          <w:szCs w:val="24"/>
        </w:rPr>
        <w:tab/>
      </w:r>
      <w:r>
        <w:rPr>
          <w:rFonts w:ascii="楷体" w:hAnsi="楷体" w:eastAsia="楷体" w:cs="Times New Roman"/>
          <w:kern w:val="0"/>
          <w:sz w:val="24"/>
          <w:szCs w:val="24"/>
        </w:rPr>
        <w:t>邮政编码：</w:t>
      </w:r>
    </w:p>
    <w:p>
      <w:pPr>
        <w:autoSpaceDE w:val="0"/>
        <w:autoSpaceDN w:val="0"/>
        <w:adjustRightInd w:val="0"/>
        <w:spacing w:line="500" w:lineRule="exact"/>
        <w:ind w:firstLine="480" w:firstLineChars="200"/>
        <w:jc w:val="left"/>
        <w:rPr>
          <w:rFonts w:ascii="楷体" w:hAnsi="楷体" w:eastAsia="楷体" w:cs="Times New Roman"/>
          <w:kern w:val="0"/>
          <w:sz w:val="24"/>
          <w:szCs w:val="24"/>
        </w:rPr>
      </w:pPr>
      <w:r>
        <w:rPr>
          <w:rFonts w:ascii="楷体" w:hAnsi="楷体" w:eastAsia="楷体" w:cs="Times New Roman"/>
          <w:kern w:val="0"/>
          <w:sz w:val="24"/>
          <w:szCs w:val="24"/>
        </w:rPr>
        <w:t>开户银行：</w:t>
      </w:r>
      <w:r>
        <w:rPr>
          <w:rFonts w:ascii="楷体" w:hAnsi="楷体" w:eastAsia="楷体" w:cs="Times New Roman"/>
          <w:kern w:val="0"/>
          <w:sz w:val="24"/>
          <w:szCs w:val="24"/>
        </w:rPr>
        <w:tab/>
      </w:r>
      <w:r>
        <w:rPr>
          <w:rFonts w:ascii="楷体" w:hAnsi="楷体" w:eastAsia="楷体" w:cs="Times New Roman"/>
          <w:kern w:val="0"/>
          <w:sz w:val="24"/>
          <w:szCs w:val="24"/>
        </w:rPr>
        <w:t>开户银行：</w:t>
      </w:r>
    </w:p>
    <w:p>
      <w:pPr>
        <w:autoSpaceDE w:val="0"/>
        <w:autoSpaceDN w:val="0"/>
        <w:adjustRightInd w:val="0"/>
        <w:spacing w:line="500" w:lineRule="exact"/>
        <w:ind w:firstLine="480" w:firstLineChars="200"/>
        <w:jc w:val="left"/>
        <w:rPr>
          <w:rFonts w:ascii="楷体" w:hAnsi="楷体" w:eastAsia="楷体" w:cs="Times New Roman"/>
          <w:kern w:val="0"/>
          <w:sz w:val="24"/>
          <w:szCs w:val="24"/>
        </w:rPr>
      </w:pPr>
      <w:r>
        <w:rPr>
          <w:rFonts w:ascii="楷体" w:hAnsi="楷体" w:eastAsia="楷体" w:cs="Times New Roman"/>
          <w:kern w:val="0"/>
          <w:sz w:val="24"/>
          <w:szCs w:val="24"/>
        </w:rPr>
        <w:t>帐　　号：</w:t>
      </w:r>
      <w:r>
        <w:rPr>
          <w:rFonts w:ascii="楷体" w:hAnsi="楷体" w:eastAsia="楷体" w:cs="Times New Roman"/>
          <w:kern w:val="0"/>
          <w:sz w:val="24"/>
          <w:szCs w:val="24"/>
        </w:rPr>
        <w:tab/>
      </w:r>
      <w:r>
        <w:rPr>
          <w:rFonts w:ascii="楷体" w:hAnsi="楷体" w:eastAsia="楷体" w:cs="Times New Roman"/>
          <w:kern w:val="0"/>
          <w:sz w:val="24"/>
          <w:szCs w:val="24"/>
        </w:rPr>
        <w:t>帐　　号：</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楷体" w:hAnsi="楷体" w:eastAsia="楷体" w:cs="Times New Roman"/>
          <w:kern w:val="0"/>
          <w:sz w:val="24"/>
          <w:szCs w:val="24"/>
        </w:rPr>
        <w:t>税　　号：</w:t>
      </w:r>
      <w:r>
        <w:rPr>
          <w:rFonts w:ascii="楷体" w:hAnsi="楷体" w:eastAsia="楷体" w:cs="Times New Roman"/>
          <w:kern w:val="0"/>
          <w:sz w:val="24"/>
          <w:szCs w:val="24"/>
        </w:rPr>
        <w:tab/>
      </w:r>
      <w:r>
        <w:rPr>
          <w:rFonts w:ascii="楷体" w:hAnsi="楷体" w:eastAsia="楷体" w:cs="Times New Roman"/>
          <w:kern w:val="0"/>
          <w:sz w:val="24"/>
          <w:szCs w:val="24"/>
        </w:rPr>
        <w:t>税　　号：</w:t>
      </w:r>
    </w:p>
    <w:p>
      <w:pPr>
        <w:adjustRightInd w:val="0"/>
        <w:snapToGrid w:val="0"/>
        <w:outlineLvl w:val="0"/>
        <w:rPr>
          <w:rFonts w:ascii="Times New Roman" w:hAnsi="Times New Roman" w:cs="Times New Roman"/>
          <w:b/>
          <w:sz w:val="32"/>
          <w:szCs w:val="32"/>
        </w:rPr>
      </w:pPr>
      <w:r>
        <w:rPr>
          <w:rFonts w:ascii="Times New Roman" w:hAnsi="Times New Roman" w:cs="Times New Roman"/>
          <w:b/>
          <w:sz w:val="32"/>
          <w:szCs w:val="32"/>
        </w:rPr>
        <w:br w:type="page"/>
      </w:r>
    </w:p>
    <w:p>
      <w:pPr>
        <w:pStyle w:val="3"/>
        <w:spacing w:line="360" w:lineRule="auto"/>
        <w:rPr>
          <w:rFonts w:ascii="方正小标宋简体" w:eastAsia="方正小标宋简体"/>
          <w:sz w:val="44"/>
        </w:rPr>
      </w:pPr>
      <w:bookmarkStart w:id="56" w:name="_Toc502096731"/>
      <w:bookmarkStart w:id="57" w:name="_Toc18724"/>
      <w:r>
        <w:rPr>
          <w:rFonts w:hint="eastAsia" w:ascii="方正小标宋简体" w:eastAsia="方正小标宋简体"/>
          <w:sz w:val="44"/>
        </w:rPr>
        <w:t>第六章 响应文件格式</w:t>
      </w:r>
      <w:bookmarkEnd w:id="56"/>
      <w:bookmarkEnd w:id="57"/>
    </w:p>
    <w:p>
      <w:pPr>
        <w:tabs>
          <w:tab w:val="left" w:pos="1260"/>
        </w:tabs>
        <w:jc w:val="center"/>
        <w:rPr>
          <w:rFonts w:ascii="Times New Roman" w:hAnsi="Times New Roman" w:eastAsia="宋体" w:cs="Times New Roman"/>
          <w:b/>
          <w:bCs/>
          <w:spacing w:val="100"/>
          <w:w w:val="110"/>
          <w:sz w:val="36"/>
          <w:szCs w:val="36"/>
        </w:rPr>
      </w:pPr>
    </w:p>
    <w:p>
      <w:pPr>
        <w:tabs>
          <w:tab w:val="left" w:pos="1260"/>
        </w:tabs>
        <w:jc w:val="center"/>
        <w:rPr>
          <w:rFonts w:ascii="方正小标宋简体" w:hAnsi="Times New Roman" w:eastAsia="方正小标宋简体" w:cs="Times New Roman"/>
          <w:bCs/>
          <w:spacing w:val="100"/>
          <w:w w:val="110"/>
          <w:sz w:val="36"/>
          <w:szCs w:val="36"/>
        </w:rPr>
      </w:pPr>
      <w:r>
        <w:rPr>
          <w:rFonts w:hint="eastAsia" w:ascii="方正小标宋简体" w:hAnsi="Times New Roman" w:eastAsia="方正小标宋简体" w:cs="Times New Roman"/>
          <w:bCs/>
          <w:spacing w:val="100"/>
          <w:w w:val="110"/>
          <w:sz w:val="36"/>
          <w:szCs w:val="36"/>
          <w:lang w:val="en-US" w:eastAsia="zh-CN"/>
        </w:rPr>
        <w:t>阳新县县</w:t>
      </w:r>
      <w:r>
        <w:rPr>
          <w:rFonts w:hint="eastAsia" w:ascii="方正小标宋简体" w:hAnsi="Times New Roman" w:eastAsia="方正小标宋简体" w:cs="Times New Roman"/>
          <w:bCs/>
          <w:spacing w:val="100"/>
          <w:w w:val="110"/>
          <w:sz w:val="36"/>
          <w:szCs w:val="36"/>
        </w:rPr>
        <w:t>级政府采购</w:t>
      </w:r>
    </w:p>
    <w:p>
      <w:pPr>
        <w:tabs>
          <w:tab w:val="left" w:pos="1260"/>
        </w:tabs>
        <w:jc w:val="center"/>
        <w:rPr>
          <w:rFonts w:ascii="方正小标宋简体" w:hAnsi="Times New Roman" w:eastAsia="方正小标宋简体" w:cs="Times New Roman"/>
          <w:bCs/>
          <w:spacing w:val="100"/>
          <w:w w:val="110"/>
          <w:sz w:val="52"/>
          <w:szCs w:val="52"/>
        </w:rPr>
      </w:pPr>
    </w:p>
    <w:p>
      <w:pPr>
        <w:tabs>
          <w:tab w:val="left" w:pos="1260"/>
        </w:tabs>
        <w:jc w:val="center"/>
        <w:rPr>
          <w:rFonts w:ascii="方正小标宋简体" w:hAnsi="Times New Roman" w:eastAsia="方正小标宋简体" w:cs="Times New Roman"/>
          <w:spacing w:val="100"/>
          <w:w w:val="110"/>
          <w:sz w:val="100"/>
          <w:szCs w:val="100"/>
        </w:rPr>
      </w:pPr>
      <w:r>
        <w:rPr>
          <w:rFonts w:hint="eastAsia" w:ascii="方正小标宋简体" w:hAnsi="Times New Roman" w:eastAsia="方正小标宋简体" w:cs="Times New Roman"/>
          <w:bCs/>
          <w:spacing w:val="100"/>
          <w:w w:val="110"/>
          <w:sz w:val="100"/>
          <w:szCs w:val="100"/>
        </w:rPr>
        <w:t>响应文件</w:t>
      </w:r>
    </w:p>
    <w:p>
      <w:pPr>
        <w:jc w:val="center"/>
        <w:rPr>
          <w:rFonts w:ascii="方正小标宋简体" w:hAnsi="Times New Roman" w:eastAsia="方正小标宋简体" w:cs="Times New Roman"/>
          <w:sz w:val="44"/>
          <w:szCs w:val="21"/>
          <w:highlight w:val="yellow"/>
        </w:rPr>
      </w:pPr>
    </w:p>
    <w:p>
      <w:pPr>
        <w:jc w:val="center"/>
        <w:rPr>
          <w:rFonts w:ascii="Times New Roman" w:hAnsi="Times New Roman" w:eastAsia="宋体" w:cs="Times New Roman"/>
          <w:sz w:val="44"/>
          <w:szCs w:val="21"/>
        </w:rPr>
      </w:pPr>
    </w:p>
    <w:p>
      <w:pPr>
        <w:spacing w:line="360" w:lineRule="auto"/>
        <w:ind w:firstLine="1280" w:firstLineChars="400"/>
        <w:rPr>
          <w:rFonts w:ascii="Times New Roman" w:hAnsi="Times New Roman" w:eastAsia="宋体" w:cs="Times New Roman"/>
          <w:sz w:val="32"/>
          <w:szCs w:val="32"/>
          <w:u w:val="single"/>
        </w:rPr>
      </w:pPr>
      <w:r>
        <w:rPr>
          <w:rFonts w:ascii="Times New Roman" w:hAnsi="Times New Roman" w:eastAsia="宋体" w:cs="Times New Roman"/>
          <w:sz w:val="32"/>
          <w:szCs w:val="32"/>
        </w:rPr>
        <w:t>项目编号：</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spacing w:line="360" w:lineRule="auto"/>
        <w:ind w:firstLine="1280" w:firstLineChars="400"/>
        <w:rPr>
          <w:rFonts w:ascii="Times New Roman" w:hAnsi="Times New Roman" w:eastAsia="宋体" w:cs="Times New Roman"/>
          <w:sz w:val="32"/>
          <w:szCs w:val="32"/>
          <w:u w:val="single"/>
        </w:rPr>
      </w:pPr>
      <w:r>
        <w:rPr>
          <w:rFonts w:ascii="Times New Roman" w:hAnsi="Times New Roman" w:eastAsia="宋体" w:cs="Times New Roman"/>
          <w:sz w:val="32"/>
          <w:szCs w:val="32"/>
        </w:rPr>
        <w:t>磋商内容：</w:t>
      </w:r>
    </w:p>
    <w:p>
      <w:pPr>
        <w:ind w:firstLine="1320" w:firstLineChars="300"/>
        <w:rPr>
          <w:rFonts w:ascii="Times New Roman" w:hAnsi="Times New Roman" w:eastAsia="宋体" w:cs="Times New Roman"/>
          <w:sz w:val="44"/>
          <w:szCs w:val="21"/>
        </w:rPr>
      </w:pPr>
    </w:p>
    <w:p>
      <w:pP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r>
        <w:rPr>
          <w:rFonts w:ascii="Times New Roman" w:hAnsi="Times New Roman" w:eastAsia="宋体" w:cs="Times New Roman"/>
          <w:sz w:val="32"/>
          <w:szCs w:val="32"/>
        </w:rPr>
        <w:t>供应商名称</w:t>
      </w:r>
      <w:r>
        <w:rPr>
          <w:rFonts w:hint="eastAsia" w:ascii="Times New Roman" w:hAnsi="Times New Roman" w:eastAsia="宋体" w:cs="Times New Roman"/>
          <w:sz w:val="32"/>
          <w:szCs w:val="32"/>
        </w:rPr>
        <w:t>：</w:t>
      </w:r>
    </w:p>
    <w:p>
      <w:pPr>
        <w:spacing w:line="360" w:lineRule="auto"/>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ind w:firstLine="632" w:firstLineChars="300"/>
        <w:rPr>
          <w:rFonts w:ascii="Times New Roman" w:hAnsi="Times New Roman" w:cs="Times New Roman"/>
          <w:b/>
        </w:rPr>
      </w:pPr>
    </w:p>
    <w:p>
      <w:pPr>
        <w:ind w:firstLine="632" w:firstLineChars="300"/>
        <w:rPr>
          <w:rFonts w:ascii="Times New Roman" w:hAnsi="Times New Roman" w:cs="Times New Roman"/>
          <w:b/>
        </w:rPr>
      </w:pPr>
    </w:p>
    <w:p>
      <w:pPr>
        <w:ind w:firstLine="632" w:firstLineChars="300"/>
        <w:rPr>
          <w:rFonts w:ascii="Times New Roman" w:hAnsi="Times New Roman" w:cs="Times New Roman"/>
          <w:b/>
        </w:rPr>
      </w:pPr>
    </w:p>
    <w:p>
      <w:pPr>
        <w:ind w:firstLine="632" w:firstLineChars="300"/>
        <w:rPr>
          <w:rFonts w:ascii="Times New Roman" w:hAnsi="Times New Roman" w:cs="Times New Roman"/>
          <w:b/>
        </w:rPr>
      </w:pPr>
    </w:p>
    <w:p>
      <w:pPr>
        <w:ind w:firstLine="632" w:firstLineChars="300"/>
        <w:rPr>
          <w:rFonts w:ascii="Times New Roman" w:hAnsi="Times New Roman" w:cs="Times New Roman"/>
          <w:b/>
        </w:rPr>
      </w:pPr>
    </w:p>
    <w:p>
      <w:pPr>
        <w:ind w:firstLine="632" w:firstLineChars="300"/>
        <w:rPr>
          <w:rFonts w:ascii="Times New Roman" w:hAnsi="Times New Roman" w:cs="Times New Roman"/>
          <w:b/>
        </w:rPr>
      </w:pPr>
    </w:p>
    <w:p>
      <w:pPr>
        <w:jc w:val="center"/>
        <w:rPr>
          <w:rFonts w:ascii="Times New Roman" w:hAnsi="Times New Roman" w:cs="Times New Roman"/>
          <w:b/>
          <w:sz w:val="32"/>
          <w:szCs w:val="32"/>
        </w:rPr>
      </w:pPr>
      <w:r>
        <w:rPr>
          <w:rFonts w:hint="eastAsia" w:ascii="Times New Roman" w:hAnsi="Times New Roman" w:eastAsia="宋体" w:cs="Times New Roman"/>
          <w:b/>
          <w:sz w:val="32"/>
          <w:szCs w:val="32"/>
        </w:rPr>
        <w:t>目  录</w:t>
      </w:r>
      <w:bookmarkStart w:id="62" w:name="_GoBack"/>
      <w:bookmarkEnd w:id="62"/>
      <w:r>
        <w:rPr>
          <w:rFonts w:ascii="Times New Roman" w:hAnsi="Times New Roman" w:cs="Times New Roman"/>
          <w:b/>
          <w:sz w:val="32"/>
          <w:szCs w:val="32"/>
        </w:rPr>
        <w:br w:type="page"/>
      </w:r>
      <w:bookmarkStart w:id="58" w:name="_Toc502096734"/>
      <w:bookmarkStart w:id="59" w:name="_Toc15934"/>
    </w:p>
    <w:p>
      <w:pPr>
        <w:adjustRightInd w:val="0"/>
        <w:snapToGrid w:val="0"/>
        <w:jc w:val="left"/>
        <w:outlineLvl w:val="0"/>
        <w:rPr>
          <w:rFonts w:ascii="Times New Roman" w:hAnsi="Times New Roman" w:cs="Times New Roman"/>
          <w:b/>
          <w:bCs/>
          <w:sz w:val="24"/>
          <w:szCs w:val="24"/>
        </w:rPr>
      </w:pPr>
      <w:r>
        <w:rPr>
          <w:rFonts w:ascii="Times New Roman" w:hAnsi="Times New Roman" w:cs="Times New Roman"/>
          <w:b/>
          <w:bCs/>
          <w:sz w:val="24"/>
          <w:szCs w:val="24"/>
        </w:rPr>
        <w:t>附件1</w:t>
      </w:r>
      <w:bookmarkEnd w:id="58"/>
      <w:bookmarkEnd w:id="59"/>
      <w:r>
        <w:rPr>
          <w:rFonts w:hint="eastAsia" w:ascii="方正小标宋简体" w:hAnsi="Times New Roman" w:eastAsia="方正小标宋简体" w:cs="Times New Roman"/>
          <w:sz w:val="32"/>
          <w:szCs w:val="32"/>
        </w:rPr>
        <w:t>磋 商 书</w:t>
      </w:r>
    </w:p>
    <w:p>
      <w:pPr>
        <w:spacing w:line="500" w:lineRule="exact"/>
        <w:ind w:left="-88" w:leftChars="-42"/>
        <w:rPr>
          <w:rFonts w:ascii="Times New Roman" w:hAnsi="Times New Roman" w:eastAsia="仿宋_GB2312" w:cs="Times New Roman"/>
          <w:sz w:val="24"/>
          <w:szCs w:val="24"/>
        </w:rPr>
      </w:pP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致：</w:t>
      </w:r>
      <w:r>
        <w:rPr>
          <w:rFonts w:hint="eastAsia" w:ascii="Times New Roman" w:hAnsi="Times New Roman" w:eastAsia="宋体" w:cs="Times New Roman"/>
          <w:sz w:val="24"/>
          <w:szCs w:val="24"/>
        </w:rPr>
        <w:t>（</w:t>
      </w:r>
      <w:r>
        <w:rPr>
          <w:rFonts w:hint="eastAsia" w:eastAsia="宋体"/>
          <w:kern w:val="0"/>
          <w:sz w:val="24"/>
          <w:szCs w:val="20"/>
          <w:lang w:eastAsia="zh-CN"/>
        </w:rPr>
        <w:t>采购代理机构</w:t>
      </w:r>
      <w:r>
        <w:rPr>
          <w:rFonts w:hint="eastAsia"/>
          <w:kern w:val="0"/>
          <w:sz w:val="24"/>
          <w:szCs w:val="20"/>
        </w:rPr>
        <w:t>名称）</w:t>
      </w:r>
    </w:p>
    <w:p>
      <w:pPr>
        <w:spacing w:line="440" w:lineRule="exact"/>
        <w:ind w:firstLine="480"/>
        <w:rPr>
          <w:rFonts w:ascii="Times New Roman" w:hAnsi="Times New Roman" w:eastAsia="宋体" w:cs="Times New Roman"/>
          <w:sz w:val="24"/>
          <w:szCs w:val="24"/>
          <w:highlight w:val="yellow"/>
        </w:rPr>
      </w:pPr>
      <w:r>
        <w:rPr>
          <w:rFonts w:ascii="Times New Roman" w:hAnsi="Times New Roman" w:eastAsia="宋体" w:cs="Times New Roman"/>
          <w:sz w:val="24"/>
          <w:szCs w:val="24"/>
        </w:rPr>
        <w:t>根据贵方</w:t>
      </w:r>
      <w:r>
        <w:rPr>
          <w:rFonts w:ascii="Times New Roman" w:hAnsi="Times New Roman" w:eastAsia="宋体" w:cs="Times New Roman"/>
          <w:sz w:val="24"/>
          <w:szCs w:val="24"/>
          <w:u w:val="single"/>
        </w:rPr>
        <w:t>（项目名称/项目编号）</w:t>
      </w:r>
      <w:r>
        <w:rPr>
          <w:rFonts w:ascii="Times New Roman" w:hAnsi="Times New Roman" w:eastAsia="宋体" w:cs="Times New Roman"/>
          <w:sz w:val="24"/>
          <w:szCs w:val="24"/>
        </w:rPr>
        <w:t>项目政府采购的磋商邀请，</w:t>
      </w:r>
      <w:r>
        <w:rPr>
          <w:rFonts w:ascii="Times New Roman" w:hAnsi="Times New Roman" w:eastAsia="宋体" w:cs="Times New Roman"/>
          <w:sz w:val="24"/>
          <w:szCs w:val="24"/>
          <w:u w:val="single"/>
        </w:rPr>
        <w:t>签字代表</w:t>
      </w:r>
      <w:r>
        <w:rPr>
          <w:rFonts w:ascii="Times New Roman" w:hAnsi="Times New Roman" w:eastAsia="宋体" w:cs="Times New Roman"/>
          <w:sz w:val="24"/>
          <w:szCs w:val="24"/>
        </w:rPr>
        <w:t>（姓名和职务）经正式授权并代表供应商</w:t>
      </w:r>
      <w:r>
        <w:rPr>
          <w:rFonts w:ascii="Times New Roman" w:hAnsi="Times New Roman" w:eastAsia="宋体" w:cs="Times New Roman"/>
          <w:sz w:val="24"/>
          <w:szCs w:val="24"/>
          <w:u w:val="single"/>
        </w:rPr>
        <w:t>（供应商名称、地址）</w:t>
      </w:r>
      <w:r>
        <w:rPr>
          <w:rFonts w:ascii="Times New Roman" w:hAnsi="Times New Roman" w:eastAsia="宋体" w:cs="Times New Roman"/>
          <w:sz w:val="24"/>
          <w:szCs w:val="24"/>
        </w:rPr>
        <w:t>提交下述响应文件</w:t>
      </w:r>
      <w:r>
        <w:rPr>
          <w:rFonts w:hint="eastAsia" w:ascii="Times New Roman" w:hAnsi="Times New Roman" w:eastAsia="宋体" w:cs="Times New Roman"/>
          <w:sz w:val="24"/>
          <w:szCs w:val="24"/>
        </w:rPr>
        <w:t>。</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1）磋商书 (附件1) ；</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2）报价组成情况表(附件2) ；</w:t>
      </w:r>
    </w:p>
    <w:p>
      <w:pPr>
        <w:spacing w:line="44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）资格性符合性检查对照表(附件</w:t>
      </w: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p>
    <w:p>
      <w:pPr>
        <w:spacing w:line="44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）技术响应、偏离情况说明表(附件</w:t>
      </w:r>
      <w:r>
        <w:rPr>
          <w:rFonts w:hint="eastAsia" w:ascii="Times New Roman" w:hAnsi="Times New Roman" w:eastAsia="宋体" w:cs="Times New Roman"/>
          <w:sz w:val="24"/>
          <w:szCs w:val="24"/>
        </w:rPr>
        <w:t>4</w:t>
      </w:r>
      <w:r>
        <w:rPr>
          <w:rFonts w:ascii="Times New Roman" w:hAnsi="Times New Roman" w:eastAsia="宋体" w:cs="Times New Roman"/>
          <w:sz w:val="24"/>
          <w:szCs w:val="24"/>
        </w:rPr>
        <w:t>)；</w:t>
      </w:r>
    </w:p>
    <w:p>
      <w:pPr>
        <w:spacing w:line="44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法定代表人授权书</w:t>
      </w:r>
      <w:r>
        <w:rPr>
          <w:rFonts w:ascii="Times New Roman" w:hAnsi="Times New Roman" w:eastAsia="宋体" w:cs="Times New Roman"/>
          <w:sz w:val="24"/>
          <w:szCs w:val="24"/>
        </w:rPr>
        <w:t>（附件</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p>
    <w:p>
      <w:pPr>
        <w:spacing w:line="44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）法人或者其他组织的营业执照等证明文件，自然人的身份证明(附件</w:t>
      </w:r>
      <w:r>
        <w:rPr>
          <w:rFonts w:hint="eastAsia" w:ascii="Times New Roman" w:hAnsi="Times New Roman" w:eastAsia="宋体" w:cs="Times New Roman"/>
          <w:sz w:val="24"/>
          <w:szCs w:val="24"/>
        </w:rPr>
        <w:t>6</w:t>
      </w:r>
      <w:r>
        <w:rPr>
          <w:rFonts w:ascii="Times New Roman" w:hAnsi="Times New Roman" w:eastAsia="宋体" w:cs="Times New Roman"/>
          <w:sz w:val="24"/>
          <w:szCs w:val="24"/>
        </w:rPr>
        <w:t>)；</w:t>
      </w:r>
    </w:p>
    <w:p>
      <w:pPr>
        <w:spacing w:line="44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）财务状况报告，依法缴纳税收和社会保障资金的相关材料(附件</w:t>
      </w:r>
      <w:r>
        <w:rPr>
          <w:rFonts w:hint="eastAsia" w:ascii="Times New Roman" w:hAnsi="Times New Roman" w:eastAsia="宋体" w:cs="Times New Roman"/>
          <w:sz w:val="24"/>
          <w:szCs w:val="24"/>
        </w:rPr>
        <w:t>7</w:t>
      </w:r>
      <w:r>
        <w:rPr>
          <w:rFonts w:ascii="Times New Roman" w:hAnsi="Times New Roman" w:eastAsia="宋体" w:cs="Times New Roman"/>
          <w:sz w:val="24"/>
          <w:szCs w:val="24"/>
        </w:rPr>
        <w:t>)；</w:t>
      </w:r>
    </w:p>
    <w:p>
      <w:pPr>
        <w:spacing w:line="44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8</w:t>
      </w:r>
      <w:r>
        <w:rPr>
          <w:rFonts w:ascii="Times New Roman" w:hAnsi="Times New Roman" w:eastAsia="宋体" w:cs="Times New Roman"/>
          <w:sz w:val="24"/>
          <w:szCs w:val="24"/>
        </w:rPr>
        <w:t>）具备履行合同所必需的设备和专业技术能力的证明材料(附件</w:t>
      </w:r>
      <w:r>
        <w:rPr>
          <w:rFonts w:hint="eastAsia" w:ascii="Times New Roman" w:hAnsi="Times New Roman" w:eastAsia="宋体" w:cs="Times New Roman"/>
          <w:sz w:val="24"/>
          <w:szCs w:val="24"/>
        </w:rPr>
        <w:t>8</w:t>
      </w:r>
      <w:r>
        <w:rPr>
          <w:rFonts w:ascii="Times New Roman" w:hAnsi="Times New Roman" w:eastAsia="宋体" w:cs="Times New Roman"/>
          <w:sz w:val="24"/>
          <w:szCs w:val="24"/>
        </w:rPr>
        <w:t>)；</w:t>
      </w:r>
    </w:p>
    <w:p>
      <w:pPr>
        <w:spacing w:line="44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9</w:t>
      </w:r>
      <w:r>
        <w:rPr>
          <w:rFonts w:ascii="Times New Roman" w:hAnsi="Times New Roman" w:eastAsia="宋体" w:cs="Times New Roman"/>
          <w:sz w:val="24"/>
          <w:szCs w:val="24"/>
        </w:rPr>
        <w:t>）参加政府采购活动前3年内在经营活动中没有重大违法记录的书面声明(附件</w:t>
      </w:r>
      <w:r>
        <w:rPr>
          <w:rFonts w:hint="eastAsia" w:ascii="Times New Roman" w:hAnsi="Times New Roman" w:eastAsia="宋体" w:cs="Times New Roman"/>
          <w:sz w:val="24"/>
          <w:szCs w:val="24"/>
        </w:rPr>
        <w:t>9</w:t>
      </w:r>
      <w:r>
        <w:rPr>
          <w:rFonts w:ascii="Times New Roman" w:hAnsi="Times New Roman" w:eastAsia="宋体" w:cs="Times New Roman"/>
          <w:sz w:val="24"/>
          <w:szCs w:val="24"/>
        </w:rPr>
        <w:t>)；</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0</w:t>
      </w:r>
      <w:r>
        <w:rPr>
          <w:rFonts w:ascii="Times New Roman" w:hAnsi="Times New Roman" w:eastAsia="宋体" w:cs="Times New Roman"/>
          <w:sz w:val="24"/>
          <w:szCs w:val="24"/>
        </w:rPr>
        <w:t>）未被列入“信用中国”网站(www.creditchina.gov.cn)、失信被执行人、重大税收违法案件当事人名单，中国政府采购网（www.ccgp.gov.cn）政府采购严重违法失信行为记录名单</w:t>
      </w:r>
      <w:r>
        <w:rPr>
          <w:rFonts w:hint="eastAsia" w:ascii="Times New Roman" w:hAnsi="Times New Roman" w:eastAsia="宋体" w:cs="Times New Roman"/>
          <w:sz w:val="24"/>
          <w:szCs w:val="24"/>
        </w:rPr>
        <w:t>（附件10）</w:t>
      </w:r>
      <w:r>
        <w:rPr>
          <w:rFonts w:ascii="Times New Roman" w:hAnsi="Times New Roman" w:eastAsia="宋体" w:cs="Times New Roman"/>
          <w:sz w:val="24"/>
          <w:szCs w:val="24"/>
        </w:rPr>
        <w:t>；</w:t>
      </w:r>
    </w:p>
    <w:p>
      <w:pPr>
        <w:pStyle w:val="9"/>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11）.《中小企业声明函》(附件11)。</w:t>
      </w:r>
    </w:p>
    <w:p>
      <w:pPr>
        <w:spacing w:line="440" w:lineRule="exact"/>
        <w:ind w:firstLine="480"/>
        <w:rPr>
          <w:rFonts w:ascii="Times New Roman" w:hAnsi="Times New Roman" w:eastAsia="宋体" w:cs="Times New Roman"/>
          <w:bCs/>
          <w:sz w:val="24"/>
          <w:szCs w:val="24"/>
        </w:rPr>
      </w:pPr>
      <w:r>
        <w:rPr>
          <w:rFonts w:ascii="Times New Roman" w:hAnsi="Times New Roman" w:eastAsia="宋体" w:cs="Times New Roman"/>
          <w:sz w:val="24"/>
          <w:szCs w:val="24"/>
        </w:rPr>
        <w:t>本文件要求提供的其他资格证明文件及资料。</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在此，我方宣布同意如下：</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1. 将按磋商文件的规定履行合同责任和义务；</w:t>
      </w:r>
    </w:p>
    <w:p>
      <w:pPr>
        <w:spacing w:line="440" w:lineRule="exact"/>
        <w:ind w:left="840" w:hanging="360"/>
        <w:rPr>
          <w:rFonts w:ascii="Times New Roman" w:hAnsi="Times New Roman" w:eastAsia="宋体" w:cs="Times New Roman"/>
          <w:sz w:val="24"/>
          <w:szCs w:val="24"/>
        </w:rPr>
      </w:pPr>
      <w:r>
        <w:rPr>
          <w:rFonts w:ascii="Times New Roman" w:hAnsi="Times New Roman" w:eastAsia="宋体" w:cs="Times New Roman"/>
          <w:sz w:val="24"/>
          <w:szCs w:val="24"/>
        </w:rPr>
        <w:t>2. 已详细审查全部磋商文件，包括第（编号、补遗书）（如果有的话）；我们完全理解并同意放弃对这方面有不明及误解的权力；</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3. 本响应文件有效期为自磋商之日起个日历日；</w:t>
      </w:r>
    </w:p>
    <w:p>
      <w:pPr>
        <w:spacing w:line="440" w:lineRule="exact"/>
        <w:ind w:left="840" w:hanging="360"/>
        <w:rPr>
          <w:rFonts w:ascii="Times New Roman" w:hAnsi="Times New Roman" w:eastAsia="宋体" w:cs="Times New Roman"/>
          <w:sz w:val="24"/>
          <w:szCs w:val="24"/>
        </w:rPr>
      </w:pPr>
      <w:r>
        <w:rPr>
          <w:rFonts w:ascii="Times New Roman" w:hAnsi="Times New Roman" w:eastAsia="宋体" w:cs="Times New Roman"/>
          <w:sz w:val="24"/>
          <w:szCs w:val="24"/>
        </w:rPr>
        <w:t>4. 同意提供按照贵方可能要求的与其磋商有关的一切数据或资料；</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5. 与本磋商有关的一切正式往来信函请寄：</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电子信箱：</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法定代表人或授权代表（签字或签章）：</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供应商名称（公章）：</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日期：</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adjustRightInd w:val="0"/>
        <w:snapToGrid w:val="0"/>
        <w:jc w:val="left"/>
        <w:outlineLvl w:val="0"/>
        <w:rPr>
          <w:rFonts w:ascii="方正小标宋简体" w:hAnsi="Times New Roman" w:eastAsia="方正小标宋简体" w:cs="Times New Roman"/>
          <w:sz w:val="32"/>
          <w:szCs w:val="32"/>
        </w:rPr>
      </w:pPr>
      <w:r>
        <w:rPr>
          <w:rFonts w:ascii="Times New Roman" w:hAnsi="Times New Roman" w:cs="Times New Roman"/>
          <w:b/>
          <w:bCs/>
          <w:sz w:val="24"/>
          <w:szCs w:val="24"/>
        </w:rPr>
        <w:t xml:space="preserve">附件2                   </w:t>
      </w:r>
      <w:r>
        <w:rPr>
          <w:rFonts w:hint="eastAsia" w:ascii="方正小标宋简体" w:hAnsi="Times New Roman" w:eastAsia="方正小标宋简体" w:cs="Times New Roman"/>
          <w:sz w:val="32"/>
          <w:szCs w:val="32"/>
        </w:rPr>
        <w:t>报价组成情况表</w:t>
      </w:r>
    </w:p>
    <w:p>
      <w:pPr>
        <w:spacing w:line="240" w:lineRule="atLeast"/>
        <w:rPr>
          <w:rFonts w:ascii="Times New Roman" w:hAnsi="Times New Roman" w:cs="Times New Roman"/>
          <w:color w:val="000000"/>
          <w:sz w:val="24"/>
        </w:rPr>
      </w:pPr>
    </w:p>
    <w:p>
      <w:pPr>
        <w:spacing w:line="360" w:lineRule="auto"/>
        <w:rPr>
          <w:rFonts w:ascii="Times New Roman" w:hAnsi="Times New Roman" w:cs="Times New Roman"/>
          <w:color w:val="000000"/>
          <w:sz w:val="24"/>
          <w:u w:val="single"/>
        </w:rPr>
      </w:pPr>
      <w:r>
        <w:rPr>
          <w:rFonts w:ascii="Times New Roman" w:hAnsi="Times New Roman" w:cs="Times New Roman"/>
          <w:color w:val="000000"/>
          <w:sz w:val="24"/>
        </w:rPr>
        <w:t>项目编号（包号）：</w:t>
      </w:r>
    </w:p>
    <w:p>
      <w:pPr>
        <w:spacing w:line="360" w:lineRule="auto"/>
        <w:rPr>
          <w:rFonts w:ascii="Times New Roman" w:hAnsi="Times New Roman" w:eastAsia="仿宋_GB2312" w:cs="Times New Roman"/>
          <w:color w:val="000000"/>
          <w:sz w:val="24"/>
          <w:u w:val="single"/>
        </w:rPr>
      </w:pPr>
      <w:r>
        <w:rPr>
          <w:rFonts w:ascii="Times New Roman" w:hAnsi="Times New Roman" w:cs="Times New Roman"/>
          <w:color w:val="000000"/>
          <w:sz w:val="24"/>
        </w:rPr>
        <w:t>项目名称：</w:t>
      </w:r>
    </w:p>
    <w:tbl>
      <w:tblPr>
        <w:tblStyle w:val="17"/>
        <w:tblW w:w="80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8"/>
        <w:gridCol w:w="1820"/>
        <w:gridCol w:w="1204"/>
        <w:gridCol w:w="784"/>
        <w:gridCol w:w="1610"/>
        <w:gridCol w:w="889"/>
        <w:gridCol w:w="11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38"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序号</w:t>
            </w:r>
          </w:p>
        </w:tc>
        <w:tc>
          <w:tcPr>
            <w:tcW w:w="1820"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名称（服务）</w:t>
            </w:r>
          </w:p>
        </w:tc>
        <w:tc>
          <w:tcPr>
            <w:tcW w:w="1204"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规格型号</w:t>
            </w:r>
          </w:p>
        </w:tc>
        <w:tc>
          <w:tcPr>
            <w:tcW w:w="784"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数量</w:t>
            </w:r>
          </w:p>
        </w:tc>
        <w:tc>
          <w:tcPr>
            <w:tcW w:w="1610"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制造商名称</w:t>
            </w:r>
          </w:p>
        </w:tc>
        <w:tc>
          <w:tcPr>
            <w:tcW w:w="889"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单价</w:t>
            </w:r>
          </w:p>
        </w:tc>
        <w:tc>
          <w:tcPr>
            <w:tcW w:w="1106"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38" w:type="dxa"/>
            <w:tcBorders>
              <w:bottom w:val="single" w:color="auto" w:sz="4" w:space="0"/>
            </w:tcBorders>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1</w:t>
            </w:r>
          </w:p>
        </w:tc>
        <w:tc>
          <w:tcPr>
            <w:tcW w:w="1820" w:type="dxa"/>
            <w:vAlign w:val="center"/>
          </w:tcPr>
          <w:p>
            <w:pPr>
              <w:adjustRightInd w:val="0"/>
              <w:snapToGrid w:val="0"/>
              <w:spacing w:line="360" w:lineRule="auto"/>
              <w:ind w:left="-88" w:leftChars="-42"/>
              <w:jc w:val="center"/>
              <w:rPr>
                <w:rFonts w:ascii="Times New Roman" w:hAnsi="Times New Roman" w:cs="Times New Roman"/>
                <w:sz w:val="24"/>
              </w:rPr>
            </w:pPr>
          </w:p>
        </w:tc>
        <w:tc>
          <w:tcPr>
            <w:tcW w:w="1204" w:type="dxa"/>
            <w:vAlign w:val="center"/>
          </w:tcPr>
          <w:p>
            <w:pPr>
              <w:adjustRightInd w:val="0"/>
              <w:snapToGrid w:val="0"/>
              <w:spacing w:line="360" w:lineRule="auto"/>
              <w:jc w:val="center"/>
              <w:rPr>
                <w:rFonts w:ascii="Times New Roman" w:hAnsi="Times New Roman" w:cs="Times New Roman"/>
                <w:sz w:val="24"/>
              </w:rPr>
            </w:pPr>
          </w:p>
        </w:tc>
        <w:tc>
          <w:tcPr>
            <w:tcW w:w="784" w:type="dxa"/>
            <w:vAlign w:val="center"/>
          </w:tcPr>
          <w:p>
            <w:pPr>
              <w:adjustRightInd w:val="0"/>
              <w:snapToGrid w:val="0"/>
              <w:spacing w:line="360" w:lineRule="auto"/>
              <w:jc w:val="center"/>
              <w:rPr>
                <w:rFonts w:ascii="Times New Roman" w:hAnsi="Times New Roman" w:cs="Times New Roman"/>
                <w:sz w:val="24"/>
              </w:rPr>
            </w:pPr>
          </w:p>
        </w:tc>
        <w:tc>
          <w:tcPr>
            <w:tcW w:w="1610" w:type="dxa"/>
            <w:vAlign w:val="center"/>
          </w:tcPr>
          <w:p>
            <w:pPr>
              <w:adjustRightInd w:val="0"/>
              <w:snapToGrid w:val="0"/>
              <w:spacing w:line="360" w:lineRule="auto"/>
              <w:jc w:val="center"/>
              <w:rPr>
                <w:rFonts w:ascii="Times New Roman" w:hAnsi="Times New Roman" w:cs="Times New Roman"/>
                <w:sz w:val="24"/>
              </w:rPr>
            </w:pPr>
          </w:p>
        </w:tc>
        <w:tc>
          <w:tcPr>
            <w:tcW w:w="889" w:type="dxa"/>
            <w:vAlign w:val="center"/>
          </w:tcPr>
          <w:p>
            <w:pPr>
              <w:adjustRightInd w:val="0"/>
              <w:snapToGrid w:val="0"/>
              <w:spacing w:line="360" w:lineRule="auto"/>
              <w:jc w:val="center"/>
              <w:rPr>
                <w:rFonts w:ascii="Times New Roman" w:hAnsi="Times New Roman" w:cs="Times New Roman"/>
                <w:sz w:val="24"/>
              </w:rPr>
            </w:pPr>
          </w:p>
        </w:tc>
        <w:tc>
          <w:tcPr>
            <w:tcW w:w="110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38" w:type="dxa"/>
            <w:tcBorders>
              <w:top w:val="single" w:color="auto" w:sz="4" w:space="0"/>
            </w:tcBorders>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2</w:t>
            </w:r>
          </w:p>
        </w:tc>
        <w:tc>
          <w:tcPr>
            <w:tcW w:w="1820" w:type="dxa"/>
            <w:vAlign w:val="center"/>
          </w:tcPr>
          <w:p>
            <w:pPr>
              <w:adjustRightInd w:val="0"/>
              <w:snapToGrid w:val="0"/>
              <w:spacing w:line="360" w:lineRule="auto"/>
              <w:ind w:left="-88" w:leftChars="-42"/>
              <w:jc w:val="center"/>
              <w:rPr>
                <w:rFonts w:ascii="Times New Roman" w:hAnsi="Times New Roman" w:cs="Times New Roman"/>
                <w:sz w:val="24"/>
              </w:rPr>
            </w:pPr>
          </w:p>
        </w:tc>
        <w:tc>
          <w:tcPr>
            <w:tcW w:w="1204" w:type="dxa"/>
            <w:vAlign w:val="center"/>
          </w:tcPr>
          <w:p>
            <w:pPr>
              <w:adjustRightInd w:val="0"/>
              <w:snapToGrid w:val="0"/>
              <w:spacing w:line="360" w:lineRule="auto"/>
              <w:jc w:val="center"/>
              <w:rPr>
                <w:rFonts w:ascii="Times New Roman" w:hAnsi="Times New Roman" w:cs="Times New Roman"/>
                <w:sz w:val="24"/>
              </w:rPr>
            </w:pPr>
          </w:p>
        </w:tc>
        <w:tc>
          <w:tcPr>
            <w:tcW w:w="784" w:type="dxa"/>
            <w:vAlign w:val="center"/>
          </w:tcPr>
          <w:p>
            <w:pPr>
              <w:adjustRightInd w:val="0"/>
              <w:snapToGrid w:val="0"/>
              <w:spacing w:line="360" w:lineRule="auto"/>
              <w:jc w:val="center"/>
              <w:rPr>
                <w:rFonts w:ascii="Times New Roman" w:hAnsi="Times New Roman" w:cs="Times New Roman"/>
                <w:sz w:val="24"/>
              </w:rPr>
            </w:pPr>
          </w:p>
        </w:tc>
        <w:tc>
          <w:tcPr>
            <w:tcW w:w="1610" w:type="dxa"/>
            <w:vAlign w:val="center"/>
          </w:tcPr>
          <w:p>
            <w:pPr>
              <w:adjustRightInd w:val="0"/>
              <w:snapToGrid w:val="0"/>
              <w:spacing w:line="360" w:lineRule="auto"/>
              <w:jc w:val="center"/>
              <w:rPr>
                <w:rFonts w:ascii="Times New Roman" w:hAnsi="Times New Roman" w:cs="Times New Roman"/>
                <w:sz w:val="24"/>
              </w:rPr>
            </w:pPr>
          </w:p>
        </w:tc>
        <w:tc>
          <w:tcPr>
            <w:tcW w:w="889" w:type="dxa"/>
            <w:vAlign w:val="center"/>
          </w:tcPr>
          <w:p>
            <w:pPr>
              <w:adjustRightInd w:val="0"/>
              <w:snapToGrid w:val="0"/>
              <w:spacing w:line="360" w:lineRule="auto"/>
              <w:jc w:val="center"/>
              <w:rPr>
                <w:rFonts w:ascii="Times New Roman" w:hAnsi="Times New Roman" w:cs="Times New Roman"/>
                <w:sz w:val="24"/>
              </w:rPr>
            </w:pPr>
          </w:p>
        </w:tc>
        <w:tc>
          <w:tcPr>
            <w:tcW w:w="110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38"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3</w:t>
            </w:r>
          </w:p>
        </w:tc>
        <w:tc>
          <w:tcPr>
            <w:tcW w:w="1820" w:type="dxa"/>
            <w:vAlign w:val="center"/>
          </w:tcPr>
          <w:p>
            <w:pPr>
              <w:adjustRightInd w:val="0"/>
              <w:snapToGrid w:val="0"/>
              <w:spacing w:line="360" w:lineRule="auto"/>
              <w:ind w:left="-88" w:leftChars="-42"/>
              <w:jc w:val="center"/>
              <w:rPr>
                <w:rFonts w:ascii="Times New Roman" w:hAnsi="Times New Roman" w:cs="Times New Roman"/>
                <w:sz w:val="24"/>
              </w:rPr>
            </w:pPr>
          </w:p>
        </w:tc>
        <w:tc>
          <w:tcPr>
            <w:tcW w:w="1204" w:type="dxa"/>
            <w:vAlign w:val="center"/>
          </w:tcPr>
          <w:p>
            <w:pPr>
              <w:adjustRightInd w:val="0"/>
              <w:snapToGrid w:val="0"/>
              <w:spacing w:line="360" w:lineRule="auto"/>
              <w:jc w:val="center"/>
              <w:rPr>
                <w:rFonts w:ascii="Times New Roman" w:hAnsi="Times New Roman" w:cs="Times New Roman"/>
                <w:sz w:val="24"/>
              </w:rPr>
            </w:pPr>
          </w:p>
        </w:tc>
        <w:tc>
          <w:tcPr>
            <w:tcW w:w="784" w:type="dxa"/>
            <w:vAlign w:val="center"/>
          </w:tcPr>
          <w:p>
            <w:pPr>
              <w:adjustRightInd w:val="0"/>
              <w:snapToGrid w:val="0"/>
              <w:spacing w:line="360" w:lineRule="auto"/>
              <w:jc w:val="center"/>
              <w:rPr>
                <w:rFonts w:ascii="Times New Roman" w:hAnsi="Times New Roman" w:cs="Times New Roman"/>
                <w:sz w:val="24"/>
              </w:rPr>
            </w:pPr>
          </w:p>
        </w:tc>
        <w:tc>
          <w:tcPr>
            <w:tcW w:w="1610" w:type="dxa"/>
            <w:vAlign w:val="center"/>
          </w:tcPr>
          <w:p>
            <w:pPr>
              <w:adjustRightInd w:val="0"/>
              <w:snapToGrid w:val="0"/>
              <w:spacing w:line="360" w:lineRule="auto"/>
              <w:jc w:val="center"/>
              <w:rPr>
                <w:rFonts w:ascii="Times New Roman" w:hAnsi="Times New Roman" w:cs="Times New Roman"/>
                <w:sz w:val="24"/>
              </w:rPr>
            </w:pPr>
          </w:p>
        </w:tc>
        <w:tc>
          <w:tcPr>
            <w:tcW w:w="889" w:type="dxa"/>
            <w:vAlign w:val="center"/>
          </w:tcPr>
          <w:p>
            <w:pPr>
              <w:adjustRightInd w:val="0"/>
              <w:snapToGrid w:val="0"/>
              <w:spacing w:line="360" w:lineRule="auto"/>
              <w:jc w:val="center"/>
              <w:rPr>
                <w:rFonts w:ascii="Times New Roman" w:hAnsi="Times New Roman" w:cs="Times New Roman"/>
                <w:sz w:val="24"/>
              </w:rPr>
            </w:pPr>
          </w:p>
        </w:tc>
        <w:tc>
          <w:tcPr>
            <w:tcW w:w="110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38"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4</w:t>
            </w:r>
          </w:p>
        </w:tc>
        <w:tc>
          <w:tcPr>
            <w:tcW w:w="1820" w:type="dxa"/>
            <w:vAlign w:val="center"/>
          </w:tcPr>
          <w:p>
            <w:pPr>
              <w:adjustRightInd w:val="0"/>
              <w:snapToGrid w:val="0"/>
              <w:spacing w:line="360" w:lineRule="auto"/>
              <w:ind w:left="-88" w:leftChars="-42"/>
              <w:jc w:val="center"/>
              <w:rPr>
                <w:rFonts w:ascii="Times New Roman" w:hAnsi="Times New Roman" w:cs="Times New Roman"/>
                <w:sz w:val="24"/>
              </w:rPr>
            </w:pPr>
          </w:p>
        </w:tc>
        <w:tc>
          <w:tcPr>
            <w:tcW w:w="1204" w:type="dxa"/>
            <w:vAlign w:val="center"/>
          </w:tcPr>
          <w:p>
            <w:pPr>
              <w:adjustRightInd w:val="0"/>
              <w:snapToGrid w:val="0"/>
              <w:spacing w:line="360" w:lineRule="auto"/>
              <w:jc w:val="center"/>
              <w:rPr>
                <w:rFonts w:ascii="Times New Roman" w:hAnsi="Times New Roman" w:cs="Times New Roman"/>
                <w:sz w:val="24"/>
              </w:rPr>
            </w:pPr>
          </w:p>
        </w:tc>
        <w:tc>
          <w:tcPr>
            <w:tcW w:w="784" w:type="dxa"/>
            <w:vAlign w:val="center"/>
          </w:tcPr>
          <w:p>
            <w:pPr>
              <w:adjustRightInd w:val="0"/>
              <w:snapToGrid w:val="0"/>
              <w:spacing w:line="360" w:lineRule="auto"/>
              <w:jc w:val="center"/>
              <w:rPr>
                <w:rFonts w:ascii="Times New Roman" w:hAnsi="Times New Roman" w:cs="Times New Roman"/>
                <w:sz w:val="24"/>
              </w:rPr>
            </w:pPr>
          </w:p>
        </w:tc>
        <w:tc>
          <w:tcPr>
            <w:tcW w:w="1610" w:type="dxa"/>
            <w:vAlign w:val="center"/>
          </w:tcPr>
          <w:p>
            <w:pPr>
              <w:adjustRightInd w:val="0"/>
              <w:snapToGrid w:val="0"/>
              <w:spacing w:line="360" w:lineRule="auto"/>
              <w:jc w:val="center"/>
              <w:rPr>
                <w:rFonts w:ascii="Times New Roman" w:hAnsi="Times New Roman" w:cs="Times New Roman"/>
                <w:sz w:val="24"/>
              </w:rPr>
            </w:pPr>
          </w:p>
        </w:tc>
        <w:tc>
          <w:tcPr>
            <w:tcW w:w="889" w:type="dxa"/>
            <w:vAlign w:val="center"/>
          </w:tcPr>
          <w:p>
            <w:pPr>
              <w:adjustRightInd w:val="0"/>
              <w:snapToGrid w:val="0"/>
              <w:spacing w:line="360" w:lineRule="auto"/>
              <w:jc w:val="center"/>
              <w:rPr>
                <w:rFonts w:ascii="Times New Roman" w:hAnsi="Times New Roman" w:cs="Times New Roman"/>
                <w:sz w:val="24"/>
              </w:rPr>
            </w:pPr>
          </w:p>
        </w:tc>
        <w:tc>
          <w:tcPr>
            <w:tcW w:w="110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38"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5</w:t>
            </w:r>
          </w:p>
        </w:tc>
        <w:tc>
          <w:tcPr>
            <w:tcW w:w="1820" w:type="dxa"/>
            <w:vAlign w:val="center"/>
          </w:tcPr>
          <w:p>
            <w:pPr>
              <w:adjustRightInd w:val="0"/>
              <w:snapToGrid w:val="0"/>
              <w:spacing w:line="360" w:lineRule="auto"/>
              <w:ind w:left="-88" w:leftChars="-42"/>
              <w:jc w:val="center"/>
              <w:rPr>
                <w:rFonts w:ascii="Times New Roman" w:hAnsi="Times New Roman" w:cs="Times New Roman"/>
                <w:sz w:val="24"/>
              </w:rPr>
            </w:pPr>
          </w:p>
        </w:tc>
        <w:tc>
          <w:tcPr>
            <w:tcW w:w="1204" w:type="dxa"/>
            <w:vAlign w:val="center"/>
          </w:tcPr>
          <w:p>
            <w:pPr>
              <w:adjustRightInd w:val="0"/>
              <w:snapToGrid w:val="0"/>
              <w:spacing w:line="360" w:lineRule="auto"/>
              <w:jc w:val="center"/>
              <w:rPr>
                <w:rFonts w:ascii="Times New Roman" w:hAnsi="Times New Roman" w:cs="Times New Roman"/>
                <w:sz w:val="24"/>
              </w:rPr>
            </w:pPr>
          </w:p>
        </w:tc>
        <w:tc>
          <w:tcPr>
            <w:tcW w:w="784" w:type="dxa"/>
            <w:vAlign w:val="center"/>
          </w:tcPr>
          <w:p>
            <w:pPr>
              <w:adjustRightInd w:val="0"/>
              <w:snapToGrid w:val="0"/>
              <w:spacing w:line="360" w:lineRule="auto"/>
              <w:jc w:val="center"/>
              <w:rPr>
                <w:rFonts w:ascii="Times New Roman" w:hAnsi="Times New Roman" w:cs="Times New Roman"/>
                <w:sz w:val="24"/>
              </w:rPr>
            </w:pPr>
          </w:p>
        </w:tc>
        <w:tc>
          <w:tcPr>
            <w:tcW w:w="1610" w:type="dxa"/>
            <w:vAlign w:val="center"/>
          </w:tcPr>
          <w:p>
            <w:pPr>
              <w:adjustRightInd w:val="0"/>
              <w:snapToGrid w:val="0"/>
              <w:spacing w:line="360" w:lineRule="auto"/>
              <w:jc w:val="center"/>
              <w:rPr>
                <w:rFonts w:ascii="Times New Roman" w:hAnsi="Times New Roman" w:cs="Times New Roman"/>
                <w:sz w:val="24"/>
              </w:rPr>
            </w:pPr>
          </w:p>
        </w:tc>
        <w:tc>
          <w:tcPr>
            <w:tcW w:w="889" w:type="dxa"/>
            <w:vAlign w:val="center"/>
          </w:tcPr>
          <w:p>
            <w:pPr>
              <w:adjustRightInd w:val="0"/>
              <w:snapToGrid w:val="0"/>
              <w:spacing w:line="360" w:lineRule="auto"/>
              <w:jc w:val="center"/>
              <w:rPr>
                <w:rFonts w:ascii="Times New Roman" w:hAnsi="Times New Roman" w:cs="Times New Roman"/>
                <w:sz w:val="24"/>
              </w:rPr>
            </w:pPr>
          </w:p>
        </w:tc>
        <w:tc>
          <w:tcPr>
            <w:tcW w:w="110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38"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6</w:t>
            </w:r>
          </w:p>
        </w:tc>
        <w:tc>
          <w:tcPr>
            <w:tcW w:w="1820" w:type="dxa"/>
            <w:vAlign w:val="center"/>
          </w:tcPr>
          <w:p>
            <w:pPr>
              <w:adjustRightInd w:val="0"/>
              <w:snapToGrid w:val="0"/>
              <w:spacing w:line="360" w:lineRule="auto"/>
              <w:ind w:left="-88" w:leftChars="-42"/>
              <w:jc w:val="center"/>
              <w:rPr>
                <w:rFonts w:ascii="Times New Roman" w:hAnsi="Times New Roman" w:cs="Times New Roman"/>
                <w:sz w:val="24"/>
              </w:rPr>
            </w:pPr>
          </w:p>
        </w:tc>
        <w:tc>
          <w:tcPr>
            <w:tcW w:w="1204" w:type="dxa"/>
            <w:vAlign w:val="center"/>
          </w:tcPr>
          <w:p>
            <w:pPr>
              <w:adjustRightInd w:val="0"/>
              <w:snapToGrid w:val="0"/>
              <w:spacing w:line="360" w:lineRule="auto"/>
              <w:jc w:val="center"/>
              <w:rPr>
                <w:rFonts w:ascii="Times New Roman" w:hAnsi="Times New Roman" w:cs="Times New Roman"/>
                <w:sz w:val="24"/>
              </w:rPr>
            </w:pPr>
          </w:p>
        </w:tc>
        <w:tc>
          <w:tcPr>
            <w:tcW w:w="784" w:type="dxa"/>
            <w:vAlign w:val="center"/>
          </w:tcPr>
          <w:p>
            <w:pPr>
              <w:adjustRightInd w:val="0"/>
              <w:snapToGrid w:val="0"/>
              <w:spacing w:line="360" w:lineRule="auto"/>
              <w:jc w:val="center"/>
              <w:rPr>
                <w:rFonts w:ascii="Times New Roman" w:hAnsi="Times New Roman" w:cs="Times New Roman"/>
                <w:sz w:val="24"/>
              </w:rPr>
            </w:pPr>
          </w:p>
        </w:tc>
        <w:tc>
          <w:tcPr>
            <w:tcW w:w="1610" w:type="dxa"/>
            <w:vAlign w:val="center"/>
          </w:tcPr>
          <w:p>
            <w:pPr>
              <w:adjustRightInd w:val="0"/>
              <w:snapToGrid w:val="0"/>
              <w:spacing w:line="360" w:lineRule="auto"/>
              <w:jc w:val="center"/>
              <w:rPr>
                <w:rFonts w:ascii="Times New Roman" w:hAnsi="Times New Roman" w:cs="Times New Roman"/>
                <w:sz w:val="24"/>
              </w:rPr>
            </w:pPr>
          </w:p>
        </w:tc>
        <w:tc>
          <w:tcPr>
            <w:tcW w:w="889" w:type="dxa"/>
            <w:vAlign w:val="center"/>
          </w:tcPr>
          <w:p>
            <w:pPr>
              <w:adjustRightInd w:val="0"/>
              <w:snapToGrid w:val="0"/>
              <w:spacing w:line="360" w:lineRule="auto"/>
              <w:jc w:val="center"/>
              <w:rPr>
                <w:rFonts w:ascii="Times New Roman" w:hAnsi="Times New Roman" w:cs="Times New Roman"/>
                <w:sz w:val="24"/>
              </w:rPr>
            </w:pPr>
          </w:p>
        </w:tc>
        <w:tc>
          <w:tcPr>
            <w:tcW w:w="110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38"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820" w:type="dxa"/>
            <w:vAlign w:val="center"/>
          </w:tcPr>
          <w:p>
            <w:pPr>
              <w:adjustRightInd w:val="0"/>
              <w:snapToGrid w:val="0"/>
              <w:spacing w:line="360" w:lineRule="auto"/>
              <w:ind w:left="-88" w:leftChars="-42"/>
              <w:jc w:val="center"/>
              <w:rPr>
                <w:rFonts w:ascii="Times New Roman" w:hAnsi="Times New Roman" w:cs="Times New Roman"/>
                <w:sz w:val="24"/>
              </w:rPr>
            </w:pPr>
          </w:p>
        </w:tc>
        <w:tc>
          <w:tcPr>
            <w:tcW w:w="1204" w:type="dxa"/>
            <w:vAlign w:val="center"/>
          </w:tcPr>
          <w:p>
            <w:pPr>
              <w:adjustRightInd w:val="0"/>
              <w:snapToGrid w:val="0"/>
              <w:spacing w:line="360" w:lineRule="auto"/>
              <w:jc w:val="center"/>
              <w:rPr>
                <w:rFonts w:ascii="Times New Roman" w:hAnsi="Times New Roman" w:cs="Times New Roman"/>
                <w:sz w:val="24"/>
              </w:rPr>
            </w:pPr>
          </w:p>
        </w:tc>
        <w:tc>
          <w:tcPr>
            <w:tcW w:w="784" w:type="dxa"/>
            <w:vAlign w:val="center"/>
          </w:tcPr>
          <w:p>
            <w:pPr>
              <w:adjustRightInd w:val="0"/>
              <w:snapToGrid w:val="0"/>
              <w:spacing w:line="360" w:lineRule="auto"/>
              <w:jc w:val="center"/>
              <w:rPr>
                <w:rFonts w:ascii="Times New Roman" w:hAnsi="Times New Roman" w:cs="Times New Roman"/>
                <w:sz w:val="24"/>
              </w:rPr>
            </w:pPr>
          </w:p>
        </w:tc>
        <w:tc>
          <w:tcPr>
            <w:tcW w:w="1610" w:type="dxa"/>
            <w:vAlign w:val="center"/>
          </w:tcPr>
          <w:p>
            <w:pPr>
              <w:adjustRightInd w:val="0"/>
              <w:snapToGrid w:val="0"/>
              <w:spacing w:line="360" w:lineRule="auto"/>
              <w:jc w:val="center"/>
              <w:rPr>
                <w:rFonts w:ascii="Times New Roman" w:hAnsi="Times New Roman" w:cs="Times New Roman"/>
                <w:sz w:val="24"/>
              </w:rPr>
            </w:pPr>
          </w:p>
        </w:tc>
        <w:tc>
          <w:tcPr>
            <w:tcW w:w="889" w:type="dxa"/>
            <w:vAlign w:val="center"/>
          </w:tcPr>
          <w:p>
            <w:pPr>
              <w:adjustRightInd w:val="0"/>
              <w:snapToGrid w:val="0"/>
              <w:spacing w:line="360" w:lineRule="auto"/>
              <w:jc w:val="center"/>
              <w:rPr>
                <w:rFonts w:ascii="Times New Roman" w:hAnsi="Times New Roman" w:cs="Times New Roman"/>
                <w:sz w:val="24"/>
              </w:rPr>
            </w:pPr>
          </w:p>
        </w:tc>
        <w:tc>
          <w:tcPr>
            <w:tcW w:w="110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056" w:type="dxa"/>
            <w:gridSpan w:val="5"/>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总计</w:t>
            </w:r>
          </w:p>
        </w:tc>
        <w:tc>
          <w:tcPr>
            <w:tcW w:w="1995" w:type="dxa"/>
            <w:gridSpan w:val="2"/>
            <w:vAlign w:val="center"/>
          </w:tcPr>
          <w:p>
            <w:pPr>
              <w:adjustRightInd w:val="0"/>
              <w:snapToGrid w:val="0"/>
              <w:spacing w:line="360" w:lineRule="auto"/>
              <w:jc w:val="center"/>
              <w:rPr>
                <w:rFonts w:ascii="Times New Roman" w:hAnsi="Times New Roman" w:cs="Times New Roman"/>
                <w:sz w:val="24"/>
              </w:rPr>
            </w:pPr>
          </w:p>
        </w:tc>
      </w:tr>
    </w:tbl>
    <w:p>
      <w:pPr>
        <w:spacing w:line="360" w:lineRule="auto"/>
        <w:ind w:firstLine="360" w:firstLineChars="150"/>
        <w:rPr>
          <w:rFonts w:ascii="Times New Roman" w:hAnsi="Times New Roman" w:cs="Times New Roman"/>
          <w:sz w:val="24"/>
          <w:szCs w:val="24"/>
        </w:rPr>
      </w:pPr>
      <w:r>
        <w:rPr>
          <w:rFonts w:ascii="Times New Roman" w:hAnsi="Times New Roman" w:cs="Times New Roman"/>
          <w:sz w:val="24"/>
          <w:szCs w:val="24"/>
        </w:rPr>
        <w:t>注：本表仅作为磋商小组了解报价组成情况，不作为最终成交价。</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cs="Times New Roman"/>
          <w:sz w:val="24"/>
          <w:szCs w:val="24"/>
        </w:rPr>
      </w:pPr>
      <w:r>
        <w:rPr>
          <w:rFonts w:ascii="Times New Roman" w:hAnsi="Times New Roman" w:eastAsia="宋体" w:cs="Times New Roman"/>
          <w:sz w:val="24"/>
          <w:szCs w:val="24"/>
        </w:rPr>
        <w:t>供应商名称（公章）：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日期</w:t>
      </w:r>
      <w:r>
        <w:rPr>
          <w:rFonts w:ascii="Times New Roman" w:hAnsi="Times New Roman" w:cs="Times New Roman"/>
          <w:sz w:val="24"/>
          <w:szCs w:val="24"/>
        </w:rPr>
        <w:t>：</w:t>
      </w: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adjustRightInd w:val="0"/>
        <w:snapToGrid w:val="0"/>
        <w:jc w:val="left"/>
        <w:outlineLvl w:val="0"/>
        <w:rPr>
          <w:rFonts w:ascii="方正小标宋简体" w:hAnsi="Times New Roman" w:eastAsia="方正小标宋简体" w:cs="Times New Roman"/>
          <w:sz w:val="32"/>
          <w:szCs w:val="32"/>
        </w:rPr>
      </w:pPr>
      <w:r>
        <w:rPr>
          <w:rFonts w:ascii="Times New Roman" w:hAnsi="Times New Roman" w:cs="Times New Roman"/>
          <w:b/>
          <w:bCs/>
          <w:sz w:val="24"/>
          <w:szCs w:val="24"/>
        </w:rPr>
        <w:t>附件</w:t>
      </w:r>
      <w:r>
        <w:rPr>
          <w:rFonts w:hint="eastAsia" w:ascii="Times New Roman" w:hAnsi="Times New Roman" w:cs="Times New Roman"/>
          <w:b/>
          <w:bCs/>
          <w:sz w:val="24"/>
          <w:szCs w:val="24"/>
        </w:rPr>
        <w:t>3</w:t>
      </w:r>
      <w:r>
        <w:rPr>
          <w:rFonts w:hint="eastAsia" w:ascii="方正小标宋简体" w:hAnsi="Times New Roman" w:eastAsia="方正小标宋简体" w:cs="Times New Roman"/>
          <w:sz w:val="32"/>
          <w:szCs w:val="32"/>
        </w:rPr>
        <w:t>资格性符合性检查对照表</w:t>
      </w:r>
    </w:p>
    <w:p>
      <w:pPr>
        <w:spacing w:line="240" w:lineRule="atLeast"/>
        <w:rPr>
          <w:rFonts w:ascii="Times New Roman" w:hAnsi="Times New Roman" w:cs="Times New Roman"/>
          <w:sz w:val="24"/>
          <w:szCs w:val="24"/>
          <w:u w:val="single"/>
        </w:rPr>
      </w:pPr>
      <w:r>
        <w:rPr>
          <w:rFonts w:ascii="Times New Roman" w:hAnsi="Times New Roman" w:cs="Times New Roman"/>
          <w:color w:val="000000"/>
          <w:sz w:val="24"/>
        </w:rPr>
        <w:t>项目编号（包号）</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7"/>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784"/>
        <w:gridCol w:w="1237"/>
        <w:gridCol w:w="1071"/>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Cs w:val="21"/>
              </w:rPr>
            </w:pPr>
            <w:r>
              <w:rPr>
                <w:szCs w:val="21"/>
              </w:rPr>
              <w:t>序号</w:t>
            </w:r>
          </w:p>
        </w:tc>
        <w:tc>
          <w:tcPr>
            <w:tcW w:w="3784" w:type="dxa"/>
            <w:vAlign w:val="center"/>
          </w:tcPr>
          <w:p>
            <w:pPr>
              <w:jc w:val="center"/>
              <w:rPr>
                <w:szCs w:val="21"/>
              </w:rPr>
            </w:pPr>
            <w:r>
              <w:rPr>
                <w:szCs w:val="21"/>
              </w:rPr>
              <w:t>资格性符合性检查内容</w:t>
            </w:r>
          </w:p>
        </w:tc>
        <w:tc>
          <w:tcPr>
            <w:tcW w:w="1237" w:type="dxa"/>
            <w:vAlign w:val="center"/>
          </w:tcPr>
          <w:p>
            <w:pPr>
              <w:ind w:leftChars="-51" w:hanging="107" w:hangingChars="51"/>
              <w:jc w:val="center"/>
              <w:rPr>
                <w:szCs w:val="21"/>
              </w:rPr>
            </w:pPr>
            <w:r>
              <w:rPr>
                <w:szCs w:val="21"/>
              </w:rPr>
              <w:t>响应文件响应情况</w:t>
            </w:r>
          </w:p>
        </w:tc>
        <w:tc>
          <w:tcPr>
            <w:tcW w:w="1071" w:type="dxa"/>
            <w:vAlign w:val="center"/>
          </w:tcPr>
          <w:p>
            <w:pPr>
              <w:ind w:leftChars="-51" w:hanging="107" w:hangingChars="51"/>
              <w:jc w:val="center"/>
              <w:rPr>
                <w:szCs w:val="21"/>
              </w:rPr>
            </w:pPr>
            <w:r>
              <w:rPr>
                <w:szCs w:val="21"/>
              </w:rPr>
              <w:t>偏离情况说明</w:t>
            </w:r>
          </w:p>
        </w:tc>
        <w:tc>
          <w:tcPr>
            <w:tcW w:w="1506" w:type="dxa"/>
            <w:vAlign w:val="center"/>
          </w:tcPr>
          <w:p>
            <w:pPr>
              <w:ind w:leftChars="-51" w:hanging="107" w:hangingChars="51"/>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Cs w:val="21"/>
              </w:rPr>
            </w:pPr>
            <w:r>
              <w:rPr>
                <w:szCs w:val="21"/>
              </w:rPr>
              <w:t>1</w:t>
            </w:r>
          </w:p>
        </w:tc>
        <w:tc>
          <w:tcPr>
            <w:tcW w:w="3784" w:type="dxa"/>
          </w:tcPr>
          <w:p/>
        </w:tc>
        <w:tc>
          <w:tcPr>
            <w:tcW w:w="1237" w:type="dxa"/>
          </w:tcPr>
          <w:p>
            <w:pPr>
              <w:jc w:val="center"/>
              <w:rPr>
                <w:szCs w:val="21"/>
              </w:rPr>
            </w:pPr>
          </w:p>
        </w:tc>
        <w:tc>
          <w:tcPr>
            <w:tcW w:w="1071" w:type="dxa"/>
          </w:tcPr>
          <w:p>
            <w:pPr>
              <w:jc w:val="center"/>
              <w:rPr>
                <w:szCs w:val="21"/>
              </w:rPr>
            </w:pPr>
          </w:p>
        </w:tc>
        <w:tc>
          <w:tcPr>
            <w:tcW w:w="1506" w:type="dxa"/>
            <w:vAlign w:val="center"/>
          </w:tcPr>
          <w:p>
            <w:pPr>
              <w:ind w:leftChars="-50" w:hanging="105" w:hanging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Cs w:val="21"/>
              </w:rPr>
            </w:pPr>
            <w:r>
              <w:rPr>
                <w:szCs w:val="21"/>
              </w:rPr>
              <w:t>2</w:t>
            </w:r>
          </w:p>
        </w:tc>
        <w:tc>
          <w:tcPr>
            <w:tcW w:w="3784" w:type="dxa"/>
          </w:tcPr>
          <w:p/>
        </w:tc>
        <w:tc>
          <w:tcPr>
            <w:tcW w:w="1237" w:type="dxa"/>
          </w:tcPr>
          <w:p>
            <w:pPr>
              <w:jc w:val="center"/>
              <w:rPr>
                <w:szCs w:val="21"/>
              </w:rPr>
            </w:pPr>
          </w:p>
        </w:tc>
        <w:tc>
          <w:tcPr>
            <w:tcW w:w="1071" w:type="dxa"/>
          </w:tcPr>
          <w:p>
            <w:pPr>
              <w:jc w:val="center"/>
              <w:rPr>
                <w:szCs w:val="21"/>
              </w:rPr>
            </w:pPr>
          </w:p>
        </w:tc>
        <w:tc>
          <w:tcPr>
            <w:tcW w:w="150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Cs w:val="21"/>
              </w:rPr>
            </w:pPr>
            <w:r>
              <w:rPr>
                <w:szCs w:val="21"/>
              </w:rPr>
              <w:t>3</w:t>
            </w:r>
          </w:p>
        </w:tc>
        <w:tc>
          <w:tcPr>
            <w:tcW w:w="3784" w:type="dxa"/>
          </w:tcPr>
          <w:p/>
        </w:tc>
        <w:tc>
          <w:tcPr>
            <w:tcW w:w="1237" w:type="dxa"/>
          </w:tcPr>
          <w:p>
            <w:pPr>
              <w:jc w:val="center"/>
              <w:rPr>
                <w:szCs w:val="21"/>
              </w:rPr>
            </w:pPr>
          </w:p>
        </w:tc>
        <w:tc>
          <w:tcPr>
            <w:tcW w:w="1071" w:type="dxa"/>
          </w:tcPr>
          <w:p>
            <w:pPr>
              <w:jc w:val="center"/>
              <w:rPr>
                <w:szCs w:val="21"/>
              </w:rPr>
            </w:pPr>
          </w:p>
        </w:tc>
        <w:tc>
          <w:tcPr>
            <w:tcW w:w="150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Cs w:val="21"/>
              </w:rPr>
            </w:pPr>
            <w:r>
              <w:rPr>
                <w:szCs w:val="21"/>
              </w:rPr>
              <w:t>4</w:t>
            </w:r>
          </w:p>
        </w:tc>
        <w:tc>
          <w:tcPr>
            <w:tcW w:w="3784" w:type="dxa"/>
          </w:tcPr>
          <w:p/>
        </w:tc>
        <w:tc>
          <w:tcPr>
            <w:tcW w:w="1237" w:type="dxa"/>
          </w:tcPr>
          <w:p>
            <w:pPr>
              <w:jc w:val="center"/>
              <w:rPr>
                <w:szCs w:val="21"/>
              </w:rPr>
            </w:pPr>
          </w:p>
        </w:tc>
        <w:tc>
          <w:tcPr>
            <w:tcW w:w="1071" w:type="dxa"/>
          </w:tcPr>
          <w:p>
            <w:pPr>
              <w:jc w:val="center"/>
              <w:rPr>
                <w:szCs w:val="21"/>
              </w:rPr>
            </w:pPr>
          </w:p>
        </w:tc>
        <w:tc>
          <w:tcPr>
            <w:tcW w:w="150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Cs w:val="21"/>
              </w:rPr>
            </w:pPr>
            <w:r>
              <w:rPr>
                <w:szCs w:val="21"/>
              </w:rPr>
              <w:t>5</w:t>
            </w:r>
          </w:p>
        </w:tc>
        <w:tc>
          <w:tcPr>
            <w:tcW w:w="3784" w:type="dxa"/>
          </w:tcPr>
          <w:p/>
        </w:tc>
        <w:tc>
          <w:tcPr>
            <w:tcW w:w="1237" w:type="dxa"/>
          </w:tcPr>
          <w:p>
            <w:pPr>
              <w:jc w:val="center"/>
              <w:rPr>
                <w:szCs w:val="21"/>
              </w:rPr>
            </w:pPr>
          </w:p>
        </w:tc>
        <w:tc>
          <w:tcPr>
            <w:tcW w:w="1071" w:type="dxa"/>
          </w:tcPr>
          <w:p>
            <w:pPr>
              <w:jc w:val="center"/>
              <w:rPr>
                <w:szCs w:val="21"/>
              </w:rPr>
            </w:pPr>
          </w:p>
        </w:tc>
        <w:tc>
          <w:tcPr>
            <w:tcW w:w="150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Cs w:val="21"/>
              </w:rPr>
            </w:pPr>
            <w:r>
              <w:rPr>
                <w:szCs w:val="21"/>
              </w:rPr>
              <w:t>6</w:t>
            </w:r>
          </w:p>
        </w:tc>
        <w:tc>
          <w:tcPr>
            <w:tcW w:w="3784" w:type="dxa"/>
          </w:tcPr>
          <w:p/>
        </w:tc>
        <w:tc>
          <w:tcPr>
            <w:tcW w:w="1237" w:type="dxa"/>
          </w:tcPr>
          <w:p>
            <w:pPr>
              <w:jc w:val="left"/>
              <w:rPr>
                <w:szCs w:val="21"/>
              </w:rPr>
            </w:pPr>
          </w:p>
        </w:tc>
        <w:tc>
          <w:tcPr>
            <w:tcW w:w="1071" w:type="dxa"/>
          </w:tcPr>
          <w:p>
            <w:pPr>
              <w:jc w:val="left"/>
              <w:rPr>
                <w:szCs w:val="21"/>
              </w:rPr>
            </w:pPr>
          </w:p>
        </w:tc>
        <w:tc>
          <w:tcPr>
            <w:tcW w:w="150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Cs w:val="21"/>
              </w:rPr>
            </w:pPr>
            <w:r>
              <w:rPr>
                <w:szCs w:val="21"/>
              </w:rPr>
              <w:t>7</w:t>
            </w:r>
          </w:p>
        </w:tc>
        <w:tc>
          <w:tcPr>
            <w:tcW w:w="3784" w:type="dxa"/>
          </w:tcPr>
          <w:p/>
        </w:tc>
        <w:tc>
          <w:tcPr>
            <w:tcW w:w="1237" w:type="dxa"/>
          </w:tcPr>
          <w:p>
            <w:pPr>
              <w:jc w:val="left"/>
              <w:rPr>
                <w:szCs w:val="21"/>
              </w:rPr>
            </w:pPr>
          </w:p>
        </w:tc>
        <w:tc>
          <w:tcPr>
            <w:tcW w:w="1071" w:type="dxa"/>
          </w:tcPr>
          <w:p>
            <w:pPr>
              <w:jc w:val="left"/>
              <w:rPr>
                <w:szCs w:val="21"/>
              </w:rPr>
            </w:pPr>
          </w:p>
        </w:tc>
        <w:tc>
          <w:tcPr>
            <w:tcW w:w="150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Cs w:val="21"/>
              </w:rPr>
            </w:pPr>
            <w:r>
              <w:rPr>
                <w:szCs w:val="21"/>
              </w:rPr>
              <w:t>8</w:t>
            </w:r>
          </w:p>
        </w:tc>
        <w:tc>
          <w:tcPr>
            <w:tcW w:w="3784" w:type="dxa"/>
          </w:tcPr>
          <w:p/>
        </w:tc>
        <w:tc>
          <w:tcPr>
            <w:tcW w:w="1237" w:type="dxa"/>
          </w:tcPr>
          <w:p>
            <w:pPr>
              <w:jc w:val="center"/>
              <w:rPr>
                <w:szCs w:val="21"/>
              </w:rPr>
            </w:pPr>
          </w:p>
        </w:tc>
        <w:tc>
          <w:tcPr>
            <w:tcW w:w="1071" w:type="dxa"/>
          </w:tcPr>
          <w:p>
            <w:pPr>
              <w:jc w:val="center"/>
              <w:rPr>
                <w:szCs w:val="21"/>
              </w:rPr>
            </w:pPr>
          </w:p>
        </w:tc>
        <w:tc>
          <w:tcPr>
            <w:tcW w:w="150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Cs w:val="21"/>
              </w:rPr>
            </w:pPr>
            <w:r>
              <w:rPr>
                <w:szCs w:val="21"/>
              </w:rPr>
              <w:t>9</w:t>
            </w:r>
          </w:p>
        </w:tc>
        <w:tc>
          <w:tcPr>
            <w:tcW w:w="3784" w:type="dxa"/>
          </w:tcPr>
          <w:p/>
        </w:tc>
        <w:tc>
          <w:tcPr>
            <w:tcW w:w="1237" w:type="dxa"/>
          </w:tcPr>
          <w:p>
            <w:pPr>
              <w:jc w:val="center"/>
              <w:rPr>
                <w:szCs w:val="21"/>
              </w:rPr>
            </w:pPr>
          </w:p>
        </w:tc>
        <w:tc>
          <w:tcPr>
            <w:tcW w:w="1071" w:type="dxa"/>
          </w:tcPr>
          <w:p>
            <w:pPr>
              <w:jc w:val="center"/>
              <w:rPr>
                <w:szCs w:val="21"/>
              </w:rPr>
            </w:pPr>
          </w:p>
        </w:tc>
        <w:tc>
          <w:tcPr>
            <w:tcW w:w="150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Cs w:val="21"/>
              </w:rPr>
            </w:pPr>
            <w:r>
              <w:rPr>
                <w:szCs w:val="21"/>
              </w:rPr>
              <w:t>…</w:t>
            </w:r>
          </w:p>
        </w:tc>
        <w:tc>
          <w:tcPr>
            <w:tcW w:w="3784" w:type="dxa"/>
          </w:tcPr>
          <w:p/>
        </w:tc>
        <w:tc>
          <w:tcPr>
            <w:tcW w:w="1237" w:type="dxa"/>
          </w:tcPr>
          <w:p>
            <w:pPr>
              <w:jc w:val="center"/>
              <w:rPr>
                <w:szCs w:val="21"/>
              </w:rPr>
            </w:pPr>
          </w:p>
        </w:tc>
        <w:tc>
          <w:tcPr>
            <w:tcW w:w="1071" w:type="dxa"/>
          </w:tcPr>
          <w:p>
            <w:pPr>
              <w:jc w:val="center"/>
              <w:rPr>
                <w:szCs w:val="21"/>
              </w:rPr>
            </w:pPr>
          </w:p>
        </w:tc>
        <w:tc>
          <w:tcPr>
            <w:tcW w:w="150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8" w:type="dxa"/>
            <w:gridSpan w:val="2"/>
            <w:vAlign w:val="center"/>
          </w:tcPr>
          <w:p>
            <w:r>
              <w:t>自评结论</w:t>
            </w:r>
          </w:p>
        </w:tc>
        <w:tc>
          <w:tcPr>
            <w:tcW w:w="1237" w:type="dxa"/>
          </w:tcPr>
          <w:p>
            <w:pPr>
              <w:jc w:val="center"/>
              <w:rPr>
                <w:szCs w:val="21"/>
              </w:rPr>
            </w:pPr>
          </w:p>
        </w:tc>
        <w:tc>
          <w:tcPr>
            <w:tcW w:w="1071" w:type="dxa"/>
          </w:tcPr>
          <w:p>
            <w:pPr>
              <w:jc w:val="center"/>
              <w:rPr>
                <w:szCs w:val="21"/>
              </w:rPr>
            </w:pPr>
          </w:p>
        </w:tc>
        <w:tc>
          <w:tcPr>
            <w:tcW w:w="1506" w:type="dxa"/>
            <w:vAlign w:val="center"/>
          </w:tcPr>
          <w:p>
            <w:pPr>
              <w:jc w:val="center"/>
              <w:rPr>
                <w:szCs w:val="21"/>
              </w:rPr>
            </w:pPr>
          </w:p>
        </w:tc>
      </w:tr>
    </w:tbl>
    <w:p>
      <w:pPr>
        <w:spacing w:line="240" w:lineRule="atLeast"/>
        <w:rPr>
          <w:rFonts w:ascii="Times New Roman" w:hAnsi="Times New Roman" w:cs="Times New Roman"/>
          <w:szCs w:val="21"/>
        </w:rPr>
      </w:pPr>
      <w:r>
        <w:rPr>
          <w:rFonts w:ascii="Times New Roman" w:hAnsi="Times New Roman" w:eastAsia="宋体" w:cs="Times New Roman"/>
          <w:szCs w:val="21"/>
        </w:rPr>
        <w:t>说明：</w:t>
      </w:r>
      <w:r>
        <w:rPr>
          <w:rFonts w:ascii="Times New Roman" w:hAnsi="Times New Roman" w:cs="Times New Roman"/>
          <w:szCs w:val="21"/>
        </w:rPr>
        <w:t>1. 备注栏中应提供相关内容在响应文件中的页码。</w:t>
      </w:r>
    </w:p>
    <w:p>
      <w:pPr>
        <w:spacing w:line="240" w:lineRule="atLeast"/>
        <w:ind w:left="945" w:leftChars="300" w:hanging="315" w:hangingChars="150"/>
        <w:rPr>
          <w:rFonts w:ascii="Times New Roman" w:hAnsi="Times New Roman" w:cs="Times New Roman"/>
          <w:szCs w:val="21"/>
        </w:rPr>
      </w:pPr>
      <w:r>
        <w:rPr>
          <w:rFonts w:ascii="Times New Roman" w:hAnsi="Times New Roman" w:cs="Times New Roman"/>
          <w:szCs w:val="21"/>
        </w:rPr>
        <w:t>2. 应对照磋商文件的要求，逐条说明所提供</w:t>
      </w:r>
      <w:r>
        <w:rPr>
          <w:rFonts w:hint="eastAsia" w:ascii="Times New Roman" w:hAnsi="Times New Roman" w:cs="Times New Roman"/>
          <w:szCs w:val="21"/>
        </w:rPr>
        <w:t>资格证</w:t>
      </w:r>
      <w:r>
        <w:rPr>
          <w:rFonts w:ascii="Times New Roman" w:hAnsi="Times New Roman" w:cs="Times New Roman"/>
          <w:szCs w:val="21"/>
        </w:rPr>
        <w:t>明文件已对磋商文件做出了实质性的响应，</w:t>
      </w:r>
      <w:r>
        <w:rPr>
          <w:rFonts w:ascii="Times New Roman" w:hAnsi="Times New Roman" w:cs="Times New Roman"/>
          <w:sz w:val="24"/>
          <w:szCs w:val="24"/>
        </w:rPr>
        <w:t>并</w:t>
      </w:r>
      <w:r>
        <w:rPr>
          <w:rFonts w:ascii="Times New Roman" w:hAnsi="Times New Roman" w:cs="Times New Roman"/>
          <w:sz w:val="24"/>
        </w:rPr>
        <w:t>说明</w:t>
      </w:r>
      <w:r>
        <w:rPr>
          <w:rFonts w:ascii="Times New Roman" w:hAnsi="Times New Roman" w:cs="Times New Roman"/>
          <w:sz w:val="24"/>
          <w:szCs w:val="24"/>
        </w:rPr>
        <w:t>响应</w:t>
      </w:r>
      <w:r>
        <w:rPr>
          <w:rFonts w:ascii="Times New Roman" w:hAnsi="Times New Roman" w:cs="Times New Roman"/>
          <w:sz w:val="24"/>
        </w:rPr>
        <w:t>情况</w:t>
      </w:r>
      <w:r>
        <w:rPr>
          <w:rFonts w:ascii="Times New Roman" w:hAnsi="Times New Roman" w:cs="Times New Roman"/>
          <w:szCs w:val="21"/>
        </w:rPr>
        <w:t>。如果仅注明“符合”、“满足”或简单复制磋商文件要求，将导致响应文件无效。</w:t>
      </w: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360" w:lineRule="auto"/>
        <w:rPr>
          <w:rFonts w:ascii="Times New Roman" w:hAnsi="Times New Roman" w:cs="Times New Roman"/>
          <w:sz w:val="24"/>
          <w:szCs w:val="24"/>
        </w:rPr>
      </w:pPr>
      <w:r>
        <w:rPr>
          <w:rFonts w:ascii="Times New Roman" w:hAnsi="Times New Roman" w:eastAsia="宋体" w:cs="Times New Roman"/>
          <w:sz w:val="24"/>
          <w:szCs w:val="24"/>
        </w:rPr>
        <w:t>供应商名称（公章）：</w:t>
      </w:r>
    </w:p>
    <w:p>
      <w:pPr>
        <w:adjustRightInd w:val="0"/>
        <w:snapToGrid w:val="0"/>
        <w:jc w:val="left"/>
        <w:outlineLvl w:val="0"/>
        <w:rPr>
          <w:rFonts w:ascii="方正小标宋简体" w:hAnsi="Times New Roman" w:eastAsia="方正小标宋简体" w:cs="Times New Roman"/>
          <w:sz w:val="32"/>
          <w:szCs w:val="32"/>
        </w:rPr>
      </w:pPr>
      <w:r>
        <w:rPr>
          <w:rFonts w:hint="eastAsia" w:ascii="Times New Roman" w:hAnsi="Times New Roman" w:cs="Times New Roman"/>
          <w:sz w:val="24"/>
          <w:szCs w:val="24"/>
        </w:rPr>
        <w:t>日期</w:t>
      </w:r>
      <w:r>
        <w:rPr>
          <w:rFonts w:ascii="Times New Roman" w:hAnsi="Times New Roman" w:cs="Times New Roman"/>
          <w:sz w:val="24"/>
          <w:szCs w:val="24"/>
        </w:rPr>
        <w:t>：</w:t>
      </w:r>
      <w:r>
        <w:rPr>
          <w:rFonts w:ascii="Times New Roman" w:hAnsi="Times New Roman" w:cs="Times New Roman"/>
          <w:sz w:val="24"/>
          <w:szCs w:val="24"/>
        </w:rPr>
        <w:br w:type="page"/>
      </w:r>
      <w:r>
        <w:rPr>
          <w:rFonts w:ascii="Times New Roman" w:hAnsi="Times New Roman" w:cs="Times New Roman"/>
          <w:b/>
          <w:bCs/>
          <w:sz w:val="24"/>
          <w:szCs w:val="24"/>
        </w:rPr>
        <w:t>附件</w:t>
      </w:r>
      <w:r>
        <w:rPr>
          <w:rFonts w:hint="eastAsia" w:ascii="Times New Roman" w:hAnsi="Times New Roman" w:cs="Times New Roman"/>
          <w:b/>
          <w:bCs/>
          <w:sz w:val="24"/>
          <w:szCs w:val="24"/>
        </w:rPr>
        <w:t>4</w:t>
      </w:r>
      <w:r>
        <w:rPr>
          <w:rFonts w:hint="eastAsia" w:ascii="方正小标宋简体" w:hAnsi="Times New Roman" w:eastAsia="方正小标宋简体" w:cs="Times New Roman"/>
          <w:sz w:val="32"/>
          <w:szCs w:val="32"/>
        </w:rPr>
        <w:t>技术响应、偏离情况说明表</w:t>
      </w:r>
    </w:p>
    <w:p>
      <w:pPr>
        <w:spacing w:line="240" w:lineRule="atLeast"/>
        <w:rPr>
          <w:rFonts w:ascii="Times New Roman" w:hAnsi="Times New Roman" w:cs="Times New Roman"/>
          <w:sz w:val="24"/>
          <w:szCs w:val="24"/>
          <w:u w:val="single"/>
        </w:rPr>
      </w:pPr>
      <w:r>
        <w:rPr>
          <w:rFonts w:ascii="Times New Roman" w:hAnsi="Times New Roman" w:cs="Times New Roman"/>
          <w:sz w:val="24"/>
          <w:szCs w:val="24"/>
        </w:rPr>
        <w:t>项目编号（包号）：</w:t>
      </w:r>
    </w:p>
    <w:p>
      <w:pPr>
        <w:rPr>
          <w:rFonts w:ascii="Times New Roman" w:hAnsi="Times New Roman" w:cs="Times New Roman"/>
          <w:bCs/>
          <w:sz w:val="24"/>
          <w:szCs w:val="24"/>
        </w:rPr>
      </w:pPr>
      <w:r>
        <w:rPr>
          <w:rFonts w:ascii="Times New Roman" w:hAnsi="Times New Roman" w:cs="Times New Roman"/>
          <w:sz w:val="24"/>
          <w:szCs w:val="24"/>
        </w:rPr>
        <w:t>项目名称：</w:t>
      </w:r>
    </w:p>
    <w:tbl>
      <w:tblPr>
        <w:tblStyle w:val="17"/>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2552"/>
        <w:gridCol w:w="1417"/>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jc w:val="center"/>
              <w:rPr>
                <w:rFonts w:ascii="Times New Roman" w:hAnsi="Times New Roman" w:cs="Times New Roman"/>
                <w:sz w:val="24"/>
                <w:szCs w:val="24"/>
              </w:rPr>
            </w:pPr>
            <w:r>
              <w:rPr>
                <w:rFonts w:ascii="Times New Roman" w:hAnsi="Times New Roman" w:cs="Times New Roman"/>
                <w:sz w:val="24"/>
                <w:szCs w:val="24"/>
              </w:rPr>
              <w:t>磋商文件要求</w:t>
            </w:r>
          </w:p>
        </w:tc>
        <w:tc>
          <w:tcPr>
            <w:tcW w:w="2552" w:type="dxa"/>
            <w:vAlign w:val="center"/>
          </w:tcPr>
          <w:p>
            <w:pPr>
              <w:ind w:left="-109" w:leftChars="-52" w:right="-107" w:rightChars="-51"/>
              <w:jc w:val="center"/>
              <w:rPr>
                <w:rFonts w:ascii="Times New Roman" w:hAnsi="Times New Roman" w:cs="Times New Roman"/>
                <w:sz w:val="24"/>
                <w:szCs w:val="24"/>
              </w:rPr>
            </w:pPr>
            <w:r>
              <w:rPr>
                <w:rFonts w:ascii="Times New Roman" w:hAnsi="Times New Roman" w:cs="Times New Roman"/>
                <w:sz w:val="24"/>
                <w:szCs w:val="24"/>
              </w:rPr>
              <w:t>响应文件响应情况</w:t>
            </w:r>
          </w:p>
        </w:tc>
        <w:tc>
          <w:tcPr>
            <w:tcW w:w="1417" w:type="dxa"/>
            <w:vAlign w:val="center"/>
          </w:tcPr>
          <w:p>
            <w:pPr>
              <w:jc w:val="center"/>
              <w:rPr>
                <w:rFonts w:ascii="Times New Roman" w:hAnsi="Times New Roman" w:cs="Times New Roman"/>
                <w:sz w:val="24"/>
                <w:szCs w:val="24"/>
              </w:rPr>
            </w:pPr>
            <w:r>
              <w:rPr>
                <w:rFonts w:ascii="Times New Roman" w:hAnsi="Times New Roman" w:cs="Times New Roman"/>
                <w:sz w:val="24"/>
                <w:szCs w:val="24"/>
              </w:rPr>
              <w:t>偏离说明</w:t>
            </w:r>
          </w:p>
        </w:tc>
        <w:tc>
          <w:tcPr>
            <w:tcW w:w="1361" w:type="dxa"/>
            <w:vAlign w:val="center"/>
          </w:tcPr>
          <w:p>
            <w:pPr>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rPr>
            </w:pPr>
          </w:p>
        </w:tc>
        <w:tc>
          <w:tcPr>
            <w:tcW w:w="2552" w:type="dxa"/>
          </w:tcPr>
          <w:p>
            <w:pPr>
              <w:rPr>
                <w:rFonts w:ascii="Times New Roman" w:hAnsi="Times New Roman" w:cs="Times New Roman"/>
                <w:sz w:val="24"/>
                <w:szCs w:val="24"/>
              </w:rPr>
            </w:pPr>
          </w:p>
        </w:tc>
        <w:tc>
          <w:tcPr>
            <w:tcW w:w="1417" w:type="dxa"/>
          </w:tcPr>
          <w:p>
            <w:pPr>
              <w:rPr>
                <w:rFonts w:ascii="Times New Roman" w:hAnsi="Times New Roman" w:cs="Times New Roman"/>
                <w:sz w:val="24"/>
                <w:szCs w:val="24"/>
              </w:rPr>
            </w:pPr>
          </w:p>
        </w:tc>
        <w:tc>
          <w:tcPr>
            <w:tcW w:w="136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rPr>
            </w:pPr>
          </w:p>
        </w:tc>
        <w:tc>
          <w:tcPr>
            <w:tcW w:w="2552" w:type="dxa"/>
          </w:tcPr>
          <w:p>
            <w:pPr>
              <w:rPr>
                <w:rFonts w:ascii="Times New Roman" w:hAnsi="Times New Roman" w:cs="Times New Roman"/>
                <w:sz w:val="24"/>
                <w:szCs w:val="24"/>
              </w:rPr>
            </w:pPr>
          </w:p>
        </w:tc>
        <w:tc>
          <w:tcPr>
            <w:tcW w:w="1417" w:type="dxa"/>
          </w:tcPr>
          <w:p>
            <w:pPr>
              <w:rPr>
                <w:rFonts w:ascii="Times New Roman" w:hAnsi="Times New Roman" w:cs="Times New Roman"/>
                <w:sz w:val="24"/>
                <w:szCs w:val="24"/>
              </w:rPr>
            </w:pPr>
          </w:p>
        </w:tc>
        <w:tc>
          <w:tcPr>
            <w:tcW w:w="136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rPr>
            </w:pPr>
          </w:p>
        </w:tc>
        <w:tc>
          <w:tcPr>
            <w:tcW w:w="2552" w:type="dxa"/>
          </w:tcPr>
          <w:p>
            <w:pPr>
              <w:rPr>
                <w:rFonts w:ascii="Times New Roman" w:hAnsi="Times New Roman" w:cs="Times New Roman"/>
                <w:sz w:val="24"/>
                <w:szCs w:val="24"/>
              </w:rPr>
            </w:pPr>
          </w:p>
        </w:tc>
        <w:tc>
          <w:tcPr>
            <w:tcW w:w="1417" w:type="dxa"/>
          </w:tcPr>
          <w:p>
            <w:pPr>
              <w:rPr>
                <w:rFonts w:ascii="Times New Roman" w:hAnsi="Times New Roman" w:cs="Times New Roman"/>
                <w:sz w:val="24"/>
                <w:szCs w:val="24"/>
              </w:rPr>
            </w:pPr>
          </w:p>
        </w:tc>
        <w:tc>
          <w:tcPr>
            <w:tcW w:w="136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rPr>
            </w:pPr>
          </w:p>
        </w:tc>
        <w:tc>
          <w:tcPr>
            <w:tcW w:w="2552" w:type="dxa"/>
          </w:tcPr>
          <w:p>
            <w:pPr>
              <w:rPr>
                <w:rFonts w:ascii="Times New Roman" w:hAnsi="Times New Roman" w:cs="Times New Roman"/>
                <w:sz w:val="24"/>
                <w:szCs w:val="24"/>
              </w:rPr>
            </w:pPr>
          </w:p>
        </w:tc>
        <w:tc>
          <w:tcPr>
            <w:tcW w:w="1417" w:type="dxa"/>
          </w:tcPr>
          <w:p>
            <w:pPr>
              <w:rPr>
                <w:rFonts w:ascii="Times New Roman" w:hAnsi="Times New Roman" w:cs="Times New Roman"/>
                <w:sz w:val="24"/>
                <w:szCs w:val="24"/>
              </w:rPr>
            </w:pPr>
          </w:p>
        </w:tc>
        <w:tc>
          <w:tcPr>
            <w:tcW w:w="136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rPr>
            </w:pPr>
          </w:p>
        </w:tc>
        <w:tc>
          <w:tcPr>
            <w:tcW w:w="2552" w:type="dxa"/>
          </w:tcPr>
          <w:p>
            <w:pPr>
              <w:rPr>
                <w:rFonts w:ascii="Times New Roman" w:hAnsi="Times New Roman" w:cs="Times New Roman"/>
                <w:sz w:val="24"/>
                <w:szCs w:val="24"/>
              </w:rPr>
            </w:pPr>
          </w:p>
        </w:tc>
        <w:tc>
          <w:tcPr>
            <w:tcW w:w="1417" w:type="dxa"/>
          </w:tcPr>
          <w:p>
            <w:pPr>
              <w:rPr>
                <w:rFonts w:ascii="Times New Roman" w:hAnsi="Times New Roman" w:cs="Times New Roman"/>
                <w:sz w:val="24"/>
                <w:szCs w:val="24"/>
              </w:rPr>
            </w:pPr>
          </w:p>
        </w:tc>
        <w:tc>
          <w:tcPr>
            <w:tcW w:w="136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rPr>
            </w:pPr>
          </w:p>
        </w:tc>
        <w:tc>
          <w:tcPr>
            <w:tcW w:w="2552" w:type="dxa"/>
          </w:tcPr>
          <w:p>
            <w:pPr>
              <w:rPr>
                <w:rFonts w:ascii="Times New Roman" w:hAnsi="Times New Roman" w:cs="Times New Roman"/>
                <w:sz w:val="24"/>
                <w:szCs w:val="24"/>
              </w:rPr>
            </w:pPr>
          </w:p>
        </w:tc>
        <w:tc>
          <w:tcPr>
            <w:tcW w:w="1417" w:type="dxa"/>
          </w:tcPr>
          <w:p>
            <w:pPr>
              <w:rPr>
                <w:rFonts w:ascii="Times New Roman" w:hAnsi="Times New Roman" w:cs="Times New Roman"/>
                <w:sz w:val="24"/>
                <w:szCs w:val="24"/>
              </w:rPr>
            </w:pPr>
          </w:p>
        </w:tc>
        <w:tc>
          <w:tcPr>
            <w:tcW w:w="136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rPr>
            </w:pPr>
          </w:p>
        </w:tc>
        <w:tc>
          <w:tcPr>
            <w:tcW w:w="2552" w:type="dxa"/>
          </w:tcPr>
          <w:p>
            <w:pPr>
              <w:rPr>
                <w:rFonts w:ascii="Times New Roman" w:hAnsi="Times New Roman" w:cs="Times New Roman"/>
                <w:sz w:val="24"/>
                <w:szCs w:val="24"/>
              </w:rPr>
            </w:pPr>
          </w:p>
        </w:tc>
        <w:tc>
          <w:tcPr>
            <w:tcW w:w="1417" w:type="dxa"/>
          </w:tcPr>
          <w:p>
            <w:pPr>
              <w:rPr>
                <w:rFonts w:ascii="Times New Roman" w:hAnsi="Times New Roman" w:cs="Times New Roman"/>
                <w:sz w:val="24"/>
                <w:szCs w:val="24"/>
              </w:rPr>
            </w:pPr>
          </w:p>
        </w:tc>
        <w:tc>
          <w:tcPr>
            <w:tcW w:w="136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rPr>
            </w:pPr>
          </w:p>
        </w:tc>
        <w:tc>
          <w:tcPr>
            <w:tcW w:w="2552" w:type="dxa"/>
          </w:tcPr>
          <w:p>
            <w:pPr>
              <w:rPr>
                <w:rFonts w:ascii="Times New Roman" w:hAnsi="Times New Roman" w:cs="Times New Roman"/>
                <w:sz w:val="24"/>
                <w:szCs w:val="24"/>
              </w:rPr>
            </w:pPr>
          </w:p>
        </w:tc>
        <w:tc>
          <w:tcPr>
            <w:tcW w:w="1417" w:type="dxa"/>
          </w:tcPr>
          <w:p>
            <w:pPr>
              <w:rPr>
                <w:rFonts w:ascii="Times New Roman" w:hAnsi="Times New Roman" w:cs="Times New Roman"/>
                <w:sz w:val="24"/>
                <w:szCs w:val="24"/>
              </w:rPr>
            </w:pPr>
          </w:p>
        </w:tc>
        <w:tc>
          <w:tcPr>
            <w:tcW w:w="136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rPr>
            </w:pPr>
          </w:p>
        </w:tc>
        <w:tc>
          <w:tcPr>
            <w:tcW w:w="2552" w:type="dxa"/>
          </w:tcPr>
          <w:p>
            <w:pPr>
              <w:rPr>
                <w:rFonts w:ascii="Times New Roman" w:hAnsi="Times New Roman" w:cs="Times New Roman"/>
                <w:sz w:val="24"/>
                <w:szCs w:val="24"/>
              </w:rPr>
            </w:pPr>
          </w:p>
        </w:tc>
        <w:tc>
          <w:tcPr>
            <w:tcW w:w="1417" w:type="dxa"/>
          </w:tcPr>
          <w:p>
            <w:pPr>
              <w:rPr>
                <w:rFonts w:ascii="Times New Roman" w:hAnsi="Times New Roman" w:cs="Times New Roman"/>
                <w:sz w:val="24"/>
                <w:szCs w:val="24"/>
              </w:rPr>
            </w:pPr>
          </w:p>
        </w:tc>
        <w:tc>
          <w:tcPr>
            <w:tcW w:w="136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rPr>
            </w:pPr>
          </w:p>
        </w:tc>
        <w:tc>
          <w:tcPr>
            <w:tcW w:w="2552" w:type="dxa"/>
          </w:tcPr>
          <w:p>
            <w:pPr>
              <w:rPr>
                <w:rFonts w:ascii="Times New Roman" w:hAnsi="Times New Roman" w:cs="Times New Roman"/>
                <w:sz w:val="24"/>
                <w:szCs w:val="24"/>
              </w:rPr>
            </w:pPr>
          </w:p>
        </w:tc>
        <w:tc>
          <w:tcPr>
            <w:tcW w:w="1417" w:type="dxa"/>
          </w:tcPr>
          <w:p>
            <w:pPr>
              <w:rPr>
                <w:rFonts w:ascii="Times New Roman" w:hAnsi="Times New Roman" w:cs="Times New Roman"/>
                <w:sz w:val="24"/>
                <w:szCs w:val="24"/>
              </w:rPr>
            </w:pPr>
          </w:p>
        </w:tc>
        <w:tc>
          <w:tcPr>
            <w:tcW w:w="136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rPr>
            </w:pPr>
          </w:p>
        </w:tc>
        <w:tc>
          <w:tcPr>
            <w:tcW w:w="2552" w:type="dxa"/>
          </w:tcPr>
          <w:p>
            <w:pPr>
              <w:rPr>
                <w:rFonts w:ascii="Times New Roman" w:hAnsi="Times New Roman" w:cs="Times New Roman"/>
                <w:sz w:val="24"/>
                <w:szCs w:val="24"/>
              </w:rPr>
            </w:pPr>
          </w:p>
        </w:tc>
        <w:tc>
          <w:tcPr>
            <w:tcW w:w="1417" w:type="dxa"/>
          </w:tcPr>
          <w:p>
            <w:pPr>
              <w:rPr>
                <w:rFonts w:ascii="Times New Roman" w:hAnsi="Times New Roman" w:cs="Times New Roman"/>
                <w:sz w:val="24"/>
                <w:szCs w:val="24"/>
              </w:rPr>
            </w:pPr>
          </w:p>
        </w:tc>
        <w:tc>
          <w:tcPr>
            <w:tcW w:w="136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rPr>
            </w:pPr>
          </w:p>
        </w:tc>
        <w:tc>
          <w:tcPr>
            <w:tcW w:w="2552" w:type="dxa"/>
          </w:tcPr>
          <w:p>
            <w:pPr>
              <w:rPr>
                <w:rFonts w:ascii="Times New Roman" w:hAnsi="Times New Roman" w:cs="Times New Roman"/>
                <w:sz w:val="24"/>
                <w:szCs w:val="24"/>
              </w:rPr>
            </w:pPr>
          </w:p>
        </w:tc>
        <w:tc>
          <w:tcPr>
            <w:tcW w:w="1417" w:type="dxa"/>
          </w:tcPr>
          <w:p>
            <w:pPr>
              <w:rPr>
                <w:rFonts w:ascii="Times New Roman" w:hAnsi="Times New Roman" w:cs="Times New Roman"/>
                <w:sz w:val="24"/>
                <w:szCs w:val="24"/>
              </w:rPr>
            </w:pPr>
          </w:p>
        </w:tc>
        <w:tc>
          <w:tcPr>
            <w:tcW w:w="136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cs="Times New Roman"/>
              </w:rPr>
            </w:pPr>
            <w:r>
              <w:rPr>
                <w:rFonts w:ascii="Times New Roman" w:hAnsi="Times New Roman" w:cs="Times New Roman"/>
              </w:rPr>
              <w:t>自评结论</w:t>
            </w:r>
          </w:p>
        </w:tc>
        <w:tc>
          <w:tcPr>
            <w:tcW w:w="2552" w:type="dxa"/>
          </w:tcPr>
          <w:p>
            <w:pPr>
              <w:rPr>
                <w:rFonts w:ascii="Times New Roman" w:hAnsi="Times New Roman" w:cs="Times New Roman"/>
                <w:sz w:val="24"/>
                <w:szCs w:val="24"/>
              </w:rPr>
            </w:pPr>
          </w:p>
        </w:tc>
        <w:tc>
          <w:tcPr>
            <w:tcW w:w="1417" w:type="dxa"/>
          </w:tcPr>
          <w:p>
            <w:pPr>
              <w:rPr>
                <w:rFonts w:ascii="Times New Roman" w:hAnsi="Times New Roman" w:cs="Times New Roman"/>
                <w:sz w:val="24"/>
                <w:szCs w:val="24"/>
              </w:rPr>
            </w:pPr>
          </w:p>
        </w:tc>
        <w:tc>
          <w:tcPr>
            <w:tcW w:w="1361" w:type="dxa"/>
          </w:tcPr>
          <w:p>
            <w:pPr>
              <w:rPr>
                <w:rFonts w:ascii="Times New Roman" w:hAnsi="Times New Roman" w:cs="Times New Roman"/>
                <w:sz w:val="24"/>
                <w:szCs w:val="24"/>
              </w:rPr>
            </w:pPr>
          </w:p>
        </w:tc>
      </w:tr>
    </w:tbl>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ind w:firstLine="480" w:firstLineChars="200"/>
        <w:rPr>
          <w:rFonts w:ascii="Times New Roman" w:hAnsi="Times New Roman" w:eastAsia="宋体" w:cs="Times New Roman"/>
          <w:sz w:val="24"/>
          <w:szCs w:val="24"/>
        </w:rPr>
      </w:pPr>
      <w:r>
        <w:rPr>
          <w:rFonts w:ascii="Times New Roman" w:hAnsi="Times New Roman" w:cs="Times New Roman"/>
          <w:sz w:val="24"/>
          <w:szCs w:val="24"/>
        </w:rPr>
        <w:t>2. 应对照磋商文件的要求，逐条说明所提供</w:t>
      </w:r>
      <w:r>
        <w:rPr>
          <w:rFonts w:hint="eastAsia" w:ascii="Times New Roman" w:hAnsi="Times New Roman" w:cs="Times New Roman"/>
          <w:sz w:val="24"/>
          <w:szCs w:val="24"/>
        </w:rPr>
        <w:t>技术</w:t>
      </w:r>
      <w:r>
        <w:rPr>
          <w:rFonts w:ascii="Times New Roman" w:hAnsi="Times New Roman" w:cs="Times New Roman"/>
          <w:sz w:val="24"/>
          <w:szCs w:val="24"/>
        </w:rPr>
        <w:t>文件已对磋商文件做出了实质性的响应，并说明响应情况。特别对有具体数量要求的指标，供应商必须提供具体数值。如果仅注明“符合”、“满足”或简单复制磋商文件要求，将导致响应文件无效。</w:t>
      </w:r>
    </w:p>
    <w:p>
      <w:pPr>
        <w:spacing w:line="500" w:lineRule="exact"/>
        <w:rPr>
          <w:rFonts w:ascii="Times New Roman" w:hAnsi="Times New Roman" w:eastAsia="宋体" w:cs="Times New Roman"/>
          <w:sz w:val="24"/>
          <w:szCs w:val="24"/>
        </w:rPr>
      </w:pPr>
    </w:p>
    <w:p>
      <w:pPr>
        <w:spacing w:line="360" w:lineRule="auto"/>
        <w:rPr>
          <w:rFonts w:ascii="Times New Roman" w:hAnsi="Times New Roman" w:cs="Times New Roman"/>
          <w:sz w:val="24"/>
          <w:szCs w:val="24"/>
        </w:rPr>
      </w:pPr>
      <w:r>
        <w:rPr>
          <w:rFonts w:ascii="Times New Roman" w:hAnsi="Times New Roman" w:eastAsia="宋体" w:cs="Times New Roman"/>
          <w:sz w:val="24"/>
          <w:szCs w:val="24"/>
        </w:rPr>
        <w:t>供应商名称（公章）：</w:t>
      </w:r>
    </w:p>
    <w:p>
      <w:pPr>
        <w:adjustRightInd w:val="0"/>
        <w:snapToGrid w:val="0"/>
        <w:jc w:val="left"/>
        <w:outlineLvl w:val="0"/>
        <w:rPr>
          <w:rFonts w:ascii="Times New Roman" w:hAnsi="Times New Roman" w:cs="Times New Roman"/>
          <w:sz w:val="24"/>
          <w:szCs w:val="24"/>
        </w:rPr>
      </w:pPr>
      <w:r>
        <w:rPr>
          <w:rFonts w:hint="eastAsia" w:ascii="Times New Roman" w:hAnsi="Times New Roman" w:cs="Times New Roman"/>
          <w:sz w:val="24"/>
          <w:szCs w:val="24"/>
        </w:rPr>
        <w:t>日期</w:t>
      </w:r>
      <w:r>
        <w:rPr>
          <w:rFonts w:ascii="Times New Roman" w:hAnsi="Times New Roman" w:cs="Times New Roman"/>
          <w:sz w:val="24"/>
          <w:szCs w:val="24"/>
        </w:rPr>
        <w:t>：</w:t>
      </w:r>
    </w:p>
    <w:p>
      <w:pPr>
        <w:adjustRightInd w:val="0"/>
        <w:snapToGrid w:val="0"/>
        <w:jc w:val="left"/>
        <w:outlineLvl w:val="0"/>
        <w:rPr>
          <w:rFonts w:ascii="Times New Roman" w:hAnsi="Times New Roman" w:cs="Times New Roman"/>
          <w:sz w:val="24"/>
          <w:szCs w:val="24"/>
        </w:rPr>
      </w:pPr>
    </w:p>
    <w:p>
      <w:pPr>
        <w:adjustRightInd w:val="0"/>
        <w:snapToGrid w:val="0"/>
        <w:jc w:val="left"/>
        <w:outlineLvl w:val="0"/>
        <w:rPr>
          <w:rFonts w:ascii="Times New Roman" w:hAnsi="Times New Roman" w:cs="Times New Roman"/>
          <w:sz w:val="24"/>
          <w:szCs w:val="24"/>
        </w:rPr>
      </w:pPr>
    </w:p>
    <w:p>
      <w:pPr>
        <w:adjustRightInd w:val="0"/>
        <w:snapToGrid w:val="0"/>
        <w:jc w:val="left"/>
        <w:outlineLvl w:val="0"/>
        <w:rPr>
          <w:rFonts w:ascii="Times New Roman" w:hAnsi="Times New Roman" w:cs="Times New Roman"/>
          <w:sz w:val="24"/>
          <w:szCs w:val="24"/>
        </w:rPr>
      </w:pPr>
    </w:p>
    <w:p>
      <w:pPr>
        <w:adjustRightInd w:val="0"/>
        <w:snapToGrid w:val="0"/>
        <w:jc w:val="left"/>
        <w:outlineLvl w:val="0"/>
        <w:rPr>
          <w:rFonts w:ascii="Times New Roman" w:hAnsi="Times New Roman" w:cs="Times New Roman"/>
          <w:sz w:val="24"/>
          <w:szCs w:val="24"/>
        </w:rPr>
      </w:pPr>
    </w:p>
    <w:p>
      <w:pPr>
        <w:adjustRightInd w:val="0"/>
        <w:snapToGrid w:val="0"/>
        <w:jc w:val="left"/>
        <w:outlineLvl w:val="0"/>
        <w:rPr>
          <w:rFonts w:ascii="Times New Roman" w:hAnsi="Times New Roman" w:cs="Times New Roman"/>
          <w:sz w:val="24"/>
          <w:szCs w:val="24"/>
        </w:rPr>
      </w:pPr>
    </w:p>
    <w:p>
      <w:pPr>
        <w:adjustRightInd w:val="0"/>
        <w:snapToGrid w:val="0"/>
        <w:jc w:val="left"/>
        <w:outlineLvl w:val="0"/>
        <w:rPr>
          <w:rFonts w:ascii="Times New Roman" w:hAnsi="Times New Roman" w:cs="Times New Roman"/>
          <w:b/>
          <w:bCs/>
          <w:sz w:val="24"/>
          <w:szCs w:val="24"/>
        </w:rPr>
      </w:pPr>
      <w:r>
        <w:rPr>
          <w:rFonts w:ascii="Times New Roman" w:hAnsi="Times New Roman" w:cs="Times New Roman"/>
          <w:b/>
          <w:bCs/>
          <w:sz w:val="24"/>
          <w:szCs w:val="24"/>
        </w:rPr>
        <w:t>附件</w:t>
      </w:r>
      <w:bookmarkStart w:id="60" w:name="_Toc13597"/>
      <w:bookmarkStart w:id="61" w:name="_Toc502096735"/>
      <w:r>
        <w:rPr>
          <w:rFonts w:hint="eastAsia" w:ascii="Times New Roman" w:hAnsi="Times New Roman" w:cs="Times New Roman"/>
          <w:b/>
          <w:bCs/>
          <w:sz w:val="24"/>
          <w:szCs w:val="24"/>
        </w:rPr>
        <w:t>5</w:t>
      </w:r>
    </w:p>
    <w:p>
      <w:pPr>
        <w:adjustRightInd w:val="0"/>
        <w:snapToGrid w:val="0"/>
        <w:jc w:val="left"/>
        <w:outlineLvl w:val="0"/>
        <w:rPr>
          <w:rFonts w:ascii="Times New Roman" w:hAnsi="Times New Roman" w:cs="Times New Roman"/>
          <w:b/>
          <w:bCs/>
          <w:sz w:val="24"/>
          <w:szCs w:val="24"/>
        </w:rPr>
      </w:pPr>
    </w:p>
    <w:bookmarkEnd w:id="60"/>
    <w:bookmarkEnd w:id="61"/>
    <w:p>
      <w:pPr>
        <w:adjustRightInd w:val="0"/>
        <w:snapToGrid w:val="0"/>
        <w:jc w:val="center"/>
        <w:outlineLvl w:val="0"/>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法定代表人授权书</w:t>
      </w:r>
    </w:p>
    <w:p>
      <w:pPr>
        <w:spacing w:beforeLines="50" w:afterLines="100"/>
        <w:rPr>
          <w:rFonts w:ascii="Times New Roman" w:hAnsi="Times New Roman" w:cs="Times New Roman"/>
          <w:sz w:val="24"/>
          <w:szCs w:val="24"/>
        </w:rPr>
      </w:pPr>
    </w:p>
    <w:p>
      <w:pPr>
        <w:spacing w:beforeLines="50" w:afterLines="100"/>
        <w:rPr>
          <w:rFonts w:ascii="Times New Roman" w:hAnsi="Times New Roman" w:cs="Times New Roman"/>
          <w:bCs/>
          <w:sz w:val="24"/>
          <w:szCs w:val="24"/>
        </w:rPr>
      </w:pPr>
      <w:r>
        <w:rPr>
          <w:rFonts w:hint="eastAsia"/>
          <w:kern w:val="0"/>
          <w:sz w:val="24"/>
          <w:szCs w:val="20"/>
        </w:rPr>
        <w:t>（</w:t>
      </w:r>
      <w:r>
        <w:rPr>
          <w:rFonts w:hint="eastAsia"/>
          <w:kern w:val="0"/>
          <w:sz w:val="24"/>
          <w:szCs w:val="20"/>
          <w:lang w:eastAsia="zh-CN"/>
        </w:rPr>
        <w:t>采购代理机构</w:t>
      </w:r>
      <w:r>
        <w:rPr>
          <w:rFonts w:hint="eastAsia"/>
          <w:kern w:val="0"/>
          <w:sz w:val="24"/>
          <w:szCs w:val="20"/>
        </w:rPr>
        <w:t>名称）</w:t>
      </w:r>
      <w:r>
        <w:rPr>
          <w:rFonts w:ascii="Times New Roman" w:hAnsi="Times New Roman" w:cs="Times New Roman"/>
          <w:bCs/>
          <w:sz w:val="24"/>
          <w:szCs w:val="24"/>
        </w:rPr>
        <w:t>：</w:t>
      </w:r>
    </w:p>
    <w:p>
      <w:pPr>
        <w:spacing w:line="440" w:lineRule="exact"/>
        <w:ind w:firstLine="480" w:firstLineChars="200"/>
        <w:rPr>
          <w:rFonts w:ascii="Times New Roman" w:hAnsi="Times New Roman" w:cs="Times New Roman"/>
          <w:bCs/>
          <w:sz w:val="24"/>
          <w:szCs w:val="24"/>
        </w:rPr>
      </w:pPr>
      <w:r>
        <w:rPr>
          <w:rFonts w:ascii="Times New Roman" w:hAnsi="Times New Roman" w:cs="Times New Roman"/>
          <w:bCs/>
          <w:sz w:val="24"/>
          <w:szCs w:val="24"/>
          <w:u w:val="single"/>
        </w:rPr>
        <w:t>（供应商名称）</w:t>
      </w:r>
      <w:r>
        <w:rPr>
          <w:rFonts w:ascii="Times New Roman" w:hAnsi="Times New Roman" w:cs="Times New Roman"/>
          <w:bCs/>
          <w:sz w:val="24"/>
          <w:szCs w:val="24"/>
        </w:rPr>
        <w:t>在下面签字的（</w:t>
      </w:r>
      <w:r>
        <w:rPr>
          <w:rFonts w:ascii="Times New Roman" w:hAnsi="Times New Roman" w:cs="Times New Roman"/>
          <w:bCs/>
          <w:sz w:val="24"/>
          <w:szCs w:val="24"/>
          <w:u w:val="single"/>
        </w:rPr>
        <w:t>法定代表人姓名、职务</w:t>
      </w:r>
      <w:r>
        <w:rPr>
          <w:rFonts w:ascii="Times New Roman" w:hAnsi="Times New Roman" w:cs="Times New Roman"/>
          <w:bCs/>
          <w:sz w:val="24"/>
          <w:szCs w:val="24"/>
        </w:rPr>
        <w:t>）代表本公司授权（供应商名称）的下面签字的</w:t>
      </w:r>
      <w:r>
        <w:rPr>
          <w:rFonts w:ascii="Times New Roman" w:hAnsi="Times New Roman" w:cs="Times New Roman"/>
          <w:bCs/>
          <w:sz w:val="24"/>
          <w:szCs w:val="24"/>
          <w:u w:val="single"/>
        </w:rPr>
        <w:t>（被授权代表的姓名、职务）</w:t>
      </w:r>
      <w:r>
        <w:rPr>
          <w:rFonts w:ascii="Times New Roman" w:hAnsi="Times New Roman" w:cs="Times New Roman"/>
          <w:bCs/>
          <w:sz w:val="24"/>
          <w:szCs w:val="24"/>
        </w:rPr>
        <w:t>为本公司的合法代理人，就（</w:t>
      </w:r>
      <w:r>
        <w:rPr>
          <w:rFonts w:ascii="Times New Roman" w:hAnsi="Times New Roman" w:cs="Times New Roman"/>
          <w:bCs/>
          <w:sz w:val="24"/>
          <w:szCs w:val="24"/>
          <w:u w:val="single"/>
        </w:rPr>
        <w:t>项目名称、项目编号</w:t>
      </w:r>
      <w:r>
        <w:rPr>
          <w:rFonts w:ascii="Times New Roman" w:hAnsi="Times New Roman" w:cs="Times New Roman"/>
          <w:bCs/>
          <w:sz w:val="24"/>
          <w:szCs w:val="24"/>
        </w:rPr>
        <w:t>）的竞争性磋商，以本公司的名义处理一切与之有关的事务。</w:t>
      </w:r>
    </w:p>
    <w:p>
      <w:pPr>
        <w:spacing w:line="44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本授权书自    年    月    日至    年    月    日止签字有效。</w:t>
      </w:r>
    </w:p>
    <w:p>
      <w:pPr>
        <w:spacing w:line="44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特此声明。</w:t>
      </w:r>
    </w:p>
    <w:p>
      <w:pPr>
        <w:spacing w:beforeLines="100" w:after="100" w:afterAutospacing="1"/>
        <w:ind w:firstLine="480" w:firstLineChars="200"/>
        <w:rPr>
          <w:rFonts w:ascii="Times New Roman" w:hAnsi="Times New Roman" w:cs="Times New Roman"/>
          <w:bCs/>
          <w:sz w:val="24"/>
          <w:szCs w:val="24"/>
        </w:rPr>
      </w:pPr>
      <w:r>
        <w:rPr>
          <w:rFonts w:ascii="Times New Roman" w:hAnsi="Times New Roman" w:cs="Times New Roman"/>
          <w:bCs/>
          <w:sz w:val="24"/>
          <w:szCs w:val="24"/>
        </w:rPr>
        <w:t>委托人名称（公章）：                  被授权人（签章）：</w:t>
      </w:r>
    </w:p>
    <w:p>
      <w:pPr>
        <w:spacing w:beforeLines="100" w:after="100" w:afterAutospacing="1"/>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法定代表人（签章）：        身份证号码：</w:t>
      </w:r>
    </w:p>
    <w:p>
      <w:pPr>
        <w:spacing w:beforeLines="100" w:after="100" w:afterAutospacing="1"/>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电话：                               电话（手机）：</w:t>
      </w:r>
    </w:p>
    <w:p>
      <w:pPr>
        <w:spacing w:beforeLines="100" w:after="100" w:afterAutospacing="1"/>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传真：办公                           电话/传真：</w:t>
      </w:r>
    </w:p>
    <w:tbl>
      <w:tblPr>
        <w:tblStyle w:val="17"/>
        <w:tblpPr w:leftFromText="180" w:rightFromText="180" w:vertAnchor="text" w:horzAnchor="page" w:tblpX="2017" w:tblpY="108"/>
        <w:tblOverlap w:val="never"/>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302" w:type="dxa"/>
          </w:tcPr>
          <w:p>
            <w:pPr>
              <w:spacing w:beforeLines="50" w:afterLines="100"/>
              <w:rPr>
                <w:rFonts w:ascii="Times New Roman" w:hAnsi="Times New Roman" w:cs="Times New Roman"/>
                <w:bCs/>
                <w:sz w:val="24"/>
                <w:szCs w:val="24"/>
              </w:rPr>
            </w:pPr>
            <w:r>
              <w:rPr>
                <w:rFonts w:ascii="Times New Roman" w:hAnsi="Times New Roman" w:cs="Times New Roman"/>
                <w:bCs/>
                <w:sz w:val="24"/>
                <w:szCs w:val="24"/>
              </w:rPr>
              <w:t>粘贴被授权人身份证（复印件）</w:t>
            </w:r>
          </w:p>
        </w:tc>
      </w:tr>
    </w:tbl>
    <w:p>
      <w:pPr>
        <w:widowControl/>
        <w:jc w:val="left"/>
        <w:rPr>
          <w:rFonts w:ascii="Times New Roman" w:hAnsi="Times New Roman" w:cs="Times New Roman"/>
          <w:bCs/>
          <w:sz w:val="24"/>
          <w:szCs w:val="24"/>
        </w:rPr>
      </w:pPr>
    </w:p>
    <w:p>
      <w:pPr>
        <w:adjustRightInd w:val="0"/>
        <w:snapToGrid w:val="0"/>
        <w:jc w:val="left"/>
        <w:outlineLvl w:val="0"/>
        <w:rPr>
          <w:rFonts w:ascii="方正小标宋简体" w:hAnsi="Times New Roman" w:eastAsia="方正小标宋简体" w:cs="Times New Roman"/>
          <w:bCs/>
          <w:color w:val="000000"/>
          <w:sz w:val="32"/>
          <w:szCs w:val="32"/>
        </w:rPr>
      </w:pPr>
      <w:r>
        <w:rPr>
          <w:rFonts w:ascii="Times New Roman" w:hAnsi="Times New Roman" w:cs="Times New Roman"/>
          <w:b/>
          <w:bCs/>
          <w:sz w:val="24"/>
          <w:szCs w:val="24"/>
        </w:rPr>
        <w:t>附件</w:t>
      </w:r>
      <w:r>
        <w:rPr>
          <w:rFonts w:hint="eastAsia" w:ascii="Times New Roman" w:hAnsi="Times New Roman" w:cs="Times New Roman"/>
          <w:b/>
          <w:bCs/>
          <w:sz w:val="24"/>
          <w:szCs w:val="24"/>
        </w:rPr>
        <w:t>6</w:t>
      </w:r>
      <w:r>
        <w:rPr>
          <w:rFonts w:hint="eastAsia" w:ascii="方正小标宋简体" w:hAnsi="Times New Roman" w:eastAsia="方正小标宋简体" w:cs="Times New Roman"/>
          <w:bCs/>
          <w:color w:val="000000"/>
          <w:sz w:val="32"/>
          <w:szCs w:val="32"/>
        </w:rPr>
        <w:t>法人或者其他组织的营业执照等证明文件，自然人的身份证明等证明材料</w:t>
      </w:r>
    </w:p>
    <w:p>
      <w:pPr>
        <w:rPr>
          <w:rFonts w:ascii="Times New Roman" w:hAnsi="Times New Roman" w:eastAsia="仿宋_GB2312" w:cs="Times New Roman"/>
          <w:bCs/>
          <w:color w:val="000000"/>
          <w:szCs w:val="28"/>
        </w:rPr>
      </w:pPr>
    </w:p>
    <w:p>
      <w:pPr>
        <w:widowControl/>
        <w:jc w:val="left"/>
        <w:rPr>
          <w:rFonts w:ascii="Times New Roman" w:hAnsi="Times New Roman" w:cs="Times New Roman"/>
          <w:bCs/>
          <w:color w:val="000000"/>
          <w:sz w:val="24"/>
        </w:rPr>
      </w:pPr>
      <w:r>
        <w:rPr>
          <w:rFonts w:ascii="Times New Roman" w:hAnsi="Times New Roman" w:cs="Times New Roman"/>
          <w:bCs/>
          <w:color w:val="000000"/>
          <w:sz w:val="24"/>
        </w:rPr>
        <w:t>（企业法人营业执照、税务登记证，供应商是自然人的身份证明材料等）</w:t>
      </w:r>
    </w:p>
    <w:p>
      <w:pPr>
        <w:widowControl/>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adjustRightInd w:val="0"/>
        <w:snapToGrid w:val="0"/>
        <w:jc w:val="left"/>
        <w:outlineLvl w:val="0"/>
        <w:rPr>
          <w:rFonts w:ascii="方正小标宋简体" w:hAnsi="Times New Roman" w:eastAsia="方正小标宋简体" w:cs="Times New Roman"/>
          <w:bCs/>
          <w:color w:val="000000"/>
          <w:sz w:val="32"/>
          <w:szCs w:val="32"/>
        </w:rPr>
      </w:pPr>
      <w:r>
        <w:rPr>
          <w:rFonts w:ascii="Times New Roman" w:hAnsi="Times New Roman" w:cs="Times New Roman"/>
          <w:b/>
          <w:bCs/>
          <w:sz w:val="24"/>
          <w:szCs w:val="24"/>
        </w:rPr>
        <w:t>附件</w:t>
      </w:r>
      <w:r>
        <w:rPr>
          <w:rFonts w:hint="eastAsia" w:ascii="Times New Roman" w:hAnsi="Times New Roman" w:cs="Times New Roman"/>
          <w:b/>
          <w:bCs/>
          <w:sz w:val="24"/>
          <w:szCs w:val="24"/>
        </w:rPr>
        <w:t>7</w:t>
      </w:r>
      <w:r>
        <w:rPr>
          <w:rFonts w:hint="eastAsia" w:ascii="方正小标宋简体" w:hAnsi="Times New Roman" w:eastAsia="方正小标宋简体" w:cs="Times New Roman"/>
          <w:bCs/>
          <w:color w:val="000000"/>
          <w:sz w:val="32"/>
          <w:szCs w:val="32"/>
        </w:rPr>
        <w:t>财务状况报告，依法缴纳税收和社会保障资金的相关材料</w:t>
      </w:r>
    </w:p>
    <w:p>
      <w:pPr>
        <w:rPr>
          <w:rFonts w:ascii="Times New Roman" w:hAnsi="Times New Roman" w:eastAsia="仿宋_GB2312" w:cs="Times New Roman"/>
          <w:bCs/>
          <w:color w:val="000000"/>
          <w:szCs w:val="28"/>
        </w:rPr>
      </w:pPr>
    </w:p>
    <w:p>
      <w:pPr>
        <w:spacing w:line="440" w:lineRule="exac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一、参加本采购项目前一年度的财务报表（企业成立时间不足一年不适用），或其他证明具备实施本项目的财务状况证明材料；</w:t>
      </w:r>
    </w:p>
    <w:p>
      <w:pPr>
        <w:spacing w:line="440" w:lineRule="exac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二、参加本采购项目前，近期的纳税证明；</w:t>
      </w:r>
    </w:p>
    <w:p>
      <w:pPr>
        <w:spacing w:line="440" w:lineRule="exact"/>
        <w:ind w:left="2" w:leftChars="1" w:firstLine="480" w:firstLineChars="200"/>
        <w:rPr>
          <w:rFonts w:ascii="Times New Roman" w:hAnsi="Times New Roman" w:cs="Times New Roman"/>
          <w:bCs/>
          <w:color w:val="000000"/>
          <w:sz w:val="24"/>
        </w:rPr>
      </w:pPr>
      <w:r>
        <w:rPr>
          <w:rFonts w:ascii="Times New Roman" w:hAnsi="Times New Roman" w:cs="Times New Roman"/>
          <w:bCs/>
          <w:color w:val="000000"/>
          <w:sz w:val="24"/>
        </w:rPr>
        <w:t>三、参加本采购项目前，近期缴纳社会保障资金证明等。</w:t>
      </w: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spacing w:line="440" w:lineRule="exact"/>
        <w:ind w:left="2" w:leftChars="1" w:firstLine="480" w:firstLineChars="200"/>
        <w:rPr>
          <w:rFonts w:ascii="Times New Roman" w:hAnsi="Times New Roman" w:cs="Times New Roman"/>
          <w:bCs/>
          <w:color w:val="000000"/>
          <w:sz w:val="24"/>
        </w:rPr>
      </w:pPr>
    </w:p>
    <w:p>
      <w:pPr>
        <w:adjustRightInd w:val="0"/>
        <w:snapToGrid w:val="0"/>
        <w:jc w:val="left"/>
        <w:outlineLvl w:val="0"/>
        <w:rPr>
          <w:rFonts w:ascii="方正小标宋简体" w:hAnsi="Times New Roman" w:eastAsia="方正小标宋简体" w:cs="Times New Roman"/>
          <w:bCs/>
          <w:color w:val="000000"/>
          <w:sz w:val="32"/>
          <w:szCs w:val="32"/>
        </w:rPr>
      </w:pPr>
      <w:r>
        <w:rPr>
          <w:rFonts w:ascii="Times New Roman" w:hAnsi="Times New Roman" w:cs="Times New Roman"/>
          <w:b/>
          <w:bCs/>
          <w:sz w:val="24"/>
          <w:szCs w:val="24"/>
        </w:rPr>
        <w:t>附件</w:t>
      </w:r>
      <w:r>
        <w:rPr>
          <w:rFonts w:hint="eastAsia" w:ascii="Times New Roman" w:hAnsi="Times New Roman" w:cs="Times New Roman"/>
          <w:b/>
          <w:bCs/>
          <w:sz w:val="24"/>
          <w:szCs w:val="24"/>
        </w:rPr>
        <w:t>8</w:t>
      </w:r>
      <w:r>
        <w:rPr>
          <w:rFonts w:hint="eastAsia" w:ascii="方正小标宋简体" w:hAnsi="Times New Roman" w:eastAsia="方正小标宋简体" w:cs="Times New Roman"/>
          <w:bCs/>
          <w:color w:val="000000"/>
          <w:sz w:val="32"/>
          <w:szCs w:val="32"/>
        </w:rPr>
        <w:t>具备履行合同所必需的设备和专业技术能力的</w:t>
      </w:r>
    </w:p>
    <w:p>
      <w:pPr>
        <w:spacing w:line="440" w:lineRule="exact"/>
        <w:jc w:val="center"/>
        <w:rPr>
          <w:rFonts w:ascii="方正小标宋简体" w:hAnsi="Times New Roman" w:eastAsia="方正小标宋简体" w:cs="Times New Roman"/>
          <w:bCs/>
          <w:color w:val="000000"/>
          <w:sz w:val="32"/>
          <w:szCs w:val="32"/>
        </w:rPr>
      </w:pPr>
      <w:r>
        <w:rPr>
          <w:rFonts w:hint="eastAsia" w:ascii="方正小标宋简体" w:hAnsi="Times New Roman" w:eastAsia="方正小标宋简体" w:cs="Times New Roman"/>
          <w:bCs/>
          <w:color w:val="000000"/>
          <w:sz w:val="32"/>
          <w:szCs w:val="32"/>
        </w:rPr>
        <w:t>证明材料</w:t>
      </w:r>
    </w:p>
    <w:p>
      <w:pPr>
        <w:spacing w:line="440" w:lineRule="exact"/>
        <w:jc w:val="center"/>
        <w:rPr>
          <w:rFonts w:ascii="Times New Roman" w:hAnsi="Times New Roman" w:cs="Times New Roman"/>
          <w:bCs/>
          <w:color w:val="000000"/>
          <w:sz w:val="32"/>
          <w:szCs w:val="32"/>
        </w:rPr>
      </w:pPr>
    </w:p>
    <w:p>
      <w:pPr>
        <w:spacing w:line="500" w:lineRule="exact"/>
        <w:jc w:val="center"/>
        <w:rPr>
          <w:rFonts w:ascii="Times New Roman" w:hAnsi="Times New Roman" w:cs="Times New Roman" w:eastAsiaTheme="majorEastAsia"/>
          <w:bCs/>
          <w:color w:val="000000" w:themeColor="text1"/>
          <w:sz w:val="24"/>
        </w:rPr>
      </w:pPr>
      <w:r>
        <w:rPr>
          <w:rFonts w:ascii="Times New Roman" w:hAnsi="Times New Roman" w:cs="Times New Roman"/>
          <w:bCs/>
          <w:color w:val="000000"/>
          <w:sz w:val="24"/>
        </w:rPr>
        <w:t>（提供履行合同所必需的设备和专业技术能力的相关文件）</w:t>
      </w:r>
    </w:p>
    <w:p>
      <w:pPr>
        <w:widowControl/>
        <w:jc w:val="left"/>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pPr>
        <w:adjustRightInd w:val="0"/>
        <w:snapToGrid w:val="0"/>
        <w:jc w:val="left"/>
        <w:outlineLvl w:val="0"/>
        <w:rPr>
          <w:rFonts w:ascii="方正小标宋简体" w:hAnsi="Times New Roman" w:eastAsia="方正小标宋简体" w:cs="Times New Roman"/>
          <w:bCs/>
          <w:color w:val="000000"/>
          <w:sz w:val="32"/>
          <w:szCs w:val="32"/>
        </w:rPr>
      </w:pPr>
      <w:r>
        <w:rPr>
          <w:rFonts w:ascii="Times New Roman" w:hAnsi="Times New Roman" w:cs="Times New Roman"/>
          <w:b/>
          <w:bCs/>
          <w:sz w:val="24"/>
          <w:szCs w:val="24"/>
        </w:rPr>
        <w:t>附件</w:t>
      </w:r>
      <w:r>
        <w:rPr>
          <w:rFonts w:hint="eastAsia" w:ascii="Times New Roman" w:hAnsi="Times New Roman" w:cs="Times New Roman"/>
          <w:b/>
          <w:bCs/>
          <w:sz w:val="24"/>
          <w:szCs w:val="24"/>
        </w:rPr>
        <w:t>9</w:t>
      </w:r>
      <w:r>
        <w:rPr>
          <w:rFonts w:hint="eastAsia" w:ascii="方正小标宋简体" w:hAnsi="Times New Roman" w:eastAsia="方正小标宋简体" w:cs="Times New Roman"/>
          <w:bCs/>
          <w:color w:val="000000"/>
          <w:sz w:val="32"/>
          <w:szCs w:val="32"/>
        </w:rPr>
        <w:t>参加政府采购活动前3年内在经营活动中没有重大违法记录的书面声明</w:t>
      </w:r>
    </w:p>
    <w:p>
      <w:pPr>
        <w:spacing w:line="440" w:lineRule="exact"/>
        <w:jc w:val="center"/>
        <w:rPr>
          <w:rFonts w:ascii="Times New Roman" w:hAnsi="Times New Roman" w:eastAsia="仿宋_GB2312" w:cs="Times New Roman"/>
          <w:sz w:val="24"/>
        </w:rPr>
      </w:pPr>
    </w:p>
    <w:p>
      <w:pPr>
        <w:spacing w:line="500" w:lineRule="exact"/>
        <w:jc w:val="center"/>
        <w:rPr>
          <w:rFonts w:ascii="Times New Roman" w:hAnsi="Times New Roman" w:cs="Times New Roman" w:eastAsiaTheme="majorEastAsia"/>
          <w:bCs/>
          <w:color w:val="000000" w:themeColor="text1"/>
          <w:sz w:val="32"/>
          <w:szCs w:val="32"/>
        </w:rPr>
      </w:pPr>
      <w:r>
        <w:rPr>
          <w:rFonts w:ascii="Times New Roman" w:hAnsi="Times New Roman" w:cs="Times New Roman"/>
          <w:sz w:val="24"/>
        </w:rPr>
        <w:t>（供应商自行编写）</w:t>
      </w:r>
    </w:p>
    <w:p>
      <w:pPr>
        <w:widowControl/>
        <w:jc w:val="left"/>
        <w:rPr>
          <w:rFonts w:ascii="Times New Roman" w:hAnsi="Times New Roman" w:cs="Times New Roman" w:eastAsiaTheme="majorEastAsia"/>
          <w:bCs/>
          <w:color w:val="000000" w:themeColor="text1"/>
          <w:sz w:val="32"/>
          <w:szCs w:val="32"/>
        </w:rPr>
      </w:pPr>
      <w:r>
        <w:rPr>
          <w:rFonts w:ascii="Times New Roman" w:hAnsi="Times New Roman" w:cs="Times New Roman" w:eastAsiaTheme="majorEastAsia"/>
          <w:bCs/>
          <w:color w:val="000000" w:themeColor="text1"/>
          <w:sz w:val="32"/>
          <w:szCs w:val="32"/>
        </w:rPr>
        <w:br w:type="page"/>
      </w:r>
    </w:p>
    <w:p>
      <w:pPr>
        <w:adjustRightInd w:val="0"/>
        <w:snapToGrid w:val="0"/>
        <w:outlineLvl w:val="0"/>
        <w:rPr>
          <w:rFonts w:ascii="方正小标宋简体" w:hAnsi="Times New Roman" w:eastAsia="方正小标宋简体" w:cs="Times New Roman"/>
          <w:bCs/>
          <w:color w:val="000000"/>
          <w:sz w:val="32"/>
          <w:szCs w:val="32"/>
        </w:rPr>
      </w:pPr>
      <w:r>
        <w:rPr>
          <w:rFonts w:ascii="Times New Roman" w:hAnsi="Times New Roman" w:cs="Times New Roman"/>
          <w:b/>
          <w:bCs/>
          <w:sz w:val="24"/>
          <w:szCs w:val="24"/>
        </w:rPr>
        <w:t>附件1</w:t>
      </w:r>
      <w:r>
        <w:rPr>
          <w:rFonts w:hint="eastAsia" w:ascii="Times New Roman" w:hAnsi="Times New Roman" w:cs="Times New Roman"/>
          <w:b/>
          <w:bCs/>
          <w:sz w:val="24"/>
          <w:szCs w:val="24"/>
        </w:rPr>
        <w:t>0</w:t>
      </w:r>
      <w:r>
        <w:rPr>
          <w:rFonts w:hint="eastAsia" w:ascii="方正小标宋简体" w:hAnsi="Times New Roman" w:eastAsia="方正小标宋简体" w:cs="Times New Roman"/>
          <w:bCs/>
          <w:color w:val="000000"/>
          <w:sz w:val="32"/>
          <w:szCs w:val="32"/>
        </w:rPr>
        <w:t>未被列入“信用中国”网站(www.creditchina.gov.cn)失信被执行人、重大税收违法案件当事人名单，中国政府采购网（www.ccgp.gov.cn）政府采购严重违法失信行为记录名单的网页打印件</w:t>
      </w:r>
    </w:p>
    <w:p>
      <w:pPr>
        <w:spacing w:line="440" w:lineRule="exact"/>
        <w:jc w:val="center"/>
        <w:rPr>
          <w:rFonts w:ascii="Times New Roman" w:hAnsi="Times New Roman" w:cs="Times New Roman"/>
          <w:sz w:val="24"/>
        </w:rPr>
      </w:pPr>
    </w:p>
    <w:p>
      <w:pPr>
        <w:spacing w:line="440" w:lineRule="exact"/>
        <w:jc w:val="center"/>
        <w:rPr>
          <w:rFonts w:ascii="Times New Roman" w:hAnsi="Times New Roman" w:cs="Times New Roman"/>
          <w:color w:val="000000" w:themeColor="text1"/>
        </w:rPr>
      </w:pPr>
      <w:r>
        <w:rPr>
          <w:rFonts w:ascii="Times New Roman" w:hAnsi="Times New Roman" w:cs="Times New Roman"/>
          <w:sz w:val="24"/>
        </w:rPr>
        <w:t>（供应商自行打印）</w:t>
      </w:r>
    </w:p>
    <w:p>
      <w:pPr>
        <w:spacing w:line="440" w:lineRule="exact"/>
        <w:rPr>
          <w:rFonts w:ascii="Times New Roman" w:hAnsi="Times New Roman" w:cs="Times New Roman"/>
          <w:color w:val="000000" w:themeColor="text1"/>
        </w:rPr>
      </w:pPr>
    </w:p>
    <w:p>
      <w:pPr>
        <w:widowControl/>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adjustRightInd w:val="0"/>
        <w:snapToGrid w:val="0"/>
        <w:jc w:val="left"/>
        <w:outlineLvl w:val="0"/>
        <w:rPr>
          <w:rFonts w:ascii="方正小标宋简体" w:eastAsia="方正小标宋简体"/>
          <w:sz w:val="32"/>
          <w:szCs w:val="32"/>
        </w:rPr>
      </w:pPr>
      <w:r>
        <w:rPr>
          <w:rFonts w:ascii="Times New Roman" w:hAnsi="Times New Roman" w:cs="Times New Roman"/>
          <w:b/>
          <w:bCs/>
          <w:sz w:val="24"/>
          <w:szCs w:val="24"/>
        </w:rPr>
        <w:t>附件1</w:t>
      </w:r>
      <w:r>
        <w:rPr>
          <w:rFonts w:hint="eastAsia" w:ascii="Times New Roman" w:hAnsi="Times New Roman" w:cs="Times New Roman"/>
          <w:b/>
          <w:bCs/>
          <w:sz w:val="24"/>
          <w:szCs w:val="24"/>
        </w:rPr>
        <w:t>1</w:t>
      </w:r>
      <w:r>
        <w:rPr>
          <w:rFonts w:hint="eastAsia" w:ascii="方正小标宋简体" w:eastAsia="方正小标宋简体"/>
          <w:sz w:val="32"/>
          <w:szCs w:val="32"/>
        </w:rPr>
        <w:t>中小企业声明函</w:t>
      </w:r>
    </w:p>
    <w:p>
      <w:pPr>
        <w:jc w:val="center"/>
        <w:rPr>
          <w:rFonts w:ascii="宋体" w:hAnsi="宋体" w:cs="宋体"/>
          <w:b/>
          <w:bCs/>
          <w:kern w:val="0"/>
          <w:sz w:val="36"/>
          <w:szCs w:val="36"/>
        </w:rPr>
      </w:pPr>
      <w:r>
        <w:rPr>
          <w:rFonts w:hint="eastAsia" w:ascii="宋体" w:hAnsi="宋体" w:cs="宋体"/>
          <w:b/>
          <w:bCs/>
          <w:kern w:val="0"/>
          <w:sz w:val="36"/>
          <w:szCs w:val="36"/>
        </w:rPr>
        <w:t>中小企业声明函（货物）</w:t>
      </w:r>
    </w:p>
    <w:p>
      <w:pPr>
        <w:jc w:val="center"/>
        <w:rPr>
          <w:rFonts w:ascii="宋体" w:hAnsi="宋体" w:cs="宋体"/>
          <w:kern w:val="0"/>
          <w:sz w:val="24"/>
          <w:szCs w:val="24"/>
        </w:rPr>
      </w:pPr>
    </w:p>
    <w:p>
      <w:pPr>
        <w:spacing w:line="360" w:lineRule="auto"/>
        <w:ind w:firstLine="572" w:firstLineChars="200"/>
        <w:rPr>
          <w:rFonts w:ascii="仿宋" w:hAnsi="仿宋" w:eastAsia="仿宋" w:cs="仿宋"/>
          <w:spacing w:val="-17"/>
          <w:sz w:val="32"/>
          <w:szCs w:val="32"/>
          <w:lang w:val="zh-CN" w:bidi="zh-CN"/>
        </w:rPr>
      </w:pPr>
      <w:r>
        <w:rPr>
          <w:rFonts w:hint="eastAsia" w:ascii="仿宋" w:hAnsi="仿宋" w:eastAsia="仿宋" w:cs="仿宋"/>
          <w:spacing w:val="-17"/>
          <w:sz w:val="32"/>
          <w:szCs w:val="32"/>
          <w:lang w:val="zh-CN" w:bidi="zh-CN"/>
        </w:rPr>
        <w:t xml:space="preserve">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（含联合体中的中小企业、签订分包意向协议的中小企业）的具体情况如下： </w:t>
      </w:r>
    </w:p>
    <w:p>
      <w:pPr>
        <w:spacing w:line="360" w:lineRule="auto"/>
        <w:ind w:firstLine="572" w:firstLineChars="200"/>
        <w:rPr>
          <w:rFonts w:ascii="仿宋" w:hAnsi="仿宋" w:eastAsia="仿宋" w:cs="仿宋"/>
          <w:spacing w:val="-17"/>
          <w:sz w:val="32"/>
          <w:szCs w:val="32"/>
          <w:lang w:val="zh-CN" w:bidi="zh-CN"/>
        </w:rPr>
      </w:pPr>
      <w:r>
        <w:rPr>
          <w:rFonts w:hint="eastAsia" w:ascii="仿宋" w:hAnsi="仿宋" w:eastAsia="仿宋" w:cs="仿宋"/>
          <w:spacing w:val="-17"/>
          <w:sz w:val="32"/>
          <w:szCs w:val="32"/>
          <w:lang w:val="zh-CN" w:bidi="zh-CN"/>
        </w:rPr>
        <w:t>1. （标的名称） ，属于（采购文件中明确的所属行业） 行业；制造商为（企业名称），从业人员 人，营业收入为   万元，资产总额为    万元</w:t>
      </w:r>
      <w:r>
        <w:rPr>
          <w:rFonts w:hint="eastAsia" w:ascii="仿宋" w:hAnsi="仿宋" w:eastAsia="仿宋" w:cs="仿宋"/>
          <w:spacing w:val="-17"/>
          <w:szCs w:val="21"/>
          <w:lang w:val="zh-CN" w:bidi="zh-CN"/>
        </w:rPr>
        <w:t>1</w:t>
      </w:r>
      <w:r>
        <w:rPr>
          <w:rFonts w:hint="eastAsia" w:ascii="仿宋" w:hAnsi="仿宋" w:eastAsia="仿宋" w:cs="仿宋"/>
          <w:spacing w:val="-17"/>
          <w:sz w:val="32"/>
          <w:szCs w:val="32"/>
          <w:lang w:val="zh-CN" w:bidi="zh-CN"/>
        </w:rPr>
        <w:t xml:space="preserve">，属于（中型企业、小型企业、微型企业）； </w:t>
      </w:r>
    </w:p>
    <w:p>
      <w:pPr>
        <w:spacing w:line="360" w:lineRule="auto"/>
        <w:ind w:firstLine="572" w:firstLineChars="200"/>
        <w:rPr>
          <w:rFonts w:ascii="仿宋" w:hAnsi="仿宋" w:eastAsia="仿宋" w:cs="仿宋"/>
          <w:spacing w:val="-17"/>
          <w:sz w:val="32"/>
          <w:szCs w:val="32"/>
          <w:lang w:val="zh-CN" w:bidi="zh-CN"/>
        </w:rPr>
      </w:pPr>
      <w:r>
        <w:rPr>
          <w:rFonts w:hint="eastAsia" w:ascii="仿宋" w:hAnsi="仿宋" w:eastAsia="仿宋" w:cs="仿宋"/>
          <w:spacing w:val="-17"/>
          <w:sz w:val="32"/>
          <w:szCs w:val="32"/>
          <w:lang w:val="zh-CN" w:bidi="zh-CN"/>
        </w:rPr>
        <w:t xml:space="preserve">2. （标的名称） ，属于（采购文件中明确的所属行业）行业；制造商为（企业名称），从业人员   人，营业收入为   万元，资产总额为   万元，属于（中型企业、小型 企业、微型企业）； </w:t>
      </w:r>
    </w:p>
    <w:p>
      <w:pPr>
        <w:spacing w:line="360" w:lineRule="auto"/>
        <w:ind w:firstLine="572" w:firstLineChars="200"/>
        <w:rPr>
          <w:rFonts w:ascii="仿宋" w:hAnsi="仿宋" w:eastAsia="仿宋" w:cs="仿宋"/>
          <w:spacing w:val="-17"/>
          <w:sz w:val="32"/>
          <w:szCs w:val="32"/>
          <w:lang w:val="zh-CN" w:bidi="zh-CN"/>
        </w:rPr>
      </w:pPr>
      <w:r>
        <w:rPr>
          <w:rFonts w:hint="eastAsia" w:ascii="仿宋" w:hAnsi="仿宋" w:eastAsia="仿宋" w:cs="仿宋"/>
          <w:spacing w:val="-17"/>
          <w:sz w:val="32"/>
          <w:szCs w:val="32"/>
          <w:lang w:val="zh-CN" w:bidi="zh-CN"/>
        </w:rPr>
        <w:t>以上企业，不属于大企业的分支机构，不存在控股股东为大企业的情形，也不存在与大企业的负责人为同一人的情形。</w:t>
      </w:r>
    </w:p>
    <w:p>
      <w:pPr>
        <w:spacing w:line="360" w:lineRule="auto"/>
        <w:rPr>
          <w:rFonts w:ascii="仿宋" w:hAnsi="仿宋" w:eastAsia="仿宋" w:cs="仿宋"/>
          <w:spacing w:val="-17"/>
          <w:sz w:val="32"/>
          <w:szCs w:val="32"/>
          <w:lang w:val="zh-CN" w:bidi="zh-CN"/>
        </w:rPr>
      </w:pPr>
      <w:r>
        <w:rPr>
          <w:rFonts w:hint="eastAsia" w:ascii="仿宋" w:hAnsi="仿宋" w:eastAsia="仿宋" w:cs="仿宋"/>
          <w:spacing w:val="-17"/>
          <w:sz w:val="32"/>
          <w:szCs w:val="32"/>
          <w:lang w:val="zh-CN" w:bidi="zh-CN"/>
        </w:rPr>
        <w:t xml:space="preserve">本企业对上述声明内容的真实性负责。如有虚假，将依法承担相应责任。 </w:t>
      </w:r>
    </w:p>
    <w:p>
      <w:pPr>
        <w:spacing w:line="360" w:lineRule="auto"/>
        <w:jc w:val="center"/>
        <w:rPr>
          <w:rFonts w:ascii="仿宋" w:hAnsi="仿宋" w:eastAsia="仿宋" w:cs="仿宋"/>
          <w:spacing w:val="-17"/>
          <w:sz w:val="32"/>
          <w:szCs w:val="32"/>
          <w:lang w:val="zh-CN" w:bidi="zh-CN"/>
        </w:rPr>
      </w:pPr>
      <w:r>
        <w:rPr>
          <w:rFonts w:hint="eastAsia" w:ascii="仿宋" w:hAnsi="仿宋" w:eastAsia="仿宋" w:cs="仿宋"/>
          <w:spacing w:val="-17"/>
          <w:sz w:val="32"/>
          <w:szCs w:val="32"/>
          <w:lang w:val="zh-CN" w:bidi="zh-CN"/>
        </w:rPr>
        <w:t xml:space="preserve">企业名称（盖章）： </w:t>
      </w:r>
    </w:p>
    <w:p>
      <w:pPr>
        <w:spacing w:line="360" w:lineRule="auto"/>
        <w:jc w:val="center"/>
        <w:rPr>
          <w:rFonts w:ascii="仿宋" w:hAnsi="仿宋" w:eastAsia="仿宋" w:cs="宋体"/>
          <w:kern w:val="0"/>
          <w:sz w:val="32"/>
          <w:szCs w:val="32"/>
        </w:rPr>
      </w:pPr>
      <w:r>
        <w:rPr>
          <w:rFonts w:hint="eastAsia" w:ascii="仿宋" w:hAnsi="仿宋" w:eastAsia="仿宋" w:cs="仿宋"/>
          <w:spacing w:val="-17"/>
          <w:sz w:val="32"/>
          <w:szCs w:val="32"/>
          <w:lang w:val="zh-CN" w:bidi="zh-CN"/>
        </w:rPr>
        <w:t xml:space="preserve">日 期： </w:t>
      </w:r>
    </w:p>
    <w:p>
      <w:pPr>
        <w:jc w:val="right"/>
        <w:rPr>
          <w:rFonts w:ascii="宋体" w:hAnsi="宋体" w:cs="宋体"/>
          <w:kern w:val="0"/>
          <w:sz w:val="24"/>
          <w:szCs w:val="24"/>
        </w:rPr>
      </w:pPr>
    </w:p>
    <w:p>
      <w:pPr>
        <w:rPr>
          <w:rFonts w:ascii="宋体" w:hAnsi="宋体" w:cs="宋体"/>
          <w:kern w:val="0"/>
          <w:sz w:val="18"/>
          <w:szCs w:val="18"/>
        </w:rPr>
      </w:pPr>
      <w:r>
        <w:rPr>
          <w:kern w:val="0"/>
          <w:sz w:val="12"/>
          <w:szCs w:val="12"/>
        </w:rPr>
        <w:t>1</w:t>
      </w:r>
      <w:r>
        <w:rPr>
          <w:rFonts w:hint="eastAsia" w:ascii="宋体" w:hAnsi="宋体" w:cs="宋体"/>
          <w:kern w:val="0"/>
          <w:sz w:val="18"/>
          <w:szCs w:val="18"/>
        </w:rPr>
        <w:t>从业人员、营业收入、资产总额填报上一年度数据，无上一年度数据的新成立企业可不填报。</w:t>
      </w:r>
    </w:p>
    <w:p>
      <w:pPr>
        <w:rPr>
          <w:rFonts w:hint="eastAsia" w:ascii="宋体" w:hAnsi="宋体" w:cs="宋体"/>
          <w:b/>
          <w:bCs/>
          <w:kern w:val="0"/>
          <w:sz w:val="36"/>
          <w:szCs w:val="36"/>
        </w:rPr>
      </w:pPr>
      <w:r>
        <w:rPr>
          <w:rFonts w:hint="eastAsia" w:ascii="宋体" w:hAnsi="宋体" w:cs="宋体"/>
          <w:b/>
          <w:bCs/>
          <w:kern w:val="0"/>
          <w:sz w:val="36"/>
          <w:szCs w:val="36"/>
        </w:rPr>
        <w:br w:type="page"/>
      </w:r>
    </w:p>
    <w:p>
      <w:pPr>
        <w:jc w:val="center"/>
        <w:rPr>
          <w:rFonts w:ascii="宋体" w:hAnsi="宋体" w:cs="宋体"/>
          <w:b/>
          <w:bCs/>
          <w:kern w:val="0"/>
          <w:sz w:val="36"/>
          <w:szCs w:val="36"/>
        </w:rPr>
      </w:pPr>
      <w:r>
        <w:rPr>
          <w:rFonts w:hint="eastAsia" w:ascii="宋体" w:hAnsi="宋体" w:cs="宋体"/>
          <w:b/>
          <w:bCs/>
          <w:kern w:val="0"/>
          <w:sz w:val="36"/>
          <w:szCs w:val="36"/>
        </w:rPr>
        <w:t>中小企业声明函（工程、服务）</w:t>
      </w:r>
    </w:p>
    <w:p>
      <w:pPr>
        <w:spacing w:line="360" w:lineRule="auto"/>
        <w:ind w:firstLine="572" w:firstLineChars="200"/>
        <w:rPr>
          <w:rFonts w:ascii="仿宋" w:hAnsi="仿宋" w:eastAsia="仿宋" w:cs="仿宋"/>
          <w:spacing w:val="-17"/>
          <w:sz w:val="32"/>
          <w:szCs w:val="32"/>
          <w:lang w:val="zh-CN" w:bidi="zh-CN"/>
        </w:rPr>
      </w:pPr>
      <w:r>
        <w:rPr>
          <w:rFonts w:hint="eastAsia" w:ascii="仿宋" w:hAnsi="仿宋" w:eastAsia="仿宋" w:cs="仿宋"/>
          <w:spacing w:val="-17"/>
          <w:sz w:val="32"/>
          <w:szCs w:val="32"/>
          <w:lang w:val="zh-CN" w:bidi="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572" w:firstLineChars="200"/>
        <w:rPr>
          <w:rFonts w:ascii="仿宋" w:hAnsi="仿宋" w:eastAsia="仿宋" w:cs="仿宋"/>
          <w:spacing w:val="-17"/>
          <w:sz w:val="32"/>
          <w:szCs w:val="32"/>
          <w:lang w:val="zh-CN" w:bidi="zh-CN"/>
        </w:rPr>
      </w:pPr>
      <w:r>
        <w:rPr>
          <w:rFonts w:hint="eastAsia" w:ascii="仿宋" w:hAnsi="仿宋" w:eastAsia="仿宋" w:cs="仿宋"/>
          <w:spacing w:val="-17"/>
          <w:sz w:val="32"/>
          <w:szCs w:val="32"/>
          <w:lang w:val="zh-CN" w:bidi="zh-CN"/>
        </w:rPr>
        <w:t>（标的名称），属于（采购文件中明确的所属行业）；承建（承接）企业为（企业名称），从业人员</w:t>
      </w:r>
      <w:r>
        <w:rPr>
          <w:rFonts w:ascii="仿宋" w:hAnsi="仿宋" w:eastAsia="仿宋" w:cs="仿宋"/>
          <w:spacing w:val="-17"/>
          <w:sz w:val="32"/>
          <w:szCs w:val="32"/>
          <w:lang w:val="zh-CN" w:bidi="zh-CN"/>
        </w:rPr>
        <w:tab/>
      </w:r>
      <w:r>
        <w:rPr>
          <w:rFonts w:hint="eastAsia" w:ascii="仿宋" w:hAnsi="仿宋" w:eastAsia="仿宋" w:cs="仿宋"/>
          <w:spacing w:val="-17"/>
          <w:sz w:val="32"/>
          <w:szCs w:val="32"/>
          <w:lang w:val="zh-CN" w:bidi="zh-CN"/>
        </w:rPr>
        <w:t xml:space="preserve">人，营业收入为 </w:t>
      </w:r>
      <w:r>
        <w:rPr>
          <w:rFonts w:hint="eastAsia" w:ascii="仿宋" w:hAnsi="仿宋" w:eastAsia="仿宋" w:cs="仿宋"/>
          <w:spacing w:val="-17"/>
          <w:sz w:val="32"/>
          <w:szCs w:val="32"/>
          <w:lang w:val="zh-CN" w:bidi="zh-CN"/>
        </w:rPr>
        <w:tab/>
      </w:r>
      <w:r>
        <w:rPr>
          <w:rFonts w:hint="eastAsia" w:ascii="仿宋" w:hAnsi="仿宋" w:eastAsia="仿宋" w:cs="仿宋"/>
          <w:spacing w:val="-17"/>
          <w:sz w:val="32"/>
          <w:szCs w:val="32"/>
          <w:lang w:val="zh-CN" w:bidi="zh-CN"/>
        </w:rPr>
        <w:t xml:space="preserve">万元，资产总额为 </w:t>
      </w:r>
      <w:r>
        <w:rPr>
          <w:rFonts w:hint="eastAsia" w:ascii="仿宋" w:hAnsi="仿宋" w:eastAsia="仿宋" w:cs="仿宋"/>
          <w:spacing w:val="-17"/>
          <w:sz w:val="32"/>
          <w:szCs w:val="32"/>
          <w:lang w:val="zh-CN" w:bidi="zh-CN"/>
        </w:rPr>
        <w:tab/>
      </w:r>
      <w:r>
        <w:rPr>
          <w:rFonts w:hint="eastAsia" w:ascii="仿宋" w:hAnsi="仿宋" w:eastAsia="仿宋" w:cs="仿宋"/>
          <w:spacing w:val="-17"/>
          <w:sz w:val="32"/>
          <w:szCs w:val="32"/>
          <w:lang w:val="zh-CN" w:bidi="zh-CN"/>
        </w:rPr>
        <w:t>万元</w:t>
      </w:r>
      <w:r>
        <w:fldChar w:fldCharType="begin"/>
      </w:r>
      <w:r>
        <w:instrText xml:space="preserve"> HYPERLINK \l "_bookmark1" </w:instrText>
      </w:r>
      <w:r>
        <w:fldChar w:fldCharType="separate"/>
      </w:r>
      <w:r>
        <w:rPr>
          <w:rFonts w:hint="eastAsia" w:ascii="仿宋" w:hAnsi="仿宋" w:eastAsia="仿宋" w:cs="仿宋"/>
          <w:spacing w:val="-17"/>
          <w:sz w:val="32"/>
          <w:szCs w:val="32"/>
          <w:lang w:val="zh-CN" w:bidi="zh-CN"/>
        </w:rPr>
        <w:t>1</w:t>
      </w:r>
      <w:r>
        <w:rPr>
          <w:rFonts w:hint="eastAsia" w:ascii="仿宋" w:hAnsi="仿宋" w:eastAsia="仿宋" w:cs="仿宋"/>
          <w:spacing w:val="-17"/>
          <w:sz w:val="32"/>
          <w:szCs w:val="32"/>
          <w:lang w:val="zh-CN" w:bidi="zh-CN"/>
        </w:rPr>
        <w:fldChar w:fldCharType="end"/>
      </w:r>
      <w:r>
        <w:rPr>
          <w:rFonts w:hint="eastAsia" w:ascii="仿宋" w:hAnsi="仿宋" w:eastAsia="仿宋" w:cs="仿宋"/>
          <w:spacing w:val="-17"/>
          <w:sz w:val="32"/>
          <w:szCs w:val="32"/>
          <w:lang w:val="zh-CN" w:bidi="zh-CN"/>
        </w:rPr>
        <w:t>，属于（中型企业、小型企业、微型企业）；</w:t>
      </w:r>
    </w:p>
    <w:p>
      <w:pPr>
        <w:spacing w:line="360" w:lineRule="auto"/>
        <w:ind w:firstLine="572" w:firstLineChars="200"/>
        <w:rPr>
          <w:rFonts w:ascii="仿宋" w:hAnsi="仿宋" w:eastAsia="仿宋" w:cs="仿宋"/>
          <w:spacing w:val="-17"/>
          <w:sz w:val="32"/>
          <w:szCs w:val="32"/>
          <w:lang w:val="zh-CN" w:bidi="zh-CN"/>
        </w:rPr>
      </w:pPr>
      <w:r>
        <w:rPr>
          <w:rFonts w:hint="eastAsia" w:ascii="仿宋" w:hAnsi="仿宋" w:eastAsia="仿宋" w:cs="仿宋"/>
          <w:spacing w:val="-17"/>
          <w:sz w:val="32"/>
          <w:szCs w:val="32"/>
          <w:lang w:val="zh-CN" w:bidi="zh-CN"/>
        </w:rPr>
        <w:t>（标的名称），属于（采购文件中明确的所属行业）；           承建（承接）企业为（企业名称），从业人员</w:t>
      </w:r>
      <w:r>
        <w:rPr>
          <w:rFonts w:ascii="仿宋" w:hAnsi="仿宋" w:eastAsia="仿宋" w:cs="仿宋"/>
          <w:spacing w:val="-17"/>
          <w:sz w:val="32"/>
          <w:szCs w:val="32"/>
          <w:lang w:val="zh-CN" w:bidi="zh-CN"/>
        </w:rPr>
        <w:tab/>
      </w:r>
      <w:r>
        <w:rPr>
          <w:rFonts w:hint="eastAsia" w:ascii="仿宋" w:hAnsi="仿宋" w:eastAsia="仿宋" w:cs="仿宋"/>
          <w:spacing w:val="-17"/>
          <w:sz w:val="32"/>
          <w:szCs w:val="32"/>
          <w:lang w:val="zh-CN" w:bidi="zh-CN"/>
        </w:rPr>
        <w:t xml:space="preserve">人，营业收入为 </w:t>
      </w:r>
      <w:r>
        <w:rPr>
          <w:rFonts w:hint="eastAsia" w:ascii="仿宋" w:hAnsi="仿宋" w:eastAsia="仿宋" w:cs="仿宋"/>
          <w:spacing w:val="-17"/>
          <w:sz w:val="32"/>
          <w:szCs w:val="32"/>
          <w:lang w:val="zh-CN" w:bidi="zh-CN"/>
        </w:rPr>
        <w:tab/>
      </w:r>
      <w:r>
        <w:rPr>
          <w:rFonts w:hint="eastAsia" w:ascii="仿宋" w:hAnsi="仿宋" w:eastAsia="仿宋" w:cs="仿宋"/>
          <w:spacing w:val="-17"/>
          <w:sz w:val="32"/>
          <w:szCs w:val="32"/>
          <w:lang w:val="zh-CN" w:bidi="zh-CN"/>
        </w:rPr>
        <w:t xml:space="preserve">万元，资产总额为 </w:t>
      </w:r>
      <w:r>
        <w:rPr>
          <w:rFonts w:hint="eastAsia" w:ascii="仿宋" w:hAnsi="仿宋" w:eastAsia="仿宋" w:cs="仿宋"/>
          <w:spacing w:val="-17"/>
          <w:sz w:val="32"/>
          <w:szCs w:val="32"/>
          <w:lang w:val="zh-CN" w:bidi="zh-CN"/>
        </w:rPr>
        <w:tab/>
      </w:r>
      <w:r>
        <w:rPr>
          <w:rFonts w:hint="eastAsia" w:ascii="仿宋" w:hAnsi="仿宋" w:eastAsia="仿宋" w:cs="仿宋"/>
          <w:spacing w:val="-17"/>
          <w:sz w:val="32"/>
          <w:szCs w:val="32"/>
          <w:lang w:val="zh-CN" w:bidi="zh-CN"/>
        </w:rPr>
        <w:t>万元，属于（中型企业、小型企业、微型企业）；</w:t>
      </w:r>
    </w:p>
    <w:p>
      <w:pPr>
        <w:spacing w:line="360" w:lineRule="auto"/>
        <w:ind w:firstLine="572" w:firstLineChars="200"/>
        <w:rPr>
          <w:rFonts w:ascii="仿宋" w:hAnsi="仿宋" w:eastAsia="仿宋" w:cs="仿宋"/>
          <w:spacing w:val="-17"/>
          <w:sz w:val="32"/>
          <w:szCs w:val="32"/>
          <w:lang w:val="zh-CN" w:bidi="zh-CN"/>
        </w:rPr>
      </w:pPr>
      <w:r>
        <w:rPr>
          <w:rFonts w:hint="eastAsia" w:ascii="仿宋" w:hAnsi="仿宋" w:eastAsia="仿宋" w:cs="仿宋"/>
          <w:spacing w:val="-17"/>
          <w:sz w:val="32"/>
          <w:szCs w:val="32"/>
          <w:lang w:val="zh-CN" w:bidi="zh-CN"/>
        </w:rPr>
        <w:t>……</w:t>
      </w:r>
    </w:p>
    <w:p>
      <w:pPr>
        <w:spacing w:line="360" w:lineRule="auto"/>
        <w:ind w:firstLine="572" w:firstLineChars="200"/>
        <w:rPr>
          <w:rFonts w:ascii="仿宋" w:hAnsi="仿宋" w:eastAsia="仿宋" w:cs="仿宋"/>
          <w:spacing w:val="-17"/>
          <w:sz w:val="32"/>
          <w:szCs w:val="32"/>
          <w:lang w:val="zh-CN" w:bidi="zh-CN"/>
        </w:rPr>
      </w:pPr>
      <w:r>
        <w:rPr>
          <w:rFonts w:hint="eastAsia" w:ascii="仿宋" w:hAnsi="仿宋" w:eastAsia="仿宋" w:cs="仿宋"/>
          <w:spacing w:val="-17"/>
          <w:sz w:val="32"/>
          <w:szCs w:val="32"/>
          <w:lang w:val="zh-CN" w:bidi="zh-CN"/>
        </w:rPr>
        <w:t>以上企业，不属于大企业的分支机构，不存在控股股东为大企业的情形，也不存在与大企业的负责人为同一人的情形。</w:t>
      </w:r>
    </w:p>
    <w:p>
      <w:pPr>
        <w:spacing w:line="360" w:lineRule="auto"/>
        <w:ind w:firstLine="572" w:firstLineChars="200"/>
        <w:rPr>
          <w:rFonts w:ascii="仿宋" w:hAnsi="仿宋" w:eastAsia="仿宋" w:cs="仿宋"/>
          <w:spacing w:val="-17"/>
          <w:sz w:val="32"/>
          <w:szCs w:val="32"/>
          <w:lang w:val="zh-CN" w:bidi="zh-CN"/>
        </w:rPr>
      </w:pPr>
      <w:r>
        <w:rPr>
          <w:rFonts w:hint="eastAsia" w:ascii="仿宋" w:hAnsi="仿宋" w:eastAsia="仿宋" w:cs="仿宋"/>
          <w:spacing w:val="-17"/>
          <w:sz w:val="32"/>
          <w:szCs w:val="32"/>
          <w:lang w:val="zh-CN" w:bidi="zh-CN"/>
        </w:rPr>
        <w:t>本企业对上述声明内容的真实性负责。如有虚假，将依法承担相应责任。</w:t>
      </w:r>
    </w:p>
    <w:p>
      <w:pPr>
        <w:spacing w:line="360" w:lineRule="auto"/>
        <w:ind w:firstLine="572" w:firstLineChars="200"/>
        <w:rPr>
          <w:rFonts w:ascii="仿宋" w:hAnsi="仿宋" w:eastAsia="仿宋" w:cs="仿宋"/>
          <w:spacing w:val="-17"/>
          <w:sz w:val="32"/>
          <w:szCs w:val="32"/>
          <w:lang w:val="zh-CN" w:bidi="zh-CN"/>
        </w:rPr>
      </w:pPr>
      <w:r>
        <w:rPr>
          <w:rFonts w:hint="eastAsia" w:ascii="仿宋" w:hAnsi="仿宋" w:eastAsia="仿宋" w:cs="仿宋"/>
          <w:spacing w:val="-17"/>
          <w:sz w:val="32"/>
          <w:szCs w:val="32"/>
          <w:lang w:val="zh-CN" w:bidi="zh-CN"/>
        </w:rPr>
        <w:t>企业名称（盖章）：日期：</w:t>
      </w:r>
    </w:p>
    <w:p>
      <w:pPr>
        <w:rPr>
          <w:rFonts w:ascii="仿宋" w:hAnsi="仿宋" w:eastAsia="仿宋" w:cs="仿宋"/>
          <w:sz w:val="32"/>
          <w:szCs w:val="32"/>
          <w:lang w:val="zh-CN" w:bidi="zh-CN"/>
        </w:rPr>
      </w:pPr>
    </w:p>
    <w:p>
      <w:r>
        <w:rPr>
          <w:kern w:val="0"/>
          <w:sz w:val="12"/>
          <w:szCs w:val="12"/>
        </w:rPr>
        <w:t>1</w:t>
      </w:r>
      <w:r>
        <w:rPr>
          <w:rFonts w:hint="eastAsia" w:ascii="宋体" w:hAnsi="宋体" w:cs="宋体"/>
          <w:kern w:val="0"/>
          <w:sz w:val="18"/>
          <w:szCs w:val="18"/>
        </w:rPr>
        <w:t>从业人员、营业收入、资产总额填报上一年度数据，无上一年度数据的新成立企业可不填报。</w:t>
      </w:r>
    </w:p>
    <w:p>
      <w:pPr>
        <w:spacing w:line="360" w:lineRule="auto"/>
        <w:ind w:firstLine="480" w:firstLineChars="200"/>
        <w:rPr>
          <w:rFonts w:ascii="宋体" w:hAnsi="宋体"/>
          <w:sz w:val="24"/>
          <w:szCs w:val="24"/>
        </w:rPr>
        <w:sectPr>
          <w:headerReference r:id="rId6" w:type="default"/>
          <w:footerReference r:id="rId7" w:type="default"/>
          <w:type w:val="continuous"/>
          <w:pgSz w:w="11906" w:h="16838"/>
          <w:pgMar w:top="1440" w:right="1486" w:bottom="2127" w:left="1800" w:header="851" w:footer="992" w:gutter="0"/>
          <w:cols w:space="720" w:num="1"/>
          <w:docGrid w:type="lines" w:linePitch="312" w:charSpace="0"/>
        </w:sectPr>
      </w:pPr>
    </w:p>
    <w:p>
      <w:pPr>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中小企业划型标准</w:t>
      </w:r>
    </w:p>
    <w:tbl>
      <w:tblPr>
        <w:tblStyle w:val="17"/>
        <w:tblW w:w="13948" w:type="dxa"/>
        <w:tblInd w:w="0" w:type="dxa"/>
        <w:tblLayout w:type="fixed"/>
        <w:tblCellMar>
          <w:top w:w="0" w:type="dxa"/>
          <w:left w:w="108" w:type="dxa"/>
          <w:bottom w:w="0" w:type="dxa"/>
          <w:right w:w="108" w:type="dxa"/>
        </w:tblCellMar>
      </w:tblPr>
      <w:tblGrid>
        <w:gridCol w:w="418"/>
        <w:gridCol w:w="1364"/>
        <w:gridCol w:w="909"/>
        <w:gridCol w:w="901"/>
        <w:gridCol w:w="1066"/>
        <w:gridCol w:w="974"/>
        <w:gridCol w:w="890"/>
        <w:gridCol w:w="1082"/>
        <w:gridCol w:w="1041"/>
        <w:gridCol w:w="940"/>
        <w:gridCol w:w="1144"/>
        <w:gridCol w:w="1041"/>
        <w:gridCol w:w="1174"/>
        <w:gridCol w:w="1004"/>
      </w:tblGrid>
      <w:tr>
        <w:tblPrEx>
          <w:tblCellMar>
            <w:top w:w="0" w:type="dxa"/>
            <w:left w:w="108" w:type="dxa"/>
            <w:bottom w:w="0" w:type="dxa"/>
            <w:right w:w="108" w:type="dxa"/>
          </w:tblCellMar>
        </w:tblPrEx>
        <w:trPr>
          <w:trHeight w:val="416" w:hRule="atLeast"/>
          <w:tblHeader/>
        </w:trPr>
        <w:tc>
          <w:tcPr>
            <w:tcW w:w="418"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364" w:type="dxa"/>
            <w:vMerge w:val="restart"/>
            <w:tcBorders>
              <w:top w:val="single" w:color="auto" w:sz="4" w:space="0"/>
              <w:left w:val="nil"/>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行业</w:t>
            </w:r>
          </w:p>
        </w:tc>
        <w:tc>
          <w:tcPr>
            <w:tcW w:w="287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大型企业</w:t>
            </w:r>
          </w:p>
        </w:tc>
        <w:tc>
          <w:tcPr>
            <w:tcW w:w="294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中型企业</w:t>
            </w:r>
          </w:p>
        </w:tc>
        <w:tc>
          <w:tcPr>
            <w:tcW w:w="312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小型企业</w:t>
            </w:r>
          </w:p>
        </w:tc>
        <w:tc>
          <w:tcPr>
            <w:tcW w:w="32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微型企业</w:t>
            </w:r>
          </w:p>
        </w:tc>
      </w:tr>
      <w:tr>
        <w:tblPrEx>
          <w:tblCellMar>
            <w:top w:w="0" w:type="dxa"/>
            <w:left w:w="108" w:type="dxa"/>
            <w:bottom w:w="0" w:type="dxa"/>
            <w:right w:w="108" w:type="dxa"/>
          </w:tblCellMar>
        </w:tblPrEx>
        <w:trPr>
          <w:trHeight w:val="226" w:hRule="atLeast"/>
          <w:tblHeader/>
        </w:trPr>
        <w:tc>
          <w:tcPr>
            <w:tcW w:w="418"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p>
        </w:tc>
        <w:tc>
          <w:tcPr>
            <w:tcW w:w="1364"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1" w:leftChars="-40" w:right="-57" w:rightChars="-27" w:hanging="165" w:hangingChars="79"/>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r>
      <w:tr>
        <w:tblPrEx>
          <w:tblCellMar>
            <w:top w:w="0" w:type="dxa"/>
            <w:left w:w="108" w:type="dxa"/>
            <w:bottom w:w="0" w:type="dxa"/>
            <w:right w:w="108" w:type="dxa"/>
          </w:tblCellMar>
        </w:tblPrEx>
        <w:trPr>
          <w:trHeight w:val="64" w:hRule="atLeast"/>
        </w:trPr>
        <w:tc>
          <w:tcPr>
            <w:tcW w:w="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w:t>
            </w:r>
          </w:p>
        </w:tc>
        <w:tc>
          <w:tcPr>
            <w:tcW w:w="136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农、林、牧、渔业</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74"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04"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w:t>
            </w:r>
          </w:p>
        </w:tc>
        <w:tc>
          <w:tcPr>
            <w:tcW w:w="136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工业</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≥40000</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04"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w:t>
            </w:r>
          </w:p>
        </w:tc>
        <w:tc>
          <w:tcPr>
            <w:tcW w:w="136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建筑业</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≥80000</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≥80000</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r>
      <w:tr>
        <w:tblPrEx>
          <w:tblCellMar>
            <w:top w:w="0" w:type="dxa"/>
            <w:left w:w="108" w:type="dxa"/>
            <w:bottom w:w="0" w:type="dxa"/>
            <w:right w:w="108" w:type="dxa"/>
          </w:tblCellMar>
        </w:tblPrEx>
        <w:trPr>
          <w:trHeight w:val="64" w:hRule="atLeast"/>
        </w:trPr>
        <w:tc>
          <w:tcPr>
            <w:tcW w:w="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w:t>
            </w:r>
          </w:p>
        </w:tc>
        <w:tc>
          <w:tcPr>
            <w:tcW w:w="136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批发业</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≥40000</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w:t>
            </w:r>
          </w:p>
        </w:tc>
        <w:tc>
          <w:tcPr>
            <w:tcW w:w="1004"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w:t>
            </w:r>
          </w:p>
        </w:tc>
        <w:tc>
          <w:tcPr>
            <w:tcW w:w="136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零售业</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04"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6</w:t>
            </w:r>
          </w:p>
        </w:tc>
        <w:tc>
          <w:tcPr>
            <w:tcW w:w="136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交通运输业</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04"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7</w:t>
            </w:r>
          </w:p>
        </w:tc>
        <w:tc>
          <w:tcPr>
            <w:tcW w:w="136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仓储业</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04"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w:t>
            </w:r>
          </w:p>
        </w:tc>
        <w:tc>
          <w:tcPr>
            <w:tcW w:w="136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邮政业</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04"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9</w:t>
            </w:r>
          </w:p>
        </w:tc>
        <w:tc>
          <w:tcPr>
            <w:tcW w:w="136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住宿业</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04"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36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餐饮业</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04"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11</w:t>
            </w:r>
          </w:p>
        </w:tc>
        <w:tc>
          <w:tcPr>
            <w:tcW w:w="136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信息传输业</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≥100000</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04"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00" w:hRule="atLeast"/>
        </w:trPr>
        <w:tc>
          <w:tcPr>
            <w:tcW w:w="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12</w:t>
            </w:r>
          </w:p>
        </w:tc>
        <w:tc>
          <w:tcPr>
            <w:tcW w:w="136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软件和信息技术服务业</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04"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13</w:t>
            </w:r>
          </w:p>
        </w:tc>
        <w:tc>
          <w:tcPr>
            <w:tcW w:w="136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cs="宋体" w:asciiTheme="minorEastAsia" w:hAnsiTheme="minorEastAsia"/>
                <w:kern w:val="0"/>
                <w:szCs w:val="21"/>
              </w:rPr>
            </w:pPr>
            <w:r>
              <w:rPr>
                <w:rFonts w:hint="eastAsia" w:cs="宋体" w:asciiTheme="minorEastAsia" w:hAnsiTheme="minorEastAsia"/>
                <w:kern w:val="0"/>
                <w:szCs w:val="21"/>
              </w:rPr>
              <w:t>房地产开发经验</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≥200000</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或,≥10000</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且,≥5000</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且,≥2000</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ind w:left="27" w:leftChars="-40" w:right="-57" w:rightChars="-27" w:hanging="111" w:hangingChars="53"/>
              <w:jc w:val="center"/>
              <w:rPr>
                <w:rFonts w:cs="宋体" w:asciiTheme="minorEastAsia" w:hAnsiTheme="minorEastAsia"/>
                <w:kern w:val="0"/>
                <w:szCs w:val="21"/>
              </w:rPr>
            </w:pPr>
            <w:r>
              <w:rPr>
                <w:rFonts w:hint="eastAsia" w:cs="宋体" w:asciiTheme="minorEastAsia" w:hAnsiTheme="minorEastAsia"/>
                <w:kern w:val="0"/>
                <w:szCs w:val="21"/>
              </w:rPr>
              <w:t>或,＜2000</w:t>
            </w:r>
          </w:p>
        </w:tc>
      </w:tr>
      <w:tr>
        <w:tblPrEx>
          <w:tblCellMar>
            <w:top w:w="0" w:type="dxa"/>
            <w:left w:w="108" w:type="dxa"/>
            <w:bottom w:w="0" w:type="dxa"/>
            <w:right w:w="108" w:type="dxa"/>
          </w:tblCellMar>
        </w:tblPrEx>
        <w:trPr>
          <w:trHeight w:val="64" w:hRule="atLeast"/>
        </w:trPr>
        <w:tc>
          <w:tcPr>
            <w:tcW w:w="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14</w:t>
            </w:r>
          </w:p>
        </w:tc>
        <w:tc>
          <w:tcPr>
            <w:tcW w:w="136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物业管理</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004"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00" w:hRule="atLeast"/>
        </w:trPr>
        <w:tc>
          <w:tcPr>
            <w:tcW w:w="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15</w:t>
            </w:r>
          </w:p>
        </w:tc>
        <w:tc>
          <w:tcPr>
            <w:tcW w:w="136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租赁和商务服务业</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或,≥120000</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且,≥8000</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且,≥100</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或,＜100</w:t>
            </w:r>
          </w:p>
        </w:tc>
      </w:tr>
      <w:tr>
        <w:tblPrEx>
          <w:tblCellMar>
            <w:top w:w="0" w:type="dxa"/>
            <w:left w:w="108" w:type="dxa"/>
            <w:bottom w:w="0" w:type="dxa"/>
            <w:right w:w="108" w:type="dxa"/>
          </w:tblCellMar>
        </w:tblPrEx>
        <w:trPr>
          <w:trHeight w:val="64" w:hRule="atLeast"/>
        </w:trPr>
        <w:tc>
          <w:tcPr>
            <w:tcW w:w="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16</w:t>
            </w:r>
          </w:p>
        </w:tc>
        <w:tc>
          <w:tcPr>
            <w:tcW w:w="136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cs="宋体" w:asciiTheme="minorEastAsia" w:hAnsiTheme="minorEastAsia"/>
                <w:kern w:val="0"/>
                <w:szCs w:val="21"/>
              </w:rPr>
            </w:pPr>
            <w:r>
              <w:rPr>
                <w:rFonts w:hint="eastAsia" w:cs="宋体" w:asciiTheme="minorEastAsia" w:hAnsiTheme="minorEastAsia"/>
                <w:kern w:val="0"/>
                <w:szCs w:val="21"/>
              </w:rPr>
              <w:t>其他未列明行业</w:t>
            </w:r>
          </w:p>
        </w:tc>
        <w:tc>
          <w:tcPr>
            <w:tcW w:w="90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0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6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89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4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4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04"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bl>
    <w:p>
      <w:pPr>
        <w:spacing w:line="360" w:lineRule="auto"/>
        <w:rPr>
          <w:rFonts w:asciiTheme="majorEastAsia" w:hAnsiTheme="majorEastAsia" w:eastAsiaTheme="majorEastAsia"/>
          <w:sz w:val="24"/>
        </w:rPr>
        <w:sectPr>
          <w:footerReference r:id="rId8" w:type="default"/>
          <w:type w:val="continuous"/>
          <w:pgSz w:w="16838" w:h="11906" w:orient="landscape"/>
          <w:pgMar w:top="1440" w:right="1800" w:bottom="1440" w:left="1800" w:header="851" w:footer="992" w:gutter="0"/>
          <w:cols w:space="425" w:num="1"/>
          <w:docGrid w:linePitch="312" w:charSpace="0"/>
        </w:sectPr>
      </w:pPr>
    </w:p>
    <w:p>
      <w:pPr>
        <w:tabs>
          <w:tab w:val="left" w:pos="7665"/>
        </w:tabs>
        <w:jc w:val="center"/>
        <w:outlineLvl w:val="1"/>
        <w:rPr>
          <w:rFonts w:ascii="方正小标宋简体" w:eastAsia="方正小标宋简体"/>
          <w:color w:val="000000" w:themeColor="text1"/>
        </w:rPr>
      </w:pPr>
      <w:r>
        <w:rPr>
          <w:rFonts w:hint="eastAsia" w:ascii="方正小标宋简体" w:hAnsi="宋体" w:eastAsia="方正小标宋简体"/>
          <w:bCs/>
          <w:color w:val="000000"/>
          <w:sz w:val="32"/>
          <w:szCs w:val="32"/>
        </w:rPr>
        <w:t>其他资格证明文件及资料</w:t>
      </w:r>
    </w:p>
    <w:p>
      <w:pPr>
        <w:spacing w:line="360" w:lineRule="auto"/>
        <w:rPr>
          <w:rFonts w:asciiTheme="majorEastAsia" w:hAnsiTheme="majorEastAsia" w:eastAsiaTheme="majorEastAsia"/>
          <w:sz w:val="24"/>
        </w:rPr>
      </w:pPr>
    </w:p>
    <w:p>
      <w:pPr>
        <w:widowControl/>
        <w:jc w:val="left"/>
        <w:rPr>
          <w:rFonts w:asciiTheme="majorEastAsia" w:hAnsiTheme="majorEastAsia" w:eastAsiaTheme="majorEastAsia"/>
          <w:sz w:val="24"/>
        </w:rPr>
      </w:pPr>
    </w:p>
    <w:p/>
    <w:sectPr>
      <w:type w:val="continuous"/>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480" w:lineRule="auto"/>
      <w:jc w:val="both"/>
      <w:rPr>
        <w:rFonts w:ascii="楷体" w:hAnsi="楷体" w:eastAsia="楷体"/>
      </w:rPr>
    </w:pPr>
    <w:sdt>
      <w:sdtPr>
        <w:id w:val="-974059128"/>
      </w:sdtPr>
      <w:sdtEndPr>
        <w:rPr>
          <w:rFonts w:ascii="楷体" w:hAnsi="楷体" w:eastAsia="楷体"/>
        </w:rPr>
      </w:sdtEndPr>
      <w:sdtContent>
        <w:r>
          <w:rPr>
            <w:rFonts w:ascii="楷体" w:hAnsi="楷体" w:eastAsia="楷体"/>
          </w:rPr>
          <w:pict>
            <v:line id="_x0000_s1026" o:spid="_x0000_s1026" o:spt="20" style="position:absolute;left:0pt;margin-left:0pt;margin-top:0pt;height:0pt;width:416.25pt;z-index:251659264;mso-width-relative:page;mso-height-relative:page;" stroked="t" coordsize="21600,21600" o:gfxdata="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Tf/B/NEAAAACAQAADwAAAAAAAAAB&#10;ACAAAAA4AAAAZHJzL2Rvd25yZXYueG1sUEsBAhQAFAAAAAgAh07iQMW7RQLIAQAAYwMAAA4AAAAA&#10;AAAAAQAgAAAANgEAAGRycy9lMm9Eb2MueG1sUEsFBgAAAAAGAAYAWQEAAHAFAAAAAA==&#10;">
              <v:path arrowok="t"/>
              <v:fill focussize="0,0"/>
              <v:stroke weight="0.5pt" color="#000000" joinstyle="miter"/>
              <v:imagedata o:title=""/>
              <o:lock v:ext="edit"/>
            </v:line>
          </w:pict>
        </w:r>
        <w:r>
          <w:rPr>
            <w:rFonts w:ascii="楷体" w:hAnsi="楷体" w:eastAsia="楷体"/>
          </w:rPr>
          <w:fldChar w:fldCharType="begin"/>
        </w:r>
        <w:r>
          <w:rPr>
            <w:rFonts w:ascii="楷体" w:hAnsi="楷体" w:eastAsia="楷体"/>
          </w:rPr>
          <w:instrText xml:space="preserve">PAGE   \* MERGEFORMAT</w:instrText>
        </w:r>
        <w:r>
          <w:rPr>
            <w:rFonts w:ascii="楷体" w:hAnsi="楷体" w:eastAsia="楷体"/>
          </w:rPr>
          <w:fldChar w:fldCharType="separate"/>
        </w:r>
        <w:r>
          <w:rPr>
            <w:rFonts w:ascii="楷体" w:hAnsi="楷体" w:eastAsia="楷体"/>
            <w:lang w:val="zh-CN"/>
          </w:rPr>
          <w:t>50</w:t>
        </w:r>
        <w:r>
          <w:rPr>
            <w:rFonts w:ascii="楷体" w:hAnsi="楷体" w:eastAsia="楷体"/>
          </w:rPr>
          <w:fldChar w:fldCharType="end"/>
        </w:r>
      </w:sdtContent>
    </w:sdt>
    <w:r>
      <w:rPr>
        <w:rFonts w:hint="eastAsia" w:ascii="楷体" w:hAnsi="楷体" w:eastAsia="楷体" w:cs="楷体"/>
      </w:rPr>
      <w:t xml:space="preserve">黄石市政府采购中心编制 </w:t>
    </w:r>
    <w:r>
      <w:rPr>
        <w:rFonts w:ascii="楷体" w:hAnsi="楷体" w:eastAsia="楷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rPr>
        <w:lang w:val="zh-CN"/>
      </w:rPr>
      <w:t>49</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480" w:lineRule="auto"/>
      <w:jc w:val="right"/>
      <w:rPr>
        <w:rFonts w:ascii="楷体" w:hAnsi="楷体" w:eastAsia="楷体"/>
      </w:rPr>
    </w:pPr>
    <w:r>
      <w:rPr>
        <w:rFonts w:ascii="楷体" w:hAnsi="楷体" w:eastAsia="楷体"/>
      </w:rPr>
      <w:pict>
        <v:line id="_x0000_s1027" o:spid="_x0000_s1027" o:spt="20" style="position:absolute;left:0pt;margin-left:0pt;margin-top:0pt;height:0pt;width:416.25pt;mso-position-horizontal-relative:margin;z-index:251660288;mso-width-relative:page;mso-height-relative:page;" stroked="t" coordsize="21600,21600" o:gfxdata="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Tf/B/NEAAAACAQAADwAAAAAAAAAB&#10;ACAAAAA4AAAAZHJzL2Rvd25yZXYueG1sUEsBAhQAFAAAAAgAh07iQBrSkIXIAQAAYwMAAA4AAAAA&#10;AAAAAQAgAAAANgEAAGRycy9lMm9Eb2MueG1sUEsFBgAAAAAGAAYAWQEAAHAFAAAAAA==&#10;">
          <v:path arrowok="t"/>
          <v:fill focussize="0,0"/>
          <v:stroke weight="0.5pt" color="#000000" joinstyle="miter"/>
          <v:imagedata o:title=""/>
          <o:lock v:ext="edit"/>
        </v:line>
      </w:pict>
    </w:r>
    <w:r>
      <w:rPr>
        <w:rFonts w:hint="eastAsia" w:ascii="楷体" w:hAnsi="楷体" w:eastAsia="楷体" w:cs="楷体"/>
      </w:rPr>
      <w:t>黄石市政府采购中心编制</w:t>
    </w:r>
    <w:sdt>
      <w:sdtPr>
        <w:id w:val="1829403041"/>
      </w:sdtPr>
      <w:sdtEndPr>
        <w:rPr>
          <w:rFonts w:ascii="楷体" w:hAnsi="楷体" w:eastAsia="楷体"/>
        </w:rPr>
      </w:sdtEndPr>
      <w:sdtContent>
        <w:r>
          <w:rPr>
            <w:rFonts w:ascii="楷体" w:hAnsi="楷体" w:eastAsia="楷体"/>
          </w:rPr>
          <w:fldChar w:fldCharType="begin"/>
        </w:r>
        <w:r>
          <w:rPr>
            <w:rFonts w:ascii="楷体" w:hAnsi="楷体" w:eastAsia="楷体"/>
          </w:rPr>
          <w:instrText xml:space="preserve">PAGE   \* MERGEFORMAT</w:instrText>
        </w:r>
        <w:r>
          <w:rPr>
            <w:rFonts w:ascii="楷体" w:hAnsi="楷体" w:eastAsia="楷体"/>
          </w:rPr>
          <w:fldChar w:fldCharType="separate"/>
        </w:r>
        <w:r>
          <w:rPr>
            <w:rFonts w:ascii="楷体" w:hAnsi="楷体" w:eastAsia="楷体"/>
            <w:lang w:val="zh-CN"/>
          </w:rPr>
          <w:t>51</w:t>
        </w:r>
        <w:r>
          <w:rPr>
            <w:rFonts w:ascii="楷体" w:hAnsi="楷体" w:eastAsia="楷体"/>
          </w:rPr>
          <w:fldChar w:fldCharType="end"/>
        </w:r>
      </w:sdtContent>
    </w:sdt>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531" w:firstLineChars="25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CBB43"/>
    <w:multiLevelType w:val="singleLevel"/>
    <w:tmpl w:val="80DCBB43"/>
    <w:lvl w:ilvl="0" w:tentative="0">
      <w:start w:val="2"/>
      <w:numFmt w:val="decimal"/>
      <w:suff w:val="nothing"/>
      <w:lvlText w:val="（%1）"/>
      <w:lvlJc w:val="left"/>
    </w:lvl>
  </w:abstractNum>
  <w:abstractNum w:abstractNumId="1">
    <w:nsid w:val="D6648687"/>
    <w:multiLevelType w:val="singleLevel"/>
    <w:tmpl w:val="D6648687"/>
    <w:lvl w:ilvl="0" w:tentative="0">
      <w:start w:val="12"/>
      <w:numFmt w:val="chineseCounting"/>
      <w:suff w:val="nothing"/>
      <w:lvlText w:val="%1、"/>
      <w:lvlJc w:val="left"/>
      <w:rPr>
        <w:rFonts w:hint="eastAsia"/>
      </w:rPr>
    </w:lvl>
  </w:abstractNum>
  <w:abstractNum w:abstractNumId="2">
    <w:nsid w:val="E5F75D7F"/>
    <w:multiLevelType w:val="singleLevel"/>
    <w:tmpl w:val="E5F75D7F"/>
    <w:lvl w:ilvl="0" w:tentative="0">
      <w:start w:val="7"/>
      <w:numFmt w:val="chineseCounting"/>
      <w:suff w:val="nothing"/>
      <w:lvlText w:val="%1、"/>
      <w:lvlJc w:val="left"/>
      <w:rPr>
        <w:rFonts w:hint="eastAsia"/>
      </w:rPr>
    </w:lvl>
  </w:abstractNum>
  <w:abstractNum w:abstractNumId="3">
    <w:nsid w:val="42F07755"/>
    <w:multiLevelType w:val="singleLevel"/>
    <w:tmpl w:val="42F07755"/>
    <w:lvl w:ilvl="0" w:tentative="0">
      <w:start w:val="3"/>
      <w:numFmt w:val="chineseCounting"/>
      <w:suff w:val="space"/>
      <w:lvlText w:val="第%1章"/>
      <w:lvlJc w:val="left"/>
      <w:rPr>
        <w:rFonts w:hint="eastAsia"/>
      </w:rPr>
    </w:lvl>
  </w:abstractNum>
  <w:abstractNum w:abstractNumId="4">
    <w:nsid w:val="61AAB589"/>
    <w:multiLevelType w:val="singleLevel"/>
    <w:tmpl w:val="61AAB589"/>
    <w:lvl w:ilvl="0" w:tentative="0">
      <w:start w:val="3"/>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QyYjdjNzdjOWJjYTQ1NWZkYzk0NjdmYTM0OTM1ODcifQ=="/>
  </w:docVars>
  <w:rsids>
    <w:rsidRoot w:val="0009419C"/>
    <w:rsid w:val="00020AC6"/>
    <w:rsid w:val="00022F79"/>
    <w:rsid w:val="00047ADE"/>
    <w:rsid w:val="00052916"/>
    <w:rsid w:val="000767F1"/>
    <w:rsid w:val="0009419C"/>
    <w:rsid w:val="000A279F"/>
    <w:rsid w:val="000B30A6"/>
    <w:rsid w:val="000C19FD"/>
    <w:rsid w:val="000E2019"/>
    <w:rsid w:val="000E277C"/>
    <w:rsid w:val="000E7489"/>
    <w:rsid w:val="000F1E40"/>
    <w:rsid w:val="000F4C1A"/>
    <w:rsid w:val="001303DB"/>
    <w:rsid w:val="0016046E"/>
    <w:rsid w:val="0018337A"/>
    <w:rsid w:val="001A370A"/>
    <w:rsid w:val="001A73EB"/>
    <w:rsid w:val="001C7011"/>
    <w:rsid w:val="001E3850"/>
    <w:rsid w:val="00224606"/>
    <w:rsid w:val="00230D28"/>
    <w:rsid w:val="00247A84"/>
    <w:rsid w:val="00275F51"/>
    <w:rsid w:val="002B772D"/>
    <w:rsid w:val="002E1AE9"/>
    <w:rsid w:val="003072DF"/>
    <w:rsid w:val="00323F3F"/>
    <w:rsid w:val="00335411"/>
    <w:rsid w:val="0038589A"/>
    <w:rsid w:val="00391BE3"/>
    <w:rsid w:val="003B5227"/>
    <w:rsid w:val="003C1105"/>
    <w:rsid w:val="003E0F31"/>
    <w:rsid w:val="00412935"/>
    <w:rsid w:val="004454E7"/>
    <w:rsid w:val="00446344"/>
    <w:rsid w:val="00464A92"/>
    <w:rsid w:val="004D20DD"/>
    <w:rsid w:val="004D3CD5"/>
    <w:rsid w:val="0052178F"/>
    <w:rsid w:val="0054455B"/>
    <w:rsid w:val="00556F96"/>
    <w:rsid w:val="00581626"/>
    <w:rsid w:val="00581B0A"/>
    <w:rsid w:val="00590EFD"/>
    <w:rsid w:val="005B6023"/>
    <w:rsid w:val="005E7E9F"/>
    <w:rsid w:val="005F5F43"/>
    <w:rsid w:val="00601948"/>
    <w:rsid w:val="00625DED"/>
    <w:rsid w:val="0062712F"/>
    <w:rsid w:val="00643EA5"/>
    <w:rsid w:val="006524B5"/>
    <w:rsid w:val="00674FA9"/>
    <w:rsid w:val="006756BB"/>
    <w:rsid w:val="006A121D"/>
    <w:rsid w:val="00705E43"/>
    <w:rsid w:val="0072413A"/>
    <w:rsid w:val="00727D09"/>
    <w:rsid w:val="00742242"/>
    <w:rsid w:val="00764876"/>
    <w:rsid w:val="007820F1"/>
    <w:rsid w:val="007A21D9"/>
    <w:rsid w:val="007A662B"/>
    <w:rsid w:val="007C3C0A"/>
    <w:rsid w:val="00891FCD"/>
    <w:rsid w:val="008A2964"/>
    <w:rsid w:val="008B1799"/>
    <w:rsid w:val="008B4DE7"/>
    <w:rsid w:val="008D6D15"/>
    <w:rsid w:val="008E3018"/>
    <w:rsid w:val="008F35FB"/>
    <w:rsid w:val="009119B6"/>
    <w:rsid w:val="00913E4E"/>
    <w:rsid w:val="00915798"/>
    <w:rsid w:val="00923F4B"/>
    <w:rsid w:val="00936251"/>
    <w:rsid w:val="0098051A"/>
    <w:rsid w:val="00990B0F"/>
    <w:rsid w:val="00991F37"/>
    <w:rsid w:val="009972FC"/>
    <w:rsid w:val="009C7EDF"/>
    <w:rsid w:val="009D1053"/>
    <w:rsid w:val="00A02195"/>
    <w:rsid w:val="00A22694"/>
    <w:rsid w:val="00A26411"/>
    <w:rsid w:val="00A31FF2"/>
    <w:rsid w:val="00A5369C"/>
    <w:rsid w:val="00A55700"/>
    <w:rsid w:val="00A721E2"/>
    <w:rsid w:val="00A959D8"/>
    <w:rsid w:val="00AF1968"/>
    <w:rsid w:val="00AF3601"/>
    <w:rsid w:val="00AF75D6"/>
    <w:rsid w:val="00B147A4"/>
    <w:rsid w:val="00B23BD9"/>
    <w:rsid w:val="00B57F48"/>
    <w:rsid w:val="00B77329"/>
    <w:rsid w:val="00BA2C57"/>
    <w:rsid w:val="00BB1918"/>
    <w:rsid w:val="00BD2A8B"/>
    <w:rsid w:val="00BD6874"/>
    <w:rsid w:val="00C06229"/>
    <w:rsid w:val="00C20CDB"/>
    <w:rsid w:val="00C541EA"/>
    <w:rsid w:val="00C81A07"/>
    <w:rsid w:val="00C93782"/>
    <w:rsid w:val="00C970E0"/>
    <w:rsid w:val="00CB1FCE"/>
    <w:rsid w:val="00CD7BFE"/>
    <w:rsid w:val="00CF4760"/>
    <w:rsid w:val="00D71031"/>
    <w:rsid w:val="00D77134"/>
    <w:rsid w:val="00DB22FC"/>
    <w:rsid w:val="00DD3524"/>
    <w:rsid w:val="00DF01CF"/>
    <w:rsid w:val="00DF348D"/>
    <w:rsid w:val="00DF4A4C"/>
    <w:rsid w:val="00DF7A94"/>
    <w:rsid w:val="00E02B16"/>
    <w:rsid w:val="00E266B5"/>
    <w:rsid w:val="00E405F9"/>
    <w:rsid w:val="00E4243A"/>
    <w:rsid w:val="00E602EB"/>
    <w:rsid w:val="00F0013F"/>
    <w:rsid w:val="00F055B4"/>
    <w:rsid w:val="00F50839"/>
    <w:rsid w:val="00FA700A"/>
    <w:rsid w:val="00FC2F57"/>
    <w:rsid w:val="00FE4860"/>
    <w:rsid w:val="01C97F06"/>
    <w:rsid w:val="06051FC9"/>
    <w:rsid w:val="07C150DC"/>
    <w:rsid w:val="07EF1B15"/>
    <w:rsid w:val="081C63B6"/>
    <w:rsid w:val="08F5363E"/>
    <w:rsid w:val="0D016648"/>
    <w:rsid w:val="0D7038BE"/>
    <w:rsid w:val="0E45392D"/>
    <w:rsid w:val="10511112"/>
    <w:rsid w:val="11AD3090"/>
    <w:rsid w:val="11CF4AEF"/>
    <w:rsid w:val="122B4F61"/>
    <w:rsid w:val="14CA663D"/>
    <w:rsid w:val="15115942"/>
    <w:rsid w:val="15512548"/>
    <w:rsid w:val="18D75B1E"/>
    <w:rsid w:val="198574A6"/>
    <w:rsid w:val="1B175A87"/>
    <w:rsid w:val="1B456962"/>
    <w:rsid w:val="1D216F36"/>
    <w:rsid w:val="1E29220D"/>
    <w:rsid w:val="21AC57E9"/>
    <w:rsid w:val="21BC5DE6"/>
    <w:rsid w:val="24666559"/>
    <w:rsid w:val="246D3F92"/>
    <w:rsid w:val="26097E71"/>
    <w:rsid w:val="26236FFF"/>
    <w:rsid w:val="2687011F"/>
    <w:rsid w:val="26B15220"/>
    <w:rsid w:val="26EA363F"/>
    <w:rsid w:val="275A7866"/>
    <w:rsid w:val="277B2AC8"/>
    <w:rsid w:val="278549D4"/>
    <w:rsid w:val="27AE6061"/>
    <w:rsid w:val="29191675"/>
    <w:rsid w:val="2C1F3E86"/>
    <w:rsid w:val="2CA67F3B"/>
    <w:rsid w:val="2CF1A6F5"/>
    <w:rsid w:val="2D2954F2"/>
    <w:rsid w:val="2EFC4053"/>
    <w:rsid w:val="2FC97D9B"/>
    <w:rsid w:val="30557BE2"/>
    <w:rsid w:val="30E1085A"/>
    <w:rsid w:val="33EC45BD"/>
    <w:rsid w:val="34014AEF"/>
    <w:rsid w:val="35E3583F"/>
    <w:rsid w:val="3A59100B"/>
    <w:rsid w:val="3AE96A86"/>
    <w:rsid w:val="3D7D8ABF"/>
    <w:rsid w:val="3FAF3C29"/>
    <w:rsid w:val="3FFB44B7"/>
    <w:rsid w:val="40317BD5"/>
    <w:rsid w:val="407F273B"/>
    <w:rsid w:val="40ED1EF0"/>
    <w:rsid w:val="42F308AB"/>
    <w:rsid w:val="44AA14CA"/>
    <w:rsid w:val="44DB56FC"/>
    <w:rsid w:val="464D5745"/>
    <w:rsid w:val="470F5265"/>
    <w:rsid w:val="49256590"/>
    <w:rsid w:val="4DBC39B1"/>
    <w:rsid w:val="4DD74715"/>
    <w:rsid w:val="4F0D3268"/>
    <w:rsid w:val="4F8F496C"/>
    <w:rsid w:val="51711E7B"/>
    <w:rsid w:val="522E7C95"/>
    <w:rsid w:val="530A0E42"/>
    <w:rsid w:val="53A35B09"/>
    <w:rsid w:val="545C4D74"/>
    <w:rsid w:val="5494716F"/>
    <w:rsid w:val="54E52943"/>
    <w:rsid w:val="5A404495"/>
    <w:rsid w:val="5AF9777D"/>
    <w:rsid w:val="5B0821D7"/>
    <w:rsid w:val="5B7E0DE1"/>
    <w:rsid w:val="5CE97E1D"/>
    <w:rsid w:val="5D137359"/>
    <w:rsid w:val="5EC40E77"/>
    <w:rsid w:val="5EE81CFB"/>
    <w:rsid w:val="626E2616"/>
    <w:rsid w:val="643F580B"/>
    <w:rsid w:val="64470851"/>
    <w:rsid w:val="651D3078"/>
    <w:rsid w:val="653C7FB5"/>
    <w:rsid w:val="655C4403"/>
    <w:rsid w:val="65BC6FEF"/>
    <w:rsid w:val="665B5B0C"/>
    <w:rsid w:val="666E8E24"/>
    <w:rsid w:val="69E61045"/>
    <w:rsid w:val="6B017B95"/>
    <w:rsid w:val="6BC80E92"/>
    <w:rsid w:val="6C2661D0"/>
    <w:rsid w:val="6CAB3687"/>
    <w:rsid w:val="6CCF0805"/>
    <w:rsid w:val="6F36054A"/>
    <w:rsid w:val="6FF78B2C"/>
    <w:rsid w:val="72915465"/>
    <w:rsid w:val="72F25F22"/>
    <w:rsid w:val="73536C8A"/>
    <w:rsid w:val="73FBB602"/>
    <w:rsid w:val="74E57672"/>
    <w:rsid w:val="750E372F"/>
    <w:rsid w:val="76015110"/>
    <w:rsid w:val="76132733"/>
    <w:rsid w:val="7757249D"/>
    <w:rsid w:val="7852015C"/>
    <w:rsid w:val="799F6B7F"/>
    <w:rsid w:val="7AFD144D"/>
    <w:rsid w:val="7B1F62A9"/>
    <w:rsid w:val="7C0B1B9D"/>
    <w:rsid w:val="7C0F1A7B"/>
    <w:rsid w:val="7CBC0F64"/>
    <w:rsid w:val="7D0D1087"/>
    <w:rsid w:val="7D55709D"/>
    <w:rsid w:val="7D568551"/>
    <w:rsid w:val="7E3517A3"/>
    <w:rsid w:val="7FA24891"/>
    <w:rsid w:val="7FC2020E"/>
    <w:rsid w:val="7FFE4C87"/>
    <w:rsid w:val="9BB50F36"/>
    <w:rsid w:val="B3FD8B10"/>
    <w:rsid w:val="B7DFA326"/>
    <w:rsid w:val="B7F40789"/>
    <w:rsid w:val="DEEF320C"/>
    <w:rsid w:val="E3BBD1D2"/>
    <w:rsid w:val="E69FF176"/>
    <w:rsid w:val="E9FBA1A0"/>
    <w:rsid w:val="FA7FCA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keepNext/>
      <w:keepLines/>
      <w:spacing w:before="340" w:after="330" w:line="578" w:lineRule="auto"/>
      <w:jc w:val="center"/>
      <w:outlineLvl w:val="0"/>
    </w:pPr>
    <w:rPr>
      <w:rFonts w:eastAsia="华文中宋"/>
      <w:bCs/>
      <w:kern w:val="44"/>
      <w:sz w:val="32"/>
      <w:szCs w:val="44"/>
    </w:rPr>
  </w:style>
  <w:style w:type="paragraph" w:styleId="4">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line="416" w:lineRule="auto"/>
      <w:outlineLvl w:val="2"/>
    </w:pPr>
    <w:rPr>
      <w:rFonts w:ascii="Calibri" w:hAnsi="Calibri" w:cs="黑体"/>
      <w:b/>
      <w:bCs/>
      <w:sz w:val="32"/>
      <w:szCs w:val="32"/>
    </w:rPr>
  </w:style>
  <w:style w:type="paragraph" w:styleId="6">
    <w:name w:val="heading 4"/>
    <w:basedOn w:val="1"/>
    <w:next w:val="1"/>
    <w:unhideWhenUsed/>
    <w:qFormat/>
    <w:uiPriority w:val="99"/>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7">
    <w:name w:val="toc 7"/>
    <w:basedOn w:val="1"/>
    <w:next w:val="1"/>
    <w:qFormat/>
    <w:uiPriority w:val="0"/>
    <w:pPr>
      <w:ind w:left="2520" w:leftChars="1200"/>
    </w:pPr>
    <w:rPr>
      <w:rFonts w:ascii="Times New Roman" w:hAnsi="Times New Roman"/>
      <w:sz w:val="28"/>
      <w:szCs w:val="24"/>
    </w:rPr>
  </w:style>
  <w:style w:type="paragraph" w:styleId="8">
    <w:name w:val="Body Text"/>
    <w:basedOn w:val="1"/>
    <w:next w:val="1"/>
    <w:unhideWhenUsed/>
    <w:qFormat/>
    <w:uiPriority w:val="0"/>
    <w:pPr>
      <w:spacing w:after="120"/>
    </w:pPr>
    <w:rPr>
      <w:rFonts w:cs="Times New Roman"/>
      <w:lang w:val="zh-CN"/>
    </w:rPr>
  </w:style>
  <w:style w:type="paragraph" w:styleId="9">
    <w:name w:val="Plain Text"/>
    <w:basedOn w:val="1"/>
    <w:link w:val="23"/>
    <w:qFormat/>
    <w:uiPriority w:val="0"/>
    <w:rPr>
      <w:rFonts w:ascii="宋体" w:hAnsi="Courier New" w:eastAsia="宋体" w:cs="Courier New"/>
      <w:szCs w:val="21"/>
    </w:rPr>
  </w:style>
  <w:style w:type="paragraph" w:styleId="10">
    <w:name w:val="Balloon Text"/>
    <w:basedOn w:val="1"/>
    <w:link w:val="24"/>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rPr>
      <w:rFonts w:eastAsia="楷体"/>
      <w:sz w:val="32"/>
    </w:rPr>
  </w:style>
  <w:style w:type="paragraph" w:styleId="14">
    <w:name w:val="toc 2"/>
    <w:basedOn w:val="15"/>
    <w:next w:val="4"/>
    <w:unhideWhenUsed/>
    <w:qFormat/>
    <w:uiPriority w:val="39"/>
    <w:pPr>
      <w:widowControl/>
      <w:tabs>
        <w:tab w:val="left" w:pos="709"/>
        <w:tab w:val="left" w:pos="952"/>
        <w:tab w:val="left" w:pos="1190"/>
        <w:tab w:val="left" w:pos="1428"/>
        <w:tab w:val="right" w:leader="dot" w:pos="9514"/>
      </w:tabs>
      <w:spacing w:line="276" w:lineRule="auto"/>
      <w:ind w:left="221"/>
      <w:jc w:val="left"/>
    </w:pPr>
    <w:rPr>
      <w:rFonts w:ascii="黑体" w:hAnsi="黑体" w:eastAsia="黑体"/>
      <w:i w:val="0"/>
      <w:kern w:val="0"/>
      <w:sz w:val="24"/>
      <w:lang w:val="zh-CN"/>
    </w:rPr>
  </w:style>
  <w:style w:type="paragraph" w:customStyle="1" w:styleId="15">
    <w:name w:val="引用1"/>
    <w:basedOn w:val="1"/>
    <w:next w:val="1"/>
    <w:qFormat/>
    <w:uiPriority w:val="29"/>
    <w:rPr>
      <w:rFonts w:ascii="等线" w:hAnsi="等线" w:eastAsia="等线" w:cs="Times New Roman"/>
      <w:i/>
      <w:iCs/>
      <w:color w:val="000000"/>
    </w:rPr>
  </w:style>
  <w:style w:type="paragraph" w:styleId="16">
    <w:name w:val="Normal (Web)"/>
    <w:basedOn w:val="1"/>
    <w:semiHidden/>
    <w:unhideWhenUsed/>
    <w:qFormat/>
    <w:uiPriority w:val="99"/>
    <w:pPr>
      <w:spacing w:before="150" w:after="150" w:line="315" w:lineRule="atLeast"/>
      <w:ind w:left="150"/>
      <w:jc w:val="left"/>
    </w:pPr>
    <w:rPr>
      <w:rFonts w:cs="Times New Roman"/>
      <w:kern w:val="0"/>
      <w:sz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563C1" w:themeColor="hyperlink"/>
      <w:u w:val="single"/>
    </w:rPr>
  </w:style>
  <w:style w:type="character" w:customStyle="1" w:styleId="21">
    <w:name w:val="标题 1 Char"/>
    <w:basedOn w:val="19"/>
    <w:link w:val="3"/>
    <w:qFormat/>
    <w:uiPriority w:val="9"/>
    <w:rPr>
      <w:rFonts w:eastAsia="华文中宋"/>
      <w:bCs/>
      <w:kern w:val="44"/>
      <w:sz w:val="32"/>
      <w:szCs w:val="44"/>
    </w:rPr>
  </w:style>
  <w:style w:type="character" w:customStyle="1" w:styleId="22">
    <w:name w:val="标题 2 Char"/>
    <w:basedOn w:val="19"/>
    <w:link w:val="4"/>
    <w:semiHidden/>
    <w:qFormat/>
    <w:uiPriority w:val="9"/>
    <w:rPr>
      <w:rFonts w:asciiTheme="majorHAnsi" w:hAnsiTheme="majorHAnsi" w:eastAsiaTheme="majorEastAsia" w:cstheme="majorBidi"/>
      <w:b/>
      <w:bCs/>
      <w:sz w:val="32"/>
      <w:szCs w:val="32"/>
    </w:rPr>
  </w:style>
  <w:style w:type="character" w:customStyle="1" w:styleId="23">
    <w:name w:val="纯文本 Char"/>
    <w:basedOn w:val="19"/>
    <w:link w:val="9"/>
    <w:qFormat/>
    <w:uiPriority w:val="0"/>
    <w:rPr>
      <w:rFonts w:ascii="宋体" w:hAnsi="Courier New" w:eastAsia="宋体" w:cs="Courier New"/>
      <w:szCs w:val="21"/>
    </w:rPr>
  </w:style>
  <w:style w:type="character" w:customStyle="1" w:styleId="24">
    <w:name w:val="批注框文本 Char"/>
    <w:basedOn w:val="19"/>
    <w:link w:val="10"/>
    <w:qFormat/>
    <w:uiPriority w:val="99"/>
    <w:rPr>
      <w:sz w:val="18"/>
      <w:szCs w:val="18"/>
    </w:rPr>
  </w:style>
  <w:style w:type="character" w:customStyle="1" w:styleId="25">
    <w:name w:val="页脚 Char"/>
    <w:basedOn w:val="19"/>
    <w:link w:val="11"/>
    <w:qFormat/>
    <w:uiPriority w:val="99"/>
    <w:rPr>
      <w:sz w:val="18"/>
      <w:szCs w:val="18"/>
    </w:rPr>
  </w:style>
  <w:style w:type="character" w:customStyle="1" w:styleId="26">
    <w:name w:val="页眉 Char"/>
    <w:basedOn w:val="19"/>
    <w:link w:val="12"/>
    <w:qFormat/>
    <w:uiPriority w:val="99"/>
    <w:rPr>
      <w:sz w:val="18"/>
      <w:szCs w:val="18"/>
    </w:rPr>
  </w:style>
  <w:style w:type="paragraph" w:customStyle="1" w:styleId="27">
    <w:name w:val="列出段落1"/>
    <w:basedOn w:val="1"/>
    <w:qFormat/>
    <w:uiPriority w:val="34"/>
    <w:pPr>
      <w:ind w:firstLine="420" w:firstLineChars="200"/>
    </w:pPr>
  </w:style>
  <w:style w:type="character" w:customStyle="1" w:styleId="28">
    <w:name w:val="font01"/>
    <w:basedOn w:val="19"/>
    <w:qFormat/>
    <w:uiPriority w:val="0"/>
    <w:rPr>
      <w:rFonts w:ascii="Helvetica" w:hAnsi="Helvetica" w:eastAsia="Helvetica" w:cs="Helvetica"/>
      <w:color w:val="000000"/>
      <w:sz w:val="16"/>
      <w:szCs w:val="16"/>
      <w:u w:val="none"/>
    </w:rPr>
  </w:style>
  <w:style w:type="character" w:customStyle="1" w:styleId="29">
    <w:name w:val="font41"/>
    <w:basedOn w:val="19"/>
    <w:qFormat/>
    <w:uiPriority w:val="0"/>
    <w:rPr>
      <w:rFonts w:hint="eastAsia" w:ascii="宋体" w:hAnsi="宋体" w:eastAsia="宋体" w:cs="宋体"/>
      <w:color w:val="000000"/>
      <w:sz w:val="16"/>
      <w:szCs w:val="16"/>
      <w:u w:val="none"/>
    </w:rPr>
  </w:style>
  <w:style w:type="character" w:customStyle="1" w:styleId="30">
    <w:name w:val="font11"/>
    <w:basedOn w:val="19"/>
    <w:qFormat/>
    <w:uiPriority w:val="0"/>
    <w:rPr>
      <w:rFonts w:hint="default" w:ascii="Times New Roman" w:hAnsi="Times New Roman" w:cs="Times New Roman"/>
      <w:color w:val="000000"/>
      <w:sz w:val="16"/>
      <w:szCs w:val="16"/>
      <w:u w:val="none"/>
    </w:rPr>
  </w:style>
  <w:style w:type="character" w:customStyle="1" w:styleId="31">
    <w:name w:val="font21"/>
    <w:basedOn w:val="19"/>
    <w:qFormat/>
    <w:uiPriority w:val="0"/>
    <w:rPr>
      <w:rFonts w:ascii="Helvetica" w:hAnsi="Helvetica" w:eastAsia="Helvetica" w:cs="Helvetica"/>
      <w:color w:val="000000"/>
      <w:sz w:val="16"/>
      <w:szCs w:val="16"/>
      <w:u w:val="none"/>
    </w:rPr>
  </w:style>
  <w:style w:type="character" w:customStyle="1" w:styleId="32">
    <w:name w:val="font51"/>
    <w:basedOn w:val="19"/>
    <w:qFormat/>
    <w:uiPriority w:val="0"/>
    <w:rPr>
      <w:rFonts w:hint="eastAsia" w:ascii="宋体" w:hAnsi="宋体" w:eastAsia="宋体" w:cs="宋体"/>
      <w:color w:val="000000"/>
      <w:sz w:val="16"/>
      <w:szCs w:val="16"/>
      <w:u w:val="none"/>
    </w:rPr>
  </w:style>
  <w:style w:type="character" w:customStyle="1" w:styleId="33">
    <w:name w:val="font31"/>
    <w:basedOn w:val="19"/>
    <w:qFormat/>
    <w:uiPriority w:val="0"/>
    <w:rPr>
      <w:rFonts w:hint="eastAsia" w:ascii="宋体" w:hAnsi="宋体" w:eastAsia="宋体" w:cs="宋体"/>
      <w:color w:val="000000"/>
      <w:sz w:val="16"/>
      <w:szCs w:val="16"/>
      <w:u w:val="none"/>
    </w:rPr>
  </w:style>
  <w:style w:type="character" w:customStyle="1" w:styleId="34">
    <w:name w:val="font61"/>
    <w:basedOn w:val="19"/>
    <w:qFormat/>
    <w:uiPriority w:val="0"/>
    <w:rPr>
      <w:rFonts w:hint="eastAsia" w:ascii="宋体" w:hAnsi="宋体" w:eastAsia="宋体" w:cs="宋体"/>
      <w:color w:val="000000"/>
      <w:sz w:val="16"/>
      <w:szCs w:val="16"/>
      <w:u w:val="none"/>
    </w:rPr>
  </w:style>
  <w:style w:type="character" w:customStyle="1" w:styleId="35">
    <w:name w:val="font71"/>
    <w:basedOn w:val="19"/>
    <w:qFormat/>
    <w:uiPriority w:val="0"/>
    <w:rPr>
      <w:rFonts w:ascii="Helvetica" w:hAnsi="Helvetica" w:eastAsia="Helvetica" w:cs="Helvetica"/>
      <w:color w:val="000000"/>
      <w:sz w:val="16"/>
      <w:szCs w:val="16"/>
      <w:u w:val="none"/>
    </w:rPr>
  </w:style>
  <w:style w:type="character" w:customStyle="1" w:styleId="36">
    <w:name w:val="font91"/>
    <w:basedOn w:val="19"/>
    <w:qFormat/>
    <w:uiPriority w:val="0"/>
    <w:rPr>
      <w:rFonts w:hint="default" w:ascii="Times New Roman" w:hAnsi="Times New Roman" w:cs="Times New Roman"/>
      <w:color w:val="000000"/>
      <w:sz w:val="16"/>
      <w:szCs w:val="16"/>
      <w:u w:val="none"/>
    </w:rPr>
  </w:style>
  <w:style w:type="character" w:customStyle="1" w:styleId="37">
    <w:name w:val="font81"/>
    <w:basedOn w:val="19"/>
    <w:qFormat/>
    <w:uiPriority w:val="0"/>
    <w:rPr>
      <w:rFonts w:hint="eastAsia" w:ascii="宋体" w:hAnsi="宋体" w:eastAsia="宋体" w:cs="宋体"/>
      <w:color w:val="000000"/>
      <w:sz w:val="16"/>
      <w:szCs w:val="16"/>
      <w:u w:val="none"/>
    </w:rPr>
  </w:style>
  <w:style w:type="paragraph" w:customStyle="1" w:styleId="38">
    <w:name w:val="61_图表中文字和数字_居中"/>
    <w:basedOn w:val="1"/>
    <w:link w:val="39"/>
    <w:qFormat/>
    <w:uiPriority w:val="0"/>
    <w:pPr>
      <w:widowControl/>
      <w:jc w:val="center"/>
    </w:pPr>
    <w:rPr>
      <w:rFonts w:ascii="Times New Roman" w:hAnsi="Times New Roman" w:cs="Times New Roman"/>
      <w:szCs w:val="21"/>
    </w:rPr>
  </w:style>
  <w:style w:type="character" w:customStyle="1" w:styleId="39">
    <w:name w:val="61_图表中文字和数字_居中 Char"/>
    <w:link w:val="38"/>
    <w:qFormat/>
    <w:uiPriority w:val="0"/>
    <w:rPr>
      <w:rFonts w:ascii="Times New Roman" w:hAnsi="Times New Roman" w:cs="Times New Roman"/>
      <w:szCs w:val="21"/>
    </w:rPr>
  </w:style>
  <w:style w:type="character" w:customStyle="1" w:styleId="40">
    <w:name w:val="text-overflow2"/>
    <w:basedOn w:val="19"/>
    <w:qFormat/>
    <w:uiPriority w:val="0"/>
  </w:style>
  <w:style w:type="character" w:customStyle="1" w:styleId="41">
    <w:name w:val="bold"/>
    <w:basedOn w:val="19"/>
    <w:qFormat/>
    <w:uiPriority w:val="0"/>
    <w:rPr>
      <w:b/>
    </w:rPr>
  </w:style>
  <w:style w:type="character" w:customStyle="1" w:styleId="42">
    <w:name w:val="time"/>
    <w:basedOn w:val="19"/>
    <w:qFormat/>
    <w:uiPriority w:val="0"/>
  </w:style>
  <w:style w:type="character" w:customStyle="1" w:styleId="43">
    <w:name w:val="text-overflow"/>
    <w:basedOn w:val="19"/>
    <w:qFormat/>
    <w:uiPriority w:val="0"/>
  </w:style>
  <w:style w:type="paragraph" w:styleId="44">
    <w:name w:val="List Paragraph"/>
    <w:basedOn w:val="1"/>
    <w:qFormat/>
    <w:uiPriority w:val="34"/>
    <w:pPr>
      <w:ind w:firstLine="420" w:firstLineChars="200"/>
    </w:pPr>
  </w:style>
  <w:style w:type="paragraph" w:customStyle="1" w:styleId="45">
    <w:name w:val="二层"/>
    <w:basedOn w:val="4"/>
    <w:qFormat/>
    <w:uiPriority w:val="0"/>
    <w:pPr>
      <w:keepLines w:val="0"/>
      <w:autoSpaceDE w:val="0"/>
      <w:autoSpaceDN w:val="0"/>
      <w:adjustRightInd w:val="0"/>
      <w:spacing w:before="120" w:after="120" w:line="360" w:lineRule="auto"/>
      <w:jc w:val="left"/>
    </w:pPr>
    <w:rPr>
      <w:rFonts w:ascii="黑体" w:hAnsi="Times New Roman" w:eastAsia="黑体"/>
    </w:rPr>
  </w:style>
  <w:style w:type="paragraph" w:customStyle="1" w:styleId="46">
    <w:name w:val="正文1"/>
    <w:qFormat/>
    <w:uiPriority w:val="0"/>
    <w:pPr>
      <w:jc w:val="both"/>
    </w:pPr>
    <w:rPr>
      <w:rFonts w:ascii="宋体" w:hAnsi="宋体" w:eastAsia="Calibri" w:cs="Times New Roman"/>
      <w:sz w:val="21"/>
      <w:szCs w:val="21"/>
      <w:lang w:val="en-US" w:eastAsia="zh-CN" w:bidi="ar-SA"/>
    </w:rPr>
  </w:style>
  <w:style w:type="paragraph" w:customStyle="1" w:styleId="47">
    <w:name w:val="列表段落3"/>
    <w:basedOn w:val="1"/>
    <w:qFormat/>
    <w:uiPriority w:val="99"/>
    <w:pPr>
      <w:ind w:firstLine="420" w:firstLineChars="200"/>
    </w:pPr>
  </w:style>
  <w:style w:type="paragraph" w:customStyle="1" w:styleId="48">
    <w:name w:val="样式 宋体 小四 首行缩进:  0.63 厘米 行距: 1.5 倍行距"/>
    <w:basedOn w:val="1"/>
    <w:qFormat/>
    <w:uiPriority w:val="0"/>
    <w:pPr>
      <w:spacing w:line="360" w:lineRule="auto"/>
      <w:ind w:firstLine="200" w:firstLineChars="200"/>
    </w:pPr>
    <w:rPr>
      <w:rFonts w:ascii="宋体"/>
      <w:sz w:val="24"/>
      <w:szCs w:val="20"/>
    </w:rPr>
  </w:style>
  <w:style w:type="paragraph" w:customStyle="1" w:styleId="4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Table Paragraph"/>
    <w:basedOn w:val="1"/>
    <w:qFormat/>
    <w:uiPriority w:val="1"/>
    <w:pPr>
      <w:widowControl w:val="0"/>
      <w:wordWrap/>
      <w:autoSpaceDE w:val="0"/>
      <w:autoSpaceDN w:val="0"/>
      <w:jc w:val="left"/>
    </w:pPr>
    <w:rPr>
      <w:rFonts w:ascii="宋体" w:hAnsi="宋体" w:eastAsia="宋体" w:cs="宋体"/>
      <w:sz w:val="22"/>
      <w:szCs w:val="22"/>
      <w:lang w:val="zh-CN" w:bidi="zh-CN"/>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styleId="52">
    <w:name w:val="No Spacing"/>
    <w:qFormat/>
    <w:uiPriority w:val="1"/>
    <w:pPr>
      <w:adjustRightInd w:val="0"/>
      <w:snapToGrid w:val="0"/>
    </w:pPr>
    <w:rPr>
      <w:rFonts w:ascii="Tahoma" w:hAnsi="Tahoma" w:eastAsia="宋体" w:cs="Times New Roman"/>
      <w:kern w:val="0"/>
      <w:sz w:val="22"/>
      <w:szCs w:val="22"/>
      <w:lang w:val="en-US" w:eastAsia="zh-CN" w:bidi="ar-SA"/>
    </w:rPr>
  </w:style>
  <w:style w:type="paragraph" w:customStyle="1" w:styleId="53">
    <w:name w:val="列出段落3"/>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45</Pages>
  <Words>19608</Words>
  <Characters>20657</Characters>
  <Lines>132</Lines>
  <Paragraphs>37</Paragraphs>
  <TotalTime>10</TotalTime>
  <ScaleCrop>false</ScaleCrop>
  <LinksUpToDate>false</LinksUpToDate>
  <CharactersWithSpaces>21150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2019-02-17T02:43:00Z</dcterms:created>
  <dc:creator>Sky123.Org</dc:creator>
  <cp:lastModifiedBy>WPS_1519727393</cp:lastModifiedBy>
  <cp:lastPrinted>2022-10-10T07:38:00Z</cp:lastPrinted>
  <dcterms:modified xsi:type="dcterms:W3CDTF">2022-10-14T08:07:41Z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711B879E255549D68CF9437700267667</vt:lpwstr>
  </property>
</Properties>
</file>