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项目采购需求</w:t>
      </w:r>
    </w:p>
    <w:p>
      <w:pPr>
        <w:tabs>
          <w:tab w:val="left" w:pos="180"/>
          <w:tab w:val="left" w:pos="1620"/>
        </w:tabs>
        <w:spacing w:line="400" w:lineRule="exact"/>
        <w:ind w:firstLine="480" w:firstLineChars="200"/>
        <w:rPr>
          <w:rFonts w:ascii="仿宋" w:hAnsi="仿宋" w:eastAsia="仿宋"/>
          <w:sz w:val="24"/>
        </w:rPr>
      </w:pPr>
      <w:bookmarkStart w:id="0" w:name="_Toc254970490"/>
      <w:bookmarkStart w:id="1" w:name="_Toc254970631"/>
    </w:p>
    <w:p>
      <w:pPr>
        <w:tabs>
          <w:tab w:val="left" w:pos="180"/>
          <w:tab w:val="left" w:pos="1620"/>
          <w:tab w:val="left" w:pos="5400"/>
        </w:tabs>
        <w:spacing w:line="360" w:lineRule="auto"/>
        <w:rPr>
          <w:rFonts w:hint="eastAsia" w:ascii="仿宋" w:hAnsi="仿宋" w:eastAsia="仿宋"/>
          <w:b/>
          <w:sz w:val="24"/>
          <w:u w:val="single"/>
          <w:lang w:eastAsia="zh-CN"/>
        </w:rPr>
      </w:pPr>
      <w:r>
        <w:rPr>
          <w:rFonts w:hint="eastAsia" w:ascii="仿宋" w:hAnsi="仿宋" w:eastAsia="仿宋"/>
          <w:b/>
          <w:sz w:val="24"/>
        </w:rPr>
        <w:t>一、采购</w:t>
      </w:r>
      <w:r>
        <w:rPr>
          <w:rFonts w:hint="eastAsia" w:ascii="仿宋" w:hAnsi="仿宋" w:eastAsia="仿宋"/>
          <w:b/>
          <w:sz w:val="24"/>
          <w:lang w:eastAsia="zh-CN"/>
        </w:rPr>
        <w:t>项目编号：FCWTGL-F-001</w:t>
      </w:r>
    </w:p>
    <w:p>
      <w:pPr>
        <w:tabs>
          <w:tab w:val="left" w:pos="180"/>
          <w:tab w:val="left" w:pos="1620"/>
        </w:tabs>
        <w:spacing w:line="360" w:lineRule="auto"/>
        <w:rPr>
          <w:rFonts w:hint="eastAsia" w:ascii="仿宋" w:hAnsi="仿宋" w:eastAsia="仿宋"/>
          <w:b/>
          <w:sz w:val="24"/>
          <w:u w:val="single"/>
        </w:rPr>
      </w:pPr>
      <w:r>
        <w:rPr>
          <w:rFonts w:hint="eastAsia" w:ascii="仿宋" w:hAnsi="仿宋" w:eastAsia="仿宋"/>
          <w:b/>
          <w:sz w:val="24"/>
        </w:rPr>
        <w:t>二、采购项目类别：</w:t>
      </w:r>
      <w:r>
        <w:rPr>
          <w:rFonts w:hint="eastAsia" w:ascii="仿宋" w:hAnsi="仿宋" w:eastAsia="仿宋"/>
          <w:b/>
          <w:sz w:val="24"/>
          <w:u w:val="single"/>
        </w:rPr>
        <w:t>服务</w:t>
      </w:r>
    </w:p>
    <w:p>
      <w:pPr>
        <w:pStyle w:val="3"/>
        <w:spacing w:line="360" w:lineRule="auto"/>
        <w:rPr>
          <w:rFonts w:hint="default" w:eastAsia="仿宋"/>
          <w:u w:val="none"/>
          <w:lang w:val="en-US" w:eastAsia="zh-CN"/>
        </w:rPr>
      </w:pPr>
      <w:r>
        <w:rPr>
          <w:rFonts w:hint="eastAsia" w:ascii="仿宋" w:hAnsi="仿宋" w:eastAsia="仿宋"/>
          <w:b/>
          <w:sz w:val="24"/>
          <w:u w:val="none"/>
          <w:lang w:val="en-US" w:eastAsia="zh-CN"/>
        </w:rPr>
        <w:t>三、标的所属行业：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highlight w:val="none"/>
          <w:lang w:bidi="ar"/>
        </w:rPr>
        <w:t>其他未列明行业</w:t>
      </w:r>
    </w:p>
    <w:p>
      <w:pPr>
        <w:tabs>
          <w:tab w:val="left" w:pos="180"/>
          <w:tab w:val="left" w:pos="1620"/>
        </w:tabs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四、</w:t>
      </w:r>
      <w:r>
        <w:rPr>
          <w:rFonts w:hint="eastAsia" w:ascii="仿宋" w:hAnsi="仿宋" w:eastAsia="仿宋"/>
          <w:b/>
          <w:sz w:val="24"/>
        </w:rPr>
        <w:t>采购项目需求一览表：</w:t>
      </w:r>
    </w:p>
    <w:bookmarkEnd w:id="0"/>
    <w:bookmarkEnd w:id="1"/>
    <w:tbl>
      <w:tblPr>
        <w:tblStyle w:val="5"/>
        <w:tblW w:w="9722" w:type="dxa"/>
        <w:tblInd w:w="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01"/>
        <w:gridCol w:w="29"/>
        <w:gridCol w:w="964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服务项目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项目采购需求及要求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富川瑶族风雨桥群、马殷庙和古明城北门城楼及秀水状元楼白蚁防治服务项目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1项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总说明：白蚁对文物古建筑的危害主要表现在二个方面。一是因为白蚁为了生存而需要取食木材等含有纤维类物质，从而造成人们财产的损失，二是因为白蚁活动的需要而在危害对象中留下空隙（洞），影响房屋建筑，树木等的完整性和稳定性，构成对文物古建筑安全的威胁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一、防治目标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采取以防为主，灭杀为辅的措施，旨在预防和灭杀蚁巢，有效控制蚁害,通过持续的白蚁综合治理，有效控制治理范围内白蚁种群密度，大幅度降低古建筑的白蚁危害风险，保护优秀历史文化遗产。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二、白蚁灭治要求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根据白蚁的生物学，生态学和行为学特性， 根据现场情况白蚁种类，对台湾乳白蚁采取粉剂型药物处理进行灭杀，对散白蚁用乳剂进行钻孔灌注或毒饵诱杀处理等，根据实际情况采取不同的治理措施，让蚁巢中的工蚁把毒饵带回群体通过交哺行为，将饵剂中杀白蚁有效成分传递至整个白蚁群体，从而导致整个群体死亡，达到消灭整巢白蚁的效果。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服务内容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富川瑶族风雨桥群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高桥风雨桥、鸬鹚塘风雨桥、毓秀风雨桥、双溪风雨桥、兴隆风雨桥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、马殷庙和古明城北门城楼及秀水状元楼白蚁防治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过全面调查，目前发现白蚁危害的有全国重点文物保护单位--富川瑶族风雨桥群中的高桥风雨桥、鸬鹚塘风雨桥、双溪风雨桥、兴隆风雨桥、毓秀风雨桥，马殷庙以及古明城的北门城楼、秀水状元楼等富川重点文物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  <w:t>以下为紧急服务项目，签订合同之日起3日内完成杀灭处理：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（一）秀水状元楼：根据现场实际勘察发现12处白蚁危害严重，多处承重柱，大梁，窗台，其他木质饰品发现白蚁危害，用手敲击柱子可听到轻微空洞的声音。另外，状元楼后面秀峰山脚下的一座杂房白蚁危害严重。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（二） 麦岭镇高桥村的高桥风雨桥：桥体底部大梁木柱发现有白蚁危害。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（三） 麦岭镇鸬鹚塘村的鸬鹚塘风雨桥：多处柱子，横梁发现有白蚁危害严重。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（四） 朝东镇油沐村的毓秀风雨桥：桥体底部大梁木柱发现有现白蚁危害。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（五） 朝东镇东水村的双溪风雨桥：桥体柱子，立柱，横梁，多处发现白蚁危害严重。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（六） 朝东镇岔山村的兴隆风雨桥：桥体底部大梁木柱发现有白蚁危害。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（七）古明城北门城门楼，门叶，门柱子，门头梁，发现有白蚁危害。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(八）朝东福溪马王庙木柱梁架发现有白蚁危害。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四、防治措施要求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勘查，全面巡查，探测白蚁，力争早期发现，及时灭杀干净。在防治时，一是在文物古建筑外围埋设白蚁引诱监测装置，诱杀白蚁。在文物古建筑四周埋设地下型监控装置。定期检测白蚁的密度，当发现引诱到白蚁时，即可根据现场实际情况施药群体灭杀，防止外围的白蚁侵入，在古建筑群外围形成第一道屏障。二是对建筑群所有的木柱，水平梁，木墙板等木构件进行药物喷雾处理，对底层地面全部进行喷洒，在古建筑内地面埋设白蚁引诱地上型监测装置，诱杀白蚁，在建筑群内形成一道水平屏障，阻止白蚁侵入，避免未受白蚁侵蚀的古建筑木构遭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虫害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，全面保护文物安全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。三是对已经受白蚁严重危害的古建筑木构件进行重点药物喷洒，灭杀白蚁。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因白蚁危害严重，周边环境复杂, 需三年预防消杀。三年追踪的质保治理期，质保期内如发现白蚁危害立即消杀灭治，不再另外收取费用，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在合同有效期内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每年至少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负责复查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有无蚁害发生（每隔两个月复查一次），及时更换防治药物，力争早期发现，及时灭杀干净，做好全面防治。</w:t>
            </w:r>
          </w:p>
          <w:p>
            <w:pPr>
              <w:pStyle w:val="7"/>
              <w:spacing w:line="4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400" w:lineRule="exact"/>
              <w:outlineLvl w:val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▲服务时间及地点</w:t>
            </w:r>
          </w:p>
        </w:tc>
        <w:tc>
          <w:tcPr>
            <w:tcW w:w="7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服务时间：自合同签订之日起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年；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服务地点：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富川瑶族自治县文体和旅游局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▲项目验收标准</w:t>
            </w:r>
          </w:p>
        </w:tc>
        <w:tc>
          <w:tcPr>
            <w:tcW w:w="7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1、本项目包含日常巡视防治与专项治理。日常巡视防治要求承包服务商每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月不少于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次对所有防治范围的白蚁虫害情况进行巡视，同时对白蚁虫害进行针对性地预防、灭杀处理。专项治理要求承包服务商在接到发包方的白蚁虫害信息后，最迟于1日内开展专项防控。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验收标准达到合格。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▲付款方式</w:t>
            </w:r>
          </w:p>
        </w:tc>
        <w:tc>
          <w:tcPr>
            <w:tcW w:w="7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为确保资金的支付安全，此次中标合同的资金使用支出受业主和银行及中标方的共同监管，采取三方监管模式。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签定合同后 30 天内一次性付完到三方监管账户。</w:t>
            </w: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从三方监管账户支付使用资金为每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半年</w:t>
            </w: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支付一次。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现场踏勘</w:t>
            </w:r>
          </w:p>
        </w:tc>
        <w:tc>
          <w:tcPr>
            <w:tcW w:w="7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为了便于磋商供应商编制响应文件，各磋商供应商可对本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的服务内容及区域自愿进行现场踏勘，现场踏勘所产生的全部费用及风险均由各磋商供应商自行承担。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ind w:firstLine="240" w:firstLineChars="1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五、富川瑶族风雨桥群、马殷庙和古明城北门楼及秀水状元楼白蚁防治预算（药物、设备、服务费用等）清单：</w:t>
      </w:r>
    </w:p>
    <w:tbl>
      <w:tblPr>
        <w:tblStyle w:val="5"/>
        <w:tblW w:w="828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65"/>
        <w:gridCol w:w="2064"/>
        <w:gridCol w:w="1463"/>
        <w:gridCol w:w="138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项目内容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氟虫腈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公斤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地上型监控装置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地下型监控装置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  <w:t>氟铃脲饵剂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482个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21690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氟虫腈粉剂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12公斤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人工费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9800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交通费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108840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税金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3265.2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112105.2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备注：药品等需要增加使用量的由供应商负责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E7F54"/>
    <w:multiLevelType w:val="singleLevel"/>
    <w:tmpl w:val="8F8E7F5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9011C3"/>
    <w:multiLevelType w:val="multilevel"/>
    <w:tmpl w:val="699011C3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TU3MTc3ZDMxZGQyMTExZTQ3NDJkMzNiNzEzNzcifQ=="/>
  </w:docVars>
  <w:rsids>
    <w:rsidRoot w:val="00000000"/>
    <w:rsid w:val="2EE9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Arial" w:eastAsia="黑体"/>
      <w:b/>
      <w:sz w:val="2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customStyle="1" w:styleId="7">
    <w:name w:val="正文-2字符首行缩进"/>
    <w:basedOn w:val="1"/>
    <w:qFormat/>
    <w:uiPriority w:val="0"/>
    <w:pPr>
      <w:spacing w:line="360" w:lineRule="auto"/>
      <w:ind w:firstLine="200" w:firstLineChars="200"/>
    </w:pPr>
    <w:rPr>
      <w:rFonts w:ascii="仿宋_GB2312" w:eastAsia="仿宋_GB2312"/>
      <w:kern w:val="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谜</cp:lastModifiedBy>
  <dcterms:modified xsi:type="dcterms:W3CDTF">2022-10-09T08:11:53Z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FA344C34B2F14A51B0EE4C06A3368837</vt:lpwstr>
  </property>
</Properties>
</file>