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400"/>
        <w:jc w:val="both"/>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八、货物需求及技术要求：</w:t>
      </w:r>
    </w:p>
    <w:p>
      <w:pPr>
        <w:pStyle w:val="2"/>
        <w:numPr>
          <w:ilvl w:val="0"/>
          <w:numId w:val="0"/>
        </w:numPr>
        <w:ind w:left="3370" w:leftChars="400" w:hanging="2530" w:hangingChars="900"/>
        <w:jc w:val="center"/>
        <w:rPr>
          <w:rFonts w:hint="eastAsia" w:ascii="宋体" w:hAnsi="宋体" w:cs="宋体"/>
          <w:b/>
          <w:bCs/>
          <w:color w:val="000000"/>
          <w:sz w:val="36"/>
          <w:szCs w:val="36"/>
          <w:highlight w:val="none"/>
          <w:u w:val="single"/>
          <w:lang w:val="en-US" w:eastAsia="zh-CN" w:bidi="ar"/>
        </w:rPr>
      </w:pPr>
      <w:r>
        <w:rPr>
          <w:rFonts w:hint="eastAsia" w:ascii="宋体" w:hAnsi="宋体" w:eastAsia="宋体" w:cs="宋体"/>
          <w:b/>
          <w:bCs/>
          <w:color w:val="000000"/>
          <w:sz w:val="28"/>
          <w:szCs w:val="24"/>
          <w:highlight w:val="none"/>
          <w:lang w:val="en-US" w:eastAsia="zh-CN"/>
        </w:rPr>
        <w:t>本项目所属行业：</w:t>
      </w:r>
      <w:r>
        <w:rPr>
          <w:rFonts w:hint="eastAsia" w:ascii="宋体" w:hAnsi="宋体" w:eastAsia="宋体" w:cs="宋体"/>
          <w:b/>
          <w:bCs/>
          <w:color w:val="000000"/>
          <w:sz w:val="28"/>
          <w:szCs w:val="24"/>
          <w:highlight w:val="none"/>
          <w:u w:val="single"/>
          <w:lang w:val="en-US" w:eastAsia="zh-CN"/>
        </w:rPr>
        <w:t xml:space="preserve"> 工  业</w:t>
      </w:r>
    </w:p>
    <w:p>
      <w:pPr>
        <w:pStyle w:val="5"/>
        <w:spacing w:before="117"/>
        <w:ind w:left="0" w:leftChars="0" w:firstLine="0" w:firstLineChars="0"/>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（一）采购内容：</w:t>
      </w:r>
    </w:p>
    <w:tbl>
      <w:tblPr>
        <w:tblStyle w:val="9"/>
        <w:tblW w:w="5110" w:type="pct"/>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29"/>
        <w:gridCol w:w="650"/>
        <w:gridCol w:w="532"/>
        <w:gridCol w:w="1877"/>
        <w:gridCol w:w="3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252" w:type="pct"/>
            <w:shd w:val="clear" w:color="auto" w:fill="DFDFDF"/>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项目内容</w:t>
            </w:r>
          </w:p>
        </w:tc>
        <w:tc>
          <w:tcPr>
            <w:tcW w:w="382" w:type="pct"/>
            <w:shd w:val="clear" w:color="auto" w:fill="DFDFDF"/>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类 别</w:t>
            </w:r>
          </w:p>
        </w:tc>
        <w:tc>
          <w:tcPr>
            <w:tcW w:w="313" w:type="pct"/>
            <w:shd w:val="clear" w:color="auto" w:fill="DFDFDF"/>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数量</w:t>
            </w:r>
          </w:p>
        </w:tc>
        <w:tc>
          <w:tcPr>
            <w:tcW w:w="1104" w:type="pct"/>
            <w:shd w:val="clear" w:color="auto" w:fill="DFDFDF"/>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服务期限</w:t>
            </w:r>
          </w:p>
        </w:tc>
        <w:tc>
          <w:tcPr>
            <w:tcW w:w="1947" w:type="pct"/>
            <w:shd w:val="clear" w:color="auto" w:fill="DFDFDF"/>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采购预算 （人民币）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1252" w:type="pct"/>
            <w:noWrap w:val="0"/>
            <w:vAlign w:val="center"/>
          </w:tcPr>
          <w:p>
            <w:pPr>
              <w:pStyle w:val="12"/>
              <w:spacing w:before="2" w:line="550" w:lineRule="atLeast"/>
              <w:ind w:left="5" w:right="102"/>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highlight w:val="none"/>
                <w:lang w:val="en-US" w:eastAsia="zh-CN" w:bidi="ar-SA"/>
              </w:rPr>
              <w:t>怀宁县住房和城乡建设局2022年度白蚁防灭治项目</w:t>
            </w:r>
          </w:p>
        </w:tc>
        <w:tc>
          <w:tcPr>
            <w:tcW w:w="382" w:type="pct"/>
            <w:noWrap w:val="0"/>
            <w:vAlign w:val="center"/>
          </w:tcPr>
          <w:p>
            <w:pPr>
              <w:pStyle w:val="12"/>
              <w:spacing w:before="195"/>
              <w:ind w:right="213"/>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服务类</w:t>
            </w:r>
          </w:p>
        </w:tc>
        <w:tc>
          <w:tcPr>
            <w:tcW w:w="313" w:type="pct"/>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1项</w:t>
            </w:r>
          </w:p>
        </w:tc>
        <w:tc>
          <w:tcPr>
            <w:tcW w:w="1104" w:type="pct"/>
            <w:noWrap w:val="0"/>
            <w:vAlign w:val="center"/>
          </w:tcPr>
          <w:p>
            <w:pPr>
              <w:pStyle w:val="12"/>
              <w:spacing w:before="195" w:line="367" w:lineRule="auto"/>
              <w:ind w:right="103"/>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自合同签订之日起 6个月，其中交货期7日历天。</w:t>
            </w:r>
          </w:p>
        </w:tc>
        <w:tc>
          <w:tcPr>
            <w:tcW w:w="1947" w:type="pct"/>
            <w:noWrap w:val="0"/>
            <w:vAlign w:val="center"/>
          </w:tcPr>
          <w:p>
            <w:pPr>
              <w:pStyle w:val="12"/>
              <w:spacing w:before="195"/>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50万元（其中白蚁防治工作最高限价10.53万，防治施工面积不低于50万平方米，后期据实结算）</w:t>
            </w:r>
          </w:p>
        </w:tc>
      </w:tr>
    </w:tbl>
    <w:p>
      <w:pPr>
        <w:pStyle w:val="13"/>
        <w:rPr>
          <w:rFonts w:cs="Times New Roman"/>
        </w:rPr>
      </w:pPr>
    </w:p>
    <w:p>
      <w:pPr>
        <w:pStyle w:val="2"/>
        <w:numPr>
          <w:ilvl w:val="0"/>
          <w:numId w:val="0"/>
        </w:numPr>
        <w:ind w:leftChars="0"/>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kern w:val="2"/>
          <w:sz w:val="21"/>
          <w:szCs w:val="21"/>
          <w:lang w:val="en-US" w:eastAsia="zh-CN" w:bidi="ar-SA"/>
        </w:rPr>
        <w:t>（二）项</w:t>
      </w:r>
      <w:r>
        <w:rPr>
          <w:rFonts w:hint="eastAsia" w:ascii="宋体" w:hAnsi="宋体" w:eastAsia="宋体" w:cs="宋体"/>
          <w:b/>
          <w:bCs/>
          <w:color w:val="000000"/>
          <w:kern w:val="2"/>
          <w:sz w:val="21"/>
          <w:szCs w:val="21"/>
          <w:lang w:val="zh-CN" w:eastAsia="zh-CN" w:bidi="ar-SA"/>
        </w:rPr>
        <w:t>目技术参数清单及说明</w:t>
      </w:r>
    </w:p>
    <w:p>
      <w:pPr>
        <w:numPr>
          <w:ilvl w:val="0"/>
          <w:numId w:val="0"/>
        </w:numP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（1） 20%吡虫啉悬浮剂</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493"/>
        <w:gridCol w:w="25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项      目</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指      标</w:t>
            </w:r>
          </w:p>
        </w:tc>
        <w:tc>
          <w:tcPr>
            <w:tcW w:w="241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吡虫啉质量分数，%</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20.0±1.2</w:t>
            </w:r>
          </w:p>
        </w:tc>
        <w:tc>
          <w:tcPr>
            <w:tcW w:w="2410" w:type="dxa"/>
            <w:vMerge w:val="restart"/>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br w:type="textWrapping"/>
            </w:r>
            <w:r>
              <w:rPr>
                <w:rFonts w:hint="eastAsia" w:ascii="宋体" w:hAnsi="宋体" w:eastAsia="宋体" w:cs="宋体"/>
                <w:sz w:val="22"/>
                <w:szCs w:val="22"/>
              </w:rPr>
              <w:br w:type="textWrapping"/>
            </w:r>
            <w:r>
              <w:rPr>
                <w:rFonts w:hint="eastAsia" w:ascii="宋体" w:hAnsi="宋体" w:eastAsia="宋体" w:cs="宋体"/>
                <w:sz w:val="22"/>
                <w:szCs w:val="22"/>
              </w:rPr>
              <w:br w:type="textWrapping"/>
            </w:r>
            <w:r>
              <w:rPr>
                <w:rFonts w:hint="eastAsia" w:ascii="宋体" w:hAnsi="宋体" w:eastAsia="宋体" w:cs="宋体"/>
                <w:sz w:val="22"/>
                <w:szCs w:val="22"/>
              </w:rPr>
              <w:br w:type="textWrapping"/>
            </w:r>
            <w:r>
              <w:rPr>
                <w:rFonts w:hint="eastAsia" w:ascii="宋体" w:hAnsi="宋体" w:eastAsia="宋体" w:cs="宋体"/>
                <w:sz w:val="22"/>
                <w:szCs w:val="22"/>
              </w:rPr>
              <w:t>1700公斤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pH值范围</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6.0～9.0</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悬浮率，%                            ≥</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90</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倾倒性</w:t>
            </w:r>
          </w:p>
        </w:tc>
        <w:tc>
          <w:tcPr>
            <w:tcW w:w="3493"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倾倒后残余物，%            ≤</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5.0</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noWrap w:val="0"/>
            <w:vAlign w:val="top"/>
          </w:tcPr>
          <w:p>
            <w:pPr>
              <w:jc w:val="center"/>
              <w:rPr>
                <w:rFonts w:hint="eastAsia" w:ascii="宋体" w:hAnsi="宋体" w:eastAsia="宋体" w:cs="宋体"/>
                <w:sz w:val="22"/>
                <w:szCs w:val="22"/>
              </w:rPr>
            </w:pPr>
          </w:p>
        </w:tc>
        <w:tc>
          <w:tcPr>
            <w:tcW w:w="3493"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洗涤后残余物，%            ≤</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0.5</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筛析（通过75μm孔径试验筛），%       ≥</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98</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持久起泡性（1min后），mL              ≤</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40</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低温稳定性a</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合格</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308"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热贮稳定性a</w:t>
            </w:r>
          </w:p>
        </w:tc>
        <w:tc>
          <w:tcPr>
            <w:tcW w:w="256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合格</w:t>
            </w:r>
          </w:p>
        </w:tc>
        <w:tc>
          <w:tcPr>
            <w:tcW w:w="2410"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a为抽检项目，每六个月抽检一次</w:t>
            </w:r>
          </w:p>
        </w:tc>
      </w:tr>
    </w:tbl>
    <w:p>
      <w:pPr>
        <w:pStyle w:val="13"/>
        <w:rPr>
          <w:rFonts w:cs="Times New Roman"/>
        </w:rPr>
      </w:pPr>
    </w:p>
    <w:p>
      <w:pPr>
        <w:numPr>
          <w:ilvl w:val="0"/>
          <w:numId w:val="0"/>
        </w:numP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（2）2.5%联苯菊酯水乳剂</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395"/>
        <w:gridCol w:w="2550"/>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22" w:type="dxa"/>
            <w:gridSpan w:val="2"/>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项      目</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指      标</w:t>
            </w:r>
          </w:p>
        </w:tc>
        <w:tc>
          <w:tcPr>
            <w:tcW w:w="2414"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22" w:type="dxa"/>
            <w:gridSpan w:val="2"/>
            <w:noWrap w:val="0"/>
            <w:vAlign w:val="top"/>
          </w:tcPr>
          <w:p>
            <w:pPr>
              <w:rPr>
                <w:rFonts w:hint="eastAsia" w:ascii="宋体" w:hAnsi="宋体" w:eastAsia="宋体" w:cs="宋体"/>
                <w:sz w:val="22"/>
                <w:szCs w:val="22"/>
              </w:rPr>
            </w:pPr>
            <w:r>
              <w:rPr>
                <w:rFonts w:hint="eastAsia" w:ascii="宋体" w:hAnsi="宋体" w:eastAsia="宋体" w:cs="宋体"/>
                <w:sz w:val="22"/>
                <w:szCs w:val="22"/>
              </w:rPr>
              <w:t>联苯菊酯质量分数，%</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2.5±0.4</w:t>
            </w:r>
          </w:p>
        </w:tc>
        <w:tc>
          <w:tcPr>
            <w:tcW w:w="2414" w:type="dxa"/>
            <w:vMerge w:val="restart"/>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br w:type="textWrapping"/>
            </w:r>
          </w:p>
          <w:p>
            <w:pPr>
              <w:jc w:val="center"/>
              <w:rPr>
                <w:rFonts w:hint="eastAsia" w:ascii="宋体" w:hAnsi="宋体" w:eastAsia="宋体" w:cs="宋体"/>
                <w:sz w:val="22"/>
                <w:szCs w:val="22"/>
              </w:rPr>
            </w:pPr>
            <w:r>
              <w:rPr>
                <w:rFonts w:hint="eastAsia" w:ascii="宋体" w:hAnsi="宋体" w:eastAsia="宋体" w:cs="宋体"/>
                <w:sz w:val="22"/>
                <w:szCs w:val="22"/>
              </w:rPr>
              <w:t>2000公斤</w:t>
            </w:r>
            <w:r>
              <w:rPr>
                <w:rFonts w:hint="eastAsia" w:ascii="宋体" w:hAnsi="宋体" w:eastAsia="宋体" w:cs="宋体"/>
                <w:sz w:val="22"/>
                <w:szCs w:val="22"/>
              </w:rPr>
              <w:br w:type="textWrapping"/>
            </w:r>
          </w:p>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22" w:type="dxa"/>
            <w:gridSpan w:val="2"/>
            <w:noWrap w:val="0"/>
            <w:vAlign w:val="top"/>
          </w:tcPr>
          <w:p>
            <w:pPr>
              <w:rPr>
                <w:rFonts w:hint="eastAsia" w:ascii="宋体" w:hAnsi="宋体" w:eastAsia="宋体" w:cs="宋体"/>
                <w:sz w:val="22"/>
                <w:szCs w:val="22"/>
              </w:rPr>
            </w:pPr>
            <w:r>
              <w:rPr>
                <w:rFonts w:hint="eastAsia" w:ascii="宋体" w:hAnsi="宋体" w:eastAsia="宋体" w:cs="宋体"/>
                <w:sz w:val="22"/>
                <w:szCs w:val="22"/>
              </w:rPr>
              <w:t>pH值范围</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4.0～7.0</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 w:type="dxa"/>
            <w:vMerge w:val="restart"/>
            <w:noWrap w:val="0"/>
            <w:vAlign w:val="top"/>
          </w:tcPr>
          <w:p>
            <w:pPr>
              <w:rPr>
                <w:rFonts w:hint="eastAsia" w:ascii="宋体" w:hAnsi="宋体" w:eastAsia="宋体" w:cs="宋体"/>
                <w:sz w:val="22"/>
                <w:szCs w:val="22"/>
              </w:rPr>
            </w:pPr>
            <w:r>
              <w:rPr>
                <w:rFonts w:hint="eastAsia" w:ascii="宋体" w:hAnsi="宋体" w:eastAsia="宋体" w:cs="宋体"/>
                <w:sz w:val="22"/>
                <w:szCs w:val="22"/>
              </w:rPr>
              <w:t>倾倒性</w:t>
            </w:r>
          </w:p>
        </w:tc>
        <w:tc>
          <w:tcPr>
            <w:tcW w:w="3395" w:type="dxa"/>
            <w:noWrap w:val="0"/>
            <w:vAlign w:val="top"/>
          </w:tcPr>
          <w:p>
            <w:pPr>
              <w:rPr>
                <w:rFonts w:hint="eastAsia" w:ascii="宋体" w:hAnsi="宋体" w:eastAsia="宋体" w:cs="宋体"/>
                <w:sz w:val="22"/>
                <w:szCs w:val="22"/>
              </w:rPr>
            </w:pPr>
            <w:r>
              <w:rPr>
                <w:rFonts w:hint="eastAsia" w:ascii="宋体" w:hAnsi="宋体" w:eastAsia="宋体" w:cs="宋体"/>
                <w:sz w:val="22"/>
                <w:szCs w:val="22"/>
              </w:rPr>
              <w:t xml:space="preserve">倾倒后残余物，%            ≤ </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5.0</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27" w:type="dxa"/>
            <w:vMerge w:val="continue"/>
            <w:noWrap w:val="0"/>
            <w:vAlign w:val="top"/>
          </w:tcPr>
          <w:p>
            <w:pPr>
              <w:rPr>
                <w:rFonts w:hint="eastAsia" w:ascii="宋体" w:hAnsi="宋体" w:eastAsia="宋体" w:cs="宋体"/>
                <w:sz w:val="22"/>
                <w:szCs w:val="22"/>
              </w:rPr>
            </w:pPr>
          </w:p>
        </w:tc>
        <w:tc>
          <w:tcPr>
            <w:tcW w:w="3395" w:type="dxa"/>
            <w:noWrap w:val="0"/>
            <w:vAlign w:val="top"/>
          </w:tcPr>
          <w:p>
            <w:pPr>
              <w:rPr>
                <w:rFonts w:hint="eastAsia" w:ascii="宋体" w:hAnsi="宋体" w:eastAsia="宋体" w:cs="宋体"/>
                <w:sz w:val="22"/>
                <w:szCs w:val="22"/>
              </w:rPr>
            </w:pPr>
            <w:r>
              <w:rPr>
                <w:rFonts w:hint="eastAsia" w:ascii="宋体" w:hAnsi="宋体" w:eastAsia="宋体" w:cs="宋体"/>
                <w:sz w:val="22"/>
                <w:szCs w:val="22"/>
              </w:rPr>
              <w:t>洗涤后残余物，%            ≤</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0.5</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22" w:type="dxa"/>
            <w:gridSpan w:val="2"/>
            <w:noWrap w:val="0"/>
            <w:vAlign w:val="top"/>
          </w:tcPr>
          <w:p>
            <w:pPr>
              <w:rPr>
                <w:rFonts w:hint="eastAsia" w:ascii="宋体" w:hAnsi="宋体" w:eastAsia="宋体" w:cs="宋体"/>
                <w:sz w:val="22"/>
                <w:szCs w:val="22"/>
              </w:rPr>
            </w:pPr>
            <w:r>
              <w:rPr>
                <w:rFonts w:hint="eastAsia" w:ascii="宋体" w:hAnsi="宋体" w:eastAsia="宋体" w:cs="宋体"/>
                <w:sz w:val="22"/>
                <w:szCs w:val="22"/>
              </w:rPr>
              <w:t>乳液稳定性（稀释200倍）</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合格</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322" w:type="dxa"/>
            <w:gridSpan w:val="2"/>
            <w:noWrap w:val="0"/>
            <w:vAlign w:val="top"/>
          </w:tcPr>
          <w:p>
            <w:pPr>
              <w:rPr>
                <w:rFonts w:hint="eastAsia" w:ascii="宋体" w:hAnsi="宋体" w:eastAsia="宋体" w:cs="宋体"/>
                <w:sz w:val="22"/>
                <w:szCs w:val="22"/>
              </w:rPr>
            </w:pPr>
            <w:r>
              <w:rPr>
                <w:rFonts w:hint="eastAsia" w:ascii="宋体" w:hAnsi="宋体" w:eastAsia="宋体" w:cs="宋体"/>
                <w:sz w:val="22"/>
                <w:szCs w:val="22"/>
              </w:rPr>
              <w:t>持久起泡性（1min后），mL             ≤</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60</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22" w:type="dxa"/>
            <w:gridSpan w:val="2"/>
            <w:noWrap w:val="0"/>
            <w:vAlign w:val="top"/>
          </w:tcPr>
          <w:p>
            <w:pPr>
              <w:rPr>
                <w:rFonts w:hint="eastAsia" w:ascii="宋体" w:hAnsi="宋体" w:eastAsia="宋体" w:cs="宋体"/>
                <w:sz w:val="22"/>
                <w:szCs w:val="22"/>
              </w:rPr>
            </w:pPr>
            <w:r>
              <w:rPr>
                <w:rFonts w:hint="eastAsia" w:ascii="宋体" w:hAnsi="宋体" w:eastAsia="宋体" w:cs="宋体"/>
                <w:sz w:val="22"/>
                <w:szCs w:val="22"/>
              </w:rPr>
              <w:t>低温稳定性</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合格</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322" w:type="dxa"/>
            <w:gridSpan w:val="2"/>
            <w:noWrap w:val="0"/>
            <w:vAlign w:val="top"/>
          </w:tcPr>
          <w:p>
            <w:pPr>
              <w:rPr>
                <w:rFonts w:hint="eastAsia" w:ascii="宋体" w:hAnsi="宋体" w:eastAsia="宋体" w:cs="宋体"/>
                <w:sz w:val="22"/>
                <w:szCs w:val="22"/>
              </w:rPr>
            </w:pPr>
            <w:r>
              <w:rPr>
                <w:rFonts w:hint="eastAsia" w:ascii="宋体" w:hAnsi="宋体" w:eastAsia="宋体" w:cs="宋体"/>
                <w:sz w:val="22"/>
                <w:szCs w:val="22"/>
              </w:rPr>
              <w:t>热贮稳定性</w:t>
            </w:r>
          </w:p>
        </w:tc>
        <w:tc>
          <w:tcPr>
            <w:tcW w:w="2550"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合格</w:t>
            </w:r>
          </w:p>
        </w:tc>
        <w:tc>
          <w:tcPr>
            <w:tcW w:w="2414"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86" w:type="dxa"/>
            <w:gridSpan w:val="4"/>
            <w:noWrap w:val="0"/>
            <w:vAlign w:val="top"/>
          </w:tcPr>
          <w:p>
            <w:pPr>
              <w:rPr>
                <w:rFonts w:hint="eastAsia" w:ascii="宋体" w:hAnsi="宋体" w:eastAsia="宋体" w:cs="宋体"/>
                <w:sz w:val="22"/>
                <w:szCs w:val="22"/>
              </w:rPr>
            </w:pPr>
            <w:r>
              <w:rPr>
                <w:rFonts w:hint="eastAsia" w:ascii="宋体" w:hAnsi="宋体" w:eastAsia="宋体" w:cs="宋体"/>
                <w:sz w:val="22"/>
                <w:szCs w:val="22"/>
              </w:rPr>
              <w:t>注：低温稳定性和热贮稳定性试验为抽检项目，每6个月进行一次</w:t>
            </w:r>
          </w:p>
        </w:tc>
      </w:tr>
    </w:tbl>
    <w:p>
      <w:pPr>
        <w:pStyle w:val="2"/>
        <w:numPr>
          <w:ilvl w:val="0"/>
          <w:numId w:val="0"/>
        </w:numPr>
        <w:ind w:leftChars="0"/>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（3） 0.25%氟虫腈粉剂</w:t>
      </w:r>
    </w:p>
    <w:tbl>
      <w:tblPr>
        <w:tblStyle w:val="10"/>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2"/>
        <w:gridCol w:w="2662"/>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432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项      目</w:t>
            </w:r>
          </w:p>
        </w:tc>
        <w:tc>
          <w:tcPr>
            <w:tcW w:w="266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指      标</w:t>
            </w:r>
          </w:p>
        </w:tc>
        <w:tc>
          <w:tcPr>
            <w:tcW w:w="2278"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总重量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322" w:type="dxa"/>
            <w:noWrap w:val="0"/>
            <w:vAlign w:val="top"/>
          </w:tcPr>
          <w:p>
            <w:pPr>
              <w:rPr>
                <w:rFonts w:hint="eastAsia" w:ascii="宋体" w:hAnsi="宋体" w:eastAsia="宋体" w:cs="宋体"/>
                <w:sz w:val="22"/>
                <w:szCs w:val="22"/>
              </w:rPr>
            </w:pPr>
            <w:r>
              <w:rPr>
                <w:rFonts w:hint="eastAsia" w:ascii="宋体" w:hAnsi="宋体" w:eastAsia="宋体" w:cs="宋体"/>
                <w:sz w:val="22"/>
                <w:szCs w:val="22"/>
              </w:rPr>
              <w:t>氟虫腈质量分数，%</w:t>
            </w:r>
          </w:p>
        </w:tc>
        <w:tc>
          <w:tcPr>
            <w:tcW w:w="266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0.25±0.06</w:t>
            </w:r>
          </w:p>
        </w:tc>
        <w:tc>
          <w:tcPr>
            <w:tcW w:w="2278" w:type="dxa"/>
            <w:vMerge w:val="restart"/>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br w:type="textWrapping"/>
            </w:r>
            <w:r>
              <w:rPr>
                <w:rFonts w:hint="eastAsia" w:ascii="宋体" w:hAnsi="宋体" w:eastAsia="宋体" w:cs="宋体"/>
                <w:sz w:val="22"/>
                <w:szCs w:val="22"/>
              </w:rPr>
              <w:br w:type="textWrapping"/>
            </w:r>
            <w:r>
              <w:rPr>
                <w:rFonts w:hint="eastAsia" w:ascii="宋体" w:hAnsi="宋体" w:eastAsia="宋体" w:cs="宋体"/>
                <w:sz w:val="22"/>
                <w:szCs w:val="22"/>
                <w:lang w:val="en-US" w:eastAsia="zh-CN"/>
              </w:rPr>
              <w:t>4</w:t>
            </w:r>
            <w:r>
              <w:rPr>
                <w:rFonts w:hint="eastAsia" w:ascii="宋体" w:hAnsi="宋体" w:eastAsia="宋体" w:cs="宋体"/>
                <w:sz w:val="22"/>
                <w:szCs w:val="22"/>
              </w:rPr>
              <w:t>公斤</w:t>
            </w:r>
            <w:r>
              <w:rPr>
                <w:rFonts w:hint="eastAsia" w:ascii="宋体" w:hAnsi="宋体" w:eastAsia="宋体" w:cs="宋体"/>
                <w:sz w:val="22"/>
                <w:szCs w:val="22"/>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22" w:type="dxa"/>
            <w:noWrap w:val="0"/>
            <w:vAlign w:val="top"/>
          </w:tcPr>
          <w:p>
            <w:pPr>
              <w:jc w:val="left"/>
              <w:rPr>
                <w:rFonts w:hint="eastAsia" w:ascii="宋体" w:hAnsi="宋体" w:eastAsia="宋体" w:cs="宋体"/>
                <w:sz w:val="22"/>
                <w:szCs w:val="22"/>
              </w:rPr>
            </w:pPr>
            <w:r>
              <w:rPr>
                <w:rFonts w:hint="eastAsia" w:ascii="宋体" w:hAnsi="宋体" w:eastAsia="宋体" w:cs="宋体"/>
                <w:sz w:val="22"/>
                <w:szCs w:val="22"/>
              </w:rPr>
              <w:t>pH值范围</w:t>
            </w:r>
          </w:p>
        </w:tc>
        <w:tc>
          <w:tcPr>
            <w:tcW w:w="266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7.0～10.0</w:t>
            </w:r>
          </w:p>
        </w:tc>
        <w:tc>
          <w:tcPr>
            <w:tcW w:w="2278"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322" w:type="dxa"/>
            <w:noWrap w:val="0"/>
            <w:vAlign w:val="top"/>
          </w:tcPr>
          <w:p>
            <w:pPr>
              <w:ind w:left="210" w:hanging="220" w:hangingChars="100"/>
              <w:jc w:val="left"/>
              <w:rPr>
                <w:rFonts w:hint="eastAsia" w:ascii="宋体" w:hAnsi="宋体" w:eastAsia="宋体" w:cs="宋体"/>
                <w:sz w:val="22"/>
                <w:szCs w:val="22"/>
              </w:rPr>
            </w:pPr>
            <w:r>
              <w:rPr>
                <w:rFonts w:hint="eastAsia" w:ascii="宋体" w:hAnsi="宋体" w:eastAsia="宋体" w:cs="宋体"/>
                <w:sz w:val="22"/>
                <w:szCs w:val="22"/>
              </w:rPr>
              <w:t>水分，%                          ≤</w:t>
            </w:r>
          </w:p>
        </w:tc>
        <w:tc>
          <w:tcPr>
            <w:tcW w:w="266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3.0</w:t>
            </w:r>
          </w:p>
        </w:tc>
        <w:tc>
          <w:tcPr>
            <w:tcW w:w="2278"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22" w:type="dxa"/>
            <w:noWrap w:val="0"/>
            <w:vAlign w:val="top"/>
          </w:tcPr>
          <w:p>
            <w:pPr>
              <w:rPr>
                <w:rFonts w:hint="eastAsia" w:ascii="宋体" w:hAnsi="宋体" w:eastAsia="宋体" w:cs="宋体"/>
                <w:sz w:val="22"/>
                <w:szCs w:val="22"/>
              </w:rPr>
            </w:pPr>
            <w:r>
              <w:rPr>
                <w:rFonts w:hint="eastAsia" w:ascii="宋体" w:hAnsi="宋体" w:eastAsia="宋体" w:cs="宋体"/>
                <w:sz w:val="22"/>
                <w:szCs w:val="22"/>
              </w:rPr>
              <w:t>筛析（通过75μm孔径试验筛），%       ≥</w:t>
            </w:r>
          </w:p>
        </w:tc>
        <w:tc>
          <w:tcPr>
            <w:tcW w:w="266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98</w:t>
            </w:r>
          </w:p>
        </w:tc>
        <w:tc>
          <w:tcPr>
            <w:tcW w:w="2278"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322" w:type="dxa"/>
            <w:noWrap w:val="0"/>
            <w:vAlign w:val="top"/>
          </w:tcPr>
          <w:p>
            <w:pPr>
              <w:jc w:val="left"/>
              <w:rPr>
                <w:rFonts w:hint="eastAsia" w:ascii="宋体" w:hAnsi="宋体" w:eastAsia="宋体" w:cs="宋体"/>
                <w:sz w:val="22"/>
                <w:szCs w:val="22"/>
              </w:rPr>
            </w:pPr>
            <w:r>
              <w:rPr>
                <w:rFonts w:hint="eastAsia" w:ascii="宋体" w:hAnsi="宋体" w:eastAsia="宋体" w:cs="宋体"/>
                <w:sz w:val="22"/>
                <w:szCs w:val="22"/>
              </w:rPr>
              <w:t>热贮稳定性a</w:t>
            </w:r>
          </w:p>
        </w:tc>
        <w:tc>
          <w:tcPr>
            <w:tcW w:w="2662" w:type="dxa"/>
            <w:noWrap w:val="0"/>
            <w:vAlign w:val="top"/>
          </w:tcPr>
          <w:p>
            <w:pPr>
              <w:jc w:val="center"/>
              <w:rPr>
                <w:rFonts w:hint="eastAsia" w:ascii="宋体" w:hAnsi="宋体" w:eastAsia="宋体" w:cs="宋体"/>
                <w:sz w:val="22"/>
                <w:szCs w:val="22"/>
              </w:rPr>
            </w:pPr>
            <w:r>
              <w:rPr>
                <w:rFonts w:hint="eastAsia" w:ascii="宋体" w:hAnsi="宋体" w:eastAsia="宋体" w:cs="宋体"/>
                <w:sz w:val="22"/>
                <w:szCs w:val="22"/>
              </w:rPr>
              <w:t>合格</w:t>
            </w:r>
          </w:p>
        </w:tc>
        <w:tc>
          <w:tcPr>
            <w:tcW w:w="2278" w:type="dxa"/>
            <w:vMerge w:val="continue"/>
            <w:noWrap w:val="0"/>
            <w:vAlign w:val="top"/>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262" w:type="dxa"/>
            <w:gridSpan w:val="3"/>
            <w:noWrap w:val="0"/>
            <w:vAlign w:val="top"/>
          </w:tcPr>
          <w:p>
            <w:pPr>
              <w:rPr>
                <w:rFonts w:hint="eastAsia" w:ascii="宋体" w:hAnsi="宋体" w:eastAsia="宋体" w:cs="宋体"/>
                <w:sz w:val="22"/>
                <w:szCs w:val="22"/>
              </w:rPr>
            </w:pPr>
            <w:r>
              <w:rPr>
                <w:rFonts w:hint="eastAsia" w:ascii="宋体" w:hAnsi="宋体" w:eastAsia="宋体" w:cs="宋体"/>
                <w:sz w:val="22"/>
                <w:szCs w:val="22"/>
              </w:rPr>
              <w:t>a为抽检项目，每六个月抽检一次</w:t>
            </w:r>
          </w:p>
        </w:tc>
      </w:tr>
    </w:tbl>
    <w:p>
      <w:pPr>
        <w:pStyle w:val="13"/>
        <w:rPr>
          <w:rFonts w:cs="Times New Roman"/>
        </w:rPr>
      </w:pPr>
    </w:p>
    <w:p>
      <w:pPr>
        <w:pStyle w:val="13"/>
        <w:rPr>
          <w:rFonts w:cs="Times New Roman"/>
        </w:rPr>
      </w:pPr>
    </w:p>
    <w:p>
      <w:pPr>
        <w:numPr>
          <w:ilvl w:val="0"/>
          <w:numId w:val="0"/>
        </w:numPr>
        <w:adjustRightInd w:val="0"/>
        <w:snapToGrid w:val="0"/>
        <w:ind w:leftChars="0"/>
        <w:rPr>
          <w:rFonts w:hint="default"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（4） 诱杀包   数量200包</w:t>
      </w:r>
    </w:p>
    <w:p>
      <w:pPr>
        <w:numPr>
          <w:ilvl w:val="0"/>
          <w:numId w:val="0"/>
        </w:numPr>
        <w:adjustRightInd w:val="0"/>
        <w:snapToGrid w:val="0"/>
        <w:ind w:firstLine="632" w:firstLineChars="300"/>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 xml:space="preserve">成分：0.25%氟虫腈粉剂、引诱剂、防腐剂  </w:t>
      </w:r>
    </w:p>
    <w:p>
      <w:pPr>
        <w:adjustRightInd w:val="0"/>
        <w:snapToGrid w:val="0"/>
        <w:spacing w:line="360" w:lineRule="auto"/>
        <w:ind w:firstLine="210" w:firstLineChars="100"/>
        <w:rPr>
          <w:rFonts w:hint="eastAsia" w:ascii="宋体" w:hAnsi="宋体" w:eastAsia="宋体" w:cs="宋体"/>
          <w:color w:val="000000"/>
          <w:szCs w:val="21"/>
        </w:rPr>
      </w:pPr>
    </w:p>
    <w:p>
      <w:pPr>
        <w:adjustRightInd w:val="0"/>
        <w:snapToGrid w:val="0"/>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20公斤/桶（塑料桶）。</w:t>
      </w:r>
    </w:p>
    <w:p>
      <w:pPr>
        <w:adjustRightInd w:val="0"/>
        <w:snapToGrid w:val="0"/>
        <w:ind w:firstLine="210" w:firstLineChars="100"/>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MSDS安全数据报告（有危害性说明、事故急救措施、消防措施、泄露应急处理、操作处置与储存、接触控制与个体防护、产品毒理学资料、产品生态学资料、废弃处理、运输信息等）。</w:t>
      </w:r>
    </w:p>
    <w:p>
      <w:pPr>
        <w:adjustRightInd w:val="0"/>
        <w:snapToGrid w:val="0"/>
        <w:spacing w:line="360" w:lineRule="auto"/>
        <w:rPr>
          <w:rFonts w:hint="eastAsia" w:ascii="宋体" w:hAnsi="宋体" w:eastAsia="宋体" w:cs="宋体"/>
          <w:b/>
          <w:bCs/>
          <w:color w:val="000000"/>
          <w:szCs w:val="21"/>
        </w:rPr>
      </w:pPr>
    </w:p>
    <w:p>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上述药物：提供生产厂家企业标准、农药登记证（以白蚁为防治对象）、农药生产批准证三证、所投产品的检验报告复印件并盖公章；否则视为自动放弃资格，并记入不良行为记录。</w:t>
      </w:r>
    </w:p>
    <w:p>
      <w:pPr>
        <w:pStyle w:val="7"/>
        <w:tabs>
          <w:tab w:val="left" w:pos="567"/>
        </w:tabs>
        <w:spacing w:before="98"/>
        <w:rPr>
          <w:rFonts w:hint="eastAsia" w:ascii="宋体" w:hAnsi="宋体" w:eastAsia="宋体" w:cs="宋体"/>
          <w:b/>
          <w:bCs/>
          <w:color w:val="000000"/>
          <w:kern w:val="2"/>
          <w:sz w:val="21"/>
          <w:szCs w:val="21"/>
          <w:lang w:val="en-US" w:eastAsia="zh-CN" w:bidi="ar-SA"/>
        </w:rPr>
      </w:pPr>
    </w:p>
    <w:p>
      <w:pPr>
        <w:pStyle w:val="7"/>
        <w:tabs>
          <w:tab w:val="left" w:pos="567"/>
        </w:tabs>
        <w:spacing w:before="98"/>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kern w:val="2"/>
          <w:sz w:val="21"/>
          <w:szCs w:val="21"/>
          <w:lang w:val="zh-CN" w:eastAsia="zh-CN" w:bidi="ar-SA"/>
        </w:rPr>
        <w:t>（</w:t>
      </w:r>
      <w:r>
        <w:rPr>
          <w:rFonts w:hint="eastAsia" w:ascii="宋体" w:hAnsi="宋体" w:eastAsia="宋体" w:cs="宋体"/>
          <w:b/>
          <w:bCs/>
          <w:color w:val="000000"/>
          <w:kern w:val="2"/>
          <w:sz w:val="21"/>
          <w:szCs w:val="21"/>
          <w:lang w:val="en-US" w:eastAsia="zh-CN" w:bidi="ar-SA"/>
        </w:rPr>
        <w:t>三</w:t>
      </w:r>
      <w:r>
        <w:rPr>
          <w:rFonts w:hint="eastAsia" w:ascii="宋体" w:hAnsi="宋体" w:eastAsia="宋体" w:cs="宋体"/>
          <w:b/>
          <w:bCs/>
          <w:color w:val="000000"/>
          <w:kern w:val="2"/>
          <w:sz w:val="21"/>
          <w:szCs w:val="21"/>
          <w:lang w:val="zh-CN" w:eastAsia="zh-CN" w:bidi="ar-SA"/>
        </w:rPr>
        <w:t>）项目实施要求及说明</w:t>
      </w:r>
    </w:p>
    <w:p>
      <w:pPr>
        <w:pStyle w:val="13"/>
        <w:rPr>
          <w:rFonts w:cs="Times New Roman"/>
        </w:rPr>
      </w:pPr>
    </w:p>
    <w:p>
      <w:pPr>
        <w:pStyle w:val="6"/>
        <w:numPr>
          <w:ilvl w:val="0"/>
          <w:numId w:val="0"/>
        </w:numPr>
        <w:tabs>
          <w:tab w:val="left" w:pos="929"/>
          <w:tab w:val="left" w:pos="930"/>
        </w:tabs>
        <w:spacing w:before="91"/>
        <w:ind w:left="298" w:leftChars="0"/>
        <w:rPr>
          <w:rFonts w:hint="eastAsia" w:ascii="宋体" w:hAnsi="宋体" w:eastAsia="宋体" w:cs="宋体"/>
        </w:rPr>
      </w:pPr>
      <w:r>
        <w:rPr>
          <w:rFonts w:hint="eastAsia" w:eastAsia="宋体" w:cs="宋体"/>
          <w:spacing w:val="-1"/>
          <w:lang w:val="en-US" w:eastAsia="zh-CN"/>
        </w:rPr>
        <w:t>1）</w:t>
      </w:r>
      <w:r>
        <w:rPr>
          <w:rFonts w:hint="eastAsia" w:ascii="宋体" w:hAnsi="宋体" w:eastAsia="宋体" w:cs="宋体"/>
          <w:spacing w:val="-1"/>
        </w:rPr>
        <w:t>产品运输、保险及保管</w:t>
      </w:r>
    </w:p>
    <w:p>
      <w:pPr>
        <w:pStyle w:val="14"/>
        <w:numPr>
          <w:ilvl w:val="0"/>
          <w:numId w:val="0"/>
        </w:numPr>
        <w:spacing w:before="89" w:line="321" w:lineRule="auto"/>
        <w:ind w:leftChars="-137" w:right="-14" w:rightChars="0" w:firstLine="624" w:firstLineChars="300"/>
        <w:jc w:val="left"/>
        <w:rPr>
          <w:rFonts w:hint="eastAsia" w:ascii="宋体" w:hAnsi="宋体" w:eastAsia="宋体" w:cs="宋体"/>
          <w:spacing w:val="-1"/>
          <w:lang w:val="en-US" w:eastAsia="zh-CN"/>
        </w:rPr>
      </w:pPr>
      <w:r>
        <w:rPr>
          <w:rFonts w:hint="eastAsia" w:ascii="宋体" w:hAnsi="宋体" w:eastAsia="宋体" w:cs="宋体"/>
          <w:spacing w:val="-1"/>
          <w:lang w:val="en-US" w:eastAsia="zh-CN"/>
        </w:rPr>
        <w:t>1.1）成交人负责产品到施工地点的全部运输，包括装卸及现场搬运等。</w:t>
      </w:r>
    </w:p>
    <w:p>
      <w:pPr>
        <w:pStyle w:val="14"/>
        <w:numPr>
          <w:ilvl w:val="0"/>
          <w:numId w:val="0"/>
        </w:numPr>
        <w:spacing w:before="89" w:line="321" w:lineRule="auto"/>
        <w:ind w:leftChars="-137" w:right="-14" w:rightChars="0" w:firstLine="624" w:firstLineChars="300"/>
        <w:jc w:val="left"/>
        <w:rPr>
          <w:rFonts w:hint="eastAsia" w:ascii="宋体" w:hAnsi="宋体" w:eastAsia="宋体" w:cs="宋体"/>
          <w:spacing w:val="-1"/>
          <w:lang w:val="en-US" w:eastAsia="zh-CN"/>
        </w:rPr>
      </w:pPr>
      <w:r>
        <w:rPr>
          <w:rFonts w:hint="eastAsia" w:ascii="宋体" w:hAnsi="宋体" w:eastAsia="宋体" w:cs="宋体"/>
          <w:spacing w:val="-1"/>
          <w:lang w:val="en-US" w:eastAsia="zh-CN"/>
        </w:rPr>
        <w:t>1.2）成交人负责产品在施工地点的保管，直至项目验收合格。</w:t>
      </w:r>
    </w:p>
    <w:p>
      <w:pPr>
        <w:pStyle w:val="14"/>
        <w:numPr>
          <w:ilvl w:val="0"/>
          <w:numId w:val="0"/>
        </w:numPr>
        <w:spacing w:before="89" w:line="321" w:lineRule="auto"/>
        <w:ind w:leftChars="-137" w:right="-14" w:rightChars="0" w:firstLine="624" w:firstLineChars="300"/>
        <w:jc w:val="left"/>
        <w:rPr>
          <w:rFonts w:hint="eastAsia" w:ascii="宋体" w:hAnsi="宋体" w:eastAsia="宋体" w:cs="宋体"/>
          <w:spacing w:val="-1"/>
          <w:lang w:val="en-US" w:eastAsia="zh-CN"/>
        </w:rPr>
      </w:pPr>
      <w:r>
        <w:rPr>
          <w:rFonts w:hint="eastAsia" w:ascii="宋体" w:hAnsi="宋体" w:eastAsia="宋体" w:cs="宋体"/>
          <w:spacing w:val="-1"/>
          <w:lang w:val="en-US" w:eastAsia="zh-CN"/>
        </w:rPr>
        <w:t>1.3）成交人负责其派出的施工人员的人身意外保险。</w:t>
      </w:r>
    </w:p>
    <w:p>
      <w:pPr>
        <w:pStyle w:val="6"/>
        <w:numPr>
          <w:ilvl w:val="0"/>
          <w:numId w:val="0"/>
        </w:numPr>
        <w:tabs>
          <w:tab w:val="left" w:pos="927"/>
          <w:tab w:val="left" w:pos="928"/>
        </w:tabs>
        <w:spacing w:before="90"/>
        <w:ind w:left="300" w:leftChars="0"/>
        <w:rPr>
          <w:rFonts w:hint="eastAsia" w:ascii="宋体" w:hAnsi="宋体" w:eastAsia="宋体" w:cs="宋体"/>
        </w:rPr>
      </w:pPr>
      <w:r>
        <w:rPr>
          <w:rFonts w:hint="eastAsia" w:eastAsia="宋体" w:cs="宋体"/>
          <w:lang w:val="en-US" w:eastAsia="zh-CN"/>
        </w:rPr>
        <w:t>2）</w:t>
      </w:r>
      <w:r>
        <w:rPr>
          <w:rFonts w:hint="eastAsia" w:ascii="宋体" w:hAnsi="宋体" w:eastAsia="宋体" w:cs="宋体"/>
        </w:rPr>
        <w:t>验收要求</w:t>
      </w:r>
    </w:p>
    <w:p>
      <w:pPr>
        <w:pStyle w:val="14"/>
        <w:numPr>
          <w:ilvl w:val="0"/>
          <w:numId w:val="0"/>
        </w:numPr>
        <w:spacing w:before="89" w:line="321" w:lineRule="auto"/>
        <w:ind w:left="340" w:leftChars="162" w:right="-14" w:rightChars="0" w:firstLine="0" w:firstLineChars="0"/>
        <w:jc w:val="both"/>
        <w:rPr>
          <w:rFonts w:hint="eastAsia" w:ascii="宋体" w:hAnsi="宋体" w:eastAsia="宋体" w:cs="宋体"/>
          <w:spacing w:val="-1"/>
          <w:lang w:val="en-US" w:eastAsia="zh-CN"/>
        </w:rPr>
      </w:pPr>
      <w:r>
        <w:rPr>
          <w:rFonts w:hint="eastAsia" w:ascii="宋体" w:hAnsi="宋体" w:eastAsia="宋体" w:cs="宋体"/>
          <w:spacing w:val="-1"/>
          <w:lang w:val="en-US" w:eastAsia="zh-CN"/>
        </w:rPr>
        <w:t>2.1）项目验收国家有强制性规定的，按国家规定执行，验收费用由成交人承担，验收报告作为申请付款的凭证之一。</w:t>
      </w:r>
    </w:p>
    <w:p>
      <w:pPr>
        <w:pStyle w:val="14"/>
        <w:numPr>
          <w:ilvl w:val="0"/>
          <w:numId w:val="0"/>
        </w:numPr>
        <w:spacing w:before="89" w:line="321" w:lineRule="auto"/>
        <w:ind w:left="340" w:leftChars="162" w:right="-14" w:rightChars="0" w:firstLine="0" w:firstLineChars="0"/>
        <w:jc w:val="both"/>
        <w:rPr>
          <w:rFonts w:hint="eastAsia" w:ascii="宋体" w:hAnsi="宋体" w:eastAsia="宋体" w:cs="宋体"/>
          <w:spacing w:val="-1"/>
          <w:lang w:val="en-US" w:eastAsia="zh-CN"/>
        </w:rPr>
      </w:pPr>
      <w:r>
        <w:rPr>
          <w:rFonts w:hint="eastAsia" w:ascii="宋体" w:hAnsi="宋体" w:eastAsia="宋体" w:cs="宋体"/>
          <w:spacing w:val="-1"/>
          <w:lang w:val="en-US" w:eastAsia="zh-CN"/>
        </w:rPr>
        <w:t>2.2）验收过程中产生纠纷的，由质量技术监督部门认定的检测机构检测,如为成交人原因造成的， 由成交人承担检测费用；否则，由采购人承担。</w:t>
      </w:r>
    </w:p>
    <w:p>
      <w:pPr>
        <w:pStyle w:val="14"/>
        <w:numPr>
          <w:ilvl w:val="0"/>
          <w:numId w:val="0"/>
        </w:numPr>
        <w:spacing w:before="89" w:line="321" w:lineRule="auto"/>
        <w:ind w:left="340" w:leftChars="162" w:right="-14" w:rightChars="0" w:firstLine="0" w:firstLineChars="0"/>
        <w:jc w:val="both"/>
        <w:rPr>
          <w:rFonts w:hint="eastAsia" w:ascii="宋体" w:hAnsi="宋体" w:eastAsia="宋体" w:cs="宋体"/>
          <w:spacing w:val="-1"/>
          <w:lang w:val="en-US" w:eastAsia="zh-CN"/>
        </w:rPr>
      </w:pPr>
      <w:r>
        <w:rPr>
          <w:rFonts w:hint="eastAsia" w:ascii="宋体" w:hAnsi="宋体" w:eastAsia="宋体" w:cs="宋体"/>
          <w:spacing w:val="-1"/>
          <w:lang w:val="en-US" w:eastAsia="zh-CN"/>
        </w:rPr>
        <w:t>2.3）项目验收不合格，由成交人返工直至合格，有关返工、再行验收，以及给采购人造成的损失等费用由成交人承担。连续两次项目验收不合格的，采购人可终止合同，另行按规定选择其他供应商采购，由此带来的一切损失由成交人承担。</w:t>
      </w:r>
    </w:p>
    <w:p>
      <w:pPr>
        <w:pStyle w:val="6"/>
        <w:numPr>
          <w:ilvl w:val="0"/>
          <w:numId w:val="0"/>
        </w:numPr>
        <w:tabs>
          <w:tab w:val="left" w:pos="928"/>
        </w:tabs>
        <w:spacing w:line="268" w:lineRule="exact"/>
        <w:ind w:left="300" w:leftChars="0"/>
        <w:jc w:val="both"/>
        <w:rPr>
          <w:rFonts w:hint="eastAsia" w:ascii="宋体" w:hAnsi="宋体" w:eastAsia="宋体" w:cs="宋体"/>
        </w:rPr>
      </w:pPr>
      <w:r>
        <w:rPr>
          <w:rFonts w:hint="eastAsia" w:eastAsia="宋体" w:cs="宋体"/>
          <w:lang w:val="en-US" w:eastAsia="zh-CN"/>
        </w:rPr>
        <w:t>3）</w:t>
      </w:r>
      <w:r>
        <w:rPr>
          <w:rFonts w:hint="eastAsia" w:ascii="宋体" w:hAnsi="宋体" w:eastAsia="宋体" w:cs="宋体"/>
        </w:rPr>
        <w:t>质量保证</w:t>
      </w:r>
    </w:p>
    <w:p>
      <w:pPr>
        <w:pStyle w:val="14"/>
        <w:numPr>
          <w:ilvl w:val="0"/>
          <w:numId w:val="0"/>
        </w:numPr>
        <w:spacing w:before="89" w:line="321" w:lineRule="auto"/>
        <w:ind w:leftChars="-137" w:right="-14" w:rightChars="0" w:firstLine="624" w:firstLineChars="300"/>
        <w:jc w:val="both"/>
        <w:rPr>
          <w:rFonts w:hint="eastAsia" w:ascii="宋体" w:hAnsi="宋体" w:eastAsia="宋体" w:cs="宋体"/>
        </w:rPr>
      </w:pPr>
      <w:r>
        <w:rPr>
          <w:rFonts w:hint="eastAsia" w:ascii="宋体" w:hAnsi="宋体" w:eastAsia="宋体" w:cs="宋体"/>
          <w:spacing w:val="-1"/>
          <w:lang w:val="en-US" w:eastAsia="zh-CN"/>
        </w:rPr>
        <w:t xml:space="preserve">3.1） </w:t>
      </w:r>
      <w:r>
        <w:rPr>
          <w:rFonts w:hint="eastAsia" w:ascii="宋体" w:hAnsi="宋体" w:eastAsia="宋体" w:cs="宋体"/>
          <w:spacing w:val="-1"/>
        </w:rPr>
        <w:t>成交人提供的产品应是原装正品，符合国家质量检测标准，具有出厂合格证或国家鉴定合格</w:t>
      </w:r>
      <w:r>
        <w:rPr>
          <w:rFonts w:hint="eastAsia" w:ascii="宋体" w:hAnsi="宋体" w:eastAsia="宋体" w:cs="宋体"/>
        </w:rPr>
        <w:t>证。</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3.2）本项目整体的质保期为自验收通过之日起壹年。超出厂家正常保修范围的，成交人需向厂家购买；未在投标报价表中单列其费用的，视为免费提供。</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3.3）质保期内，免费提供所有产品的维护服务，由此产生的费用均不再收取。</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3.4）成交人在交货时必须提供本批次产品的质检报告，否则采购人有权拒收货物。</w:t>
      </w:r>
    </w:p>
    <w:p>
      <w:pPr>
        <w:pStyle w:val="6"/>
        <w:numPr>
          <w:ilvl w:val="0"/>
          <w:numId w:val="0"/>
        </w:numPr>
        <w:tabs>
          <w:tab w:val="left" w:pos="927"/>
          <w:tab w:val="left" w:pos="928"/>
        </w:tabs>
        <w:spacing w:before="122"/>
        <w:ind w:firstLine="422" w:firstLineChars="200"/>
        <w:rPr>
          <w:rFonts w:hint="eastAsia" w:ascii="宋体" w:hAnsi="宋体" w:eastAsia="宋体" w:cs="宋体"/>
        </w:rPr>
      </w:pPr>
      <w:r>
        <w:rPr>
          <w:rFonts w:hint="eastAsia" w:eastAsia="宋体" w:cs="宋体"/>
          <w:lang w:eastAsia="zh-CN"/>
        </w:rPr>
        <w:t>（</w:t>
      </w:r>
      <w:r>
        <w:rPr>
          <w:rFonts w:hint="eastAsia" w:eastAsia="宋体" w:cs="宋体"/>
          <w:lang w:val="en-US" w:eastAsia="zh-CN"/>
        </w:rPr>
        <w:t>四</w:t>
      </w:r>
      <w:r>
        <w:rPr>
          <w:rFonts w:hint="eastAsia" w:eastAsia="宋体" w:cs="宋体"/>
          <w:lang w:eastAsia="zh-CN"/>
        </w:rPr>
        <w:t>）</w:t>
      </w:r>
      <w:r>
        <w:rPr>
          <w:rFonts w:hint="eastAsia" w:ascii="宋体" w:hAnsi="宋体" w:eastAsia="宋体" w:cs="宋体"/>
        </w:rPr>
        <w:t>服务要求</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4.1）</w:t>
      </w:r>
      <w:r>
        <w:rPr>
          <w:rFonts w:hint="eastAsia" w:ascii="宋体" w:hAnsi="宋体" w:eastAsia="宋体" w:cs="Times New Roman"/>
          <w:color w:val="000000"/>
          <w:kern w:val="2"/>
          <w:sz w:val="21"/>
          <w:szCs w:val="24"/>
          <w:lang w:val="zh-CN" w:eastAsia="zh-CN" w:bidi="ar-SA"/>
        </w:rPr>
        <w:t>本项目要求提供相应的服务方案，同时就项目确定一名项目负责人进行防治工作跟进，以及与采购人进行沟通便于后期质量评定及验收。投标人须配有专业的白蚁预防施工机械设备，服务作业人员能够熟练操作相关设备。成交供应商在实施白蚁防治施药期间，</w:t>
      </w:r>
      <w:r>
        <w:rPr>
          <w:rFonts w:hint="eastAsia" w:ascii="宋体" w:hAnsi="宋体" w:eastAsia="宋体" w:cs="Times New Roman"/>
          <w:color w:val="000000"/>
          <w:kern w:val="2"/>
          <w:sz w:val="21"/>
          <w:szCs w:val="24"/>
          <w:lang w:val="en-US" w:eastAsia="zh-CN" w:bidi="ar-SA"/>
        </w:rPr>
        <w:t>使用药剂由采购人提供，使用</w:t>
      </w:r>
      <w:r>
        <w:rPr>
          <w:rFonts w:hint="eastAsia" w:ascii="宋体" w:hAnsi="宋体" w:eastAsia="宋体" w:cs="Times New Roman"/>
          <w:color w:val="000000"/>
          <w:kern w:val="2"/>
          <w:sz w:val="21"/>
          <w:szCs w:val="24"/>
          <w:lang w:val="zh-CN" w:eastAsia="zh-CN" w:bidi="ar-SA"/>
        </w:rPr>
        <w:t>药剂</w:t>
      </w:r>
      <w:r>
        <w:rPr>
          <w:rFonts w:hint="eastAsia" w:ascii="宋体" w:hAnsi="宋体" w:eastAsia="宋体" w:cs="Times New Roman"/>
          <w:color w:val="000000"/>
          <w:kern w:val="2"/>
          <w:sz w:val="21"/>
          <w:szCs w:val="24"/>
          <w:lang w:val="en-US" w:eastAsia="zh-CN" w:bidi="ar-SA"/>
        </w:rPr>
        <w:t>应通知采购人</w:t>
      </w:r>
      <w:r>
        <w:rPr>
          <w:rFonts w:hint="eastAsia" w:ascii="宋体" w:hAnsi="宋体" w:eastAsia="宋体" w:cs="Times New Roman"/>
          <w:color w:val="000000"/>
          <w:kern w:val="2"/>
          <w:sz w:val="21"/>
          <w:szCs w:val="24"/>
          <w:lang w:val="zh-CN" w:eastAsia="zh-CN" w:bidi="ar-SA"/>
        </w:rPr>
        <w:t>进行检查及登记。</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4.2）</w:t>
      </w:r>
      <w:r>
        <w:rPr>
          <w:rFonts w:hint="eastAsia" w:ascii="宋体" w:hAnsi="宋体" w:eastAsia="宋体" w:cs="Times New Roman"/>
          <w:color w:val="000000"/>
          <w:kern w:val="2"/>
          <w:sz w:val="21"/>
          <w:szCs w:val="24"/>
          <w:lang w:val="zh-CN" w:eastAsia="zh-CN" w:bidi="ar-SA"/>
        </w:rPr>
        <w:t>日常管理工作中，现场管理人员如发现蚁害的，在接到采购人书面通知或电话通知后，24 小时内安排人员进行消杀防治。</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4.3）</w:t>
      </w:r>
      <w:r>
        <w:rPr>
          <w:rFonts w:hint="eastAsia" w:ascii="宋体" w:hAnsi="宋体" w:eastAsia="宋体" w:cs="Times New Roman"/>
          <w:color w:val="000000"/>
          <w:kern w:val="2"/>
          <w:sz w:val="21"/>
          <w:szCs w:val="24"/>
          <w:lang w:val="zh-CN" w:eastAsia="zh-CN" w:bidi="ar-SA"/>
        </w:rPr>
        <w:t>成交供应商未能达到技术服务方案所约定的服务目标，采购人有权要求成交供应商限期整改，逾期未整改的，采购人有权终止合同。若是在防治有效期限内出现严重的、明显的蚁害，采购人限期要求整改而逾期未整改的或整改不见效果，导致采购人经济损失的，成交供应商应承担赔偿责任。</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4.4）</w:t>
      </w:r>
      <w:r>
        <w:rPr>
          <w:rFonts w:hint="eastAsia" w:ascii="宋体" w:hAnsi="宋体" w:eastAsia="宋体" w:cs="Times New Roman"/>
          <w:color w:val="000000"/>
          <w:kern w:val="2"/>
          <w:sz w:val="21"/>
          <w:szCs w:val="24"/>
          <w:lang w:val="zh-CN" w:eastAsia="zh-CN" w:bidi="ar-SA"/>
        </w:rPr>
        <w:t>成交供应商在防治过程中必须严格执行技术服务方案、安全操作规程、做好环境保护，不乱洒、乱喷药剂，做好各项巡检质量登记归档。</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4.5）</w:t>
      </w:r>
      <w:r>
        <w:rPr>
          <w:rFonts w:hint="eastAsia" w:ascii="宋体" w:hAnsi="宋体" w:eastAsia="宋体" w:cs="Times New Roman"/>
          <w:color w:val="000000"/>
          <w:kern w:val="2"/>
          <w:sz w:val="21"/>
          <w:szCs w:val="24"/>
          <w:lang w:val="zh-CN" w:eastAsia="zh-CN" w:bidi="ar-SA"/>
        </w:rPr>
        <w:t>成交供应商必须保证日常业务人员的稳定性，用于日常联系安排消杀服务，以便联系。对防治工作表现不好或不听进现场管理人员劝阻、不配合现场指引工作的人员，采购人可以要求成交供应商更换人员。</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4.6）</w:t>
      </w:r>
      <w:r>
        <w:rPr>
          <w:rFonts w:hint="eastAsia" w:ascii="宋体" w:hAnsi="宋体" w:eastAsia="宋体" w:cs="Times New Roman"/>
          <w:color w:val="000000"/>
          <w:kern w:val="2"/>
          <w:sz w:val="21"/>
          <w:szCs w:val="24"/>
          <w:lang w:val="zh-CN" w:eastAsia="zh-CN" w:bidi="ar-SA"/>
        </w:rPr>
        <w:t>成交供应商必须按法律、法规及有关政策规定为员工购买社会养老、工伤、医疗、失业、意外等保险。若供应商存在克扣工人工资、加班费、福利费，不给工人购买社会养老、工伤、医疗失业保险等违法违规行为的， 采购人有权扣减供应商相应服务费，因成交供应商劳资矛盾并影响作业质量的，采购人有权终止合同。</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4.7）</w:t>
      </w:r>
      <w:r>
        <w:rPr>
          <w:rFonts w:hint="eastAsia" w:ascii="宋体" w:hAnsi="宋体" w:eastAsia="宋体" w:cs="Times New Roman"/>
          <w:color w:val="000000"/>
          <w:kern w:val="2"/>
          <w:sz w:val="21"/>
          <w:szCs w:val="24"/>
          <w:lang w:val="zh-CN" w:eastAsia="zh-CN" w:bidi="ar-SA"/>
        </w:rPr>
        <w:t>服务期间，成交供应商须做好工作人员所需要的安全教育及安全措施，保证工作人员的安全。成交供应商工作人员在作业期间，发生自身的人身伤害、伤亡及违反国家相关法律法规的行为均由成交供应商负责，采购人不承担任何责任。</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4.8）</w:t>
      </w:r>
      <w:r>
        <w:rPr>
          <w:rFonts w:hint="eastAsia" w:ascii="宋体" w:hAnsi="宋体" w:eastAsia="宋体" w:cs="Times New Roman"/>
          <w:color w:val="000000"/>
          <w:kern w:val="2"/>
          <w:sz w:val="21"/>
          <w:szCs w:val="24"/>
          <w:lang w:val="zh-CN" w:eastAsia="zh-CN" w:bidi="ar-SA"/>
        </w:rPr>
        <w:t>如供应商按采购人要求的数量配置人员及设备，采购人仍认为不足以满足服务本项目需要的，供应商必须及时无条件増加人员及设备，确保本项目开展的效率和质量。供应商未按要求配备工作人员和设备，采购人要求供应商整改达 3 次以上（含 3 次），仍未达到合同要求的，采购人有权终止合同。每下发一次整改通知，扣除本项目当月服务费用的 5%。</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4.9）</w:t>
      </w:r>
      <w:r>
        <w:rPr>
          <w:rFonts w:hint="eastAsia" w:ascii="宋体" w:hAnsi="宋体" w:eastAsia="宋体" w:cs="Times New Roman"/>
          <w:color w:val="000000"/>
          <w:kern w:val="2"/>
          <w:sz w:val="21"/>
          <w:szCs w:val="24"/>
          <w:lang w:val="zh-CN" w:eastAsia="zh-CN" w:bidi="ar-SA"/>
        </w:rPr>
        <w:t>供应商必须按药物说明规定比例配制防治药物，不达要求的，采购人视为无效药品不纳入防治</w:t>
      </w:r>
      <w:r>
        <w:rPr>
          <w:rFonts w:hint="eastAsia" w:ascii="宋体" w:hAnsi="宋体" w:eastAsia="宋体" w:cs="Times New Roman"/>
          <w:color w:val="000000"/>
          <w:kern w:val="2"/>
          <w:sz w:val="21"/>
          <w:szCs w:val="24"/>
          <w:lang w:val="en-US" w:eastAsia="zh-CN" w:bidi="ar-SA"/>
        </w:rPr>
        <w:t>面积</w:t>
      </w:r>
      <w:r>
        <w:rPr>
          <w:rFonts w:hint="eastAsia" w:ascii="宋体" w:hAnsi="宋体" w:eastAsia="宋体" w:cs="Times New Roman"/>
          <w:color w:val="000000"/>
          <w:kern w:val="2"/>
          <w:sz w:val="21"/>
          <w:szCs w:val="24"/>
          <w:lang w:val="zh-CN" w:eastAsia="zh-CN" w:bidi="ar-SA"/>
        </w:rPr>
        <w:t>并根据管理办法作出处理。</w:t>
      </w:r>
    </w:p>
    <w:p>
      <w:pPr>
        <w:pStyle w:val="14"/>
        <w:numPr>
          <w:ilvl w:val="0"/>
          <w:numId w:val="0"/>
        </w:numPr>
        <w:tabs>
          <w:tab w:val="left" w:pos="925"/>
          <w:tab w:val="left" w:pos="926"/>
        </w:tabs>
        <w:spacing w:before="91"/>
        <w:ind w:leftChars="200"/>
        <w:rPr>
          <w:rFonts w:hint="eastAsia" w:ascii="宋体" w:hAnsi="宋体" w:eastAsia="宋体" w:cs="宋体"/>
          <w:spacing w:val="-2"/>
          <w:lang w:val="zh-CN"/>
        </w:rPr>
      </w:pPr>
      <w:r>
        <w:rPr>
          <w:rFonts w:hint="eastAsia" w:ascii="宋体" w:hAnsi="宋体" w:eastAsia="宋体" w:cs="Times New Roman"/>
          <w:color w:val="000000"/>
          <w:kern w:val="2"/>
          <w:sz w:val="21"/>
          <w:szCs w:val="24"/>
          <w:lang w:val="en-US" w:eastAsia="zh-CN" w:bidi="ar-SA"/>
        </w:rPr>
        <w:t>4.10）</w:t>
      </w:r>
      <w:r>
        <w:rPr>
          <w:rFonts w:hint="eastAsia" w:ascii="宋体" w:hAnsi="宋体" w:eastAsia="宋体" w:cs="Times New Roman"/>
          <w:color w:val="000000"/>
          <w:kern w:val="2"/>
          <w:sz w:val="21"/>
          <w:szCs w:val="24"/>
          <w:lang w:val="zh-CN" w:eastAsia="zh-CN" w:bidi="ar-SA"/>
        </w:rPr>
        <w:t>服务期间，成交供应商工作人员须接受采购人的业务指导与监督。如特殊气候或临时要求需要突击性完成工作任务时，成交供应商应服从采购方指挥，并按采购人要求増加人力或延长工作时间以保证工作按质按量按时完成。因特殊需要进行额外应急</w:t>
      </w:r>
      <w:r>
        <w:rPr>
          <w:rFonts w:hint="eastAsia" w:ascii="宋体" w:hAnsi="宋体" w:eastAsia="宋体" w:cs="宋体"/>
          <w:spacing w:val="-2"/>
          <w:lang w:val="zh-CN"/>
        </w:rPr>
        <w:t>消杀的，供应商负责全部费用。</w:t>
      </w:r>
    </w:p>
    <w:p>
      <w:pPr>
        <w:pStyle w:val="14"/>
        <w:numPr>
          <w:ilvl w:val="0"/>
          <w:numId w:val="0"/>
        </w:numPr>
        <w:tabs>
          <w:tab w:val="left" w:pos="926"/>
        </w:tabs>
        <w:spacing w:line="321" w:lineRule="auto"/>
        <w:ind w:leftChars="200" w:right="1413" w:rightChars="0"/>
        <w:jc w:val="both"/>
        <w:rPr>
          <w:rFonts w:hint="eastAsia" w:ascii="宋体" w:hAnsi="宋体" w:eastAsia="宋体" w:cs="宋体"/>
          <w:spacing w:val="-2"/>
          <w:lang w:val="zh-CN"/>
        </w:rPr>
      </w:pPr>
    </w:p>
    <w:p>
      <w:pPr>
        <w:pStyle w:val="7"/>
        <w:tabs>
          <w:tab w:val="left" w:pos="567"/>
        </w:tabs>
        <w:spacing w:before="98"/>
        <w:ind w:left="298"/>
        <w:rPr>
          <w:rFonts w:hint="eastAsia" w:ascii="宋体" w:hAnsi="宋体" w:eastAsia="宋体" w:cs="宋体"/>
          <w:b/>
          <w:bCs/>
          <w:color w:val="000000"/>
          <w:kern w:val="2"/>
          <w:sz w:val="21"/>
          <w:szCs w:val="21"/>
          <w:lang w:val="zh-CN" w:eastAsia="zh-CN" w:bidi="ar-SA"/>
        </w:rPr>
      </w:pPr>
      <w:bookmarkStart w:id="0" w:name="（三）、__其他要求及说明"/>
      <w:bookmarkEnd w:id="0"/>
    </w:p>
    <w:p>
      <w:pPr>
        <w:pStyle w:val="7"/>
        <w:tabs>
          <w:tab w:val="left" w:pos="567"/>
        </w:tabs>
        <w:spacing w:before="98"/>
        <w:ind w:left="298"/>
        <w:rPr>
          <w:rFonts w:hint="eastAsia" w:ascii="宋体" w:hAnsi="宋体" w:eastAsia="宋体" w:cs="宋体"/>
          <w:b/>
          <w:bCs/>
          <w:color w:val="000000"/>
          <w:kern w:val="2"/>
          <w:sz w:val="21"/>
          <w:szCs w:val="21"/>
          <w:lang w:val="zh-CN" w:eastAsia="zh-CN" w:bidi="ar-SA"/>
        </w:rPr>
      </w:pPr>
    </w:p>
    <w:p>
      <w:pPr>
        <w:pStyle w:val="7"/>
        <w:tabs>
          <w:tab w:val="left" w:pos="567"/>
        </w:tabs>
        <w:spacing w:before="98"/>
        <w:ind w:left="298"/>
        <w:rPr>
          <w:rFonts w:hint="eastAsia" w:ascii="宋体" w:hAnsi="宋体" w:eastAsia="宋体" w:cs="宋体"/>
          <w:b/>
          <w:bCs/>
          <w:color w:val="000000"/>
          <w:kern w:val="2"/>
          <w:sz w:val="21"/>
          <w:szCs w:val="21"/>
          <w:lang w:val="zh-CN" w:eastAsia="zh-CN" w:bidi="ar-SA"/>
        </w:rPr>
      </w:pPr>
      <w:r>
        <w:rPr>
          <w:rFonts w:hint="eastAsia" w:ascii="宋体" w:hAnsi="宋体" w:eastAsia="宋体" w:cs="宋体"/>
          <w:b/>
          <w:bCs/>
          <w:color w:val="000000"/>
          <w:kern w:val="2"/>
          <w:sz w:val="21"/>
          <w:szCs w:val="21"/>
          <w:lang w:val="zh-CN" w:eastAsia="zh-CN" w:bidi="ar-SA"/>
        </w:rPr>
        <w:t>（</w:t>
      </w:r>
      <w:r>
        <w:rPr>
          <w:rFonts w:hint="eastAsia" w:ascii="宋体" w:hAnsi="宋体" w:eastAsia="宋体" w:cs="宋体"/>
          <w:b/>
          <w:bCs/>
          <w:color w:val="000000"/>
          <w:kern w:val="2"/>
          <w:sz w:val="21"/>
          <w:szCs w:val="21"/>
          <w:lang w:val="en-US" w:eastAsia="zh-CN" w:bidi="ar-SA"/>
        </w:rPr>
        <w:t>五</w:t>
      </w:r>
      <w:r>
        <w:rPr>
          <w:rFonts w:hint="eastAsia" w:ascii="宋体" w:hAnsi="宋体" w:eastAsia="宋体" w:cs="宋体"/>
          <w:b/>
          <w:bCs/>
          <w:color w:val="000000"/>
          <w:kern w:val="2"/>
          <w:sz w:val="21"/>
          <w:szCs w:val="21"/>
          <w:lang w:val="zh-CN" w:eastAsia="zh-CN" w:bidi="ar-SA"/>
        </w:rPr>
        <w:t>）其他要求及说明</w:t>
      </w:r>
    </w:p>
    <w:p>
      <w:pPr>
        <w:pStyle w:val="6"/>
        <w:numPr>
          <w:ilvl w:val="0"/>
          <w:numId w:val="0"/>
        </w:numPr>
        <w:tabs>
          <w:tab w:val="left" w:pos="927"/>
          <w:tab w:val="left" w:pos="928"/>
        </w:tabs>
        <w:spacing w:before="91"/>
        <w:ind w:left="300" w:leftChars="0"/>
        <w:rPr>
          <w:rFonts w:hint="eastAsia" w:ascii="宋体" w:hAnsi="宋体" w:eastAsia="宋体" w:cs="宋体"/>
        </w:rPr>
      </w:pPr>
      <w:r>
        <w:rPr>
          <w:rFonts w:hint="eastAsia" w:eastAsia="宋体" w:cs="宋体"/>
          <w:lang w:val="en-US" w:eastAsia="zh-CN"/>
        </w:rPr>
        <w:t>1）</w:t>
      </w:r>
      <w:r>
        <w:rPr>
          <w:rFonts w:hint="eastAsia" w:ascii="宋体" w:hAnsi="宋体" w:eastAsia="宋体" w:cs="宋体"/>
        </w:rPr>
        <w:t>交货时间及地点</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1.1）交货时间：服务期自合同签订之日起6个月，其中交货期 7 日历天。</w:t>
      </w:r>
      <w:r>
        <w:rPr>
          <w:rFonts w:hint="eastAsia" w:ascii="宋体" w:hAnsi="宋体" w:eastAsia="宋体" w:cs="Times New Roman"/>
          <w:color w:val="000000"/>
          <w:kern w:val="2"/>
          <w:sz w:val="21"/>
          <w:szCs w:val="24"/>
          <w:lang w:val="en-US" w:eastAsia="zh-CN" w:bidi="ar-SA"/>
        </w:rPr>
        <w:br w:type="textWrapping"/>
      </w:r>
      <w:r>
        <w:rPr>
          <w:rFonts w:hint="eastAsia" w:ascii="宋体" w:hAnsi="宋体" w:eastAsia="宋体" w:cs="Times New Roman"/>
          <w:color w:val="000000"/>
          <w:kern w:val="2"/>
          <w:sz w:val="21"/>
          <w:szCs w:val="24"/>
          <w:lang w:val="en-US" w:eastAsia="zh-CN" w:bidi="ar-SA"/>
        </w:rPr>
        <w:t>1.2）交货地点：采购人指定地点</w:t>
      </w:r>
    </w:p>
    <w:p>
      <w:pPr>
        <w:pStyle w:val="6"/>
        <w:numPr>
          <w:ilvl w:val="0"/>
          <w:numId w:val="0"/>
        </w:numPr>
        <w:tabs>
          <w:tab w:val="left" w:pos="927"/>
          <w:tab w:val="left" w:pos="928"/>
        </w:tabs>
        <w:spacing w:before="91"/>
        <w:ind w:left="300" w:left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w:t>
      </w:r>
      <w:r>
        <w:rPr>
          <w:rFonts w:hint="eastAsia" w:eastAsia="宋体" w:cs="Times New Roman"/>
          <w:color w:val="000000"/>
          <w:kern w:val="2"/>
          <w:sz w:val="21"/>
          <w:szCs w:val="24"/>
          <w:lang w:val="en-US" w:eastAsia="zh-CN" w:bidi="ar-SA"/>
        </w:rPr>
        <w:t>）</w:t>
      </w:r>
      <w:r>
        <w:rPr>
          <w:rFonts w:hint="eastAsia" w:ascii="宋体" w:hAnsi="宋体" w:eastAsia="宋体" w:cs="Times New Roman"/>
          <w:color w:val="000000"/>
          <w:kern w:val="2"/>
          <w:sz w:val="21"/>
          <w:szCs w:val="24"/>
          <w:lang w:val="en-US" w:eastAsia="zh-CN" w:bidi="ar-SA"/>
        </w:rPr>
        <w:t>结算方法</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2.1）</w:t>
      </w:r>
      <w:r>
        <w:rPr>
          <w:rFonts w:hint="eastAsia" w:ascii="宋体" w:hAnsi="宋体" w:eastAsia="宋体" w:cs="Times New Roman"/>
          <w:color w:val="000000"/>
          <w:kern w:val="2"/>
          <w:sz w:val="21"/>
          <w:szCs w:val="24"/>
          <w:lang w:val="zh-CN" w:eastAsia="zh-CN" w:bidi="ar-SA"/>
        </w:rPr>
        <w:t>支</w:t>
      </w:r>
      <w:r>
        <w:rPr>
          <w:rFonts w:hint="eastAsia" w:ascii="宋体" w:hAnsi="宋体" w:eastAsia="宋体" w:cs="Times New Roman"/>
          <w:color w:val="000000"/>
          <w:kern w:val="2"/>
          <w:sz w:val="21"/>
          <w:szCs w:val="24"/>
          <w:lang w:val="en-US" w:eastAsia="zh-CN" w:bidi="ar-SA"/>
        </w:rPr>
        <w:t>付方式：通过国库集中支付；</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2.2）</w:t>
      </w:r>
      <w:r>
        <w:rPr>
          <w:rFonts w:hint="eastAsia" w:ascii="宋体" w:hAnsi="宋体" w:eastAsia="宋体" w:cs="Times New Roman"/>
          <w:color w:val="000000"/>
          <w:kern w:val="2"/>
          <w:sz w:val="21"/>
          <w:szCs w:val="24"/>
          <w:lang w:val="zh-CN" w:eastAsia="zh-CN" w:bidi="ar-SA"/>
        </w:rPr>
        <w:t>付款方式：货到验收合格后凭正式发票三个月内一次性付清；</w:t>
      </w:r>
      <w:r>
        <w:rPr>
          <w:rFonts w:hint="eastAsia" w:ascii="宋体" w:hAnsi="宋体" w:eastAsia="宋体" w:cs="Times New Roman"/>
          <w:color w:val="000000"/>
          <w:kern w:val="2"/>
          <w:sz w:val="21"/>
          <w:szCs w:val="24"/>
          <w:lang w:val="en-US" w:eastAsia="zh-CN" w:bidi="ar-SA"/>
        </w:rPr>
        <w:t>防治服务据实结算，结算</w:t>
      </w:r>
    </w:p>
    <w:p>
      <w:pPr>
        <w:pStyle w:val="14"/>
        <w:numPr>
          <w:ilvl w:val="0"/>
          <w:numId w:val="0"/>
        </w:numPr>
        <w:tabs>
          <w:tab w:val="left" w:pos="925"/>
          <w:tab w:val="left" w:pos="926"/>
        </w:tabs>
        <w:spacing w:before="91"/>
        <w:ind w:leftChars="200"/>
        <w:rPr>
          <w:rFonts w:hint="eastAsia" w:ascii="宋体" w:hAnsi="宋体" w:eastAsia="宋体" w:cs="Times New Roman"/>
          <w:color w:val="000000"/>
          <w:kern w:val="2"/>
          <w:sz w:val="21"/>
          <w:szCs w:val="24"/>
          <w:lang w:val="zh-CN" w:eastAsia="zh-CN" w:bidi="ar-SA"/>
        </w:rPr>
      </w:pPr>
      <w:r>
        <w:rPr>
          <w:rFonts w:hint="eastAsia" w:ascii="宋体" w:hAnsi="宋体" w:eastAsia="宋体" w:cs="Times New Roman"/>
          <w:color w:val="000000"/>
          <w:kern w:val="2"/>
          <w:sz w:val="21"/>
          <w:szCs w:val="24"/>
          <w:lang w:val="en-US" w:eastAsia="zh-CN" w:bidi="ar-SA"/>
        </w:rPr>
        <w:t>标准：成交人综合单价（白蚁防治服务报价/50万平方米）*双方签证计量面积，但不超过合同价。</w:t>
      </w:r>
    </w:p>
    <w:p>
      <w:pPr>
        <w:pStyle w:val="6"/>
        <w:numPr>
          <w:ilvl w:val="0"/>
          <w:numId w:val="0"/>
        </w:numPr>
        <w:tabs>
          <w:tab w:val="left" w:pos="927"/>
          <w:tab w:val="left" w:pos="928"/>
        </w:tabs>
        <w:spacing w:before="91"/>
        <w:ind w:left="300" w:left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3</w:t>
      </w:r>
      <w:r>
        <w:rPr>
          <w:rFonts w:hint="eastAsia" w:eastAsia="宋体" w:cs="Times New Roman"/>
          <w:color w:val="000000"/>
          <w:kern w:val="2"/>
          <w:sz w:val="21"/>
          <w:szCs w:val="24"/>
          <w:lang w:val="en-US" w:eastAsia="zh-CN" w:bidi="ar-SA"/>
        </w:rPr>
        <w:t>）</w:t>
      </w:r>
      <w:r>
        <w:rPr>
          <w:rFonts w:hint="eastAsia" w:ascii="宋体" w:hAnsi="宋体" w:eastAsia="宋体" w:cs="Times New Roman"/>
          <w:color w:val="000000"/>
          <w:kern w:val="2"/>
          <w:sz w:val="21"/>
          <w:szCs w:val="24"/>
          <w:lang w:val="en-US" w:eastAsia="zh-CN" w:bidi="ar-SA"/>
        </w:rPr>
        <w:t>项目清单中的技术参数均为参考，投标人可以根据项目实际情况投更高档次的不同品牌。本项目采用费用包干方式建设，费用包含产品、运输保险保管、工具机械费、质保期免费保修维护、人工、管理、财务等所有费用， 如一旦成交，在项目实施中出现任何遗漏，均由成交人免费提供，采购人不再支付任何费用。</w:t>
      </w:r>
    </w:p>
    <w:p>
      <w:pPr>
        <w:pStyle w:val="13"/>
        <w:rPr>
          <w:rFonts w:cs="Times New Roman"/>
        </w:rPr>
      </w:pPr>
    </w:p>
    <w:p>
      <w:pPr>
        <w:pStyle w:val="13"/>
        <w:ind w:firstLine="480"/>
        <w:rPr>
          <w:rFonts w:ascii="宋体" w:hAnsi="宋体"/>
          <w:b/>
          <w:color w:val="000000"/>
        </w:rPr>
      </w:pPr>
      <w:r>
        <w:rPr>
          <w:rFonts w:hint="eastAsia" w:ascii="宋体" w:hAnsi="宋体"/>
          <w:b/>
          <w:color w:val="000000"/>
          <w:lang w:val="en-US" w:eastAsia="zh-CN"/>
        </w:rPr>
        <w:t>九</w:t>
      </w:r>
      <w:r>
        <w:rPr>
          <w:rFonts w:hint="eastAsia" w:ascii="宋体" w:hAnsi="宋体"/>
          <w:b/>
          <w:color w:val="000000"/>
        </w:rPr>
        <w:t>、验收：</w:t>
      </w:r>
    </w:p>
    <w:p>
      <w:pPr>
        <w:spacing w:line="360" w:lineRule="auto"/>
        <w:ind w:firstLine="420" w:firstLineChars="200"/>
        <w:rPr>
          <w:rFonts w:hint="eastAsia" w:ascii="宋体" w:hAnsi="宋体"/>
          <w:color w:val="000000"/>
        </w:rPr>
      </w:pPr>
      <w:r>
        <w:rPr>
          <w:rFonts w:hint="eastAsia" w:ascii="宋体" w:hAnsi="宋体"/>
          <w:color w:val="000000"/>
        </w:rPr>
        <w:t>成交人提供的货物必须是全新、原装、合格正品，完全符合国家规定的质量标准和厂方的标准。货物完好，配件齐全。成交人和采购人双方共同实施验收工作，结果和验收报告经双方确认后生效。若供应商所投产品经验收不符合询价文件要求，所产生的后果由供应商自行承担。</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ZTJlNTgxMTUwNGU5MzUyNTVjNmI2N2RlNjExOWMifQ=="/>
  </w:docVars>
  <w:rsids>
    <w:rsidRoot w:val="00000000"/>
    <w:rsid w:val="010C4B74"/>
    <w:rsid w:val="5618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5"/>
    <w:basedOn w:val="1"/>
    <w:next w:val="1"/>
    <w:qFormat/>
    <w:uiPriority w:val="1"/>
    <w:pPr>
      <w:ind w:left="398"/>
      <w:outlineLvl w:val="4"/>
    </w:pPr>
    <w:rPr>
      <w:rFonts w:ascii="仿宋" w:hAnsi="仿宋" w:eastAsia="仿宋" w:cs="仿宋"/>
      <w:b/>
      <w:bCs/>
      <w:sz w:val="28"/>
      <w:szCs w:val="28"/>
      <w:lang w:val="zh-CN" w:bidi="zh-CN"/>
    </w:rPr>
  </w:style>
  <w:style w:type="paragraph" w:styleId="6">
    <w:name w:val="heading 6"/>
    <w:basedOn w:val="1"/>
    <w:next w:val="1"/>
    <w:qFormat/>
    <w:uiPriority w:val="1"/>
    <w:pPr>
      <w:ind w:left="721"/>
      <w:outlineLvl w:val="5"/>
    </w:pPr>
    <w:rPr>
      <w:rFonts w:ascii="宋体" w:hAnsi="宋体" w:cs="宋体"/>
      <w:b/>
      <w:bCs/>
      <w:szCs w:val="21"/>
      <w:lang w:val="zh-CN" w:bidi="zh-CN"/>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4"/>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next w:val="8"/>
    <w:qFormat/>
    <w:uiPriority w:val="1"/>
    <w:rPr>
      <w:rFonts w:ascii="宋体" w:hAnsi="宋体" w:cs="宋体"/>
      <w:szCs w:val="21"/>
      <w:lang w:val="zh-CN" w:bidi="zh-CN"/>
    </w:rPr>
  </w:style>
  <w:style w:type="paragraph" w:styleId="8">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Table Paragraph"/>
    <w:basedOn w:val="1"/>
    <w:qFormat/>
    <w:uiPriority w:val="1"/>
    <w:rPr>
      <w:rFonts w:ascii="仿宋" w:hAnsi="仿宋" w:eastAsia="仿宋" w:cs="仿宋"/>
      <w:lang w:val="zh-CN" w:bidi="zh-CN"/>
    </w:rPr>
  </w:style>
  <w:style w:type="paragraph" w:customStyle="1" w:styleId="13">
    <w:name w:val="样式 首行缩进:  0 字符"/>
    <w:basedOn w:val="1"/>
    <w:qFormat/>
    <w:uiPriority w:val="0"/>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2735</Words>
  <Characters>2884</Characters>
  <Lines>0</Lines>
  <Paragraphs>0</Paragraphs>
  <TotalTime>0</TotalTime>
  <ScaleCrop>false</ScaleCrop>
  <LinksUpToDate>false</LinksUpToDate>
  <CharactersWithSpaces>3090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2021-11-10T04:37:00Z</dcterms:created>
  <dc:creator>admin</dc:creator>
  <cp:lastModifiedBy>Wang</cp:lastModifiedBy>
  <dcterms:modified xsi:type="dcterms:W3CDTF">2022-09-14T08:44:00Z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8A812036C6AA4B398A9E0C5FCFDD5CC4</vt:lpwstr>
  </property>
</Properties>
</file>