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37"/>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color w:val="auto"/>
          <w:sz w:val="24"/>
          <w:highlight w:val="none"/>
        </w:rPr>
        <w:t>。</w:t>
      </w:r>
    </w:p>
    <w:p>
      <w:pPr>
        <w:spacing w:line="360" w:lineRule="auto"/>
        <w:ind w:firstLine="437"/>
        <w:rPr>
          <w:rFonts w:asciiTheme="minorEastAsia" w:hAnsiTheme="minorEastAsia" w:eastAsiaTheme="minorEastAsia"/>
          <w:color w:val="auto"/>
          <w:sz w:val="24"/>
          <w:highlight w:val="none"/>
        </w:rPr>
      </w:pP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6" w:type="pct"/>
            <w:vAlign w:val="center"/>
          </w:tcPr>
          <w:p>
            <w:pPr>
              <w:pStyle w:val="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6" w:type="pct"/>
            <w:vAlign w:val="center"/>
          </w:tcPr>
          <w:p>
            <w:pPr>
              <w:pStyle w:val="6"/>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 分两次结算，具体结算时间由采购人按实际情况确定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6" w:type="pct"/>
            <w:vAlign w:val="center"/>
          </w:tcPr>
          <w:p>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安徽工商职业学院，采购人指定地点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pPr>
              <w:pStyle w:val="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6" w:type="pct"/>
            <w:vAlign w:val="center"/>
          </w:tcPr>
          <w:p>
            <w:pPr>
              <w:pStyle w:val="6"/>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eastAsia="zh-CN"/>
              </w:rPr>
              <w:t>合同期</w:t>
            </w:r>
            <w:r>
              <w:rPr>
                <w:rFonts w:hint="eastAsia" w:ascii="宋体" w:hAnsi="宋体" w:eastAsia="宋体"/>
                <w:b w:val="0"/>
                <w:color w:val="auto"/>
                <w:sz w:val="24"/>
                <w:highlight w:val="none"/>
                <w:u w:val="single"/>
              </w:rPr>
              <w:t xml:space="preserve">一年，在年度预算能保障的前提下，经双方同意后可以续签下一年度合同 ，续签最多不超2年。 </w:t>
            </w:r>
          </w:p>
        </w:tc>
      </w:tr>
    </w:tbl>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p>
    <w:p>
      <w:pPr>
        <w:spacing w:line="6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本项目包括安徽工商职业学院双凤校区、庐阳校区有害生物（蚊、蝇、蟑螂、老鼠等）的消杀及防治，具体内容见下表。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41"/>
        <w:gridCol w:w="815"/>
        <w:gridCol w:w="1362"/>
        <w:gridCol w:w="1200"/>
        <w:gridCol w:w="180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6"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41"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校区</w:t>
            </w:r>
          </w:p>
        </w:tc>
        <w:tc>
          <w:tcPr>
            <w:tcW w:w="815"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占地面积</w:t>
            </w:r>
          </w:p>
        </w:tc>
        <w:tc>
          <w:tcPr>
            <w:tcW w:w="1362"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区域名称</w:t>
            </w:r>
          </w:p>
        </w:tc>
        <w:tc>
          <w:tcPr>
            <w:tcW w:w="1200"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面积</w:t>
            </w:r>
          </w:p>
        </w:tc>
        <w:tc>
          <w:tcPr>
            <w:tcW w:w="1807"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消杀项目</w:t>
            </w:r>
          </w:p>
        </w:tc>
        <w:tc>
          <w:tcPr>
            <w:tcW w:w="1789" w:type="dxa"/>
            <w:vAlign w:val="center"/>
          </w:tcPr>
          <w:p>
            <w:pPr>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消杀周期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6" w:type="dxa"/>
            <w:vMerge w:val="restart"/>
            <w:vAlign w:val="center"/>
          </w:tcPr>
          <w:p>
            <w:pPr>
              <w:jc w:val="center"/>
              <w:rPr>
                <w:rFonts w:ascii="宋体" w:hAnsi="宋体" w:eastAsia="宋体" w:cs="宋体"/>
                <w:bCs/>
                <w:color w:val="auto"/>
                <w:sz w:val="24"/>
                <w:szCs w:val="24"/>
                <w:highlight w:val="none"/>
              </w:rPr>
            </w:pPr>
          </w:p>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jc w:val="center"/>
              <w:rPr>
                <w:rFonts w:ascii="宋体" w:hAnsi="宋体" w:eastAsia="宋体" w:cs="宋体"/>
                <w:bCs/>
                <w:color w:val="auto"/>
                <w:sz w:val="24"/>
                <w:szCs w:val="24"/>
                <w:highlight w:val="none"/>
              </w:rPr>
            </w:pPr>
          </w:p>
        </w:tc>
        <w:tc>
          <w:tcPr>
            <w:tcW w:w="841" w:type="dxa"/>
            <w:vMerge w:val="restart"/>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双凤校区</w:t>
            </w:r>
          </w:p>
        </w:tc>
        <w:tc>
          <w:tcPr>
            <w:tcW w:w="815" w:type="dxa"/>
            <w:vMerge w:val="restart"/>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387.69亩</w:t>
            </w: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学校食堂</w:t>
            </w:r>
          </w:p>
        </w:tc>
        <w:tc>
          <w:tcPr>
            <w:tcW w:w="1200"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22811m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全年不少于9次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6" w:type="dxa"/>
            <w:vMerge w:val="continue"/>
            <w:vAlign w:val="center"/>
          </w:tcPr>
          <w:p>
            <w:pPr>
              <w:jc w:val="center"/>
              <w:rPr>
                <w:rFonts w:ascii="宋体" w:hAnsi="宋体" w:eastAsia="宋体" w:cs="宋体"/>
                <w:bCs/>
                <w:color w:val="auto"/>
                <w:sz w:val="24"/>
                <w:szCs w:val="24"/>
                <w:highlight w:val="none"/>
              </w:rPr>
            </w:pPr>
          </w:p>
        </w:tc>
        <w:tc>
          <w:tcPr>
            <w:tcW w:w="841" w:type="dxa"/>
            <w:vMerge w:val="continue"/>
            <w:vAlign w:val="center"/>
          </w:tcPr>
          <w:p>
            <w:pPr>
              <w:jc w:val="center"/>
              <w:rPr>
                <w:rFonts w:ascii="宋体" w:hAnsi="宋体" w:eastAsia="宋体" w:cs="宋体"/>
                <w:bCs/>
                <w:color w:val="auto"/>
                <w:sz w:val="24"/>
                <w:szCs w:val="24"/>
                <w:highlight w:val="none"/>
              </w:rPr>
            </w:pPr>
          </w:p>
        </w:tc>
        <w:tc>
          <w:tcPr>
            <w:tcW w:w="815" w:type="dxa"/>
            <w:vMerge w:val="continue"/>
            <w:vAlign w:val="center"/>
          </w:tcPr>
          <w:p>
            <w:pPr>
              <w:jc w:val="center"/>
              <w:rPr>
                <w:rFonts w:ascii="宋体" w:hAnsi="宋体" w:eastAsia="宋体" w:cs="宋体"/>
                <w:bCs/>
                <w:color w:val="auto"/>
                <w:sz w:val="24"/>
                <w:szCs w:val="24"/>
                <w:highlight w:val="none"/>
              </w:rPr>
            </w:pP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学生公寓</w:t>
            </w:r>
          </w:p>
        </w:tc>
        <w:tc>
          <w:tcPr>
            <w:tcW w:w="1200"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107653m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全年4次</w:t>
            </w:r>
          </w:p>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（每学期2次）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6" w:type="dxa"/>
            <w:vMerge w:val="continue"/>
            <w:vAlign w:val="center"/>
          </w:tcPr>
          <w:p>
            <w:pPr>
              <w:jc w:val="center"/>
              <w:rPr>
                <w:rFonts w:ascii="宋体" w:hAnsi="宋体" w:eastAsia="宋体" w:cs="宋体"/>
                <w:bCs/>
                <w:color w:val="auto"/>
                <w:sz w:val="24"/>
                <w:szCs w:val="24"/>
                <w:highlight w:val="none"/>
              </w:rPr>
            </w:pPr>
          </w:p>
        </w:tc>
        <w:tc>
          <w:tcPr>
            <w:tcW w:w="841" w:type="dxa"/>
            <w:vMerge w:val="continue"/>
            <w:vAlign w:val="center"/>
          </w:tcPr>
          <w:p>
            <w:pPr>
              <w:jc w:val="center"/>
              <w:rPr>
                <w:rFonts w:ascii="宋体" w:hAnsi="宋体" w:eastAsia="宋体" w:cs="宋体"/>
                <w:bCs/>
                <w:color w:val="auto"/>
                <w:sz w:val="24"/>
                <w:szCs w:val="24"/>
                <w:highlight w:val="none"/>
              </w:rPr>
            </w:pPr>
          </w:p>
        </w:tc>
        <w:tc>
          <w:tcPr>
            <w:tcW w:w="815" w:type="dxa"/>
            <w:vMerge w:val="continue"/>
            <w:vAlign w:val="center"/>
          </w:tcPr>
          <w:p>
            <w:pPr>
              <w:jc w:val="center"/>
              <w:rPr>
                <w:rFonts w:ascii="宋体" w:hAnsi="宋体" w:eastAsia="宋体" w:cs="宋体"/>
                <w:bCs/>
                <w:color w:val="auto"/>
                <w:sz w:val="24"/>
                <w:szCs w:val="24"/>
                <w:highlight w:val="none"/>
              </w:rPr>
            </w:pP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教学楼、图书馆、实训楼、综合楼、垃圾房、地下车库及外围</w:t>
            </w:r>
          </w:p>
        </w:tc>
        <w:tc>
          <w:tcPr>
            <w:tcW w:w="1200"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90511m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鼠类、蟑螂，蝇类、蚊子</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全年6次</w:t>
            </w:r>
          </w:p>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（每年4-9月份）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vMerge w:val="restart"/>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41" w:type="dxa"/>
            <w:vMerge w:val="restart"/>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庐阳校区</w:t>
            </w:r>
          </w:p>
        </w:tc>
        <w:tc>
          <w:tcPr>
            <w:tcW w:w="815" w:type="dxa"/>
            <w:vMerge w:val="restart"/>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57.58亩</w:t>
            </w: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学校食堂</w:t>
            </w:r>
          </w:p>
        </w:tc>
        <w:tc>
          <w:tcPr>
            <w:tcW w:w="1200"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3409m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全年不少于9次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6" w:type="dxa"/>
            <w:vMerge w:val="continue"/>
            <w:vAlign w:val="center"/>
          </w:tcPr>
          <w:p>
            <w:pPr>
              <w:jc w:val="center"/>
              <w:rPr>
                <w:rFonts w:ascii="宋体" w:hAnsi="宋体" w:eastAsia="宋体" w:cs="宋体"/>
                <w:bCs/>
                <w:color w:val="auto"/>
                <w:sz w:val="24"/>
                <w:szCs w:val="24"/>
                <w:highlight w:val="none"/>
              </w:rPr>
            </w:pPr>
          </w:p>
        </w:tc>
        <w:tc>
          <w:tcPr>
            <w:tcW w:w="841" w:type="dxa"/>
            <w:vMerge w:val="continue"/>
            <w:vAlign w:val="center"/>
          </w:tcPr>
          <w:p>
            <w:pPr>
              <w:jc w:val="center"/>
              <w:rPr>
                <w:rFonts w:ascii="宋体" w:hAnsi="宋体" w:eastAsia="宋体" w:cs="宋体"/>
                <w:bCs/>
                <w:color w:val="auto"/>
                <w:sz w:val="24"/>
                <w:szCs w:val="24"/>
                <w:highlight w:val="none"/>
              </w:rPr>
            </w:pPr>
          </w:p>
        </w:tc>
        <w:tc>
          <w:tcPr>
            <w:tcW w:w="815" w:type="dxa"/>
            <w:vMerge w:val="continue"/>
            <w:vAlign w:val="center"/>
          </w:tcPr>
          <w:p>
            <w:pPr>
              <w:jc w:val="center"/>
              <w:rPr>
                <w:rFonts w:ascii="宋体" w:hAnsi="宋体" w:eastAsia="宋体" w:cs="宋体"/>
                <w:bCs/>
                <w:color w:val="auto"/>
                <w:sz w:val="24"/>
                <w:szCs w:val="24"/>
                <w:highlight w:val="none"/>
              </w:rPr>
            </w:pP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学生公寓</w:t>
            </w:r>
          </w:p>
        </w:tc>
        <w:tc>
          <w:tcPr>
            <w:tcW w:w="1200"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7072m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全年4次</w:t>
            </w:r>
          </w:p>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（每学期2次）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6" w:type="dxa"/>
            <w:vMerge w:val="continue"/>
            <w:vAlign w:val="center"/>
          </w:tcPr>
          <w:p>
            <w:pPr>
              <w:jc w:val="center"/>
              <w:rPr>
                <w:rFonts w:ascii="宋体" w:hAnsi="宋体" w:eastAsia="宋体" w:cs="宋体"/>
                <w:bCs/>
                <w:color w:val="auto"/>
                <w:sz w:val="24"/>
                <w:szCs w:val="24"/>
                <w:highlight w:val="none"/>
              </w:rPr>
            </w:pPr>
          </w:p>
        </w:tc>
        <w:tc>
          <w:tcPr>
            <w:tcW w:w="841" w:type="dxa"/>
            <w:vMerge w:val="continue"/>
            <w:vAlign w:val="center"/>
          </w:tcPr>
          <w:p>
            <w:pPr>
              <w:jc w:val="center"/>
              <w:rPr>
                <w:rFonts w:ascii="宋体" w:hAnsi="宋体" w:eastAsia="宋体" w:cs="宋体"/>
                <w:bCs/>
                <w:color w:val="auto"/>
                <w:sz w:val="24"/>
                <w:szCs w:val="24"/>
                <w:highlight w:val="none"/>
              </w:rPr>
            </w:pPr>
          </w:p>
        </w:tc>
        <w:tc>
          <w:tcPr>
            <w:tcW w:w="815" w:type="dxa"/>
            <w:vMerge w:val="continue"/>
            <w:vAlign w:val="center"/>
          </w:tcPr>
          <w:p>
            <w:pPr>
              <w:jc w:val="center"/>
              <w:rPr>
                <w:rFonts w:ascii="宋体" w:hAnsi="宋体" w:eastAsia="宋体" w:cs="宋体"/>
                <w:bCs/>
                <w:color w:val="auto"/>
                <w:sz w:val="24"/>
                <w:szCs w:val="24"/>
                <w:highlight w:val="none"/>
              </w:rPr>
            </w:pPr>
          </w:p>
        </w:tc>
        <w:tc>
          <w:tcPr>
            <w:tcW w:w="1362"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教学楼、图书馆及外围</w:t>
            </w:r>
          </w:p>
        </w:tc>
        <w:tc>
          <w:tcPr>
            <w:tcW w:w="1200" w:type="dxa"/>
            <w:vAlign w:val="center"/>
          </w:tcPr>
          <w:p>
            <w:pPr>
              <w:jc w:val="center"/>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6024m</w:t>
            </w:r>
            <w:r>
              <w:rPr>
                <w:rFonts w:hint="eastAsia" w:ascii="宋体" w:hAnsi="宋体" w:eastAsia="宋体" w:cs="宋体"/>
                <w:bCs/>
                <w:color w:val="auto"/>
                <w:kern w:val="0"/>
                <w:sz w:val="24"/>
                <w:szCs w:val="24"/>
                <w:highlight w:val="none"/>
                <w:vertAlign w:val="superscript"/>
              </w:rPr>
              <w:t>2</w:t>
            </w:r>
          </w:p>
        </w:tc>
        <w:tc>
          <w:tcPr>
            <w:tcW w:w="1807"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鼠类、蟑螂，蝇类、蚊子</w:t>
            </w:r>
          </w:p>
        </w:tc>
        <w:tc>
          <w:tcPr>
            <w:tcW w:w="178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全年6次</w:t>
            </w:r>
          </w:p>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（每年4-9月份）</w:t>
            </w:r>
          </w:p>
        </w:tc>
      </w:tr>
    </w:tbl>
    <w:p>
      <w:pPr>
        <w:rPr>
          <w:rFonts w:ascii="宋体" w:hAnsi="宋体" w:eastAsia="宋体" w:cs="宋体"/>
          <w:b/>
          <w:color w:val="auto"/>
          <w:sz w:val="24"/>
          <w:szCs w:val="24"/>
          <w:highlight w:val="none"/>
        </w:rPr>
      </w:pPr>
    </w:p>
    <w:p>
      <w:pPr>
        <w:spacing w:line="600" w:lineRule="exact"/>
        <w:ind w:firstLine="480" w:firstLineChars="200"/>
        <w:outlineLvl w:val="1"/>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三、其他要求：</w:t>
      </w:r>
    </w:p>
    <w:p>
      <w:pPr>
        <w:spacing w:line="6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（1）成交供应商需严格对防治工作所须药品及器械的提供方进行有效的审核，选用高效、低毒的杀虫剂并保证对人畜和环境的安全。</w:t>
      </w:r>
    </w:p>
    <w:p>
      <w:pPr>
        <w:spacing w:line="6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（2）成交供应商的员工须在专家的指导下接受定期的相关技术培训。</w:t>
      </w:r>
    </w:p>
    <w:p>
      <w:pPr>
        <w:spacing w:line="6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（3）作业现场由成交供应商主管及技术人员现场监督，确保服务质量和安全。</w:t>
      </w:r>
    </w:p>
    <w:p>
      <w:pPr>
        <w:spacing w:line="6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（4）成交供应商应完善档案管理、回访工作，使虫害、虫情时时得到有效监控。</w:t>
      </w:r>
    </w:p>
    <w:p>
      <w:pPr>
        <w:spacing w:line="360" w:lineRule="auto"/>
        <w:ind w:firstLine="437"/>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（5）成交供应商需定期对作业场所进行虫害密度、抗药性监测。并根据监测结果，随时调整作业方案，防治效果达到国家爱卫会规定标</w:t>
      </w:r>
      <w:r>
        <w:rPr>
          <w:rFonts w:hint="eastAsia" w:ascii="宋体" w:hAnsi="宋体" w:eastAsia="宋体" w:cs="宋体"/>
          <w:color w:val="auto"/>
          <w:sz w:val="24"/>
          <w:szCs w:val="24"/>
          <w:highlight w:val="none"/>
        </w:rPr>
        <w:t>准。</w:t>
      </w:r>
    </w:p>
    <w:p>
      <w:pPr>
        <w:spacing w:line="360" w:lineRule="auto"/>
        <w:ind w:firstLine="437"/>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四、报价要求</w:t>
      </w:r>
    </w:p>
    <w:p>
      <w:pPr>
        <w:spacing w:line="360" w:lineRule="auto"/>
        <w:ind w:firstLine="437"/>
        <w:rPr>
          <w:rFonts w:ascii="宋体" w:hAnsi="宋体" w:eastAsia="宋体" w:cs="宋体"/>
          <w:color w:val="auto"/>
          <w:sz w:val="24"/>
          <w:szCs w:val="24"/>
          <w:highlight w:val="none"/>
        </w:rPr>
      </w:pPr>
      <w:r>
        <w:rPr>
          <w:rFonts w:hint="eastAsia" w:ascii="宋体" w:hAnsi="宋体" w:eastAsia="宋体"/>
          <w:b/>
          <w:bCs/>
          <w:color w:val="auto"/>
          <w:sz w:val="24"/>
          <w:szCs w:val="18"/>
          <w:highlight w:val="none"/>
        </w:rPr>
        <w:t>本项目报总价，供应商的报价包含但不限于材料、安装、运输劳务、利润、税金、政策性文件规定及合同包含的所有风险、责任、义务等，即为完成磋商文件要求的供货内容所包含的一切应有费用，成交价一次性包死，采购人后期不再追加费用，供应商自行考虑风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D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2022-09-16T02:29:49Z</dcterms:created>
  <dc:creator>admin</dc:creator>
  <cp:lastModifiedBy>admin</cp:lastModifiedBy>
  <dcterms:modified xsi:type="dcterms:W3CDTF">2022-09-16T02:30:21Z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