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highlight w:val="none"/>
        </w:rPr>
      </w:pPr>
      <w:r>
        <w:rPr>
          <w:rFonts w:hint="default" w:ascii="Times New Roman" w:hAnsi="Times New Roman" w:cs="Times New Roman"/>
          <w:b/>
          <w:color w:val="auto"/>
          <w:kern w:val="0"/>
          <w:sz w:val="52"/>
          <w:szCs w:val="52"/>
          <w:highlight w:val="none"/>
        </w:rPr>
        <w:t>玉环市政府采购招标文件</w:t>
      </w:r>
    </w:p>
    <w:p>
      <w:pPr>
        <w:pStyle w:val="2"/>
        <w:rPr>
          <w:rFonts w:hint="default" w:ascii="Times New Roman" w:hAnsi="Times New Roman" w:cs="Times New Roman"/>
          <w:color w:val="auto"/>
          <w:kern w:val="0"/>
          <w:sz w:val="28"/>
          <w:highlight w:val="none"/>
        </w:rPr>
      </w:pPr>
    </w:p>
    <w:p>
      <w:pPr>
        <w:pStyle w:val="2"/>
        <w:rPr>
          <w:rFonts w:hint="default" w:ascii="Times New Roman" w:hAnsi="Times New Roman" w:cs="Times New Roman"/>
          <w:color w:val="auto"/>
          <w:kern w:val="0"/>
          <w:sz w:val="28"/>
          <w:highlight w:val="none"/>
        </w:rPr>
      </w:pPr>
    </w:p>
    <w:p>
      <w:pPr>
        <w:pStyle w:val="25"/>
        <w:rPr>
          <w:rFonts w:hint="default" w:ascii="Times New Roman" w:hAnsi="Times New Roman" w:cs="Times New Roman"/>
        </w:rPr>
      </w:pPr>
    </w:p>
    <w:p>
      <w:pPr>
        <w:pStyle w:val="21"/>
        <w:rPr>
          <w:rFonts w:hint="default"/>
        </w:rPr>
      </w:pPr>
    </w:p>
    <w:p>
      <w:pPr>
        <w:pStyle w:val="21"/>
        <w:rPr>
          <w:rFonts w:hint="default" w:ascii="Times New Roman" w:hAnsi="Times New Roman" w:cs="Times New Roman"/>
        </w:rPr>
      </w:pPr>
    </w:p>
    <w:p>
      <w:pPr>
        <w:rPr>
          <w:rFonts w:hint="default"/>
        </w:rPr>
      </w:pPr>
    </w:p>
    <w:p>
      <w:pPr>
        <w:pStyle w:val="21"/>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ascii="Times New Roman" w:hAnsi="Times New Roman" w:cs="Times New Roman"/>
        </w:rPr>
      </w:pPr>
    </w:p>
    <w:p>
      <w:pPr>
        <w:pStyle w:val="2"/>
        <w:rPr>
          <w:rFonts w:hint="default" w:ascii="Times New Roman" w:hAnsi="Times New Roman" w:cs="Times New Roman"/>
        </w:rPr>
      </w:pPr>
    </w:p>
    <w:p>
      <w:pPr>
        <w:autoSpaceDE w:val="0"/>
        <w:autoSpaceDN w:val="0"/>
        <w:adjustRightInd w:val="0"/>
        <w:spacing w:line="900" w:lineRule="exact"/>
        <w:ind w:left="0" w:leftChars="0" w:firstLine="637" w:firstLineChars="177"/>
        <w:rPr>
          <w:rFonts w:hint="default" w:ascii="Times New Roman" w:hAnsi="Times New Roman" w:eastAsia="宋体" w:cs="Times New Roman"/>
          <w:kern w:val="0"/>
          <w:sz w:val="36"/>
          <w:szCs w:val="36"/>
          <w:lang w:eastAsia="zh-CN"/>
        </w:rPr>
      </w:pPr>
      <w:r>
        <w:rPr>
          <w:rFonts w:hint="default" w:ascii="Times New Roman" w:hAnsi="Times New Roman" w:eastAsia="宋体" w:cs="Times New Roman"/>
          <w:kern w:val="0"/>
          <w:sz w:val="36"/>
          <w:szCs w:val="36"/>
        </w:rPr>
        <w:t>项目编号：</w:t>
      </w:r>
      <w:r>
        <w:rPr>
          <w:rFonts w:hint="default" w:ascii="Times New Roman" w:hAnsi="Times New Roman" w:eastAsia="宋体" w:cs="Times New Roman"/>
          <w:kern w:val="0"/>
          <w:sz w:val="36"/>
          <w:szCs w:val="36"/>
          <w:lang w:eastAsia="zh-CN"/>
        </w:rPr>
        <w:t>DDZX2022-Y-GK-05</w:t>
      </w:r>
    </w:p>
    <w:p>
      <w:pPr>
        <w:autoSpaceDE w:val="0"/>
        <w:autoSpaceDN w:val="0"/>
        <w:adjustRightInd w:val="0"/>
        <w:spacing w:line="900" w:lineRule="exact"/>
        <w:ind w:left="2438" w:leftChars="304" w:hanging="1800" w:hangingChars="500"/>
        <w:rPr>
          <w:rFonts w:hint="default" w:ascii="Times New Roman" w:hAnsi="Times New Roman" w:eastAsia="宋体" w:cs="Times New Roman"/>
          <w:color w:val="auto"/>
          <w:kern w:val="0"/>
          <w:sz w:val="32"/>
          <w:szCs w:val="32"/>
          <w:highlight w:val="none"/>
          <w:lang w:eastAsia="zh-CN"/>
        </w:rPr>
      </w:pPr>
      <w:r>
        <w:rPr>
          <w:rFonts w:hint="default" w:ascii="Times New Roman" w:hAnsi="Times New Roman" w:eastAsia="宋体" w:cs="Times New Roman"/>
          <w:kern w:val="0"/>
          <w:sz w:val="36"/>
          <w:szCs w:val="36"/>
        </w:rPr>
        <w:t>采购项目：</w:t>
      </w:r>
      <w:r>
        <w:rPr>
          <w:rFonts w:hint="default" w:ascii="Times New Roman" w:hAnsi="Times New Roman" w:cs="Times New Roman"/>
          <w:color w:val="auto"/>
          <w:kern w:val="0"/>
          <w:sz w:val="32"/>
          <w:szCs w:val="32"/>
          <w:highlight w:val="none"/>
          <w:lang w:eastAsia="zh-CN"/>
        </w:rPr>
        <w:t>玉环市水库、山塘大坝白蚁综合防治项目</w:t>
      </w:r>
    </w:p>
    <w:p>
      <w:pPr>
        <w:autoSpaceDE w:val="0"/>
        <w:autoSpaceDN w:val="0"/>
        <w:adjustRightInd w:val="0"/>
        <w:spacing w:line="900" w:lineRule="exact"/>
        <w:ind w:left="0" w:leftChars="0" w:firstLine="637" w:firstLineChars="177"/>
        <w:rPr>
          <w:rFonts w:hint="default" w:ascii="Times New Roman" w:hAnsi="Times New Roman" w:eastAsia="宋体" w:cs="Times New Roman"/>
          <w:kern w:val="0"/>
          <w:sz w:val="36"/>
          <w:szCs w:val="36"/>
          <w:lang w:eastAsia="zh-CN"/>
        </w:rPr>
      </w:pPr>
      <w:r>
        <w:rPr>
          <w:rFonts w:hint="default" w:ascii="Times New Roman" w:hAnsi="Times New Roman" w:eastAsia="宋体" w:cs="Times New Roman"/>
          <w:kern w:val="0"/>
          <w:sz w:val="36"/>
          <w:szCs w:val="36"/>
        </w:rPr>
        <w:t>采 购 人：</w:t>
      </w:r>
      <w:r>
        <w:rPr>
          <w:rFonts w:hint="default" w:ascii="Times New Roman" w:hAnsi="Times New Roman" w:eastAsia="宋体" w:cs="Times New Roman"/>
          <w:kern w:val="0"/>
          <w:sz w:val="36"/>
          <w:szCs w:val="36"/>
          <w:lang w:eastAsia="zh-CN"/>
        </w:rPr>
        <w:t>玉环市农业农村和水利局</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highlight w:val="none"/>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highlight w:val="none"/>
        </w:rPr>
      </w:pPr>
    </w:p>
    <w:p>
      <w:pPr>
        <w:pStyle w:val="2"/>
        <w:rPr>
          <w:rFonts w:hint="default" w:ascii="Times New Roman" w:hAnsi="Times New Roman" w:cs="Times New Roman"/>
        </w:rPr>
      </w:pPr>
    </w:p>
    <w:p>
      <w:pPr>
        <w:pStyle w:val="10"/>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rPr>
      </w:pPr>
    </w:p>
    <w:p>
      <w:pPr>
        <w:rPr>
          <w:rFonts w:hint="default"/>
        </w:rPr>
      </w:pPr>
    </w:p>
    <w:p>
      <w:pPr>
        <w:autoSpaceDE w:val="0"/>
        <w:autoSpaceDN w:val="0"/>
        <w:adjustRightInd w:val="0"/>
        <w:spacing w:line="760" w:lineRule="exact"/>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大地工程咨询有限公司</w:t>
      </w:r>
    </w:p>
    <w:p>
      <w:pPr>
        <w:autoSpaceDE w:val="0"/>
        <w:autoSpaceDN w:val="0"/>
        <w:adjustRightInd w:val="0"/>
        <w:spacing w:line="760" w:lineRule="exact"/>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二O二二年</w:t>
      </w:r>
      <w:r>
        <w:rPr>
          <w:rFonts w:hint="default" w:ascii="Times New Roman" w:hAnsi="Times New Roman" w:cs="Times New Roman"/>
          <w:color w:val="auto"/>
          <w:kern w:val="0"/>
          <w:sz w:val="36"/>
          <w:szCs w:val="36"/>
          <w:highlight w:val="none"/>
          <w:lang w:val="en-US" w:eastAsia="zh-CN"/>
        </w:rPr>
        <w:t>九</w:t>
      </w:r>
      <w:r>
        <w:rPr>
          <w:rFonts w:hint="default" w:ascii="Times New Roman" w:hAnsi="Times New Roman" w:cs="Times New Roman"/>
          <w:color w:val="auto"/>
          <w:kern w:val="0"/>
          <w:sz w:val="36"/>
          <w:szCs w:val="36"/>
          <w:highlight w:val="none"/>
        </w:rPr>
        <w:t>月</w:t>
      </w:r>
    </w:p>
    <w:p>
      <w:pPr>
        <w:pStyle w:val="11"/>
        <w:ind w:left="420" w:firstLine="704"/>
        <w:rPr>
          <w:rFonts w:hint="default" w:ascii="Times New Roman" w:hAnsi="Times New Roman" w:cs="Times New Roman"/>
          <w:color w:val="auto"/>
          <w:kern w:val="0"/>
          <w:sz w:val="36"/>
          <w:szCs w:val="36"/>
          <w:highlight w:val="none"/>
        </w:rPr>
      </w:pPr>
    </w:p>
    <w:p>
      <w:pPr>
        <w:jc w:val="center"/>
        <w:rPr>
          <w:rFonts w:hint="default" w:ascii="Times New Roman" w:hAnsi="Times New Roman" w:cs="Times New Roman"/>
          <w:b/>
          <w:bCs/>
          <w:color w:val="auto"/>
          <w:sz w:val="36"/>
          <w:szCs w:val="36"/>
          <w:highlight w:val="none"/>
        </w:rPr>
        <w:sectPr>
          <w:headerReference r:id="rId3" w:type="default"/>
          <w:footerReference r:id="rId4" w:type="default"/>
          <w:pgSz w:w="11906" w:h="16838"/>
          <w:pgMar w:top="1440" w:right="1800" w:bottom="1440" w:left="1800" w:header="1071" w:footer="992" w:gutter="0"/>
          <w:pgNumType w:start="0"/>
          <w:cols w:space="0" w:num="1"/>
          <w:titlePg/>
          <w:docGrid w:type="lines" w:linePitch="312" w:charSpace="0"/>
        </w:sectPr>
      </w:pPr>
    </w:p>
    <w:p>
      <w:pPr>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目    录</w:t>
      </w:r>
    </w:p>
    <w:p>
      <w:pPr>
        <w:spacing w:line="240" w:lineRule="exact"/>
        <w:jc w:val="center"/>
        <w:rPr>
          <w:rFonts w:hint="default" w:ascii="Times New Roman" w:hAnsi="Times New Roman" w:cs="Times New Roman"/>
          <w:b/>
          <w:bCs/>
          <w:color w:val="auto"/>
          <w:sz w:val="36"/>
          <w:szCs w:val="36"/>
          <w:highlight w:val="none"/>
        </w:rPr>
      </w:pP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投标人须知</w:t>
      </w: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公开招标需求</w:t>
      </w: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投标文件格式附件</w:t>
      </w: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第一章  公开</w:t>
      </w:r>
      <w:r>
        <w:rPr>
          <w:rFonts w:hint="default" w:ascii="Times New Roman" w:hAnsi="Times New Roman" w:cs="Times New Roman"/>
          <w:b/>
          <w:color w:val="auto"/>
          <w:sz w:val="28"/>
          <w:szCs w:val="28"/>
          <w:highlight w:val="none"/>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color w:val="auto"/>
          <w:kern w:val="0"/>
          <w:sz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516" w:type="dxa"/>
            <w:noWrap/>
          </w:tcPr>
          <w:p>
            <w:pPr>
              <w:pStyle w:val="22"/>
              <w:spacing w:before="75" w:beforeAutospacing="0" w:after="75" w:afterAutospacing="0" w:line="360" w:lineRule="exact"/>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项目概况</w:t>
            </w:r>
          </w:p>
          <w:p>
            <w:pPr>
              <w:pStyle w:val="22"/>
              <w:spacing w:before="75" w:beforeAutospacing="0" w:after="75" w:afterAutospacing="0" w:line="360" w:lineRule="exact"/>
              <w:ind w:firstLine="420" w:firstLineChars="2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highlight w:val="none"/>
                <w:u w:val="single"/>
                <w:lang w:eastAsia="zh-CN"/>
              </w:rPr>
              <w:t>玉环市水库、山塘大坝白蚁综合防治项目</w:t>
            </w:r>
            <w:r>
              <w:rPr>
                <w:rFonts w:hint="default" w:ascii="Times New Roman" w:hAnsi="Times New Roman" w:cs="Times New Roman"/>
                <w:color w:val="auto"/>
                <w:kern w:val="2"/>
                <w:sz w:val="21"/>
                <w:szCs w:val="21"/>
                <w:highlight w:val="none"/>
              </w:rPr>
              <w:t>招标项目的潜在投标人应在“政府采购云平台”（https://www.zcygov.cn/）免费获取（下载）招标文件，并于  2022年</w:t>
            </w:r>
            <w:r>
              <w:rPr>
                <w:rFonts w:hint="eastAsia" w:ascii="Times New Roman" w:hAnsi="Times New Roman" w:cs="Times New Roman"/>
                <w:color w:val="auto"/>
                <w:kern w:val="2"/>
                <w:sz w:val="21"/>
                <w:szCs w:val="21"/>
                <w:highlight w:val="none"/>
                <w:lang w:val="en-US" w:eastAsia="zh-CN"/>
              </w:rPr>
              <w:t>10</w:t>
            </w:r>
            <w:r>
              <w:rPr>
                <w:rFonts w:hint="default" w:ascii="Times New Roman" w:hAnsi="Times New Roman" w:cs="Times New Roman"/>
                <w:color w:val="auto"/>
                <w:kern w:val="2"/>
                <w:sz w:val="21"/>
                <w:szCs w:val="21"/>
                <w:highlight w:val="none"/>
                <w:lang w:val="en-US" w:eastAsia="zh-CN"/>
              </w:rPr>
              <w:t xml:space="preserve"> </w:t>
            </w:r>
            <w:r>
              <w:rPr>
                <w:rFonts w:hint="default" w:ascii="Times New Roman" w:hAnsi="Times New Roman" w:cs="Times New Roman"/>
                <w:color w:val="auto"/>
                <w:kern w:val="2"/>
                <w:sz w:val="21"/>
                <w:szCs w:val="21"/>
                <w:highlight w:val="none"/>
              </w:rPr>
              <w:t>月</w:t>
            </w:r>
            <w:r>
              <w:rPr>
                <w:rFonts w:hint="eastAsia" w:ascii="Times New Roman" w:hAnsi="Times New Roman" w:cs="Times New Roman"/>
                <w:color w:val="auto"/>
                <w:kern w:val="2"/>
                <w:sz w:val="21"/>
                <w:szCs w:val="21"/>
                <w:highlight w:val="none"/>
                <w:lang w:val="en-US" w:eastAsia="zh-CN"/>
              </w:rPr>
              <w:t>09</w:t>
            </w:r>
            <w:r>
              <w:rPr>
                <w:rFonts w:hint="default" w:ascii="Times New Roman" w:hAnsi="Times New Roman" w:cs="Times New Roman"/>
                <w:color w:val="auto"/>
                <w:kern w:val="2"/>
                <w:sz w:val="21"/>
                <w:szCs w:val="21"/>
                <w:highlight w:val="none"/>
              </w:rPr>
              <w:t>日</w:t>
            </w:r>
            <w:r>
              <w:rPr>
                <w:rFonts w:hint="eastAsia" w:ascii="Times New Roman" w:hAnsi="Times New Roman" w:cs="Times New Roman"/>
                <w:color w:val="auto"/>
                <w:kern w:val="2"/>
                <w:sz w:val="21"/>
                <w:szCs w:val="21"/>
                <w:highlight w:val="none"/>
                <w:lang w:val="en-US" w:eastAsia="zh-CN"/>
              </w:rPr>
              <w:t>14</w:t>
            </w:r>
            <w:r>
              <w:rPr>
                <w:rFonts w:hint="default" w:ascii="Times New Roman" w:hAnsi="Times New Roman" w:cs="Times New Roman"/>
                <w:color w:val="auto"/>
                <w:kern w:val="2"/>
                <w:sz w:val="21"/>
                <w:szCs w:val="21"/>
                <w:highlight w:val="none"/>
              </w:rPr>
              <w:t>:</w:t>
            </w:r>
            <w:r>
              <w:rPr>
                <w:rFonts w:hint="eastAsia" w:ascii="Times New Roman" w:hAnsi="Times New Roman" w:cs="Times New Roman"/>
                <w:color w:val="auto"/>
                <w:kern w:val="2"/>
                <w:sz w:val="21"/>
                <w:szCs w:val="21"/>
                <w:highlight w:val="none"/>
                <w:lang w:val="en-US" w:eastAsia="zh-CN"/>
              </w:rPr>
              <w:t>3</w:t>
            </w:r>
            <w:r>
              <w:rPr>
                <w:rFonts w:hint="default" w:ascii="Times New Roman" w:hAnsi="Times New Roman" w:cs="Times New Roman"/>
                <w:color w:val="auto"/>
                <w:kern w:val="2"/>
                <w:sz w:val="21"/>
                <w:szCs w:val="21"/>
                <w:highlight w:val="none"/>
              </w:rPr>
              <w:t>0 （北京时间）前递交（上传）投标文件。</w:t>
            </w:r>
          </w:p>
        </w:tc>
      </w:tr>
    </w:tbl>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color w:val="auto"/>
          <w:kern w:val="0"/>
          <w:sz w:val="24"/>
          <w:highlight w:val="none"/>
        </w:rPr>
      </w:pP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一、项目基本情况</w:t>
      </w:r>
      <w:r>
        <w:rPr>
          <w:rFonts w:hint="default" w:ascii="Times New Roman" w:hAnsi="Times New Roman" w:eastAsia="新宋体" w:cs="Times New Roman"/>
          <w:color w:val="auto"/>
          <w:sz w:val="21"/>
          <w:szCs w:val="21"/>
          <w:highlight w:val="none"/>
        </w:rPr>
        <w:t>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项目编号：</w:t>
      </w:r>
      <w:r>
        <w:rPr>
          <w:rFonts w:hint="default" w:ascii="Times New Roman" w:hAnsi="Times New Roman" w:eastAsia="新宋体" w:cs="Times New Roman"/>
          <w:color w:val="auto"/>
          <w:sz w:val="21"/>
          <w:szCs w:val="21"/>
          <w:highlight w:val="none"/>
          <w:lang w:eastAsia="zh-CN"/>
        </w:rPr>
        <w:t>DDZX2022-Y-GK-05</w:t>
      </w:r>
      <w:r>
        <w:rPr>
          <w:rFonts w:hint="default" w:ascii="Times New Roman" w:hAnsi="Times New Roman" w:eastAsia="新宋体" w:cs="Times New Roman"/>
          <w:color w:val="auto"/>
          <w:sz w:val="21"/>
          <w:szCs w:val="21"/>
          <w:highlight w:val="none"/>
        </w:rPr>
        <w:t>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项目名称：</w:t>
      </w:r>
      <w:r>
        <w:rPr>
          <w:rFonts w:hint="default" w:ascii="Times New Roman" w:hAnsi="Times New Roman" w:eastAsia="新宋体" w:cs="Times New Roman"/>
          <w:color w:val="auto"/>
          <w:sz w:val="21"/>
          <w:szCs w:val="21"/>
          <w:highlight w:val="none"/>
          <w:lang w:eastAsia="zh-CN"/>
        </w:rPr>
        <w:t>玉环市水库、山塘大坝白蚁综合防治项目</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预算金额（元）：</w:t>
      </w:r>
      <w:r>
        <w:rPr>
          <w:rFonts w:hint="default" w:ascii="Times New Roman" w:hAnsi="Times New Roman" w:eastAsia="新宋体" w:cs="Times New Roman"/>
          <w:color w:val="auto"/>
          <w:sz w:val="21"/>
          <w:szCs w:val="21"/>
          <w:highlight w:val="none"/>
          <w:lang w:val="en-US" w:eastAsia="zh-CN"/>
        </w:rPr>
        <w:t xml:space="preserve">350000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最高限价（元）：</w:t>
      </w:r>
      <w:r>
        <w:rPr>
          <w:rFonts w:hint="default" w:ascii="Times New Roman" w:hAnsi="Times New Roman" w:eastAsia="新宋体" w:cs="Times New Roman"/>
          <w:color w:val="auto"/>
          <w:sz w:val="21"/>
          <w:szCs w:val="21"/>
          <w:highlight w:val="none"/>
          <w:lang w:val="en-US" w:eastAsia="zh-CN"/>
        </w:rPr>
        <w:t xml:space="preserve">350000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采购需求：详见</w:t>
      </w:r>
      <w:r>
        <w:rPr>
          <w:rFonts w:hint="default" w:ascii="Times New Roman" w:hAnsi="Times New Roman" w:eastAsia="新宋体" w:cs="Times New Roman"/>
          <w:color w:val="auto"/>
          <w:sz w:val="21"/>
          <w:szCs w:val="21"/>
          <w:highlight w:val="none"/>
          <w:lang w:val="en-US" w:eastAsia="zh-CN"/>
        </w:rPr>
        <w:t>招标</w:t>
      </w:r>
      <w:r>
        <w:rPr>
          <w:rFonts w:hint="default" w:ascii="Times New Roman" w:hAnsi="Times New Roman" w:eastAsia="新宋体" w:cs="Times New Roman"/>
          <w:color w:val="auto"/>
          <w:sz w:val="21"/>
          <w:szCs w:val="21"/>
          <w:highlight w:val="none"/>
        </w:rPr>
        <w:t>文件</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标项一：</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标项名称：</w:t>
      </w:r>
      <w:r>
        <w:rPr>
          <w:rFonts w:hint="default" w:ascii="Times New Roman" w:hAnsi="Times New Roman" w:eastAsia="新宋体" w:cs="Times New Roman"/>
          <w:color w:val="auto"/>
          <w:sz w:val="21"/>
          <w:szCs w:val="21"/>
          <w:highlight w:val="none"/>
          <w:lang w:eastAsia="zh-CN"/>
        </w:rPr>
        <w:t>玉环市水库、山塘大坝白蚁综合防治项目</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数量：1</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预算金额（元）：</w:t>
      </w:r>
      <w:r>
        <w:rPr>
          <w:rFonts w:hint="default" w:ascii="Times New Roman" w:hAnsi="Times New Roman" w:eastAsia="新宋体" w:cs="Times New Roman"/>
          <w:color w:val="auto"/>
          <w:sz w:val="21"/>
          <w:szCs w:val="21"/>
          <w:highlight w:val="none"/>
          <w:lang w:val="en-US" w:eastAsia="zh-CN"/>
        </w:rPr>
        <w:t xml:space="preserve">350000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简要规格描述或项目基本概况介绍、用途：具体要求详见</w:t>
      </w:r>
      <w:r>
        <w:rPr>
          <w:rFonts w:hint="default" w:ascii="Times New Roman" w:hAnsi="Times New Roman" w:eastAsia="新宋体" w:cs="Times New Roman"/>
          <w:color w:val="auto"/>
          <w:sz w:val="21"/>
          <w:szCs w:val="21"/>
          <w:highlight w:val="none"/>
          <w:lang w:val="en-US" w:eastAsia="zh-CN"/>
        </w:rPr>
        <w:t>招标文件</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备注：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合同履约期限：</w:t>
      </w:r>
      <w:r>
        <w:rPr>
          <w:rFonts w:hint="default" w:ascii="Times New Roman" w:hAnsi="Times New Roman" w:eastAsia="新宋体" w:cs="Times New Roman"/>
          <w:color w:val="auto"/>
          <w:sz w:val="21"/>
          <w:szCs w:val="21"/>
          <w:highlight w:val="none"/>
          <w:lang w:val="en-US" w:eastAsia="zh-CN"/>
        </w:rPr>
        <w:t>标项1：详见招标文件</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本项目不接受联合体投标。</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二、申请人的资格要求</w:t>
      </w:r>
    </w:p>
    <w:p>
      <w:pPr>
        <w:pStyle w:val="22"/>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2"/>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2.落实政府采购政策需满足的资格要求：标项1：供应商为中小企业</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3.本项目的特定资格要求：</w:t>
      </w:r>
      <w:r>
        <w:rPr>
          <w:rFonts w:hint="default" w:ascii="Times New Roman" w:hAnsi="Times New Roman" w:eastAsia="新宋体" w:cs="Times New Roman"/>
          <w:color w:val="auto"/>
          <w:sz w:val="21"/>
          <w:szCs w:val="21"/>
          <w:highlight w:val="none"/>
          <w:lang w:val="en-US" w:eastAsia="zh-CN"/>
        </w:rPr>
        <w:t>标项1：无</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三、获取招标文件 </w:t>
      </w:r>
      <w:bookmarkStart w:id="112" w:name="_GoBack"/>
      <w:bookmarkEnd w:id="112"/>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时间：/至2022年</w:t>
      </w:r>
      <w:r>
        <w:rPr>
          <w:rFonts w:hint="eastAsia" w:ascii="Times New Roman" w:hAnsi="Times New Roman" w:eastAsia="新宋体" w:cs="Times New Roman"/>
          <w:color w:val="auto"/>
          <w:sz w:val="21"/>
          <w:szCs w:val="21"/>
          <w:highlight w:val="none"/>
          <w:lang w:val="en-US" w:eastAsia="zh-CN"/>
        </w:rPr>
        <w:t>10</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09</w:t>
      </w:r>
      <w:r>
        <w:rPr>
          <w:rFonts w:hint="default" w:ascii="Times New Roman" w:hAnsi="Times New Roman" w:eastAsia="新宋体" w:cs="Times New Roman"/>
          <w:color w:val="auto"/>
          <w:sz w:val="21"/>
          <w:szCs w:val="21"/>
          <w:highlight w:val="none"/>
        </w:rPr>
        <w:t>日 ，每天上午00:00至12:00 ，下午12:00至23:59（北京时间，线上获取法定节假日均可，线下获取文件法定节假日除外）</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地点（网址）：“政府采购云平台”（https://www.zcygov.cn/）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方式：本项目招标文件在“政府采购云平台”（https://www.zcygov.cn/）进行网上报名后可免费下载。投标人获取招标文件前应先完成“ 政府采购云平台”（https://www.zcygov.cn/）的账号注册。注：请投标人按上述要求获取招标文件，如未在“ 政府采购云平台”（https://www.zcygov.cn/）系统内完成相关流程，引起的投标无效责任自负。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售价（元）：0 </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四、提交投标文件截止时间、开标时间和地点</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提交投标文件截止时间：2022年</w:t>
      </w:r>
      <w:r>
        <w:rPr>
          <w:rFonts w:hint="eastAsia" w:ascii="Times New Roman" w:hAnsi="Times New Roman" w:eastAsia="新宋体" w:cs="Times New Roman"/>
          <w:color w:val="auto"/>
          <w:sz w:val="21"/>
          <w:szCs w:val="21"/>
          <w:highlight w:val="none"/>
          <w:lang w:val="en-US" w:eastAsia="zh-CN"/>
        </w:rPr>
        <w:t>10</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09</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eastAsia" w:ascii="Times New Roman" w:hAnsi="Times New Roman" w:eastAsia="新宋体" w:cs="Times New Roman"/>
          <w:color w:val="auto"/>
          <w:sz w:val="21"/>
          <w:szCs w:val="21"/>
          <w:highlight w:val="none"/>
          <w:lang w:val="en-US" w:eastAsia="zh-CN"/>
        </w:rPr>
        <w:t>3</w:t>
      </w:r>
      <w:r>
        <w:rPr>
          <w:rFonts w:hint="default" w:ascii="Times New Roman" w:hAnsi="Times New Roman" w:eastAsia="新宋体" w:cs="Times New Roman"/>
          <w:color w:val="auto"/>
          <w:sz w:val="21"/>
          <w:szCs w:val="21"/>
          <w:highlight w:val="none"/>
        </w:rPr>
        <w:t>0（北京时间）</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投标地点（网址）：电子投标文件上传到“政府采购云平台” （https://www.zcygov.cn/）</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开标时间：2022年</w:t>
      </w:r>
      <w:r>
        <w:rPr>
          <w:rFonts w:hint="eastAsia" w:ascii="Times New Roman" w:hAnsi="Times New Roman" w:eastAsia="新宋体" w:cs="Times New Roman"/>
          <w:color w:val="auto"/>
          <w:sz w:val="21"/>
          <w:szCs w:val="21"/>
          <w:highlight w:val="none"/>
          <w:lang w:val="en-US" w:eastAsia="zh-CN"/>
        </w:rPr>
        <w:t>10</w:t>
      </w:r>
      <w:r>
        <w:rPr>
          <w:rFonts w:hint="default" w:ascii="Times New Roman" w:hAnsi="Times New Roman" w:eastAsia="新宋体" w:cs="Times New Roman"/>
          <w:color w:val="auto"/>
          <w:sz w:val="21"/>
          <w:szCs w:val="21"/>
          <w:highlight w:val="none"/>
        </w:rPr>
        <w:t>月</w:t>
      </w:r>
      <w:r>
        <w:rPr>
          <w:rFonts w:hint="eastAsia" w:ascii="Times New Roman" w:hAnsi="Times New Roman" w:eastAsia="新宋体" w:cs="Times New Roman"/>
          <w:color w:val="auto"/>
          <w:sz w:val="21"/>
          <w:szCs w:val="21"/>
          <w:highlight w:val="none"/>
          <w:lang w:val="en-US" w:eastAsia="zh-CN"/>
        </w:rPr>
        <w:t>09</w:t>
      </w:r>
      <w:r>
        <w:rPr>
          <w:rFonts w:hint="default" w:ascii="Times New Roman" w:hAnsi="Times New Roman" w:eastAsia="新宋体" w:cs="Times New Roman"/>
          <w:color w:val="auto"/>
          <w:sz w:val="21"/>
          <w:szCs w:val="21"/>
          <w:highlight w:val="none"/>
        </w:rPr>
        <w:t xml:space="preserve">日 </w:t>
      </w:r>
      <w:r>
        <w:rPr>
          <w:rFonts w:hint="eastAsia" w:ascii="Times New Roman" w:hAnsi="Times New Roman" w:eastAsia="新宋体" w:cs="Times New Roman"/>
          <w:color w:val="auto"/>
          <w:sz w:val="21"/>
          <w:szCs w:val="21"/>
          <w:highlight w:val="none"/>
          <w:lang w:val="en-US" w:eastAsia="zh-CN"/>
        </w:rPr>
        <w:t>14</w:t>
      </w:r>
      <w:r>
        <w:rPr>
          <w:rFonts w:hint="default" w:ascii="Times New Roman" w:hAnsi="Times New Roman" w:eastAsia="新宋体" w:cs="Times New Roman"/>
          <w:color w:val="auto"/>
          <w:sz w:val="21"/>
          <w:szCs w:val="21"/>
          <w:highlight w:val="none"/>
        </w:rPr>
        <w:t>:</w:t>
      </w:r>
      <w:r>
        <w:rPr>
          <w:rFonts w:hint="eastAsia" w:ascii="Times New Roman" w:hAnsi="Times New Roman" w:eastAsia="新宋体" w:cs="Times New Roman"/>
          <w:color w:val="auto"/>
          <w:sz w:val="21"/>
          <w:szCs w:val="21"/>
          <w:highlight w:val="none"/>
          <w:lang w:val="en-US" w:eastAsia="zh-CN"/>
        </w:rPr>
        <w:t>3</w:t>
      </w:r>
      <w:r>
        <w:rPr>
          <w:rFonts w:hint="default" w:ascii="Times New Roman" w:hAnsi="Times New Roman" w:eastAsia="新宋体" w:cs="Times New Roman"/>
          <w:color w:val="auto"/>
          <w:sz w:val="21"/>
          <w:szCs w:val="21"/>
          <w:highlight w:val="none"/>
        </w:rPr>
        <w:t>0（北京时间）</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开标地点（网址）：“政府采购云平台” （https://www.zcygov.cn/）在线开标  </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五、公告期限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自本公告发布之日起5个工作日。</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lang w:val="en-US" w:eastAsia="zh-CN"/>
        </w:rPr>
      </w:pPr>
      <w:r>
        <w:rPr>
          <w:rStyle w:val="29"/>
          <w:rFonts w:hint="default" w:ascii="Times New Roman" w:hAnsi="Times New Roman" w:eastAsia="新宋体" w:cs="Times New Roman"/>
          <w:color w:val="auto"/>
          <w:sz w:val="21"/>
          <w:szCs w:val="21"/>
          <w:highlight w:val="none"/>
          <w:lang w:val="en-US" w:eastAsia="zh-CN"/>
        </w:rPr>
        <w:t>六、其他补充事宜</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lang w:val="en-US" w:eastAsia="zh-CN"/>
        </w:rPr>
        <w:t>3</w:t>
      </w:r>
      <w:r>
        <w:rPr>
          <w:rFonts w:hint="default" w:ascii="Times New Roman" w:hAnsi="Times New Roman" w:eastAsia="新宋体" w:cs="Times New Roman"/>
          <w:color w:val="auto"/>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lang w:val="en-US" w:eastAsia="zh-CN"/>
        </w:rPr>
        <w:t>4</w:t>
      </w:r>
      <w:r>
        <w:rPr>
          <w:rFonts w:hint="default" w:ascii="Times New Roman" w:hAnsi="Times New Roman" w:eastAsia="新宋体" w:cs="Times New Roman"/>
          <w:color w:val="auto"/>
          <w:sz w:val="21"/>
          <w:szCs w:val="21"/>
          <w:highlight w:val="none"/>
        </w:rPr>
        <w:t>.其他事项</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xml:space="preserve">在线投标响应（电子投标）说明：本项目采用资格后审，请拟投标人自行核对投标人资格条件，如不符合资格条件者，在资格审查时导致投标被拒绝的，责任自负。 ①本项目实行电子投标，投标人应通过“政府采购云平台”（https://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政府采购网-下载专区-电子交易客户端”进行下载；电子投标具体操作流程详见《供应商项目采购-电子招投标操作指南》；通过“政府采购云平台”参与在线投标时如遇平台技术问题详询400-881-7190。 ②为确保网上操作合法、有效和安全，投标人应当在投标截止时间前完成在“政府采购云平台”的身份认证，确保在电子投标过程中能够对相关数据电文进行加密和使用电子签章。使用“政采云电子交易客户端”需要提前办理申领CA数字证书，申领流程请自行前往“政府采购网-下载专区-电子交易客户端-CA驱动和申领流程”进行查阅。 ③投标人应当在投标截止时间前，将生成的“电子加密投标文件”上传递交至“政府采购云平台”（https://www.zcygov.cn/）。为确保采购项目顺利实施，避免因政采云上“电子加密投标文件”解密失败导致投标人投标无效，投标人可在投标文件截止时间前将在“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 ④通过“政府采购云平台”（https://www.zcygov.cn/）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xml:space="preserve">投标人信用信息查询渠道及截止时点、信用信息查询记录和证据留存的具体方式、信用信息的使用规则： ①查询渠道：“信用中国”(www.creditchina.gov.cn)；“中国政府采购网”（http://www.ccgp.gov.cn/）。 ②截止时点：开标后评标前。 ③信用信息查询记录和证据留存的具体方式：由采购组织机构在规定查询时间内打印信用信息查询记录并归入项目档案。 ④使用规则：对列入失信被执行人、重大税收违法案件当事人名单、政府采购严重违法失信行为记录名单及其他不符合《中华人民共和国政府采购法》第二十二条规定条件的投标人，将被拒绝其参与政府采购活动。 </w:t>
      </w:r>
    </w:p>
    <w:p>
      <w:pPr>
        <w:pStyle w:val="22"/>
        <w:keepNext w:val="0"/>
        <w:keepLines w:val="0"/>
        <w:pageBreakBefore w:val="0"/>
        <w:widowControl/>
        <w:kinsoku/>
        <w:overflowPunct/>
        <w:topLinePunct w:val="0"/>
        <w:autoSpaceDE/>
        <w:autoSpaceDN/>
        <w:bidi w:val="0"/>
        <w:adjustRightInd/>
        <w:snapToGrid/>
        <w:spacing w:before="156" w:beforeLines="50" w:beforeAutospacing="0" w:after="156" w:afterLines="50" w:afterAutospacing="0" w:line="320" w:lineRule="exact"/>
        <w:jc w:val="both"/>
        <w:textAlignment w:val="auto"/>
        <w:rPr>
          <w:rStyle w:val="29"/>
          <w:rFonts w:hint="default" w:ascii="Times New Roman" w:hAnsi="Times New Roman" w:eastAsia="新宋体" w:cs="Times New Roman"/>
          <w:color w:val="auto"/>
          <w:sz w:val="21"/>
          <w:szCs w:val="21"/>
          <w:highlight w:val="none"/>
        </w:rPr>
      </w:pPr>
      <w:r>
        <w:rPr>
          <w:rStyle w:val="29"/>
          <w:rFonts w:hint="default" w:ascii="Times New Roman" w:hAnsi="Times New Roman" w:eastAsia="新宋体" w:cs="Times New Roman"/>
          <w:color w:val="auto"/>
          <w:sz w:val="21"/>
          <w:szCs w:val="21"/>
          <w:highlight w:val="none"/>
        </w:rPr>
        <w:t>七、对本次采购提出询问、质疑、投诉，请按以下方式联系</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1.采购人信息</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名    称：</w:t>
      </w:r>
      <w:r>
        <w:rPr>
          <w:rFonts w:hint="default" w:ascii="Times New Roman" w:hAnsi="Times New Roman" w:eastAsia="新宋体" w:cs="Times New Roman"/>
          <w:color w:val="auto"/>
          <w:sz w:val="21"/>
          <w:szCs w:val="21"/>
          <w:highlight w:val="none"/>
          <w:lang w:eastAsia="zh-CN"/>
        </w:rPr>
        <w:t>玉环市农业农村和水利局</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地    址：</w:t>
      </w:r>
      <w:r>
        <w:rPr>
          <w:rFonts w:hint="default" w:ascii="Times New Roman" w:hAnsi="Times New Roman" w:eastAsia="新宋体" w:cs="Times New Roman"/>
          <w:color w:val="auto"/>
          <w:sz w:val="21"/>
          <w:szCs w:val="21"/>
          <w:highlight w:val="none"/>
          <w:lang w:val="en-US" w:eastAsia="zh-CN"/>
        </w:rPr>
        <w:t>玉环市城中路56号</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项目联系人（询问）：叶沛楠</w:t>
      </w:r>
      <w:r>
        <w:rPr>
          <w:rFonts w:hint="default" w:ascii="Times New Roman" w:hAnsi="Times New Roman" w:eastAsia="新宋体" w:cs="Times New Roman"/>
          <w:color w:val="auto"/>
          <w:sz w:val="21"/>
          <w:szCs w:val="21"/>
          <w:highlight w:val="none"/>
          <w:lang w:val="en-US" w:eastAsia="zh-CN"/>
        </w:rPr>
        <w:t xml:space="preserve">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项目联系方式（询问）：0576-87222268</w:t>
      </w:r>
      <w:r>
        <w:rPr>
          <w:rFonts w:hint="default" w:ascii="Times New Roman" w:hAnsi="Times New Roman" w:eastAsia="新宋体" w:cs="Times New Roman"/>
          <w:color w:val="auto"/>
          <w:sz w:val="21"/>
          <w:szCs w:val="21"/>
          <w:highlight w:val="none"/>
          <w:lang w:val="en-US" w:eastAsia="zh-CN"/>
        </w:rPr>
        <w:t xml:space="preserve">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质疑联系人：</w:t>
      </w:r>
      <w:r>
        <w:rPr>
          <w:rFonts w:hint="eastAsia" w:ascii="Times New Roman" w:hAnsi="Times New Roman" w:eastAsia="新宋体" w:cs="Times New Roman"/>
          <w:color w:val="auto"/>
          <w:sz w:val="21"/>
          <w:szCs w:val="21"/>
          <w:highlight w:val="none"/>
          <w:lang w:val="en-US" w:eastAsia="zh-CN"/>
        </w:rPr>
        <w:t>屠昌鹏</w:t>
      </w:r>
      <w:r>
        <w:rPr>
          <w:rFonts w:hint="default" w:ascii="Times New Roman" w:hAnsi="Times New Roman" w:eastAsia="新宋体" w:cs="Times New Roman"/>
          <w:color w:val="auto"/>
          <w:sz w:val="21"/>
          <w:szCs w:val="21"/>
          <w:highlight w:val="none"/>
          <w:lang w:val="en-US" w:eastAsia="zh-CN"/>
        </w:rPr>
        <w:t xml:space="preserve">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质疑联系方式：13967627073</w:t>
      </w:r>
      <w:r>
        <w:rPr>
          <w:rFonts w:hint="default" w:ascii="Times New Roman" w:hAnsi="Times New Roman" w:eastAsia="新宋体" w:cs="Times New Roman"/>
          <w:color w:val="auto"/>
          <w:sz w:val="21"/>
          <w:szCs w:val="21"/>
          <w:highlight w:val="none"/>
          <w:lang w:val="en-US" w:eastAsia="zh-CN"/>
        </w:rPr>
        <w:t xml:space="preserve">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2.采购代理机构信息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名    称：大地工程咨询有限公司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    址：浙江省玉环市玉城街道康育南路309号1503室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项目联系人（询问）：</w:t>
      </w:r>
      <w:r>
        <w:rPr>
          <w:rFonts w:hint="default" w:ascii="Times New Roman" w:hAnsi="Times New Roman" w:eastAsia="新宋体" w:cs="Times New Roman"/>
          <w:color w:val="auto"/>
          <w:sz w:val="21"/>
          <w:szCs w:val="21"/>
          <w:highlight w:val="none"/>
          <w:lang w:val="en-US" w:eastAsia="zh-CN"/>
        </w:rPr>
        <w:t>赵晓英</w:t>
      </w:r>
      <w:r>
        <w:rPr>
          <w:rFonts w:hint="default" w:ascii="Times New Roman" w:hAnsi="Times New Roman" w:eastAsia="新宋体" w:cs="Times New Roman"/>
          <w:color w:val="auto"/>
          <w:sz w:val="21"/>
          <w:szCs w:val="21"/>
          <w:highlight w:val="none"/>
        </w:rPr>
        <w:t xml:space="preserve">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rPr>
        <w:t>项目联系方式（询问）：0576-87237</w:t>
      </w:r>
      <w:r>
        <w:rPr>
          <w:rFonts w:hint="default" w:ascii="Times New Roman" w:hAnsi="Times New Roman" w:eastAsia="新宋体" w:cs="Times New Roman"/>
          <w:color w:val="auto"/>
          <w:sz w:val="21"/>
          <w:szCs w:val="21"/>
          <w:highlight w:val="none"/>
          <w:lang w:val="en-US" w:eastAsia="zh-CN"/>
        </w:rPr>
        <w:t>838</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质疑联系人：曾云木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质疑联系方式：0576-87237908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3.同级政府采购监督管理部门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名    称：玉环市财政局政府采购监督管理科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地    址：玉环市广陵路130号财政大楼5楼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传    真：/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联系人 ：谢主任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lang w:eastAsia="zh-CN"/>
        </w:rPr>
      </w:pPr>
      <w:r>
        <w:rPr>
          <w:rFonts w:hint="default" w:ascii="Times New Roman" w:hAnsi="Times New Roman" w:eastAsia="新宋体" w:cs="Times New Roman"/>
          <w:color w:val="auto"/>
          <w:sz w:val="21"/>
          <w:szCs w:val="21"/>
          <w:highlight w:val="none"/>
        </w:rPr>
        <w:t>监督投诉电话：0576-87250185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 xml:space="preserve">         若对项目采购电子交易系统操作有疑问，可登录政采云（https://www.zcygov.cn/），点击右侧咨询小采，获取采小蜜智能服务管家帮助，或拨打政采云服务热线400-881-7190获取热线服务帮助。    </w:t>
      </w:r>
    </w:p>
    <w:p>
      <w:pPr>
        <w:pStyle w:val="22"/>
        <w:keepNext w:val="0"/>
        <w:keepLines w:val="0"/>
        <w:pageBreakBefore w:val="0"/>
        <w:widowControl/>
        <w:kinsoku/>
        <w:overflowPunct/>
        <w:topLinePunct w:val="0"/>
        <w:autoSpaceDE/>
        <w:autoSpaceDN/>
        <w:bidi w:val="0"/>
        <w:adjustRightInd/>
        <w:snapToGrid/>
        <w:spacing w:before="0" w:beforeAutospacing="0" w:after="0" w:afterAutospacing="0" w:line="320" w:lineRule="exact"/>
        <w:ind w:firstLine="420" w:firstLineChars="200"/>
        <w:textAlignment w:val="auto"/>
        <w:rPr>
          <w:rFonts w:hint="default" w:ascii="Times New Roman" w:hAnsi="Times New Roman" w:eastAsia="新宋体" w:cs="Times New Roman"/>
          <w:color w:val="auto"/>
          <w:sz w:val="21"/>
          <w:szCs w:val="21"/>
          <w:highlight w:val="none"/>
        </w:rPr>
      </w:pPr>
      <w:r>
        <w:rPr>
          <w:rFonts w:hint="default" w:ascii="Times New Roman" w:hAnsi="Times New Roman" w:eastAsia="新宋体" w:cs="Times New Roman"/>
          <w:color w:val="auto"/>
          <w:sz w:val="21"/>
          <w:szCs w:val="21"/>
          <w:highlight w:val="none"/>
        </w:rPr>
        <w:t>CA问题联系电话（人工）：汇信CA 400-888-4636；天谷CA 400-087-8198</w:t>
      </w:r>
    </w:p>
    <w:p>
      <w:pPr>
        <w:pStyle w:val="11"/>
        <w:ind w:left="420" w:firstLine="404"/>
        <w:rPr>
          <w:rFonts w:hint="default" w:ascii="Times New Roman" w:hAnsi="Times New Roman" w:cs="Times New Roman"/>
          <w:color w:val="auto"/>
          <w:sz w:val="21"/>
          <w:szCs w:val="21"/>
          <w:highlight w:val="none"/>
          <w:lang w:bidi="ar"/>
        </w:rPr>
      </w:pPr>
    </w:p>
    <w:p>
      <w:pPr>
        <w:pStyle w:val="12"/>
        <w:rPr>
          <w:rFonts w:hint="default" w:ascii="Times New Roman" w:hAnsi="Times New Roman" w:cs="Times New Roman"/>
          <w:color w:val="auto"/>
          <w:sz w:val="21"/>
          <w:szCs w:val="21"/>
          <w:highlight w:val="none"/>
          <w:lang w:bidi="ar"/>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第二章  投标人须知</w:t>
      </w:r>
    </w:p>
    <w:p>
      <w:pPr>
        <w:spacing w:line="36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前  附  表</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0"/>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   目</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供应商特定资格要求</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答疑会或</w:t>
            </w:r>
            <w:r>
              <w:rPr>
                <w:rFonts w:hint="default" w:ascii="Times New Roman" w:hAnsi="Times New Roman" w:cs="Times New Roman"/>
                <w:color w:val="auto"/>
                <w:szCs w:val="21"/>
                <w:highlight w:val="none"/>
              </w:rPr>
              <w:t>现场踏勘</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投标文件</w:t>
            </w:r>
            <w:r>
              <w:rPr>
                <w:rFonts w:hint="default" w:ascii="Times New Roman" w:hAnsi="Times New Roman" w:cs="Times New Roman"/>
                <w:color w:val="auto"/>
                <w:kern w:val="0"/>
                <w:szCs w:val="21"/>
                <w:highlight w:val="none"/>
              </w:rPr>
              <w:t>说明</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w:t>
            </w:r>
            <w:r>
              <w:rPr>
                <w:rFonts w:hint="default" w:ascii="Times New Roman" w:hAnsi="Times New Roman" w:cs="Times New Roman"/>
                <w:b/>
                <w:bCs/>
                <w:color w:val="auto"/>
                <w:szCs w:val="21"/>
                <w:highlight w:val="none"/>
                <w:lang w:val="zh-CN"/>
              </w:rPr>
              <w:t>投标文件组成：</w:t>
            </w:r>
            <w:r>
              <w:rPr>
                <w:rFonts w:hint="default" w:ascii="Times New Roman" w:hAnsi="Times New Roman" w:cs="Times New Roman"/>
                <w:color w:val="auto"/>
                <w:szCs w:val="21"/>
                <w:highlight w:val="none"/>
                <w:lang w:val="zh-CN"/>
              </w:rPr>
              <w:t>《资格</w:t>
            </w:r>
            <w:r>
              <w:rPr>
                <w:rFonts w:hint="default" w:ascii="Times New Roman" w:hAnsi="Times New Roman" w:cs="Times New Roman"/>
                <w:color w:val="auto"/>
                <w:szCs w:val="21"/>
                <w:highlight w:val="none"/>
              </w:rPr>
              <w:t>证明</w:t>
            </w:r>
            <w:r>
              <w:rPr>
                <w:rFonts w:hint="default" w:ascii="Times New Roman" w:hAnsi="Times New Roman" w:cs="Times New Roman"/>
                <w:color w:val="auto"/>
                <w:szCs w:val="21"/>
                <w:highlight w:val="none"/>
                <w:lang w:val="zh-CN"/>
              </w:rPr>
              <w:t>文件》及《商务</w:t>
            </w:r>
            <w:r>
              <w:rPr>
                <w:rFonts w:hint="default" w:ascii="Times New Roman" w:hAnsi="Times New Roman" w:cs="Times New Roman"/>
                <w:color w:val="auto"/>
                <w:szCs w:val="21"/>
                <w:highlight w:val="none"/>
                <w:lang w:val="en-US" w:eastAsia="zh-CN"/>
              </w:rPr>
              <w:t>与</w:t>
            </w:r>
            <w:r>
              <w:rPr>
                <w:rFonts w:hint="default" w:ascii="Times New Roman" w:hAnsi="Times New Roman" w:cs="Times New Roman"/>
                <w:color w:val="auto"/>
                <w:szCs w:val="21"/>
                <w:highlight w:val="none"/>
                <w:lang w:val="zh-CN"/>
              </w:rPr>
              <w:t>技术文件》和《报价文件》。</w:t>
            </w:r>
          </w:p>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2、</w:t>
            </w:r>
            <w:r>
              <w:rPr>
                <w:rFonts w:hint="default" w:ascii="Times New Roman" w:hAnsi="Times New Roman" w:cs="Times New Roman"/>
                <w:b/>
                <w:bCs/>
                <w:color w:val="auto"/>
                <w:szCs w:val="21"/>
                <w:highlight w:val="none"/>
              </w:rPr>
              <w:t>投标文件编制：</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lang w:val="zh-CN"/>
              </w:rPr>
              <w:t>应先安装“政采云电子交易客户端”，并按照本</w:t>
            </w:r>
            <w:r>
              <w:rPr>
                <w:rFonts w:hint="default" w:ascii="Times New Roman" w:hAnsi="Times New Roman" w:cs="Times New Roman"/>
                <w:color w:val="auto"/>
                <w:szCs w:val="21"/>
                <w:highlight w:val="none"/>
              </w:rPr>
              <w:t>招标</w:t>
            </w:r>
            <w:r>
              <w:rPr>
                <w:rFonts w:hint="default" w:ascii="Times New Roman" w:hAnsi="Times New Roman" w:cs="Times New Roman"/>
                <w:color w:val="auto"/>
                <w:szCs w:val="21"/>
                <w:highlight w:val="none"/>
                <w:lang w:val="zh-CN"/>
              </w:rPr>
              <w:t>文件和“政府采购云平台”的要求，通过“政采云电子交易客户端”编制并加密投标文件。</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b/>
                <w:bCs/>
                <w:color w:val="auto"/>
                <w:szCs w:val="21"/>
                <w:highlight w:val="none"/>
              </w:rPr>
              <w:t>投标文件的签章：</w:t>
            </w:r>
            <w:r>
              <w:rPr>
                <w:rFonts w:hint="default" w:ascii="Times New Roman" w:hAnsi="Times New Roman" w:cs="Times New Roman"/>
                <w:color w:val="auto"/>
                <w:szCs w:val="21"/>
                <w:highlight w:val="none"/>
                <w:lang w:val="zh-CN"/>
              </w:rPr>
              <w:t>电子签章。</w:t>
            </w:r>
          </w:p>
          <w:p>
            <w:pPr>
              <w:spacing w:line="340" w:lineRule="exact"/>
              <w:ind w:left="17" w:right="199" w:rightChars="95" w:hanging="16" w:hangingChars="8"/>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4、</w:t>
            </w:r>
            <w:r>
              <w:rPr>
                <w:rFonts w:hint="default" w:ascii="Times New Roman" w:hAnsi="Times New Roman" w:cs="Times New Roman"/>
                <w:b/>
                <w:bCs/>
                <w:color w:val="auto"/>
                <w:szCs w:val="21"/>
                <w:highlight w:val="none"/>
              </w:rPr>
              <w:t>投标文件的形式：</w:t>
            </w:r>
            <w:r>
              <w:rPr>
                <w:rFonts w:hint="default" w:ascii="Times New Roman" w:hAnsi="Times New Roman" w:cs="Times New Roman"/>
                <w:color w:val="auto"/>
                <w:szCs w:val="21"/>
                <w:highlight w:val="none"/>
                <w:lang w:val="zh-CN"/>
              </w:rPr>
              <w:t>电子投标文件</w:t>
            </w:r>
            <w:r>
              <w:rPr>
                <w:rFonts w:hint="default" w:ascii="Times New Roman" w:hAnsi="Times New Roman" w:cs="Times New Roman"/>
                <w:color w:val="auto"/>
                <w:szCs w:val="21"/>
                <w:highlight w:val="none"/>
              </w:rPr>
              <w:t>形式</w:t>
            </w:r>
            <w:r>
              <w:rPr>
                <w:rFonts w:hint="default" w:ascii="Times New Roman" w:hAnsi="Times New Roman" w:cs="Times New Roman"/>
                <w:color w:val="auto"/>
                <w:szCs w:val="21"/>
                <w:highlight w:val="none"/>
                <w:lang w:val="zh-CN"/>
              </w:rPr>
              <w:t>：</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（1）“电子加密投标文件”是指通过“政采云电子交易客户端”完成投标文件编制后生成并加密的数据电文形式的投标</w:t>
            </w:r>
            <w:r>
              <w:rPr>
                <w:rFonts w:hint="default" w:ascii="Times New Roman" w:hAnsi="Times New Roman" w:cs="Times New Roman"/>
                <w:color w:val="auto"/>
                <w:szCs w:val="21"/>
                <w:highlight w:val="none"/>
              </w:rPr>
              <w:t>文件。</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（2）“备份电子加密投标文件”是指与“电子加密投标文件”同时生成的</w:t>
            </w:r>
            <w:r>
              <w:rPr>
                <w:rFonts w:hint="default" w:ascii="Times New Roman" w:hAnsi="Times New Roman" w:cs="Times New Roman"/>
                <w:bCs/>
                <w:color w:val="auto"/>
                <w:szCs w:val="21"/>
                <w:highlight w:val="none"/>
              </w:rPr>
              <w:t>以介质（U盘）存储</w:t>
            </w:r>
            <w:r>
              <w:rPr>
                <w:rFonts w:hint="default" w:ascii="Times New Roman" w:hAnsi="Times New Roman" w:cs="Times New Roman"/>
                <w:color w:val="auto"/>
                <w:szCs w:val="21"/>
                <w:highlight w:val="none"/>
              </w:rPr>
              <w:t>数据电文形式的电子文件（备份电子加密投标文件），其他方式编制的备份电子加密投标文件视为无效备份投标文件。</w:t>
            </w:r>
          </w:p>
          <w:p>
            <w:pPr>
              <w:spacing w:line="340" w:lineRule="exact"/>
              <w:ind w:left="17" w:right="199" w:rightChars="95" w:hanging="17" w:hangingChars="8"/>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5、投标文件份数：</w:t>
            </w:r>
            <w:r>
              <w:rPr>
                <w:rFonts w:hint="default" w:ascii="Times New Roman" w:hAnsi="Times New Roman" w:cs="Times New Roman"/>
                <w:color w:val="auto"/>
                <w:szCs w:val="21"/>
                <w:highlight w:val="none"/>
              </w:rPr>
              <w:t>（1）“电子加密投标文件”：在线上传递交。按政采云平台供应商项目采购-电子招投标操作指南及本项目招标文件要求提交。（2）“备份电子加密投标文件”：一份。</w:t>
            </w:r>
          </w:p>
          <w:p>
            <w:pPr>
              <w:spacing w:line="340" w:lineRule="exact"/>
              <w:ind w:left="17" w:right="199" w:rightChars="95" w:hanging="17" w:hangingChars="8"/>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6、投标文件的上传和递交：</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（1）“电子加密投标文件”的上传、递交：</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应在投标截止时间前将“电子加密投标文件”成功上传递交至“政府采购云平台”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（2）“备份电子加密投标文件”的密封包装、递交：</w:t>
            </w:r>
          </w:p>
          <w:p>
            <w:pPr>
              <w:spacing w:line="340" w:lineRule="exact"/>
              <w:ind w:right="199" w:rightChars="95"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a.</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在“政府采购云平台”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 xml:space="preserve">完成“电子加密投标文件”的上传递交后， </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可递交“备份电子加密投标文件”的，</w:t>
            </w:r>
            <w:r>
              <w:rPr>
                <w:rFonts w:hint="default" w:ascii="Times New Roman" w:hAnsi="Times New Roman" w:cs="Times New Roman"/>
                <w:bCs/>
                <w:color w:val="auto"/>
                <w:szCs w:val="21"/>
                <w:highlight w:val="none"/>
              </w:rPr>
              <w:t>在投标文件截止时间前将在“政府采购云平台”电子投标工具制作生成的“备份电子加密投标文件”（u盘）以邮件的方式送到招标代理机构，联系人、联系地址及电话见招标公告。</w:t>
            </w:r>
          </w:p>
          <w:p>
            <w:pPr>
              <w:spacing w:line="340" w:lineRule="exact"/>
              <w:ind w:right="199" w:rightChars="95"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b.“备份电子加密投标文件”应当密封包装，并在包装上标注投标项目名称、投标人名称并加盖公章。没有密封包装或者逾期邮寄送达的“备份电子加密投标文件”将不予接受。</w:t>
            </w:r>
          </w:p>
          <w:p>
            <w:pPr>
              <w:spacing w:line="340" w:lineRule="exact"/>
              <w:ind w:right="199" w:rightChars="95"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c.通过“政府采购云平台”成功上传递交的“电子加密投标文件”已按时解密的，“备份电子加密投标文件”自动失效。投标截止时间前，</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仅递交了“备份电子加密投标文件”而未将“电子加密投标文件”成功上传至“政府采购云平台”的，投标无效。</w:t>
            </w:r>
          </w:p>
          <w:p>
            <w:pPr>
              <w:spacing w:line="340" w:lineRule="exact"/>
              <w:ind w:left="17" w:right="199" w:rightChars="95" w:hanging="17" w:hangingChars="8"/>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7、电子加密投标文件的解密和异常情况处理：</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（1）开标后，采购组织机构将向各</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发出“电子加密投标文件”的解密通知，各</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代表应当在接到解密通知后30分钟内自行完成“电子加密投标文件”的在线解密。</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（2）通过“政府采购云平台”成功上传递交的“电子加密投标文件”无法按时解密，</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如按规定递交了“备份电子加密投标文件”的，以“备份电子加密投标文件”为依据（由采购组织机构按“政府采购云平台”操作规范将“备份电子加密投标文件”上传至“政府采购云平台”，上传成功后，“电子加密投标文件”自动失效），否则视为投标文件撤回。</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（3）投标截止时间前，</w:t>
            </w:r>
            <w:r>
              <w:rPr>
                <w:rFonts w:hint="default" w:ascii="Times New Roman" w:hAnsi="Times New Roman" w:cs="Times New Roman"/>
                <w:bCs/>
                <w:color w:val="auto"/>
                <w:szCs w:val="21"/>
                <w:highlight w:val="none"/>
              </w:rPr>
              <w:t>投标人</w:t>
            </w:r>
            <w:r>
              <w:rPr>
                <w:rFonts w:hint="default" w:ascii="Times New Roman" w:hAnsi="Times New Roman" w:cs="Times New Roman"/>
                <w:color w:val="auto"/>
                <w:szCs w:val="21"/>
                <w:highlight w:val="none"/>
              </w:rPr>
              <w:t>仅递交了“备份电子加密投标文件”而未将电子加密投标文件上传至“政府采购云平台”的，投标无效。</w:t>
            </w:r>
          </w:p>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投标文件留档备案</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中标人需在中标确认后5个工作日内，邮寄5套纸质投标文件（与</w:t>
            </w:r>
            <w:r>
              <w:rPr>
                <w:rFonts w:hint="default" w:ascii="Times New Roman" w:hAnsi="Times New Roman" w:cs="Times New Roman"/>
                <w:color w:val="auto"/>
                <w:szCs w:val="21"/>
                <w:highlight w:val="none"/>
              </w:rPr>
              <w:t>“电子加密投标文件”保持一致</w:t>
            </w:r>
            <w:r>
              <w:rPr>
                <w:rFonts w:hint="default" w:ascii="Times New Roman" w:hAnsi="Times New Roman" w:cs="Times New Roman"/>
                <w:color w:val="auto"/>
                <w:kern w:val="0"/>
                <w:szCs w:val="21"/>
                <w:highlight w:val="none"/>
              </w:rPr>
              <w:t>）至招标代理机构（大地工程咨询有限公司：</w:t>
            </w:r>
            <w:r>
              <w:rPr>
                <w:rFonts w:hint="default" w:ascii="Times New Roman" w:hAnsi="Times New Roman" w:cs="Times New Roman"/>
                <w:color w:val="auto"/>
                <w:szCs w:val="21"/>
                <w:highlight w:val="none"/>
              </w:rPr>
              <w:t>玉环市玉城街道康育南路309号1503室</w:t>
            </w:r>
            <w:r>
              <w:rPr>
                <w:rFonts w:hint="default" w:ascii="Times New Roman" w:hAnsi="Times New Roman" w:cs="Times New Roman"/>
                <w:color w:val="auto"/>
                <w:szCs w:val="21"/>
                <w:highlight w:val="none"/>
                <w:lang w:val="en-US" w:eastAsia="zh-CN"/>
              </w:rPr>
              <w:t>赵晓英</w:t>
            </w:r>
            <w:r>
              <w:rPr>
                <w:rFonts w:hint="default" w:ascii="Times New Roman" w:hAnsi="Times New Roman" w:cs="Times New Roman"/>
                <w:color w:val="auto"/>
                <w:szCs w:val="21"/>
                <w:highlight w:val="none"/>
              </w:rPr>
              <w:t>收，电话</w:t>
            </w:r>
            <w:r>
              <w:rPr>
                <w:rFonts w:hint="default" w:ascii="Times New Roman" w:hAnsi="Times New Roman" w:cs="Times New Roman"/>
                <w:color w:val="auto"/>
                <w:szCs w:val="21"/>
                <w:highlight w:val="none"/>
                <w:lang w:val="en-US" w:eastAsia="zh-CN"/>
              </w:rPr>
              <w:t>0576-87237838</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90天，</w:t>
            </w:r>
            <w:r>
              <w:rPr>
                <w:rFonts w:hint="default" w:ascii="Times New Roman" w:hAnsi="Times New Roman" w:cs="Times New Roman"/>
                <w:color w:val="auto"/>
                <w:kern w:val="0"/>
                <w:szCs w:val="21"/>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投标文件递交</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截止时间：</w:t>
            </w:r>
            <w:r>
              <w:rPr>
                <w:rFonts w:hint="default" w:ascii="Times New Roman" w:hAnsi="Times New Roman" w:eastAsia="新宋体" w:cs="Times New Roman"/>
                <w:color w:val="auto"/>
                <w:szCs w:val="21"/>
                <w:highlight w:val="none"/>
              </w:rPr>
              <w:t>2022年</w:t>
            </w:r>
            <w:r>
              <w:rPr>
                <w:rFonts w:hint="eastAsia" w:eastAsia="新宋体" w:cs="Times New Roman"/>
                <w:color w:val="auto"/>
                <w:szCs w:val="21"/>
                <w:highlight w:val="none"/>
                <w:lang w:val="en-US" w:eastAsia="zh-CN"/>
              </w:rPr>
              <w:t>10</w:t>
            </w:r>
            <w:r>
              <w:rPr>
                <w:rFonts w:hint="default" w:ascii="Times New Roman" w:hAnsi="Times New Roman" w:eastAsia="新宋体" w:cs="Times New Roman"/>
                <w:color w:val="auto"/>
                <w:szCs w:val="21"/>
                <w:highlight w:val="none"/>
              </w:rPr>
              <w:t>月</w:t>
            </w:r>
            <w:r>
              <w:rPr>
                <w:rFonts w:hint="eastAsia" w:eastAsia="新宋体" w:cs="Times New Roman"/>
                <w:color w:val="auto"/>
                <w:szCs w:val="21"/>
                <w:highlight w:val="none"/>
                <w:lang w:val="en-US" w:eastAsia="zh-CN"/>
              </w:rPr>
              <w:t>09</w:t>
            </w:r>
            <w:r>
              <w:rPr>
                <w:rFonts w:hint="default" w:ascii="Times New Roman" w:hAnsi="Times New Roman" w:eastAsia="新宋体" w:cs="Times New Roman"/>
                <w:color w:val="auto"/>
                <w:szCs w:val="21"/>
                <w:highlight w:val="none"/>
              </w:rPr>
              <w:t xml:space="preserve">日 </w:t>
            </w:r>
            <w:r>
              <w:rPr>
                <w:rFonts w:hint="eastAsia" w:eastAsia="新宋体" w:cs="Times New Roman"/>
                <w:color w:val="auto"/>
                <w:szCs w:val="21"/>
                <w:highlight w:val="none"/>
                <w:lang w:val="en-US" w:eastAsia="zh-CN"/>
              </w:rPr>
              <w:t>14</w:t>
            </w:r>
            <w:r>
              <w:rPr>
                <w:rFonts w:hint="default" w:ascii="Times New Roman" w:hAnsi="Times New Roman" w:eastAsia="新宋体" w:cs="Times New Roman"/>
                <w:color w:val="auto"/>
                <w:szCs w:val="21"/>
                <w:highlight w:val="none"/>
              </w:rPr>
              <w:t>:</w:t>
            </w:r>
            <w:r>
              <w:rPr>
                <w:rFonts w:hint="eastAsia" w:eastAsia="新宋体" w:cs="Times New Roman"/>
                <w:color w:val="auto"/>
                <w:szCs w:val="21"/>
                <w:highlight w:val="none"/>
                <w:lang w:val="en-US" w:eastAsia="zh-CN"/>
              </w:rPr>
              <w:t>3</w:t>
            </w:r>
            <w:r>
              <w:rPr>
                <w:rFonts w:hint="default" w:ascii="Times New Roman" w:hAnsi="Times New Roman" w:eastAsia="新宋体" w:cs="Times New Roman"/>
                <w:color w:val="auto"/>
                <w:szCs w:val="21"/>
                <w:highlight w:val="none"/>
                <w:lang w:val="en-US" w:eastAsia="zh-CN"/>
              </w:rPr>
              <w:t>0</w:t>
            </w:r>
            <w:r>
              <w:rPr>
                <w:rFonts w:hint="default" w:ascii="Times New Roman" w:hAnsi="Times New Roman" w:eastAsia="新宋体" w:cs="Times New Roman"/>
                <w:color w:val="auto"/>
                <w:szCs w:val="21"/>
                <w:highlight w:val="none"/>
              </w:rPr>
              <w:t>（北京时间）</w:t>
            </w:r>
          </w:p>
          <w:p>
            <w:pPr>
              <w:widowControl/>
              <w:spacing w:line="34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递交地点：通过“政府采购云平台（https://www.zcygov.cn/）”实行在线投标响应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开标时间及地点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w:t>
            </w:r>
            <w:r>
              <w:rPr>
                <w:rFonts w:hint="default" w:ascii="Times New Roman" w:hAnsi="Times New Roman" w:eastAsia="新宋体" w:cs="Times New Roman"/>
                <w:color w:val="auto"/>
                <w:szCs w:val="21"/>
                <w:highlight w:val="none"/>
              </w:rPr>
              <w:t>2022年</w:t>
            </w:r>
            <w:r>
              <w:rPr>
                <w:rFonts w:hint="eastAsia" w:eastAsia="新宋体" w:cs="Times New Roman"/>
                <w:color w:val="auto"/>
                <w:szCs w:val="21"/>
                <w:highlight w:val="none"/>
                <w:lang w:val="en-US" w:eastAsia="zh-CN"/>
              </w:rPr>
              <w:t>10</w:t>
            </w:r>
            <w:r>
              <w:rPr>
                <w:rFonts w:hint="default" w:ascii="Times New Roman" w:hAnsi="Times New Roman" w:eastAsia="新宋体" w:cs="Times New Roman"/>
                <w:color w:val="auto"/>
                <w:szCs w:val="21"/>
                <w:highlight w:val="none"/>
              </w:rPr>
              <w:t>月</w:t>
            </w:r>
            <w:r>
              <w:rPr>
                <w:rFonts w:hint="eastAsia" w:eastAsia="新宋体" w:cs="Times New Roman"/>
                <w:color w:val="auto"/>
                <w:szCs w:val="21"/>
                <w:highlight w:val="none"/>
                <w:lang w:val="en-US" w:eastAsia="zh-CN"/>
              </w:rPr>
              <w:t>09</w:t>
            </w:r>
            <w:r>
              <w:rPr>
                <w:rFonts w:hint="default" w:ascii="Times New Roman" w:hAnsi="Times New Roman" w:eastAsia="新宋体" w:cs="Times New Roman"/>
                <w:color w:val="auto"/>
                <w:szCs w:val="21"/>
                <w:highlight w:val="none"/>
              </w:rPr>
              <w:t xml:space="preserve">日 </w:t>
            </w:r>
            <w:r>
              <w:rPr>
                <w:rFonts w:hint="eastAsia" w:eastAsia="新宋体" w:cs="Times New Roman"/>
                <w:color w:val="auto"/>
                <w:szCs w:val="21"/>
                <w:highlight w:val="none"/>
                <w:lang w:val="en-US" w:eastAsia="zh-CN"/>
              </w:rPr>
              <w:t>14</w:t>
            </w:r>
            <w:r>
              <w:rPr>
                <w:rFonts w:hint="default" w:ascii="Times New Roman" w:hAnsi="Times New Roman" w:eastAsia="新宋体" w:cs="Times New Roman"/>
                <w:color w:val="auto"/>
                <w:szCs w:val="21"/>
                <w:highlight w:val="none"/>
              </w:rPr>
              <w:t>:</w:t>
            </w:r>
            <w:r>
              <w:rPr>
                <w:rFonts w:hint="eastAsia" w:eastAsia="新宋体" w:cs="Times New Roman"/>
                <w:color w:val="auto"/>
                <w:szCs w:val="21"/>
                <w:highlight w:val="none"/>
                <w:lang w:val="en-US" w:eastAsia="zh-CN"/>
              </w:rPr>
              <w:t>3</w:t>
            </w:r>
            <w:r>
              <w:rPr>
                <w:rFonts w:hint="default" w:ascii="Times New Roman" w:hAnsi="Times New Roman" w:eastAsia="新宋体" w:cs="Times New Roman"/>
                <w:color w:val="auto"/>
                <w:szCs w:val="21"/>
                <w:highlight w:val="none"/>
                <w:lang w:val="en-US" w:eastAsia="zh-CN"/>
              </w:rPr>
              <w:t>0</w:t>
            </w:r>
            <w:r>
              <w:rPr>
                <w:rFonts w:hint="default" w:ascii="Times New Roman" w:hAnsi="Times New Roman" w:eastAsia="新宋体" w:cs="Times New Roman"/>
                <w:color w:val="auto"/>
                <w:szCs w:val="21"/>
                <w:highlight w:val="none"/>
              </w:rPr>
              <w:t>（北京时间）</w:t>
            </w:r>
          </w:p>
          <w:p>
            <w:pPr>
              <w:spacing w:line="340" w:lineRule="exact"/>
              <w:ind w:right="199" w:right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w:t>
            </w:r>
            <w:r>
              <w:rPr>
                <w:rFonts w:hint="default" w:ascii="Times New Roman" w:hAnsi="Times New Roman" w:cs="Times New Roman"/>
                <w:bCs/>
                <w:color w:val="auto"/>
                <w:kern w:val="0"/>
                <w:szCs w:val="21"/>
                <w:highlight w:val="none"/>
              </w:rPr>
              <w:t>“政府采购云平台”</w:t>
            </w:r>
            <w:r>
              <w:rPr>
                <w:rFonts w:hint="default" w:ascii="Times New Roman" w:hAnsi="Times New Roman" w:eastAsia="新宋体" w:cs="Times New Roman"/>
                <w:color w:val="auto"/>
                <w:szCs w:val="21"/>
                <w:highlight w:val="none"/>
              </w:rPr>
              <w:t>（</w:t>
            </w:r>
            <w:r>
              <w:rPr>
                <w:rFonts w:hint="default" w:ascii="Times New Roman" w:hAnsi="Times New Roman" w:cs="Times New Roman"/>
                <w:color w:val="auto"/>
                <w:szCs w:val="21"/>
                <w:highlight w:val="none"/>
              </w:rPr>
              <w:t>https://www.zcygov.cn/</w:t>
            </w:r>
            <w:r>
              <w:rPr>
                <w:rFonts w:hint="default" w:ascii="Times New Roman" w:hAnsi="Times New Roman" w:eastAsia="新宋体" w:cs="Times New Roman"/>
                <w:color w:val="auto"/>
                <w:szCs w:val="21"/>
                <w:highlight w:val="none"/>
              </w:rPr>
              <w:t>）</w:t>
            </w:r>
            <w:r>
              <w:rPr>
                <w:rFonts w:hint="default" w:ascii="Times New Roman" w:hAnsi="Times New Roman" w:cs="Times New Roman"/>
                <w:bCs/>
                <w:color w:val="auto"/>
                <w:kern w:val="0"/>
                <w:szCs w:val="21"/>
                <w:highlight w:val="none"/>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投标保证金</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履约保证金</w:t>
            </w:r>
          </w:p>
        </w:tc>
        <w:tc>
          <w:tcPr>
            <w:tcW w:w="6531" w:type="dxa"/>
            <w:tcBorders>
              <w:top w:val="single" w:color="auto" w:sz="4" w:space="0"/>
              <w:left w:val="single" w:color="auto" w:sz="4" w:space="0"/>
              <w:bottom w:val="single" w:color="auto" w:sz="4" w:space="0"/>
              <w:right w:val="single" w:color="auto" w:sz="4" w:space="0"/>
            </w:tcBorders>
            <w:vAlign w:val="center"/>
          </w:tcPr>
          <w:p>
            <w:pPr>
              <w:pStyle w:val="17"/>
              <w:spacing w:line="340" w:lineRule="exact"/>
              <w:ind w:left="0" w:lef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投标人在签订合同前须交纳本项目合同金额的</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%作为履约保证金（保函或现金形式）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0"/>
                <w:sz w:val="21"/>
                <w:szCs w:val="21"/>
                <w:lang w:val="zh-CN"/>
              </w:rPr>
              <w:t>履约保证金交至采购人处，在</w:t>
            </w:r>
            <w:r>
              <w:rPr>
                <w:rFonts w:hint="default" w:ascii="Times New Roman" w:hAnsi="Times New Roman" w:eastAsia="宋体" w:cs="Times New Roman"/>
                <w:color w:val="auto"/>
                <w:kern w:val="0"/>
                <w:sz w:val="21"/>
                <w:szCs w:val="21"/>
                <w:lang w:val="en-US" w:eastAsia="zh-CN"/>
              </w:rPr>
              <w:t>服务期满后</w:t>
            </w:r>
            <w:r>
              <w:rPr>
                <w:rFonts w:hint="default" w:ascii="Times New Roman" w:hAnsi="Times New Roman" w:eastAsia="宋体" w:cs="Times New Roman"/>
                <w:color w:val="auto"/>
                <w:kern w:val="0"/>
                <w:sz w:val="21"/>
                <w:szCs w:val="21"/>
                <w:lang w:val="zh-CN"/>
              </w:rPr>
              <w:t>如无质量、服务投诉和索赔，该款无息返还。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实质性条款</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带“</w:t>
            </w:r>
            <w:r>
              <w:rPr>
                <w:rFonts w:hint="default" w:ascii="Times New Roman" w:hAnsi="Times New Roman" w:cs="Times New Roman"/>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 w:val="22"/>
                <w:szCs w:val="22"/>
                <w:highlight w:val="none"/>
              </w:rPr>
              <w:t>注意事项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1.请务必确保投标文件制作客户端为最新版本，旧版本可能导致投标文件解密失败。</w:t>
            </w:r>
          </w:p>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解释权</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本招标文件解释权属于采购人和采购代理机构。</w:t>
            </w:r>
          </w:p>
        </w:tc>
      </w:tr>
    </w:tbl>
    <w:p>
      <w:pPr>
        <w:rPr>
          <w:rFonts w:hint="default" w:ascii="Times New Roman" w:hAnsi="Times New Roman" w:cs="Times New Roman"/>
          <w:color w:val="auto"/>
          <w:highlight w:val="none"/>
        </w:rPr>
      </w:pPr>
    </w:p>
    <w:p>
      <w:pPr>
        <w:pStyle w:val="2"/>
        <w:spacing w:line="560" w:lineRule="exact"/>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为优化政府采购营商环境，缓解供应商资金难题，政采云平台已推广应用“政采贷”、</w:t>
      </w:r>
      <w:r>
        <w:rPr>
          <w:rFonts w:hint="default" w:ascii="Times New Roman" w:hAnsi="Times New Roman" w:cs="Times New Roman"/>
          <w:b/>
          <w:bCs/>
          <w:color w:val="auto"/>
          <w:spacing w:val="-14"/>
          <w:sz w:val="21"/>
          <w:szCs w:val="21"/>
          <w:highlight w:val="none"/>
        </w:rPr>
        <w:t>“政采保”服务，中标供应商如有融资需求，可使用以下金融、保险机构的“政采贷”、“政</w:t>
      </w:r>
      <w:r>
        <w:rPr>
          <w:rFonts w:hint="default" w:ascii="Times New Roman" w:hAnsi="Times New Roman" w:cs="Times New Roman"/>
          <w:b/>
          <w:bCs/>
          <w:color w:val="auto"/>
          <w:sz w:val="21"/>
          <w:szCs w:val="21"/>
          <w:highlight w:val="none"/>
        </w:rPr>
        <w:t>采保”服务。</w:t>
      </w:r>
    </w:p>
    <w:p>
      <w:pPr>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政采贷联系方式：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贷款年利率</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联系人</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中国工商银行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谢美珍</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中国农业银行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吴佳怡</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中国建设银行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3.85%起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刘伟</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中国银行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3.8%起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张才国</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浙商银行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6.01%起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梅淑华</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农商银行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4.35%起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陈辉</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泰隆银行</w:t>
            </w:r>
          </w:p>
        </w:tc>
        <w:tc>
          <w:tcPr>
            <w:tcW w:w="1334"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6.00%起</w:t>
            </w:r>
          </w:p>
        </w:tc>
        <w:tc>
          <w:tcPr>
            <w:tcW w:w="1688"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许超</w:t>
            </w:r>
          </w:p>
        </w:tc>
        <w:tc>
          <w:tcPr>
            <w:tcW w:w="2131" w:type="dxa"/>
            <w:noWrap/>
            <w:vAlign w:val="center"/>
          </w:tcPr>
          <w:p>
            <w:pPr>
              <w:spacing w:line="360" w:lineRule="exact"/>
              <w:jc w:val="center"/>
              <w:rPr>
                <w:rFonts w:hint="default" w:ascii="Times New Roman" w:hAnsi="Times New Roman" w:cs="Times New Roman"/>
                <w:color w:val="auto"/>
                <w:kern w:val="21"/>
                <w:szCs w:val="21"/>
                <w:highlight w:val="none"/>
              </w:rPr>
            </w:pPr>
            <w:r>
              <w:rPr>
                <w:rFonts w:hint="default" w:ascii="Times New Roman" w:hAnsi="Times New Roman" w:cs="Times New Roman"/>
                <w:color w:val="auto"/>
                <w:kern w:val="21"/>
                <w:szCs w:val="21"/>
                <w:highlight w:val="none"/>
              </w:rPr>
              <w:t>17858683351</w:t>
            </w:r>
          </w:p>
        </w:tc>
      </w:tr>
    </w:tbl>
    <w:p>
      <w:pPr>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政采保联系方式：</w:t>
      </w:r>
    </w:p>
    <w:tbl>
      <w:tblPr>
        <w:tblStyle w:val="2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25"/>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236"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保险机构</w:t>
            </w:r>
          </w:p>
        </w:tc>
        <w:tc>
          <w:tcPr>
            <w:tcW w:w="3025"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承保方案</w:t>
            </w:r>
          </w:p>
        </w:tc>
        <w:tc>
          <w:tcPr>
            <w:tcW w:w="1327"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1980"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236"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阳光财产保险股份有限公司玉环支公司</w:t>
            </w:r>
          </w:p>
        </w:tc>
        <w:tc>
          <w:tcPr>
            <w:tcW w:w="3025"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合同（质量）履约按履约保证金年费率1%（1.5%），每单保函最低保险费为500元（300元）</w:t>
            </w:r>
          </w:p>
        </w:tc>
        <w:tc>
          <w:tcPr>
            <w:tcW w:w="1327"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梁英超</w:t>
            </w:r>
          </w:p>
        </w:tc>
        <w:tc>
          <w:tcPr>
            <w:tcW w:w="1980" w:type="dxa"/>
            <w:noWrap/>
            <w:vAlign w:val="center"/>
          </w:tcPr>
          <w:p>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18067723172（微信同号）</w:t>
            </w:r>
          </w:p>
        </w:tc>
      </w:tr>
    </w:tbl>
    <w:p>
      <w:pPr>
        <w:pStyle w:val="25"/>
        <w:rPr>
          <w:rFonts w:hint="default" w:ascii="Times New Roman" w:hAnsi="Times New Roman" w:cs="Times New Roman"/>
          <w:color w:val="auto"/>
          <w:highlight w:val="none"/>
        </w:rPr>
      </w:pPr>
    </w:p>
    <w:p>
      <w:pPr>
        <w:pStyle w:val="11"/>
        <w:ind w:left="420" w:firstLine="344"/>
        <w:rPr>
          <w:rFonts w:hint="default" w:ascii="Times New Roman" w:hAnsi="Times New Roman" w:cs="Times New Roman"/>
          <w:color w:val="auto"/>
          <w:highlight w:val="none"/>
        </w:rPr>
      </w:pPr>
    </w:p>
    <w:p>
      <w:pPr>
        <w:pStyle w:val="1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5"/>
        <w:rPr>
          <w:rFonts w:hint="default" w:ascii="Times New Roman" w:hAnsi="Times New Roman" w:cs="Times New Roman"/>
          <w:color w:val="auto"/>
          <w:highlight w:val="none"/>
        </w:rPr>
      </w:pPr>
    </w:p>
    <w:p>
      <w:pPr>
        <w:pStyle w:val="25"/>
        <w:rPr>
          <w:rFonts w:hint="default" w:ascii="Times New Roman" w:hAnsi="Times New Roman" w:cs="Times New Roman"/>
          <w:color w:val="auto"/>
          <w:highlight w:val="none"/>
        </w:rPr>
      </w:pPr>
    </w:p>
    <w:p>
      <w:pPr>
        <w:pStyle w:val="25"/>
        <w:rPr>
          <w:rFonts w:hint="default" w:ascii="Times New Roman" w:hAnsi="Times New Roman" w:cs="Times New Roman"/>
          <w:color w:val="auto"/>
          <w:highlight w:val="none"/>
        </w:rPr>
      </w:pPr>
    </w:p>
    <w:p>
      <w:pPr>
        <w:pStyle w:val="21"/>
        <w:rPr>
          <w:rFonts w:hint="default" w:ascii="Times New Roman" w:hAnsi="Times New Roman" w:cs="Times New Roman"/>
          <w:color w:val="auto"/>
          <w:highlight w:val="none"/>
        </w:rPr>
      </w:pP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 、总  则</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 适用范围</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本招标文件适用于</w:t>
      </w:r>
      <w:r>
        <w:rPr>
          <w:rFonts w:hint="default" w:ascii="Times New Roman" w:hAnsi="Times New Roman" w:cs="Times New Roman"/>
          <w:bCs/>
          <w:color w:val="auto"/>
          <w:szCs w:val="21"/>
          <w:highlight w:val="none"/>
        </w:rPr>
        <w:t>本次</w:t>
      </w:r>
      <w:r>
        <w:rPr>
          <w:rFonts w:hint="default" w:ascii="Times New Roman" w:hAnsi="Times New Roman" w:cs="Times New Roman"/>
          <w:color w:val="auto"/>
          <w:szCs w:val="21"/>
          <w:highlight w:val="none"/>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（二）定义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zh-CN"/>
        </w:rPr>
        <w:t>“采购组织机构”指采购人委托组织招标的集中采购机构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采购代理机构。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2、采购人：是指委托采购代理机构采购本次项目的国家机关、事业单位和团体组织。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3、投标人：是指向采购</w:t>
      </w:r>
      <w:r>
        <w:rPr>
          <w:rFonts w:hint="default" w:ascii="Times New Roman" w:hAnsi="Times New Roman" w:cs="Times New Roman"/>
          <w:color w:val="auto"/>
          <w:szCs w:val="21"/>
          <w:highlight w:val="none"/>
          <w:lang w:val="zh-CN"/>
        </w:rPr>
        <w:t>组织</w:t>
      </w:r>
      <w:r>
        <w:rPr>
          <w:rFonts w:hint="default" w:ascii="Times New Roman" w:hAnsi="Times New Roman" w:cs="Times New Roman"/>
          <w:color w:val="auto"/>
          <w:szCs w:val="21"/>
          <w:highlight w:val="none"/>
        </w:rPr>
        <w:t>机构提交投标文件的单位或个人。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6、“书面形式”包括信函、传真等。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7、“▲”系指实质性要求条款。</w:t>
      </w:r>
    </w:p>
    <w:p>
      <w:pPr>
        <w:keepNext w:val="0"/>
        <w:keepLines w:val="0"/>
        <w:pageBreakBefore w:val="0"/>
        <w:kinsoku/>
        <w:wordWrap/>
        <w:overflowPunct/>
        <w:topLinePunct w:val="0"/>
        <w:bidi w:val="0"/>
        <w:snapToGrid w:val="0"/>
        <w:spacing w:line="380" w:lineRule="exact"/>
        <w:ind w:firstLine="422" w:firstLineChars="200"/>
        <w:jc w:val="left"/>
        <w:textAlignment w:val="auto"/>
        <w:outlineLvl w:val="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（三）投标费用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不论投标结果如何，投标人均应自行承担所有与投标有关的全部费用（招标文件有相关规定除外）。</w:t>
      </w:r>
    </w:p>
    <w:p>
      <w:pPr>
        <w:pStyle w:val="15"/>
        <w:keepNext w:val="0"/>
        <w:keepLines w:val="0"/>
        <w:pageBreakBefore w:val="0"/>
        <w:kinsoku/>
        <w:wordWrap/>
        <w:overflowPunct/>
        <w:topLinePunct w:val="0"/>
        <w:bidi w:val="0"/>
        <w:snapToGrid w:val="0"/>
        <w:spacing w:line="380" w:lineRule="exact"/>
        <w:ind w:left="2" w:leftChars="1"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（四）特别说明</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认为中标人所投产品、投标文件技术参数与招标需求存在重大偏离、错误、甚至造假的情况，应提供具体有效的证明材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6、电子投标文件格式中的表格式样可以根据项目差别做适当调整，但应当保持表格样式基本形态不变。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8、本项目不允许分包。</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二、招标文件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（一）招标文件由招标文件总目录所列内容组成。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（二）招标文件的澄清或修改</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三、投标文件</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color w:val="auto"/>
          <w:szCs w:val="21"/>
          <w:highlight w:val="none"/>
          <w:lang w:val="zh-CN"/>
        </w:rPr>
        <w:t>（一）</w:t>
      </w:r>
      <w:r>
        <w:rPr>
          <w:rFonts w:hint="default" w:ascii="Times New Roman" w:hAnsi="Times New Roman" w:cs="Times New Roman"/>
          <w:b/>
          <w:bCs/>
          <w:color w:val="auto"/>
          <w:kern w:val="0"/>
          <w:szCs w:val="21"/>
          <w:highlight w:val="none"/>
        </w:rPr>
        <w:t>投标文件的组成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投标人网上报名下载招标文件后，按照采购组织机构的要求提供：资格证明文件、商务与技术文件、报价文件（特别提示：如在投标时要求提供资料原件的，将原件扫描放入电子投标文件）。</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szCs w:val="21"/>
          <w:highlight w:val="none"/>
        </w:rPr>
        <w:t>▲1、资格证明文件的组成：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（1）投标声明书；</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（3）法人或者其他组织的营业执照等证明文件，自然人的身份证明；</w:t>
      </w:r>
    </w:p>
    <w:p>
      <w:pPr>
        <w:snapToGrid w:val="0"/>
        <w:spacing w:line="380" w:lineRule="exact"/>
        <w:ind w:firstLine="420" w:firstLineChars="200"/>
        <w:jc w:val="left"/>
        <w:rPr>
          <w:rFonts w:hint="default" w:ascii="Times New Roman" w:hAnsi="Times New Roman" w:cs="Times New Roman"/>
        </w:rPr>
      </w:pPr>
      <w:r>
        <w:rPr>
          <w:rFonts w:hint="default" w:ascii="Times New Roman" w:hAnsi="Times New Roman" w:cs="Times New Roman"/>
          <w:szCs w:val="21"/>
        </w:rPr>
        <w:t>（4）</w:t>
      </w:r>
      <w:r>
        <w:rPr>
          <w:rFonts w:hint="default" w:ascii="Times New Roman" w:hAnsi="Times New Roman" w:eastAsia="宋体" w:cs="Times New Roman"/>
          <w:szCs w:val="21"/>
        </w:rPr>
        <w:t>落实政府采购政策需满足的资格要求</w:t>
      </w:r>
      <w:r>
        <w:rPr>
          <w:rFonts w:hint="default" w:ascii="Times New Roman" w:hAnsi="Times New Roman" w:eastAsia="宋体" w:cs="Times New Roman"/>
          <w:szCs w:val="21"/>
          <w:lang w:eastAsia="zh-CN"/>
        </w:rPr>
        <w:t>（</w:t>
      </w:r>
      <w:r>
        <w:rPr>
          <w:rFonts w:hint="default" w:ascii="Times New Roman" w:hAnsi="Times New Roman" w:cs="Times New Roman"/>
          <w:szCs w:val="21"/>
        </w:rPr>
        <w:t>中小企业声明函</w:t>
      </w:r>
      <w:r>
        <w:rPr>
          <w:rFonts w:hint="default" w:ascii="Times New Roman" w:hAnsi="Times New Roman" w:eastAsia="宋体" w:cs="Times New Roman"/>
          <w:szCs w:val="21"/>
          <w:lang w:eastAsia="zh-CN"/>
        </w:rPr>
        <w:t>）</w:t>
      </w:r>
      <w:r>
        <w:rPr>
          <w:rFonts w:hint="default" w:ascii="Times New Roman" w:hAnsi="Times New Roman" w:cs="Times New Roman"/>
          <w:szCs w:val="21"/>
        </w:rPr>
        <w:t>；</w:t>
      </w:r>
    </w:p>
    <w:p>
      <w:pPr>
        <w:snapToGrid w:val="0"/>
        <w:spacing w:line="380" w:lineRule="exact"/>
        <w:ind w:firstLine="420" w:firstLineChars="200"/>
        <w:jc w:val="left"/>
        <w:rPr>
          <w:rFonts w:hint="default" w:ascii="Times New Roman" w:hAnsi="Times New Roman" w:eastAsia="宋体" w:cs="Times New Roman"/>
          <w:szCs w:val="21"/>
        </w:rPr>
      </w:pPr>
      <w:r>
        <w:rPr>
          <w:rFonts w:hint="default" w:ascii="Times New Roman" w:hAnsi="Times New Roman" w:cs="Times New Roman"/>
          <w:szCs w:val="21"/>
        </w:rPr>
        <w:t>（</w:t>
      </w:r>
      <w:r>
        <w:rPr>
          <w:rFonts w:hint="default" w:ascii="Times New Roman" w:hAnsi="Times New Roman" w:eastAsia="宋体" w:cs="Times New Roman"/>
          <w:szCs w:val="21"/>
        </w:rPr>
        <w:t>5）符合参加政府采购活动应当具备的一般条件的承诺函；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）提供采购公告中符合投标人特定条件的有效资质证书扫描件（投标人特定条件中有要求的必须提供），以及需要说明的其他资料。</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b/>
          <w:color w:val="auto"/>
          <w:szCs w:val="21"/>
          <w:highlight w:val="none"/>
        </w:rPr>
        <w:t>2、商务与技术文件的组成：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（1）投标人情况介绍（人员与技术力量、企业规模、经营业绩等）。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（2）投标方案描述：</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B.项目组织实施方案（包括项目工期、确保项目供货的措施或方案、项目实施进度安排、项目实施人员及项目负责人的资质、类似经验及社保证明等）。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C.验收方案（包括项目验收标准和验收方法等）和措施。</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（3）商务及技术响应表。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（4）投标人通过的质量管理和质量保证体系、环保体系、自主创新相关证书、软件著作权证等等与本项目相关的认证证书或文件。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（5）近三年来类似项目的成功案例（投标人类似项目实施情况一览表、合同原件扫描件及其相应的发票、用户验收报告等。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（6）投标人认为需要提供的其他资料（包括可能影响投标人商务与技术文件评分的各类证明材料）。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（7）售后服务描述及承诺：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A.距采购人最近的服务网点详细介绍（包括地理位置、资质资格、技术力量、工作业绩、服务内容及联系电话等）。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B.针对本项目的售后服务措施及承诺（售后技术服务方案、人员配备、故障响应时间、技术培训方案等）。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3、报价文件的组成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（1）报价文件由开标一览表、报价明细表以及投标人认为其他需要说明的内容组成。</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（2）此报价为投标人一次性报出唯一的最终价格，包含其它一切所要涉及到的费用，有选择的报价将被拒绝。</w:t>
      </w:r>
    </w:p>
    <w:p>
      <w:pPr>
        <w:pStyle w:val="16"/>
        <w:spacing w:line="340" w:lineRule="exact"/>
        <w:ind w:left="0" w:leftChars="0" w:firstLine="420" w:firstLineChars="200"/>
        <w:rPr>
          <w:rStyle w:val="31"/>
          <w:rFonts w:hint="default" w:ascii="Times New Roman" w:hAnsi="Times New Roman" w:eastAsia="宋体" w:cs="Times New Roman"/>
          <w:b w:val="0"/>
          <w:bCs w:val="0"/>
          <w:color w:val="auto"/>
          <w:sz w:val="21"/>
          <w:szCs w:val="21"/>
        </w:rPr>
      </w:pPr>
      <w:r>
        <w:rPr>
          <w:rStyle w:val="31"/>
          <w:rFonts w:hint="default" w:ascii="Times New Roman" w:hAnsi="Times New Roman" w:eastAsia="宋体" w:cs="Times New Roman"/>
          <w:b w:val="0"/>
          <w:bCs w:val="0"/>
          <w:color w:val="auto"/>
          <w:sz w:val="21"/>
          <w:szCs w:val="21"/>
          <w:lang w:val="zh-CN"/>
        </w:rPr>
        <w:t>（</w:t>
      </w:r>
      <w:r>
        <w:rPr>
          <w:rStyle w:val="31"/>
          <w:rFonts w:hint="default" w:ascii="Times New Roman" w:hAnsi="Times New Roman" w:eastAsia="宋体" w:cs="Times New Roman"/>
          <w:b w:val="0"/>
          <w:bCs w:val="0"/>
          <w:color w:val="auto"/>
          <w:sz w:val="21"/>
          <w:szCs w:val="21"/>
        </w:rPr>
        <w:t>3</w:t>
      </w:r>
      <w:r>
        <w:rPr>
          <w:rStyle w:val="31"/>
          <w:rFonts w:hint="default" w:ascii="Times New Roman" w:hAnsi="Times New Roman" w:eastAsia="宋体" w:cs="Times New Roman"/>
          <w:b w:val="0"/>
          <w:bCs w:val="0"/>
          <w:color w:val="auto"/>
          <w:sz w:val="21"/>
          <w:szCs w:val="21"/>
          <w:lang w:val="zh-CN"/>
        </w:rPr>
        <w:t>）总报价</w:t>
      </w:r>
      <w:r>
        <w:rPr>
          <w:rStyle w:val="31"/>
          <w:rFonts w:hint="default" w:ascii="Times New Roman" w:hAnsi="Times New Roman" w:eastAsia="宋体" w:cs="Times New Roman"/>
          <w:b w:val="0"/>
          <w:bCs w:val="0"/>
          <w:color w:val="auto"/>
          <w:sz w:val="21"/>
          <w:szCs w:val="21"/>
        </w:rPr>
        <w:t>是含项目实施所需的药剂、人工、交通、3年综合治理费、提供成果、管理、税费及成果验收、分批次进行审查的会务费、采购代理服务费、合同包含的所有风险责任等各项费用及不可预见费等所需的全部费用。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）投标报价应按招标文件中相关附表格式填写。</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（二）电子投标文件的制作及递交要求</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1、电子投标文件的制作要求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（1）本项目通过“政府采购云平台”（https://www.zcygov.cn/）实行在线投标响应（电子投标）。投标人应通过“政采云电子交易客服端”，并按照本招标文件和“政府采购云平台”的要求编制并加密电子投标文件。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（2）投标人应当按照本章节“投标文件组成”规定的内容及顺序在“政采云电子交易客服端”编制电子投标文件。其中</w:t>
      </w:r>
      <w:r>
        <w:rPr>
          <w:rFonts w:hint="default" w:ascii="Times New Roman" w:hAnsi="Times New Roman" w:cs="Times New Roman"/>
          <w:color w:val="auto"/>
          <w:szCs w:val="21"/>
          <w:highlight w:val="none"/>
          <w:lang w:val="zh-CN"/>
        </w:rPr>
        <w:t>《资格</w:t>
      </w:r>
      <w:r>
        <w:rPr>
          <w:rFonts w:hint="default" w:ascii="Times New Roman" w:hAnsi="Times New Roman" w:cs="Times New Roman"/>
          <w:color w:val="auto"/>
          <w:szCs w:val="21"/>
          <w:highlight w:val="none"/>
        </w:rPr>
        <w:t>证明</w:t>
      </w:r>
      <w:r>
        <w:rPr>
          <w:rFonts w:hint="default" w:ascii="Times New Roman" w:hAnsi="Times New Roman" w:cs="Times New Roman"/>
          <w:color w:val="auto"/>
          <w:szCs w:val="21"/>
          <w:highlight w:val="none"/>
          <w:lang w:val="zh-CN"/>
        </w:rPr>
        <w:t>文件》</w:t>
      </w:r>
      <w:r>
        <w:rPr>
          <w:rFonts w:hint="default" w:ascii="Times New Roman" w:hAnsi="Times New Roman" w:cs="Times New Roman"/>
          <w:color w:val="auto"/>
          <w:szCs w:val="21"/>
          <w:highlight w:val="none"/>
        </w:rPr>
        <w:t>和</w:t>
      </w:r>
      <w:r>
        <w:rPr>
          <w:rFonts w:hint="default" w:ascii="Times New Roman" w:hAnsi="Times New Roman" w:cs="Times New Roman"/>
          <w:color w:val="auto"/>
          <w:szCs w:val="21"/>
          <w:highlight w:val="none"/>
          <w:lang w:val="zh-CN"/>
        </w:rPr>
        <w:t>《商务</w:t>
      </w:r>
      <w:r>
        <w:rPr>
          <w:rFonts w:hint="default" w:ascii="Times New Roman" w:hAnsi="Times New Roman" w:cs="Times New Roman"/>
          <w:color w:val="auto"/>
          <w:szCs w:val="21"/>
          <w:highlight w:val="none"/>
          <w:lang w:val="en-US" w:eastAsia="zh-CN"/>
        </w:rPr>
        <w:t>与</w:t>
      </w:r>
      <w:r>
        <w:rPr>
          <w:rFonts w:hint="default" w:ascii="Times New Roman" w:hAnsi="Times New Roman" w:cs="Times New Roman"/>
          <w:color w:val="auto"/>
          <w:szCs w:val="21"/>
          <w:highlight w:val="none"/>
          <w:lang w:val="zh-CN"/>
        </w:rPr>
        <w:t>技术文件》</w:t>
      </w:r>
      <w:r>
        <w:rPr>
          <w:rFonts w:hint="default" w:ascii="Times New Roman" w:hAnsi="Times New Roman" w:cs="Times New Roman"/>
          <w:color w:val="auto"/>
          <w:szCs w:val="21"/>
          <w:highlight w:val="none"/>
        </w:rPr>
        <w:t>中不得出现本项目投标报价，如因投标人原因提前泄露投标报价，是投标人的责任。</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应对所提供的全部资料的真实性承担法律责任，本文件中有提供格式的，投标人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zh-CN"/>
        </w:rPr>
        <w:t>）</w:t>
      </w:r>
      <w:r>
        <w:rPr>
          <w:rFonts w:hint="default" w:ascii="Times New Roman" w:hAnsi="Times New Roman" w:cs="Times New Roman"/>
          <w:color w:val="auto"/>
          <w:szCs w:val="21"/>
          <w:highlight w:val="none"/>
        </w:rPr>
        <w:t>电子投标文件以及投标人与采购组织机构就有关投标事宜的所有来往函电，均应以中文汉语书写。除签字、盖章、专用名称等特殊情形外，以中文汉语以外的文字表述的投标文件视同未提供。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（6）若投标人不按招标文件的要求提供资格审查材料，其风险由投标人自行承担。</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（7）与本次投标无关的内容请不要制作在内，确保投标文件有针对性、简洁明了。</w:t>
      </w:r>
    </w:p>
    <w:p>
      <w:pPr>
        <w:keepNext w:val="0"/>
        <w:keepLines w:val="0"/>
        <w:pageBreakBefore w:val="0"/>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2、电子投标文件的递交要求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（1）电子投标文件的上传、递交：见《前附表》。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（2）“电子加密投标文件”解密和异常情况处理：见《前附表》。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（3）电子投标文件的补充、修改或撤回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投标截止时间后，投标人不得撤回、修改“电子加密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（4）投标文件的备选方案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投标人不得递交任何的投标备选（替代）方案，否则其投标文件将作无效标处理。与“电子加密投标文件”同时生成的“备份电子加密投标文件”不是投标备选（替代）方案。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（5）投标截止期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投标人应按前附表中规定的时间、地点将电子投标文件递交给采购人，采购人或采购代理机构将拒绝接受逾期送达的电子投标文件；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（三）投标文件的有效期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GB"/>
        </w:rPr>
        <w:t>自投标截止日起90天</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投标文件应保持有效。有效期不足的</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投标文件将被拒绝。</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GB"/>
        </w:rPr>
        <w:t>在特殊情况下，采购人可与投标人协商延长</w:t>
      </w: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GB"/>
        </w:rPr>
        <w:t>投标文件的有效期，这种要求和答复均以书面形式进行。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3、中标人的电子投标文件自开标之日起至合同履行完毕均应保持有效。</w:t>
      </w:r>
    </w:p>
    <w:p>
      <w:pPr>
        <w:keepNext w:val="0"/>
        <w:keepLines w:val="0"/>
        <w:pageBreakBefore w:val="0"/>
        <w:kinsoku/>
        <w:wordWrap/>
        <w:overflowPunct/>
        <w:topLinePunct w:val="0"/>
        <w:autoSpaceDE w:val="0"/>
        <w:autoSpaceDN w:val="0"/>
        <w:bidi w:val="0"/>
        <w:adjustRightInd w:val="0"/>
        <w:spacing w:line="380" w:lineRule="exact"/>
        <w:textAlignment w:val="auto"/>
        <w:rPr>
          <w:rFonts w:hint="default" w:ascii="Times New Roman" w:hAnsi="Times New Roman" w:cs="Times New Roman" w:eastAsiaTheme="minorEastAsia"/>
          <w:b/>
          <w:color w:val="auto"/>
          <w:kern w:val="0"/>
          <w:szCs w:val="21"/>
          <w:highlight w:val="none"/>
          <w:lang w:val="en-GB"/>
        </w:rPr>
      </w:pPr>
      <w:r>
        <w:rPr>
          <w:rFonts w:hint="default" w:ascii="Times New Roman" w:hAnsi="Times New Roman" w:cs="Times New Roman" w:eastAsiaTheme="minorEastAsia"/>
          <w:b/>
          <w:color w:val="auto"/>
          <w:kern w:val="0"/>
          <w:szCs w:val="21"/>
          <w:highlight w:val="none"/>
          <w:lang w:val="en-GB"/>
        </w:rPr>
        <w:t>四、开标</w:t>
      </w:r>
    </w:p>
    <w:p>
      <w:pPr>
        <w:keepNext w:val="0"/>
        <w:keepLines w:val="0"/>
        <w:pageBreakBefore w:val="0"/>
        <w:tabs>
          <w:tab w:val="left" w:pos="1898"/>
        </w:tabs>
        <w:kinsoku/>
        <w:wordWrap/>
        <w:overflowPunct/>
        <w:topLinePunct w:val="0"/>
        <w:autoSpaceDE w:val="0"/>
        <w:autoSpaceDN w:val="0"/>
        <w:bidi w:val="0"/>
        <w:adjustRightInd w:val="0"/>
        <w:spacing w:line="380" w:lineRule="exact"/>
        <w:ind w:firstLine="211" w:firstLineChars="1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（一）开标形式</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采购组织机构将按照采购文件规定的时间通过“政府采购云平台”组织开标、开启投标文件，所有投标人均应当准时在线参加。</w:t>
      </w:r>
    </w:p>
    <w:p>
      <w:pPr>
        <w:pStyle w:val="15"/>
        <w:keepNext w:val="0"/>
        <w:keepLines w:val="0"/>
        <w:pageBreakBefore w:val="0"/>
        <w:kinsoku/>
        <w:wordWrap/>
        <w:overflowPunct/>
        <w:topLinePunct w:val="0"/>
        <w:bidi w:val="0"/>
        <w:snapToGrid w:val="0"/>
        <w:spacing w:line="380" w:lineRule="exact"/>
        <w:ind w:right="199" w:rightChars="95" w:firstLine="211" w:firstLineChars="100"/>
        <w:textAlignment w:val="auto"/>
        <w:outlineLvl w:val="1"/>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（二） 开标准备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1、开标的准备工作由采购组织机构负责落实；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5"/>
        <w:keepNext w:val="0"/>
        <w:keepLines w:val="0"/>
        <w:pageBreakBefore w:val="0"/>
        <w:kinsoku/>
        <w:wordWrap/>
        <w:overflowPunct/>
        <w:topLinePunct w:val="0"/>
        <w:bidi w:val="0"/>
        <w:snapToGrid w:val="0"/>
        <w:spacing w:line="380" w:lineRule="exact"/>
        <w:ind w:right="199" w:rightChars="95" w:firstLine="211" w:firstLineChars="100"/>
        <w:textAlignment w:val="auto"/>
        <w:outlineLvl w:val="1"/>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（三）开标流程（两阶段）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开标第一阶段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向各投标人发出电子加密投标文件【开始解密】通知，由投标人按采购文件规定的时间内自行进行投标文件解密。投标人在规定的时间内无法完成已递交的“电子加密投标文件”解密的或解密失败，如已按规定递交了“备份电子加密投标文件”的，将由采购组织机构按“政府采购云平台”操作规范将“备份电子加密投标文件”上传至“政府采购云平台”，以完成开标，“电子加密投标文件”自动失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（2）进入资格审查；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（3）资格审查结束后投标人的商务</w:t>
      </w:r>
      <w:r>
        <w:rPr>
          <w:rFonts w:hint="default" w:ascii="Times New Roman" w:hAnsi="Times New Roman" w:cs="Times New Roman"/>
          <w:color w:val="auto"/>
          <w:szCs w:val="21"/>
          <w:highlight w:val="none"/>
          <w:lang w:val="en-US" w:eastAsia="zh-CN"/>
        </w:rPr>
        <w:t>与</w:t>
      </w:r>
      <w:r>
        <w:rPr>
          <w:rFonts w:hint="default" w:ascii="Times New Roman" w:hAnsi="Times New Roman" w:cs="Times New Roman"/>
          <w:color w:val="auto"/>
          <w:szCs w:val="21"/>
          <w:highlight w:val="none"/>
        </w:rPr>
        <w:t>技术文件进入符合性审查、商务技术评审；</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（4）第一阶段开标结束。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开标第二阶段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（1）符合性审查、资信技术评审结束后，公布符合性审查、资信技术评审无效投标人名称及理由；公布经资信技术评审后有效投标人的名单，同时公布其资信技术得分情况。</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（2）开启符合性审查、资信技术评审有效投标人的《报价文件》，公布开标一览表有关内容，同时当场制作开标记录表。唱标结束后，由评标委员会对报价的合理性、准确性等进行审查核实。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（3）评审结束后，公布中标（成交）候选供应商名单，及采购人最终确定中标或成交供应商名单的时间和公告方式等。</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特别说明：开标细则按政采云电子评标流程进行。如遇“政府采购云平台”电子化开标或评审程序调整的，按调整后程序执行。</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五、评标</w:t>
      </w:r>
    </w:p>
    <w:p>
      <w:pPr>
        <w:pStyle w:val="15"/>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（一）组建评标委员会</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本项目评标委员会由政府采购评审专家和采购单位评审代表组成。</w:t>
      </w:r>
    </w:p>
    <w:p>
      <w:pPr>
        <w:pStyle w:val="15"/>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（二）</w:t>
      </w:r>
      <w:r>
        <w:rPr>
          <w:rFonts w:hint="default" w:ascii="Times New Roman" w:hAnsi="Times New Roman" w:cs="Times New Roman"/>
          <w:b/>
          <w:bCs/>
          <w:color w:val="auto"/>
          <w:szCs w:val="21"/>
          <w:highlight w:val="none"/>
        </w:rPr>
        <w:t>评标程序</w:t>
      </w:r>
    </w:p>
    <w:p>
      <w:pPr>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1、资格审查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公开招标采购项目开标结束后，采购人或者采购组织机构应当依法对投标人的资格进行审查，对审查发现无效的进行必要的询标，结束后在线公布无效投标的投标人名单、投标无效的原因。</w:t>
      </w:r>
    </w:p>
    <w:p>
      <w:pPr>
        <w:pStyle w:val="22"/>
        <w:keepNext w:val="0"/>
        <w:keepLines w:val="0"/>
        <w:pageBreakBefore w:val="0"/>
        <w:kinsoku/>
        <w:wordWrap/>
        <w:overflowPunct/>
        <w:topLinePunct w:val="0"/>
        <w:bidi w:val="0"/>
        <w:spacing w:before="0" w:beforeAutospacing="0" w:after="0" w:afterAutospacing="0" w:line="380" w:lineRule="exact"/>
        <w:ind w:firstLine="413" w:firstLineChars="196"/>
        <w:jc w:val="both"/>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2、符合性审查</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22"/>
        <w:keepNext w:val="0"/>
        <w:keepLines w:val="0"/>
        <w:pageBreakBefore w:val="0"/>
        <w:kinsoku/>
        <w:wordWrap/>
        <w:overflowPunct/>
        <w:topLinePunct w:val="0"/>
        <w:bidi w:val="0"/>
        <w:spacing w:before="0" w:beforeAutospacing="0" w:after="0" w:afterAutospacing="0" w:line="380" w:lineRule="exact"/>
        <w:ind w:firstLine="422"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3、综合比较与评价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（1）对于电子投标文件中含义不明确、同类问题表述不一致或者有明显文字和计算错误的内容，评标委员会应当以在线形式要求投标人作出必要的澄清、说明或者补正。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（2）评标委员会应当按照招标文件中规定的评标方法和标准，对符合性审查合格的电子投标文件进行商务和技术评估，综合比较与评价。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（3）评标时，评标委员会各成员应当独立对每个投标人的电子投标文件进行评价，并汇总每个投标人的得分。</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4、得分确认及评审报告编写</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（1）评标委员会对报价文件进行复核，对于系统计算出的价格分及总得分进行确认。</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（2）评标委员会应当按照招标文件中规定的评标方法和标准，对符合性审查合格的电子投标文件进行商务和技术评估，综合比较与评价。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5、评价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采购组织机构对评标委员会评审专家进行评价。</w:t>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（三）澄清问题的形式</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5"/>
        <w:keepNext w:val="0"/>
        <w:keepLines w:val="0"/>
        <w:pageBreakBefore w:val="0"/>
        <w:kinsoku/>
        <w:wordWrap/>
        <w:overflowPunct/>
        <w:topLinePunct w:val="0"/>
        <w:bidi w:val="0"/>
        <w:snapToGrid w:val="0"/>
        <w:spacing w:line="380" w:lineRule="exact"/>
        <w:ind w:left="690" w:leftChars="228" w:hanging="211" w:hangingChars="100"/>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（四）错误修正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1、电子投标文件中开标一览表（报价表）内容与电子投标文件中相应内容不一致的，以开标一览表（报价表）为准；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同时出现两种以上不一致的，按照前款规定的顺序修正。修正应当采用电子询标，并加盖公章（电子签章）。修正后的报价经投标人确认后产生约束力，投标人不确认的，其投标无效。</w:t>
      </w:r>
    </w:p>
    <w:p>
      <w:pPr>
        <w:pStyle w:val="22"/>
        <w:keepNext w:val="0"/>
        <w:keepLines w:val="0"/>
        <w:pageBreakBefore w:val="0"/>
        <w:kinsoku/>
        <w:wordWrap/>
        <w:overflowPunct/>
        <w:topLinePunct w:val="0"/>
        <w:bidi w:val="0"/>
        <w:spacing w:before="0" w:beforeAutospacing="0" w:after="0" w:afterAutospacing="0" w:line="380" w:lineRule="exact"/>
        <w:ind w:firstLine="316" w:firstLineChars="150"/>
        <w:jc w:val="both"/>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bCs/>
          <w:color w:val="auto"/>
          <w:sz w:val="21"/>
          <w:szCs w:val="21"/>
          <w:highlight w:val="none"/>
        </w:rPr>
        <w:t>（五）</w:t>
      </w:r>
      <w:r>
        <w:rPr>
          <w:rFonts w:hint="default" w:ascii="Times New Roman" w:hAnsi="Times New Roman" w:cs="Times New Roman"/>
          <w:b/>
          <w:color w:val="auto"/>
          <w:sz w:val="21"/>
          <w:szCs w:val="21"/>
          <w:highlight w:val="none"/>
        </w:rPr>
        <w:t>投标人存在下列情况之一的，投标无效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1、在资格证明文件或商务与技术文件中出现投标报价的，或者报价文件中报价的货物跟商务与技术文件中的投标货物出现重大偏差的。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2、不具备招标文件中规定的资格要求的。</w:t>
      </w:r>
      <w:r>
        <w:rPr>
          <w:rFonts w:hint="default" w:ascii="Times New Roman" w:hAnsi="Times New Roman" w:cs="Times New Roman"/>
          <w:color w:val="auto"/>
          <w:szCs w:val="21"/>
          <w:highlight w:val="none"/>
        </w:rPr>
        <w:tab/>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3、电子投标文件含有采购人不能接受的附加条件的。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5、报价超过招标文件中规定的预算金额/最高限价。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6、投标参数未如实填写，完全复制粘贴招标参数的。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7、电子投标文件提供虚假材料的。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8、不符合中华人民共和国财政部令第87号《政府采购货物和服务招标投标管理办法》第三十七条情形之一的，视为投标人串通投标，其投标无效，并移送采购监管部门：</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（1）不同投标人的电子投标文件由同一单位或者个人编制；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（3）不同投标人的电子投标文件载明的项目管理成员或者联系人员为同一人；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（4）不同投标人的电子投标文件异常一致或者投标报价呈规律性差异。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9、不符合法律、法规和招标文件中规定的其他实质性要求的（招标文件中打“▲”内容及被拒绝的条款）。</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10、商务条款不响应。</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11、“电子加密投标文件”未按时解密，又未提供“备份电子加密投标文件”的。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12、投标人仅提交“备份电子加密投标文件”的。</w:t>
      </w:r>
    </w:p>
    <w:p>
      <w:pPr>
        <w:keepNext w:val="0"/>
        <w:keepLines w:val="0"/>
        <w:pageBreakBefore w:val="0"/>
        <w:kinsoku/>
        <w:wordWrap/>
        <w:overflowPunct/>
        <w:topLinePunct w:val="0"/>
        <w:autoSpaceDE w:val="0"/>
        <w:autoSpaceDN w:val="0"/>
        <w:bidi w:val="0"/>
        <w:adjustRightInd w:val="0"/>
        <w:spacing w:line="380" w:lineRule="exact"/>
        <w:ind w:left="480"/>
        <w:textAlignment w:val="auto"/>
        <w:rPr>
          <w:rFonts w:hint="default" w:ascii="Times New Roman" w:hAnsi="Times New Roman" w:cs="Times New Roman"/>
          <w:color w:val="auto"/>
          <w:kern w:val="0"/>
          <w:szCs w:val="21"/>
          <w:highlight w:val="none"/>
        </w:rPr>
      </w:pPr>
      <w:r>
        <w:rPr>
          <w:rFonts w:hint="default" w:ascii="Times New Roman" w:hAnsi="Times New Roman" w:cs="Times New Roman"/>
          <w:b/>
          <w:color w:val="auto"/>
          <w:kern w:val="0"/>
          <w:szCs w:val="21"/>
          <w:highlight w:val="none"/>
        </w:rPr>
        <w:t>（六）有下列情况之一的，本次招标作为废标处理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2、评标委员会发现招标文件存在歧义、重大缺陷导致评标工作无法进行，或者招标文件内容违反国家有关强制性规定的； </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3、因重大变故，采购任务取消的；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4、法律、法规和招标文件规定的其他导致评标结果无效的。</w:t>
      </w:r>
    </w:p>
    <w:p>
      <w:pPr>
        <w:pStyle w:val="15"/>
        <w:keepNext w:val="0"/>
        <w:keepLines w:val="0"/>
        <w:pageBreakBefore w:val="0"/>
        <w:tabs>
          <w:tab w:val="left" w:pos="630"/>
        </w:tabs>
        <w:kinsoku/>
        <w:wordWrap/>
        <w:overflowPunct/>
        <w:topLinePunct w:val="0"/>
        <w:bidi w:val="0"/>
        <w:snapToGrid w:val="0"/>
        <w:spacing w:line="380" w:lineRule="exact"/>
        <w:ind w:firstLine="413" w:firstLineChars="196"/>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（七）评标原则和评标办法</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2、评标办法。具体评标内容及评分标准等详见《第三章：评标方法及评分标准》。</w:t>
      </w:r>
    </w:p>
    <w:p>
      <w:pPr>
        <w:pStyle w:val="15"/>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（八）评标过程的监控</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六、定标</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2、发布中标结果公告。采购组织机构应当自中标人确定之日起2个工作日内，在省级以上财政部门指定的媒体及相关网站上公告中标结果，招标文件应当随中标结果同时公告。</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3、发出中标通知书。采购组织机构在发布中标结果的同时，向中标人发出中标通知书。</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七、合同签订及公告</w:t>
      </w:r>
    </w:p>
    <w:p>
      <w:pPr>
        <w:keepNext w:val="0"/>
        <w:keepLines w:val="0"/>
        <w:pageBreakBefore w:val="0"/>
        <w:kinsoku/>
        <w:wordWrap/>
        <w:overflowPunct/>
        <w:topLinePunct w:val="0"/>
        <w:bidi w:val="0"/>
        <w:spacing w:line="380" w:lineRule="exact"/>
        <w:ind w:firstLine="422" w:firstLineChars="200"/>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szCs w:val="21"/>
          <w:highlight w:val="none"/>
        </w:rPr>
        <w:t>（一）签订合同</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1、采购人应当自中标通知书发出之日起</w:t>
      </w:r>
      <w:r>
        <w:rPr>
          <w:rFonts w:hint="default" w:ascii="Times New Roman" w:hAnsi="Times New Roman" w:cs="Times New Roman"/>
          <w:color w:val="auto"/>
          <w:szCs w:val="21"/>
          <w:highlight w:val="none"/>
          <w:lang w:val="en-US" w:eastAsia="zh-CN"/>
        </w:rPr>
        <w:t>10个工作</w:t>
      </w:r>
      <w:r>
        <w:rPr>
          <w:rFonts w:hint="default" w:ascii="Times New Roman" w:hAnsi="Times New Roman" w:cs="Times New Roman"/>
          <w:color w:val="auto"/>
          <w:szCs w:val="21"/>
          <w:highlight w:val="none"/>
        </w:rPr>
        <w:t>日内，按照招标文件和中标人电子投标文件的规定，与中标人签订书面合同。所签订的合同不得对招标文件确定的事项和中标人投标文件作实质性修改。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3、中标人无故拖延、拒签合同的,取消中标资格。</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pStyle w:val="22"/>
        <w:keepNext w:val="0"/>
        <w:keepLines w:val="0"/>
        <w:pageBreakBefore w:val="0"/>
        <w:kinsoku/>
        <w:wordWrap/>
        <w:overflowPunct/>
        <w:topLinePunct w:val="0"/>
        <w:bidi w:val="0"/>
        <w:spacing w:before="0" w:beforeAutospacing="0" w:after="0" w:afterAutospacing="0" w:line="380" w:lineRule="exact"/>
        <w:ind w:firstLine="371" w:firstLineChars="17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（二）合同公告及备案</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2、采购人应当自政府采购合同签订之日起7个工作日内，将政府采购合同通过政采云网站提交至同级人民政府财政部门备案以及采购组织机构存档。</w:t>
      </w:r>
    </w:p>
    <w:p>
      <w:pPr>
        <w:pStyle w:val="15"/>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八、招标代理服务费</w:t>
      </w:r>
    </w:p>
    <w:p>
      <w:pPr>
        <w:pStyle w:val="15"/>
        <w:spacing w:line="340" w:lineRule="exact"/>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中标人</w:t>
      </w:r>
      <w:r>
        <w:rPr>
          <w:rFonts w:hint="default" w:ascii="Times New Roman" w:hAnsi="Times New Roman" w:cs="Times New Roman"/>
          <w:b/>
          <w:bCs/>
          <w:color w:val="000000"/>
          <w:szCs w:val="21"/>
        </w:rPr>
        <w:t>在领取</w:t>
      </w:r>
      <w:r>
        <w:rPr>
          <w:rFonts w:hint="default" w:ascii="Times New Roman" w:hAnsi="Times New Roman" w:cs="Times New Roman"/>
          <w:b/>
          <w:bCs/>
          <w:color w:val="000000"/>
          <w:szCs w:val="21"/>
          <w:lang w:val="en-US" w:eastAsia="zh-CN"/>
        </w:rPr>
        <w:t>中标</w:t>
      </w:r>
      <w:r>
        <w:rPr>
          <w:rFonts w:hint="default" w:ascii="Times New Roman" w:hAnsi="Times New Roman" w:cs="Times New Roman"/>
          <w:b/>
          <w:bCs/>
          <w:color w:val="000000"/>
          <w:szCs w:val="21"/>
        </w:rPr>
        <w:t>通知书前向</w:t>
      </w:r>
      <w:r>
        <w:rPr>
          <w:rFonts w:hint="default" w:ascii="Times New Roman" w:hAnsi="Times New Roman" w:cs="Times New Roman"/>
          <w:b/>
          <w:bCs/>
          <w:color w:val="000000"/>
          <w:szCs w:val="21"/>
          <w:lang w:val="en-US" w:eastAsia="zh-CN"/>
        </w:rPr>
        <w:t>招标</w:t>
      </w:r>
      <w:r>
        <w:rPr>
          <w:rFonts w:hint="default" w:ascii="Times New Roman" w:hAnsi="Times New Roman" w:cs="Times New Roman"/>
          <w:b/>
          <w:bCs/>
          <w:color w:val="000000"/>
          <w:szCs w:val="21"/>
        </w:rPr>
        <w:t>代理机构支付</w:t>
      </w:r>
      <w:r>
        <w:rPr>
          <w:rFonts w:hint="default" w:ascii="Times New Roman" w:hAnsi="Times New Roman" w:cs="Times New Roman"/>
          <w:b/>
          <w:bCs/>
          <w:color w:val="000000"/>
          <w:szCs w:val="21"/>
          <w:lang w:val="en-US" w:eastAsia="zh-CN"/>
        </w:rPr>
        <w:t>招标</w:t>
      </w:r>
      <w:r>
        <w:rPr>
          <w:rFonts w:hint="default" w:ascii="Times New Roman" w:hAnsi="Times New Roman" w:cs="Times New Roman"/>
          <w:b/>
          <w:bCs/>
          <w:color w:val="000000"/>
          <w:szCs w:val="21"/>
        </w:rPr>
        <w:t>代理服务费</w:t>
      </w:r>
      <w:r>
        <w:rPr>
          <w:rFonts w:hint="default" w:ascii="Times New Roman" w:hAnsi="Times New Roman" w:cs="Times New Roman"/>
          <w:b/>
          <w:bCs/>
          <w:color w:val="000000"/>
          <w:szCs w:val="21"/>
          <w:u w:val="single"/>
        </w:rPr>
        <w:t>人民币捌仟元整</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lang w:val="en-US" w:eastAsia="zh-CN"/>
        </w:rPr>
        <w:t>招标</w:t>
      </w:r>
      <w:r>
        <w:rPr>
          <w:rFonts w:hint="default" w:ascii="Times New Roman" w:hAnsi="Times New Roman" w:cs="Times New Roman"/>
          <w:b/>
          <w:bCs/>
          <w:color w:val="000000"/>
          <w:szCs w:val="21"/>
        </w:rPr>
        <w:t>代理服务费已包含在</w:t>
      </w:r>
      <w:r>
        <w:rPr>
          <w:rFonts w:hint="default" w:ascii="Times New Roman" w:hAnsi="Times New Roman" w:cs="Times New Roman"/>
          <w:b/>
          <w:bCs/>
          <w:color w:val="000000"/>
          <w:szCs w:val="21"/>
          <w:lang w:val="en-US" w:eastAsia="zh-CN"/>
        </w:rPr>
        <w:t>投标</w:t>
      </w:r>
      <w:r>
        <w:rPr>
          <w:rFonts w:hint="default" w:ascii="Times New Roman" w:hAnsi="Times New Roman" w:cs="Times New Roman"/>
          <w:b/>
          <w:bCs/>
          <w:color w:val="000000"/>
          <w:szCs w:val="21"/>
        </w:rPr>
        <w:t>总报价中。</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lang w:eastAsia="zh-CN"/>
        </w:rPr>
      </w:pP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rPr>
          <w:rFonts w:hint="default" w:ascii="Times New Roman" w:hAnsi="Times New Roman" w:cs="Times New Roman"/>
        </w:rPr>
      </w:pPr>
    </w:p>
    <w:p>
      <w:pPr>
        <w:rPr>
          <w:rFonts w:hint="default" w:ascii="Times New Roman" w:hAnsi="Times New Roman" w:cs="Times New Roman"/>
          <w:color w:val="auto"/>
          <w:szCs w:val="21"/>
          <w:highlight w:val="none"/>
        </w:rPr>
      </w:pPr>
    </w:p>
    <w:p>
      <w:pPr>
        <w:spacing w:line="700" w:lineRule="exact"/>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第三章  评标办法及评分标准</w:t>
      </w:r>
    </w:p>
    <w:p>
      <w:pPr>
        <w:autoSpaceDE w:val="0"/>
        <w:autoSpaceDN w:val="0"/>
        <w:spacing w:line="100" w:lineRule="exact"/>
        <w:ind w:firstLine="480" w:firstLineChars="200"/>
        <w:rPr>
          <w:rFonts w:hint="default" w:ascii="Times New Roman" w:hAnsi="Times New Roman" w:cs="Times New Roman" w:eastAsiaTheme="minorEastAsia"/>
          <w:color w:val="auto"/>
          <w:kern w:val="0"/>
          <w:sz w:val="24"/>
          <w:highlight w:val="none"/>
        </w:rPr>
      </w:pPr>
    </w:p>
    <w:p>
      <w:pPr>
        <w:keepNext w:val="0"/>
        <w:keepLines w:val="0"/>
        <w:pageBreakBefore w:val="0"/>
        <w:widowControl w:val="0"/>
        <w:kinsoku/>
        <w:wordWrap/>
        <w:overflowPunct/>
        <w:topLinePunct w:val="0"/>
        <w:autoSpaceDE w:val="0"/>
        <w:autoSpaceDN w:val="0"/>
        <w:bidi w:val="0"/>
        <w:snapToGrid/>
        <w:spacing w:line="390" w:lineRule="exact"/>
        <w:ind w:firstLine="420" w:firstLineChars="200"/>
        <w:textAlignment w:val="auto"/>
        <w:rPr>
          <w:rFonts w:hint="default" w:ascii="Times New Roman" w:hAnsi="Times New Roman" w:cs="Times New Roman"/>
          <w:b/>
          <w:i/>
          <w:color w:val="auto"/>
          <w:kern w:val="0"/>
          <w:szCs w:val="21"/>
          <w:highlight w:val="none"/>
        </w:rPr>
      </w:pPr>
      <w:r>
        <w:rPr>
          <w:rFonts w:hint="default" w:ascii="Times New Roman" w:hAnsi="Times New Roman" w:cs="Times New Roman"/>
          <w:color w:val="auto"/>
          <w:kern w:val="0"/>
          <w:szCs w:val="21"/>
          <w:highlight w:val="none"/>
        </w:rPr>
        <w:t>一、采购组织机构将组织评标委员会，对投标人提供的电子投标文件进行综合评审。</w:t>
      </w:r>
    </w:p>
    <w:p>
      <w:pPr>
        <w:keepNext w:val="0"/>
        <w:keepLines w:val="0"/>
        <w:pageBreakBefore w:val="0"/>
        <w:widowControl w:val="0"/>
        <w:kinsoku/>
        <w:wordWrap/>
        <w:overflowPunct/>
        <w:topLinePunct w:val="0"/>
        <w:bidi w:val="0"/>
        <w:snapToGrid/>
        <w:spacing w:line="390" w:lineRule="exact"/>
        <w:ind w:firstLine="420" w:firstLineChars="200"/>
        <w:contextualSpacing/>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rPr>
        <w:t>二、本次招标项目的评标方法为综合评分法，总计100分，</w:t>
      </w:r>
      <w:r>
        <w:rPr>
          <w:rFonts w:hint="default" w:ascii="Times New Roman" w:hAnsi="Times New Roman" w:cs="Times New Roman"/>
          <w:color w:val="auto"/>
          <w:szCs w:val="21"/>
          <w:highlight w:val="none"/>
        </w:rPr>
        <w:t>最终得分为商务与技术文件得分+投标报价得分，以四舍五入法整合到小数点后二位</w:t>
      </w:r>
      <w:r>
        <w:rPr>
          <w:rFonts w:hint="default" w:ascii="Times New Roman" w:hAnsi="Times New Roman" w:cs="Times New Roman"/>
          <w:color w:val="auto"/>
          <w:kern w:val="0"/>
          <w:szCs w:val="21"/>
          <w:highlight w:val="none"/>
          <w:lang w:bidi="ar"/>
        </w:rPr>
        <w:t>。</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390" w:lineRule="exact"/>
        <w:ind w:left="19" w:leftChars="9" w:firstLine="401" w:firstLineChars="191"/>
        <w:jc w:val="lef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（三）投标报价得分采用低价优先法计算，即满足招标文件要求且投标价格最低的投标报价为评标基准价，其报价得满分。其他投标人的投标报价得分按下列公式计算：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投标报价得分=（评标基准价／投标报价）×</w:t>
      </w:r>
      <w:r>
        <w:rPr>
          <w:rFonts w:hint="default" w:ascii="Times New Roman" w:hAnsi="Times New Roman" w:cs="Times New Roman"/>
          <w:color w:val="auto"/>
          <w:szCs w:val="21"/>
          <w:highlight w:val="none"/>
          <w:u w:val="single"/>
          <w:lang w:val="en-US" w:eastAsia="zh-CN"/>
        </w:rPr>
        <w:t>2</w:t>
      </w:r>
      <w:r>
        <w:rPr>
          <w:rFonts w:hint="default" w:ascii="Times New Roman" w:hAnsi="Times New Roman" w:cs="Times New Roman"/>
          <w:color w:val="auto"/>
          <w:szCs w:val="21"/>
          <w:highlight w:val="none"/>
          <w:u w:val="single"/>
        </w:rPr>
        <w:t>0%×100</w:t>
      </w:r>
      <w:r>
        <w:rPr>
          <w:rFonts w:hint="default" w:ascii="Times New Roman" w:hAnsi="Times New Roman" w:cs="Times New Roman"/>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390" w:lineRule="exact"/>
        <w:ind w:right="85" w:firstLine="420" w:firstLineChars="200"/>
        <w:textAlignment w:val="auto"/>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五、提供相同品牌产品的不同投标人参加同一合同项下投标的，按一家</w:t>
      </w:r>
      <w:r>
        <w:rPr>
          <w:rFonts w:hint="default" w:ascii="Times New Roman" w:hAnsi="Times New Roman" w:cs="Times New Roman"/>
          <w:color w:val="auto"/>
          <w:szCs w:val="21"/>
          <w:highlight w:val="none"/>
        </w:rPr>
        <w:t>投标人</w:t>
      </w:r>
      <w:r>
        <w:rPr>
          <w:rFonts w:hint="default" w:ascii="Times New Roman" w:hAnsi="Times New Roman" w:cs="Times New Roman"/>
          <w:color w:val="auto"/>
          <w:szCs w:val="21"/>
          <w:highlight w:val="none"/>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szCs w:val="21"/>
          <w:highlight w:val="none"/>
          <w:lang w:bidi="ar"/>
        </w:rPr>
      </w:pPr>
      <w:r>
        <w:rPr>
          <w:rFonts w:hint="default" w:ascii="Times New Roman" w:hAnsi="Times New Roman" w:cs="Times New Roman"/>
          <w:color w:val="auto"/>
          <w:kern w:val="0"/>
          <w:szCs w:val="21"/>
          <w:highlight w:val="none"/>
        </w:rPr>
        <w:t>六、本次评分具体分值细化条款如下表</w:t>
      </w:r>
      <w:r>
        <w:rPr>
          <w:rFonts w:hint="default" w:ascii="Times New Roman" w:hAnsi="Times New Roman" w:cs="Times New Roman"/>
          <w:color w:val="auto"/>
          <w:szCs w:val="21"/>
          <w:highlight w:val="none"/>
          <w:lang w:bidi="ar"/>
        </w:rPr>
        <w:t>：</w:t>
      </w:r>
    </w:p>
    <w:tbl>
      <w:tblPr>
        <w:tblStyle w:val="26"/>
        <w:tblpPr w:leftFromText="180" w:rightFromText="180" w:vertAnchor="text" w:horzAnchor="page" w:tblpX="1390" w:tblpY="452"/>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433"/>
        <w:gridCol w:w="687"/>
        <w:gridCol w:w="462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59"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序号</w:t>
            </w:r>
          </w:p>
        </w:tc>
        <w:tc>
          <w:tcPr>
            <w:tcW w:w="1433"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评审因素</w:t>
            </w: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szCs w:val="21"/>
              </w:rPr>
              <w:t>分值</w:t>
            </w:r>
          </w:p>
        </w:tc>
        <w:tc>
          <w:tcPr>
            <w:tcW w:w="4625"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评分标准</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szCs w:val="21"/>
              </w:rPr>
            </w:pPr>
            <w:r>
              <w:rPr>
                <w:rFonts w:hint="default" w:ascii="Times New Roman" w:hAnsi="Times New Roman" w:cs="Times New Roman"/>
                <w:b/>
                <w:bCs/>
                <w:sz w:val="20"/>
                <w:szCs w:val="20"/>
              </w:rPr>
              <w:t>（以下要求提供证书、证件、文件资料等可以以电子文件或扫描形式）</w:t>
            </w:r>
          </w:p>
        </w:tc>
        <w:tc>
          <w:tcPr>
            <w:tcW w:w="2254"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59"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433"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企业综合实力</w:t>
            </w: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bCs/>
                <w:szCs w:val="21"/>
              </w:rPr>
            </w:pPr>
            <w:r>
              <w:rPr>
                <w:rFonts w:hint="default" w:ascii="Times New Roman" w:hAnsi="Times New Roman" w:cs="Times New Roman"/>
                <w:bCs/>
                <w:szCs w:val="21"/>
              </w:rPr>
              <w:t>0-3</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color w:val="FF0000"/>
                <w:sz w:val="24"/>
              </w:rPr>
            </w:pPr>
            <w:r>
              <w:rPr>
                <w:rFonts w:hint="default" w:ascii="Times New Roman" w:hAnsi="Times New Roman" w:cs="Times New Roman"/>
                <w:iCs/>
                <w:lang w:val="en-US" w:eastAsia="zh-CN"/>
              </w:rPr>
              <w:t>投标人</w:t>
            </w:r>
            <w:r>
              <w:rPr>
                <w:rFonts w:hint="default" w:ascii="Times New Roman" w:hAnsi="Times New Roman" w:cs="Times New Roman"/>
                <w:iCs/>
              </w:rPr>
              <w:t>通过质量管理体系认证的得1分，通过职业健康安全管理体系认证的得1分， 通过环境管理体系认证的得1分；（认证范围须含</w:t>
            </w:r>
            <w:r>
              <w:rPr>
                <w:rFonts w:hint="default" w:ascii="Times New Roman" w:hAnsi="Times New Roman" w:cs="Times New Roman"/>
                <w:szCs w:val="21"/>
              </w:rPr>
              <w:t>白蚁防治内容</w:t>
            </w:r>
            <w:r>
              <w:rPr>
                <w:rFonts w:hint="default" w:ascii="Times New Roman" w:hAnsi="Times New Roman" w:cs="Times New Roman"/>
                <w:iCs/>
              </w:rPr>
              <w:t>，相关证书须在有效期内）</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bCs/>
                <w:szCs w:val="21"/>
              </w:rPr>
            </w:pPr>
            <w:r>
              <w:rPr>
                <w:rFonts w:hint="default" w:ascii="Times New Roman" w:hAnsi="Times New Roman" w:cs="Times New Roman"/>
                <w:bCs/>
                <w:szCs w:val="21"/>
                <w:lang w:val="en-US" w:eastAsia="zh-CN"/>
              </w:rPr>
              <w:t>投标人</w:t>
            </w:r>
            <w:r>
              <w:rPr>
                <w:rFonts w:hint="default" w:ascii="Times New Roman" w:hAnsi="Times New Roman" w:cs="Times New Roman"/>
                <w:bCs/>
                <w:szCs w:val="21"/>
              </w:rPr>
              <w:t>须</w:t>
            </w:r>
            <w:r>
              <w:rPr>
                <w:rFonts w:hint="default" w:ascii="Times New Roman" w:hAnsi="Times New Roman" w:cs="Times New Roman"/>
                <w:iCs/>
              </w:rPr>
              <w:t>提供有效期内的证书证明材料。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bCs/>
                <w:szCs w:val="21"/>
              </w:rPr>
              <w:t>0-3</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Cs/>
                <w:szCs w:val="21"/>
              </w:rPr>
            </w:pPr>
            <w:r>
              <w:rPr>
                <w:rFonts w:hint="default" w:ascii="Times New Roman" w:hAnsi="Times New Roman" w:cs="Times New Roman"/>
                <w:iCs/>
                <w:lang w:val="en-US" w:eastAsia="zh-CN"/>
              </w:rPr>
              <w:t>投标人</w:t>
            </w:r>
            <w:r>
              <w:rPr>
                <w:rFonts w:hint="default" w:ascii="Times New Roman" w:hAnsi="Times New Roman" w:cs="Times New Roman"/>
                <w:iCs/>
              </w:rPr>
              <w:t>的水利白蚁防治技术通过省级及以上评（鉴）定，并推广的，得3分。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bCs/>
                <w:szCs w:val="21"/>
              </w:rPr>
            </w:pPr>
            <w:r>
              <w:rPr>
                <w:rFonts w:hint="default" w:ascii="Times New Roman" w:hAnsi="Times New Roman" w:cs="Times New Roman"/>
                <w:iCs/>
                <w:lang w:val="en-US" w:eastAsia="zh-CN"/>
              </w:rPr>
              <w:t>投标人</w:t>
            </w:r>
            <w:r>
              <w:rPr>
                <w:rFonts w:hint="default" w:ascii="Times New Roman" w:hAnsi="Times New Roman" w:cs="Times New Roman"/>
                <w:iCs/>
              </w:rPr>
              <w:t>须提供相应证书等证明材料。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659"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433"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拟投入技术力量</w:t>
            </w: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人员配置：</w:t>
            </w:r>
          </w:p>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1、项目负责人具有中级以上（含中级）相关专业技术职称的专职技术人员（证书标注为非白蚁防治专业的需同时提供白蚁防治职业资格证书或白蚁防治职业培训合格证书）的得3分；具有初级职称和白蚁防治职业资格证书或白蚁防治职业培训合格证书的得1分，本项最高3分；</w:t>
            </w:r>
          </w:p>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
                <w:bCs/>
                <w:szCs w:val="21"/>
              </w:rPr>
            </w:pPr>
            <w:r>
              <w:rPr>
                <w:rFonts w:hint="default" w:ascii="Times New Roman" w:hAnsi="Times New Roman" w:cs="Times New Roman"/>
                <w:szCs w:val="21"/>
              </w:rPr>
              <w:t>2、项目负责人参与省级及以上行业标准或定额制定并发布的，1项得1分，本项最高2分。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b/>
                <w:bCs/>
                <w:sz w:val="20"/>
                <w:szCs w:val="20"/>
              </w:rPr>
            </w:pPr>
            <w:r>
              <w:rPr>
                <w:rFonts w:hint="default" w:ascii="Times New Roman" w:hAnsi="Times New Roman" w:cs="Times New Roman"/>
                <w:iCs/>
                <w:lang w:val="en-US" w:eastAsia="zh-CN"/>
              </w:rPr>
              <w:t>投标人</w:t>
            </w:r>
            <w:r>
              <w:rPr>
                <w:rFonts w:hint="default" w:ascii="Times New Roman" w:hAnsi="Times New Roman" w:cs="Times New Roman"/>
                <w:szCs w:val="21"/>
              </w:rPr>
              <w:t>须提供相应证书等证明材料及</w:t>
            </w:r>
            <w:r>
              <w:rPr>
                <w:rFonts w:hint="default" w:ascii="Times New Roman" w:hAnsi="Times New Roman" w:cs="Times New Roman"/>
                <w:iCs/>
                <w:lang w:val="en-US" w:eastAsia="zh-CN"/>
              </w:rPr>
              <w:t>投标人</w:t>
            </w:r>
            <w:r>
              <w:rPr>
                <w:rFonts w:hint="default" w:ascii="Times New Roman" w:hAnsi="Times New Roman" w:cs="Times New Roman"/>
                <w:szCs w:val="21"/>
              </w:rPr>
              <w:t>为其投保的</w:t>
            </w:r>
            <w:r>
              <w:rPr>
                <w:rFonts w:hint="default" w:ascii="Times New Roman" w:hAnsi="Times New Roman" w:cs="Times New Roman"/>
                <w:szCs w:val="21"/>
                <w:lang w:val="en-US" w:eastAsia="zh-CN"/>
              </w:rPr>
              <w:t>投标</w:t>
            </w:r>
            <w:r>
              <w:rPr>
                <w:rFonts w:hint="default" w:ascii="Times New Roman" w:hAnsi="Times New Roman" w:cs="Times New Roman"/>
                <w:szCs w:val="21"/>
              </w:rPr>
              <w:t>截止日之前三个月以内的社保参保证明。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0-8</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项目组成员（项目负责人除外）：</w:t>
            </w:r>
          </w:p>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
                <w:bCs/>
                <w:szCs w:val="21"/>
              </w:rPr>
            </w:pPr>
            <w:r>
              <w:rPr>
                <w:rFonts w:hint="default" w:ascii="Times New Roman" w:hAnsi="Times New Roman" w:cs="Times New Roman"/>
                <w:szCs w:val="21"/>
              </w:rPr>
              <w:t>项目组成员经过白蚁防治职业技能培训与考核鉴定，持有白蚁防治职业资格证书或白蚁防治职业培训合格证书的专职人员4人的得1分，每增加1人得1分，本项最高8分。</w:t>
            </w:r>
          </w:p>
        </w:tc>
        <w:tc>
          <w:tcPr>
            <w:tcW w:w="2254"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
                <w:bCs/>
                <w:sz w:val="20"/>
                <w:szCs w:val="20"/>
              </w:rPr>
            </w:pPr>
            <w:r>
              <w:rPr>
                <w:rFonts w:hint="default" w:ascii="Times New Roman" w:hAnsi="Times New Roman" w:cs="Times New Roman"/>
                <w:iCs/>
                <w:lang w:val="en-US" w:eastAsia="zh-CN"/>
              </w:rPr>
              <w:t>投标人</w:t>
            </w:r>
            <w:r>
              <w:rPr>
                <w:rFonts w:hint="default" w:ascii="Times New Roman" w:hAnsi="Times New Roman" w:cs="Times New Roman"/>
                <w:szCs w:val="21"/>
              </w:rPr>
              <w:t>须提供相应证书等证明材料及</w:t>
            </w:r>
            <w:r>
              <w:rPr>
                <w:rFonts w:hint="default" w:ascii="Times New Roman" w:hAnsi="Times New Roman" w:cs="Times New Roman"/>
                <w:iCs/>
                <w:lang w:val="en-US" w:eastAsia="zh-CN"/>
              </w:rPr>
              <w:t>投标人</w:t>
            </w:r>
            <w:r>
              <w:rPr>
                <w:rFonts w:hint="default" w:ascii="Times New Roman" w:hAnsi="Times New Roman" w:cs="Times New Roman"/>
                <w:szCs w:val="21"/>
              </w:rPr>
              <w:t>为其投保的</w:t>
            </w:r>
            <w:r>
              <w:rPr>
                <w:rFonts w:hint="default" w:ascii="Times New Roman" w:hAnsi="Times New Roman" w:cs="Times New Roman"/>
                <w:szCs w:val="21"/>
                <w:lang w:val="en-US" w:eastAsia="zh-CN"/>
              </w:rPr>
              <w:t>投标</w:t>
            </w:r>
            <w:r>
              <w:rPr>
                <w:rFonts w:hint="default" w:ascii="Times New Roman" w:hAnsi="Times New Roman" w:cs="Times New Roman"/>
                <w:szCs w:val="21"/>
              </w:rPr>
              <w:t>截止日之前三个月以内的社保参保证明。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0-4</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车辆设备保障：</w:t>
            </w:r>
          </w:p>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拟投入本项目的符合要求的专用汽车（核载在0.45吨及以上）为1辆的得1分，每增加符合要求的专用汽车（核载在0.45吨及以上）1辆加1分，本项最高4分。</w:t>
            </w:r>
          </w:p>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
                <w:bCs/>
                <w:szCs w:val="21"/>
              </w:rPr>
            </w:pPr>
            <w:r>
              <w:rPr>
                <w:rFonts w:hint="default" w:ascii="Times New Roman" w:hAnsi="Times New Roman" w:cs="Times New Roman"/>
                <w:szCs w:val="21"/>
              </w:rPr>
              <w:t>（以上车辆产权必须属于</w:t>
            </w:r>
            <w:r>
              <w:rPr>
                <w:rFonts w:hint="default" w:ascii="Times New Roman" w:hAnsi="Times New Roman" w:cs="Times New Roman"/>
                <w:iCs/>
                <w:lang w:val="en-US" w:eastAsia="zh-CN"/>
              </w:rPr>
              <w:t>投标人</w:t>
            </w:r>
            <w:r>
              <w:rPr>
                <w:rFonts w:hint="default" w:ascii="Times New Roman" w:hAnsi="Times New Roman" w:cs="Times New Roman"/>
                <w:szCs w:val="21"/>
              </w:rPr>
              <w:t>方予以认可，非</w:t>
            </w:r>
            <w:r>
              <w:rPr>
                <w:rFonts w:hint="default" w:ascii="Times New Roman" w:hAnsi="Times New Roman" w:cs="Times New Roman"/>
                <w:iCs/>
                <w:lang w:val="en-US" w:eastAsia="zh-CN"/>
              </w:rPr>
              <w:t>投标人</w:t>
            </w:r>
            <w:r>
              <w:rPr>
                <w:rFonts w:hint="default" w:ascii="Times New Roman" w:hAnsi="Times New Roman" w:cs="Times New Roman"/>
                <w:szCs w:val="21"/>
              </w:rPr>
              <w:t>自有的不得分；车辆还需提供车辆的行驶证，不提供不得分。）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b/>
                <w:bCs/>
                <w:sz w:val="20"/>
                <w:szCs w:val="20"/>
              </w:rPr>
            </w:pPr>
            <w:r>
              <w:rPr>
                <w:rFonts w:hint="default" w:ascii="Times New Roman" w:hAnsi="Times New Roman" w:cs="Times New Roman"/>
                <w:iCs/>
                <w:lang w:val="en-US" w:eastAsia="zh-CN"/>
              </w:rPr>
              <w:t>投标人</w:t>
            </w:r>
            <w:r>
              <w:rPr>
                <w:rFonts w:hint="default" w:ascii="Times New Roman" w:hAnsi="Times New Roman" w:cs="Times New Roman"/>
                <w:szCs w:val="21"/>
              </w:rPr>
              <w:t>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59" w:type="dxa"/>
            <w:noWrap w:val="0"/>
            <w:vAlign w:val="top"/>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433"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同类业绩</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0-2</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b/>
                <w:bCs/>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自2021年1月1日以来（以合同签订时间为准）承担过有同类业绩的每个得1分，最多得2分。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b/>
                <w:bCs/>
                <w:sz w:val="20"/>
                <w:szCs w:val="20"/>
              </w:rPr>
            </w:pPr>
            <w:r>
              <w:rPr>
                <w:rFonts w:hint="default" w:ascii="Times New Roman" w:hAnsi="Times New Roman" w:cs="Times New Roman"/>
                <w:iCs/>
                <w:lang w:val="en-US" w:eastAsia="zh-CN"/>
              </w:rPr>
              <w:t>投标人</w:t>
            </w:r>
            <w:r>
              <w:rPr>
                <w:rFonts w:hint="default" w:ascii="Times New Roman" w:hAnsi="Times New Roman" w:cs="Times New Roman"/>
                <w:szCs w:val="21"/>
              </w:rPr>
              <w:t>须提供合同及验收证明材料等证明材料。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59"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4</w:t>
            </w:r>
          </w:p>
          <w:p>
            <w:pPr>
              <w:pStyle w:val="11"/>
              <w:keepNext w:val="0"/>
              <w:keepLines w:val="0"/>
              <w:pageBreakBefore w:val="0"/>
              <w:kinsoku/>
              <w:wordWrap/>
              <w:overflowPunct/>
              <w:topLinePunct w:val="0"/>
              <w:bidi w:val="0"/>
              <w:spacing w:line="360" w:lineRule="exact"/>
              <w:ind w:rightChars="0" w:firstLine="404"/>
              <w:textAlignment w:val="auto"/>
              <w:rPr>
                <w:rFonts w:hint="default" w:ascii="Times New Roman" w:hAnsi="Times New Roman" w:cs="Times New Roman"/>
                <w:sz w:val="21"/>
                <w:szCs w:val="21"/>
              </w:rPr>
            </w:pPr>
          </w:p>
        </w:tc>
        <w:tc>
          <w:tcPr>
            <w:tcW w:w="1433" w:type="dxa"/>
            <w:vMerge w:val="restart"/>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施工方案</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及措施</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0-8</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根据投标人提供的玉环市水库、山塘大坝白蚁综合防治方案进行评分：方案完整全面得8-6分；方案较完整得5-3分；方案一般2－1分；未提及不得分。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0-8</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根据对水库地理分布、环境以及实地白蚁危害了解程度进行评分：内容具有针对性强、分析透彻准确得8-6分；分析基本到位得5-3分；分析不足欠缺2－1分；未提及不得分。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659" w:type="dxa"/>
            <w:vMerge w:val="continue"/>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rPr>
            </w:pPr>
          </w:p>
        </w:tc>
        <w:tc>
          <w:tcPr>
            <w:tcW w:w="1433" w:type="dxa"/>
            <w:vMerge w:val="continue"/>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rPr>
            </w:pPr>
          </w:p>
        </w:tc>
        <w:tc>
          <w:tcPr>
            <w:tcW w:w="687" w:type="dxa"/>
            <w:noWrap w:val="0"/>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0-5</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rPr>
              <w:t>根据投标人提供工期进度安排综合评审。工期进度安排科学、合理和有效性强的得5-4分；工期进度安排科学性、合理性和有效性一般的得3-2分；工期进度安排不科学、不合理和有效性差的得1.5-1分；未提及的不得分。</w:t>
            </w:r>
          </w:p>
        </w:tc>
        <w:tc>
          <w:tcPr>
            <w:tcW w:w="2254" w:type="dxa"/>
            <w:noWrap w:val="0"/>
            <w:vAlign w:val="center"/>
          </w:tcPr>
          <w:p>
            <w:pPr>
              <w:keepNext w:val="0"/>
              <w:keepLines w:val="0"/>
              <w:pageBreakBefore w:val="0"/>
              <w:widowControl/>
              <w:kinsoku/>
              <w:wordWrap/>
              <w:overflowPunct/>
              <w:topLinePunct w:val="0"/>
              <w:bidi w:val="0"/>
              <w:spacing w:line="360" w:lineRule="exact"/>
              <w:jc w:val="both"/>
              <w:textAlignment w:val="auto"/>
              <w:rPr>
                <w:rFonts w:hint="default" w:ascii="Times New Roman" w:hAnsi="Times New Roman" w:cs="Times New Roman"/>
                <w:kern w:val="0"/>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rPr>
              <w:t>根据对本项目重点难点分析和理解进行评分：项目的重点、难点分析具有针对性强、分析透彻准确得5-4分；项目的重点、难点分析基本到位得3-2分；项目的重点、难点分析不足欠缺1.5－1分；未提及不得分。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kern w:val="0"/>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59" w:type="dxa"/>
            <w:vMerge w:val="continue"/>
            <w:noWrap w:val="0"/>
            <w:vAlign w:val="center"/>
          </w:tcPr>
          <w:p>
            <w:pPr>
              <w:pStyle w:val="11"/>
              <w:keepNext w:val="0"/>
              <w:keepLines w:val="0"/>
              <w:pageBreakBefore w:val="0"/>
              <w:kinsoku/>
              <w:wordWrap/>
              <w:overflowPunct/>
              <w:topLinePunct w:val="0"/>
              <w:bidi w:val="0"/>
              <w:spacing w:line="360" w:lineRule="exact"/>
              <w:ind w:rightChars="0" w:firstLine="404"/>
              <w:textAlignment w:val="auto"/>
              <w:rPr>
                <w:rFonts w:hint="default" w:ascii="Times New Roman" w:hAnsi="Times New Roman" w:cs="Times New Roman"/>
                <w:sz w:val="21"/>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根据项目组织合理、人力资源的安排进行评分：方案完整全面得5-4分；方案较完整得3-2分；方案一般1.5－1分；未提及不得分。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kern w:val="0"/>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59" w:type="dxa"/>
            <w:vMerge w:val="continue"/>
            <w:noWrap w:val="0"/>
            <w:vAlign w:val="center"/>
          </w:tcPr>
          <w:p>
            <w:pPr>
              <w:pStyle w:val="11"/>
              <w:keepNext w:val="0"/>
              <w:keepLines w:val="0"/>
              <w:pageBreakBefore w:val="0"/>
              <w:kinsoku/>
              <w:wordWrap/>
              <w:overflowPunct/>
              <w:topLinePunct w:val="0"/>
              <w:bidi w:val="0"/>
              <w:spacing w:line="360" w:lineRule="exact"/>
              <w:ind w:rightChars="0" w:firstLine="404"/>
              <w:textAlignment w:val="auto"/>
              <w:rPr>
                <w:rFonts w:hint="default" w:ascii="Times New Roman" w:hAnsi="Times New Roman" w:cs="Times New Roman"/>
                <w:sz w:val="21"/>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根据项目作业流程及进度进行评分：方案完整全面得5-4分；方案较完整得3-2分；方案一般1.5－1分；未提及不得分。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kern w:val="0"/>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0-3</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项目验收方案。根据投标人提供方案的操作性综合评审。方案科学、合理、全面，操作性强的得3分；方案较科学、较合理、较全面，有一定的操作性的得2分；方案不科学、不合理、不全面，操作性不强得1分；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kern w:val="0"/>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0-4</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kern w:val="0"/>
                <w:szCs w:val="21"/>
              </w:rPr>
              <w:t>根据质量保证措施有效性进行评分：</w:t>
            </w:r>
            <w:r>
              <w:rPr>
                <w:rFonts w:hint="default" w:ascii="Times New Roman" w:hAnsi="Times New Roman" w:cs="Times New Roman"/>
                <w:iCs/>
              </w:rPr>
              <w:t>保证措施针对性强，措施得力切合实际得4-3分；保证措施针对性一般，措施基本满足得2.5-2分；措施不到位得1.5-1分；</w:t>
            </w:r>
            <w:r>
              <w:rPr>
                <w:rFonts w:hint="default" w:ascii="Times New Roman" w:hAnsi="Times New Roman" w:cs="Times New Roman"/>
                <w:szCs w:val="21"/>
              </w:rPr>
              <w:t>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kern w:val="0"/>
                <w:szCs w:val="21"/>
              </w:rPr>
              <w:t>0-3</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kern w:val="0"/>
                <w:sz w:val="24"/>
              </w:rPr>
            </w:pPr>
            <w:r>
              <w:rPr>
                <w:rFonts w:hint="default" w:ascii="Times New Roman" w:hAnsi="Times New Roman" w:cs="Times New Roman"/>
                <w:szCs w:val="21"/>
              </w:rPr>
              <w:t>根据应急应对措施进行评分：</w:t>
            </w:r>
            <w:r>
              <w:rPr>
                <w:rFonts w:hint="default" w:ascii="Times New Roman" w:hAnsi="Times New Roman" w:cs="Times New Roman"/>
                <w:iCs/>
              </w:rPr>
              <w:t>措施得力切合实际得3-2.5；措施基本满足得2-1.5；措施不到位1-0.5；</w:t>
            </w:r>
            <w:r>
              <w:rPr>
                <w:rFonts w:hint="default" w:ascii="Times New Roman" w:hAnsi="Times New Roman" w:cs="Times New Roman"/>
                <w:szCs w:val="21"/>
              </w:rPr>
              <w:t>未提及不得分。</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659"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vMerge w:val="continue"/>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0-2</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投标人对本项目提出的合理化建议，建议可行性及合理性评价。</w:t>
            </w:r>
          </w:p>
        </w:tc>
        <w:tc>
          <w:tcPr>
            <w:tcW w:w="2254" w:type="dxa"/>
            <w:noWrap w:val="0"/>
            <w:vAlign w:val="center"/>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59"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433"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服务承诺</w:t>
            </w:r>
          </w:p>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0-3</w:t>
            </w:r>
          </w:p>
        </w:tc>
        <w:tc>
          <w:tcPr>
            <w:tcW w:w="4625" w:type="dxa"/>
            <w:noWrap w:val="0"/>
            <w:vAlign w:val="center"/>
          </w:tcPr>
          <w:p>
            <w:pPr>
              <w:keepNext w:val="0"/>
              <w:keepLines w:val="0"/>
              <w:pageBreakBefore w:val="0"/>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color w:val="000000"/>
                <w:szCs w:val="21"/>
              </w:rPr>
              <w:t>服务期、质保措施及服务期满后的后续服务承诺：</w:t>
            </w:r>
            <w:r>
              <w:rPr>
                <w:rFonts w:hint="default" w:ascii="Times New Roman" w:hAnsi="Times New Roman" w:cs="Times New Roman"/>
                <w:iCs/>
              </w:rPr>
              <w:t>售后服务措施方案详细、符合项目实际需求得3-2.5分；售后服务措施方案内容基本齐全，方案内容基本符合项目要求得2-1.5分；售后服务措施方案内容明显缺漏、且所述内容与实际不符得1-0.5分；</w:t>
            </w:r>
            <w:r>
              <w:rPr>
                <w:rFonts w:hint="default" w:ascii="Times New Roman" w:hAnsi="Times New Roman" w:cs="Times New Roman"/>
                <w:szCs w:val="21"/>
              </w:rPr>
              <w:t>未提及不得分。</w:t>
            </w:r>
          </w:p>
        </w:tc>
        <w:tc>
          <w:tcPr>
            <w:tcW w:w="2254" w:type="dxa"/>
            <w:noWrap w:val="0"/>
            <w:vAlign w:val="top"/>
          </w:tcPr>
          <w:p>
            <w:pPr>
              <w:keepNext w:val="0"/>
              <w:keepLines w:val="0"/>
              <w:pageBreakBefore w:val="0"/>
              <w:kinsoku/>
              <w:wordWrap/>
              <w:overflowPunct/>
              <w:topLinePunct w:val="0"/>
              <w:bidi w:val="0"/>
              <w:adjustRightInd w:val="0"/>
              <w:snapToGrid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659"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6</w:t>
            </w:r>
          </w:p>
        </w:tc>
        <w:tc>
          <w:tcPr>
            <w:tcW w:w="1433"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bCs/>
                <w:szCs w:val="21"/>
              </w:rPr>
              <w:t>安全管理和制度保障</w:t>
            </w:r>
          </w:p>
        </w:tc>
        <w:tc>
          <w:tcPr>
            <w:tcW w:w="687"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0-4</w:t>
            </w:r>
          </w:p>
        </w:tc>
        <w:tc>
          <w:tcPr>
            <w:tcW w:w="4625" w:type="dxa"/>
            <w:noWrap w:val="0"/>
            <w:vAlign w:val="center"/>
          </w:tcPr>
          <w:p>
            <w:pPr>
              <w:keepNext w:val="0"/>
              <w:keepLines w:val="0"/>
              <w:pageBreakBefore w:val="0"/>
              <w:numPr>
                <w:ilvl w:val="0"/>
                <w:numId w:val="3"/>
              </w:numPr>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有公众责任险的得2分，没有的不得分；</w:t>
            </w:r>
          </w:p>
          <w:p>
            <w:pPr>
              <w:keepNext w:val="0"/>
              <w:keepLines w:val="0"/>
              <w:pageBreakBefore w:val="0"/>
              <w:numPr>
                <w:ilvl w:val="0"/>
                <w:numId w:val="3"/>
              </w:numPr>
              <w:kinsoku/>
              <w:wordWrap/>
              <w:overflowPunct/>
              <w:topLinePunct w:val="0"/>
              <w:bidi w:val="0"/>
              <w:spacing w:line="360" w:lineRule="exact"/>
              <w:jc w:val="left"/>
              <w:textAlignment w:val="auto"/>
              <w:rPr>
                <w:rFonts w:hint="default" w:ascii="Times New Roman" w:hAnsi="Times New Roman" w:cs="Times New Roman"/>
                <w:b/>
                <w:bCs/>
                <w:szCs w:val="21"/>
              </w:rPr>
            </w:pPr>
            <w:r>
              <w:rPr>
                <w:rFonts w:hint="default" w:ascii="Times New Roman" w:hAnsi="Times New Roman" w:cs="Times New Roman"/>
                <w:szCs w:val="21"/>
              </w:rPr>
              <w:t>有安全施工管理制度、药械使用和仓库管理制度、预防施工管理制度的各得0.5分，本项最高2分，没有的不得分。</w:t>
            </w:r>
          </w:p>
        </w:tc>
        <w:tc>
          <w:tcPr>
            <w:tcW w:w="2254" w:type="dxa"/>
            <w:noWrap w:val="0"/>
            <w:vAlign w:val="top"/>
          </w:tcPr>
          <w:p>
            <w:pPr>
              <w:keepNext w:val="0"/>
              <w:keepLines w:val="0"/>
              <w:pageBreakBefore w:val="0"/>
              <w:kinsoku/>
              <w:wordWrap/>
              <w:overflowPunct/>
              <w:topLinePunct w:val="0"/>
              <w:bidi w:val="0"/>
              <w:spacing w:line="360" w:lineRule="exact"/>
              <w:textAlignment w:val="auto"/>
              <w:rPr>
                <w:rFonts w:hint="default" w:ascii="Times New Roman" w:hAnsi="Times New Roman" w:cs="Times New Roman"/>
                <w:szCs w:val="21"/>
              </w:rPr>
            </w:pPr>
            <w:r>
              <w:rPr>
                <w:rFonts w:hint="default" w:ascii="Times New Roman" w:hAnsi="Times New Roman" w:cs="Times New Roman"/>
                <w:iCs/>
                <w:lang w:val="en-US" w:eastAsia="zh-CN"/>
              </w:rPr>
              <w:t>投标人</w:t>
            </w:r>
            <w:r>
              <w:rPr>
                <w:rFonts w:hint="default" w:ascii="Times New Roman" w:hAnsi="Times New Roman" w:cs="Times New Roman"/>
                <w:szCs w:val="21"/>
              </w:rPr>
              <w:t>须提供相关证明材料和供应商描述。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659" w:type="dxa"/>
            <w:noWrap w:val="0"/>
            <w:vAlign w:val="center"/>
          </w:tcPr>
          <w:p>
            <w:pPr>
              <w:keepNext w:val="0"/>
              <w:keepLines w:val="0"/>
              <w:pageBreakBefore w:val="0"/>
              <w:kinsoku/>
              <w:wordWrap/>
              <w:overflowPunct/>
              <w:topLinePunct w:val="0"/>
              <w:bidi w:val="0"/>
              <w:adjustRightInd w:val="0"/>
              <w:snapToGrid w:val="0"/>
              <w:spacing w:line="360" w:lineRule="exact"/>
              <w:jc w:val="center"/>
              <w:textAlignment w:val="auto"/>
              <w:rPr>
                <w:rFonts w:hint="default" w:ascii="Times New Roman" w:hAnsi="Times New Roman" w:cs="Times New Roman"/>
                <w:szCs w:val="21"/>
              </w:rPr>
            </w:pPr>
          </w:p>
        </w:tc>
        <w:tc>
          <w:tcPr>
            <w:tcW w:w="1433" w:type="dxa"/>
            <w:noWrap w:val="0"/>
            <w:vAlign w:val="center"/>
          </w:tcPr>
          <w:p>
            <w:pPr>
              <w:keepNext w:val="0"/>
              <w:keepLines w:val="0"/>
              <w:pageBreakBefore w:val="0"/>
              <w:widowControl/>
              <w:kinsoku/>
              <w:wordWrap/>
              <w:overflowPunct/>
              <w:topLinePunct w:val="0"/>
              <w:bidi w:val="0"/>
              <w:spacing w:line="360" w:lineRule="exact"/>
              <w:jc w:val="left"/>
              <w:textAlignment w:val="auto"/>
              <w:rPr>
                <w:rFonts w:hint="default" w:ascii="Times New Roman" w:hAnsi="Times New Roman" w:cs="Times New Roman"/>
                <w:bCs/>
                <w:szCs w:val="21"/>
              </w:rPr>
            </w:pPr>
            <w:r>
              <w:rPr>
                <w:rFonts w:hint="default" w:ascii="Times New Roman" w:hAnsi="Times New Roman" w:cs="Times New Roman"/>
                <w:szCs w:val="21"/>
              </w:rPr>
              <w:t>价格</w:t>
            </w:r>
          </w:p>
        </w:tc>
        <w:tc>
          <w:tcPr>
            <w:tcW w:w="687" w:type="dxa"/>
            <w:noWrap w:val="0"/>
            <w:vAlign w:val="center"/>
          </w:tcPr>
          <w:p>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4625" w:type="dxa"/>
            <w:noWrap w:val="0"/>
            <w:vAlign w:val="center"/>
          </w:tcPr>
          <w:p>
            <w:pPr>
              <w:keepNext w:val="0"/>
              <w:keepLines w:val="0"/>
              <w:pageBreakBefore w:val="0"/>
              <w:widowControl/>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color w:val="auto"/>
                <w:kern w:val="0"/>
                <w:szCs w:val="21"/>
                <w:highlight w:val="none"/>
              </w:rPr>
              <w:t>满足投标文件要求且投标价格最低的投标报价为评标基准价，其价格分</w:t>
            </w:r>
            <w:r>
              <w:rPr>
                <w:rFonts w:hint="default" w:ascii="Times New Roman" w:hAnsi="Times New Roman" w:cs="Times New Roman"/>
                <w:color w:val="auto"/>
                <w:kern w:val="0"/>
                <w:szCs w:val="21"/>
                <w:highlight w:val="none"/>
                <w:lang w:val="en-US" w:eastAsia="zh-CN"/>
              </w:rPr>
              <w:t>20分</w:t>
            </w:r>
            <w:r>
              <w:rPr>
                <w:rFonts w:hint="default" w:ascii="Times New Roman" w:hAnsi="Times New Roman" w:cs="Times New Roman"/>
                <w:color w:val="auto"/>
                <w:kern w:val="0"/>
                <w:szCs w:val="21"/>
                <w:highlight w:val="none"/>
              </w:rPr>
              <w:t>，其他投标人的价格分按下列公式计算：价格得分＝（评标基准价/投标报价）×</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0%×100。</w:t>
            </w:r>
            <w:r>
              <w:rPr>
                <w:rFonts w:hint="default" w:ascii="Times New Roman" w:hAnsi="Times New Roman" w:cs="Times New Roman" w:eastAsiaTheme="minorEastAsia"/>
                <w:color w:val="auto"/>
                <w:szCs w:val="21"/>
                <w:highlight w:val="none"/>
              </w:rPr>
              <w:t>（小数点后保留2位小数）</w:t>
            </w:r>
            <w:r>
              <w:rPr>
                <w:rFonts w:hint="default" w:ascii="Times New Roman" w:hAnsi="Times New Roman" w:cs="Times New Roman"/>
                <w:szCs w:val="21"/>
              </w:rPr>
              <w:t>。</w:t>
            </w:r>
          </w:p>
        </w:tc>
        <w:tc>
          <w:tcPr>
            <w:tcW w:w="2254" w:type="dxa"/>
            <w:noWrap w:val="0"/>
            <w:vAlign w:val="center"/>
          </w:tcPr>
          <w:p>
            <w:pPr>
              <w:keepNext w:val="0"/>
              <w:keepLines w:val="0"/>
              <w:pageBreakBefore w:val="0"/>
              <w:widowControl/>
              <w:kinsoku/>
              <w:wordWrap/>
              <w:overflowPunct/>
              <w:topLinePunct w:val="0"/>
              <w:bidi w:val="0"/>
              <w:spacing w:line="36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根据开标一览表</w:t>
            </w:r>
          </w:p>
        </w:tc>
      </w:tr>
    </w:tbl>
    <w:p>
      <w:pPr>
        <w:keepNext w:val="0"/>
        <w:keepLines w:val="0"/>
        <w:pageBreakBefore w:val="0"/>
        <w:widowControl w:val="0"/>
        <w:kinsoku/>
        <w:wordWrap/>
        <w:overflowPunct/>
        <w:topLinePunct w:val="0"/>
        <w:autoSpaceDE w:val="0"/>
        <w:autoSpaceDN w:val="0"/>
        <w:bidi w:val="0"/>
        <w:adjustRightInd w:val="0"/>
        <w:snapToGrid/>
        <w:spacing w:line="390" w:lineRule="exact"/>
        <w:ind w:firstLine="420" w:firstLineChars="200"/>
        <w:textAlignment w:val="auto"/>
        <w:rPr>
          <w:rFonts w:hint="default" w:ascii="Times New Roman" w:hAnsi="Times New Roman" w:cs="Times New Roman"/>
          <w:color w:val="auto"/>
          <w:szCs w:val="21"/>
          <w:highlight w:val="none"/>
          <w:lang w:bidi="ar"/>
        </w:rPr>
      </w:pPr>
    </w:p>
    <w:p>
      <w:pPr>
        <w:spacing w:line="360" w:lineRule="auto"/>
        <w:jc w:val="center"/>
        <w:rPr>
          <w:rFonts w:hint="default" w:ascii="Times New Roman" w:hAnsi="Times New Roman" w:cs="Times New Roman" w:eastAsiaTheme="minorEastAsia"/>
          <w:b/>
          <w:color w:val="auto"/>
          <w:sz w:val="32"/>
          <w:szCs w:val="32"/>
          <w:highlight w:val="none"/>
        </w:rPr>
      </w:pPr>
    </w:p>
    <w:p>
      <w:pPr>
        <w:spacing w:line="360" w:lineRule="auto"/>
        <w:jc w:val="center"/>
        <w:rPr>
          <w:rFonts w:hint="default" w:ascii="Times New Roman" w:hAnsi="Times New Roman" w:cs="Times New Roman" w:eastAsiaTheme="minorEastAsia"/>
          <w:b/>
          <w:color w:val="auto"/>
          <w:sz w:val="36"/>
          <w:szCs w:val="36"/>
          <w:highlight w:val="none"/>
        </w:rPr>
      </w:pPr>
    </w:p>
    <w:p>
      <w:pPr>
        <w:pStyle w:val="10"/>
        <w:rPr>
          <w:rFonts w:hint="default" w:ascii="Times New Roman" w:hAnsi="Times New Roman" w:cs="Times New Roman" w:eastAsiaTheme="minorEastAsia"/>
          <w:b/>
          <w:color w:val="auto"/>
          <w:sz w:val="36"/>
          <w:szCs w:val="36"/>
          <w:highlight w:val="none"/>
        </w:rPr>
      </w:pPr>
    </w:p>
    <w:p>
      <w:pPr>
        <w:pStyle w:val="11"/>
        <w:rPr>
          <w:rFonts w:hint="default" w:ascii="Times New Roman" w:hAnsi="Times New Roman" w:cs="Times New Roman" w:eastAsiaTheme="minorEastAsia"/>
          <w:b/>
          <w:color w:val="auto"/>
          <w:sz w:val="36"/>
          <w:szCs w:val="36"/>
          <w:highlight w:val="none"/>
        </w:rPr>
      </w:pPr>
    </w:p>
    <w:p>
      <w:pPr>
        <w:pStyle w:val="12"/>
        <w:rPr>
          <w:rFonts w:hint="default" w:ascii="Times New Roman" w:hAnsi="Times New Roman" w:cs="Times New Roman" w:eastAsiaTheme="minorEastAsia"/>
          <w:b/>
          <w:color w:val="auto"/>
          <w:sz w:val="36"/>
          <w:szCs w:val="36"/>
          <w:highlight w:val="none"/>
        </w:rPr>
      </w:pPr>
    </w:p>
    <w:p>
      <w:pPr>
        <w:rPr>
          <w:rFonts w:hint="default" w:ascii="Times New Roman" w:hAnsi="Times New Roman" w:cs="Times New Roman" w:eastAsiaTheme="minorEastAsia"/>
          <w:b/>
          <w:color w:val="auto"/>
          <w:sz w:val="36"/>
          <w:szCs w:val="36"/>
          <w:highlight w:val="none"/>
        </w:rPr>
      </w:pPr>
    </w:p>
    <w:p>
      <w:pPr>
        <w:pStyle w:val="10"/>
        <w:rPr>
          <w:rFonts w:hint="default" w:ascii="Times New Roman" w:hAnsi="Times New Roman" w:cs="Times New Roman" w:eastAsiaTheme="minorEastAsia"/>
          <w:b/>
          <w:color w:val="auto"/>
          <w:sz w:val="36"/>
          <w:szCs w:val="36"/>
          <w:highlight w:val="none"/>
        </w:rPr>
      </w:pPr>
    </w:p>
    <w:p>
      <w:pPr>
        <w:pStyle w:val="11"/>
        <w:rPr>
          <w:rFonts w:hint="default" w:ascii="Times New Roman" w:hAnsi="Times New Roman" w:cs="Times New Roman"/>
        </w:rPr>
      </w:pPr>
    </w:p>
    <w:p>
      <w:pPr>
        <w:pStyle w:val="11"/>
        <w:rPr>
          <w:rFonts w:hint="default" w:ascii="Times New Roman" w:hAnsi="Times New Roman" w:cs="Times New Roman" w:eastAsiaTheme="minorEastAsia"/>
          <w:b/>
          <w:color w:val="auto"/>
          <w:sz w:val="36"/>
          <w:szCs w:val="36"/>
          <w:highlight w:val="none"/>
        </w:rPr>
      </w:pPr>
    </w:p>
    <w:p>
      <w:pPr>
        <w:pStyle w:val="12"/>
        <w:rPr>
          <w:rFonts w:hint="default" w:ascii="Times New Roman" w:hAnsi="Times New Roman" w:cs="Times New Roman" w:eastAsiaTheme="minorEastAsia"/>
          <w:b/>
          <w:color w:val="auto"/>
          <w:sz w:val="36"/>
          <w:szCs w:val="36"/>
          <w:highlight w:val="none"/>
        </w:rPr>
      </w:pPr>
    </w:p>
    <w:p>
      <w:pPr>
        <w:rPr>
          <w:rFonts w:hint="default" w:ascii="Times New Roman" w:hAnsi="Times New Roman" w:cs="Times New Roman"/>
        </w:rPr>
      </w:pPr>
    </w:p>
    <w:p>
      <w:pPr>
        <w:spacing w:line="360" w:lineRule="auto"/>
        <w:jc w:val="center"/>
        <w:rPr>
          <w:rFonts w:hint="default" w:ascii="Times New Roman" w:hAnsi="Times New Roman" w:cs="Times New Roman" w:eastAsiaTheme="minorEastAsia"/>
          <w:b/>
          <w:color w:val="auto"/>
          <w:spacing w:val="0"/>
          <w:sz w:val="32"/>
          <w:szCs w:val="32"/>
          <w:highlight w:val="none"/>
        </w:rPr>
      </w:pPr>
      <w:r>
        <w:rPr>
          <w:rFonts w:hint="default" w:ascii="Times New Roman" w:hAnsi="Times New Roman" w:cs="Times New Roman" w:eastAsiaTheme="minorEastAsia"/>
          <w:b/>
          <w:color w:val="auto"/>
          <w:spacing w:val="0"/>
          <w:sz w:val="32"/>
          <w:szCs w:val="32"/>
          <w:highlight w:val="none"/>
        </w:rPr>
        <w:t>第四章  公开招标需求</w:t>
      </w:r>
    </w:p>
    <w:p>
      <w:pPr>
        <w:pStyle w:val="35"/>
        <w:keepNext w:val="0"/>
        <w:keepLines w:val="0"/>
        <w:pageBreakBefore w:val="0"/>
        <w:widowControl w:val="0"/>
        <w:kinsoku/>
        <w:wordWrap/>
        <w:overflowPunct/>
        <w:topLinePunct w:val="0"/>
        <w:bidi w:val="0"/>
        <w:snapToGrid/>
        <w:spacing w:beforeLines="0" w:after="0" w:line="400" w:lineRule="exact"/>
        <w:ind w:firstLine="422" w:firstLineChars="200"/>
        <w:textAlignment w:val="auto"/>
        <w:rPr>
          <w:rFonts w:hint="default" w:ascii="Times New Roman" w:hAnsi="Times New Roman" w:cs="Times New Roman"/>
          <w:b/>
          <w:color w:val="auto"/>
          <w:spacing w:val="0"/>
          <w:kern w:val="2"/>
          <w:highlight w:val="none"/>
        </w:rPr>
      </w:pPr>
      <w:r>
        <w:rPr>
          <w:rFonts w:hint="default" w:ascii="Times New Roman" w:hAnsi="Times New Roman" w:cs="Times New Roman"/>
          <w:b/>
          <w:color w:val="auto"/>
          <w:spacing w:val="0"/>
          <w:kern w:val="2"/>
          <w:highlight w:val="none"/>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right="0" w:firstLine="420" w:firstLineChars="200"/>
        <w:textAlignment w:val="auto"/>
        <w:rPr>
          <w:rFonts w:hint="default" w:ascii="Times New Roman" w:hAnsi="Times New Roman" w:cs="Times New Roman"/>
          <w:color w:val="auto"/>
          <w:spacing w:val="0"/>
          <w:szCs w:val="21"/>
          <w:highlight w:val="none"/>
        </w:rPr>
      </w:pPr>
      <w:r>
        <w:rPr>
          <w:rFonts w:hint="default" w:ascii="Times New Roman" w:hAnsi="Times New Roman" w:cs="Times New Roman"/>
          <w:color w:val="auto"/>
          <w:spacing w:val="0"/>
          <w:szCs w:val="21"/>
          <w:highlight w:val="none"/>
        </w:rPr>
        <w:t>本次招标共</w:t>
      </w:r>
      <w:r>
        <w:rPr>
          <w:rFonts w:hint="default" w:ascii="Times New Roman" w:hAnsi="Times New Roman" w:cs="Times New Roman"/>
          <w:color w:val="auto"/>
          <w:spacing w:val="0"/>
          <w:szCs w:val="21"/>
          <w:highlight w:val="none"/>
          <w:u w:val="single"/>
        </w:rPr>
        <w:t>1</w:t>
      </w:r>
      <w:r>
        <w:rPr>
          <w:rFonts w:hint="default" w:ascii="Times New Roman" w:hAnsi="Times New Roman" w:cs="Times New Roman"/>
          <w:color w:val="auto"/>
          <w:spacing w:val="0"/>
          <w:szCs w:val="21"/>
          <w:highlight w:val="none"/>
        </w:rPr>
        <w:t>个标段，具体内容如下表：</w:t>
      </w:r>
    </w:p>
    <w:tbl>
      <w:tblPr>
        <w:tblStyle w:val="2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66"/>
        <w:gridCol w:w="754"/>
        <w:gridCol w:w="675"/>
        <w:gridCol w:w="121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szCs w:val="21"/>
                <w:highlight w:val="none"/>
              </w:rPr>
              <w:t>序号</w:t>
            </w:r>
          </w:p>
        </w:tc>
        <w:tc>
          <w:tcPr>
            <w:tcW w:w="236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szCs w:val="21"/>
                <w:highlight w:val="none"/>
              </w:rPr>
              <w:t>项目名称</w:t>
            </w:r>
          </w:p>
        </w:tc>
        <w:tc>
          <w:tcPr>
            <w:tcW w:w="75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szCs w:val="21"/>
                <w:highlight w:val="none"/>
              </w:rPr>
              <w:t>数量</w:t>
            </w:r>
          </w:p>
        </w:tc>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szCs w:val="21"/>
                <w:highlight w:val="none"/>
              </w:rPr>
              <w:t>单位</w:t>
            </w:r>
          </w:p>
        </w:tc>
        <w:tc>
          <w:tcPr>
            <w:tcW w:w="12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szCs w:val="21"/>
                <w:highlight w:val="none"/>
              </w:rPr>
              <w:t>预算（元）</w:t>
            </w:r>
          </w:p>
        </w:tc>
        <w:tc>
          <w:tcPr>
            <w:tcW w:w="291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b/>
                <w:color w:val="auto"/>
                <w:spacing w:val="0"/>
                <w:szCs w:val="21"/>
                <w:highlight w:val="none"/>
              </w:rPr>
            </w:pPr>
            <w:r>
              <w:rPr>
                <w:rFonts w:hint="default" w:ascii="Times New Roman" w:hAnsi="Times New Roman" w:cs="Times New Roman"/>
                <w:b/>
                <w:color w:val="auto"/>
                <w:spacing w:val="0"/>
                <w:kern w:val="0"/>
                <w:szCs w:val="21"/>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pacing w:val="0"/>
                <w:szCs w:val="21"/>
                <w:highlight w:val="none"/>
              </w:rPr>
            </w:pPr>
            <w:r>
              <w:rPr>
                <w:rFonts w:hint="default" w:ascii="Times New Roman" w:hAnsi="Times New Roman" w:cs="Times New Roman"/>
                <w:color w:val="auto"/>
                <w:spacing w:val="0"/>
                <w:szCs w:val="21"/>
                <w:highlight w:val="none"/>
              </w:rPr>
              <w:t>1</w:t>
            </w:r>
          </w:p>
        </w:tc>
        <w:tc>
          <w:tcPr>
            <w:tcW w:w="2366"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eastAsia="宋体" w:cs="Times New Roman"/>
                <w:color w:val="auto"/>
                <w:spacing w:val="0"/>
                <w:szCs w:val="21"/>
                <w:highlight w:val="none"/>
                <w:lang w:eastAsia="zh-CN"/>
              </w:rPr>
            </w:pPr>
            <w:r>
              <w:rPr>
                <w:rFonts w:hint="default" w:ascii="Times New Roman" w:hAnsi="Times New Roman" w:cs="Times New Roman"/>
                <w:color w:val="auto"/>
                <w:spacing w:val="0"/>
                <w:szCs w:val="21"/>
                <w:highlight w:val="none"/>
                <w:lang w:eastAsia="zh-CN"/>
              </w:rPr>
              <w:t>玉环市水库、山塘大坝白蚁综合防治项目</w:t>
            </w:r>
          </w:p>
        </w:tc>
        <w:tc>
          <w:tcPr>
            <w:tcW w:w="75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pacing w:val="0"/>
                <w:szCs w:val="21"/>
                <w:highlight w:val="none"/>
              </w:rPr>
            </w:pPr>
            <w:r>
              <w:rPr>
                <w:rFonts w:hint="default" w:ascii="Times New Roman" w:hAnsi="Times New Roman" w:cs="Times New Roman"/>
                <w:color w:val="auto"/>
                <w:spacing w:val="0"/>
                <w:szCs w:val="21"/>
                <w:highlight w:val="none"/>
              </w:rPr>
              <w:t>1</w:t>
            </w:r>
          </w:p>
        </w:tc>
        <w:tc>
          <w:tcPr>
            <w:tcW w:w="67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pacing w:val="0"/>
                <w:szCs w:val="21"/>
                <w:highlight w:val="none"/>
              </w:rPr>
            </w:pPr>
            <w:r>
              <w:rPr>
                <w:rFonts w:hint="default" w:ascii="Times New Roman" w:hAnsi="Times New Roman" w:cs="Times New Roman"/>
                <w:color w:val="auto"/>
                <w:spacing w:val="0"/>
                <w:szCs w:val="21"/>
                <w:highlight w:val="none"/>
              </w:rPr>
              <w:t>项</w:t>
            </w:r>
          </w:p>
        </w:tc>
        <w:tc>
          <w:tcPr>
            <w:tcW w:w="121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eastAsia="宋体" w:cs="Times New Roman"/>
                <w:color w:val="auto"/>
                <w:spacing w:val="0"/>
                <w:szCs w:val="21"/>
                <w:highlight w:val="none"/>
                <w:lang w:val="en-US" w:eastAsia="zh-CN"/>
              </w:rPr>
            </w:pPr>
            <w:r>
              <w:rPr>
                <w:rFonts w:hint="default" w:ascii="Times New Roman" w:hAnsi="Times New Roman" w:cs="Times New Roman"/>
                <w:color w:val="auto"/>
                <w:spacing w:val="0"/>
                <w:szCs w:val="21"/>
                <w:highlight w:val="none"/>
                <w:lang w:val="en-US" w:eastAsia="zh-CN"/>
              </w:rPr>
              <w:t>350000</w:t>
            </w:r>
          </w:p>
        </w:tc>
        <w:tc>
          <w:tcPr>
            <w:tcW w:w="291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70" w:lineRule="exact"/>
              <w:ind w:right="0"/>
              <w:jc w:val="center"/>
              <w:textAlignment w:val="auto"/>
              <w:rPr>
                <w:rFonts w:hint="default" w:ascii="Times New Roman" w:hAnsi="Times New Roman" w:cs="Times New Roman"/>
                <w:color w:val="auto"/>
                <w:spacing w:val="0"/>
                <w:szCs w:val="21"/>
                <w:highlight w:val="none"/>
              </w:rPr>
            </w:pPr>
            <w:r>
              <w:rPr>
                <w:rFonts w:hint="default" w:ascii="Times New Roman" w:hAnsi="Times New Roman" w:cs="Times New Roman"/>
                <w:color w:val="auto"/>
                <w:spacing w:val="0"/>
                <w:szCs w:val="21"/>
                <w:highlight w:val="none"/>
              </w:rPr>
              <w:t>具体技术参数详见招标需求</w:t>
            </w:r>
          </w:p>
        </w:tc>
      </w:tr>
    </w:tbl>
    <w:p>
      <w:pPr>
        <w:pStyle w:val="35"/>
        <w:keepNext w:val="0"/>
        <w:keepLines w:val="0"/>
        <w:pageBreakBefore w:val="0"/>
        <w:widowControl w:val="0"/>
        <w:kinsoku/>
        <w:wordWrap/>
        <w:overflowPunct/>
        <w:topLinePunct w:val="0"/>
        <w:bidi w:val="0"/>
        <w:snapToGrid/>
        <w:spacing w:beforeLines="0" w:after="0" w:line="400" w:lineRule="exact"/>
        <w:ind w:firstLine="422" w:firstLineChars="200"/>
        <w:textAlignment w:val="auto"/>
        <w:rPr>
          <w:rFonts w:hint="default" w:ascii="Times New Roman" w:hAnsi="Times New Roman" w:cs="Times New Roman"/>
          <w:b/>
          <w:spacing w:val="0"/>
          <w:szCs w:val="21"/>
        </w:rPr>
      </w:pPr>
      <w:r>
        <w:rPr>
          <w:rFonts w:hint="default" w:ascii="Times New Roman" w:hAnsi="Times New Roman" w:cs="Times New Roman"/>
          <w:b/>
          <w:bCs/>
          <w:color w:val="auto"/>
          <w:spacing w:val="0"/>
          <w:sz w:val="21"/>
          <w:szCs w:val="21"/>
          <w:lang w:val="en-US" w:eastAsia="zh-CN"/>
        </w:rPr>
        <w:t>二、</w:t>
      </w:r>
      <w:r>
        <w:rPr>
          <w:rFonts w:hint="default" w:ascii="Times New Roman" w:hAnsi="Times New Roman" w:cs="Times New Roman"/>
          <w:b/>
          <w:spacing w:val="0"/>
          <w:szCs w:val="21"/>
        </w:rPr>
        <w:t>项目内容</w:t>
      </w:r>
    </w:p>
    <w:p>
      <w:pPr>
        <w:widowControl/>
        <w:adjustRightInd w:val="0"/>
        <w:snapToGrid w:val="0"/>
        <w:spacing w:line="380" w:lineRule="exact"/>
        <w:ind w:firstLine="422" w:firstLineChars="200"/>
        <w:outlineLvl w:val="2"/>
        <w:rPr>
          <w:rFonts w:hint="default" w:ascii="Times New Roman" w:hAnsi="Times New Roman" w:cs="Times New Roman"/>
          <w:b/>
          <w:spacing w:val="0"/>
          <w:szCs w:val="21"/>
        </w:rPr>
      </w:pPr>
      <w:bookmarkStart w:id="0" w:name="_Toc356744907"/>
      <w:bookmarkStart w:id="1" w:name="_Toc88832875"/>
      <w:bookmarkStart w:id="2" w:name="_Toc23257901"/>
      <w:bookmarkStart w:id="3" w:name="_Toc88811343"/>
      <w:bookmarkStart w:id="4" w:name="_Toc88827915"/>
      <w:bookmarkStart w:id="5" w:name="_Toc55049956"/>
      <w:r>
        <w:rPr>
          <w:rFonts w:hint="default" w:ascii="Times New Roman" w:hAnsi="Times New Roman" w:cs="Times New Roman"/>
          <w:b/>
          <w:spacing w:val="0"/>
          <w:szCs w:val="21"/>
        </w:rPr>
        <w:t>（一）概述</w:t>
      </w:r>
    </w:p>
    <w:p>
      <w:pPr>
        <w:widowControl/>
        <w:adjustRightInd w:val="0"/>
        <w:snapToGrid w:val="0"/>
        <w:spacing w:line="380" w:lineRule="exact"/>
        <w:ind w:firstLine="422" w:firstLineChars="200"/>
        <w:outlineLvl w:val="2"/>
        <w:rPr>
          <w:rFonts w:hint="default" w:ascii="Times New Roman" w:hAnsi="Times New Roman" w:cs="Times New Roman"/>
          <w:b/>
          <w:spacing w:val="0"/>
          <w:szCs w:val="21"/>
        </w:rPr>
      </w:pPr>
      <w:r>
        <w:rPr>
          <w:rFonts w:hint="default" w:ascii="Times New Roman" w:hAnsi="Times New Roman" w:cs="Times New Roman"/>
          <w:b/>
          <w:spacing w:val="0"/>
          <w:szCs w:val="21"/>
        </w:rPr>
        <w:t>1.1水库概述</w:t>
      </w:r>
      <w:bookmarkEnd w:id="0"/>
      <w:bookmarkEnd w:id="1"/>
      <w:bookmarkEnd w:id="2"/>
      <w:bookmarkEnd w:id="3"/>
      <w:bookmarkEnd w:id="4"/>
      <w:bookmarkEnd w:id="5"/>
    </w:p>
    <w:p>
      <w:pPr>
        <w:spacing w:line="360" w:lineRule="exact"/>
        <w:ind w:firstLine="420" w:firstLineChars="200"/>
        <w:rPr>
          <w:rFonts w:hint="default" w:ascii="Times New Roman" w:hAnsi="Times New Roman" w:cs="Times New Roman"/>
          <w:b/>
          <w:spacing w:val="0"/>
          <w:szCs w:val="21"/>
        </w:rPr>
      </w:pPr>
      <w:r>
        <w:rPr>
          <w:rFonts w:hint="default" w:ascii="Times New Roman" w:hAnsi="Times New Roman" w:cs="Times New Roman"/>
          <w:spacing w:val="0"/>
          <w:szCs w:val="21"/>
        </w:rPr>
        <w:t>玉环市位于浙江省东南沿海黄金海岸线中段，东经121°，北纬28°，地处亚热带季风气候区，多年平均气温17.5℃，多年平均降水量1743.9毫米,无霜期300天，非常适宜白蚁生存和活动。玉环市现已建有小(一)型水库7座</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详见附件清单</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rPr>
        <w:t>，坝高15～36米；小(二)型水库8座（西方庵水库已并入山塘）</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详见附件清单</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rPr>
        <w:t>，坝高8～24米；山塘75座</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lang w:val="en-US" w:eastAsia="zh-CN"/>
        </w:rPr>
        <w:t>详见附件清单</w:t>
      </w:r>
      <w:r>
        <w:rPr>
          <w:rFonts w:hint="default" w:ascii="Times New Roman" w:hAnsi="Times New Roman" w:cs="Times New Roman"/>
          <w:spacing w:val="0"/>
          <w:szCs w:val="21"/>
          <w:lang w:eastAsia="zh-CN"/>
        </w:rPr>
        <w:t>）</w:t>
      </w:r>
      <w:r>
        <w:rPr>
          <w:rFonts w:hint="default" w:ascii="Times New Roman" w:hAnsi="Times New Roman" w:cs="Times New Roman"/>
          <w:spacing w:val="0"/>
          <w:szCs w:val="21"/>
        </w:rPr>
        <w:t>，大部分建成于上世纪五六十年代，以土石坝为主，容易滋生白蚁，特别是黑翅土白蚁和黄翅大白蚁。</w:t>
      </w:r>
    </w:p>
    <w:p>
      <w:pPr>
        <w:widowControl/>
        <w:adjustRightInd w:val="0"/>
        <w:snapToGrid w:val="0"/>
        <w:spacing w:line="360" w:lineRule="exact"/>
        <w:ind w:firstLine="422" w:firstLineChars="200"/>
        <w:outlineLvl w:val="2"/>
        <w:rPr>
          <w:rFonts w:hint="default" w:ascii="Times New Roman" w:hAnsi="Times New Roman" w:cs="Times New Roman"/>
          <w:b/>
          <w:spacing w:val="0"/>
          <w:szCs w:val="21"/>
        </w:rPr>
      </w:pPr>
      <w:bookmarkStart w:id="6" w:name="_Toc23257902"/>
      <w:bookmarkStart w:id="7" w:name="_Toc55049957"/>
      <w:bookmarkStart w:id="8" w:name="_Toc88811344"/>
      <w:bookmarkStart w:id="9" w:name="_Toc88827916"/>
      <w:bookmarkStart w:id="10" w:name="_Toc88832876"/>
      <w:r>
        <w:rPr>
          <w:rFonts w:hint="default" w:ascii="Times New Roman" w:hAnsi="Times New Roman" w:cs="Times New Roman"/>
          <w:b/>
          <w:spacing w:val="0"/>
          <w:szCs w:val="21"/>
        </w:rPr>
        <w:t>1.2白蚁危害概述</w:t>
      </w:r>
      <w:bookmarkEnd w:id="6"/>
      <w:bookmarkEnd w:id="7"/>
      <w:bookmarkEnd w:id="8"/>
      <w:bookmarkEnd w:id="9"/>
      <w:bookmarkEnd w:id="10"/>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水库土石坝受白蚁危害是一种普遍现象，危害水库山塘的白蚁主要为黑翅土白蚁和黄翅大白蚁。其在我国广泛分布于长江以南及西南各省，是危害水库大坝和河岸堤防的主要白蚁种类。黑翅土白蚁属等翅目，白蚁科，营巢于土中，其频繁的地下筑巢和筑路活动，会对堤防造成严重的危害。白蚁巢内有蚁后、蚁王以及数量众多的兵蚁、工蚁、有翅繁殖蚁，白蚁巢有可由多达数十个直径达50厘米的巢穴组成，大的可达1米以上；主蚁道，直径可达5厘米以上，窜穿百米以上。黑翅土白蚁的有翅繁殖蚁体长12～15毫米，翅黑褐色。兵蚁体长5～6毫米；工蚁体长4.6～6毫米。黑翅土白蚁营地下巢，每年5～6月间在蚁巢附近出现成群的分群孔，相对湿度95%以上的闷热天气或大雨之后，有翅繁殖蚁从分群孔飞出繁殖。经过纷飞脱翅，雌雄配对钻入地下建立新巢，发展成为一个新的白蚁群体。</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黑翅土白蚁和黄翅大白蚁成年群体的巢穴，平均可掏空土坝内1立方米左右的土方，其蚁路可在正常蓄水位上方贯穿坝体，当汛期水位上涨淹没上游坡面蚁路取食口时，水流会沿蚁路从下游坡面取食口流出，随着水流的冲刷，蚁路越来越粗，水流越来越大，严重时可引起管涌甚至垮坝的险情。</w:t>
      </w:r>
    </w:p>
    <w:p>
      <w:pPr>
        <w:widowControl/>
        <w:tabs>
          <w:tab w:val="left" w:pos="2860"/>
        </w:tabs>
        <w:adjustRightInd w:val="0"/>
        <w:snapToGrid w:val="0"/>
        <w:spacing w:line="360" w:lineRule="exact"/>
        <w:ind w:firstLine="422" w:firstLineChars="200"/>
        <w:outlineLvl w:val="1"/>
        <w:rPr>
          <w:rFonts w:hint="default" w:ascii="Times New Roman" w:hAnsi="Times New Roman" w:cs="Times New Roman"/>
          <w:b/>
          <w:spacing w:val="0"/>
          <w:szCs w:val="21"/>
        </w:rPr>
      </w:pPr>
      <w:bookmarkStart w:id="11" w:name="_Toc23257903"/>
      <w:bookmarkStart w:id="12" w:name="_Toc55049958"/>
      <w:bookmarkStart w:id="13" w:name="_Toc88827917"/>
      <w:bookmarkStart w:id="14" w:name="_Toc88811345"/>
      <w:bookmarkStart w:id="15" w:name="_Toc356744911"/>
      <w:bookmarkStart w:id="16" w:name="_Toc88832877"/>
      <w:r>
        <w:rPr>
          <w:rFonts w:hint="default" w:ascii="Times New Roman" w:hAnsi="Times New Roman" w:cs="Times New Roman"/>
          <w:b/>
          <w:spacing w:val="0"/>
          <w:szCs w:val="21"/>
        </w:rPr>
        <w:t>（二）防治目标</w:t>
      </w:r>
      <w:bookmarkEnd w:id="11"/>
      <w:bookmarkEnd w:id="12"/>
      <w:bookmarkEnd w:id="13"/>
      <w:bookmarkEnd w:id="14"/>
      <w:bookmarkEnd w:id="15"/>
      <w:bookmarkEnd w:id="16"/>
      <w:r>
        <w:rPr>
          <w:rFonts w:hint="default" w:ascii="Times New Roman" w:hAnsi="Times New Roman" w:cs="Times New Roman"/>
          <w:b/>
          <w:spacing w:val="0"/>
          <w:szCs w:val="21"/>
        </w:rPr>
        <w:tab/>
      </w:r>
    </w:p>
    <w:p>
      <w:pPr>
        <w:widowControl/>
        <w:adjustRightInd w:val="0"/>
        <w:snapToGrid w:val="0"/>
        <w:spacing w:line="360" w:lineRule="exact"/>
        <w:ind w:firstLine="422" w:firstLineChars="200"/>
        <w:outlineLvl w:val="2"/>
        <w:rPr>
          <w:rFonts w:hint="default" w:ascii="Times New Roman" w:hAnsi="Times New Roman" w:cs="Times New Roman"/>
          <w:b/>
          <w:spacing w:val="0"/>
          <w:szCs w:val="21"/>
        </w:rPr>
      </w:pPr>
      <w:bookmarkStart w:id="17" w:name="_Toc356744912"/>
      <w:bookmarkStart w:id="18" w:name="_Toc55049959"/>
      <w:bookmarkStart w:id="19" w:name="_Toc88832878"/>
      <w:bookmarkStart w:id="20" w:name="_Toc88811346"/>
      <w:bookmarkStart w:id="21" w:name="_Toc88827918"/>
      <w:bookmarkStart w:id="22" w:name="_Toc23257904"/>
      <w:r>
        <w:rPr>
          <w:rFonts w:hint="default" w:ascii="Times New Roman" w:hAnsi="Times New Roman" w:cs="Times New Roman"/>
          <w:b/>
          <w:spacing w:val="0"/>
          <w:szCs w:val="21"/>
        </w:rPr>
        <w:t>2.1防治目标</w:t>
      </w:r>
      <w:bookmarkEnd w:id="17"/>
      <w:bookmarkEnd w:id="18"/>
      <w:bookmarkEnd w:id="19"/>
      <w:bookmarkEnd w:id="20"/>
      <w:bookmarkEnd w:id="21"/>
      <w:bookmarkEnd w:id="22"/>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进行为期三年的白蚁预防和灭治，全面消灭大坝上的成年巢，控制幼年巢的危害，阻断周边环境白蚁的蔓延危害，使施工范围内的白蚁危害基本得到控制，最大程度降低坝区的蚁害率，明显的减少坝体左右端山体蚁害迹象。</w:t>
      </w:r>
    </w:p>
    <w:p>
      <w:pPr>
        <w:widowControl/>
        <w:adjustRightInd w:val="0"/>
        <w:snapToGrid w:val="0"/>
        <w:spacing w:line="360" w:lineRule="exact"/>
        <w:ind w:firstLine="422" w:firstLineChars="200"/>
        <w:outlineLvl w:val="2"/>
        <w:rPr>
          <w:rFonts w:hint="default" w:ascii="Times New Roman" w:hAnsi="Times New Roman" w:cs="Times New Roman"/>
          <w:b/>
          <w:spacing w:val="0"/>
          <w:szCs w:val="21"/>
        </w:rPr>
      </w:pPr>
      <w:bookmarkStart w:id="23" w:name="_Toc55049960"/>
      <w:bookmarkStart w:id="24" w:name="_Toc356744913"/>
      <w:bookmarkStart w:id="25" w:name="_Toc88811347"/>
      <w:bookmarkStart w:id="26" w:name="_Toc23257905"/>
      <w:bookmarkStart w:id="27" w:name="_Toc88832879"/>
      <w:bookmarkStart w:id="28" w:name="_Toc88827919"/>
      <w:r>
        <w:rPr>
          <w:rFonts w:hint="default" w:ascii="Times New Roman" w:hAnsi="Times New Roman" w:cs="Times New Roman"/>
          <w:b/>
          <w:spacing w:val="0"/>
          <w:szCs w:val="21"/>
        </w:rPr>
        <w:t>2.2环境目标</w:t>
      </w:r>
      <w:bookmarkEnd w:id="23"/>
      <w:bookmarkEnd w:id="24"/>
      <w:bookmarkEnd w:id="25"/>
      <w:bookmarkEnd w:id="26"/>
      <w:bookmarkEnd w:id="27"/>
      <w:bookmarkEnd w:id="28"/>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根据实际情况，尽可能的减少化学药剂的使用，关键部位采用环保、高效的灭蚁药剂，确保水库大坝的环境安全。</w:t>
      </w:r>
    </w:p>
    <w:p>
      <w:pPr>
        <w:widowControl/>
        <w:adjustRightInd w:val="0"/>
        <w:snapToGrid w:val="0"/>
        <w:spacing w:line="360" w:lineRule="exact"/>
        <w:ind w:firstLine="422" w:firstLineChars="200"/>
        <w:outlineLvl w:val="2"/>
        <w:rPr>
          <w:rFonts w:hint="default" w:ascii="Times New Roman" w:hAnsi="Times New Roman" w:cs="Times New Roman"/>
          <w:b/>
          <w:spacing w:val="0"/>
          <w:szCs w:val="21"/>
        </w:rPr>
      </w:pPr>
      <w:bookmarkStart w:id="29" w:name="_Toc55049961"/>
      <w:bookmarkStart w:id="30" w:name="_Toc23257906"/>
      <w:bookmarkStart w:id="31" w:name="_Toc88832880"/>
      <w:bookmarkStart w:id="32" w:name="_Toc88827920"/>
      <w:bookmarkStart w:id="33" w:name="_Toc88811348"/>
      <w:bookmarkStart w:id="34" w:name="_Toc356744914"/>
      <w:r>
        <w:rPr>
          <w:rFonts w:hint="default" w:ascii="Times New Roman" w:hAnsi="Times New Roman" w:cs="Times New Roman"/>
          <w:b/>
          <w:spacing w:val="0"/>
          <w:szCs w:val="21"/>
        </w:rPr>
        <w:t>2.3管理目标</w:t>
      </w:r>
      <w:bookmarkEnd w:id="29"/>
      <w:bookmarkEnd w:id="30"/>
      <w:bookmarkEnd w:id="31"/>
      <w:bookmarkEnd w:id="32"/>
      <w:bookmarkEnd w:id="33"/>
      <w:bookmarkEnd w:id="34"/>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经过三年的白蚁防治，把白蚁综合防治技术传输给广大的水库管理人员。通过培训，了解白蚁的生活习性和防治方法，将大坝白蚁防治工作纳入大坝的日常管理工作中，确保大坝不受白蚁危害。</w:t>
      </w:r>
    </w:p>
    <w:p>
      <w:pPr>
        <w:widowControl/>
        <w:tabs>
          <w:tab w:val="left" w:pos="2860"/>
        </w:tabs>
        <w:adjustRightInd w:val="0"/>
        <w:snapToGrid w:val="0"/>
        <w:spacing w:line="360" w:lineRule="exact"/>
        <w:ind w:firstLine="422" w:firstLineChars="200"/>
        <w:outlineLvl w:val="1"/>
        <w:rPr>
          <w:rFonts w:hint="default" w:ascii="Times New Roman" w:hAnsi="Times New Roman" w:cs="Times New Roman"/>
          <w:b/>
          <w:spacing w:val="0"/>
          <w:szCs w:val="21"/>
        </w:rPr>
      </w:pPr>
      <w:bookmarkStart w:id="35" w:name="_Toc88811349"/>
      <w:bookmarkStart w:id="36" w:name="_Toc88832881"/>
      <w:bookmarkStart w:id="37" w:name="_Toc88827921"/>
      <w:bookmarkStart w:id="38" w:name="_Toc356744915"/>
      <w:bookmarkStart w:id="39" w:name="_Toc55049962"/>
      <w:bookmarkStart w:id="40" w:name="_Toc23257907"/>
      <w:r>
        <w:rPr>
          <w:rFonts w:hint="default" w:ascii="Times New Roman" w:hAnsi="Times New Roman" w:cs="Times New Roman"/>
          <w:b/>
          <w:spacing w:val="0"/>
          <w:szCs w:val="21"/>
        </w:rPr>
        <w:t>（三）防治基本思路</w:t>
      </w:r>
      <w:bookmarkEnd w:id="35"/>
      <w:bookmarkEnd w:id="36"/>
      <w:bookmarkEnd w:id="37"/>
      <w:bookmarkEnd w:id="38"/>
      <w:bookmarkEnd w:id="39"/>
      <w:bookmarkEnd w:id="40"/>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鉴于玉环市水库、山塘的功能需求以及坝体周边环境特点，白蚁防治应兼顾保证工程安全的原则和不污染环境的原则，采取防治并重、因地制宜的综合治理措施。</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为此，拟采取“灭治—预防”相结合的白蚁综合防治方案（IPM）。对坝体和坝体周边环境进行白蚁灭治处理；在坝头设置防止白蚁入侵的物理屏障和化学屏障；结合每次白蚁防治施工，监测、检查白蚁活动和危害情况。</w:t>
      </w:r>
    </w:p>
    <w:p>
      <w:pPr>
        <w:widowControl/>
        <w:tabs>
          <w:tab w:val="left" w:pos="2860"/>
        </w:tabs>
        <w:adjustRightInd w:val="0"/>
        <w:snapToGrid w:val="0"/>
        <w:spacing w:line="360" w:lineRule="exact"/>
        <w:ind w:firstLine="422" w:firstLineChars="200"/>
        <w:outlineLvl w:val="1"/>
        <w:rPr>
          <w:rFonts w:hint="default" w:ascii="Times New Roman" w:hAnsi="Times New Roman" w:cs="Times New Roman"/>
          <w:b/>
          <w:spacing w:val="0"/>
          <w:szCs w:val="21"/>
        </w:rPr>
      </w:pPr>
      <w:bookmarkStart w:id="41" w:name="_Toc23257908"/>
      <w:bookmarkStart w:id="42" w:name="_Toc88811350"/>
      <w:bookmarkStart w:id="43" w:name="_Toc88832882"/>
      <w:bookmarkStart w:id="44" w:name="_Toc356744918"/>
      <w:bookmarkStart w:id="45" w:name="_Toc88827922"/>
      <w:bookmarkStart w:id="46" w:name="_Toc55049963"/>
      <w:r>
        <w:rPr>
          <w:rFonts w:hint="default" w:ascii="Times New Roman" w:hAnsi="Times New Roman" w:cs="Times New Roman"/>
          <w:b/>
          <w:spacing w:val="0"/>
          <w:szCs w:val="21"/>
        </w:rPr>
        <w:t>（四）水库山塘白蚁综合防治方案设计</w:t>
      </w:r>
      <w:bookmarkEnd w:id="41"/>
      <w:bookmarkEnd w:id="42"/>
      <w:bookmarkEnd w:id="43"/>
      <w:bookmarkEnd w:id="44"/>
      <w:bookmarkEnd w:id="45"/>
      <w:bookmarkEnd w:id="46"/>
    </w:p>
    <w:p>
      <w:pPr>
        <w:widowControl/>
        <w:adjustRightInd w:val="0"/>
        <w:snapToGrid w:val="0"/>
        <w:spacing w:line="360" w:lineRule="exact"/>
        <w:ind w:firstLine="422" w:firstLineChars="200"/>
        <w:outlineLvl w:val="2"/>
        <w:rPr>
          <w:rFonts w:hint="default" w:ascii="Times New Roman" w:hAnsi="Times New Roman" w:cs="Times New Roman"/>
          <w:b/>
          <w:spacing w:val="0"/>
          <w:szCs w:val="21"/>
        </w:rPr>
      </w:pPr>
      <w:bookmarkStart w:id="47" w:name="_Toc23257909"/>
      <w:bookmarkStart w:id="48" w:name="_Toc88811351"/>
      <w:bookmarkStart w:id="49" w:name="_Toc55049964"/>
      <w:bookmarkStart w:id="50" w:name="_Toc356744919"/>
      <w:bookmarkStart w:id="51" w:name="_Toc88827923"/>
      <w:bookmarkStart w:id="52" w:name="_Toc88832883"/>
      <w:r>
        <w:rPr>
          <w:rFonts w:hint="default" w:ascii="Times New Roman" w:hAnsi="Times New Roman" w:cs="Times New Roman"/>
          <w:b/>
          <w:spacing w:val="0"/>
          <w:szCs w:val="21"/>
        </w:rPr>
        <w:t>4.1 白蚁的生物学特性</w:t>
      </w:r>
      <w:bookmarkEnd w:id="47"/>
      <w:bookmarkEnd w:id="48"/>
      <w:bookmarkEnd w:id="49"/>
      <w:bookmarkEnd w:id="50"/>
      <w:bookmarkEnd w:id="51"/>
      <w:bookmarkEnd w:id="52"/>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白蚁是地球上最古老的社会性昆虫，它至少已有一亿五千万年的历史。它不仅营巢居的集群生活，而且群体内有不同的品级分化，各品级分工明确又联系紧密，使得白蚁类群得以生存、繁衍。白蚁巢群的大小与种类有关，如散白蚁一般一个群体内仅有同百个、几千个甚至几万个个体，而黑翅土白蚁和黄翅大白蚁一个群体所包括的个体有时可多达二百万个以上。白蚁作为社会性昆虫，群体内通常包括蚁王、蚁后、工蚁、兵蚁、若虫等不同的品级，其若虫又可成为具有繁殖能力的有翅成虫。白蚁的巢群发育到一定阶段，就会向外扩散、迁移，从巢群内向外扩散、迁移的是白蚁的有翅成虫。有翅成虫出现于一年中某一个特定的季节内，但具体时间随种类和地区的不同而有差异。发育成熟的有翅成虫在适宜的气候条件下，会飞离群体，寻觅合适的场所建立新的群体。据观察和资料分析，黑翅土白蚁在我市的纷飞时间一般在5—6月间的夜晚。白蚁的有翅成虫对灯光有较强的趋性，纷飞时巢群附近的灯光会对有翅成虫产生很强的引诱作用，导致灯光附近区域形成较多的白蚁新群体，这是房屋周围、水库坝体白蚁孳生多的主要原因。另外，大多白蚁对水分有严格的要求，因此水库土坝也成了白蚁经常筑巢的场所。</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由于白蚁的生物学特性和生活史特点，成年群体的个体数量多，取食活动范围广，灭治效果较好；而幼龄群体的个体数量少，初建群体甚至只有几十个白蚁个体，其取食活动范围很窄，取食到饵剂的机率极小。因此，白蚁的灭治一般以3年为一个周期。第一年以杀灭成年群体为主，阻断白蚁生活史中有翅成虫“纷飞繁衍”的环节；以后两年逐渐杀灭幼龄群体，以达到控制白蚁危害的目的。一个灭治周期完成后，每年还应再进行零星的治理和灭治效果维护。</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白蚁的生物学特性是白蚁防治设计的重要依据之一。</w:t>
      </w:r>
    </w:p>
    <w:p>
      <w:pPr>
        <w:spacing w:line="360" w:lineRule="exact"/>
        <w:ind w:firstLine="422" w:firstLineChars="200"/>
        <w:outlineLvl w:val="2"/>
        <w:rPr>
          <w:rFonts w:hint="default" w:ascii="Times New Roman" w:hAnsi="Times New Roman" w:cs="Times New Roman"/>
          <w:b/>
          <w:spacing w:val="0"/>
          <w:szCs w:val="21"/>
        </w:rPr>
      </w:pPr>
      <w:bookmarkStart w:id="53" w:name="_Toc88827924"/>
      <w:bookmarkStart w:id="54" w:name="_Toc88811352"/>
      <w:bookmarkStart w:id="55" w:name="_Toc356744920"/>
      <w:bookmarkStart w:id="56" w:name="_Toc88832884"/>
      <w:bookmarkStart w:id="57" w:name="_Toc23257910"/>
      <w:bookmarkStart w:id="58" w:name="_Toc55049965"/>
      <w:r>
        <w:rPr>
          <w:rFonts w:hint="default" w:ascii="Times New Roman" w:hAnsi="Times New Roman" w:cs="Times New Roman"/>
          <w:b/>
          <w:spacing w:val="0"/>
          <w:szCs w:val="21"/>
        </w:rPr>
        <w:t>4.2 水库大坝白蚁产生的原因</w:t>
      </w:r>
      <w:bookmarkEnd w:id="53"/>
      <w:bookmarkEnd w:id="54"/>
      <w:bookmarkEnd w:id="55"/>
      <w:bookmarkEnd w:id="56"/>
      <w:bookmarkEnd w:id="57"/>
      <w:bookmarkEnd w:id="58"/>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要对坝体进行白蚁预防，首先要了解水库大坝白蚁产生的原因。玉环市水库、山塘产生白蚁的主要原因有：</w:t>
      </w:r>
    </w:p>
    <w:p>
      <w:pPr>
        <w:spacing w:line="360" w:lineRule="exact"/>
        <w:ind w:firstLine="422" w:firstLineChars="200"/>
        <w:outlineLvl w:val="2"/>
        <w:rPr>
          <w:rFonts w:hint="default" w:ascii="Times New Roman" w:hAnsi="Times New Roman" w:cs="Times New Roman"/>
          <w:b/>
          <w:spacing w:val="0"/>
          <w:szCs w:val="21"/>
        </w:rPr>
      </w:pPr>
      <w:bookmarkStart w:id="59" w:name="_Toc88811353"/>
      <w:bookmarkStart w:id="60" w:name="_Toc88827925"/>
      <w:bookmarkStart w:id="61" w:name="_Toc88832885"/>
      <w:bookmarkStart w:id="62" w:name="_Toc356744921"/>
      <w:bookmarkStart w:id="63" w:name="_Toc55049966"/>
      <w:bookmarkStart w:id="64" w:name="_Toc23257911"/>
      <w:r>
        <w:rPr>
          <w:rFonts w:hint="default" w:ascii="Times New Roman" w:hAnsi="Times New Roman" w:cs="Times New Roman"/>
          <w:b/>
          <w:spacing w:val="0"/>
          <w:szCs w:val="21"/>
        </w:rPr>
        <w:t>4.2.1坝头山体的白蚁蔓延入侵</w:t>
      </w:r>
      <w:bookmarkEnd w:id="59"/>
      <w:bookmarkEnd w:id="60"/>
      <w:bookmarkEnd w:id="61"/>
      <w:bookmarkEnd w:id="62"/>
      <w:bookmarkEnd w:id="63"/>
      <w:bookmarkEnd w:id="64"/>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水库大坝两端山体上往往孳生白蚁，它们为了生存和发展，到处寻找食料和水源。水库大坝的土壤温、湿度以及植被、浪渣适宜白蚁生活。因此，山体上的白蚁容易蔓延到大坝上来。这种情况下，一般先在坝头出现蚁害迹象。</w:t>
      </w:r>
    </w:p>
    <w:p>
      <w:pPr>
        <w:spacing w:line="360" w:lineRule="exact"/>
        <w:ind w:firstLine="422" w:firstLineChars="200"/>
        <w:outlineLvl w:val="2"/>
        <w:rPr>
          <w:rFonts w:hint="default" w:ascii="Times New Roman" w:hAnsi="Times New Roman" w:cs="Times New Roman"/>
          <w:b/>
          <w:spacing w:val="0"/>
          <w:szCs w:val="21"/>
        </w:rPr>
      </w:pPr>
      <w:bookmarkStart w:id="65" w:name="_Toc88827926"/>
      <w:bookmarkStart w:id="66" w:name="_Toc55049967"/>
      <w:bookmarkStart w:id="67" w:name="_Toc23257912"/>
      <w:bookmarkStart w:id="68" w:name="_Toc88811354"/>
      <w:bookmarkStart w:id="69" w:name="_Toc88832886"/>
      <w:bookmarkStart w:id="70" w:name="_Toc356744922"/>
      <w:r>
        <w:rPr>
          <w:rFonts w:hint="default" w:ascii="Times New Roman" w:hAnsi="Times New Roman" w:cs="Times New Roman"/>
          <w:b/>
          <w:spacing w:val="0"/>
          <w:szCs w:val="21"/>
        </w:rPr>
        <w:t>4.2.2周边的有翅成虫纷飞到大坝上</w:t>
      </w:r>
      <w:bookmarkEnd w:id="65"/>
      <w:bookmarkEnd w:id="66"/>
      <w:bookmarkEnd w:id="67"/>
      <w:bookmarkEnd w:id="68"/>
      <w:bookmarkEnd w:id="69"/>
      <w:bookmarkEnd w:id="70"/>
    </w:p>
    <w:p>
      <w:pPr>
        <w:spacing w:line="360" w:lineRule="exact"/>
        <w:ind w:firstLine="420" w:firstLineChars="200"/>
        <w:rPr>
          <w:rFonts w:hint="default" w:ascii="Times New Roman" w:hAnsi="Times New Roman" w:cs="Times New Roman"/>
          <w:b/>
          <w:spacing w:val="0"/>
          <w:szCs w:val="21"/>
        </w:rPr>
      </w:pPr>
      <w:r>
        <w:rPr>
          <w:rFonts w:hint="default" w:ascii="Times New Roman" w:hAnsi="Times New Roman" w:cs="Times New Roman"/>
          <w:spacing w:val="0"/>
          <w:szCs w:val="21"/>
        </w:rPr>
        <w:t>白蚁在生物学特性上，其成熟群体每年都有一个分群繁衍季节，由于白蚁有翅成虫的正趋光性，大坝或其管理用房的灯光容易将附近山体中纷飞的有翅成虫吸引到大坝上来，在大坝内创建新群体，营巢繁殖。</w:t>
      </w:r>
    </w:p>
    <w:p>
      <w:pPr>
        <w:spacing w:line="360" w:lineRule="exact"/>
        <w:ind w:firstLine="422" w:firstLineChars="200"/>
        <w:outlineLvl w:val="2"/>
        <w:rPr>
          <w:rFonts w:hint="default" w:ascii="Times New Roman" w:hAnsi="Times New Roman" w:cs="Times New Roman"/>
          <w:b/>
          <w:spacing w:val="0"/>
          <w:szCs w:val="21"/>
        </w:rPr>
      </w:pPr>
      <w:bookmarkStart w:id="71" w:name="_Toc55049968"/>
      <w:bookmarkStart w:id="72" w:name="_Toc356744923"/>
      <w:bookmarkStart w:id="73" w:name="_Toc23257913"/>
      <w:bookmarkStart w:id="74" w:name="_Toc88811355"/>
      <w:bookmarkStart w:id="75" w:name="_Toc88827927"/>
      <w:bookmarkStart w:id="76" w:name="_Toc88832887"/>
      <w:r>
        <w:rPr>
          <w:rFonts w:hint="default" w:ascii="Times New Roman" w:hAnsi="Times New Roman" w:cs="Times New Roman"/>
          <w:b/>
          <w:spacing w:val="0"/>
          <w:szCs w:val="21"/>
        </w:rPr>
        <w:t>4.2.3坝体内成熟群体分群繁衍</w:t>
      </w:r>
      <w:bookmarkEnd w:id="71"/>
      <w:bookmarkEnd w:id="72"/>
      <w:bookmarkEnd w:id="73"/>
      <w:bookmarkEnd w:id="74"/>
      <w:bookmarkEnd w:id="75"/>
      <w:bookmarkEnd w:id="76"/>
    </w:p>
    <w:p>
      <w:pPr>
        <w:spacing w:line="360" w:lineRule="exact"/>
        <w:ind w:firstLine="420" w:firstLineChars="200"/>
        <w:outlineLvl w:val="3"/>
        <w:rPr>
          <w:rFonts w:hint="default" w:ascii="Times New Roman" w:hAnsi="Times New Roman" w:cs="Times New Roman"/>
          <w:spacing w:val="0"/>
          <w:szCs w:val="21"/>
        </w:rPr>
      </w:pPr>
      <w:r>
        <w:rPr>
          <w:rFonts w:hint="default" w:ascii="Times New Roman" w:hAnsi="Times New Roman" w:cs="Times New Roman"/>
          <w:spacing w:val="0"/>
          <w:szCs w:val="21"/>
        </w:rPr>
        <w:t>坝体内成熟白蚁群体的有翅成虫纷飞后直接在坝体内配对营巢或未经飞出而从巢群中分化另立门户等。</w:t>
      </w:r>
    </w:p>
    <w:p>
      <w:pPr>
        <w:spacing w:line="360" w:lineRule="exact"/>
        <w:ind w:firstLine="422" w:firstLineChars="200"/>
        <w:outlineLvl w:val="2"/>
        <w:rPr>
          <w:rFonts w:hint="default" w:ascii="Times New Roman" w:hAnsi="Times New Roman" w:cs="Times New Roman"/>
          <w:b/>
          <w:spacing w:val="0"/>
          <w:szCs w:val="21"/>
        </w:rPr>
      </w:pPr>
      <w:bookmarkStart w:id="77" w:name="_Toc55049969"/>
      <w:bookmarkStart w:id="78" w:name="_Toc88832888"/>
      <w:bookmarkStart w:id="79" w:name="_Toc23257914"/>
      <w:bookmarkStart w:id="80" w:name="_Toc88811356"/>
      <w:bookmarkStart w:id="81" w:name="_Toc88827928"/>
      <w:bookmarkStart w:id="82" w:name="_Toc356744924"/>
      <w:r>
        <w:rPr>
          <w:rFonts w:hint="default" w:ascii="Times New Roman" w:hAnsi="Times New Roman" w:cs="Times New Roman"/>
          <w:b/>
          <w:spacing w:val="0"/>
          <w:szCs w:val="21"/>
        </w:rPr>
        <w:t>4.3 坝体白蚁灭治</w:t>
      </w:r>
      <w:bookmarkEnd w:id="77"/>
      <w:bookmarkEnd w:id="78"/>
      <w:bookmarkEnd w:id="79"/>
      <w:bookmarkEnd w:id="80"/>
      <w:bookmarkEnd w:id="81"/>
      <w:bookmarkEnd w:id="82"/>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根据白蚁的生活习性，结合堤坝的实际情况，特制定白蚁监控、预防、灭治等手段为一体的白蚁综合防治方案（IPM），具体步骤和措施如下：</w:t>
      </w:r>
    </w:p>
    <w:p>
      <w:pPr>
        <w:spacing w:line="360" w:lineRule="exact"/>
        <w:ind w:firstLine="422" w:firstLineChars="200"/>
        <w:outlineLvl w:val="2"/>
        <w:rPr>
          <w:rFonts w:hint="default" w:ascii="Times New Roman" w:hAnsi="Times New Roman" w:cs="Times New Roman"/>
          <w:b/>
          <w:spacing w:val="0"/>
          <w:szCs w:val="21"/>
        </w:rPr>
      </w:pPr>
      <w:bookmarkStart w:id="83" w:name="_Toc23257915"/>
      <w:bookmarkStart w:id="84" w:name="_Toc88827929"/>
      <w:bookmarkStart w:id="85" w:name="_Toc88811357"/>
      <w:bookmarkStart w:id="86" w:name="_Toc356744925"/>
      <w:bookmarkStart w:id="87" w:name="_Toc55049970"/>
      <w:bookmarkStart w:id="88" w:name="_Toc88832889"/>
      <w:r>
        <w:rPr>
          <w:rFonts w:hint="default" w:ascii="Times New Roman" w:hAnsi="Times New Roman" w:cs="Times New Roman"/>
          <w:b/>
          <w:spacing w:val="0"/>
          <w:szCs w:val="21"/>
        </w:rPr>
        <w:t>4．3．1水库山塘堤坝白蚁危害普查及划分防治等级</w:t>
      </w:r>
      <w:bookmarkEnd w:id="83"/>
      <w:bookmarkEnd w:id="84"/>
      <w:bookmarkEnd w:id="85"/>
      <w:bookmarkEnd w:id="86"/>
      <w:bookmarkEnd w:id="87"/>
      <w:bookmarkEnd w:id="88"/>
    </w:p>
    <w:p>
      <w:pPr>
        <w:widowControl/>
        <w:adjustRightInd w:val="0"/>
        <w:snapToGrid w:val="0"/>
        <w:spacing w:line="360" w:lineRule="exact"/>
        <w:ind w:firstLine="420" w:firstLineChars="200"/>
        <w:outlineLvl w:val="2"/>
        <w:rPr>
          <w:rFonts w:hint="default" w:ascii="Times New Roman" w:hAnsi="Times New Roman" w:cs="Times New Roman"/>
          <w:spacing w:val="0"/>
          <w:szCs w:val="21"/>
        </w:rPr>
      </w:pPr>
      <w:bookmarkStart w:id="89" w:name="_Toc55049971"/>
      <w:bookmarkStart w:id="90" w:name="_Toc88832890"/>
      <w:bookmarkStart w:id="91" w:name="_Toc88811358"/>
      <w:bookmarkStart w:id="92" w:name="_Toc23257916"/>
      <w:bookmarkStart w:id="93" w:name="_Toc88827930"/>
      <w:r>
        <w:rPr>
          <w:rFonts w:hint="default" w:ascii="Times New Roman" w:hAnsi="Times New Roman" w:cs="Times New Roman"/>
          <w:spacing w:val="0"/>
          <w:szCs w:val="21"/>
        </w:rPr>
        <w:t>首先，对所有的水库、山塘大坝的白蚁危害进行普查，综合调查白蚁的种类，堤坝周边的环境及白蚁活动的密度。根据调查结果，将堤坝列为不同的防治对象，具体如下：</w:t>
      </w:r>
      <w:bookmarkEnd w:id="89"/>
      <w:bookmarkEnd w:id="90"/>
      <w:bookmarkEnd w:id="91"/>
      <w:bookmarkEnd w:id="92"/>
      <w:bookmarkEnd w:id="93"/>
    </w:p>
    <w:p>
      <w:pPr>
        <w:widowControl/>
        <w:adjustRightInd w:val="0"/>
        <w:snapToGrid w:val="0"/>
        <w:spacing w:line="360" w:lineRule="exact"/>
        <w:ind w:firstLine="422" w:firstLineChars="200"/>
        <w:rPr>
          <w:rFonts w:hint="default" w:ascii="Times New Roman" w:hAnsi="Times New Roman" w:cs="Times New Roman"/>
          <w:spacing w:val="0"/>
          <w:szCs w:val="21"/>
        </w:rPr>
      </w:pPr>
      <w:r>
        <w:rPr>
          <w:rFonts w:hint="default" w:ascii="Times New Roman" w:hAnsi="Times New Roman" w:cs="Times New Roman"/>
          <w:b/>
          <w:bCs/>
          <w:spacing w:val="0"/>
          <w:szCs w:val="21"/>
        </w:rPr>
        <w:t>A类:</w:t>
      </w:r>
      <w:r>
        <w:rPr>
          <w:rFonts w:hint="default" w:ascii="Times New Roman" w:hAnsi="Times New Roman" w:cs="Times New Roman"/>
          <w:spacing w:val="0"/>
          <w:szCs w:val="21"/>
        </w:rPr>
        <w:t>将发现黑翅土白蚁或黄翅大白蚁活动密度高的堤坝列为重点防治对象；</w:t>
      </w:r>
    </w:p>
    <w:p>
      <w:pPr>
        <w:widowControl/>
        <w:adjustRightInd w:val="0"/>
        <w:snapToGrid w:val="0"/>
        <w:spacing w:line="360" w:lineRule="exact"/>
        <w:ind w:firstLine="422" w:firstLineChars="200"/>
        <w:rPr>
          <w:rFonts w:hint="default" w:ascii="Times New Roman" w:hAnsi="Times New Roman" w:cs="Times New Roman"/>
          <w:spacing w:val="0"/>
          <w:szCs w:val="21"/>
        </w:rPr>
      </w:pPr>
      <w:r>
        <w:rPr>
          <w:rFonts w:hint="default" w:ascii="Times New Roman" w:hAnsi="Times New Roman" w:cs="Times New Roman"/>
          <w:b/>
          <w:bCs/>
          <w:spacing w:val="0"/>
          <w:szCs w:val="21"/>
        </w:rPr>
        <w:t>B类:</w:t>
      </w:r>
      <w:r>
        <w:rPr>
          <w:rFonts w:hint="default" w:ascii="Times New Roman" w:hAnsi="Times New Roman" w:cs="Times New Roman"/>
          <w:spacing w:val="0"/>
          <w:szCs w:val="21"/>
        </w:rPr>
        <w:t>在周边发现白蚁并且周边山体多的堤坝列为重点预防对象；</w:t>
      </w:r>
    </w:p>
    <w:p>
      <w:pPr>
        <w:widowControl/>
        <w:adjustRightInd w:val="0"/>
        <w:snapToGrid w:val="0"/>
        <w:spacing w:line="360" w:lineRule="exact"/>
        <w:ind w:firstLine="422" w:firstLineChars="200"/>
        <w:rPr>
          <w:rFonts w:hint="default" w:ascii="Times New Roman" w:hAnsi="Times New Roman" w:cs="Times New Roman"/>
          <w:spacing w:val="0"/>
          <w:szCs w:val="21"/>
        </w:rPr>
      </w:pPr>
      <w:r>
        <w:rPr>
          <w:rFonts w:hint="default" w:ascii="Times New Roman" w:hAnsi="Times New Roman" w:cs="Times New Roman"/>
          <w:b/>
          <w:bCs/>
          <w:spacing w:val="0"/>
          <w:szCs w:val="21"/>
        </w:rPr>
        <w:t>C类:</w:t>
      </w:r>
      <w:r>
        <w:rPr>
          <w:rFonts w:hint="default" w:ascii="Times New Roman" w:hAnsi="Times New Roman" w:cs="Times New Roman"/>
          <w:spacing w:val="0"/>
          <w:szCs w:val="21"/>
        </w:rPr>
        <w:t>将没发现白蚁活动并且周边没有山体的堤坝列为一般预防对象。</w:t>
      </w:r>
    </w:p>
    <w:p>
      <w:pPr>
        <w:spacing w:line="360" w:lineRule="exact"/>
        <w:ind w:firstLine="422" w:firstLineChars="200"/>
        <w:outlineLvl w:val="2"/>
        <w:rPr>
          <w:rFonts w:hint="default" w:ascii="Times New Roman" w:hAnsi="Times New Roman" w:cs="Times New Roman"/>
          <w:b/>
          <w:spacing w:val="0"/>
          <w:szCs w:val="21"/>
        </w:rPr>
      </w:pPr>
      <w:bookmarkStart w:id="94" w:name="_Toc88811359"/>
      <w:bookmarkStart w:id="95" w:name="_Toc356744926"/>
      <w:bookmarkStart w:id="96" w:name="_Toc55049972"/>
      <w:bookmarkStart w:id="97" w:name="_Toc88827931"/>
      <w:bookmarkStart w:id="98" w:name="_Toc88832891"/>
      <w:bookmarkStart w:id="99" w:name="_Toc23257917"/>
      <w:r>
        <w:rPr>
          <w:rFonts w:hint="default" w:ascii="Times New Roman" w:hAnsi="Times New Roman" w:cs="Times New Roman"/>
          <w:b/>
          <w:spacing w:val="0"/>
          <w:szCs w:val="21"/>
        </w:rPr>
        <w:t>4．3．2  A类堤坝白蚁综合防治方案</w:t>
      </w:r>
      <w:bookmarkEnd w:id="94"/>
      <w:bookmarkEnd w:id="95"/>
      <w:bookmarkEnd w:id="96"/>
      <w:bookmarkEnd w:id="97"/>
      <w:bookmarkEnd w:id="98"/>
      <w:bookmarkEnd w:id="99"/>
    </w:p>
    <w:p>
      <w:pPr>
        <w:spacing w:line="360" w:lineRule="exact"/>
        <w:ind w:firstLine="422" w:firstLineChars="200"/>
        <w:rPr>
          <w:rFonts w:hint="default" w:ascii="Times New Roman" w:hAnsi="Times New Roman" w:cs="Times New Roman"/>
          <w:b/>
          <w:spacing w:val="0"/>
          <w:szCs w:val="21"/>
        </w:rPr>
      </w:pPr>
      <w:r>
        <w:rPr>
          <w:rFonts w:hint="default" w:ascii="Times New Roman" w:hAnsi="Times New Roman" w:cs="Times New Roman"/>
          <w:b/>
          <w:spacing w:val="0"/>
          <w:szCs w:val="21"/>
        </w:rPr>
        <w:t>1、监控</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白蚁活动复杂，A类大坝加强对白蚁活动的监控，在大坝的坝面设置白蚁监控站，同时在更大密度的埋设诱饵管，实现点面结合的监控体系，观察白蚁活动，及时发现白蚁活动，进行防治处理。</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（1）白蚁监控站：在坝面埋设白蚁监控站，每年白蚁活动高峰期进行检查，更换饵料，监控防治白蚁；</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（2）白蚁监控点：在坝面埋设白蚁诱饵管，每年白蚁活动高峰期抽查，补投，监控防治白蚁。</w:t>
      </w:r>
    </w:p>
    <w:p>
      <w:pPr>
        <w:spacing w:line="360" w:lineRule="exact"/>
        <w:ind w:firstLine="422" w:firstLineChars="200"/>
        <w:rPr>
          <w:rFonts w:hint="default" w:ascii="Times New Roman" w:hAnsi="Times New Roman" w:cs="Times New Roman"/>
          <w:b/>
          <w:bCs/>
          <w:spacing w:val="0"/>
          <w:szCs w:val="21"/>
        </w:rPr>
      </w:pPr>
      <w:r>
        <w:rPr>
          <w:rFonts w:hint="default" w:ascii="Times New Roman" w:hAnsi="Times New Roman" w:cs="Times New Roman"/>
          <w:b/>
          <w:bCs/>
          <w:spacing w:val="0"/>
          <w:szCs w:val="21"/>
        </w:rPr>
        <w:t>2、预防</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 xml:space="preserve">  根据大坝白蚁产生的原因，特别注重白蚁的预防处理，A类堤坝要抓住白蚁纷飞期的预防和白蚁活动高峰期的预防处理。</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（1）纷飞期预防：黑翅土白蚁和黄翅大白蚁在每年的5-6月份，成熟的繁殖纷飞蚁都会进行纷飞繁殖，在这个季节必须在坝面进行预防，喷洒天鹰乳油杀白蚁，杀灭繁殖蚁。</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（2）周边蔓延预防：黑翅土白蚁和黄翅大白蚁在每年的9-11月份，进入大量的取食活动高峰，在这个季节在坝的两头喷洒白蚁药剂，预防白蚁蔓延到大坝。</w:t>
      </w:r>
    </w:p>
    <w:p>
      <w:pPr>
        <w:widowControl/>
        <w:adjustRightInd w:val="0"/>
        <w:snapToGrid w:val="0"/>
        <w:spacing w:line="360" w:lineRule="exact"/>
        <w:ind w:firstLine="422" w:firstLineChars="200"/>
        <w:rPr>
          <w:rFonts w:hint="default" w:ascii="Times New Roman" w:hAnsi="Times New Roman" w:cs="Times New Roman"/>
          <w:b/>
          <w:spacing w:val="0"/>
          <w:szCs w:val="21"/>
        </w:rPr>
      </w:pPr>
      <w:r>
        <w:rPr>
          <w:rFonts w:hint="default" w:ascii="Times New Roman" w:hAnsi="Times New Roman" w:cs="Times New Roman"/>
          <w:b/>
          <w:spacing w:val="0"/>
          <w:szCs w:val="21"/>
        </w:rPr>
        <w:t>3、灭治</w:t>
      </w:r>
    </w:p>
    <w:p>
      <w:pPr>
        <w:widowControl/>
        <w:adjustRightInd w:val="0"/>
        <w:snapToGrid w:val="0"/>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 xml:space="preserve">  在大坝上，发现白蚁活动，必须进行及时、高效、环保的白蚁灭治，及时控制白蚁对大坝的危害，具体白蚁的灭治方法有诱杀、灌药、挖巢等多种方法，视实际情况，选择高效环保的措施，及时灭治。</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（1）诱杀：在白蚁活动高峰期，在坝面投放诱饵包。如果发现白蚁特别严重的区域，挖设诱杀坑，投放灭蚁粉剂，及时快速的进行白蚁灭治。</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（2）药杀：在白蚁的每年纷飞季节，查找白蚁纷飞孔，如果发现白蚁纷飞孔，通过纷飞孔，进行灌药处理，快速的消灭白蚁巢。特别是针对有成年蚁巢的堤坝。</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（3）挖巢：通过土表白蚁活动特征，发现浅层白蚁巢，可通过挖巢的方法，快速消灭白蚁巢。</w:t>
      </w:r>
    </w:p>
    <w:p>
      <w:pPr>
        <w:spacing w:line="360" w:lineRule="exact"/>
        <w:ind w:firstLine="422" w:firstLineChars="200"/>
        <w:outlineLvl w:val="2"/>
        <w:rPr>
          <w:rFonts w:hint="default" w:ascii="Times New Roman" w:hAnsi="Times New Roman" w:cs="Times New Roman"/>
          <w:b/>
          <w:spacing w:val="0"/>
          <w:szCs w:val="21"/>
        </w:rPr>
      </w:pPr>
      <w:bookmarkStart w:id="100" w:name="_Toc356744927"/>
      <w:bookmarkStart w:id="101" w:name="_Toc55049973"/>
      <w:bookmarkStart w:id="102" w:name="_Toc88832892"/>
      <w:bookmarkStart w:id="103" w:name="_Toc88827932"/>
      <w:bookmarkStart w:id="104" w:name="_Toc23257918"/>
      <w:bookmarkStart w:id="105" w:name="_Toc88811360"/>
      <w:r>
        <w:rPr>
          <w:rFonts w:hint="default" w:ascii="Times New Roman" w:hAnsi="Times New Roman" w:cs="Times New Roman"/>
          <w:b/>
          <w:spacing w:val="0"/>
          <w:szCs w:val="21"/>
        </w:rPr>
        <w:t>4．3．3   B、C类堤坝的白蚁综合防治方案</w:t>
      </w:r>
      <w:bookmarkEnd w:id="100"/>
      <w:bookmarkEnd w:id="101"/>
      <w:bookmarkEnd w:id="102"/>
      <w:bookmarkEnd w:id="103"/>
      <w:bookmarkEnd w:id="104"/>
      <w:bookmarkEnd w:id="105"/>
    </w:p>
    <w:p>
      <w:pPr>
        <w:spacing w:line="360" w:lineRule="exact"/>
        <w:ind w:firstLine="422" w:firstLineChars="200"/>
        <w:outlineLvl w:val="2"/>
        <w:rPr>
          <w:rFonts w:hint="default" w:ascii="Times New Roman" w:hAnsi="Times New Roman" w:cs="Times New Roman"/>
          <w:b/>
          <w:spacing w:val="0"/>
          <w:szCs w:val="21"/>
        </w:rPr>
      </w:pPr>
      <w:r>
        <w:rPr>
          <w:rFonts w:hint="default" w:ascii="Times New Roman" w:hAnsi="Times New Roman" w:cs="Times New Roman"/>
          <w:b/>
          <w:spacing w:val="0"/>
          <w:szCs w:val="21"/>
        </w:rPr>
        <w:t>1、监控</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白蚁活动复杂，在B、C类的大坝加强对白蚁活动的监控，在堤坝的坝面设置白蚁监控站，同时更大密度的埋设诱饵管，实现点面结合的监控防治体系，观察白蚁活动，及时发现白蚁活动，进行防治处理。</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监控点：在坝面埋设白蚁诱饵管，每年白蚁活动高峰期抽查，补投，监控防治白蚁。</w:t>
      </w:r>
    </w:p>
    <w:p>
      <w:pPr>
        <w:spacing w:line="360" w:lineRule="exact"/>
        <w:ind w:firstLine="422" w:firstLineChars="200"/>
        <w:rPr>
          <w:rFonts w:hint="default" w:ascii="Times New Roman" w:hAnsi="Times New Roman" w:cs="Times New Roman"/>
          <w:b/>
          <w:spacing w:val="0"/>
          <w:szCs w:val="21"/>
        </w:rPr>
      </w:pPr>
      <w:r>
        <w:rPr>
          <w:rFonts w:hint="default" w:ascii="Times New Roman" w:hAnsi="Times New Roman" w:cs="Times New Roman"/>
          <w:b/>
          <w:spacing w:val="0"/>
          <w:szCs w:val="21"/>
        </w:rPr>
        <w:t>2、预防</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根据大坝白蚁产生的原因，特别注重白蚁的预防处理，B、C类的堤坝要抓住白蚁纷飞期的预防和白蚁活动高峰期的预防处理。</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（1）纷飞期预防：黑翅土白蚁和黄翅大白蚁在每年的5-6月份，成熟的繁殖纷飞蚁都会进行纷飞繁殖，在这个季节必须在坝面进行预防，喷洒白蚁药剂，杀灭繁殖蚁。</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（2）周边蔓延预防：黑翅土白蚁和黄翅大白蚁在每年的白蚁取食活动高峰，在坝的两头喷洒白蚁药剂，预防白蚁蔓延到大坝。</w:t>
      </w:r>
    </w:p>
    <w:p>
      <w:pPr>
        <w:spacing w:line="360" w:lineRule="exact"/>
        <w:ind w:firstLine="422" w:firstLineChars="200"/>
        <w:rPr>
          <w:rFonts w:hint="default" w:ascii="Times New Roman" w:hAnsi="Times New Roman" w:cs="Times New Roman"/>
          <w:b/>
          <w:spacing w:val="0"/>
          <w:szCs w:val="21"/>
        </w:rPr>
      </w:pPr>
      <w:r>
        <w:rPr>
          <w:rFonts w:hint="default" w:ascii="Times New Roman" w:hAnsi="Times New Roman" w:cs="Times New Roman"/>
          <w:b/>
          <w:spacing w:val="0"/>
          <w:szCs w:val="21"/>
        </w:rPr>
        <w:t>3、发现灭治</w:t>
      </w:r>
    </w:p>
    <w:p>
      <w:pPr>
        <w:spacing w:line="360" w:lineRule="exact"/>
        <w:ind w:firstLine="420" w:firstLineChars="200"/>
        <w:rPr>
          <w:rFonts w:hint="default" w:ascii="Times New Roman" w:hAnsi="Times New Roman" w:cs="Times New Roman"/>
          <w:spacing w:val="0"/>
          <w:szCs w:val="21"/>
        </w:rPr>
      </w:pPr>
      <w:r>
        <w:rPr>
          <w:rFonts w:hint="default" w:ascii="Times New Roman" w:hAnsi="Times New Roman" w:cs="Times New Roman"/>
          <w:spacing w:val="0"/>
          <w:szCs w:val="21"/>
        </w:rPr>
        <w:t>在B、C类大坝上，如果发现白蚁活动，视实际情况，选择高效环保的措施，及时灭治。</w:t>
      </w:r>
    </w:p>
    <w:p>
      <w:pPr>
        <w:spacing w:line="360" w:lineRule="exact"/>
        <w:ind w:firstLine="422" w:firstLineChars="200"/>
        <w:outlineLvl w:val="2"/>
        <w:rPr>
          <w:rFonts w:hint="default" w:ascii="Times New Roman" w:hAnsi="Times New Roman" w:cs="Times New Roman"/>
          <w:b/>
          <w:spacing w:val="0"/>
          <w:szCs w:val="21"/>
        </w:rPr>
      </w:pPr>
      <w:bookmarkStart w:id="106" w:name="_Toc88832893"/>
      <w:bookmarkStart w:id="107" w:name="_Toc356744928"/>
      <w:bookmarkStart w:id="108" w:name="_Toc55049974"/>
      <w:bookmarkStart w:id="109" w:name="_Toc88827933"/>
      <w:bookmarkStart w:id="110" w:name="_Toc88811361"/>
      <w:bookmarkStart w:id="111" w:name="_Toc23257919"/>
      <w:r>
        <w:rPr>
          <w:rFonts w:hint="default" w:ascii="Times New Roman" w:hAnsi="Times New Roman" w:cs="Times New Roman"/>
          <w:b/>
          <w:spacing w:val="0"/>
          <w:szCs w:val="21"/>
        </w:rPr>
        <w:t>（五）工程质量及安全管理</w:t>
      </w:r>
      <w:bookmarkEnd w:id="106"/>
      <w:bookmarkEnd w:id="107"/>
      <w:bookmarkEnd w:id="108"/>
      <w:bookmarkEnd w:id="109"/>
      <w:bookmarkEnd w:id="110"/>
      <w:bookmarkEnd w:id="111"/>
    </w:p>
    <w:p>
      <w:pPr>
        <w:spacing w:line="360" w:lineRule="exact"/>
        <w:ind w:firstLine="420" w:firstLineChars="200"/>
        <w:outlineLvl w:val="3"/>
        <w:rPr>
          <w:rFonts w:hint="default" w:ascii="Times New Roman" w:hAnsi="Times New Roman" w:cs="Times New Roman"/>
          <w:spacing w:val="0"/>
          <w:szCs w:val="21"/>
        </w:rPr>
      </w:pPr>
      <w:r>
        <w:rPr>
          <w:rFonts w:hint="default" w:ascii="Times New Roman" w:hAnsi="Times New Roman" w:cs="Times New Roman"/>
          <w:spacing w:val="0"/>
          <w:szCs w:val="21"/>
        </w:rPr>
        <w:t>1、严格按照方案设计进行操作，均按规定的程序和方法进行作业。</w:t>
      </w:r>
    </w:p>
    <w:p>
      <w:pPr>
        <w:spacing w:line="360" w:lineRule="exact"/>
        <w:ind w:firstLine="420" w:firstLineChars="200"/>
        <w:outlineLvl w:val="3"/>
        <w:rPr>
          <w:rFonts w:hint="default" w:ascii="Times New Roman" w:hAnsi="Times New Roman" w:cs="Times New Roman"/>
          <w:spacing w:val="0"/>
          <w:szCs w:val="21"/>
        </w:rPr>
      </w:pPr>
      <w:r>
        <w:rPr>
          <w:rFonts w:hint="default" w:ascii="Times New Roman" w:hAnsi="Times New Roman" w:cs="Times New Roman"/>
          <w:spacing w:val="0"/>
          <w:szCs w:val="21"/>
        </w:rPr>
        <w:t>2、操作人员进入现场施工时，应注意个人安全防护。</w:t>
      </w:r>
    </w:p>
    <w:p>
      <w:pPr>
        <w:pStyle w:val="56"/>
        <w:spacing w:line="360" w:lineRule="exact"/>
        <w:ind w:firstLine="420" w:firstLineChars="200"/>
        <w:rPr>
          <w:rFonts w:hint="default" w:ascii="Times New Roman" w:hAnsi="Times New Roman" w:cs="Times New Roman"/>
          <w:spacing w:val="0"/>
          <w:sz w:val="21"/>
          <w:szCs w:val="21"/>
        </w:rPr>
      </w:pPr>
      <w:r>
        <w:rPr>
          <w:rFonts w:hint="default" w:ascii="Times New Roman" w:hAnsi="Times New Roman" w:cs="Times New Roman"/>
          <w:spacing w:val="0"/>
          <w:sz w:val="21"/>
          <w:szCs w:val="21"/>
        </w:rPr>
        <w:t>3、进行灭杀操作时，应选择适宜的时间，避开高温和大风，喷药时注意风向，避免药剂造成污染。</w:t>
      </w:r>
    </w:p>
    <w:p>
      <w:pPr>
        <w:pStyle w:val="56"/>
        <w:spacing w:line="360" w:lineRule="exact"/>
        <w:ind w:firstLine="420" w:firstLineChars="200"/>
        <w:rPr>
          <w:rFonts w:hint="default" w:ascii="Times New Roman" w:hAnsi="Times New Roman" w:cs="Times New Roman"/>
          <w:spacing w:val="0"/>
          <w:sz w:val="21"/>
          <w:szCs w:val="21"/>
        </w:rPr>
      </w:pPr>
      <w:r>
        <w:rPr>
          <w:rFonts w:hint="default" w:ascii="Times New Roman" w:hAnsi="Times New Roman" w:cs="Times New Roman"/>
          <w:spacing w:val="0"/>
          <w:sz w:val="21"/>
          <w:szCs w:val="21"/>
        </w:rPr>
        <w:t>4、施工作业应与水库方充分沟通，相互衔接。</w:t>
      </w:r>
    </w:p>
    <w:p>
      <w:pPr>
        <w:pStyle w:val="56"/>
        <w:spacing w:line="360" w:lineRule="exact"/>
        <w:ind w:firstLine="420" w:firstLineChars="200"/>
        <w:rPr>
          <w:rFonts w:hint="default" w:ascii="Times New Roman" w:hAnsi="Times New Roman" w:cs="Times New Roman"/>
          <w:spacing w:val="0"/>
          <w:sz w:val="21"/>
          <w:szCs w:val="21"/>
        </w:rPr>
      </w:pPr>
      <w:r>
        <w:rPr>
          <w:rFonts w:hint="default" w:ascii="Times New Roman" w:hAnsi="Times New Roman" w:cs="Times New Roman"/>
          <w:spacing w:val="0"/>
          <w:sz w:val="21"/>
          <w:szCs w:val="21"/>
        </w:rPr>
        <w:t>5、做好施工记录，要求施工记录真实、齐全、清晰、准确。</w:t>
      </w:r>
    </w:p>
    <w:p>
      <w:pPr>
        <w:pStyle w:val="56"/>
        <w:spacing w:line="360" w:lineRule="exact"/>
        <w:ind w:firstLine="422" w:firstLineChars="200"/>
        <w:rPr>
          <w:rFonts w:hint="default" w:ascii="Times New Roman" w:hAnsi="Times New Roman" w:cs="Times New Roman"/>
          <w:b/>
          <w:bCs/>
          <w:spacing w:val="0"/>
          <w:sz w:val="21"/>
          <w:szCs w:val="21"/>
          <w:lang w:val="en-US"/>
        </w:rPr>
      </w:pPr>
      <w:r>
        <w:rPr>
          <w:rFonts w:hint="default" w:ascii="Times New Roman" w:hAnsi="Times New Roman" w:cs="Times New Roman"/>
          <w:b/>
          <w:bCs/>
          <w:spacing w:val="0"/>
          <w:sz w:val="21"/>
          <w:szCs w:val="21"/>
          <w:lang w:val="en-US"/>
        </w:rPr>
        <w:t>三、其他需求</w:t>
      </w:r>
    </w:p>
    <w:p>
      <w:pPr>
        <w:pStyle w:val="56"/>
        <w:spacing w:line="360" w:lineRule="exact"/>
        <w:ind w:firstLine="420" w:firstLineChars="200"/>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r>
        <w:rPr>
          <w:rFonts w:hint="default" w:ascii="Times New Roman" w:hAnsi="Times New Roman" w:cs="Times New Roman"/>
          <w:color w:val="auto"/>
          <w:spacing w:val="0"/>
          <w:sz w:val="21"/>
          <w:szCs w:val="21"/>
          <w:lang w:val="en-US"/>
        </w:rPr>
        <w:t>一</w:t>
      </w:r>
      <w:r>
        <w:rPr>
          <w:rFonts w:hint="default" w:ascii="Times New Roman" w:hAnsi="Times New Roman" w:cs="Times New Roman"/>
          <w:color w:val="auto"/>
          <w:spacing w:val="0"/>
          <w:sz w:val="21"/>
          <w:szCs w:val="21"/>
        </w:rPr>
        <w:t>）验收标准</w:t>
      </w:r>
    </w:p>
    <w:p>
      <w:pPr>
        <w:pStyle w:val="56"/>
        <w:spacing w:line="360" w:lineRule="exact"/>
        <w:ind w:firstLine="420" w:firstLineChars="200"/>
        <w:rPr>
          <w:rFonts w:hint="default" w:ascii="Times New Roman" w:hAnsi="Times New Roman" w:cs="Times New Roman"/>
          <w:color w:val="auto"/>
          <w:spacing w:val="0"/>
          <w:sz w:val="21"/>
          <w:szCs w:val="21"/>
          <w:lang w:val="en-US"/>
        </w:rPr>
      </w:pPr>
      <w:r>
        <w:rPr>
          <w:rFonts w:hint="default" w:ascii="Times New Roman" w:hAnsi="Times New Roman" w:cs="Times New Roman"/>
          <w:color w:val="auto"/>
          <w:spacing w:val="0"/>
          <w:sz w:val="21"/>
          <w:szCs w:val="21"/>
          <w:lang w:val="en-US"/>
        </w:rPr>
        <w:t>由施工方在施工结束后提供详细的验收材料，由第三方或验收专家组进行审阅，结合现场检查</w:t>
      </w:r>
      <w:r>
        <w:rPr>
          <w:rFonts w:hint="default" w:ascii="Times New Roman" w:hAnsi="Times New Roman" w:cs="Times New Roman"/>
          <w:color w:val="auto"/>
          <w:spacing w:val="0"/>
          <w:sz w:val="21"/>
          <w:szCs w:val="21"/>
          <w:lang w:val="en-US" w:eastAsia="zh-CN"/>
        </w:rPr>
        <w:t>（验收材料包括白蚁防治的方案、监控、灭治过程记录、影像照片等材料，质量及安全管理等），</w:t>
      </w:r>
      <w:r>
        <w:rPr>
          <w:rFonts w:hint="default" w:ascii="Times New Roman" w:hAnsi="Times New Roman" w:cs="Times New Roman"/>
          <w:color w:val="auto"/>
          <w:spacing w:val="0"/>
          <w:sz w:val="21"/>
          <w:szCs w:val="21"/>
          <w:lang w:val="en-US"/>
        </w:rPr>
        <w:t>出具统一的验收意见。</w:t>
      </w:r>
    </w:p>
    <w:p>
      <w:pPr>
        <w:pStyle w:val="56"/>
        <w:spacing w:line="360" w:lineRule="exact"/>
        <w:ind w:firstLine="420" w:firstLineChars="200"/>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r>
        <w:rPr>
          <w:rFonts w:hint="default" w:ascii="Times New Roman" w:hAnsi="Times New Roman" w:cs="Times New Roman"/>
          <w:color w:val="auto"/>
          <w:spacing w:val="0"/>
          <w:sz w:val="21"/>
          <w:szCs w:val="21"/>
          <w:lang w:val="en-US"/>
        </w:rPr>
        <w:t>二</w:t>
      </w:r>
      <w:r>
        <w:rPr>
          <w:rFonts w:hint="default" w:ascii="Times New Roman" w:hAnsi="Times New Roman" w:cs="Times New Roman"/>
          <w:color w:val="auto"/>
          <w:spacing w:val="0"/>
          <w:sz w:val="21"/>
          <w:szCs w:val="21"/>
        </w:rPr>
        <w:t>）</w:t>
      </w:r>
      <w:r>
        <w:rPr>
          <w:rFonts w:hint="default" w:ascii="Times New Roman" w:hAnsi="Times New Roman" w:cs="Times New Roman"/>
          <w:color w:val="auto"/>
          <w:spacing w:val="0"/>
          <w:kern w:val="2"/>
          <w:sz w:val="21"/>
          <w:szCs w:val="21"/>
          <w:lang w:val="en-US"/>
        </w:rPr>
        <w:t>综合治理</w:t>
      </w:r>
      <w:r>
        <w:rPr>
          <w:rFonts w:hint="default" w:ascii="Times New Roman" w:hAnsi="Times New Roman" w:cs="Times New Roman"/>
          <w:color w:val="auto"/>
          <w:spacing w:val="0"/>
          <w:sz w:val="21"/>
          <w:szCs w:val="21"/>
        </w:rPr>
        <w:t>（</w:t>
      </w:r>
      <w:r>
        <w:rPr>
          <w:rFonts w:hint="default" w:ascii="Times New Roman" w:hAnsi="Times New Roman" w:cs="Times New Roman"/>
          <w:color w:val="auto"/>
          <w:spacing w:val="0"/>
          <w:kern w:val="2"/>
          <w:sz w:val="21"/>
          <w:szCs w:val="21"/>
          <w:lang w:val="en-US"/>
        </w:rPr>
        <w:t>综合治理</w:t>
      </w:r>
      <w:r>
        <w:rPr>
          <w:rFonts w:hint="default" w:ascii="Times New Roman" w:hAnsi="Times New Roman" w:cs="Times New Roman"/>
          <w:color w:val="auto"/>
          <w:spacing w:val="0"/>
          <w:sz w:val="21"/>
          <w:szCs w:val="21"/>
          <w:lang w:val="en-US"/>
        </w:rPr>
        <w:t>期三年</w:t>
      </w:r>
      <w:r>
        <w:rPr>
          <w:rFonts w:hint="default" w:ascii="Times New Roman" w:hAnsi="Times New Roman" w:cs="Times New Roman"/>
          <w:color w:val="auto"/>
          <w:spacing w:val="0"/>
          <w:sz w:val="21"/>
          <w:szCs w:val="21"/>
          <w:lang w:val="en-US" w:eastAsia="zh-CN"/>
        </w:rPr>
        <w:t>，起止时间在合同中明确</w:t>
      </w:r>
      <w:r>
        <w:rPr>
          <w:rFonts w:hint="default" w:ascii="Times New Roman" w:hAnsi="Times New Roman" w:cs="Times New Roman"/>
          <w:color w:val="auto"/>
          <w:spacing w:val="0"/>
          <w:sz w:val="21"/>
          <w:szCs w:val="21"/>
        </w:rPr>
        <w:t>）</w:t>
      </w:r>
    </w:p>
    <w:p>
      <w:pPr>
        <w:pStyle w:val="56"/>
        <w:spacing w:line="360" w:lineRule="exact"/>
        <w:ind w:firstLine="420" w:firstLineChars="200"/>
        <w:rPr>
          <w:rFonts w:hint="default" w:ascii="Times New Roman" w:hAnsi="Times New Roman" w:cs="Times New Roman"/>
          <w:color w:val="auto"/>
          <w:spacing w:val="0"/>
          <w:sz w:val="21"/>
          <w:szCs w:val="21"/>
          <w:lang w:val="en-US"/>
        </w:rPr>
      </w:pPr>
      <w:r>
        <w:rPr>
          <w:rFonts w:hint="default" w:ascii="Times New Roman" w:hAnsi="Times New Roman" w:cs="Times New Roman"/>
          <w:color w:val="auto"/>
          <w:spacing w:val="0"/>
          <w:sz w:val="21"/>
          <w:szCs w:val="21"/>
          <w:lang w:val="en-US"/>
        </w:rPr>
        <w:t>按计划对玉环市山塘水库进行灭治，每开展一个阶段的灭治均需对山塘水库的白蚁危害等级进行评定并进行相应的防治管理，标准如下：</w:t>
      </w:r>
    </w:p>
    <w:p>
      <w:pPr>
        <w:widowControl/>
        <w:adjustRightInd w:val="0"/>
        <w:snapToGrid w:val="0"/>
        <w:spacing w:line="360" w:lineRule="auto"/>
        <w:ind w:firstLine="422" w:firstLineChars="200"/>
        <w:rPr>
          <w:rFonts w:hint="default" w:ascii="Times New Roman" w:hAnsi="Times New Roman" w:cs="Times New Roman"/>
          <w:color w:val="auto"/>
          <w:spacing w:val="0"/>
          <w:szCs w:val="21"/>
        </w:rPr>
      </w:pPr>
      <w:r>
        <w:rPr>
          <w:rFonts w:hint="default" w:ascii="Times New Roman" w:hAnsi="Times New Roman" w:cs="Times New Roman"/>
          <w:b/>
          <w:bCs/>
          <w:color w:val="auto"/>
          <w:spacing w:val="0"/>
          <w:szCs w:val="21"/>
        </w:rPr>
        <w:t>A类:</w:t>
      </w:r>
      <w:r>
        <w:rPr>
          <w:rFonts w:hint="default" w:ascii="Times New Roman" w:hAnsi="Times New Roman" w:cs="Times New Roman"/>
          <w:color w:val="auto"/>
          <w:spacing w:val="0"/>
          <w:szCs w:val="21"/>
        </w:rPr>
        <w:t>将发现黑翅土白蚁或黄翅大白蚁活动密度高的堤坝列为重点防治对象；</w:t>
      </w:r>
    </w:p>
    <w:p>
      <w:pPr>
        <w:widowControl/>
        <w:adjustRightInd w:val="0"/>
        <w:snapToGrid w:val="0"/>
        <w:spacing w:line="360" w:lineRule="auto"/>
        <w:ind w:firstLine="422" w:firstLineChars="200"/>
        <w:rPr>
          <w:rFonts w:hint="default" w:ascii="Times New Roman" w:hAnsi="Times New Roman" w:cs="Times New Roman"/>
          <w:color w:val="auto"/>
          <w:spacing w:val="0"/>
          <w:szCs w:val="21"/>
        </w:rPr>
      </w:pPr>
      <w:r>
        <w:rPr>
          <w:rFonts w:hint="default" w:ascii="Times New Roman" w:hAnsi="Times New Roman" w:cs="Times New Roman"/>
          <w:b/>
          <w:bCs/>
          <w:color w:val="auto"/>
          <w:spacing w:val="0"/>
          <w:szCs w:val="21"/>
        </w:rPr>
        <w:t>B类:</w:t>
      </w:r>
      <w:r>
        <w:rPr>
          <w:rFonts w:hint="default" w:ascii="Times New Roman" w:hAnsi="Times New Roman" w:cs="Times New Roman"/>
          <w:color w:val="auto"/>
          <w:spacing w:val="0"/>
          <w:szCs w:val="21"/>
        </w:rPr>
        <w:t>在周边发现白蚁并且周边山体多的堤坝列为重点预防对象；</w:t>
      </w:r>
    </w:p>
    <w:p>
      <w:pPr>
        <w:widowControl/>
        <w:adjustRightInd w:val="0"/>
        <w:snapToGrid w:val="0"/>
        <w:spacing w:line="360" w:lineRule="auto"/>
        <w:ind w:firstLine="422" w:firstLineChars="200"/>
        <w:rPr>
          <w:rFonts w:hint="default" w:ascii="Times New Roman" w:hAnsi="Times New Roman" w:cs="Times New Roman"/>
          <w:color w:val="auto"/>
          <w:spacing w:val="0"/>
          <w:szCs w:val="21"/>
        </w:rPr>
      </w:pPr>
      <w:r>
        <w:rPr>
          <w:rFonts w:hint="default" w:ascii="Times New Roman" w:hAnsi="Times New Roman" w:cs="Times New Roman"/>
          <w:b/>
          <w:bCs/>
          <w:color w:val="auto"/>
          <w:spacing w:val="0"/>
          <w:szCs w:val="21"/>
        </w:rPr>
        <w:t>C类:</w:t>
      </w:r>
      <w:r>
        <w:rPr>
          <w:rFonts w:hint="default" w:ascii="Times New Roman" w:hAnsi="Times New Roman" w:cs="Times New Roman"/>
          <w:color w:val="auto"/>
          <w:spacing w:val="0"/>
          <w:szCs w:val="21"/>
        </w:rPr>
        <w:t>将没发现白蚁活动并且周边没有山体的堤坝列为一般预防对象。</w:t>
      </w:r>
    </w:p>
    <w:p>
      <w:pPr>
        <w:pStyle w:val="56"/>
        <w:spacing w:line="360" w:lineRule="exact"/>
        <w:ind w:firstLine="420" w:firstLineChars="200"/>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rPr>
        <w:t>（</w:t>
      </w:r>
      <w:r>
        <w:rPr>
          <w:rFonts w:hint="default" w:ascii="Times New Roman" w:hAnsi="Times New Roman" w:cs="Times New Roman"/>
          <w:color w:val="auto"/>
          <w:spacing w:val="0"/>
          <w:sz w:val="21"/>
          <w:szCs w:val="21"/>
          <w:lang w:val="en-US"/>
        </w:rPr>
        <w:t>三</w:t>
      </w:r>
      <w:r>
        <w:rPr>
          <w:rFonts w:hint="default" w:ascii="Times New Roman" w:hAnsi="Times New Roman" w:cs="Times New Roman"/>
          <w:color w:val="auto"/>
          <w:spacing w:val="0"/>
          <w:sz w:val="21"/>
          <w:szCs w:val="21"/>
        </w:rPr>
        <w:t>）售后服务</w:t>
      </w:r>
    </w:p>
    <w:p>
      <w:pPr>
        <w:snapToGrid w:val="0"/>
        <w:spacing w:line="360" w:lineRule="exact"/>
        <w:ind w:firstLine="420" w:firstLineChars="200"/>
        <w:rPr>
          <w:rFonts w:hint="default" w:ascii="Times New Roman" w:hAnsi="Times New Roman" w:cs="Times New Roman"/>
          <w:color w:val="auto"/>
          <w:spacing w:val="0"/>
          <w:szCs w:val="21"/>
        </w:rPr>
      </w:pPr>
      <w:r>
        <w:rPr>
          <w:rFonts w:hint="default" w:ascii="Times New Roman" w:hAnsi="Times New Roman" w:cs="Times New Roman"/>
          <w:color w:val="auto"/>
          <w:spacing w:val="0"/>
          <w:szCs w:val="21"/>
          <w:lang w:val="en-US" w:eastAsia="zh-CN"/>
        </w:rPr>
        <w:t>1</w:t>
      </w:r>
      <w:r>
        <w:rPr>
          <w:rFonts w:hint="default" w:ascii="Times New Roman" w:hAnsi="Times New Roman" w:cs="Times New Roman"/>
          <w:color w:val="auto"/>
          <w:spacing w:val="0"/>
          <w:szCs w:val="21"/>
        </w:rPr>
        <w:t>、服务响应时间要求</w:t>
      </w:r>
    </w:p>
    <w:p>
      <w:pPr>
        <w:snapToGrid w:val="0"/>
        <w:spacing w:line="360" w:lineRule="exact"/>
        <w:ind w:firstLine="420" w:firstLineChars="200"/>
        <w:rPr>
          <w:rFonts w:hint="default" w:ascii="Times New Roman" w:hAnsi="Times New Roman" w:cs="Times New Roman"/>
          <w:color w:val="auto"/>
          <w:spacing w:val="0"/>
          <w:szCs w:val="21"/>
        </w:rPr>
      </w:pPr>
      <w:r>
        <w:rPr>
          <w:rFonts w:hint="default" w:ascii="Times New Roman" w:hAnsi="Times New Roman" w:cs="Times New Roman"/>
          <w:color w:val="auto"/>
          <w:spacing w:val="0"/>
          <w:szCs w:val="21"/>
        </w:rPr>
        <w:t>电话支持时间：7*24小时。</w:t>
      </w:r>
    </w:p>
    <w:p>
      <w:pPr>
        <w:pStyle w:val="56"/>
        <w:spacing w:line="360" w:lineRule="exact"/>
        <w:ind w:firstLine="420" w:firstLineChars="200"/>
        <w:rPr>
          <w:rFonts w:hint="default" w:ascii="Times New Roman" w:hAnsi="Times New Roman" w:cs="Times New Roman"/>
          <w:color w:val="auto"/>
          <w:spacing w:val="0"/>
          <w:kern w:val="2"/>
          <w:sz w:val="21"/>
          <w:szCs w:val="21"/>
          <w:lang w:val="en-US"/>
        </w:rPr>
      </w:pPr>
      <w:r>
        <w:rPr>
          <w:rFonts w:hint="default" w:ascii="Times New Roman" w:hAnsi="Times New Roman" w:cs="Times New Roman"/>
          <w:color w:val="auto"/>
          <w:spacing w:val="0"/>
          <w:kern w:val="2"/>
          <w:sz w:val="21"/>
          <w:szCs w:val="21"/>
          <w:lang w:val="en-US"/>
        </w:rPr>
        <w:t>供应商从接到采购人通知，到问题解决（需要业主确认），要求不超过一周。</w:t>
      </w:r>
    </w:p>
    <w:p>
      <w:pPr>
        <w:pStyle w:val="56"/>
        <w:spacing w:line="360" w:lineRule="exact"/>
        <w:ind w:firstLine="420" w:firstLineChars="200"/>
        <w:rPr>
          <w:rFonts w:hint="default" w:ascii="Times New Roman" w:hAnsi="Times New Roman" w:cs="Times New Roman"/>
          <w:color w:val="auto"/>
          <w:spacing w:val="0"/>
          <w:sz w:val="21"/>
          <w:szCs w:val="21"/>
          <w:lang w:val="en-US"/>
        </w:rPr>
      </w:pPr>
      <w:r>
        <w:rPr>
          <w:rFonts w:hint="default" w:ascii="Times New Roman" w:hAnsi="Times New Roman" w:cs="Times New Roman"/>
          <w:color w:val="auto"/>
          <w:spacing w:val="0"/>
          <w:sz w:val="21"/>
          <w:szCs w:val="21"/>
          <w:lang w:val="en-US" w:eastAsia="zh-CN"/>
        </w:rPr>
        <w:t>2</w:t>
      </w:r>
      <w:r>
        <w:rPr>
          <w:rFonts w:hint="default" w:ascii="Times New Roman" w:hAnsi="Times New Roman" w:cs="Times New Roman"/>
          <w:color w:val="auto"/>
          <w:spacing w:val="0"/>
          <w:sz w:val="21"/>
          <w:szCs w:val="21"/>
          <w:lang w:val="en-US"/>
        </w:rPr>
        <w:t>、供应商结合磋商评审办法自行承诺质保措施及服务期满后的后续服务。</w:t>
      </w:r>
    </w:p>
    <w:p>
      <w:pPr>
        <w:pStyle w:val="56"/>
        <w:spacing w:line="360" w:lineRule="exact"/>
        <w:ind w:firstLine="420" w:firstLineChars="200"/>
        <w:rPr>
          <w:rFonts w:hint="default" w:ascii="Times New Roman" w:hAnsi="Times New Roman" w:cs="Times New Roman"/>
          <w:spacing w:val="0"/>
          <w:sz w:val="21"/>
          <w:szCs w:val="21"/>
          <w:lang w:val="en-US"/>
        </w:rPr>
      </w:pPr>
      <w:r>
        <w:rPr>
          <w:rFonts w:hint="default" w:ascii="Times New Roman" w:hAnsi="Times New Roman" w:cs="Times New Roman"/>
          <w:spacing w:val="0"/>
          <w:sz w:val="21"/>
          <w:szCs w:val="21"/>
          <w:lang w:val="en-US"/>
        </w:rPr>
        <w:t>（</w:t>
      </w:r>
      <w:r>
        <w:rPr>
          <w:rFonts w:hint="default" w:ascii="Times New Roman" w:hAnsi="Times New Roman" w:cs="Times New Roman"/>
          <w:spacing w:val="0"/>
          <w:sz w:val="21"/>
          <w:szCs w:val="21"/>
          <w:lang w:val="en-US" w:eastAsia="zh-CN"/>
        </w:rPr>
        <w:t>四</w:t>
      </w:r>
      <w:r>
        <w:rPr>
          <w:rFonts w:hint="default" w:ascii="Times New Roman" w:hAnsi="Times New Roman" w:cs="Times New Roman"/>
          <w:spacing w:val="0"/>
          <w:sz w:val="21"/>
          <w:szCs w:val="21"/>
          <w:lang w:val="en-US"/>
        </w:rPr>
        <w:t>）付款方式：</w:t>
      </w:r>
    </w:p>
    <w:tbl>
      <w:tblPr>
        <w:tblStyle w:val="2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501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54"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年度</w:t>
            </w:r>
          </w:p>
        </w:tc>
        <w:tc>
          <w:tcPr>
            <w:tcW w:w="5017"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付款条件</w:t>
            </w:r>
          </w:p>
        </w:tc>
        <w:tc>
          <w:tcPr>
            <w:tcW w:w="2100"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第一年度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合同签订后并收到乙方提供的合格发票后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40 </w:t>
            </w:r>
            <w:r>
              <w:rPr>
                <w:rFonts w:hint="default" w:ascii="Times New Roman" w:hAnsi="Times New Roman" w:cs="Times New Roman"/>
                <w:spacing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第二年度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第二年计划完成经验收合格并收到乙方提供的合格发票后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30 </w:t>
            </w:r>
            <w:r>
              <w:rPr>
                <w:rFonts w:hint="default" w:ascii="Times New Roman" w:hAnsi="Times New Roman" w:cs="Times New Roman"/>
                <w:spacing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第三年度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第三年计划完成经验收合格后并收到乙方提供的合格发票后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30 </w:t>
            </w:r>
            <w:r>
              <w:rPr>
                <w:rFonts w:hint="default" w:ascii="Times New Roman" w:hAnsi="Times New Roman" w:cs="Times New Roman"/>
                <w:spacing w:val="0"/>
                <w:szCs w:val="21"/>
              </w:rPr>
              <w:t>%</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ascii="Times New Roman" w:hAnsi="Times New Roman" w:cs="Times New Roman"/>
          <w:spacing w:val="0"/>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 w:cs="Times New Roman"/>
          <w:spacing w:val="0"/>
          <w:sz w:val="30"/>
          <w:szCs w:val="30"/>
          <w:lang w:val="en-US" w:eastAsia="zh-CN"/>
        </w:rPr>
      </w:pPr>
      <w:r>
        <w:rPr>
          <w:rFonts w:hint="default" w:ascii="Times New Roman" w:hAnsi="Times New Roman" w:cs="Times New Roman"/>
          <w:spacing w:val="0"/>
          <w:lang w:val="en-US" w:eastAsia="zh-CN"/>
        </w:rPr>
        <w:t>附件清单：</w:t>
      </w:r>
    </w:p>
    <w:tbl>
      <w:tblPr>
        <w:tblStyle w:val="27"/>
        <w:tblW w:w="9034"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3690"/>
        <w:gridCol w:w="1020"/>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34" w:type="dxa"/>
            <w:gridSpan w:val="4"/>
            <w:noWrap w:val="0"/>
            <w:vAlign w:val="center"/>
          </w:tcPr>
          <w:p>
            <w:pPr>
              <w:tabs>
                <w:tab w:val="left" w:pos="903"/>
              </w:tabs>
              <w:jc w:val="center"/>
              <w:rPr>
                <w:rFonts w:hint="default" w:ascii="Times New Roman" w:hAnsi="Times New Roman" w:eastAsia="宋体" w:cs="Times New Roman"/>
                <w:spacing w:val="0"/>
                <w:sz w:val="21"/>
                <w:szCs w:val="21"/>
                <w:vertAlign w:val="baseline"/>
                <w:lang w:val="en-US" w:eastAsia="zh-CN"/>
              </w:rPr>
            </w:pPr>
            <w:r>
              <w:rPr>
                <w:rFonts w:hint="default" w:ascii="Times New Roman" w:hAnsi="Times New Roman" w:eastAsia="宋体" w:cs="Times New Roman"/>
                <w:spacing w:val="0"/>
                <w:sz w:val="21"/>
                <w:szCs w:val="21"/>
                <w:vertAlign w:val="baseline"/>
                <w:lang w:val="en-US" w:eastAsia="zh-CN"/>
              </w:rPr>
              <w:t xml:space="preserve">          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kern w:val="2"/>
                <w:sz w:val="21"/>
                <w:szCs w:val="21"/>
                <w:vertAlign w:val="baseline"/>
                <w:lang w:val="en-US" w:eastAsia="zh-CN" w:bidi="ar-SA"/>
              </w:rPr>
            </w:pPr>
            <w:r>
              <w:rPr>
                <w:rFonts w:hint="default" w:ascii="Times New Roman" w:hAnsi="Times New Roman" w:eastAsia="宋体" w:cs="Times New Roman"/>
                <w:spacing w:val="0"/>
                <w:sz w:val="21"/>
                <w:szCs w:val="21"/>
              </w:rPr>
              <w:t>序号</w:t>
            </w:r>
          </w:p>
        </w:tc>
        <w:tc>
          <w:tcPr>
            <w:tcW w:w="3690" w:type="dxa"/>
            <w:noWrap w:val="0"/>
            <w:vAlign w:val="center"/>
          </w:tcPr>
          <w:p>
            <w:pPr>
              <w:tabs>
                <w:tab w:val="left" w:pos="903"/>
              </w:tabs>
              <w:jc w:val="center"/>
              <w:rPr>
                <w:rFonts w:hint="default" w:ascii="Times New Roman" w:hAnsi="Times New Roman" w:eastAsia="宋体" w:cs="Times New Roman"/>
                <w:spacing w:val="0"/>
                <w:kern w:val="2"/>
                <w:sz w:val="21"/>
                <w:szCs w:val="21"/>
                <w:vertAlign w:val="baseline"/>
                <w:lang w:val="en-US" w:eastAsia="zh-CN" w:bidi="ar-SA"/>
              </w:rPr>
            </w:pPr>
            <w:r>
              <w:rPr>
                <w:rFonts w:hint="default" w:ascii="Times New Roman" w:hAnsi="Times New Roman" w:eastAsia="宋体" w:cs="Times New Roman"/>
                <w:spacing w:val="0"/>
                <w:sz w:val="21"/>
                <w:szCs w:val="21"/>
              </w:rPr>
              <w:t>水库名称</w:t>
            </w:r>
          </w:p>
        </w:tc>
        <w:tc>
          <w:tcPr>
            <w:tcW w:w="1020" w:type="dxa"/>
            <w:noWrap w:val="0"/>
            <w:vAlign w:val="center"/>
          </w:tcPr>
          <w:p>
            <w:pPr>
              <w:tabs>
                <w:tab w:val="left" w:pos="903"/>
              </w:tabs>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序号</w:t>
            </w:r>
          </w:p>
        </w:tc>
        <w:tc>
          <w:tcPr>
            <w:tcW w:w="3443" w:type="dxa"/>
            <w:noWrap w:val="0"/>
            <w:vAlign w:val="center"/>
          </w:tcPr>
          <w:p>
            <w:pPr>
              <w:tabs>
                <w:tab w:val="left" w:pos="903"/>
              </w:tabs>
              <w:jc w:val="center"/>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水库名称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1</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双庙水库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9</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芳杜水库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2</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横培里水库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10</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龙溪水库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3</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大坑里水库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11</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牛栏水库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4</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玉潭水库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12</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上里岙水库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5</w:t>
            </w:r>
          </w:p>
        </w:tc>
        <w:tc>
          <w:tcPr>
            <w:tcW w:w="3690"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石门坎水库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13</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龙潭坑水库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6</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小闾水库</w:t>
            </w:r>
          </w:p>
        </w:tc>
        <w:tc>
          <w:tcPr>
            <w:tcW w:w="1020" w:type="dxa"/>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14</w:t>
            </w:r>
          </w:p>
        </w:tc>
        <w:tc>
          <w:tcPr>
            <w:tcW w:w="3443"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小陈岙水库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7</w:t>
            </w:r>
          </w:p>
        </w:tc>
        <w:tc>
          <w:tcPr>
            <w:tcW w:w="3690"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济里堂水库</w:t>
            </w:r>
          </w:p>
        </w:tc>
        <w:tc>
          <w:tcPr>
            <w:tcW w:w="1020" w:type="dxa"/>
            <w:vMerge w:val="restart"/>
            <w:noWrap w:val="0"/>
            <w:vAlign w:val="center"/>
          </w:tcPr>
          <w:p>
            <w:pPr>
              <w:tabs>
                <w:tab w:val="left" w:pos="903"/>
              </w:tabs>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15</w:t>
            </w:r>
          </w:p>
        </w:tc>
        <w:tc>
          <w:tcPr>
            <w:tcW w:w="3443" w:type="dxa"/>
            <w:vMerge w:val="restart"/>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sz w:val="21"/>
                <w:szCs w:val="21"/>
              </w:rPr>
              <w:t>里墩水库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8</w:t>
            </w:r>
          </w:p>
        </w:tc>
        <w:tc>
          <w:tcPr>
            <w:tcW w:w="3690" w:type="dxa"/>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vertAlign w:val="baseline"/>
              </w:rPr>
            </w:pPr>
            <w:r>
              <w:rPr>
                <w:rFonts w:hint="default" w:ascii="Times New Roman" w:hAnsi="Times New Roman" w:eastAsia="宋体" w:cs="Times New Roman"/>
                <w:spacing w:val="0"/>
                <w:sz w:val="21"/>
                <w:szCs w:val="21"/>
              </w:rPr>
              <w:t>垟岭水库</w:t>
            </w:r>
          </w:p>
        </w:tc>
        <w:tc>
          <w:tcPr>
            <w:tcW w:w="1020" w:type="dxa"/>
            <w:vMerge w:val="continue"/>
            <w:noWrap w:val="0"/>
            <w:vAlign w:val="center"/>
          </w:tcPr>
          <w:p>
            <w:pPr>
              <w:tabs>
                <w:tab w:val="left" w:pos="903"/>
              </w:tabs>
              <w:jc w:val="center"/>
              <w:rPr>
                <w:rFonts w:hint="default" w:ascii="Times New Roman" w:hAnsi="Times New Roman" w:eastAsia="宋体" w:cs="Times New Roman"/>
                <w:spacing w:val="0"/>
                <w:sz w:val="21"/>
                <w:szCs w:val="21"/>
              </w:rPr>
            </w:pPr>
          </w:p>
        </w:tc>
        <w:tc>
          <w:tcPr>
            <w:tcW w:w="3443" w:type="dxa"/>
            <w:vMerge w:val="continue"/>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34" w:type="dxa"/>
            <w:gridSpan w:val="4"/>
            <w:noWrap w:val="0"/>
            <w:vAlign w:val="center"/>
          </w:tcPr>
          <w:p>
            <w:pPr>
              <w:keepNext w:val="0"/>
              <w:keepLines w:val="0"/>
              <w:pageBreakBefore w:val="0"/>
              <w:widowControl w:val="0"/>
              <w:tabs>
                <w:tab w:val="left" w:pos="903"/>
              </w:tabs>
              <w:kinsoku/>
              <w:wordWrap/>
              <w:overflowPunct/>
              <w:topLinePunct w:val="0"/>
              <w:autoSpaceDE/>
              <w:autoSpaceDN/>
              <w:bidi w:val="0"/>
              <w:adjustRightInd/>
              <w:snapToGrid/>
              <w:spacing w:line="380" w:lineRule="exact"/>
              <w:ind w:firstLine="420" w:firstLineChars="200"/>
              <w:jc w:val="center"/>
              <w:textAlignment w:val="auto"/>
              <w:rPr>
                <w:rFonts w:hint="default" w:ascii="Times New Roman" w:hAnsi="Times New Roman" w:eastAsia="宋体" w:cs="Times New Roman"/>
                <w:spacing w:val="0"/>
                <w:sz w:val="21"/>
                <w:szCs w:val="21"/>
              </w:rPr>
            </w:pPr>
            <w:r>
              <w:rPr>
                <w:rFonts w:hint="default" w:ascii="Times New Roman" w:hAnsi="Times New Roman" w:cs="Times New Roman"/>
                <w:spacing w:val="0"/>
                <w:sz w:val="21"/>
                <w:szCs w:val="21"/>
                <w:lang w:val="en-US" w:eastAsia="zh-CN"/>
              </w:rPr>
              <w:t xml:space="preserve">       </w:t>
            </w:r>
            <w:r>
              <w:rPr>
                <w:rFonts w:hint="default" w:ascii="Times New Roman" w:hAnsi="Times New Roman" w:eastAsia="宋体" w:cs="Times New Roman"/>
                <w:spacing w:val="0"/>
                <w:sz w:val="21"/>
                <w:szCs w:val="21"/>
                <w:lang w:val="en-US" w:eastAsia="zh-CN"/>
              </w:rPr>
              <w:t>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kern w:val="2"/>
                <w:sz w:val="21"/>
                <w:szCs w:val="21"/>
                <w:vertAlign w:val="baseline"/>
                <w:lang w:val="en-US" w:eastAsia="zh-CN" w:bidi="ar-SA"/>
              </w:rPr>
            </w:pPr>
            <w:r>
              <w:rPr>
                <w:rFonts w:hint="default" w:ascii="Times New Roman" w:hAnsi="Times New Roman" w:eastAsia="宋体" w:cs="Times New Roman"/>
                <w:spacing w:val="0"/>
                <w:sz w:val="21"/>
                <w:szCs w:val="21"/>
              </w:rPr>
              <w:t>序号</w:t>
            </w:r>
          </w:p>
        </w:tc>
        <w:tc>
          <w:tcPr>
            <w:tcW w:w="3690" w:type="dxa"/>
            <w:noWrap w:val="0"/>
            <w:vAlign w:val="center"/>
          </w:tcPr>
          <w:p>
            <w:pPr>
              <w:tabs>
                <w:tab w:val="left" w:pos="903"/>
              </w:tabs>
              <w:jc w:val="center"/>
              <w:rPr>
                <w:rFonts w:hint="default" w:ascii="Times New Roman" w:hAnsi="Times New Roman" w:eastAsia="宋体" w:cs="Times New Roman"/>
                <w:spacing w:val="0"/>
                <w:kern w:val="2"/>
                <w:sz w:val="21"/>
                <w:szCs w:val="21"/>
                <w:vertAlign w:val="baseline"/>
                <w:lang w:val="en-US" w:eastAsia="zh-CN" w:bidi="ar-SA"/>
              </w:rPr>
            </w:pPr>
            <w:r>
              <w:rPr>
                <w:rFonts w:hint="default" w:ascii="Times New Roman" w:hAnsi="Times New Roman" w:cs="Times New Roman"/>
                <w:spacing w:val="0"/>
                <w:sz w:val="21"/>
                <w:szCs w:val="21"/>
                <w:lang w:val="en-US" w:eastAsia="zh-CN"/>
              </w:rPr>
              <w:t>山塘</w:t>
            </w:r>
            <w:r>
              <w:rPr>
                <w:rFonts w:hint="default" w:ascii="Times New Roman" w:hAnsi="Times New Roman" w:eastAsia="宋体" w:cs="Times New Roman"/>
                <w:spacing w:val="0"/>
                <w:sz w:val="21"/>
                <w:szCs w:val="21"/>
              </w:rPr>
              <w:t>名称</w:t>
            </w:r>
          </w:p>
        </w:tc>
        <w:tc>
          <w:tcPr>
            <w:tcW w:w="1020" w:type="dxa"/>
            <w:noWrap w:val="0"/>
            <w:vAlign w:val="center"/>
          </w:tcPr>
          <w:p>
            <w:pPr>
              <w:tabs>
                <w:tab w:val="left" w:pos="903"/>
              </w:tabs>
              <w:jc w:val="center"/>
              <w:rPr>
                <w:rFonts w:hint="default" w:ascii="Times New Roman" w:hAnsi="Times New Roman" w:cs="Times New Roman"/>
                <w:spacing w:val="0"/>
                <w:sz w:val="21"/>
                <w:szCs w:val="21"/>
                <w:lang w:val="en-US" w:eastAsia="zh-CN"/>
              </w:rPr>
            </w:pPr>
            <w:r>
              <w:rPr>
                <w:rFonts w:hint="default" w:ascii="Times New Roman" w:hAnsi="Times New Roman" w:eastAsia="宋体" w:cs="Times New Roman"/>
                <w:spacing w:val="0"/>
                <w:sz w:val="21"/>
                <w:szCs w:val="21"/>
              </w:rPr>
              <w:t>序号</w:t>
            </w:r>
          </w:p>
        </w:tc>
        <w:tc>
          <w:tcPr>
            <w:tcW w:w="3443" w:type="dxa"/>
            <w:noWrap w:val="0"/>
            <w:vAlign w:val="center"/>
          </w:tcPr>
          <w:p>
            <w:pPr>
              <w:tabs>
                <w:tab w:val="left" w:pos="903"/>
              </w:tabs>
              <w:jc w:val="center"/>
              <w:rPr>
                <w:rFonts w:hint="default" w:ascii="Times New Roman" w:hAnsi="Times New Roman" w:cs="Times New Roman"/>
                <w:spacing w:val="0"/>
                <w:sz w:val="21"/>
                <w:szCs w:val="21"/>
                <w:lang w:val="en-US" w:eastAsia="zh-CN"/>
              </w:rPr>
            </w:pPr>
            <w:r>
              <w:rPr>
                <w:rFonts w:hint="default" w:ascii="Times New Roman" w:hAnsi="Times New Roman" w:cs="Times New Roman"/>
                <w:spacing w:val="0"/>
                <w:sz w:val="21"/>
                <w:szCs w:val="21"/>
                <w:lang w:val="en-US" w:eastAsia="zh-CN"/>
              </w:rPr>
              <w:t>山塘</w:t>
            </w:r>
            <w:r>
              <w:rPr>
                <w:rFonts w:hint="default" w:ascii="Times New Roman" w:hAnsi="Times New Roman" w:eastAsia="宋体" w:cs="Times New Roman"/>
                <w:spacing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后坑山塘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39</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风门埭山塘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营岙山塘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40</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狗屎埭山塘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双丰山塘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41</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西岙山塘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4</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环东山塘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42</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樟岙岙底山塘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5</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红卫山塘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43</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坑口垟山塘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6</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小岙山塘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44</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湾里山山塘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7</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大坑山塘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45</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沙岙坑山塘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8</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麻枫坑山塘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46</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九青岙山塘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9</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火石坑山塘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47</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狮子坑山塘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10</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陈家里山塘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48</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梅岭山塘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11</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大岙大山塘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49</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龙王坑山塘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12</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沙岙坑山塘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50</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龙攻门山塘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13</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毛草坑山塘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51</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坑里山塘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14</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深浦岭头山塘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52</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黄岭头山塘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15</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后坑山塘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53</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大岙里山塘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16</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上岙山塘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54</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沙河山塘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17</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仇家岙山塘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55</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垅龙头山塘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18</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白岩山塘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56</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百丈岩山塘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19</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龙潭坑山塘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57</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燕窝山塘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20</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十亩垅山塘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58</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大竹坑山塘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21</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大坑山塘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59</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小竹坑山塘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22</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漩门山塘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60</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番薯坑山塘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23</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红山外岙山塘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61</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十五亩山塘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24</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红山里岙山塘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62</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双坑山塘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25</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岙潭山塘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63</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小额山塘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26</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五十妹山塘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64</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横坑山塘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27</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岩门山塘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65</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杨家山塘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28</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应余山塘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66</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董家山塘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29</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隔山山塘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67</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茶坑山塘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30</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牛角坑山塘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68</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小麦屿山塘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31</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华坑山塘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69</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上青塘山塘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32</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棋盘坑山塘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70</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天主教山塘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33</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玉岭山塘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71</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福杨山塘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34</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里山山塘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72</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北岙山塘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35</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樟山头山塘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73</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刘园山塘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36</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都墩山塘</w:t>
            </w:r>
          </w:p>
        </w:tc>
        <w:tc>
          <w:tcPr>
            <w:tcW w:w="1020" w:type="dxa"/>
            <w:noWrap w:val="0"/>
            <w:vAlign w:val="center"/>
          </w:tcPr>
          <w:p>
            <w:pPr>
              <w:tabs>
                <w:tab w:val="left" w:pos="903"/>
              </w:tabs>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eastAsia="宋体" w:cs="Times New Roman"/>
                <w:spacing w:val="0"/>
                <w:sz w:val="21"/>
                <w:szCs w:val="21"/>
                <w:lang w:val="en-US" w:eastAsia="zh-CN"/>
              </w:rPr>
              <w:t>74</w:t>
            </w:r>
          </w:p>
        </w:tc>
        <w:tc>
          <w:tcPr>
            <w:tcW w:w="3443" w:type="dxa"/>
            <w:noWrap w:val="0"/>
            <w:vAlign w:val="center"/>
          </w:tcPr>
          <w:p>
            <w:pPr>
              <w:jc w:val="center"/>
              <w:rPr>
                <w:rFonts w:hint="default" w:ascii="Times New Roman" w:hAnsi="Times New Roman" w:cs="Times New Roman" w:eastAsiaTheme="minorEastAsia"/>
                <w:color w:val="000000"/>
                <w:spacing w:val="0"/>
                <w:kern w:val="2"/>
                <w:sz w:val="21"/>
                <w:szCs w:val="21"/>
                <w:lang w:val="en-US" w:eastAsia="zh-CN" w:bidi="ar-SA"/>
              </w:rPr>
            </w:pPr>
            <w:r>
              <w:rPr>
                <w:rFonts w:hint="default" w:ascii="Times New Roman" w:hAnsi="Times New Roman" w:cs="Times New Roman" w:eastAsiaTheme="minorEastAsia"/>
                <w:color w:val="000000"/>
                <w:spacing w:val="0"/>
                <w:szCs w:val="21"/>
              </w:rPr>
              <w:t>双坑里山塘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37</w:t>
            </w:r>
          </w:p>
        </w:tc>
        <w:tc>
          <w:tcPr>
            <w:tcW w:w="3690" w:type="dxa"/>
            <w:noWrap w:val="0"/>
            <w:vAlign w:val="center"/>
          </w:tcPr>
          <w:p>
            <w:pPr>
              <w:jc w:val="center"/>
              <w:rPr>
                <w:rFonts w:hint="default" w:ascii="Times New Roman" w:hAnsi="Times New Roman" w:eastAsia="宋体" w:cs="Times New Roman"/>
                <w:spacing w:val="0"/>
                <w:sz w:val="21"/>
                <w:szCs w:val="21"/>
              </w:rPr>
            </w:pPr>
            <w:r>
              <w:rPr>
                <w:rFonts w:hint="default" w:ascii="Times New Roman" w:hAnsi="Times New Roman" w:cs="Times New Roman" w:eastAsiaTheme="minorEastAsia"/>
                <w:color w:val="000000"/>
                <w:spacing w:val="0"/>
                <w:szCs w:val="21"/>
              </w:rPr>
              <w:t>龙潭坑山塘</w:t>
            </w:r>
          </w:p>
        </w:tc>
        <w:tc>
          <w:tcPr>
            <w:tcW w:w="1020" w:type="dxa"/>
            <w:vMerge w:val="restart"/>
            <w:noWrap w:val="0"/>
            <w:vAlign w:val="center"/>
          </w:tcPr>
          <w:p>
            <w:pPr>
              <w:tabs>
                <w:tab w:val="left" w:pos="903"/>
              </w:tabs>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sz w:val="21"/>
                <w:szCs w:val="21"/>
                <w:lang w:val="en-US" w:eastAsia="zh-CN"/>
              </w:rPr>
              <w:t>75</w:t>
            </w:r>
          </w:p>
        </w:tc>
        <w:tc>
          <w:tcPr>
            <w:tcW w:w="3443" w:type="dxa"/>
            <w:vMerge w:val="restart"/>
            <w:noWrap w:val="0"/>
            <w:vAlign w:val="center"/>
          </w:tcPr>
          <w:p>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eastAsia="宋体" w:cs="Times New Roman"/>
                <w:color w:val="000000"/>
                <w:sz w:val="21"/>
                <w:szCs w:val="21"/>
              </w:rPr>
              <w:t>西方庵水库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dxa"/>
            <w:noWrap w:val="0"/>
            <w:vAlign w:val="center"/>
          </w:tcPr>
          <w:p>
            <w:pPr>
              <w:tabs>
                <w:tab w:val="left" w:pos="903"/>
              </w:tabs>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0"/>
                <w:sz w:val="21"/>
                <w:szCs w:val="21"/>
                <w:lang w:val="en-US" w:eastAsia="zh-CN"/>
              </w:rPr>
              <w:t>38</w:t>
            </w:r>
          </w:p>
        </w:tc>
        <w:tc>
          <w:tcPr>
            <w:tcW w:w="3690"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eastAsiaTheme="minorEastAsia"/>
                <w:color w:val="000000"/>
                <w:spacing w:val="0"/>
                <w:szCs w:val="21"/>
              </w:rPr>
              <w:t>下台堂山塘</w:t>
            </w:r>
          </w:p>
        </w:tc>
        <w:tc>
          <w:tcPr>
            <w:tcW w:w="1020" w:type="dxa"/>
            <w:vMerge w:val="continue"/>
            <w:noWrap w:val="0"/>
            <w:vAlign w:val="center"/>
          </w:tcPr>
          <w:p>
            <w:pPr>
              <w:tabs>
                <w:tab w:val="left" w:pos="903"/>
              </w:tabs>
              <w:jc w:val="center"/>
              <w:rPr>
                <w:rFonts w:hint="default" w:ascii="Times New Roman" w:hAnsi="Times New Roman" w:cs="Times New Roman" w:eastAsiaTheme="minorEastAsia"/>
                <w:color w:val="000000"/>
                <w:szCs w:val="21"/>
              </w:rPr>
            </w:pPr>
          </w:p>
        </w:tc>
        <w:tc>
          <w:tcPr>
            <w:tcW w:w="3443" w:type="dxa"/>
            <w:vMerge w:val="continue"/>
            <w:noWrap w:val="0"/>
            <w:vAlign w:val="center"/>
          </w:tcPr>
          <w:p>
            <w:pPr>
              <w:jc w:val="center"/>
              <w:rPr>
                <w:rFonts w:hint="default" w:ascii="Times New Roman" w:hAnsi="Times New Roman" w:cs="Times New Roman" w:eastAsiaTheme="minorEastAsia"/>
                <w:color w:val="000000"/>
                <w:szCs w:val="21"/>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 w:cs="Times New Roman"/>
          <w:sz w:val="30"/>
          <w:szCs w:val="30"/>
          <w:lang w:val="en-US" w:eastAsia="zh-CN"/>
        </w:rPr>
      </w:pPr>
    </w:p>
    <w:p>
      <w:pPr>
        <w:pStyle w:val="33"/>
        <w:pageBreakBefore w:val="0"/>
        <w:numPr>
          <w:ilvl w:val="0"/>
          <w:numId w:val="0"/>
        </w:numPr>
        <w:kinsoku/>
        <w:wordWrap/>
        <w:overflowPunct/>
        <w:topLinePunct w:val="0"/>
        <w:autoSpaceDE/>
        <w:autoSpaceDN/>
        <w:bidi w:val="0"/>
        <w:adjustRightInd/>
        <w:snapToGrid/>
        <w:spacing w:line="390" w:lineRule="exact"/>
        <w:ind w:leftChars="0" w:firstLine="420" w:firstLineChars="200"/>
        <w:textAlignment w:val="auto"/>
        <w:rPr>
          <w:rFonts w:hint="default" w:ascii="Times New Roman" w:hAnsi="Times New Roman" w:cs="Times New Roman"/>
          <w:lang w:val="en-US" w:eastAsia="zh-CN"/>
        </w:rPr>
        <w:sectPr>
          <w:headerReference r:id="rId5" w:type="default"/>
          <w:footerReference r:id="rId6" w:type="default"/>
          <w:pgSz w:w="11906" w:h="16838"/>
          <w:pgMar w:top="1440" w:right="1800" w:bottom="1758" w:left="1800" w:header="851" w:footer="992" w:gutter="0"/>
          <w:pgNumType w:start="1"/>
          <w:cols w:space="425" w:num="1"/>
          <w:docGrid w:type="lines" w:linePitch="312" w:charSpace="0"/>
        </w:sectPr>
      </w:pPr>
    </w:p>
    <w:p>
      <w:pPr>
        <w:spacing w:line="360" w:lineRule="auto"/>
        <w:jc w:val="cente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第五章 政府采购合同主要条款指引</w:t>
      </w:r>
    </w:p>
    <w:p>
      <w:pPr>
        <w:pStyle w:val="15"/>
        <w:snapToGri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以下为中标后签定本项目合同的通用条款，中标人不得提出实质性的修改，关于专用条款将由采购人与中标人结合本项目具体情况协商后签订。</w:t>
      </w:r>
    </w:p>
    <w:p>
      <w:pPr>
        <w:pStyle w:val="15"/>
        <w:snapToGrid w:val="0"/>
        <w:spacing w:line="240" w:lineRule="exact"/>
        <w:rPr>
          <w:rFonts w:hint="default" w:ascii="Times New Roman" w:hAnsi="Times New Roman" w:cs="Times New Roman"/>
          <w:szCs w:val="21"/>
        </w:rPr>
      </w:pPr>
    </w:p>
    <w:p>
      <w:pPr>
        <w:pageBreakBefore w:val="0"/>
        <w:widowControl w:val="0"/>
        <w:tabs>
          <w:tab w:val="left" w:pos="8280"/>
        </w:tabs>
        <w:kinsoku/>
        <w:wordWrap/>
        <w:overflowPunct/>
        <w:topLinePunct w:val="0"/>
        <w:autoSpaceDE w:val="0"/>
        <w:autoSpaceDN w:val="0"/>
        <w:bidi w:val="0"/>
        <w:adjustRightInd w:val="0"/>
        <w:spacing w:line="390" w:lineRule="exact"/>
        <w:ind w:right="23"/>
        <w:textAlignment w:val="auto"/>
        <w:rPr>
          <w:rFonts w:hint="default" w:ascii="Times New Roman" w:hAnsi="Times New Roman" w:cs="Times New Roman"/>
          <w:szCs w:val="21"/>
        </w:rPr>
      </w:pPr>
      <w:r>
        <w:rPr>
          <w:rFonts w:hint="default" w:ascii="Times New Roman" w:hAnsi="Times New Roman" w:cs="Times New Roman"/>
          <w:szCs w:val="21"/>
        </w:rPr>
        <w:t>项目名称：</w:t>
      </w:r>
      <w:r>
        <w:rPr>
          <w:rFonts w:hint="default" w:ascii="Times New Roman" w:hAnsi="Times New Roman" w:cs="Times New Roman"/>
          <w:szCs w:val="21"/>
          <w:lang w:eastAsia="zh-CN"/>
        </w:rPr>
        <w:t>玉环市水库、山塘大坝白蚁综合防治项目</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项目编号：</w:t>
      </w:r>
      <w:r>
        <w:rPr>
          <w:rFonts w:hint="default" w:ascii="Times New Roman" w:hAnsi="Times New Roman" w:cs="Times New Roman"/>
          <w:color w:val="auto"/>
          <w:szCs w:val="21"/>
          <w:highlight w:val="none"/>
          <w:lang w:eastAsia="zh-CN"/>
        </w:rPr>
        <w:t>DDZX2022-Y-GK-05</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szCs w:val="21"/>
        </w:rPr>
      </w:pPr>
      <w:r>
        <w:rPr>
          <w:rFonts w:hint="default" w:ascii="Times New Roman" w:hAnsi="Times New Roman" w:cs="Times New Roman"/>
          <w:szCs w:val="21"/>
        </w:rPr>
        <w:t xml:space="preserve">甲方：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所在地：</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szCs w:val="21"/>
        </w:rPr>
      </w:pPr>
      <w:r>
        <w:rPr>
          <w:rFonts w:hint="default" w:ascii="Times New Roman" w:hAnsi="Times New Roman" w:cs="Times New Roman"/>
          <w:szCs w:val="21"/>
        </w:rPr>
        <w:t xml:space="preserve">乙方：（中标人）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所在地：</w:t>
      </w:r>
    </w:p>
    <w:p>
      <w:pPr>
        <w:pStyle w:val="15"/>
        <w:pageBreakBefore w:val="0"/>
        <w:widowControl w:val="0"/>
        <w:kinsoku/>
        <w:wordWrap/>
        <w:overflowPunct/>
        <w:topLinePunct w:val="0"/>
        <w:bidi w:val="0"/>
        <w:snapToGrid w:val="0"/>
        <w:spacing w:line="390" w:lineRule="exact"/>
        <w:ind w:firstLine="420" w:firstLineChars="200"/>
        <w:textAlignment w:val="auto"/>
        <w:rPr>
          <w:rFonts w:hint="default" w:ascii="Times New Roman" w:hAnsi="Times New Roman" w:cs="Times New Roman"/>
          <w:b/>
          <w:szCs w:val="21"/>
        </w:rPr>
      </w:pPr>
      <w:r>
        <w:rPr>
          <w:rFonts w:hint="default" w:ascii="Times New Roman" w:hAnsi="Times New Roman" w:cs="Times New Roman"/>
          <w:szCs w:val="21"/>
        </w:rPr>
        <w:t>甲、乙双方根据大地工程咨询有限公司关于</w:t>
      </w:r>
      <w:r>
        <w:rPr>
          <w:rFonts w:hint="default" w:ascii="Times New Roman" w:hAnsi="Times New Roman" w:cs="Times New Roman"/>
          <w:szCs w:val="21"/>
          <w:lang w:eastAsia="zh-CN"/>
        </w:rPr>
        <w:t>玉环市水库、山塘大坝白蚁综合防治项目</w:t>
      </w:r>
      <w:r>
        <w:rPr>
          <w:rFonts w:hint="default" w:ascii="Times New Roman" w:hAnsi="Times New Roman" w:cs="Times New Roman"/>
          <w:szCs w:val="21"/>
        </w:rPr>
        <w:t>公开招标的结果，签署本合同。</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 xml:space="preserve">一、合同文件： </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1.合同条款。</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2.中标通知书。</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3.更正补充文件。</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4.招标文件。</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5.中标</w:t>
      </w:r>
      <w:r>
        <w:rPr>
          <w:rFonts w:hint="default" w:ascii="Times New Roman" w:hAnsi="Times New Roman" w:cs="Times New Roman"/>
          <w:szCs w:val="21"/>
        </w:rPr>
        <w:t>人</w:t>
      </w:r>
      <w:r>
        <w:rPr>
          <w:rFonts w:hint="default" w:ascii="Times New Roman" w:hAnsi="Times New Roman" w:cs="Times New Roman"/>
          <w:szCs w:val="21"/>
          <w:lang w:val="zh-CN"/>
        </w:rPr>
        <w:t>投标文件。</w:t>
      </w:r>
    </w:p>
    <w:p>
      <w:pPr>
        <w:pageBreakBefore w:val="0"/>
        <w:widowControl w:val="0"/>
        <w:kinsoku/>
        <w:wordWrap/>
        <w:overflowPunct/>
        <w:topLinePunct w:val="0"/>
        <w:bidi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6.其他。</w:t>
      </w:r>
    </w:p>
    <w:p>
      <w:pPr>
        <w:pStyle w:val="15"/>
        <w:pageBreakBefore w:val="0"/>
        <w:widowControl w:val="0"/>
        <w:kinsoku/>
        <w:wordWrap/>
        <w:overflowPunct/>
        <w:topLinePunct w:val="0"/>
        <w:bidi w:val="0"/>
        <w:snapToGrid w:val="0"/>
        <w:spacing w:line="390" w:lineRule="exact"/>
        <w:ind w:firstLine="420" w:firstLineChars="200"/>
        <w:textAlignment w:val="auto"/>
        <w:rPr>
          <w:rFonts w:hint="default" w:ascii="Times New Roman" w:hAnsi="Times New Roman" w:cs="Times New Roman"/>
          <w:szCs w:val="21"/>
          <w:lang w:val="zh-CN"/>
        </w:rPr>
      </w:pPr>
      <w:r>
        <w:rPr>
          <w:rFonts w:hint="default" w:ascii="Times New Roman" w:hAnsi="Times New Roman" w:cs="Times New Roman"/>
          <w:szCs w:val="21"/>
          <w:lang w:val="zh-CN"/>
        </w:rPr>
        <w:t>上述所指合同文件应认为是互相补充和解释的，但是有模棱两可或互相矛盾之处，以其所列内容顺序为准。</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二、合同内容及服务标准</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（具体见项目需求）</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三、合同金额</w:t>
      </w:r>
    </w:p>
    <w:p>
      <w:pPr>
        <w:pStyle w:val="15"/>
        <w:keepNext w:val="0"/>
        <w:keepLines w:val="0"/>
        <w:pageBreakBefore w:val="0"/>
        <w:widowControl w:val="0"/>
        <w:kinsoku/>
        <w:wordWrap/>
        <w:overflowPunct/>
        <w:topLinePunct w:val="0"/>
        <w:autoSpaceDE/>
        <w:autoSpaceDN/>
        <w:bidi w:val="0"/>
        <w:adjustRightInd/>
        <w:snapToGrid w:val="0"/>
        <w:spacing w:line="39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本合同金额为（大写）：_________________________元（￥_________元）人民币。</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四、甲乙双方责任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（一）甲方责任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（根据磋商采购结果确定）</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（二）乙方责任</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（根据磋商采购结果确定）</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五、技术资料</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sz w:val="21"/>
          <w:szCs w:val="21"/>
        </w:rPr>
        <w:t>1</w:t>
      </w:r>
      <w:r>
        <w:rPr>
          <w:rFonts w:hint="default" w:ascii="Times New Roman" w:hAnsi="Times New Roman" w:eastAsia="宋体" w:cs="Times New Roman"/>
          <w:color w:val="000000"/>
          <w:szCs w:val="21"/>
          <w:lang w:val="zh-CN"/>
        </w:rPr>
        <w:t>.乙方应按磋商采购文件规定的时间向甲方提供有关技术资料。</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六、知识产权</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乙方应保证提供服务过程中不会侵犯任何第三方的知识产权。</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七、履约保证金</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39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本项目履约保证金为合同金额的</w:t>
      </w:r>
      <w:r>
        <w:rPr>
          <w:rFonts w:hint="default" w:ascii="Times New Roman" w:hAnsi="Times New Roman" w:eastAsia="宋体" w:cs="Times New Roman"/>
          <w:sz w:val="21"/>
          <w:szCs w:val="21"/>
          <w:u w:val="single"/>
          <w:lang w:val="en-US" w:eastAsia="zh-CN"/>
        </w:rPr>
        <w:t xml:space="preserve"> 1%</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w:t>
      </w:r>
      <w:r>
        <w:rPr>
          <w:rFonts w:hint="default" w:ascii="Times New Roman" w:hAnsi="Times New Roman" w:eastAsia="宋体" w:cs="Times New Roman"/>
          <w:color w:val="auto"/>
          <w:kern w:val="0"/>
          <w:sz w:val="21"/>
          <w:szCs w:val="21"/>
          <w:lang w:val="zh-CN"/>
        </w:rPr>
        <w:t>履约保证金交至采购人处，在</w:t>
      </w:r>
      <w:r>
        <w:rPr>
          <w:rFonts w:hint="default" w:ascii="Times New Roman" w:hAnsi="Times New Roman" w:eastAsia="宋体" w:cs="Times New Roman"/>
          <w:color w:val="auto"/>
          <w:kern w:val="0"/>
          <w:sz w:val="21"/>
          <w:szCs w:val="21"/>
          <w:lang w:val="en-US" w:eastAsia="zh-CN"/>
        </w:rPr>
        <w:t>服务期满</w:t>
      </w:r>
      <w:r>
        <w:rPr>
          <w:rFonts w:hint="default" w:ascii="Times New Roman" w:hAnsi="Times New Roman" w:eastAsia="宋体" w:cs="Times New Roman"/>
          <w:color w:val="auto"/>
          <w:kern w:val="0"/>
          <w:sz w:val="21"/>
          <w:szCs w:val="21"/>
          <w:lang w:val="zh-CN"/>
        </w:rPr>
        <w:t>后如无质量、服务投诉和索赔，该款无息返还</w:t>
      </w:r>
      <w:r>
        <w:rPr>
          <w:rFonts w:hint="default" w:ascii="Times New Roman" w:hAnsi="Times New Roman" w:eastAsia="宋体" w:cs="Times New Roman"/>
          <w:sz w:val="21"/>
          <w:szCs w:val="21"/>
          <w:lang w:val="zh-CN"/>
        </w:rPr>
        <w:t>）</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八、转包或分包</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3.如有转让和未经甲方同意的分包行为，甲方有权解除合同，没收履约保证金并追究乙方的违约责任。</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九、服务质量保证期 (选用)</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 服务质量保证期</w:t>
      </w:r>
      <w:r>
        <w:rPr>
          <w:rFonts w:hint="default" w:ascii="Times New Roman" w:hAnsi="Times New Roman" w:eastAsia="宋体" w:cs="Times New Roman"/>
          <w:color w:val="000000"/>
          <w:szCs w:val="21"/>
          <w:u w:val="single"/>
          <w:lang w:val="zh-CN"/>
        </w:rPr>
        <w:t xml:space="preserve">      </w:t>
      </w:r>
      <w:r>
        <w:rPr>
          <w:rFonts w:hint="default" w:ascii="Times New Roman" w:hAnsi="Times New Roman" w:eastAsia="宋体" w:cs="Times New Roman"/>
          <w:color w:val="000000"/>
          <w:szCs w:val="21"/>
          <w:lang w:val="zh-CN"/>
        </w:rPr>
        <w:t>年。（自验收合格之日起计）</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十、合同履行时间、履行方式及履行地点</w:t>
      </w:r>
    </w:p>
    <w:p>
      <w:pPr>
        <w:pageBreakBefore w:val="0"/>
        <w:widowControl w:val="0"/>
        <w:kinsoku/>
        <w:wordWrap/>
        <w:overflowPunct/>
        <w:topLinePunct w:val="0"/>
        <w:autoSpaceDE/>
        <w:autoSpaceDN/>
        <w:bidi w:val="0"/>
        <w:adjustRightInd/>
        <w:snapToGrid/>
        <w:spacing w:line="390" w:lineRule="exact"/>
        <w:ind w:left="0" w:leftChars="0" w:firstLine="420" w:firstLineChars="200"/>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szCs w:val="21"/>
          <w:lang w:val="zh-CN"/>
        </w:rPr>
        <w:t>1. 履行时间：</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 履行方式：</w:t>
      </w:r>
    </w:p>
    <w:p>
      <w:pPr>
        <w:keepNext w:val="0"/>
        <w:keepLines w:val="0"/>
        <w:pageBreakBefore w:val="0"/>
        <w:widowControl w:val="0"/>
        <w:kinsoku/>
        <w:wordWrap/>
        <w:overflowPunct/>
        <w:topLinePunct w:val="0"/>
        <w:autoSpaceDE/>
        <w:autoSpaceDN/>
        <w:bidi w:val="0"/>
        <w:adjustRightInd/>
        <w:spacing w:line="39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 履行地点：</w:t>
      </w:r>
    </w:p>
    <w:p>
      <w:pPr>
        <w:pStyle w:val="15"/>
        <w:pageBreakBefore w:val="0"/>
        <w:widowControl w:val="0"/>
        <w:kinsoku/>
        <w:wordWrap/>
        <w:overflowPunct/>
        <w:topLinePunct w:val="0"/>
        <w:bidi w:val="0"/>
        <w:snapToGrid w:val="0"/>
        <w:spacing w:line="390" w:lineRule="exact"/>
        <w:textAlignment w:val="auto"/>
        <w:rPr>
          <w:rFonts w:hint="default" w:ascii="Times New Roman" w:hAnsi="Times New Roman" w:cs="Times New Roman"/>
          <w:b/>
          <w:szCs w:val="21"/>
          <w:lang w:val="zh-CN"/>
        </w:rPr>
      </w:pPr>
      <w:r>
        <w:rPr>
          <w:rFonts w:hint="default" w:ascii="Times New Roman" w:hAnsi="Times New Roman" w:cs="Times New Roman"/>
          <w:b/>
          <w:szCs w:val="21"/>
          <w:lang w:val="zh-CN"/>
        </w:rPr>
        <w:t>十一、款项支付</w:t>
      </w:r>
    </w:p>
    <w:p>
      <w:pPr>
        <w:pStyle w:val="4"/>
        <w:keepNext/>
        <w:keepLines/>
        <w:pageBreakBefore w:val="0"/>
        <w:widowControl w:val="0"/>
        <w:kinsoku/>
        <w:wordWrap/>
        <w:overflowPunct/>
        <w:topLinePunct w:val="0"/>
        <w:autoSpaceDE/>
        <w:autoSpaceDN/>
        <w:bidi w:val="0"/>
        <w:adjustRightInd/>
        <w:snapToGrid/>
        <w:spacing w:before="0" w:after="0" w:line="390" w:lineRule="exact"/>
        <w:ind w:left="0" w:leftChars="0" w:firstLine="420" w:firstLineChars="200"/>
        <w:jc w:val="both"/>
        <w:textAlignment w:val="auto"/>
        <w:rPr>
          <w:rFonts w:hint="default" w:ascii="Times New Roman" w:hAnsi="Times New Roman" w:eastAsia="宋体" w:cs="Times New Roman"/>
          <w:b w:val="0"/>
          <w:color w:val="auto"/>
          <w:kern w:val="2"/>
          <w:sz w:val="21"/>
          <w:szCs w:val="21"/>
          <w:lang w:val="en-US" w:eastAsia="zh-CN" w:bidi="ar-SA"/>
        </w:rPr>
      </w:pPr>
      <w:r>
        <w:rPr>
          <w:rFonts w:hint="default" w:ascii="Times New Roman" w:hAnsi="Times New Roman" w:eastAsia="宋体" w:cs="Times New Roman"/>
          <w:b w:val="0"/>
          <w:color w:val="auto"/>
          <w:kern w:val="2"/>
          <w:sz w:val="21"/>
          <w:szCs w:val="21"/>
          <w:lang w:val="zh-CN" w:eastAsia="zh-CN" w:bidi="ar-SA"/>
        </w:rPr>
        <w:t>付款方式：</w:t>
      </w:r>
    </w:p>
    <w:tbl>
      <w:tblPr>
        <w:tblStyle w:val="26"/>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5017"/>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54"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年度</w:t>
            </w:r>
          </w:p>
        </w:tc>
        <w:tc>
          <w:tcPr>
            <w:tcW w:w="5017"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付款条件</w:t>
            </w:r>
          </w:p>
        </w:tc>
        <w:tc>
          <w:tcPr>
            <w:tcW w:w="2100" w:type="dxa"/>
            <w:noWrap w:val="0"/>
            <w:vAlign w:val="center"/>
          </w:tcPr>
          <w:p>
            <w:pPr>
              <w:pStyle w:val="15"/>
              <w:spacing w:line="360" w:lineRule="exact"/>
              <w:ind w:right="-6"/>
              <w:jc w:val="center"/>
              <w:rPr>
                <w:rFonts w:hint="default" w:ascii="Times New Roman" w:hAnsi="Times New Roman" w:cs="Times New Roman"/>
                <w:b/>
                <w:bCs/>
                <w:spacing w:val="0"/>
                <w:szCs w:val="21"/>
              </w:rPr>
            </w:pPr>
            <w:r>
              <w:rPr>
                <w:rFonts w:hint="default" w:ascii="Times New Roman" w:hAnsi="Times New Roman" w:cs="Times New Roman"/>
                <w:b/>
                <w:bCs/>
                <w:spacing w:val="0"/>
                <w:szCs w:val="21"/>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第一年度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合同签订后并收到乙方提供的合格发票后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40 </w:t>
            </w:r>
            <w:r>
              <w:rPr>
                <w:rFonts w:hint="default" w:ascii="Times New Roman" w:hAnsi="Times New Roman" w:cs="Times New Roman"/>
                <w:spacing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第二年度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第二年计划完成经验收合格并收到乙方提供的合格发票后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30 </w:t>
            </w:r>
            <w:r>
              <w:rPr>
                <w:rFonts w:hint="default" w:ascii="Times New Roman" w:hAnsi="Times New Roman" w:cs="Times New Roman"/>
                <w:spacing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54"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第三年度</w:t>
            </w:r>
          </w:p>
        </w:tc>
        <w:tc>
          <w:tcPr>
            <w:tcW w:w="5017" w:type="dxa"/>
            <w:noWrap w:val="0"/>
            <w:vAlign w:val="center"/>
          </w:tcPr>
          <w:p>
            <w:pPr>
              <w:pStyle w:val="15"/>
              <w:spacing w:line="360" w:lineRule="exact"/>
              <w:ind w:right="-8"/>
              <w:rPr>
                <w:rFonts w:hint="default" w:ascii="Times New Roman" w:hAnsi="Times New Roman" w:cs="Times New Roman"/>
                <w:spacing w:val="0"/>
                <w:szCs w:val="21"/>
              </w:rPr>
            </w:pPr>
            <w:r>
              <w:rPr>
                <w:rFonts w:hint="default" w:ascii="Times New Roman" w:hAnsi="Times New Roman" w:cs="Times New Roman"/>
                <w:spacing w:val="0"/>
                <w:szCs w:val="21"/>
              </w:rPr>
              <w:t>第三年计划完成经验收合格后并收到乙方提供的合格发票后</w:t>
            </w:r>
            <w:r>
              <w:rPr>
                <w:rFonts w:hint="default" w:ascii="Times New Roman" w:hAnsi="Times New Roman" w:cs="Times New Roman"/>
                <w:spacing w:val="0"/>
                <w:szCs w:val="21"/>
                <w:u w:val="single"/>
              </w:rPr>
              <w:t>30个工作日</w:t>
            </w:r>
            <w:r>
              <w:rPr>
                <w:rFonts w:hint="default" w:ascii="Times New Roman" w:hAnsi="Times New Roman" w:cs="Times New Roman"/>
                <w:spacing w:val="0"/>
                <w:szCs w:val="21"/>
              </w:rPr>
              <w:t>内。</w:t>
            </w:r>
          </w:p>
        </w:tc>
        <w:tc>
          <w:tcPr>
            <w:tcW w:w="2100" w:type="dxa"/>
            <w:noWrap w:val="0"/>
            <w:vAlign w:val="center"/>
          </w:tcPr>
          <w:p>
            <w:pPr>
              <w:pStyle w:val="15"/>
              <w:spacing w:line="360" w:lineRule="exact"/>
              <w:ind w:right="-8"/>
              <w:jc w:val="center"/>
              <w:rPr>
                <w:rFonts w:hint="default" w:ascii="Times New Roman" w:hAnsi="Times New Roman" w:cs="Times New Roman"/>
                <w:spacing w:val="0"/>
                <w:szCs w:val="21"/>
              </w:rPr>
            </w:pPr>
            <w:r>
              <w:rPr>
                <w:rFonts w:hint="default" w:ascii="Times New Roman" w:hAnsi="Times New Roman" w:cs="Times New Roman"/>
                <w:spacing w:val="0"/>
                <w:szCs w:val="21"/>
              </w:rPr>
              <w:t>合同总金额的</w:t>
            </w:r>
            <w:r>
              <w:rPr>
                <w:rFonts w:hint="default" w:ascii="Times New Roman" w:hAnsi="Times New Roman" w:cs="Times New Roman"/>
                <w:bCs/>
                <w:spacing w:val="0"/>
                <w:szCs w:val="21"/>
                <w:u w:val="single"/>
              </w:rPr>
              <w:t xml:space="preserve">30 </w:t>
            </w:r>
            <w:r>
              <w:rPr>
                <w:rFonts w:hint="default" w:ascii="Times New Roman" w:hAnsi="Times New Roman" w:cs="Times New Roman"/>
                <w:spacing w:val="0"/>
                <w:szCs w:val="21"/>
              </w:rPr>
              <w:t>%</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十二、税费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本合同执行中相关的一切税费均由乙方负担。</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十三、质量保证及后续服务</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1. 乙方应按磋商采购文件规定向甲方提供服务。</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2. 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⑴重做：由乙方承担所发生的全部费用。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⑵贬值处理：由甲乙双方合议定价。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⑶解除合同。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3. 如在使用过程中发生问题，乙方在接到甲方通知后在   小时内到达甲方现场。</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eastAsia="宋体" w:cs="Times New Roman"/>
          <w:color w:val="000000"/>
          <w:szCs w:val="21"/>
          <w:lang w:val="zh-CN"/>
        </w:rPr>
      </w:pPr>
      <w:r>
        <w:rPr>
          <w:rFonts w:hint="default" w:ascii="Times New Roman" w:hAnsi="Times New Roman" w:eastAsia="宋体" w:cs="Times New Roman"/>
          <w:color w:val="000000"/>
          <w:szCs w:val="21"/>
          <w:lang w:val="zh-CN"/>
        </w:rPr>
        <w:t>4. 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十四、违约责任</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Cs w:val="21"/>
          <w:lang w:val="zh-CN"/>
        </w:rPr>
        <w:t xml:space="preserve">. </w:t>
      </w:r>
      <w:r>
        <w:rPr>
          <w:rFonts w:hint="default" w:ascii="Times New Roman" w:hAnsi="Times New Roman" w:eastAsia="宋体" w:cs="Times New Roman"/>
          <w:color w:val="000000"/>
          <w:sz w:val="21"/>
          <w:szCs w:val="21"/>
        </w:rPr>
        <w:t>甲方无正当理由拒收接受服务的，甲方向乙方偿付合同款项</w:t>
      </w:r>
      <w:r>
        <w:rPr>
          <w:rFonts w:hint="default" w:ascii="Times New Roman" w:hAnsi="Times New Roman" w:eastAsia="宋体" w:cs="Times New Roman"/>
          <w:color w:val="000000"/>
          <w:sz w:val="21"/>
          <w:szCs w:val="21"/>
          <w:u w:val="single"/>
        </w:rPr>
        <w:t>百分之五</w:t>
      </w:r>
      <w:r>
        <w:rPr>
          <w:rFonts w:hint="default" w:ascii="Times New Roman" w:hAnsi="Times New Roman" w:eastAsia="宋体" w:cs="Times New Roman"/>
          <w:color w:val="000000"/>
          <w:sz w:val="21"/>
          <w:szCs w:val="21"/>
        </w:rPr>
        <w:t>作为违约金。</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r>
        <w:rPr>
          <w:rFonts w:hint="default" w:ascii="Times New Roman" w:hAnsi="Times New Roman" w:eastAsia="宋体" w:cs="Times New Roman"/>
          <w:color w:val="000000"/>
          <w:szCs w:val="21"/>
          <w:lang w:val="zh-CN"/>
        </w:rPr>
        <w:t xml:space="preserve">. </w:t>
      </w:r>
      <w:r>
        <w:rPr>
          <w:rFonts w:hint="default" w:ascii="Times New Roman" w:hAnsi="Times New Roman" w:eastAsia="宋体" w:cs="Times New Roman"/>
          <w:color w:val="000000"/>
          <w:sz w:val="21"/>
          <w:szCs w:val="21"/>
        </w:rPr>
        <w:t>甲方无故逾期验收和办理款项支付手续的,甲方应按逾期付款总额</w:t>
      </w:r>
      <w:r>
        <w:rPr>
          <w:rFonts w:hint="default" w:ascii="Times New Roman" w:hAnsi="Times New Roman" w:eastAsia="宋体" w:cs="Times New Roman"/>
          <w:color w:val="000000"/>
          <w:sz w:val="21"/>
          <w:szCs w:val="21"/>
          <w:u w:val="single"/>
        </w:rPr>
        <w:t>每日万分之五</w:t>
      </w:r>
      <w:r>
        <w:rPr>
          <w:rFonts w:hint="default" w:ascii="Times New Roman" w:hAnsi="Times New Roman" w:eastAsia="宋体" w:cs="Times New Roman"/>
          <w:color w:val="000000"/>
          <w:sz w:val="21"/>
          <w:szCs w:val="21"/>
        </w:rPr>
        <w:t>向乙方支付违约金。</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r>
        <w:rPr>
          <w:rFonts w:hint="default" w:ascii="Times New Roman" w:hAnsi="Times New Roman" w:eastAsia="宋体" w:cs="Times New Roman"/>
          <w:color w:val="000000"/>
          <w:szCs w:val="21"/>
          <w:lang w:val="zh-CN"/>
        </w:rPr>
        <w:t xml:space="preserve">. </w:t>
      </w:r>
      <w:r>
        <w:rPr>
          <w:rFonts w:hint="default" w:ascii="Times New Roman" w:hAnsi="Times New Roman" w:eastAsia="宋体" w:cs="Times New Roman"/>
          <w:color w:val="000000"/>
          <w:sz w:val="21"/>
          <w:szCs w:val="21"/>
        </w:rPr>
        <w:t>乙方未能如期提供服务的，每日向甲方支付合同款项的</w:t>
      </w:r>
      <w:r>
        <w:rPr>
          <w:rFonts w:hint="default" w:ascii="Times New Roman" w:hAnsi="Times New Roman" w:eastAsia="宋体" w:cs="Times New Roman"/>
          <w:color w:val="000000"/>
          <w:sz w:val="21"/>
          <w:szCs w:val="21"/>
          <w:u w:val="single"/>
        </w:rPr>
        <w:t>千分之六</w:t>
      </w:r>
      <w:r>
        <w:rPr>
          <w:rFonts w:hint="default" w:ascii="Times New Roman" w:hAnsi="Times New Roman" w:eastAsia="宋体" w:cs="Times New Roman"/>
          <w:color w:val="000000"/>
          <w:sz w:val="21"/>
          <w:szCs w:val="21"/>
        </w:rPr>
        <w:t>作为违约金。乙方超过约定日期10个工作日仍不能提供服务的，甲方可解除本合同。乙方因未能如期提供服务或因其他违约行为导致甲方解除合同的，乙方应向甲方支付合同总值</w:t>
      </w:r>
      <w:r>
        <w:rPr>
          <w:rFonts w:hint="default" w:ascii="Times New Roman" w:hAnsi="Times New Roman" w:eastAsia="宋体" w:cs="Times New Roman"/>
          <w:color w:val="000000"/>
          <w:sz w:val="21"/>
          <w:szCs w:val="21"/>
          <w:u w:val="single"/>
        </w:rPr>
        <w:t>5%</w:t>
      </w:r>
      <w:r>
        <w:rPr>
          <w:rFonts w:hint="default" w:ascii="Times New Roman" w:hAnsi="Times New Roman" w:eastAsia="宋体" w:cs="Times New Roman"/>
          <w:color w:val="000000"/>
          <w:sz w:val="21"/>
          <w:szCs w:val="21"/>
        </w:rPr>
        <w:t xml:space="preserve">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十五、不可抗力事件处理</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在合同有效期内，任何一方因不可抗力事件导致不能履行合同，则合同履行期可延长，其延长期与不可抗力影响期相同。</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不可抗力事件发生后，应立即通知对方，并寄送有关权威机构出具的证明。</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 xml:space="preserve"> </w:t>
      </w:r>
      <w:r>
        <w:rPr>
          <w:rFonts w:hint="default" w:ascii="Times New Roman" w:hAnsi="Times New Roman" w:eastAsia="宋体" w:cs="Times New Roman"/>
          <w:color w:val="000000"/>
          <w:sz w:val="21"/>
          <w:szCs w:val="21"/>
        </w:rPr>
        <w:t>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十六、解决争议的方法</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如双方在履行合同时发生纠纷，应协商解决；协商不成时，可提请政府采购管理部门调解；调解不成的通过以下方式解决：依法向玉环市人民法院提起诉讼。 </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eastAsia="宋体" w:cs="Times New Roman"/>
          <w:b/>
          <w:bCs/>
          <w:color w:val="000000"/>
          <w:sz w:val="21"/>
          <w:szCs w:val="21"/>
          <w:lang w:val="zh-CN"/>
        </w:rPr>
      </w:pPr>
      <w:r>
        <w:rPr>
          <w:rFonts w:hint="default" w:ascii="Times New Roman" w:hAnsi="Times New Roman" w:eastAsia="宋体" w:cs="Times New Roman"/>
          <w:b/>
          <w:bCs/>
          <w:color w:val="000000"/>
          <w:sz w:val="21"/>
          <w:szCs w:val="21"/>
          <w:lang w:val="zh-CN"/>
        </w:rPr>
        <w:t>十七、合同生效及其它</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合同经双方法定代表人或授权代表</w:t>
      </w:r>
      <w:r>
        <w:rPr>
          <w:rFonts w:hint="default" w:ascii="Times New Roman" w:hAnsi="Times New Roman" w:eastAsia="宋体" w:cs="Times New Roman"/>
          <w:color w:val="000000"/>
          <w:sz w:val="21"/>
          <w:szCs w:val="21"/>
          <w:lang w:eastAsia="zh-CN"/>
        </w:rPr>
        <w:t>签字</w:t>
      </w:r>
      <w:r>
        <w:rPr>
          <w:rFonts w:hint="default" w:ascii="Times New Roman" w:hAnsi="Times New Roman" w:eastAsia="宋体" w:cs="Times New Roman"/>
          <w:color w:val="000000"/>
          <w:sz w:val="21"/>
          <w:szCs w:val="21"/>
        </w:rPr>
        <w:t>并加盖单位公章后生效。</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本合同未尽事宜，遵照《</w:t>
      </w:r>
      <w:r>
        <w:rPr>
          <w:rFonts w:hint="default" w:ascii="Times New Roman" w:hAnsi="Times New Roman" w:eastAsia="宋体" w:cs="Times New Roman"/>
          <w:color w:val="000000"/>
          <w:sz w:val="21"/>
          <w:szCs w:val="21"/>
          <w:lang w:val="en-US" w:eastAsia="zh-CN"/>
        </w:rPr>
        <w:t>民法典</w:t>
      </w:r>
      <w:r>
        <w:rPr>
          <w:rFonts w:hint="default" w:ascii="Times New Roman" w:hAnsi="Times New Roman" w:eastAsia="宋体" w:cs="Times New Roman"/>
          <w:color w:val="000000"/>
          <w:sz w:val="21"/>
          <w:szCs w:val="21"/>
        </w:rPr>
        <w:t>》有关条文执行。</w:t>
      </w:r>
    </w:p>
    <w:p>
      <w:pPr>
        <w:pStyle w:val="15"/>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.本合同一式四份。甲、乙双方各执一份，采购组织机构及同级人民政府财政部门各执一份。本项目未尽事宜以磋商采购文件、磋商响应文件及澄清文件等为准。</w:t>
      </w:r>
    </w:p>
    <w:p>
      <w:pPr>
        <w:keepNext w:val="0"/>
        <w:keepLines w:val="0"/>
        <w:pageBreakBefore w:val="0"/>
        <w:widowControl/>
        <w:kinsoku/>
        <w:wordWrap/>
        <w:overflowPunct/>
        <w:topLinePunct w:val="0"/>
        <w:bidi w:val="0"/>
        <w:snapToGrid w:val="0"/>
        <w:spacing w:line="340" w:lineRule="exact"/>
        <w:ind w:left="0" w:leftChars="0" w:firstLine="420" w:firstLineChars="200"/>
        <w:jc w:val="left"/>
        <w:textAlignment w:val="auto"/>
        <w:rPr>
          <w:rFonts w:hint="default" w:ascii="Times New Roman" w:hAnsi="Times New Roman" w:cs="Times New Roman"/>
          <w:bCs/>
          <w:color w:val="000000"/>
          <w:kern w:val="0"/>
          <w:szCs w:val="21"/>
        </w:rPr>
      </w:pPr>
    </w:p>
    <w:p>
      <w:pPr>
        <w:pStyle w:val="2"/>
        <w:rPr>
          <w:rFonts w:hint="default"/>
        </w:rPr>
      </w:pPr>
    </w:p>
    <w:p>
      <w:pPr>
        <w:keepNext w:val="0"/>
        <w:keepLines w:val="0"/>
        <w:pageBreakBefore w:val="0"/>
        <w:widowControl/>
        <w:kinsoku/>
        <w:wordWrap/>
        <w:overflowPunct/>
        <w:topLinePunct w:val="0"/>
        <w:autoSpaceDE/>
        <w:autoSpaceDN/>
        <w:bidi w:val="0"/>
        <w:adjustRightInd/>
        <w:snapToGrid w:val="0"/>
        <w:spacing w:line="400" w:lineRule="exact"/>
        <w:ind w:left="0" w:leftChars="0" w:firstLine="420" w:firstLineChars="200"/>
        <w:jc w:val="left"/>
        <w:textAlignment w:val="auto"/>
        <w:rPr>
          <w:rFonts w:hint="default" w:ascii="Times New Roman" w:hAnsi="Times New Roman" w:cs="Times New Roman"/>
          <w:bCs/>
          <w:color w:val="000000"/>
          <w:kern w:val="0"/>
          <w:szCs w:val="21"/>
        </w:rPr>
      </w:pPr>
      <w:r>
        <w:rPr>
          <w:rFonts w:hint="default" w:ascii="Times New Roman" w:hAnsi="Times New Roman" w:cs="Times New Roman"/>
          <w:bCs/>
          <w:color w:val="000000"/>
          <w:kern w:val="0"/>
          <w:szCs w:val="21"/>
        </w:rPr>
        <w:t>甲方：                                  联系人：</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地址：                                  邮编：</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电话：                                  传真：</w:t>
      </w:r>
      <w:r>
        <w:rPr>
          <w:rFonts w:hint="default" w:ascii="Times New Roman" w:hAnsi="Times New Roman" w:cs="Times New Roman"/>
          <w:bCs/>
          <w:kern w:val="0"/>
          <w:szCs w:val="21"/>
        </w:rPr>
        <w:tab/>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left"/>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开户银行及帐号：</w:t>
      </w:r>
    </w:p>
    <w:p>
      <w:pPr>
        <w:keepNext w:val="0"/>
        <w:keepLines w:val="0"/>
        <w:pageBreakBefore w:val="0"/>
        <w:widowControl/>
        <w:kinsoku/>
        <w:wordWrap/>
        <w:overflowPunct/>
        <w:topLinePunct w:val="0"/>
        <w:autoSpaceDE/>
        <w:autoSpaceDN/>
        <w:bidi w:val="0"/>
        <w:adjustRightInd/>
        <w:snapToGrid w:val="0"/>
        <w:spacing w:line="240" w:lineRule="exact"/>
        <w:ind w:firstLine="420" w:firstLineChars="200"/>
        <w:jc w:val="left"/>
        <w:textAlignment w:val="auto"/>
        <w:rPr>
          <w:rFonts w:hint="default" w:ascii="Times New Roman" w:hAnsi="Times New Roman" w:cs="Times New Roman"/>
          <w:bCs/>
          <w:kern w:val="0"/>
          <w:szCs w:val="21"/>
        </w:rPr>
      </w:pP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乙方：</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联系人：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地址：                      </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邮编：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电话：              </w:t>
      </w:r>
      <w:r>
        <w:rPr>
          <w:rFonts w:hint="default" w:ascii="Times New Roman" w:hAnsi="Times New Roman" w:cs="Times New Roman"/>
          <w:bCs/>
          <w:kern w:val="0"/>
          <w:szCs w:val="21"/>
        </w:rPr>
        <w:tab/>
      </w:r>
      <w:r>
        <w:rPr>
          <w:rFonts w:hint="default" w:ascii="Times New Roman" w:hAnsi="Times New Roman" w:cs="Times New Roman"/>
          <w:bCs/>
          <w:kern w:val="0"/>
          <w:szCs w:val="21"/>
        </w:rPr>
        <w:t xml:space="preserve">                传真： </w:t>
      </w:r>
    </w:p>
    <w:p>
      <w:pPr>
        <w:widowControl/>
        <w:snapToGrid w:val="0"/>
        <w:spacing w:line="400" w:lineRule="exact"/>
        <w:ind w:firstLine="420" w:firstLineChars="200"/>
        <w:jc w:val="left"/>
        <w:rPr>
          <w:rFonts w:hint="default" w:ascii="Times New Roman" w:hAnsi="Times New Roman" w:cs="Times New Roman"/>
          <w:bCs/>
          <w:kern w:val="0"/>
          <w:szCs w:val="21"/>
        </w:rPr>
      </w:pPr>
      <w:r>
        <w:rPr>
          <w:rFonts w:hint="default" w:ascii="Times New Roman" w:hAnsi="Times New Roman" w:cs="Times New Roman"/>
          <w:bCs/>
          <w:kern w:val="0"/>
          <w:szCs w:val="21"/>
        </w:rPr>
        <w:t xml:space="preserve">开户银行及帐号：           </w:t>
      </w:r>
    </w:p>
    <w:p>
      <w:pPr>
        <w:pStyle w:val="10"/>
        <w:rPr>
          <w:rFonts w:hint="default" w:ascii="Times New Roman" w:hAnsi="Times New Roman" w:cs="Times New Roman"/>
          <w:bCs/>
          <w:kern w:val="0"/>
          <w:szCs w:val="21"/>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2"/>
          <w:szCs w:val="32"/>
          <w:highlight w:val="none"/>
        </w:rPr>
        <w:t>第六章  投标文件格式附件</w:t>
      </w: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 w:val="24"/>
          <w:highlight w:val="none"/>
        </w:rPr>
        <w:t xml:space="preserve">                                           　　　 </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 xml:space="preserve"> </w:t>
      </w:r>
    </w:p>
    <w:p>
      <w:pPr>
        <w:spacing w:line="240" w:lineRule="exact"/>
        <w:rPr>
          <w:rFonts w:hint="default" w:ascii="Times New Roman" w:hAnsi="Times New Roman" w:cs="Times New Roman"/>
          <w:b/>
          <w:color w:val="auto"/>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eastAsia="宋体" w:cs="Times New Roman"/>
          <w:b/>
          <w:bCs/>
          <w:color w:val="auto"/>
          <w:kern w:val="0"/>
          <w:sz w:val="44"/>
          <w:szCs w:val="44"/>
          <w:highlight w:val="none"/>
          <w:lang w:eastAsia="zh-CN"/>
        </w:rPr>
      </w:pPr>
      <w:r>
        <w:rPr>
          <w:rFonts w:hint="default" w:ascii="Times New Roman" w:hAnsi="Times New Roman" w:cs="Times New Roman"/>
          <w:b/>
          <w:bCs/>
          <w:color w:val="auto"/>
          <w:kern w:val="0"/>
          <w:sz w:val="44"/>
          <w:szCs w:val="44"/>
          <w:highlight w:val="none"/>
          <w:lang w:eastAsia="zh-CN"/>
        </w:rPr>
        <w:t>玉环市水库、山塘大坝白蚁综合防治项目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szCs w:val="24"/>
          <w:highlight w:val="none"/>
          <w:lang w:eastAsia="zh-CN"/>
        </w:rPr>
      </w:pP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szCs w:val="24"/>
          <w:highlight w:val="none"/>
          <w:lang w:eastAsia="zh-CN"/>
        </w:rPr>
        <w:t>DDZX2022-Y-GK-05</w:t>
      </w:r>
    </w:p>
    <w:p>
      <w:pPr>
        <w:spacing w:before="312" w:beforeLines="100" w:line="360" w:lineRule="auto"/>
        <w:ind w:right="-108"/>
        <w:jc w:val="center"/>
        <w:rPr>
          <w:rFonts w:hint="default" w:ascii="Times New Roman" w:hAnsi="Times New Roman" w:cs="Times New Roman"/>
          <w:color w:val="auto"/>
          <w:sz w:val="36"/>
          <w:szCs w:val="36"/>
          <w:highlight w:val="none"/>
        </w:rPr>
      </w:pPr>
    </w:p>
    <w:p>
      <w:pPr>
        <w:autoSpaceDE w:val="0"/>
        <w:autoSpaceDN w:val="0"/>
        <w:adjustRightInd w:val="0"/>
        <w:spacing w:line="700" w:lineRule="exact"/>
        <w:jc w:val="center"/>
        <w:rPr>
          <w:rFonts w:hint="default" w:ascii="Times New Roman" w:hAnsi="Times New Roman" w:cs="Times New Roman"/>
          <w:color w:val="auto"/>
          <w:sz w:val="84"/>
          <w:szCs w:val="84"/>
          <w:highlight w:val="none"/>
          <w:lang w:val="zh-CN"/>
        </w:rPr>
      </w:pP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highlight w:val="none"/>
        </w:rPr>
      </w:pPr>
      <w:r>
        <w:rPr>
          <w:rFonts w:hint="default" w:ascii="Times New Roman" w:hAnsi="Times New Roman"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highlight w:val="none"/>
        </w:rPr>
      </w:pPr>
      <w:r>
        <w:rPr>
          <w:rFonts w:hint="default" w:ascii="Times New Roman" w:hAnsi="Times New Roman" w:cs="Times New Roman"/>
          <w:color w:val="auto"/>
          <w:sz w:val="28"/>
          <w:szCs w:val="28"/>
          <w:highlight w:val="none"/>
          <w:lang w:val="zh-CN"/>
        </w:rPr>
        <w:t>（</w:t>
      </w:r>
      <w:r>
        <w:rPr>
          <w:rFonts w:hint="default" w:ascii="Times New Roman" w:hAnsi="Times New Roman" w:cs="Times New Roman"/>
          <w:b/>
          <w:color w:val="auto"/>
          <w:spacing w:val="40"/>
          <w:sz w:val="28"/>
          <w:szCs w:val="28"/>
          <w:highlight w:val="none"/>
        </w:rPr>
        <w:t>资格证明文件）</w:t>
      </w:r>
    </w:p>
    <w:p>
      <w:pPr>
        <w:pStyle w:val="37"/>
        <w:rPr>
          <w:rFonts w:hint="default" w:ascii="Times New Roman" w:hAnsi="Times New Roman" w:eastAsia="宋体" w:cs="Times New Roman"/>
          <w:color w:val="auto"/>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pStyle w:val="37"/>
        <w:rPr>
          <w:rFonts w:hint="default" w:ascii="Times New Roman" w:hAnsi="Times New Roman" w:eastAsia="宋体" w:cs="Times New Roman"/>
          <w:color w:val="auto"/>
          <w:highlight w:val="none"/>
        </w:rPr>
      </w:pPr>
    </w:p>
    <w:p>
      <w:pPr>
        <w:snapToGrid w:val="0"/>
        <w:spacing w:line="760" w:lineRule="exact"/>
        <w:jc w:val="center"/>
        <w:rPr>
          <w:rFonts w:hint="default" w:ascii="Times New Roman" w:hAnsi="Times New Roman" w:cs="Times New Roman"/>
          <w:b/>
          <w:bCs/>
          <w:color w:val="auto"/>
          <w:sz w:val="30"/>
          <w:szCs w:val="30"/>
          <w:highlight w:val="none"/>
        </w:rPr>
      </w:pPr>
    </w:p>
    <w:p>
      <w:pPr>
        <w:snapToGrid w:val="0"/>
        <w:spacing w:line="760" w:lineRule="exact"/>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资格证明文件目录</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lang w:val="en-US" w:eastAsia="zh-CN"/>
        </w:rPr>
        <w:t>投标</w:t>
      </w:r>
      <w:r>
        <w:rPr>
          <w:rFonts w:hint="default" w:ascii="Times New Roman" w:hAnsi="Times New Roman" w:cs="Times New Roman"/>
          <w:color w:val="auto"/>
          <w:szCs w:val="21"/>
          <w:highlight w:val="none"/>
        </w:rPr>
        <w:t>声明书（附件2）</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2、授权委托书（附件3）</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3、法人或者其他组织的营业执照等证明文件，自然人的身份证明</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落实政府采购政策需满足的资格要求</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中小企业声明函</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附件4</w:t>
      </w:r>
      <w:r>
        <w:rPr>
          <w:rFonts w:hint="default" w:ascii="Times New Roman" w:hAnsi="Times New Roman" w:cs="Times New Roman"/>
          <w:color w:val="auto"/>
          <w:szCs w:val="21"/>
          <w:highlight w:val="none"/>
          <w:lang w:eastAsia="zh-CN"/>
        </w:rPr>
        <w:t>）</w:t>
      </w:r>
    </w:p>
    <w:p>
      <w:pPr>
        <w:snapToGrid w:val="0"/>
        <w:spacing w:line="600" w:lineRule="exact"/>
        <w:ind w:firstLine="315" w:firstLineChars="15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符合参加政府采购活动应当具备的一般条件的承诺函</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附件5</w:t>
      </w:r>
      <w:r>
        <w:rPr>
          <w:rFonts w:hint="default" w:ascii="Times New Roman" w:hAnsi="Times New Roman" w:cs="Times New Roman"/>
          <w:color w:val="auto"/>
          <w:szCs w:val="21"/>
          <w:highlight w:val="none"/>
          <w:lang w:eastAsia="zh-CN"/>
        </w:rPr>
        <w:t>）</w:t>
      </w:r>
    </w:p>
    <w:p>
      <w:pPr>
        <w:snapToGrid w:val="0"/>
        <w:spacing w:line="6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、本项目要求的特定资质证书</w:t>
      </w:r>
    </w:p>
    <w:p>
      <w:pPr>
        <w:spacing w:line="360" w:lineRule="auto"/>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spacing w:line="360" w:lineRule="auto"/>
        <w:ind w:left="420"/>
        <w:rPr>
          <w:rFonts w:hint="default" w:ascii="Times New Roman" w:hAnsi="Times New Roman" w:cs="Times New Roman"/>
          <w:b/>
          <w:color w:val="auto"/>
          <w:sz w:val="28"/>
          <w:highlight w:val="none"/>
        </w:rPr>
      </w:pPr>
    </w:p>
    <w:p>
      <w:pPr>
        <w:pStyle w:val="4"/>
        <w:rPr>
          <w:rFonts w:hint="default" w:ascii="Times New Roman" w:hAnsi="Times New Roman" w:eastAsia="宋体" w:cs="Times New Roman"/>
          <w:color w:val="auto"/>
          <w:sz w:val="28"/>
          <w:highlight w:val="none"/>
        </w:rPr>
      </w:pPr>
    </w:p>
    <w:p>
      <w:pPr>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rPr>
          <w:rFonts w:hint="default" w:ascii="Times New Roman" w:hAnsi="Times New Roman" w:cs="Times New Roman"/>
          <w:b/>
          <w:color w:val="auto"/>
          <w:sz w:val="28"/>
          <w:highlight w:val="none"/>
        </w:rPr>
      </w:pPr>
    </w:p>
    <w:p>
      <w:pPr>
        <w:pStyle w:val="10"/>
        <w:rPr>
          <w:rFonts w:hint="default" w:ascii="Times New Roman" w:hAnsi="Times New Roman" w:cs="Times New Roman"/>
        </w:rPr>
      </w:pPr>
    </w:p>
    <w:p>
      <w:pPr>
        <w:pStyle w:val="25"/>
        <w:ind w:firstLine="281"/>
        <w:rPr>
          <w:rFonts w:hint="default" w:ascii="Times New Roman" w:hAnsi="Times New Roman" w:cs="Times New Roman"/>
          <w:color w:val="auto"/>
          <w:sz w:val="28"/>
          <w:highlight w:val="none"/>
        </w:rPr>
      </w:pPr>
    </w:p>
    <w:p>
      <w:pPr>
        <w:snapToGrid w:val="0"/>
        <w:spacing w:line="400" w:lineRule="exact"/>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附件2</w:t>
      </w: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投标声明书</w:t>
      </w:r>
    </w:p>
    <w:p>
      <w:pPr>
        <w:snapToGrid w:val="0"/>
        <w:spacing w:line="460" w:lineRule="exac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szCs w:val="21"/>
          <w:highlight w:val="none"/>
          <w:u w:val="single"/>
        </w:rPr>
        <w:t>大地工程咨询有限公司</w:t>
      </w:r>
      <w:r>
        <w:rPr>
          <w:rFonts w:hint="default" w:ascii="Times New Roman" w:hAnsi="Times New Roman" w:cs="Times New Roman"/>
          <w:b/>
          <w:bCs/>
          <w:color w:val="auto"/>
          <w:sz w:val="24"/>
          <w:highlight w:val="none"/>
        </w:rPr>
        <w:t>：</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u w:val="single"/>
        </w:rPr>
        <w:t>（投标人名称）</w:t>
      </w:r>
      <w:r>
        <w:rPr>
          <w:rFonts w:hint="default" w:ascii="Times New Roman" w:hAnsi="Times New Roman" w:cs="Times New Roman"/>
          <w:color w:val="auto"/>
          <w:kern w:val="0"/>
          <w:szCs w:val="21"/>
          <w:highlight w:val="none"/>
        </w:rPr>
        <w:t>系中华人民共和国合法企业，经营地址：</w:t>
      </w:r>
      <w:r>
        <w:rPr>
          <w:rFonts w:hint="default" w:ascii="Times New Roman" w:hAnsi="Times New Roman" w:cs="Times New Roman"/>
          <w:color w:val="auto"/>
          <w:kern w:val="0"/>
          <w:szCs w:val="21"/>
          <w:highlight w:val="none"/>
          <w:u w:val="single"/>
          <w:lang w:val="en-US" w:eastAsia="zh-CN"/>
        </w:rPr>
        <w:t xml:space="preserve">                </w:t>
      </w:r>
      <w:r>
        <w:rPr>
          <w:rFonts w:hint="default" w:ascii="Times New Roman" w:hAnsi="Times New Roman" w:cs="Times New Roman"/>
          <w:color w:val="auto"/>
          <w:kern w:val="0"/>
          <w:szCs w:val="21"/>
          <w:highlight w:val="none"/>
        </w:rPr>
        <w:t>。</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u w:val="single"/>
        </w:rPr>
        <w:t xml:space="preserve"> 姓名 </w:t>
      </w: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kern w:val="0"/>
          <w:szCs w:val="21"/>
          <w:highlight w:val="none"/>
          <w:u w:val="single"/>
        </w:rPr>
        <w:t xml:space="preserve"> 投标人名称 </w:t>
      </w:r>
      <w:r>
        <w:rPr>
          <w:rFonts w:hint="default" w:ascii="Times New Roman" w:hAnsi="Times New Roman" w:cs="Times New Roman"/>
          <w:color w:val="auto"/>
          <w:kern w:val="0"/>
          <w:szCs w:val="21"/>
          <w:highlight w:val="none"/>
        </w:rPr>
        <w:t>）的法定代表人，我公司自愿参加贵方组织的（</w:t>
      </w:r>
      <w:r>
        <w:rPr>
          <w:rFonts w:hint="default" w:ascii="Times New Roman" w:hAnsi="Times New Roman" w:cs="Times New Roman"/>
          <w:color w:val="auto"/>
          <w:kern w:val="0"/>
          <w:szCs w:val="21"/>
          <w:highlight w:val="none"/>
          <w:u w:val="single"/>
        </w:rPr>
        <w:t>招标项目名称</w:t>
      </w:r>
      <w:r>
        <w:rPr>
          <w:rFonts w:hint="default" w:ascii="Times New Roman" w:hAnsi="Times New Roman" w:cs="Times New Roman"/>
          <w:color w:val="auto"/>
          <w:kern w:val="0"/>
          <w:szCs w:val="21"/>
          <w:highlight w:val="none"/>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s="Times New Roman"/>
          <w:color w:val="auto"/>
          <w:szCs w:val="21"/>
          <w:highlight w:val="none"/>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szCs w:val="21"/>
          <w:highlight w:val="none"/>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highlight w:val="none"/>
          <w:lang w:val="af-ZA"/>
        </w:rPr>
      </w:pPr>
      <w:r>
        <w:rPr>
          <w:rFonts w:hint="default" w:ascii="Times New Roman" w:hAnsi="Times New Roman" w:cs="Times New Roman"/>
          <w:color w:val="auto"/>
          <w:szCs w:val="21"/>
          <w:highlight w:val="none"/>
        </w:rPr>
        <w:t>4、</w:t>
      </w: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rPr>
        <w:t>保证，</w:t>
      </w:r>
      <w:r>
        <w:rPr>
          <w:rFonts w:hint="default" w:ascii="Times New Roman" w:hAnsi="Times New Roman" w:cs="Times New Roman"/>
          <w:color w:val="auto"/>
          <w:kern w:val="0"/>
          <w:szCs w:val="21"/>
          <w:highlight w:val="none"/>
          <w:lang w:val="af-ZA"/>
        </w:rPr>
        <w:t>采购人在中华人民共和国境内使用</w:t>
      </w:r>
      <w:r>
        <w:rPr>
          <w:rFonts w:hint="default" w:ascii="Times New Roman" w:hAnsi="Times New Roman" w:cs="Times New Roman"/>
          <w:color w:val="auto"/>
          <w:kern w:val="0"/>
          <w:szCs w:val="21"/>
          <w:highlight w:val="none"/>
        </w:rPr>
        <w:t>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val="af-ZA"/>
        </w:rPr>
        <w:t>5、我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kern w:val="0"/>
          <w:szCs w:val="21"/>
          <w:highlight w:val="none"/>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6、以上事项如有虚假或隐瞒，我</w:t>
      </w:r>
      <w:r>
        <w:rPr>
          <w:rFonts w:hint="default" w:ascii="Times New Roman" w:hAnsi="Times New Roman" w:cs="Times New Roman"/>
          <w:color w:val="auto"/>
          <w:kern w:val="0"/>
          <w:szCs w:val="21"/>
          <w:highlight w:val="none"/>
          <w:lang w:val="zh-CN"/>
        </w:rPr>
        <w:t>公司</w:t>
      </w:r>
      <w:r>
        <w:rPr>
          <w:rFonts w:hint="default" w:ascii="Times New Roman" w:hAnsi="Times New Roman" w:cs="Times New Roman"/>
          <w:color w:val="auto"/>
          <w:szCs w:val="21"/>
          <w:highlight w:val="none"/>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highlight w:val="none"/>
        </w:rPr>
      </w:pPr>
    </w:p>
    <w:p>
      <w:pPr>
        <w:pStyle w:val="4"/>
        <w:pageBreakBefore w:val="0"/>
        <w:widowControl w:val="0"/>
        <w:kinsoku/>
        <w:wordWrap/>
        <w:overflowPunct/>
        <w:topLinePunct w:val="0"/>
        <w:autoSpaceDE/>
        <w:autoSpaceDN/>
        <w:bidi w:val="0"/>
        <w:spacing w:line="520" w:lineRule="exact"/>
        <w:textAlignment w:val="auto"/>
        <w:rPr>
          <w:rFonts w:hint="default" w:ascii="Times New Roman" w:hAnsi="Times New Roman" w:eastAsia="宋体" w:cs="Times New Roman"/>
          <w:color w:val="auto"/>
          <w:highlight w:val="none"/>
        </w:rPr>
      </w:pPr>
    </w:p>
    <w:p>
      <w:pPr>
        <w:pageBreakBefore w:val="0"/>
        <w:widowControl w:val="0"/>
        <w:kinsoku/>
        <w:wordWrap/>
        <w:overflowPunct/>
        <w:topLinePunct w:val="0"/>
        <w:autoSpaceDE/>
        <w:autoSpaceDN/>
        <w:bidi w:val="0"/>
        <w:adjustRightInd w:val="0"/>
        <w:snapToGrid w:val="0"/>
        <w:spacing w:line="520" w:lineRule="exact"/>
        <w:ind w:firstLine="4095" w:firstLineChars="1950"/>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投标人名称(公章)：</w:t>
      </w:r>
    </w:p>
    <w:p>
      <w:pPr>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 法定代表人或授权委托人(签字)：</w:t>
      </w:r>
    </w:p>
    <w:p>
      <w:pPr>
        <w:pageBreakBefore w:val="0"/>
        <w:widowControl w:val="0"/>
        <w:kinsoku/>
        <w:wordWrap/>
        <w:overflowPunct/>
        <w:topLinePunct w:val="0"/>
        <w:autoSpaceDE/>
        <w:autoSpaceDN/>
        <w:bidi w:val="0"/>
        <w:adjustRightInd w:val="0"/>
        <w:snapToGrid w:val="0"/>
        <w:spacing w:line="520" w:lineRule="exact"/>
        <w:ind w:right="480"/>
        <w:jc w:val="center"/>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年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pPr>
        <w:adjustRightInd w:val="0"/>
        <w:snapToGrid w:val="0"/>
        <w:spacing w:line="360" w:lineRule="auto"/>
        <w:ind w:right="480"/>
        <w:rPr>
          <w:rFonts w:hint="default" w:ascii="Times New Roman" w:hAnsi="Times New Roman" w:cs="Times New Roman"/>
          <w:b/>
          <w:color w:val="auto"/>
          <w:szCs w:val="21"/>
          <w:highlight w:val="none"/>
        </w:rPr>
      </w:pPr>
    </w:p>
    <w:p>
      <w:pPr>
        <w:adjustRightInd w:val="0"/>
        <w:snapToGrid w:val="0"/>
        <w:spacing w:line="360" w:lineRule="auto"/>
        <w:ind w:right="48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附件3</w:t>
      </w: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授权委托书</w:t>
      </w:r>
    </w:p>
    <w:p>
      <w:pPr>
        <w:snapToGrid w:val="0"/>
        <w:spacing w:before="156" w:beforeLines="50" w:after="50" w:line="360" w:lineRule="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szCs w:val="21"/>
          <w:highlight w:val="none"/>
        </w:rPr>
        <w:t>大地工程咨询有限公司：</w:t>
      </w:r>
    </w:p>
    <w:p>
      <w:pPr>
        <w:pStyle w:val="15"/>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（投标人全称）  </w:t>
      </w:r>
      <w:r>
        <w:rPr>
          <w:rFonts w:hint="default" w:ascii="Times New Roman" w:hAnsi="Times New Roman" w:cs="Times New Roman"/>
          <w:color w:val="auto"/>
          <w:szCs w:val="21"/>
          <w:highlight w:val="none"/>
        </w:rPr>
        <w:t>法定代表人（或营业执照中单位负责人）</w:t>
      </w:r>
      <w:r>
        <w:rPr>
          <w:rFonts w:hint="default" w:ascii="Times New Roman" w:hAnsi="Times New Roman" w:cs="Times New Roman"/>
          <w:color w:val="auto"/>
          <w:szCs w:val="21"/>
          <w:highlight w:val="none"/>
          <w:u w:val="single"/>
        </w:rPr>
        <w:tab/>
      </w:r>
      <w:r>
        <w:rPr>
          <w:rFonts w:hint="default" w:ascii="Times New Roman" w:hAnsi="Times New Roman" w:cs="Times New Roman"/>
          <w:color w:val="auto"/>
          <w:szCs w:val="21"/>
          <w:highlight w:val="none"/>
          <w:u w:val="single"/>
        </w:rPr>
        <w:t xml:space="preserve">（法定代表人或营业执照中单位负责人姓名） </w:t>
      </w:r>
      <w:r>
        <w:rPr>
          <w:rFonts w:hint="default" w:ascii="Times New Roman" w:hAnsi="Times New Roman" w:cs="Times New Roman"/>
          <w:color w:val="auto"/>
          <w:szCs w:val="21"/>
          <w:highlight w:val="none"/>
        </w:rPr>
        <w:t>授权</w:t>
      </w:r>
      <w:r>
        <w:rPr>
          <w:rFonts w:hint="default" w:ascii="Times New Roman" w:hAnsi="Times New Roman" w:cs="Times New Roman"/>
          <w:color w:val="auto"/>
          <w:szCs w:val="21"/>
          <w:highlight w:val="none"/>
          <w:u w:val="single"/>
        </w:rPr>
        <w:t xml:space="preserve">   （全权代表姓名） </w:t>
      </w:r>
      <w:r>
        <w:rPr>
          <w:rFonts w:hint="default" w:ascii="Times New Roman" w:hAnsi="Times New Roman" w:cs="Times New Roman"/>
          <w:color w:val="auto"/>
          <w:szCs w:val="21"/>
          <w:highlight w:val="none"/>
        </w:rPr>
        <w:t>为全权代表，参加贵单位组织的</w:t>
      </w:r>
      <w:r>
        <w:rPr>
          <w:rFonts w:hint="default" w:ascii="Times New Roman" w:hAnsi="Times New Roman" w:cs="Times New Roman"/>
          <w:color w:val="auto"/>
          <w:szCs w:val="21"/>
          <w:highlight w:val="none"/>
          <w:u w:val="single"/>
        </w:rPr>
        <w:tab/>
      </w:r>
      <w:r>
        <w:rPr>
          <w:rFonts w:hint="default" w:ascii="Times New Roman" w:hAnsi="Times New Roman" w:cs="Times New Roman"/>
          <w:color w:val="auto"/>
          <w:szCs w:val="21"/>
          <w:highlight w:val="none"/>
        </w:rPr>
        <w:t>项目的采购活动，并代表我方全权办理针对上述项目的投标、开标、评标、签约等具体事务和签署相关文件。我方对全权代表的签字事项负全部责任。</w:t>
      </w:r>
    </w:p>
    <w:p>
      <w:pPr>
        <w:pStyle w:val="15"/>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在撤销授权的书面通知以前，本授权书一直有效。全权代表在授权委托书有效期内签署的所有文件不因授权的撤销而失效。</w:t>
      </w:r>
    </w:p>
    <w:p>
      <w:pPr>
        <w:pStyle w:val="15"/>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全权代表无转委托权，特此委托。</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投标人全称（公章）：                              日期：</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hint="default" w:ascii="Times New Roman" w:hAnsi="Times New Roman" w:cs="Times New Roman"/>
                <w:b/>
                <w:color w:val="auto"/>
                <w:szCs w:val="21"/>
                <w:highlight w:val="none"/>
              </w:rPr>
            </w:pPr>
          </w:p>
          <w:p>
            <w:pPr>
              <w:spacing w:line="360" w:lineRule="auto"/>
              <w:ind w:firstLine="316" w:firstLineChars="15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法定代表身份证复印件粘帖处</w:t>
            </w: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法定代表人姓名：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详细通讯地址：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p>
      <w:pPr>
        <w:spacing w:line="360" w:lineRule="auto"/>
        <w:rPr>
          <w:rFonts w:hint="default" w:ascii="Times New Roman" w:hAnsi="Times New Roman" w:cs="Times New Roman"/>
          <w:b/>
          <w:color w:val="auto"/>
          <w:szCs w:val="21"/>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hint="default" w:ascii="Times New Roman" w:hAnsi="Times New Roman" w:cs="Times New Roman"/>
                <w:b/>
                <w:color w:val="auto"/>
                <w:szCs w:val="21"/>
                <w:highlight w:val="none"/>
              </w:rPr>
            </w:pPr>
          </w:p>
          <w:p>
            <w:pPr>
              <w:spacing w:line="360" w:lineRule="auto"/>
              <w:ind w:firstLine="316" w:firstLineChars="15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全权代表身份证复印件粘帖处</w:t>
            </w: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全权代表姓名：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职务：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详细通讯地址：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邮政编码：</w:t>
      </w:r>
    </w:p>
    <w:p>
      <w:pPr>
        <w:snapToGrid w:val="0"/>
        <w:spacing w:before="156" w:beforeLines="50" w:after="50" w:line="360" w:lineRule="auto"/>
        <w:rPr>
          <w:rFonts w:hint="default" w:ascii="Times New Roman" w:hAnsi="Times New Roman" w:cs="Times New Roman"/>
          <w:b/>
          <w:color w:val="auto"/>
          <w:sz w:val="24"/>
          <w:highlight w:val="none"/>
        </w:rPr>
      </w:pPr>
    </w:p>
    <w:p>
      <w:pPr>
        <w:snapToGrid w:val="0"/>
        <w:spacing w:before="156" w:beforeLines="50" w:after="50" w:line="240" w:lineRule="exact"/>
        <w:rPr>
          <w:rFonts w:hint="default" w:ascii="Times New Roman" w:hAnsi="Times New Roman" w:eastAsia="宋体" w:cs="Times New Roman"/>
          <w:bCs/>
          <w:color w:val="auto"/>
          <w:szCs w:val="21"/>
          <w:highlight w:val="none"/>
          <w:lang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4</w:t>
      </w:r>
    </w:p>
    <w:p>
      <w:pPr>
        <w:pStyle w:val="4"/>
        <w:keepNext/>
        <w:keepLines/>
        <w:pageBreakBefore w:val="0"/>
        <w:widowControl w:val="0"/>
        <w:kinsoku/>
        <w:wordWrap/>
        <w:overflowPunct/>
        <w:topLinePunct w:val="0"/>
        <w:autoSpaceDE/>
        <w:autoSpaceDN/>
        <w:bidi w:val="0"/>
        <w:adjustRightInd/>
        <w:snapToGrid/>
        <w:spacing w:line="416" w:lineRule="auto"/>
        <w:jc w:val="center"/>
        <w:textAlignment w:val="auto"/>
        <w:rPr>
          <w:rStyle w:val="31"/>
          <w:rFonts w:hint="default" w:ascii="Times New Roman" w:hAnsi="Times New Roman" w:eastAsia="宋体" w:cs="Times New Roman"/>
          <w:b/>
          <w:bCs w:val="0"/>
          <w:color w:val="auto"/>
          <w:sz w:val="36"/>
          <w:szCs w:val="36"/>
          <w:u w:val="none"/>
        </w:rPr>
      </w:pPr>
      <w:r>
        <w:rPr>
          <w:rStyle w:val="31"/>
          <w:rFonts w:hint="default" w:ascii="Times New Roman" w:hAnsi="Times New Roman" w:eastAsia="宋体" w:cs="Times New Roman"/>
          <w:b/>
          <w:bCs w:val="0"/>
          <w:color w:val="auto"/>
          <w:sz w:val="36"/>
          <w:szCs w:val="36"/>
          <w:u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本公司（联合体）郑重声明，根据《政府采购促进中小企业发展管理办法》（财库﹝2020﹞46 号）的规定，本公司（联合体）参加</w:t>
      </w:r>
      <w:r>
        <w:rPr>
          <w:rFonts w:hint="default" w:ascii="Times New Roman" w:hAnsi="Times New Roman" w:eastAsia="宋体" w:cs="Times New Roman"/>
          <w:i w:val="0"/>
          <w:iCs w:val="0"/>
          <w:color w:val="auto"/>
          <w:kern w:val="0"/>
          <w:sz w:val="21"/>
          <w:szCs w:val="21"/>
          <w:u w:val="single"/>
          <w:lang w:val="en-US" w:eastAsia="zh-CN" w:bidi="ar"/>
        </w:rPr>
        <w:t>（单位名称）</w:t>
      </w:r>
      <w:r>
        <w:rPr>
          <w:rFonts w:hint="default" w:ascii="Times New Roman" w:hAnsi="Times New Roman" w:eastAsia="宋体" w:cs="Times New Roman"/>
          <w:i w:val="0"/>
          <w:iCs w:val="0"/>
          <w:color w:val="auto"/>
          <w:kern w:val="0"/>
          <w:sz w:val="21"/>
          <w:szCs w:val="21"/>
          <w:lang w:val="en-US" w:eastAsia="zh-CN" w:bidi="ar"/>
        </w:rPr>
        <w:t>的</w:t>
      </w:r>
      <w:r>
        <w:rPr>
          <w:rFonts w:hint="default" w:ascii="Times New Roman" w:hAnsi="Times New Roman" w:eastAsia="宋体" w:cs="Times New Roman"/>
          <w:i w:val="0"/>
          <w:iCs w:val="0"/>
          <w:color w:val="auto"/>
          <w:kern w:val="0"/>
          <w:sz w:val="21"/>
          <w:szCs w:val="21"/>
          <w:u w:val="single"/>
          <w:lang w:val="en-US" w:eastAsia="zh-CN" w:bidi="ar"/>
        </w:rPr>
        <w:t>（项目名称）</w:t>
      </w:r>
      <w:r>
        <w:rPr>
          <w:rFonts w:hint="default" w:ascii="Times New Roman" w:hAnsi="Times New Roman" w:eastAsia="宋体" w:cs="Times New Roman"/>
          <w:i w:val="0"/>
          <w:iCs w:val="0"/>
          <w:color w:val="auto"/>
          <w:kern w:val="0"/>
          <w:sz w:val="21"/>
          <w:szCs w:val="21"/>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1. </w:t>
      </w:r>
      <w:r>
        <w:rPr>
          <w:rFonts w:hint="default" w:ascii="Times New Roman" w:hAnsi="Times New Roman" w:eastAsia="宋体" w:cs="Times New Roman"/>
          <w:i w:val="0"/>
          <w:iCs w:val="0"/>
          <w:color w:val="auto"/>
          <w:kern w:val="0"/>
          <w:sz w:val="21"/>
          <w:szCs w:val="21"/>
          <w:u w:val="single"/>
          <w:lang w:val="en-US" w:eastAsia="zh-CN" w:bidi="ar"/>
        </w:rPr>
        <w:t>（标的名称）</w:t>
      </w:r>
      <w:r>
        <w:rPr>
          <w:rFonts w:hint="default" w:ascii="Times New Roman" w:hAnsi="Times New Roman" w:eastAsia="宋体" w:cs="Times New Roman"/>
          <w:i w:val="0"/>
          <w:iCs w:val="0"/>
          <w:color w:val="auto"/>
          <w:kern w:val="0"/>
          <w:sz w:val="21"/>
          <w:szCs w:val="21"/>
          <w:lang w:val="en-US" w:eastAsia="zh-CN" w:bidi="ar"/>
        </w:rPr>
        <w:t xml:space="preserve"> ，属于</w:t>
      </w:r>
      <w:r>
        <w:rPr>
          <w:rFonts w:hint="default" w:ascii="Times New Roman" w:hAnsi="Times New Roman" w:eastAsia="宋体" w:cs="Times New Roman"/>
          <w:i w:val="0"/>
          <w:iCs w:val="0"/>
          <w:color w:val="auto"/>
          <w:kern w:val="0"/>
          <w:sz w:val="21"/>
          <w:szCs w:val="21"/>
          <w:u w:val="single"/>
          <w:lang w:val="en-US" w:eastAsia="zh-CN" w:bidi="ar"/>
        </w:rPr>
        <w:t>（采购文件中明确的所属行业）</w:t>
      </w:r>
      <w:r>
        <w:rPr>
          <w:rFonts w:hint="default" w:ascii="Times New Roman" w:hAnsi="Times New Roman" w:eastAsia="宋体" w:cs="Times New Roman"/>
          <w:i w:val="0"/>
          <w:iCs w:val="0"/>
          <w:color w:val="auto"/>
          <w:kern w:val="0"/>
          <w:sz w:val="21"/>
          <w:szCs w:val="21"/>
          <w:lang w:val="en-US" w:eastAsia="zh-CN" w:bidi="ar"/>
        </w:rPr>
        <w:t>；承建（承接）企业为</w:t>
      </w:r>
      <w:r>
        <w:rPr>
          <w:rFonts w:hint="default" w:ascii="Times New Roman" w:hAnsi="Times New Roman" w:eastAsia="宋体" w:cs="Times New Roman"/>
          <w:i w:val="0"/>
          <w:iCs w:val="0"/>
          <w:color w:val="auto"/>
          <w:kern w:val="0"/>
          <w:sz w:val="21"/>
          <w:szCs w:val="21"/>
          <w:u w:val="single"/>
          <w:lang w:val="en-US" w:eastAsia="zh-CN" w:bidi="ar"/>
        </w:rPr>
        <w:t>（企业名称）</w:t>
      </w:r>
      <w:r>
        <w:rPr>
          <w:rFonts w:hint="default" w:ascii="Times New Roman" w:hAnsi="Times New Roman" w:eastAsia="宋体" w:cs="Times New Roman"/>
          <w:i w:val="0"/>
          <w:iCs w:val="0"/>
          <w:color w:val="auto"/>
          <w:kern w:val="0"/>
          <w:sz w:val="21"/>
          <w:szCs w:val="21"/>
          <w:lang w:val="en-US" w:eastAsia="zh-CN" w:bidi="ar"/>
        </w:rPr>
        <w:t>，从业人员</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人，营业收入为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万元，资产总额为</w:t>
      </w:r>
      <w:r>
        <w:rPr>
          <w:rFonts w:hint="default" w:ascii="Times New Roman" w:hAnsi="Times New Roman" w:eastAsia="宋体" w:cs="Times New Roman"/>
          <w:i w:val="0"/>
          <w:iCs w:val="0"/>
          <w:color w:val="auto"/>
          <w:kern w:val="0"/>
          <w:sz w:val="21"/>
          <w:szCs w:val="21"/>
          <w:u w:val="single"/>
          <w:lang w:val="en-US" w:eastAsia="zh-CN" w:bidi="ar"/>
        </w:rPr>
        <w:t xml:space="preserve">   </w:t>
      </w:r>
      <w:r>
        <w:rPr>
          <w:rFonts w:hint="default" w:ascii="Times New Roman" w:hAnsi="Times New Roman" w:eastAsia="宋体" w:cs="Times New Roman"/>
          <w:i w:val="0"/>
          <w:iCs w:val="0"/>
          <w:color w:val="auto"/>
          <w:kern w:val="0"/>
          <w:sz w:val="21"/>
          <w:szCs w:val="21"/>
          <w:lang w:val="en-US" w:eastAsia="zh-CN" w:bidi="ar"/>
        </w:rPr>
        <w:t>万元，属于</w:t>
      </w:r>
      <w:r>
        <w:rPr>
          <w:rFonts w:hint="default" w:ascii="Times New Roman" w:hAnsi="Times New Roman" w:eastAsia="宋体" w:cs="Times New Roman"/>
          <w:i w:val="0"/>
          <w:iCs w:val="0"/>
          <w:color w:val="auto"/>
          <w:kern w:val="0"/>
          <w:sz w:val="21"/>
          <w:szCs w:val="21"/>
          <w:u w:val="single"/>
          <w:lang w:val="en-US" w:eastAsia="zh-CN" w:bidi="ar"/>
        </w:rPr>
        <w:t>（中型企业、 小型企业、微型企业）</w:t>
      </w:r>
      <w:r>
        <w:rPr>
          <w:rFonts w:hint="default" w:ascii="Times New Roman" w:hAnsi="Times New Roman" w:eastAsia="宋体" w:cs="Times New Roman"/>
          <w:i w:val="0"/>
          <w:iCs w:val="0"/>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20" w:firstLineChars="200"/>
        <w:jc w:val="left"/>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2940" w:firstLineChars="14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1260" w:firstLineChars="600"/>
        <w:jc w:val="center"/>
        <w:textAlignment w:val="auto"/>
        <w:rPr>
          <w:rFonts w:hint="default" w:ascii="Times New Roman" w:hAnsi="Times New Roman" w:eastAsia="宋体" w:cs="Times New Roman"/>
          <w:i w:val="0"/>
          <w:iCs w:val="0"/>
          <w:color w:val="auto"/>
          <w:sz w:val="21"/>
          <w:szCs w:val="21"/>
        </w:rPr>
      </w:pPr>
      <w:r>
        <w:rPr>
          <w:rFonts w:hint="default" w:ascii="Times New Roman" w:hAnsi="Times New Roman" w:eastAsia="宋体" w:cs="Times New Roman"/>
          <w:i w:val="0"/>
          <w:iCs w:val="0"/>
          <w:color w:val="auto"/>
          <w:kern w:val="0"/>
          <w:sz w:val="21"/>
          <w:szCs w:val="21"/>
          <w:lang w:val="en-US" w:eastAsia="zh-CN" w:bidi="ar"/>
        </w:rPr>
        <w:t xml:space="preserve">     日 期：</w:t>
      </w:r>
    </w:p>
    <w:p>
      <w:pPr>
        <w:spacing w:line="360" w:lineRule="auto"/>
        <w:ind w:right="-110"/>
        <w:jc w:val="center"/>
        <w:rPr>
          <w:rFonts w:hint="default" w:ascii="Times New Roman" w:hAnsi="Times New Roman" w:cs="Times New Roman"/>
          <w:b/>
          <w:color w:val="auto"/>
          <w:sz w:val="36"/>
          <w:szCs w:val="36"/>
        </w:rPr>
      </w:pPr>
    </w:p>
    <w:p>
      <w:pPr>
        <w:pStyle w:val="45"/>
        <w:spacing w:line="360" w:lineRule="auto"/>
        <w:ind w:firstLine="420" w:firstLineChars="200"/>
        <w:rPr>
          <w:rFonts w:hint="default" w:ascii="Times New Roman" w:hAnsi="Times New Roman" w:cs="Times New Roman"/>
          <w:color w:val="auto"/>
          <w:szCs w:val="21"/>
          <w:highlight w:val="none"/>
          <w:lang w:val="en-GB"/>
        </w:rPr>
      </w:pPr>
      <w:r>
        <w:rPr>
          <w:rFonts w:hint="default" w:ascii="Times New Roman" w:hAnsi="Times New Roman" w:eastAsia="宋体" w:cs="Times New Roman"/>
          <w:color w:val="auto"/>
          <w:kern w:val="0"/>
          <w:sz w:val="21"/>
          <w:szCs w:val="21"/>
          <w:lang w:val="en-US" w:eastAsia="zh-CN" w:bidi="ar"/>
        </w:rPr>
        <w:t>注：从业人员、营业收入、资产总额填报上一年度数据，无上一年度数据的新成立企业可不填报</w:t>
      </w:r>
      <w:r>
        <w:rPr>
          <w:rFonts w:hint="default" w:ascii="Times New Roman" w:hAnsi="Times New Roman" w:cs="Times New Roman"/>
          <w:color w:val="auto"/>
          <w:szCs w:val="21"/>
          <w:highlight w:val="none"/>
          <w:lang w:val="en-GB"/>
        </w:rPr>
        <w:t>。</w:t>
      </w:r>
    </w:p>
    <w:p>
      <w:pPr>
        <w:pStyle w:val="8"/>
        <w:numPr>
          <w:ilvl w:val="0"/>
          <w:numId w:val="0"/>
        </w:numPr>
        <w:tabs>
          <w:tab w:val="left" w:pos="454"/>
          <w:tab w:val="left" w:pos="720"/>
          <w:tab w:val="left" w:pos="1200"/>
          <w:tab w:val="clear" w:pos="360"/>
        </w:tabs>
        <w:snapToGrid w:val="0"/>
        <w:spacing w:line="360" w:lineRule="exact"/>
        <w:ind w:firstLine="420" w:firstLineChars="200"/>
        <w:rPr>
          <w:rFonts w:hint="default" w:ascii="Times New Roman" w:hAnsi="Times New Roman" w:cs="Times New Roman"/>
          <w:color w:val="auto"/>
          <w:highlight w:val="none"/>
        </w:rPr>
      </w:pPr>
    </w:p>
    <w:p>
      <w:pPr>
        <w:pStyle w:val="8"/>
        <w:numPr>
          <w:ilvl w:val="0"/>
          <w:numId w:val="0"/>
        </w:numPr>
        <w:tabs>
          <w:tab w:val="left" w:pos="454"/>
          <w:tab w:val="left" w:pos="720"/>
          <w:tab w:val="left" w:pos="1200"/>
          <w:tab w:val="clear" w:pos="360"/>
        </w:tabs>
        <w:snapToGrid w:val="0"/>
        <w:spacing w:line="360" w:lineRule="exact"/>
        <w:ind w:firstLine="422" w:firstLineChars="200"/>
        <w:rPr>
          <w:rFonts w:hint="default" w:ascii="Times New Roman" w:hAnsi="Times New Roman" w:cs="Times New Roman"/>
          <w:b/>
          <w:bCs/>
          <w:color w:val="auto"/>
          <w:szCs w:val="21"/>
          <w:highlight w:val="none"/>
          <w:lang w:val="en-GB"/>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line="360" w:lineRule="auto"/>
        <w:ind w:right="480"/>
        <w:jc w:val="left"/>
        <w:rPr>
          <w:rStyle w:val="31"/>
          <w:rFonts w:hint="default" w:ascii="Times New Roman" w:hAnsi="Times New Roman" w:eastAsia="宋体" w:cs="Times New Roman"/>
          <w:b/>
          <w:color w:val="auto"/>
          <w:kern w:val="2"/>
          <w:sz w:val="32"/>
          <w:szCs w:val="32"/>
          <w:lang w:val="en-US" w:eastAsia="zh-CN" w:bidi="ar"/>
        </w:rPr>
      </w:pPr>
      <w:r>
        <w:rPr>
          <w:rFonts w:hint="default" w:ascii="Times New Roman" w:hAnsi="Times New Roman" w:cs="Times New Roman"/>
          <w:b/>
          <w:szCs w:val="21"/>
        </w:rPr>
        <w:t>附件</w:t>
      </w:r>
      <w:r>
        <w:rPr>
          <w:rFonts w:hint="default" w:ascii="Times New Roman" w:hAnsi="Times New Roman" w:cs="Times New Roman"/>
          <w:b/>
          <w:szCs w:val="21"/>
          <w:lang w:val="en-US" w:eastAsia="zh-CN"/>
        </w:rPr>
        <w:t>5</w:t>
      </w:r>
      <w:r>
        <w:rPr>
          <w:rFonts w:hint="default" w:ascii="Times New Roman" w:hAnsi="Times New Roman" w:cs="Times New Roman"/>
          <w:b/>
          <w:szCs w:val="21"/>
        </w:rPr>
        <w:t xml:space="preserve">  </w:t>
      </w:r>
    </w:p>
    <w:p>
      <w:pPr>
        <w:snapToGrid w:val="0"/>
        <w:spacing w:line="360" w:lineRule="auto"/>
        <w:ind w:right="480"/>
        <w:jc w:val="center"/>
        <w:rPr>
          <w:rStyle w:val="31"/>
          <w:rFonts w:hint="default" w:ascii="Times New Roman" w:hAnsi="Times New Roman" w:eastAsia="宋体" w:cs="Times New Roman"/>
          <w:b/>
          <w:color w:val="auto"/>
          <w:kern w:val="2"/>
          <w:sz w:val="28"/>
          <w:szCs w:val="28"/>
          <w:lang w:val="en-US" w:eastAsia="zh-CN" w:bidi="ar"/>
        </w:rPr>
      </w:pPr>
      <w:r>
        <w:rPr>
          <w:rStyle w:val="31"/>
          <w:rFonts w:hint="default" w:ascii="Times New Roman" w:hAnsi="Times New Roman" w:eastAsia="宋体" w:cs="Times New Roman"/>
          <w:b/>
          <w:color w:val="auto"/>
          <w:kern w:val="2"/>
          <w:sz w:val="32"/>
          <w:szCs w:val="32"/>
          <w:lang w:val="en-US" w:eastAsia="zh-CN" w:bidi="ar"/>
        </w:rPr>
        <w:t xml:space="preserve">  </w:t>
      </w:r>
      <w:r>
        <w:rPr>
          <w:rStyle w:val="31"/>
          <w:rFonts w:hint="default" w:ascii="Times New Roman" w:hAnsi="Times New Roman" w:eastAsia="宋体" w:cs="Times New Roman"/>
          <w:b/>
          <w:color w:val="auto"/>
          <w:kern w:val="2"/>
          <w:sz w:val="28"/>
          <w:szCs w:val="28"/>
          <w:lang w:val="en-US" w:eastAsia="zh-CN" w:bidi="ar"/>
        </w:rPr>
        <w:t xml:space="preserve"> 符合参加政府采购活动应当具备的一般条件的承诺函</w:t>
      </w:r>
    </w:p>
    <w:p>
      <w:pPr>
        <w:pStyle w:val="10"/>
        <w:tabs>
          <w:tab w:val="left" w:pos="720"/>
          <w:tab w:val="left" w:pos="1260"/>
          <w:tab w:val="left" w:pos="2160"/>
          <w:tab w:val="left" w:pos="2880"/>
          <w:tab w:val="left" w:pos="3600"/>
          <w:tab w:val="left" w:pos="4320"/>
          <w:tab w:val="left" w:pos="5040"/>
          <w:tab w:val="left" w:pos="5760"/>
        </w:tabs>
        <w:rPr>
          <w:rFonts w:hint="default" w:ascii="Times New Roman" w:hAnsi="Times New Roman" w:cs="Times New Roman"/>
          <w:lang w:val="en-US" w:eastAsia="zh-CN"/>
        </w:rPr>
      </w:pPr>
    </w:p>
    <w:p>
      <w:pPr>
        <w:pStyle w:val="15"/>
        <w:spacing w:line="400" w:lineRule="exact"/>
        <w:rPr>
          <w:rFonts w:hint="default" w:ascii="Times New Roman" w:hAnsi="Times New Roman" w:cs="Times New Roman"/>
          <w:b/>
          <w:szCs w:val="21"/>
        </w:rPr>
      </w:pPr>
      <w:r>
        <w:rPr>
          <w:rFonts w:hint="default" w:ascii="Times New Roman" w:hAnsi="Times New Roman" w:cs="Times New Roman"/>
          <w:b/>
          <w:szCs w:val="21"/>
          <w:u w:val="single"/>
        </w:rPr>
        <w:t xml:space="preserve">                       </w:t>
      </w:r>
      <w:r>
        <w:rPr>
          <w:rFonts w:hint="default" w:ascii="Times New Roman" w:hAnsi="Times New Roman" w:cs="Times New Roman"/>
          <w:kern w:val="0"/>
          <w:szCs w:val="21"/>
          <w:u w:val="single"/>
        </w:rPr>
        <w:t>（采购代理机构名称）</w:t>
      </w:r>
      <w:r>
        <w:rPr>
          <w:rFonts w:hint="default" w:ascii="Times New Roman" w:hAnsi="Times New Roman" w:cs="Times New Roman"/>
          <w:b/>
          <w:szCs w:val="21"/>
        </w:rPr>
        <w:t>：</w:t>
      </w:r>
    </w:p>
    <w:p>
      <w:pPr>
        <w:snapToGrid w:val="0"/>
        <w:spacing w:line="360" w:lineRule="auto"/>
        <w:ind w:firstLine="420" w:firstLineChars="200"/>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w:t>
      </w:r>
      <w:r>
        <w:rPr>
          <w:rFonts w:hint="default" w:ascii="Times New Roman" w:hAnsi="Times New Roman" w:eastAsia="宋体" w:cs="Times New Roman"/>
          <w:sz w:val="21"/>
          <w:szCs w:val="21"/>
          <w:lang w:val="en-US" w:eastAsia="zh-CN"/>
        </w:rPr>
        <w:t>公司</w:t>
      </w:r>
      <w:r>
        <w:rPr>
          <w:rFonts w:hint="default" w:ascii="Times New Roman" w:hAnsi="Times New Roman" w:eastAsia="宋体" w:cs="Times New Roman"/>
          <w:sz w:val="21"/>
          <w:szCs w:val="21"/>
        </w:rPr>
        <w:t>参与</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（磋商</w:t>
      </w:r>
      <w:r>
        <w:rPr>
          <w:rFonts w:hint="default" w:ascii="Times New Roman" w:hAnsi="Times New Roman" w:cs="Times New Roman"/>
          <w:kern w:val="0"/>
          <w:szCs w:val="21"/>
          <w:u w:val="single"/>
        </w:rPr>
        <w:t>项目名称</w:t>
      </w:r>
      <w:r>
        <w:rPr>
          <w:rFonts w:hint="default" w:ascii="Times New Roman" w:hAnsi="Times New Roman" w:cs="Times New Roman"/>
          <w:kern w:val="0"/>
          <w:szCs w:val="21"/>
        </w:rPr>
        <w:t>）（编号为</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r>
        <w:rPr>
          <w:rFonts w:hint="default" w:ascii="Times New Roman" w:hAnsi="Times New Roman" w:eastAsia="宋体" w:cs="Times New Roman"/>
          <w:sz w:val="21"/>
          <w:szCs w:val="21"/>
        </w:rPr>
        <w:t>政府采购活动，郑重承诺：</w:t>
      </w:r>
    </w:p>
    <w:p>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20" w:lineRule="exact"/>
        <w:ind w:firstLine="315" w:firstLineChars="1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（二）未被“信用中国”（www.creditchina.gov.cn)、中国政府采购网（www.ccgp.gov.cn）列入失信被执行人、重大税收违法案件当事人名单、政府采购严重违法失信行为记录名单。</w:t>
      </w: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pStyle w:val="4"/>
        <w:pageBreakBefore w:val="0"/>
        <w:widowControl w:val="0"/>
        <w:kinsoku/>
        <w:wordWrap/>
        <w:overflowPunct/>
        <w:topLinePunct w:val="0"/>
        <w:autoSpaceDE/>
        <w:autoSpaceDN/>
        <w:bidi w:val="0"/>
        <w:spacing w:line="520" w:lineRule="exact"/>
        <w:textAlignment w:val="auto"/>
        <w:rPr>
          <w:rFonts w:hint="default"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095" w:firstLineChars="1950"/>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520" w:lineRule="exact"/>
        <w:ind w:right="480"/>
        <w:jc w:val="center"/>
        <w:textAlignment w:val="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日期：</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 xml:space="preserve">年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月</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zh-CN"/>
        </w:rPr>
        <w:t>日</w:t>
      </w:r>
    </w:p>
    <w:p>
      <w:pPr>
        <w:pageBreakBefore w:val="0"/>
        <w:widowControl w:val="0"/>
        <w:kinsoku/>
        <w:wordWrap/>
        <w:overflowPunct/>
        <w:topLinePunct w:val="0"/>
        <w:autoSpaceDE/>
        <w:autoSpaceDN/>
        <w:bidi w:val="0"/>
        <w:snapToGrid w:val="0"/>
        <w:spacing w:before="156" w:beforeLines="50" w:after="50" w:line="520" w:lineRule="exact"/>
        <w:textAlignment w:val="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cs="Times New Roman"/>
          <w:b/>
          <w:color w:val="auto"/>
          <w:szCs w:val="21"/>
          <w:highlight w:val="none"/>
        </w:rPr>
      </w:pPr>
    </w:p>
    <w:p>
      <w:pPr>
        <w:snapToGrid w:val="0"/>
        <w:spacing w:before="156" w:beforeLines="50" w:after="50" w:line="360" w:lineRule="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44"/>
          <w:szCs w:val="44"/>
          <w:highlight w:val="none"/>
          <w:lang w:eastAsia="zh-CN"/>
        </w:rPr>
      </w:pPr>
      <w:r>
        <w:rPr>
          <w:rFonts w:hint="default" w:ascii="Times New Roman" w:hAnsi="Times New Roman" w:cs="Times New Roman"/>
          <w:b/>
          <w:bCs/>
          <w:color w:val="auto"/>
          <w:kern w:val="0"/>
          <w:sz w:val="44"/>
          <w:szCs w:val="44"/>
          <w:highlight w:val="none"/>
          <w:lang w:eastAsia="zh-CN"/>
        </w:rPr>
        <w:t>玉环市水库、山塘大坝白蚁综合防治项目</w:t>
      </w:r>
    </w:p>
    <w:p>
      <w:pPr>
        <w:autoSpaceDE w:val="0"/>
        <w:autoSpaceDN w:val="0"/>
        <w:adjustRightInd w:val="0"/>
        <w:spacing w:line="360" w:lineRule="auto"/>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highlight w:val="none"/>
          <w:lang w:eastAsia="zh-CN"/>
        </w:rPr>
        <w:t>DDZX2022-Y-GK-05</w:t>
      </w:r>
    </w:p>
    <w:p>
      <w:pPr>
        <w:pStyle w:val="4"/>
        <w:rPr>
          <w:rFonts w:hint="default" w:ascii="Times New Roman" w:hAnsi="Times New Roman" w:eastAsia="宋体" w:cs="Times New Roman"/>
          <w:color w:val="auto"/>
          <w:kern w:val="0"/>
          <w:highlight w:val="none"/>
        </w:rPr>
      </w:pPr>
    </w:p>
    <w:p>
      <w:pPr>
        <w:rPr>
          <w:rFonts w:hint="default" w:ascii="Times New Roman" w:hAnsi="Times New Roman" w:cs="Times New Roman"/>
        </w:rPr>
      </w:pPr>
    </w:p>
    <w:p>
      <w:pPr>
        <w:rPr>
          <w:rFonts w:hint="default" w:ascii="Times New Roman" w:hAnsi="Times New Roman" w:cs="Times New Roman"/>
          <w:color w:val="auto"/>
          <w:highlight w:val="none"/>
          <w:lang w:val="zh-CN"/>
        </w:rPr>
      </w:pP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highlight w:val="none"/>
        </w:rPr>
      </w:pPr>
      <w:r>
        <w:rPr>
          <w:rFonts w:hint="default" w:ascii="Times New Roman" w:hAnsi="Times New Roman"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cs="Times New Roman"/>
          <w:color w:val="auto"/>
          <w:sz w:val="84"/>
          <w:szCs w:val="84"/>
          <w:highlight w:val="none"/>
          <w:lang w:val="zh-CN"/>
        </w:rPr>
      </w:pPr>
      <w:r>
        <w:rPr>
          <w:rFonts w:hint="default" w:ascii="Times New Roman" w:hAnsi="Times New Roman"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highlight w:val="none"/>
        </w:rPr>
      </w:pPr>
      <w:r>
        <w:rPr>
          <w:rFonts w:hint="default" w:ascii="Times New Roman" w:hAnsi="Times New Roman" w:cs="Times New Roman"/>
          <w:color w:val="auto"/>
          <w:sz w:val="28"/>
          <w:szCs w:val="28"/>
          <w:highlight w:val="none"/>
          <w:lang w:val="zh-CN"/>
        </w:rPr>
        <w:t>（</w:t>
      </w:r>
      <w:r>
        <w:rPr>
          <w:rFonts w:hint="default" w:ascii="Times New Roman" w:hAnsi="Times New Roman" w:cs="Times New Roman"/>
          <w:bCs/>
          <w:color w:val="auto"/>
          <w:sz w:val="24"/>
          <w:highlight w:val="none"/>
          <w:lang w:val="zh-CN"/>
        </w:rPr>
        <w:t>商务与技术文件</w:t>
      </w:r>
      <w:r>
        <w:rPr>
          <w:rFonts w:hint="default" w:ascii="Times New Roman" w:hAnsi="Times New Roman" w:cs="Times New Roman"/>
          <w:bCs/>
          <w:color w:val="auto"/>
          <w:spacing w:val="40"/>
          <w:sz w:val="28"/>
          <w:szCs w:val="28"/>
          <w:highlight w:val="none"/>
        </w:rPr>
        <w:t>）</w:t>
      </w:r>
    </w:p>
    <w:p>
      <w:pPr>
        <w:spacing w:line="360" w:lineRule="auto"/>
        <w:ind w:right="532" w:firstLine="720" w:firstLineChars="200"/>
        <w:rPr>
          <w:rFonts w:hint="default" w:ascii="Times New Roman" w:hAnsi="Times New Roman" w:cs="Times New Roman"/>
          <w:color w:val="auto"/>
          <w:sz w:val="36"/>
          <w:szCs w:val="36"/>
          <w:highlight w:val="none"/>
        </w:rPr>
      </w:pPr>
    </w:p>
    <w:p>
      <w:pPr>
        <w:pStyle w:val="23"/>
        <w:rPr>
          <w:rFonts w:hint="default" w:ascii="Times New Roman" w:hAnsi="Times New Roman" w:cs="Times New Roman"/>
          <w:color w:val="auto"/>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spacing w:line="360" w:lineRule="auto"/>
        <w:ind w:right="532" w:firstLine="720" w:firstLineChars="200"/>
        <w:rPr>
          <w:rFonts w:hint="default" w:ascii="Times New Roman" w:hAnsi="Times New Roman" w:cs="Times New Roman"/>
          <w:color w:val="auto"/>
          <w:sz w:val="36"/>
          <w:szCs w:val="36"/>
          <w:highlight w:val="none"/>
        </w:rPr>
      </w:pPr>
    </w:p>
    <w:p>
      <w:pPr>
        <w:rPr>
          <w:rFonts w:hint="default" w:ascii="Times New Roman" w:hAnsi="Times New Roman" w:cs="Times New Roman"/>
        </w:rPr>
      </w:pPr>
    </w:p>
    <w:p>
      <w:pPr>
        <w:adjustRightInd w:val="0"/>
        <w:snapToGrid w:val="0"/>
        <w:spacing w:line="600" w:lineRule="exact"/>
        <w:jc w:val="center"/>
        <w:rPr>
          <w:rFonts w:hint="default" w:ascii="Times New Roman" w:hAnsi="Times New Roman" w:cs="Times New Roman"/>
          <w:b/>
          <w:color w:val="auto"/>
          <w:kern w:val="0"/>
          <w:sz w:val="30"/>
          <w:szCs w:val="30"/>
          <w:highlight w:val="none"/>
          <w:lang w:val="zh-CN"/>
        </w:rPr>
      </w:pPr>
      <w:r>
        <w:rPr>
          <w:rFonts w:hint="default" w:ascii="Times New Roman" w:hAnsi="Times New Roman" w:cs="Times New Roman"/>
          <w:b/>
          <w:color w:val="auto"/>
          <w:kern w:val="0"/>
          <w:sz w:val="30"/>
          <w:szCs w:val="30"/>
          <w:highlight w:val="none"/>
          <w:lang w:val="zh-CN"/>
        </w:rPr>
        <w:t>商务与技术文件目录</w:t>
      </w:r>
    </w:p>
    <w:p>
      <w:pPr>
        <w:snapToGrid w:val="0"/>
        <w:spacing w:line="360" w:lineRule="auto"/>
        <w:rPr>
          <w:rFonts w:hint="default" w:ascii="Times New Roman" w:hAnsi="Times New Roman" w:cs="Times New Roman"/>
          <w:color w:val="auto"/>
          <w:sz w:val="24"/>
          <w:highlight w:val="none"/>
        </w:rPr>
      </w:pPr>
    </w:p>
    <w:p>
      <w:pPr>
        <w:snapToGrid w:val="0"/>
        <w:spacing w:line="44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第一部分  技术方案描述部分</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1、投标人情况介绍（附件</w:t>
      </w: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2、项目需求的理解与分析；</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3、项目组织实施方案(可视情选用附件</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、附件</w:t>
      </w: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 xml:space="preserve">)； </w:t>
      </w:r>
    </w:p>
    <w:p>
      <w:pPr>
        <w:snapToGrid w:val="0"/>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kern w:val="0"/>
          <w:szCs w:val="21"/>
          <w:highlight w:val="none"/>
        </w:rPr>
        <w:t>安装、调试及验收方案</w:t>
      </w:r>
      <w:r>
        <w:rPr>
          <w:rFonts w:hint="default" w:ascii="Times New Roman" w:hAnsi="Times New Roman" w:cs="Times New Roman"/>
          <w:color w:val="auto"/>
          <w:szCs w:val="21"/>
          <w:highlight w:val="none"/>
        </w:rPr>
        <w:t>；</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第二部分  投标产品描述部分</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kern w:val="0"/>
          <w:szCs w:val="21"/>
          <w:highlight w:val="none"/>
        </w:rPr>
        <w:t>投标产品描述及相关资料（</w:t>
      </w:r>
      <w:r>
        <w:rPr>
          <w:rFonts w:hint="default" w:ascii="Times New Roman" w:hAnsi="Times New Roman" w:cs="Times New Roman"/>
          <w:color w:val="auto"/>
          <w:szCs w:val="21"/>
          <w:highlight w:val="none"/>
        </w:rPr>
        <w:t>可视情选用附件</w:t>
      </w: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、附件</w:t>
      </w:r>
      <w:r>
        <w:rPr>
          <w:rFonts w:hint="default" w:ascii="Times New Roman" w:hAnsi="Times New Roman" w:cs="Times New Roman"/>
          <w:color w:val="auto"/>
          <w:szCs w:val="21"/>
          <w:highlight w:val="none"/>
          <w:lang w:val="en-US" w:eastAsia="zh-CN"/>
        </w:rPr>
        <w:t>11</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s="Times New Roman"/>
          <w:color w:val="auto"/>
          <w:szCs w:val="21"/>
          <w:highlight w:val="none"/>
        </w:rPr>
        <w:t>投标人需要说明的其他内容；（包括可能影响投标人技术性能评分项的各类证明材料）</w:t>
      </w:r>
    </w:p>
    <w:p>
      <w:pPr>
        <w:snapToGrid w:val="0"/>
        <w:spacing w:line="440" w:lineRule="exact"/>
        <w:ind w:firstLine="422" w:firstLineChars="200"/>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第三部分  商务响应部分</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1、证书一览表（附件1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2、近三年来类似项目的成功案例（附件1</w:t>
      </w:r>
      <w:r>
        <w:rPr>
          <w:rFonts w:hint="default"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3、售后服务描述及承诺（可视情选用附件1</w:t>
      </w:r>
      <w:r>
        <w:rPr>
          <w:rFonts w:hint="default" w:ascii="Times New Roman" w:hAnsi="Times New Roman" w:cs="Times New Roman"/>
          <w:color w:val="auto"/>
          <w:kern w:val="0"/>
          <w:szCs w:val="21"/>
          <w:highlight w:val="none"/>
          <w:lang w:val="en-US" w:eastAsia="zh-CN"/>
        </w:rPr>
        <w:t>4</w:t>
      </w:r>
      <w:r>
        <w:rPr>
          <w:rFonts w:hint="default" w:ascii="Times New Roman" w:hAnsi="Times New Roman" w:cs="Times New Roman"/>
          <w:color w:val="auto"/>
          <w:kern w:val="0"/>
          <w:szCs w:val="21"/>
          <w:highlight w:val="none"/>
        </w:rPr>
        <w:t>，附件1</w:t>
      </w:r>
      <w:r>
        <w:rPr>
          <w:rFonts w:hint="default"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4、投标人需要说明的其他内容。（包括可能影响投标人企业实力及信誉评分项以及售后服务评分项的各类证明材料）</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第四部分  评标办法中的评分内容章节描述及需要提供的其他材料</w:t>
      </w:r>
    </w:p>
    <w:p>
      <w:pPr>
        <w:snapToGrid w:val="0"/>
        <w:spacing w:line="440" w:lineRule="exact"/>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第五部分  其他参考表格（此部分视情况选用）</w:t>
      </w:r>
    </w:p>
    <w:p>
      <w:pPr>
        <w:snapToGrid w:val="0"/>
        <w:spacing w:line="44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1、主要货物用材响应表（附件1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w:t>
      </w:r>
    </w:p>
    <w:p>
      <w:pPr>
        <w:snapToGrid w:val="0"/>
        <w:spacing w:line="44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（以上内容具体描述详见“第二章投标人须知”中“三、投标文件”的组成说明）</w:t>
      </w: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default" w:ascii="Times New Roman" w:hAnsi="Times New Roman" w:cs="Times New Roman"/>
          <w:b/>
          <w:color w:val="auto"/>
          <w:sz w:val="21"/>
          <w:szCs w:val="21"/>
          <w:highlight w:val="none"/>
          <w:lang w:val="en-US" w:eastAsia="zh-CN"/>
        </w:rPr>
        <w:t>7</w:t>
      </w:r>
    </w:p>
    <w:p>
      <w:pPr>
        <w:pStyle w:val="38"/>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0"/>
          <w:szCs w:val="30"/>
          <w:highlight w:val="none"/>
        </w:rPr>
      </w:pPr>
      <w:r>
        <w:rPr>
          <w:rFonts w:hint="default" w:ascii="Times New Roman" w:hAnsi="Times New Roman" w:cs="Times New Roman"/>
          <w:b/>
          <w:color w:val="auto"/>
          <w:sz w:val="32"/>
          <w:szCs w:val="32"/>
          <w:highlight w:val="none"/>
        </w:rPr>
        <w:t xml:space="preserve">  投</w:t>
      </w:r>
      <w:r>
        <w:rPr>
          <w:rFonts w:hint="default" w:ascii="Times New Roman" w:hAnsi="Times New Roman" w:cs="Times New Roman"/>
          <w:b/>
          <w:color w:val="auto"/>
          <w:sz w:val="30"/>
          <w:szCs w:val="30"/>
          <w:highlight w:val="none"/>
        </w:rPr>
        <w:t>标</w:t>
      </w:r>
      <w:r>
        <w:rPr>
          <w:rFonts w:hint="default" w:ascii="Times New Roman" w:hAnsi="Times New Roman" w:cs="Times New Roman"/>
          <w:b/>
          <w:bCs/>
          <w:color w:val="auto"/>
          <w:spacing w:val="21"/>
          <w:sz w:val="30"/>
          <w:szCs w:val="30"/>
          <w:highlight w:val="none"/>
        </w:rPr>
        <w:t>人基本情况表</w:t>
      </w:r>
    </w:p>
    <w:tbl>
      <w:tblPr>
        <w:tblStyle w:val="26"/>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企业名称</w:t>
            </w:r>
          </w:p>
        </w:tc>
        <w:tc>
          <w:tcPr>
            <w:tcW w:w="4462" w:type="dxa"/>
            <w:gridSpan w:val="6"/>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574"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法人代表</w:t>
            </w:r>
          </w:p>
        </w:tc>
        <w:tc>
          <w:tcPr>
            <w:tcW w:w="178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地址</w:t>
            </w:r>
          </w:p>
        </w:tc>
        <w:tc>
          <w:tcPr>
            <w:tcW w:w="4462" w:type="dxa"/>
            <w:gridSpan w:val="6"/>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企业性质</w:t>
            </w:r>
          </w:p>
        </w:tc>
        <w:tc>
          <w:tcPr>
            <w:tcW w:w="178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股东姓名</w:t>
            </w:r>
          </w:p>
        </w:tc>
        <w:tc>
          <w:tcPr>
            <w:tcW w:w="818" w:type="dxa"/>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股东关系</w:t>
            </w:r>
          </w:p>
        </w:tc>
        <w:tc>
          <w:tcPr>
            <w:tcW w:w="178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联系人</w:t>
            </w:r>
            <w:r>
              <w:rPr>
                <w:rFonts w:hint="default" w:ascii="Times New Roman" w:hAnsi="Times New Roman" w:cs="Times New Roman"/>
                <w:bCs/>
                <w:color w:val="auto"/>
                <w:spacing w:val="27"/>
                <w:sz w:val="21"/>
                <w:szCs w:val="21"/>
                <w:highlight w:val="none"/>
              </w:rPr>
              <w:t>姓名</w:t>
            </w:r>
          </w:p>
        </w:tc>
        <w:tc>
          <w:tcPr>
            <w:tcW w:w="818" w:type="dxa"/>
            <w:vMerge w:val="restart"/>
            <w:tcBorders>
              <w:top w:val="nil"/>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top w:val="nil"/>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传真</w:t>
            </w:r>
          </w:p>
        </w:tc>
        <w:tc>
          <w:tcPr>
            <w:tcW w:w="1786" w:type="dxa"/>
            <w:gridSpan w:val="2"/>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手机</w:t>
            </w:r>
          </w:p>
        </w:tc>
        <w:tc>
          <w:tcPr>
            <w:tcW w:w="2777" w:type="dxa"/>
            <w:gridSpan w:val="4"/>
            <w:tcBorders>
              <w:bottom w:val="single" w:color="auto" w:sz="4" w:space="0"/>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786" w:type="dxa"/>
            <w:gridSpan w:val="2"/>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企</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业</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highlight w:val="none"/>
              </w:rPr>
            </w:pPr>
            <w:r>
              <w:rPr>
                <w:rFonts w:hint="default" w:ascii="Times New Roman" w:hAnsi="Times New Roman" w:cs="Times New Roman"/>
                <w:bCs/>
                <w:color w:val="auto"/>
                <w:spacing w:val="27"/>
                <w:sz w:val="21"/>
                <w:szCs w:val="21"/>
                <w:highlight w:val="none"/>
              </w:rPr>
              <w:t>概</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况</w:t>
            </w:r>
          </w:p>
        </w:tc>
        <w:tc>
          <w:tcPr>
            <w:tcW w:w="818" w:type="dxa"/>
            <w:tcBorders>
              <w:top w:val="nil"/>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职工人数</w:t>
            </w:r>
          </w:p>
        </w:tc>
        <w:tc>
          <w:tcPr>
            <w:tcW w:w="867" w:type="dxa"/>
            <w:tcBorders>
              <w:top w:val="nil"/>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33" w:type="dxa"/>
            <w:gridSpan w:val="3"/>
            <w:tcBorders>
              <w:top w:val="nil"/>
            </w:tcBorders>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8"/>
                <w:sz w:val="21"/>
                <w:szCs w:val="21"/>
                <w:highlight w:val="none"/>
              </w:rPr>
              <w:t>具备大专以</w:t>
            </w:r>
            <w:r>
              <w:rPr>
                <w:rFonts w:hint="default" w:ascii="Times New Roman" w:hAnsi="Times New Roman" w:cs="Times New Roman"/>
                <w:bCs/>
                <w:color w:val="auto"/>
                <w:spacing w:val="12"/>
                <w:sz w:val="21"/>
                <w:szCs w:val="21"/>
                <w:highlight w:val="none"/>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widowControl/>
              <w:spacing w:line="280" w:lineRule="exact"/>
              <w:jc w:val="center"/>
              <w:rPr>
                <w:rFonts w:hint="default" w:ascii="Times New Roman" w:hAnsi="Times New Roman" w:cs="Times New Roman"/>
                <w:bCs/>
                <w:color w:val="auto"/>
                <w:spacing w:val="16"/>
                <w:kern w:val="0"/>
                <w:szCs w:val="21"/>
                <w:highlight w:val="none"/>
              </w:rPr>
            </w:pP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65"/>
                <w:sz w:val="21"/>
                <w:szCs w:val="21"/>
                <w:highlight w:val="none"/>
              </w:rPr>
              <w:t>国家授予技</w:t>
            </w:r>
            <w:r>
              <w:rPr>
                <w:rFonts w:hint="default" w:ascii="Times New Roman" w:hAnsi="Times New Roman" w:cs="Times New Roman"/>
                <w:bCs/>
                <w:color w:val="auto"/>
                <w:spacing w:val="12"/>
                <w:sz w:val="21"/>
                <w:szCs w:val="21"/>
                <w:highlight w:val="none"/>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highlight w:val="none"/>
              </w:rPr>
            </w:pP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占地面积</w:t>
            </w:r>
          </w:p>
        </w:tc>
        <w:tc>
          <w:tcPr>
            <w:tcW w:w="867"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42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建筑面积</w:t>
            </w:r>
          </w:p>
        </w:tc>
        <w:tc>
          <w:tcPr>
            <w:tcW w:w="1351" w:type="dxa"/>
            <w:gridSpan w:val="2"/>
            <w:vAlign w:val="center"/>
          </w:tcPr>
          <w:p>
            <w:pPr>
              <w:pStyle w:val="38"/>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平方米</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□自有</w:t>
            </w: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□租賃</w:t>
            </w:r>
          </w:p>
        </w:tc>
        <w:tc>
          <w:tcPr>
            <w:tcW w:w="1574"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生产经营场所及场所的设施与设备</w:t>
            </w:r>
          </w:p>
        </w:tc>
        <w:tc>
          <w:tcPr>
            <w:tcW w:w="178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注册资金</w:t>
            </w:r>
          </w:p>
        </w:tc>
        <w:tc>
          <w:tcPr>
            <w:tcW w:w="867"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426"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注册发证</w:t>
            </w:r>
            <w:r>
              <w:rPr>
                <w:rFonts w:hint="default" w:ascii="Times New Roman" w:hAnsi="Times New Roman" w:cs="Times New Roman"/>
                <w:bCs/>
                <w:color w:val="auto"/>
                <w:spacing w:val="27"/>
                <w:sz w:val="21"/>
                <w:szCs w:val="21"/>
                <w:highlight w:val="none"/>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highlight w:val="none"/>
              </w:rPr>
            </w:pPr>
          </w:p>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109"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公司成</w:t>
            </w:r>
            <w:r>
              <w:rPr>
                <w:rFonts w:hint="default" w:ascii="Times New Roman" w:hAnsi="Times New Roman" w:cs="Times New Roman"/>
                <w:bCs/>
                <w:color w:val="auto"/>
                <w:spacing w:val="12"/>
                <w:sz w:val="21"/>
                <w:szCs w:val="21"/>
                <w:highlight w:val="none"/>
              </w:rPr>
              <w:t>立时间</w:t>
            </w:r>
          </w:p>
        </w:tc>
        <w:tc>
          <w:tcPr>
            <w:tcW w:w="677"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818"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核准经营范围</w:t>
            </w:r>
          </w:p>
        </w:tc>
        <w:tc>
          <w:tcPr>
            <w:tcW w:w="7004" w:type="dxa"/>
            <w:gridSpan w:val="10"/>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7822" w:type="dxa"/>
            <w:gridSpan w:val="11"/>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highlight w:val="none"/>
              </w:rPr>
            </w:pPr>
            <w:r>
              <w:rPr>
                <w:rFonts w:hint="default" w:ascii="Times New Roman" w:hAnsi="Times New Roman" w:cs="Times New Roman"/>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z w:val="21"/>
                <w:szCs w:val="21"/>
                <w:highlight w:val="none"/>
              </w:rPr>
              <w:t>2．企</w:t>
            </w:r>
            <w:r>
              <w:rPr>
                <w:rFonts w:hint="default" w:ascii="Times New Roman" w:hAnsi="Times New Roman" w:cs="Times New Roman"/>
                <w:bCs/>
                <w:color w:val="auto"/>
                <w:spacing w:val="12"/>
                <w:sz w:val="21"/>
                <w:szCs w:val="21"/>
                <w:highlight w:val="none"/>
              </w:rPr>
              <w:t>业有关资质获证情况</w:t>
            </w:r>
          </w:p>
        </w:tc>
        <w:tc>
          <w:tcPr>
            <w:tcW w:w="1685" w:type="dxa"/>
            <w:gridSpan w:val="2"/>
            <w:vMerge w:val="restart"/>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产品生产许可证情况</w:t>
            </w:r>
            <w:r>
              <w:rPr>
                <w:rFonts w:hint="default" w:ascii="Times New Roman" w:hAnsi="Times New Roman" w:cs="Times New Roman"/>
                <w:bCs/>
                <w:color w:val="auto"/>
                <w:spacing w:val="41"/>
                <w:sz w:val="21"/>
                <w:szCs w:val="21"/>
                <w:highlight w:val="none"/>
              </w:rPr>
              <w:t>（对需获得生产许可证的</w:t>
            </w:r>
            <w:r>
              <w:rPr>
                <w:rFonts w:hint="default" w:ascii="Times New Roman" w:hAnsi="Times New Roman" w:cs="Times New Roman"/>
                <w:bCs/>
                <w:color w:val="auto"/>
                <w:spacing w:val="11"/>
                <w:sz w:val="21"/>
                <w:szCs w:val="21"/>
                <w:highlight w:val="none"/>
              </w:rPr>
              <w:t>产品要填写此栏）</w:t>
            </w:r>
          </w:p>
        </w:tc>
        <w:tc>
          <w:tcPr>
            <w:tcW w:w="1359"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产品名称</w:t>
            </w:r>
          </w:p>
        </w:tc>
        <w:tc>
          <w:tcPr>
            <w:tcW w:w="1626" w:type="dxa"/>
            <w:gridSpan w:val="4"/>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发证机关</w:t>
            </w:r>
          </w:p>
        </w:tc>
        <w:tc>
          <w:tcPr>
            <w:tcW w:w="1276"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编号</w:t>
            </w:r>
          </w:p>
        </w:tc>
        <w:tc>
          <w:tcPr>
            <w:tcW w:w="1199"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发证时间</w:t>
            </w:r>
          </w:p>
        </w:tc>
        <w:tc>
          <w:tcPr>
            <w:tcW w:w="677"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685" w:type="dxa"/>
            <w:gridSpan w:val="2"/>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359"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626" w:type="dxa"/>
            <w:gridSpan w:val="4"/>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276" w:type="dxa"/>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c>
          <w:tcPr>
            <w:tcW w:w="1876" w:type="dxa"/>
            <w:gridSpan w:val="3"/>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c>
          <w:tcPr>
            <w:tcW w:w="1685"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highlight w:val="none"/>
              </w:rPr>
            </w:pPr>
            <w:r>
              <w:rPr>
                <w:rFonts w:hint="default" w:ascii="Times New Roman" w:hAnsi="Times New Roman" w:cs="Times New Roman"/>
                <w:bCs/>
                <w:color w:val="auto"/>
                <w:spacing w:val="41"/>
                <w:sz w:val="21"/>
                <w:szCs w:val="21"/>
                <w:highlight w:val="none"/>
              </w:rPr>
              <w:t>企业通过质量体系、环保</w:t>
            </w:r>
            <w:r>
              <w:rPr>
                <w:rFonts w:hint="default" w:ascii="Times New Roman" w:hAnsi="Times New Roman" w:cs="Times New Roman"/>
                <w:bCs/>
                <w:color w:val="auto"/>
                <w:spacing w:val="11"/>
                <w:sz w:val="21"/>
                <w:szCs w:val="21"/>
                <w:highlight w:val="none"/>
              </w:rPr>
              <w:t>体系、计量等认证情况</w:t>
            </w:r>
          </w:p>
        </w:tc>
        <w:tc>
          <w:tcPr>
            <w:tcW w:w="6137" w:type="dxa"/>
            <w:gridSpan w:val="9"/>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highlight w:val="none"/>
              </w:rPr>
            </w:pPr>
          </w:p>
        </w:tc>
        <w:tc>
          <w:tcPr>
            <w:tcW w:w="1685" w:type="dxa"/>
            <w:gridSpan w:val="2"/>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0"/>
                <w:sz w:val="21"/>
                <w:szCs w:val="21"/>
                <w:highlight w:val="none"/>
              </w:rPr>
              <w:t>企业获得专利情况</w:t>
            </w:r>
          </w:p>
        </w:tc>
        <w:tc>
          <w:tcPr>
            <w:tcW w:w="6137" w:type="dxa"/>
            <w:gridSpan w:val="9"/>
            <w:vAlign w:val="center"/>
          </w:tcPr>
          <w:p>
            <w:pPr>
              <w:pStyle w:val="3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highlight w:val="none"/>
              </w:rPr>
            </w:pPr>
          </w:p>
        </w:tc>
      </w:tr>
    </w:tbl>
    <w:p>
      <w:pPr>
        <w:pStyle w:val="38"/>
        <w:shd w:val="clear" w:color="auto" w:fill="FFFFFF"/>
        <w:spacing w:before="0" w:beforeAutospacing="0" w:after="0" w:afterAutospacing="0" w:line="420" w:lineRule="exact"/>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要求：</w:t>
      </w:r>
      <w:r>
        <w:rPr>
          <w:rFonts w:hint="default" w:ascii="Times New Roman" w:hAnsi="Times New Roman" w:cs="Times New Roman"/>
          <w:color w:val="auto"/>
          <w:sz w:val="21"/>
          <w:szCs w:val="21"/>
          <w:highlight w:val="none"/>
        </w:rPr>
        <w:t>姓名栏必须将所有股东都统计在内，若非股份公司此行（第三行）无需填写。</w:t>
      </w:r>
    </w:p>
    <w:p>
      <w:pPr>
        <w:pStyle w:val="38"/>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color w:val="auto"/>
          <w:sz w:val="21"/>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38"/>
        <w:shd w:val="clear" w:color="auto" w:fill="FFFFFF"/>
        <w:spacing w:before="0" w:beforeAutospacing="0" w:after="0" w:afterAutospacing="0" w:line="240" w:lineRule="exact"/>
        <w:rPr>
          <w:rFonts w:hint="default" w:ascii="Times New Roman" w:hAnsi="Times New Roman" w:cs="Times New Roman"/>
          <w:b/>
          <w:color w:val="auto"/>
          <w:sz w:val="21"/>
          <w:szCs w:val="21"/>
          <w:highlight w:val="none"/>
        </w:rPr>
      </w:pPr>
    </w:p>
    <w:p>
      <w:pPr>
        <w:pStyle w:val="38"/>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default" w:ascii="Times New Roman" w:hAnsi="Times New Roman" w:cs="Times New Roman"/>
          <w:b/>
          <w:color w:val="auto"/>
          <w:sz w:val="21"/>
          <w:szCs w:val="21"/>
          <w:highlight w:val="none"/>
          <w:lang w:val="en-US" w:eastAsia="zh-CN"/>
        </w:rPr>
        <w:t>8</w:t>
      </w:r>
    </w:p>
    <w:p>
      <w:pPr>
        <w:snapToGrid w:val="0"/>
        <w:spacing w:before="156" w:beforeLines="50" w:after="50"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b/>
          <w:bCs/>
          <w:color w:val="auto"/>
          <w:kern w:val="0"/>
          <w:sz w:val="30"/>
          <w:szCs w:val="30"/>
          <w:highlight w:val="none"/>
        </w:rPr>
        <w:t>项目实施人员一览表</w:t>
      </w:r>
    </w:p>
    <w:p>
      <w:pPr>
        <w:snapToGrid w:val="0"/>
        <w:spacing w:before="156" w:beforeLines="50" w:after="50" w:line="360" w:lineRule="auto"/>
        <w:ind w:firstLine="2400" w:firstLineChars="10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（主要从业人员及其技术资格）</w:t>
      </w:r>
    </w:p>
    <w:tbl>
      <w:tblPr>
        <w:tblStyle w:val="26"/>
        <w:tblW w:w="869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参加本单位工作时间</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240" w:lineRule="exact"/>
              <w:ind w:left="5250"/>
              <w:rPr>
                <w:rFonts w:hint="default" w:ascii="Times New Roman" w:hAnsi="Times New Roman" w:eastAsia="宋体"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240" w:lineRule="exact"/>
              <w:ind w:left="5250"/>
              <w:rPr>
                <w:rFonts w:hint="default" w:ascii="Times New Roman" w:hAnsi="Times New Roman" w:eastAsia="宋体"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240" w:lineRule="exact"/>
              <w:ind w:left="5250"/>
              <w:rPr>
                <w:rFonts w:hint="default" w:ascii="Times New Roman" w:hAnsi="Times New Roman" w:eastAsia="宋体" w:cs="Times New Roman"/>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highlight w:val="none"/>
              </w:rPr>
            </w:pP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在填写时，如本表格不适合投标单位的实际情况，可根据本表格式自行划表填写；</w:t>
      </w:r>
    </w:p>
    <w:p>
      <w:pPr>
        <w:pStyle w:val="39"/>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2.附人员证书原件扫描件；</w:t>
      </w:r>
    </w:p>
    <w:p>
      <w:pPr>
        <w:pStyle w:val="39"/>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highlight w:val="none"/>
        </w:rPr>
      </w:pPr>
    </w:p>
    <w:p>
      <w:pPr>
        <w:pStyle w:val="37"/>
        <w:rPr>
          <w:rFonts w:hint="default" w:ascii="Times New Roman" w:hAnsi="Times New Roman" w:eastAsia="宋体" w:cs="Times New Roman"/>
          <w:color w:val="auto"/>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38"/>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38"/>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38"/>
        <w:shd w:val="clear" w:color="auto" w:fill="FFFFFF"/>
        <w:spacing w:before="0" w:beforeAutospacing="0" w:after="0" w:afterAutospacing="0" w:line="240" w:lineRule="exact"/>
        <w:rPr>
          <w:rFonts w:hint="default" w:ascii="Times New Roman" w:hAnsi="Times New Roman" w:cs="Times New Roman"/>
          <w:b/>
          <w:color w:val="auto"/>
          <w:highlight w:val="none"/>
        </w:rPr>
      </w:pPr>
    </w:p>
    <w:p>
      <w:pPr>
        <w:pStyle w:val="38"/>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default" w:ascii="Times New Roman" w:hAnsi="Times New Roman" w:cs="Times New Roman"/>
          <w:b/>
          <w:color w:val="auto"/>
          <w:sz w:val="21"/>
          <w:szCs w:val="21"/>
          <w:highlight w:val="none"/>
          <w:lang w:val="en-US" w:eastAsia="zh-CN"/>
        </w:rPr>
        <w:t>9</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项目负责人资格情况表</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采购项目：                                            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highlight w:val="none"/>
                <w:lang w:val="zh-CN"/>
              </w:rPr>
            </w:pPr>
            <w:r>
              <w:rPr>
                <w:rFonts w:hint="default" w:ascii="Times New Roman" w:hAnsi="Times New Roman" w:cs="Times New Roman"/>
                <w:b/>
                <w:bCs/>
                <w:color w:val="auto"/>
                <w:szCs w:val="21"/>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highlight w:val="none"/>
                <w:lang w:val="zh-CN"/>
              </w:rPr>
            </w:pPr>
          </w:p>
        </w:tc>
      </w:tr>
    </w:tbl>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Cs w:val="21"/>
          <w:highlight w:val="none"/>
        </w:rPr>
      </w:pPr>
    </w:p>
    <w:p>
      <w:pPr>
        <w:pStyle w:val="37"/>
        <w:rPr>
          <w:rFonts w:hint="default" w:ascii="Times New Roman" w:hAnsi="Times New Roman" w:eastAsia="宋体" w:cs="Times New Roman"/>
          <w:color w:val="auto"/>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pStyle w:val="38"/>
        <w:shd w:val="clear" w:color="auto" w:fill="FFFFFF"/>
        <w:spacing w:before="0" w:beforeAutospacing="0" w:after="0" w:afterAutospacing="0" w:line="240" w:lineRule="exact"/>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附件</w:t>
      </w:r>
      <w:r>
        <w:rPr>
          <w:rFonts w:hint="default" w:ascii="Times New Roman" w:hAnsi="Times New Roman" w:cs="Times New Roman"/>
          <w:b/>
          <w:color w:val="auto"/>
          <w:sz w:val="21"/>
          <w:szCs w:val="21"/>
          <w:highlight w:val="none"/>
          <w:lang w:val="en-US" w:eastAsia="zh-CN"/>
        </w:rPr>
        <w:t>10</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供货清单</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项目编号：</w:t>
      </w:r>
    </w:p>
    <w:tbl>
      <w:tblPr>
        <w:tblStyle w:val="26"/>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993"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产地</w:t>
            </w:r>
          </w:p>
        </w:tc>
        <w:tc>
          <w:tcPr>
            <w:tcW w:w="1559"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highlight w:val="none"/>
              </w:rPr>
            </w:pPr>
          </w:p>
        </w:tc>
        <w:tc>
          <w:tcPr>
            <w:tcW w:w="2045" w:type="dxa"/>
            <w:vAlign w:val="center"/>
          </w:tcPr>
          <w:p>
            <w:pPr>
              <w:spacing w:line="360" w:lineRule="auto"/>
              <w:rPr>
                <w:rFonts w:hint="default" w:ascii="Times New Roman" w:hAnsi="Times New Roman" w:cs="Times New Roman"/>
                <w:color w:val="auto"/>
                <w:szCs w:val="21"/>
                <w:highlight w:val="none"/>
              </w:rPr>
            </w:pPr>
          </w:p>
        </w:tc>
        <w:tc>
          <w:tcPr>
            <w:tcW w:w="1134" w:type="dxa"/>
            <w:vAlign w:val="center"/>
          </w:tcPr>
          <w:p>
            <w:pPr>
              <w:spacing w:line="360" w:lineRule="auto"/>
              <w:rPr>
                <w:rFonts w:hint="default" w:ascii="Times New Roman" w:hAnsi="Times New Roman" w:cs="Times New Roman"/>
                <w:color w:val="auto"/>
                <w:szCs w:val="21"/>
                <w:highlight w:val="none"/>
              </w:rPr>
            </w:pPr>
          </w:p>
        </w:tc>
        <w:tc>
          <w:tcPr>
            <w:tcW w:w="1842" w:type="dxa"/>
            <w:vAlign w:val="center"/>
          </w:tcPr>
          <w:p>
            <w:pPr>
              <w:spacing w:line="360" w:lineRule="auto"/>
              <w:rPr>
                <w:rFonts w:hint="default" w:ascii="Times New Roman" w:hAnsi="Times New Roman" w:cs="Times New Roman"/>
                <w:color w:val="auto"/>
                <w:szCs w:val="21"/>
                <w:highlight w:val="none"/>
              </w:rPr>
            </w:pPr>
          </w:p>
        </w:tc>
        <w:tc>
          <w:tcPr>
            <w:tcW w:w="993"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要求：</w:t>
      </w:r>
      <w:r>
        <w:rPr>
          <w:rFonts w:hint="default" w:ascii="Times New Roman" w:hAnsi="Times New Roman" w:cs="Times New Roman"/>
          <w:color w:val="auto"/>
          <w:szCs w:val="21"/>
          <w:highlight w:val="none"/>
        </w:rPr>
        <w:t>本表中的名称、数量应与报价明细表中相对应的报价名称、数量一致。</w:t>
      </w:r>
    </w:p>
    <w:p>
      <w:pPr>
        <w:spacing w:line="360" w:lineRule="auto"/>
        <w:ind w:left="420"/>
        <w:rPr>
          <w:rFonts w:hint="default" w:ascii="Times New Roman" w:hAnsi="Times New Roman" w:cs="Times New Roman"/>
          <w:color w:val="auto"/>
          <w:szCs w:val="21"/>
          <w:highlight w:val="none"/>
        </w:rPr>
      </w:pPr>
    </w:p>
    <w:p>
      <w:pPr>
        <w:spacing w:line="44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4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4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4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 w:val="28"/>
          <w:highlight w:val="none"/>
        </w:rPr>
      </w:pPr>
    </w:p>
    <w:p>
      <w:pPr>
        <w:pStyle w:val="37"/>
        <w:rPr>
          <w:rFonts w:hint="default" w:ascii="Times New Roman" w:hAnsi="Times New Roman" w:eastAsia="宋体" w:cs="Times New Roman"/>
          <w:color w:val="auto"/>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line="240" w:lineRule="exact"/>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11</w:t>
      </w:r>
    </w:p>
    <w:p>
      <w:pPr>
        <w:snapToGrid w:val="0"/>
        <w:spacing w:before="156" w:beforeLines="50" w:after="50" w:line="360" w:lineRule="auto"/>
        <w:jc w:val="center"/>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30"/>
          <w:szCs w:val="30"/>
          <w:highlight w:val="none"/>
        </w:rPr>
        <w:t>技术需求响应表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78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名称</w:t>
            </w:r>
          </w:p>
        </w:tc>
        <w:tc>
          <w:tcPr>
            <w:tcW w:w="1449"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1560"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招标参数</w:t>
            </w:r>
          </w:p>
        </w:tc>
        <w:tc>
          <w:tcPr>
            <w:tcW w:w="1401"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投标参数</w:t>
            </w:r>
          </w:p>
        </w:tc>
        <w:tc>
          <w:tcPr>
            <w:tcW w:w="136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highlight w:val="none"/>
              </w:rPr>
            </w:pPr>
          </w:p>
        </w:tc>
        <w:tc>
          <w:tcPr>
            <w:tcW w:w="1785" w:type="dxa"/>
            <w:vAlign w:val="center"/>
          </w:tcPr>
          <w:p>
            <w:pPr>
              <w:spacing w:line="360" w:lineRule="auto"/>
              <w:rPr>
                <w:rFonts w:hint="default" w:ascii="Times New Roman" w:hAnsi="Times New Roman" w:cs="Times New Roman"/>
                <w:color w:val="auto"/>
                <w:szCs w:val="21"/>
                <w:highlight w:val="none"/>
              </w:rPr>
            </w:pPr>
          </w:p>
        </w:tc>
        <w:tc>
          <w:tcPr>
            <w:tcW w:w="1449" w:type="dxa"/>
            <w:vAlign w:val="center"/>
          </w:tcPr>
          <w:p>
            <w:pPr>
              <w:spacing w:line="360" w:lineRule="auto"/>
              <w:rPr>
                <w:rFonts w:hint="default" w:ascii="Times New Roman" w:hAnsi="Times New Roman" w:cs="Times New Roman"/>
                <w:color w:val="auto"/>
                <w:szCs w:val="21"/>
                <w:highlight w:val="none"/>
              </w:rPr>
            </w:pPr>
          </w:p>
        </w:tc>
        <w:tc>
          <w:tcPr>
            <w:tcW w:w="1560" w:type="dxa"/>
            <w:vAlign w:val="center"/>
          </w:tcPr>
          <w:p>
            <w:pPr>
              <w:spacing w:line="360" w:lineRule="auto"/>
              <w:rPr>
                <w:rFonts w:hint="default" w:ascii="Times New Roman" w:hAnsi="Times New Roman" w:cs="Times New Roman"/>
                <w:color w:val="auto"/>
                <w:szCs w:val="21"/>
                <w:highlight w:val="none"/>
              </w:rPr>
            </w:pPr>
          </w:p>
        </w:tc>
        <w:tc>
          <w:tcPr>
            <w:tcW w:w="1401" w:type="dxa"/>
            <w:vAlign w:val="center"/>
          </w:tcPr>
          <w:p>
            <w:pPr>
              <w:spacing w:line="360" w:lineRule="auto"/>
              <w:rPr>
                <w:rFonts w:hint="default" w:ascii="Times New Roman" w:hAnsi="Times New Roman" w:cs="Times New Roman"/>
                <w:color w:val="auto"/>
                <w:szCs w:val="21"/>
                <w:highlight w:val="none"/>
              </w:rPr>
            </w:pPr>
          </w:p>
        </w:tc>
        <w:tc>
          <w:tcPr>
            <w:tcW w:w="1365" w:type="dxa"/>
            <w:vAlign w:val="center"/>
          </w:tcPr>
          <w:p>
            <w:pPr>
              <w:spacing w:line="360" w:lineRule="auto"/>
              <w:rPr>
                <w:rFonts w:hint="default" w:ascii="Times New Roman" w:hAnsi="Times New Roman" w:cs="Times New Roman"/>
                <w:color w:val="auto"/>
                <w:szCs w:val="21"/>
                <w:highlight w:val="none"/>
              </w:rPr>
            </w:pPr>
          </w:p>
        </w:tc>
      </w:tr>
    </w:tbl>
    <w:p>
      <w:pPr>
        <w:pStyle w:val="40"/>
        <w:tabs>
          <w:tab w:val="left" w:pos="360"/>
        </w:tabs>
        <w:spacing w:line="360" w:lineRule="auto"/>
        <w:ind w:right="84" w:rightChars="4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40"/>
        <w:tabs>
          <w:tab w:val="left" w:pos="360"/>
        </w:tabs>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本表的名称须与《报价明细表》一致。</w:t>
      </w:r>
    </w:p>
    <w:p>
      <w:pPr>
        <w:pStyle w:val="40"/>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2.本表参照本招标文件第四章“招标需求”内第二条“具体技术需求”填制，投标人应根据投标设备的性能指标、服务指标，对照招标文件要求在“偏离情况”栏注明“正偏离”、“负偏离”或“无偏离”。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4"/>
        <w:rPr>
          <w:rFonts w:hint="default" w:ascii="Times New Roman" w:hAnsi="Times New Roman" w:eastAsia="宋体" w:cs="Times New Roman"/>
          <w:color w:val="auto"/>
          <w:sz w:val="21"/>
          <w:szCs w:val="2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sz w:val="24"/>
          <w:highlight w:val="none"/>
        </w:rPr>
      </w:pPr>
    </w:p>
    <w:p>
      <w:pPr>
        <w:pStyle w:val="41"/>
        <w:spacing w:line="240" w:lineRule="exact"/>
        <w:jc w:val="lef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Cs w:val="21"/>
          <w:highlight w:val="none"/>
          <w:lang w:val="en-US" w:eastAsia="zh-CN"/>
        </w:rPr>
        <w:t>2</w:t>
      </w:r>
    </w:p>
    <w:p>
      <w:pPr>
        <w:snapToGrid w:val="0"/>
        <w:spacing w:before="156" w:beforeLines="50" w:after="50" w:line="360" w:lineRule="auto"/>
        <w:jc w:val="center"/>
        <w:rPr>
          <w:rFonts w:hint="default" w:ascii="Times New Roman" w:hAnsi="Times New Roman" w:cs="Times New Roman"/>
          <w:color w:val="auto"/>
          <w:sz w:val="28"/>
          <w:szCs w:val="28"/>
          <w:highlight w:val="none"/>
        </w:rPr>
      </w:pPr>
      <w:r>
        <w:rPr>
          <w:rFonts w:hint="default" w:ascii="Times New Roman" w:hAnsi="Times New Roman" w:cs="Times New Roman"/>
          <w:b/>
          <w:bCs/>
          <w:color w:val="auto"/>
          <w:kern w:val="0"/>
          <w:sz w:val="30"/>
          <w:szCs w:val="30"/>
          <w:highlight w:val="none"/>
        </w:rPr>
        <w:t>证书一览表</w:t>
      </w: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证书名称</w:t>
            </w:r>
          </w:p>
        </w:tc>
        <w:tc>
          <w:tcPr>
            <w:tcW w:w="2258" w:type="dxa"/>
            <w:tcBorders>
              <w:top w:val="single" w:color="auto" w:sz="4" w:space="0"/>
              <w:bottom w:val="single" w:color="auto" w:sz="4" w:space="0"/>
            </w:tcBorders>
            <w:vAlign w:val="center"/>
          </w:tcPr>
          <w:p>
            <w:pPr>
              <w:pStyle w:val="34"/>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发证单位</w:t>
            </w:r>
          </w:p>
        </w:tc>
        <w:tc>
          <w:tcPr>
            <w:tcW w:w="2260" w:type="dxa"/>
            <w:tcBorders>
              <w:top w:val="single" w:color="auto" w:sz="4" w:space="0"/>
              <w:bottom w:val="single" w:color="auto" w:sz="4" w:space="0"/>
            </w:tcBorders>
            <w:vAlign w:val="center"/>
          </w:tcPr>
          <w:p>
            <w:pPr>
              <w:pStyle w:val="34"/>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证书等级</w:t>
            </w:r>
          </w:p>
        </w:tc>
        <w:tc>
          <w:tcPr>
            <w:tcW w:w="2047" w:type="dxa"/>
            <w:tcBorders>
              <w:top w:val="single" w:color="auto" w:sz="4" w:space="0"/>
              <w:bottom w:val="single" w:color="auto" w:sz="4" w:space="0"/>
              <w:right w:val="single" w:color="auto" w:sz="4" w:space="0"/>
            </w:tcBorders>
            <w:vAlign w:val="center"/>
          </w:tcPr>
          <w:p>
            <w:pPr>
              <w:pStyle w:val="34"/>
              <w:spacing w:line="36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Borders>
              <w:top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60" w:type="dxa"/>
            <w:tcBorders>
              <w:top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047" w:type="dxa"/>
            <w:tcBorders>
              <w:top w:val="single" w:color="auto" w:sz="4" w:space="0"/>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Pr>
          <w:p>
            <w:pPr>
              <w:pStyle w:val="34"/>
              <w:spacing w:line="360" w:lineRule="auto"/>
              <w:jc w:val="center"/>
              <w:rPr>
                <w:rFonts w:hint="default" w:ascii="Times New Roman" w:hAnsi="Times New Roman" w:cs="Times New Roman"/>
                <w:color w:val="auto"/>
                <w:highlight w:val="none"/>
              </w:rPr>
            </w:pPr>
          </w:p>
        </w:tc>
        <w:tc>
          <w:tcPr>
            <w:tcW w:w="2260" w:type="dxa"/>
          </w:tcPr>
          <w:p>
            <w:pPr>
              <w:pStyle w:val="34"/>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Pr>
          <w:p>
            <w:pPr>
              <w:pStyle w:val="34"/>
              <w:spacing w:line="360" w:lineRule="auto"/>
              <w:jc w:val="center"/>
              <w:rPr>
                <w:rFonts w:hint="default" w:ascii="Times New Roman" w:hAnsi="Times New Roman" w:cs="Times New Roman"/>
                <w:color w:val="auto"/>
                <w:highlight w:val="none"/>
              </w:rPr>
            </w:pPr>
          </w:p>
        </w:tc>
        <w:tc>
          <w:tcPr>
            <w:tcW w:w="2260" w:type="dxa"/>
          </w:tcPr>
          <w:p>
            <w:pPr>
              <w:pStyle w:val="34"/>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Pr>
          <w:p>
            <w:pPr>
              <w:pStyle w:val="34"/>
              <w:spacing w:line="360" w:lineRule="auto"/>
              <w:jc w:val="center"/>
              <w:rPr>
                <w:rFonts w:hint="default" w:ascii="Times New Roman" w:hAnsi="Times New Roman" w:cs="Times New Roman"/>
                <w:color w:val="auto"/>
                <w:highlight w:val="none"/>
              </w:rPr>
            </w:pPr>
          </w:p>
        </w:tc>
        <w:tc>
          <w:tcPr>
            <w:tcW w:w="2260" w:type="dxa"/>
          </w:tcPr>
          <w:p>
            <w:pPr>
              <w:pStyle w:val="34"/>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Pr>
          <w:p>
            <w:pPr>
              <w:pStyle w:val="34"/>
              <w:spacing w:line="360" w:lineRule="auto"/>
              <w:jc w:val="center"/>
              <w:rPr>
                <w:rFonts w:hint="default" w:ascii="Times New Roman" w:hAnsi="Times New Roman" w:cs="Times New Roman"/>
                <w:color w:val="auto"/>
                <w:highlight w:val="none"/>
              </w:rPr>
            </w:pPr>
          </w:p>
        </w:tc>
        <w:tc>
          <w:tcPr>
            <w:tcW w:w="2260" w:type="dxa"/>
          </w:tcPr>
          <w:p>
            <w:pPr>
              <w:pStyle w:val="34"/>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Pr>
          <w:p>
            <w:pPr>
              <w:pStyle w:val="34"/>
              <w:spacing w:line="360" w:lineRule="auto"/>
              <w:jc w:val="center"/>
              <w:rPr>
                <w:rFonts w:hint="default" w:ascii="Times New Roman" w:hAnsi="Times New Roman" w:cs="Times New Roman"/>
                <w:color w:val="auto"/>
                <w:highlight w:val="none"/>
              </w:rPr>
            </w:pPr>
          </w:p>
        </w:tc>
        <w:tc>
          <w:tcPr>
            <w:tcW w:w="2260" w:type="dxa"/>
          </w:tcPr>
          <w:p>
            <w:pPr>
              <w:pStyle w:val="34"/>
              <w:spacing w:line="360" w:lineRule="auto"/>
              <w:jc w:val="center"/>
              <w:rPr>
                <w:rFonts w:hint="default" w:ascii="Times New Roman" w:hAnsi="Times New Roman" w:cs="Times New Roman"/>
                <w:color w:val="auto"/>
                <w:highlight w:val="none"/>
              </w:rPr>
            </w:pPr>
          </w:p>
        </w:tc>
        <w:tc>
          <w:tcPr>
            <w:tcW w:w="2047" w:type="dxa"/>
            <w:tcBorders>
              <w:right w:val="single" w:color="auto" w:sz="4" w:space="0"/>
            </w:tcBorders>
          </w:tcPr>
          <w:p>
            <w:pPr>
              <w:pStyle w:val="34"/>
              <w:spacing w:line="360" w:lineRule="auto"/>
              <w:jc w:val="center"/>
              <w:rPr>
                <w:rFonts w:hint="default" w:ascii="Times New Roman" w:hAnsi="Times New Roman" w:cs="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58" w:type="dxa"/>
            <w:tcBorders>
              <w:bottom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260" w:type="dxa"/>
            <w:tcBorders>
              <w:bottom w:val="single" w:color="auto" w:sz="4" w:space="0"/>
            </w:tcBorders>
          </w:tcPr>
          <w:p>
            <w:pPr>
              <w:pStyle w:val="34"/>
              <w:spacing w:line="360" w:lineRule="auto"/>
              <w:jc w:val="center"/>
              <w:rPr>
                <w:rFonts w:hint="default" w:ascii="Times New Roman" w:hAnsi="Times New Roman" w:cs="Times New Roman"/>
                <w:color w:val="auto"/>
                <w:highlight w:val="none"/>
              </w:rPr>
            </w:pPr>
          </w:p>
        </w:tc>
        <w:tc>
          <w:tcPr>
            <w:tcW w:w="2047" w:type="dxa"/>
            <w:tcBorders>
              <w:bottom w:val="single" w:color="auto" w:sz="4" w:space="0"/>
              <w:right w:val="single" w:color="auto" w:sz="4" w:space="0"/>
            </w:tcBorders>
          </w:tcPr>
          <w:p>
            <w:pPr>
              <w:pStyle w:val="34"/>
              <w:spacing w:line="360" w:lineRule="auto"/>
              <w:jc w:val="center"/>
              <w:rPr>
                <w:rFonts w:hint="default" w:ascii="Times New Roman" w:hAnsi="Times New Roman" w:cs="Times New Roman"/>
                <w:color w:val="auto"/>
                <w:highlight w:val="none"/>
              </w:rPr>
            </w:pPr>
          </w:p>
        </w:tc>
      </w:tr>
    </w:tbl>
    <w:p>
      <w:pPr>
        <w:pStyle w:val="34"/>
        <w:tabs>
          <w:tab w:val="left" w:pos="1050"/>
        </w:tabs>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要求：</w:t>
      </w:r>
    </w:p>
    <w:p>
      <w:pPr>
        <w:pStyle w:val="34"/>
        <w:tabs>
          <w:tab w:val="left" w:pos="1050"/>
        </w:tabs>
        <w:spacing w:line="360" w:lineRule="auto"/>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1.填写投标人获得资质、认证或企业信誉证书；</w:t>
      </w:r>
    </w:p>
    <w:p>
      <w:pPr>
        <w:pStyle w:val="34"/>
        <w:tabs>
          <w:tab w:val="left" w:pos="1050"/>
        </w:tabs>
        <w:spacing w:line="360" w:lineRule="auto"/>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2.附所列证书原件扫描件或其他证明材料。</w:t>
      </w:r>
    </w:p>
    <w:p>
      <w:pPr>
        <w:pStyle w:val="34"/>
        <w:tabs>
          <w:tab w:val="left" w:pos="1050"/>
        </w:tabs>
        <w:spacing w:line="360" w:lineRule="auto"/>
        <w:ind w:firstLine="630" w:firstLineChars="300"/>
        <w:rPr>
          <w:rFonts w:hint="default" w:ascii="Times New Roman" w:hAnsi="Times New Roman" w:cs="Times New Roman"/>
          <w:color w:val="auto"/>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rPr>
          <w:rFonts w:hint="default" w:ascii="Times New Roman" w:hAnsi="Times New Roman" w:cs="Times New Roman"/>
          <w:b/>
          <w:color w:val="auto"/>
          <w:sz w:val="28"/>
          <w:highlight w:val="none"/>
        </w:rPr>
      </w:pPr>
    </w:p>
    <w:p>
      <w:pPr>
        <w:pStyle w:val="4"/>
        <w:rPr>
          <w:rFonts w:hint="default" w:ascii="Times New Roman" w:hAnsi="Times New Roman" w:eastAsia="宋体" w:cs="Times New Roman"/>
          <w:color w:val="auto"/>
          <w:sz w:val="28"/>
          <w:highlight w:val="none"/>
        </w:rPr>
      </w:pPr>
    </w:p>
    <w:p>
      <w:pPr>
        <w:rPr>
          <w:rFonts w:hint="default" w:ascii="Times New Roman" w:hAnsi="Times New Roman" w:cs="Times New Roman"/>
          <w:color w:val="auto"/>
          <w:highlight w:val="none"/>
        </w:rPr>
      </w:pPr>
    </w:p>
    <w:p>
      <w:pPr>
        <w:spacing w:line="240" w:lineRule="exac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Cs w:val="21"/>
          <w:highlight w:val="none"/>
          <w:lang w:val="en-US" w:eastAsia="zh-CN"/>
        </w:rPr>
        <w:t>3</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投标人类似项目实施情况一览表</w:t>
      </w:r>
    </w:p>
    <w:tbl>
      <w:tblPr>
        <w:tblStyle w:val="26"/>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实施</w:t>
            </w:r>
          </w:p>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w:t>
            </w:r>
          </w:p>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rFonts w:hint="default" w:ascii="Times New Roman" w:hAnsi="Times New Roman" w:cs="Times New Roman"/>
                <w:color w:val="auto"/>
                <w:szCs w:val="21"/>
                <w:highlight w:val="none"/>
              </w:rPr>
            </w:pPr>
          </w:p>
        </w:tc>
      </w:tr>
    </w:tbl>
    <w:p>
      <w:pPr>
        <w:autoSpaceDE w:val="0"/>
        <w:autoSpaceDN w:val="0"/>
        <w:adjustRightInd w:val="0"/>
        <w:spacing w:line="40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1.业绩证明应提供证明材料（合同原件扫描件可只提供首页、含金额页、盖章页并加盖投标人公章）；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2.报价投标人可按此表格式复制。</w:t>
      </w:r>
    </w:p>
    <w:p>
      <w:pPr>
        <w:spacing w:line="360" w:lineRule="auto"/>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34"/>
        <w:tabs>
          <w:tab w:val="left" w:pos="1050"/>
        </w:tabs>
        <w:spacing w:line="360" w:lineRule="auto"/>
        <w:rPr>
          <w:rFonts w:hint="default" w:ascii="Times New Roman" w:hAnsi="Times New Roman" w:cs="Times New Roman"/>
          <w:b/>
          <w:color w:val="auto"/>
          <w:sz w:val="28"/>
          <w:highlight w:val="none"/>
        </w:rPr>
      </w:pPr>
    </w:p>
    <w:p>
      <w:pPr>
        <w:pStyle w:val="34"/>
        <w:tabs>
          <w:tab w:val="left" w:pos="1050"/>
        </w:tabs>
        <w:spacing w:line="360" w:lineRule="auto"/>
        <w:rPr>
          <w:rFonts w:hint="default" w:ascii="Times New Roman" w:hAnsi="Times New Roman" w:cs="Times New Roman"/>
          <w:b/>
          <w:color w:val="auto"/>
          <w:sz w:val="28"/>
          <w:highlight w:val="none"/>
        </w:rPr>
      </w:pPr>
    </w:p>
    <w:p>
      <w:pPr>
        <w:pStyle w:val="34"/>
        <w:tabs>
          <w:tab w:val="left" w:pos="1050"/>
        </w:tabs>
        <w:spacing w:line="240" w:lineRule="exact"/>
        <w:rPr>
          <w:rFonts w:hint="default" w:ascii="Times New Roman" w:hAnsi="Times New Roman" w:cs="Times New Roman"/>
          <w:b/>
          <w:color w:val="auto"/>
          <w:highlight w:val="none"/>
        </w:rPr>
      </w:pPr>
    </w:p>
    <w:p>
      <w:pPr>
        <w:pStyle w:val="34"/>
        <w:tabs>
          <w:tab w:val="left" w:pos="1050"/>
        </w:tabs>
        <w:spacing w:line="24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b/>
          <w:color w:val="auto"/>
          <w:highlight w:val="none"/>
        </w:rPr>
        <w:t>附件1</w:t>
      </w:r>
      <w:r>
        <w:rPr>
          <w:rFonts w:hint="default" w:ascii="Times New Roman" w:hAnsi="Times New Roman" w:cs="Times New Roman"/>
          <w:b/>
          <w:color w:val="auto"/>
          <w:highlight w:val="none"/>
          <w:lang w:val="en-US" w:eastAsia="zh-CN"/>
        </w:rPr>
        <w:t>4</w:t>
      </w:r>
    </w:p>
    <w:p>
      <w:pPr>
        <w:snapToGrid w:val="0"/>
        <w:spacing w:before="156" w:beforeLines="50" w:after="50" w:line="360" w:lineRule="auto"/>
        <w:jc w:val="center"/>
        <w:rPr>
          <w:rFonts w:hint="default" w:ascii="Times New Roman" w:hAnsi="Times New Roman" w:cs="Times New Roman"/>
          <w:b/>
          <w:color w:val="auto"/>
          <w:sz w:val="18"/>
          <w:szCs w:val="18"/>
          <w:highlight w:val="none"/>
        </w:rPr>
      </w:pPr>
      <w:r>
        <w:rPr>
          <w:rFonts w:hint="default" w:ascii="Times New Roman" w:hAnsi="Times New Roman" w:cs="Times New Roman"/>
          <w:b/>
          <w:bCs/>
          <w:color w:val="auto"/>
          <w:kern w:val="0"/>
          <w:sz w:val="30"/>
          <w:szCs w:val="30"/>
          <w:highlight w:val="none"/>
        </w:rPr>
        <w:t>资信及商务需求响应表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78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c>
          <w:tcPr>
            <w:tcW w:w="1785" w:type="dxa"/>
            <w:vAlign w:val="center"/>
          </w:tcPr>
          <w:p>
            <w:pPr>
              <w:spacing w:line="280" w:lineRule="exact"/>
              <w:ind w:left="53" w:leftChars="25" w:firstLine="211" w:firstLineChars="10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招标需求</w:t>
            </w:r>
          </w:p>
        </w:tc>
        <w:tc>
          <w:tcPr>
            <w:tcW w:w="1365" w:type="dxa"/>
            <w:vAlign w:val="center"/>
          </w:tcPr>
          <w:p>
            <w:pPr>
              <w:spacing w:line="280" w:lineRule="exact"/>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是否响应</w:t>
            </w:r>
          </w:p>
        </w:tc>
        <w:tc>
          <w:tcPr>
            <w:tcW w:w="2625" w:type="dxa"/>
            <w:vAlign w:val="center"/>
          </w:tcPr>
          <w:p>
            <w:pPr>
              <w:spacing w:line="28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售后服务保障要求</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备品备件及耗材等要求</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质保期</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交货和服务</w:t>
            </w:r>
          </w:p>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时间及地点</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付款条件</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highlight w:val="none"/>
              </w:rPr>
            </w:pPr>
          </w:p>
        </w:tc>
        <w:tc>
          <w:tcPr>
            <w:tcW w:w="1785" w:type="dxa"/>
            <w:vAlign w:val="center"/>
          </w:tcPr>
          <w:p>
            <w:pPr>
              <w:snapToGrid w:val="0"/>
              <w:spacing w:line="280" w:lineRule="exact"/>
              <w:jc w:val="center"/>
              <w:rPr>
                <w:rFonts w:hint="default" w:ascii="Times New Roman" w:hAnsi="Times New Roman" w:cs="Times New Roman"/>
                <w:color w:val="auto"/>
                <w:szCs w:val="21"/>
                <w:highlight w:val="none"/>
              </w:rPr>
            </w:pPr>
          </w:p>
        </w:tc>
        <w:tc>
          <w:tcPr>
            <w:tcW w:w="1785" w:type="dxa"/>
            <w:vAlign w:val="center"/>
          </w:tcPr>
          <w:p>
            <w:pPr>
              <w:spacing w:line="280" w:lineRule="exact"/>
              <w:jc w:val="center"/>
              <w:rPr>
                <w:rFonts w:hint="default" w:ascii="Times New Roman" w:hAnsi="Times New Roman" w:cs="Times New Roman"/>
                <w:color w:val="auto"/>
                <w:szCs w:val="21"/>
                <w:highlight w:val="none"/>
              </w:rPr>
            </w:pPr>
          </w:p>
        </w:tc>
        <w:tc>
          <w:tcPr>
            <w:tcW w:w="1365" w:type="dxa"/>
            <w:vAlign w:val="center"/>
          </w:tcPr>
          <w:p>
            <w:pPr>
              <w:spacing w:line="280" w:lineRule="exact"/>
              <w:jc w:val="center"/>
              <w:rPr>
                <w:rFonts w:hint="default" w:ascii="Times New Roman" w:hAnsi="Times New Roman" w:cs="Times New Roman"/>
                <w:color w:val="auto"/>
                <w:szCs w:val="21"/>
                <w:highlight w:val="none"/>
              </w:rPr>
            </w:pPr>
          </w:p>
        </w:tc>
        <w:tc>
          <w:tcPr>
            <w:tcW w:w="2625" w:type="dxa"/>
            <w:vAlign w:val="center"/>
          </w:tcPr>
          <w:p>
            <w:pPr>
              <w:spacing w:line="280" w:lineRule="exact"/>
              <w:jc w:val="center"/>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tabs>
          <w:tab w:val="left" w:pos="2460"/>
        </w:tabs>
        <w:spacing w:line="360" w:lineRule="auto"/>
        <w:ind w:firstLine="435"/>
        <w:rPr>
          <w:rFonts w:hint="default" w:ascii="Times New Roman" w:hAnsi="Times New Roman" w:cs="Times New Roman"/>
          <w:b/>
          <w:color w:val="auto"/>
          <w:szCs w:val="21"/>
          <w:highlight w:val="none"/>
        </w:rPr>
      </w:pPr>
    </w:p>
    <w:p>
      <w:pPr>
        <w:pStyle w:val="37"/>
        <w:rPr>
          <w:rFonts w:hint="default" w:ascii="Times New Roman" w:hAnsi="Times New Roman" w:eastAsia="宋体" w:cs="Times New Roman"/>
          <w:color w:val="auto"/>
          <w:highlight w:val="none"/>
        </w:rPr>
      </w:pPr>
    </w:p>
    <w:p>
      <w:pPr>
        <w:tabs>
          <w:tab w:val="left" w:pos="2460"/>
        </w:tabs>
        <w:spacing w:line="360" w:lineRule="auto"/>
        <w:ind w:firstLine="435"/>
        <w:rPr>
          <w:rFonts w:hint="default" w:ascii="Times New Roman" w:hAnsi="Times New Roman" w:cs="Times New Roman"/>
          <w:b/>
          <w:color w:val="auto"/>
          <w:szCs w:val="21"/>
          <w:highlight w:val="none"/>
        </w:rPr>
      </w:pPr>
    </w:p>
    <w:p>
      <w:pPr>
        <w:tabs>
          <w:tab w:val="left" w:pos="2460"/>
        </w:tabs>
        <w:spacing w:line="360" w:lineRule="auto"/>
        <w:ind w:firstLine="435"/>
        <w:rPr>
          <w:rFonts w:hint="default" w:ascii="Times New Roman" w:hAnsi="Times New Roman" w:cs="Times New Roman"/>
          <w:b/>
          <w:color w:val="auto"/>
          <w:sz w:val="28"/>
          <w:highlight w:val="none"/>
        </w:rPr>
      </w:pPr>
    </w:p>
    <w:p>
      <w:pPr>
        <w:tabs>
          <w:tab w:val="left" w:pos="2460"/>
        </w:tabs>
        <w:spacing w:line="360" w:lineRule="auto"/>
        <w:ind w:firstLine="435"/>
        <w:rPr>
          <w:rFonts w:hint="default" w:ascii="Times New Roman" w:hAnsi="Times New Roman" w:cs="Times New Roman"/>
          <w:b/>
          <w:color w:val="auto"/>
          <w:sz w:val="28"/>
          <w:highlight w:val="none"/>
        </w:rPr>
      </w:pPr>
    </w:p>
    <w:p>
      <w:pPr>
        <w:tabs>
          <w:tab w:val="left" w:pos="2460"/>
        </w:tabs>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Cs w:val="21"/>
          <w:highlight w:val="none"/>
          <w:lang w:val="en-US" w:eastAsia="zh-CN"/>
        </w:rPr>
        <w:t>5</w:t>
      </w:r>
      <w:r>
        <w:rPr>
          <w:rFonts w:hint="default" w:ascii="Times New Roman" w:hAnsi="Times New Roman" w:cs="Times New Roman"/>
          <w:b/>
          <w:color w:val="auto"/>
          <w:szCs w:val="21"/>
          <w:highlight w:val="none"/>
        </w:rPr>
        <w:tab/>
      </w:r>
    </w:p>
    <w:p>
      <w:pPr>
        <w:snapToGrid w:val="0"/>
        <w:spacing w:before="156" w:beforeLines="50" w:after="50"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b/>
          <w:bCs/>
          <w:color w:val="auto"/>
          <w:kern w:val="0"/>
          <w:sz w:val="30"/>
          <w:szCs w:val="30"/>
          <w:highlight w:val="none"/>
        </w:rPr>
        <w:t>售后服务情况表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2"/>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355" w:type="dxa"/>
            <w:vAlign w:val="center"/>
          </w:tcPr>
          <w:p>
            <w:pPr>
              <w:pStyle w:val="42"/>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w:t>
            </w:r>
          </w:p>
        </w:tc>
        <w:tc>
          <w:tcPr>
            <w:tcW w:w="4061" w:type="dxa"/>
            <w:vAlign w:val="center"/>
          </w:tcPr>
          <w:p>
            <w:pPr>
              <w:pStyle w:val="42"/>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投标人情况</w:t>
            </w:r>
          </w:p>
        </w:tc>
        <w:tc>
          <w:tcPr>
            <w:tcW w:w="1373" w:type="dxa"/>
            <w:vAlign w:val="center"/>
          </w:tcPr>
          <w:p>
            <w:pPr>
              <w:pStyle w:val="42"/>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2"/>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p>
        </w:tc>
        <w:tc>
          <w:tcPr>
            <w:tcW w:w="2355" w:type="dxa"/>
            <w:vMerge w:val="restart"/>
            <w:vAlign w:val="center"/>
          </w:tcPr>
          <w:p>
            <w:pPr>
              <w:pStyle w:val="42"/>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保修期内售后服务情况(服务方式、服务网点、售后服务的内容和措施等等，可用附页和宣传材料)</w:t>
            </w:r>
          </w:p>
        </w:tc>
        <w:tc>
          <w:tcPr>
            <w:tcW w:w="4061" w:type="dxa"/>
          </w:tcPr>
          <w:p>
            <w:pPr>
              <w:pStyle w:val="42"/>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生产厂商售后服务情况：</w:t>
            </w:r>
          </w:p>
        </w:tc>
        <w:tc>
          <w:tcPr>
            <w:tcW w:w="1373" w:type="dxa"/>
          </w:tcPr>
          <w:p>
            <w:pPr>
              <w:pStyle w:val="42"/>
              <w:spacing w:line="360" w:lineRule="auto"/>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2"/>
              <w:widowControl/>
              <w:spacing w:line="360" w:lineRule="auto"/>
              <w:jc w:val="left"/>
              <w:rPr>
                <w:rFonts w:hint="default" w:ascii="Times New Roman" w:hAnsi="Times New Roman" w:cs="Times New Roman"/>
                <w:bCs/>
                <w:color w:val="auto"/>
                <w:szCs w:val="21"/>
                <w:highlight w:val="none"/>
              </w:rPr>
            </w:pPr>
          </w:p>
        </w:tc>
        <w:tc>
          <w:tcPr>
            <w:tcW w:w="2355" w:type="dxa"/>
            <w:vMerge w:val="continue"/>
            <w:vAlign w:val="center"/>
          </w:tcPr>
          <w:p>
            <w:pPr>
              <w:pStyle w:val="42"/>
              <w:widowControl/>
              <w:spacing w:line="360" w:lineRule="auto"/>
              <w:jc w:val="left"/>
              <w:rPr>
                <w:rFonts w:hint="default" w:ascii="Times New Roman" w:hAnsi="Times New Roman" w:cs="Times New Roman"/>
                <w:bCs/>
                <w:color w:val="auto"/>
                <w:szCs w:val="21"/>
                <w:highlight w:val="none"/>
              </w:rPr>
            </w:pPr>
          </w:p>
        </w:tc>
        <w:tc>
          <w:tcPr>
            <w:tcW w:w="4061" w:type="dxa"/>
          </w:tcPr>
          <w:p>
            <w:pPr>
              <w:pStyle w:val="42"/>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投标人售后服务情况：</w:t>
            </w:r>
          </w:p>
        </w:tc>
        <w:tc>
          <w:tcPr>
            <w:tcW w:w="1373" w:type="dxa"/>
          </w:tcPr>
          <w:p>
            <w:pPr>
              <w:pStyle w:val="42"/>
              <w:spacing w:line="360" w:lineRule="auto"/>
              <w:jc w:val="lef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2"/>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2355" w:type="dxa"/>
            <w:vAlign w:val="center"/>
          </w:tcPr>
          <w:p>
            <w:pPr>
              <w:pStyle w:val="42"/>
              <w:spacing w:line="360" w:lineRule="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保修期后售后服务</w:t>
            </w:r>
          </w:p>
        </w:tc>
        <w:tc>
          <w:tcPr>
            <w:tcW w:w="4061" w:type="dxa"/>
          </w:tcPr>
          <w:p>
            <w:pPr>
              <w:pStyle w:val="42"/>
              <w:widowControl/>
              <w:spacing w:line="360" w:lineRule="auto"/>
              <w:jc w:val="left"/>
              <w:rPr>
                <w:rFonts w:hint="default" w:ascii="Times New Roman" w:hAnsi="Times New Roman" w:cs="Times New Roman"/>
                <w:bCs/>
                <w:color w:val="auto"/>
                <w:szCs w:val="21"/>
                <w:highlight w:val="none"/>
              </w:rPr>
            </w:pPr>
          </w:p>
          <w:p>
            <w:pPr>
              <w:pStyle w:val="42"/>
              <w:widowControl/>
              <w:spacing w:line="360" w:lineRule="auto"/>
              <w:jc w:val="left"/>
              <w:rPr>
                <w:rFonts w:hint="default" w:ascii="Times New Roman" w:hAnsi="Times New Roman" w:cs="Times New Roman"/>
                <w:bCs/>
                <w:color w:val="auto"/>
                <w:szCs w:val="21"/>
                <w:highlight w:val="none"/>
              </w:rPr>
            </w:pPr>
          </w:p>
          <w:p>
            <w:pPr>
              <w:pStyle w:val="42"/>
              <w:spacing w:line="360" w:lineRule="auto"/>
              <w:rPr>
                <w:rFonts w:hint="default" w:ascii="Times New Roman" w:hAnsi="Times New Roman" w:cs="Times New Roman"/>
                <w:bCs/>
                <w:color w:val="auto"/>
                <w:szCs w:val="21"/>
                <w:highlight w:val="none"/>
              </w:rPr>
            </w:pPr>
          </w:p>
        </w:tc>
        <w:tc>
          <w:tcPr>
            <w:tcW w:w="1373" w:type="dxa"/>
          </w:tcPr>
          <w:p>
            <w:pPr>
              <w:pStyle w:val="42"/>
              <w:widowControl/>
              <w:spacing w:line="360" w:lineRule="auto"/>
              <w:jc w:val="left"/>
              <w:rPr>
                <w:rFonts w:hint="default" w:ascii="Times New Roman" w:hAnsi="Times New Roman" w:cs="Times New Roman"/>
                <w:bCs/>
                <w:color w:val="auto"/>
                <w:szCs w:val="21"/>
                <w:highlight w:val="none"/>
              </w:rPr>
            </w:pPr>
          </w:p>
          <w:p>
            <w:pPr>
              <w:pStyle w:val="42"/>
              <w:widowControl/>
              <w:spacing w:line="360" w:lineRule="auto"/>
              <w:jc w:val="left"/>
              <w:rPr>
                <w:rFonts w:hint="default" w:ascii="Times New Roman" w:hAnsi="Times New Roman" w:cs="Times New Roman"/>
                <w:bCs/>
                <w:color w:val="auto"/>
                <w:szCs w:val="21"/>
                <w:highlight w:val="none"/>
              </w:rPr>
            </w:pPr>
          </w:p>
          <w:p>
            <w:pPr>
              <w:pStyle w:val="42"/>
              <w:spacing w:line="360" w:lineRule="auto"/>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2"/>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 xml:space="preserve"> 3</w:t>
            </w:r>
          </w:p>
        </w:tc>
        <w:tc>
          <w:tcPr>
            <w:tcW w:w="2355" w:type="dxa"/>
            <w:vAlign w:val="center"/>
          </w:tcPr>
          <w:p>
            <w:pPr>
              <w:pStyle w:val="42"/>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培训方案（可用附页）</w:t>
            </w:r>
          </w:p>
        </w:tc>
        <w:tc>
          <w:tcPr>
            <w:tcW w:w="4061" w:type="dxa"/>
          </w:tcPr>
          <w:p>
            <w:pPr>
              <w:pStyle w:val="42"/>
              <w:widowControl/>
              <w:spacing w:line="360" w:lineRule="auto"/>
              <w:jc w:val="left"/>
              <w:rPr>
                <w:rFonts w:hint="default" w:ascii="Times New Roman" w:hAnsi="Times New Roman" w:cs="Times New Roman"/>
                <w:bCs/>
                <w:i/>
                <w:color w:val="auto"/>
                <w:szCs w:val="21"/>
                <w:highlight w:val="none"/>
              </w:rPr>
            </w:pPr>
          </w:p>
          <w:p>
            <w:pPr>
              <w:pStyle w:val="42"/>
              <w:widowControl/>
              <w:spacing w:line="360" w:lineRule="auto"/>
              <w:jc w:val="left"/>
              <w:rPr>
                <w:rFonts w:hint="default" w:ascii="Times New Roman" w:hAnsi="Times New Roman" w:cs="Times New Roman"/>
                <w:bCs/>
                <w:i/>
                <w:color w:val="auto"/>
                <w:szCs w:val="21"/>
                <w:highlight w:val="none"/>
              </w:rPr>
            </w:pPr>
          </w:p>
        </w:tc>
        <w:tc>
          <w:tcPr>
            <w:tcW w:w="1373" w:type="dxa"/>
          </w:tcPr>
          <w:p>
            <w:pPr>
              <w:pStyle w:val="42"/>
              <w:widowControl/>
              <w:spacing w:line="360" w:lineRule="auto"/>
              <w:jc w:val="left"/>
              <w:rPr>
                <w:rFonts w:hint="default" w:ascii="Times New Roman" w:hAnsi="Times New Roman" w:cs="Times New Roman"/>
                <w:bCs/>
                <w:i/>
                <w:color w:val="auto"/>
                <w:szCs w:val="21"/>
                <w:highlight w:val="none"/>
              </w:rPr>
            </w:pPr>
          </w:p>
          <w:p>
            <w:pPr>
              <w:pStyle w:val="42"/>
              <w:widowControl/>
              <w:spacing w:line="360" w:lineRule="auto"/>
              <w:jc w:val="left"/>
              <w:rPr>
                <w:rFonts w:hint="default" w:ascii="Times New Roman" w:hAnsi="Times New Roman" w:cs="Times New Roman"/>
                <w:bCs/>
                <w:i/>
                <w:color w:val="auto"/>
                <w:szCs w:val="21"/>
                <w:highlight w:val="none"/>
              </w:rPr>
            </w:pPr>
          </w:p>
          <w:p>
            <w:pPr>
              <w:pStyle w:val="42"/>
              <w:widowControl/>
              <w:spacing w:line="360" w:lineRule="auto"/>
              <w:jc w:val="left"/>
              <w:rPr>
                <w:rFonts w:hint="default" w:ascii="Times New Roman" w:hAnsi="Times New Roman" w:cs="Times New Roman"/>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2"/>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w:t>
            </w:r>
          </w:p>
        </w:tc>
        <w:tc>
          <w:tcPr>
            <w:tcW w:w="2355" w:type="dxa"/>
            <w:vAlign w:val="center"/>
          </w:tcPr>
          <w:p>
            <w:pPr>
              <w:pStyle w:val="42"/>
              <w:widowControl/>
              <w:spacing w:line="360" w:lineRule="auto"/>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w:t>
            </w:r>
          </w:p>
        </w:tc>
        <w:tc>
          <w:tcPr>
            <w:tcW w:w="4061" w:type="dxa"/>
          </w:tcPr>
          <w:p>
            <w:pPr>
              <w:pStyle w:val="42"/>
              <w:widowControl/>
              <w:spacing w:line="360" w:lineRule="auto"/>
              <w:jc w:val="left"/>
              <w:rPr>
                <w:rFonts w:hint="default" w:ascii="Times New Roman" w:hAnsi="Times New Roman" w:cs="Times New Roman"/>
                <w:bCs/>
                <w:color w:val="auto"/>
                <w:szCs w:val="21"/>
                <w:highlight w:val="none"/>
              </w:rPr>
            </w:pPr>
          </w:p>
        </w:tc>
        <w:tc>
          <w:tcPr>
            <w:tcW w:w="1373" w:type="dxa"/>
          </w:tcPr>
          <w:p>
            <w:pPr>
              <w:pStyle w:val="42"/>
              <w:widowControl/>
              <w:spacing w:line="360" w:lineRule="auto"/>
              <w:jc w:val="left"/>
              <w:rPr>
                <w:rFonts w:hint="default" w:ascii="Times New Roman" w:hAnsi="Times New Roman" w:cs="Times New Roman"/>
                <w:bCs/>
                <w:color w:val="auto"/>
                <w:szCs w:val="21"/>
                <w:highlight w:val="none"/>
              </w:rPr>
            </w:pPr>
          </w:p>
        </w:tc>
      </w:tr>
    </w:tbl>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4"/>
        <w:rPr>
          <w:rFonts w:hint="default" w:ascii="Times New Roman" w:hAnsi="Times New Roman" w:eastAsia="宋体" w:cs="Times New Roman"/>
          <w:color w:val="auto"/>
          <w:sz w:val="21"/>
          <w:szCs w:val="21"/>
          <w:highlight w:val="none"/>
        </w:rPr>
      </w:pPr>
    </w:p>
    <w:p>
      <w:pPr>
        <w:rPr>
          <w:rFonts w:hint="default" w:ascii="Times New Roman" w:hAnsi="Times New Roman" w:cs="Times New Roman"/>
          <w:color w:val="auto"/>
          <w:szCs w:val="21"/>
          <w:highlight w:val="none"/>
        </w:rPr>
      </w:pPr>
    </w:p>
    <w:p>
      <w:pPr>
        <w:pStyle w:val="25"/>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szCs w:val="21"/>
          <w:highlight w:val="none"/>
        </w:rPr>
      </w:pPr>
    </w:p>
    <w:p>
      <w:pPr>
        <w:pStyle w:val="4"/>
        <w:rPr>
          <w:rFonts w:hint="default" w:ascii="Times New Roman" w:hAnsi="Times New Roman" w:eastAsia="宋体" w:cs="Times New Roman"/>
          <w:color w:val="auto"/>
          <w:sz w:val="24"/>
          <w:highlight w:val="none"/>
        </w:rPr>
      </w:pPr>
    </w:p>
    <w:p>
      <w:pPr>
        <w:rPr>
          <w:rFonts w:hint="default" w:ascii="Times New Roman" w:hAnsi="Times New Roman" w:cs="Times New Roman"/>
          <w:color w:val="auto"/>
          <w:sz w:val="24"/>
          <w:highlight w:val="none"/>
        </w:rPr>
      </w:pPr>
    </w:p>
    <w:p>
      <w:pPr>
        <w:spacing w:line="360" w:lineRule="auto"/>
        <w:ind w:firstLine="435"/>
        <w:rPr>
          <w:rFonts w:hint="default" w:ascii="Times New Roman" w:hAnsi="Times New Roman" w:cs="Times New Roman"/>
          <w:color w:val="auto"/>
          <w:sz w:val="24"/>
          <w:highlight w:val="none"/>
          <w:u w:val="single"/>
        </w:rPr>
      </w:pPr>
    </w:p>
    <w:p>
      <w:pPr>
        <w:pStyle w:val="43"/>
        <w:spacing w:line="240" w:lineRule="exact"/>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color w:val="auto"/>
          <w:highlight w:val="none"/>
        </w:rPr>
        <w:t>附件1</w:t>
      </w:r>
      <w:r>
        <w:rPr>
          <w:rFonts w:hint="default" w:ascii="Times New Roman" w:hAnsi="Times New Roman" w:eastAsia="宋体" w:cs="Times New Roman"/>
          <w:b/>
          <w:color w:val="auto"/>
          <w:highlight w:val="none"/>
          <w:lang w:val="en-US" w:eastAsia="zh-CN"/>
        </w:rPr>
        <w:t>6</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lang w:val="en-GB"/>
        </w:rPr>
      </w:pPr>
      <w:r>
        <w:rPr>
          <w:rFonts w:hint="default" w:ascii="Times New Roman" w:hAnsi="Times New Roman" w:cs="Times New Roman"/>
          <w:b/>
          <w:bCs/>
          <w:color w:val="auto"/>
          <w:kern w:val="0"/>
          <w:sz w:val="30"/>
          <w:szCs w:val="30"/>
          <w:highlight w:val="none"/>
        </w:rPr>
        <w:t>主要货物用材响应表</w:t>
      </w:r>
    </w:p>
    <w:tbl>
      <w:tblPr>
        <w:tblStyle w:val="26"/>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品牌</w:t>
            </w:r>
          </w:p>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rFonts w:hint="default" w:ascii="Times New Roman" w:hAnsi="Times New Roman" w:cs="Times New Roman"/>
                <w:color w:val="auto"/>
                <w:szCs w:val="21"/>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rFonts w:hint="default" w:ascii="Times New Roman" w:hAnsi="Times New Roman" w:cs="Times New Roman"/>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42"/>
        <w:spacing w:line="360" w:lineRule="auto"/>
        <w:ind w:left="689" w:leftChars="228" w:hanging="210" w:hanging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1.请列出以上产品的各项主要用材、辅料、油漆、五金件等。</w:t>
      </w:r>
    </w:p>
    <w:p>
      <w:pPr>
        <w:pStyle w:val="42"/>
        <w:spacing w:line="360" w:lineRule="auto"/>
        <w:ind w:left="689" w:leftChars="228" w:hanging="210" w:hanging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2.本表所列产品主要用材均为采购人抽样送检的范围。</w:t>
      </w:r>
    </w:p>
    <w:p>
      <w:pPr>
        <w:spacing w:line="360" w:lineRule="auto"/>
        <w:ind w:firstLine="420" w:firstLineChars="20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ind w:firstLine="435"/>
        <w:rPr>
          <w:rFonts w:hint="default" w:ascii="Times New Roman" w:hAnsi="Times New Roman" w:cs="Times New Roman"/>
          <w:color w:val="auto"/>
          <w:szCs w:val="21"/>
          <w:highlight w:val="none"/>
        </w:rPr>
      </w:pPr>
    </w:p>
    <w:p>
      <w:pPr>
        <w:pStyle w:val="37"/>
        <w:rPr>
          <w:rFonts w:hint="default" w:ascii="Times New Roman" w:hAnsi="Times New Roman" w:eastAsia="宋体" w:cs="Times New Roman"/>
          <w:color w:val="auto"/>
          <w:highlight w:val="none"/>
        </w:rPr>
      </w:pPr>
    </w:p>
    <w:p>
      <w:pPr>
        <w:spacing w:line="360" w:lineRule="auto"/>
        <w:ind w:right="-110"/>
        <w:jc w:val="left"/>
        <w:rPr>
          <w:rFonts w:hint="default" w:ascii="Times New Roman" w:hAnsi="Times New Roman" w:cs="Times New Roman"/>
          <w:b/>
          <w:color w:val="auto"/>
          <w:sz w:val="28"/>
          <w:highlight w:val="none"/>
        </w:rPr>
      </w:pPr>
    </w:p>
    <w:p>
      <w:pPr>
        <w:spacing w:line="360" w:lineRule="auto"/>
        <w:ind w:right="-110"/>
        <w:jc w:val="left"/>
        <w:rPr>
          <w:rFonts w:hint="default" w:ascii="Times New Roman" w:hAnsi="Times New Roman" w:cs="Times New Roman"/>
          <w:b/>
          <w:color w:val="auto"/>
          <w:sz w:val="28"/>
          <w:highlight w:val="none"/>
        </w:rPr>
      </w:pPr>
    </w:p>
    <w:p>
      <w:pPr>
        <w:spacing w:line="360" w:lineRule="auto"/>
        <w:ind w:right="-110"/>
        <w:jc w:val="lef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w:t>
      </w:r>
      <w:r>
        <w:rPr>
          <w:rFonts w:hint="default" w:ascii="Times New Roman" w:hAnsi="Times New Roman" w:cs="Times New Roman"/>
          <w:b/>
          <w:color w:val="auto"/>
          <w:szCs w:val="21"/>
          <w:highlight w:val="none"/>
          <w:lang w:val="en-US" w:eastAsia="zh-CN"/>
        </w:rPr>
        <w:t>17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default" w:ascii="Times New Roman" w:hAnsi="Times New Roman" w:cs="Times New Roman"/>
          <w:b/>
          <w:bCs/>
          <w:color w:val="auto"/>
          <w:kern w:val="0"/>
          <w:sz w:val="44"/>
          <w:szCs w:val="44"/>
          <w:highlight w:val="none"/>
          <w:lang w:eastAsia="zh-CN"/>
        </w:rPr>
      </w:pPr>
      <w:r>
        <w:rPr>
          <w:rFonts w:hint="default" w:ascii="Times New Roman" w:hAnsi="Times New Roman" w:cs="Times New Roman"/>
          <w:b/>
          <w:bCs/>
          <w:color w:val="auto"/>
          <w:kern w:val="0"/>
          <w:sz w:val="44"/>
          <w:szCs w:val="44"/>
          <w:highlight w:val="none"/>
          <w:lang w:eastAsia="zh-CN"/>
        </w:rPr>
        <w:t>玉环市水库、山塘大坝白蚁综合防治项目</w:t>
      </w:r>
    </w:p>
    <w:p>
      <w:pPr>
        <w:spacing w:after="100" w:afterAutospacing="1" w:line="360" w:lineRule="auto"/>
        <w:ind w:right="-108"/>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cs="Times New Roman"/>
          <w:color w:val="auto"/>
          <w:sz w:val="36"/>
          <w:szCs w:val="36"/>
          <w:highlight w:val="none"/>
        </w:rPr>
        <w:t>项目编号：</w:t>
      </w:r>
      <w:r>
        <w:rPr>
          <w:rFonts w:hint="default" w:ascii="Times New Roman" w:hAnsi="Times New Roman" w:cs="Times New Roman"/>
          <w:b/>
          <w:color w:val="auto"/>
          <w:kern w:val="0"/>
          <w:sz w:val="32"/>
          <w:highlight w:val="none"/>
          <w:lang w:eastAsia="zh-CN"/>
        </w:rPr>
        <w:t>DDZX2022-Y-GK-05</w:t>
      </w:r>
    </w:p>
    <w:p>
      <w:pPr>
        <w:pStyle w:val="4"/>
        <w:rPr>
          <w:rFonts w:hint="default" w:ascii="Times New Roman" w:hAnsi="Times New Roman" w:eastAsia="宋体" w:cs="Times New Roman"/>
          <w:color w:val="auto"/>
          <w:highlight w:val="none"/>
        </w:rPr>
      </w:pP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报</w:t>
      </w: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价</w:t>
      </w:r>
    </w:p>
    <w:p>
      <w:pPr>
        <w:spacing w:after="100" w:afterAutospacing="1" w:line="360" w:lineRule="auto"/>
        <w:ind w:right="-108"/>
        <w:jc w:val="center"/>
        <w:rPr>
          <w:rFonts w:hint="default" w:ascii="Times New Roman" w:hAnsi="Times New Roman" w:cs="Times New Roman"/>
          <w:b/>
          <w:color w:val="auto"/>
          <w:spacing w:val="40"/>
          <w:sz w:val="84"/>
          <w:szCs w:val="84"/>
          <w:highlight w:val="none"/>
        </w:rPr>
      </w:pPr>
      <w:r>
        <w:rPr>
          <w:rFonts w:hint="default" w:ascii="Times New Roman" w:hAnsi="Times New Roman" w:cs="Times New Roman"/>
          <w:b/>
          <w:color w:val="auto"/>
          <w:spacing w:val="40"/>
          <w:sz w:val="84"/>
          <w:szCs w:val="84"/>
          <w:highlight w:val="none"/>
        </w:rPr>
        <w:t>文</w:t>
      </w:r>
    </w:p>
    <w:p>
      <w:pPr>
        <w:spacing w:after="100" w:afterAutospacing="1" w:line="360" w:lineRule="auto"/>
        <w:ind w:right="-108"/>
        <w:jc w:val="center"/>
        <w:rPr>
          <w:rFonts w:hint="default" w:ascii="Times New Roman" w:hAnsi="Times New Roman" w:cs="Times New Roman"/>
          <w:color w:val="auto"/>
          <w:sz w:val="36"/>
          <w:szCs w:val="36"/>
          <w:highlight w:val="none"/>
        </w:rPr>
      </w:pPr>
      <w:r>
        <w:rPr>
          <w:rFonts w:hint="default" w:ascii="Times New Roman" w:hAnsi="Times New Roman" w:cs="Times New Roman"/>
          <w:b/>
          <w:color w:val="auto"/>
          <w:spacing w:val="40"/>
          <w:sz w:val="84"/>
          <w:szCs w:val="84"/>
          <w:highlight w:val="none"/>
        </w:rPr>
        <w:t>件</w:t>
      </w:r>
    </w:p>
    <w:p>
      <w:pPr>
        <w:spacing w:line="360" w:lineRule="auto"/>
        <w:ind w:right="532"/>
        <w:rPr>
          <w:rFonts w:hint="default" w:ascii="Times New Roman" w:hAnsi="Times New Roman" w:cs="Times New Roman"/>
          <w:color w:val="auto"/>
          <w:sz w:val="36"/>
          <w:szCs w:val="36"/>
          <w:highlight w:val="none"/>
        </w:rPr>
      </w:pPr>
    </w:p>
    <w:p>
      <w:pPr>
        <w:spacing w:line="360" w:lineRule="auto"/>
        <w:ind w:right="532"/>
        <w:jc w:val="center"/>
        <w:rPr>
          <w:rFonts w:hint="default" w:ascii="Times New Roman" w:hAnsi="Times New Roman" w:cs="Times New Roman"/>
          <w:color w:val="auto"/>
          <w:sz w:val="36"/>
          <w:szCs w:val="36"/>
          <w:highlight w:val="none"/>
        </w:rPr>
      </w:pP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投标人全称（公章）：</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p>
    <w:p>
      <w:pPr>
        <w:spacing w:line="360" w:lineRule="auto"/>
        <w:ind w:right="532" w:firstLine="1680" w:firstLineChars="7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时    间：</w:t>
      </w:r>
    </w:p>
    <w:p>
      <w:pPr>
        <w:spacing w:line="360" w:lineRule="auto"/>
        <w:ind w:right="-108"/>
        <w:jc w:val="center"/>
        <w:rPr>
          <w:rFonts w:hint="default" w:ascii="Times New Roman" w:hAnsi="Times New Roman" w:cs="Times New Roman"/>
          <w:b/>
          <w:color w:val="auto"/>
          <w:sz w:val="30"/>
          <w:szCs w:val="30"/>
          <w:highlight w:val="none"/>
        </w:rPr>
      </w:pPr>
    </w:p>
    <w:p>
      <w:pPr>
        <w:pStyle w:val="37"/>
        <w:rPr>
          <w:rFonts w:hint="default" w:ascii="Times New Roman" w:hAnsi="Times New Roman" w:eastAsia="宋体" w:cs="Times New Roman"/>
          <w:color w:val="auto"/>
          <w:highlight w:val="none"/>
        </w:rPr>
      </w:pPr>
    </w:p>
    <w:p>
      <w:pPr>
        <w:spacing w:line="360" w:lineRule="auto"/>
        <w:ind w:right="-108"/>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报价文件目录</w:t>
      </w:r>
    </w:p>
    <w:p>
      <w:pPr>
        <w:spacing w:line="400" w:lineRule="exact"/>
        <w:ind w:firstLine="560" w:firstLineChars="200"/>
        <w:rPr>
          <w:rFonts w:hint="default" w:ascii="Times New Roman" w:hAnsi="Times New Roman" w:cs="Times New Roman"/>
          <w:color w:val="auto"/>
          <w:sz w:val="28"/>
          <w:szCs w:val="28"/>
          <w:highlight w:val="none"/>
        </w:rPr>
      </w:pPr>
    </w:p>
    <w:p>
      <w:pPr>
        <w:snapToGrid w:val="0"/>
        <w:spacing w:line="6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1、开标一览表（附件1</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w:t>
      </w:r>
    </w:p>
    <w:p>
      <w:pPr>
        <w:pStyle w:val="17"/>
        <w:snapToGrid w:val="0"/>
        <w:spacing w:line="600" w:lineRule="exact"/>
        <w:ind w:left="0" w:leftChars="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2、报价明细表（附件1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p>
    <w:p>
      <w:pPr>
        <w:spacing w:line="360" w:lineRule="auto"/>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pStyle w:val="25"/>
        <w:rPr>
          <w:rFonts w:hint="default" w:ascii="Times New Roman" w:hAnsi="Times New Roman" w:cs="Times New Roman"/>
          <w:b/>
          <w:color w:val="auto"/>
          <w:sz w:val="28"/>
          <w:highlight w:val="none"/>
        </w:rPr>
      </w:pPr>
    </w:p>
    <w:p>
      <w:pPr>
        <w:rPr>
          <w:rFonts w:hint="default" w:ascii="Times New Roman" w:hAnsi="Times New Roman" w:cs="Times New Roman"/>
          <w:color w:val="auto"/>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spacing w:line="360" w:lineRule="auto"/>
        <w:ind w:left="480"/>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rPr>
          <w:rFonts w:hint="default" w:ascii="Times New Roman" w:hAnsi="Times New Roman" w:cs="Times New Roman"/>
        </w:rPr>
      </w:pPr>
    </w:p>
    <w:p>
      <w:pPr>
        <w:spacing w:line="240" w:lineRule="exac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Cs w:val="21"/>
          <w:highlight w:val="none"/>
          <w:lang w:val="en-US" w:eastAsia="zh-CN"/>
        </w:rPr>
        <w:t>8</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开标一览表</w:t>
      </w:r>
    </w:p>
    <w:p>
      <w:pPr>
        <w:pStyle w:val="15"/>
        <w:spacing w:line="32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项目编号：</w:t>
      </w:r>
    </w:p>
    <w:p>
      <w:pPr>
        <w:pStyle w:val="46"/>
        <w:spacing w:line="360" w:lineRule="auto"/>
        <w:ind w:right="480"/>
        <w:jc w:val="left"/>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项目名称：</w:t>
      </w:r>
      <w:r>
        <w:rPr>
          <w:rFonts w:hint="default" w:ascii="Times New Roman" w:hAnsi="Times New Roman" w:cs="Times New Roman"/>
          <w:color w:val="auto"/>
          <w:szCs w:val="21"/>
          <w:highlight w:val="none"/>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highlight w:val="none"/>
              </w:rPr>
            </w:pPr>
          </w:p>
        </w:tc>
      </w:tr>
    </w:tbl>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填报要求：</w:t>
      </w:r>
    </w:p>
    <w:p>
      <w:pPr>
        <w:pStyle w:val="16"/>
        <w:spacing w:line="340" w:lineRule="exact"/>
        <w:ind w:left="0" w:leftChars="0" w:firstLine="480" w:firstLineChars="200"/>
        <w:rPr>
          <w:rStyle w:val="31"/>
          <w:rFonts w:hint="default" w:ascii="Times New Roman" w:hAnsi="Times New Roman" w:eastAsia="宋体" w:cs="Times New Roman"/>
          <w:b w:val="0"/>
          <w:bCs w:val="0"/>
          <w:color w:val="FF0000"/>
          <w:sz w:val="21"/>
          <w:szCs w:val="21"/>
        </w:rPr>
      </w:pPr>
      <w:r>
        <w:rPr>
          <w:rFonts w:hint="default" w:ascii="Times New Roman" w:hAnsi="Times New Roman" w:cs="Times New Roman"/>
          <w:b w:val="0"/>
          <w:bCs/>
          <w:color w:val="auto"/>
          <w:kern w:val="0"/>
          <w:szCs w:val="21"/>
          <w:highlight w:val="none"/>
        </w:rPr>
        <w:t>1</w:t>
      </w:r>
      <w:r>
        <w:rPr>
          <w:rFonts w:hint="default" w:ascii="Times New Roman" w:hAnsi="Times New Roman" w:cs="Times New Roman"/>
          <w:color w:val="auto"/>
          <w:kern w:val="0"/>
          <w:szCs w:val="21"/>
          <w:highlight w:val="none"/>
        </w:rPr>
        <w:t>.</w:t>
      </w:r>
      <w:r>
        <w:rPr>
          <w:rStyle w:val="31"/>
          <w:rFonts w:hint="default" w:ascii="Times New Roman" w:hAnsi="Times New Roman" w:eastAsia="宋体" w:cs="Times New Roman"/>
          <w:b w:val="0"/>
          <w:bCs w:val="0"/>
          <w:color w:val="auto"/>
          <w:sz w:val="21"/>
          <w:szCs w:val="21"/>
          <w:lang w:val="zh-CN"/>
        </w:rPr>
        <w:t>总报价</w:t>
      </w:r>
      <w:r>
        <w:rPr>
          <w:rStyle w:val="31"/>
          <w:rFonts w:hint="default" w:ascii="Times New Roman" w:hAnsi="Times New Roman" w:eastAsia="宋体" w:cs="Times New Roman"/>
          <w:b w:val="0"/>
          <w:bCs w:val="0"/>
          <w:color w:val="auto"/>
          <w:sz w:val="21"/>
          <w:szCs w:val="21"/>
        </w:rPr>
        <w:t>是含项目实施所需的药剂、人工、交通、3年综合治理费、提供成果、管理、税费及成果验收、分批次进行审查的会务费、采购代理服务费、合同包含的所有风险责任等各项费用及不可预见费等所需的全部费用。</w:t>
      </w:r>
    </w:p>
    <w:p>
      <w:pPr>
        <w:spacing w:line="360" w:lineRule="auto"/>
        <w:ind w:firstLine="420" w:firstLineChars="200"/>
        <w:rPr>
          <w:rFonts w:hint="default" w:ascii="Times New Roman" w:hAnsi="Times New Roman" w:cs="Times New Roman"/>
          <w:b/>
          <w:i/>
          <w:color w:val="auto"/>
          <w:szCs w:val="21"/>
          <w:highlight w:val="none"/>
          <w:u w:val="single"/>
        </w:rPr>
      </w:pPr>
      <w:r>
        <w:rPr>
          <w:rFonts w:hint="default" w:ascii="Times New Roman" w:hAnsi="Times New Roman" w:cs="Times New Roman"/>
          <w:color w:val="auto"/>
          <w:kern w:val="0"/>
          <w:szCs w:val="21"/>
          <w:highlight w:val="none"/>
        </w:rPr>
        <w:t>2.报价一经涂改，应在涂改处加盖单位公章，否则其投标作无效标处理。</w:t>
      </w:r>
    </w:p>
    <w:p>
      <w:pPr>
        <w:spacing w:line="360" w:lineRule="auto"/>
        <w:ind w:left="420"/>
        <w:rPr>
          <w:rFonts w:hint="default" w:ascii="Times New Roman" w:hAnsi="Times New Roman" w:cs="Times New Roman"/>
          <w:color w:val="auto"/>
          <w:szCs w:val="21"/>
          <w:highlight w:val="none"/>
        </w:rPr>
      </w:pPr>
    </w:p>
    <w:p>
      <w:pPr>
        <w:spacing w:line="360" w:lineRule="auto"/>
        <w:ind w:left="42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spacing w:line="360" w:lineRule="auto"/>
        <w:rPr>
          <w:rFonts w:hint="default" w:ascii="Times New Roman" w:hAnsi="Times New Roman" w:cs="Times New Roman"/>
          <w:b/>
          <w:color w:val="auto"/>
          <w:szCs w:val="21"/>
          <w:highlight w:val="none"/>
        </w:rPr>
      </w:pPr>
    </w:p>
    <w:p>
      <w:pPr>
        <w:spacing w:line="360" w:lineRule="auto"/>
        <w:rPr>
          <w:rFonts w:hint="default" w:ascii="Times New Roman" w:hAnsi="Times New Roman" w:cs="Times New Roman"/>
          <w:b/>
          <w:color w:val="auto"/>
          <w:sz w:val="28"/>
          <w:highlight w:val="none"/>
        </w:rPr>
      </w:pPr>
    </w:p>
    <w:p>
      <w:pPr>
        <w:spacing w:line="360" w:lineRule="auto"/>
        <w:rPr>
          <w:rFonts w:hint="default" w:ascii="Times New Roman" w:hAnsi="Times New Roman" w:cs="Times New Roman"/>
          <w:b/>
          <w:color w:val="auto"/>
          <w:sz w:val="28"/>
          <w:highlight w:val="none"/>
        </w:rPr>
      </w:pPr>
    </w:p>
    <w:p>
      <w:pPr>
        <w:spacing w:line="360" w:lineRule="auto"/>
        <w:rPr>
          <w:rFonts w:hint="default" w:ascii="Times New Roman" w:hAnsi="Times New Roman" w:cs="Times New Roman"/>
          <w:b/>
          <w:color w:val="auto"/>
          <w:sz w:val="28"/>
          <w:highlight w:val="none"/>
        </w:rPr>
      </w:pPr>
    </w:p>
    <w:p>
      <w:pPr>
        <w:pStyle w:val="2"/>
        <w:rPr>
          <w:rFonts w:hint="default" w:ascii="Times New Roman" w:hAnsi="Times New Roman" w:cs="Times New Roman"/>
        </w:rPr>
      </w:pPr>
    </w:p>
    <w:p>
      <w:pPr>
        <w:pStyle w:val="2"/>
        <w:rPr>
          <w:rFonts w:hint="default" w:ascii="Times New Roman" w:hAnsi="Times New Roman" w:cs="Times New Roman"/>
          <w:color w:val="auto"/>
          <w:highlight w:val="none"/>
        </w:rPr>
      </w:pPr>
    </w:p>
    <w:p>
      <w:pPr>
        <w:pStyle w:val="37"/>
        <w:rPr>
          <w:rFonts w:hint="default" w:ascii="Times New Roman" w:hAnsi="Times New Roman" w:eastAsia="宋体" w:cs="Times New Roman"/>
          <w:color w:val="auto"/>
          <w:highlight w:val="none"/>
        </w:rPr>
      </w:pPr>
    </w:p>
    <w:p>
      <w:pPr>
        <w:pStyle w:val="37"/>
        <w:rPr>
          <w:rFonts w:hint="default" w:ascii="Times New Roman" w:hAnsi="Times New Roman" w:eastAsia="宋体" w:cs="Times New Roman"/>
          <w:color w:val="auto"/>
          <w:highlight w:val="none"/>
        </w:rPr>
      </w:pPr>
    </w:p>
    <w:p>
      <w:pPr>
        <w:pStyle w:val="37"/>
        <w:rPr>
          <w:rFonts w:hint="default" w:ascii="Times New Roman" w:hAnsi="Times New Roman" w:eastAsia="宋体" w:cs="Times New Roman"/>
          <w:color w:val="auto"/>
          <w:highlight w:val="none"/>
        </w:rPr>
      </w:pPr>
    </w:p>
    <w:p>
      <w:pPr>
        <w:spacing w:line="240" w:lineRule="exact"/>
        <w:rPr>
          <w:rFonts w:hint="default" w:ascii="Times New Roman" w:hAnsi="Times New Roman" w:cs="Times New Roman"/>
          <w:b/>
          <w:color w:val="auto"/>
          <w:sz w:val="24"/>
          <w:szCs w:val="22"/>
          <w:highlight w:val="none"/>
        </w:rPr>
      </w:pPr>
    </w:p>
    <w:p>
      <w:pPr>
        <w:spacing w:line="240" w:lineRule="exact"/>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t>附件1</w:t>
      </w:r>
      <w:r>
        <w:rPr>
          <w:rFonts w:hint="default" w:ascii="Times New Roman" w:hAnsi="Times New Roman" w:cs="Times New Roman"/>
          <w:b/>
          <w:color w:val="auto"/>
          <w:szCs w:val="21"/>
          <w:highlight w:val="none"/>
          <w:lang w:val="en-US" w:eastAsia="zh-CN"/>
        </w:rPr>
        <w:t>9</w:t>
      </w:r>
    </w:p>
    <w:p>
      <w:pPr>
        <w:snapToGrid w:val="0"/>
        <w:spacing w:before="156" w:beforeLines="50" w:after="50" w:line="360" w:lineRule="auto"/>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报价明细表</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项目编号：                                    [货币单位：人民币元]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品牌、产地</w:t>
            </w:r>
          </w:p>
        </w:tc>
        <w:tc>
          <w:tcPr>
            <w:tcW w:w="1559" w:type="dxa"/>
            <w:vAlign w:val="center"/>
          </w:tcPr>
          <w:p>
            <w:pPr>
              <w:spacing w:line="360" w:lineRule="auto"/>
              <w:ind w:left="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型号规格</w:t>
            </w:r>
          </w:p>
        </w:tc>
        <w:tc>
          <w:tcPr>
            <w:tcW w:w="851" w:type="dxa"/>
            <w:vAlign w:val="center"/>
          </w:tcPr>
          <w:p>
            <w:pPr>
              <w:spacing w:line="360" w:lineRule="auto"/>
              <w:ind w:left="15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992"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单价</w:t>
            </w:r>
          </w:p>
        </w:tc>
        <w:tc>
          <w:tcPr>
            <w:tcW w:w="992"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小计</w:t>
            </w:r>
          </w:p>
        </w:tc>
        <w:tc>
          <w:tcPr>
            <w:tcW w:w="709" w:type="dxa"/>
            <w:vAlign w:val="center"/>
          </w:tcPr>
          <w:p>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default" w:ascii="Times New Roman" w:hAnsi="Times New Roman" w:cs="Times New Roman"/>
                <w:color w:val="auto"/>
                <w:szCs w:val="21"/>
                <w:highlight w:val="none"/>
              </w:rPr>
            </w:pPr>
          </w:p>
        </w:tc>
        <w:tc>
          <w:tcPr>
            <w:tcW w:w="1460"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1559" w:type="dxa"/>
            <w:vAlign w:val="center"/>
          </w:tcPr>
          <w:p>
            <w:pPr>
              <w:spacing w:line="360" w:lineRule="auto"/>
              <w:rPr>
                <w:rFonts w:hint="default" w:ascii="Times New Roman" w:hAnsi="Times New Roman" w:cs="Times New Roman"/>
                <w:color w:val="auto"/>
                <w:szCs w:val="21"/>
                <w:highlight w:val="none"/>
              </w:rPr>
            </w:pPr>
          </w:p>
        </w:tc>
        <w:tc>
          <w:tcPr>
            <w:tcW w:w="851"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992" w:type="dxa"/>
            <w:vAlign w:val="center"/>
          </w:tcPr>
          <w:p>
            <w:pPr>
              <w:spacing w:line="360" w:lineRule="auto"/>
              <w:rPr>
                <w:rFonts w:hint="default" w:ascii="Times New Roman" w:hAnsi="Times New Roman" w:cs="Times New Roman"/>
                <w:color w:val="auto"/>
                <w:szCs w:val="21"/>
                <w:highlight w:val="none"/>
              </w:rPr>
            </w:pPr>
          </w:p>
        </w:tc>
        <w:tc>
          <w:tcPr>
            <w:tcW w:w="709" w:type="dxa"/>
            <w:vAlign w:val="center"/>
          </w:tcPr>
          <w:p>
            <w:pPr>
              <w:spacing w:line="360" w:lineRule="auto"/>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合计人民币：大写                               小写</w:t>
            </w:r>
          </w:p>
        </w:tc>
      </w:tr>
    </w:tbl>
    <w:p>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 本表中的型号规格必须明确，招标文件中明确要求定制的除外。</w:t>
      </w:r>
    </w:p>
    <w:p>
      <w:pPr>
        <w:spacing w:line="360" w:lineRule="auto"/>
        <w:ind w:firstLine="420" w:firstLineChars="200"/>
        <w:rPr>
          <w:rFonts w:hint="default" w:ascii="Times New Roman" w:hAnsi="Times New Roman" w:cs="Times New Roman"/>
          <w:color w:val="auto"/>
          <w:szCs w:val="21"/>
          <w:highlight w:val="none"/>
        </w:rPr>
      </w:pP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投标人名称（盖章）：</w:t>
      </w:r>
    </w:p>
    <w:p>
      <w:pPr>
        <w:spacing w:line="420" w:lineRule="exact"/>
        <w:ind w:firstLine="371" w:firstLineChars="177"/>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投标人代表签字或盖章：</w:t>
      </w:r>
    </w:p>
    <w:p>
      <w:pPr>
        <w:spacing w:line="420" w:lineRule="exact"/>
        <w:ind w:firstLine="371" w:firstLineChars="177"/>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职        务：</w:t>
      </w:r>
    </w:p>
    <w:p>
      <w:pPr>
        <w:pStyle w:val="38"/>
        <w:shd w:val="clear" w:color="auto" w:fill="FFFFFF"/>
        <w:spacing w:before="0" w:beforeAutospacing="0" w:after="0" w:afterAutospacing="0" w:line="420" w:lineRule="exact"/>
        <w:ind w:firstLine="371" w:firstLineChars="177"/>
        <w:rPr>
          <w:rFonts w:hint="default" w:ascii="Times New Roman" w:hAnsi="Times New Roman" w:eastAsia="宋体" w:cs="Times New Roman"/>
          <w:color w:val="auto"/>
          <w:highlight w:val="none"/>
        </w:rPr>
      </w:pPr>
      <w:r>
        <w:rPr>
          <w:rFonts w:hint="default" w:ascii="Times New Roman" w:hAnsi="Times New Roman" w:cs="Times New Roman"/>
          <w:color w:val="auto"/>
          <w:sz w:val="21"/>
          <w:szCs w:val="21"/>
          <w:highlight w:val="none"/>
        </w:rPr>
        <w:t>日        期：</w:t>
      </w:r>
    </w:p>
    <w:p>
      <w:pPr>
        <w:pStyle w:val="37"/>
        <w:rPr>
          <w:rFonts w:hint="default" w:ascii="Times New Roman" w:hAnsi="Times New Roman" w:eastAsia="宋体" w:cs="Times New Roman"/>
          <w:color w:val="auto"/>
          <w:highlight w:val="none"/>
        </w:rPr>
      </w:pPr>
    </w:p>
    <w:p>
      <w:pPr>
        <w:pStyle w:val="37"/>
        <w:rPr>
          <w:rFonts w:hint="default" w:ascii="Times New Roman" w:hAnsi="Times New Roman" w:eastAsia="宋体" w:cs="Times New Roman"/>
          <w:color w:val="auto"/>
          <w:highlight w:val="none"/>
        </w:rPr>
      </w:pPr>
    </w:p>
    <w:p>
      <w:pPr>
        <w:pStyle w:val="37"/>
        <w:rPr>
          <w:rFonts w:hint="default" w:ascii="Times New Roman" w:hAnsi="Times New Roman" w:eastAsia="宋体" w:cs="Times New Roman"/>
          <w:color w:val="auto"/>
          <w:highlight w:val="none"/>
        </w:rPr>
      </w:pPr>
    </w:p>
    <w:p>
      <w:pPr>
        <w:pStyle w:val="37"/>
        <w:rPr>
          <w:rFonts w:hint="default" w:ascii="Times New Roman" w:hAnsi="Times New Roman" w:eastAsia="宋体" w:cs="Times New Roman"/>
          <w:color w:val="auto"/>
          <w:highlight w:val="none"/>
        </w:rPr>
      </w:pPr>
    </w:p>
    <w:p>
      <w:pPr>
        <w:snapToGrid w:val="0"/>
        <w:spacing w:before="156" w:beforeLines="50" w:after="50" w:line="360" w:lineRule="auto"/>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lang w:val="en-GB"/>
        </w:rPr>
      </w:pPr>
    </w:p>
    <w:sectPr>
      <w:pgSz w:w="11906" w:h="16838"/>
      <w:pgMar w:top="1440" w:right="1800" w:bottom="17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kern w:val="0"/>
        <w:sz w:val="21"/>
        <w:szCs w:val="21"/>
      </w:rPr>
    </w:pP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8"/>
        <w:u w:val="single"/>
      </w:rPr>
    </w:pPr>
    <w:r>
      <w:rPr>
        <w:rFonts w:hint="eastAsia"/>
        <w:kern w:val="0"/>
        <w:szCs w:val="18"/>
        <w:u w:val="single"/>
      </w:rPr>
      <w:t xml:space="preserve">                                            </w:t>
    </w:r>
    <w:r>
      <w:rPr>
        <w:rFonts w:hint="eastAsia"/>
        <w:kern w:val="0"/>
        <w:szCs w:val="18"/>
        <w:u w:val="single"/>
        <w:lang w:eastAsia="zh-CN"/>
      </w:rPr>
      <w:t>环市数字化水利（玉水安澜）一期项目</w:t>
    </w:r>
    <w:r>
      <w:rPr>
        <w:rFonts w:hint="eastAsia"/>
        <w:kern w:val="0"/>
        <w:szCs w:val="18"/>
        <w:u w:val="single"/>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sz w:val="18"/>
        <w:szCs w:val="18"/>
      </w:rPr>
    </w:pPr>
    <w:r>
      <w:rPr>
        <w:rFonts w:hint="eastAsia"/>
        <w:sz w:val="18"/>
        <w:szCs w:val="18"/>
        <w:lang w:eastAsia="zh-CN"/>
      </w:rPr>
      <w:t>玉环市水库、山塘大坝白蚁综合防治项目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37652"/>
    <w:multiLevelType w:val="singleLevel"/>
    <w:tmpl w:val="E1D37652"/>
    <w:lvl w:ilvl="0" w:tentative="0">
      <w:start w:val="1"/>
      <w:numFmt w:val="decimal"/>
      <w:suff w:val="nothing"/>
      <w:lvlText w:val="%1、"/>
      <w:lvlJc w:val="left"/>
    </w:lvl>
  </w:abstractNum>
  <w:abstractNum w:abstractNumId="1">
    <w:nsid w:val="F398E646"/>
    <w:multiLevelType w:val="singleLevel"/>
    <w:tmpl w:val="F398E646"/>
    <w:lvl w:ilvl="0" w:tentative="0">
      <w:start w:val="1"/>
      <w:numFmt w:val="decimal"/>
      <w:pStyle w:val="8"/>
      <w:lvlText w:val="%1."/>
      <w:lvlJc w:val="left"/>
      <w:pPr>
        <w:tabs>
          <w:tab w:val="left" w:pos="360"/>
        </w:tabs>
        <w:ind w:left="360" w:hanging="36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OTU1ODM3NDdhYzdkOTdjZGNhMzkxOWMyNTA3ZjkifQ=="/>
  </w:docVars>
  <w:rsids>
    <w:rsidRoot w:val="249C7798"/>
    <w:rsid w:val="00055CFD"/>
    <w:rsid w:val="00454F28"/>
    <w:rsid w:val="005B6EEF"/>
    <w:rsid w:val="0063051E"/>
    <w:rsid w:val="00992299"/>
    <w:rsid w:val="00B82D12"/>
    <w:rsid w:val="00D02CAF"/>
    <w:rsid w:val="00D55976"/>
    <w:rsid w:val="00D676A5"/>
    <w:rsid w:val="01297547"/>
    <w:rsid w:val="01F81C09"/>
    <w:rsid w:val="028E7917"/>
    <w:rsid w:val="06320859"/>
    <w:rsid w:val="08705FF9"/>
    <w:rsid w:val="0A2637F8"/>
    <w:rsid w:val="0ADF42E6"/>
    <w:rsid w:val="0B4012AC"/>
    <w:rsid w:val="0BB67EFE"/>
    <w:rsid w:val="0BD170BC"/>
    <w:rsid w:val="0C2E7EF3"/>
    <w:rsid w:val="0CA44777"/>
    <w:rsid w:val="0D7C3FB3"/>
    <w:rsid w:val="0DD9599C"/>
    <w:rsid w:val="0F364A20"/>
    <w:rsid w:val="0FA522F5"/>
    <w:rsid w:val="10A219F0"/>
    <w:rsid w:val="11E413DB"/>
    <w:rsid w:val="125D25C6"/>
    <w:rsid w:val="136F0E9E"/>
    <w:rsid w:val="189C2339"/>
    <w:rsid w:val="1AE35A8A"/>
    <w:rsid w:val="1C840C9A"/>
    <w:rsid w:val="1CB57848"/>
    <w:rsid w:val="1D5E7DDA"/>
    <w:rsid w:val="1ECB6876"/>
    <w:rsid w:val="1FEF02D5"/>
    <w:rsid w:val="20987712"/>
    <w:rsid w:val="219E6317"/>
    <w:rsid w:val="23BC20B9"/>
    <w:rsid w:val="246179DC"/>
    <w:rsid w:val="249C7798"/>
    <w:rsid w:val="256E7AB5"/>
    <w:rsid w:val="27173893"/>
    <w:rsid w:val="27E7342F"/>
    <w:rsid w:val="294E031C"/>
    <w:rsid w:val="2BE21400"/>
    <w:rsid w:val="2C0D4286"/>
    <w:rsid w:val="2C235791"/>
    <w:rsid w:val="2D9C3201"/>
    <w:rsid w:val="2EC62FBB"/>
    <w:rsid w:val="2F782BE3"/>
    <w:rsid w:val="30315E18"/>
    <w:rsid w:val="34570891"/>
    <w:rsid w:val="34861D0B"/>
    <w:rsid w:val="34E47E75"/>
    <w:rsid w:val="352C502F"/>
    <w:rsid w:val="35CE6245"/>
    <w:rsid w:val="38CD0D64"/>
    <w:rsid w:val="39F86018"/>
    <w:rsid w:val="3BE04E90"/>
    <w:rsid w:val="3E224C29"/>
    <w:rsid w:val="3F73054E"/>
    <w:rsid w:val="3FC07E6B"/>
    <w:rsid w:val="403501D5"/>
    <w:rsid w:val="460D10DC"/>
    <w:rsid w:val="48844676"/>
    <w:rsid w:val="48A81AA8"/>
    <w:rsid w:val="4A760647"/>
    <w:rsid w:val="4AD2737D"/>
    <w:rsid w:val="4B9E509C"/>
    <w:rsid w:val="4C4A2B51"/>
    <w:rsid w:val="4CF47740"/>
    <w:rsid w:val="4DF4356C"/>
    <w:rsid w:val="4E6C0423"/>
    <w:rsid w:val="4EF07272"/>
    <w:rsid w:val="4F0537F0"/>
    <w:rsid w:val="4F976213"/>
    <w:rsid w:val="50992AB6"/>
    <w:rsid w:val="51B6079D"/>
    <w:rsid w:val="56AF6ADB"/>
    <w:rsid w:val="57BC4B4B"/>
    <w:rsid w:val="5872195A"/>
    <w:rsid w:val="594D1666"/>
    <w:rsid w:val="5A011459"/>
    <w:rsid w:val="5A1A396F"/>
    <w:rsid w:val="5BAB2D73"/>
    <w:rsid w:val="5D45338D"/>
    <w:rsid w:val="5DE56A8F"/>
    <w:rsid w:val="5EDB7953"/>
    <w:rsid w:val="611357EE"/>
    <w:rsid w:val="66010CF5"/>
    <w:rsid w:val="66316F56"/>
    <w:rsid w:val="675B4757"/>
    <w:rsid w:val="69B710B6"/>
    <w:rsid w:val="6B646F64"/>
    <w:rsid w:val="6C942154"/>
    <w:rsid w:val="707A73CB"/>
    <w:rsid w:val="707D2F40"/>
    <w:rsid w:val="70FA6D60"/>
    <w:rsid w:val="74582EB7"/>
    <w:rsid w:val="746B557E"/>
    <w:rsid w:val="74822639"/>
    <w:rsid w:val="74C85A97"/>
    <w:rsid w:val="779823EE"/>
    <w:rsid w:val="78E67760"/>
    <w:rsid w:val="7A2B4A06"/>
    <w:rsid w:val="7B79073F"/>
    <w:rsid w:val="7C035E50"/>
    <w:rsid w:val="7D47463F"/>
    <w:rsid w:val="7F1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3"/>
    <w:unhideWhenUsed/>
    <w:qFormat/>
    <w:uiPriority w:val="0"/>
    <w:pPr>
      <w:keepNext/>
      <w:keepLines/>
      <w:spacing w:line="360" w:lineRule="auto"/>
      <w:outlineLvl w:val="3"/>
    </w:pPr>
    <w:rPr>
      <w:rFonts w:ascii="Arial" w:hAnsi="Arial" w:eastAsia="黑体"/>
      <w:b/>
      <w:sz w:val="28"/>
    </w:rPr>
  </w:style>
  <w:style w:type="paragraph" w:styleId="7">
    <w:name w:val="heading 5"/>
    <w:basedOn w:val="1"/>
    <w:next w:val="1"/>
    <w:unhideWhenUsed/>
    <w:qFormat/>
    <w:uiPriority w:val="0"/>
    <w:pPr>
      <w:keepNext/>
      <w:keepLines/>
      <w:spacing w:line="360"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4"/>
    </w:rPr>
  </w:style>
  <w:style w:type="paragraph" w:styleId="8">
    <w:name w:val="List Number"/>
    <w:basedOn w:val="1"/>
    <w:qFormat/>
    <w:uiPriority w:val="0"/>
    <w:pPr>
      <w:numPr>
        <w:ilvl w:val="0"/>
        <w:numId w:val="1"/>
      </w:numPr>
    </w:pPr>
  </w:style>
  <w:style w:type="paragraph" w:styleId="9">
    <w:name w:val="Normal Indent"/>
    <w:basedOn w:val="1"/>
    <w:next w:val="10"/>
    <w:qFormat/>
    <w:uiPriority w:val="0"/>
    <w:pPr>
      <w:ind w:firstLine="420"/>
    </w:p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2"/>
    <w:qFormat/>
    <w:uiPriority w:val="0"/>
    <w:pPr>
      <w:tabs>
        <w:tab w:val="left" w:pos="720"/>
        <w:tab w:val="left" w:pos="1260"/>
        <w:tab w:val="left" w:pos="2160"/>
        <w:tab w:val="left" w:pos="2880"/>
        <w:tab w:val="left" w:pos="3600"/>
        <w:tab w:val="left" w:pos="4320"/>
        <w:tab w:val="left" w:pos="5040"/>
        <w:tab w:val="left" w:pos="5760"/>
      </w:tabs>
      <w:spacing w:after="0" w:line="240" w:lineRule="atLeast"/>
      <w:ind w:left="0" w:firstLine="420" w:firstLineChars="200"/>
    </w:pPr>
    <w:rPr>
      <w:rFonts w:hint="eastAsia" w:ascii="宋体" w:hAnsi="Courier New"/>
      <w:spacing w:val="-4"/>
      <w:sz w:val="18"/>
      <w:szCs w:val="18"/>
    </w:rPr>
  </w:style>
  <w:style w:type="paragraph" w:customStyle="1" w:styleId="12">
    <w:name w:val="xl53"/>
    <w:basedOn w:val="13"/>
    <w:next w:val="1"/>
    <w:qFormat/>
    <w:uiPriority w:val="0"/>
    <w:pPr>
      <w:spacing w:before="280" w:after="280" w:line="100" w:lineRule="exact"/>
      <w:jc w:val="center"/>
    </w:pPr>
    <w:rPr>
      <w:b/>
      <w:sz w:val="20"/>
    </w:rPr>
  </w:style>
  <w:style w:type="paragraph" w:customStyle="1" w:styleId="13">
    <w:name w:val="正文（四号）"/>
    <w:basedOn w:val="1"/>
    <w:qFormat/>
    <w:uiPriority w:val="0"/>
    <w:pPr>
      <w:snapToGrid w:val="0"/>
      <w:ind w:firstLine="200"/>
    </w:pPr>
    <w:rPr>
      <w:rFonts w:ascii="Times New Roman" w:hAnsi="Times New Roman" w:cs="宋体"/>
      <w:sz w:val="28"/>
      <w:szCs w:val="28"/>
    </w:rPr>
  </w:style>
  <w:style w:type="paragraph" w:styleId="14">
    <w:name w:val="annotation text"/>
    <w:basedOn w:val="1"/>
    <w:link w:val="48"/>
    <w:qFormat/>
    <w:uiPriority w:val="0"/>
    <w:pPr>
      <w:jc w:val="left"/>
    </w:pPr>
  </w:style>
  <w:style w:type="paragraph" w:styleId="15">
    <w:name w:val="Plain Text"/>
    <w:basedOn w:val="1"/>
    <w:next w:val="16"/>
    <w:qFormat/>
    <w:uiPriority w:val="0"/>
    <w:rPr>
      <w:rFonts w:ascii="宋体" w:hAnsi="Courier New" w:cstheme="minorBidi"/>
    </w:rPr>
  </w:style>
  <w:style w:type="paragraph" w:styleId="16">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0"/>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6"/>
    <w:basedOn w:val="1"/>
    <w:next w:val="1"/>
    <w:qFormat/>
    <w:uiPriority w:val="0"/>
    <w:pPr>
      <w:ind w:left="840"/>
      <w:jc w:val="left"/>
    </w:pPr>
    <w:rPr>
      <w:rFonts w:ascii="Cambria" w:hAnsi="Cambria" w:cs="Cambria"/>
      <w:sz w:val="20"/>
    </w:rPr>
  </w:style>
  <w:style w:type="paragraph" w:styleId="22">
    <w:name w:val="Normal (Web)"/>
    <w:basedOn w:val="1"/>
    <w:next w:val="15"/>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b/>
      <w:kern w:val="0"/>
      <w:sz w:val="32"/>
      <w:szCs w:val="20"/>
    </w:rPr>
  </w:style>
  <w:style w:type="paragraph" w:styleId="24">
    <w:name w:val="annotation subject"/>
    <w:basedOn w:val="14"/>
    <w:next w:val="14"/>
    <w:link w:val="49"/>
    <w:qFormat/>
    <w:uiPriority w:val="0"/>
    <w:rPr>
      <w:b/>
      <w:bCs/>
    </w:rPr>
  </w:style>
  <w:style w:type="paragraph" w:styleId="25">
    <w:name w:val="Body Text First Indent"/>
    <w:basedOn w:val="2"/>
    <w:next w:val="21"/>
    <w:qFormat/>
    <w:uiPriority w:val="0"/>
    <w:pPr>
      <w:spacing w:line="312" w:lineRule="auto"/>
      <w:ind w:firstLine="42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basedOn w:val="28"/>
    <w:qFormat/>
    <w:uiPriority w:val="0"/>
    <w:rPr>
      <w:color w:val="000000"/>
      <w:u w:val="none"/>
    </w:rPr>
  </w:style>
  <w:style w:type="character" w:styleId="32">
    <w:name w:val="annotation reference"/>
    <w:basedOn w:val="28"/>
    <w:qFormat/>
    <w:uiPriority w:val="0"/>
    <w:rPr>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章正文"/>
    <w:basedOn w:val="1"/>
    <w:qFormat/>
    <w:uiPriority w:val="0"/>
    <w:pPr>
      <w:spacing w:beforeLines="50" w:after="120" w:line="300" w:lineRule="auto"/>
      <w:ind w:firstLine="480"/>
    </w:pPr>
    <w:rPr>
      <w:rFonts w:ascii="Helvetica" w:hAnsi="Helvetica"/>
      <w:kern w:val="0"/>
    </w:rPr>
  </w:style>
  <w:style w:type="paragraph" w:customStyle="1" w:styleId="3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批注文字 Char"/>
    <w:basedOn w:val="28"/>
    <w:link w:val="14"/>
    <w:qFormat/>
    <w:uiPriority w:val="0"/>
    <w:rPr>
      <w:kern w:val="2"/>
      <w:sz w:val="21"/>
      <w:szCs w:val="24"/>
    </w:rPr>
  </w:style>
  <w:style w:type="character" w:customStyle="1" w:styleId="49">
    <w:name w:val="批注主题 Char"/>
    <w:basedOn w:val="48"/>
    <w:link w:val="24"/>
    <w:qFormat/>
    <w:uiPriority w:val="0"/>
    <w:rPr>
      <w:b/>
      <w:bCs/>
      <w:kern w:val="2"/>
      <w:sz w:val="21"/>
      <w:szCs w:val="24"/>
    </w:rPr>
  </w:style>
  <w:style w:type="character" w:customStyle="1" w:styleId="50">
    <w:name w:val="批注框文本 Char"/>
    <w:basedOn w:val="28"/>
    <w:link w:val="18"/>
    <w:qFormat/>
    <w:uiPriority w:val="0"/>
    <w:rPr>
      <w:kern w:val="2"/>
      <w:sz w:val="18"/>
      <w:szCs w:val="18"/>
    </w:rPr>
  </w:style>
  <w:style w:type="paragraph" w:customStyle="1" w:styleId="51">
    <w:name w:val="表格文字"/>
    <w:basedOn w:val="1"/>
    <w:next w:val="2"/>
    <w:qFormat/>
    <w:uiPriority w:val="0"/>
    <w:pPr>
      <w:jc w:val="left"/>
    </w:pPr>
    <w:rPr>
      <w:kern w:val="21"/>
    </w:rPr>
  </w:style>
  <w:style w:type="paragraph" w:customStyle="1" w:styleId="52">
    <w:name w:val="文档正文"/>
    <w:basedOn w:val="1"/>
    <w:qFormat/>
    <w:uiPriority w:val="0"/>
    <w:rPr>
      <w:rFonts w:ascii="宋体" w:hAnsi="宋体" w:cs="Arial"/>
      <w:bCs/>
    </w:rPr>
  </w:style>
  <w:style w:type="character" w:customStyle="1" w:styleId="53">
    <w:name w:val="标题 4 Char"/>
    <w:link w:val="6"/>
    <w:qFormat/>
    <w:uiPriority w:val="0"/>
    <w:rPr>
      <w:rFonts w:ascii="Arial" w:hAnsi="Arial" w:eastAsia="黑体"/>
      <w:b/>
      <w:sz w:val="28"/>
    </w:rPr>
  </w:style>
  <w:style w:type="paragraph" w:customStyle="1" w:styleId="5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table" w:customStyle="1" w:styleId="55">
    <w:name w:val="网格型1"/>
    <w:basedOn w:val="26"/>
    <w:qFormat/>
    <w:uiPriority w:val="59"/>
    <w:rPr>
      <w:rFonts w:ascii="Calibri" w:hAnsi="Calibri"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25762</Words>
  <Characters>27108</Characters>
  <Lines>46</Lines>
  <Paragraphs>61</Paragraphs>
  <TotalTime>1</TotalTime>
  <ScaleCrop>false</ScaleCrop>
  <LinksUpToDate>false</LinksUpToDate>
  <CharactersWithSpaces>28621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2022-04-20T01:08:00Z</dcterms:created>
  <dc:creator>Administrator</dc:creator>
  <cp:lastModifiedBy>Administrator</cp:lastModifiedBy>
  <cp:lastPrinted>2022-09-05T06:33:00Z</cp:lastPrinted>
  <dcterms:modified xsi:type="dcterms:W3CDTF">2022-09-15T07:17:41Z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3481F50AFC2A44FDA7CA7B147F3C4821</vt:lpwstr>
  </property>
  <property fmtid="{D5CDD505-2E9C-101B-9397-08002B2CF9AE}" pid="4" name="commondata">
    <vt:lpwstr>eyJoZGlkIjoiYjc3MjcyNjQwNzQ5MGZlMjQwZGYzNDViY2YzNWVhMDUifQ==</vt:lpwstr>
  </property>
</Properties>
</file>