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kern w:val="0"/>
          <w:sz w:val="32"/>
          <w:szCs w:val="24"/>
        </w:rPr>
      </w:pPr>
      <w:r>
        <w:rPr>
          <w:rFonts w:hint="eastAsia" w:ascii="宋体" w:hAnsi="宋体" w:eastAsia="宋体" w:cs="宋体"/>
          <w:b/>
          <w:kern w:val="0"/>
          <w:sz w:val="32"/>
          <w:szCs w:val="24"/>
        </w:rPr>
        <w:t>广西壮族自治区柳城监狱</w:t>
      </w:r>
    </w:p>
    <w:p>
      <w:pPr>
        <w:widowControl/>
        <w:jc w:val="center"/>
        <w:rPr>
          <w:rFonts w:ascii="宋体" w:hAnsi="宋体" w:eastAsia="宋体" w:cs="宋体"/>
          <w:b/>
          <w:kern w:val="0"/>
          <w:sz w:val="32"/>
          <w:szCs w:val="24"/>
        </w:rPr>
      </w:pPr>
      <w:r>
        <w:rPr>
          <w:rFonts w:hint="eastAsia" w:ascii="宋体" w:hAnsi="宋体" w:eastAsia="宋体" w:cs="宋体"/>
          <w:b/>
          <w:kern w:val="0"/>
          <w:sz w:val="32"/>
          <w:szCs w:val="24"/>
        </w:rPr>
        <w:t>在线询价采购文件</w:t>
      </w:r>
    </w:p>
    <w:p>
      <w:pPr>
        <w:widowControl/>
        <w:ind w:firstLine="420" w:firstLineChars="200"/>
        <w:jc w:val="left"/>
        <w:rPr>
          <w:rFonts w:ascii="宋体" w:hAnsi="宋体" w:eastAsia="宋体" w:cs="宋体"/>
          <w:color w:val="FF0000"/>
          <w:kern w:val="0"/>
          <w:szCs w:val="21"/>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260"/>
        <w:gridCol w:w="7893"/>
        <w:gridCol w:w="846"/>
        <w:gridCol w:w="730"/>
        <w:gridCol w:w="1176"/>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07" w:type="dxa"/>
            <w:vAlign w:val="center"/>
          </w:tcPr>
          <w:p>
            <w:pPr>
              <w:jc w:val="center"/>
              <w:rPr>
                <w:rFonts w:ascii="宋体" w:hAnsi="宋体" w:eastAsia="宋体" w:cs="宋体"/>
                <w:b/>
                <w:szCs w:val="21"/>
              </w:rPr>
            </w:pPr>
            <w:r>
              <w:rPr>
                <w:rFonts w:hint="eastAsia" w:ascii="宋体" w:hAnsi="宋体" w:eastAsia="宋体" w:cs="宋体"/>
                <w:b/>
                <w:szCs w:val="21"/>
              </w:rPr>
              <w:t>序号</w:t>
            </w:r>
          </w:p>
        </w:tc>
        <w:tc>
          <w:tcPr>
            <w:tcW w:w="1260" w:type="dxa"/>
            <w:shd w:val="clear" w:color="auto" w:fill="auto"/>
            <w:vAlign w:val="center"/>
          </w:tcPr>
          <w:p>
            <w:pPr>
              <w:jc w:val="center"/>
              <w:rPr>
                <w:rFonts w:ascii="宋体" w:hAnsi="宋体" w:eastAsia="宋体" w:cs="宋体"/>
                <w:b/>
                <w:szCs w:val="21"/>
              </w:rPr>
            </w:pPr>
            <w:r>
              <w:rPr>
                <w:rFonts w:hint="eastAsia" w:ascii="宋体" w:hAnsi="宋体" w:eastAsia="宋体" w:cs="宋体"/>
                <w:b/>
                <w:szCs w:val="21"/>
              </w:rPr>
              <w:t>*服务名称</w:t>
            </w:r>
          </w:p>
        </w:tc>
        <w:tc>
          <w:tcPr>
            <w:tcW w:w="7893" w:type="dxa"/>
            <w:shd w:val="clear" w:color="auto" w:fill="auto"/>
            <w:vAlign w:val="center"/>
          </w:tcPr>
          <w:p>
            <w:pPr>
              <w:jc w:val="center"/>
              <w:rPr>
                <w:rFonts w:ascii="宋体" w:hAnsi="宋体" w:eastAsia="宋体" w:cs="宋体"/>
                <w:b/>
                <w:szCs w:val="21"/>
              </w:rPr>
            </w:pPr>
            <w:r>
              <w:rPr>
                <w:rFonts w:hint="eastAsia" w:ascii="宋体" w:hAnsi="宋体" w:eastAsia="宋体" w:cs="宋体"/>
                <w:b/>
                <w:szCs w:val="21"/>
              </w:rPr>
              <w:t>*参数</w:t>
            </w:r>
          </w:p>
        </w:tc>
        <w:tc>
          <w:tcPr>
            <w:tcW w:w="846" w:type="dxa"/>
            <w:shd w:val="clear" w:color="auto" w:fill="auto"/>
            <w:vAlign w:val="center"/>
          </w:tcPr>
          <w:p>
            <w:pPr>
              <w:jc w:val="center"/>
              <w:rPr>
                <w:rFonts w:ascii="宋体" w:hAnsi="宋体" w:eastAsia="宋体" w:cs="宋体"/>
                <w:b/>
                <w:szCs w:val="21"/>
              </w:rPr>
            </w:pPr>
            <w:r>
              <w:rPr>
                <w:rFonts w:hint="eastAsia" w:ascii="宋体" w:hAnsi="宋体" w:eastAsia="宋体" w:cs="宋体"/>
                <w:b/>
                <w:szCs w:val="21"/>
              </w:rPr>
              <w:t>*数量</w:t>
            </w:r>
          </w:p>
        </w:tc>
        <w:tc>
          <w:tcPr>
            <w:tcW w:w="730" w:type="dxa"/>
            <w:shd w:val="clear" w:color="auto" w:fill="auto"/>
            <w:vAlign w:val="center"/>
          </w:tcPr>
          <w:p>
            <w:pPr>
              <w:jc w:val="center"/>
              <w:rPr>
                <w:rFonts w:ascii="宋体" w:hAnsi="宋体" w:eastAsia="宋体" w:cs="宋体"/>
                <w:b/>
                <w:szCs w:val="21"/>
              </w:rPr>
            </w:pPr>
            <w:r>
              <w:rPr>
                <w:rFonts w:hint="eastAsia" w:ascii="宋体" w:hAnsi="宋体" w:eastAsia="宋体" w:cs="宋体"/>
                <w:b/>
                <w:szCs w:val="21"/>
              </w:rPr>
              <w:t>*单位</w:t>
            </w:r>
          </w:p>
        </w:tc>
        <w:tc>
          <w:tcPr>
            <w:tcW w:w="1176" w:type="dxa"/>
            <w:vAlign w:val="center"/>
          </w:tcPr>
          <w:p>
            <w:pPr>
              <w:jc w:val="center"/>
              <w:rPr>
                <w:rFonts w:ascii="宋体" w:hAnsi="宋体" w:eastAsia="宋体" w:cs="宋体"/>
                <w:b/>
                <w:szCs w:val="21"/>
              </w:rPr>
            </w:pPr>
            <w:r>
              <w:rPr>
                <w:rFonts w:hint="eastAsia" w:ascii="宋体" w:hAnsi="宋体" w:eastAsia="宋体" w:cs="宋体"/>
                <w:b/>
                <w:szCs w:val="21"/>
              </w:rPr>
              <w:t>*控制总价(元)</w:t>
            </w:r>
          </w:p>
        </w:tc>
        <w:tc>
          <w:tcPr>
            <w:tcW w:w="1496" w:type="dxa"/>
            <w:vAlign w:val="center"/>
          </w:tcPr>
          <w:p>
            <w:pPr>
              <w:jc w:val="center"/>
              <w:rPr>
                <w:rFonts w:ascii="宋体" w:hAnsi="宋体" w:eastAsia="宋体" w:cs="宋体"/>
                <w:szCs w:val="21"/>
              </w:rPr>
            </w:pPr>
            <w:r>
              <w:rPr>
                <w:rFonts w:hint="eastAsia" w:ascii="宋体" w:hAnsi="宋体" w:eastAsia="宋体" w:cs="宋体"/>
                <w:b/>
                <w:szCs w:val="21"/>
              </w:rPr>
              <w:t>参考品牌及型号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pPr>
              <w:jc w:val="center"/>
              <w:rPr>
                <w:rFonts w:ascii="宋体" w:hAnsi="宋体" w:eastAsia="宋体" w:cs="宋体"/>
                <w:szCs w:val="21"/>
              </w:rPr>
            </w:pPr>
          </w:p>
        </w:tc>
        <w:tc>
          <w:tcPr>
            <w:tcW w:w="126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广西壮族自治区柳城监狱有害生物防治</w:t>
            </w:r>
          </w:p>
        </w:tc>
        <w:tc>
          <w:tcPr>
            <w:tcW w:w="7893" w:type="dxa"/>
            <w:shd w:val="clear" w:color="auto" w:fill="auto"/>
            <w:vAlign w:val="center"/>
          </w:tcPr>
          <w:p>
            <w:pPr>
              <w:rPr>
                <w:rFonts w:ascii="宋体" w:hAnsi="宋体" w:eastAsia="宋体" w:cs="宋体"/>
                <w:szCs w:val="21"/>
              </w:rPr>
            </w:pPr>
            <w:r>
              <w:rPr>
                <w:rFonts w:hint="eastAsia" w:ascii="宋体" w:hAnsi="宋体" w:eastAsia="宋体" w:cs="宋体"/>
                <w:szCs w:val="21"/>
              </w:rPr>
              <w:t>一、投标人的资质和技术要求：</w:t>
            </w:r>
            <w:r>
              <w:rPr>
                <w:rFonts w:ascii="宋体" w:hAnsi="宋体" w:eastAsia="宋体" w:cs="宋体"/>
                <w:szCs w:val="21"/>
              </w:rPr>
              <w:t xml:space="preserve"> </w:t>
            </w:r>
          </w:p>
          <w:p>
            <w:pPr>
              <w:rPr>
                <w:rFonts w:ascii="宋体" w:hAnsi="宋体" w:eastAsia="宋体" w:cs="宋体"/>
                <w:szCs w:val="21"/>
              </w:rPr>
            </w:pPr>
            <w:r>
              <w:rPr>
                <w:rFonts w:ascii="宋体" w:hAnsi="宋体" w:eastAsia="宋体" w:cs="宋体"/>
                <w:szCs w:val="21"/>
              </w:rPr>
              <w:t>1.符合《中华人民共和国政府采购法》第二十二条规定的投标人资格条件；</w:t>
            </w:r>
          </w:p>
          <w:p>
            <w:pPr>
              <w:rPr>
                <w:rFonts w:ascii="宋体" w:hAnsi="宋体" w:eastAsia="宋体" w:cs="宋体"/>
                <w:szCs w:val="21"/>
              </w:rPr>
            </w:pPr>
            <w:r>
              <w:rPr>
                <w:rFonts w:ascii="宋体" w:hAnsi="宋体" w:eastAsia="宋体" w:cs="宋体"/>
                <w:szCs w:val="21"/>
              </w:rPr>
              <w:t>2.国内注册（指按国家有关规定要求注册的）经营范围达到本次采购货物及服务要求，具有独立法人资格的供应商；</w:t>
            </w:r>
          </w:p>
          <w:p>
            <w:pPr>
              <w:rPr>
                <w:rFonts w:ascii="宋体" w:hAnsi="宋体" w:eastAsia="宋体" w:cs="宋体"/>
                <w:szCs w:val="21"/>
              </w:rPr>
            </w:pPr>
            <w:r>
              <w:rPr>
                <w:rFonts w:ascii="宋体" w:hAnsi="宋体" w:eastAsia="宋体" w:cs="宋体"/>
                <w:szCs w:val="21"/>
              </w:rPr>
              <w:t>3.公司管理规范，有完整的病媒生物预防控制操作流程；</w:t>
            </w:r>
          </w:p>
          <w:p>
            <w:pPr>
              <w:rPr>
                <w:rFonts w:ascii="宋体" w:hAnsi="宋体" w:eastAsia="宋体" w:cs="宋体"/>
                <w:szCs w:val="21"/>
              </w:rPr>
            </w:pPr>
            <w:r>
              <w:rPr>
                <w:rFonts w:ascii="宋体" w:hAnsi="宋体" w:eastAsia="宋体" w:cs="宋体"/>
                <w:szCs w:val="21"/>
              </w:rPr>
              <w:t>4.投标人须提供可行的消杀技术方案和实施方案。</w:t>
            </w:r>
          </w:p>
          <w:p>
            <w:pPr>
              <w:rPr>
                <w:rFonts w:ascii="宋体" w:hAnsi="宋体" w:eastAsia="宋体" w:cs="宋体"/>
                <w:szCs w:val="21"/>
              </w:rPr>
            </w:pPr>
            <w:r>
              <w:rPr>
                <w:rFonts w:ascii="宋体" w:hAnsi="宋体" w:eastAsia="宋体" w:cs="宋体"/>
                <w:szCs w:val="21"/>
              </w:rPr>
              <w:t>5.本项目不接受联合体投标。</w:t>
            </w:r>
          </w:p>
          <w:p>
            <w:pPr>
              <w:rPr>
                <w:rFonts w:ascii="宋体" w:hAnsi="宋体" w:eastAsia="宋体" w:cs="宋体"/>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二、防治范围及服务频率、用量：总面积316</w:t>
            </w:r>
            <w:r>
              <w:rPr>
                <w:rFonts w:hint="eastAsia" w:ascii="仿宋_GB2312" w:hAnsi="仿宋_GB2312" w:eastAsia="仿宋_GB2312" w:cs="仿宋_GB2312"/>
                <w:color w:val="000000"/>
                <w:szCs w:val="21"/>
              </w:rPr>
              <w:t>亩</w:t>
            </w:r>
          </w:p>
          <w:p>
            <w:pPr>
              <w:outlineLvl w:val="1"/>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（一）办公区（楼）、职工食堂、东区运动场等所辖区域的室内外环境消杀</w:t>
            </w:r>
          </w:p>
          <w:p>
            <w:pPr>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1、服务频率：每个月进行一次全面“四害”消杀，一年共计12次全面“四害”消杀服务；每月检查及灭治白蚁、红火蚁一次，一年共计12次。</w:t>
            </w:r>
          </w:p>
          <w:p>
            <w:pPr>
              <w:pStyle w:val="2"/>
              <w:ind w:firstLine="420" w:firstLineChars="200"/>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2、其他要求：0.005%溴鼠灵饵剂年使用量110kg，粘鼠板（40g胶）年使用量60块，投放、更新鼠药、鼠板年使用量12次，下水道灭蟑（污水井）年使用量10次，室内灭蟑年使用量12次，灭蚊蝇药（滞留喷洒）+灭蚊幼药（倍硫磷）年使用量8次，灭蚊蝇灯换灯管及维护年使用量20台。</w:t>
            </w:r>
          </w:p>
          <w:p>
            <w:pPr>
              <w:ind w:firstLine="632" w:firstLineChars="300"/>
              <w:outlineLvl w:val="1"/>
              <w:rPr>
                <w:rFonts w:ascii="仿宋_GB2312" w:hAnsi="仿宋_GB2312" w:eastAsia="仿宋_GB2312" w:cs="仿宋_GB2312"/>
                <w:b/>
                <w:bCs/>
                <w:color w:val="000000"/>
                <w:szCs w:val="21"/>
              </w:rPr>
            </w:pPr>
            <w:bookmarkStart w:id="0" w:name="_Toc3257"/>
            <w:r>
              <w:rPr>
                <w:rFonts w:hint="eastAsia" w:ascii="仿宋_GB2312" w:hAnsi="仿宋_GB2312" w:eastAsia="仿宋_GB2312" w:cs="仿宋_GB2312"/>
                <w:b/>
                <w:bCs/>
                <w:color w:val="000000"/>
                <w:szCs w:val="21"/>
              </w:rPr>
              <w:t>（二）武警部队所辖区域（包括食堂）的室内外环境消杀</w:t>
            </w:r>
            <w:bookmarkEnd w:id="0"/>
          </w:p>
          <w:p>
            <w:pPr>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1、服务频率：每个月进行一次全面“四害”消杀，一年共计12次全面“四害”消杀服务。每月检查及灭治白蚁、红火蚁一次，一年共计12次。</w:t>
            </w:r>
          </w:p>
          <w:p>
            <w:pPr>
              <w:pStyle w:val="2"/>
              <w:ind w:firstLine="420" w:firstLineChars="200"/>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2、其他要求：0.005%溴鼠灵饵剂年使用量24kg，粘鼠板（40g胶）年使用量30块，投放、更新鼠药、鼠板年使用量12次，下水道灭蟑（污水井）年使用量10次，室内灭蟑年使用量12次，灭蚊蝇药（滞留喷洒）+灭蚊幼药（倍硫磷）年使用量8次，灭蚊蝇灯换灯管及维护年使用量20台。</w:t>
            </w:r>
          </w:p>
          <w:p>
            <w:pPr>
              <w:pStyle w:val="2"/>
              <w:rPr>
                <w:rFonts w:ascii="仿宋_GB2312" w:hAnsi="仿宋_GB2312" w:eastAsia="仿宋_GB2312" w:cs="仿宋_GB2312"/>
                <w:sz w:val="21"/>
                <w:szCs w:val="21"/>
              </w:rPr>
            </w:pPr>
          </w:p>
          <w:p>
            <w:pPr>
              <w:ind w:firstLine="422" w:firstLineChars="200"/>
              <w:outlineLvl w:val="1"/>
              <w:rPr>
                <w:rFonts w:ascii="仿宋_GB2312" w:hAnsi="仿宋_GB2312" w:eastAsia="仿宋_GB2312" w:cs="仿宋_GB2312"/>
                <w:b/>
                <w:bCs/>
                <w:color w:val="000000"/>
                <w:szCs w:val="21"/>
              </w:rPr>
            </w:pPr>
            <w:bookmarkStart w:id="1" w:name="_Toc22138"/>
            <w:r>
              <w:rPr>
                <w:rFonts w:hint="eastAsia" w:ascii="仿宋_GB2312" w:hAnsi="仿宋_GB2312" w:eastAsia="仿宋_GB2312" w:cs="仿宋_GB2312"/>
                <w:b/>
                <w:bCs/>
                <w:color w:val="000000"/>
                <w:szCs w:val="21"/>
              </w:rPr>
              <w:t>（三）老年人活动中心、工会健身房、运动场环境消杀</w:t>
            </w:r>
            <w:bookmarkEnd w:id="1"/>
          </w:p>
          <w:p>
            <w:pPr>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1、服务频率：每个季度进行一次全面“四害”消杀，一年共计4次全面“四害”消杀服务；每两个月检查及灭治白蚁、红火蚁一次，一年共计6次。</w:t>
            </w:r>
          </w:p>
          <w:p>
            <w:pPr>
              <w:pStyle w:val="2"/>
              <w:ind w:firstLine="420" w:firstLineChars="200"/>
              <w:rPr>
                <w:rFonts w:ascii="仿宋_GB2312" w:hAnsi="仿宋_GB2312" w:eastAsia="仿宋_GB2312" w:cs="仿宋_GB2312"/>
                <w:b/>
                <w:bCs/>
                <w:color w:val="000000"/>
                <w:sz w:val="21"/>
                <w:szCs w:val="21"/>
              </w:rPr>
            </w:pPr>
            <w:r>
              <w:rPr>
                <w:rFonts w:hint="eastAsia" w:ascii="仿宋_GB2312" w:hAnsi="仿宋_GB2312" w:eastAsia="仿宋_GB2312" w:cs="仿宋_GB2312"/>
                <w:color w:val="000000"/>
                <w:sz w:val="21"/>
                <w:szCs w:val="21"/>
              </w:rPr>
              <w:t>2、其他要求：0.005%溴鼠灵饵剂年使用量50kg，投放、更新鼠药、鼠板年使用量4次，下水道灭蟑（污水井）年使用量4次，室内灭蟑年使用量12次，灭蚊蝇药（滞留喷洒）+灭蚊幼药（倍硫磷）年使用量4次。</w:t>
            </w:r>
          </w:p>
          <w:p>
            <w:pPr>
              <w:pStyle w:val="2"/>
              <w:rPr>
                <w:rFonts w:ascii="仿宋_GB2312" w:hAnsi="仿宋_GB2312" w:eastAsia="仿宋_GB2312" w:cs="仿宋_GB2312"/>
                <w:sz w:val="21"/>
                <w:szCs w:val="21"/>
              </w:rPr>
            </w:pPr>
          </w:p>
          <w:p>
            <w:pPr>
              <w:ind w:firstLine="422" w:firstLineChars="200"/>
              <w:outlineLvl w:val="1"/>
              <w:rPr>
                <w:rFonts w:ascii="仿宋_GB2312" w:hAnsi="仿宋_GB2312" w:eastAsia="仿宋_GB2312" w:cs="仿宋_GB2312"/>
                <w:color w:val="000000"/>
                <w:szCs w:val="21"/>
              </w:rPr>
            </w:pPr>
            <w:bookmarkStart w:id="2" w:name="_Toc25047"/>
            <w:r>
              <w:rPr>
                <w:rFonts w:hint="eastAsia" w:ascii="仿宋_GB2312" w:hAnsi="仿宋_GB2312" w:eastAsia="仿宋_GB2312" w:cs="仿宋_GB2312"/>
                <w:b/>
                <w:bCs/>
                <w:color w:val="000000"/>
                <w:szCs w:val="21"/>
              </w:rPr>
              <w:t>（四）其他的室内外环境消杀</w:t>
            </w:r>
            <w:bookmarkEnd w:id="2"/>
          </w:p>
          <w:p>
            <w:pPr>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1、服务频率：每个季度进行一次全面“四害”消杀、白蚁检查及灭治，一年共计4次全面“四害”消杀，白蚁、红火蚁灭治至少2次，隐翅虫灭治服务4次。</w:t>
            </w:r>
          </w:p>
          <w:p>
            <w:pPr>
              <w:pStyle w:val="2"/>
              <w:ind w:firstLine="420" w:firstLineChars="200"/>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2、其他要求：胆钙化醇灭鼠剂年使用量20kg，室内灭蟑药年使用量4次，投放、更新鼠药、鼠板年使用量4次，下水道灭蟑（污水井）年使用量4次，灭蚊蝇药（滞留喷洒）+灭蚊幼药（倍硫磷）年使用量4次，灭蚊蝇灯换灯管及维护年使用量80台。</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三、工作标准及要求：</w:t>
            </w:r>
          </w:p>
          <w:p>
            <w:pPr>
              <w:ind w:firstLine="420" w:firstLineChars="200"/>
              <w:rPr>
                <w:rFonts w:ascii="宋体" w:hAnsi="宋体" w:eastAsia="宋体" w:cs="宋体"/>
                <w:szCs w:val="21"/>
              </w:rPr>
            </w:pPr>
            <w:r>
              <w:rPr>
                <w:rFonts w:ascii="宋体" w:hAnsi="宋体" w:eastAsia="宋体" w:cs="宋体"/>
                <w:szCs w:val="21"/>
              </w:rPr>
              <w:t>1.本项目使用的灭四害药物必须</w:t>
            </w:r>
            <w:r>
              <w:rPr>
                <w:rFonts w:hint="eastAsia" w:ascii="宋体" w:hAnsi="宋体" w:eastAsia="宋体" w:cs="宋体"/>
                <w:szCs w:val="21"/>
              </w:rPr>
              <w:t>提供有效的“三证”</w:t>
            </w:r>
            <w:r>
              <w:rPr>
                <w:rFonts w:ascii="宋体" w:hAnsi="宋体" w:eastAsia="宋体" w:cs="宋体"/>
                <w:szCs w:val="21"/>
              </w:rPr>
              <w:t>（农药登记证、农药生产批准证书、技术监督部门备案的企业标准）复印件及供应商针对本项目的产品质量承诺书原件或复印件，杜绝使用高毒类及来源不明无“三证”或质量不稳定的卫生杀虫剂，确保灭效和人畜等各项安全，符合绿色环保的有关要求，否则做无效投标处理。</w:t>
            </w:r>
          </w:p>
          <w:p>
            <w:pPr>
              <w:ind w:firstLine="420" w:firstLineChars="200"/>
              <w:rPr>
                <w:rFonts w:ascii="宋体" w:hAnsi="宋体" w:eastAsia="宋体" w:cs="宋体"/>
                <w:szCs w:val="21"/>
              </w:rPr>
            </w:pPr>
            <w:r>
              <w:rPr>
                <w:rFonts w:ascii="宋体" w:hAnsi="宋体" w:eastAsia="宋体" w:cs="宋体"/>
                <w:szCs w:val="21"/>
              </w:rPr>
              <w:t>2.外围绿化树林白蚁防治标准：通过集中防治后，外围绿化树林白蚁危害降低到每百平方米不高于1处（点），使树木的存活率保持在95%以上。并建立有效的白蚁预防体系，防治期间不再产生新的白蚁危害</w:t>
            </w:r>
            <w:r>
              <w:rPr>
                <w:rFonts w:hint="eastAsia" w:ascii="宋体" w:hAnsi="宋体" w:eastAsia="宋体" w:cs="宋体"/>
                <w:szCs w:val="21"/>
              </w:rPr>
              <w:t>，绿地内红火蚁巢数密度为一级以下</w:t>
            </w:r>
            <w:r>
              <w:rPr>
                <w:rFonts w:ascii="宋体" w:hAnsi="宋体" w:eastAsia="宋体" w:cs="宋体"/>
                <w:szCs w:val="21"/>
              </w:rPr>
              <w:t>。接到电话24小时内响应。</w:t>
            </w:r>
          </w:p>
          <w:p>
            <w:pPr>
              <w:ind w:firstLine="420" w:firstLineChars="200"/>
              <w:rPr>
                <w:rFonts w:ascii="宋体" w:hAnsi="宋体" w:eastAsia="宋体" w:cs="宋体"/>
                <w:szCs w:val="21"/>
              </w:rPr>
            </w:pPr>
            <w:r>
              <w:rPr>
                <w:rFonts w:ascii="宋体" w:hAnsi="宋体" w:eastAsia="宋体" w:cs="宋体"/>
                <w:szCs w:val="21"/>
              </w:rPr>
              <w:t>3.内环境房屋白蚁防治标准：通过集中防治后，房屋建筑白蚁危害降低到每百平方米不高于0处（点），建立有效的白蚁预防体系，包治期间不再产生新的白蚁危害。接到电话24小时内响应。</w:t>
            </w:r>
          </w:p>
          <w:p>
            <w:pPr>
              <w:ind w:firstLine="420" w:firstLineChars="200"/>
              <w:rPr>
                <w:rFonts w:ascii="宋体" w:hAnsi="宋体" w:eastAsia="宋体" w:cs="宋体"/>
                <w:szCs w:val="21"/>
              </w:rPr>
            </w:pPr>
            <w:r>
              <w:rPr>
                <w:rFonts w:ascii="宋体" w:hAnsi="宋体" w:eastAsia="宋体" w:cs="宋体"/>
                <w:szCs w:val="21"/>
              </w:rPr>
              <w:t>4.四害防治标准：四害数目、密度显著下降，室内死鼠及时处理（电话5小时内响应），防治效果达到国家灭“四害”相关标准。</w:t>
            </w:r>
          </w:p>
          <w:p>
            <w:pPr>
              <w:ind w:firstLine="420" w:firstLineChars="200"/>
              <w:rPr>
                <w:rFonts w:ascii="宋体" w:hAnsi="宋体" w:eastAsia="宋体" w:cs="宋体"/>
                <w:szCs w:val="21"/>
              </w:rPr>
            </w:pPr>
            <w:r>
              <w:rPr>
                <w:rFonts w:ascii="宋体" w:hAnsi="宋体" w:eastAsia="宋体" w:cs="宋体"/>
                <w:szCs w:val="21"/>
              </w:rPr>
              <w:t>5.必须确保消杀范围内密度达到国家卫生城市标准；</w:t>
            </w:r>
          </w:p>
          <w:p>
            <w:pPr>
              <w:ind w:firstLine="420" w:firstLineChars="200"/>
              <w:rPr>
                <w:rFonts w:ascii="宋体" w:hAnsi="宋体" w:eastAsia="宋体" w:cs="宋体"/>
                <w:szCs w:val="21"/>
              </w:rPr>
            </w:pPr>
            <w:r>
              <w:rPr>
                <w:rFonts w:ascii="宋体" w:hAnsi="宋体" w:eastAsia="宋体" w:cs="宋体"/>
                <w:szCs w:val="21"/>
              </w:rPr>
              <w:t>6.必须保证灭白蚁和灭四害药械的安全使用；</w:t>
            </w:r>
          </w:p>
          <w:p>
            <w:pPr>
              <w:ind w:firstLine="420" w:firstLineChars="200"/>
              <w:rPr>
                <w:rFonts w:ascii="宋体" w:hAnsi="宋体" w:eastAsia="宋体" w:cs="宋体"/>
                <w:szCs w:val="21"/>
              </w:rPr>
            </w:pPr>
            <w:r>
              <w:rPr>
                <w:rFonts w:ascii="宋体" w:hAnsi="宋体" w:eastAsia="宋体" w:cs="宋体"/>
                <w:szCs w:val="21"/>
              </w:rPr>
              <w:t>7.免费提供灭白蚁和灭四害技术培训；</w:t>
            </w:r>
          </w:p>
          <w:p>
            <w:pPr>
              <w:ind w:firstLine="420" w:firstLineChars="200"/>
              <w:rPr>
                <w:rFonts w:ascii="宋体" w:hAnsi="宋体" w:eastAsia="宋体" w:cs="宋体"/>
                <w:szCs w:val="21"/>
              </w:rPr>
            </w:pPr>
            <w:r>
              <w:rPr>
                <w:rFonts w:ascii="宋体" w:hAnsi="宋体" w:eastAsia="宋体" w:cs="宋体"/>
                <w:szCs w:val="21"/>
              </w:rPr>
              <w:t>8.在治理范围内设置警示标志；</w:t>
            </w:r>
          </w:p>
          <w:p>
            <w:pPr>
              <w:ind w:firstLine="420" w:firstLineChars="200"/>
              <w:rPr>
                <w:rFonts w:ascii="宋体" w:hAnsi="宋体" w:eastAsia="宋体" w:cs="宋体"/>
                <w:szCs w:val="21"/>
              </w:rPr>
            </w:pPr>
            <w:r>
              <w:rPr>
                <w:rFonts w:ascii="宋体" w:hAnsi="宋体" w:eastAsia="宋体" w:cs="宋体"/>
                <w:szCs w:val="21"/>
              </w:rPr>
              <w:t>9.免费负责投药前后四害密度监测；</w:t>
            </w:r>
          </w:p>
          <w:p>
            <w:pPr>
              <w:ind w:firstLine="420" w:firstLineChars="200"/>
              <w:rPr>
                <w:rFonts w:ascii="宋体" w:hAnsi="宋体" w:eastAsia="宋体" w:cs="宋体"/>
                <w:szCs w:val="21"/>
              </w:rPr>
            </w:pPr>
            <w:r>
              <w:rPr>
                <w:rFonts w:ascii="宋体" w:hAnsi="宋体" w:eastAsia="宋体" w:cs="宋体"/>
                <w:szCs w:val="21"/>
              </w:rPr>
              <w:t>10.保证服务单完整，服务期间所有施工除了填写《病媒生物消杀记录表》（见附件），还必须填写由中标人规定的每次施工记录表，并且接受采购人相关人员的监管，否则工作视为无效。</w:t>
            </w:r>
          </w:p>
          <w:p>
            <w:pPr>
              <w:pStyle w:val="2"/>
            </w:pPr>
          </w:p>
          <w:p>
            <w:r>
              <w:rPr>
                <w:rFonts w:hint="eastAsia"/>
              </w:rPr>
              <w:t>附</w:t>
            </w:r>
          </w:p>
          <w:p>
            <w:pPr>
              <w:jc w:val="center"/>
              <w:rPr>
                <w:b/>
                <w:bCs/>
                <w:sz w:val="32"/>
                <w:szCs w:val="32"/>
              </w:rPr>
            </w:pPr>
            <w:r>
              <w:rPr>
                <w:rFonts w:hint="eastAsia"/>
                <w:b/>
                <w:bCs/>
                <w:sz w:val="32"/>
                <w:szCs w:val="32"/>
              </w:rPr>
              <w:t>服务考核标准</w:t>
            </w:r>
          </w:p>
          <w:p>
            <w:r>
              <w:rPr>
                <w:rFonts w:hint="eastAsia" w:ascii="宋体" w:hAnsi="宋体"/>
                <w:bCs/>
              </w:rPr>
              <w:t>评分在9</w:t>
            </w:r>
            <w:r>
              <w:rPr>
                <w:rFonts w:ascii="宋体" w:hAnsi="宋体"/>
                <w:bCs/>
              </w:rPr>
              <w:t>0</w:t>
            </w:r>
            <w:r>
              <w:rPr>
                <w:rFonts w:hint="eastAsia" w:ascii="宋体" w:hAnsi="宋体"/>
                <w:bCs/>
              </w:rPr>
              <w:t>分及以上为合格，评分在9</w:t>
            </w:r>
            <w:r>
              <w:rPr>
                <w:rFonts w:ascii="宋体" w:hAnsi="宋体"/>
                <w:bCs/>
              </w:rPr>
              <w:t>0</w:t>
            </w:r>
            <w:r>
              <w:rPr>
                <w:rFonts w:hint="eastAsia" w:ascii="宋体" w:hAnsi="宋体"/>
                <w:bCs/>
              </w:rPr>
              <w:t>分以下为不合格。</w:t>
            </w:r>
          </w:p>
          <w:tbl>
            <w:tblPr>
              <w:tblStyle w:val="13"/>
              <w:tblW w:w="7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148"/>
              <w:gridCol w:w="2693"/>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gridSpan w:val="2"/>
                  <w:vAlign w:val="center"/>
                </w:tcPr>
                <w:p>
                  <w:r>
                    <w:rPr>
                      <w:rFonts w:hint="eastAsia"/>
                    </w:rPr>
                    <w:t>服务项目</w:t>
                  </w:r>
                </w:p>
              </w:tc>
              <w:tc>
                <w:tcPr>
                  <w:tcW w:w="2693" w:type="dxa"/>
                  <w:vAlign w:val="center"/>
                </w:tcPr>
                <w:p>
                  <w:r>
                    <w:rPr>
                      <w:rFonts w:hint="eastAsia"/>
                    </w:rPr>
                    <w:t>考核标准</w:t>
                  </w:r>
                </w:p>
              </w:tc>
              <w:tc>
                <w:tcPr>
                  <w:tcW w:w="2333" w:type="dxa"/>
                  <w:vAlign w:val="center"/>
                </w:tcPr>
                <w:p>
                  <w:r>
                    <w:rPr>
                      <w:rFonts w:hint="eastAsi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gridSpan w:val="2"/>
                  <w:vAlign w:val="center"/>
                </w:tcPr>
                <w:p>
                  <w:r>
                    <w:rPr>
                      <w:rFonts w:hint="eastAsia"/>
                    </w:rPr>
                    <w:t>防治服务计划及实施情况</w:t>
                  </w:r>
                </w:p>
              </w:tc>
              <w:tc>
                <w:tcPr>
                  <w:tcW w:w="2693" w:type="dxa"/>
                  <w:vAlign w:val="center"/>
                </w:tcPr>
                <w:p>
                  <w:r>
                    <w:rPr>
                      <w:rFonts w:hint="eastAsia"/>
                    </w:rPr>
                    <w:t>按合同要求制定每月工作计划并实施。</w:t>
                  </w:r>
                </w:p>
              </w:tc>
              <w:tc>
                <w:tcPr>
                  <w:tcW w:w="2333" w:type="dxa"/>
                  <w:vAlign w:val="center"/>
                </w:tcPr>
                <w:p>
                  <w:r>
                    <w:rPr>
                      <w:rFonts w:hint="eastAsia"/>
                    </w:rPr>
                    <w:t>此项目5分，每发现一项不符合减</w:t>
                  </w:r>
                  <w:r>
                    <w:t>1</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restart"/>
                  <w:vAlign w:val="center"/>
                </w:tcPr>
                <w:p>
                  <w:pPr>
                    <w:jc w:val="center"/>
                  </w:pPr>
                  <w:r>
                    <w:rPr>
                      <w:rFonts w:hint="eastAsia"/>
                    </w:rPr>
                    <w:t>防治、消杀效果</w:t>
                  </w:r>
                </w:p>
              </w:tc>
              <w:tc>
                <w:tcPr>
                  <w:tcW w:w="1148" w:type="dxa"/>
                  <w:vAlign w:val="center"/>
                </w:tcPr>
                <w:p>
                  <w:r>
                    <w:rPr>
                      <w:rFonts w:hint="eastAsia"/>
                    </w:rPr>
                    <w:t>白蚁、红火蚁</w:t>
                  </w:r>
                </w:p>
              </w:tc>
              <w:tc>
                <w:tcPr>
                  <w:tcW w:w="2693" w:type="dxa"/>
                  <w:vAlign w:val="center"/>
                </w:tcPr>
                <w:p>
                  <w:r>
                    <w:rPr>
                      <w:rFonts w:hint="eastAsia"/>
                    </w:rPr>
                    <w:t>蚁穴每10</w:t>
                  </w:r>
                  <w:r>
                    <w:t>0</w:t>
                  </w:r>
                  <w:r>
                    <w:rPr>
                      <w:rFonts w:hint="eastAsia"/>
                    </w:rPr>
                    <w:t>平方米不超过1个，绿地、建筑物内目视无明显白蚁、红火蚁。</w:t>
                  </w:r>
                </w:p>
              </w:tc>
              <w:tc>
                <w:tcPr>
                  <w:tcW w:w="2333" w:type="dxa"/>
                  <w:vAlign w:val="center"/>
                </w:tcPr>
                <w:p>
                  <w:r>
                    <w:rPr>
                      <w:rFonts w:hint="eastAsia"/>
                    </w:rPr>
                    <w:t>此项目1</w:t>
                  </w:r>
                  <w:r>
                    <w:t>0</w:t>
                  </w:r>
                  <w:r>
                    <w:rPr>
                      <w:rFonts w:hint="eastAsia"/>
                    </w:rPr>
                    <w:t>分，每发现一处减0</w:t>
                  </w:r>
                  <w: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vAlign w:val="center"/>
                </w:tcPr>
                <w:p>
                  <w:pPr>
                    <w:jc w:val="center"/>
                  </w:pPr>
                </w:p>
              </w:tc>
              <w:tc>
                <w:tcPr>
                  <w:tcW w:w="1148" w:type="dxa"/>
                  <w:vAlign w:val="center"/>
                </w:tcPr>
                <w:p>
                  <w:r>
                    <w:rPr>
                      <w:rFonts w:hint="eastAsia"/>
                    </w:rPr>
                    <w:t>树虫</w:t>
                  </w:r>
                </w:p>
              </w:tc>
              <w:tc>
                <w:tcPr>
                  <w:tcW w:w="2693" w:type="dxa"/>
                  <w:vAlign w:val="center"/>
                </w:tcPr>
                <w:p>
                  <w:r>
                    <w:rPr>
                      <w:rFonts w:hint="eastAsia"/>
                    </w:rPr>
                    <w:t>抽查1</w:t>
                  </w:r>
                  <w:r>
                    <w:t>0</w:t>
                  </w:r>
                  <w:r>
                    <w:rPr>
                      <w:rFonts w:hint="eastAsia"/>
                    </w:rPr>
                    <w:t>棵树，目视无明显树虫。</w:t>
                  </w:r>
                </w:p>
              </w:tc>
              <w:tc>
                <w:tcPr>
                  <w:tcW w:w="2333" w:type="dxa"/>
                  <w:vAlign w:val="center"/>
                </w:tcPr>
                <w:p>
                  <w:r>
                    <w:rPr>
                      <w:rFonts w:hint="eastAsia"/>
                    </w:rPr>
                    <w:t>此项目1</w:t>
                  </w:r>
                  <w:r>
                    <w:t>0</w:t>
                  </w:r>
                  <w:r>
                    <w:rPr>
                      <w:rFonts w:hint="eastAsia"/>
                    </w:rPr>
                    <w:t>分，每发现一处减0</w:t>
                  </w:r>
                  <w: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110" w:type="dxa"/>
                  <w:vMerge w:val="continue"/>
                </w:tcPr>
                <w:p/>
              </w:tc>
              <w:tc>
                <w:tcPr>
                  <w:tcW w:w="1148" w:type="dxa"/>
                  <w:vAlign w:val="center"/>
                </w:tcPr>
                <w:p>
                  <w:r>
                    <w:rPr>
                      <w:rFonts w:hint="eastAsia"/>
                    </w:rPr>
                    <w:t>鼠</w:t>
                  </w:r>
                </w:p>
              </w:tc>
              <w:tc>
                <w:tcPr>
                  <w:tcW w:w="2693" w:type="dxa"/>
                  <w:vAlign w:val="center"/>
                </w:tcPr>
                <w:p>
                  <w:r>
                    <w:rPr>
                      <w:rFonts w:hint="eastAsia"/>
                    </w:rPr>
                    <w:t>鼠洞每</w:t>
                  </w:r>
                  <w:r>
                    <w:t>1</w:t>
                  </w:r>
                  <w:r>
                    <w:rPr>
                      <w:rFonts w:hint="eastAsia"/>
                    </w:rPr>
                    <w:t>万平米不超过1个，建筑物内无明显鼠迹。</w:t>
                  </w:r>
                </w:p>
              </w:tc>
              <w:tc>
                <w:tcPr>
                  <w:tcW w:w="2333" w:type="dxa"/>
                  <w:vAlign w:val="center"/>
                </w:tcPr>
                <w:p>
                  <w:r>
                    <w:rPr>
                      <w:rFonts w:hint="eastAsia"/>
                    </w:rPr>
                    <w:t>此项目1</w:t>
                  </w:r>
                  <w:r>
                    <w:t>0</w:t>
                  </w:r>
                  <w:r>
                    <w:rPr>
                      <w:rFonts w:hint="eastAsia"/>
                    </w:rPr>
                    <w:t>分，每发现一处减0</w:t>
                  </w:r>
                  <w: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tcPr>
                <w:p/>
              </w:tc>
              <w:tc>
                <w:tcPr>
                  <w:tcW w:w="1148" w:type="dxa"/>
                  <w:vAlign w:val="center"/>
                </w:tcPr>
                <w:p>
                  <w:r>
                    <w:rPr>
                      <w:rFonts w:hint="eastAsia"/>
                    </w:rPr>
                    <w:t>蚊</w:t>
                  </w:r>
                </w:p>
              </w:tc>
              <w:tc>
                <w:tcPr>
                  <w:tcW w:w="2693" w:type="dxa"/>
                  <w:vAlign w:val="center"/>
                </w:tcPr>
                <w:p>
                  <w:r>
                    <w:rPr>
                      <w:rFonts w:hint="eastAsia"/>
                    </w:rPr>
                    <w:t>抽查2</w:t>
                  </w:r>
                  <w:r>
                    <w:t>0</w:t>
                  </w:r>
                  <w:r>
                    <w:rPr>
                      <w:rFonts w:hint="eastAsia"/>
                    </w:rPr>
                    <w:t>间办公室，目视无明显蚊虫。</w:t>
                  </w:r>
                </w:p>
              </w:tc>
              <w:tc>
                <w:tcPr>
                  <w:tcW w:w="2333" w:type="dxa"/>
                  <w:vAlign w:val="center"/>
                </w:tcPr>
                <w:p>
                  <w:r>
                    <w:rPr>
                      <w:rFonts w:hint="eastAsia"/>
                    </w:rPr>
                    <w:t>此项目1</w:t>
                  </w:r>
                  <w:r>
                    <w:t>0</w:t>
                  </w:r>
                  <w:r>
                    <w:rPr>
                      <w:rFonts w:hint="eastAsia"/>
                    </w:rPr>
                    <w:t>分，每发现一处减0</w:t>
                  </w:r>
                  <w: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tcPr>
                <w:p/>
              </w:tc>
              <w:tc>
                <w:tcPr>
                  <w:tcW w:w="1148" w:type="dxa"/>
                  <w:vAlign w:val="center"/>
                </w:tcPr>
                <w:p>
                  <w:r>
                    <w:rPr>
                      <w:rFonts w:hint="eastAsia"/>
                    </w:rPr>
                    <w:t>蝇</w:t>
                  </w:r>
                </w:p>
              </w:tc>
              <w:tc>
                <w:tcPr>
                  <w:tcW w:w="2693" w:type="dxa"/>
                  <w:vAlign w:val="center"/>
                </w:tcPr>
                <w:p>
                  <w:r>
                    <w:rPr>
                      <w:rFonts w:hint="eastAsia"/>
                    </w:rPr>
                    <w:t>每1万平方米暴露的苍蝇孳生地不超过1处，办公楼、监管区、老干活动中心、食堂等目视无明显苍蝇。</w:t>
                  </w:r>
                </w:p>
              </w:tc>
              <w:tc>
                <w:tcPr>
                  <w:tcW w:w="2333" w:type="dxa"/>
                  <w:vAlign w:val="center"/>
                </w:tcPr>
                <w:p>
                  <w:r>
                    <w:rPr>
                      <w:rFonts w:hint="eastAsia"/>
                    </w:rPr>
                    <w:t>此项目1</w:t>
                  </w:r>
                  <w:r>
                    <w:t>0</w:t>
                  </w:r>
                  <w:r>
                    <w:rPr>
                      <w:rFonts w:hint="eastAsia"/>
                    </w:rPr>
                    <w:t>分，每发现一处减0</w:t>
                  </w:r>
                  <w: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dxa"/>
                  <w:vMerge w:val="continue"/>
                </w:tcPr>
                <w:p/>
              </w:tc>
              <w:tc>
                <w:tcPr>
                  <w:tcW w:w="1148" w:type="dxa"/>
                  <w:vAlign w:val="center"/>
                </w:tcPr>
                <w:p>
                  <w:r>
                    <w:rPr>
                      <w:rFonts w:hint="eastAsia"/>
                    </w:rPr>
                    <w:t>蟑螂</w:t>
                  </w:r>
                </w:p>
              </w:tc>
              <w:tc>
                <w:tcPr>
                  <w:tcW w:w="2693" w:type="dxa"/>
                  <w:vAlign w:val="center"/>
                </w:tcPr>
                <w:p>
                  <w:r>
                    <w:rPr>
                      <w:rFonts w:hint="eastAsia"/>
                    </w:rPr>
                    <w:t>抽查2</w:t>
                  </w:r>
                  <w:r>
                    <w:t>0</w:t>
                  </w:r>
                  <w:r>
                    <w:rPr>
                      <w:rFonts w:hint="eastAsia"/>
                    </w:rPr>
                    <w:t>间办公室，每间房内蟑螂数不超过1只；抽查绿化带、树木、水沟等1</w:t>
                  </w:r>
                  <w:r>
                    <w:t>0</w:t>
                  </w:r>
                  <w:r>
                    <w:rPr>
                      <w:rFonts w:hint="eastAsia"/>
                    </w:rPr>
                    <w:t>处，每处蟑螂数不超过3只。</w:t>
                  </w:r>
                </w:p>
              </w:tc>
              <w:tc>
                <w:tcPr>
                  <w:tcW w:w="2333" w:type="dxa"/>
                  <w:vAlign w:val="center"/>
                </w:tcPr>
                <w:p>
                  <w:r>
                    <w:rPr>
                      <w:rFonts w:hint="eastAsia"/>
                    </w:rPr>
                    <w:t>此项目1</w:t>
                  </w:r>
                  <w:r>
                    <w:t>0</w:t>
                  </w:r>
                  <w:r>
                    <w:rPr>
                      <w:rFonts w:hint="eastAsia"/>
                    </w:rPr>
                    <w:t>分，每发现一处减0</w:t>
                  </w:r>
                  <w: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gridSpan w:val="2"/>
                  <w:vAlign w:val="center"/>
                </w:tcPr>
                <w:p>
                  <w:r>
                    <w:rPr>
                      <w:rFonts w:hint="eastAsia"/>
                    </w:rPr>
                    <w:t>服务态度</w:t>
                  </w:r>
                </w:p>
              </w:tc>
              <w:tc>
                <w:tcPr>
                  <w:tcW w:w="2693" w:type="dxa"/>
                  <w:vAlign w:val="center"/>
                </w:tcPr>
                <w:p>
                  <w:r>
                    <w:rPr>
                      <w:rFonts w:hint="eastAsia"/>
                    </w:rPr>
                    <w:t>接到电话，及时响应，并按照采购人要求开展防治消杀工作</w:t>
                  </w:r>
                </w:p>
              </w:tc>
              <w:tc>
                <w:tcPr>
                  <w:tcW w:w="2333" w:type="dxa"/>
                  <w:vAlign w:val="center"/>
                </w:tcPr>
                <w:p>
                  <w:r>
                    <w:rPr>
                      <w:rFonts w:hint="eastAsia"/>
                    </w:rPr>
                    <w:t>此项目</w:t>
                  </w:r>
                  <w:r>
                    <w:t>5</w:t>
                  </w:r>
                  <w:r>
                    <w:rPr>
                      <w:rFonts w:hint="eastAsia"/>
                    </w:rPr>
                    <w:t>分，每发现一项不符合减</w:t>
                  </w:r>
                  <w:r>
                    <w:t>1</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gridSpan w:val="2"/>
                  <w:vAlign w:val="center"/>
                </w:tcPr>
                <w:p>
                  <w:r>
                    <w:rPr>
                      <w:rFonts w:hint="eastAsia"/>
                    </w:rPr>
                    <w:t>投诉处理</w:t>
                  </w:r>
                </w:p>
              </w:tc>
              <w:tc>
                <w:tcPr>
                  <w:tcW w:w="2693" w:type="dxa"/>
                  <w:vAlign w:val="center"/>
                </w:tcPr>
                <w:p>
                  <w:r>
                    <w:rPr>
                      <w:rFonts w:hint="eastAsia"/>
                    </w:rPr>
                    <w:t>因消杀质量不过关，造成</w:t>
                  </w:r>
                  <w:r>
                    <w:rPr>
                      <w:rFonts w:hint="eastAsia"/>
                      <w:lang w:eastAsia="zh-CN"/>
                    </w:rPr>
                    <w:t>办公区</w:t>
                  </w:r>
                  <w:r>
                    <w:rPr>
                      <w:rFonts w:hint="eastAsia"/>
                    </w:rPr>
                    <w:t>白蚁、红火蚁、树虫和四害泛滥。</w:t>
                  </w:r>
                </w:p>
              </w:tc>
              <w:tc>
                <w:tcPr>
                  <w:tcW w:w="2333" w:type="dxa"/>
                  <w:vAlign w:val="center"/>
                </w:tcPr>
                <w:p>
                  <w:r>
                    <w:rPr>
                      <w:rFonts w:hint="eastAsia"/>
                    </w:rPr>
                    <w:t>此项目1</w:t>
                  </w:r>
                  <w:r>
                    <w:t>0</w:t>
                  </w:r>
                  <w:r>
                    <w:rPr>
                      <w:rFonts w:hint="eastAsia"/>
                    </w:rPr>
                    <w:t>分，检查中每发现一处问题减1分。在合同履约期间如发生重大事故则全部扣除此项目1</w:t>
                  </w:r>
                  <w:r>
                    <w:t>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gridSpan w:val="2"/>
                  <w:vAlign w:val="center"/>
                </w:tcPr>
                <w:p>
                  <w:r>
                    <w:rPr>
                      <w:rFonts w:hint="eastAsia"/>
                    </w:rPr>
                    <w:t>工具及药物使用情况</w:t>
                  </w:r>
                </w:p>
              </w:tc>
              <w:tc>
                <w:tcPr>
                  <w:tcW w:w="2693" w:type="dxa"/>
                  <w:vAlign w:val="center"/>
                </w:tcPr>
                <w:p>
                  <w:r>
                    <w:rPr>
                      <w:rFonts w:hint="eastAsia"/>
                    </w:rPr>
                    <w:t>工具及药物的使用符合国家标准。</w:t>
                  </w:r>
                </w:p>
              </w:tc>
              <w:tc>
                <w:tcPr>
                  <w:tcW w:w="2333" w:type="dxa"/>
                  <w:vAlign w:val="center"/>
                </w:tcPr>
                <w:p>
                  <w:r>
                    <w:rPr>
                      <w:rFonts w:hint="eastAsia"/>
                    </w:rPr>
                    <w:t>此项目1</w:t>
                  </w:r>
                  <w:r>
                    <w:t>0</w:t>
                  </w:r>
                  <w:r>
                    <w:rPr>
                      <w:rFonts w:hint="eastAsia"/>
                    </w:rPr>
                    <w:t>分，每发现一项不符合减1分。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gridSpan w:val="2"/>
                  <w:vAlign w:val="center"/>
                </w:tcPr>
                <w:p>
                  <w:r>
                    <w:rPr>
                      <w:rFonts w:hint="eastAsia"/>
                    </w:rPr>
                    <w:t>上级单位检查结果</w:t>
                  </w:r>
                </w:p>
              </w:tc>
              <w:tc>
                <w:tcPr>
                  <w:tcW w:w="2693" w:type="dxa"/>
                  <w:vAlign w:val="center"/>
                </w:tcPr>
                <w:p>
                  <w:r>
                    <w:rPr>
                      <w:rFonts w:hint="eastAsia"/>
                    </w:rPr>
                    <w:t>帮助业主顺利通过上级单位检查，发现的问题及时解决。</w:t>
                  </w:r>
                </w:p>
              </w:tc>
              <w:tc>
                <w:tcPr>
                  <w:tcW w:w="2333" w:type="dxa"/>
                  <w:vAlign w:val="center"/>
                </w:tcPr>
                <w:p>
                  <w:r>
                    <w:rPr>
                      <w:rFonts w:hint="eastAsia"/>
                    </w:rPr>
                    <w:t>此项目1</w:t>
                  </w:r>
                  <w:r>
                    <w:t>0</w:t>
                  </w:r>
                  <w:r>
                    <w:rPr>
                      <w:rFonts w:hint="eastAsia"/>
                    </w:rPr>
                    <w:t>分，在合同履约期间未通过检查，每次减5分。发现的问题未及时改正，每发现一项减1分。</w:t>
                  </w:r>
                </w:p>
              </w:tc>
            </w:tr>
          </w:tbl>
          <w:p>
            <w:pPr>
              <w:rPr>
                <w:rFonts w:ascii="宋体" w:hAnsi="宋体" w:eastAsia="宋体" w:cs="宋体"/>
                <w:szCs w:val="21"/>
              </w:rPr>
            </w:pPr>
          </w:p>
        </w:tc>
        <w:tc>
          <w:tcPr>
            <w:tcW w:w="846" w:type="dxa"/>
            <w:shd w:val="clear" w:color="auto" w:fill="auto"/>
            <w:vAlign w:val="center"/>
          </w:tcPr>
          <w:p>
            <w:pPr>
              <w:jc w:val="center"/>
              <w:rPr>
                <w:rFonts w:ascii="宋体" w:hAnsi="宋体" w:eastAsia="宋体" w:cs="宋体"/>
                <w:szCs w:val="21"/>
              </w:rPr>
            </w:pPr>
            <w:r>
              <w:rPr>
                <w:rFonts w:ascii="宋体" w:hAnsi="宋体" w:eastAsia="宋体" w:cs="宋体"/>
                <w:szCs w:val="21"/>
              </w:rPr>
              <w:t>1</w:t>
            </w:r>
          </w:p>
        </w:tc>
        <w:tc>
          <w:tcPr>
            <w:tcW w:w="73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年</w:t>
            </w:r>
          </w:p>
        </w:tc>
        <w:tc>
          <w:tcPr>
            <w:tcW w:w="1176" w:type="dxa"/>
            <w:vAlign w:val="center"/>
          </w:tcPr>
          <w:p>
            <w:pPr>
              <w:jc w:val="center"/>
              <w:rPr>
                <w:rFonts w:ascii="宋体" w:hAnsi="宋体" w:eastAsia="宋体" w:cs="宋体"/>
                <w:szCs w:val="21"/>
              </w:rPr>
            </w:pPr>
            <w:r>
              <w:rPr>
                <w:rFonts w:hint="eastAsia" w:ascii="宋体" w:hAnsi="宋体" w:eastAsia="宋体" w:cs="宋体"/>
                <w:szCs w:val="21"/>
              </w:rPr>
              <w:t>60000</w:t>
            </w:r>
          </w:p>
        </w:tc>
        <w:tc>
          <w:tcPr>
            <w:tcW w:w="1496" w:type="dxa"/>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8" w:type="dxa"/>
            <w:gridSpan w:val="7"/>
            <w:vAlign w:val="center"/>
          </w:tcPr>
          <w:p>
            <w:pPr>
              <w:jc w:val="left"/>
              <w:rPr>
                <w:rFonts w:ascii="宋体" w:hAnsi="宋体" w:eastAsia="宋体" w:cs="宋体"/>
                <w:sz w:val="20"/>
                <w:szCs w:val="20"/>
              </w:rPr>
            </w:pPr>
            <w:r>
              <w:rPr>
                <w:rFonts w:hint="eastAsia" w:ascii="宋体" w:hAnsi="宋体" w:eastAsia="宋体" w:cs="宋体"/>
                <w:b/>
                <w:sz w:val="24"/>
                <w:szCs w:val="20"/>
              </w:rPr>
              <w:t>合计金额：</w:t>
            </w:r>
            <w:r>
              <w:rPr>
                <w:rFonts w:hint="eastAsia" w:ascii="宋体" w:hAnsi="宋体" w:eastAsia="宋体" w:cs="宋体"/>
                <w:sz w:val="24"/>
                <w:szCs w:val="20"/>
              </w:rPr>
              <w:t>人民币陆万</w:t>
            </w:r>
            <w:r>
              <w:rPr>
                <w:rFonts w:ascii="宋体" w:hAnsi="宋体" w:eastAsia="宋体" w:cs="宋体"/>
                <w:sz w:val="24"/>
                <w:szCs w:val="20"/>
              </w:rPr>
              <w:t>元整 （</w:t>
            </w:r>
            <w:r>
              <w:rPr>
                <w:rFonts w:hint="eastAsia" w:ascii="宋体" w:hAnsi="宋体" w:eastAsia="宋体" w:cs="宋体"/>
                <w:sz w:val="24"/>
                <w:szCs w:val="20"/>
              </w:rPr>
              <w:t>¥60000</w:t>
            </w:r>
            <w:r>
              <w:rPr>
                <w:rFonts w:ascii="宋体" w:hAnsi="宋体" w:eastAsia="宋体" w:cs="宋体"/>
                <w:sz w:val="24"/>
                <w:szCs w:val="20"/>
              </w:rPr>
              <w:t>.00元）</w:t>
            </w:r>
          </w:p>
        </w:tc>
      </w:tr>
    </w:tbl>
    <w:p>
      <w:pPr>
        <w:widowControl/>
        <w:jc w:val="left"/>
        <w:rPr>
          <w:rFonts w:ascii="宋体" w:hAnsi="宋体" w:eastAsia="宋体"/>
          <w:b/>
          <w:sz w:val="28"/>
          <w:szCs w:val="28"/>
        </w:rPr>
      </w:pPr>
      <w:r>
        <w:rPr>
          <w:rFonts w:hint="eastAsia" w:ascii="宋体" w:hAnsi="宋体" w:eastAsia="宋体" w:cs="宋体"/>
          <w:b/>
          <w:kern w:val="0"/>
          <w:sz w:val="28"/>
          <w:szCs w:val="28"/>
        </w:rPr>
        <w:t>二、</w:t>
      </w:r>
      <w:r>
        <w:rPr>
          <w:rFonts w:hint="eastAsia" w:ascii="宋体" w:hAnsi="宋体" w:eastAsia="宋体"/>
          <w:b/>
          <w:sz w:val="28"/>
          <w:szCs w:val="28"/>
        </w:rPr>
        <w:t>商务要求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239"/>
        <w:gridCol w:w="1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pPr>
              <w:pStyle w:val="2"/>
              <w:jc w:val="center"/>
              <w:rPr>
                <w:rFonts w:ascii="宋体" w:hAnsi="宋体" w:eastAsia="宋体"/>
                <w:b/>
                <w:sz w:val="24"/>
                <w:szCs w:val="24"/>
              </w:rPr>
            </w:pPr>
            <w:r>
              <w:rPr>
                <w:rFonts w:hint="eastAsia" w:ascii="宋体" w:hAnsi="宋体" w:eastAsia="宋体"/>
                <w:b/>
                <w:sz w:val="24"/>
                <w:szCs w:val="24"/>
              </w:rPr>
              <w:t>序号</w:t>
            </w:r>
          </w:p>
        </w:tc>
        <w:tc>
          <w:tcPr>
            <w:tcW w:w="1239" w:type="dxa"/>
            <w:vAlign w:val="center"/>
          </w:tcPr>
          <w:p>
            <w:pPr>
              <w:pStyle w:val="2"/>
              <w:jc w:val="both"/>
              <w:rPr>
                <w:rFonts w:ascii="宋体" w:hAnsi="宋体" w:eastAsia="宋体"/>
                <w:sz w:val="24"/>
                <w:szCs w:val="24"/>
              </w:rPr>
            </w:pPr>
            <w:r>
              <w:rPr>
                <w:rFonts w:hint="eastAsia" w:ascii="宋体" w:hAnsi="宋体" w:eastAsia="宋体"/>
                <w:b/>
                <w:sz w:val="24"/>
                <w:szCs w:val="24"/>
              </w:rPr>
              <w:t>商务名称</w:t>
            </w:r>
          </w:p>
        </w:tc>
        <w:tc>
          <w:tcPr>
            <w:tcW w:w="12087" w:type="dxa"/>
            <w:vAlign w:val="center"/>
          </w:tcPr>
          <w:p>
            <w:pPr>
              <w:pStyle w:val="2"/>
              <w:jc w:val="both"/>
              <w:rPr>
                <w:rFonts w:ascii="宋体" w:hAnsi="宋体" w:eastAsia="宋体"/>
                <w:sz w:val="24"/>
                <w:szCs w:val="24"/>
              </w:rPr>
            </w:pPr>
            <w:r>
              <w:rPr>
                <w:rFonts w:hint="eastAsia" w:ascii="宋体" w:hAnsi="宋体" w:eastAsia="宋体"/>
                <w:b/>
                <w:sz w:val="24"/>
                <w:szCs w:val="24"/>
              </w:rPr>
              <w:t>商务内容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pPr>
              <w:jc w:val="center"/>
            </w:pPr>
            <w:r>
              <w:rPr>
                <w:rFonts w:hint="eastAsia"/>
              </w:rPr>
              <w:t>1</w:t>
            </w:r>
          </w:p>
        </w:tc>
        <w:tc>
          <w:tcPr>
            <w:tcW w:w="1239" w:type="dxa"/>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资质要求</w:t>
            </w:r>
          </w:p>
        </w:tc>
        <w:tc>
          <w:tcPr>
            <w:tcW w:w="12087" w:type="dxa"/>
            <w:vAlign w:val="center"/>
          </w:tcPr>
          <w:p>
            <w:pPr>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企业营业执照、经营许可证等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pPr>
              <w:jc w:val="center"/>
            </w:pPr>
            <w:r>
              <w:rPr>
                <w:rFonts w:hint="eastAsia"/>
              </w:rPr>
              <w:t>2</w:t>
            </w:r>
          </w:p>
        </w:tc>
        <w:tc>
          <w:tcPr>
            <w:tcW w:w="1239" w:type="dxa"/>
            <w:vAlign w:val="center"/>
          </w:tcPr>
          <w:p>
            <w:pPr>
              <w:jc w:val="center"/>
              <w:rPr>
                <w:rFonts w:ascii="宋体" w:hAnsi="宋体" w:eastAsia="宋体"/>
              </w:rPr>
            </w:pPr>
            <w:r>
              <w:rPr>
                <w:rFonts w:hint="eastAsia" w:ascii="宋体" w:hAnsi="宋体" w:eastAsia="宋体"/>
              </w:rPr>
              <w:t>报价要求</w:t>
            </w:r>
          </w:p>
        </w:tc>
        <w:tc>
          <w:tcPr>
            <w:tcW w:w="12087" w:type="dxa"/>
            <w:vAlign w:val="center"/>
          </w:tcPr>
          <w:p>
            <w:pPr>
              <w:rPr>
                <w:rFonts w:ascii="宋体" w:hAnsi="宋体" w:eastAsia="宋体"/>
              </w:rPr>
            </w:pPr>
            <w:r>
              <w:rPr>
                <w:rFonts w:hint="eastAsia" w:ascii="宋体" w:hAnsi="宋体" w:eastAsia="宋体"/>
              </w:rPr>
              <w:t>1.</w:t>
            </w:r>
            <w:r>
              <w:rPr>
                <w:rFonts w:hint="eastAsia"/>
              </w:rPr>
              <w:t xml:space="preserve"> </w:t>
            </w:r>
            <w:r>
              <w:rPr>
                <w:rFonts w:hint="eastAsia" w:ascii="宋体" w:hAnsi="宋体" w:eastAsia="宋体"/>
              </w:rPr>
              <w:t>本项目投标总报价应包括防治服务项目中的相关设备、劳务、交通、管理、材料、维护、保险、利润、税金、政策性文件规定的各项费用及所有风险、责任，请供应商自行考虑报价。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p>
            <w:pPr>
              <w:pStyle w:val="7"/>
              <w:rPr>
                <w:sz w:val="24"/>
                <w:szCs w:val="24"/>
              </w:rPr>
            </w:pPr>
            <w:r>
              <w:rPr>
                <w:rFonts w:hint="eastAsia"/>
                <w:sz w:val="21"/>
              </w:rPr>
              <w:t>2.</w:t>
            </w:r>
            <w:r>
              <w:rPr>
                <w:sz w:val="21"/>
              </w:rPr>
              <w:t>技术要求必须执行国家和地方最新的强制性标准和国家或行业的最新规范，必须满足国家有关规范要求。</w:t>
            </w:r>
          </w:p>
          <w:p>
            <w:pPr>
              <w:pStyle w:val="6"/>
              <w:rPr>
                <w:rFonts w:ascii="宋体" w:hAnsi="宋体" w:eastAsia="宋体" w:cs="宋体"/>
              </w:rPr>
            </w:pPr>
            <w:r>
              <w:rPr>
                <w:rFonts w:hint="eastAsia" w:ascii="宋体" w:hAnsi="宋体" w:eastAsia="宋体" w:cs="宋体"/>
              </w:rPr>
              <w:t>3.采购需求及供应商报价文件，作为合同附件。</w:t>
            </w:r>
          </w:p>
          <w:p>
            <w:pPr>
              <w:pStyle w:val="7"/>
              <w:rPr>
                <w:sz w:val="24"/>
                <w:szCs w:val="24"/>
              </w:rPr>
            </w:pPr>
            <w:r>
              <w:rPr>
                <w:rFonts w:hint="eastAsia"/>
                <w:sz w:val="24"/>
                <w:szCs w:val="24"/>
              </w:rPr>
              <w:t>4.成交结果公告之日起5个工作日内签订合同。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pPr>
              <w:jc w:val="center"/>
            </w:pPr>
            <w:r>
              <w:rPr>
                <w:rFonts w:hint="eastAsia"/>
              </w:rPr>
              <w:t>3</w:t>
            </w:r>
          </w:p>
        </w:tc>
        <w:tc>
          <w:tcPr>
            <w:tcW w:w="1239" w:type="dxa"/>
            <w:vAlign w:val="center"/>
          </w:tcPr>
          <w:p>
            <w:pPr>
              <w:rPr>
                <w:rFonts w:ascii="宋体" w:hAnsi="宋体" w:eastAsia="宋体"/>
              </w:rPr>
            </w:pPr>
            <w:r>
              <w:rPr>
                <w:rFonts w:hint="eastAsia" w:ascii="宋体" w:hAnsi="宋体" w:eastAsia="宋体"/>
              </w:rPr>
              <w:t>服务（实施）时间、地点</w:t>
            </w:r>
          </w:p>
        </w:tc>
        <w:tc>
          <w:tcPr>
            <w:tcW w:w="12087" w:type="dxa"/>
            <w:vAlign w:val="center"/>
          </w:tcPr>
          <w:p>
            <w:pPr>
              <w:rPr>
                <w:rFonts w:ascii="宋体" w:hAnsi="宋体" w:eastAsia="宋体"/>
              </w:rPr>
            </w:pPr>
            <w:r>
              <w:rPr>
                <w:rFonts w:hint="eastAsia" w:ascii="宋体" w:hAnsi="宋体" w:eastAsia="宋体"/>
              </w:rPr>
              <w:t>1.</w:t>
            </w:r>
            <w:r>
              <w:rPr>
                <w:rFonts w:hint="eastAsia"/>
              </w:rPr>
              <w:t xml:space="preserve"> </w:t>
            </w:r>
            <w:r>
              <w:rPr>
                <w:rFonts w:hint="eastAsia" w:ascii="宋体" w:hAnsi="宋体" w:eastAsia="宋体"/>
              </w:rPr>
              <w:t>签订合同之日起壹年。按合同约定每次付款满前</w:t>
            </w:r>
            <w:r>
              <w:rPr>
                <w:rFonts w:ascii="宋体" w:hAnsi="宋体" w:eastAsia="宋体"/>
              </w:rPr>
              <w:t xml:space="preserve"> </w:t>
            </w:r>
            <w:r>
              <w:rPr>
                <w:rFonts w:hint="eastAsia" w:ascii="宋体" w:hAnsi="宋体" w:eastAsia="宋体"/>
              </w:rPr>
              <w:t>1</w:t>
            </w:r>
            <w:r>
              <w:rPr>
                <w:rFonts w:ascii="宋体" w:hAnsi="宋体" w:eastAsia="宋体"/>
              </w:rPr>
              <w:t>0天采购人对中标人进行综合考核，考核标准详见参数附件，如考核合格，</w:t>
            </w:r>
            <w:r>
              <w:rPr>
                <w:rFonts w:hint="eastAsia" w:ascii="宋体" w:hAnsi="宋体" w:eastAsia="宋体"/>
              </w:rPr>
              <w:t>按时支付费用</w:t>
            </w:r>
            <w:r>
              <w:rPr>
                <w:rFonts w:ascii="宋体" w:hAnsi="宋体" w:eastAsia="宋体"/>
              </w:rPr>
              <w:t>。</w:t>
            </w:r>
            <w:r>
              <w:rPr>
                <w:rFonts w:hint="eastAsia" w:ascii="宋体" w:hAnsi="宋体" w:eastAsia="宋体"/>
              </w:rPr>
              <w:t>不合格的可要求成交供应商整改至合格。</w:t>
            </w:r>
          </w:p>
          <w:p>
            <w:pPr>
              <w:rPr>
                <w:rFonts w:ascii="宋体" w:hAnsi="宋体" w:eastAsia="宋体"/>
              </w:rPr>
            </w:pPr>
            <w:r>
              <w:rPr>
                <w:rFonts w:hint="eastAsia" w:ascii="宋体" w:hAnsi="宋体" w:eastAsia="宋体"/>
              </w:rPr>
              <w:t>2</w:t>
            </w:r>
            <w:r>
              <w:rPr>
                <w:rFonts w:hint="eastAsia"/>
              </w:rPr>
              <w:t xml:space="preserve"> .</w:t>
            </w:r>
            <w:r>
              <w:rPr>
                <w:rFonts w:hint="eastAsia" w:ascii="宋体" w:hAnsi="宋体" w:eastAsia="宋体"/>
              </w:rPr>
              <w:t>服务地点：广西柳城县大埔镇板桥路125号</w:t>
            </w:r>
          </w:p>
          <w:p>
            <w:pPr>
              <w:rPr>
                <w:rFonts w:ascii="宋体" w:hAnsi="宋体" w:eastAsia="宋体"/>
              </w:rPr>
            </w:pPr>
            <w:r>
              <w:rPr>
                <w:rFonts w:hint="eastAsia" w:ascii="宋体" w:hAnsi="宋体" w:eastAsia="宋体"/>
              </w:rPr>
              <w:t>3.</w:t>
            </w:r>
            <w:r>
              <w:rPr>
                <w:rFonts w:hint="eastAsia"/>
              </w:rPr>
              <w:t xml:space="preserve"> </w:t>
            </w:r>
            <w:r>
              <w:rPr>
                <w:rFonts w:hint="eastAsia" w:ascii="宋体" w:hAnsi="宋体" w:eastAsia="宋体"/>
              </w:rPr>
              <w:t>供应商必须在响应文件中提供</w:t>
            </w:r>
            <w:r>
              <w:rPr>
                <w:rFonts w:ascii="宋体" w:hAnsi="宋体" w:eastAsia="宋体"/>
              </w:rPr>
              <w:t>24小时电话服务并承诺服务响应时间：接到防治需求通知后1小时响应，24小时之内到达现场开展防治消杀工作。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pPr>
              <w:jc w:val="center"/>
            </w:pPr>
            <w:r>
              <w:rPr>
                <w:rFonts w:hint="eastAsia" w:ascii="宋体" w:hAnsi="宋体" w:eastAsia="宋体"/>
              </w:rPr>
              <w:t>4</w:t>
            </w:r>
          </w:p>
        </w:tc>
        <w:tc>
          <w:tcPr>
            <w:tcW w:w="1239" w:type="dxa"/>
            <w:vAlign w:val="center"/>
          </w:tcPr>
          <w:p>
            <w:pPr>
              <w:rPr>
                <w:rFonts w:ascii="宋体" w:hAnsi="宋体" w:eastAsia="宋体"/>
              </w:rPr>
            </w:pPr>
            <w:r>
              <w:rPr>
                <w:rFonts w:hint="eastAsia" w:ascii="宋体" w:hAnsi="宋体" w:eastAsia="宋体"/>
              </w:rPr>
              <w:t>产品要求</w:t>
            </w:r>
          </w:p>
        </w:tc>
        <w:tc>
          <w:tcPr>
            <w:tcW w:w="12087" w:type="dxa"/>
            <w:vAlign w:val="center"/>
          </w:tcPr>
          <w:p>
            <w:pPr>
              <w:pStyle w:val="6"/>
              <w:rPr>
                <w:rFonts w:ascii="宋体" w:hAnsi="宋体" w:eastAsia="宋体"/>
                <w:szCs w:val="21"/>
              </w:rPr>
            </w:pPr>
            <w:r>
              <w:rPr>
                <w:rFonts w:hint="eastAsia" w:ascii="宋体" w:hAnsi="宋体" w:eastAsia="宋体"/>
                <w:szCs w:val="21"/>
              </w:rPr>
              <w:t>1.灭四害药物必须提供有效的“三证”（农药登记证、农药生产批准证书、技术监督部门备案的企业标准）复印件及供应商针对本项目的产品质量承诺书原件或复印件，杜绝使用高毒类及来源不明无“三证”或质量不稳定的卫生杀虫剂，确保灭效和人畜等各项安全，符合绿色环保的有关要求，否则做无效投标处理。</w:t>
            </w:r>
          </w:p>
          <w:p>
            <w:pPr>
              <w:pStyle w:val="6"/>
            </w:pPr>
            <w:r>
              <w:rPr>
                <w:rFonts w:hint="eastAsia" w:ascii="宋体" w:hAnsi="宋体" w:eastAsia="宋体"/>
                <w:szCs w:val="21"/>
              </w:rPr>
              <w:t>2</w:t>
            </w:r>
            <w:r>
              <w:rPr>
                <w:rFonts w:ascii="宋体" w:hAnsi="宋体" w:eastAsia="宋体"/>
                <w:szCs w:val="21"/>
              </w:rPr>
              <w:t>.技术要求必须执行国家和地方最新的强制性标准和国家或行业的最新规范，必须满足国家有关规范要求。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pPr>
              <w:jc w:val="center"/>
              <w:rPr>
                <w:rFonts w:ascii="宋体" w:hAnsi="宋体" w:eastAsia="宋体"/>
              </w:rPr>
            </w:pPr>
            <w:r>
              <w:rPr>
                <w:rFonts w:hint="eastAsia" w:ascii="宋体" w:hAnsi="宋体" w:eastAsia="宋体"/>
              </w:rPr>
              <w:t>5</w:t>
            </w:r>
          </w:p>
        </w:tc>
        <w:tc>
          <w:tcPr>
            <w:tcW w:w="1239" w:type="dxa"/>
            <w:vAlign w:val="center"/>
          </w:tcPr>
          <w:p>
            <w:pPr>
              <w:jc w:val="center"/>
              <w:rPr>
                <w:rFonts w:ascii="宋体" w:hAnsi="宋体" w:eastAsia="宋体"/>
              </w:rPr>
            </w:pPr>
            <w:r>
              <w:rPr>
                <w:rFonts w:hint="eastAsia" w:ascii="宋体" w:hAnsi="宋体" w:eastAsia="宋体"/>
              </w:rPr>
              <w:t>付款方式、时间及条件</w:t>
            </w:r>
          </w:p>
        </w:tc>
        <w:tc>
          <w:tcPr>
            <w:tcW w:w="12087" w:type="dxa"/>
            <w:vAlign w:val="center"/>
          </w:tcPr>
          <w:p>
            <w:pPr>
              <w:numPr>
                <w:ilvl w:val="0"/>
                <w:numId w:val="1"/>
              </w:numPr>
              <w:rPr>
                <w:rFonts w:ascii="宋体" w:hAnsi="宋体" w:eastAsia="宋体"/>
              </w:rPr>
            </w:pPr>
            <w:r>
              <w:rPr>
                <w:rFonts w:hint="eastAsia" w:ascii="宋体" w:hAnsi="宋体" w:eastAsia="宋体"/>
              </w:rPr>
              <w:t>合同签订后</w:t>
            </w:r>
            <w:r>
              <w:rPr>
                <w:rFonts w:ascii="宋体" w:hAnsi="宋体" w:eastAsia="宋体"/>
              </w:rPr>
              <w:t>成交供应商</w:t>
            </w:r>
            <w:r>
              <w:rPr>
                <w:rFonts w:hint="eastAsia" w:ascii="宋体" w:hAnsi="宋体" w:eastAsia="宋体"/>
              </w:rPr>
              <w:t>按约定</w:t>
            </w:r>
            <w:r>
              <w:rPr>
                <w:rFonts w:ascii="宋体" w:hAnsi="宋体" w:eastAsia="宋体"/>
              </w:rPr>
              <w:t>进场开展消杀防治工作，</w:t>
            </w:r>
            <w:r>
              <w:rPr>
                <w:rFonts w:hint="eastAsia" w:ascii="宋体" w:hAnsi="宋体" w:eastAsia="宋体"/>
              </w:rPr>
              <w:t>并当场</w:t>
            </w:r>
            <w:r>
              <w:rPr>
                <w:rFonts w:ascii="宋体" w:hAnsi="宋体" w:eastAsia="宋体"/>
              </w:rPr>
              <w:t>验收</w:t>
            </w:r>
            <w:r>
              <w:rPr>
                <w:rFonts w:hint="eastAsia" w:ascii="宋体" w:hAnsi="宋体" w:eastAsia="宋体"/>
              </w:rPr>
              <w:t>。开展防治工作半年后</w:t>
            </w:r>
            <w:r>
              <w:rPr>
                <w:rFonts w:ascii="宋体" w:hAnsi="宋体" w:eastAsia="宋体"/>
              </w:rPr>
              <w:t>成交供应商向采购人开具增值税发票后，采购人向成交供应商支付合同总价50%；</w:t>
            </w:r>
          </w:p>
          <w:p>
            <w:pPr>
              <w:numPr>
                <w:ilvl w:val="0"/>
                <w:numId w:val="1"/>
              </w:numPr>
              <w:rPr>
                <w:rFonts w:ascii="宋体" w:hAnsi="宋体" w:eastAsia="宋体"/>
              </w:rPr>
            </w:pPr>
            <w:bookmarkStart w:id="3" w:name="_GoBack"/>
            <w:bookmarkEnd w:id="3"/>
            <w:r>
              <w:rPr>
                <w:rFonts w:ascii="宋体" w:hAnsi="宋体" w:eastAsia="宋体"/>
              </w:rPr>
              <w:t>合同期满，防治服务验收合格后十个工作日内，成交供应商递交付款申请及等额增值税发票后十五个工作日内采购人支付合同总价的50%给供应商。</w:t>
            </w:r>
          </w:p>
          <w:p>
            <w:pPr>
              <w:rPr>
                <w:rFonts w:ascii="宋体" w:hAnsi="宋体" w:eastAsia="宋体"/>
              </w:rPr>
            </w:pPr>
            <w:r>
              <w:rPr>
                <w:rFonts w:hint="eastAsia" w:ascii="宋体" w:hAnsi="宋体" w:eastAsia="宋体"/>
              </w:rPr>
              <w:t>3</w:t>
            </w:r>
            <w:r>
              <w:rPr>
                <w:rFonts w:ascii="宋体" w:hAnsi="宋体" w:eastAsia="宋体"/>
              </w:rPr>
              <w:t>. 票据要求：</w:t>
            </w:r>
            <w:r>
              <w:rPr>
                <w:rFonts w:hint="eastAsia" w:ascii="宋体" w:hAnsi="宋体" w:eastAsia="宋体"/>
              </w:rPr>
              <w:t>付款前</w:t>
            </w:r>
            <w:r>
              <w:rPr>
                <w:rFonts w:ascii="宋体" w:hAnsi="宋体" w:eastAsia="宋体"/>
              </w:rPr>
              <w:t>成交供应商必须按照</w:t>
            </w:r>
            <w:r>
              <w:rPr>
                <w:rFonts w:hint="eastAsia" w:ascii="宋体" w:hAnsi="宋体" w:eastAsia="宋体"/>
              </w:rPr>
              <w:t>合同</w:t>
            </w:r>
            <w:r>
              <w:rPr>
                <w:rFonts w:ascii="宋体" w:hAnsi="宋体" w:eastAsia="宋体"/>
              </w:rPr>
              <w:t xml:space="preserve">要求提供真实、有效、合法的正式发票。一旦发现成交供应商提供虚假发票，除须向采购人补开合法发票外，须赔偿采购人发票票面金额一倍的违约金，且采购人有权终止合同，供应商不得提出异议，因终止合同而产生的一切损失均由供应商承担。 </w:t>
            </w:r>
          </w:p>
          <w:p>
            <w:pPr>
              <w:rPr>
                <w:rFonts w:ascii="宋体" w:hAnsi="宋体" w:eastAsia="宋体"/>
              </w:rPr>
            </w:pPr>
            <w:r>
              <w:rPr>
                <w:rFonts w:hint="eastAsia" w:ascii="宋体" w:hAnsi="宋体" w:eastAsia="宋体"/>
              </w:rPr>
              <w:t>4</w:t>
            </w:r>
            <w:r>
              <w:rPr>
                <w:rFonts w:ascii="宋体" w:hAnsi="宋体" w:eastAsia="宋体"/>
              </w:rPr>
              <w:t>. 本合同使用货币币制如未作特别说明均为人民币。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pPr>
              <w:jc w:val="center"/>
              <w:rPr>
                <w:rFonts w:ascii="宋体" w:hAnsi="宋体" w:eastAsia="宋体"/>
              </w:rPr>
            </w:pPr>
            <w:r>
              <w:rPr>
                <w:rFonts w:hint="eastAsia" w:ascii="宋体" w:hAnsi="宋体" w:eastAsia="宋体"/>
              </w:rPr>
              <w:t>6</w:t>
            </w:r>
          </w:p>
        </w:tc>
        <w:tc>
          <w:tcPr>
            <w:tcW w:w="1239" w:type="dxa"/>
            <w:vAlign w:val="center"/>
          </w:tcPr>
          <w:p>
            <w:pPr>
              <w:jc w:val="center"/>
              <w:rPr>
                <w:rFonts w:ascii="宋体" w:hAnsi="宋体" w:eastAsia="宋体"/>
              </w:rPr>
            </w:pPr>
            <w:r>
              <w:rPr>
                <w:rFonts w:hint="eastAsia" w:ascii="宋体" w:hAnsi="宋体" w:eastAsia="宋体"/>
              </w:rPr>
              <w:t>验收、交付要求</w:t>
            </w:r>
          </w:p>
        </w:tc>
        <w:tc>
          <w:tcPr>
            <w:tcW w:w="12087" w:type="dxa"/>
            <w:vAlign w:val="center"/>
          </w:tcPr>
          <w:p>
            <w:pPr>
              <w:rPr>
                <w:rFonts w:ascii="宋体" w:hAnsi="宋体" w:eastAsia="宋体"/>
                <w:color w:val="000000" w:themeColor="text1"/>
                <w14:textFill>
                  <w14:solidFill>
                    <w14:schemeClr w14:val="tx1"/>
                  </w14:solidFill>
                </w14:textFill>
              </w:rPr>
            </w:pPr>
            <w:r>
              <w:rPr>
                <w:rFonts w:hint="eastAsia" w:ascii="宋体" w:hAnsi="宋体" w:eastAsia="宋体"/>
              </w:rPr>
              <w:t>1</w:t>
            </w:r>
            <w:r>
              <w:rPr>
                <w:rFonts w:hint="eastAsia" w:ascii="宋体" w:hAnsi="宋体" w:eastAsia="宋体"/>
                <w:color w:val="000000" w:themeColor="text1"/>
                <w14:textFill>
                  <w14:solidFill>
                    <w14:schemeClr w14:val="tx1"/>
                  </w14:solidFill>
                </w14:textFill>
              </w:rPr>
              <w:t>①成交供应商必须严格遵守各项相关法律法规的规定，落实安全生产制度。</w:t>
            </w:r>
          </w:p>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②成交供应商提供服务期间如服务不到位而产生的安全事故，要承担相应的法律和经济责任，自行承担合同期内的自身安全责任，并遵守业主的相关管理规定。</w:t>
            </w:r>
          </w:p>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③成交供应商具备有害生物服务企业资质证书</w:t>
            </w:r>
            <w:r>
              <w:rPr>
                <w:rFonts w:ascii="宋体" w:hAnsi="宋体" w:eastAsia="宋体"/>
                <w:color w:val="000000" w:themeColor="text1"/>
                <w14:textFill>
                  <w14:solidFill>
                    <w14:schemeClr w14:val="tx1"/>
                  </w14:solidFill>
                </w14:textFill>
              </w:rPr>
              <w:t>A级，提供防治服务的人员要求项目负责人须持有有害生物防制员职业资格证书。提供复印件，原件备查。</w:t>
            </w:r>
          </w:p>
          <w:p>
            <w:pP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w:t>
            </w:r>
            <w:r>
              <w:rPr>
                <w:rFonts w:ascii="宋体" w:hAnsi="宋体" w:eastAsia="宋体"/>
                <w:color w:val="000000" w:themeColor="text1"/>
                <w14:textFill>
                  <w14:solidFill>
                    <w14:schemeClr w14:val="tx1"/>
                  </w14:solidFill>
                </w14:textFill>
              </w:rPr>
              <w:t>.本项目不接受任何形式的转包、分包。</w:t>
            </w:r>
          </w:p>
          <w:p>
            <w:pPr>
              <w:rPr>
                <w:rFonts w:ascii="宋体" w:hAnsi="宋体" w:eastAsia="宋体"/>
              </w:rPr>
            </w:pPr>
            <w:r>
              <w:rPr>
                <w:rFonts w:hint="eastAsia" w:ascii="宋体" w:hAnsi="宋体" w:eastAsia="宋体"/>
              </w:rPr>
              <w:t>3.项目实施期间，成交供应商须安排不少于</w:t>
            </w:r>
            <w:r>
              <w:rPr>
                <w:rFonts w:hint="eastAsia" w:ascii="宋体" w:hAnsi="宋体" w:eastAsia="宋体"/>
                <w:u w:val="single"/>
              </w:rPr>
              <w:t xml:space="preserve">  2 </w:t>
            </w:r>
            <w:r>
              <w:rPr>
                <w:rFonts w:hint="eastAsia" w:ascii="宋体" w:hAnsi="宋体" w:eastAsia="宋体"/>
              </w:rPr>
              <w:t>名以上的相关技术人员驻采购单位进行项目实施管理，所产生的费用均包含在响应总报价中。</w:t>
            </w:r>
          </w:p>
          <w:p>
            <w:pPr>
              <w:rPr>
                <w:rFonts w:ascii="宋体" w:hAnsi="宋体" w:eastAsia="宋体"/>
              </w:rPr>
            </w:pPr>
            <w:r>
              <w:rPr>
                <w:rFonts w:hint="eastAsia" w:ascii="宋体" w:hAnsi="宋体" w:eastAsia="宋体"/>
              </w:rPr>
              <w:t xml:space="preserve"> </w:t>
            </w:r>
            <w:r>
              <w:rPr>
                <w:rFonts w:hint="eastAsia" w:ascii="宋体" w:hAnsi="宋体" w:eastAsia="宋体"/>
                <w:color w:val="000000" w:themeColor="text1"/>
                <w14:textFill>
                  <w14:solidFill>
                    <w14:schemeClr w14:val="tx1"/>
                  </w14:solidFill>
                </w14:textFill>
              </w:rPr>
              <w:t>4.供货时采购人有权邀请第三方检测机构对成交供应商提供本项目中的指定产品进行测试预验收，以确认技术指标和商务条款等是否满足招标文件中的要求以及投标文件中的承诺，若测试结果不能满足，则属于虚假应标，采购单位有权不予以最终验收并有权单方面终止合同，采购单位将上报相关行政监管部门按照有关法律法规文件处理，所造成的后果由成交供应商自行承担。以上邀请第三方检测机构所产生的测试和检验相关费用由成交供应商承担。</w:t>
            </w:r>
          </w:p>
          <w:p>
            <w:pPr>
              <w:rPr>
                <w:rFonts w:ascii="宋体" w:hAnsi="宋体" w:eastAsia="宋体"/>
              </w:rPr>
            </w:pPr>
            <w:r>
              <w:rPr>
                <w:rFonts w:hint="eastAsia" w:ascii="宋体" w:hAnsi="宋体"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pPr>
              <w:jc w:val="center"/>
              <w:rPr>
                <w:rFonts w:ascii="宋体" w:hAnsi="宋体" w:eastAsia="宋体"/>
              </w:rPr>
            </w:pPr>
            <w:r>
              <w:rPr>
                <w:rFonts w:hint="eastAsia" w:ascii="宋体" w:hAnsi="宋体" w:eastAsia="宋体"/>
              </w:rPr>
              <w:t>7</w:t>
            </w:r>
          </w:p>
        </w:tc>
        <w:tc>
          <w:tcPr>
            <w:tcW w:w="1239" w:type="dxa"/>
            <w:vAlign w:val="center"/>
          </w:tcPr>
          <w:p>
            <w:pPr>
              <w:jc w:val="center"/>
              <w:rPr>
                <w:rFonts w:ascii="宋体" w:hAnsi="宋体" w:eastAsia="宋体"/>
              </w:rPr>
            </w:pPr>
            <w:r>
              <w:rPr>
                <w:rFonts w:hint="eastAsia" w:ascii="宋体" w:hAnsi="宋体" w:eastAsia="宋体"/>
              </w:rPr>
              <w:t>知识产权</w:t>
            </w:r>
          </w:p>
        </w:tc>
        <w:tc>
          <w:tcPr>
            <w:tcW w:w="12087" w:type="dxa"/>
            <w:vAlign w:val="center"/>
          </w:tcPr>
          <w:p>
            <w:pPr>
              <w:rPr>
                <w:rFonts w:ascii="宋体" w:hAnsi="宋体" w:eastAsia="宋体"/>
              </w:rPr>
            </w:pPr>
            <w:r>
              <w:rPr>
                <w:rFonts w:hint="eastAsia" w:ascii="宋体" w:hAnsi="宋体" w:eastAsia="宋体"/>
              </w:rPr>
              <w:t>采购人在中华人民共和国境内使用供应商提供的产品、服务、推广平台、课程教学设计、制作的课程、微课、PPT文稿及文本、视频、使用的题库，不受第三方提出的侵犯其专利权或其它知识产权的起诉。如果第三方提出侵权指控，中标人应承担由此而引起的一切法律责任和费用。成交供应商按成交金额的10%赔偿采购人，并支付采购人5万元每次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42" w:type="dxa"/>
            <w:vAlign w:val="center"/>
          </w:tcPr>
          <w:p>
            <w:pPr>
              <w:jc w:val="center"/>
              <w:rPr>
                <w:rFonts w:ascii="宋体" w:hAnsi="宋体" w:eastAsia="宋体"/>
              </w:rPr>
            </w:pPr>
            <w:r>
              <w:rPr>
                <w:rFonts w:hint="eastAsia" w:ascii="宋体" w:hAnsi="宋体" w:eastAsia="宋体"/>
              </w:rPr>
              <w:t>8</w:t>
            </w:r>
          </w:p>
        </w:tc>
        <w:tc>
          <w:tcPr>
            <w:tcW w:w="1239" w:type="dxa"/>
            <w:vAlign w:val="center"/>
          </w:tcPr>
          <w:p>
            <w:pPr>
              <w:pStyle w:val="2"/>
              <w:jc w:val="both"/>
              <w:rPr>
                <w:rFonts w:ascii="宋体" w:hAnsi="宋体" w:eastAsia="宋体" w:cs="仿宋"/>
                <w:color w:val="000000"/>
                <w:kern w:val="0"/>
                <w:sz w:val="21"/>
                <w:szCs w:val="21"/>
              </w:rPr>
            </w:pPr>
            <w:r>
              <w:rPr>
                <w:rFonts w:hint="eastAsia" w:ascii="宋体" w:hAnsi="宋体" w:eastAsia="宋体" w:cs="仿宋"/>
                <w:color w:val="000000"/>
                <w:kern w:val="0"/>
                <w:sz w:val="21"/>
                <w:szCs w:val="21"/>
              </w:rPr>
              <w:t>诚信要求</w:t>
            </w:r>
          </w:p>
        </w:tc>
        <w:tc>
          <w:tcPr>
            <w:tcW w:w="12087" w:type="dxa"/>
          </w:tcPr>
          <w:p>
            <w:pPr>
              <w:jc w:val="left"/>
              <w:rPr>
                <w:rFonts w:ascii="宋体" w:hAnsi="宋体" w:eastAsia="宋体"/>
                <w:szCs w:val="21"/>
              </w:rPr>
            </w:pPr>
            <w:r>
              <w:rPr>
                <w:rFonts w:hint="eastAsia" w:ascii="宋体" w:hAnsi="宋体" w:eastAsia="宋体" w:cs="仿宋"/>
                <w:bCs/>
                <w:szCs w:val="21"/>
              </w:rPr>
              <w:t>如发现竞价供应商在“信用中国”网站、中国政府采购网等渠道被列入失信被执行人、重大税收违法案件当事人名单、政府采购严重违法失信行为记录名单及其他不符合《中华人民共和国政府采购法》第二十二条规定条件的，将被取消竞价或成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pPr>
              <w:jc w:val="center"/>
              <w:rPr>
                <w:rFonts w:ascii="宋体" w:hAnsi="宋体" w:eastAsia="宋体"/>
              </w:rPr>
            </w:pPr>
            <w:r>
              <w:rPr>
                <w:rFonts w:hint="eastAsia" w:ascii="宋体" w:hAnsi="宋体" w:eastAsia="宋体"/>
              </w:rPr>
              <w:t>9</w:t>
            </w:r>
          </w:p>
        </w:tc>
        <w:tc>
          <w:tcPr>
            <w:tcW w:w="1239" w:type="dxa"/>
            <w:vAlign w:val="center"/>
          </w:tcPr>
          <w:p>
            <w:pPr>
              <w:jc w:val="center"/>
              <w:rPr>
                <w:rFonts w:ascii="宋体" w:hAnsi="宋体" w:eastAsia="宋体"/>
              </w:rPr>
            </w:pPr>
            <w:r>
              <w:rPr>
                <w:rFonts w:hint="eastAsia" w:ascii="宋体" w:hAnsi="宋体" w:eastAsia="宋体" w:cs="仿宋"/>
                <w:color w:val="000000"/>
                <w:kern w:val="0"/>
                <w:szCs w:val="21"/>
              </w:rPr>
              <w:t>现场勘察</w:t>
            </w:r>
          </w:p>
        </w:tc>
        <w:tc>
          <w:tcPr>
            <w:tcW w:w="12087" w:type="dxa"/>
            <w:vAlign w:val="center"/>
          </w:tcPr>
          <w:p>
            <w:pPr>
              <w:widowControl/>
              <w:jc w:val="left"/>
              <w:rPr>
                <w:rFonts w:ascii="宋体" w:hAnsi="宋体" w:eastAsia="宋体" w:cs="宋体"/>
                <w:szCs w:val="21"/>
              </w:rPr>
            </w:pPr>
            <w:r>
              <w:rPr>
                <w:rFonts w:hint="eastAsia" w:ascii="宋体" w:hAnsi="宋体" w:eastAsia="宋体" w:cs="宋体"/>
                <w:szCs w:val="21"/>
              </w:rPr>
              <w:t>供应商自行决定是否实地踏勘。</w:t>
            </w:r>
            <w:r>
              <w:rPr>
                <w:rFonts w:ascii="宋体" w:hAnsi="宋体" w:eastAsia="宋体" w:cs="宋体"/>
                <w:szCs w:val="21"/>
              </w:rPr>
              <w:t xml:space="preserve"> </w:t>
            </w:r>
          </w:p>
          <w:p>
            <w:pPr>
              <w:rPr>
                <w:rFonts w:ascii="宋体" w:hAnsi="宋体" w:eastAsia="宋体"/>
              </w:rPr>
            </w:pPr>
            <w:r>
              <w:rPr>
                <w:rFonts w:hint="eastAsia" w:ascii="宋体" w:hAnsi="宋体" w:eastAsia="宋体" w:cs="宋体"/>
                <w:color w:val="000000"/>
                <w:kern w:val="0"/>
                <w:szCs w:val="21"/>
              </w:rPr>
              <w:t>勘察地点：广西柳城县大埔镇125号，勘察联系人：谢欢，联系电话：13977248139，勘察时间：202</w:t>
            </w:r>
            <w:r>
              <w:rPr>
                <w:rFonts w:ascii="宋体" w:hAnsi="宋体" w:eastAsia="宋体" w:cs="宋体"/>
                <w:color w:val="000000"/>
                <w:kern w:val="0"/>
                <w:szCs w:val="21"/>
              </w:rPr>
              <w:t>2</w:t>
            </w:r>
            <w:r>
              <w:rPr>
                <w:rFonts w:hint="eastAsia" w:ascii="宋体" w:hAnsi="宋体" w:eastAsia="宋体" w:cs="宋体"/>
                <w:color w:val="000000"/>
                <w:kern w:val="0"/>
                <w:szCs w:val="21"/>
              </w:rPr>
              <w:t>年9月13-15 日</w:t>
            </w:r>
          </w:p>
        </w:tc>
      </w:tr>
    </w:tbl>
    <w:p>
      <w:pPr>
        <w:pStyle w:val="7"/>
        <w:sectPr>
          <w:footerReference r:id="rId3" w:type="default"/>
          <w:pgSz w:w="16838" w:h="11906" w:orient="landscape"/>
          <w:pgMar w:top="1134" w:right="1134" w:bottom="1134" w:left="1440" w:header="851" w:footer="992" w:gutter="0"/>
          <w:cols w:space="425" w:num="1"/>
          <w:docGrid w:type="lines" w:linePitch="312" w:charSpace="0"/>
        </w:sectPr>
      </w:pPr>
    </w:p>
    <w:p>
      <w:pPr>
        <w:pStyle w:val="6"/>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8030842"/>
    </w:sdtPr>
    <w:sdtContent>
      <w:sdt>
        <w:sdtPr>
          <w:id w:val="-1669238322"/>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7AB725"/>
    <w:multiLevelType w:val="singleLevel"/>
    <w:tmpl w:val="777AB72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iZjdiYjNjMmEyYzQ0OTE5OTAwOWU2Mjg0NTgzOTEifQ=="/>
  </w:docVars>
  <w:rsids>
    <w:rsidRoot w:val="009F3B1C"/>
    <w:rsid w:val="0001393D"/>
    <w:rsid w:val="000168B8"/>
    <w:rsid w:val="00016907"/>
    <w:rsid w:val="00016B1D"/>
    <w:rsid w:val="00026150"/>
    <w:rsid w:val="000315B2"/>
    <w:rsid w:val="00032397"/>
    <w:rsid w:val="0003720F"/>
    <w:rsid w:val="00061DBF"/>
    <w:rsid w:val="0006276A"/>
    <w:rsid w:val="000718B1"/>
    <w:rsid w:val="00075CB0"/>
    <w:rsid w:val="0007670C"/>
    <w:rsid w:val="0008186C"/>
    <w:rsid w:val="00085153"/>
    <w:rsid w:val="00085B72"/>
    <w:rsid w:val="00086E66"/>
    <w:rsid w:val="00097111"/>
    <w:rsid w:val="000A1494"/>
    <w:rsid w:val="000A5538"/>
    <w:rsid w:val="000A7A05"/>
    <w:rsid w:val="000B092C"/>
    <w:rsid w:val="000B4417"/>
    <w:rsid w:val="000D147F"/>
    <w:rsid w:val="000D412A"/>
    <w:rsid w:val="000E7A7D"/>
    <w:rsid w:val="00106387"/>
    <w:rsid w:val="00107E3F"/>
    <w:rsid w:val="001103F4"/>
    <w:rsid w:val="00112FB7"/>
    <w:rsid w:val="0011700C"/>
    <w:rsid w:val="00123514"/>
    <w:rsid w:val="00123A28"/>
    <w:rsid w:val="00124753"/>
    <w:rsid w:val="00126117"/>
    <w:rsid w:val="00127DA5"/>
    <w:rsid w:val="00145ECD"/>
    <w:rsid w:val="00146EAD"/>
    <w:rsid w:val="00146EF6"/>
    <w:rsid w:val="00150579"/>
    <w:rsid w:val="00150D5D"/>
    <w:rsid w:val="00163327"/>
    <w:rsid w:val="00165273"/>
    <w:rsid w:val="0016613E"/>
    <w:rsid w:val="0017448A"/>
    <w:rsid w:val="00180C11"/>
    <w:rsid w:val="0018512F"/>
    <w:rsid w:val="0019273B"/>
    <w:rsid w:val="00192855"/>
    <w:rsid w:val="00194443"/>
    <w:rsid w:val="00197EB0"/>
    <w:rsid w:val="001A0F2D"/>
    <w:rsid w:val="001A3486"/>
    <w:rsid w:val="001B08C0"/>
    <w:rsid w:val="001C0428"/>
    <w:rsid w:val="001C2F6E"/>
    <w:rsid w:val="001C72C6"/>
    <w:rsid w:val="001D2165"/>
    <w:rsid w:val="001E2B65"/>
    <w:rsid w:val="001E4BC5"/>
    <w:rsid w:val="001E6B4E"/>
    <w:rsid w:val="001F598C"/>
    <w:rsid w:val="002006E1"/>
    <w:rsid w:val="00200F88"/>
    <w:rsid w:val="0020362F"/>
    <w:rsid w:val="00211140"/>
    <w:rsid w:val="00212A17"/>
    <w:rsid w:val="0021695B"/>
    <w:rsid w:val="00216A65"/>
    <w:rsid w:val="00216F83"/>
    <w:rsid w:val="00222C08"/>
    <w:rsid w:val="00230735"/>
    <w:rsid w:val="00231643"/>
    <w:rsid w:val="00246701"/>
    <w:rsid w:val="00251591"/>
    <w:rsid w:val="002547BA"/>
    <w:rsid w:val="0025584A"/>
    <w:rsid w:val="0025785F"/>
    <w:rsid w:val="00275FB6"/>
    <w:rsid w:val="00277C2B"/>
    <w:rsid w:val="002A552D"/>
    <w:rsid w:val="002B4886"/>
    <w:rsid w:val="002C7374"/>
    <w:rsid w:val="002D4EB9"/>
    <w:rsid w:val="002D5C2A"/>
    <w:rsid w:val="002E1B06"/>
    <w:rsid w:val="002F1849"/>
    <w:rsid w:val="002F2410"/>
    <w:rsid w:val="002F5AC6"/>
    <w:rsid w:val="00316C4B"/>
    <w:rsid w:val="003240FD"/>
    <w:rsid w:val="003272BA"/>
    <w:rsid w:val="00332B68"/>
    <w:rsid w:val="0033315D"/>
    <w:rsid w:val="003359C9"/>
    <w:rsid w:val="003369CE"/>
    <w:rsid w:val="003372B2"/>
    <w:rsid w:val="00341D0C"/>
    <w:rsid w:val="00342BA8"/>
    <w:rsid w:val="003464CA"/>
    <w:rsid w:val="003516DA"/>
    <w:rsid w:val="00385AA5"/>
    <w:rsid w:val="003929A6"/>
    <w:rsid w:val="00393A03"/>
    <w:rsid w:val="003A37C2"/>
    <w:rsid w:val="003B24DA"/>
    <w:rsid w:val="003B5147"/>
    <w:rsid w:val="003C08C7"/>
    <w:rsid w:val="003C6939"/>
    <w:rsid w:val="003E4672"/>
    <w:rsid w:val="003E61BA"/>
    <w:rsid w:val="003F11EB"/>
    <w:rsid w:val="003F5682"/>
    <w:rsid w:val="0040048B"/>
    <w:rsid w:val="004004C6"/>
    <w:rsid w:val="00403DAF"/>
    <w:rsid w:val="004062BB"/>
    <w:rsid w:val="00415EDC"/>
    <w:rsid w:val="004178AC"/>
    <w:rsid w:val="00422122"/>
    <w:rsid w:val="00423EA5"/>
    <w:rsid w:val="0043482F"/>
    <w:rsid w:val="00434C3B"/>
    <w:rsid w:val="0044299C"/>
    <w:rsid w:val="00444DDC"/>
    <w:rsid w:val="00445DEA"/>
    <w:rsid w:val="00455A37"/>
    <w:rsid w:val="00457304"/>
    <w:rsid w:val="004604FF"/>
    <w:rsid w:val="00466B80"/>
    <w:rsid w:val="00471483"/>
    <w:rsid w:val="004731C6"/>
    <w:rsid w:val="00480008"/>
    <w:rsid w:val="00484204"/>
    <w:rsid w:val="0049408E"/>
    <w:rsid w:val="004A2A96"/>
    <w:rsid w:val="004B42F0"/>
    <w:rsid w:val="004B6F5C"/>
    <w:rsid w:val="004B78C4"/>
    <w:rsid w:val="004C0424"/>
    <w:rsid w:val="004C1903"/>
    <w:rsid w:val="004C649F"/>
    <w:rsid w:val="004D1988"/>
    <w:rsid w:val="004D3683"/>
    <w:rsid w:val="004D7B8B"/>
    <w:rsid w:val="004E323E"/>
    <w:rsid w:val="004E35E7"/>
    <w:rsid w:val="004E7F04"/>
    <w:rsid w:val="004F5780"/>
    <w:rsid w:val="004F5E9D"/>
    <w:rsid w:val="004F62AE"/>
    <w:rsid w:val="004F72DC"/>
    <w:rsid w:val="005049DE"/>
    <w:rsid w:val="00504A65"/>
    <w:rsid w:val="00507A4D"/>
    <w:rsid w:val="00511169"/>
    <w:rsid w:val="00525910"/>
    <w:rsid w:val="00526C09"/>
    <w:rsid w:val="00527FAF"/>
    <w:rsid w:val="005365C0"/>
    <w:rsid w:val="00536B3A"/>
    <w:rsid w:val="005419CE"/>
    <w:rsid w:val="00541BAA"/>
    <w:rsid w:val="00543F0C"/>
    <w:rsid w:val="00551724"/>
    <w:rsid w:val="005569D5"/>
    <w:rsid w:val="00557CEA"/>
    <w:rsid w:val="0056115B"/>
    <w:rsid w:val="00562B42"/>
    <w:rsid w:val="005666C6"/>
    <w:rsid w:val="0057113E"/>
    <w:rsid w:val="00575078"/>
    <w:rsid w:val="00580D05"/>
    <w:rsid w:val="00583A19"/>
    <w:rsid w:val="00587509"/>
    <w:rsid w:val="00595967"/>
    <w:rsid w:val="005A1CA6"/>
    <w:rsid w:val="005A56CB"/>
    <w:rsid w:val="005B2946"/>
    <w:rsid w:val="005B6F7D"/>
    <w:rsid w:val="005B7B78"/>
    <w:rsid w:val="005C5515"/>
    <w:rsid w:val="005D1DAB"/>
    <w:rsid w:val="005D37AB"/>
    <w:rsid w:val="005D4A80"/>
    <w:rsid w:val="005E14D0"/>
    <w:rsid w:val="005E1CE9"/>
    <w:rsid w:val="005E1D6F"/>
    <w:rsid w:val="005E2742"/>
    <w:rsid w:val="005E606E"/>
    <w:rsid w:val="005E6D8B"/>
    <w:rsid w:val="005F22E7"/>
    <w:rsid w:val="005F2984"/>
    <w:rsid w:val="005F4015"/>
    <w:rsid w:val="005F41B3"/>
    <w:rsid w:val="005F44C2"/>
    <w:rsid w:val="005F7548"/>
    <w:rsid w:val="00610076"/>
    <w:rsid w:val="0061208F"/>
    <w:rsid w:val="0061486C"/>
    <w:rsid w:val="00622495"/>
    <w:rsid w:val="00627373"/>
    <w:rsid w:val="00631775"/>
    <w:rsid w:val="0063280E"/>
    <w:rsid w:val="00632F81"/>
    <w:rsid w:val="006371D9"/>
    <w:rsid w:val="00637FA3"/>
    <w:rsid w:val="006411FC"/>
    <w:rsid w:val="00652E4A"/>
    <w:rsid w:val="006604B5"/>
    <w:rsid w:val="00660EC0"/>
    <w:rsid w:val="00662655"/>
    <w:rsid w:val="00664A53"/>
    <w:rsid w:val="0067284A"/>
    <w:rsid w:val="00673065"/>
    <w:rsid w:val="00686844"/>
    <w:rsid w:val="00692580"/>
    <w:rsid w:val="006928F9"/>
    <w:rsid w:val="006962A8"/>
    <w:rsid w:val="006A0CCA"/>
    <w:rsid w:val="006A3DC5"/>
    <w:rsid w:val="006B2D9C"/>
    <w:rsid w:val="006B770D"/>
    <w:rsid w:val="006C3860"/>
    <w:rsid w:val="006C3A3A"/>
    <w:rsid w:val="006C488B"/>
    <w:rsid w:val="006C5A37"/>
    <w:rsid w:val="006C5E3E"/>
    <w:rsid w:val="006D1033"/>
    <w:rsid w:val="006D5021"/>
    <w:rsid w:val="006E497E"/>
    <w:rsid w:val="006E4B22"/>
    <w:rsid w:val="006E7444"/>
    <w:rsid w:val="006E75F6"/>
    <w:rsid w:val="006F4459"/>
    <w:rsid w:val="006F7AFC"/>
    <w:rsid w:val="007046C4"/>
    <w:rsid w:val="0072076B"/>
    <w:rsid w:val="0072431C"/>
    <w:rsid w:val="00726C0A"/>
    <w:rsid w:val="007312D9"/>
    <w:rsid w:val="0073275D"/>
    <w:rsid w:val="00744A9F"/>
    <w:rsid w:val="007457AE"/>
    <w:rsid w:val="007472FA"/>
    <w:rsid w:val="007608AC"/>
    <w:rsid w:val="00761F99"/>
    <w:rsid w:val="00763BB2"/>
    <w:rsid w:val="00771687"/>
    <w:rsid w:val="007718D0"/>
    <w:rsid w:val="00772752"/>
    <w:rsid w:val="00774788"/>
    <w:rsid w:val="00774DE5"/>
    <w:rsid w:val="00785633"/>
    <w:rsid w:val="0079364E"/>
    <w:rsid w:val="007A0BC5"/>
    <w:rsid w:val="007A55BA"/>
    <w:rsid w:val="007A6C7D"/>
    <w:rsid w:val="007B2418"/>
    <w:rsid w:val="007B498C"/>
    <w:rsid w:val="007C0126"/>
    <w:rsid w:val="007C2CDC"/>
    <w:rsid w:val="007C37FB"/>
    <w:rsid w:val="007C4826"/>
    <w:rsid w:val="007C4F24"/>
    <w:rsid w:val="007D3C2A"/>
    <w:rsid w:val="007E6032"/>
    <w:rsid w:val="008010DA"/>
    <w:rsid w:val="0080410C"/>
    <w:rsid w:val="00806BA0"/>
    <w:rsid w:val="0081140F"/>
    <w:rsid w:val="00813205"/>
    <w:rsid w:val="00820206"/>
    <w:rsid w:val="00820500"/>
    <w:rsid w:val="008227DF"/>
    <w:rsid w:val="008310FD"/>
    <w:rsid w:val="0083454D"/>
    <w:rsid w:val="00834E83"/>
    <w:rsid w:val="008353E6"/>
    <w:rsid w:val="008360E5"/>
    <w:rsid w:val="0083749B"/>
    <w:rsid w:val="008428AB"/>
    <w:rsid w:val="00842F6A"/>
    <w:rsid w:val="00844261"/>
    <w:rsid w:val="00851403"/>
    <w:rsid w:val="00852208"/>
    <w:rsid w:val="00861C51"/>
    <w:rsid w:val="00862F19"/>
    <w:rsid w:val="0086632F"/>
    <w:rsid w:val="008702D9"/>
    <w:rsid w:val="00872662"/>
    <w:rsid w:val="00891D6F"/>
    <w:rsid w:val="00892F22"/>
    <w:rsid w:val="00896FB5"/>
    <w:rsid w:val="00897E0F"/>
    <w:rsid w:val="008A053F"/>
    <w:rsid w:val="008A19D1"/>
    <w:rsid w:val="008A1CA5"/>
    <w:rsid w:val="008A3EDD"/>
    <w:rsid w:val="008A45BB"/>
    <w:rsid w:val="008A4708"/>
    <w:rsid w:val="008B2ECA"/>
    <w:rsid w:val="008B4E2D"/>
    <w:rsid w:val="008B74F0"/>
    <w:rsid w:val="008C3BCC"/>
    <w:rsid w:val="008C7464"/>
    <w:rsid w:val="008D312B"/>
    <w:rsid w:val="008D5688"/>
    <w:rsid w:val="008E51E8"/>
    <w:rsid w:val="008E5474"/>
    <w:rsid w:val="008F75E7"/>
    <w:rsid w:val="008F7F21"/>
    <w:rsid w:val="00904E9A"/>
    <w:rsid w:val="00907345"/>
    <w:rsid w:val="00913242"/>
    <w:rsid w:val="00922FAA"/>
    <w:rsid w:val="009230D9"/>
    <w:rsid w:val="00924B9F"/>
    <w:rsid w:val="0093507E"/>
    <w:rsid w:val="00936139"/>
    <w:rsid w:val="00942545"/>
    <w:rsid w:val="009466FE"/>
    <w:rsid w:val="00947044"/>
    <w:rsid w:val="0095501F"/>
    <w:rsid w:val="00955F16"/>
    <w:rsid w:val="00956F32"/>
    <w:rsid w:val="009617E5"/>
    <w:rsid w:val="00964898"/>
    <w:rsid w:val="00971E70"/>
    <w:rsid w:val="009720D9"/>
    <w:rsid w:val="00972F6F"/>
    <w:rsid w:val="00986D45"/>
    <w:rsid w:val="00990531"/>
    <w:rsid w:val="009A2A15"/>
    <w:rsid w:val="009B622C"/>
    <w:rsid w:val="009C07EB"/>
    <w:rsid w:val="009C19EF"/>
    <w:rsid w:val="009C35CA"/>
    <w:rsid w:val="009C4722"/>
    <w:rsid w:val="009D1B85"/>
    <w:rsid w:val="009E40C9"/>
    <w:rsid w:val="009E652F"/>
    <w:rsid w:val="009F0566"/>
    <w:rsid w:val="009F3B1C"/>
    <w:rsid w:val="009F48AB"/>
    <w:rsid w:val="00A052FC"/>
    <w:rsid w:val="00A06186"/>
    <w:rsid w:val="00A14A41"/>
    <w:rsid w:val="00A20E7B"/>
    <w:rsid w:val="00A21B4C"/>
    <w:rsid w:val="00A23349"/>
    <w:rsid w:val="00A31842"/>
    <w:rsid w:val="00A45DC6"/>
    <w:rsid w:val="00A5239A"/>
    <w:rsid w:val="00A57F37"/>
    <w:rsid w:val="00A63416"/>
    <w:rsid w:val="00A6458F"/>
    <w:rsid w:val="00A7168B"/>
    <w:rsid w:val="00A753A9"/>
    <w:rsid w:val="00A86060"/>
    <w:rsid w:val="00A92B71"/>
    <w:rsid w:val="00A95EDB"/>
    <w:rsid w:val="00A961FA"/>
    <w:rsid w:val="00A97799"/>
    <w:rsid w:val="00AA2112"/>
    <w:rsid w:val="00AA3553"/>
    <w:rsid w:val="00AB57D1"/>
    <w:rsid w:val="00AC4AD4"/>
    <w:rsid w:val="00AD5BC1"/>
    <w:rsid w:val="00AD64CB"/>
    <w:rsid w:val="00AE3EDB"/>
    <w:rsid w:val="00AE456A"/>
    <w:rsid w:val="00AE5A89"/>
    <w:rsid w:val="00AE6D03"/>
    <w:rsid w:val="00AF286E"/>
    <w:rsid w:val="00AF4907"/>
    <w:rsid w:val="00AF7779"/>
    <w:rsid w:val="00B01E56"/>
    <w:rsid w:val="00B046E7"/>
    <w:rsid w:val="00B12FCB"/>
    <w:rsid w:val="00B13FE0"/>
    <w:rsid w:val="00B17A2E"/>
    <w:rsid w:val="00B31AB9"/>
    <w:rsid w:val="00B3504B"/>
    <w:rsid w:val="00B51AA0"/>
    <w:rsid w:val="00B555AA"/>
    <w:rsid w:val="00B57D0E"/>
    <w:rsid w:val="00B62380"/>
    <w:rsid w:val="00B645D6"/>
    <w:rsid w:val="00B66511"/>
    <w:rsid w:val="00B7042F"/>
    <w:rsid w:val="00B75E26"/>
    <w:rsid w:val="00B77AE4"/>
    <w:rsid w:val="00B83618"/>
    <w:rsid w:val="00B86BBB"/>
    <w:rsid w:val="00B908B0"/>
    <w:rsid w:val="00B91FE0"/>
    <w:rsid w:val="00B93A36"/>
    <w:rsid w:val="00BA376F"/>
    <w:rsid w:val="00BB0164"/>
    <w:rsid w:val="00BB5749"/>
    <w:rsid w:val="00BC5669"/>
    <w:rsid w:val="00BC625C"/>
    <w:rsid w:val="00BD144A"/>
    <w:rsid w:val="00BD25EE"/>
    <w:rsid w:val="00BD47C6"/>
    <w:rsid w:val="00BD5B35"/>
    <w:rsid w:val="00BD705C"/>
    <w:rsid w:val="00BD747D"/>
    <w:rsid w:val="00BE65B8"/>
    <w:rsid w:val="00BF0304"/>
    <w:rsid w:val="00BF2D5C"/>
    <w:rsid w:val="00BF4CDA"/>
    <w:rsid w:val="00BF4F65"/>
    <w:rsid w:val="00BF746D"/>
    <w:rsid w:val="00C0293E"/>
    <w:rsid w:val="00C03592"/>
    <w:rsid w:val="00C0481B"/>
    <w:rsid w:val="00C057A3"/>
    <w:rsid w:val="00C068CC"/>
    <w:rsid w:val="00C10C84"/>
    <w:rsid w:val="00C155FB"/>
    <w:rsid w:val="00C178AC"/>
    <w:rsid w:val="00C2311E"/>
    <w:rsid w:val="00C2342D"/>
    <w:rsid w:val="00C24B79"/>
    <w:rsid w:val="00C263E3"/>
    <w:rsid w:val="00C32C76"/>
    <w:rsid w:val="00C36FA2"/>
    <w:rsid w:val="00C371AE"/>
    <w:rsid w:val="00C37C90"/>
    <w:rsid w:val="00C54C91"/>
    <w:rsid w:val="00C56984"/>
    <w:rsid w:val="00C637E3"/>
    <w:rsid w:val="00C669EE"/>
    <w:rsid w:val="00C73746"/>
    <w:rsid w:val="00C76A5A"/>
    <w:rsid w:val="00C81212"/>
    <w:rsid w:val="00C81768"/>
    <w:rsid w:val="00C82CCE"/>
    <w:rsid w:val="00C83398"/>
    <w:rsid w:val="00C847BE"/>
    <w:rsid w:val="00C87FEC"/>
    <w:rsid w:val="00C94953"/>
    <w:rsid w:val="00C95C56"/>
    <w:rsid w:val="00C963AA"/>
    <w:rsid w:val="00C9688C"/>
    <w:rsid w:val="00CA0C7F"/>
    <w:rsid w:val="00CA49CB"/>
    <w:rsid w:val="00CA69E3"/>
    <w:rsid w:val="00CB2D25"/>
    <w:rsid w:val="00CC3E1C"/>
    <w:rsid w:val="00CD220B"/>
    <w:rsid w:val="00CD2F1E"/>
    <w:rsid w:val="00CE2B37"/>
    <w:rsid w:val="00CE325B"/>
    <w:rsid w:val="00CE32ED"/>
    <w:rsid w:val="00CF00E2"/>
    <w:rsid w:val="00CF6278"/>
    <w:rsid w:val="00D020A6"/>
    <w:rsid w:val="00D1040D"/>
    <w:rsid w:val="00D110F0"/>
    <w:rsid w:val="00D116AD"/>
    <w:rsid w:val="00D124FD"/>
    <w:rsid w:val="00D242EA"/>
    <w:rsid w:val="00D2646A"/>
    <w:rsid w:val="00D30F48"/>
    <w:rsid w:val="00D320F9"/>
    <w:rsid w:val="00D333EE"/>
    <w:rsid w:val="00D4784F"/>
    <w:rsid w:val="00D55656"/>
    <w:rsid w:val="00D638AB"/>
    <w:rsid w:val="00D70A66"/>
    <w:rsid w:val="00D71EEC"/>
    <w:rsid w:val="00D7420A"/>
    <w:rsid w:val="00D75520"/>
    <w:rsid w:val="00D84B4F"/>
    <w:rsid w:val="00D8523A"/>
    <w:rsid w:val="00D85A88"/>
    <w:rsid w:val="00D91237"/>
    <w:rsid w:val="00D92758"/>
    <w:rsid w:val="00D95AB3"/>
    <w:rsid w:val="00D96034"/>
    <w:rsid w:val="00D96E65"/>
    <w:rsid w:val="00DA2F8E"/>
    <w:rsid w:val="00DA6BEA"/>
    <w:rsid w:val="00DB118B"/>
    <w:rsid w:val="00DC0073"/>
    <w:rsid w:val="00DC0828"/>
    <w:rsid w:val="00DC0FC6"/>
    <w:rsid w:val="00DC2DA0"/>
    <w:rsid w:val="00DC4AF2"/>
    <w:rsid w:val="00DC57F2"/>
    <w:rsid w:val="00DE63EF"/>
    <w:rsid w:val="00DE6432"/>
    <w:rsid w:val="00DF09D1"/>
    <w:rsid w:val="00DF5ED5"/>
    <w:rsid w:val="00DF7123"/>
    <w:rsid w:val="00E01EE5"/>
    <w:rsid w:val="00E021E5"/>
    <w:rsid w:val="00E11E07"/>
    <w:rsid w:val="00E17823"/>
    <w:rsid w:val="00E21E98"/>
    <w:rsid w:val="00E221CE"/>
    <w:rsid w:val="00E36854"/>
    <w:rsid w:val="00E47CB8"/>
    <w:rsid w:val="00E5158F"/>
    <w:rsid w:val="00E57BBC"/>
    <w:rsid w:val="00E62996"/>
    <w:rsid w:val="00E65C1A"/>
    <w:rsid w:val="00E74579"/>
    <w:rsid w:val="00E76885"/>
    <w:rsid w:val="00E84384"/>
    <w:rsid w:val="00E84B33"/>
    <w:rsid w:val="00E85254"/>
    <w:rsid w:val="00E857DE"/>
    <w:rsid w:val="00E85928"/>
    <w:rsid w:val="00E863C1"/>
    <w:rsid w:val="00E91AE5"/>
    <w:rsid w:val="00E9337D"/>
    <w:rsid w:val="00E93EEE"/>
    <w:rsid w:val="00E964D4"/>
    <w:rsid w:val="00EA4DC1"/>
    <w:rsid w:val="00EB3614"/>
    <w:rsid w:val="00EB36CA"/>
    <w:rsid w:val="00EC12E7"/>
    <w:rsid w:val="00EC4498"/>
    <w:rsid w:val="00EC57C8"/>
    <w:rsid w:val="00EC7F4A"/>
    <w:rsid w:val="00ED5420"/>
    <w:rsid w:val="00EE2269"/>
    <w:rsid w:val="00EE3B6A"/>
    <w:rsid w:val="00EE4198"/>
    <w:rsid w:val="00EE704A"/>
    <w:rsid w:val="00EE76AA"/>
    <w:rsid w:val="00EF442F"/>
    <w:rsid w:val="00EF6C08"/>
    <w:rsid w:val="00F02C03"/>
    <w:rsid w:val="00F046E5"/>
    <w:rsid w:val="00F100D4"/>
    <w:rsid w:val="00F11D4B"/>
    <w:rsid w:val="00F1458D"/>
    <w:rsid w:val="00F22129"/>
    <w:rsid w:val="00F236DF"/>
    <w:rsid w:val="00F23A21"/>
    <w:rsid w:val="00F26791"/>
    <w:rsid w:val="00F32D4F"/>
    <w:rsid w:val="00F34061"/>
    <w:rsid w:val="00F37669"/>
    <w:rsid w:val="00F5093A"/>
    <w:rsid w:val="00F5217E"/>
    <w:rsid w:val="00F607AA"/>
    <w:rsid w:val="00F70B96"/>
    <w:rsid w:val="00F71949"/>
    <w:rsid w:val="00F735A6"/>
    <w:rsid w:val="00F73946"/>
    <w:rsid w:val="00F745FB"/>
    <w:rsid w:val="00F746BC"/>
    <w:rsid w:val="00F76DE4"/>
    <w:rsid w:val="00F821E6"/>
    <w:rsid w:val="00F92128"/>
    <w:rsid w:val="00FA66C2"/>
    <w:rsid w:val="00FA7E11"/>
    <w:rsid w:val="00FB282B"/>
    <w:rsid w:val="00FC30CB"/>
    <w:rsid w:val="00FD1592"/>
    <w:rsid w:val="00FD318F"/>
    <w:rsid w:val="00FE679F"/>
    <w:rsid w:val="00FF0542"/>
    <w:rsid w:val="00FF2227"/>
    <w:rsid w:val="037B6E56"/>
    <w:rsid w:val="0472574E"/>
    <w:rsid w:val="04743336"/>
    <w:rsid w:val="048823B8"/>
    <w:rsid w:val="050F641A"/>
    <w:rsid w:val="05CE47D7"/>
    <w:rsid w:val="06C646AD"/>
    <w:rsid w:val="0700568F"/>
    <w:rsid w:val="070E0E74"/>
    <w:rsid w:val="07162862"/>
    <w:rsid w:val="07426707"/>
    <w:rsid w:val="077F25A1"/>
    <w:rsid w:val="07CA60C0"/>
    <w:rsid w:val="07F20A31"/>
    <w:rsid w:val="09355D1A"/>
    <w:rsid w:val="0940212C"/>
    <w:rsid w:val="09686808"/>
    <w:rsid w:val="0B4F743E"/>
    <w:rsid w:val="0BD52D87"/>
    <w:rsid w:val="0C623AE7"/>
    <w:rsid w:val="0CE26B88"/>
    <w:rsid w:val="0D224A3B"/>
    <w:rsid w:val="0D5F1F7C"/>
    <w:rsid w:val="0E0145AD"/>
    <w:rsid w:val="0E353520"/>
    <w:rsid w:val="0E7A4D7E"/>
    <w:rsid w:val="0F116CC3"/>
    <w:rsid w:val="0F410360"/>
    <w:rsid w:val="0FB43E0B"/>
    <w:rsid w:val="0FFD043C"/>
    <w:rsid w:val="1066377D"/>
    <w:rsid w:val="108A0991"/>
    <w:rsid w:val="10A66963"/>
    <w:rsid w:val="12864833"/>
    <w:rsid w:val="138A0A5A"/>
    <w:rsid w:val="13996542"/>
    <w:rsid w:val="140F411D"/>
    <w:rsid w:val="15070C3B"/>
    <w:rsid w:val="150B30B8"/>
    <w:rsid w:val="1531675B"/>
    <w:rsid w:val="15806149"/>
    <w:rsid w:val="15EC4A0C"/>
    <w:rsid w:val="164C4234"/>
    <w:rsid w:val="16ED0198"/>
    <w:rsid w:val="17973A09"/>
    <w:rsid w:val="18957298"/>
    <w:rsid w:val="1A347EB0"/>
    <w:rsid w:val="1A3E3FFF"/>
    <w:rsid w:val="1A84566A"/>
    <w:rsid w:val="1AD773E3"/>
    <w:rsid w:val="1B5C6656"/>
    <w:rsid w:val="1B8D2D6A"/>
    <w:rsid w:val="1D01492E"/>
    <w:rsid w:val="1D140B78"/>
    <w:rsid w:val="1D1D6A81"/>
    <w:rsid w:val="1E550DAF"/>
    <w:rsid w:val="1EA34D9F"/>
    <w:rsid w:val="1EA35D38"/>
    <w:rsid w:val="1EE82091"/>
    <w:rsid w:val="202C6AA1"/>
    <w:rsid w:val="20DB122E"/>
    <w:rsid w:val="210E23D4"/>
    <w:rsid w:val="21745C90"/>
    <w:rsid w:val="217E3D77"/>
    <w:rsid w:val="21976D6E"/>
    <w:rsid w:val="219E5142"/>
    <w:rsid w:val="226E16CE"/>
    <w:rsid w:val="23062FBC"/>
    <w:rsid w:val="23723D94"/>
    <w:rsid w:val="237874E2"/>
    <w:rsid w:val="23D35D25"/>
    <w:rsid w:val="25AE735E"/>
    <w:rsid w:val="26720869"/>
    <w:rsid w:val="27837956"/>
    <w:rsid w:val="27EA0313"/>
    <w:rsid w:val="27ED39A4"/>
    <w:rsid w:val="296C100A"/>
    <w:rsid w:val="2AC70583"/>
    <w:rsid w:val="2B1E666D"/>
    <w:rsid w:val="2BD02F57"/>
    <w:rsid w:val="2BF57916"/>
    <w:rsid w:val="2C2A2FAB"/>
    <w:rsid w:val="2C2D4DA9"/>
    <w:rsid w:val="2CED48BB"/>
    <w:rsid w:val="2D2B04C2"/>
    <w:rsid w:val="2DFB36C3"/>
    <w:rsid w:val="2E6833B6"/>
    <w:rsid w:val="303567C7"/>
    <w:rsid w:val="30BD00E7"/>
    <w:rsid w:val="3121449D"/>
    <w:rsid w:val="31F36526"/>
    <w:rsid w:val="323728CA"/>
    <w:rsid w:val="33021558"/>
    <w:rsid w:val="332C7D94"/>
    <w:rsid w:val="332F3736"/>
    <w:rsid w:val="341026CA"/>
    <w:rsid w:val="349439D0"/>
    <w:rsid w:val="34A15131"/>
    <w:rsid w:val="34A27104"/>
    <w:rsid w:val="351A50D3"/>
    <w:rsid w:val="354042CC"/>
    <w:rsid w:val="35681FDC"/>
    <w:rsid w:val="35A47F69"/>
    <w:rsid w:val="35B31AFA"/>
    <w:rsid w:val="35DA716E"/>
    <w:rsid w:val="372F2D4E"/>
    <w:rsid w:val="387062F7"/>
    <w:rsid w:val="393B7EE2"/>
    <w:rsid w:val="395D3832"/>
    <w:rsid w:val="39F143D8"/>
    <w:rsid w:val="3A3741E4"/>
    <w:rsid w:val="3BF14EBF"/>
    <w:rsid w:val="3BF233F5"/>
    <w:rsid w:val="3C464A99"/>
    <w:rsid w:val="3C4C3D0A"/>
    <w:rsid w:val="3CB55DDB"/>
    <w:rsid w:val="3CC92171"/>
    <w:rsid w:val="3D251B4A"/>
    <w:rsid w:val="3D9A7390"/>
    <w:rsid w:val="3DB2578D"/>
    <w:rsid w:val="3DF1139C"/>
    <w:rsid w:val="3E6447BA"/>
    <w:rsid w:val="3E940D80"/>
    <w:rsid w:val="3F265FBC"/>
    <w:rsid w:val="3F652DC7"/>
    <w:rsid w:val="3FF102E8"/>
    <w:rsid w:val="3FFF8F59"/>
    <w:rsid w:val="406C5358"/>
    <w:rsid w:val="40EE1A79"/>
    <w:rsid w:val="41377C8C"/>
    <w:rsid w:val="4149335F"/>
    <w:rsid w:val="414C4C42"/>
    <w:rsid w:val="419B0DFB"/>
    <w:rsid w:val="431335B8"/>
    <w:rsid w:val="43506077"/>
    <w:rsid w:val="435B4DF5"/>
    <w:rsid w:val="4365375A"/>
    <w:rsid w:val="43B4421C"/>
    <w:rsid w:val="443B38CB"/>
    <w:rsid w:val="44D017E5"/>
    <w:rsid w:val="45B0484B"/>
    <w:rsid w:val="45DB19F4"/>
    <w:rsid w:val="461737AB"/>
    <w:rsid w:val="466F547C"/>
    <w:rsid w:val="47037E6D"/>
    <w:rsid w:val="47052ACC"/>
    <w:rsid w:val="475C3CAE"/>
    <w:rsid w:val="4786351D"/>
    <w:rsid w:val="478D3841"/>
    <w:rsid w:val="47A73BB4"/>
    <w:rsid w:val="47EA0B89"/>
    <w:rsid w:val="49C435C4"/>
    <w:rsid w:val="49E366D7"/>
    <w:rsid w:val="4A415FF8"/>
    <w:rsid w:val="4B40653C"/>
    <w:rsid w:val="4B6C0A54"/>
    <w:rsid w:val="4B7943C7"/>
    <w:rsid w:val="4BA60774"/>
    <w:rsid w:val="4BAE684A"/>
    <w:rsid w:val="4C89645C"/>
    <w:rsid w:val="4CC770EA"/>
    <w:rsid w:val="4CE746D1"/>
    <w:rsid w:val="4D702675"/>
    <w:rsid w:val="4D7E55CC"/>
    <w:rsid w:val="4E211AA5"/>
    <w:rsid w:val="4E765EA6"/>
    <w:rsid w:val="4E953EAB"/>
    <w:rsid w:val="4E997C78"/>
    <w:rsid w:val="4EAF12B2"/>
    <w:rsid w:val="4F80503B"/>
    <w:rsid w:val="4FDA67F6"/>
    <w:rsid w:val="500D442F"/>
    <w:rsid w:val="502675D7"/>
    <w:rsid w:val="50DD72C1"/>
    <w:rsid w:val="5160593A"/>
    <w:rsid w:val="51712FA4"/>
    <w:rsid w:val="521428E5"/>
    <w:rsid w:val="525F4924"/>
    <w:rsid w:val="534513A2"/>
    <w:rsid w:val="53886CE0"/>
    <w:rsid w:val="54C07F20"/>
    <w:rsid w:val="553E4DFF"/>
    <w:rsid w:val="55907A7D"/>
    <w:rsid w:val="55CB02B5"/>
    <w:rsid w:val="562217B3"/>
    <w:rsid w:val="56957A9F"/>
    <w:rsid w:val="578B6BCB"/>
    <w:rsid w:val="57A62CF9"/>
    <w:rsid w:val="58BF1AE4"/>
    <w:rsid w:val="59AA7A46"/>
    <w:rsid w:val="59EA41D4"/>
    <w:rsid w:val="5A964369"/>
    <w:rsid w:val="5AD841BD"/>
    <w:rsid w:val="5BAF3F4A"/>
    <w:rsid w:val="5BC44B03"/>
    <w:rsid w:val="5BD65822"/>
    <w:rsid w:val="5C546394"/>
    <w:rsid w:val="5C5D1991"/>
    <w:rsid w:val="5C6D62EB"/>
    <w:rsid w:val="5DA932B2"/>
    <w:rsid w:val="5DAF36EB"/>
    <w:rsid w:val="5DB379CC"/>
    <w:rsid w:val="5DE51582"/>
    <w:rsid w:val="5E5B0F4D"/>
    <w:rsid w:val="5EAF5067"/>
    <w:rsid w:val="5EDE3D7A"/>
    <w:rsid w:val="5F1D70FB"/>
    <w:rsid w:val="61266857"/>
    <w:rsid w:val="61381D3F"/>
    <w:rsid w:val="61FF4832"/>
    <w:rsid w:val="6230306E"/>
    <w:rsid w:val="62A366F1"/>
    <w:rsid w:val="62F53A64"/>
    <w:rsid w:val="63BA28EB"/>
    <w:rsid w:val="64805EB4"/>
    <w:rsid w:val="64E96AA1"/>
    <w:rsid w:val="6505560D"/>
    <w:rsid w:val="65072E81"/>
    <w:rsid w:val="65926B4F"/>
    <w:rsid w:val="66184FC6"/>
    <w:rsid w:val="667F3774"/>
    <w:rsid w:val="669B179F"/>
    <w:rsid w:val="673F6825"/>
    <w:rsid w:val="676F1DFC"/>
    <w:rsid w:val="677B7575"/>
    <w:rsid w:val="677FA8C4"/>
    <w:rsid w:val="67A45DD7"/>
    <w:rsid w:val="68673EB8"/>
    <w:rsid w:val="687A109C"/>
    <w:rsid w:val="69667DCC"/>
    <w:rsid w:val="69EA2AC1"/>
    <w:rsid w:val="6A744B7E"/>
    <w:rsid w:val="6AA4064C"/>
    <w:rsid w:val="6BAF4F3B"/>
    <w:rsid w:val="6BCA2E31"/>
    <w:rsid w:val="6BE73DD7"/>
    <w:rsid w:val="6C3E515E"/>
    <w:rsid w:val="6E797D7C"/>
    <w:rsid w:val="6E981082"/>
    <w:rsid w:val="6E995ADE"/>
    <w:rsid w:val="6EB562FE"/>
    <w:rsid w:val="6EC524A8"/>
    <w:rsid w:val="6FA1019C"/>
    <w:rsid w:val="703133E5"/>
    <w:rsid w:val="70444E71"/>
    <w:rsid w:val="710D72D1"/>
    <w:rsid w:val="71373C2B"/>
    <w:rsid w:val="71A4289E"/>
    <w:rsid w:val="71BC4378"/>
    <w:rsid w:val="727B6713"/>
    <w:rsid w:val="72D73322"/>
    <w:rsid w:val="73273DCC"/>
    <w:rsid w:val="733750A3"/>
    <w:rsid w:val="73E16AC8"/>
    <w:rsid w:val="749F6ACC"/>
    <w:rsid w:val="75043A80"/>
    <w:rsid w:val="7534591D"/>
    <w:rsid w:val="75FC10E6"/>
    <w:rsid w:val="77060544"/>
    <w:rsid w:val="773F1DD6"/>
    <w:rsid w:val="77FD5CD1"/>
    <w:rsid w:val="786C3B04"/>
    <w:rsid w:val="78701F84"/>
    <w:rsid w:val="787178BB"/>
    <w:rsid w:val="787633B2"/>
    <w:rsid w:val="78AD2FEC"/>
    <w:rsid w:val="7B160229"/>
    <w:rsid w:val="7BCA4236"/>
    <w:rsid w:val="7C2E6ED5"/>
    <w:rsid w:val="7D430E23"/>
    <w:rsid w:val="7E74458F"/>
    <w:rsid w:val="7EA24FE7"/>
    <w:rsid w:val="7F6E48F8"/>
    <w:rsid w:val="7FB766F3"/>
    <w:rsid w:val="9DBCA26A"/>
    <w:rsid w:val="C77D303C"/>
    <w:rsid w:val="DB7FC03E"/>
    <w:rsid w:val="EEFF2331"/>
    <w:rsid w:val="FA326B01"/>
    <w:rsid w:val="FEEF0F18"/>
    <w:rsid w:val="FFAC6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4">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unhideWhenUsed/>
    <w:qFormat/>
    <w:uiPriority w:val="99"/>
    <w:pPr>
      <w:tabs>
        <w:tab w:val="center" w:pos="4153"/>
        <w:tab w:val="right" w:pos="8306"/>
      </w:tabs>
      <w:snapToGrid w:val="0"/>
      <w:jc w:val="left"/>
    </w:pPr>
    <w:rPr>
      <w:sz w:val="18"/>
      <w:szCs w:val="18"/>
    </w:rPr>
  </w:style>
  <w:style w:type="paragraph" w:styleId="5">
    <w:name w:val="annotation text"/>
    <w:basedOn w:val="1"/>
    <w:link w:val="16"/>
    <w:semiHidden/>
    <w:unhideWhenUsed/>
    <w:qFormat/>
    <w:uiPriority w:val="99"/>
    <w:pPr>
      <w:jc w:val="left"/>
    </w:pPr>
  </w:style>
  <w:style w:type="paragraph" w:styleId="6">
    <w:name w:val="Body Text"/>
    <w:basedOn w:val="1"/>
    <w:unhideWhenUsed/>
    <w:qFormat/>
    <w:uiPriority w:val="99"/>
    <w:pPr>
      <w:spacing w:after="120"/>
    </w:pPr>
  </w:style>
  <w:style w:type="paragraph" w:styleId="7">
    <w:name w:val="Plain Text"/>
    <w:basedOn w:val="6"/>
    <w:next w:val="6"/>
    <w:unhideWhenUsed/>
    <w:qFormat/>
    <w:uiPriority w:val="99"/>
    <w:rPr>
      <w:rFonts w:ascii="宋体" w:hAnsi="宋体" w:eastAsia="宋体"/>
      <w:sz w:val="52"/>
    </w:rPr>
  </w:style>
  <w:style w:type="paragraph" w:styleId="8">
    <w:name w:val="Balloon Text"/>
    <w:basedOn w:val="1"/>
    <w:link w:val="18"/>
    <w:semiHidden/>
    <w:unhideWhenUsed/>
    <w:qFormat/>
    <w:uiPriority w:val="99"/>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11">
    <w:name w:val="annotation subject"/>
    <w:basedOn w:val="5"/>
    <w:next w:val="5"/>
    <w:link w:val="17"/>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批注文字 Char"/>
    <w:basedOn w:val="14"/>
    <w:link w:val="5"/>
    <w:semiHidden/>
    <w:qFormat/>
    <w:uiPriority w:val="99"/>
  </w:style>
  <w:style w:type="character" w:customStyle="1" w:styleId="17">
    <w:name w:val="批注主题 Char"/>
    <w:basedOn w:val="16"/>
    <w:link w:val="11"/>
    <w:semiHidden/>
    <w:qFormat/>
    <w:uiPriority w:val="99"/>
    <w:rPr>
      <w:b/>
      <w:bCs/>
    </w:rPr>
  </w:style>
  <w:style w:type="character" w:customStyle="1" w:styleId="18">
    <w:name w:val="批注框文本 Char"/>
    <w:basedOn w:val="14"/>
    <w:link w:val="8"/>
    <w:semiHidden/>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页眉 Char"/>
    <w:basedOn w:val="14"/>
    <w:link w:val="9"/>
    <w:qFormat/>
    <w:uiPriority w:val="99"/>
    <w:rPr>
      <w:sz w:val="18"/>
      <w:szCs w:val="18"/>
    </w:rPr>
  </w:style>
  <w:style w:type="character" w:customStyle="1" w:styleId="21">
    <w:name w:val="页脚 Char"/>
    <w:basedOn w:val="14"/>
    <w:link w:val="2"/>
    <w:qFormat/>
    <w:uiPriority w:val="99"/>
    <w:rPr>
      <w:sz w:val="18"/>
      <w:szCs w:val="18"/>
    </w:rPr>
  </w:style>
  <w:style w:type="character" w:customStyle="1" w:styleId="22">
    <w:name w:val="font41"/>
    <w:basedOn w:val="14"/>
    <w:qFormat/>
    <w:uiPriority w:val="0"/>
    <w:rPr>
      <w:rFonts w:hint="eastAsia" w:ascii="宋体" w:hAnsi="宋体" w:eastAsia="宋体" w:cs="宋体"/>
      <w:b/>
      <w:color w:val="000000"/>
      <w:sz w:val="20"/>
      <w:szCs w:val="20"/>
      <w:u w:val="none"/>
    </w:rPr>
  </w:style>
  <w:style w:type="character" w:customStyle="1" w:styleId="23">
    <w:name w:val="font51"/>
    <w:basedOn w:val="14"/>
    <w:qFormat/>
    <w:uiPriority w:val="0"/>
    <w:rPr>
      <w:rFonts w:hint="eastAsia" w:ascii="宋体" w:hAnsi="宋体" w:eastAsia="宋体" w:cs="宋体"/>
      <w:color w:val="000000"/>
      <w:sz w:val="20"/>
      <w:szCs w:val="20"/>
      <w:u w:val="none"/>
    </w:rPr>
  </w:style>
  <w:style w:type="character" w:customStyle="1" w:styleId="24">
    <w:name w:val="font31"/>
    <w:basedOn w:val="14"/>
    <w:qFormat/>
    <w:uiPriority w:val="0"/>
    <w:rPr>
      <w:rFonts w:hint="eastAsia" w:ascii="宋体" w:hAnsi="宋体" w:eastAsia="宋体" w:cs="宋体"/>
      <w:b/>
      <w:color w:val="000000"/>
      <w:sz w:val="20"/>
      <w:szCs w:val="20"/>
      <w:u w:val="none"/>
    </w:rPr>
  </w:style>
  <w:style w:type="character" w:customStyle="1" w:styleId="25">
    <w:name w:val="font61"/>
    <w:basedOn w:val="14"/>
    <w:qFormat/>
    <w:uiPriority w:val="0"/>
    <w:rPr>
      <w:rFonts w:hint="eastAsia" w:ascii="宋体" w:hAnsi="宋体" w:eastAsia="宋体" w:cs="宋体"/>
      <w:color w:val="000000"/>
      <w:sz w:val="20"/>
      <w:szCs w:val="20"/>
      <w:u w:val="none"/>
    </w:rPr>
  </w:style>
  <w:style w:type="character" w:customStyle="1" w:styleId="26">
    <w:name w:val="NormalCharacter"/>
    <w:semiHidden/>
    <w:qFormat/>
    <w:uiPriority w:val="0"/>
  </w:style>
  <w:style w:type="paragraph" w:customStyle="1" w:styleId="27">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wqq</Company>
  <Pages>9</Pages>
  <Words>4059</Words>
  <Characters>4217</Characters>
  <Lines>2</Lines>
  <Paragraphs>8</Paragraphs>
  <TotalTime>7</TotalTime>
  <ScaleCrop>false</ScaleCrop>
  <LinksUpToDate>false</LinksUpToDate>
  <CharactersWithSpaces>4234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2022-09-13T07:07:00Z</dcterms:created>
  <dc:creator>Administrator</dc:creator>
  <cp:lastModifiedBy>不再沉默的沉默</cp:lastModifiedBy>
  <cp:lastPrinted>2020-11-02T14:12:00Z</cp:lastPrinted>
  <dcterms:modified xsi:type="dcterms:W3CDTF">2022-09-13T11:09:58Z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200CC0B0C7C0424EA508F3EFD958E540</vt:lpwstr>
  </property>
</Properties>
</file>