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4.9.0.0 -->
  <w:body>
    <w:p>
      <w:pPr>
        <w:pStyle w:val="NormalWeb"/>
        <w:spacing w:before="454" w:after="454"/>
        <w:ind w:left="454" w:right="454"/>
        <w:jc w:val="center"/>
        <w:outlineLvl w:val="0"/>
        <w:rPr>
          <w:rFonts w:eastAsiaTheme="minorEastAsia" w:hint="eastAsia"/>
          <w:sz w:val="40"/>
          <w:szCs w:val="40"/>
          <w:lang w:eastAsia="zh-CN"/>
        </w:rPr>
      </w:pPr>
      <w:r>
        <w:rPr>
          <w:rFonts w:hint="eastAsia"/>
          <w:sz w:val="40"/>
          <w:szCs w:val="40"/>
          <w:lang w:eastAsia="zh-CN"/>
        </w:rPr>
        <w:t>光明区区属市政道路病媒生物防制（“四害”消杀）服务</w:t>
      </w:r>
    </w:p>
    <w:p>
      <w:pPr>
        <w:pStyle w:val="NormalWeb"/>
        <w:jc w:val="center"/>
        <w:outlineLvl w:val="1"/>
        <w:rPr>
          <w:rFonts w:ascii="黑体" w:eastAsia="黑体" w:hAnsi="黑体"/>
          <w:sz w:val="40"/>
          <w:szCs w:val="40"/>
        </w:rPr>
      </w:pPr>
      <w:r>
        <w:rPr>
          <w:rFonts w:ascii="黑体" w:eastAsia="黑体" w:hAnsi="黑体" w:hint="eastAsia"/>
          <w:sz w:val="40"/>
          <w:szCs w:val="40"/>
        </w:rPr>
        <w:t>招标文件信息</w:t>
      </w:r>
    </w:p>
    <w:tbl>
      <w:tblPr>
        <w:tblStyle w:val="TableNormal"/>
        <w:tblW w:w="7938" w:type="dxa"/>
        <w:jc w:val="center"/>
        <w:tblCellSpacing w:w="0" w:type="dxa"/>
        <w:tblInd w:w="0" w:type="dxa"/>
        <w:tblLayout w:type="fixed"/>
        <w:tblCellMar>
          <w:top w:w="45" w:type="dxa"/>
          <w:left w:w="45" w:type="dxa"/>
          <w:bottom w:w="45" w:type="dxa"/>
          <w:right w:w="45" w:type="dxa"/>
        </w:tblCellMar>
      </w:tblPr>
      <w:tblGrid>
        <w:gridCol w:w="2722"/>
        <w:gridCol w:w="5216"/>
      </w:tblGrid>
      <w:tr>
        <w:tblPrEx>
          <w:tblW w:w="7938" w:type="dxa"/>
          <w:jc w:val="center"/>
          <w:tblCellSpacing w:w="0" w:type="dxa"/>
          <w:tblInd w:w="0" w:type="dxa"/>
          <w:tblLayout w:type="fixed"/>
          <w:tblCellMar>
            <w:top w:w="45" w:type="dxa"/>
            <w:left w:w="45" w:type="dxa"/>
            <w:bottom w:w="45" w:type="dxa"/>
            <w:right w:w="45" w:type="dxa"/>
          </w:tblCellMar>
        </w:tblPrEx>
        <w:trPr>
          <w:trHeight w:val="737"/>
          <w:tblCellSpacing w:w="0" w:type="dxa"/>
          <w:jc w:val="center"/>
        </w:trPr>
        <w:tc>
          <w:tcPr>
            <w:tcW w:w="2722" w:type="dxa"/>
            <w:vAlign w:val="center"/>
          </w:tcPr>
          <w:p>
            <w:pPr>
              <w:jc w:val="right"/>
              <w:rPr>
                <w:rFonts w:ascii="宋体" w:hAnsi="宋体" w:cs="宋体"/>
                <w:sz w:val="30"/>
                <w:szCs w:val="30"/>
              </w:rPr>
            </w:pPr>
            <w:r>
              <w:rPr>
                <w:sz w:val="30"/>
                <w:szCs w:val="30"/>
              </w:rPr>
              <w:t>项目编号：</w:t>
            </w:r>
          </w:p>
        </w:tc>
        <w:tc>
          <w:tcPr>
            <w:tcW w:w="5216" w:type="dxa"/>
            <w:vAlign w:val="center"/>
          </w:tcPr>
          <w:p>
            <w:pPr>
              <w:rPr>
                <w:rFonts w:ascii="宋体" w:hAnsi="宋体" w:eastAsiaTheme="minorEastAsia" w:cs="宋体" w:hint="eastAsia"/>
                <w:sz w:val="30"/>
                <w:szCs w:val="30"/>
                <w:lang w:eastAsia="zh-CN"/>
              </w:rPr>
            </w:pPr>
            <w:r>
              <w:rPr>
                <w:rFonts w:ascii="宋体" w:hAnsi="宋体" w:eastAsiaTheme="minorEastAsia" w:cs="宋体" w:hint="eastAsia"/>
                <w:sz w:val="30"/>
                <w:szCs w:val="30"/>
                <w:lang w:eastAsia="zh-CN"/>
              </w:rPr>
              <w:t>GMDL2022000130</w:t>
            </w:r>
          </w:p>
        </w:tc>
      </w:tr>
      <w:tr>
        <w:tblPrEx>
          <w:tblW w:w="7938" w:type="dxa"/>
          <w:jc w:val="center"/>
          <w:tblCellSpacing w:w="0" w:type="dxa"/>
          <w:tblInd w:w="0" w:type="dxa"/>
          <w:tblLayout w:type="fixed"/>
          <w:tblCellMar>
            <w:top w:w="45" w:type="dxa"/>
            <w:left w:w="45" w:type="dxa"/>
            <w:bottom w:w="45" w:type="dxa"/>
            <w:right w:w="45" w:type="dxa"/>
          </w:tblCellMar>
        </w:tblPrEx>
        <w:trPr>
          <w:trHeight w:val="737"/>
          <w:tblCellSpacing w:w="0" w:type="dxa"/>
          <w:jc w:val="center"/>
        </w:trPr>
        <w:tc>
          <w:tcPr>
            <w:tcW w:w="2722" w:type="dxa"/>
            <w:vAlign w:val="center"/>
          </w:tcPr>
          <w:p>
            <w:pPr>
              <w:jc w:val="right"/>
              <w:rPr>
                <w:rFonts w:ascii="宋体" w:hAnsi="宋体" w:cs="宋体"/>
                <w:sz w:val="30"/>
                <w:szCs w:val="30"/>
              </w:rPr>
            </w:pPr>
            <w:r>
              <w:rPr>
                <w:sz w:val="30"/>
                <w:szCs w:val="30"/>
              </w:rPr>
              <w:t>项目名称：</w:t>
            </w:r>
          </w:p>
        </w:tc>
        <w:tc>
          <w:tcPr>
            <w:tcW w:w="5216" w:type="dxa"/>
            <w:vAlign w:val="center"/>
          </w:tcPr>
          <w:p>
            <w:pPr>
              <w:rPr>
                <w:rFonts w:ascii="宋体" w:hAnsi="宋体" w:eastAsiaTheme="minorEastAsia" w:cs="宋体" w:hint="eastAsia"/>
                <w:sz w:val="30"/>
                <w:szCs w:val="30"/>
                <w:lang w:eastAsia="zh-CN"/>
              </w:rPr>
            </w:pPr>
            <w:r>
              <w:rPr>
                <w:rFonts w:ascii="宋体" w:hAnsi="宋体" w:hint="eastAsia"/>
                <w:sz w:val="32"/>
                <w:lang w:eastAsia="zh-CN"/>
              </w:rPr>
              <w:t>光明区区属市政道路病媒生物防制（“四害”消杀）服务</w:t>
            </w:r>
          </w:p>
        </w:tc>
      </w:tr>
      <w:tr>
        <w:tblPrEx>
          <w:tblW w:w="7938" w:type="dxa"/>
          <w:jc w:val="center"/>
          <w:tblCellSpacing w:w="0" w:type="dxa"/>
          <w:tblInd w:w="0" w:type="dxa"/>
          <w:tblLayout w:type="fixed"/>
          <w:tblCellMar>
            <w:top w:w="45" w:type="dxa"/>
            <w:left w:w="45" w:type="dxa"/>
            <w:bottom w:w="45" w:type="dxa"/>
            <w:right w:w="45" w:type="dxa"/>
          </w:tblCellMar>
        </w:tblPrEx>
        <w:trPr>
          <w:trHeight w:val="737"/>
          <w:tblCellSpacing w:w="0" w:type="dxa"/>
          <w:jc w:val="center"/>
        </w:trPr>
        <w:tc>
          <w:tcPr>
            <w:tcW w:w="2722" w:type="dxa"/>
            <w:vAlign w:val="center"/>
          </w:tcPr>
          <w:p>
            <w:pPr>
              <w:jc w:val="right"/>
              <w:rPr>
                <w:rFonts w:ascii="宋体" w:hAnsi="宋体" w:cs="宋体"/>
                <w:sz w:val="30"/>
                <w:szCs w:val="30"/>
              </w:rPr>
            </w:pPr>
            <w:r>
              <w:rPr>
                <w:sz w:val="30"/>
                <w:szCs w:val="30"/>
              </w:rPr>
              <w:t>包 号：</w:t>
            </w:r>
          </w:p>
        </w:tc>
        <w:tc>
          <w:tcPr>
            <w:tcW w:w="5216" w:type="dxa"/>
            <w:vAlign w:val="center"/>
          </w:tcPr>
          <w:p>
            <w:pPr>
              <w:rPr>
                <w:rFonts w:ascii="宋体" w:hAnsi="宋体" w:cs="宋体"/>
                <w:sz w:val="30"/>
                <w:szCs w:val="30"/>
              </w:rPr>
            </w:pPr>
            <w:r>
              <w:rPr>
                <w:sz w:val="30"/>
                <w:szCs w:val="30"/>
              </w:rPr>
              <w:t>A</w:t>
            </w:r>
          </w:p>
        </w:tc>
      </w:tr>
      <w:tr>
        <w:tblPrEx>
          <w:tblW w:w="7938" w:type="dxa"/>
          <w:jc w:val="center"/>
          <w:tblCellSpacing w:w="0" w:type="dxa"/>
          <w:tblInd w:w="0" w:type="dxa"/>
          <w:tblLayout w:type="fixed"/>
          <w:tblCellMar>
            <w:top w:w="45" w:type="dxa"/>
            <w:left w:w="45" w:type="dxa"/>
            <w:bottom w:w="45" w:type="dxa"/>
            <w:right w:w="45" w:type="dxa"/>
          </w:tblCellMar>
        </w:tblPrEx>
        <w:trPr>
          <w:trHeight w:val="737"/>
          <w:tblCellSpacing w:w="0" w:type="dxa"/>
          <w:jc w:val="center"/>
        </w:trPr>
        <w:tc>
          <w:tcPr>
            <w:tcW w:w="2722" w:type="dxa"/>
            <w:vAlign w:val="center"/>
          </w:tcPr>
          <w:p>
            <w:pPr>
              <w:jc w:val="right"/>
              <w:rPr>
                <w:rFonts w:ascii="宋体" w:hAnsi="宋体" w:cs="宋体"/>
                <w:sz w:val="30"/>
                <w:szCs w:val="30"/>
              </w:rPr>
            </w:pPr>
            <w:r>
              <w:rPr>
                <w:sz w:val="30"/>
                <w:szCs w:val="30"/>
              </w:rPr>
              <w:t>项目类型：</w:t>
            </w:r>
          </w:p>
        </w:tc>
        <w:tc>
          <w:tcPr>
            <w:tcW w:w="5216" w:type="dxa"/>
            <w:vAlign w:val="center"/>
          </w:tcPr>
          <w:p>
            <w:pPr>
              <w:rPr>
                <w:rFonts w:ascii="宋体" w:hAnsi="宋体" w:cs="宋体"/>
                <w:sz w:val="30"/>
                <w:szCs w:val="30"/>
              </w:rPr>
            </w:pPr>
            <w:r>
              <w:rPr>
                <w:sz w:val="30"/>
                <w:szCs w:val="30"/>
              </w:rPr>
              <w:t>服务类</w:t>
            </w:r>
          </w:p>
        </w:tc>
      </w:tr>
      <w:tr>
        <w:tblPrEx>
          <w:tblW w:w="7938" w:type="dxa"/>
          <w:jc w:val="center"/>
          <w:tblCellSpacing w:w="0" w:type="dxa"/>
          <w:tblInd w:w="0" w:type="dxa"/>
          <w:tblLayout w:type="fixed"/>
          <w:tblCellMar>
            <w:top w:w="45" w:type="dxa"/>
            <w:left w:w="45" w:type="dxa"/>
            <w:bottom w:w="45" w:type="dxa"/>
            <w:right w:w="45" w:type="dxa"/>
          </w:tblCellMar>
        </w:tblPrEx>
        <w:trPr>
          <w:trHeight w:val="737"/>
          <w:tblCellSpacing w:w="0" w:type="dxa"/>
          <w:jc w:val="center"/>
        </w:trPr>
        <w:tc>
          <w:tcPr>
            <w:tcW w:w="2722" w:type="dxa"/>
            <w:vAlign w:val="center"/>
          </w:tcPr>
          <w:p>
            <w:pPr>
              <w:jc w:val="right"/>
              <w:rPr>
                <w:rFonts w:ascii="宋体" w:hAnsi="宋体" w:cs="宋体"/>
                <w:sz w:val="30"/>
                <w:szCs w:val="30"/>
              </w:rPr>
            </w:pPr>
            <w:r>
              <w:rPr>
                <w:sz w:val="30"/>
                <w:szCs w:val="30"/>
              </w:rPr>
              <w:t>采购方式：</w:t>
            </w:r>
          </w:p>
        </w:tc>
        <w:tc>
          <w:tcPr>
            <w:tcW w:w="5216" w:type="dxa"/>
            <w:vAlign w:val="center"/>
          </w:tcPr>
          <w:p>
            <w:pPr>
              <w:rPr>
                <w:rFonts w:ascii="宋体" w:hAnsi="宋体" w:cs="宋体"/>
                <w:sz w:val="30"/>
                <w:szCs w:val="30"/>
              </w:rPr>
            </w:pPr>
            <w:r>
              <w:rPr>
                <w:sz w:val="30"/>
                <w:szCs w:val="30"/>
              </w:rPr>
              <w:t>公开招标</w:t>
            </w:r>
          </w:p>
        </w:tc>
      </w:tr>
      <w:tr>
        <w:tblPrEx>
          <w:tblW w:w="7938" w:type="dxa"/>
          <w:jc w:val="center"/>
          <w:tblCellSpacing w:w="0" w:type="dxa"/>
          <w:tblInd w:w="0" w:type="dxa"/>
          <w:tblLayout w:type="fixed"/>
          <w:tblCellMar>
            <w:top w:w="45" w:type="dxa"/>
            <w:left w:w="45" w:type="dxa"/>
            <w:bottom w:w="45" w:type="dxa"/>
            <w:right w:w="45" w:type="dxa"/>
          </w:tblCellMar>
        </w:tblPrEx>
        <w:trPr>
          <w:trHeight w:val="737"/>
          <w:tblCellSpacing w:w="0" w:type="dxa"/>
          <w:jc w:val="center"/>
        </w:trPr>
        <w:tc>
          <w:tcPr>
            <w:tcW w:w="2722" w:type="dxa"/>
            <w:vAlign w:val="center"/>
          </w:tcPr>
          <w:p>
            <w:pPr>
              <w:jc w:val="right"/>
              <w:rPr>
                <w:rFonts w:ascii="宋体" w:hAnsi="宋体" w:cs="宋体"/>
                <w:sz w:val="30"/>
                <w:szCs w:val="30"/>
              </w:rPr>
            </w:pPr>
            <w:r>
              <w:rPr>
                <w:sz w:val="30"/>
                <w:szCs w:val="30"/>
              </w:rPr>
              <w:t>货币类型：</w:t>
            </w:r>
          </w:p>
        </w:tc>
        <w:tc>
          <w:tcPr>
            <w:tcW w:w="5216" w:type="dxa"/>
            <w:vAlign w:val="center"/>
          </w:tcPr>
          <w:p>
            <w:pPr>
              <w:rPr>
                <w:rFonts w:ascii="宋体" w:hAnsi="宋体" w:cs="宋体"/>
                <w:sz w:val="30"/>
                <w:szCs w:val="30"/>
              </w:rPr>
            </w:pPr>
            <w:r>
              <w:rPr>
                <w:sz w:val="30"/>
                <w:szCs w:val="30"/>
              </w:rPr>
              <w:t>人民币</w:t>
            </w:r>
          </w:p>
        </w:tc>
      </w:tr>
      <w:tr>
        <w:tblPrEx>
          <w:tblW w:w="7938" w:type="dxa"/>
          <w:jc w:val="center"/>
          <w:tblCellSpacing w:w="0" w:type="dxa"/>
          <w:tblInd w:w="0" w:type="dxa"/>
          <w:tblLayout w:type="fixed"/>
          <w:tblCellMar>
            <w:top w:w="45" w:type="dxa"/>
            <w:left w:w="45" w:type="dxa"/>
            <w:bottom w:w="45" w:type="dxa"/>
            <w:right w:w="45" w:type="dxa"/>
          </w:tblCellMar>
        </w:tblPrEx>
        <w:trPr>
          <w:trHeight w:val="737"/>
          <w:tblCellSpacing w:w="0" w:type="dxa"/>
          <w:jc w:val="center"/>
        </w:trPr>
        <w:tc>
          <w:tcPr>
            <w:tcW w:w="2722" w:type="dxa"/>
            <w:vAlign w:val="center"/>
          </w:tcPr>
          <w:p>
            <w:pPr>
              <w:jc w:val="right"/>
              <w:rPr>
                <w:rFonts w:ascii="宋体" w:hAnsi="宋体" w:cs="宋体"/>
                <w:sz w:val="30"/>
                <w:szCs w:val="30"/>
              </w:rPr>
            </w:pPr>
            <w:r>
              <w:rPr>
                <w:sz w:val="30"/>
                <w:szCs w:val="30"/>
              </w:rPr>
              <w:t>评标方法：</w:t>
            </w:r>
          </w:p>
        </w:tc>
        <w:tc>
          <w:tcPr>
            <w:tcW w:w="5216" w:type="dxa"/>
            <w:vAlign w:val="center"/>
          </w:tcPr>
          <w:p>
            <w:pPr>
              <w:rPr>
                <w:rFonts w:ascii="宋体" w:hAnsi="宋体" w:cs="宋体"/>
                <w:sz w:val="30"/>
                <w:szCs w:val="30"/>
              </w:rPr>
            </w:pPr>
            <w:r>
              <w:rPr>
                <w:sz w:val="30"/>
                <w:szCs w:val="30"/>
              </w:rPr>
              <w:t>综合评分法（新价格分算法）</w:t>
            </w:r>
          </w:p>
        </w:tc>
      </w:tr>
    </w:tbl>
    <w:p>
      <w:pPr>
        <w:pStyle w:val="NormalWeb"/>
        <w:jc w:val="center"/>
        <w:outlineLvl w:val="1"/>
        <w:rPr>
          <w:rFonts w:ascii="黑体" w:eastAsia="黑体" w:hAnsi="黑体"/>
          <w:sz w:val="40"/>
          <w:szCs w:val="40"/>
        </w:rPr>
      </w:pPr>
      <w:r>
        <w:rPr>
          <w:rFonts w:ascii="黑体" w:eastAsia="黑体" w:hAnsi="黑体" w:hint="eastAsia"/>
          <w:sz w:val="40"/>
          <w:szCs w:val="40"/>
        </w:rPr>
        <w:t>资格性审查表</w:t>
      </w:r>
    </w:p>
    <w:tbl>
      <w:tblPr>
        <w:tblStyle w:val="TableNormal"/>
        <w:tblW w:w="9072"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94"/>
        <w:gridCol w:w="8278"/>
      </w:tblGrid>
      <w:tr>
        <w:tblPrEx>
          <w:tblW w:w="9072"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8"/>
                <w:szCs w:val="28"/>
              </w:rPr>
            </w:pPr>
            <w:r>
              <w:rPr>
                <w:sz w:val="28"/>
                <w:szCs w:val="28"/>
              </w:rPr>
              <w:t>内容</w:t>
            </w:r>
          </w:p>
        </w:tc>
      </w:tr>
      <w:tr>
        <w:tblPrEx>
          <w:tblW w:w="9072" w:type="dxa"/>
          <w:jc w:val="center"/>
          <w:tblInd w:w="0" w:type="dxa"/>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1</w:t>
            </w:r>
          </w:p>
        </w:tc>
        <w:tc>
          <w:tcPr>
            <w:tcW w:w="8278" w:type="dxa"/>
            <w:tcBorders>
              <w:top w:val="single" w:sz="8" w:space="0" w:color="000000"/>
              <w:left w:val="single" w:sz="8" w:space="0" w:color="000000"/>
              <w:bottom w:val="single" w:sz="8" w:space="0" w:color="000000"/>
              <w:right w:val="single" w:sz="8" w:space="0" w:color="000000"/>
            </w:tcBorders>
          </w:tcPr>
          <w:p>
            <w:pPr>
              <w:rPr>
                <w:rFonts w:ascii="宋体" w:hAnsi="宋体" w:cs="宋体"/>
                <w:szCs w:val="21"/>
              </w:rPr>
            </w:pPr>
            <w:r>
              <w:rPr>
                <w:szCs w:val="21"/>
              </w:rPr>
              <w:t>投标人不具备招标文件所列的资格要求，或未提交相应的资格证明资料（详见《招标公告》"投标人资格要求")；</w:t>
            </w:r>
          </w:p>
        </w:tc>
      </w:tr>
    </w:tbl>
    <w:p>
      <w:pPr>
        <w:pStyle w:val="NormalWeb"/>
        <w:spacing w:before="280"/>
        <w:jc w:val="center"/>
        <w:outlineLvl w:val="1"/>
        <w:rPr>
          <w:rFonts w:ascii="黑体" w:eastAsia="黑体" w:hAnsi="黑体"/>
          <w:sz w:val="40"/>
          <w:szCs w:val="40"/>
        </w:rPr>
      </w:pPr>
      <w:r>
        <w:rPr>
          <w:rFonts w:ascii="黑体" w:eastAsia="黑体" w:hAnsi="黑体" w:hint="eastAsia"/>
          <w:sz w:val="40"/>
          <w:szCs w:val="40"/>
        </w:rPr>
        <w:t>符合性审查表</w:t>
      </w:r>
    </w:p>
    <w:tbl>
      <w:tblPr>
        <w:tblStyle w:val="TableNormal"/>
        <w:tblW w:w="9072"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794"/>
        <w:gridCol w:w="8278"/>
      </w:tblGrid>
      <w:tr>
        <w:tblPrEx>
          <w:tblW w:w="9072"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8"/>
                <w:szCs w:val="28"/>
              </w:rPr>
            </w:pPr>
            <w:r>
              <w:rPr>
                <w:sz w:val="28"/>
                <w:szCs w:val="28"/>
              </w:rPr>
              <w:t>序号</w:t>
            </w:r>
          </w:p>
        </w:tc>
        <w:tc>
          <w:tcPr>
            <w:tcW w:w="8278" w:type="dxa"/>
            <w:tcBorders>
              <w:top w:val="single" w:sz="8" w:space="0" w:color="000000"/>
              <w:left w:val="single" w:sz="8" w:space="0" w:color="000000"/>
              <w:bottom w:val="single" w:sz="8" w:space="0" w:color="000000"/>
              <w:right w:val="single" w:sz="8" w:space="0" w:color="000000"/>
            </w:tcBorders>
            <w:shd w:val="clear" w:color="auto" w:fill="E6EFFA"/>
            <w:vAlign w:val="center"/>
          </w:tcPr>
          <w:p>
            <w:pPr>
              <w:jc w:val="center"/>
              <w:rPr>
                <w:rFonts w:ascii="宋体" w:hAnsi="宋体" w:cs="宋体"/>
                <w:sz w:val="28"/>
                <w:szCs w:val="28"/>
              </w:rPr>
            </w:pPr>
            <w:r>
              <w:rPr>
                <w:sz w:val="28"/>
                <w:szCs w:val="28"/>
              </w:rPr>
              <w:t>内容</w:t>
            </w:r>
          </w:p>
        </w:tc>
      </w:tr>
      <w:tr>
        <w:tblPrEx>
          <w:tblW w:w="9072" w:type="dxa"/>
          <w:jc w:val="center"/>
          <w:tblInd w:w="0" w:type="dxa"/>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1</w:t>
            </w:r>
          </w:p>
        </w:tc>
        <w:tc>
          <w:tcPr>
            <w:tcW w:w="8278" w:type="dxa"/>
            <w:tcBorders>
              <w:top w:val="single" w:sz="8" w:space="0" w:color="000000"/>
              <w:left w:val="single" w:sz="8" w:space="0" w:color="000000"/>
              <w:bottom w:val="single" w:sz="8" w:space="0" w:color="000000"/>
              <w:right w:val="single" w:sz="8" w:space="0" w:color="000000"/>
            </w:tcBorders>
          </w:tcPr>
          <w:p>
            <w:pPr>
              <w:rPr>
                <w:szCs w:val="21"/>
              </w:rPr>
            </w:pPr>
            <w:r>
              <w:rPr>
                <w:szCs w:val="21"/>
              </w:rPr>
              <w:t>将一个包或一个标段的内容拆开投标；</w:t>
            </w:r>
          </w:p>
        </w:tc>
      </w:tr>
      <w:tr>
        <w:tblPrEx>
          <w:tblW w:w="9072" w:type="dxa"/>
          <w:jc w:val="center"/>
          <w:tblInd w:w="0" w:type="dxa"/>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2</w:t>
            </w:r>
          </w:p>
        </w:tc>
        <w:tc>
          <w:tcPr>
            <w:tcW w:w="8278" w:type="dxa"/>
            <w:tcBorders>
              <w:top w:val="single" w:sz="8" w:space="0" w:color="000000"/>
              <w:left w:val="single" w:sz="8" w:space="0" w:color="000000"/>
              <w:bottom w:val="single" w:sz="8" w:space="0" w:color="000000"/>
              <w:right w:val="single" w:sz="8" w:space="0" w:color="000000"/>
            </w:tcBorders>
          </w:tcPr>
          <w:p>
            <w:pPr>
              <w:rPr>
                <w:szCs w:val="21"/>
              </w:rPr>
            </w:pPr>
            <w:r>
              <w:rPr>
                <w:szCs w:val="21"/>
              </w:rPr>
              <w:t>对同一项目投标时，提供两套以上的投标方案（招标文件另有规定的除外）；</w:t>
            </w:r>
          </w:p>
        </w:tc>
      </w:tr>
      <w:tr>
        <w:tblPrEx>
          <w:tblW w:w="9072" w:type="dxa"/>
          <w:jc w:val="center"/>
          <w:tblInd w:w="0" w:type="dxa"/>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3</w:t>
            </w:r>
          </w:p>
        </w:tc>
        <w:tc>
          <w:tcPr>
            <w:tcW w:w="8278" w:type="dxa"/>
            <w:tcBorders>
              <w:top w:val="single" w:sz="8" w:space="0" w:color="000000"/>
              <w:left w:val="single" w:sz="8" w:space="0" w:color="000000"/>
              <w:bottom w:val="single" w:sz="8" w:space="0" w:color="000000"/>
              <w:right w:val="single" w:sz="8" w:space="0" w:color="000000"/>
            </w:tcBorders>
          </w:tcPr>
          <w:p>
            <w:pPr>
              <w:rPr>
                <w:szCs w:val="21"/>
              </w:rPr>
            </w:pPr>
            <w:r>
              <w:rPr>
                <w:rFonts w:hint="eastAsia"/>
                <w:szCs w:val="21"/>
              </w:rPr>
              <w:t>分项报价或投标总价</w:t>
            </w:r>
            <w:r>
              <w:rPr>
                <w:szCs w:val="21"/>
              </w:rPr>
              <w:t>高于预算</w:t>
            </w:r>
            <w:r>
              <w:rPr>
                <w:rFonts w:hint="eastAsia"/>
                <w:szCs w:val="21"/>
              </w:rPr>
              <w:t>金额</w:t>
            </w:r>
            <w:r>
              <w:rPr>
                <w:szCs w:val="21"/>
              </w:rPr>
              <w:t>（最高投标限价）的；</w:t>
            </w:r>
          </w:p>
        </w:tc>
      </w:tr>
      <w:tr>
        <w:tblPrEx>
          <w:tblW w:w="9072" w:type="dxa"/>
          <w:jc w:val="center"/>
          <w:tblInd w:w="0" w:type="dxa"/>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4</w:t>
            </w:r>
          </w:p>
        </w:tc>
        <w:tc>
          <w:tcPr>
            <w:tcW w:w="8278" w:type="dxa"/>
            <w:tcBorders>
              <w:top w:val="single" w:sz="8" w:space="0" w:color="000000"/>
              <w:left w:val="single" w:sz="8" w:space="0" w:color="000000"/>
              <w:bottom w:val="single" w:sz="8" w:space="0" w:color="000000"/>
              <w:right w:val="single" w:sz="8" w:space="0" w:color="000000"/>
            </w:tcBorders>
          </w:tcPr>
          <w:p>
            <w:pPr>
              <w:rPr>
                <w:szCs w:val="21"/>
              </w:rPr>
            </w:pPr>
            <w:r>
              <w:rPr>
                <w:rFonts w:ascii="宋体" w:hAnsi="宋体" w:hint="eastAsia"/>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成员对投标人提供的说明材料判断不一致的，按照“少数服从多数”的原则确定评审委员会的意见）；</w:t>
            </w:r>
          </w:p>
        </w:tc>
      </w:tr>
      <w:tr>
        <w:tblPrEx>
          <w:tblW w:w="9072" w:type="dxa"/>
          <w:jc w:val="center"/>
          <w:tblInd w:w="0" w:type="dxa"/>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5</w:t>
            </w:r>
          </w:p>
        </w:tc>
        <w:tc>
          <w:tcPr>
            <w:tcW w:w="8278" w:type="dxa"/>
            <w:tcBorders>
              <w:top w:val="single" w:sz="8" w:space="0" w:color="000000"/>
              <w:left w:val="single" w:sz="8" w:space="0" w:color="000000"/>
              <w:bottom w:val="single" w:sz="8" w:space="0" w:color="000000"/>
              <w:right w:val="single" w:sz="8" w:space="0" w:color="000000"/>
            </w:tcBorders>
          </w:tcPr>
          <w:p>
            <w:pPr>
              <w:rPr>
                <w:szCs w:val="21"/>
              </w:rPr>
            </w:pPr>
            <w:r>
              <w:rPr>
                <w:rFonts w:hint="eastAsia"/>
                <w:szCs w:val="21"/>
              </w:rPr>
              <w:t>所投产品、工程、服务在商务、技术等方面没有实质性满足招标文件要求的（是否实质性满足招标文件要求，由评标委员会根据《实质性条款响应情况表》做出评判）；</w:t>
            </w:r>
          </w:p>
        </w:tc>
      </w:tr>
      <w:tr>
        <w:tblPrEx>
          <w:tblW w:w="9072" w:type="dxa"/>
          <w:jc w:val="center"/>
          <w:tblInd w:w="0" w:type="dxa"/>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6</w:t>
            </w:r>
          </w:p>
        </w:tc>
        <w:tc>
          <w:tcPr>
            <w:tcW w:w="8278" w:type="dxa"/>
            <w:tcBorders>
              <w:top w:val="single" w:sz="8" w:space="0" w:color="000000"/>
              <w:left w:val="single" w:sz="8" w:space="0" w:color="000000"/>
              <w:bottom w:val="single" w:sz="8" w:space="0" w:color="000000"/>
              <w:right w:val="single" w:sz="8" w:space="0" w:color="000000"/>
            </w:tcBorders>
          </w:tcPr>
          <w:p>
            <w:pPr>
              <w:rPr>
                <w:szCs w:val="21"/>
              </w:rPr>
            </w:pPr>
            <w:r>
              <w:rPr>
                <w:szCs w:val="21"/>
              </w:rPr>
              <w:t>未按招标文件所提供的样式填写《投标函》；未按招标文件所提供的《政府采购投标及履约承诺函》进行承诺；未按招标文件对投标文件组成的要求提供投标文件的（投标文件组成不完整）；</w:t>
            </w:r>
          </w:p>
        </w:tc>
      </w:tr>
      <w:tr>
        <w:tblPrEx>
          <w:tblW w:w="9072" w:type="dxa"/>
          <w:jc w:val="center"/>
          <w:tblInd w:w="0" w:type="dxa"/>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7</w:t>
            </w:r>
          </w:p>
        </w:tc>
        <w:tc>
          <w:tcPr>
            <w:tcW w:w="8278" w:type="dxa"/>
            <w:tcBorders>
              <w:top w:val="single" w:sz="8" w:space="0" w:color="000000"/>
              <w:left w:val="single" w:sz="8" w:space="0" w:color="000000"/>
              <w:bottom w:val="single" w:sz="8" w:space="0" w:color="000000"/>
              <w:right w:val="single" w:sz="8" w:space="0" w:color="000000"/>
            </w:tcBorders>
          </w:tcPr>
          <w:p>
            <w:pPr>
              <w:rPr>
                <w:szCs w:val="21"/>
              </w:rPr>
            </w:pPr>
            <w:r>
              <w:rPr>
                <w:szCs w:val="21"/>
              </w:rPr>
              <w:t>投标报价有缺漏项目或对招标文件规定的服务清单项目及数量进行修改；</w:t>
            </w:r>
          </w:p>
        </w:tc>
      </w:tr>
      <w:tr>
        <w:tblPrEx>
          <w:tblW w:w="9072" w:type="dxa"/>
          <w:jc w:val="center"/>
          <w:tblInd w:w="0" w:type="dxa"/>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8</w:t>
            </w:r>
          </w:p>
        </w:tc>
        <w:tc>
          <w:tcPr>
            <w:tcW w:w="8278" w:type="dxa"/>
            <w:tcBorders>
              <w:top w:val="single" w:sz="8" w:space="0" w:color="000000"/>
              <w:left w:val="single" w:sz="8" w:space="0" w:color="000000"/>
              <w:bottom w:val="single" w:sz="8" w:space="0" w:color="000000"/>
              <w:right w:val="single" w:sz="8" w:space="0" w:color="000000"/>
            </w:tcBorders>
          </w:tcPr>
          <w:p>
            <w:pPr>
              <w:rPr>
                <w:szCs w:val="21"/>
              </w:rPr>
            </w:pPr>
            <w:r>
              <w:rPr>
                <w:rFonts w:hint="eastAsia"/>
                <w:szCs w:val="21"/>
              </w:rPr>
              <w:t>投标文件存在列放位置错误，导致属于信息公开情形的没有被公开</w:t>
            </w:r>
          </w:p>
        </w:tc>
      </w:tr>
      <w:tr>
        <w:tblPrEx>
          <w:tblW w:w="9072" w:type="dxa"/>
          <w:jc w:val="center"/>
          <w:tblInd w:w="0" w:type="dxa"/>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9</w:t>
            </w:r>
          </w:p>
        </w:tc>
        <w:tc>
          <w:tcPr>
            <w:tcW w:w="8278" w:type="dxa"/>
            <w:tcBorders>
              <w:top w:val="single" w:sz="8" w:space="0" w:color="000000"/>
              <w:left w:val="single" w:sz="8" w:space="0" w:color="000000"/>
              <w:bottom w:val="single" w:sz="8" w:space="0" w:color="000000"/>
              <w:right w:val="single" w:sz="8" w:space="0" w:color="000000"/>
            </w:tcBorders>
          </w:tcPr>
          <w:p>
            <w:pPr>
              <w:rPr>
                <w:szCs w:val="21"/>
              </w:rPr>
            </w:pPr>
            <w:r>
              <w:rPr>
                <w:szCs w:val="21"/>
              </w:rPr>
              <w:t>投标文件电子文档带病毒；</w:t>
            </w:r>
          </w:p>
        </w:tc>
      </w:tr>
      <w:tr>
        <w:tblPrEx>
          <w:tblW w:w="9072" w:type="dxa"/>
          <w:jc w:val="center"/>
          <w:tblInd w:w="0" w:type="dxa"/>
          <w:tblLayout w:type="fixed"/>
          <w:tblCellMar>
            <w:top w:w="20" w:type="dxa"/>
            <w:left w:w="108" w:type="dxa"/>
            <w:bottom w:w="20" w:type="dxa"/>
            <w:right w:w="108" w:type="dxa"/>
          </w:tblCellMar>
        </w:tblPrEx>
        <w:trPr>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10</w:t>
            </w:r>
          </w:p>
        </w:tc>
        <w:tc>
          <w:tcPr>
            <w:tcW w:w="8278" w:type="dxa"/>
            <w:tcBorders>
              <w:top w:val="single" w:sz="8" w:space="0" w:color="000000"/>
              <w:left w:val="single" w:sz="8" w:space="0" w:color="000000"/>
              <w:bottom w:val="single" w:sz="8" w:space="0" w:color="000000"/>
              <w:right w:val="single" w:sz="8" w:space="0" w:color="000000"/>
            </w:tcBorders>
          </w:tcPr>
          <w:p>
            <w:pPr>
              <w:rPr>
                <w:szCs w:val="21"/>
              </w:rPr>
            </w:pPr>
            <w:r>
              <w:rPr>
                <w:szCs w:val="21"/>
              </w:rPr>
              <w:t>投标文件用不属于本公司的电子密钥进行加密的；</w:t>
            </w:r>
          </w:p>
        </w:tc>
      </w:tr>
      <w:tr>
        <w:tblPrEx>
          <w:tblW w:w="9072" w:type="dxa"/>
          <w:jc w:val="center"/>
          <w:tblInd w:w="0" w:type="dxa"/>
          <w:tblLayout w:type="fixed"/>
          <w:tblCellMar>
            <w:top w:w="20" w:type="dxa"/>
            <w:left w:w="108" w:type="dxa"/>
            <w:bottom w:w="20" w:type="dxa"/>
            <w:right w:w="108" w:type="dxa"/>
          </w:tblCellMar>
        </w:tblPrEx>
        <w:trPr>
          <w:trHeight w:val="294"/>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rFonts w:ascii="宋体" w:hAnsi="宋体" w:cs="宋体"/>
                <w:szCs w:val="21"/>
              </w:rPr>
            </w:pPr>
            <w:r>
              <w:rPr>
                <w:szCs w:val="21"/>
              </w:rPr>
              <w:t>11</w:t>
            </w:r>
          </w:p>
        </w:tc>
        <w:tc>
          <w:tcPr>
            <w:tcW w:w="8278" w:type="dxa"/>
            <w:tcBorders>
              <w:top w:val="single" w:sz="8" w:space="0" w:color="000000"/>
              <w:left w:val="single" w:sz="8" w:space="0" w:color="000000"/>
              <w:bottom w:val="single" w:sz="8" w:space="0" w:color="000000"/>
              <w:right w:val="single" w:sz="8" w:space="0" w:color="000000"/>
            </w:tcBorders>
          </w:tcPr>
          <w:p>
            <w:pPr>
              <w:rPr>
                <w:szCs w:val="21"/>
              </w:rPr>
            </w:pPr>
            <w:r>
              <w:rPr>
                <w:szCs w:val="21"/>
              </w:rPr>
              <w:t>误选了非本项目的最新加密规则文件，导致投标文件不能在开标时解密；</w:t>
            </w:r>
          </w:p>
        </w:tc>
      </w:tr>
      <w:tr>
        <w:tblPrEx>
          <w:tblW w:w="9072" w:type="dxa"/>
          <w:jc w:val="center"/>
          <w:tblInd w:w="0" w:type="dxa"/>
          <w:tblLayout w:type="fixed"/>
          <w:tblCellMar>
            <w:top w:w="20" w:type="dxa"/>
            <w:left w:w="108" w:type="dxa"/>
            <w:bottom w:w="20" w:type="dxa"/>
            <w:right w:w="108" w:type="dxa"/>
          </w:tblCellMar>
        </w:tblPrEx>
        <w:trPr>
          <w:trHeight w:val="219"/>
          <w:jc w:val="center"/>
        </w:trPr>
        <w:tc>
          <w:tcPr>
            <w:tcW w:w="794" w:type="dxa"/>
            <w:tcBorders>
              <w:top w:val="single" w:sz="8" w:space="0" w:color="000000"/>
              <w:left w:val="single" w:sz="8" w:space="0" w:color="000000"/>
              <w:bottom w:val="single" w:sz="8" w:space="0" w:color="000000"/>
              <w:right w:val="single" w:sz="8" w:space="0" w:color="000000"/>
            </w:tcBorders>
          </w:tcPr>
          <w:p>
            <w:pPr>
              <w:jc w:val="center"/>
              <w:rPr>
                <w:szCs w:val="21"/>
              </w:rPr>
            </w:pPr>
            <w:r>
              <w:rPr>
                <w:rFonts w:hint="eastAsia"/>
                <w:szCs w:val="21"/>
              </w:rPr>
              <w:t>12</w:t>
            </w:r>
          </w:p>
        </w:tc>
        <w:tc>
          <w:tcPr>
            <w:tcW w:w="8278" w:type="dxa"/>
            <w:tcBorders>
              <w:top w:val="single" w:sz="8" w:space="0" w:color="000000"/>
              <w:left w:val="single" w:sz="8" w:space="0" w:color="000000"/>
              <w:bottom w:val="single" w:sz="8" w:space="0" w:color="000000"/>
              <w:right w:val="single" w:sz="8" w:space="0" w:color="000000"/>
            </w:tcBorders>
          </w:tcPr>
          <w:p>
            <w:pPr>
              <w:rPr>
                <w:szCs w:val="21"/>
              </w:rPr>
            </w:pPr>
            <w:r>
              <w:rPr>
                <w:szCs w:val="21"/>
              </w:rPr>
              <w:t>法律、法规规定的其他情形。</w:t>
            </w:r>
          </w:p>
        </w:tc>
      </w:tr>
    </w:tbl>
    <w:p>
      <w:pPr>
        <w:pStyle w:val="NormalWeb"/>
        <w:spacing w:line="324" w:lineRule="auto"/>
        <w:ind w:firstLine="420"/>
        <w:rPr>
          <w:b/>
          <w:sz w:val="21"/>
          <w:szCs w:val="21"/>
        </w:rPr>
      </w:pPr>
      <w:r>
        <w:rPr>
          <w:rFonts w:hint="eastAsia"/>
          <w:b/>
          <w:sz w:val="21"/>
          <w:szCs w:val="21"/>
        </w:rPr>
        <w:t>有《资格性审查表》和《符合性审查表》中任意一项情形的，初审不通过，按投标无效处理。</w:t>
      </w:r>
    </w:p>
    <w:p>
      <w:pPr>
        <w:pStyle w:val="NormalWeb"/>
        <w:jc w:val="center"/>
        <w:outlineLvl w:val="1"/>
        <w:rPr>
          <w:rFonts w:ascii="黑体" w:eastAsia="黑体" w:hAnsi="黑体"/>
          <w:sz w:val="40"/>
          <w:szCs w:val="40"/>
        </w:rPr>
      </w:pPr>
      <w:r>
        <w:rPr>
          <w:rFonts w:ascii="黑体" w:eastAsia="黑体" w:hAnsi="黑体"/>
          <w:sz w:val="40"/>
          <w:szCs w:val="40"/>
        </w:rPr>
        <w:br w:type="page"/>
      </w:r>
      <w:r>
        <w:rPr>
          <w:rFonts w:ascii="黑体" w:eastAsia="黑体" w:hAnsi="黑体" w:hint="eastAsia"/>
          <w:sz w:val="40"/>
          <w:szCs w:val="40"/>
        </w:rPr>
        <w:t>评标信息</w:t>
      </w:r>
    </w:p>
    <w:tbl>
      <w:tblPr>
        <w:tblStyle w:val="TableNormal"/>
        <w:tblW w:w="9182" w:type="dxa"/>
        <w:jc w:val="center"/>
        <w:tblCellSpacing w:w="0" w:type="dxa"/>
        <w:tblInd w:w="0" w:type="dxa"/>
        <w:tblLayout w:type="fixed"/>
        <w:tblCellMar>
          <w:top w:w="45" w:type="dxa"/>
          <w:left w:w="45" w:type="dxa"/>
          <w:bottom w:w="45" w:type="dxa"/>
          <w:right w:w="45" w:type="dxa"/>
        </w:tblCellMar>
      </w:tblPr>
      <w:tblGrid>
        <w:gridCol w:w="8905"/>
        <w:gridCol w:w="277"/>
      </w:tblGrid>
      <w:tr>
        <w:tblPrEx>
          <w:tblW w:w="9182" w:type="dxa"/>
          <w:jc w:val="center"/>
          <w:tblCellSpacing w:w="0" w:type="dxa"/>
          <w:tblInd w:w="0" w:type="dxa"/>
          <w:tblLayout w:type="fixed"/>
          <w:tblCellMar>
            <w:top w:w="45" w:type="dxa"/>
            <w:left w:w="45" w:type="dxa"/>
            <w:bottom w:w="45" w:type="dxa"/>
            <w:right w:w="45" w:type="dxa"/>
          </w:tblCellMar>
        </w:tblPrEx>
        <w:trPr>
          <w:tblCellSpacing w:w="0" w:type="dxa"/>
          <w:jc w:val="center"/>
        </w:trPr>
        <w:tc>
          <w:tcPr>
            <w:tcW w:w="8905" w:type="dxa"/>
            <w:tcBorders>
              <w:top w:val="nil"/>
              <w:left w:val="nil"/>
              <w:bottom w:val="nil"/>
              <w:right w:val="nil"/>
            </w:tcBorders>
            <w:vAlign w:val="center"/>
          </w:tcPr>
          <w:p>
            <w:pPr>
              <w:rPr>
                <w:rFonts w:ascii="宋体" w:hAnsi="宋体" w:cs="宋体"/>
                <w:b/>
                <w:bCs/>
              </w:rPr>
            </w:pPr>
            <w:r>
              <w:rPr>
                <w:b/>
                <w:bCs/>
              </w:rPr>
              <w:t>评标方法：综合评分法（新价格分算法）</w:t>
            </w:r>
          </w:p>
        </w:tc>
        <w:tc>
          <w:tcPr>
            <w:tcW w:w="277" w:type="dxa"/>
            <w:tcBorders>
              <w:top w:val="nil"/>
              <w:left w:val="nil"/>
              <w:bottom w:val="nil"/>
              <w:right w:val="nil"/>
            </w:tcBorders>
            <w:vAlign w:val="center"/>
          </w:tcPr>
          <w:p>
            <w:pPr>
              <w:jc w:val="right"/>
              <w:rPr>
                <w:rFonts w:ascii="宋体" w:hAnsi="宋体" w:cs="宋体"/>
                <w:b/>
                <w:bCs/>
              </w:rPr>
            </w:pPr>
          </w:p>
        </w:tc>
      </w:tr>
      <w:tr>
        <w:tblPrEx>
          <w:tblW w:w="9182" w:type="dxa"/>
          <w:jc w:val="center"/>
          <w:tblCellSpacing w:w="0" w:type="dxa"/>
          <w:tblInd w:w="0" w:type="dxa"/>
          <w:tblLayout w:type="fixed"/>
          <w:tblCellMar>
            <w:top w:w="45" w:type="dxa"/>
            <w:left w:w="45" w:type="dxa"/>
            <w:bottom w:w="45" w:type="dxa"/>
            <w:right w:w="45" w:type="dxa"/>
          </w:tblCellMar>
        </w:tblPrEx>
        <w:trPr>
          <w:tblCellSpacing w:w="0" w:type="dxa"/>
          <w:jc w:val="center"/>
        </w:trPr>
        <w:tc>
          <w:tcPr>
            <w:tcW w:w="9182" w:type="dxa"/>
            <w:gridSpan w:val="2"/>
            <w:tcBorders>
              <w:top w:val="nil"/>
              <w:left w:val="nil"/>
              <w:bottom w:val="nil"/>
              <w:right w:val="nil"/>
            </w:tcBorders>
            <w:vAlign w:val="center"/>
          </w:tcPr>
          <w:p>
            <w:pPr>
              <w:pStyle w:val="NormalWeb"/>
              <w:spacing w:line="324" w:lineRule="auto"/>
              <w:ind w:firstLine="420"/>
              <w:rPr>
                <w:sz w:val="21"/>
                <w:szCs w:val="21"/>
              </w:rPr>
            </w:pPr>
            <w:r>
              <w:rPr>
                <w:sz w:val="21"/>
                <w:szCs w:val="21"/>
              </w:rPr>
              <w:t xml:space="preserve">综合评分法，是指投标文件满足招标文件全部实质性要求，且按照评审因素的量化指标评审得分最高的投标人为中标候选人的评标方法。 </w:t>
            </w:r>
          </w:p>
          <w:p>
            <w:pPr>
              <w:pStyle w:val="NormalWeb"/>
              <w:ind w:firstLine="420"/>
              <w:rPr>
                <w:sz w:val="21"/>
                <w:szCs w:val="21"/>
              </w:rPr>
            </w:pPr>
            <w:r>
              <w:rPr>
                <w:sz w:val="21"/>
                <w:szCs w:val="21"/>
              </w:rPr>
              <w:t>价格分计算方法：</w:t>
            </w:r>
          </w:p>
          <w:p>
            <w:pPr>
              <w:pStyle w:val="NormalWeb"/>
              <w:spacing w:line="324" w:lineRule="auto"/>
              <w:ind w:left="420"/>
              <w:rPr>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r>
            <w:r>
              <w:rPr>
                <w:sz w:val="21"/>
                <w:szCs w:val="21"/>
              </w:rPr>
              <w:t xml:space="preserve">投标报价得分=(评标基准价／投标报价)×100 </w:t>
            </w:r>
            <w:r>
              <w:rPr>
                <w:sz w:val="21"/>
                <w:szCs w:val="21"/>
              </w:rPr>
              <w:br/>
            </w:r>
            <w:r>
              <w:rPr>
                <w:sz w:val="21"/>
                <w:szCs w:val="21"/>
              </w:rPr>
              <w:t xml:space="preserve">评标总得分＝F1×A1＋F2×A2＋……＋Fn×An </w:t>
            </w:r>
            <w:r>
              <w:rPr>
                <w:sz w:val="21"/>
                <w:szCs w:val="21"/>
              </w:rPr>
              <w:br/>
            </w:r>
            <w:r>
              <w:rPr>
                <w:sz w:val="21"/>
                <w:szCs w:val="21"/>
              </w:rPr>
              <w:t xml:space="preserve">F1、F2……Fn分别为各项评审因素的得分； </w:t>
            </w:r>
            <w:r>
              <w:rPr>
                <w:sz w:val="21"/>
                <w:szCs w:val="21"/>
              </w:rPr>
              <w:br/>
            </w:r>
            <w:r>
              <w:rPr>
                <w:sz w:val="21"/>
                <w:szCs w:val="21"/>
              </w:rPr>
              <w:t xml:space="preserve">A1、A2、……An 分别为各项评审因素所占的权重(A1＋A2＋……＋An＝1)。 </w:t>
            </w:r>
            <w:r>
              <w:rPr>
                <w:sz w:val="21"/>
                <w:szCs w:val="21"/>
              </w:rPr>
              <w:br/>
            </w:r>
            <w:r>
              <w:rPr>
                <w:sz w:val="21"/>
                <w:szCs w:val="21"/>
              </w:rPr>
              <w:t xml:space="preserve">评标过程中，不得去掉报价中的最高报价和最低报价。 </w:t>
            </w:r>
            <w:r>
              <w:rPr>
                <w:sz w:val="21"/>
                <w:szCs w:val="21"/>
              </w:rPr>
              <w:br/>
            </w:r>
            <w:r>
              <w:rPr>
                <w:sz w:val="21"/>
                <w:szCs w:val="21"/>
              </w:rPr>
              <w:t xml:space="preserve">此方法适用于货物类、服务类、工程类项目。 </w:t>
            </w:r>
          </w:p>
          <w:tbl>
            <w:tblPr>
              <w:tblStyle w:val="TableNormal"/>
              <w:tblW w:w="9072"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
            <w:tblGrid>
              <w:gridCol w:w="680"/>
              <w:gridCol w:w="680"/>
              <w:gridCol w:w="2835"/>
              <w:gridCol w:w="681"/>
              <w:gridCol w:w="4196"/>
            </w:tblGrid>
            <w:tr>
              <w:tblPrEx>
                <w:tblW w:w="9072" w:type="dxa"/>
                <w:jc w:val="center"/>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left w:w="108" w:type="dxa"/>
                  <w:bottom w:w="20" w:type="dxa"/>
                  <w:right w:w="108" w:type="dxa"/>
                </w:tblCellMar>
              </w:tblPrEx>
              <w:trPr>
                <w:jc w:val="center"/>
              </w:trPr>
              <w:tc>
                <w:tcPr>
                  <w:tcW w:w="680" w:type="dxa"/>
                  <w:tcBorders>
                    <w:top w:val="single" w:sz="8" w:space="0" w:color="000000"/>
                    <w:left w:val="single" w:sz="8" w:space="0" w:color="000000"/>
                    <w:bottom w:val="single" w:sz="8" w:space="0" w:color="000000"/>
                    <w:right w:val="single" w:sz="8" w:space="0" w:color="000000"/>
                  </w:tcBorders>
                  <w:shd w:val="clear" w:color="auto" w:fill="E6EFFA"/>
                  <w:vAlign w:val="center"/>
                </w:tcPr>
                <w:p>
                  <w:pPr>
                    <w:wordWrap w:val="0"/>
                    <w:jc w:val="center"/>
                    <w:rPr>
                      <w:b/>
                      <w:bCs/>
                    </w:rPr>
                  </w:pPr>
                  <w:r>
                    <w:rPr>
                      <w:b/>
                      <w:bCs/>
                    </w:rPr>
                    <w:t>序号</w:t>
                  </w:r>
                </w:p>
              </w:tc>
              <w:tc>
                <w:tcPr>
                  <w:tcW w:w="4196" w:type="dxa"/>
                  <w:gridSpan w:val="3"/>
                  <w:tcBorders>
                    <w:top w:val="single" w:sz="8" w:space="0" w:color="000000"/>
                    <w:left w:val="single" w:sz="8" w:space="0" w:color="000000"/>
                    <w:bottom w:val="single" w:sz="8" w:space="0" w:color="000000"/>
                    <w:right w:val="single" w:sz="8" w:space="0" w:color="000000"/>
                  </w:tcBorders>
                  <w:shd w:val="clear" w:color="auto" w:fill="E6EFFA"/>
                  <w:vAlign w:val="center"/>
                </w:tcPr>
                <w:p>
                  <w:pPr>
                    <w:wordWrap w:val="0"/>
                    <w:jc w:val="center"/>
                    <w:rPr>
                      <w:b/>
                      <w:bCs/>
                    </w:rPr>
                  </w:pPr>
                  <w:r>
                    <w:rPr>
                      <w:b/>
                      <w:bCs/>
                    </w:rPr>
                    <w:t>评分项</w:t>
                  </w:r>
                </w:p>
              </w:tc>
              <w:tc>
                <w:tcPr>
                  <w:tcW w:w="4196" w:type="dxa"/>
                  <w:tcBorders>
                    <w:top w:val="single" w:sz="8" w:space="0" w:color="000000"/>
                    <w:left w:val="single" w:sz="8" w:space="0" w:color="000000"/>
                    <w:bottom w:val="single" w:sz="8" w:space="0" w:color="000000"/>
                    <w:right w:val="single" w:sz="8" w:space="0" w:color="000000"/>
                  </w:tcBorders>
                  <w:shd w:val="clear" w:color="auto" w:fill="E6EFFA"/>
                  <w:vAlign w:val="center"/>
                </w:tcPr>
                <w:p>
                  <w:pPr>
                    <w:wordWrap w:val="0"/>
                    <w:jc w:val="center"/>
                    <w:rPr>
                      <w:b/>
                      <w:bCs/>
                    </w:rPr>
                  </w:pPr>
                  <w:r>
                    <w:rPr>
                      <w:b/>
                      <w:bCs/>
                    </w:rPr>
                    <w:t>权重(%)</w:t>
                  </w:r>
                </w:p>
              </w:tc>
            </w:tr>
            <w:tr>
              <w:tblPrEx>
                <w:tblW w:w="9072" w:type="dxa"/>
                <w:jc w:val="center"/>
                <w:tblInd w:w="0" w:type="dxa"/>
                <w:tblLayout w:type="fixed"/>
                <w:tblCellMar>
                  <w:top w:w="20" w:type="dxa"/>
                  <w:left w:w="108" w:type="dxa"/>
                  <w:bottom w:w="20" w:type="dxa"/>
                  <w:right w:w="108" w:type="dxa"/>
                </w:tblCellMar>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pPr>
                    <w:wordWrap w:val="0"/>
                    <w:jc w:val="center"/>
                    <w:rPr>
                      <w:b/>
                      <w:bCs/>
                      <w:color w:val="0000FF"/>
                    </w:rPr>
                  </w:pPr>
                  <w:r>
                    <w:rPr>
                      <w:b/>
                      <w:bCs/>
                      <w:color w:val="0000FF"/>
                    </w:rPr>
                    <w:t>1</w:t>
                  </w:r>
                </w:p>
              </w:tc>
              <w:tc>
                <w:tcPr>
                  <w:tcW w:w="4196" w:type="dxa"/>
                  <w:gridSpan w:val="3"/>
                  <w:tcBorders>
                    <w:top w:val="single" w:sz="8" w:space="0" w:color="000000"/>
                    <w:left w:val="single" w:sz="8" w:space="0" w:color="000000"/>
                    <w:bottom w:val="single" w:sz="8" w:space="0" w:color="000000"/>
                    <w:right w:val="single" w:sz="8" w:space="0" w:color="000000"/>
                  </w:tcBorders>
                </w:tcPr>
                <w:p>
                  <w:pPr>
                    <w:wordWrap w:val="0"/>
                    <w:jc w:val="center"/>
                    <w:rPr>
                      <w:b/>
                      <w:bCs/>
                      <w:color w:val="0000FF"/>
                    </w:rPr>
                  </w:pPr>
                  <w:r>
                    <w:rPr>
                      <w:b/>
                      <w:bCs/>
                      <w:color w:val="0000FF"/>
                    </w:rPr>
                    <w:t>价格</w:t>
                  </w:r>
                </w:p>
              </w:tc>
              <w:tc>
                <w:tcPr>
                  <w:tcW w:w="4196" w:type="dxa"/>
                  <w:tcBorders>
                    <w:top w:val="single" w:sz="8" w:space="0" w:color="000000"/>
                    <w:left w:val="single" w:sz="8" w:space="0" w:color="000000"/>
                    <w:bottom w:val="single" w:sz="8" w:space="0" w:color="000000"/>
                    <w:right w:val="single" w:sz="8" w:space="0" w:color="000000"/>
                  </w:tcBorders>
                </w:tcPr>
                <w:p>
                  <w:pPr>
                    <w:wordWrap w:val="0"/>
                    <w:jc w:val="center"/>
                    <w:rPr>
                      <w:b/>
                      <w:bCs/>
                      <w:color w:val="0000FF"/>
                    </w:rPr>
                  </w:pPr>
                  <w:r>
                    <w:rPr>
                      <w:b/>
                      <w:bCs/>
                      <w:color w:val="0000FF"/>
                    </w:rPr>
                    <w:t>10</w:t>
                  </w:r>
                </w:p>
              </w:tc>
            </w:tr>
            <w:tr>
              <w:tblPrEx>
                <w:tblW w:w="9072" w:type="dxa"/>
                <w:jc w:val="center"/>
                <w:tblInd w:w="0" w:type="dxa"/>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ordWrap w:val="0"/>
                    <w:rPr>
                      <w:b/>
                      <w:bCs/>
                      <w:color w:val="0000FF"/>
                    </w:rPr>
                  </w:pPr>
                </w:p>
              </w:tc>
              <w:tc>
                <w:tcPr>
                  <w:tcW w:w="8392" w:type="dxa"/>
                  <w:gridSpan w:val="4"/>
                  <w:tcBorders>
                    <w:top w:val="single" w:sz="8" w:space="0" w:color="000000"/>
                    <w:left w:val="single" w:sz="8" w:space="0" w:color="000000"/>
                    <w:bottom w:val="single" w:sz="8" w:space="0" w:color="000000"/>
                    <w:right w:val="single" w:sz="8" w:space="0" w:color="000000"/>
                  </w:tcBorders>
                </w:tcPr>
                <w:p>
                  <w:pPr>
                    <w:wordWrap w:val="0"/>
                    <w:jc w:val="center"/>
                    <w:rPr>
                      <w:b/>
                      <w:bCs/>
                      <w:color w:val="0000FF"/>
                    </w:rPr>
                  </w:pPr>
                </w:p>
              </w:tc>
            </w:tr>
            <w:tr>
              <w:tblPrEx>
                <w:tblW w:w="9072" w:type="dxa"/>
                <w:jc w:val="center"/>
                <w:tblInd w:w="0" w:type="dxa"/>
                <w:tblLayout w:type="fixed"/>
                <w:tblCellMar>
                  <w:top w:w="20" w:type="dxa"/>
                  <w:left w:w="108" w:type="dxa"/>
                  <w:bottom w:w="20" w:type="dxa"/>
                  <w:right w:w="108" w:type="dxa"/>
                </w:tblCellMar>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pPr>
                    <w:wordWrap w:val="0"/>
                    <w:jc w:val="center"/>
                    <w:rPr>
                      <w:b/>
                      <w:bCs/>
                      <w:color w:val="0000FF"/>
                    </w:rPr>
                  </w:pPr>
                  <w:r>
                    <w:rPr>
                      <w:b/>
                      <w:bCs/>
                      <w:color w:val="0000FF"/>
                    </w:rPr>
                    <w:t>2</w:t>
                  </w:r>
                </w:p>
              </w:tc>
              <w:tc>
                <w:tcPr>
                  <w:tcW w:w="4196" w:type="dxa"/>
                  <w:gridSpan w:val="3"/>
                  <w:tcBorders>
                    <w:top w:val="single" w:sz="8" w:space="0" w:color="000000"/>
                    <w:left w:val="single" w:sz="8" w:space="0" w:color="000000"/>
                    <w:bottom w:val="single" w:sz="8" w:space="0" w:color="000000"/>
                    <w:right w:val="single" w:sz="8" w:space="0" w:color="000000"/>
                  </w:tcBorders>
                </w:tcPr>
                <w:p>
                  <w:pPr>
                    <w:wordWrap w:val="0"/>
                    <w:jc w:val="center"/>
                    <w:rPr>
                      <w:b/>
                      <w:bCs/>
                      <w:color w:val="0000FF"/>
                    </w:rPr>
                  </w:pPr>
                  <w:r>
                    <w:rPr>
                      <w:rFonts w:hint="eastAsia"/>
                      <w:b/>
                      <w:bCs/>
                      <w:color w:val="0000FF"/>
                    </w:rPr>
                    <w:t>商务</w:t>
                  </w:r>
                  <w:r>
                    <w:rPr>
                      <w:b/>
                      <w:bCs/>
                      <w:color w:val="0000FF"/>
                    </w:rPr>
                    <w:t>部分</w:t>
                  </w:r>
                </w:p>
              </w:tc>
              <w:tc>
                <w:tcPr>
                  <w:tcW w:w="4196" w:type="dxa"/>
                  <w:tcBorders>
                    <w:top w:val="single" w:sz="8" w:space="0" w:color="000000"/>
                    <w:left w:val="single" w:sz="8" w:space="0" w:color="000000"/>
                    <w:bottom w:val="single" w:sz="8" w:space="0" w:color="000000"/>
                    <w:right w:val="single" w:sz="8" w:space="0" w:color="000000"/>
                  </w:tcBorders>
                </w:tcPr>
                <w:p>
                  <w:pPr>
                    <w:wordWrap w:val="0"/>
                    <w:jc w:val="center"/>
                    <w:rPr>
                      <w:rFonts w:eastAsia="宋体" w:hint="default"/>
                      <w:b/>
                      <w:bCs/>
                      <w:color w:val="0000FF"/>
                      <w:lang w:val="en-US" w:eastAsia="zh-CN"/>
                    </w:rPr>
                  </w:pPr>
                  <w:r>
                    <w:rPr>
                      <w:rFonts w:eastAsia="宋体" w:hint="eastAsia"/>
                      <w:b/>
                      <w:bCs/>
                      <w:color w:val="0000FF"/>
                      <w:lang w:val="en-US" w:eastAsia="zh-CN"/>
                    </w:rPr>
                    <w:t>36</w:t>
                  </w:r>
                </w:p>
              </w:tc>
            </w:tr>
            <w:tr>
              <w:tblPrEx>
                <w:tblW w:w="9072" w:type="dxa"/>
                <w:jc w:val="center"/>
                <w:tblInd w:w="0" w:type="dxa"/>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ordWrap w:val="0"/>
                    <w:rPr>
                      <w:b/>
                      <w:bCs/>
                      <w:color w:val="0000FF"/>
                    </w:rPr>
                  </w:pPr>
                </w:p>
              </w:tc>
              <w:tc>
                <w:tcPr>
                  <w:tcW w:w="8392" w:type="dxa"/>
                  <w:gridSpan w:val="4"/>
                  <w:tcBorders>
                    <w:top w:val="single" w:sz="8" w:space="0" w:color="000000"/>
                    <w:left w:val="single" w:sz="8" w:space="0" w:color="000000"/>
                    <w:bottom w:val="single" w:sz="8" w:space="0" w:color="000000"/>
                    <w:right w:val="single" w:sz="8" w:space="0" w:color="000000"/>
                  </w:tcBorders>
                </w:tcPr>
                <w:p>
                  <w:pPr>
                    <w:wordWrap w:val="0"/>
                    <w:jc w:val="center"/>
                    <w:rPr>
                      <w:b/>
                      <w:bCs/>
                      <w:color w:val="0000FF"/>
                    </w:rPr>
                  </w:pPr>
                </w:p>
              </w:tc>
            </w:tr>
            <w:tr>
              <w:tblPrEx>
                <w:tblW w:w="9072" w:type="dxa"/>
                <w:jc w:val="center"/>
                <w:tblInd w:w="0" w:type="dxa"/>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pPr>
                    <w:wordWrap w:val="0"/>
                    <w:jc w:val="center"/>
                    <w:rPr>
                      <w:b/>
                      <w:bCs/>
                      <w:color w:val="0000FF"/>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pPr>
                    <w:wordWrap w:val="0"/>
                    <w:jc w:val="center"/>
                    <w:rPr>
                      <w:sz w:val="21"/>
                      <w:szCs w:val="21"/>
                    </w:rPr>
                  </w:pPr>
                  <w:r>
                    <w:rPr>
                      <w:sz w:val="21"/>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pPr>
                    <w:wordWrap w:val="0"/>
                    <w:jc w:val="center"/>
                    <w:rPr>
                      <w:sz w:val="21"/>
                      <w:szCs w:val="21"/>
                    </w:rPr>
                  </w:pPr>
                  <w:r>
                    <w:rPr>
                      <w:sz w:val="21"/>
                      <w:szCs w:val="21"/>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ordWrap w:val="0"/>
                    <w:jc w:val="center"/>
                    <w:rPr>
                      <w:sz w:val="21"/>
                      <w:szCs w:val="21"/>
                    </w:rPr>
                  </w:pPr>
                  <w:r>
                    <w:rPr>
                      <w:sz w:val="21"/>
                      <w:szCs w:val="21"/>
                    </w:rPr>
                    <w:t>权重(%)</w:t>
                  </w:r>
                </w:p>
              </w:tc>
              <w:tc>
                <w:tcPr>
                  <w:tcW w:w="4196" w:type="dxa"/>
                  <w:tcBorders>
                    <w:top w:val="outset" w:sz="6" w:space="0" w:color="000000"/>
                    <w:left w:val="outset" w:sz="6" w:space="0" w:color="000000"/>
                    <w:bottom w:val="outset" w:sz="6" w:space="0" w:color="000000"/>
                    <w:right w:val="outset" w:sz="6" w:space="0" w:color="000000"/>
                  </w:tcBorders>
                  <w:shd w:val="clear" w:color="auto" w:fill="E6EFFA"/>
                  <w:vAlign w:val="center"/>
                </w:tcPr>
                <w:p>
                  <w:pPr>
                    <w:wordWrap w:val="0"/>
                    <w:jc w:val="center"/>
                    <w:rPr>
                      <w:sz w:val="21"/>
                      <w:szCs w:val="21"/>
                    </w:rPr>
                  </w:pPr>
                  <w:r>
                    <w:rPr>
                      <w:sz w:val="21"/>
                      <w:szCs w:val="21"/>
                    </w:rPr>
                    <w:t>评分准则</w:t>
                  </w:r>
                </w:p>
              </w:tc>
            </w:tr>
            <w:tr>
              <w:tblPrEx>
                <w:tblW w:w="9072" w:type="dxa"/>
                <w:jc w:val="center"/>
                <w:tblInd w:w="0" w:type="dxa"/>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tcPr>
                <w:p>
                  <w:pPr>
                    <w:wordWrap w:val="0"/>
                    <w:rPr>
                      <w:b/>
                      <w:bCs/>
                      <w:color w:val="0000FF"/>
                    </w:rPr>
                  </w:pPr>
                </w:p>
              </w:tc>
              <w:tc>
                <w:tcPr>
                  <w:tcW w:w="680" w:type="dxa"/>
                  <w:tcBorders>
                    <w:top w:val="single" w:sz="8" w:space="0" w:color="000000"/>
                    <w:left w:val="single" w:sz="8" w:space="0" w:color="000000"/>
                    <w:bottom w:val="single" w:sz="8" w:space="0" w:color="000000"/>
                    <w:right w:val="single" w:sz="8" w:space="0" w:color="000000"/>
                  </w:tcBorders>
                </w:tcPr>
                <w:p>
                  <w:pPr>
                    <w:wordWrap w:val="0"/>
                    <w:jc w:val="center"/>
                    <w:rPr>
                      <w:sz w:val="21"/>
                      <w:szCs w:val="21"/>
                    </w:rPr>
                  </w:pPr>
                  <w:r>
                    <w:rPr>
                      <w:sz w:val="21"/>
                      <w:szCs w:val="21"/>
                    </w:rPr>
                    <w:t>1</w:t>
                  </w:r>
                </w:p>
              </w:tc>
              <w:tc>
                <w:tcPr>
                  <w:tcW w:w="2835"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企业资质情况</w:t>
                  </w:r>
                </w:p>
              </w:tc>
              <w:tc>
                <w:tcPr>
                  <w:tcW w:w="681"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center"/>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lang w:val="en-US" w:eastAsia="zh-CN"/>
                    </w:rPr>
                    <w:t>5</w:t>
                  </w:r>
                </w:p>
              </w:tc>
              <w:tc>
                <w:tcPr>
                  <w:tcW w:w="4196"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1、评审标准：投标人具有副省级或以上病媒生物防治（制）协会颁发的病媒生物防治（制）服务机构服务能力证书</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rPr>
                    <w:t>得</w:t>
                  </w:r>
                  <w:r>
                    <w:rPr>
                      <w:rFonts w:asciiTheme="minorEastAsia" w:eastAsiaTheme="minorEastAsia" w:hAnsiTheme="minorEastAsia" w:cstheme="minorEastAsia" w:hint="eastAsia"/>
                      <w:sz w:val="21"/>
                      <w:szCs w:val="21"/>
                      <w:lang w:val="en-US" w:eastAsia="zh-CN"/>
                    </w:rPr>
                    <w:t>10</w:t>
                  </w:r>
                  <w:r>
                    <w:rPr>
                      <w:rFonts w:asciiTheme="minorEastAsia" w:eastAsiaTheme="minorEastAsia" w:hAnsiTheme="minorEastAsia" w:cstheme="minorEastAsia" w:hint="eastAsia"/>
                      <w:sz w:val="21"/>
                      <w:szCs w:val="21"/>
                    </w:rPr>
                    <w:t>0%；</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2、证明文件： 投标人提供证书（有效</w:t>
                  </w:r>
                  <w:r>
                    <w:rPr>
                      <w:rFonts w:asciiTheme="minorEastAsia" w:eastAsiaTheme="minorEastAsia" w:hAnsiTheme="minorEastAsia" w:cstheme="minorEastAsia" w:hint="eastAsia"/>
                      <w:sz w:val="21"/>
                      <w:szCs w:val="21"/>
                      <w:lang w:val="en-US" w:eastAsia="zh-CN"/>
                    </w:rPr>
                    <w:t>期</w:t>
                  </w:r>
                  <w:r>
                    <w:rPr>
                      <w:rFonts w:asciiTheme="minorEastAsia" w:eastAsiaTheme="minorEastAsia" w:hAnsiTheme="minorEastAsia" w:cstheme="minorEastAsia" w:hint="eastAsia"/>
                      <w:sz w:val="21"/>
                      <w:szCs w:val="21"/>
                    </w:rPr>
                    <w:t>内）扫描件，原件备查，未按要求提供或提供不清晰导致专家无法判断的不得期分。注：由行业协会颁发的证书，还需提供该行业协会在全国社会组织信用信息公示平台（试运行）（http://www.chinanpo.gov.cn）已合法登记且状态正常的截图，否则不予认可，视为无效证书。</w:t>
                  </w:r>
                </w:p>
              </w:tc>
            </w:tr>
            <w:tr>
              <w:tblPrEx>
                <w:tblW w:w="9072" w:type="dxa"/>
                <w:jc w:val="center"/>
                <w:tblInd w:w="0" w:type="dxa"/>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tcPr>
                <w:p>
                  <w:pPr>
                    <w:wordWrap w:val="0"/>
                    <w:rPr>
                      <w:b/>
                      <w:bCs/>
                      <w:color w:val="0000FF"/>
                    </w:rPr>
                  </w:pPr>
                </w:p>
              </w:tc>
              <w:tc>
                <w:tcPr>
                  <w:tcW w:w="680" w:type="dxa"/>
                  <w:tcBorders>
                    <w:top w:val="single" w:sz="8" w:space="0" w:color="000000"/>
                    <w:left w:val="single" w:sz="8" w:space="0" w:color="000000"/>
                    <w:bottom w:val="single" w:sz="8" w:space="0" w:color="000000"/>
                    <w:right w:val="single" w:sz="8" w:space="0" w:color="000000"/>
                  </w:tcBorders>
                </w:tcPr>
                <w:p>
                  <w:pPr>
                    <w:wordWrap w:val="0"/>
                    <w:jc w:val="center"/>
                    <w:rPr>
                      <w:sz w:val="21"/>
                      <w:szCs w:val="21"/>
                    </w:rPr>
                  </w:pPr>
                  <w:r>
                    <w:rPr>
                      <w:rFonts w:hint="eastAsia"/>
                      <w:sz w:val="21"/>
                      <w:szCs w:val="21"/>
                    </w:rPr>
                    <w:t>2</w:t>
                  </w:r>
                </w:p>
              </w:tc>
              <w:tc>
                <w:tcPr>
                  <w:tcW w:w="2835"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相关认证情况</w:t>
                  </w:r>
                </w:p>
              </w:tc>
              <w:tc>
                <w:tcPr>
                  <w:tcW w:w="681"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center"/>
                    <w:textAlignment w:val="auto"/>
                    <w:rPr>
                      <w:rFonts w:asciiTheme="minorEastAsia" w:eastAsiaTheme="minorEastAsia" w:hAnsiTheme="minorEastAsia" w:cstheme="minorEastAsia" w:hint="eastAsia"/>
                      <w:sz w:val="21"/>
                      <w:szCs w:val="21"/>
                    </w:rPr>
                  </w:pPr>
                  <w:r>
                    <w:rPr>
                      <w:rFonts w:asciiTheme="minorEastAsia" w:hAnsiTheme="minorEastAsia" w:cstheme="minorEastAsia" w:hint="eastAsia"/>
                      <w:sz w:val="21"/>
                      <w:szCs w:val="21"/>
                      <w:lang w:val="en-US" w:eastAsia="zh-CN"/>
                    </w:rPr>
                    <w:t>8</w:t>
                  </w:r>
                </w:p>
              </w:tc>
              <w:tc>
                <w:tcPr>
                  <w:tcW w:w="4196"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1、评审标准：投标人具有质量体系认证证书、环境管理体系认证证书、职业健康安全管理体系认证证书、</w:t>
                  </w:r>
                  <w:r>
                    <w:rPr>
                      <w:rFonts w:asciiTheme="minorEastAsia" w:eastAsiaTheme="minorEastAsia" w:hAnsiTheme="minorEastAsia" w:cstheme="minorEastAsia" w:hint="eastAsia"/>
                      <w:sz w:val="21"/>
                      <w:szCs w:val="21"/>
                      <w:lang w:val="en-US" w:eastAsia="zh-CN"/>
                    </w:rPr>
                    <w:t>诚信管理体系认证证书</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eastAsia="zh-CN"/>
                    </w:rPr>
                    <w:t>社会责任认证证书</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eastAsia="zh-CN"/>
                    </w:rPr>
                    <w:t>合规管理体系认证证书</w:t>
                  </w:r>
                  <w:r>
                    <w:rPr>
                      <w:rFonts w:asciiTheme="minorEastAsia" w:eastAsiaTheme="minorEastAsia" w:hAnsiTheme="minorEastAsia" w:cstheme="minorEastAsia" w:hint="eastAsia"/>
                      <w:sz w:val="21"/>
                      <w:szCs w:val="21"/>
                    </w:rPr>
                    <w:t>的得100%，缺一项扣</w:t>
                  </w:r>
                  <w:r>
                    <w:rPr>
                      <w:rFonts w:asciiTheme="minorEastAsia" w:eastAsiaTheme="minorEastAsia" w:hAnsiTheme="minorEastAsia" w:cstheme="minorEastAsia" w:hint="eastAsia"/>
                      <w:sz w:val="21"/>
                      <w:szCs w:val="21"/>
                      <w:lang w:val="en-US" w:eastAsia="zh-CN"/>
                    </w:rPr>
                    <w:t>17</w:t>
                  </w:r>
                  <w:r>
                    <w:rPr>
                      <w:rFonts w:asciiTheme="minorEastAsia" w:eastAsiaTheme="minorEastAsia" w:hAnsiTheme="minorEastAsia" w:cstheme="minorEastAsia" w:hint="eastAsia"/>
                      <w:sz w:val="21"/>
                      <w:szCs w:val="21"/>
                    </w:rPr>
                    <w:t>%。</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证明文件：投标人提供以上有效的认证证书扫描件及全国认证认可信息公共服务平台（认e云）（http://cx.cnca.cn/）的认证信息截图（须体现网站信息），原件备查，未按要求提供或提供不清晰导致专家无法判断的不得分。</w:t>
                  </w:r>
                </w:p>
              </w:tc>
            </w:tr>
            <w:tr>
              <w:tblPrEx>
                <w:tblW w:w="9072" w:type="dxa"/>
                <w:jc w:val="center"/>
                <w:tblInd w:w="0" w:type="dxa"/>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tcPr>
                <w:p>
                  <w:pPr>
                    <w:wordWrap w:val="0"/>
                    <w:rPr>
                      <w:b/>
                      <w:bCs/>
                      <w:color w:val="0000FF"/>
                    </w:rPr>
                  </w:pPr>
                </w:p>
              </w:tc>
              <w:tc>
                <w:tcPr>
                  <w:tcW w:w="680" w:type="dxa"/>
                  <w:tcBorders>
                    <w:top w:val="single" w:sz="8" w:space="0" w:color="000000"/>
                    <w:left w:val="single" w:sz="8" w:space="0" w:color="000000"/>
                    <w:bottom w:val="single" w:sz="8" w:space="0" w:color="000000"/>
                    <w:right w:val="single" w:sz="8" w:space="0" w:color="000000"/>
                  </w:tcBorders>
                </w:tcPr>
                <w:p>
                  <w:pPr>
                    <w:wordWrap w:val="0"/>
                    <w:jc w:val="center"/>
                    <w:rPr>
                      <w:sz w:val="21"/>
                      <w:szCs w:val="21"/>
                    </w:rPr>
                  </w:pPr>
                  <w:r>
                    <w:rPr>
                      <w:rFonts w:hint="eastAsia"/>
                      <w:sz w:val="21"/>
                      <w:szCs w:val="21"/>
                    </w:rPr>
                    <w:t>3</w:t>
                  </w:r>
                </w:p>
              </w:tc>
              <w:tc>
                <w:tcPr>
                  <w:tcW w:w="2835"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同类项目业绩</w:t>
                  </w:r>
                </w:p>
              </w:tc>
              <w:tc>
                <w:tcPr>
                  <w:tcW w:w="681"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center"/>
                    <w:textAlignment w:val="auto"/>
                    <w:rPr>
                      <w:rFonts w:asciiTheme="minorEastAsia" w:eastAsiaTheme="minorEastAsia" w:hAnsiTheme="minorEastAsia" w:cstheme="minorEastAsia" w:hint="default"/>
                      <w:sz w:val="21"/>
                      <w:szCs w:val="21"/>
                      <w:lang w:val="en-US"/>
                    </w:rPr>
                  </w:pPr>
                  <w:r>
                    <w:rPr>
                      <w:rFonts w:asciiTheme="minorEastAsia" w:hAnsiTheme="minorEastAsia" w:cstheme="minorEastAsia" w:hint="eastAsia"/>
                      <w:sz w:val="21"/>
                      <w:szCs w:val="21"/>
                      <w:lang w:val="en-US" w:eastAsia="zh-CN"/>
                    </w:rPr>
                    <w:t>10</w:t>
                  </w:r>
                </w:p>
              </w:tc>
              <w:tc>
                <w:tcPr>
                  <w:tcW w:w="4196"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lang w:val="en-US" w:eastAsia="zh-CN"/>
                    </w:rPr>
                  </w:pPr>
                  <w:r>
                    <w:rPr>
                      <w:rFonts w:asciiTheme="minorEastAsia" w:eastAsiaTheme="minorEastAsia" w:hAnsiTheme="minorEastAsia" w:cstheme="minorEastAsia" w:hint="eastAsia"/>
                      <w:sz w:val="21"/>
                      <w:szCs w:val="21"/>
                    </w:rPr>
                    <w:t>1、评审标准：投标人自2019年1月1日至投标截止之日止（以合同签订时间为准），投标人</w:t>
                  </w:r>
                  <w:r>
                    <w:rPr>
                      <w:rFonts w:asciiTheme="minorEastAsia" w:eastAsiaTheme="minorEastAsia" w:hAnsiTheme="minorEastAsia" w:cstheme="minorEastAsia" w:hint="eastAsia"/>
                      <w:sz w:val="21"/>
                      <w:szCs w:val="21"/>
                      <w:lang w:val="en-US" w:eastAsia="zh-CN"/>
                    </w:rPr>
                    <w:t>具有</w:t>
                  </w:r>
                  <w:r>
                    <w:rPr>
                      <w:rFonts w:asciiTheme="minorEastAsia" w:eastAsiaTheme="minorEastAsia" w:hAnsiTheme="minorEastAsia" w:cstheme="minorEastAsia" w:hint="eastAsia"/>
                      <w:sz w:val="21"/>
                      <w:szCs w:val="21"/>
                    </w:rPr>
                    <w:t>政府行政机关</w:t>
                  </w:r>
                  <w:r>
                    <w:rPr>
                      <w:rFonts w:asciiTheme="minorEastAsia" w:eastAsiaTheme="minorEastAsia" w:hAnsiTheme="minorEastAsia" w:cstheme="minorEastAsia" w:hint="eastAsia"/>
                      <w:sz w:val="21"/>
                      <w:szCs w:val="21"/>
                      <w:lang w:val="en-US" w:eastAsia="zh-CN"/>
                    </w:rPr>
                    <w:t>或</w:t>
                  </w:r>
                  <w:r>
                    <w:rPr>
                      <w:rFonts w:asciiTheme="minorEastAsia" w:eastAsiaTheme="minorEastAsia" w:hAnsiTheme="minorEastAsia" w:cstheme="minorEastAsia" w:hint="eastAsia"/>
                      <w:sz w:val="21"/>
                      <w:szCs w:val="21"/>
                    </w:rPr>
                    <w:t>事业单位</w:t>
                  </w:r>
                  <w:r>
                    <w:rPr>
                      <w:rFonts w:asciiTheme="minorEastAsia" w:eastAsiaTheme="minorEastAsia" w:hAnsiTheme="minorEastAsia" w:cstheme="minorEastAsia" w:hint="eastAsia"/>
                      <w:sz w:val="21"/>
                      <w:szCs w:val="21"/>
                      <w:lang w:val="en-US" w:eastAsia="zh-CN"/>
                    </w:rPr>
                    <w:t>或国有企业</w:t>
                  </w:r>
                  <w:r>
                    <w:rPr>
                      <w:rFonts w:asciiTheme="minorEastAsia" w:eastAsiaTheme="minorEastAsia" w:hAnsiTheme="minorEastAsia" w:cstheme="minorEastAsia" w:hint="eastAsia"/>
                      <w:sz w:val="21"/>
                      <w:szCs w:val="21"/>
                    </w:rPr>
                    <w:t>的</w:t>
                  </w:r>
                  <w:r>
                    <w:rPr>
                      <w:rFonts w:asciiTheme="minorEastAsia" w:eastAsiaTheme="minorEastAsia" w:hAnsiTheme="minorEastAsia" w:cstheme="minorEastAsia" w:hint="eastAsia"/>
                      <w:sz w:val="21"/>
                      <w:szCs w:val="21"/>
                      <w:lang w:val="en-US" w:eastAsia="zh-CN"/>
                    </w:rPr>
                    <w:t>同类</w:t>
                  </w:r>
                  <w:r>
                    <w:rPr>
                      <w:rFonts w:asciiTheme="minorEastAsia" w:eastAsiaTheme="minorEastAsia" w:hAnsiTheme="minorEastAsia" w:cstheme="minorEastAsia" w:hint="eastAsia"/>
                      <w:sz w:val="21"/>
                      <w:szCs w:val="21"/>
                    </w:rPr>
                    <w:t>业绩，每提供一项业绩得</w:t>
                  </w:r>
                  <w:r>
                    <w:rPr>
                      <w:rFonts w:asciiTheme="minorEastAsia" w:eastAsiaTheme="minorEastAsia" w:hAnsiTheme="minorEastAsia" w:cstheme="minorEastAsia" w:hint="eastAsia"/>
                      <w:sz w:val="21"/>
                      <w:szCs w:val="21"/>
                      <w:lang w:val="en-US" w:eastAsia="zh-CN"/>
                    </w:rPr>
                    <w:t>25</w:t>
                  </w:r>
                  <w:r>
                    <w:rPr>
                      <w:rFonts w:asciiTheme="minorEastAsia" w:eastAsiaTheme="minorEastAsia" w:hAnsiTheme="minorEastAsia" w:cstheme="minorEastAsia" w:hint="eastAsia"/>
                      <w:sz w:val="21"/>
                      <w:szCs w:val="21"/>
                    </w:rPr>
                    <w:t>%，最高得</w:t>
                  </w:r>
                  <w:r>
                    <w:rPr>
                      <w:rFonts w:asciiTheme="minorEastAsia" w:eastAsiaTheme="minorEastAsia" w:hAnsiTheme="minorEastAsia" w:cstheme="minorEastAsia" w:hint="eastAsia"/>
                      <w:sz w:val="21"/>
                      <w:szCs w:val="21"/>
                      <w:lang w:val="en-US" w:eastAsia="zh-CN"/>
                    </w:rPr>
                    <w:t>100</w:t>
                  </w:r>
                  <w:r>
                    <w:rPr>
                      <w:rFonts w:asciiTheme="minorEastAsia" w:eastAsiaTheme="minorEastAsia" w:hAnsiTheme="minorEastAsia" w:cstheme="minorEastAsia" w:hint="eastAsia"/>
                      <w:sz w:val="21"/>
                      <w:szCs w:val="21"/>
                    </w:rPr>
                    <w:t>%。</w:t>
                  </w:r>
                </w:p>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left"/>
                    <w:textAlignment w:val="auto"/>
                    <w:rPr>
                      <w:rFonts w:asciiTheme="minorEastAsia" w:eastAsiaTheme="minorEastAsia" w:hAnsiTheme="minorEastAsia" w:cstheme="minorEastAsia" w:hint="eastAsia"/>
                      <w:kern w:val="2"/>
                      <w:sz w:val="21"/>
                      <w:szCs w:val="21"/>
                    </w:rPr>
                  </w:pPr>
                  <w:r>
                    <w:rPr>
                      <w:rFonts w:asciiTheme="minorEastAsia" w:eastAsiaTheme="minorEastAsia" w:hAnsiTheme="minorEastAsia" w:cstheme="minorEastAsia" w:hint="eastAsia"/>
                      <w:sz w:val="21"/>
                      <w:szCs w:val="21"/>
                    </w:rPr>
                    <w:t>2、证明文件： 投标人须提供合同关键页扫描件，原件备查，未按要求提供或提供不清晰导致专家无法判断的不得分。注：同一项目续签合同不重复计分。</w:t>
                  </w:r>
                </w:p>
              </w:tc>
            </w:tr>
            <w:tr>
              <w:tblPrEx>
                <w:tblW w:w="9072" w:type="dxa"/>
                <w:jc w:val="center"/>
                <w:tblInd w:w="0" w:type="dxa"/>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tcPr>
                <w:p>
                  <w:pPr>
                    <w:wordWrap w:val="0"/>
                    <w:rPr>
                      <w:b/>
                      <w:bCs/>
                      <w:color w:val="0000FF"/>
                    </w:rPr>
                  </w:pPr>
                </w:p>
              </w:tc>
              <w:tc>
                <w:tcPr>
                  <w:tcW w:w="680" w:type="dxa"/>
                  <w:tcBorders>
                    <w:top w:val="single" w:sz="8" w:space="0" w:color="000000"/>
                    <w:left w:val="single" w:sz="8" w:space="0" w:color="000000"/>
                    <w:bottom w:val="single" w:sz="8" w:space="0" w:color="000000"/>
                    <w:right w:val="single" w:sz="8" w:space="0" w:color="000000"/>
                  </w:tcBorders>
                </w:tcPr>
                <w:p>
                  <w:pPr>
                    <w:wordWrap w:val="0"/>
                    <w:jc w:val="center"/>
                    <w:rPr>
                      <w:sz w:val="21"/>
                      <w:szCs w:val="21"/>
                    </w:rPr>
                  </w:pPr>
                  <w:r>
                    <w:rPr>
                      <w:rFonts w:hint="eastAsia"/>
                      <w:sz w:val="21"/>
                      <w:szCs w:val="21"/>
                    </w:rPr>
                    <w:t>4</w:t>
                  </w:r>
                </w:p>
              </w:tc>
              <w:tc>
                <w:tcPr>
                  <w:tcW w:w="2835"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lang w:val="en-US" w:eastAsia="zh-CN"/>
                    </w:rPr>
                    <w:t>服务网点</w:t>
                  </w:r>
                </w:p>
              </w:tc>
              <w:tc>
                <w:tcPr>
                  <w:tcW w:w="681"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center"/>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lang w:val="en-US" w:eastAsia="zh-CN"/>
                    </w:rPr>
                    <w:t>5</w:t>
                  </w:r>
                </w:p>
              </w:tc>
              <w:tc>
                <w:tcPr>
                  <w:tcW w:w="4196"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suppressLineNumbers w:val="0"/>
                    <w:shd w:val="clear" w:color="auto" w:fill="FFFFFF"/>
                    <w:kinsoku/>
                    <w:overflowPunct/>
                    <w:topLinePunct w:val="0"/>
                    <w:autoSpaceDE/>
                    <w:autoSpaceDN/>
                    <w:bidi w:val="0"/>
                    <w:adjustRightInd/>
                    <w:snapToGrid/>
                    <w:spacing w:before="0" w:beforeAutospacing="0" w:after="0" w:afterAutospacing="0" w:line="360" w:lineRule="auto"/>
                    <w:ind w:left="0" w:right="0"/>
                    <w:textAlignment w:val="auto"/>
                    <w:rPr>
                      <w:rFonts w:asciiTheme="minorEastAsia" w:eastAsiaTheme="minorEastAsia" w:hAnsiTheme="minorEastAsia" w:cstheme="minorEastAsia" w:hint="eastAsia"/>
                      <w:b w:val="0"/>
                      <w:bCs/>
                      <w:color w:val="000000"/>
                      <w:sz w:val="21"/>
                      <w:szCs w:val="21"/>
                      <w:shd w:val="clear" w:color="auto" w:fill="FFFFFF"/>
                    </w:rPr>
                  </w:pPr>
                  <w:r>
                    <w:rPr>
                      <w:rFonts w:asciiTheme="minorEastAsia" w:eastAsiaTheme="minorEastAsia" w:hAnsiTheme="minorEastAsia" w:cstheme="minorEastAsia" w:hint="eastAsia"/>
                      <w:b w:val="0"/>
                      <w:bCs/>
                      <w:color w:val="000000"/>
                      <w:sz w:val="21"/>
                      <w:szCs w:val="21"/>
                      <w:shd w:val="clear" w:color="auto" w:fill="FFFFFF"/>
                      <w:lang w:val="en-US" w:eastAsia="zh-CN"/>
                    </w:rPr>
                    <w:t>1、</w:t>
                  </w:r>
                  <w:r>
                    <w:rPr>
                      <w:rFonts w:asciiTheme="minorEastAsia" w:eastAsiaTheme="minorEastAsia" w:hAnsiTheme="minorEastAsia" w:cstheme="minorEastAsia" w:hint="eastAsia"/>
                      <w:b w:val="0"/>
                      <w:bCs/>
                      <w:color w:val="000000"/>
                      <w:sz w:val="21"/>
                      <w:szCs w:val="21"/>
                      <w:shd w:val="clear" w:color="auto" w:fill="FFFFFF"/>
                    </w:rPr>
                    <w:t>评审标准：</w:t>
                  </w:r>
                </w:p>
                <w:p>
                  <w:pPr>
                    <w:keepNext w:val="0"/>
                    <w:keepLines w:val="0"/>
                    <w:pageBreakBefore w:val="0"/>
                    <w:suppressLineNumbers w:val="0"/>
                    <w:kinsoku/>
                    <w:overflowPunct/>
                    <w:topLinePunct w:val="0"/>
                    <w:autoSpaceDE/>
                    <w:autoSpaceDN/>
                    <w:bidi w:val="0"/>
                    <w:adjustRightInd/>
                    <w:snapToGrid/>
                    <w:spacing w:before="0" w:beforeAutospacing="0" w:after="60" w:afterAutospacing="0" w:line="360" w:lineRule="auto"/>
                    <w:ind w:left="0" w:right="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1.投标人在深圳市有固定服务网点，即投标人注册地或投标人设有能提供本项目售后服务分公司等合法注册的分支机构的在深圳市范围内，得5分；</w:t>
                  </w:r>
                </w:p>
                <w:p>
                  <w:pPr>
                    <w:keepNext w:val="0"/>
                    <w:keepLines w:val="0"/>
                    <w:pageBreakBefore w:val="0"/>
                    <w:suppressLineNumbers w:val="0"/>
                    <w:kinsoku/>
                    <w:overflowPunct/>
                    <w:topLinePunct w:val="0"/>
                    <w:autoSpaceDE/>
                    <w:autoSpaceDN/>
                    <w:bidi w:val="0"/>
                    <w:adjustRightInd/>
                    <w:snapToGrid/>
                    <w:spacing w:before="0" w:beforeAutospacing="0" w:after="60" w:afterAutospacing="0" w:line="360" w:lineRule="auto"/>
                    <w:ind w:left="0" w:right="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2.投标人在深圳市没有固定服务网点的，承诺中标后在深圳市范围内设定固定服务网点的得2分。本项最高得5分。</w:t>
                  </w:r>
                </w:p>
                <w:p>
                  <w:pPr>
                    <w:keepNext w:val="0"/>
                    <w:keepLines w:val="0"/>
                    <w:pageBreakBefore w:val="0"/>
                    <w:suppressLineNumbers w:val="0"/>
                    <w:kinsoku/>
                    <w:overflowPunct/>
                    <w:topLinePunct w:val="0"/>
                    <w:autoSpaceDE/>
                    <w:autoSpaceDN/>
                    <w:bidi w:val="0"/>
                    <w:adjustRightInd/>
                    <w:snapToGrid/>
                    <w:spacing w:before="0" w:beforeAutospacing="0" w:after="0" w:afterAutospacing="0" w:line="360" w:lineRule="auto"/>
                    <w:ind w:left="0" w:right="0"/>
                    <w:textAlignment w:val="auto"/>
                    <w:rPr>
                      <w:rFonts w:asciiTheme="minorEastAsia" w:eastAsiaTheme="minorEastAsia" w:hAnsiTheme="minorEastAsia" w:cstheme="minorEastAsia" w:hint="eastAsia"/>
                      <w:b w:val="0"/>
                      <w:bCs/>
                      <w:sz w:val="21"/>
                      <w:szCs w:val="21"/>
                    </w:rPr>
                  </w:pPr>
                  <w:r>
                    <w:rPr>
                      <w:rFonts w:asciiTheme="minorEastAsia" w:eastAsiaTheme="minorEastAsia" w:hAnsiTheme="minorEastAsia" w:cstheme="minorEastAsia" w:hint="eastAsia"/>
                      <w:b w:val="0"/>
                      <w:bCs/>
                      <w:sz w:val="21"/>
                      <w:szCs w:val="21"/>
                      <w:lang w:val="en-US" w:eastAsia="zh-CN"/>
                    </w:rPr>
                    <w:t>2、</w:t>
                  </w:r>
                  <w:r>
                    <w:rPr>
                      <w:rFonts w:asciiTheme="minorEastAsia" w:eastAsiaTheme="minorEastAsia" w:hAnsiTheme="minorEastAsia" w:cstheme="minorEastAsia" w:hint="eastAsia"/>
                      <w:b w:val="0"/>
                      <w:bCs/>
                      <w:sz w:val="21"/>
                      <w:szCs w:val="21"/>
                    </w:rPr>
                    <w:t>证明文件：</w:t>
                  </w:r>
                </w:p>
                <w:p>
                  <w:pPr>
                    <w:keepNext w:val="0"/>
                    <w:keepLines w:val="0"/>
                    <w:pageBreakBefore w:val="0"/>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right="0" w:firstLine="0" w:leftChars="0" w:rightChars="0" w:firstLineChars="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投标人提供投标人（或投标人分支机构）营业执照或办公场所的房产证明或房屋租赁合同扫描件，或承诺函（格式自拟），原件备查，未按要求提供或提供不清晰导致专家无法判断的不得分。</w:t>
                  </w:r>
                </w:p>
              </w:tc>
            </w:tr>
            <w:tr>
              <w:tblPrEx>
                <w:tblW w:w="9072" w:type="dxa"/>
                <w:jc w:val="center"/>
                <w:tblInd w:w="0" w:type="dxa"/>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tcPr>
                <w:p>
                  <w:pPr>
                    <w:wordWrap w:val="0"/>
                    <w:rPr>
                      <w:b/>
                      <w:bCs/>
                      <w:color w:val="0000FF"/>
                    </w:rPr>
                  </w:pPr>
                </w:p>
              </w:tc>
              <w:tc>
                <w:tcPr>
                  <w:tcW w:w="680" w:type="dxa"/>
                  <w:tcBorders>
                    <w:top w:val="single" w:sz="8" w:space="0" w:color="000000"/>
                    <w:left w:val="single" w:sz="8" w:space="0" w:color="000000"/>
                    <w:bottom w:val="single" w:sz="8" w:space="0" w:color="000000"/>
                    <w:right w:val="single" w:sz="8" w:space="0" w:color="000000"/>
                  </w:tcBorders>
                </w:tcPr>
                <w:p>
                  <w:pPr>
                    <w:wordWrap w:val="0"/>
                    <w:jc w:val="center"/>
                    <w:rPr>
                      <w:rFonts w:eastAsiaTheme="minorEastAsia" w:hint="eastAsia"/>
                      <w:sz w:val="21"/>
                      <w:szCs w:val="21"/>
                      <w:lang w:eastAsia="zh-CN"/>
                    </w:rPr>
                  </w:pPr>
                  <w:r>
                    <w:rPr>
                      <w:rFonts w:hint="eastAsia"/>
                      <w:sz w:val="21"/>
                      <w:szCs w:val="21"/>
                      <w:lang w:val="en-US" w:eastAsia="zh-CN"/>
                    </w:rPr>
                    <w:t>5</w:t>
                  </w:r>
                </w:p>
              </w:tc>
              <w:tc>
                <w:tcPr>
                  <w:tcW w:w="2835"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auto"/>
                    <w:ind w:left="0" w:right="0" w:leftChars="0" w:rightChars="0"/>
                    <w:jc w:val="center"/>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党建和工会情况</w:t>
                  </w:r>
                </w:p>
              </w:tc>
              <w:tc>
                <w:tcPr>
                  <w:tcW w:w="681" w:type="dxa"/>
                  <w:tcBorders>
                    <w:top w:val="single" w:sz="8" w:space="0" w:color="000000"/>
                    <w:left w:val="single" w:sz="8" w:space="0" w:color="000000"/>
                    <w:bottom w:val="single" w:sz="8" w:space="0" w:color="000000"/>
                    <w:right w:val="single" w:sz="8" w:space="0" w:color="000000"/>
                  </w:tcBorders>
                  <w:vAlign w:val="center"/>
                </w:tcPr>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360" w:lineRule="auto"/>
                    <w:ind w:left="0" w:right="0" w:leftChars="0" w:rightChars="0"/>
                    <w:jc w:val="center"/>
                    <w:textAlignment w:val="auto"/>
                    <w:rPr>
                      <w:rFonts w:asciiTheme="minorEastAsia" w:eastAsiaTheme="minorEastAsia" w:hAnsiTheme="minorEastAsia" w:cstheme="minorEastAsia" w:hint="eastAsia"/>
                      <w:sz w:val="21"/>
                      <w:szCs w:val="21"/>
                    </w:rPr>
                  </w:pPr>
                  <w:r>
                    <w:rPr>
                      <w:rFonts w:asciiTheme="minorEastAsia" w:hAnsiTheme="minorEastAsia" w:cstheme="minorEastAsia" w:hint="eastAsia"/>
                      <w:sz w:val="21"/>
                      <w:szCs w:val="21"/>
                      <w:lang w:val="en-US" w:eastAsia="zh-CN"/>
                    </w:rPr>
                    <w:t>8</w:t>
                  </w:r>
                </w:p>
              </w:tc>
              <w:tc>
                <w:tcPr>
                  <w:tcW w:w="4196"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lang w:val="en-US" w:eastAsia="zh-CN"/>
                    </w:rPr>
                    <w:t>1、</w:t>
                  </w:r>
                  <w:r>
                    <w:rPr>
                      <w:rFonts w:asciiTheme="minorEastAsia" w:eastAsiaTheme="minorEastAsia" w:hAnsiTheme="minorEastAsia" w:cstheme="minorEastAsia" w:hint="eastAsia"/>
                      <w:sz w:val="21"/>
                      <w:szCs w:val="21"/>
                    </w:rPr>
                    <w:t>评审标准：</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根据投标人的党建情况进行评审：</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default"/>
                      <w:sz w:val="21"/>
                      <w:szCs w:val="21"/>
                      <w:lang w:val="en-US" w:eastAsia="zh-CN"/>
                    </w:rPr>
                  </w:pPr>
                  <w:r>
                    <w:rPr>
                      <w:rFonts w:asciiTheme="minorEastAsia" w:eastAsiaTheme="minorEastAsia" w:hAnsiTheme="minorEastAsia" w:cstheme="minorEastAsia" w:hint="eastAsia"/>
                      <w:sz w:val="21"/>
                      <w:szCs w:val="21"/>
                    </w:rPr>
                    <w:t>投标人企业内部成立中国共产党基层党组织</w:t>
                  </w:r>
                  <w:r>
                    <w:rPr>
                      <w:rFonts w:asciiTheme="minorEastAsia" w:hAnsiTheme="minorEastAsia" w:cstheme="minorEastAsia" w:hint="eastAsia"/>
                      <w:sz w:val="21"/>
                      <w:szCs w:val="21"/>
                      <w:lang w:val="en-US" w:eastAsia="zh-CN"/>
                    </w:rPr>
                    <w:t>的</w:t>
                  </w:r>
                  <w:r>
                    <w:rPr>
                      <w:rFonts w:asciiTheme="minorEastAsia" w:eastAsiaTheme="minorEastAsia" w:hAnsiTheme="minorEastAsia" w:cstheme="minorEastAsia" w:hint="eastAsia"/>
                      <w:sz w:val="21"/>
                      <w:szCs w:val="21"/>
                    </w:rPr>
                    <w:t>得</w:t>
                  </w:r>
                  <w:r>
                    <w:rPr>
                      <w:rFonts w:asciiTheme="minorEastAsia" w:hAnsiTheme="minorEastAsia" w:cstheme="minorEastAsia" w:hint="eastAsia"/>
                      <w:sz w:val="21"/>
                      <w:szCs w:val="21"/>
                      <w:lang w:val="en-US" w:eastAsia="zh-CN"/>
                    </w:rPr>
                    <w:t>50%；</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hint="eastAsia"/>
                    </w:rPr>
                  </w:pPr>
                  <w:r>
                    <w:rPr>
                      <w:rFonts w:asciiTheme="minorEastAsia" w:eastAsiaTheme="minorEastAsia" w:hAnsiTheme="minorEastAsia" w:cstheme="minorEastAsia" w:hint="eastAsia"/>
                      <w:sz w:val="21"/>
                      <w:szCs w:val="21"/>
                    </w:rPr>
                    <w:t>投标人企业内部成立工会组织的得</w:t>
                  </w:r>
                  <w:r>
                    <w:rPr>
                      <w:rFonts w:asciiTheme="minorEastAsia" w:hAnsiTheme="minorEastAsia" w:cstheme="minorEastAsia" w:hint="eastAsia"/>
                      <w:sz w:val="21"/>
                      <w:szCs w:val="21"/>
                      <w:lang w:val="en-US" w:eastAsia="zh-CN"/>
                    </w:rPr>
                    <w:t>50</w:t>
                  </w:r>
                  <w:r>
                    <w:rPr>
                      <w:rFonts w:asciiTheme="minorEastAsia" w:eastAsiaTheme="minorEastAsia" w:hAnsiTheme="minorEastAsia" w:cstheme="minorEastAsia" w:hint="eastAsia"/>
                      <w:sz w:val="21"/>
                      <w:szCs w:val="21"/>
                      <w:lang w:val="en-US" w:eastAsia="zh-CN"/>
                    </w:rPr>
                    <w:t>%</w:t>
                  </w:r>
                  <w:r>
                    <w:rPr>
                      <w:rFonts w:asciiTheme="minorEastAsia" w:eastAsiaTheme="minorEastAsia" w:hAnsiTheme="minorEastAsia" w:cstheme="minorEastAsia" w:hint="eastAsia"/>
                      <w:sz w:val="21"/>
                      <w:szCs w:val="21"/>
                    </w:rPr>
                    <w:t>。</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lang w:val="en-US" w:eastAsia="zh-CN"/>
                    </w:rPr>
                    <w:t>2、</w:t>
                  </w:r>
                  <w:r>
                    <w:rPr>
                      <w:rFonts w:asciiTheme="minorEastAsia" w:eastAsiaTheme="minorEastAsia" w:hAnsiTheme="minorEastAsia" w:cstheme="minorEastAsia" w:hint="eastAsia"/>
                      <w:sz w:val="21"/>
                      <w:szCs w:val="21"/>
                    </w:rPr>
                    <w:t>证明文件：</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投标人提供成立基层党组织</w:t>
                  </w:r>
                  <w:r>
                    <w:rPr>
                      <w:rFonts w:asciiTheme="minorEastAsia" w:eastAsiaTheme="minorEastAsia" w:hAnsiTheme="minorEastAsia" w:cstheme="minorEastAsia" w:hint="eastAsia"/>
                      <w:sz w:val="21"/>
                      <w:szCs w:val="21"/>
                      <w:lang w:val="en-US" w:eastAsia="zh-CN"/>
                    </w:rPr>
                    <w:t>的证明文件</w:t>
                  </w:r>
                  <w:r>
                    <w:rPr>
                      <w:rFonts w:asciiTheme="minorEastAsia" w:eastAsiaTheme="minorEastAsia" w:hAnsiTheme="minorEastAsia" w:cstheme="minorEastAsia" w:hint="eastAsia"/>
                      <w:sz w:val="21"/>
                      <w:szCs w:val="21"/>
                    </w:rPr>
                    <w:t>（盖上一级党组织公章）和</w:t>
                  </w:r>
                  <w:r>
                    <w:rPr>
                      <w:rFonts w:asciiTheme="minorEastAsia" w:eastAsiaTheme="minorEastAsia" w:hAnsiTheme="minorEastAsia" w:cstheme="minorEastAsia" w:hint="eastAsia"/>
                      <w:sz w:val="21"/>
                      <w:szCs w:val="21"/>
                      <w:lang w:val="en-US" w:eastAsia="zh-CN"/>
                    </w:rPr>
                    <w:t>有效期内的</w:t>
                  </w:r>
                  <w:r>
                    <w:rPr>
                      <w:rFonts w:asciiTheme="minorEastAsia" w:eastAsiaTheme="minorEastAsia" w:hAnsiTheme="minorEastAsia" w:cstheme="minorEastAsia" w:hint="eastAsia"/>
                      <w:color w:val="auto"/>
                      <w:sz w:val="21"/>
                      <w:szCs w:val="21"/>
                      <w:highlight w:val="none"/>
                      <w:lang w:val="en-US" w:eastAsia="zh-CN"/>
                    </w:rPr>
                    <w:t>工会法人资格证书</w:t>
                  </w:r>
                  <w:r>
                    <w:rPr>
                      <w:rFonts w:asciiTheme="minorEastAsia" w:eastAsiaTheme="minorEastAsia" w:hAnsiTheme="minorEastAsia" w:cstheme="minorEastAsia" w:hint="eastAsia"/>
                      <w:sz w:val="21"/>
                      <w:szCs w:val="21"/>
                      <w:lang w:val="en-US" w:eastAsia="zh-CN"/>
                    </w:rPr>
                    <w:t>扫描</w:t>
                  </w:r>
                  <w:r>
                    <w:rPr>
                      <w:rFonts w:asciiTheme="minorEastAsia" w:eastAsiaTheme="minorEastAsia" w:hAnsiTheme="minorEastAsia" w:cstheme="minorEastAsia" w:hint="eastAsia"/>
                      <w:sz w:val="21"/>
                      <w:szCs w:val="21"/>
                    </w:rPr>
                    <w:t>件</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rPr>
                    <w:t>未按要求提供或提供不清晰导致专家无法判断的不得分。</w:t>
                  </w:r>
                </w:p>
              </w:tc>
            </w:tr>
            <w:tr>
              <w:tblPrEx>
                <w:tblW w:w="9072" w:type="dxa"/>
                <w:jc w:val="center"/>
                <w:tblInd w:w="0" w:type="dxa"/>
                <w:tblLayout w:type="fixed"/>
                <w:tblCellMar>
                  <w:top w:w="20" w:type="dxa"/>
                  <w:left w:w="108" w:type="dxa"/>
                  <w:bottom w:w="20" w:type="dxa"/>
                  <w:right w:w="108" w:type="dxa"/>
                </w:tblCellMar>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pPr>
                    <w:wordWrap w:val="0"/>
                    <w:jc w:val="center"/>
                    <w:rPr>
                      <w:b/>
                      <w:bCs/>
                      <w:color w:val="0000FF"/>
                    </w:rPr>
                  </w:pPr>
                  <w:r>
                    <w:rPr>
                      <w:b/>
                      <w:bCs/>
                      <w:color w:val="0000FF"/>
                    </w:rPr>
                    <w:t>3</w:t>
                  </w:r>
                </w:p>
              </w:tc>
              <w:tc>
                <w:tcPr>
                  <w:tcW w:w="4196" w:type="dxa"/>
                  <w:gridSpan w:val="3"/>
                  <w:tcBorders>
                    <w:top w:val="single" w:sz="8" w:space="0" w:color="000000"/>
                    <w:left w:val="single" w:sz="8" w:space="0" w:color="000000"/>
                    <w:bottom w:val="single" w:sz="8" w:space="0" w:color="000000"/>
                    <w:right w:val="single" w:sz="8" w:space="0" w:color="000000"/>
                  </w:tcBorders>
                </w:tcPr>
                <w:p>
                  <w:pPr>
                    <w:wordWrap w:val="0"/>
                    <w:jc w:val="center"/>
                    <w:rPr>
                      <w:b/>
                      <w:bCs/>
                      <w:color w:val="0000FF"/>
                    </w:rPr>
                  </w:pPr>
                  <w:r>
                    <w:rPr>
                      <w:b/>
                      <w:bCs/>
                      <w:color w:val="0000FF"/>
                    </w:rPr>
                    <w:t>技术部分</w:t>
                  </w:r>
                </w:p>
              </w:tc>
              <w:tc>
                <w:tcPr>
                  <w:tcW w:w="4196" w:type="dxa"/>
                  <w:tcBorders>
                    <w:top w:val="single" w:sz="8" w:space="0" w:color="000000"/>
                    <w:left w:val="single" w:sz="8" w:space="0" w:color="000000"/>
                    <w:bottom w:val="single" w:sz="8" w:space="0" w:color="000000"/>
                    <w:right w:val="single" w:sz="8" w:space="0" w:color="000000"/>
                  </w:tcBorders>
                </w:tcPr>
                <w:p>
                  <w:pPr>
                    <w:wordWrap w:val="0"/>
                    <w:jc w:val="center"/>
                    <w:rPr>
                      <w:rFonts w:eastAsia="宋体" w:hint="default"/>
                      <w:b/>
                      <w:bCs/>
                      <w:color w:val="0000FF"/>
                      <w:lang w:val="en-US" w:eastAsia="zh-CN"/>
                    </w:rPr>
                  </w:pPr>
                  <w:r>
                    <w:rPr>
                      <w:rFonts w:eastAsia="宋体" w:hint="eastAsia"/>
                      <w:b/>
                      <w:bCs/>
                      <w:color w:val="0000FF"/>
                      <w:lang w:val="en-US" w:eastAsia="zh-CN"/>
                    </w:rPr>
                    <w:t>49</w:t>
                  </w:r>
                </w:p>
              </w:tc>
            </w:tr>
            <w:tr>
              <w:tblPrEx>
                <w:tblW w:w="9072" w:type="dxa"/>
                <w:jc w:val="center"/>
                <w:tblInd w:w="0" w:type="dxa"/>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ordWrap w:val="0"/>
                    <w:rPr>
                      <w:b/>
                      <w:bCs/>
                      <w:color w:val="0000FF"/>
                    </w:rPr>
                  </w:pPr>
                </w:p>
              </w:tc>
              <w:tc>
                <w:tcPr>
                  <w:tcW w:w="8392" w:type="dxa"/>
                  <w:gridSpan w:val="4"/>
                  <w:tcBorders>
                    <w:top w:val="single" w:sz="8" w:space="0" w:color="000000"/>
                    <w:left w:val="single" w:sz="8" w:space="0" w:color="000000"/>
                    <w:bottom w:val="single" w:sz="8" w:space="0" w:color="000000"/>
                    <w:right w:val="single" w:sz="8" w:space="0" w:color="000000"/>
                  </w:tcBorders>
                </w:tcPr>
                <w:p>
                  <w:pPr>
                    <w:wordWrap w:val="0"/>
                    <w:jc w:val="center"/>
                    <w:rPr>
                      <w:b/>
                      <w:bCs/>
                      <w:color w:val="0000FF"/>
                    </w:rPr>
                  </w:pPr>
                </w:p>
              </w:tc>
            </w:tr>
            <w:tr>
              <w:tblPrEx>
                <w:tblW w:w="9072" w:type="dxa"/>
                <w:jc w:val="center"/>
                <w:tblInd w:w="0" w:type="dxa"/>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pPr>
                    <w:wordWrap w:val="0"/>
                    <w:jc w:val="center"/>
                    <w:rPr>
                      <w:b/>
                      <w:bCs/>
                      <w:color w:val="0000FF"/>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pPr>
                    <w:wordWrap w:val="0"/>
                    <w:jc w:val="center"/>
                    <w:rPr>
                      <w:sz w:val="21"/>
                      <w:szCs w:val="21"/>
                    </w:rPr>
                  </w:pPr>
                  <w:r>
                    <w:rPr>
                      <w:sz w:val="21"/>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pPr>
                    <w:wordWrap w:val="0"/>
                    <w:jc w:val="center"/>
                    <w:rPr>
                      <w:sz w:val="21"/>
                      <w:szCs w:val="21"/>
                    </w:rPr>
                  </w:pPr>
                  <w:r>
                    <w:rPr>
                      <w:sz w:val="21"/>
                      <w:szCs w:val="21"/>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ordWrap w:val="0"/>
                    <w:jc w:val="center"/>
                    <w:rPr>
                      <w:sz w:val="21"/>
                      <w:szCs w:val="21"/>
                    </w:rPr>
                  </w:pPr>
                  <w:r>
                    <w:rPr>
                      <w:sz w:val="21"/>
                      <w:szCs w:val="21"/>
                    </w:rPr>
                    <w:t>权重(%)</w:t>
                  </w:r>
                </w:p>
              </w:tc>
              <w:tc>
                <w:tcPr>
                  <w:tcW w:w="4196" w:type="dxa"/>
                  <w:tcBorders>
                    <w:top w:val="outset" w:sz="6" w:space="0" w:color="000000"/>
                    <w:left w:val="outset" w:sz="6" w:space="0" w:color="000000"/>
                    <w:bottom w:val="outset" w:sz="6" w:space="0" w:color="000000"/>
                    <w:right w:val="outset" w:sz="6" w:space="0" w:color="000000"/>
                  </w:tcBorders>
                  <w:shd w:val="clear" w:color="auto" w:fill="E6EFFA"/>
                  <w:vAlign w:val="center"/>
                </w:tcPr>
                <w:p>
                  <w:pPr>
                    <w:wordWrap w:val="0"/>
                    <w:jc w:val="center"/>
                    <w:rPr>
                      <w:sz w:val="21"/>
                      <w:szCs w:val="21"/>
                    </w:rPr>
                  </w:pPr>
                  <w:r>
                    <w:rPr>
                      <w:sz w:val="21"/>
                      <w:szCs w:val="21"/>
                    </w:rPr>
                    <w:t>评分准则</w:t>
                  </w:r>
                </w:p>
              </w:tc>
            </w:tr>
            <w:tr>
              <w:tblPrEx>
                <w:tblW w:w="9072" w:type="dxa"/>
                <w:jc w:val="center"/>
                <w:tblInd w:w="0" w:type="dxa"/>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tcPr>
                <w:p>
                  <w:pPr>
                    <w:wordWrap w:val="0"/>
                    <w:rPr>
                      <w:b/>
                      <w:bCs/>
                      <w:color w:val="0000FF"/>
                    </w:rPr>
                  </w:pPr>
                </w:p>
              </w:tc>
              <w:tc>
                <w:tcPr>
                  <w:tcW w:w="680" w:type="dxa"/>
                  <w:tcBorders>
                    <w:top w:val="single" w:sz="8" w:space="0" w:color="000000"/>
                    <w:left w:val="single" w:sz="8" w:space="0" w:color="000000"/>
                    <w:bottom w:val="single" w:sz="8" w:space="0" w:color="000000"/>
                    <w:right w:val="single" w:sz="8" w:space="0" w:color="000000"/>
                  </w:tcBorders>
                </w:tcPr>
                <w:p>
                  <w:pPr>
                    <w:wordWrap w:val="0"/>
                    <w:jc w:val="center"/>
                    <w:rPr>
                      <w:sz w:val="21"/>
                      <w:szCs w:val="21"/>
                    </w:rPr>
                  </w:pPr>
                  <w:r>
                    <w:rPr>
                      <w:sz w:val="21"/>
                      <w:szCs w:val="21"/>
                    </w:rPr>
                    <w:t>1</w:t>
                  </w:r>
                </w:p>
              </w:tc>
              <w:tc>
                <w:tcPr>
                  <w:tcW w:w="2835"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lang w:val="en-US" w:eastAsia="zh-CN"/>
                    </w:rPr>
                    <w:t>实施方案</w:t>
                  </w:r>
                </w:p>
              </w:tc>
              <w:tc>
                <w:tcPr>
                  <w:tcW w:w="681"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center"/>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w:t>
                  </w:r>
                  <w:r>
                    <w:rPr>
                      <w:rFonts w:asciiTheme="minorEastAsia" w:hAnsiTheme="minorEastAsia" w:cstheme="minorEastAsia" w:hint="eastAsia"/>
                      <w:sz w:val="21"/>
                      <w:szCs w:val="21"/>
                      <w:lang w:val="en-US" w:eastAsia="zh-CN"/>
                    </w:rPr>
                    <w:t>1</w:t>
                  </w:r>
                </w:p>
              </w:tc>
              <w:tc>
                <w:tcPr>
                  <w:tcW w:w="4196"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根据投标方案中</w:t>
                  </w:r>
                  <w:r>
                    <w:rPr>
                      <w:rFonts w:asciiTheme="minorEastAsia" w:eastAsiaTheme="minorEastAsia" w:hAnsiTheme="minorEastAsia" w:cstheme="minorEastAsia" w:hint="eastAsia"/>
                      <w:sz w:val="21"/>
                      <w:szCs w:val="21"/>
                      <w:lang w:val="en-US" w:eastAsia="zh-CN"/>
                    </w:rPr>
                    <w:t>实施</w:t>
                  </w:r>
                  <w:r>
                    <w:rPr>
                      <w:rFonts w:asciiTheme="minorEastAsia" w:eastAsiaTheme="minorEastAsia" w:hAnsiTheme="minorEastAsia" w:cstheme="minorEastAsia" w:hint="eastAsia"/>
                      <w:sz w:val="21"/>
                      <w:szCs w:val="21"/>
                    </w:rPr>
                    <w:t>方案进行评价，服务方案包括：</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（1）人员的配置；</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（2）服务承诺；</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（3）设备配备服务；</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lang w:eastAsia="zh-CN"/>
                    </w:rPr>
                  </w:pPr>
                  <w:r>
                    <w:rPr>
                      <w:rFonts w:asciiTheme="minorEastAsia" w:eastAsiaTheme="minorEastAsia" w:hAnsiTheme="minorEastAsia" w:cstheme="minorEastAsia" w:hint="eastAsia"/>
                      <w:sz w:val="21"/>
                      <w:szCs w:val="21"/>
                    </w:rPr>
                    <w:t>（4）日常培训组织</w:t>
                  </w:r>
                  <w:r>
                    <w:rPr>
                      <w:rFonts w:asciiTheme="minorEastAsia" w:eastAsiaTheme="minorEastAsia" w:hAnsiTheme="minorEastAsia" w:cstheme="minorEastAsia" w:hint="eastAsia"/>
                      <w:sz w:val="21"/>
                      <w:szCs w:val="21"/>
                      <w:lang w:eastAsia="zh-CN"/>
                    </w:rPr>
                    <w:t>；</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lang w:eastAsia="zh-CN"/>
                    </w:rPr>
                  </w:pPr>
                  <w:r>
                    <w:rPr>
                      <w:rFonts w:asciiTheme="minorEastAsia" w:eastAsiaTheme="minorEastAsia" w:hAnsiTheme="minorEastAsia" w:cstheme="minorEastAsia" w:hint="eastAsia"/>
                      <w:sz w:val="21"/>
                      <w:szCs w:val="21"/>
                    </w:rPr>
                    <w:t>（5）管理措施</w:t>
                  </w:r>
                  <w:r>
                    <w:rPr>
                      <w:rFonts w:asciiTheme="minorEastAsia" w:eastAsiaTheme="minorEastAsia" w:hAnsiTheme="minorEastAsia" w:cstheme="minorEastAsia" w:hint="eastAsia"/>
                      <w:sz w:val="21"/>
                      <w:szCs w:val="21"/>
                      <w:lang w:eastAsia="zh-CN"/>
                    </w:rPr>
                    <w:t>。</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满足以上五项内容的得</w:t>
                  </w:r>
                  <w:r>
                    <w:rPr>
                      <w:rFonts w:asciiTheme="minorEastAsia" w:eastAsiaTheme="minorEastAsia" w:hAnsiTheme="minorEastAsia" w:cstheme="minorEastAsia" w:hint="eastAsia"/>
                      <w:sz w:val="21"/>
                      <w:szCs w:val="21"/>
                      <w:lang w:val="en-US" w:eastAsia="zh-CN"/>
                    </w:rPr>
                    <w:t>30%</w:t>
                  </w:r>
                  <w:r>
                    <w:rPr>
                      <w:rFonts w:asciiTheme="minorEastAsia" w:eastAsiaTheme="minorEastAsia" w:hAnsiTheme="minorEastAsia" w:cstheme="minorEastAsia" w:hint="eastAsia"/>
                      <w:sz w:val="21"/>
                      <w:szCs w:val="21"/>
                    </w:rPr>
                    <w:t>；满足以上四项内容的得</w:t>
                  </w:r>
                  <w:r>
                    <w:rPr>
                      <w:rFonts w:asciiTheme="minorEastAsia" w:eastAsiaTheme="minorEastAsia" w:hAnsiTheme="minorEastAsia" w:cstheme="minorEastAsia" w:hint="eastAsia"/>
                      <w:sz w:val="21"/>
                      <w:szCs w:val="21"/>
                      <w:lang w:val="en-US" w:eastAsia="zh-CN"/>
                    </w:rPr>
                    <w:t>20%</w:t>
                  </w:r>
                  <w:r>
                    <w:rPr>
                      <w:rFonts w:asciiTheme="minorEastAsia" w:eastAsiaTheme="minorEastAsia" w:hAnsiTheme="minorEastAsia" w:cstheme="minorEastAsia" w:hint="eastAsia"/>
                      <w:sz w:val="21"/>
                      <w:szCs w:val="21"/>
                    </w:rPr>
                    <w:t>；满足以上三项内容的得</w:t>
                  </w:r>
                  <w:r>
                    <w:rPr>
                      <w:rFonts w:asciiTheme="minorEastAsia" w:eastAsiaTheme="minorEastAsia" w:hAnsiTheme="minorEastAsia" w:cstheme="minorEastAsia" w:hint="eastAsia"/>
                      <w:sz w:val="21"/>
                      <w:szCs w:val="21"/>
                      <w:lang w:val="en-US" w:eastAsia="zh-CN"/>
                    </w:rPr>
                    <w:t>10%</w:t>
                  </w:r>
                  <w:r>
                    <w:rPr>
                      <w:rFonts w:asciiTheme="minorEastAsia" w:eastAsiaTheme="minorEastAsia" w:hAnsiTheme="minorEastAsia" w:cstheme="minorEastAsia" w:hint="eastAsia"/>
                      <w:sz w:val="21"/>
                      <w:szCs w:val="21"/>
                    </w:rPr>
                    <w:t>；其他情况不得分。</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 xml:space="preserve">在此基础上，专家根据各供应商的具体响应内容按照量化的评审因素指标进一步评审： </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(1)投标文件响应内容全面；</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(2)投标文件响应内容具体；</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(3)投标文件响应内容针对性强；</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(4)投标文件响应内容科学合理；</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(5)投标文件响应内容可操作性强。</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满足以上五项要求的评价为优得</w:t>
                  </w:r>
                  <w:r>
                    <w:rPr>
                      <w:rFonts w:asciiTheme="minorEastAsia" w:eastAsiaTheme="minorEastAsia" w:hAnsiTheme="minorEastAsia" w:cstheme="minorEastAsia" w:hint="eastAsia"/>
                      <w:sz w:val="21"/>
                      <w:szCs w:val="21"/>
                      <w:lang w:val="en-US" w:eastAsia="zh-CN"/>
                    </w:rPr>
                    <w:t>70%</w:t>
                  </w:r>
                  <w:r>
                    <w:rPr>
                      <w:rFonts w:asciiTheme="minorEastAsia" w:eastAsiaTheme="minorEastAsia" w:hAnsiTheme="minorEastAsia" w:cstheme="minorEastAsia" w:hint="eastAsia"/>
                      <w:sz w:val="21"/>
                      <w:szCs w:val="21"/>
                    </w:rPr>
                    <w:t>；</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满足以上四项要求的评价为良得</w:t>
                  </w:r>
                  <w:r>
                    <w:rPr>
                      <w:rFonts w:asciiTheme="minorEastAsia" w:eastAsiaTheme="minorEastAsia" w:hAnsiTheme="minorEastAsia" w:cstheme="minorEastAsia" w:hint="eastAsia"/>
                      <w:sz w:val="21"/>
                      <w:szCs w:val="21"/>
                      <w:lang w:val="en-US" w:eastAsia="zh-CN"/>
                    </w:rPr>
                    <w:t>40%</w:t>
                  </w:r>
                  <w:r>
                    <w:rPr>
                      <w:rFonts w:asciiTheme="minorEastAsia" w:eastAsiaTheme="minorEastAsia" w:hAnsiTheme="minorEastAsia" w:cstheme="minorEastAsia" w:hint="eastAsia"/>
                      <w:sz w:val="21"/>
                      <w:szCs w:val="21"/>
                    </w:rPr>
                    <w:t>；</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满足以上三项要求的评价为中得</w:t>
                  </w:r>
                  <w:r>
                    <w:rPr>
                      <w:rFonts w:asciiTheme="minorEastAsia" w:eastAsiaTheme="minorEastAsia" w:hAnsiTheme="minorEastAsia" w:cstheme="minorEastAsia" w:hint="eastAsia"/>
                      <w:sz w:val="21"/>
                      <w:szCs w:val="21"/>
                      <w:lang w:val="en-US" w:eastAsia="zh-CN"/>
                    </w:rPr>
                    <w:t>10%</w:t>
                  </w:r>
                  <w:r>
                    <w:rPr>
                      <w:rFonts w:asciiTheme="minorEastAsia" w:eastAsiaTheme="minorEastAsia" w:hAnsiTheme="minorEastAsia" w:cstheme="minorEastAsia" w:hint="eastAsia"/>
                      <w:sz w:val="21"/>
                      <w:szCs w:val="21"/>
                    </w:rPr>
                    <w:t>；其他情况不得分。</w:t>
                  </w:r>
                </w:p>
              </w:tc>
            </w:tr>
            <w:tr>
              <w:tblPrEx>
                <w:tblW w:w="9072" w:type="dxa"/>
                <w:jc w:val="center"/>
                <w:tblInd w:w="0" w:type="dxa"/>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tcPr>
                <w:p>
                  <w:pPr>
                    <w:wordWrap w:val="0"/>
                    <w:rPr>
                      <w:b/>
                      <w:bCs/>
                      <w:color w:val="0000FF"/>
                    </w:rPr>
                  </w:pPr>
                </w:p>
              </w:tc>
              <w:tc>
                <w:tcPr>
                  <w:tcW w:w="680" w:type="dxa"/>
                  <w:tcBorders>
                    <w:top w:val="single" w:sz="8" w:space="0" w:color="000000"/>
                    <w:left w:val="single" w:sz="8" w:space="0" w:color="000000"/>
                    <w:bottom w:val="single" w:sz="8" w:space="0" w:color="000000"/>
                    <w:right w:val="single" w:sz="8" w:space="0" w:color="000000"/>
                  </w:tcBorders>
                </w:tcPr>
                <w:p>
                  <w:pPr>
                    <w:wordWrap w:val="0"/>
                    <w:jc w:val="center"/>
                    <w:rPr>
                      <w:sz w:val="21"/>
                      <w:szCs w:val="21"/>
                    </w:rPr>
                  </w:pPr>
                  <w:r>
                    <w:rPr>
                      <w:rFonts w:hint="eastAsia"/>
                      <w:sz w:val="21"/>
                      <w:szCs w:val="21"/>
                    </w:rPr>
                    <w:t>2</w:t>
                  </w:r>
                </w:p>
              </w:tc>
              <w:tc>
                <w:tcPr>
                  <w:tcW w:w="2835"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lang w:val="en-US" w:eastAsia="zh-CN"/>
                    </w:rPr>
                    <w:t>拟投入本项目</w:t>
                  </w:r>
                  <w:r>
                    <w:rPr>
                      <w:rFonts w:asciiTheme="minorEastAsia" w:hAnsiTheme="minorEastAsia" w:cstheme="minorEastAsia" w:hint="eastAsia"/>
                      <w:sz w:val="21"/>
                      <w:szCs w:val="21"/>
                      <w:lang w:val="en-US" w:eastAsia="zh-CN"/>
                    </w:rPr>
                    <w:t>安全员</w:t>
                  </w:r>
                  <w:r>
                    <w:rPr>
                      <w:rFonts w:asciiTheme="minorEastAsia" w:eastAsiaTheme="minorEastAsia" w:hAnsiTheme="minorEastAsia" w:cstheme="minorEastAsia" w:hint="eastAsia"/>
                      <w:sz w:val="21"/>
                      <w:szCs w:val="21"/>
                      <w:lang w:val="en-US" w:eastAsia="zh-CN"/>
                    </w:rPr>
                    <w:t>情况</w:t>
                  </w:r>
                </w:p>
              </w:tc>
              <w:tc>
                <w:tcPr>
                  <w:tcW w:w="681"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center"/>
                    <w:textAlignment w:val="auto"/>
                    <w:rPr>
                      <w:rFonts w:asciiTheme="minorEastAsia" w:eastAsiaTheme="minorEastAsia" w:hAnsiTheme="minorEastAsia" w:cstheme="minorEastAsia" w:hint="eastAsia"/>
                      <w:sz w:val="21"/>
                      <w:szCs w:val="21"/>
                      <w:lang w:eastAsia="zh-CN"/>
                    </w:rPr>
                  </w:pPr>
                  <w:r>
                    <w:rPr>
                      <w:rFonts w:asciiTheme="minorEastAsia" w:hAnsiTheme="minorEastAsia" w:cstheme="minorEastAsia" w:hint="eastAsia"/>
                      <w:sz w:val="21"/>
                      <w:szCs w:val="21"/>
                      <w:lang w:val="en-US" w:eastAsia="zh-CN"/>
                    </w:rPr>
                    <w:t>8</w:t>
                  </w:r>
                </w:p>
              </w:tc>
              <w:tc>
                <w:tcPr>
                  <w:tcW w:w="4196"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left"/>
                    <w:textAlignment w:val="auto"/>
                    <w:rPr>
                      <w:rFonts w:asciiTheme="minorEastAsia" w:hAnsiTheme="minorEastAsia" w:cstheme="minorEastAsia" w:hint="eastAsia"/>
                      <w:sz w:val="21"/>
                      <w:szCs w:val="21"/>
                      <w:lang w:val="en-US" w:eastAsia="zh-CN"/>
                    </w:rPr>
                  </w:pPr>
                  <w:r>
                    <w:rPr>
                      <w:rFonts w:asciiTheme="minorEastAsia" w:hAnsiTheme="minorEastAsia" w:cstheme="minorEastAsia" w:hint="eastAsia"/>
                      <w:sz w:val="21"/>
                      <w:szCs w:val="21"/>
                      <w:lang w:val="en-US" w:eastAsia="zh-CN"/>
                    </w:rPr>
                    <w:t>评审标准：</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left"/>
                    <w:textAlignment w:val="auto"/>
                    <w:rPr>
                      <w:rFonts w:asciiTheme="minorEastAsia" w:hAnsiTheme="minorEastAsia" w:cstheme="minorEastAsia" w:hint="eastAsia"/>
                      <w:sz w:val="21"/>
                      <w:szCs w:val="21"/>
                      <w:lang w:val="en-US" w:eastAsia="zh-CN"/>
                    </w:rPr>
                  </w:pPr>
                  <w:r>
                    <w:rPr>
                      <w:rFonts w:asciiTheme="minorEastAsia" w:hAnsiTheme="minorEastAsia" w:cstheme="minorEastAsia" w:hint="eastAsia"/>
                      <w:sz w:val="21"/>
                      <w:szCs w:val="21"/>
                      <w:lang w:val="en-US" w:eastAsia="zh-CN"/>
                    </w:rPr>
                    <w:t>拟投入本项目安全员具有中级或以上注册安全工程师证书的得100%。</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left"/>
                    <w:textAlignment w:val="auto"/>
                    <w:rPr>
                      <w:rFonts w:asciiTheme="minorEastAsia" w:hAnsiTheme="minorEastAsia" w:cstheme="minorEastAsia" w:hint="eastAsia"/>
                      <w:sz w:val="21"/>
                      <w:szCs w:val="21"/>
                      <w:lang w:val="en-US" w:eastAsia="zh-CN"/>
                    </w:rPr>
                  </w:pPr>
                  <w:r>
                    <w:rPr>
                      <w:rFonts w:asciiTheme="minorEastAsia" w:hAnsiTheme="minorEastAsia" w:cstheme="minorEastAsia" w:hint="eastAsia"/>
                      <w:sz w:val="21"/>
                      <w:szCs w:val="21"/>
                      <w:lang w:val="en-US" w:eastAsia="zh-CN"/>
                    </w:rPr>
                    <w:t>证明文件：</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left"/>
                    <w:textAlignment w:val="auto"/>
                    <w:rPr>
                      <w:rFonts w:eastAsiaTheme="minorEastAsia" w:hint="default"/>
                      <w:lang w:val="en-US" w:eastAsia="zh-CN"/>
                    </w:rPr>
                  </w:pPr>
                  <w:r>
                    <w:rPr>
                      <w:rFonts w:asciiTheme="minorEastAsia" w:hAnsiTheme="minorEastAsia" w:cstheme="minorEastAsia" w:hint="eastAsia"/>
                      <w:sz w:val="21"/>
                      <w:szCs w:val="21"/>
                      <w:lang w:val="en-US" w:eastAsia="zh-CN"/>
                    </w:rPr>
                    <w:t>投标人须提供注册安全工程师证书和开标日前由投标人为其缴交的：具有社保部门公章的近一个月（2022年8月）社保缴交证明材料和具有住房公积金部门公章的近一个月（2022年8月）住房公积金缴存证明（或个人账户明细）扫描件，如开标日上一个月的社保（住房公积金）材料因社保（住房公积金）部门原因暂时无法取得，则可以往前顺延一个月；社保资料必须至少显示缴交养老保险信息，未显示该信息的该社保资料则不符合要求。</w:t>
                  </w:r>
                </w:p>
              </w:tc>
            </w:tr>
            <w:tr>
              <w:tblPrEx>
                <w:tblW w:w="9072" w:type="dxa"/>
                <w:jc w:val="center"/>
                <w:tblInd w:w="0" w:type="dxa"/>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tcPr>
                <w:p>
                  <w:pPr>
                    <w:wordWrap w:val="0"/>
                    <w:rPr>
                      <w:b/>
                      <w:bCs/>
                      <w:color w:val="0000FF"/>
                    </w:rPr>
                  </w:pPr>
                </w:p>
              </w:tc>
              <w:tc>
                <w:tcPr>
                  <w:tcW w:w="680" w:type="dxa"/>
                  <w:tcBorders>
                    <w:top w:val="single" w:sz="8" w:space="0" w:color="000000"/>
                    <w:left w:val="single" w:sz="8" w:space="0" w:color="000000"/>
                    <w:bottom w:val="single" w:sz="8" w:space="0" w:color="000000"/>
                    <w:right w:val="single" w:sz="8" w:space="0" w:color="000000"/>
                  </w:tcBorders>
                </w:tcPr>
                <w:p>
                  <w:pPr>
                    <w:wordWrap w:val="0"/>
                    <w:jc w:val="center"/>
                    <w:rPr>
                      <w:sz w:val="21"/>
                      <w:szCs w:val="21"/>
                    </w:rPr>
                  </w:pPr>
                  <w:r>
                    <w:rPr>
                      <w:rFonts w:hint="eastAsia"/>
                      <w:sz w:val="21"/>
                      <w:szCs w:val="21"/>
                    </w:rPr>
                    <w:t>3</w:t>
                  </w:r>
                </w:p>
              </w:tc>
              <w:tc>
                <w:tcPr>
                  <w:tcW w:w="2835"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lang w:val="en-US" w:eastAsia="zh-CN"/>
                    </w:rPr>
                    <w:t>拟投入本项目团队成员情况</w:t>
                  </w:r>
                </w:p>
              </w:tc>
              <w:tc>
                <w:tcPr>
                  <w:tcW w:w="681"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center"/>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lang w:val="en-US" w:eastAsia="zh-CN"/>
                    </w:rPr>
                    <w:t>10</w:t>
                  </w:r>
                </w:p>
              </w:tc>
              <w:tc>
                <w:tcPr>
                  <w:tcW w:w="4196"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right="0" w:firstLine="0" w:leftChars="0" w:firstLineChars="0"/>
                    <w:textAlignment w:val="auto"/>
                    <w:rPr>
                      <w:rFonts w:asciiTheme="minorEastAsia" w:eastAsiaTheme="minorEastAsia" w:hAnsiTheme="minorEastAsia" w:cstheme="minorEastAsia" w:hint="eastAsia"/>
                      <w:sz w:val="21"/>
                      <w:szCs w:val="21"/>
                      <w:lang w:val="en-US" w:eastAsia="zh-CN"/>
                    </w:rPr>
                  </w:pPr>
                  <w:r>
                    <w:rPr>
                      <w:rFonts w:asciiTheme="minorEastAsia" w:eastAsiaTheme="minorEastAsia" w:hAnsiTheme="minorEastAsia" w:cstheme="minorEastAsia" w:hint="eastAsia"/>
                      <w:sz w:val="21"/>
                      <w:szCs w:val="21"/>
                      <w:lang w:val="en-US" w:eastAsia="zh-CN"/>
                    </w:rPr>
                    <w:t>评审标准：</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right="0" w:firstLine="0" w:leftChars="0" w:firstLineChars="0"/>
                    <w:textAlignment w:val="auto"/>
                    <w:rPr>
                      <w:rFonts w:asciiTheme="minorEastAsia" w:eastAsiaTheme="minorEastAsia" w:hAnsiTheme="minorEastAsia" w:cstheme="minorEastAsia" w:hint="eastAsia"/>
                      <w:sz w:val="21"/>
                      <w:szCs w:val="21"/>
                      <w:lang w:val="en-US" w:eastAsia="zh-CN"/>
                    </w:rPr>
                  </w:pPr>
                  <w:r>
                    <w:rPr>
                      <w:rFonts w:asciiTheme="minorEastAsia" w:eastAsiaTheme="minorEastAsia" w:hAnsiTheme="minorEastAsia" w:cstheme="minorEastAsia" w:hint="eastAsia"/>
                      <w:sz w:val="21"/>
                      <w:szCs w:val="21"/>
                      <w:lang w:val="en-US" w:eastAsia="zh-CN"/>
                    </w:rPr>
                    <w:t>投标人拟投入本项目团队成员中具有：副省级及以上相关职业技术培训机构颁发的有效期内除虫灭鼠上岗证或病媒生物防治工的，每提供1人得17%，最高得100%。</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right="0" w:firstLine="0" w:leftChars="0" w:firstLineChars="0"/>
                    <w:textAlignment w:val="auto"/>
                    <w:rPr>
                      <w:rFonts w:asciiTheme="minorEastAsia" w:eastAsiaTheme="minorEastAsia" w:hAnsiTheme="minorEastAsia" w:cstheme="minorEastAsia" w:hint="eastAsia"/>
                      <w:sz w:val="21"/>
                      <w:szCs w:val="21"/>
                      <w:lang w:val="en-US" w:eastAsia="zh-CN"/>
                    </w:rPr>
                  </w:pPr>
                  <w:r>
                    <w:rPr>
                      <w:rFonts w:asciiTheme="minorEastAsia" w:eastAsiaTheme="minorEastAsia" w:hAnsiTheme="minorEastAsia" w:cstheme="minorEastAsia" w:hint="eastAsia"/>
                      <w:sz w:val="21"/>
                      <w:szCs w:val="21"/>
                      <w:lang w:val="en-US" w:eastAsia="zh-CN"/>
                    </w:rPr>
                    <w:t>证明文件：</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right="0" w:firstLine="0" w:leftChars="0" w:firstLineChars="0"/>
                    <w:textAlignment w:val="auto"/>
                    <w:rPr>
                      <w:rFonts w:asciiTheme="minorEastAsia" w:eastAsiaTheme="minorEastAsia" w:hAnsiTheme="minorEastAsia" w:cstheme="minorEastAsia" w:hint="eastAsia"/>
                      <w:kern w:val="0"/>
                      <w:sz w:val="21"/>
                      <w:szCs w:val="21"/>
                    </w:rPr>
                  </w:pPr>
                  <w:r>
                    <w:rPr>
                      <w:rFonts w:asciiTheme="minorEastAsia" w:eastAsiaTheme="minorEastAsia" w:hAnsiTheme="minorEastAsia" w:cstheme="minorEastAsia" w:hint="eastAsia"/>
                      <w:kern w:val="0"/>
                      <w:sz w:val="21"/>
                      <w:szCs w:val="21"/>
                      <w:lang w:val="en-US" w:eastAsia="zh-CN"/>
                    </w:rPr>
                    <w:t>投标人须提供</w:t>
                  </w:r>
                  <w:r>
                    <w:rPr>
                      <w:rFonts w:asciiTheme="minorEastAsia" w:eastAsiaTheme="minorEastAsia" w:hAnsiTheme="minorEastAsia" w:cstheme="minorEastAsia" w:hint="eastAsia"/>
                      <w:kern w:val="0"/>
                      <w:sz w:val="21"/>
                      <w:szCs w:val="21"/>
                    </w:rPr>
                    <w:t>除虫灭鼠上岗证或</w:t>
                  </w:r>
                  <w:r>
                    <w:rPr>
                      <w:rFonts w:asciiTheme="minorEastAsia" w:eastAsiaTheme="minorEastAsia" w:hAnsiTheme="minorEastAsia" w:cstheme="minorEastAsia" w:hint="eastAsia"/>
                      <w:sz w:val="21"/>
                      <w:szCs w:val="21"/>
                      <w:lang w:val="en-US" w:eastAsia="zh-CN"/>
                    </w:rPr>
                    <w:t>除虫灭鼠防治工证</w:t>
                  </w:r>
                  <w:r>
                    <w:rPr>
                      <w:rFonts w:asciiTheme="minorEastAsia" w:eastAsiaTheme="minorEastAsia" w:hAnsiTheme="minorEastAsia" w:cstheme="minorEastAsia" w:hint="eastAsia"/>
                      <w:kern w:val="0"/>
                      <w:sz w:val="21"/>
                      <w:szCs w:val="21"/>
                      <w:lang w:val="en-US" w:eastAsia="zh-CN"/>
                    </w:rPr>
                    <w:t>的</w:t>
                  </w:r>
                  <w:r>
                    <w:rPr>
                      <w:rFonts w:asciiTheme="minorEastAsia" w:eastAsiaTheme="minorEastAsia" w:hAnsiTheme="minorEastAsia" w:cstheme="minorEastAsia" w:hint="eastAsia"/>
                      <w:kern w:val="0"/>
                      <w:sz w:val="21"/>
                      <w:szCs w:val="21"/>
                    </w:rPr>
                    <w:t>正反面</w:t>
                  </w:r>
                  <w:r>
                    <w:rPr>
                      <w:rFonts w:asciiTheme="minorEastAsia" w:eastAsiaTheme="minorEastAsia" w:hAnsiTheme="minorEastAsia" w:cstheme="minorEastAsia" w:hint="eastAsia"/>
                      <w:kern w:val="0"/>
                      <w:sz w:val="21"/>
                      <w:szCs w:val="21"/>
                      <w:lang w:val="en-US" w:eastAsia="zh-CN"/>
                    </w:rPr>
                    <w:t>扫描件</w:t>
                  </w:r>
                  <w:r>
                    <w:rPr>
                      <w:rFonts w:asciiTheme="minorEastAsia" w:eastAsiaTheme="minorEastAsia" w:hAnsiTheme="minorEastAsia" w:cstheme="minorEastAsia" w:hint="eastAsia"/>
                      <w:kern w:val="0"/>
                      <w:sz w:val="21"/>
                      <w:szCs w:val="21"/>
                    </w:rPr>
                    <w:t>，且工作单位为投标人名称</w:t>
                  </w:r>
                  <w:r>
                    <w:rPr>
                      <w:rFonts w:asciiTheme="minorEastAsia" w:eastAsiaTheme="minorEastAsia" w:hAnsiTheme="minorEastAsia" w:cstheme="minorEastAsia" w:hint="eastAsia"/>
                      <w:kern w:val="0"/>
                      <w:sz w:val="21"/>
                      <w:szCs w:val="21"/>
                      <w:lang w:eastAsia="zh-CN"/>
                    </w:rPr>
                    <w:t>，</w:t>
                  </w:r>
                  <w:r>
                    <w:rPr>
                      <w:rFonts w:asciiTheme="minorEastAsia" w:eastAsiaTheme="minorEastAsia" w:hAnsiTheme="minorEastAsia" w:cstheme="minorEastAsia" w:hint="eastAsia"/>
                      <w:kern w:val="0"/>
                      <w:sz w:val="21"/>
                      <w:szCs w:val="21"/>
                      <w:lang w:val="en-US" w:eastAsia="zh-CN"/>
                    </w:rPr>
                    <w:t>同时提供以上证书人员</w:t>
                  </w:r>
                  <w:r>
                    <w:rPr>
                      <w:rFonts w:asciiTheme="minorEastAsia" w:hAnsiTheme="minorEastAsia" w:cstheme="minorEastAsia" w:hint="eastAsia"/>
                      <w:sz w:val="21"/>
                      <w:szCs w:val="21"/>
                      <w:lang w:val="en-US" w:eastAsia="zh-CN"/>
                    </w:rPr>
                    <w:t>开标日前由投标人为其缴交的：具有社保部门公章的近一个月（2022年8月）社保缴交证明材料和具有住房公积金部门公章的近一个月（2022年8月）住房公积金缴存证明（或个人账户明细）扫描件，如开标日上一个月的社保（住房公积金）材料因社保（住房公积金）部门原因暂时无法取得，则可以往前顺延一个月；社保资料必须至少显示缴交养老保险信息，未显示该信息的该社保资料则不符合要求</w:t>
                  </w:r>
                  <w:r>
                    <w:rPr>
                      <w:rFonts w:asciiTheme="minorEastAsia" w:eastAsiaTheme="minorEastAsia" w:hAnsiTheme="minorEastAsia" w:cstheme="minorEastAsia" w:hint="eastAsia"/>
                      <w:kern w:val="0"/>
                      <w:sz w:val="21"/>
                      <w:szCs w:val="21"/>
                      <w:lang w:eastAsia="zh-CN"/>
                    </w:rPr>
                    <w:t>，</w:t>
                  </w:r>
                  <w:r>
                    <w:rPr>
                      <w:rFonts w:asciiTheme="minorEastAsia" w:eastAsiaTheme="minorEastAsia" w:hAnsiTheme="minorEastAsia" w:cstheme="minorEastAsia" w:hint="eastAsia"/>
                      <w:kern w:val="0"/>
                      <w:sz w:val="21"/>
                      <w:szCs w:val="21"/>
                    </w:rPr>
                    <w:t>未提供或提供不清晰导致专家无法判断的不得分。</w:t>
                  </w:r>
                </w:p>
                <w:p>
                  <w:pPr>
                    <w:keepNext w:val="0"/>
                    <w:keepLines w:val="0"/>
                    <w:pageBreakBefore w:val="0"/>
                    <w:widowControl/>
                    <w:numPr>
                      <w:ilvl w:val="0"/>
                      <w:numId w:val="0"/>
                    </w:numPr>
                    <w:suppressLineNumbers w:val="0"/>
                    <w:kinsoku/>
                    <w:wordWrap w:val="0"/>
                    <w:overflowPunct/>
                    <w:topLinePunct w:val="0"/>
                    <w:autoSpaceDE/>
                    <w:autoSpaceDN/>
                    <w:bidi w:val="0"/>
                    <w:adjustRightInd/>
                    <w:snapToGrid/>
                    <w:spacing w:before="0" w:beforeAutospacing="0" w:after="0" w:afterAutospacing="0" w:line="360" w:lineRule="auto"/>
                    <w:ind w:left="0" w:right="0" w:firstLine="0" w:leftChars="0" w:rightChars="0" w:firstLineChars="0"/>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kern w:val="0"/>
                      <w:sz w:val="21"/>
                      <w:szCs w:val="21"/>
                      <w:lang w:val="en-US" w:eastAsia="zh-CN"/>
                    </w:rPr>
                    <w:t>注：由社会组织颁发的证书，还需提供该组织在“中国社会组织政务服务平台（全国社会组织信用信息公示平台）”的已合法登记且状态正常截图。</w:t>
                  </w:r>
                </w:p>
              </w:tc>
            </w:tr>
            <w:tr>
              <w:tblPrEx>
                <w:tblW w:w="9072" w:type="dxa"/>
                <w:jc w:val="center"/>
                <w:tblInd w:w="0" w:type="dxa"/>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tcPr>
                <w:p>
                  <w:pPr>
                    <w:wordWrap w:val="0"/>
                    <w:rPr>
                      <w:b/>
                      <w:bCs/>
                      <w:color w:val="0000FF"/>
                    </w:rPr>
                  </w:pPr>
                </w:p>
              </w:tc>
              <w:tc>
                <w:tcPr>
                  <w:tcW w:w="680" w:type="dxa"/>
                  <w:tcBorders>
                    <w:top w:val="single" w:sz="8" w:space="0" w:color="000000"/>
                    <w:left w:val="single" w:sz="8" w:space="0" w:color="000000"/>
                    <w:bottom w:val="single" w:sz="8" w:space="0" w:color="000000"/>
                    <w:right w:val="single" w:sz="8" w:space="0" w:color="000000"/>
                  </w:tcBorders>
                </w:tcPr>
                <w:p>
                  <w:pPr>
                    <w:wordWrap w:val="0"/>
                    <w:jc w:val="center"/>
                    <w:rPr>
                      <w:sz w:val="21"/>
                      <w:szCs w:val="21"/>
                    </w:rPr>
                  </w:pPr>
                  <w:r>
                    <w:rPr>
                      <w:rFonts w:hint="eastAsia"/>
                      <w:sz w:val="21"/>
                      <w:szCs w:val="21"/>
                    </w:rPr>
                    <w:t>4</w:t>
                  </w:r>
                </w:p>
              </w:tc>
              <w:tc>
                <w:tcPr>
                  <w:tcW w:w="2835"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突发事件应急处理措施方案</w:t>
                  </w:r>
                </w:p>
              </w:tc>
              <w:tc>
                <w:tcPr>
                  <w:tcW w:w="681"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center"/>
                    <w:textAlignment w:val="auto"/>
                    <w:rPr>
                      <w:rFonts w:asciiTheme="minorEastAsia" w:eastAsiaTheme="minorEastAsia" w:hAnsiTheme="minorEastAsia" w:cstheme="minorEastAsia" w:hint="default"/>
                      <w:sz w:val="21"/>
                      <w:szCs w:val="21"/>
                      <w:lang w:val="en-US"/>
                    </w:rPr>
                  </w:pPr>
                  <w:r>
                    <w:rPr>
                      <w:rFonts w:asciiTheme="minorEastAsia" w:hAnsiTheme="minorEastAsia" w:cstheme="minorEastAsia" w:hint="eastAsia"/>
                      <w:sz w:val="21"/>
                      <w:szCs w:val="21"/>
                      <w:lang w:val="en-US" w:eastAsia="zh-CN"/>
                    </w:rPr>
                    <w:t>10</w:t>
                  </w:r>
                </w:p>
              </w:tc>
              <w:tc>
                <w:tcPr>
                  <w:tcW w:w="4196"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根据投标文件中的突发事件应急处理措施方案进行评价，内容包括:</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eastAsia="zh-CN"/>
                    </w:rPr>
                    <w:t>1</w:t>
                  </w:r>
                  <w:r>
                    <w:rPr>
                      <w:rFonts w:asciiTheme="minorEastAsia" w:eastAsiaTheme="minorEastAsia" w:hAnsiTheme="minorEastAsia" w:cstheme="minorEastAsia" w:hint="eastAsia"/>
                      <w:sz w:val="21"/>
                      <w:szCs w:val="21"/>
                    </w:rPr>
                    <w:t>）应急处理措施；</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eastAsia="zh-CN"/>
                    </w:rPr>
                    <w:t>2</w:t>
                  </w:r>
                  <w:r>
                    <w:rPr>
                      <w:rFonts w:asciiTheme="minorEastAsia" w:eastAsiaTheme="minorEastAsia" w:hAnsiTheme="minorEastAsia" w:cstheme="minorEastAsia" w:hint="eastAsia"/>
                      <w:sz w:val="21"/>
                      <w:szCs w:val="21"/>
                    </w:rPr>
                    <w:t>）应急响应机制；</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eastAsia="zh-CN"/>
                    </w:rPr>
                    <w:t>3</w:t>
                  </w:r>
                  <w:r>
                    <w:rPr>
                      <w:rFonts w:asciiTheme="minorEastAsia" w:eastAsiaTheme="minorEastAsia" w:hAnsiTheme="minorEastAsia" w:cstheme="minorEastAsia" w:hint="eastAsia"/>
                      <w:sz w:val="21"/>
                      <w:szCs w:val="21"/>
                    </w:rPr>
                    <w:t>）应急预案体系；</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lang w:eastAsia="zh-CN"/>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lang w:val="en-US" w:eastAsia="zh-CN"/>
                    </w:rPr>
                    <w:t>4</w:t>
                  </w:r>
                  <w:r>
                    <w:rPr>
                      <w:rFonts w:asciiTheme="minorEastAsia" w:eastAsiaTheme="minorEastAsia" w:hAnsiTheme="minorEastAsia" w:cstheme="minorEastAsia" w:hint="eastAsia"/>
                      <w:sz w:val="21"/>
                      <w:szCs w:val="21"/>
                    </w:rPr>
                    <w:t>）应急人员的储备</w:t>
                  </w:r>
                  <w:r>
                    <w:rPr>
                      <w:rFonts w:asciiTheme="minorEastAsia" w:eastAsiaTheme="minorEastAsia" w:hAnsiTheme="minorEastAsia" w:cstheme="minorEastAsia" w:hint="eastAsia"/>
                      <w:sz w:val="21"/>
                      <w:szCs w:val="21"/>
                      <w:lang w:eastAsia="zh-CN"/>
                    </w:rPr>
                    <w:t>。</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满足以上</w:t>
                  </w:r>
                  <w:r>
                    <w:rPr>
                      <w:rFonts w:asciiTheme="minorEastAsia" w:eastAsiaTheme="minorEastAsia" w:hAnsiTheme="minorEastAsia" w:cstheme="minorEastAsia" w:hint="eastAsia"/>
                      <w:sz w:val="21"/>
                      <w:szCs w:val="21"/>
                      <w:lang w:val="en-US" w:eastAsia="zh-CN"/>
                    </w:rPr>
                    <w:t>四</w:t>
                  </w:r>
                  <w:r>
                    <w:rPr>
                      <w:rFonts w:asciiTheme="minorEastAsia" w:eastAsiaTheme="minorEastAsia" w:hAnsiTheme="minorEastAsia" w:cstheme="minorEastAsia" w:hint="eastAsia"/>
                      <w:sz w:val="21"/>
                      <w:szCs w:val="21"/>
                    </w:rPr>
                    <w:t>项内容的得</w:t>
                  </w:r>
                  <w:r>
                    <w:rPr>
                      <w:rFonts w:asciiTheme="minorEastAsia" w:eastAsiaTheme="minorEastAsia" w:hAnsiTheme="minorEastAsia" w:cstheme="minorEastAsia" w:hint="eastAsia"/>
                      <w:sz w:val="21"/>
                      <w:szCs w:val="21"/>
                      <w:lang w:val="en-US" w:eastAsia="zh-CN"/>
                    </w:rPr>
                    <w:t>30%</w:t>
                  </w:r>
                  <w:r>
                    <w:rPr>
                      <w:rFonts w:asciiTheme="minorEastAsia" w:eastAsiaTheme="minorEastAsia" w:hAnsiTheme="minorEastAsia" w:cstheme="minorEastAsia" w:hint="eastAsia"/>
                      <w:sz w:val="21"/>
                      <w:szCs w:val="21"/>
                    </w:rPr>
                    <w:t>；满足以上</w:t>
                  </w:r>
                  <w:r>
                    <w:rPr>
                      <w:rFonts w:asciiTheme="minorEastAsia" w:eastAsiaTheme="minorEastAsia" w:hAnsiTheme="minorEastAsia" w:cstheme="minorEastAsia" w:hint="eastAsia"/>
                      <w:sz w:val="21"/>
                      <w:szCs w:val="21"/>
                      <w:lang w:val="en-US" w:eastAsia="zh-CN"/>
                    </w:rPr>
                    <w:t>三</w:t>
                  </w:r>
                  <w:r>
                    <w:rPr>
                      <w:rFonts w:asciiTheme="minorEastAsia" w:eastAsiaTheme="minorEastAsia" w:hAnsiTheme="minorEastAsia" w:cstheme="minorEastAsia" w:hint="eastAsia"/>
                      <w:sz w:val="21"/>
                      <w:szCs w:val="21"/>
                    </w:rPr>
                    <w:t>项内容的得</w:t>
                  </w:r>
                  <w:r>
                    <w:rPr>
                      <w:rFonts w:asciiTheme="minorEastAsia" w:eastAsiaTheme="minorEastAsia" w:hAnsiTheme="minorEastAsia" w:cstheme="minorEastAsia" w:hint="eastAsia"/>
                      <w:sz w:val="21"/>
                      <w:szCs w:val="21"/>
                      <w:lang w:val="en-US" w:eastAsia="zh-CN"/>
                    </w:rPr>
                    <w:t>20%</w:t>
                  </w:r>
                  <w:r>
                    <w:rPr>
                      <w:rFonts w:asciiTheme="minorEastAsia" w:eastAsiaTheme="minorEastAsia" w:hAnsiTheme="minorEastAsia" w:cstheme="minorEastAsia" w:hint="eastAsia"/>
                      <w:sz w:val="21"/>
                      <w:szCs w:val="21"/>
                    </w:rPr>
                    <w:t>；满足以上</w:t>
                  </w:r>
                  <w:r>
                    <w:rPr>
                      <w:rFonts w:asciiTheme="minorEastAsia" w:eastAsiaTheme="minorEastAsia" w:hAnsiTheme="minorEastAsia" w:cstheme="minorEastAsia" w:hint="eastAsia"/>
                      <w:sz w:val="21"/>
                      <w:szCs w:val="21"/>
                      <w:lang w:val="en-US" w:eastAsia="zh-CN"/>
                    </w:rPr>
                    <w:t>两</w:t>
                  </w:r>
                  <w:r>
                    <w:rPr>
                      <w:rFonts w:asciiTheme="minorEastAsia" w:eastAsiaTheme="minorEastAsia" w:hAnsiTheme="minorEastAsia" w:cstheme="minorEastAsia" w:hint="eastAsia"/>
                      <w:sz w:val="21"/>
                      <w:szCs w:val="21"/>
                    </w:rPr>
                    <w:t>项内容的得</w:t>
                  </w:r>
                  <w:r>
                    <w:rPr>
                      <w:rFonts w:asciiTheme="minorEastAsia" w:eastAsiaTheme="minorEastAsia" w:hAnsiTheme="minorEastAsia" w:cstheme="minorEastAsia" w:hint="eastAsia"/>
                      <w:sz w:val="21"/>
                      <w:szCs w:val="21"/>
                      <w:lang w:val="en-US" w:eastAsia="zh-CN"/>
                    </w:rPr>
                    <w:t>10%</w:t>
                  </w:r>
                  <w:r>
                    <w:rPr>
                      <w:rFonts w:asciiTheme="minorEastAsia" w:eastAsiaTheme="minorEastAsia" w:hAnsiTheme="minorEastAsia" w:cstheme="minorEastAsia" w:hint="eastAsia"/>
                      <w:sz w:val="21"/>
                      <w:szCs w:val="21"/>
                    </w:rPr>
                    <w:t>；其他情况不得分。</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 xml:space="preserve">在此基础上，专家根据各供应商的具体响应内容按照量化的评审因素指标进一步评审： </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(1)投标文件响应内容全面；</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(2)投标文件响应内容具体；</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(3)投标文件响应内容针对性强；</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(4)投标文件响应内容科学合理；</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(5)投标文件响应内容可操作性强。</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满足以上五项要求的评价为优得</w:t>
                  </w:r>
                  <w:r>
                    <w:rPr>
                      <w:rFonts w:asciiTheme="minorEastAsia" w:eastAsiaTheme="minorEastAsia" w:hAnsiTheme="minorEastAsia" w:cstheme="minorEastAsia" w:hint="eastAsia"/>
                      <w:sz w:val="21"/>
                      <w:szCs w:val="21"/>
                      <w:lang w:val="en-US" w:eastAsia="zh-CN"/>
                    </w:rPr>
                    <w:t>70%</w:t>
                  </w:r>
                  <w:r>
                    <w:rPr>
                      <w:rFonts w:asciiTheme="minorEastAsia" w:eastAsiaTheme="minorEastAsia" w:hAnsiTheme="minorEastAsia" w:cstheme="minorEastAsia" w:hint="eastAsia"/>
                      <w:sz w:val="21"/>
                      <w:szCs w:val="21"/>
                    </w:rPr>
                    <w:t>；</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满足以上四项要求的评价为良得</w:t>
                  </w:r>
                  <w:r>
                    <w:rPr>
                      <w:rFonts w:asciiTheme="minorEastAsia" w:eastAsiaTheme="minorEastAsia" w:hAnsiTheme="minorEastAsia" w:cstheme="minorEastAsia" w:hint="eastAsia"/>
                      <w:sz w:val="21"/>
                      <w:szCs w:val="21"/>
                      <w:lang w:val="en-US" w:eastAsia="zh-CN"/>
                    </w:rPr>
                    <w:t>40%</w:t>
                  </w:r>
                  <w:r>
                    <w:rPr>
                      <w:rFonts w:asciiTheme="minorEastAsia" w:eastAsiaTheme="minorEastAsia" w:hAnsiTheme="minorEastAsia" w:cstheme="minorEastAsia" w:hint="eastAsia"/>
                      <w:sz w:val="21"/>
                      <w:szCs w:val="21"/>
                    </w:rPr>
                    <w:t>；</w:t>
                  </w:r>
                </w:p>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left"/>
                    <w:textAlignment w:val="auto"/>
                    <w:rPr>
                      <w:rFonts w:asciiTheme="minorEastAsia" w:eastAsiaTheme="minorEastAsia" w:hAnsiTheme="minorEastAsia" w:cstheme="minorEastAsia" w:hint="eastAsia"/>
                      <w:kern w:val="2"/>
                      <w:sz w:val="21"/>
                      <w:szCs w:val="21"/>
                    </w:rPr>
                  </w:pPr>
                  <w:r>
                    <w:rPr>
                      <w:rFonts w:asciiTheme="minorEastAsia" w:eastAsiaTheme="minorEastAsia" w:hAnsiTheme="minorEastAsia" w:cstheme="minorEastAsia" w:hint="eastAsia"/>
                      <w:sz w:val="21"/>
                      <w:szCs w:val="21"/>
                    </w:rPr>
                    <w:t>满足以上三项要求的评价为中得</w:t>
                  </w:r>
                  <w:r>
                    <w:rPr>
                      <w:rFonts w:asciiTheme="minorEastAsia" w:eastAsiaTheme="minorEastAsia" w:hAnsiTheme="minorEastAsia" w:cstheme="minorEastAsia" w:hint="eastAsia"/>
                      <w:sz w:val="21"/>
                      <w:szCs w:val="21"/>
                      <w:lang w:val="en-US" w:eastAsia="zh-CN"/>
                    </w:rPr>
                    <w:t>10%</w:t>
                  </w:r>
                  <w:r>
                    <w:rPr>
                      <w:rFonts w:asciiTheme="minorEastAsia" w:eastAsiaTheme="minorEastAsia" w:hAnsiTheme="minorEastAsia" w:cstheme="minorEastAsia" w:hint="eastAsia"/>
                      <w:sz w:val="21"/>
                      <w:szCs w:val="21"/>
                    </w:rPr>
                    <w:t>；其他情况不得分。</w:t>
                  </w:r>
                </w:p>
              </w:tc>
            </w:tr>
            <w:tr>
              <w:tblPrEx>
                <w:tblW w:w="9072" w:type="dxa"/>
                <w:jc w:val="center"/>
                <w:tblInd w:w="0" w:type="dxa"/>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tcPr>
                <w:p>
                  <w:pPr>
                    <w:wordWrap w:val="0"/>
                    <w:rPr>
                      <w:b/>
                      <w:bCs/>
                      <w:color w:val="0000FF"/>
                    </w:rPr>
                  </w:pPr>
                </w:p>
              </w:tc>
              <w:tc>
                <w:tcPr>
                  <w:tcW w:w="680" w:type="dxa"/>
                  <w:tcBorders>
                    <w:top w:val="single" w:sz="8" w:space="0" w:color="000000"/>
                    <w:left w:val="single" w:sz="8" w:space="0" w:color="000000"/>
                    <w:bottom w:val="single" w:sz="8" w:space="0" w:color="000000"/>
                    <w:right w:val="single" w:sz="8" w:space="0" w:color="000000"/>
                  </w:tcBorders>
                </w:tcPr>
                <w:p>
                  <w:pPr>
                    <w:wordWrap w:val="0"/>
                    <w:jc w:val="center"/>
                    <w:rPr>
                      <w:sz w:val="21"/>
                      <w:szCs w:val="21"/>
                    </w:rPr>
                  </w:pPr>
                  <w:r>
                    <w:rPr>
                      <w:rFonts w:hint="eastAsia"/>
                      <w:sz w:val="21"/>
                      <w:szCs w:val="21"/>
                    </w:rPr>
                    <w:t>5</w:t>
                  </w:r>
                </w:p>
              </w:tc>
              <w:tc>
                <w:tcPr>
                  <w:tcW w:w="2835"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服务条款偏离情况</w:t>
                  </w:r>
                </w:p>
              </w:tc>
              <w:tc>
                <w:tcPr>
                  <w:tcW w:w="681"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center"/>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lang w:val="en-US" w:eastAsia="zh-CN"/>
                    </w:rPr>
                    <w:t>0</w:t>
                  </w:r>
                </w:p>
              </w:tc>
              <w:tc>
                <w:tcPr>
                  <w:tcW w:w="4196"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1、评审标准： 投标人应如实填写《服务条款偏离表》，评审委员会根据响应情况进行打分</w:t>
                  </w:r>
                  <w:r>
                    <w:rPr>
                      <w:rFonts w:asciiTheme="minorEastAsia" w:eastAsiaTheme="minorEastAsia" w:hAnsiTheme="minorEastAsia" w:cstheme="minorEastAsia" w:hint="eastAsia"/>
                      <w:sz w:val="21"/>
                      <w:szCs w:val="21"/>
                      <w:lang w:eastAsia="zh-CN"/>
                    </w:rPr>
                    <w:t>，</w:t>
                  </w:r>
                  <w:r>
                    <w:rPr>
                      <w:rFonts w:asciiTheme="minorEastAsia" w:eastAsiaTheme="minorEastAsia" w:hAnsiTheme="minorEastAsia" w:cstheme="minorEastAsia" w:hint="eastAsia"/>
                      <w:sz w:val="21"/>
                      <w:szCs w:val="21"/>
                    </w:rPr>
                    <w:t>完全符合招标要求的，得100%，每有1项负偏离扣10%，扣完为止。</w:t>
                  </w:r>
                </w:p>
              </w:tc>
            </w:tr>
            <w:tr>
              <w:tblPrEx>
                <w:tblW w:w="9072" w:type="dxa"/>
                <w:jc w:val="center"/>
                <w:tblInd w:w="0" w:type="dxa"/>
                <w:tblLayout w:type="fixed"/>
                <w:tblCellMar>
                  <w:top w:w="20" w:type="dxa"/>
                  <w:left w:w="108" w:type="dxa"/>
                  <w:bottom w:w="20" w:type="dxa"/>
                  <w:right w:w="108" w:type="dxa"/>
                </w:tblCellMar>
              </w:tblPrEx>
              <w:trPr>
                <w:jc w:val="center"/>
              </w:trPr>
              <w:tc>
                <w:tcPr>
                  <w:tcW w:w="680" w:type="dxa"/>
                  <w:vMerge w:val="restart"/>
                  <w:tcBorders>
                    <w:top w:val="single" w:sz="8" w:space="0" w:color="000000"/>
                    <w:left w:val="single" w:sz="8" w:space="0" w:color="000000"/>
                    <w:bottom w:val="single" w:sz="8" w:space="0" w:color="000000"/>
                    <w:right w:val="single" w:sz="8" w:space="0" w:color="000000"/>
                  </w:tcBorders>
                </w:tcPr>
                <w:p>
                  <w:pPr>
                    <w:wordWrap w:val="0"/>
                    <w:jc w:val="center"/>
                    <w:rPr>
                      <w:b/>
                      <w:bCs/>
                      <w:color w:val="0000FF"/>
                    </w:rPr>
                  </w:pPr>
                  <w:r>
                    <w:rPr>
                      <w:b/>
                      <w:bCs/>
                      <w:color w:val="0000FF"/>
                    </w:rPr>
                    <w:t>4</w:t>
                  </w:r>
                </w:p>
              </w:tc>
              <w:tc>
                <w:tcPr>
                  <w:tcW w:w="4196" w:type="dxa"/>
                  <w:gridSpan w:val="3"/>
                  <w:tcBorders>
                    <w:top w:val="single" w:sz="8" w:space="0" w:color="000000"/>
                    <w:left w:val="single" w:sz="8" w:space="0" w:color="000000"/>
                    <w:bottom w:val="single" w:sz="8" w:space="0" w:color="000000"/>
                    <w:right w:val="single" w:sz="8" w:space="0" w:color="000000"/>
                  </w:tcBorders>
                </w:tcPr>
                <w:p>
                  <w:pPr>
                    <w:wordWrap w:val="0"/>
                    <w:jc w:val="center"/>
                    <w:rPr>
                      <w:b/>
                      <w:bCs/>
                      <w:color w:val="0000FF"/>
                    </w:rPr>
                  </w:pPr>
                  <w:r>
                    <w:rPr>
                      <w:b/>
                      <w:bCs/>
                      <w:color w:val="0000FF"/>
                    </w:rPr>
                    <w:t>诚信部分</w:t>
                  </w:r>
                </w:p>
              </w:tc>
              <w:tc>
                <w:tcPr>
                  <w:tcW w:w="4196" w:type="dxa"/>
                  <w:tcBorders>
                    <w:top w:val="single" w:sz="8" w:space="0" w:color="000000"/>
                    <w:left w:val="single" w:sz="8" w:space="0" w:color="000000"/>
                    <w:bottom w:val="single" w:sz="8" w:space="0" w:color="000000"/>
                    <w:right w:val="single" w:sz="8" w:space="0" w:color="000000"/>
                  </w:tcBorders>
                </w:tcPr>
                <w:p>
                  <w:pPr>
                    <w:wordWrap w:val="0"/>
                    <w:jc w:val="center"/>
                    <w:rPr>
                      <w:b/>
                      <w:bCs/>
                      <w:color w:val="0000FF"/>
                    </w:rPr>
                  </w:pPr>
                  <w:r>
                    <w:rPr>
                      <w:b/>
                      <w:bCs/>
                      <w:color w:val="0000FF"/>
                    </w:rPr>
                    <w:t>5</w:t>
                  </w:r>
                </w:p>
              </w:tc>
            </w:tr>
            <w:tr>
              <w:tblPrEx>
                <w:tblW w:w="9072" w:type="dxa"/>
                <w:jc w:val="center"/>
                <w:tblInd w:w="0" w:type="dxa"/>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vAlign w:val="center"/>
                </w:tcPr>
                <w:p>
                  <w:pPr>
                    <w:wordWrap w:val="0"/>
                    <w:rPr>
                      <w:b/>
                      <w:bCs/>
                      <w:color w:val="0000FF"/>
                    </w:rPr>
                  </w:pPr>
                </w:p>
              </w:tc>
              <w:tc>
                <w:tcPr>
                  <w:tcW w:w="8392" w:type="dxa"/>
                  <w:gridSpan w:val="4"/>
                  <w:tcBorders>
                    <w:top w:val="single" w:sz="8" w:space="0" w:color="000000"/>
                    <w:left w:val="single" w:sz="8" w:space="0" w:color="000000"/>
                    <w:bottom w:val="single" w:sz="8" w:space="0" w:color="000000"/>
                    <w:right w:val="single" w:sz="8" w:space="0" w:color="000000"/>
                  </w:tcBorders>
                </w:tcPr>
                <w:p>
                  <w:pPr>
                    <w:wordWrap w:val="0"/>
                    <w:jc w:val="center"/>
                    <w:rPr>
                      <w:b/>
                      <w:bCs/>
                      <w:color w:val="0000FF"/>
                    </w:rPr>
                  </w:pPr>
                </w:p>
              </w:tc>
            </w:tr>
            <w:tr>
              <w:tblPrEx>
                <w:tblW w:w="9072" w:type="dxa"/>
                <w:jc w:val="center"/>
                <w:tblInd w:w="0" w:type="dxa"/>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shd w:val="clear" w:color="auto" w:fill="E6EFFA"/>
                  <w:vAlign w:val="center"/>
                </w:tcPr>
                <w:p>
                  <w:pPr>
                    <w:wordWrap w:val="0"/>
                    <w:jc w:val="center"/>
                    <w:rPr>
                      <w:b/>
                      <w:bCs/>
                      <w:color w:val="0000FF"/>
                    </w:rPr>
                  </w:pPr>
                </w:p>
              </w:tc>
              <w:tc>
                <w:tcPr>
                  <w:tcW w:w="680" w:type="dxa"/>
                  <w:tcBorders>
                    <w:top w:val="outset" w:sz="6" w:space="0" w:color="000000"/>
                    <w:left w:val="outset" w:sz="6" w:space="0" w:color="000000"/>
                    <w:bottom w:val="outset" w:sz="6" w:space="0" w:color="000000"/>
                    <w:right w:val="outset" w:sz="6" w:space="0" w:color="000000"/>
                  </w:tcBorders>
                  <w:shd w:val="clear" w:color="auto" w:fill="E6EFFA"/>
                  <w:vAlign w:val="center"/>
                </w:tcPr>
                <w:p>
                  <w:pPr>
                    <w:wordWrap w:val="0"/>
                    <w:jc w:val="center"/>
                    <w:rPr>
                      <w:sz w:val="21"/>
                      <w:szCs w:val="21"/>
                    </w:rPr>
                  </w:pPr>
                  <w:r>
                    <w:rPr>
                      <w:sz w:val="21"/>
                      <w:szCs w:val="21"/>
                    </w:rPr>
                    <w:t>序号</w:t>
                  </w:r>
                </w:p>
              </w:tc>
              <w:tc>
                <w:tcPr>
                  <w:tcW w:w="2835" w:type="dxa"/>
                  <w:tcBorders>
                    <w:top w:val="outset" w:sz="6" w:space="0" w:color="000000"/>
                    <w:left w:val="outset" w:sz="6" w:space="0" w:color="000000"/>
                    <w:bottom w:val="outset" w:sz="6" w:space="0" w:color="000000"/>
                    <w:right w:val="outset" w:sz="6" w:space="0" w:color="000000"/>
                  </w:tcBorders>
                  <w:shd w:val="clear" w:color="auto" w:fill="E6EFFA"/>
                  <w:vAlign w:val="center"/>
                </w:tcPr>
                <w:p>
                  <w:pPr>
                    <w:wordWrap w:val="0"/>
                    <w:jc w:val="center"/>
                    <w:rPr>
                      <w:sz w:val="21"/>
                      <w:szCs w:val="21"/>
                    </w:rPr>
                  </w:pPr>
                  <w:r>
                    <w:rPr>
                      <w:sz w:val="21"/>
                      <w:szCs w:val="21"/>
                    </w:rPr>
                    <w:t>评分因素</w:t>
                  </w:r>
                </w:p>
              </w:tc>
              <w:tc>
                <w:tcPr>
                  <w:tcW w:w="681" w:type="dxa"/>
                  <w:tcBorders>
                    <w:top w:val="outset" w:sz="6" w:space="0" w:color="000000"/>
                    <w:left w:val="outset" w:sz="6" w:space="0" w:color="000000"/>
                    <w:bottom w:val="outset" w:sz="6" w:space="0" w:color="000000"/>
                    <w:right w:val="outset" w:sz="6" w:space="0" w:color="000000"/>
                  </w:tcBorders>
                  <w:shd w:val="clear" w:color="auto" w:fill="E6EFFA"/>
                  <w:vAlign w:val="center"/>
                </w:tcPr>
                <w:p>
                  <w:pPr>
                    <w:wordWrap w:val="0"/>
                    <w:jc w:val="center"/>
                    <w:rPr>
                      <w:sz w:val="21"/>
                      <w:szCs w:val="21"/>
                    </w:rPr>
                  </w:pPr>
                  <w:r>
                    <w:rPr>
                      <w:sz w:val="21"/>
                      <w:szCs w:val="21"/>
                    </w:rPr>
                    <w:t>权重(%)</w:t>
                  </w:r>
                </w:p>
              </w:tc>
              <w:tc>
                <w:tcPr>
                  <w:tcW w:w="4196" w:type="dxa"/>
                  <w:tcBorders>
                    <w:top w:val="outset" w:sz="6" w:space="0" w:color="000000"/>
                    <w:left w:val="outset" w:sz="6" w:space="0" w:color="000000"/>
                    <w:bottom w:val="outset" w:sz="6" w:space="0" w:color="000000"/>
                    <w:right w:val="outset" w:sz="6" w:space="0" w:color="000000"/>
                  </w:tcBorders>
                  <w:shd w:val="clear" w:color="auto" w:fill="E6EFFA"/>
                  <w:vAlign w:val="center"/>
                </w:tcPr>
                <w:p>
                  <w:pPr>
                    <w:wordWrap w:val="0"/>
                    <w:jc w:val="center"/>
                    <w:rPr>
                      <w:sz w:val="21"/>
                      <w:szCs w:val="21"/>
                    </w:rPr>
                  </w:pPr>
                  <w:r>
                    <w:rPr>
                      <w:sz w:val="21"/>
                      <w:szCs w:val="21"/>
                    </w:rPr>
                    <w:t>评分准则</w:t>
                  </w:r>
                </w:p>
              </w:tc>
            </w:tr>
            <w:tr>
              <w:tblPrEx>
                <w:tblW w:w="9072" w:type="dxa"/>
                <w:jc w:val="center"/>
                <w:tblInd w:w="0" w:type="dxa"/>
                <w:tblLayout w:type="fixed"/>
                <w:tblCellMar>
                  <w:top w:w="20" w:type="dxa"/>
                  <w:left w:w="108" w:type="dxa"/>
                  <w:bottom w:w="20" w:type="dxa"/>
                  <w:right w:w="108" w:type="dxa"/>
                </w:tblCellMar>
              </w:tblPrEx>
              <w:trPr>
                <w:jc w:val="center"/>
              </w:trPr>
              <w:tc>
                <w:tcPr>
                  <w:tcW w:w="680" w:type="dxa"/>
                  <w:vMerge/>
                  <w:tcBorders>
                    <w:top w:val="single" w:sz="8" w:space="0" w:color="000000"/>
                    <w:left w:val="single" w:sz="8" w:space="0" w:color="000000"/>
                    <w:bottom w:val="single" w:sz="8" w:space="0" w:color="000000"/>
                    <w:right w:val="single" w:sz="8" w:space="0" w:color="000000"/>
                  </w:tcBorders>
                </w:tcPr>
                <w:p>
                  <w:pPr>
                    <w:wordWrap w:val="0"/>
                    <w:rPr>
                      <w:b/>
                      <w:bCs/>
                      <w:color w:val="0000FF"/>
                    </w:rPr>
                  </w:pPr>
                </w:p>
              </w:tc>
              <w:tc>
                <w:tcPr>
                  <w:tcW w:w="680" w:type="dxa"/>
                  <w:tcBorders>
                    <w:top w:val="single" w:sz="8" w:space="0" w:color="000000"/>
                    <w:left w:val="single" w:sz="8" w:space="0" w:color="000000"/>
                    <w:bottom w:val="single" w:sz="8" w:space="0" w:color="000000"/>
                    <w:right w:val="single" w:sz="8" w:space="0" w:color="000000"/>
                  </w:tcBorders>
                </w:tcPr>
                <w:p>
                  <w:pPr>
                    <w:wordWrap w:val="0"/>
                    <w:jc w:val="center"/>
                    <w:rPr>
                      <w:sz w:val="21"/>
                      <w:szCs w:val="21"/>
                    </w:rPr>
                  </w:pPr>
                  <w:r>
                    <w:rPr>
                      <w:sz w:val="21"/>
                      <w:szCs w:val="21"/>
                    </w:rPr>
                    <w:t>1</w:t>
                  </w:r>
                </w:p>
              </w:tc>
              <w:tc>
                <w:tcPr>
                  <w:tcW w:w="2835"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诚信管理情况</w:t>
                  </w:r>
                </w:p>
              </w:tc>
              <w:tc>
                <w:tcPr>
                  <w:tcW w:w="681"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center"/>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5</w:t>
                  </w:r>
                </w:p>
              </w:tc>
              <w:tc>
                <w:tcPr>
                  <w:tcW w:w="4196" w:type="dxa"/>
                  <w:tcBorders>
                    <w:top w:val="single" w:sz="8" w:space="0" w:color="000000"/>
                    <w:left w:val="single" w:sz="8" w:space="0" w:color="000000"/>
                    <w:bottom w:val="single" w:sz="8" w:space="0" w:color="000000"/>
                    <w:right w:val="single" w:sz="8" w:space="0" w:color="000000"/>
                  </w:tcBorders>
                  <w:vAlign w:val="top"/>
                </w:tcPr>
                <w:p>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leftChars="0" w:rightChars="0"/>
                    <w:jc w:val="left"/>
                    <w:textAlignment w:val="auto"/>
                    <w:rPr>
                      <w:rFonts w:asciiTheme="minorEastAsia" w:eastAsiaTheme="minorEastAsia" w:hAnsiTheme="minorEastAsia" w:cstheme="minorEastAsia" w:hint="eastAsia"/>
                      <w:sz w:val="21"/>
                      <w:szCs w:val="21"/>
                    </w:rPr>
                  </w:pPr>
                  <w:r>
                    <w:rPr>
                      <w:rFonts w:asciiTheme="minorEastAsia" w:eastAsiaTheme="minorEastAsia" w:hAnsiTheme="minorEastAsia" w:cstheme="minorEastAsia" w:hint="eastAsia"/>
                      <w:sz w:val="21"/>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pPr>
              <w:pStyle w:val="NormalWeb"/>
              <w:spacing w:line="324" w:lineRule="auto"/>
              <w:ind w:left="420"/>
              <w:rPr>
                <w:sz w:val="21"/>
                <w:szCs w:val="21"/>
              </w:rPr>
            </w:pPr>
          </w:p>
        </w:tc>
      </w:tr>
    </w:tbl>
    <w:p>
      <w:pPr>
        <w:rPr>
          <w:vanish/>
        </w:rPr>
      </w:pPr>
    </w:p>
    <w:p>
      <w:pPr>
        <w:autoSpaceDE w:val="0"/>
        <w:autoSpaceDN w:val="0"/>
        <w:adjustRightInd w:val="0"/>
        <w:jc w:val="center"/>
        <w:rPr>
          <w:rFonts w:ascii="宋体" w:cs="宋体"/>
          <w:color w:val="000000"/>
          <w:sz w:val="120"/>
          <w:szCs w:val="120"/>
        </w:rPr>
      </w:pPr>
      <w:r>
        <w:rPr>
          <w:rFonts w:ascii="宋体" w:cs="宋体"/>
          <w:color w:val="000000"/>
          <w:sz w:val="120"/>
          <w:szCs w:val="120"/>
        </w:rPr>
        <w:br w:type="page"/>
      </w:r>
      <w:r>
        <w:rPr>
          <w:rFonts w:ascii="宋体" w:cs="宋体" w:hint="eastAsia"/>
          <w:color w:val="000000"/>
          <w:sz w:val="120"/>
          <w:szCs w:val="120"/>
        </w:rPr>
        <w:t>政府采购文件</w:t>
      </w:r>
    </w:p>
    <w:p>
      <w:pPr>
        <w:autoSpaceDE w:val="0"/>
        <w:autoSpaceDN w:val="0"/>
        <w:adjustRightInd w:val="0"/>
        <w:jc w:val="center"/>
        <w:rPr>
          <w:rFonts w:ascii="宋体" w:cs="宋体"/>
          <w:color w:val="000000"/>
          <w:sz w:val="52"/>
          <w:szCs w:val="52"/>
        </w:rPr>
      </w:pPr>
      <w:r>
        <w:rPr>
          <w:rFonts w:ascii="宋体" w:cs="宋体" w:hint="eastAsia"/>
          <w:color w:val="000000"/>
          <w:sz w:val="52"/>
          <w:szCs w:val="52"/>
        </w:rPr>
        <w:t>（服务类）</w:t>
      </w:r>
    </w:p>
    <w:p>
      <w:pPr>
        <w:autoSpaceDE w:val="0"/>
        <w:autoSpaceDN w:val="0"/>
        <w:adjustRightInd w:val="0"/>
        <w:rPr>
          <w:rFonts w:ascii="宋体" w:cs="宋体"/>
          <w:color w:val="000000"/>
          <w:sz w:val="44"/>
          <w:szCs w:val="44"/>
        </w:rPr>
      </w:pPr>
    </w:p>
    <w:p>
      <w:pPr>
        <w:autoSpaceDE w:val="0"/>
        <w:autoSpaceDN w:val="0"/>
        <w:adjustRightInd w:val="0"/>
        <w:rPr>
          <w:rFonts w:ascii="宋体" w:cs="宋体"/>
          <w:color w:val="000000"/>
          <w:sz w:val="44"/>
          <w:szCs w:val="44"/>
        </w:rPr>
      </w:pPr>
    </w:p>
    <w:p>
      <w:pPr>
        <w:autoSpaceDE w:val="0"/>
        <w:autoSpaceDN w:val="0"/>
        <w:adjustRightInd w:val="0"/>
        <w:rPr>
          <w:rFonts w:ascii="宋体" w:cs="宋体"/>
          <w:color w:val="000000"/>
          <w:sz w:val="44"/>
          <w:szCs w:val="44"/>
        </w:rPr>
      </w:pPr>
    </w:p>
    <w:p>
      <w:pPr>
        <w:autoSpaceDE w:val="0"/>
        <w:autoSpaceDN w:val="0"/>
        <w:adjustRightInd w:val="0"/>
        <w:rPr>
          <w:rFonts w:ascii="宋体" w:cs="宋体"/>
          <w:color w:val="000000"/>
          <w:sz w:val="44"/>
          <w:szCs w:val="44"/>
        </w:rPr>
      </w:pPr>
    </w:p>
    <w:p>
      <w:pPr>
        <w:autoSpaceDE w:val="0"/>
        <w:autoSpaceDN w:val="0"/>
        <w:adjustRightInd w:val="0"/>
        <w:rPr>
          <w:rFonts w:ascii="宋体" w:cs="宋体"/>
          <w:color w:val="000000"/>
          <w:sz w:val="44"/>
          <w:szCs w:val="44"/>
        </w:rPr>
      </w:pPr>
    </w:p>
    <w:p>
      <w:pPr>
        <w:autoSpaceDE w:val="0"/>
        <w:autoSpaceDN w:val="0"/>
        <w:adjustRightInd w:val="0"/>
        <w:rPr>
          <w:rFonts w:ascii="宋体" w:cs="宋体"/>
          <w:color w:val="000000"/>
          <w:sz w:val="44"/>
          <w:szCs w:val="44"/>
        </w:rPr>
      </w:pPr>
    </w:p>
    <w:p>
      <w:pPr>
        <w:autoSpaceDE w:val="0"/>
        <w:autoSpaceDN w:val="0"/>
        <w:adjustRightInd w:val="0"/>
        <w:rPr>
          <w:rFonts w:ascii="宋体" w:cs="宋体"/>
          <w:color w:val="000000"/>
          <w:sz w:val="44"/>
          <w:szCs w:val="44"/>
        </w:rPr>
      </w:pPr>
    </w:p>
    <w:p>
      <w:pPr>
        <w:autoSpaceDE w:val="0"/>
        <w:autoSpaceDN w:val="0"/>
        <w:adjustRightInd w:val="0"/>
        <w:rPr>
          <w:rFonts w:ascii="宋体" w:cs="宋体"/>
          <w:color w:val="000000"/>
          <w:sz w:val="44"/>
          <w:szCs w:val="44"/>
        </w:rPr>
      </w:pPr>
    </w:p>
    <w:p>
      <w:pPr>
        <w:autoSpaceDE w:val="0"/>
        <w:autoSpaceDN w:val="0"/>
        <w:adjustRightInd w:val="0"/>
        <w:rPr>
          <w:rFonts w:ascii="宋体" w:cs="宋体"/>
          <w:color w:val="000000"/>
          <w:sz w:val="44"/>
          <w:szCs w:val="44"/>
        </w:rPr>
      </w:pPr>
    </w:p>
    <w:p>
      <w:pPr>
        <w:autoSpaceDE w:val="0"/>
        <w:autoSpaceDN w:val="0"/>
        <w:adjustRightInd w:val="0"/>
        <w:rPr>
          <w:rFonts w:ascii="宋体" w:cs="宋体"/>
          <w:color w:val="000000"/>
          <w:sz w:val="44"/>
          <w:szCs w:val="44"/>
        </w:rPr>
      </w:pPr>
    </w:p>
    <w:p>
      <w:pPr>
        <w:autoSpaceDE w:val="0"/>
        <w:autoSpaceDN w:val="0"/>
        <w:adjustRightInd w:val="0"/>
        <w:jc w:val="center"/>
        <w:rPr>
          <w:rFonts w:ascii="宋体" w:cs="宋体"/>
          <w:color w:val="000000"/>
          <w:sz w:val="44"/>
          <w:szCs w:val="44"/>
        </w:rPr>
      </w:pPr>
      <w:r>
        <w:rPr>
          <w:rFonts w:ascii="宋体" w:cs="宋体" w:hint="eastAsia"/>
          <w:color w:val="000000"/>
          <w:sz w:val="44"/>
          <w:szCs w:val="44"/>
        </w:rPr>
        <w:t>中国·深圳·光明</w:t>
      </w:r>
    </w:p>
    <w:p>
      <w:pPr>
        <w:pStyle w:val="a"/>
        <w:ind w:firstLine="560"/>
        <w:jc w:val="center"/>
        <w:rPr>
          <w:rFonts w:ascii="宋体" w:cs="宋体"/>
          <w:color w:val="000000"/>
          <w:sz w:val="28"/>
        </w:rPr>
      </w:pPr>
      <w:r>
        <w:rPr>
          <w:rFonts w:ascii="宋体" w:cs="宋体" w:hint="eastAsia"/>
          <w:color w:val="000000"/>
          <w:sz w:val="28"/>
        </w:rPr>
        <w:t>（</w:t>
      </w:r>
      <w:r>
        <w:rPr>
          <w:rFonts w:ascii="Times New Roman"/>
          <w:color w:val="000000"/>
          <w:sz w:val="28"/>
        </w:rPr>
        <w:t>2</w:t>
      </w:r>
      <w:r>
        <w:rPr>
          <w:rFonts w:ascii="Times New Roman" w:hint="eastAsia"/>
          <w:color w:val="000000"/>
          <w:sz w:val="28"/>
        </w:rPr>
        <w:t>022</w:t>
      </w:r>
      <w:r>
        <w:rPr>
          <w:rFonts w:ascii="宋体" w:cs="宋体" w:hint="eastAsia"/>
          <w:color w:val="000000"/>
          <w:sz w:val="28"/>
        </w:rPr>
        <w:t>）</w:t>
      </w:r>
    </w:p>
    <w:p>
      <w:pPr>
        <w:pStyle w:val="a"/>
        <w:ind w:firstLine="560"/>
        <w:jc w:val="center"/>
        <w:rPr>
          <w:rFonts w:ascii="宋体" w:cs="宋体"/>
          <w:color w:val="000000"/>
          <w:sz w:val="28"/>
        </w:rPr>
      </w:pPr>
    </w:p>
    <w:p>
      <w:pPr>
        <w:pStyle w:val="a"/>
        <w:ind w:firstLine="0" w:firstLineChars="0"/>
      </w:pPr>
    </w:p>
    <w:p>
      <w:pPr>
        <w:jc w:val="center"/>
        <w:rPr>
          <w:rFonts w:ascii="宋体" w:hAnsi="宋体"/>
          <w:color w:val="FF0000"/>
          <w:szCs w:val="21"/>
        </w:rPr>
      </w:pPr>
      <w:r>
        <w:rPr>
          <w:sz w:val="36"/>
          <w:szCs w:val="36"/>
        </w:rPr>
        <w:br w:type="page"/>
      </w:r>
      <w:bookmarkStart w:id="0" w:name="_Hlk73564573"/>
      <w:r>
        <w:rPr>
          <w:rFonts w:ascii="宋体" w:eastAsia="黑体" w:hAnsi="宋体" w:hint="eastAsia"/>
          <w:b/>
          <w:bCs/>
          <w:color w:val="FF0000"/>
          <w:kern w:val="44"/>
          <w:sz w:val="28"/>
          <w:szCs w:val="44"/>
        </w:rPr>
        <w:t>警示条款</w:t>
      </w:r>
    </w:p>
    <w:p>
      <w:pPr>
        <w:ind w:firstLine="480" w:firstLineChars="200"/>
        <w:rPr>
          <w:rFonts w:ascii="宋体" w:hAnsi="宋体"/>
          <w:color w:val="FF0000"/>
          <w:sz w:val="20"/>
          <w:szCs w:val="20"/>
        </w:rPr>
      </w:pPr>
      <w:r>
        <w:rPr>
          <w:rFonts w:ascii="宋体" w:hAnsi="宋体" w:hint="eastAsia"/>
          <w:color w:val="FF0000"/>
          <w:sz w:val="20"/>
          <w:szCs w:val="20"/>
        </w:rPr>
        <w:t>一、</w:t>
      </w:r>
      <w:r>
        <w:rPr>
          <w:rFonts w:ascii="宋体" w:hAnsi="宋体" w:hint="eastAsia"/>
          <w:b/>
          <w:bCs/>
          <w:color w:val="FF0000"/>
          <w:sz w:val="20"/>
          <w:szCs w:val="20"/>
        </w:rPr>
        <w:t>《深圳经济特区政府采购条例》第五十七条</w:t>
      </w:r>
      <w:r>
        <w:rPr>
          <w:rFonts w:ascii="宋体" w:hAnsi="宋体" w:hint="eastAsia"/>
          <w:color w:val="FF0000"/>
          <w:sz w:val="20"/>
          <w:szCs w:val="20"/>
        </w:rPr>
        <w:t xml:space="preserve">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80" w:firstLineChars="200"/>
        <w:rPr>
          <w:rFonts w:ascii="宋体" w:hAnsi="宋体"/>
          <w:color w:val="FF0000"/>
          <w:sz w:val="20"/>
          <w:szCs w:val="20"/>
        </w:rPr>
      </w:pPr>
      <w:r>
        <w:rPr>
          <w:rFonts w:ascii="宋体" w:hAnsi="宋体" w:hint="eastAsia"/>
          <w:color w:val="FF0000"/>
          <w:sz w:val="20"/>
          <w:szCs w:val="20"/>
        </w:rPr>
        <w:t>（一）在采购活动中应当回避而未回避的；</w:t>
      </w:r>
    </w:p>
    <w:p>
      <w:pPr>
        <w:ind w:firstLine="480" w:firstLineChars="200"/>
        <w:rPr>
          <w:rFonts w:ascii="宋体" w:hAnsi="宋体"/>
          <w:color w:val="FF0000"/>
          <w:sz w:val="20"/>
          <w:szCs w:val="20"/>
        </w:rPr>
      </w:pPr>
      <w:r>
        <w:rPr>
          <w:rFonts w:ascii="宋体" w:hAnsi="宋体" w:hint="eastAsia"/>
          <w:color w:val="FF0000"/>
          <w:sz w:val="20"/>
          <w:szCs w:val="20"/>
        </w:rPr>
        <w:t>（二）未按本条例规定签订、履行采购合同，造成严重后果的；</w:t>
      </w:r>
    </w:p>
    <w:p>
      <w:pPr>
        <w:ind w:firstLine="480" w:firstLineChars="200"/>
        <w:rPr>
          <w:rFonts w:ascii="宋体" w:hAnsi="宋体"/>
          <w:color w:val="FF0000"/>
          <w:sz w:val="20"/>
          <w:szCs w:val="20"/>
        </w:rPr>
      </w:pPr>
      <w:r>
        <w:rPr>
          <w:rFonts w:ascii="宋体" w:hAnsi="宋体" w:hint="eastAsia"/>
          <w:color w:val="FF0000"/>
          <w:sz w:val="20"/>
          <w:szCs w:val="20"/>
        </w:rPr>
        <w:t>（三）隐瞒真实情况，提供虚假资料的；</w:t>
      </w:r>
    </w:p>
    <w:p>
      <w:pPr>
        <w:ind w:firstLine="480" w:firstLineChars="200"/>
        <w:rPr>
          <w:rFonts w:ascii="宋体" w:hAnsi="宋体"/>
          <w:color w:val="FF0000"/>
          <w:sz w:val="20"/>
          <w:szCs w:val="20"/>
        </w:rPr>
      </w:pPr>
      <w:r>
        <w:rPr>
          <w:rFonts w:ascii="宋体" w:hAnsi="宋体" w:hint="eastAsia"/>
          <w:color w:val="FF0000"/>
          <w:sz w:val="20"/>
          <w:szCs w:val="20"/>
        </w:rPr>
        <w:t>（四）以非法手段排斥其他供应商参与竞争的；</w:t>
      </w:r>
    </w:p>
    <w:p>
      <w:pPr>
        <w:ind w:firstLine="480" w:firstLineChars="200"/>
        <w:rPr>
          <w:rFonts w:ascii="宋体" w:hAnsi="宋体"/>
          <w:color w:val="FF0000"/>
          <w:sz w:val="20"/>
          <w:szCs w:val="20"/>
        </w:rPr>
      </w:pPr>
      <w:r>
        <w:rPr>
          <w:rFonts w:ascii="宋体" w:hAnsi="宋体" w:hint="eastAsia"/>
          <w:color w:val="FF0000"/>
          <w:sz w:val="20"/>
          <w:szCs w:val="20"/>
        </w:rPr>
        <w:t>（五）与其他采购参加人串通投标的；</w:t>
      </w:r>
    </w:p>
    <w:p>
      <w:pPr>
        <w:ind w:firstLine="480" w:firstLineChars="200"/>
        <w:rPr>
          <w:rFonts w:ascii="宋体" w:hAnsi="宋体"/>
          <w:color w:val="FF0000"/>
          <w:sz w:val="20"/>
          <w:szCs w:val="20"/>
        </w:rPr>
      </w:pPr>
      <w:r>
        <w:rPr>
          <w:rFonts w:ascii="宋体" w:hAnsi="宋体" w:hint="eastAsia"/>
          <w:color w:val="FF0000"/>
          <w:sz w:val="20"/>
          <w:szCs w:val="20"/>
        </w:rPr>
        <w:t>（六）恶意投诉的；</w:t>
      </w:r>
    </w:p>
    <w:p>
      <w:pPr>
        <w:ind w:firstLine="480" w:firstLineChars="200"/>
        <w:rPr>
          <w:rFonts w:ascii="宋体" w:hAnsi="宋体"/>
          <w:color w:val="FF0000"/>
          <w:sz w:val="20"/>
          <w:szCs w:val="20"/>
        </w:rPr>
      </w:pPr>
      <w:r>
        <w:rPr>
          <w:rFonts w:ascii="宋体" w:hAnsi="宋体" w:hint="eastAsia"/>
          <w:color w:val="FF0000"/>
          <w:sz w:val="20"/>
          <w:szCs w:val="20"/>
        </w:rPr>
        <w:t>（七）向采购项目相关人行贿或者提供其他不当利益的；</w:t>
      </w:r>
    </w:p>
    <w:p>
      <w:pPr>
        <w:ind w:firstLine="480" w:firstLineChars="200"/>
        <w:rPr>
          <w:rFonts w:ascii="宋体" w:hAnsi="宋体"/>
          <w:color w:val="FF0000"/>
          <w:sz w:val="20"/>
          <w:szCs w:val="20"/>
        </w:rPr>
      </w:pPr>
      <w:r>
        <w:rPr>
          <w:rFonts w:ascii="宋体" w:hAnsi="宋体" w:hint="eastAsia"/>
          <w:color w:val="FF0000"/>
          <w:sz w:val="20"/>
          <w:szCs w:val="20"/>
        </w:rPr>
        <w:t>（八）阻碍、抗拒主管部门监督检查的；</w:t>
      </w:r>
    </w:p>
    <w:p>
      <w:pPr>
        <w:ind w:firstLine="480" w:firstLineChars="200"/>
        <w:rPr>
          <w:rFonts w:ascii="宋体" w:hAnsi="宋体"/>
          <w:color w:val="FF0000"/>
          <w:sz w:val="20"/>
          <w:szCs w:val="20"/>
        </w:rPr>
      </w:pPr>
      <w:r>
        <w:rPr>
          <w:rFonts w:ascii="宋体" w:hAnsi="宋体" w:hint="eastAsia"/>
          <w:color w:val="FF0000"/>
          <w:sz w:val="20"/>
          <w:szCs w:val="20"/>
        </w:rPr>
        <w:t>（九）其他违反本条例规定的行为。</w:t>
      </w:r>
    </w:p>
    <w:p>
      <w:pPr>
        <w:ind w:firstLine="480" w:firstLineChars="200"/>
        <w:rPr>
          <w:rFonts w:ascii="宋体" w:hAnsi="宋体"/>
          <w:color w:val="FF0000"/>
          <w:sz w:val="20"/>
          <w:szCs w:val="20"/>
        </w:rPr>
      </w:pPr>
      <w:r>
        <w:rPr>
          <w:rFonts w:ascii="宋体" w:hAnsi="宋体" w:hint="eastAsia"/>
          <w:color w:val="FF0000"/>
          <w:sz w:val="20"/>
          <w:szCs w:val="20"/>
        </w:rPr>
        <w:t>二、</w:t>
      </w:r>
      <w:r>
        <w:rPr>
          <w:rFonts w:ascii="宋体" w:hAnsi="宋体" w:hint="eastAsia"/>
          <w:b/>
          <w:bCs/>
          <w:color w:val="FF0000"/>
          <w:sz w:val="20"/>
          <w:szCs w:val="20"/>
        </w:rPr>
        <w:t>《深圳经济特区政府采购条例实施细则》第七十六条</w:t>
      </w:r>
      <w:r>
        <w:rPr>
          <w:rFonts w:ascii="宋体" w:hAnsi="宋体" w:hint="eastAsia"/>
          <w:color w:val="FF0000"/>
          <w:sz w:val="20"/>
          <w:szCs w:val="20"/>
        </w:rPr>
        <w:t xml:space="preserve"> 供应商有下列行为之一的，由主管部门记入供应商诚信档案并作出以下处罚：</w:t>
      </w:r>
    </w:p>
    <w:p>
      <w:pPr>
        <w:ind w:firstLine="480" w:firstLineChars="2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pPr>
        <w:ind w:firstLine="480" w:firstLineChars="2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pPr>
        <w:ind w:firstLine="480" w:firstLineChars="200"/>
        <w:rPr>
          <w:rFonts w:ascii="宋体" w:hAnsi="宋体"/>
          <w:color w:val="FF0000"/>
          <w:sz w:val="20"/>
          <w:szCs w:val="20"/>
        </w:rPr>
      </w:pPr>
      <w:r>
        <w:rPr>
          <w:rFonts w:ascii="宋体" w:hAnsi="宋体" w:hint="eastAsia"/>
          <w:b/>
          <w:bCs/>
          <w:color w:val="FF0000"/>
          <w:sz w:val="20"/>
          <w:szCs w:val="20"/>
        </w:rPr>
        <w:t>三、《深圳经济特区政府采购条例实施细则》第七十七条 </w:t>
      </w:r>
      <w:r>
        <w:rPr>
          <w:rFonts w:ascii="宋体" w:hAnsi="宋体" w:hint="eastAsia"/>
          <w:color w:val="FF0000"/>
          <w:sz w:val="20"/>
          <w:szCs w:val="20"/>
        </w:rPr>
        <w:t>供应商有下列行为之一的，属于情节严重，由市场监管部门依法吊销其营业执照，主管部门取消其参与本市政府采购的资格，并作出以下处罚：</w:t>
      </w:r>
    </w:p>
    <w:p>
      <w:pPr>
        <w:ind w:firstLine="480" w:firstLineChars="200"/>
        <w:rPr>
          <w:rFonts w:ascii="宋体" w:hAnsi="宋体"/>
          <w:color w:val="FF0000"/>
          <w:sz w:val="20"/>
          <w:szCs w:val="20"/>
        </w:rPr>
      </w:pPr>
      <w:r>
        <w:rPr>
          <w:rFonts w:ascii="宋体" w:hAnsi="宋体" w:hint="eastAsia"/>
          <w:color w:val="FF0000"/>
          <w:sz w:val="20"/>
          <w:szCs w:val="20"/>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十五的罚款；涉及的采购金额累计在两千万元以上的，处以采购金额千分之三十的罚款；</w:t>
      </w:r>
    </w:p>
    <w:p>
      <w:pPr>
        <w:ind w:firstLine="480" w:firstLineChars="200"/>
        <w:rPr>
          <w:rFonts w:ascii="宋体" w:hAnsi="宋体"/>
          <w:color w:val="FF0000"/>
          <w:sz w:val="20"/>
          <w:szCs w:val="20"/>
        </w:rPr>
      </w:pPr>
      <w:r>
        <w:rPr>
          <w:rFonts w:ascii="宋体" w:hAnsi="宋体" w:hint="eastAsia"/>
          <w:color w:val="FF0000"/>
          <w:sz w:val="20"/>
          <w:szCs w:val="20"/>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pPr>
        <w:ind w:firstLine="480" w:firstLineChars="200"/>
        <w:rPr>
          <w:rFonts w:ascii="宋体" w:hAnsi="宋体"/>
          <w:color w:val="FF0000"/>
          <w:sz w:val="20"/>
          <w:szCs w:val="20"/>
        </w:rPr>
      </w:pPr>
      <w:r>
        <w:rPr>
          <w:rFonts w:ascii="宋体" w:hAnsi="宋体" w:hint="eastAsia"/>
          <w:b/>
          <w:bCs/>
          <w:color w:val="FF0000"/>
          <w:sz w:val="20"/>
          <w:szCs w:val="20"/>
        </w:rPr>
        <w:t>四、《深圳经济特区政府采购条例实施细则》第七十九条 </w:t>
      </w:r>
      <w:r>
        <w:rPr>
          <w:rFonts w:ascii="宋体" w:hAnsi="宋体" w:hint="eastAsia"/>
          <w:color w:val="FF0000"/>
          <w:sz w:val="20"/>
          <w:szCs w:val="20"/>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pPr>
        <w:ind w:firstLine="480" w:firstLineChars="200"/>
        <w:rPr>
          <w:rFonts w:ascii="宋体" w:hAnsi="宋体"/>
          <w:color w:val="FF0000"/>
          <w:sz w:val="20"/>
          <w:szCs w:val="20"/>
        </w:rPr>
      </w:pPr>
      <w:r>
        <w:rPr>
          <w:rFonts w:ascii="宋体" w:hAnsi="宋体" w:hint="eastAsia"/>
          <w:b/>
          <w:bCs/>
          <w:color w:val="FF0000"/>
          <w:sz w:val="20"/>
          <w:szCs w:val="20"/>
        </w:rPr>
        <w:t>五、《深圳经济特区政府采购条例实施细则》第八十一条 </w:t>
      </w:r>
      <w:r>
        <w:rPr>
          <w:rFonts w:ascii="宋体" w:hAnsi="宋体" w:hint="eastAsia"/>
          <w:color w:val="FF0000"/>
          <w:sz w:val="20"/>
          <w:szCs w:val="20"/>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pPr>
        <w:rPr>
          <w:bCs/>
          <w:sz w:val="36"/>
          <w:szCs w:val="36"/>
        </w:rPr>
      </w:pPr>
      <w:r>
        <w:rPr>
          <w:rFonts w:ascii="宋体" w:hAnsi="宋体" w:hint="eastAsia"/>
          <w:color w:val="FF0000"/>
          <w:sz w:val="20"/>
          <w:szCs w:val="20"/>
        </w:rPr>
        <w:t>投标供应商不能提供项目负责人或者主要技术人员的劳动合同、社会保险等劳动关系证明材料的，视为存在前款第（三）项规定的情形。</w:t>
      </w:r>
      <w:bookmarkEnd w:id="0"/>
    </w:p>
    <w:p>
      <w:pPr>
        <w:rPr>
          <w:rFonts w:ascii="宋体" w:eastAsia="黑体" w:hAnsi="宋体"/>
          <w:b/>
          <w:bCs/>
          <w:kern w:val="44"/>
          <w:sz w:val="28"/>
          <w:szCs w:val="44"/>
        </w:rPr>
      </w:pPr>
      <w:r>
        <w:br w:type="page"/>
      </w:r>
    </w:p>
    <w:p>
      <w:pPr>
        <w:pStyle w:val="Heading1"/>
      </w:pPr>
      <w:r>
        <w:rPr>
          <w:rFonts w:hint="eastAsia"/>
        </w:rPr>
        <w:t>目录</w:t>
      </w:r>
    </w:p>
    <w:p>
      <w:pPr>
        <w:rPr>
          <w:b/>
        </w:rPr>
      </w:pPr>
      <w:r>
        <w:rPr>
          <w:rFonts w:hint="eastAsia"/>
        </w:rPr>
        <w:t>招标文件信息</w:t>
      </w:r>
    </w:p>
    <w:p>
      <w:pPr>
        <w:ind w:firstLine="120" w:firstLineChars="50"/>
        <w:rPr>
          <w:b/>
        </w:rPr>
      </w:pPr>
      <w:r>
        <w:rPr>
          <w:rFonts w:hint="eastAsia"/>
          <w:b/>
        </w:rPr>
        <w:t>第一册专用条款</w:t>
      </w:r>
    </w:p>
    <w:p>
      <w:pPr>
        <w:ind w:firstLine="120" w:firstLineChars="50"/>
      </w:pPr>
      <w:r>
        <w:rPr>
          <w:rFonts w:hint="eastAsia"/>
        </w:rPr>
        <w:t>第一章招标公告</w:t>
      </w:r>
    </w:p>
    <w:p>
      <w:pPr>
        <w:ind w:firstLine="120" w:firstLineChars="50"/>
      </w:pPr>
      <w:r>
        <w:rPr>
          <w:rFonts w:hint="eastAsia"/>
        </w:rPr>
        <w:t>第二章用户需求书</w:t>
      </w:r>
    </w:p>
    <w:p>
      <w:pPr>
        <w:ind w:firstLine="120" w:firstLineChars="50"/>
      </w:pPr>
      <w:r>
        <w:rPr>
          <w:rFonts w:hint="eastAsia"/>
        </w:rPr>
        <w:t>第三章投标文件的格式、附件</w:t>
      </w:r>
    </w:p>
    <w:p>
      <w:pPr>
        <w:ind w:firstLine="120" w:firstLineChars="50"/>
      </w:pPr>
      <w:r>
        <w:rPr>
          <w:rFonts w:hint="eastAsia"/>
        </w:rPr>
        <w:t>第四章政府采购合同的签订、履约及验收</w:t>
      </w:r>
    </w:p>
    <w:p>
      <w:pPr>
        <w:ind w:firstLine="120" w:firstLineChars="50"/>
        <w:rPr>
          <w:b/>
        </w:rPr>
      </w:pPr>
      <w:r>
        <w:rPr>
          <w:rFonts w:hint="eastAsia"/>
          <w:b/>
        </w:rPr>
        <w:t>第二册通用条款</w:t>
      </w:r>
    </w:p>
    <w:p>
      <w:pPr>
        <w:ind w:firstLine="120" w:firstLineChars="50"/>
      </w:pPr>
      <w:r>
        <w:rPr>
          <w:rFonts w:hint="eastAsia"/>
        </w:rPr>
        <w:t>第一章总则</w:t>
      </w:r>
    </w:p>
    <w:p>
      <w:pPr>
        <w:ind w:firstLine="120" w:firstLineChars="50"/>
      </w:pPr>
      <w:r>
        <w:rPr>
          <w:rFonts w:hint="eastAsia"/>
        </w:rPr>
        <w:t>第二章招标文件</w:t>
      </w:r>
    </w:p>
    <w:p>
      <w:pPr>
        <w:ind w:firstLine="120" w:firstLineChars="50"/>
      </w:pPr>
      <w:r>
        <w:rPr>
          <w:rFonts w:hint="eastAsia"/>
        </w:rPr>
        <w:t>第三章投标文件的编制</w:t>
      </w:r>
    </w:p>
    <w:p>
      <w:pPr>
        <w:ind w:firstLine="120" w:firstLineChars="50"/>
      </w:pPr>
      <w:r>
        <w:rPr>
          <w:rFonts w:hint="eastAsia"/>
        </w:rPr>
        <w:t>第四章投标文件的递交</w:t>
      </w:r>
    </w:p>
    <w:p>
      <w:pPr>
        <w:ind w:firstLine="120" w:firstLineChars="50"/>
      </w:pPr>
      <w:r>
        <w:rPr>
          <w:rFonts w:hint="eastAsia"/>
        </w:rPr>
        <w:t>第五章开标与评标</w:t>
      </w:r>
    </w:p>
    <w:p>
      <w:pPr>
        <w:ind w:firstLine="120" w:firstLineChars="50"/>
      </w:pPr>
      <w:r>
        <w:rPr>
          <w:rFonts w:hint="eastAsia"/>
        </w:rPr>
        <w:t>第六章定标及公示</w:t>
      </w:r>
    </w:p>
    <w:p>
      <w:pPr>
        <w:ind w:firstLine="120" w:firstLineChars="50"/>
      </w:pPr>
      <w:r>
        <w:rPr>
          <w:rFonts w:hint="eastAsia"/>
        </w:rPr>
        <w:t>第七章公开招标失败的后续处理</w:t>
      </w:r>
    </w:p>
    <w:p>
      <w:pPr>
        <w:ind w:firstLine="120" w:firstLineChars="50"/>
      </w:pPr>
      <w:r>
        <w:rPr>
          <w:rFonts w:hint="eastAsia"/>
        </w:rPr>
        <w:t>第八章授予合同</w:t>
      </w:r>
    </w:p>
    <w:p>
      <w:pPr>
        <w:ind w:firstLine="120" w:firstLineChars="50"/>
      </w:pPr>
      <w:r>
        <w:rPr>
          <w:rFonts w:hint="eastAsia"/>
        </w:rPr>
        <w:t>第九章质疑处理</w:t>
      </w:r>
    </w:p>
    <w:p/>
    <w:p>
      <w:pPr>
        <w:rPr>
          <w:color w:val="000000"/>
        </w:rPr>
      </w:pPr>
      <w:bookmarkStart w:id="1" w:name="bt投标人须知"/>
      <w:bookmarkEnd w:id="1"/>
      <w:bookmarkStart w:id="2" w:name="bt说明"/>
      <w:bookmarkEnd w:id="2"/>
      <w:r>
        <w:rPr>
          <w:rFonts w:ascii="宋体" w:hAnsi="宋体" w:hint="eastAsia"/>
          <w:b/>
          <w:szCs w:val="21"/>
        </w:rPr>
        <w:t>备注：专用条款与通用条款内容有冲突的，以专用条款为准</w:t>
      </w:r>
    </w:p>
    <w:p>
      <w:pPr>
        <w:rPr>
          <w:color w:val="000000"/>
        </w:rPr>
      </w:pPr>
    </w:p>
    <w:p>
      <w:pPr>
        <w:rPr>
          <w:rFonts w:ascii="Verdana" w:eastAsia="仿宋_GB2312" w:hAnsi="Verdana"/>
          <w:szCs w:val="20"/>
        </w:rPr>
      </w:pPr>
      <w:r>
        <w:rPr>
          <w:rFonts w:ascii="Verdana" w:eastAsia="仿宋_GB2312" w:hAnsi="Verdana"/>
          <w:szCs w:val="20"/>
        </w:rPr>
        <w:br w:type="page"/>
      </w:r>
    </w:p>
    <w:p>
      <w:pPr>
        <w:pStyle w:val="Heading2"/>
        <w:keepNext/>
        <w:keepLines/>
        <w:tabs>
          <w:tab w:val="left" w:pos="720"/>
        </w:tabs>
        <w:spacing w:before="120" w:beforeLines="50" w:after="120" w:afterLines="50"/>
        <w:ind w:firstLine="2736" w:firstLineChars="1140"/>
        <w:jc w:val="left"/>
        <w:rPr>
          <w:rFonts w:ascii="黑体" w:eastAsia="黑体" w:hAnsi="黑体"/>
          <w:b/>
          <w:sz w:val="28"/>
          <w:szCs w:val="28"/>
        </w:rPr>
      </w:pPr>
      <w:r>
        <w:rPr>
          <w:rFonts w:ascii="黑体" w:eastAsia="黑体" w:hAnsi="黑体" w:hint="eastAsia"/>
          <w:b/>
          <w:sz w:val="28"/>
          <w:szCs w:val="28"/>
        </w:rPr>
        <w:t>第一册  专用条款</w:t>
      </w:r>
    </w:p>
    <w:p>
      <w:pPr>
        <w:pStyle w:val="Heading2"/>
        <w:keepNext/>
        <w:keepLines/>
        <w:spacing w:before="260" w:after="260"/>
        <w:rPr>
          <w:rFonts w:ascii="宋体" w:hAnsi="宋体"/>
          <w:b/>
          <w:sz w:val="28"/>
          <w:szCs w:val="28"/>
        </w:rPr>
      </w:pPr>
      <w:r>
        <w:rPr>
          <w:rFonts w:ascii="宋体" w:hAnsi="宋体" w:hint="eastAsia"/>
          <w:b/>
        </w:rPr>
        <w:t>第一章  招标公告</w:t>
      </w:r>
    </w:p>
    <w:p>
      <w:pPr>
        <w:spacing w:line="360" w:lineRule="auto"/>
        <w:rPr>
          <w:rFonts w:asciiTheme="minorEastAsia" w:hAnsiTheme="minorEastAsia"/>
        </w:rPr>
      </w:pPr>
      <w:r>
        <w:rPr>
          <w:rFonts w:asciiTheme="minorEastAsia" w:hAnsiTheme="minorEastAsia" w:hint="eastAsia"/>
          <w:lang w:eastAsia="zh-CN"/>
        </w:rPr>
        <w:t>光明区区属市政道路病媒生物防制（“四害”消杀）服务</w:t>
      </w:r>
      <w:r>
        <w:rPr>
          <w:rFonts w:asciiTheme="minorEastAsia" w:hAnsiTheme="minorEastAsia" w:hint="eastAsia"/>
        </w:rPr>
        <w:t>招标项目的潜在投标人应在（本公告附件中）获取招标文件，并于2022年</w:t>
      </w:r>
      <w:r>
        <w:rPr>
          <w:rFonts w:asciiTheme="minorEastAsia" w:hAnsiTheme="minorEastAsia" w:hint="eastAsia"/>
          <w:lang w:val="en-US" w:eastAsia="zh-CN"/>
        </w:rPr>
        <w:t>9</w:t>
      </w:r>
      <w:r>
        <w:rPr>
          <w:rFonts w:asciiTheme="minorEastAsia" w:hAnsiTheme="minorEastAsia" w:hint="eastAsia"/>
        </w:rPr>
        <w:t>月</w:t>
      </w:r>
      <w:r>
        <w:rPr>
          <w:rFonts w:asciiTheme="minorEastAsia" w:hAnsiTheme="minorEastAsia" w:hint="eastAsia"/>
          <w:lang w:val="en-US" w:eastAsia="zh-CN"/>
        </w:rPr>
        <w:t>19</w:t>
      </w:r>
      <w:r>
        <w:rPr>
          <w:rFonts w:asciiTheme="minorEastAsia" w:hAnsiTheme="minorEastAsia" w:hint="eastAsia"/>
        </w:rPr>
        <w:t>日</w:t>
      </w:r>
      <w:r>
        <w:rPr>
          <w:rFonts w:asciiTheme="minorEastAsia" w:hAnsiTheme="minorEastAsia" w:hint="eastAsia"/>
          <w:lang w:val="en-US" w:eastAsia="zh-CN"/>
        </w:rPr>
        <w:t>13</w:t>
      </w:r>
      <w:r>
        <w:rPr>
          <w:rFonts w:asciiTheme="minorEastAsia" w:hAnsiTheme="minorEastAsia" w:hint="eastAsia"/>
        </w:rPr>
        <w:t>:30（北京时间）前递交投标文件。</w:t>
      </w:r>
    </w:p>
    <w:p>
      <w:pPr>
        <w:spacing w:line="360" w:lineRule="auto"/>
        <w:rPr>
          <w:rFonts w:asciiTheme="minorEastAsia" w:hAnsiTheme="minorEastAsia"/>
          <w:b/>
        </w:rPr>
      </w:pPr>
      <w:r>
        <w:rPr>
          <w:rFonts w:asciiTheme="minorEastAsia" w:hAnsiTheme="minorEastAsia" w:hint="eastAsia"/>
          <w:b/>
        </w:rPr>
        <w:t>一、项目基本情况：</w:t>
      </w:r>
    </w:p>
    <w:p>
      <w:pPr>
        <w:spacing w:line="360" w:lineRule="auto"/>
        <w:rPr>
          <w:rFonts w:asciiTheme="minorEastAsia" w:eastAsiaTheme="minorEastAsia" w:hAnsiTheme="minorEastAsia" w:hint="eastAsia"/>
          <w:lang w:eastAsia="zh-CN"/>
        </w:rPr>
      </w:pPr>
      <w:r>
        <w:rPr>
          <w:rFonts w:asciiTheme="minorEastAsia" w:hAnsiTheme="minorEastAsia" w:hint="eastAsia"/>
        </w:rPr>
        <w:t>1.项目编号：GMDL2022000130</w:t>
      </w:r>
    </w:p>
    <w:p>
      <w:pPr>
        <w:spacing w:line="360" w:lineRule="auto"/>
        <w:rPr>
          <w:rFonts w:asciiTheme="minorEastAsia" w:eastAsiaTheme="minorEastAsia" w:hAnsiTheme="minorEastAsia" w:hint="eastAsia"/>
          <w:lang w:eastAsia="zh-CN"/>
        </w:rPr>
      </w:pPr>
      <w:r>
        <w:rPr>
          <w:rFonts w:asciiTheme="minorEastAsia" w:hAnsiTheme="minorEastAsia" w:hint="eastAsia"/>
        </w:rPr>
        <w:t>2.项目名称：</w:t>
      </w:r>
      <w:r>
        <w:rPr>
          <w:rFonts w:asciiTheme="minorEastAsia" w:hAnsiTheme="minorEastAsia" w:hint="eastAsia"/>
          <w:lang w:eastAsia="zh-CN"/>
        </w:rPr>
        <w:t>光明区区属市政道路病媒生物防制（“四害”消杀）服务</w:t>
      </w:r>
    </w:p>
    <w:p>
      <w:pPr>
        <w:spacing w:line="360" w:lineRule="auto"/>
        <w:rPr>
          <w:rFonts w:asciiTheme="minorEastAsia" w:eastAsiaTheme="minorEastAsia" w:hAnsiTheme="minorEastAsia" w:hint="default"/>
          <w:color w:val="FF0000"/>
          <w:lang w:val="en-US" w:eastAsia="zh-CN"/>
        </w:rPr>
      </w:pPr>
      <w:r>
        <w:rPr>
          <w:rFonts w:asciiTheme="minorEastAsia" w:hAnsiTheme="minorEastAsia" w:hint="eastAsia"/>
        </w:rPr>
        <w:t>3.预算金额（单位：元）：</w:t>
      </w:r>
      <w:r>
        <w:rPr>
          <w:rFonts w:asciiTheme="minorEastAsia" w:hAnsiTheme="minorEastAsia" w:hint="eastAsia"/>
          <w:color w:val="FF0000"/>
        </w:rPr>
        <w:t>1</w:t>
      </w:r>
      <w:r>
        <w:rPr>
          <w:rFonts w:asciiTheme="minorEastAsia" w:hAnsiTheme="minorEastAsia" w:hint="eastAsia"/>
          <w:color w:val="FF0000"/>
          <w:lang w:val="en-US" w:eastAsia="zh-CN"/>
        </w:rPr>
        <w:t>,</w:t>
      </w:r>
      <w:r>
        <w:rPr>
          <w:rFonts w:asciiTheme="minorEastAsia" w:hAnsiTheme="minorEastAsia" w:hint="eastAsia"/>
          <w:color w:val="FF0000"/>
        </w:rPr>
        <w:t>8</w:t>
      </w:r>
      <w:r>
        <w:rPr>
          <w:rFonts w:asciiTheme="minorEastAsia" w:hAnsiTheme="minorEastAsia" w:hint="eastAsia"/>
          <w:color w:val="FF0000"/>
          <w:lang w:val="en-US" w:eastAsia="zh-CN"/>
        </w:rPr>
        <w:t>45,100.00</w:t>
      </w:r>
    </w:p>
    <w:p>
      <w:pPr>
        <w:spacing w:line="360" w:lineRule="auto"/>
        <w:rPr>
          <w:rFonts w:asciiTheme="minorEastAsia" w:hAnsiTheme="minorEastAsia"/>
          <w:color w:val="FF0000"/>
        </w:rPr>
      </w:pPr>
      <w:r>
        <w:rPr>
          <w:rFonts w:asciiTheme="minorEastAsia" w:hAnsiTheme="minorEastAsia" w:hint="eastAsia"/>
          <w:color w:val="FF0000"/>
        </w:rPr>
        <w:t>4.最高限价（单位：元）：1</w:t>
      </w:r>
      <w:r>
        <w:rPr>
          <w:rFonts w:asciiTheme="minorEastAsia" w:hAnsiTheme="minorEastAsia" w:hint="eastAsia"/>
          <w:color w:val="FF0000"/>
          <w:lang w:val="en-US" w:eastAsia="zh-CN"/>
        </w:rPr>
        <w:t>,</w:t>
      </w:r>
      <w:r>
        <w:rPr>
          <w:rFonts w:asciiTheme="minorEastAsia" w:hAnsiTheme="minorEastAsia" w:hint="eastAsia"/>
          <w:color w:val="FF0000"/>
        </w:rPr>
        <w:t>8</w:t>
      </w:r>
      <w:r>
        <w:rPr>
          <w:rFonts w:asciiTheme="minorEastAsia" w:hAnsiTheme="minorEastAsia" w:hint="eastAsia"/>
          <w:color w:val="FF0000"/>
          <w:lang w:val="en-US" w:eastAsia="zh-CN"/>
        </w:rPr>
        <w:t>45,100.00</w:t>
      </w:r>
    </w:p>
    <w:p>
      <w:pPr>
        <w:spacing w:line="360" w:lineRule="auto"/>
        <w:rPr>
          <w:rFonts w:asciiTheme="minorEastAsia" w:hAnsiTheme="minorEastAsia"/>
        </w:rPr>
      </w:pPr>
      <w:r>
        <w:rPr>
          <w:rFonts w:asciiTheme="minorEastAsia" w:hAnsiTheme="minorEastAsia" w:hint="eastAsia"/>
        </w:rPr>
        <w:t>5.采购需求：</w:t>
      </w:r>
    </w:p>
    <w:tbl>
      <w:tblPr>
        <w:tblStyle w:val="TableNormal"/>
        <w:tblW w:w="8355" w:type="dxa"/>
        <w:tblInd w:w="10" w:type="dxa"/>
        <w:tblBorders>
          <w:top w:val="outset" w:sz="6" w:space="0" w:color="auto"/>
          <w:left w:val="outset" w:sz="6" w:space="0" w:color="auto"/>
          <w:bottom w:val="outset" w:sz="6" w:space="0" w:color="auto"/>
          <w:right w:val="outset" w:sz="6" w:space="0" w:color="auto"/>
          <w:insideH w:val="nil"/>
          <w:insideV w:val="nil"/>
        </w:tblBorders>
        <w:tblLayout w:type="fixed"/>
        <w:tblCellMar>
          <w:top w:w="0" w:type="dxa"/>
          <w:left w:w="0" w:type="dxa"/>
          <w:bottom w:w="0" w:type="dxa"/>
          <w:right w:w="0" w:type="dxa"/>
        </w:tblCellMar>
      </w:tblPr>
      <w:tblGrid>
        <w:gridCol w:w="2853"/>
        <w:gridCol w:w="992"/>
        <w:gridCol w:w="991"/>
        <w:gridCol w:w="2399"/>
        <w:gridCol w:w="1120"/>
      </w:tblGrid>
      <w:tr>
        <w:tblPrEx>
          <w:tblW w:w="8355" w:type="dxa"/>
          <w:tblInd w:w="10" w:type="dxa"/>
          <w:tblBorders>
            <w:top w:val="outset" w:sz="6" w:space="0" w:color="auto"/>
            <w:left w:val="outset" w:sz="6" w:space="0" w:color="auto"/>
            <w:bottom w:val="outset" w:sz="6" w:space="0" w:color="auto"/>
            <w:right w:val="outset" w:sz="6" w:space="0" w:color="auto"/>
            <w:insideH w:val="nil"/>
            <w:insideV w:val="nil"/>
          </w:tblBorders>
          <w:tblLayout w:type="fixed"/>
          <w:tblCellMar>
            <w:top w:w="0" w:type="dxa"/>
            <w:left w:w="0" w:type="dxa"/>
            <w:bottom w:w="0" w:type="dxa"/>
            <w:right w:w="0" w:type="dxa"/>
          </w:tblCellMar>
        </w:tblPrEx>
        <w:tc>
          <w:tcPr>
            <w:tcW w:w="2853" w:type="dxa"/>
            <w:tcBorders>
              <w:top w:val="single" w:sz="8" w:space="0" w:color="auto"/>
              <w:left w:val="single" w:sz="8" w:space="0" w:color="auto"/>
              <w:bottom w:val="outset" w:sz="8" w:space="0" w:color="auto"/>
              <w:right w:val="outset" w:sz="8" w:space="0" w:color="auto"/>
            </w:tcBorders>
            <w:tcMar>
              <w:top w:w="15" w:type="dxa"/>
              <w:left w:w="15" w:type="dxa"/>
              <w:bottom w:w="15" w:type="dxa"/>
              <w:right w:w="15" w:type="dxa"/>
            </w:tcMar>
            <w:vAlign w:val="center"/>
          </w:tcPr>
          <w:p>
            <w:pPr>
              <w:spacing w:line="360" w:lineRule="auto"/>
              <w:jc w:val="center"/>
              <w:rPr>
                <w:rFonts w:asciiTheme="minorEastAsia" w:hAnsiTheme="minorEastAsia"/>
                <w:b/>
              </w:rPr>
            </w:pPr>
            <w:r>
              <w:rPr>
                <w:rFonts w:asciiTheme="minorEastAsia" w:hAnsiTheme="minorEastAsia" w:hint="eastAsia"/>
                <w:b/>
              </w:rPr>
              <w:t>标的名称</w:t>
            </w:r>
          </w:p>
        </w:tc>
        <w:tc>
          <w:tcPr>
            <w:tcW w:w="992" w:type="dxa"/>
            <w:tcBorders>
              <w:top w:val="single" w:sz="8" w:space="0" w:color="auto"/>
              <w:left w:val="outset" w:sz="8" w:space="0" w:color="auto"/>
              <w:bottom w:val="outset" w:sz="8" w:space="0" w:color="auto"/>
              <w:right w:val="outset" w:sz="8" w:space="0" w:color="auto"/>
            </w:tcBorders>
            <w:tcMar>
              <w:top w:w="15" w:type="dxa"/>
              <w:left w:w="15" w:type="dxa"/>
              <w:bottom w:w="15" w:type="dxa"/>
              <w:right w:w="15" w:type="dxa"/>
            </w:tcMar>
            <w:vAlign w:val="center"/>
          </w:tcPr>
          <w:p>
            <w:pPr>
              <w:spacing w:line="360" w:lineRule="auto"/>
              <w:jc w:val="center"/>
              <w:rPr>
                <w:rFonts w:asciiTheme="minorEastAsia" w:hAnsiTheme="minorEastAsia"/>
                <w:b/>
              </w:rPr>
            </w:pPr>
            <w:r>
              <w:rPr>
                <w:rFonts w:asciiTheme="minorEastAsia" w:hAnsiTheme="minorEastAsia" w:hint="eastAsia"/>
                <w:b/>
              </w:rPr>
              <w:t>数量</w:t>
            </w:r>
          </w:p>
        </w:tc>
        <w:tc>
          <w:tcPr>
            <w:tcW w:w="991" w:type="dxa"/>
            <w:tcBorders>
              <w:top w:val="single" w:sz="8" w:space="0" w:color="auto"/>
              <w:left w:val="outset" w:sz="8" w:space="0" w:color="auto"/>
              <w:bottom w:val="outset" w:sz="8" w:space="0" w:color="auto"/>
              <w:right w:val="outset" w:sz="8" w:space="0" w:color="auto"/>
            </w:tcBorders>
            <w:tcMar>
              <w:top w:w="15" w:type="dxa"/>
              <w:left w:w="15" w:type="dxa"/>
              <w:bottom w:w="15" w:type="dxa"/>
              <w:right w:w="15" w:type="dxa"/>
            </w:tcMar>
            <w:vAlign w:val="center"/>
          </w:tcPr>
          <w:p>
            <w:pPr>
              <w:spacing w:line="360" w:lineRule="auto"/>
              <w:jc w:val="center"/>
              <w:rPr>
                <w:rFonts w:asciiTheme="minorEastAsia" w:hAnsiTheme="minorEastAsia"/>
                <w:b/>
              </w:rPr>
            </w:pPr>
            <w:r>
              <w:rPr>
                <w:rFonts w:asciiTheme="minorEastAsia" w:hAnsiTheme="minorEastAsia" w:hint="eastAsia"/>
                <w:b/>
              </w:rPr>
              <w:t>单位</w:t>
            </w:r>
          </w:p>
        </w:tc>
        <w:tc>
          <w:tcPr>
            <w:tcW w:w="2399" w:type="dxa"/>
            <w:tcBorders>
              <w:top w:val="single" w:sz="8" w:space="0" w:color="auto"/>
              <w:left w:val="outset" w:sz="8" w:space="0" w:color="auto"/>
              <w:bottom w:val="outset" w:sz="8" w:space="0" w:color="auto"/>
              <w:right w:val="outset" w:sz="8" w:space="0" w:color="auto"/>
            </w:tcBorders>
            <w:tcMar>
              <w:top w:w="15" w:type="dxa"/>
              <w:left w:w="15" w:type="dxa"/>
              <w:bottom w:w="15" w:type="dxa"/>
              <w:right w:w="15" w:type="dxa"/>
            </w:tcMar>
            <w:vAlign w:val="center"/>
          </w:tcPr>
          <w:p>
            <w:pPr>
              <w:spacing w:line="360" w:lineRule="auto"/>
              <w:jc w:val="center"/>
              <w:rPr>
                <w:rFonts w:asciiTheme="minorEastAsia" w:hAnsiTheme="minorEastAsia"/>
                <w:b/>
              </w:rPr>
            </w:pPr>
            <w:r>
              <w:rPr>
                <w:rFonts w:asciiTheme="minorEastAsia" w:hAnsiTheme="minorEastAsia" w:hint="eastAsia"/>
                <w:b/>
              </w:rPr>
              <w:t>简要技术需求（服务需求）</w:t>
            </w:r>
          </w:p>
        </w:tc>
        <w:tc>
          <w:tcPr>
            <w:tcW w:w="1120" w:type="dxa"/>
            <w:tcBorders>
              <w:top w:val="single" w:sz="8" w:space="0" w:color="auto"/>
              <w:left w:val="outset" w:sz="8" w:space="0" w:color="auto"/>
              <w:bottom w:val="outset" w:sz="8" w:space="0" w:color="auto"/>
              <w:right w:val="single" w:sz="8" w:space="0" w:color="auto"/>
            </w:tcBorders>
            <w:tcMar>
              <w:top w:w="15" w:type="dxa"/>
              <w:left w:w="15" w:type="dxa"/>
              <w:bottom w:w="15" w:type="dxa"/>
              <w:right w:w="15" w:type="dxa"/>
            </w:tcMar>
            <w:vAlign w:val="center"/>
          </w:tcPr>
          <w:p>
            <w:pPr>
              <w:spacing w:line="360" w:lineRule="auto"/>
              <w:jc w:val="center"/>
              <w:rPr>
                <w:rFonts w:asciiTheme="minorEastAsia" w:hAnsiTheme="minorEastAsia"/>
                <w:b/>
              </w:rPr>
            </w:pPr>
            <w:r>
              <w:rPr>
                <w:rFonts w:asciiTheme="minorEastAsia" w:hAnsiTheme="minorEastAsia" w:hint="eastAsia"/>
                <w:b/>
              </w:rPr>
              <w:t>备注</w:t>
            </w:r>
          </w:p>
        </w:tc>
      </w:tr>
      <w:tr>
        <w:tblPrEx>
          <w:tblW w:w="8355" w:type="dxa"/>
          <w:tblInd w:w="10" w:type="dxa"/>
          <w:tblLayout w:type="fixed"/>
          <w:tblCellMar>
            <w:top w:w="0" w:type="dxa"/>
            <w:left w:w="0" w:type="dxa"/>
            <w:bottom w:w="0" w:type="dxa"/>
            <w:right w:w="0" w:type="dxa"/>
          </w:tblCellMar>
        </w:tblPrEx>
        <w:tc>
          <w:tcPr>
            <w:tcW w:w="2853" w:type="dxa"/>
            <w:tcBorders>
              <w:top w:val="outset" w:sz="8" w:space="0" w:color="auto"/>
              <w:left w:val="single" w:sz="8" w:space="0" w:color="auto"/>
              <w:bottom w:val="single" w:sz="8" w:space="0" w:color="auto"/>
              <w:right w:val="outset" w:sz="8" w:space="0" w:color="auto"/>
            </w:tcBorders>
            <w:tcMar>
              <w:top w:w="15" w:type="dxa"/>
              <w:left w:w="15" w:type="dxa"/>
              <w:bottom w:w="15" w:type="dxa"/>
              <w:right w:w="15" w:type="dxa"/>
            </w:tcMar>
            <w:vAlign w:val="center"/>
          </w:tcPr>
          <w:p>
            <w:pPr>
              <w:spacing w:line="360" w:lineRule="auto"/>
              <w:jc w:val="center"/>
              <w:rPr>
                <w:rFonts w:asciiTheme="minorEastAsia" w:eastAsiaTheme="minorEastAsia" w:hAnsiTheme="minorEastAsia" w:hint="eastAsia"/>
                <w:lang w:eastAsia="zh-CN"/>
              </w:rPr>
            </w:pPr>
            <w:r>
              <w:rPr>
                <w:rFonts w:asciiTheme="minorEastAsia" w:hAnsiTheme="minorEastAsia" w:hint="eastAsia"/>
                <w:lang w:eastAsia="zh-CN"/>
              </w:rPr>
              <w:t>光明区区属市政道路病媒生物防制（“四害”消杀）服务</w:t>
            </w:r>
          </w:p>
        </w:tc>
        <w:tc>
          <w:tcPr>
            <w:tcW w:w="992" w:type="dxa"/>
            <w:tcBorders>
              <w:top w:val="outset" w:sz="8" w:space="0" w:color="auto"/>
              <w:left w:val="outset" w:sz="8" w:space="0" w:color="auto"/>
              <w:bottom w:val="single" w:sz="8" w:space="0" w:color="auto"/>
              <w:right w:val="outset" w:sz="8" w:space="0" w:color="auto"/>
            </w:tcBorders>
            <w:tcMar>
              <w:top w:w="15" w:type="dxa"/>
              <w:left w:w="15" w:type="dxa"/>
              <w:bottom w:w="15" w:type="dxa"/>
              <w:right w:w="15" w:type="dxa"/>
            </w:tcMar>
            <w:vAlign w:val="center"/>
          </w:tcPr>
          <w:p>
            <w:pPr>
              <w:spacing w:line="360" w:lineRule="auto"/>
              <w:jc w:val="center"/>
              <w:rPr>
                <w:rFonts w:asciiTheme="minorEastAsia" w:hAnsiTheme="minorEastAsia"/>
              </w:rPr>
            </w:pPr>
            <w:r>
              <w:rPr>
                <w:rFonts w:asciiTheme="minorEastAsia" w:hAnsiTheme="minorEastAsia" w:hint="eastAsia"/>
              </w:rPr>
              <w:t>1</w:t>
            </w:r>
          </w:p>
        </w:tc>
        <w:tc>
          <w:tcPr>
            <w:tcW w:w="991" w:type="dxa"/>
            <w:tcBorders>
              <w:top w:val="outset" w:sz="8" w:space="0" w:color="auto"/>
              <w:left w:val="outset" w:sz="8" w:space="0" w:color="auto"/>
              <w:bottom w:val="single" w:sz="8" w:space="0" w:color="auto"/>
              <w:right w:val="outset" w:sz="8" w:space="0" w:color="auto"/>
            </w:tcBorders>
            <w:tcMar>
              <w:top w:w="15" w:type="dxa"/>
              <w:left w:w="15" w:type="dxa"/>
              <w:bottom w:w="15" w:type="dxa"/>
              <w:right w:w="15" w:type="dxa"/>
            </w:tcMar>
            <w:vAlign w:val="center"/>
          </w:tcPr>
          <w:p>
            <w:pPr>
              <w:spacing w:line="360" w:lineRule="auto"/>
              <w:jc w:val="center"/>
              <w:rPr>
                <w:rFonts w:asciiTheme="minorEastAsia" w:hAnsiTheme="minorEastAsia"/>
              </w:rPr>
            </w:pPr>
            <w:r>
              <w:rPr>
                <w:rFonts w:asciiTheme="minorEastAsia" w:hAnsiTheme="minorEastAsia" w:hint="eastAsia"/>
              </w:rPr>
              <w:t>项</w:t>
            </w:r>
          </w:p>
        </w:tc>
        <w:tc>
          <w:tcPr>
            <w:tcW w:w="2399" w:type="dxa"/>
            <w:tcBorders>
              <w:top w:val="outset" w:sz="8" w:space="0" w:color="auto"/>
              <w:left w:val="outset" w:sz="8" w:space="0" w:color="auto"/>
              <w:bottom w:val="single" w:sz="8" w:space="0" w:color="auto"/>
              <w:right w:val="outset" w:sz="8" w:space="0" w:color="auto"/>
            </w:tcBorders>
            <w:tcMar>
              <w:top w:w="15" w:type="dxa"/>
              <w:left w:w="15" w:type="dxa"/>
              <w:bottom w:w="15" w:type="dxa"/>
              <w:right w:w="15" w:type="dxa"/>
            </w:tcMar>
            <w:vAlign w:val="center"/>
          </w:tcPr>
          <w:p>
            <w:pPr>
              <w:spacing w:line="360" w:lineRule="auto"/>
              <w:jc w:val="center"/>
              <w:rPr>
                <w:rFonts w:asciiTheme="minorEastAsia" w:hAnsiTheme="minorEastAsia"/>
              </w:rPr>
            </w:pPr>
            <w:r>
              <w:rPr>
                <w:rFonts w:asciiTheme="minorEastAsia" w:hAnsiTheme="minorEastAsia" w:hint="eastAsia"/>
              </w:rPr>
              <w:t>详见招标文件</w:t>
            </w:r>
          </w:p>
        </w:tc>
        <w:tc>
          <w:tcPr>
            <w:tcW w:w="1120" w:type="dxa"/>
            <w:tcBorders>
              <w:top w:val="outset" w:sz="8" w:space="0" w:color="auto"/>
              <w:left w:val="outset" w:sz="8" w:space="0" w:color="auto"/>
              <w:bottom w:val="single" w:sz="8" w:space="0" w:color="auto"/>
              <w:right w:val="single" w:sz="8" w:space="0" w:color="auto"/>
            </w:tcBorders>
            <w:tcMar>
              <w:top w:w="15" w:type="dxa"/>
              <w:left w:w="15" w:type="dxa"/>
              <w:bottom w:w="15" w:type="dxa"/>
              <w:right w:w="15" w:type="dxa"/>
            </w:tcMar>
            <w:vAlign w:val="center"/>
          </w:tcPr>
          <w:p>
            <w:pPr>
              <w:spacing w:line="360" w:lineRule="auto"/>
              <w:jc w:val="center"/>
              <w:rPr>
                <w:rFonts w:asciiTheme="minorEastAsia" w:hAnsiTheme="minorEastAsia"/>
              </w:rPr>
            </w:pPr>
          </w:p>
        </w:tc>
      </w:tr>
    </w:tbl>
    <w:p>
      <w:pPr>
        <w:spacing w:line="360" w:lineRule="auto"/>
        <w:rPr>
          <w:rFonts w:asciiTheme="minorEastAsia" w:hAnsiTheme="minorEastAsia"/>
        </w:rPr>
      </w:pPr>
      <w:r>
        <w:rPr>
          <w:rFonts w:asciiTheme="minorEastAsia" w:hAnsiTheme="minorEastAsia" w:hint="eastAsia"/>
        </w:rPr>
        <w:t>6.合同履行期限：详见招标文件用户需求书。</w:t>
      </w:r>
    </w:p>
    <w:p>
      <w:pPr>
        <w:spacing w:line="360" w:lineRule="auto"/>
        <w:rPr>
          <w:rFonts w:asciiTheme="minorEastAsia" w:hAnsiTheme="minorEastAsia"/>
        </w:rPr>
      </w:pPr>
      <w:r>
        <w:rPr>
          <w:rFonts w:asciiTheme="minorEastAsia" w:hAnsiTheme="minorEastAsia" w:hint="eastAsia"/>
        </w:rPr>
        <w:t>7.本项目不接受联合体投标，详见“申请人的资格要求”。</w:t>
      </w:r>
    </w:p>
    <w:p>
      <w:pPr>
        <w:spacing w:line="360" w:lineRule="auto"/>
        <w:rPr>
          <w:rFonts w:asciiTheme="minorEastAsia" w:hAnsiTheme="minorEastAsia"/>
          <w:b/>
        </w:rPr>
      </w:pPr>
      <w:r>
        <w:rPr>
          <w:rFonts w:asciiTheme="minorEastAsia" w:hAnsiTheme="minorEastAsia" w:hint="eastAsia"/>
          <w:b/>
        </w:rPr>
        <w:t>二、申请人的资格要求：</w:t>
      </w:r>
    </w:p>
    <w:p>
      <w:pPr>
        <w:spacing w:line="360" w:lineRule="auto"/>
        <w:rPr>
          <w:rFonts w:asciiTheme="minorEastAsia" w:hAnsiTheme="minorEastAsia"/>
        </w:rPr>
      </w:pPr>
      <w:r>
        <w:rPr>
          <w:rFonts w:asciiTheme="minorEastAsia" w:hAnsiTheme="minorEastAsia" w:hint="eastAsia"/>
        </w:rPr>
        <w:t>1.满足《中华人民共和国政府采购法》第二十二条规定（由供应商在“政府采购投标及履约承诺函”中作出声明，提供“政府采购投标及履约承诺函”，政府采购投标及履约承诺函格式详见招标文件“投标文件的格式、附件”）；</w:t>
      </w:r>
    </w:p>
    <w:p>
      <w:pPr>
        <w:spacing w:line="360" w:lineRule="auto"/>
        <w:rPr>
          <w:rFonts w:asciiTheme="minorEastAsia" w:hAnsiTheme="minorEastAsia"/>
        </w:rPr>
      </w:pPr>
      <w:r>
        <w:rPr>
          <w:rFonts w:asciiTheme="minorEastAsia" w:hAnsiTheme="minorEastAsia" w:hint="eastAsia"/>
        </w:rPr>
        <w:t>2.落实政府采购政策需满足的资格要求：无；</w:t>
      </w:r>
    </w:p>
    <w:p>
      <w:pPr>
        <w:spacing w:line="360" w:lineRule="auto"/>
        <w:rPr>
          <w:rFonts w:asciiTheme="minorEastAsia" w:hAnsiTheme="minorEastAsia"/>
        </w:rPr>
      </w:pPr>
      <w:r>
        <w:rPr>
          <w:rFonts w:asciiTheme="minorEastAsia" w:hAnsiTheme="minorEastAsia" w:hint="eastAsia"/>
        </w:rPr>
        <w:t>3.本项目的特定资格要求：</w:t>
      </w:r>
    </w:p>
    <w:p>
      <w:pPr>
        <w:spacing w:line="360" w:lineRule="auto"/>
        <w:rPr>
          <w:rFonts w:asciiTheme="minorEastAsia" w:hAnsiTheme="minorEastAsia"/>
        </w:rPr>
      </w:pPr>
      <w:r>
        <w:rPr>
          <w:rFonts w:asciiTheme="minorEastAsia" w:hAnsiTheme="minorEastAsia" w:hint="eastAsia"/>
        </w:rPr>
        <w:t>（1）投标人须是在中华人民共和国境内注册，具有独立法人资格或是具有独立承担民事责任的能力的其它组织（提供营业执照扫描件或事业单位法人证等法人证明扫描件，原件备查）；总公司或者分公司只允许一家投标，不允许同时参与本项目投标，以分公司名义参与投标的，须提供总公司或具有独立法人的上一级公司出具的愿为其参与本项目投标的行为以及履约等行为承担民事责任的加盖总公司公章的授权函，以及提供总、分公司的营业执照扫描件，原件备查；</w:t>
      </w:r>
    </w:p>
    <w:p>
      <w:pPr>
        <w:spacing w:line="360" w:lineRule="auto"/>
        <w:rPr>
          <w:rFonts w:asciiTheme="minorEastAsia" w:hAnsiTheme="minorEastAsia"/>
        </w:rPr>
      </w:pPr>
      <w:r>
        <w:rPr>
          <w:rFonts w:asciiTheme="minorEastAsia" w:hAnsiTheme="minorEastAsia" w:hint="eastAsia"/>
        </w:rPr>
        <w:t>（2）投标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由供应商在“政府采购投标及履约承诺函”中作出声明，提供“政府采购投标及履约承诺函”，政府采购投标及履约承诺函格式详见招标文件“投标文件的格式、附件”）；</w:t>
      </w:r>
    </w:p>
    <w:p>
      <w:pPr>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lang w:val="en-US" w:eastAsia="zh-CN"/>
        </w:rPr>
        <w:t>3</w:t>
      </w:r>
      <w:r>
        <w:rPr>
          <w:rFonts w:asciiTheme="minorEastAsia" w:hAnsiTheme="minorEastAsia" w:hint="eastAsia"/>
        </w:rPr>
        <w:t>）投标人为本项目提供整体设计、规范编制或者管理、监理、检测等服务的，不得再参与此次采购项目的投标；</w:t>
      </w:r>
    </w:p>
    <w:p>
      <w:pPr>
        <w:spacing w:line="360" w:lineRule="auto"/>
        <w:rPr>
          <w:rFonts w:asciiTheme="minorEastAsia" w:hAnsiTheme="minorEastAsia"/>
        </w:rPr>
      </w:pPr>
      <w:r>
        <w:rPr>
          <w:rFonts w:asciiTheme="minorEastAsia" w:hAnsiTheme="minorEastAsia" w:hint="eastAsia"/>
        </w:rPr>
        <w:t>（</w:t>
      </w:r>
      <w:r>
        <w:rPr>
          <w:rFonts w:asciiTheme="minorEastAsia" w:hAnsiTheme="minorEastAsia" w:hint="eastAsia"/>
          <w:lang w:val="en-US" w:eastAsia="zh-CN"/>
        </w:rPr>
        <w:t>4</w:t>
      </w:r>
      <w:r>
        <w:rPr>
          <w:rFonts w:asciiTheme="minorEastAsia" w:hAnsiTheme="minorEastAsia" w:hint="eastAsia"/>
        </w:rPr>
        <w:t>）本项目不接受投标人选用进口产品参与投标，不允许分包、转包。</w:t>
      </w:r>
    </w:p>
    <w:p>
      <w:pPr>
        <w:wordWrap w:val="0"/>
        <w:spacing w:line="360" w:lineRule="auto"/>
        <w:rPr>
          <w:rFonts w:asciiTheme="minorEastAsia" w:hAnsiTheme="minorEastAsia"/>
        </w:rPr>
      </w:pPr>
      <w:r>
        <w:rPr>
          <w:rFonts w:asciiTheme="minorEastAsia" w:hAnsiTheme="minorEastAsia" w:hint="eastAsia"/>
        </w:rPr>
        <w:t>注： “深圳市政府采购监管网”的“诚信档案”栏目以及信用中国官网（www.creditchina.gov.cn）、中国政府采购网(www.ccgp.gov.cn)、深圳信用网( www.szcredit.com.cn) 为供应商信用信息的查询渠道。相关信用信息以开标当日的查询结果为准。</w:t>
      </w:r>
    </w:p>
    <w:p>
      <w:pPr>
        <w:spacing w:line="360" w:lineRule="auto"/>
        <w:rPr>
          <w:rFonts w:asciiTheme="minorEastAsia" w:hAnsiTheme="minorEastAsia"/>
          <w:b/>
        </w:rPr>
      </w:pPr>
      <w:r>
        <w:rPr>
          <w:rFonts w:asciiTheme="minorEastAsia" w:hAnsiTheme="minorEastAsia" w:hint="eastAsia"/>
          <w:b/>
        </w:rPr>
        <w:t>三、获取招标文件</w:t>
      </w:r>
    </w:p>
    <w:p>
      <w:pPr>
        <w:spacing w:line="360" w:lineRule="auto"/>
        <w:rPr>
          <w:rFonts w:asciiTheme="minorEastAsia" w:hAnsiTheme="minorEastAsia"/>
        </w:rPr>
      </w:pPr>
      <w:r>
        <w:rPr>
          <w:rFonts w:asciiTheme="minorEastAsia" w:hAnsiTheme="minorEastAsia" w:hint="eastAsia"/>
        </w:rPr>
        <w:t>时间：2022年</w:t>
      </w:r>
      <w:r>
        <w:rPr>
          <w:rFonts w:asciiTheme="minorEastAsia" w:hAnsiTheme="minorEastAsia" w:hint="eastAsia"/>
          <w:lang w:val="en-US" w:eastAsia="zh-CN"/>
        </w:rPr>
        <w:t>9</w:t>
      </w:r>
      <w:r>
        <w:rPr>
          <w:rFonts w:asciiTheme="minorEastAsia" w:hAnsiTheme="minorEastAsia" w:hint="eastAsia"/>
        </w:rPr>
        <w:t>月</w:t>
      </w:r>
      <w:r>
        <w:rPr>
          <w:rFonts w:asciiTheme="minorEastAsia" w:hAnsiTheme="minorEastAsia" w:hint="eastAsia"/>
          <w:lang w:val="en-US" w:eastAsia="zh-CN"/>
        </w:rPr>
        <w:t>7</w:t>
      </w:r>
      <w:bookmarkStart w:id="3" w:name="_GoBack"/>
      <w:bookmarkEnd w:id="3"/>
      <w:r>
        <w:rPr>
          <w:rFonts w:asciiTheme="minorEastAsia" w:hAnsiTheme="minorEastAsia" w:hint="eastAsia"/>
        </w:rPr>
        <w:t>日18:00至2022年</w:t>
      </w:r>
      <w:r>
        <w:rPr>
          <w:rFonts w:asciiTheme="minorEastAsia" w:hAnsiTheme="minorEastAsia" w:hint="eastAsia"/>
          <w:lang w:val="en-US" w:eastAsia="zh-CN"/>
        </w:rPr>
        <w:t>9</w:t>
      </w:r>
      <w:r>
        <w:rPr>
          <w:rFonts w:asciiTheme="minorEastAsia" w:hAnsiTheme="minorEastAsia" w:hint="eastAsia"/>
        </w:rPr>
        <w:t>月</w:t>
      </w:r>
      <w:r>
        <w:rPr>
          <w:rFonts w:asciiTheme="minorEastAsia" w:hAnsiTheme="minorEastAsia" w:hint="eastAsia"/>
          <w:lang w:val="en-US" w:eastAsia="zh-CN"/>
        </w:rPr>
        <w:t>19</w:t>
      </w:r>
      <w:r>
        <w:rPr>
          <w:rFonts w:asciiTheme="minorEastAsia" w:hAnsiTheme="minorEastAsia" w:hint="eastAsia"/>
        </w:rPr>
        <w:t>日</w:t>
      </w:r>
      <w:r>
        <w:rPr>
          <w:rFonts w:asciiTheme="minorEastAsia" w:hAnsiTheme="minorEastAsia" w:hint="eastAsia"/>
          <w:lang w:val="en-US" w:eastAsia="zh-CN"/>
        </w:rPr>
        <w:t>13</w:t>
      </w:r>
      <w:r>
        <w:rPr>
          <w:rFonts w:asciiTheme="minorEastAsia" w:hAnsiTheme="minorEastAsia" w:hint="eastAsia"/>
        </w:rPr>
        <w:t>:30（北京时间）。</w:t>
      </w:r>
    </w:p>
    <w:p>
      <w:pPr>
        <w:spacing w:line="360" w:lineRule="auto"/>
        <w:rPr>
          <w:rFonts w:asciiTheme="minorEastAsia" w:hAnsiTheme="minorEastAsia"/>
        </w:rPr>
      </w:pPr>
      <w:r>
        <w:rPr>
          <w:rFonts w:asciiTheme="minorEastAsia" w:hAnsiTheme="minorEastAsia" w:hint="eastAsia"/>
        </w:rPr>
        <w:t>地点：登录深圳政府采购智慧平台（http://zfcg.szggzy.com:8081/）下载本项目的招标文件。</w:t>
      </w:r>
    </w:p>
    <w:p>
      <w:pPr>
        <w:spacing w:line="360" w:lineRule="auto"/>
        <w:rPr>
          <w:rFonts w:asciiTheme="minorEastAsia" w:hAnsiTheme="minorEastAsia"/>
        </w:rPr>
      </w:pPr>
      <w:r>
        <w:rPr>
          <w:rFonts w:asciiTheme="minorEastAsia" w:hAnsiTheme="minorEastAsia" w:hint="eastAsia"/>
        </w:rPr>
        <w:t>方式：在线下载。</w:t>
      </w:r>
    </w:p>
    <w:p>
      <w:pPr>
        <w:spacing w:line="360" w:lineRule="auto"/>
        <w:rPr>
          <w:rFonts w:asciiTheme="minorEastAsia" w:hAnsiTheme="minorEastAsia"/>
        </w:rPr>
      </w:pPr>
      <w:r>
        <w:rPr>
          <w:rFonts w:asciiTheme="minorEastAsia" w:hAnsiTheme="minorEastAsia" w:hint="eastAsia"/>
        </w:rPr>
        <w:t>售价：免费。</w:t>
      </w:r>
    </w:p>
    <w:p>
      <w:pPr>
        <w:spacing w:line="360" w:lineRule="auto"/>
        <w:rPr>
          <w:rFonts w:asciiTheme="minorEastAsia" w:hAnsiTheme="minorEastAsia"/>
        </w:rPr>
      </w:pPr>
      <w:r>
        <w:rPr>
          <w:rFonts w:asciiTheme="minorEastAsia" w:hAnsiTheme="minorEastAsia" w:hint="eastAsia"/>
        </w:rPr>
        <w:t>凡已注册的深圳市网上政府采购供应商，按照授予的操作权限，可于2022年</w:t>
      </w:r>
      <w:r>
        <w:rPr>
          <w:rFonts w:asciiTheme="minorEastAsia" w:hAnsiTheme="minorEastAsia" w:hint="eastAsia"/>
          <w:lang w:val="en-US" w:eastAsia="zh-CN"/>
        </w:rPr>
        <w:t>9</w:t>
      </w:r>
      <w:r>
        <w:rPr>
          <w:rFonts w:asciiTheme="minorEastAsia" w:hAnsiTheme="minorEastAsia" w:hint="eastAsia"/>
        </w:rPr>
        <w:t>月</w:t>
      </w:r>
      <w:r>
        <w:rPr>
          <w:rFonts w:asciiTheme="minorEastAsia" w:hAnsiTheme="minorEastAsia" w:hint="eastAsia"/>
          <w:lang w:val="en-US" w:eastAsia="zh-CN"/>
        </w:rPr>
        <w:t>7</w:t>
      </w:r>
      <w:r>
        <w:rPr>
          <w:rFonts w:asciiTheme="minorEastAsia" w:hAnsiTheme="minorEastAsia" w:hint="eastAsia"/>
        </w:rPr>
        <w:t>日18:00至2022年</w:t>
      </w:r>
      <w:r>
        <w:rPr>
          <w:rFonts w:asciiTheme="minorEastAsia" w:hAnsiTheme="minorEastAsia" w:hint="eastAsia"/>
          <w:lang w:val="en-US" w:eastAsia="zh-CN"/>
        </w:rPr>
        <w:t>9</w:t>
      </w:r>
      <w:r>
        <w:rPr>
          <w:rFonts w:asciiTheme="minorEastAsia" w:hAnsiTheme="minorEastAsia" w:hint="eastAsia"/>
        </w:rPr>
        <w:t>月</w:t>
      </w:r>
      <w:r>
        <w:rPr>
          <w:rFonts w:asciiTheme="minorEastAsia" w:hAnsiTheme="minorEastAsia" w:hint="eastAsia"/>
          <w:lang w:val="en-US" w:eastAsia="zh-CN"/>
        </w:rPr>
        <w:t>19</w:t>
      </w:r>
      <w:r>
        <w:rPr>
          <w:rFonts w:asciiTheme="minorEastAsia" w:hAnsiTheme="minorEastAsia" w:hint="eastAsia"/>
        </w:rPr>
        <w:t>日8:30 期间登录深圳政府采购智慧平台（http://zfcg.szggzy.com:8081/）下载本项目的采购文件。投标人如确定参加投标，首先要在深圳政府采购智慧平台网上办事子系统（http://zfcg.szggzy.com:8081/TPBidder/memberLogin）网上报名投标，方法为在网上办事子系统后点击“【招标公告】→【我要报名】”；如果网上报名后上传了投标文件，又不参加投标，应再到【我的项目】→【项目流程】→【递交投标(应答)文件】功能点中进行“【撤回本次投标】”操作；如果是未注册为深圳政府采购智慧平台（http://zfcg.szggzy.com:8081/）的供应商，请先办理密钥（请点击），并前往深圳公共资源交易中心（深圳交易集团有限公司政府采购业务分公司）绑定深圳政府采购智慧平台用户（地址：深圳市福田区景田东路70号雅枫国际酒店北侧二楼市政府采购业务窗口服务大厅；电子密钥办理咨询电话：0755-83948165），再进行投标报名。在网上报名后，点击“【我的项目】→【项目流程】→【采购文件下载】”进行招标文件的下载。</w:t>
      </w:r>
    </w:p>
    <w:p>
      <w:pPr>
        <w:spacing w:line="360" w:lineRule="auto"/>
        <w:rPr>
          <w:rFonts w:asciiTheme="minorEastAsia" w:hAnsiTheme="minorEastAsia"/>
          <w:b/>
        </w:rPr>
      </w:pPr>
      <w:r>
        <w:rPr>
          <w:rFonts w:asciiTheme="minorEastAsia" w:hAnsiTheme="minorEastAsia" w:hint="eastAsia"/>
          <w:b/>
        </w:rPr>
        <w:t>四、提交投标文件截止时间、开标时间和地点</w:t>
      </w:r>
    </w:p>
    <w:p>
      <w:pPr>
        <w:wordWrap w:val="0"/>
        <w:spacing w:line="360" w:lineRule="auto"/>
        <w:rPr>
          <w:rFonts w:asciiTheme="minorEastAsia" w:hAnsiTheme="minorEastAsia"/>
        </w:rPr>
      </w:pPr>
      <w:r>
        <w:rPr>
          <w:rFonts w:asciiTheme="minorEastAsia" w:hAnsiTheme="minorEastAsia" w:hint="eastAsia"/>
        </w:rPr>
        <w:t>1.投标截止时间：所有投标文件应于2022年</w:t>
      </w:r>
      <w:r>
        <w:rPr>
          <w:rFonts w:asciiTheme="minorEastAsia" w:hAnsiTheme="minorEastAsia" w:hint="eastAsia"/>
          <w:lang w:val="en-US" w:eastAsia="zh-CN"/>
        </w:rPr>
        <w:t>9</w:t>
      </w:r>
      <w:r>
        <w:rPr>
          <w:rFonts w:asciiTheme="minorEastAsia" w:hAnsiTheme="minorEastAsia" w:hint="eastAsia"/>
        </w:rPr>
        <w:t>月</w:t>
      </w:r>
      <w:r>
        <w:rPr>
          <w:rFonts w:asciiTheme="minorEastAsia" w:hAnsiTheme="minorEastAsia" w:hint="eastAsia"/>
          <w:lang w:val="en-US" w:eastAsia="zh-CN"/>
        </w:rPr>
        <w:t>19</w:t>
      </w:r>
      <w:r>
        <w:rPr>
          <w:rFonts w:asciiTheme="minorEastAsia" w:hAnsiTheme="minorEastAsia" w:hint="eastAsia"/>
        </w:rPr>
        <w:t>日</w:t>
      </w:r>
      <w:r>
        <w:rPr>
          <w:rFonts w:asciiTheme="minorEastAsia" w:hAnsiTheme="minorEastAsia" w:hint="eastAsia"/>
          <w:lang w:val="en-US" w:eastAsia="zh-CN"/>
        </w:rPr>
        <w:t>13</w:t>
      </w:r>
      <w:r>
        <w:rPr>
          <w:rFonts w:asciiTheme="minorEastAsia" w:hAnsiTheme="minorEastAsia" w:hint="eastAsia"/>
        </w:rPr>
        <w:t>：30（北京时间）之前上传到深圳政府采购智慧平台（http://zfcg.szggzy.com:8081/）。具体操作为登录“深圳政府采购智慧平台用户网上办事子系统（http://zfcg.szggzy.com:8081/TPBidder/memberLogin）”，用“【我的项目】→【项目流程】→【递交投标(应答)文件】”功能点上传投标文件。本项目电子投标文件最大容量为100MB，超过此容量的文件将被拒绝。</w:t>
      </w:r>
    </w:p>
    <w:p>
      <w:pPr>
        <w:wordWrap w:val="0"/>
        <w:spacing w:line="360" w:lineRule="auto"/>
        <w:rPr>
          <w:rFonts w:asciiTheme="minorEastAsia" w:hAnsiTheme="minorEastAsia"/>
        </w:rPr>
      </w:pPr>
      <w:r>
        <w:rPr>
          <w:rFonts w:asciiTheme="minorEastAsia" w:hAnsiTheme="minorEastAsia" w:hint="eastAsia"/>
        </w:rPr>
        <w:t>2.开标时间和地点：定于2022年</w:t>
      </w:r>
      <w:r>
        <w:rPr>
          <w:rFonts w:asciiTheme="minorEastAsia" w:hAnsiTheme="minorEastAsia" w:hint="eastAsia"/>
          <w:lang w:val="en-US" w:eastAsia="zh-CN"/>
        </w:rPr>
        <w:t>9</w:t>
      </w:r>
      <w:r>
        <w:rPr>
          <w:rFonts w:asciiTheme="minorEastAsia" w:hAnsiTheme="minorEastAsia" w:hint="eastAsia"/>
        </w:rPr>
        <w:t>月</w:t>
      </w:r>
      <w:r>
        <w:rPr>
          <w:rFonts w:asciiTheme="minorEastAsia" w:hAnsiTheme="minorEastAsia" w:hint="eastAsia"/>
          <w:lang w:val="en-US" w:eastAsia="zh-CN"/>
        </w:rPr>
        <w:t>19</w:t>
      </w:r>
      <w:r>
        <w:rPr>
          <w:rFonts w:asciiTheme="minorEastAsia" w:hAnsiTheme="minorEastAsia" w:hint="eastAsia"/>
        </w:rPr>
        <w:t>日</w:t>
      </w:r>
      <w:r>
        <w:rPr>
          <w:rFonts w:asciiTheme="minorEastAsia" w:hAnsiTheme="minorEastAsia" w:hint="eastAsia"/>
          <w:lang w:val="en-US" w:eastAsia="zh-CN"/>
        </w:rPr>
        <w:t>13</w:t>
      </w:r>
      <w:r>
        <w:rPr>
          <w:rFonts w:asciiTheme="minorEastAsia" w:hAnsiTheme="minorEastAsia" w:hint="eastAsia"/>
        </w:rPr>
        <w:t>:30（北京时间），在深圳市光明区华强创意产业园1A栋1901室开标会议室一公开开标。供应商可以登录“深圳政府采购智慧平台用户网上办事子系统（http://zfcg.szggzy.com:8081/TPBidder/memberLogin）”，在“【我的项目】→【项目流程】→【开标及解密】”进行在线解密、查询开标情况。</w:t>
      </w:r>
    </w:p>
    <w:p>
      <w:pPr>
        <w:wordWrap w:val="0"/>
        <w:spacing w:line="360" w:lineRule="auto"/>
        <w:rPr>
          <w:rFonts w:asciiTheme="minorEastAsia" w:hAnsiTheme="minorEastAsia"/>
        </w:rPr>
      </w:pPr>
      <w:r>
        <w:rPr>
          <w:rFonts w:asciiTheme="minorEastAsia" w:hAnsiTheme="minorEastAsia" w:hint="eastAsia"/>
        </w:rPr>
        <w:t>3.在线解密：投标人须在开标当日</w:t>
      </w:r>
      <w:r>
        <w:rPr>
          <w:rFonts w:asciiTheme="minorEastAsia" w:hAnsiTheme="minorEastAsia" w:hint="eastAsia"/>
          <w:lang w:val="en-US" w:eastAsia="zh-CN"/>
        </w:rPr>
        <w:t>13</w:t>
      </w:r>
      <w:r>
        <w:rPr>
          <w:rFonts w:asciiTheme="minorEastAsia" w:hAnsiTheme="minorEastAsia" w:hint="eastAsia"/>
        </w:rPr>
        <w:t>:30-</w:t>
      </w:r>
      <w:r>
        <w:rPr>
          <w:rFonts w:asciiTheme="minorEastAsia" w:hAnsiTheme="minorEastAsia" w:hint="eastAsia"/>
          <w:lang w:val="en-US" w:eastAsia="zh-CN"/>
        </w:rPr>
        <w:t>14</w:t>
      </w:r>
      <w:r>
        <w:rPr>
          <w:rFonts w:asciiTheme="minorEastAsia" w:hAnsiTheme="minorEastAsia" w:hint="eastAsia"/>
        </w:rPr>
        <w:t>:30期间进行解密，逾期未解密的作无效处理。解密方法：登录“深圳政府采购智慧平台用户网上办事子系统（http://zfcg.szggzy.com:8081/TPBidder/memberLogin）”，使用本单位制作电子投标文件同一个电子密钥，在“【我的项目】→【项目流程】→【开标及解密】”进行在线解密、查询开标情况。</w:t>
      </w:r>
    </w:p>
    <w:p>
      <w:pPr>
        <w:spacing w:line="360" w:lineRule="auto"/>
        <w:rPr>
          <w:rFonts w:asciiTheme="minorEastAsia" w:hAnsiTheme="minorEastAsia"/>
          <w:b/>
        </w:rPr>
      </w:pPr>
      <w:r>
        <w:rPr>
          <w:rFonts w:asciiTheme="minorEastAsia" w:hAnsiTheme="minorEastAsia" w:hint="eastAsia"/>
          <w:b/>
        </w:rPr>
        <w:t>五、公告期限</w:t>
      </w:r>
    </w:p>
    <w:p>
      <w:pPr>
        <w:spacing w:line="360" w:lineRule="auto"/>
        <w:rPr>
          <w:rFonts w:asciiTheme="minorEastAsia" w:hAnsiTheme="minorEastAsia"/>
        </w:rPr>
      </w:pPr>
      <w:r>
        <w:rPr>
          <w:rFonts w:asciiTheme="minorEastAsia" w:hAnsiTheme="minorEastAsia" w:hint="eastAsia"/>
        </w:rPr>
        <w:t>自本公告发布之日起5个工作日。</w:t>
      </w:r>
    </w:p>
    <w:p>
      <w:pPr>
        <w:spacing w:line="360" w:lineRule="auto"/>
        <w:rPr>
          <w:rFonts w:asciiTheme="minorEastAsia" w:hAnsiTheme="minorEastAsia"/>
          <w:b/>
        </w:rPr>
      </w:pPr>
      <w:r>
        <w:rPr>
          <w:rFonts w:asciiTheme="minorEastAsia" w:hAnsiTheme="minorEastAsia" w:hint="eastAsia"/>
          <w:b/>
        </w:rPr>
        <w:t>六、其他补充事宜</w:t>
      </w:r>
    </w:p>
    <w:p>
      <w:pPr>
        <w:spacing w:line="360" w:lineRule="auto"/>
        <w:rPr>
          <w:rFonts w:asciiTheme="minorEastAsia" w:hAnsiTheme="minorEastAsia"/>
        </w:rPr>
      </w:pPr>
      <w:r>
        <w:rPr>
          <w:rFonts w:asciiTheme="minorEastAsia" w:hAnsiTheme="minorEastAsia" w:hint="eastAsia"/>
        </w:rPr>
        <w:t>1.本项目实行网上投标，采用电子投标文件。</w:t>
      </w:r>
    </w:p>
    <w:p>
      <w:pPr>
        <w:wordWrap w:val="0"/>
        <w:spacing w:line="360" w:lineRule="auto"/>
        <w:rPr>
          <w:rFonts w:asciiTheme="minorEastAsia" w:hAnsiTheme="minorEastAsia"/>
        </w:rPr>
      </w:pPr>
      <w:r>
        <w:rPr>
          <w:rFonts w:asciiTheme="minorEastAsia" w:hAnsiTheme="minorEastAsia" w:hint="eastAsia"/>
        </w:rPr>
        <w:t>2.报名操作：投标人如确定参加投标，首先要在深圳政府采购网上报名投标，方法为登录深圳公共资源交易中心（深圳交易集团有限公司政府采购业务分公司）网后点击“招标公告”选中要报名标段点击“我要报名”或“代办→邀请提醒”；如果网上报名后上传了投标文件，又不参加投标，应再到【我的项目】→【项目流程】→【递交投标(应答)文件】→【上传投标文件】功能点中进行“撤标”操作；如果是未注册为深圳政府采购的供应商，请访问深圳公共资源交易中心（深圳交易集团有限公司政府采购业务分公司）（http://www.szzfcg.cn/）,先办理注册手续（注册咨询：83938966；电子密钥咨询：83948165 4008301330 ），再进行投标报名。在网上报名后，点击“我的项目→项目流程”中进行招标文件的下载。</w:t>
      </w:r>
    </w:p>
    <w:p>
      <w:pPr>
        <w:spacing w:line="360" w:lineRule="auto"/>
        <w:rPr>
          <w:rFonts w:asciiTheme="minorEastAsia" w:hAnsiTheme="minorEastAsia"/>
        </w:rPr>
      </w:pPr>
      <w:r>
        <w:rPr>
          <w:rFonts w:asciiTheme="minorEastAsia" w:hAnsiTheme="minorEastAsia" w:hint="eastAsia"/>
        </w:rPr>
        <w:t>3.开标操作：投标人可以登录“深圳公共资源交易中心（深圳交易集团有限公司政府采购业务分公司）网站”，在系统登录首页面即可查看开标情况。</w:t>
      </w:r>
    </w:p>
    <w:p>
      <w:pPr>
        <w:spacing w:line="360" w:lineRule="auto"/>
        <w:rPr>
          <w:rFonts w:asciiTheme="minorEastAsia" w:hAnsiTheme="minorEastAsia"/>
        </w:rPr>
      </w:pPr>
      <w:r>
        <w:rPr>
          <w:rFonts w:asciiTheme="minorEastAsia" w:hAnsiTheme="minorEastAsia" w:hint="eastAsia"/>
        </w:rPr>
        <w:t>4.投标操作：具体操作为登录“深圳公共资源交易中心（深圳交易集团有限公司政府采购业务分公司）网站”，用“我的项目→项目流程→递交投标(应答)文件→上传投标文件”功能点上传投标文件。本项目电子投标文件最大容量为100MB，超过此容量的文件将被拒绝。</w:t>
      </w:r>
    </w:p>
    <w:p>
      <w:pPr>
        <w:wordWrap w:val="0"/>
        <w:spacing w:line="360" w:lineRule="auto"/>
        <w:rPr>
          <w:rFonts w:asciiTheme="minorEastAsia" w:hAnsiTheme="minorEastAsia"/>
        </w:rPr>
      </w:pPr>
      <w:r>
        <w:rPr>
          <w:rFonts w:asciiTheme="minorEastAsia" w:hAnsiTheme="minorEastAsia" w:hint="eastAsia"/>
        </w:rPr>
        <w:t>5.采购文件澄清/修改事项：2022年</w:t>
      </w:r>
      <w:r>
        <w:rPr>
          <w:rFonts w:asciiTheme="minorEastAsia" w:hAnsiTheme="minorEastAsia" w:hint="eastAsia"/>
          <w:lang w:val="en-US" w:eastAsia="zh-CN"/>
        </w:rPr>
        <w:t>9</w:t>
      </w:r>
      <w:r>
        <w:rPr>
          <w:rFonts w:asciiTheme="minorEastAsia" w:hAnsiTheme="minorEastAsia" w:hint="eastAsia"/>
        </w:rPr>
        <w:t>月</w:t>
      </w:r>
      <w:r>
        <w:rPr>
          <w:rFonts w:asciiTheme="minorEastAsia" w:hAnsiTheme="minorEastAsia" w:hint="eastAsia"/>
          <w:lang w:val="en-US" w:eastAsia="zh-CN"/>
        </w:rPr>
        <w:t>14</w:t>
      </w:r>
      <w:r>
        <w:rPr>
          <w:rFonts w:asciiTheme="minorEastAsia" w:hAnsiTheme="minorEastAsia" w:hint="eastAsia"/>
        </w:rPr>
        <w:t>日00:00（北京时间）前，供应商如果认为采购文件存在不明确、不清晰和前后不一致等问题，可登录深圳公共资源交易中心网（http://zfcg.szggzy.com:8081/）→“深圳政府采购智慧平台用户网上办事子系统（http://zfcg.szggzy.com:8081/TPBidder/memberLogin）”，在“【我的项目】→【项目流程】→【提问】”功能点中填写需澄清内容。2022年</w:t>
      </w:r>
      <w:r>
        <w:rPr>
          <w:rFonts w:asciiTheme="minorEastAsia" w:hAnsiTheme="minorEastAsia" w:hint="eastAsia"/>
          <w:lang w:val="en-US" w:eastAsia="zh-CN"/>
        </w:rPr>
        <w:t>9</w:t>
      </w:r>
      <w:r>
        <w:rPr>
          <w:rFonts w:asciiTheme="minorEastAsia" w:hAnsiTheme="minorEastAsia" w:hint="eastAsia"/>
        </w:rPr>
        <w:t>月</w:t>
      </w:r>
      <w:r>
        <w:rPr>
          <w:rFonts w:asciiTheme="minorEastAsia" w:hAnsiTheme="minorEastAsia" w:hint="eastAsia"/>
          <w:lang w:val="en-US" w:eastAsia="zh-CN"/>
        </w:rPr>
        <w:t>16</w:t>
      </w:r>
      <w:r>
        <w:rPr>
          <w:rFonts w:asciiTheme="minorEastAsia" w:hAnsiTheme="minorEastAsia" w:hint="eastAsia"/>
        </w:rPr>
        <w:t>日00:00（北京时间）前将采购文件澄清/修改情况在“【我的项目】→【项目流程】→【答疑澄清文件下载】”中公布，望投标人予以关注。</w:t>
      </w:r>
    </w:p>
    <w:p>
      <w:pPr>
        <w:spacing w:line="360" w:lineRule="auto"/>
        <w:rPr>
          <w:rFonts w:asciiTheme="minorEastAsia" w:hAnsiTheme="minorEastAsia"/>
        </w:rPr>
      </w:pPr>
      <w:r>
        <w:rPr>
          <w:rFonts w:asciiTheme="minorEastAsia" w:hAnsiTheme="minorEastAsia" w:hint="eastAsia"/>
        </w:rPr>
        <w:t xml:space="preserve">（重要提示：质疑材料现场提交、邮寄地址：深圳市光明区华强创意产业园1A栋1902室。质疑咨询电话：15814453234。） </w:t>
      </w:r>
    </w:p>
    <w:p>
      <w:pPr>
        <w:spacing w:line="360" w:lineRule="auto"/>
        <w:rPr>
          <w:rFonts w:asciiTheme="minorEastAsia" w:hAnsiTheme="minorEastAsia"/>
        </w:rPr>
      </w:pPr>
      <w:r>
        <w:rPr>
          <w:rFonts w:asciiTheme="minorEastAsia" w:hAnsiTheme="minorEastAsia" w:hint="eastAsia"/>
        </w:rPr>
        <w:t>6.本项目不需要投标保证金。</w:t>
      </w:r>
    </w:p>
    <w:p>
      <w:pPr>
        <w:spacing w:line="360" w:lineRule="auto"/>
        <w:rPr>
          <w:rFonts w:asciiTheme="minorEastAsia" w:hAnsiTheme="minorEastAsia"/>
        </w:rPr>
      </w:pPr>
      <w:r>
        <w:rPr>
          <w:rFonts w:asciiTheme="minorEastAsia" w:hAnsiTheme="minorEastAsia" w:hint="eastAsia"/>
        </w:rPr>
        <w:t>七、对本次招标提出询问，请按以下方式联系</w:t>
      </w:r>
    </w:p>
    <w:p>
      <w:pPr>
        <w:spacing w:line="360" w:lineRule="auto"/>
        <w:rPr>
          <w:rFonts w:asciiTheme="minorEastAsia" w:hAnsiTheme="minorEastAsia"/>
        </w:rPr>
      </w:pPr>
      <w:r>
        <w:rPr>
          <w:rFonts w:asciiTheme="minorEastAsia" w:hAnsiTheme="minorEastAsia" w:hint="eastAsia"/>
        </w:rPr>
        <w:t>1.采购人信息</w:t>
      </w:r>
    </w:p>
    <w:p>
      <w:pPr>
        <w:spacing w:line="360" w:lineRule="auto"/>
        <w:rPr>
          <w:rFonts w:asciiTheme="minorEastAsia" w:hAnsiTheme="minorEastAsia"/>
        </w:rPr>
      </w:pPr>
      <w:r>
        <w:rPr>
          <w:rFonts w:asciiTheme="minorEastAsia" w:hAnsiTheme="minorEastAsia" w:hint="eastAsia"/>
        </w:rPr>
        <w:t>名称：</w:t>
      </w:r>
      <w:r>
        <w:rPr>
          <w:rFonts w:asciiTheme="minorEastAsia" w:hAnsiTheme="minorEastAsia" w:hint="eastAsia"/>
          <w:lang w:val="en-US" w:eastAsia="zh-CN"/>
        </w:rPr>
        <w:t>深圳市光明区市政环境综合服务中心</w:t>
      </w:r>
    </w:p>
    <w:p>
      <w:pPr>
        <w:spacing w:line="360" w:lineRule="auto"/>
        <w:rPr>
          <w:rFonts w:asciiTheme="minorEastAsia" w:hAnsiTheme="minorEastAsia"/>
        </w:rPr>
      </w:pPr>
      <w:r>
        <w:rPr>
          <w:rFonts w:asciiTheme="minorEastAsia" w:hAnsiTheme="minorEastAsia" w:hint="eastAsia"/>
        </w:rPr>
        <w:t>地址：深圳市光明区光明街道光明商会大厦11楼</w:t>
      </w:r>
    </w:p>
    <w:p>
      <w:pPr>
        <w:spacing w:line="360" w:lineRule="auto"/>
        <w:rPr>
          <w:rFonts w:asciiTheme="minorEastAsia" w:hAnsiTheme="minorEastAsia"/>
        </w:rPr>
      </w:pPr>
      <w:r>
        <w:rPr>
          <w:rFonts w:asciiTheme="minorEastAsia" w:hAnsiTheme="minorEastAsia" w:hint="eastAsia"/>
        </w:rPr>
        <w:t>联系方式：</w:t>
      </w:r>
      <w:r>
        <w:rPr>
          <w:rFonts w:asciiTheme="minorEastAsia" w:hAnsiTheme="minorEastAsia" w:hint="eastAsia"/>
          <w:lang w:val="en-US" w:eastAsia="zh-CN"/>
        </w:rPr>
        <w:t>曾</w:t>
      </w:r>
      <w:r>
        <w:rPr>
          <w:rFonts w:ascii="宋体" w:hAnsi="宋体" w:cs="宋体" w:hint="eastAsia"/>
          <w:color w:val="000000"/>
        </w:rPr>
        <w:t>工</w:t>
      </w:r>
      <w:r>
        <w:rPr>
          <w:rFonts w:asciiTheme="minorEastAsia" w:hAnsiTheme="minorEastAsia" w:hint="eastAsia"/>
        </w:rPr>
        <w:t>，0755-23421612</w:t>
      </w:r>
    </w:p>
    <w:p>
      <w:pPr>
        <w:spacing w:line="360" w:lineRule="auto"/>
        <w:rPr>
          <w:rFonts w:asciiTheme="minorEastAsia" w:hAnsiTheme="minorEastAsia"/>
        </w:rPr>
      </w:pPr>
      <w:r>
        <w:rPr>
          <w:rFonts w:asciiTheme="minorEastAsia" w:hAnsiTheme="minorEastAsia" w:hint="eastAsia"/>
        </w:rPr>
        <w:t>2.采购代理机构</w:t>
      </w:r>
    </w:p>
    <w:p>
      <w:pPr>
        <w:spacing w:line="360" w:lineRule="auto"/>
        <w:rPr>
          <w:rFonts w:asciiTheme="minorEastAsia" w:hAnsiTheme="minorEastAsia"/>
        </w:rPr>
      </w:pPr>
      <w:r>
        <w:rPr>
          <w:rFonts w:asciiTheme="minorEastAsia" w:hAnsiTheme="minorEastAsia" w:hint="eastAsia"/>
        </w:rPr>
        <w:t>名称：深圳市德顺项目咨询有限公司</w:t>
      </w:r>
    </w:p>
    <w:p>
      <w:pPr>
        <w:spacing w:line="360" w:lineRule="auto"/>
        <w:rPr>
          <w:rFonts w:asciiTheme="minorEastAsia" w:hAnsiTheme="minorEastAsia"/>
        </w:rPr>
      </w:pPr>
      <w:r>
        <w:rPr>
          <w:rFonts w:asciiTheme="minorEastAsia" w:hAnsiTheme="minorEastAsia" w:hint="eastAsia"/>
        </w:rPr>
        <w:t>地址：深圳市光明区华强创意产业园1A栋1901室</w:t>
      </w:r>
    </w:p>
    <w:p>
      <w:pPr>
        <w:spacing w:line="360" w:lineRule="auto"/>
        <w:rPr>
          <w:rFonts w:asciiTheme="minorEastAsia" w:hAnsiTheme="minorEastAsia"/>
        </w:rPr>
      </w:pPr>
      <w:r>
        <w:rPr>
          <w:rFonts w:asciiTheme="minorEastAsia" w:hAnsiTheme="minorEastAsia" w:hint="eastAsia"/>
        </w:rPr>
        <w:t>联系方式：胡工，15814453234</w:t>
      </w:r>
    </w:p>
    <w:p>
      <w:pPr>
        <w:spacing w:line="360" w:lineRule="auto"/>
        <w:rPr>
          <w:rFonts w:asciiTheme="minorEastAsia" w:hAnsiTheme="minorEastAsia"/>
        </w:rPr>
      </w:pPr>
      <w:r>
        <w:rPr>
          <w:rFonts w:asciiTheme="minorEastAsia" w:hAnsiTheme="minorEastAsia" w:hint="eastAsia"/>
        </w:rPr>
        <w:t>3.项目联系方式</w:t>
      </w:r>
    </w:p>
    <w:p>
      <w:pPr>
        <w:spacing w:line="360" w:lineRule="auto"/>
        <w:rPr>
          <w:rFonts w:asciiTheme="minorEastAsia" w:hAnsiTheme="minorEastAsia"/>
        </w:rPr>
      </w:pPr>
      <w:r>
        <w:rPr>
          <w:rFonts w:asciiTheme="minorEastAsia" w:hAnsiTheme="minorEastAsia" w:hint="eastAsia"/>
        </w:rPr>
        <w:t xml:space="preserve">项目联系人：胡工 </w:t>
      </w:r>
    </w:p>
    <w:p>
      <w:pPr>
        <w:spacing w:line="360" w:lineRule="auto"/>
        <w:rPr>
          <w:rFonts w:asciiTheme="minorEastAsia" w:hAnsiTheme="minorEastAsia"/>
        </w:rPr>
      </w:pPr>
      <w:r>
        <w:rPr>
          <w:rFonts w:asciiTheme="minorEastAsia" w:hAnsiTheme="minorEastAsia" w:hint="eastAsia"/>
        </w:rPr>
        <w:t>电话：15814453234</w:t>
      </w:r>
    </w:p>
    <w:p>
      <w:pPr>
        <w:spacing w:line="360" w:lineRule="auto"/>
        <w:rPr>
          <w:rFonts w:asciiTheme="minorEastAsia" w:hAnsiTheme="minorEastAsia"/>
        </w:rPr>
      </w:pPr>
      <w:r>
        <w:rPr>
          <w:rFonts w:asciiTheme="minorEastAsia" w:hAnsiTheme="minorEastAsia" w:hint="eastAsia"/>
        </w:rPr>
        <w:t>技术支持：86500023、83938599、83948100、83938584</w:t>
      </w:r>
    </w:p>
    <w:p>
      <w:pPr>
        <w:spacing w:line="360" w:lineRule="auto"/>
        <w:rPr>
          <w:rFonts w:asciiTheme="minorEastAsia" w:hAnsiTheme="minorEastAsia"/>
        </w:rPr>
      </w:pPr>
      <w:r>
        <w:rPr>
          <w:rFonts w:asciiTheme="minorEastAsia" w:hAnsiTheme="minorEastAsia"/>
        </w:rPr>
        <w:t> </w:t>
      </w:r>
    </w:p>
    <w:p>
      <w:pPr>
        <w:spacing w:line="360" w:lineRule="auto"/>
        <w:jc w:val="right"/>
        <w:rPr>
          <w:rFonts w:asciiTheme="minorEastAsia" w:hAnsiTheme="minorEastAsia"/>
        </w:rPr>
      </w:pPr>
      <w:r>
        <w:rPr>
          <w:rFonts w:asciiTheme="minorEastAsia" w:hAnsiTheme="minorEastAsia" w:hint="eastAsia"/>
        </w:rPr>
        <w:t>深圳市德顺项目咨询有限公司</w:t>
      </w:r>
    </w:p>
    <w:p>
      <w:pPr>
        <w:spacing w:line="360" w:lineRule="auto"/>
        <w:jc w:val="right"/>
        <w:rPr>
          <w:rFonts w:asciiTheme="minorEastAsia" w:hAnsiTheme="minorEastAsia"/>
        </w:rPr>
      </w:pPr>
      <w:r>
        <w:rPr>
          <w:rFonts w:asciiTheme="minorEastAsia" w:hAnsiTheme="minorEastAsia" w:hint="eastAsia"/>
        </w:rPr>
        <w:t>2022年</w:t>
      </w:r>
      <w:r>
        <w:rPr>
          <w:rFonts w:asciiTheme="minorEastAsia" w:hAnsiTheme="minorEastAsia" w:hint="eastAsia"/>
          <w:lang w:val="en-US" w:eastAsia="zh-CN"/>
        </w:rPr>
        <w:t>9</w:t>
      </w:r>
      <w:r>
        <w:rPr>
          <w:rFonts w:asciiTheme="minorEastAsia" w:hAnsiTheme="minorEastAsia" w:hint="eastAsia"/>
        </w:rPr>
        <w:t>月</w:t>
      </w:r>
      <w:r>
        <w:rPr>
          <w:rFonts w:asciiTheme="minorEastAsia" w:hAnsiTheme="minorEastAsia" w:hint="eastAsia"/>
          <w:lang w:val="en-US" w:eastAsia="zh-CN"/>
        </w:rPr>
        <w:t>7</w:t>
      </w:r>
      <w:r>
        <w:rPr>
          <w:rFonts w:asciiTheme="minorEastAsia" w:hAnsiTheme="minorEastAsia" w:hint="eastAsia"/>
        </w:rPr>
        <w:t>日</w:t>
      </w:r>
    </w:p>
    <w:p>
      <w:pPr>
        <w:spacing w:line="360" w:lineRule="auto"/>
        <w:rPr>
          <w:rFonts w:asciiTheme="minorEastAsia" w:hAnsiTheme="minorEastAsia"/>
        </w:rPr>
      </w:pPr>
      <w:r>
        <w:rPr>
          <w:rFonts w:asciiTheme="minorEastAsia" w:hAnsiTheme="minorEastAsia"/>
        </w:rPr>
        <w:t> </w:t>
      </w:r>
    </w:p>
    <w:p>
      <w:pPr>
        <w:spacing w:line="360" w:lineRule="auto"/>
        <w:rPr>
          <w:rFonts w:asciiTheme="minorEastAsia" w:hAnsiTheme="minorEastAsia"/>
        </w:rPr>
      </w:pPr>
      <w:r>
        <w:rPr>
          <w:rFonts w:asciiTheme="minorEastAsia" w:hAnsiTheme="minorEastAsia" w:hint="eastAsia"/>
        </w:rPr>
        <w:t>八、附件</w:t>
      </w:r>
    </w:p>
    <w:p>
      <w:pPr>
        <w:spacing w:line="360" w:lineRule="auto"/>
        <w:rPr>
          <w:rFonts w:asciiTheme="minorEastAsia" w:hAnsiTheme="minorEastAsia"/>
        </w:rPr>
      </w:pPr>
      <w:r>
        <w:rPr>
          <w:rFonts w:asciiTheme="minorEastAsia" w:hAnsiTheme="minorEastAsia" w:hint="eastAsia"/>
        </w:rPr>
        <w:t>采购文件szczf：-详见后面附件-</w:t>
      </w:r>
    </w:p>
    <w:p>
      <w:pPr>
        <w:spacing w:line="360" w:lineRule="auto"/>
        <w:rPr>
          <w:rFonts w:asciiTheme="minorEastAsia" w:hAnsiTheme="minorEastAsia"/>
        </w:rPr>
      </w:pPr>
      <w:r>
        <w:rPr>
          <w:rFonts w:asciiTheme="minorEastAsia" w:hAnsiTheme="minorEastAsia" w:hint="eastAsia"/>
        </w:rPr>
        <w:t>采购文件PDF：-详见后面附件-</w:t>
      </w:r>
    </w:p>
    <w:p>
      <w:pPr>
        <w:spacing w:line="360" w:lineRule="auto"/>
        <w:rPr>
          <w:rFonts w:asciiTheme="minorEastAsia" w:hAnsiTheme="minorEastAsia"/>
        </w:rPr>
      </w:pPr>
      <w:r>
        <w:rPr>
          <w:rFonts w:asciiTheme="minorEastAsia" w:hAnsiTheme="minorEastAsia" w:hint="eastAsia"/>
        </w:rPr>
        <w:t>采购文件DOC：-详见后面附件-</w:t>
      </w:r>
    </w:p>
    <w:p>
      <w:pPr>
        <w:spacing w:line="360" w:lineRule="auto"/>
        <w:rPr>
          <w:rFonts w:asciiTheme="minorEastAsia" w:hAnsiTheme="minorEastAsia"/>
        </w:rPr>
      </w:pPr>
      <w:r>
        <w:rPr>
          <w:rFonts w:asciiTheme="minorEastAsia" w:hAnsiTheme="minorEastAsia" w:hint="eastAsia"/>
        </w:rPr>
        <w:t>采购文件附件：（如工程类项目，还包括图纸和工程量清单）-详见后面附件-</w:t>
      </w:r>
    </w:p>
    <w:p>
      <w:pPr>
        <w:spacing w:line="360" w:lineRule="auto"/>
        <w:rPr>
          <w:rFonts w:asciiTheme="minorEastAsia" w:hAnsiTheme="minorEastAsia"/>
        </w:rPr>
      </w:pPr>
      <w:r>
        <w:rPr>
          <w:rFonts w:asciiTheme="minorEastAsia" w:hAnsiTheme="minorEastAsia" w:hint="eastAsia"/>
        </w:rPr>
        <w:t>通用附件：</w:t>
      </w:r>
    </w:p>
    <w:p>
      <w:pPr>
        <w:spacing w:line="360" w:lineRule="auto"/>
        <w:rPr>
          <w:rFonts w:asciiTheme="minorEastAsia" w:hAnsiTheme="minorEastAsia"/>
        </w:rPr>
      </w:pPr>
      <w:r>
        <w:rPr>
          <w:rFonts w:asciiTheme="minorEastAsia" w:hAnsiTheme="minorEastAsia" w:hint="eastAsia"/>
        </w:rPr>
        <w:t xml:space="preserve">1、请下载并使用相应的深圳智慧采购平台投标文件制作专用软件打开招标文件（.szczf格式）。 </w:t>
      </w:r>
    </w:p>
    <w:p>
      <w:pPr>
        <w:spacing w:line="360" w:lineRule="auto"/>
        <w:rPr>
          <w:rFonts w:asciiTheme="minorEastAsia" w:hAnsiTheme="minorEastAsia"/>
        </w:rPr>
      </w:pPr>
      <w:r>
        <w:rPr>
          <w:rFonts w:asciiTheme="minorEastAsia" w:hAnsiTheme="minorEastAsia" w:hint="eastAsia"/>
        </w:rPr>
        <w:t>2、供应商端操作手册。</w:t>
      </w:r>
    </w:p>
    <w:p>
      <w:pPr>
        <w:spacing w:line="400" w:lineRule="exact"/>
        <w:ind w:firstLine="975"/>
        <w:rPr>
          <w:szCs w:val="21"/>
        </w:rPr>
      </w:pPr>
    </w:p>
    <w:p>
      <w:pPr>
        <w:spacing w:line="400" w:lineRule="exact"/>
        <w:rPr>
          <w:b/>
          <w:color w:val="FF0000"/>
          <w:szCs w:val="21"/>
        </w:rPr>
      </w:pPr>
      <w:r>
        <w:rPr>
          <w:rFonts w:hint="eastAsia"/>
          <w:b/>
          <w:color w:val="FF0000"/>
          <w:szCs w:val="21"/>
        </w:rPr>
        <w:t>完整公告内容以</w:t>
      </w:r>
      <w:r>
        <w:rPr>
          <w:b/>
          <w:color w:val="FF0000"/>
          <w:szCs w:val="21"/>
        </w:rPr>
        <w:t>深圳政府采购智慧平台网页公布信息为准</w:t>
      </w:r>
      <w:r>
        <w:rPr>
          <w:rFonts w:hint="eastAsia"/>
          <w:b/>
          <w:color w:val="FF0000"/>
          <w:szCs w:val="21"/>
        </w:rPr>
        <w:t>。</w:t>
      </w:r>
    </w:p>
    <w:p>
      <w:pPr>
        <w:pStyle w:val="NormalIndent"/>
        <w:wordWrap w:val="0"/>
        <w:spacing w:line="400" w:lineRule="exact"/>
        <w:ind w:right="100" w:firstLine="449" w:firstLineChars="187"/>
        <w:jc w:val="right"/>
        <w:rPr>
          <w:rFonts w:ascii="宋体" w:hAnsi="宋体"/>
          <w:sz w:val="21"/>
          <w:szCs w:val="21"/>
        </w:rPr>
      </w:pPr>
    </w:p>
    <w:p>
      <w:pPr>
        <w:pStyle w:val="NormalIndent"/>
        <w:spacing w:line="400" w:lineRule="exact"/>
        <w:ind w:firstLine="449" w:firstLineChars="187"/>
        <w:jc w:val="right"/>
        <w:rPr>
          <w:rFonts w:ascii="宋体" w:hAnsi="宋体"/>
          <w:szCs w:val="21"/>
        </w:rPr>
      </w:pPr>
      <w:r>
        <w:br w:type="page"/>
      </w:r>
    </w:p>
    <w:p>
      <w:pPr>
        <w:pStyle w:val="Heading2"/>
        <w:keepNext/>
        <w:keepLines/>
        <w:tabs>
          <w:tab w:val="left" w:pos="720"/>
        </w:tabs>
        <w:spacing w:before="120" w:beforeLines="50" w:after="120" w:afterLines="50"/>
        <w:ind w:firstLine="2256" w:firstLineChars="940"/>
        <w:jc w:val="both"/>
        <w:rPr>
          <w:rFonts w:ascii="宋体" w:hAnsi="宋体"/>
          <w:b/>
          <w:sz w:val="28"/>
          <w:szCs w:val="28"/>
        </w:rPr>
      </w:pPr>
      <w:r>
        <w:rPr>
          <w:rFonts w:ascii="宋体" w:hAnsi="宋体" w:hint="eastAsia"/>
          <w:b/>
          <w:sz w:val="28"/>
          <w:szCs w:val="28"/>
        </w:rPr>
        <w:t>第二章  用户需求书</w:t>
      </w:r>
    </w:p>
    <w:p>
      <w:pPr>
        <w:rPr>
          <w:b/>
          <w:color w:val="000000"/>
        </w:rPr>
      </w:pPr>
      <w:r>
        <w:rPr>
          <w:rFonts w:hint="eastAsia"/>
          <w:b/>
          <w:color w:val="000000"/>
        </w:rPr>
        <w:t>说明：</w:t>
      </w:r>
    </w:p>
    <w:p>
      <w:pPr>
        <w:ind w:firstLine="480" w:firstLineChars="200"/>
        <w:rPr>
          <w:b/>
          <w:bCs/>
        </w:rPr>
      </w:pPr>
      <w:r>
        <w:rPr>
          <w:b/>
          <w:bCs/>
        </w:rPr>
        <w:t>1</w:t>
      </w:r>
      <w:r>
        <w:rPr>
          <w:rFonts w:hint="eastAsia"/>
          <w:b/>
          <w:bCs/>
        </w:rPr>
        <w:t>、关于享受优惠政策的主体及价格扣除比例</w:t>
      </w:r>
    </w:p>
    <w:p>
      <w:pPr>
        <w:ind w:firstLine="480" w:firstLineChars="200"/>
      </w:pPr>
      <w:r>
        <w:rPr>
          <w:rFonts w:hint="eastAsia"/>
        </w:rPr>
        <w:t>（1）投标人提供的货物（以招标文件用户需求书“货物清单明细”的“货物名称”一栏为准）全部均由优惠主体制造，则对其投标总价给予</w:t>
      </w:r>
      <w:r>
        <w:rPr>
          <w:b/>
          <w:color w:val="FF0000"/>
          <w:u w:val="single"/>
        </w:rPr>
        <w:t xml:space="preserve"> </w:t>
      </w:r>
      <w:r>
        <w:rPr>
          <w:rFonts w:hint="eastAsia"/>
          <w:b/>
          <w:color w:val="FF0000"/>
          <w:highlight w:val="yellow"/>
          <w:u w:val="single"/>
        </w:rPr>
        <w:t>10</w:t>
      </w:r>
      <w:r>
        <w:rPr>
          <w:b/>
          <w:color w:val="FF0000"/>
          <w:highlight w:val="yellow"/>
          <w:u w:val="single"/>
        </w:rPr>
        <w:t xml:space="preserve"> %</w:t>
      </w:r>
      <w:r>
        <w:rPr>
          <w:rFonts w:hint="eastAsia"/>
        </w:rPr>
        <w:t>的扣除，用扣除后的价格参与评审。满足多项优惠政策的企业，不重复享受多项价格扣除政策。</w:t>
      </w:r>
    </w:p>
    <w:p>
      <w:pPr>
        <w:ind w:firstLine="48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t>b)</w:t>
      </w:r>
      <w:r>
        <w:rPr>
          <w:rFonts w:hint="eastAsia"/>
        </w:rPr>
        <w:t>优惠主体制造是指货物由优惠主体生产且使用该优惠主体商号或者注册商标；投标人提供的货物既有优惠主体制造货物，又有非优惠主体制造货物的，不给予价格扣除。</w:t>
      </w:r>
    </w:p>
    <w:p>
      <w:pPr>
        <w:ind w:firstLine="480" w:firstLineChars="200"/>
      </w:pPr>
      <w:r>
        <w:rPr>
          <w:rFonts w:hint="eastAsia"/>
        </w:rPr>
        <w:t>（2）根据</w:t>
      </w:r>
      <w:r>
        <w:rPr>
          <w:rFonts w:hint="eastAsia"/>
          <w:szCs w:val="22"/>
        </w:rPr>
        <w:t>《工业和信息化部、国家统计局、国家发展和改革委员会、财政部关于印发中小企业划型标准规定的通知》（工信部联企业〔2011〕300 号）</w:t>
      </w:r>
      <w:r>
        <w:rPr>
          <w:rFonts w:hint="eastAsia"/>
        </w:rPr>
        <w:t>，</w:t>
      </w:r>
      <w:bookmarkStart w:id="4" w:name="_Hlk71970739"/>
      <w:r>
        <w:rPr>
          <w:rFonts w:hint="eastAsia"/>
        </w:rPr>
        <w:t>本项目</w:t>
      </w:r>
      <w:bookmarkStart w:id="5" w:name="_Hlk71924718"/>
      <w:r>
        <w:rPr>
          <w:rFonts w:hint="eastAsia"/>
        </w:rPr>
        <w:t>采购标的（货物）对应的中小企业划分标准所属行业</w:t>
      </w:r>
      <w:bookmarkEnd w:id="5"/>
      <w:r>
        <w:rPr>
          <w:rFonts w:hint="eastAsia"/>
        </w:rPr>
        <w:t>为</w:t>
      </w:r>
      <w:r>
        <w:rPr>
          <w:rFonts w:hint="eastAsia"/>
          <w:b/>
          <w:color w:val="FF0000"/>
          <w:highlight w:val="yellow"/>
          <w:u w:val="single"/>
        </w:rPr>
        <w:t>其他未列明行业</w:t>
      </w:r>
      <w:r>
        <w:rPr>
          <w:rFonts w:hint="eastAsia"/>
        </w:rPr>
        <w:t>。</w:t>
      </w:r>
      <w:bookmarkEnd w:id="4"/>
    </w:p>
    <w:p>
      <w:pPr>
        <w:ind w:firstLine="480" w:firstLineChars="200"/>
      </w:pPr>
      <w:r>
        <w:rPr>
          <w:rFonts w:hint="eastAsia"/>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w:t>
      </w:r>
      <w:r>
        <w:rPr>
          <w:rFonts w:hint="eastAsia"/>
          <w:highlight w:val="yellow"/>
        </w:rPr>
        <w:t>七、供应商情况介绍</w:t>
      </w:r>
      <w:r>
        <w:rPr>
          <w:rFonts w:hint="eastAsia"/>
        </w:rPr>
        <w:t>”章节提供的格式）。</w:t>
      </w:r>
    </w:p>
    <w:p>
      <w:pPr>
        <w:ind w:firstLine="480" w:firstLineChars="200"/>
      </w:pPr>
      <w:r>
        <w:rPr>
          <w:rFonts w:hint="eastAsia"/>
        </w:rPr>
        <w:t>（4）享受价格扣除获得政府采购合同的，小微企业不得将合同分包给大中型企业。</w:t>
      </w:r>
    </w:p>
    <w:p>
      <w:pPr>
        <w:ind w:firstLine="480" w:firstLineChars="200"/>
        <w:rPr>
          <w:b/>
          <w:bCs/>
        </w:rPr>
      </w:pPr>
      <w:r>
        <w:rPr>
          <w:b/>
          <w:bCs/>
        </w:rPr>
        <w:t>2</w:t>
      </w:r>
      <w:r>
        <w:rPr>
          <w:rFonts w:hint="eastAsia"/>
          <w:b/>
          <w:bCs/>
        </w:rPr>
        <w:t>、</w:t>
      </w:r>
      <w:r>
        <w:rPr>
          <w:b/>
          <w:bCs/>
        </w:rPr>
        <w:t>本招标项目要求中所出现的工艺、材料、设备或参照的品牌仅为方便描述而没有限制性，投标人可以在其提供的文件资料中选用替代标准，但这些替代标准要优于或相当于技术规格中要求的标准。</w:t>
      </w:r>
    </w:p>
    <w:p>
      <w:pPr>
        <w:ind w:firstLine="480" w:firstLineChars="200"/>
        <w:rPr>
          <w:b/>
          <w:bCs/>
        </w:rPr>
      </w:pPr>
      <w:r>
        <w:rPr>
          <w:b/>
          <w:bCs/>
        </w:rPr>
        <w:t>3、标注“▲”的条款为重点审查的要求，作为评分参考的标记，但不作为实质性要求和条件</w:t>
      </w:r>
      <w:r>
        <w:rPr>
          <w:rFonts w:hint="eastAsia"/>
          <w:b/>
          <w:bCs/>
        </w:rPr>
        <w:t>。</w:t>
      </w:r>
    </w:p>
    <w:p>
      <w:pPr>
        <w:ind w:firstLine="480" w:firstLineChars="200"/>
        <w:rPr>
          <w:b/>
          <w:bCs/>
        </w:rPr>
      </w:pPr>
      <w:r>
        <w:rPr>
          <w:rFonts w:hint="eastAsia"/>
          <w:b/>
          <w:bCs/>
        </w:rPr>
        <w:t>标注“★”的条款为不允许偏离的实质性要求和条件，不符合将视为不实质性满足招标文件要求，作投标无效处理；未标注“★”的条款不作为实质性要求和条件。</w:t>
      </w:r>
    </w:p>
    <w:p>
      <w:pPr>
        <w:ind w:firstLine="480" w:firstLineChars="200"/>
        <w:rPr>
          <w:b/>
          <w:bCs/>
        </w:rPr>
      </w:pPr>
      <w:r>
        <w:rPr>
          <w:rFonts w:hint="eastAsia"/>
          <w:b/>
          <w:bCs/>
        </w:rPr>
        <w:t>4、本项目采用非评定分离方法进行采购：</w:t>
      </w:r>
    </w:p>
    <w:p>
      <w:pPr>
        <w:ind w:firstLine="480" w:firstLineChars="200"/>
        <w:rPr>
          <w:b/>
          <w:bCs/>
        </w:rPr>
      </w:pPr>
      <w:r>
        <w:rPr>
          <w:rFonts w:hint="eastAsia"/>
          <w:b/>
          <w:bCs/>
        </w:rPr>
        <w:t>推荐候选中标供应商数量：3</w:t>
      </w:r>
    </w:p>
    <w:p>
      <w:pPr>
        <w:ind w:firstLine="480" w:firstLineChars="200"/>
        <w:rPr>
          <w:b/>
          <w:bCs/>
        </w:rPr>
      </w:pPr>
      <w:r>
        <w:rPr>
          <w:rFonts w:hint="eastAsia"/>
          <w:b/>
          <w:bCs/>
          <w:highlight w:val="yellow"/>
        </w:rPr>
        <w:t>定标方法：由采购人授权评审委员会确定中标供应商，中标供应商数量为1。</w:t>
      </w:r>
    </w:p>
    <w:p>
      <w:pPr>
        <w:ind w:firstLine="480" w:firstLineChars="200"/>
        <w:rPr>
          <w:b/>
          <w:bCs/>
        </w:rPr>
      </w:pPr>
      <w:r>
        <w:rPr>
          <w:b/>
          <w:bCs/>
        </w:rPr>
        <w:t>5</w:t>
      </w:r>
      <w:r>
        <w:rPr>
          <w:rFonts w:hint="eastAsia"/>
          <w:b/>
          <w:bCs/>
        </w:rPr>
        <w:t>、其他说明</w:t>
      </w:r>
    </w:p>
    <w:p>
      <w:pPr>
        <w:ind w:firstLine="435"/>
      </w:pPr>
      <w:r>
        <w:rPr>
          <w:rFonts w:hint="eastAsia"/>
          <w:b/>
          <w:bCs/>
        </w:rPr>
        <w:t>根据《深圳市财政局</w:t>
      </w:r>
      <w:r>
        <w:rPr>
          <w:b/>
          <w:bCs/>
        </w:rPr>
        <w:t xml:space="preserve"> </w:t>
      </w:r>
      <w:r>
        <w:rPr>
          <w:rFonts w:hint="eastAsia"/>
          <w:b/>
          <w:bCs/>
        </w:rPr>
        <w:t>深圳市政府采购中心关于印发</w:t>
      </w:r>
      <w:r>
        <w:rPr>
          <w:b/>
          <w:bCs/>
        </w:rPr>
        <w:t>&lt;</w:t>
      </w:r>
      <w:r>
        <w:rPr>
          <w:rFonts w:hint="eastAsia"/>
          <w:b/>
          <w:bCs/>
        </w:rPr>
        <w:t>深圳市政府采购落实支持企业复工复产政策的实施细则</w:t>
      </w:r>
      <w:r>
        <w:rPr>
          <w:b/>
          <w:bCs/>
        </w:rPr>
        <w:t>&gt;</w:t>
      </w:r>
      <w:r>
        <w:rPr>
          <w:rFonts w:hint="eastAsia"/>
          <w:b/>
          <w:bCs/>
        </w:rPr>
        <w:t>的通知》（深府购〔</w:t>
      </w:r>
      <w:r>
        <w:rPr>
          <w:b/>
          <w:bCs/>
        </w:rPr>
        <w:t>2020</w:t>
      </w:r>
      <w:r>
        <w:rPr>
          <w:rFonts w:hint="eastAsia"/>
          <w:b/>
          <w:bCs/>
        </w:rPr>
        <w:t>〕</w:t>
      </w:r>
      <w:r>
        <w:rPr>
          <w:b/>
          <w:bCs/>
        </w:rPr>
        <w:t>24</w:t>
      </w:r>
      <w:r>
        <w:rPr>
          <w:rFonts w:hint="eastAsia"/>
          <w:b/>
          <w:bCs/>
        </w:rPr>
        <w:t>号）的规定，鼓励采购人积极运用公共信用信息，明确对信用记录良好的投标人（特别是中小微企业）免收履约保证金，确需收取履约保证金的，列明通过保函等非现金方式收取；在采购合同中明确对上述企业加大首付款或预付款比例，具体由采购人根据项目实际情况确定。</w:t>
      </w:r>
    </w:p>
    <w:p>
      <w:pPr>
        <w:pStyle w:val="Heading3"/>
      </w:pPr>
      <w:bookmarkStart w:id="6" w:name="_Toc73517639"/>
      <w:bookmarkStart w:id="7" w:name="_Toc73518117"/>
      <w:bookmarkStart w:id="8" w:name="_Toc73521547"/>
      <w:bookmarkStart w:id="9" w:name="_Toc101074876"/>
      <w:bookmarkStart w:id="10" w:name="_Toc60631620"/>
      <w:bookmarkStart w:id="11" w:name="_Toc100052364"/>
      <w:bookmarkStart w:id="12" w:name="_Toc60560625"/>
      <w:bookmarkStart w:id="13" w:name="_Toc73521635"/>
      <w:r>
        <w:br w:type="page"/>
      </w:r>
      <w:r>
        <w:rPr>
          <w:rFonts w:hint="eastAsia"/>
        </w:rPr>
        <w:t>一、对通用条款的补充内容</w:t>
      </w:r>
    </w:p>
    <w:tbl>
      <w:tblPr>
        <w:tblStyle w:val="TableNormal"/>
        <w:tblW w:w="8367" w:type="dxa"/>
        <w:jc w:val="center"/>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807"/>
        <w:gridCol w:w="2160"/>
        <w:gridCol w:w="5400"/>
      </w:tblGrid>
      <w:tr>
        <w:tblPrEx>
          <w:tblW w:w="8367" w:type="dxa"/>
          <w:jc w:val="center"/>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cantSplit/>
          <w:trHeight w:val="20"/>
          <w:jc w:val="center"/>
        </w:trPr>
        <w:tc>
          <w:tcPr>
            <w:tcW w:w="807" w:type="dxa"/>
            <w:vAlign w:val="center"/>
          </w:tcPr>
          <w:p>
            <w:pPr>
              <w:jc w:val="center"/>
              <w:rPr>
                <w:rFonts w:ascii="宋体" w:hAnsi="宋体"/>
                <w:b/>
                <w:bCs/>
              </w:rPr>
            </w:pPr>
            <w:bookmarkEnd w:id="6"/>
            <w:bookmarkEnd w:id="7"/>
            <w:bookmarkEnd w:id="8"/>
            <w:bookmarkEnd w:id="9"/>
            <w:bookmarkEnd w:id="10"/>
            <w:bookmarkEnd w:id="11"/>
            <w:bookmarkEnd w:id="12"/>
            <w:bookmarkEnd w:id="13"/>
            <w:r>
              <w:rPr>
                <w:rFonts w:ascii="宋体" w:hAnsi="宋体" w:hint="eastAsia"/>
                <w:b/>
                <w:bCs/>
              </w:rPr>
              <w:t>序号</w:t>
            </w:r>
          </w:p>
        </w:tc>
        <w:tc>
          <w:tcPr>
            <w:tcW w:w="2160" w:type="dxa"/>
            <w:vAlign w:val="center"/>
          </w:tcPr>
          <w:p>
            <w:pPr>
              <w:jc w:val="center"/>
              <w:rPr>
                <w:rFonts w:ascii="宋体" w:hAnsi="宋体"/>
                <w:b/>
                <w:bCs/>
              </w:rPr>
            </w:pPr>
            <w:r>
              <w:rPr>
                <w:rFonts w:ascii="宋体" w:hAnsi="宋体" w:hint="eastAsia"/>
                <w:b/>
                <w:bCs/>
              </w:rPr>
              <w:t>内   容</w:t>
            </w:r>
          </w:p>
        </w:tc>
        <w:tc>
          <w:tcPr>
            <w:tcW w:w="5400" w:type="dxa"/>
            <w:vAlign w:val="center"/>
          </w:tcPr>
          <w:p>
            <w:pPr>
              <w:jc w:val="center"/>
              <w:rPr>
                <w:rFonts w:ascii="宋体" w:hAnsi="宋体"/>
                <w:b/>
                <w:bCs/>
              </w:rPr>
            </w:pPr>
            <w:r>
              <w:rPr>
                <w:rFonts w:ascii="宋体" w:hAnsi="宋体" w:hint="eastAsia"/>
                <w:b/>
                <w:bCs/>
              </w:rPr>
              <w:t>规      定</w:t>
            </w:r>
          </w:p>
        </w:tc>
      </w:tr>
      <w:tr>
        <w:tblPrEx>
          <w:tblW w:w="8367" w:type="dxa"/>
          <w:jc w:val="center"/>
          <w:tblInd w:w="0" w:type="dxa"/>
          <w:tblLayout w:type="fixed"/>
          <w:tblCellMar>
            <w:top w:w="0" w:type="dxa"/>
            <w:left w:w="108" w:type="dxa"/>
            <w:bottom w:w="0" w:type="dxa"/>
            <w:right w:w="108" w:type="dxa"/>
          </w:tblCellMar>
        </w:tblPrEx>
        <w:trPr>
          <w:cantSplit/>
          <w:trHeight w:val="20"/>
          <w:jc w:val="center"/>
        </w:trPr>
        <w:tc>
          <w:tcPr>
            <w:tcW w:w="807" w:type="dxa"/>
            <w:vAlign w:val="center"/>
          </w:tcPr>
          <w:p>
            <w:pPr>
              <w:jc w:val="center"/>
              <w:rPr>
                <w:rFonts w:ascii="宋体" w:hAnsi="宋体"/>
              </w:rPr>
            </w:pPr>
            <w:r>
              <w:rPr>
                <w:rFonts w:ascii="宋体" w:hAnsi="宋体" w:hint="eastAsia"/>
              </w:rPr>
              <w:t>1</w:t>
            </w:r>
          </w:p>
        </w:tc>
        <w:tc>
          <w:tcPr>
            <w:tcW w:w="2160" w:type="dxa"/>
            <w:vAlign w:val="center"/>
          </w:tcPr>
          <w:p>
            <w:r>
              <w:rPr>
                <w:rFonts w:hint="eastAsia"/>
              </w:rPr>
              <w:t>联合体投标</w:t>
            </w:r>
          </w:p>
        </w:tc>
        <w:tc>
          <w:tcPr>
            <w:tcW w:w="5400" w:type="dxa"/>
            <w:vAlign w:val="center"/>
          </w:tcPr>
          <w:p>
            <w:pPr>
              <w:rPr>
                <w:rFonts w:ascii="宋体" w:hAnsi="宋体"/>
                <w:snapToGrid w:val="0"/>
                <w:szCs w:val="32"/>
                <w:u w:val="single"/>
                <w:lang w:val="zh-CN"/>
              </w:rPr>
            </w:pPr>
            <w:r>
              <w:rPr>
                <w:rFonts w:ascii="宋体" w:hAnsi="宋体" w:hint="eastAsia"/>
                <w:snapToGrid w:val="0"/>
                <w:szCs w:val="32"/>
                <w:u w:val="single"/>
                <w:lang w:val="zh-CN"/>
              </w:rPr>
              <w:t>见《招标公告》中“投标人资格要求”部分的相关内容</w:t>
            </w:r>
          </w:p>
        </w:tc>
      </w:tr>
      <w:tr>
        <w:tblPrEx>
          <w:tblW w:w="8367" w:type="dxa"/>
          <w:jc w:val="center"/>
          <w:tblInd w:w="0" w:type="dxa"/>
          <w:tblLayout w:type="fixed"/>
          <w:tblCellMar>
            <w:top w:w="0" w:type="dxa"/>
            <w:left w:w="108" w:type="dxa"/>
            <w:bottom w:w="0" w:type="dxa"/>
            <w:right w:w="108" w:type="dxa"/>
          </w:tblCellMar>
        </w:tblPrEx>
        <w:trPr>
          <w:cantSplit/>
          <w:trHeight w:val="20"/>
          <w:jc w:val="center"/>
        </w:trPr>
        <w:tc>
          <w:tcPr>
            <w:tcW w:w="807" w:type="dxa"/>
            <w:vAlign w:val="center"/>
          </w:tcPr>
          <w:p>
            <w:pPr>
              <w:jc w:val="center"/>
              <w:rPr>
                <w:rFonts w:ascii="宋体" w:hAnsi="宋体"/>
              </w:rPr>
            </w:pPr>
            <w:r>
              <w:rPr>
                <w:rFonts w:ascii="宋体" w:hAnsi="宋体" w:hint="eastAsia"/>
              </w:rPr>
              <w:t>2</w:t>
            </w:r>
          </w:p>
        </w:tc>
        <w:tc>
          <w:tcPr>
            <w:tcW w:w="2160" w:type="dxa"/>
            <w:vAlign w:val="center"/>
          </w:tcPr>
          <w:p>
            <w:pPr>
              <w:rPr>
                <w:rFonts w:ascii="宋体" w:hAnsi="宋体"/>
              </w:rPr>
            </w:pPr>
            <w:r>
              <w:rPr>
                <w:rFonts w:ascii="宋体" w:hAnsi="宋体" w:hint="eastAsia"/>
              </w:rPr>
              <w:t>投标有效期</w:t>
            </w:r>
          </w:p>
        </w:tc>
        <w:tc>
          <w:tcPr>
            <w:tcW w:w="5400" w:type="dxa"/>
            <w:vAlign w:val="center"/>
          </w:tcPr>
          <w:p>
            <w:pPr>
              <w:rPr>
                <w:rFonts w:ascii="宋体" w:hAnsi="宋体"/>
              </w:rPr>
            </w:pPr>
            <w:r>
              <w:rPr>
                <w:rFonts w:ascii="宋体" w:hAnsi="宋体" w:hint="eastAsia"/>
                <w:u w:val="single"/>
              </w:rPr>
              <w:t>120</w:t>
            </w:r>
            <w:r>
              <w:rPr>
                <w:rFonts w:ascii="宋体" w:hAnsi="宋体"/>
                <w:u w:val="single"/>
              </w:rPr>
              <w:t>日历天</w:t>
            </w:r>
            <w:r>
              <w:rPr>
                <w:rFonts w:ascii="宋体" w:hAnsi="宋体"/>
              </w:rPr>
              <w:t>（从投标截止之日算起）</w:t>
            </w:r>
          </w:p>
        </w:tc>
      </w:tr>
      <w:tr>
        <w:tblPrEx>
          <w:tblW w:w="8367" w:type="dxa"/>
          <w:jc w:val="center"/>
          <w:tblInd w:w="0" w:type="dxa"/>
          <w:tblLayout w:type="fixed"/>
          <w:tblCellMar>
            <w:top w:w="0" w:type="dxa"/>
            <w:left w:w="108" w:type="dxa"/>
            <w:bottom w:w="0" w:type="dxa"/>
            <w:right w:w="108" w:type="dxa"/>
          </w:tblCellMar>
        </w:tblPrEx>
        <w:trPr>
          <w:cantSplit/>
          <w:trHeight w:val="20"/>
          <w:jc w:val="center"/>
        </w:trPr>
        <w:tc>
          <w:tcPr>
            <w:tcW w:w="807" w:type="dxa"/>
            <w:vAlign w:val="center"/>
          </w:tcPr>
          <w:p>
            <w:pPr>
              <w:jc w:val="center"/>
              <w:rPr>
                <w:rFonts w:ascii="宋体" w:hAnsi="宋体"/>
              </w:rPr>
            </w:pPr>
            <w:r>
              <w:rPr>
                <w:rFonts w:ascii="宋体" w:hAnsi="宋体" w:hint="eastAsia"/>
              </w:rPr>
              <w:t>3</w:t>
            </w:r>
          </w:p>
        </w:tc>
        <w:tc>
          <w:tcPr>
            <w:tcW w:w="2160" w:type="dxa"/>
            <w:vAlign w:val="center"/>
          </w:tcPr>
          <w:p>
            <w:pPr>
              <w:rPr>
                <w:rFonts w:ascii="宋体" w:hAnsi="宋体"/>
              </w:rPr>
            </w:pPr>
            <w:r>
              <w:rPr>
                <w:rFonts w:ascii="宋体" w:hAnsi="宋体" w:hint="eastAsia"/>
              </w:rPr>
              <w:t>投标人的替代方案</w:t>
            </w:r>
          </w:p>
        </w:tc>
        <w:tc>
          <w:tcPr>
            <w:tcW w:w="5400" w:type="dxa"/>
            <w:vAlign w:val="center"/>
          </w:tcPr>
          <w:p>
            <w:pPr>
              <w:rPr>
                <w:rFonts w:ascii="宋体" w:hAnsi="宋体"/>
              </w:rPr>
            </w:pPr>
            <w:r>
              <w:rPr>
                <w:rFonts w:ascii="宋体" w:hAnsi="宋体" w:hint="eastAsia"/>
              </w:rPr>
              <w:t>不允许</w:t>
            </w:r>
          </w:p>
        </w:tc>
      </w:tr>
      <w:tr>
        <w:tblPrEx>
          <w:tblW w:w="8367" w:type="dxa"/>
          <w:jc w:val="center"/>
          <w:tblInd w:w="0" w:type="dxa"/>
          <w:tblLayout w:type="fixed"/>
          <w:tblCellMar>
            <w:top w:w="0" w:type="dxa"/>
            <w:left w:w="108" w:type="dxa"/>
            <w:bottom w:w="0" w:type="dxa"/>
            <w:right w:w="108" w:type="dxa"/>
          </w:tblCellMar>
        </w:tblPrEx>
        <w:trPr>
          <w:cantSplit/>
          <w:trHeight w:val="20"/>
          <w:jc w:val="center"/>
        </w:trPr>
        <w:tc>
          <w:tcPr>
            <w:tcW w:w="807" w:type="dxa"/>
            <w:vAlign w:val="center"/>
          </w:tcPr>
          <w:p>
            <w:pPr>
              <w:jc w:val="center"/>
              <w:rPr>
                <w:rFonts w:ascii="宋体" w:hAnsi="宋体"/>
              </w:rPr>
            </w:pPr>
            <w:r>
              <w:rPr>
                <w:rFonts w:ascii="宋体" w:hAnsi="宋体" w:hint="eastAsia"/>
              </w:rPr>
              <w:t>4</w:t>
            </w:r>
          </w:p>
        </w:tc>
        <w:tc>
          <w:tcPr>
            <w:tcW w:w="2160" w:type="dxa"/>
            <w:vAlign w:val="center"/>
          </w:tcPr>
          <w:p>
            <w:pPr>
              <w:rPr>
                <w:rFonts w:ascii="宋体" w:hAnsi="宋体"/>
              </w:rPr>
            </w:pPr>
            <w:r>
              <w:rPr>
                <w:rFonts w:ascii="宋体" w:hAnsi="宋体" w:hint="eastAsia"/>
              </w:rPr>
              <w:t>投标文件的投递</w:t>
            </w:r>
          </w:p>
        </w:tc>
        <w:tc>
          <w:tcPr>
            <w:tcW w:w="5400" w:type="dxa"/>
            <w:vAlign w:val="center"/>
          </w:tcPr>
          <w:p>
            <w:pPr>
              <w:rPr>
                <w:rFonts w:ascii="宋体" w:hAnsi="宋体"/>
              </w:rPr>
            </w:pPr>
            <w:r>
              <w:rPr>
                <w:rFonts w:ascii="宋体" w:hAnsi="宋体" w:hint="eastAsia"/>
              </w:rPr>
              <w:t>本项目实行网上投标，投标人必须在招标文件规定的投标截止时间前登录“光明区公共资源交易中心网”，用“应标管理</w:t>
            </w:r>
            <w:r>
              <w:rPr>
                <w:rFonts w:ascii="宋体" w:hAnsi="宋体"/>
              </w:rPr>
              <w:t>-&gt;上传投标文件”功能将编制好的电子投标文件上传，投标</w:t>
            </w:r>
            <w:r>
              <w:rPr>
                <w:rFonts w:ascii="宋体" w:hAnsi="宋体"/>
                <w:b/>
              </w:rPr>
              <w:t>文件大小不得超过</w:t>
            </w:r>
            <w:r>
              <w:rPr>
                <w:rFonts w:ascii="宋体" w:hAnsi="宋体" w:hint="eastAsia"/>
                <w:b/>
              </w:rPr>
              <w:t>10</w:t>
            </w:r>
            <w:r>
              <w:rPr>
                <w:rFonts w:ascii="宋体" w:hAnsi="宋体"/>
                <w:b/>
              </w:rPr>
              <w:t>0MB</w:t>
            </w:r>
            <w:r>
              <w:rPr>
                <w:rFonts w:ascii="宋体" w:hAnsi="宋体" w:hint="eastAsia"/>
                <w:b/>
              </w:rPr>
              <w:t>。</w:t>
            </w:r>
          </w:p>
        </w:tc>
      </w:tr>
    </w:tbl>
    <w:p>
      <w:pPr>
        <w:rPr>
          <w:szCs w:val="21"/>
        </w:rPr>
      </w:pPr>
      <w:r>
        <w:rPr>
          <w:rFonts w:hint="eastAsia"/>
          <w:szCs w:val="21"/>
        </w:rPr>
        <w:t>备注：本表为通用条款相关内容的补充和明确，如与通用条款相冲突的以本表为准。</w:t>
      </w:r>
    </w:p>
    <w:p>
      <w:pPr>
        <w:rPr>
          <w:szCs w:val="21"/>
        </w:rPr>
      </w:pPr>
    </w:p>
    <w:p>
      <w:pPr>
        <w:pStyle w:val="Heading3"/>
      </w:pPr>
      <w:r>
        <w:rPr>
          <w:rFonts w:hint="eastAsia"/>
        </w:rPr>
        <w:t>二、项目基本信息</w:t>
      </w:r>
    </w:p>
    <w:tbl>
      <w:tblPr>
        <w:tblStyle w:val="TableNormal"/>
        <w:tblW w:w="8633" w:type="dxa"/>
        <w:jc w:val="center"/>
        <w:tblInd w:w="0" w:type="dxa"/>
        <w:tblLayout w:type="fixed"/>
        <w:tblCellMar>
          <w:top w:w="0" w:type="dxa"/>
          <w:left w:w="108" w:type="dxa"/>
          <w:bottom w:w="0" w:type="dxa"/>
          <w:right w:w="108" w:type="dxa"/>
        </w:tblCellMar>
      </w:tblPr>
      <w:tblGrid>
        <w:gridCol w:w="1831"/>
        <w:gridCol w:w="6802"/>
      </w:tblGrid>
      <w:tr>
        <w:tblPrEx>
          <w:tblW w:w="8633" w:type="dxa"/>
          <w:jc w:val="center"/>
          <w:tblInd w:w="0" w:type="dxa"/>
          <w:tblLayout w:type="fixed"/>
          <w:tblCellMar>
            <w:top w:w="0" w:type="dxa"/>
            <w:left w:w="108" w:type="dxa"/>
            <w:bottom w:w="0" w:type="dxa"/>
            <w:right w:w="108" w:type="dxa"/>
          </w:tblCellMar>
        </w:tblPrEx>
        <w:trPr>
          <w:trHeight w:val="560"/>
          <w:jc w:val="center"/>
        </w:trPr>
        <w:tc>
          <w:tcPr>
            <w:tcW w:w="1831" w:type="dxa"/>
            <w:tcBorders>
              <w:top w:val="single" w:sz="2" w:space="0" w:color="000000"/>
              <w:left w:val="single" w:sz="2" w:space="0" w:color="000000"/>
              <w:bottom w:val="single" w:sz="2" w:space="0" w:color="000000"/>
              <w:right w:val="single" w:sz="2" w:space="0" w:color="000000"/>
            </w:tcBorders>
            <w:shd w:val="clear" w:color="000000" w:fill="FFFFFF"/>
            <w:vAlign w:val="center"/>
          </w:tcPr>
          <w:p>
            <w:pPr>
              <w:autoSpaceDE w:val="0"/>
              <w:autoSpaceDN w:val="0"/>
              <w:adjustRightInd w:val="0"/>
              <w:spacing w:line="320" w:lineRule="exact"/>
              <w:jc w:val="center"/>
              <w:rPr>
                <w:rFonts w:ascii="宋体" w:hAnsi="宋体" w:cs="宋体"/>
                <w:color w:val="000000"/>
                <w:szCs w:val="21"/>
                <w:lang w:val="zh-CN"/>
              </w:rPr>
            </w:pPr>
            <w:r>
              <w:rPr>
                <w:rFonts w:ascii="宋体" w:hAnsi="宋体" w:cs="宋体" w:hint="eastAsia"/>
                <w:color w:val="000000"/>
                <w:szCs w:val="21"/>
                <w:lang w:val="zh-CN"/>
              </w:rPr>
              <w:t>项目编号</w:t>
            </w:r>
          </w:p>
        </w:tc>
        <w:tc>
          <w:tcPr>
            <w:tcW w:w="6802" w:type="dxa"/>
            <w:tcBorders>
              <w:top w:val="single" w:sz="2" w:space="0" w:color="000000"/>
              <w:left w:val="single" w:sz="2" w:space="0" w:color="000000"/>
              <w:bottom w:val="single" w:sz="2" w:space="0" w:color="000000"/>
              <w:right w:val="single" w:sz="2" w:space="0" w:color="000000"/>
            </w:tcBorders>
            <w:shd w:val="clear" w:color="000000" w:fill="FFFFFF"/>
            <w:vAlign w:val="center"/>
          </w:tcPr>
          <w:p>
            <w:pPr>
              <w:autoSpaceDE w:val="0"/>
              <w:autoSpaceDN w:val="0"/>
              <w:adjustRightInd w:val="0"/>
              <w:spacing w:line="320" w:lineRule="exact"/>
              <w:rPr>
                <w:rFonts w:ascii="宋体" w:hAnsi="宋体" w:eastAsiaTheme="minorEastAsia" w:cs="宋体" w:hint="eastAsia"/>
                <w:color w:val="000000"/>
                <w:szCs w:val="21"/>
                <w:lang w:val="zh-CN" w:eastAsia="zh-CN"/>
              </w:rPr>
            </w:pPr>
            <w:r>
              <w:rPr>
                <w:rFonts w:ascii="宋体" w:hAnsi="宋体" w:eastAsiaTheme="minorEastAsia" w:cs="宋体" w:hint="eastAsia"/>
                <w:color w:val="000000"/>
                <w:szCs w:val="21"/>
                <w:lang w:val="zh-CN" w:eastAsia="zh-CN"/>
              </w:rPr>
              <w:t>GMDL2022000130</w:t>
            </w:r>
          </w:p>
        </w:tc>
      </w:tr>
      <w:tr>
        <w:tblPrEx>
          <w:tblW w:w="8633" w:type="dxa"/>
          <w:jc w:val="center"/>
          <w:tblInd w:w="0" w:type="dxa"/>
          <w:tblLayout w:type="fixed"/>
          <w:tblCellMar>
            <w:top w:w="0" w:type="dxa"/>
            <w:left w:w="108" w:type="dxa"/>
            <w:bottom w:w="0" w:type="dxa"/>
            <w:right w:w="108" w:type="dxa"/>
          </w:tblCellMar>
        </w:tblPrEx>
        <w:trPr>
          <w:trHeight w:val="575"/>
          <w:jc w:val="center"/>
        </w:trPr>
        <w:tc>
          <w:tcPr>
            <w:tcW w:w="1831" w:type="dxa"/>
            <w:tcBorders>
              <w:top w:val="single" w:sz="2" w:space="0" w:color="000000"/>
              <w:left w:val="single" w:sz="2" w:space="0" w:color="000000"/>
              <w:bottom w:val="single" w:sz="2" w:space="0" w:color="000000"/>
              <w:right w:val="single" w:sz="2" w:space="0" w:color="000000"/>
            </w:tcBorders>
            <w:shd w:val="clear" w:color="000000" w:fill="FFFFFF"/>
            <w:vAlign w:val="center"/>
          </w:tcPr>
          <w:p>
            <w:pPr>
              <w:autoSpaceDE w:val="0"/>
              <w:autoSpaceDN w:val="0"/>
              <w:adjustRightInd w:val="0"/>
              <w:spacing w:line="320" w:lineRule="exact"/>
              <w:jc w:val="center"/>
              <w:rPr>
                <w:rFonts w:ascii="宋体" w:hAnsi="宋体" w:cs="宋体"/>
                <w:color w:val="000000"/>
                <w:szCs w:val="21"/>
                <w:lang w:val="zh-CN"/>
              </w:rPr>
            </w:pPr>
            <w:r>
              <w:rPr>
                <w:rFonts w:ascii="宋体" w:hAnsi="宋体" w:cs="宋体" w:hint="eastAsia"/>
                <w:color w:val="000000"/>
                <w:szCs w:val="21"/>
                <w:lang w:val="zh-CN"/>
              </w:rPr>
              <w:t>项目名称</w:t>
            </w:r>
          </w:p>
        </w:tc>
        <w:tc>
          <w:tcPr>
            <w:tcW w:w="6802" w:type="dxa"/>
            <w:tcBorders>
              <w:top w:val="single" w:sz="2" w:space="0" w:color="000000"/>
              <w:left w:val="single" w:sz="2" w:space="0" w:color="000000"/>
              <w:bottom w:val="single" w:sz="2" w:space="0" w:color="000000"/>
              <w:right w:val="single" w:sz="2" w:space="0" w:color="000000"/>
            </w:tcBorders>
            <w:shd w:val="clear" w:color="000000" w:fill="FFFFFF"/>
            <w:vAlign w:val="center"/>
          </w:tcPr>
          <w:p>
            <w:pPr>
              <w:autoSpaceDE w:val="0"/>
              <w:autoSpaceDN w:val="0"/>
              <w:adjustRightInd w:val="0"/>
              <w:spacing w:before="100" w:after="100" w:line="380" w:lineRule="exact"/>
              <w:rPr>
                <w:rFonts w:ascii="宋体" w:hAnsi="宋体" w:cs="宋体"/>
                <w:color w:val="000000"/>
                <w:szCs w:val="21"/>
                <w:lang w:val="zh-CN"/>
              </w:rPr>
            </w:pPr>
            <w:r>
              <w:rPr>
                <w:rFonts w:ascii="宋体" w:hAnsi="宋体" w:cs="宋体" w:hint="eastAsia"/>
                <w:color w:val="000000"/>
                <w:szCs w:val="21"/>
                <w:lang w:val="zh-CN"/>
              </w:rPr>
              <w:t>光明区区属市政道路病媒生物防制（“四害”消杀）服务</w:t>
            </w:r>
          </w:p>
        </w:tc>
      </w:tr>
      <w:tr>
        <w:tblPrEx>
          <w:tblW w:w="8633" w:type="dxa"/>
          <w:jc w:val="center"/>
          <w:tblInd w:w="0" w:type="dxa"/>
          <w:tblLayout w:type="fixed"/>
          <w:tblCellMar>
            <w:top w:w="0" w:type="dxa"/>
            <w:left w:w="108" w:type="dxa"/>
            <w:bottom w:w="0" w:type="dxa"/>
            <w:right w:w="108" w:type="dxa"/>
          </w:tblCellMar>
        </w:tblPrEx>
        <w:trPr>
          <w:trHeight w:val="641"/>
          <w:jc w:val="center"/>
        </w:trPr>
        <w:tc>
          <w:tcPr>
            <w:tcW w:w="1831" w:type="dxa"/>
            <w:tcBorders>
              <w:top w:val="single" w:sz="2" w:space="0" w:color="000000"/>
              <w:left w:val="single" w:sz="2" w:space="0" w:color="000000"/>
              <w:bottom w:val="single" w:sz="2" w:space="0" w:color="000000"/>
              <w:right w:val="single" w:sz="2" w:space="0" w:color="000000"/>
            </w:tcBorders>
            <w:shd w:val="clear" w:color="000000" w:fill="FFFFFF"/>
            <w:vAlign w:val="center"/>
          </w:tcPr>
          <w:p>
            <w:pPr>
              <w:autoSpaceDE w:val="0"/>
              <w:autoSpaceDN w:val="0"/>
              <w:adjustRightInd w:val="0"/>
              <w:spacing w:line="320" w:lineRule="exact"/>
              <w:jc w:val="center"/>
              <w:rPr>
                <w:rFonts w:ascii="宋体" w:hAnsi="宋体" w:cs="宋体"/>
                <w:color w:val="000000"/>
                <w:szCs w:val="21"/>
                <w:lang w:val="zh-CN"/>
              </w:rPr>
            </w:pPr>
            <w:r>
              <w:rPr>
                <w:rFonts w:ascii="宋体" w:hAnsi="宋体" w:cs="宋体" w:hint="eastAsia"/>
                <w:color w:val="000000"/>
                <w:szCs w:val="21"/>
                <w:lang w:val="zh-CN"/>
              </w:rPr>
              <w:t>预算金额</w:t>
            </w:r>
          </w:p>
        </w:tc>
        <w:tc>
          <w:tcPr>
            <w:tcW w:w="6802" w:type="dxa"/>
            <w:tcBorders>
              <w:top w:val="single" w:sz="2" w:space="0" w:color="000000"/>
              <w:left w:val="single" w:sz="2" w:space="0" w:color="000000"/>
              <w:bottom w:val="single" w:sz="2" w:space="0" w:color="000000"/>
              <w:right w:val="single" w:sz="2" w:space="0" w:color="000000"/>
            </w:tcBorders>
            <w:shd w:val="clear" w:color="000000" w:fill="FFFFFF"/>
            <w:vAlign w:val="center"/>
          </w:tcPr>
          <w:p>
            <w:pPr>
              <w:autoSpaceDE w:val="0"/>
              <w:autoSpaceDN w:val="0"/>
              <w:adjustRightInd w:val="0"/>
              <w:spacing w:after="60" w:line="320" w:lineRule="exact"/>
              <w:rPr>
                <w:rFonts w:ascii="宋体" w:hAnsi="宋体" w:cs="宋体"/>
                <w:b/>
                <w:color w:val="FF0000"/>
                <w:szCs w:val="21"/>
                <w:lang w:val="zh-CN"/>
              </w:rPr>
            </w:pPr>
            <w:r>
              <w:rPr>
                <w:rFonts w:ascii="宋体" w:hAnsi="宋体" w:cs="宋体" w:hint="eastAsia"/>
                <w:color w:val="000000"/>
                <w:szCs w:val="21"/>
                <w:lang w:val="en-US" w:eastAsia="zh-CN"/>
              </w:rPr>
              <w:t>184.51</w:t>
            </w:r>
            <w:r>
              <w:rPr>
                <w:rFonts w:ascii="宋体" w:hAnsi="宋体" w:cs="宋体" w:hint="eastAsia"/>
                <w:color w:val="000000"/>
                <w:szCs w:val="21"/>
              </w:rPr>
              <w:t>万元（超出预算金额的投标报价将被作为无效投标处理）</w:t>
            </w:r>
          </w:p>
        </w:tc>
      </w:tr>
      <w:tr>
        <w:tblPrEx>
          <w:tblW w:w="8633" w:type="dxa"/>
          <w:jc w:val="center"/>
          <w:tblInd w:w="0" w:type="dxa"/>
          <w:tblLayout w:type="fixed"/>
          <w:tblCellMar>
            <w:top w:w="0" w:type="dxa"/>
            <w:left w:w="108" w:type="dxa"/>
            <w:bottom w:w="0" w:type="dxa"/>
            <w:right w:w="108" w:type="dxa"/>
          </w:tblCellMar>
        </w:tblPrEx>
        <w:trPr>
          <w:trHeight w:val="641"/>
          <w:jc w:val="center"/>
        </w:trPr>
        <w:tc>
          <w:tcPr>
            <w:tcW w:w="1831" w:type="dxa"/>
            <w:tcBorders>
              <w:top w:val="single" w:sz="2" w:space="0" w:color="000000"/>
              <w:left w:val="single" w:sz="2" w:space="0" w:color="000000"/>
              <w:bottom w:val="single" w:sz="2" w:space="0" w:color="000000"/>
              <w:right w:val="single" w:sz="2" w:space="0" w:color="000000"/>
            </w:tcBorders>
            <w:shd w:val="clear" w:color="000000" w:fill="FFFFFF"/>
            <w:vAlign w:val="center"/>
          </w:tcPr>
          <w:p>
            <w:pPr>
              <w:autoSpaceDE w:val="0"/>
              <w:autoSpaceDN w:val="0"/>
              <w:adjustRightInd w:val="0"/>
              <w:spacing w:line="320" w:lineRule="exact"/>
              <w:jc w:val="center"/>
              <w:rPr>
                <w:rFonts w:ascii="宋体" w:hAnsi="宋体" w:cs="宋体"/>
                <w:color w:val="000000"/>
                <w:szCs w:val="21"/>
                <w:lang w:val="zh-CN"/>
              </w:rPr>
            </w:pPr>
            <w:r>
              <w:rPr>
                <w:rFonts w:ascii="宋体" w:hAnsi="宋体" w:cs="宋体" w:hint="eastAsia"/>
                <w:color w:val="000000"/>
                <w:szCs w:val="21"/>
                <w:lang w:val="zh-CN"/>
              </w:rPr>
              <w:t>备注</w:t>
            </w:r>
          </w:p>
        </w:tc>
        <w:tc>
          <w:tcPr>
            <w:tcW w:w="6802" w:type="dxa"/>
            <w:tcBorders>
              <w:top w:val="single" w:sz="2" w:space="0" w:color="000000"/>
              <w:left w:val="single" w:sz="2" w:space="0" w:color="000000"/>
              <w:bottom w:val="single" w:sz="2" w:space="0" w:color="000000"/>
              <w:right w:val="single" w:sz="2" w:space="0" w:color="000000"/>
            </w:tcBorders>
            <w:shd w:val="clear" w:color="000000" w:fill="FFFFFF"/>
            <w:vAlign w:val="center"/>
          </w:tcPr>
          <w:p>
            <w:pPr>
              <w:autoSpaceDE w:val="0"/>
              <w:autoSpaceDN w:val="0"/>
              <w:adjustRightInd w:val="0"/>
              <w:spacing w:after="60" w:line="320" w:lineRule="exact"/>
              <w:rPr>
                <w:rFonts w:ascii="宋体" w:hAnsi="宋体" w:cs="宋体"/>
                <w:b/>
                <w:color w:val="FF0000"/>
                <w:szCs w:val="21"/>
                <w:lang w:val="zh-CN"/>
              </w:rPr>
            </w:pPr>
            <w:r>
              <w:rPr>
                <w:rFonts w:ascii="宋体" w:hAnsi="宋体" w:cs="宋体" w:hint="eastAsia"/>
                <w:b/>
                <w:color w:val="FF0000"/>
                <w:szCs w:val="21"/>
              </w:rPr>
              <w:t>开标一览表“完工期”建议填写“</w:t>
            </w:r>
            <w:r>
              <w:rPr>
                <w:rFonts w:ascii="宋体" w:hAnsi="宋体" w:cs="宋体" w:hint="eastAsia"/>
                <w:b/>
                <w:color w:val="FF0000"/>
                <w:szCs w:val="21"/>
                <w:lang w:val="en-US" w:eastAsia="zh-CN"/>
              </w:rPr>
              <w:t>12</w:t>
            </w:r>
            <w:r>
              <w:rPr>
                <w:rFonts w:ascii="宋体" w:hAnsi="宋体" w:cs="宋体" w:hint="eastAsia"/>
                <w:b/>
                <w:color w:val="FF0000"/>
                <w:szCs w:val="21"/>
              </w:rPr>
              <w:t>个月”。</w:t>
            </w:r>
          </w:p>
        </w:tc>
      </w:tr>
    </w:tbl>
    <w:p>
      <w:pPr>
        <w:rPr>
          <w:szCs w:val="21"/>
        </w:rPr>
      </w:pPr>
      <w:r>
        <w:rPr>
          <w:rFonts w:hint="eastAsia"/>
          <w:szCs w:val="21"/>
        </w:rPr>
        <w:t>备注：使用《投标书编制软件》填写“开标一览表”，开标一览表除“投标总价”外，“交货期（服务期或完工期）”、“备注”、“数量”等其他信息填写不作评审依据。）</w:t>
      </w:r>
    </w:p>
    <w:p/>
    <w:p>
      <w:pPr>
        <w:pStyle w:val="Heading3"/>
        <w:rPr>
          <w:color w:val="000000"/>
          <w:szCs w:val="28"/>
          <w:lang w:val="zh-CN"/>
        </w:rPr>
      </w:pPr>
      <w:r>
        <w:rPr>
          <w:rFonts w:hint="eastAsia"/>
          <w:color w:val="000000"/>
          <w:szCs w:val="28"/>
          <w:lang w:val="zh-CN"/>
        </w:rPr>
        <w:t>三、</w:t>
      </w:r>
      <w:bookmarkStart w:id="14" w:name="_Hlk72073432"/>
      <w:r>
        <w:rPr>
          <w:rFonts w:hint="eastAsia"/>
          <w:color w:val="000000"/>
          <w:szCs w:val="28"/>
          <w:lang w:val="zh-CN"/>
        </w:rPr>
        <w:t>服务需求明细</w:t>
      </w:r>
      <w:bookmarkEnd w:id="14"/>
    </w:p>
    <w:tbl>
      <w:tblPr>
        <w:tblStyle w:val="TableNormal"/>
        <w:tblpPr w:leftFromText="180" w:rightFromText="180" w:vertAnchor="text" w:horzAnchor="margin" w:tblpXSpec="center" w:tblpY="173"/>
        <w:tblW w:w="8849"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70"/>
        <w:gridCol w:w="3635"/>
        <w:gridCol w:w="3137"/>
        <w:gridCol w:w="825"/>
        <w:gridCol w:w="782"/>
      </w:tblGrid>
      <w:tr>
        <w:tblPrEx>
          <w:tblW w:w="8849"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527"/>
        </w:trPr>
        <w:tc>
          <w:tcPr>
            <w:tcW w:w="470" w:type="dxa"/>
            <w:vAlign w:val="center"/>
          </w:tcPr>
          <w:p>
            <w:pPr>
              <w:jc w:val="center"/>
              <w:rPr>
                <w:bCs/>
                <w:szCs w:val="21"/>
              </w:rPr>
            </w:pPr>
            <w:r>
              <w:rPr>
                <w:rFonts w:hint="eastAsia"/>
                <w:bCs/>
                <w:szCs w:val="21"/>
              </w:rPr>
              <w:t>序号</w:t>
            </w:r>
          </w:p>
        </w:tc>
        <w:tc>
          <w:tcPr>
            <w:tcW w:w="3635" w:type="dxa"/>
            <w:vAlign w:val="center"/>
          </w:tcPr>
          <w:p>
            <w:pPr>
              <w:jc w:val="center"/>
              <w:rPr>
                <w:bCs/>
                <w:szCs w:val="21"/>
              </w:rPr>
            </w:pPr>
            <w:r>
              <w:rPr>
                <w:rFonts w:hint="eastAsia"/>
                <w:szCs w:val="21"/>
              </w:rPr>
              <w:t>采购计划编号</w:t>
            </w:r>
          </w:p>
        </w:tc>
        <w:tc>
          <w:tcPr>
            <w:tcW w:w="3137" w:type="dxa"/>
            <w:vAlign w:val="center"/>
          </w:tcPr>
          <w:p>
            <w:pPr>
              <w:jc w:val="center"/>
              <w:rPr>
                <w:bCs/>
                <w:szCs w:val="21"/>
              </w:rPr>
            </w:pPr>
            <w:r>
              <w:rPr>
                <w:rFonts w:hint="eastAsia"/>
                <w:bCs/>
                <w:szCs w:val="21"/>
              </w:rPr>
              <w:t>服务需求名称（标的名称）</w:t>
            </w:r>
          </w:p>
        </w:tc>
        <w:tc>
          <w:tcPr>
            <w:tcW w:w="825" w:type="dxa"/>
            <w:vAlign w:val="center"/>
          </w:tcPr>
          <w:p>
            <w:pPr>
              <w:jc w:val="center"/>
              <w:rPr>
                <w:bCs/>
                <w:szCs w:val="21"/>
              </w:rPr>
            </w:pPr>
            <w:r>
              <w:rPr>
                <w:rFonts w:hint="eastAsia"/>
                <w:bCs/>
                <w:szCs w:val="21"/>
              </w:rPr>
              <w:t>数量</w:t>
            </w:r>
          </w:p>
        </w:tc>
        <w:tc>
          <w:tcPr>
            <w:tcW w:w="782" w:type="dxa"/>
            <w:vAlign w:val="center"/>
          </w:tcPr>
          <w:p>
            <w:pPr>
              <w:jc w:val="center"/>
              <w:rPr>
                <w:bCs/>
                <w:szCs w:val="21"/>
              </w:rPr>
            </w:pPr>
            <w:r>
              <w:rPr>
                <w:rFonts w:hint="eastAsia"/>
                <w:bCs/>
                <w:szCs w:val="21"/>
              </w:rPr>
              <w:t>单位</w:t>
            </w:r>
          </w:p>
        </w:tc>
      </w:tr>
      <w:tr>
        <w:tblPrEx>
          <w:tblW w:w="8849" w:type="dxa"/>
          <w:tblInd w:w="-169" w:type="dxa"/>
          <w:tblLayout w:type="fixed"/>
          <w:tblCellMar>
            <w:top w:w="0" w:type="dxa"/>
            <w:left w:w="108" w:type="dxa"/>
            <w:bottom w:w="0" w:type="dxa"/>
            <w:right w:w="108" w:type="dxa"/>
          </w:tblCellMar>
        </w:tblPrEx>
        <w:trPr>
          <w:trHeight w:val="541"/>
        </w:trPr>
        <w:tc>
          <w:tcPr>
            <w:tcW w:w="470" w:type="dxa"/>
            <w:vAlign w:val="center"/>
          </w:tcPr>
          <w:p>
            <w:pPr>
              <w:jc w:val="center"/>
              <w:rPr>
                <w:bCs/>
                <w:szCs w:val="21"/>
              </w:rPr>
            </w:pPr>
            <w:r>
              <w:rPr>
                <w:rFonts w:hint="eastAsia"/>
                <w:bCs/>
                <w:szCs w:val="21"/>
              </w:rPr>
              <w:t>1</w:t>
            </w:r>
          </w:p>
        </w:tc>
        <w:tc>
          <w:tcPr>
            <w:tcW w:w="3635" w:type="dxa"/>
            <w:vAlign w:val="center"/>
          </w:tcPr>
          <w:p>
            <w:pPr>
              <w:jc w:val="center"/>
              <w:rPr>
                <w:bCs/>
                <w:color w:val="000000"/>
                <w:szCs w:val="21"/>
              </w:rPr>
            </w:pPr>
            <w:r>
              <w:rPr>
                <w:rFonts w:hint="eastAsia"/>
                <w:bCs/>
                <w:color w:val="000000"/>
                <w:szCs w:val="21"/>
              </w:rPr>
              <w:t>PLAN-2022-440311000-118003-04191</w:t>
            </w:r>
          </w:p>
        </w:tc>
        <w:tc>
          <w:tcPr>
            <w:tcW w:w="3137" w:type="dxa"/>
            <w:vAlign w:val="center"/>
          </w:tcPr>
          <w:p>
            <w:pPr>
              <w:jc w:val="center"/>
            </w:pPr>
            <w:r>
              <w:rPr>
                <w:rFonts w:ascii="宋体" w:hAnsi="宋体" w:cs="宋体" w:hint="eastAsia"/>
                <w:color w:val="000000"/>
                <w:szCs w:val="21"/>
                <w:lang w:val="zh-CN"/>
              </w:rPr>
              <w:t>光明区区属市政道路病媒生物防制（“四害”消杀）服务</w:t>
            </w:r>
          </w:p>
        </w:tc>
        <w:tc>
          <w:tcPr>
            <w:tcW w:w="825" w:type="dxa"/>
            <w:vAlign w:val="center"/>
          </w:tcPr>
          <w:p>
            <w:pPr>
              <w:jc w:val="center"/>
              <w:rPr>
                <w:bCs/>
                <w:szCs w:val="21"/>
              </w:rPr>
            </w:pPr>
            <w:r>
              <w:t>1</w:t>
            </w:r>
          </w:p>
        </w:tc>
        <w:tc>
          <w:tcPr>
            <w:tcW w:w="782" w:type="dxa"/>
            <w:vAlign w:val="center"/>
          </w:tcPr>
          <w:p>
            <w:pPr>
              <w:jc w:val="center"/>
              <w:rPr>
                <w:bCs/>
                <w:szCs w:val="21"/>
              </w:rPr>
            </w:pPr>
            <w:r>
              <w:rPr>
                <w:rFonts w:hint="eastAsia"/>
                <w:bCs/>
                <w:szCs w:val="21"/>
              </w:rPr>
              <w:t>项</w:t>
            </w:r>
          </w:p>
        </w:tc>
      </w:tr>
      <w:tr>
        <w:tblPrEx>
          <w:tblW w:w="8849" w:type="dxa"/>
          <w:tblInd w:w="-169" w:type="dxa"/>
          <w:tblLayout w:type="fixed"/>
          <w:tblCellMar>
            <w:top w:w="0" w:type="dxa"/>
            <w:left w:w="108" w:type="dxa"/>
            <w:bottom w:w="0" w:type="dxa"/>
            <w:right w:w="108" w:type="dxa"/>
          </w:tblCellMar>
        </w:tblPrEx>
        <w:trPr>
          <w:trHeight w:val="541"/>
        </w:trPr>
        <w:tc>
          <w:tcPr>
            <w:tcW w:w="470" w:type="dxa"/>
            <w:vAlign w:val="center"/>
          </w:tcPr>
          <w:p>
            <w:pPr>
              <w:jc w:val="center"/>
              <w:rPr>
                <w:rFonts w:eastAsiaTheme="minorEastAsia" w:hint="eastAsia"/>
                <w:bCs/>
                <w:szCs w:val="21"/>
                <w:lang w:val="en-US" w:eastAsia="zh-CN"/>
              </w:rPr>
            </w:pPr>
            <w:r>
              <w:rPr>
                <w:rFonts w:hint="eastAsia"/>
                <w:bCs/>
                <w:szCs w:val="21"/>
                <w:lang w:val="en-US" w:eastAsia="zh-CN"/>
              </w:rPr>
              <w:t>2</w:t>
            </w:r>
          </w:p>
        </w:tc>
        <w:tc>
          <w:tcPr>
            <w:tcW w:w="3635" w:type="dxa"/>
            <w:vAlign w:val="center"/>
          </w:tcPr>
          <w:p>
            <w:pPr>
              <w:jc w:val="center"/>
              <w:rPr>
                <w:bCs/>
                <w:color w:val="000000"/>
                <w:szCs w:val="21"/>
              </w:rPr>
            </w:pPr>
            <w:r>
              <w:rPr>
                <w:rFonts w:hint="eastAsia"/>
                <w:bCs/>
                <w:color w:val="000000"/>
                <w:szCs w:val="21"/>
              </w:rPr>
              <w:t>PLAN-2022-440311000-118003-04190</w:t>
            </w:r>
          </w:p>
        </w:tc>
        <w:tc>
          <w:tcPr>
            <w:tcW w:w="3137" w:type="dxa"/>
            <w:vAlign w:val="center"/>
          </w:tcPr>
          <w:p>
            <w:pPr>
              <w:jc w:val="center"/>
              <w:rPr>
                <w:rFonts w:ascii="宋体" w:hAnsi="宋体" w:cs="宋体" w:hint="eastAsia"/>
                <w:color w:val="000000"/>
                <w:szCs w:val="21"/>
                <w:lang w:val="zh-CN"/>
              </w:rPr>
            </w:pPr>
            <w:r>
              <w:rPr>
                <w:rFonts w:ascii="宋体" w:hAnsi="宋体" w:cs="宋体" w:hint="eastAsia"/>
                <w:color w:val="000000"/>
                <w:szCs w:val="21"/>
                <w:lang w:val="zh-CN"/>
              </w:rPr>
              <w:t>光明区区属市政道路病媒生物防制（“四害”消杀）服务</w:t>
            </w:r>
          </w:p>
        </w:tc>
        <w:tc>
          <w:tcPr>
            <w:tcW w:w="825" w:type="dxa"/>
            <w:vAlign w:val="center"/>
          </w:tcPr>
          <w:p>
            <w:pPr>
              <w:jc w:val="center"/>
            </w:pPr>
            <w:r>
              <w:t>1</w:t>
            </w:r>
          </w:p>
        </w:tc>
        <w:tc>
          <w:tcPr>
            <w:tcW w:w="782" w:type="dxa"/>
            <w:vAlign w:val="center"/>
          </w:tcPr>
          <w:p>
            <w:pPr>
              <w:jc w:val="center"/>
              <w:rPr>
                <w:rFonts w:hint="eastAsia"/>
                <w:bCs/>
                <w:szCs w:val="21"/>
              </w:rPr>
            </w:pPr>
            <w:r>
              <w:rPr>
                <w:rFonts w:hint="eastAsia"/>
                <w:bCs/>
                <w:szCs w:val="21"/>
              </w:rPr>
              <w:t>项</w:t>
            </w:r>
          </w:p>
        </w:tc>
      </w:tr>
    </w:tbl>
    <w:p>
      <w:pPr>
        <w:rPr>
          <w:rFonts w:ascii="宋体" w:hAnsi="宋体"/>
          <w:b/>
          <w:color w:val="FF0000"/>
          <w:szCs w:val="21"/>
        </w:rPr>
      </w:pPr>
    </w:p>
    <w:p>
      <w:pPr>
        <w:pStyle w:val="a"/>
        <w:ind w:firstLine="840" w:firstLineChars="350"/>
        <w:rPr>
          <w:szCs w:val="24"/>
        </w:rPr>
      </w:pPr>
    </w:p>
    <w:p>
      <w:pPr>
        <w:pStyle w:val="a"/>
        <w:ind w:firstLine="480"/>
        <w:rPr>
          <w:lang w:val="zh-CN"/>
        </w:rPr>
      </w:pPr>
    </w:p>
    <w:p>
      <w:pPr>
        <w:pStyle w:val="a"/>
        <w:ind w:firstLine="480"/>
        <w:rPr>
          <w:lang w:val="zh-CN"/>
        </w:rPr>
      </w:pPr>
    </w:p>
    <w:p>
      <w:pPr>
        <w:pStyle w:val="a"/>
        <w:ind w:firstLine="480"/>
        <w:rPr>
          <w:lang w:val="zh-CN"/>
        </w:rPr>
      </w:pPr>
    </w:p>
    <w:p>
      <w:pPr>
        <w:pStyle w:val="Heading3"/>
        <w:rPr>
          <w:color w:val="000000"/>
          <w:szCs w:val="28"/>
          <w:lang w:val="zh-CN"/>
        </w:rPr>
      </w:pPr>
      <w:r>
        <w:rPr>
          <w:rFonts w:hint="eastAsia"/>
          <w:color w:val="000000"/>
          <w:szCs w:val="28"/>
          <w:lang w:val="zh-CN"/>
        </w:rPr>
        <w:t>四、实质性条款</w:t>
      </w:r>
    </w:p>
    <w:tbl>
      <w:tblPr>
        <w:tblStyle w:val="TableNormal"/>
        <w:tblW w:w="81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05"/>
        <w:gridCol w:w="7483"/>
      </w:tblGrid>
      <w:tr>
        <w:tblPrEx>
          <w:tblW w:w="818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705" w:type="dxa"/>
          </w:tcPr>
          <w:p>
            <w:pPr>
              <w:adjustRightInd w:val="0"/>
              <w:snapToGrid w:val="0"/>
              <w:spacing w:line="360" w:lineRule="auto"/>
              <w:rPr>
                <w:rFonts w:ascii="宋体" w:hAnsi="宋体"/>
                <w:szCs w:val="21"/>
                <w:highlight w:val="cyan"/>
              </w:rPr>
            </w:pPr>
            <w:r>
              <w:rPr>
                <w:rFonts w:ascii="宋体" w:hAnsi="宋体" w:hint="eastAsia"/>
                <w:szCs w:val="21"/>
                <w:highlight w:val="cyan"/>
              </w:rPr>
              <w:t>序号</w:t>
            </w:r>
          </w:p>
        </w:tc>
        <w:tc>
          <w:tcPr>
            <w:tcW w:w="7483" w:type="dxa"/>
          </w:tcPr>
          <w:p>
            <w:pPr>
              <w:adjustRightInd w:val="0"/>
              <w:snapToGrid w:val="0"/>
              <w:spacing w:line="360" w:lineRule="auto"/>
              <w:rPr>
                <w:rFonts w:ascii="宋体" w:hAnsi="宋体"/>
                <w:szCs w:val="21"/>
                <w:highlight w:val="cyan"/>
              </w:rPr>
            </w:pPr>
            <w:r>
              <w:rPr>
                <w:rFonts w:ascii="宋体" w:hAnsi="宋体" w:hint="eastAsia"/>
                <w:szCs w:val="21"/>
                <w:highlight w:val="cyan"/>
              </w:rPr>
              <w:t>具体内容</w:t>
            </w:r>
          </w:p>
        </w:tc>
      </w:tr>
      <w:tr>
        <w:tblPrEx>
          <w:tblW w:w="8188" w:type="dxa"/>
          <w:tblInd w:w="0" w:type="dxa"/>
          <w:tblLayout w:type="fixed"/>
          <w:tblCellMar>
            <w:top w:w="0" w:type="dxa"/>
            <w:left w:w="108" w:type="dxa"/>
            <w:bottom w:w="0" w:type="dxa"/>
            <w:right w:w="108" w:type="dxa"/>
          </w:tblCellMar>
        </w:tblPrEx>
        <w:tc>
          <w:tcPr>
            <w:tcW w:w="705" w:type="dxa"/>
          </w:tcPr>
          <w:p>
            <w:pPr>
              <w:adjustRightInd w:val="0"/>
              <w:snapToGrid w:val="0"/>
              <w:spacing w:line="360" w:lineRule="auto"/>
              <w:rPr>
                <w:rFonts w:hAnsi="宋体"/>
                <w:szCs w:val="21"/>
                <w:highlight w:val="cyan"/>
              </w:rPr>
            </w:pPr>
            <w:r>
              <w:rPr>
                <w:rFonts w:hAnsi="宋体" w:hint="eastAsia"/>
                <w:szCs w:val="21"/>
                <w:highlight w:val="cyan"/>
              </w:rPr>
              <w:t>1</w:t>
            </w:r>
          </w:p>
        </w:tc>
        <w:tc>
          <w:tcPr>
            <w:tcW w:w="7483" w:type="dxa"/>
          </w:tcPr>
          <w:p>
            <w:pPr>
              <w:adjustRightInd w:val="0"/>
              <w:snapToGrid w:val="0"/>
              <w:spacing w:line="360" w:lineRule="auto"/>
              <w:rPr>
                <w:rFonts w:hAnsi="宋体"/>
                <w:szCs w:val="21"/>
                <w:highlight w:val="cyan"/>
              </w:rPr>
            </w:pPr>
            <w:r>
              <w:rPr>
                <w:rFonts w:hAnsi="宋体" w:hint="eastAsia"/>
                <w:szCs w:val="21"/>
                <w:highlight w:val="cyan"/>
              </w:rPr>
              <w:t>★完全满足本项目服务期限的要求。</w:t>
            </w:r>
          </w:p>
        </w:tc>
      </w:tr>
    </w:tbl>
    <w:p>
      <w:pPr>
        <w:pStyle w:val="a"/>
        <w:ind w:firstLine="0" w:firstLineChars="0"/>
        <w:rPr>
          <w:sz w:val="21"/>
          <w:szCs w:val="21"/>
        </w:rPr>
      </w:pPr>
      <w:r>
        <w:rPr>
          <w:rFonts w:hint="eastAsia"/>
          <w:sz w:val="24"/>
          <w:szCs w:val="24"/>
        </w:rPr>
        <w:t>注：上表所列内容为不可负偏离条款，负偏离将视为未实质性满足招标文件要求作投标无效处理。</w:t>
      </w:r>
    </w:p>
    <w:p>
      <w:pPr>
        <w:pStyle w:val="Heading3"/>
        <w:spacing w:line="400" w:lineRule="exact"/>
        <w:rPr>
          <w:color w:val="000000"/>
          <w:szCs w:val="28"/>
          <w:lang w:val="zh-CN"/>
        </w:rPr>
      </w:pPr>
      <w:r>
        <w:rPr>
          <w:rFonts w:hint="eastAsia"/>
          <w:color w:val="000000"/>
          <w:szCs w:val="28"/>
          <w:lang w:val="zh-CN"/>
        </w:rPr>
        <w:t>五、项目概况</w:t>
      </w:r>
    </w:p>
    <w:p>
      <w:pPr>
        <w:pStyle w:val="a"/>
        <w:ind w:firstLine="480"/>
        <w:rPr>
          <w:rFonts w:asciiTheme="minorEastAsia" w:hAnsiTheme="minorEastAsia"/>
          <w:szCs w:val="24"/>
        </w:rPr>
      </w:pPr>
      <w:r>
        <w:rPr>
          <w:rFonts w:asciiTheme="minorEastAsia" w:hAnsiTheme="minorEastAsia" w:hint="eastAsia"/>
          <w:szCs w:val="24"/>
        </w:rPr>
        <w:t>为光明区城市管理和综合执法局市政环境综合服务中心管理的市政道路的绿化带、井沟、广场以及其他属于光明区城市管理和综合执法局市政环境综合服务中心管理的公共区域提供病媒生物防制消杀服务。</w:t>
      </w:r>
    </w:p>
    <w:p>
      <w:pPr>
        <w:pStyle w:val="Heading3"/>
        <w:spacing w:line="400" w:lineRule="exact"/>
        <w:rPr>
          <w:color w:val="000000"/>
          <w:szCs w:val="28"/>
          <w:lang w:val="zh-CN"/>
        </w:rPr>
      </w:pPr>
      <w:r>
        <w:rPr>
          <w:rFonts w:hint="eastAsia"/>
          <w:color w:val="000000"/>
          <w:szCs w:val="28"/>
          <w:lang w:val="zh-CN"/>
        </w:rPr>
        <w:t>六、服务范围</w:t>
      </w:r>
    </w:p>
    <w:p>
      <w:pPr>
        <w:spacing w:line="360" w:lineRule="auto"/>
        <w:ind w:firstLine="480" w:firstLineChars="200"/>
        <w:rPr>
          <w:rFonts w:ascii="宋体" w:hAnsi="宋体"/>
          <w:bCs/>
        </w:rPr>
      </w:pPr>
      <w:r>
        <w:rPr>
          <w:rFonts w:ascii="宋体" w:hAnsi="宋体" w:hint="eastAsia"/>
          <w:bCs/>
        </w:rPr>
        <w:t>光明大道(华夏路～南光高速）、观光路（龙大高速～光明大道）、华夏路（光侨路～双明大道）、华裕路（光明大道～双明大道）等道路绿化带、井沟、广场以及其他属于光明区市政服务中心管理的公共区域进行病媒生物防制消杀，招标面积约为</w:t>
      </w:r>
      <w:r>
        <w:rPr>
          <w:rFonts w:ascii="宋体" w:hAnsi="宋体" w:hint="eastAsia"/>
          <w:bCs/>
          <w:lang w:eastAsia="zh-CN"/>
        </w:rPr>
        <w:t>7687675.65</w:t>
      </w:r>
      <w:r>
        <w:rPr>
          <w:rFonts w:ascii="宋体" w:hAnsi="宋体" w:hint="eastAsia"/>
          <w:bCs/>
          <w:lang w:val="en-US" w:eastAsia="zh-CN"/>
        </w:rPr>
        <w:t>平方米</w:t>
      </w:r>
      <w:r>
        <w:rPr>
          <w:rFonts w:ascii="宋体" w:hAnsi="宋体" w:hint="eastAsia"/>
          <w:bCs/>
        </w:rPr>
        <w:t>，最终面积以光明区城市管理和综合执法局测绘核定数据为准。</w:t>
      </w:r>
    </w:p>
    <w:p>
      <w:pPr>
        <w:pageBreakBefore w:val="0"/>
        <w:kinsoku/>
        <w:wordWrap/>
        <w:overflowPunct/>
        <w:topLinePunct w:val="0"/>
        <w:autoSpaceDE/>
        <w:autoSpaceDN/>
        <w:bidi w:val="0"/>
        <w:snapToGrid/>
        <w:spacing w:line="360" w:lineRule="auto"/>
        <w:ind w:firstLine="240" w:firstLineChars="100"/>
        <w:jc w:val="center"/>
        <w:rPr>
          <w:rFonts w:asciiTheme="minorEastAsia" w:eastAsiaTheme="minorEastAsia" w:hAnsiTheme="minorEastAsia" w:cstheme="minorEastAsia" w:hint="eastAsia"/>
          <w:b/>
          <w:kern w:val="0"/>
          <w:sz w:val="24"/>
          <w:szCs w:val="24"/>
        </w:rPr>
      </w:pPr>
      <w:r>
        <w:rPr>
          <w:rFonts w:asciiTheme="minorEastAsia" w:eastAsiaTheme="minorEastAsia" w:hAnsiTheme="minorEastAsia" w:cstheme="minorEastAsia" w:hint="eastAsia"/>
          <w:b/>
          <w:kern w:val="0"/>
          <w:sz w:val="24"/>
          <w:szCs w:val="24"/>
        </w:rPr>
        <w:t>区属市政道路病媒生物防制消杀服务道路面积明细表</w:t>
      </w:r>
    </w:p>
    <w:p>
      <w:pPr>
        <w:spacing w:line="360" w:lineRule="auto"/>
        <w:ind w:firstLine="480" w:firstLineChars="200"/>
        <w:rPr>
          <w:sz w:val="24"/>
          <w:szCs w:val="24"/>
        </w:rPr>
      </w:pPr>
      <w:r>
        <w:rPr>
          <w:rFonts w:asciiTheme="minorEastAsia" w:eastAsiaTheme="minorEastAsia" w:hAnsiTheme="minorEastAsia" w:cstheme="minorEastAsia" w:hint="eastAsia"/>
          <w:sz w:val="24"/>
          <w:szCs w:val="24"/>
        </w:rPr>
        <w:t>说明（接上表）：各路段面积可能存在误差，招标人和投标人均认为该面积为有效面积，在投标过程中和最终签定的合同中均以此面积为准,不能因为此面积存在的误差而发生纠纷。具体范围以光明区城市管理和综合执法局现场指定的位置为准。在履约期间,当道路面积发生变动时,则以光明区城市管理和综合执法局实际测绘面积为准。</w:t>
      </w:r>
      <w:r>
        <w:rPr>
          <w:rFonts w:asciiTheme="minorEastAsia" w:eastAsiaTheme="minorEastAsia" w:hAnsiTheme="minorEastAsia" w:cstheme="minorEastAsia" w:hint="eastAsia"/>
          <w:sz w:val="24"/>
          <w:szCs w:val="24"/>
          <w:lang w:eastAsia="zh-CN"/>
        </w:rPr>
        <w:t>（详见附件）</w:t>
      </w:r>
    </w:p>
    <w:p>
      <w:pPr>
        <w:pStyle w:val="Heading3"/>
        <w:spacing w:line="400" w:lineRule="exact"/>
        <w:rPr>
          <w:bCs/>
          <w:szCs w:val="21"/>
        </w:rPr>
      </w:pPr>
      <w:r>
        <w:rPr>
          <w:rFonts w:hint="eastAsia"/>
          <w:color w:val="000000"/>
          <w:szCs w:val="28"/>
          <w:lang w:val="zh-CN"/>
        </w:rPr>
        <w:t>七、服务内容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eastAsiaTheme="minorEastAsia" w:hAnsiTheme="minorEastAsia" w:cstheme="minorEastAsia" w:hint="eastAsia"/>
          <w:kern w:val="2"/>
          <w:sz w:val="24"/>
          <w:szCs w:val="24"/>
        </w:rPr>
      </w:pPr>
      <w:r>
        <w:rPr>
          <w:rFonts w:asciiTheme="minorEastAsia" w:eastAsiaTheme="minorEastAsia" w:hAnsiTheme="minorEastAsia" w:cstheme="minorEastAsia" w:hint="eastAsia"/>
          <w:kern w:val="2"/>
          <w:sz w:val="24"/>
          <w:szCs w:val="24"/>
        </w:rPr>
        <w:t>（1）防制范围内的除“四害”工作应按照招标人要求，确保服务区域内“四害”密度达到国家卫生城市验收标准和要求，使病媒生物密度达到国家标准。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eastAsiaTheme="minorEastAsia" w:hAnsiTheme="minorEastAsia" w:cstheme="minorEastAsia" w:hint="eastAsia"/>
          <w:kern w:val="2"/>
          <w:sz w:val="24"/>
          <w:szCs w:val="24"/>
        </w:rPr>
      </w:pPr>
      <w:r>
        <w:rPr>
          <w:rFonts w:asciiTheme="minorEastAsia" w:eastAsiaTheme="minorEastAsia" w:hAnsiTheme="minorEastAsia" w:cstheme="minorEastAsia" w:hint="eastAsia"/>
          <w:kern w:val="2"/>
          <w:sz w:val="24"/>
          <w:szCs w:val="24"/>
        </w:rPr>
        <w:t>（2）投标人中标后应在10天内进场并在光明区内设置固定办公点，并设置固定联系电话，建立24小时值班制度，应付突发事件的发生。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Theme="minorEastAsia" w:eastAsiaTheme="minorEastAsia" w:hAnsiTheme="minorEastAsia" w:cstheme="minorEastAsia" w:hint="eastAsia"/>
          <w:kern w:val="2"/>
          <w:sz w:val="24"/>
          <w:szCs w:val="24"/>
        </w:rPr>
      </w:pPr>
      <w:r>
        <w:rPr>
          <w:rFonts w:asciiTheme="minorEastAsia" w:eastAsiaTheme="minorEastAsia" w:hAnsiTheme="minorEastAsia" w:cstheme="minorEastAsia" w:hint="eastAsia"/>
          <w:kern w:val="2"/>
          <w:sz w:val="24"/>
          <w:szCs w:val="24"/>
        </w:rPr>
        <w:t>（3）本项目最低要求配备人员18人，详见人员及设备配置表。</w:t>
      </w:r>
    </w:p>
    <w:p>
      <w:pPr>
        <w:ind w:left="907"/>
        <w:jc w:val="center"/>
        <w:rPr>
          <w:rFonts w:asciiTheme="minorEastAsia" w:eastAsiaTheme="minorEastAsia" w:hAnsiTheme="minorEastAsia" w:cstheme="minorEastAsia" w:hint="eastAsia"/>
          <w:b/>
          <w:bCs/>
          <w:sz w:val="21"/>
          <w:szCs w:val="21"/>
        </w:rPr>
      </w:pPr>
      <w:r>
        <w:rPr>
          <w:rFonts w:asciiTheme="minorEastAsia" w:eastAsiaTheme="minorEastAsia" w:hAnsiTheme="minorEastAsia" w:cstheme="minorEastAsia" w:hint="eastAsia"/>
          <w:b/>
          <w:bCs/>
          <w:sz w:val="21"/>
          <w:szCs w:val="21"/>
        </w:rPr>
        <w:t>人员及设备配置表</w:t>
      </w:r>
    </w:p>
    <w:tbl>
      <w:tblPr>
        <w:tblStyle w:val="TableNormal"/>
        <w:tblW w:w="1005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555"/>
        <w:gridCol w:w="4077"/>
        <w:gridCol w:w="1470"/>
        <w:gridCol w:w="990"/>
        <w:gridCol w:w="1959"/>
      </w:tblGrid>
      <w:tr>
        <w:tblPrEx>
          <w:tblW w:w="1005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01"/>
          <w:jc w:val="center"/>
        </w:trPr>
        <w:tc>
          <w:tcPr>
            <w:tcW w:w="1555"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序号</w:t>
            </w:r>
          </w:p>
        </w:tc>
        <w:tc>
          <w:tcPr>
            <w:tcW w:w="407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人员及设备类别</w:t>
            </w:r>
          </w:p>
        </w:tc>
        <w:tc>
          <w:tcPr>
            <w:tcW w:w="147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数量</w:t>
            </w:r>
          </w:p>
        </w:tc>
        <w:tc>
          <w:tcPr>
            <w:tcW w:w="99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单位</w:t>
            </w:r>
          </w:p>
        </w:tc>
        <w:tc>
          <w:tcPr>
            <w:tcW w:w="1959"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备注</w:t>
            </w:r>
          </w:p>
        </w:tc>
      </w:tr>
      <w:tr>
        <w:tblPrEx>
          <w:tblW w:w="10051" w:type="dxa"/>
          <w:jc w:val="center"/>
          <w:tblInd w:w="0" w:type="dxa"/>
          <w:tblLayout w:type="fixed"/>
          <w:tblCellMar>
            <w:top w:w="0" w:type="dxa"/>
            <w:left w:w="108" w:type="dxa"/>
            <w:bottom w:w="0" w:type="dxa"/>
            <w:right w:w="108" w:type="dxa"/>
          </w:tblCellMar>
        </w:tblPrEx>
        <w:trPr>
          <w:trHeight w:val="201"/>
          <w:jc w:val="center"/>
        </w:trPr>
        <w:tc>
          <w:tcPr>
            <w:tcW w:w="1555"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1</w:t>
            </w:r>
          </w:p>
        </w:tc>
        <w:tc>
          <w:tcPr>
            <w:tcW w:w="407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项目经理</w:t>
            </w:r>
          </w:p>
        </w:tc>
        <w:tc>
          <w:tcPr>
            <w:tcW w:w="147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1</w:t>
            </w:r>
          </w:p>
        </w:tc>
        <w:tc>
          <w:tcPr>
            <w:tcW w:w="99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color w:val="000000" w:themeColor="text1"/>
                <w:sz w:val="24"/>
                <w:szCs w:val="24"/>
              </w:rPr>
              <w:t>人</w:t>
            </w:r>
          </w:p>
        </w:tc>
        <w:tc>
          <w:tcPr>
            <w:tcW w:w="1959"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color w:val="000000"/>
                <w:sz w:val="24"/>
                <w:szCs w:val="24"/>
              </w:rPr>
              <w:t>需持有除虫灭鼠上岗证</w:t>
            </w:r>
          </w:p>
        </w:tc>
      </w:tr>
      <w:tr>
        <w:tblPrEx>
          <w:tblW w:w="10051" w:type="dxa"/>
          <w:jc w:val="center"/>
          <w:tblInd w:w="0" w:type="dxa"/>
          <w:tblLayout w:type="fixed"/>
          <w:tblCellMar>
            <w:top w:w="0" w:type="dxa"/>
            <w:left w:w="108" w:type="dxa"/>
            <w:bottom w:w="0" w:type="dxa"/>
            <w:right w:w="108" w:type="dxa"/>
          </w:tblCellMar>
        </w:tblPrEx>
        <w:trPr>
          <w:trHeight w:val="201"/>
          <w:jc w:val="center"/>
        </w:trPr>
        <w:tc>
          <w:tcPr>
            <w:tcW w:w="1555"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lang w:val="en-US" w:eastAsia="zh-CN"/>
              </w:rPr>
            </w:pPr>
            <w:r>
              <w:rPr>
                <w:rFonts w:asciiTheme="minorEastAsia" w:eastAsiaTheme="minorEastAsia" w:hAnsiTheme="minorEastAsia" w:cstheme="minorEastAsia" w:hint="eastAsia"/>
                <w:b/>
                <w:bCs/>
                <w:color w:val="000000" w:themeColor="text1"/>
                <w:sz w:val="24"/>
                <w:szCs w:val="24"/>
                <w:lang w:val="en-US" w:eastAsia="zh-CN"/>
              </w:rPr>
              <w:t>2</w:t>
            </w:r>
          </w:p>
        </w:tc>
        <w:tc>
          <w:tcPr>
            <w:tcW w:w="407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lang w:eastAsia="zh-CN"/>
              </w:rPr>
            </w:pPr>
            <w:r>
              <w:rPr>
                <w:rFonts w:asciiTheme="minorEastAsia" w:eastAsiaTheme="minorEastAsia" w:hAnsiTheme="minorEastAsia" w:cstheme="minorEastAsia" w:hint="eastAsia"/>
                <w:b/>
                <w:bCs/>
                <w:color w:val="000000" w:themeColor="text1"/>
                <w:sz w:val="24"/>
                <w:szCs w:val="24"/>
                <w:lang w:eastAsia="zh-CN"/>
              </w:rPr>
              <w:t>安全员</w:t>
            </w:r>
          </w:p>
        </w:tc>
        <w:tc>
          <w:tcPr>
            <w:tcW w:w="147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lang w:val="en-US" w:eastAsia="zh-CN"/>
              </w:rPr>
            </w:pPr>
            <w:r>
              <w:rPr>
                <w:rFonts w:asciiTheme="minorEastAsia" w:eastAsiaTheme="minorEastAsia" w:hAnsiTheme="minorEastAsia" w:cstheme="minorEastAsia" w:hint="eastAsia"/>
                <w:b/>
                <w:bCs/>
                <w:color w:val="000000" w:themeColor="text1"/>
                <w:sz w:val="24"/>
                <w:szCs w:val="24"/>
                <w:lang w:val="en-US" w:eastAsia="zh-CN"/>
              </w:rPr>
              <w:t>1</w:t>
            </w:r>
          </w:p>
        </w:tc>
        <w:tc>
          <w:tcPr>
            <w:tcW w:w="99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color w:val="000000" w:themeColor="text1"/>
                <w:sz w:val="24"/>
                <w:szCs w:val="24"/>
                <w:lang w:eastAsia="zh-CN"/>
              </w:rPr>
            </w:pPr>
            <w:r>
              <w:rPr>
                <w:rFonts w:asciiTheme="minorEastAsia" w:eastAsiaTheme="minorEastAsia" w:hAnsiTheme="minorEastAsia" w:cstheme="minorEastAsia" w:hint="eastAsia"/>
                <w:color w:val="000000" w:themeColor="text1"/>
                <w:sz w:val="24"/>
                <w:szCs w:val="24"/>
                <w:lang w:eastAsia="zh-CN"/>
              </w:rPr>
              <w:t>人</w:t>
            </w:r>
          </w:p>
        </w:tc>
        <w:tc>
          <w:tcPr>
            <w:tcW w:w="1959"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lang w:val="en-US" w:eastAsia="zh-CN"/>
              </w:rPr>
            </w:pPr>
            <w:r>
              <w:rPr>
                <w:rFonts w:asciiTheme="minorEastAsia" w:eastAsiaTheme="minorEastAsia" w:hAnsiTheme="minorEastAsia" w:cstheme="minorEastAsia" w:hint="eastAsia"/>
                <w:color w:val="000000"/>
                <w:sz w:val="24"/>
                <w:szCs w:val="24"/>
              </w:rPr>
              <w:t>需持</w:t>
            </w:r>
            <w:r>
              <w:rPr>
                <w:rFonts w:asciiTheme="minorEastAsia" w:eastAsiaTheme="minorEastAsia" w:hAnsiTheme="minorEastAsia" w:cstheme="minorEastAsia" w:hint="eastAsia"/>
                <w:color w:val="000000"/>
                <w:sz w:val="24"/>
                <w:szCs w:val="24"/>
                <w:lang w:val="en-US" w:eastAsia="zh-CN"/>
              </w:rPr>
              <w:t>中级或以上注册安全工程师证书</w:t>
            </w:r>
          </w:p>
        </w:tc>
      </w:tr>
      <w:tr>
        <w:tblPrEx>
          <w:tblW w:w="10051" w:type="dxa"/>
          <w:jc w:val="center"/>
          <w:tblInd w:w="0" w:type="dxa"/>
          <w:tblLayout w:type="fixed"/>
          <w:tblCellMar>
            <w:top w:w="0" w:type="dxa"/>
            <w:left w:w="108" w:type="dxa"/>
            <w:bottom w:w="0" w:type="dxa"/>
            <w:right w:w="108" w:type="dxa"/>
          </w:tblCellMar>
        </w:tblPrEx>
        <w:trPr>
          <w:trHeight w:val="201"/>
          <w:jc w:val="center"/>
        </w:trPr>
        <w:tc>
          <w:tcPr>
            <w:tcW w:w="1555"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lang w:val="en-US" w:eastAsia="zh-CN"/>
              </w:rPr>
            </w:pPr>
            <w:r>
              <w:rPr>
                <w:rFonts w:asciiTheme="minorEastAsia" w:eastAsiaTheme="minorEastAsia" w:hAnsiTheme="minorEastAsia" w:cstheme="minorEastAsia" w:hint="eastAsia"/>
                <w:b/>
                <w:bCs/>
                <w:color w:val="000000" w:themeColor="text1"/>
                <w:sz w:val="24"/>
                <w:szCs w:val="24"/>
                <w:lang w:val="en-US" w:eastAsia="zh-CN"/>
              </w:rPr>
              <w:t>3</w:t>
            </w:r>
          </w:p>
        </w:tc>
        <w:tc>
          <w:tcPr>
            <w:tcW w:w="407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lang w:eastAsia="zh-CN"/>
              </w:rPr>
            </w:pPr>
            <w:r>
              <w:rPr>
                <w:rFonts w:asciiTheme="minorEastAsia" w:eastAsiaTheme="minorEastAsia" w:hAnsiTheme="minorEastAsia" w:cstheme="minorEastAsia" w:hint="eastAsia"/>
                <w:b/>
                <w:bCs/>
                <w:color w:val="000000" w:themeColor="text1"/>
                <w:sz w:val="24"/>
                <w:szCs w:val="24"/>
                <w:lang w:eastAsia="zh-CN"/>
              </w:rPr>
              <w:t>文员</w:t>
            </w:r>
          </w:p>
        </w:tc>
        <w:tc>
          <w:tcPr>
            <w:tcW w:w="147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lang w:val="en-US" w:eastAsia="zh-CN"/>
              </w:rPr>
            </w:pPr>
            <w:r>
              <w:rPr>
                <w:rFonts w:asciiTheme="minorEastAsia" w:eastAsiaTheme="minorEastAsia" w:hAnsiTheme="minorEastAsia" w:cstheme="minorEastAsia" w:hint="eastAsia"/>
                <w:b/>
                <w:bCs/>
                <w:color w:val="000000" w:themeColor="text1"/>
                <w:sz w:val="24"/>
                <w:szCs w:val="24"/>
                <w:lang w:val="en-US" w:eastAsia="zh-CN"/>
              </w:rPr>
              <w:t>1</w:t>
            </w:r>
          </w:p>
        </w:tc>
        <w:tc>
          <w:tcPr>
            <w:tcW w:w="99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color w:val="000000" w:themeColor="text1"/>
                <w:sz w:val="24"/>
                <w:szCs w:val="24"/>
                <w:lang w:eastAsia="zh-CN"/>
              </w:rPr>
            </w:pPr>
            <w:r>
              <w:rPr>
                <w:rFonts w:asciiTheme="minorEastAsia" w:eastAsiaTheme="minorEastAsia" w:hAnsiTheme="minorEastAsia" w:cstheme="minorEastAsia" w:hint="eastAsia"/>
                <w:color w:val="000000" w:themeColor="text1"/>
                <w:sz w:val="24"/>
                <w:szCs w:val="24"/>
                <w:lang w:eastAsia="zh-CN"/>
              </w:rPr>
              <w:t>人</w:t>
            </w:r>
          </w:p>
        </w:tc>
        <w:tc>
          <w:tcPr>
            <w:tcW w:w="1959"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color w:val="000000"/>
                <w:sz w:val="24"/>
                <w:szCs w:val="24"/>
              </w:rPr>
              <w:t>熟悉各种办公软件</w:t>
            </w:r>
          </w:p>
        </w:tc>
      </w:tr>
      <w:tr>
        <w:tblPrEx>
          <w:tblW w:w="10051" w:type="dxa"/>
          <w:jc w:val="center"/>
          <w:tblInd w:w="0" w:type="dxa"/>
          <w:tblLayout w:type="fixed"/>
          <w:tblCellMar>
            <w:top w:w="0" w:type="dxa"/>
            <w:left w:w="108" w:type="dxa"/>
            <w:bottom w:w="0" w:type="dxa"/>
            <w:right w:w="108" w:type="dxa"/>
          </w:tblCellMar>
        </w:tblPrEx>
        <w:trPr>
          <w:trHeight w:val="201"/>
          <w:jc w:val="center"/>
        </w:trPr>
        <w:tc>
          <w:tcPr>
            <w:tcW w:w="1555"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lang w:eastAsia="zh-CN"/>
              </w:rPr>
            </w:pPr>
            <w:r>
              <w:rPr>
                <w:rFonts w:asciiTheme="minorEastAsia" w:eastAsiaTheme="minorEastAsia" w:hAnsiTheme="minorEastAsia" w:cstheme="minorEastAsia" w:hint="eastAsia"/>
                <w:b/>
                <w:bCs/>
                <w:color w:val="000000" w:themeColor="text1"/>
                <w:sz w:val="24"/>
                <w:szCs w:val="24"/>
                <w:lang w:val="en-US" w:eastAsia="zh-CN"/>
              </w:rPr>
              <w:t>4</w:t>
            </w:r>
          </w:p>
        </w:tc>
        <w:tc>
          <w:tcPr>
            <w:tcW w:w="407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消杀作业技术人员</w:t>
            </w:r>
          </w:p>
        </w:tc>
        <w:tc>
          <w:tcPr>
            <w:tcW w:w="147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lang w:val="en-US" w:eastAsia="zh-CN"/>
              </w:rPr>
            </w:pPr>
            <w:r>
              <w:rPr>
                <w:rFonts w:asciiTheme="minorEastAsia" w:eastAsiaTheme="minorEastAsia" w:hAnsiTheme="minorEastAsia" w:cstheme="minorEastAsia" w:hint="eastAsia"/>
                <w:b/>
                <w:bCs/>
                <w:color w:val="000000" w:themeColor="text1"/>
                <w:sz w:val="24"/>
                <w:szCs w:val="24"/>
                <w:lang w:val="en-US" w:eastAsia="zh-CN"/>
              </w:rPr>
              <w:t>15</w:t>
            </w:r>
          </w:p>
        </w:tc>
        <w:tc>
          <w:tcPr>
            <w:tcW w:w="99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color w:val="000000" w:themeColor="text1"/>
                <w:sz w:val="24"/>
                <w:szCs w:val="24"/>
              </w:rPr>
              <w:t>人</w:t>
            </w:r>
          </w:p>
        </w:tc>
        <w:tc>
          <w:tcPr>
            <w:tcW w:w="1959"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color w:val="000000"/>
                <w:sz w:val="24"/>
                <w:szCs w:val="24"/>
              </w:rPr>
              <w:t>配备人员必须具有《有害生物防治员》初级或以上职业资格证书或除虫灭鼠上岗证。</w:t>
            </w:r>
          </w:p>
        </w:tc>
      </w:tr>
      <w:tr>
        <w:tblPrEx>
          <w:tblW w:w="10051" w:type="dxa"/>
          <w:jc w:val="center"/>
          <w:tblInd w:w="0" w:type="dxa"/>
          <w:tblLayout w:type="fixed"/>
          <w:tblCellMar>
            <w:top w:w="0" w:type="dxa"/>
            <w:left w:w="108" w:type="dxa"/>
            <w:bottom w:w="0" w:type="dxa"/>
            <w:right w:w="108" w:type="dxa"/>
          </w:tblCellMar>
        </w:tblPrEx>
        <w:trPr>
          <w:trHeight w:val="201"/>
          <w:jc w:val="center"/>
        </w:trPr>
        <w:tc>
          <w:tcPr>
            <w:tcW w:w="1555"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lang w:eastAsia="zh-CN"/>
              </w:rPr>
            </w:pPr>
            <w:r>
              <w:rPr>
                <w:rFonts w:asciiTheme="minorEastAsia" w:eastAsiaTheme="minorEastAsia" w:hAnsiTheme="minorEastAsia" w:cstheme="minorEastAsia" w:hint="eastAsia"/>
                <w:b/>
                <w:bCs/>
                <w:color w:val="000000" w:themeColor="text1"/>
                <w:sz w:val="24"/>
                <w:szCs w:val="24"/>
                <w:lang w:val="en-US" w:eastAsia="zh-CN"/>
              </w:rPr>
              <w:t>5</w:t>
            </w:r>
          </w:p>
        </w:tc>
        <w:tc>
          <w:tcPr>
            <w:tcW w:w="407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消杀作业车辆</w:t>
            </w:r>
          </w:p>
        </w:tc>
        <w:tc>
          <w:tcPr>
            <w:tcW w:w="147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lang w:eastAsia="zh-CN"/>
              </w:rPr>
            </w:pPr>
            <w:r>
              <w:rPr>
                <w:rFonts w:asciiTheme="minorEastAsia" w:eastAsiaTheme="minorEastAsia" w:hAnsiTheme="minorEastAsia" w:cstheme="minorEastAsia" w:hint="eastAsia"/>
                <w:b/>
                <w:bCs/>
                <w:color w:val="000000" w:themeColor="text1"/>
                <w:sz w:val="24"/>
                <w:szCs w:val="24"/>
                <w:highlight w:val="none"/>
                <w:lang w:val="en-US" w:eastAsia="zh-CN"/>
              </w:rPr>
              <w:t>4</w:t>
            </w:r>
          </w:p>
        </w:tc>
        <w:tc>
          <w:tcPr>
            <w:tcW w:w="99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color w:val="000000" w:themeColor="text1"/>
                <w:sz w:val="24"/>
                <w:szCs w:val="24"/>
              </w:rPr>
              <w:t>辆</w:t>
            </w:r>
          </w:p>
        </w:tc>
        <w:tc>
          <w:tcPr>
            <w:tcW w:w="1959"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bCs/>
                <w:sz w:val="24"/>
                <w:szCs w:val="24"/>
              </w:rPr>
              <w:t>小型普通客车、皮卡车</w:t>
            </w:r>
          </w:p>
        </w:tc>
      </w:tr>
      <w:tr>
        <w:tblPrEx>
          <w:tblW w:w="10051" w:type="dxa"/>
          <w:jc w:val="center"/>
          <w:tblInd w:w="0" w:type="dxa"/>
          <w:tblLayout w:type="fixed"/>
          <w:tblCellMar>
            <w:top w:w="0" w:type="dxa"/>
            <w:left w:w="108" w:type="dxa"/>
            <w:bottom w:w="0" w:type="dxa"/>
            <w:right w:w="108" w:type="dxa"/>
          </w:tblCellMar>
        </w:tblPrEx>
        <w:trPr>
          <w:trHeight w:val="201"/>
          <w:jc w:val="center"/>
        </w:trPr>
        <w:tc>
          <w:tcPr>
            <w:tcW w:w="1555"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lang w:eastAsia="zh-CN"/>
              </w:rPr>
            </w:pPr>
            <w:r>
              <w:rPr>
                <w:rFonts w:asciiTheme="minorEastAsia" w:eastAsiaTheme="minorEastAsia" w:hAnsiTheme="minorEastAsia" w:cstheme="minorEastAsia" w:hint="eastAsia"/>
                <w:b/>
                <w:bCs/>
                <w:color w:val="000000" w:themeColor="text1"/>
                <w:sz w:val="24"/>
                <w:szCs w:val="24"/>
                <w:lang w:val="en-US" w:eastAsia="zh-CN"/>
              </w:rPr>
              <w:t>6</w:t>
            </w:r>
          </w:p>
        </w:tc>
        <w:tc>
          <w:tcPr>
            <w:tcW w:w="407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消杀应急车辆</w:t>
            </w:r>
          </w:p>
        </w:tc>
        <w:tc>
          <w:tcPr>
            <w:tcW w:w="147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1</w:t>
            </w:r>
          </w:p>
        </w:tc>
        <w:tc>
          <w:tcPr>
            <w:tcW w:w="99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color w:val="000000" w:themeColor="text1"/>
                <w:sz w:val="24"/>
                <w:szCs w:val="24"/>
              </w:rPr>
              <w:t>辆</w:t>
            </w:r>
          </w:p>
        </w:tc>
        <w:tc>
          <w:tcPr>
            <w:tcW w:w="1959"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bCs/>
                <w:sz w:val="24"/>
                <w:szCs w:val="24"/>
              </w:rPr>
              <w:t>小型普通客车、皮卡车</w:t>
            </w:r>
          </w:p>
        </w:tc>
      </w:tr>
      <w:tr>
        <w:tblPrEx>
          <w:tblW w:w="10051" w:type="dxa"/>
          <w:jc w:val="center"/>
          <w:tblInd w:w="0" w:type="dxa"/>
          <w:tblLayout w:type="fixed"/>
          <w:tblCellMar>
            <w:top w:w="0" w:type="dxa"/>
            <w:left w:w="108" w:type="dxa"/>
            <w:bottom w:w="0" w:type="dxa"/>
            <w:right w:w="108" w:type="dxa"/>
          </w:tblCellMar>
        </w:tblPrEx>
        <w:trPr>
          <w:trHeight w:val="201"/>
          <w:jc w:val="center"/>
        </w:trPr>
        <w:tc>
          <w:tcPr>
            <w:tcW w:w="1555"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lang w:eastAsia="zh-CN"/>
              </w:rPr>
            </w:pPr>
            <w:r>
              <w:rPr>
                <w:rFonts w:asciiTheme="minorEastAsia" w:eastAsiaTheme="minorEastAsia" w:hAnsiTheme="minorEastAsia" w:cstheme="minorEastAsia" w:hint="eastAsia"/>
                <w:b/>
                <w:bCs/>
                <w:color w:val="000000" w:themeColor="text1"/>
                <w:sz w:val="24"/>
                <w:szCs w:val="24"/>
                <w:lang w:val="en-US" w:eastAsia="zh-CN"/>
              </w:rPr>
              <w:t>7</w:t>
            </w:r>
          </w:p>
        </w:tc>
        <w:tc>
          <w:tcPr>
            <w:tcW w:w="407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烟雾机</w:t>
            </w:r>
          </w:p>
        </w:tc>
        <w:tc>
          <w:tcPr>
            <w:tcW w:w="147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5</w:t>
            </w:r>
          </w:p>
        </w:tc>
        <w:tc>
          <w:tcPr>
            <w:tcW w:w="99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color w:val="000000" w:themeColor="text1"/>
                <w:sz w:val="24"/>
                <w:szCs w:val="24"/>
              </w:rPr>
              <w:t>台</w:t>
            </w:r>
          </w:p>
        </w:tc>
        <w:tc>
          <w:tcPr>
            <w:tcW w:w="1959"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p>
        </w:tc>
      </w:tr>
      <w:tr>
        <w:tblPrEx>
          <w:tblW w:w="10051" w:type="dxa"/>
          <w:jc w:val="center"/>
          <w:tblInd w:w="0" w:type="dxa"/>
          <w:tblLayout w:type="fixed"/>
          <w:tblCellMar>
            <w:top w:w="0" w:type="dxa"/>
            <w:left w:w="108" w:type="dxa"/>
            <w:bottom w:w="0" w:type="dxa"/>
            <w:right w:w="108" w:type="dxa"/>
          </w:tblCellMar>
        </w:tblPrEx>
        <w:trPr>
          <w:trHeight w:val="201"/>
          <w:jc w:val="center"/>
        </w:trPr>
        <w:tc>
          <w:tcPr>
            <w:tcW w:w="1555"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lang w:eastAsia="zh-CN"/>
              </w:rPr>
            </w:pPr>
            <w:r>
              <w:rPr>
                <w:rFonts w:asciiTheme="minorEastAsia" w:eastAsiaTheme="minorEastAsia" w:hAnsiTheme="minorEastAsia" w:cstheme="minorEastAsia" w:hint="eastAsia"/>
                <w:b/>
                <w:bCs/>
                <w:color w:val="000000" w:themeColor="text1"/>
                <w:sz w:val="24"/>
                <w:szCs w:val="24"/>
                <w:lang w:val="en-US" w:eastAsia="zh-CN"/>
              </w:rPr>
              <w:t>8</w:t>
            </w:r>
          </w:p>
        </w:tc>
        <w:tc>
          <w:tcPr>
            <w:tcW w:w="407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背负式动力喷雾机</w:t>
            </w:r>
          </w:p>
        </w:tc>
        <w:tc>
          <w:tcPr>
            <w:tcW w:w="147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5</w:t>
            </w:r>
          </w:p>
        </w:tc>
        <w:tc>
          <w:tcPr>
            <w:tcW w:w="99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color w:val="000000" w:themeColor="text1"/>
                <w:sz w:val="24"/>
                <w:szCs w:val="24"/>
              </w:rPr>
              <w:t>台</w:t>
            </w:r>
          </w:p>
        </w:tc>
        <w:tc>
          <w:tcPr>
            <w:tcW w:w="1959"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p>
        </w:tc>
      </w:tr>
      <w:tr>
        <w:tblPrEx>
          <w:tblW w:w="10051" w:type="dxa"/>
          <w:jc w:val="center"/>
          <w:tblInd w:w="0" w:type="dxa"/>
          <w:tblLayout w:type="fixed"/>
          <w:tblCellMar>
            <w:top w:w="0" w:type="dxa"/>
            <w:left w:w="108" w:type="dxa"/>
            <w:bottom w:w="0" w:type="dxa"/>
            <w:right w:w="108" w:type="dxa"/>
          </w:tblCellMar>
        </w:tblPrEx>
        <w:trPr>
          <w:trHeight w:val="201"/>
          <w:jc w:val="center"/>
        </w:trPr>
        <w:tc>
          <w:tcPr>
            <w:tcW w:w="1555"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lang w:eastAsia="zh-CN"/>
              </w:rPr>
            </w:pPr>
            <w:r>
              <w:rPr>
                <w:rFonts w:asciiTheme="minorEastAsia" w:eastAsiaTheme="minorEastAsia" w:hAnsiTheme="minorEastAsia" w:cstheme="minorEastAsia" w:hint="eastAsia"/>
                <w:b/>
                <w:bCs/>
                <w:color w:val="000000" w:themeColor="text1"/>
                <w:sz w:val="24"/>
                <w:szCs w:val="24"/>
                <w:lang w:val="en-US" w:eastAsia="zh-CN"/>
              </w:rPr>
              <w:t>9</w:t>
            </w:r>
          </w:p>
        </w:tc>
        <w:tc>
          <w:tcPr>
            <w:tcW w:w="4077"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高压动力打药车</w:t>
            </w:r>
          </w:p>
        </w:tc>
        <w:tc>
          <w:tcPr>
            <w:tcW w:w="147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3</w:t>
            </w:r>
          </w:p>
        </w:tc>
        <w:tc>
          <w:tcPr>
            <w:tcW w:w="990"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r>
              <w:rPr>
                <w:rFonts w:asciiTheme="minorEastAsia" w:eastAsiaTheme="minorEastAsia" w:hAnsiTheme="minorEastAsia" w:cstheme="minorEastAsia" w:hint="eastAsia"/>
                <w:color w:val="000000" w:themeColor="text1"/>
                <w:sz w:val="24"/>
                <w:szCs w:val="24"/>
              </w:rPr>
              <w:t>辆</w:t>
            </w:r>
          </w:p>
        </w:tc>
        <w:tc>
          <w:tcPr>
            <w:tcW w:w="1959" w:type="dxa"/>
            <w:tcBorders>
              <w:top w:val="single" w:sz="4" w:space="0" w:color="auto"/>
              <w:left w:val="single" w:sz="4" w:space="0" w:color="auto"/>
              <w:bottom w:val="single" w:sz="4" w:space="0" w:color="auto"/>
              <w:right w:val="single" w:sz="4" w:space="0" w:color="auto"/>
            </w:tcBorders>
            <w:vAlign w:val="center"/>
          </w:tcPr>
          <w:p>
            <w:pPr>
              <w:keepNext w:val="0"/>
              <w:keepLines w:val="0"/>
              <w:suppressLineNumbers w:val="0"/>
              <w:spacing w:before="0" w:beforeAutospacing="0" w:after="0" w:afterAutospacing="0"/>
              <w:ind w:left="0" w:right="0"/>
              <w:jc w:val="center"/>
              <w:rPr>
                <w:rFonts w:asciiTheme="minorEastAsia" w:eastAsiaTheme="minorEastAsia" w:hAnsiTheme="minorEastAsia" w:cstheme="minorEastAsia" w:hint="eastAsia"/>
                <w:b/>
                <w:bCs/>
                <w:color w:val="000000" w:themeColor="text1"/>
                <w:sz w:val="24"/>
                <w:szCs w:val="24"/>
              </w:rPr>
            </w:pPr>
          </w:p>
        </w:tc>
      </w:tr>
    </w:tbl>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80" w:firstLineChars="200"/>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用药标准：投标人必须注重科学合理用药，不能使用假药、国家禁用的药物。使用的药物必须符合《病媒生物预防控制技术规范》（编号：SZDB/Z 207-2016），达到“安全、有效、环保”的要求。</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80" w:firstLineChars="200"/>
        <w:textAlignment w:val="auto"/>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乙方应配置可完善使用的企业环卫作业信息化管理系统，实现实时监控作业车辆轨迹及作业状态，实时监控作业人员的定位及作业状况，并接入区级及街道的环卫智慧化监管平台，接受区级、街道的监督和检查。</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80" w:firstLineChars="200"/>
        <w:textAlignment w:val="auto"/>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乙方应为工人配置智能终端设备，为环卫作业车辆设备安装定位视频监控一体化机或兼有GPS追踪仪。</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80" w:firstLineChars="200"/>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Cs/>
          <w:sz w:val="24"/>
          <w:szCs w:val="24"/>
        </w:rPr>
        <w:t>乙方</w:t>
      </w:r>
      <w:r>
        <w:rPr>
          <w:rFonts w:asciiTheme="minorEastAsia" w:eastAsiaTheme="minorEastAsia" w:hAnsiTheme="minorEastAsia" w:cstheme="minorEastAsia" w:hint="eastAsia"/>
          <w:bCs/>
          <w:sz w:val="24"/>
          <w:szCs w:val="24"/>
          <w:lang w:eastAsia="zh-CN"/>
        </w:rPr>
        <w:t>消杀</w:t>
      </w:r>
      <w:r>
        <w:rPr>
          <w:rFonts w:asciiTheme="minorEastAsia" w:eastAsiaTheme="minorEastAsia" w:hAnsiTheme="minorEastAsia" w:cstheme="minorEastAsia" w:hint="eastAsia"/>
          <w:bCs/>
          <w:sz w:val="24"/>
          <w:szCs w:val="24"/>
        </w:rPr>
        <w:t>作业人员信息、项目经理信息、安全负责人信息、作业车辆信息需要在签订项目的10日内录入区级或街道的环卫智慧化监管平台。</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firstLine="480" w:firstLineChars="200"/>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Cs/>
          <w:sz w:val="24"/>
          <w:szCs w:val="24"/>
        </w:rPr>
        <w:t>组建应急队伍：中标单位需配备应急队伍1支（人数10人、应急车辆1辆），及时配合甲方需求对突发事件场所进行防制处理（合同范围内的区域不另行增加费用）。</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80" w:leftChars="0" w:firstLineChars="200"/>
        <w:textAlignment w:val="auto"/>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上述人员相关资格证书证明材料必须在本项目中标公告发布日起15天内交由采购单位核查，如不能按要求提供证明材料的，一切责任由投标人承担。</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80" w:leftChars="0" w:firstLineChars="200"/>
        <w:textAlignment w:val="auto"/>
        <w:rPr>
          <w:rFonts w:asciiTheme="minorEastAsia" w:eastAsiaTheme="minorEastAsia" w:hAnsiTheme="minorEastAsia" w:cstheme="minorEastAsia" w:hint="eastAsia"/>
          <w:bCs w:val="0"/>
          <w:spacing w:val="0"/>
          <w:kern w:val="2"/>
          <w:sz w:val="24"/>
          <w:szCs w:val="24"/>
          <w:lang w:val="en-US" w:eastAsia="zh-CN" w:bidi="ar-SA"/>
        </w:rPr>
      </w:pPr>
      <w:r>
        <w:rPr>
          <w:rFonts w:asciiTheme="minorEastAsia" w:eastAsiaTheme="minorEastAsia" w:hAnsiTheme="minorEastAsia" w:cstheme="minorEastAsia" w:hint="eastAsia"/>
          <w:sz w:val="24"/>
          <w:szCs w:val="24"/>
        </w:rPr>
        <w:t>使用的“四害”防制设施全部由投标人提供。</w:t>
      </w:r>
      <w:r>
        <w:rPr>
          <w:rFonts w:asciiTheme="minorEastAsia" w:eastAsiaTheme="minorEastAsia" w:hAnsiTheme="minorEastAsia" w:cstheme="minorEastAsia" w:hint="eastAsia"/>
          <w:bCs w:val="0"/>
          <w:spacing w:val="0"/>
          <w:kern w:val="2"/>
          <w:sz w:val="24"/>
          <w:szCs w:val="24"/>
          <w:lang w:val="en-US" w:eastAsia="zh-CN" w:bidi="ar-SA"/>
        </w:rPr>
        <w:t>防蚊闸、毒鼠屋的最终数量以采购人与中标单位双方共同核实后的数据为准。在履约期间，因城市建设、行政区划调整、甲方管理需要或上级有关规定等原因需要调整（增加或减少）消杀面积时，中标单位无条件服从采购人的调整，消杀服务费用可按变动后的实际情况计取。</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firstLine="480" w:leftChars="0" w:firstLineChars="200"/>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bCs/>
          <w:sz w:val="24"/>
          <w:szCs w:val="24"/>
        </w:rPr>
        <w:t>用药标准:投标方必须注重科学合理用药,不能使用假药、国家禁用的药物。使用的药物必须符合《病媒生物预防控制技术规范》(编号:SZDB/Z207-2016),达到“安全、有效、环保”的要求。</w:t>
      </w:r>
      <w:r>
        <w:rPr>
          <w:rFonts w:asciiTheme="minorEastAsia" w:eastAsiaTheme="minorEastAsia" w:hAnsiTheme="minorEastAsia" w:cstheme="minorEastAsia" w:hint="eastAsia"/>
          <w:sz w:val="24"/>
          <w:szCs w:val="24"/>
        </w:rPr>
        <w:t>为保证用药质量，确保工作顺利进行，使用药物必须按以下表格要求相对应。</w:t>
      </w:r>
    </w:p>
    <w:tbl>
      <w:tblPr>
        <w:tblStyle w:val="TableNormal"/>
        <w:tblW w:w="84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704"/>
        <w:gridCol w:w="1985"/>
        <w:gridCol w:w="1275"/>
        <w:gridCol w:w="1091"/>
      </w:tblGrid>
      <w:tr>
        <w:tblPrEx>
          <w:tblW w:w="846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319"/>
          <w:jc w:val="center"/>
        </w:trPr>
        <w:tc>
          <w:tcPr>
            <w:tcW w:w="14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序号</w:t>
            </w:r>
          </w:p>
        </w:tc>
        <w:tc>
          <w:tcPr>
            <w:tcW w:w="27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药品名称</w:t>
            </w:r>
          </w:p>
        </w:tc>
        <w:tc>
          <w:tcPr>
            <w:tcW w:w="198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有效成份</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剂型</w:t>
            </w:r>
          </w:p>
        </w:tc>
        <w:tc>
          <w:tcPr>
            <w:tcW w:w="109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说明</w:t>
            </w:r>
          </w:p>
        </w:tc>
      </w:tr>
      <w:tr>
        <w:tblPrEx>
          <w:tblW w:w="8468" w:type="dxa"/>
          <w:jc w:val="center"/>
          <w:tblInd w:w="0" w:type="dxa"/>
          <w:tblLayout w:type="fixed"/>
          <w:tblCellMar>
            <w:top w:w="0" w:type="dxa"/>
            <w:left w:w="108" w:type="dxa"/>
            <w:bottom w:w="0" w:type="dxa"/>
            <w:right w:w="108" w:type="dxa"/>
          </w:tblCellMar>
        </w:tblPrEx>
        <w:trPr>
          <w:trHeight w:val="330"/>
          <w:jc w:val="center"/>
        </w:trPr>
        <w:tc>
          <w:tcPr>
            <w:tcW w:w="14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w:t>
            </w:r>
          </w:p>
        </w:tc>
        <w:tc>
          <w:tcPr>
            <w:tcW w:w="27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0.005%溴鼠灵毒饵（稻谷）</w:t>
            </w:r>
          </w:p>
        </w:tc>
        <w:tc>
          <w:tcPr>
            <w:tcW w:w="198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0.005%溴鼠灵</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毒饵</w:t>
            </w:r>
          </w:p>
        </w:tc>
        <w:tc>
          <w:tcPr>
            <w:tcW w:w="109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灭鼠类</w:t>
            </w:r>
          </w:p>
        </w:tc>
      </w:tr>
      <w:tr>
        <w:tblPrEx>
          <w:tblW w:w="8468" w:type="dxa"/>
          <w:jc w:val="center"/>
          <w:tblInd w:w="0" w:type="dxa"/>
          <w:tblLayout w:type="fixed"/>
          <w:tblCellMar>
            <w:top w:w="0" w:type="dxa"/>
            <w:left w:w="108" w:type="dxa"/>
            <w:bottom w:w="0" w:type="dxa"/>
            <w:right w:w="108" w:type="dxa"/>
          </w:tblCellMar>
        </w:tblPrEx>
        <w:trPr>
          <w:trHeight w:val="203"/>
          <w:jc w:val="center"/>
        </w:trPr>
        <w:tc>
          <w:tcPr>
            <w:tcW w:w="14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w:t>
            </w:r>
          </w:p>
        </w:tc>
        <w:tc>
          <w:tcPr>
            <w:tcW w:w="27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400ITU/微升苏云金杆菌悬浮剂</w:t>
            </w:r>
          </w:p>
        </w:tc>
        <w:tc>
          <w:tcPr>
            <w:tcW w:w="198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400ITU/微升苏云金杆菌</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悬浮剂</w:t>
            </w:r>
          </w:p>
        </w:tc>
        <w:tc>
          <w:tcPr>
            <w:tcW w:w="109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水体灭蚊幼虫</w:t>
            </w:r>
          </w:p>
        </w:tc>
      </w:tr>
      <w:tr>
        <w:tblPrEx>
          <w:tblW w:w="8468" w:type="dxa"/>
          <w:jc w:val="center"/>
          <w:tblInd w:w="0" w:type="dxa"/>
          <w:tblLayout w:type="fixed"/>
          <w:tblCellMar>
            <w:top w:w="0" w:type="dxa"/>
            <w:left w:w="108" w:type="dxa"/>
            <w:bottom w:w="0" w:type="dxa"/>
            <w:right w:w="108" w:type="dxa"/>
          </w:tblCellMar>
        </w:tblPrEx>
        <w:trPr>
          <w:trHeight w:val="721"/>
          <w:jc w:val="center"/>
        </w:trPr>
        <w:tc>
          <w:tcPr>
            <w:tcW w:w="14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3</w:t>
            </w:r>
          </w:p>
        </w:tc>
        <w:tc>
          <w:tcPr>
            <w:tcW w:w="27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5%倍硫磷杀虫颗粒剂</w:t>
            </w:r>
          </w:p>
        </w:tc>
        <w:tc>
          <w:tcPr>
            <w:tcW w:w="198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5%倍硫磷</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颗粒剂</w:t>
            </w:r>
          </w:p>
        </w:tc>
        <w:tc>
          <w:tcPr>
            <w:tcW w:w="1091" w:type="dxa"/>
            <w:vMerg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asciiTheme="minorEastAsia" w:eastAsiaTheme="minorEastAsia" w:hAnsiTheme="minorEastAsia" w:cstheme="minorEastAsia" w:hint="eastAsia"/>
                <w:sz w:val="24"/>
                <w:szCs w:val="24"/>
              </w:rPr>
            </w:pPr>
          </w:p>
        </w:tc>
      </w:tr>
      <w:tr>
        <w:tblPrEx>
          <w:tblW w:w="8468" w:type="dxa"/>
          <w:jc w:val="center"/>
          <w:tblInd w:w="0" w:type="dxa"/>
          <w:tblLayout w:type="fixed"/>
          <w:tblCellMar>
            <w:top w:w="0" w:type="dxa"/>
            <w:left w:w="108" w:type="dxa"/>
            <w:bottom w:w="0" w:type="dxa"/>
            <w:right w:w="108" w:type="dxa"/>
          </w:tblCellMar>
        </w:tblPrEx>
        <w:trPr>
          <w:trHeight w:val="810"/>
          <w:jc w:val="center"/>
        </w:trPr>
        <w:tc>
          <w:tcPr>
            <w:tcW w:w="14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4</w:t>
            </w:r>
          </w:p>
        </w:tc>
        <w:tc>
          <w:tcPr>
            <w:tcW w:w="27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2%胺菊酯·氯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氰菊酯热雾剂</w:t>
            </w:r>
          </w:p>
        </w:tc>
        <w:tc>
          <w:tcPr>
            <w:tcW w:w="198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胺菊酯0.5%·</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氯氰菊酯1.5%</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热雾剂</w:t>
            </w:r>
          </w:p>
        </w:tc>
        <w:tc>
          <w:tcPr>
            <w:tcW w:w="109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烟熏下水道</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灭杀蟑、蚊</w:t>
            </w:r>
          </w:p>
        </w:tc>
      </w:tr>
      <w:tr>
        <w:tblPrEx>
          <w:tblW w:w="8468" w:type="dxa"/>
          <w:jc w:val="center"/>
          <w:tblInd w:w="0" w:type="dxa"/>
          <w:tblLayout w:type="fixed"/>
          <w:tblCellMar>
            <w:top w:w="0" w:type="dxa"/>
            <w:left w:w="108" w:type="dxa"/>
            <w:bottom w:w="0" w:type="dxa"/>
            <w:right w:w="108" w:type="dxa"/>
          </w:tblCellMar>
        </w:tblPrEx>
        <w:trPr>
          <w:trHeight w:val="402"/>
          <w:jc w:val="center"/>
        </w:trPr>
        <w:tc>
          <w:tcPr>
            <w:tcW w:w="14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5</w:t>
            </w:r>
          </w:p>
        </w:tc>
        <w:tc>
          <w:tcPr>
            <w:tcW w:w="27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杀蟑饵剂</w:t>
            </w:r>
          </w:p>
        </w:tc>
        <w:tc>
          <w:tcPr>
            <w:tcW w:w="198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6000PIB/克蟑螂病毒</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饵剂</w:t>
            </w:r>
          </w:p>
        </w:tc>
        <w:tc>
          <w:tcPr>
            <w:tcW w:w="109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灭蟑</w:t>
            </w:r>
          </w:p>
        </w:tc>
      </w:tr>
      <w:tr>
        <w:tblPrEx>
          <w:tblW w:w="8468" w:type="dxa"/>
          <w:jc w:val="center"/>
          <w:tblInd w:w="0" w:type="dxa"/>
          <w:tblLayout w:type="fixed"/>
          <w:tblCellMar>
            <w:top w:w="0" w:type="dxa"/>
            <w:left w:w="108" w:type="dxa"/>
            <w:bottom w:w="0" w:type="dxa"/>
            <w:right w:w="108" w:type="dxa"/>
          </w:tblCellMar>
        </w:tblPrEx>
        <w:trPr>
          <w:trHeight w:val="483"/>
          <w:jc w:val="center"/>
        </w:trPr>
        <w:tc>
          <w:tcPr>
            <w:tcW w:w="14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6</w:t>
            </w:r>
          </w:p>
        </w:tc>
        <w:tc>
          <w:tcPr>
            <w:tcW w:w="27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5%氯菊•四氟醚菊酯水乳剂</w:t>
            </w:r>
          </w:p>
        </w:tc>
        <w:tc>
          <w:tcPr>
            <w:tcW w:w="198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4%氯菊酯•1%四氟醚菊酯</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水乳剂</w:t>
            </w:r>
          </w:p>
        </w:tc>
        <w:tc>
          <w:tcPr>
            <w:tcW w:w="1091"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超低容量剂</w:t>
            </w:r>
          </w:p>
        </w:tc>
      </w:tr>
      <w:tr>
        <w:tblPrEx>
          <w:tblW w:w="8468" w:type="dxa"/>
          <w:jc w:val="center"/>
          <w:tblInd w:w="0" w:type="dxa"/>
          <w:tblLayout w:type="fixed"/>
          <w:tblCellMar>
            <w:top w:w="0" w:type="dxa"/>
            <w:left w:w="108" w:type="dxa"/>
            <w:bottom w:w="0" w:type="dxa"/>
            <w:right w:w="108" w:type="dxa"/>
          </w:tblCellMar>
        </w:tblPrEx>
        <w:trPr>
          <w:trHeight w:val="421"/>
          <w:jc w:val="center"/>
        </w:trPr>
        <w:tc>
          <w:tcPr>
            <w:tcW w:w="14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7</w:t>
            </w:r>
          </w:p>
        </w:tc>
        <w:tc>
          <w:tcPr>
            <w:tcW w:w="27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10%残杀威微乳剂</w:t>
            </w:r>
          </w:p>
        </w:tc>
        <w:tc>
          <w:tcPr>
            <w:tcW w:w="198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10%残杀威</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微乳剂</w:t>
            </w:r>
          </w:p>
        </w:tc>
        <w:tc>
          <w:tcPr>
            <w:tcW w:w="1091"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室内外灭成蚊、成蝇等</w:t>
            </w:r>
          </w:p>
        </w:tc>
      </w:tr>
      <w:tr>
        <w:tblPrEx>
          <w:tblW w:w="8468" w:type="dxa"/>
          <w:jc w:val="center"/>
          <w:tblInd w:w="0" w:type="dxa"/>
          <w:tblLayout w:type="fixed"/>
          <w:tblCellMar>
            <w:top w:w="0" w:type="dxa"/>
            <w:left w:w="108" w:type="dxa"/>
            <w:bottom w:w="0" w:type="dxa"/>
            <w:right w:w="108" w:type="dxa"/>
          </w:tblCellMar>
        </w:tblPrEx>
        <w:trPr>
          <w:trHeight w:val="368"/>
          <w:jc w:val="center"/>
        </w:trPr>
        <w:tc>
          <w:tcPr>
            <w:tcW w:w="14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8</w:t>
            </w:r>
          </w:p>
        </w:tc>
        <w:tc>
          <w:tcPr>
            <w:tcW w:w="27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4%高效氟氯氰菊酯悬浮剂</w:t>
            </w:r>
          </w:p>
        </w:tc>
        <w:tc>
          <w:tcPr>
            <w:tcW w:w="198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4%高效氟氯氰菊酯</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悬浮剂</w:t>
            </w:r>
          </w:p>
        </w:tc>
        <w:tc>
          <w:tcPr>
            <w:tcW w:w="1091" w:type="dxa"/>
            <w:vMerg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asciiTheme="minorEastAsia" w:eastAsiaTheme="minorEastAsia" w:hAnsiTheme="minorEastAsia" w:cstheme="minorEastAsia" w:hint="eastAsia"/>
                <w:sz w:val="24"/>
                <w:szCs w:val="24"/>
              </w:rPr>
            </w:pPr>
          </w:p>
        </w:tc>
      </w:tr>
      <w:tr>
        <w:tblPrEx>
          <w:tblW w:w="8468" w:type="dxa"/>
          <w:jc w:val="center"/>
          <w:tblInd w:w="0" w:type="dxa"/>
          <w:tblLayout w:type="fixed"/>
          <w:tblCellMar>
            <w:top w:w="0" w:type="dxa"/>
            <w:left w:w="108" w:type="dxa"/>
            <w:bottom w:w="0" w:type="dxa"/>
            <w:right w:w="108" w:type="dxa"/>
          </w:tblCellMar>
        </w:tblPrEx>
        <w:trPr>
          <w:trHeight w:val="487"/>
          <w:jc w:val="center"/>
        </w:trPr>
        <w:tc>
          <w:tcPr>
            <w:tcW w:w="14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9</w:t>
            </w:r>
          </w:p>
        </w:tc>
        <w:tc>
          <w:tcPr>
            <w:tcW w:w="27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10%氯氰菊酯乳油</w:t>
            </w:r>
          </w:p>
        </w:tc>
        <w:tc>
          <w:tcPr>
            <w:tcW w:w="198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10%氯氰菊酯</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乳油</w:t>
            </w:r>
          </w:p>
        </w:tc>
        <w:tc>
          <w:tcPr>
            <w:tcW w:w="1091" w:type="dxa"/>
            <w:vMerg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asciiTheme="minorEastAsia" w:eastAsiaTheme="minorEastAsia" w:hAnsiTheme="minorEastAsia" w:cstheme="minorEastAsia" w:hint="eastAsia"/>
                <w:sz w:val="24"/>
                <w:szCs w:val="24"/>
              </w:rPr>
            </w:pPr>
          </w:p>
        </w:tc>
      </w:tr>
      <w:tr>
        <w:tblPrEx>
          <w:tblW w:w="8468" w:type="dxa"/>
          <w:jc w:val="center"/>
          <w:tblInd w:w="0" w:type="dxa"/>
          <w:tblLayout w:type="fixed"/>
          <w:tblCellMar>
            <w:top w:w="0" w:type="dxa"/>
            <w:left w:w="108" w:type="dxa"/>
            <w:bottom w:w="0" w:type="dxa"/>
            <w:right w:w="108" w:type="dxa"/>
          </w:tblCellMar>
        </w:tblPrEx>
        <w:trPr>
          <w:trHeight w:val="434"/>
          <w:jc w:val="center"/>
        </w:trPr>
        <w:tc>
          <w:tcPr>
            <w:tcW w:w="1413"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10</w:t>
            </w:r>
          </w:p>
        </w:tc>
        <w:tc>
          <w:tcPr>
            <w:tcW w:w="2704"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10%高效氯氰菊酯悬浮剂</w:t>
            </w:r>
          </w:p>
        </w:tc>
        <w:tc>
          <w:tcPr>
            <w:tcW w:w="198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10%高效氯氰菊酯</w:t>
            </w:r>
          </w:p>
        </w:tc>
        <w:tc>
          <w:tcPr>
            <w:tcW w:w="1275" w:type="dxa"/>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悬浮剂</w:t>
            </w:r>
          </w:p>
        </w:tc>
        <w:tc>
          <w:tcPr>
            <w:tcW w:w="1091" w:type="dxa"/>
            <w:vMerge/>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asciiTheme="minorEastAsia" w:eastAsiaTheme="minorEastAsia" w:hAnsiTheme="minorEastAsia" w:cstheme="minorEastAsia" w:hint="eastAsia"/>
                <w:sz w:val="24"/>
                <w:szCs w:val="24"/>
              </w:rPr>
            </w:pP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备注：1、以上消杀所用药物的有效成分、含量、剂型不能负偏离。</w:t>
      </w:r>
    </w:p>
    <w:p>
      <w:pPr>
        <w:keepNext w:val="0"/>
        <w:keepLines w:val="0"/>
        <w:pageBreakBefore w:val="0"/>
        <w:numPr>
          <w:ilvl w:val="0"/>
          <w:numId w:val="0"/>
        </w:numPr>
        <w:kinsoku/>
        <w:wordWrap/>
        <w:overflowPunct/>
        <w:topLinePunct w:val="0"/>
        <w:autoSpaceDE/>
        <w:autoSpaceDN/>
        <w:bidi w:val="0"/>
        <w:spacing w:line="360" w:lineRule="auto"/>
        <w:ind w:leftChars="0"/>
        <w:textAlignment w:val="auto"/>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rPr>
        <w:t>药物投放与喷洒要求</w:t>
      </w:r>
    </w:p>
    <w:p>
      <w:pPr>
        <w:keepNext w:val="0"/>
        <w:keepLines w:val="0"/>
        <w:pageBreakBefore w:val="0"/>
        <w:kinsoku/>
        <w:wordWrap/>
        <w:overflowPunct/>
        <w:topLinePunct w:val="0"/>
        <w:autoSpaceDE/>
        <w:autoSpaceDN/>
        <w:bidi w:val="0"/>
        <w:spacing w:line="360" w:lineRule="auto"/>
        <w:ind w:firstLine="480"/>
        <w:textAlignment w:val="auto"/>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1.中标方实施消杀作业前，必须先到现场调查服务范围的“四害”本底情况，应对“四害”种类、栖息部位、密度状况及孳生环境等情况有全面的了解，因地制宜制订合理的病媒生物防制工作方案。</w:t>
      </w:r>
    </w:p>
    <w:p>
      <w:pPr>
        <w:keepNext w:val="0"/>
        <w:keepLines w:val="0"/>
        <w:pageBreakBefore w:val="0"/>
        <w:kinsoku/>
        <w:wordWrap/>
        <w:overflowPunct/>
        <w:topLinePunct w:val="0"/>
        <w:autoSpaceDE/>
        <w:autoSpaceDN/>
        <w:bidi w:val="0"/>
        <w:spacing w:line="360" w:lineRule="auto"/>
        <w:ind w:firstLine="480"/>
        <w:textAlignment w:val="auto"/>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2.根据防制方案备好药品器械和个人防护用品。</w:t>
      </w:r>
    </w:p>
    <w:p>
      <w:pPr>
        <w:keepNext w:val="0"/>
        <w:keepLines w:val="0"/>
        <w:pageBreakBefore w:val="0"/>
        <w:kinsoku/>
        <w:wordWrap/>
        <w:overflowPunct/>
        <w:topLinePunct w:val="0"/>
        <w:autoSpaceDE/>
        <w:autoSpaceDN/>
        <w:bidi w:val="0"/>
        <w:spacing w:line="360" w:lineRule="auto"/>
        <w:ind w:firstLine="480"/>
        <w:textAlignment w:val="auto"/>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3.服务区域内每月循环消杀不少于4次，具体如下：</w:t>
      </w:r>
    </w:p>
    <w:p>
      <w:pPr>
        <w:keepNext w:val="0"/>
        <w:keepLines w:val="0"/>
        <w:pageBreakBefore w:val="0"/>
        <w:kinsoku/>
        <w:wordWrap/>
        <w:overflowPunct/>
        <w:topLinePunct w:val="0"/>
        <w:autoSpaceDE/>
        <w:autoSpaceDN/>
        <w:bidi w:val="0"/>
        <w:spacing w:line="360" w:lineRule="auto"/>
        <w:ind w:firstLine="480"/>
        <w:textAlignment w:val="auto"/>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3.1灭鼠：使用溴鼠灵、溴敌隆等低毒高效的灭鼠毒饵，“三饱和”（时间饱和、空间饱和、药量饱和）投放灭鼠药物，防治老鼠。每次投放鼠药5—7天后，集中清理鼠尸；</w:t>
      </w:r>
    </w:p>
    <w:p>
      <w:pPr>
        <w:keepNext w:val="0"/>
        <w:keepLines w:val="0"/>
        <w:pageBreakBefore w:val="0"/>
        <w:kinsoku/>
        <w:wordWrap/>
        <w:overflowPunct/>
        <w:topLinePunct w:val="0"/>
        <w:autoSpaceDE/>
        <w:autoSpaceDN/>
        <w:bidi w:val="0"/>
        <w:spacing w:line="360" w:lineRule="auto"/>
        <w:ind w:firstLine="480"/>
        <w:textAlignment w:val="auto"/>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3.2灭蚊蝇：使用高效菊酯类药物，采用滞留喷洒方式，消杀成蚊、成蝇等；</w:t>
      </w:r>
    </w:p>
    <w:p>
      <w:pPr>
        <w:keepNext w:val="0"/>
        <w:keepLines w:val="0"/>
        <w:pageBreakBefore w:val="0"/>
        <w:kinsoku/>
        <w:wordWrap/>
        <w:overflowPunct/>
        <w:topLinePunct w:val="0"/>
        <w:autoSpaceDE/>
        <w:autoSpaceDN/>
        <w:bidi w:val="0"/>
        <w:spacing w:line="360" w:lineRule="auto"/>
        <w:ind w:firstLine="480"/>
        <w:textAlignment w:val="auto"/>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3.3灭蟑：在下水道、雨水井等，使用胺菊酯•氯氰菊酯热雾剂，用烟雾机熏杀蟑螂,用6000PIB/克蟑螂病毒灭蟑；</w:t>
      </w:r>
    </w:p>
    <w:p>
      <w:pPr>
        <w:keepNext w:val="0"/>
        <w:keepLines w:val="0"/>
        <w:pageBreakBefore w:val="0"/>
        <w:kinsoku/>
        <w:wordWrap/>
        <w:overflowPunct/>
        <w:topLinePunct w:val="0"/>
        <w:autoSpaceDE/>
        <w:autoSpaceDN/>
        <w:bidi w:val="0"/>
        <w:spacing w:line="360" w:lineRule="auto"/>
        <w:ind w:firstLine="480"/>
        <w:textAlignment w:val="auto"/>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3.4孳生地处理：在沟渠等存在积水的区域使用灭蚊幼灭杀蚊虫，在垃圾桶、污泥等孳生苍蝇的场所投放5%倍硫磷处理蝇类孳生地。</w:t>
      </w:r>
    </w:p>
    <w:p>
      <w:pPr>
        <w:keepNext w:val="0"/>
        <w:keepLines w:val="0"/>
        <w:pageBreakBefore w:val="0"/>
        <w:kinsoku/>
        <w:wordWrap/>
        <w:overflowPunct/>
        <w:topLinePunct w:val="0"/>
        <w:autoSpaceDE/>
        <w:autoSpaceDN/>
        <w:bidi w:val="0"/>
        <w:spacing w:line="360" w:lineRule="auto"/>
        <w:ind w:firstLine="480"/>
        <w:textAlignment w:val="auto"/>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4.实施防制作业，应遵守安全操作规定，合理用药，施药到位，保证防制效果，并防止药品污染环境。</w:t>
      </w:r>
    </w:p>
    <w:p>
      <w:pPr>
        <w:keepNext w:val="0"/>
        <w:keepLines w:val="0"/>
        <w:pageBreakBefore w:val="0"/>
        <w:kinsoku/>
        <w:wordWrap/>
        <w:overflowPunct/>
        <w:topLinePunct w:val="0"/>
        <w:autoSpaceDE/>
        <w:autoSpaceDN/>
        <w:bidi w:val="0"/>
        <w:spacing w:line="360" w:lineRule="auto"/>
        <w:ind w:firstLine="480"/>
        <w:textAlignment w:val="auto"/>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5.消杀作业过程应认真填写登记（如人员、用药、地点、方式等），存档待查。</w:t>
      </w:r>
    </w:p>
    <w:p>
      <w:pPr>
        <w:keepNext w:val="0"/>
        <w:keepLines w:val="0"/>
        <w:pageBreakBefore w:val="0"/>
        <w:kinsoku/>
        <w:wordWrap/>
        <w:overflowPunct/>
        <w:topLinePunct w:val="0"/>
        <w:autoSpaceDE/>
        <w:autoSpaceDN/>
        <w:bidi w:val="0"/>
        <w:spacing w:line="360" w:lineRule="auto"/>
        <w:ind w:firstLine="480"/>
        <w:textAlignment w:val="auto"/>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6.在施药消杀过程中，要注意人畜安全，保证使用国家规定允许使用的药物。要有药物管理制度，如因操作不当或消杀药物中毒造成的损失，一切责任由中标方承担，采购方不承担任何法律责任。</w:t>
      </w:r>
    </w:p>
    <w:p>
      <w:pPr>
        <w:keepNext w:val="0"/>
        <w:keepLines w:val="0"/>
        <w:pageBreakBefore w:val="0"/>
        <w:kinsoku/>
        <w:wordWrap/>
        <w:overflowPunct/>
        <w:topLinePunct w:val="0"/>
        <w:autoSpaceDE/>
        <w:autoSpaceDN/>
        <w:bidi w:val="0"/>
        <w:spacing w:line="360" w:lineRule="auto"/>
        <w:ind w:firstLine="480"/>
        <w:textAlignment w:val="auto"/>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7.协助采购单位开展爱国卫生工作的宣传。</w:t>
      </w:r>
    </w:p>
    <w:p>
      <w:pPr>
        <w:keepNext w:val="0"/>
        <w:keepLines w:val="0"/>
        <w:pageBreakBefore w:val="0"/>
        <w:kinsoku/>
        <w:wordWrap/>
        <w:overflowPunct/>
        <w:topLinePunct w:val="0"/>
        <w:autoSpaceDE/>
        <w:autoSpaceDN/>
        <w:bidi w:val="0"/>
        <w:spacing w:line="360" w:lineRule="auto"/>
        <w:ind w:firstLine="480"/>
        <w:textAlignment w:val="auto"/>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8.防蚊闸与毒鼠屋</w:t>
      </w:r>
    </w:p>
    <w:p>
      <w:pPr>
        <w:keepNext w:val="0"/>
        <w:keepLines w:val="0"/>
        <w:pageBreakBefore w:val="0"/>
        <w:kinsoku/>
        <w:wordWrap/>
        <w:overflowPunct/>
        <w:topLinePunct w:val="0"/>
        <w:autoSpaceDE/>
        <w:autoSpaceDN/>
        <w:bidi w:val="0"/>
        <w:spacing w:line="360" w:lineRule="auto"/>
        <w:ind w:firstLine="480"/>
        <w:textAlignment w:val="auto"/>
        <w:rPr>
          <w:rFonts w:asciiTheme="minorEastAsia" w:eastAsiaTheme="minorEastAsia" w:hAnsiTheme="minorEastAsia" w:cstheme="minorEastAsia" w:hint="eastAsia"/>
          <w:bCs/>
          <w:sz w:val="24"/>
          <w:szCs w:val="24"/>
        </w:rPr>
      </w:pPr>
      <w:r>
        <w:rPr>
          <w:rFonts w:asciiTheme="minorEastAsia" w:eastAsiaTheme="minorEastAsia" w:hAnsiTheme="minorEastAsia" w:cstheme="minorEastAsia" w:hint="eastAsia"/>
          <w:bCs/>
          <w:sz w:val="24"/>
          <w:szCs w:val="24"/>
        </w:rPr>
        <w:t>8.1对合同范围内的防蚊闸与毒鼠屋进行维护和管理（不包含购买），如有损坏或新增要做好登记并向上级汇报，由采购方进行购买，中标方负责防蚊闸安装及毒鼠屋布防。</w:t>
      </w:r>
    </w:p>
    <w:p>
      <w:pPr>
        <w:pStyle w:val="PlainText"/>
        <w:keepNext w:val="0"/>
        <w:keepLines w:val="0"/>
        <w:pageBreakBefore w:val="0"/>
        <w:numPr>
          <w:ilvl w:val="0"/>
          <w:numId w:val="0"/>
        </w:numPr>
        <w:tabs>
          <w:tab w:val="left" w:pos="540"/>
        </w:tabs>
        <w:kinsoku/>
        <w:wordWrap/>
        <w:overflowPunct/>
        <w:topLinePunct w:val="0"/>
        <w:autoSpaceDE/>
        <w:autoSpaceDN/>
        <w:bidi w:val="0"/>
        <w:adjustRightInd w:val="0"/>
        <w:snapToGrid w:val="0"/>
        <w:spacing w:line="360" w:lineRule="auto"/>
        <w:ind w:leftChars="0"/>
        <w:textAlignment w:val="auto"/>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Cs/>
          <w:sz w:val="24"/>
          <w:szCs w:val="24"/>
        </w:rPr>
        <w:t>　　8.2“毒鼠屋”防毒安全警示标签如脱落、残旧必须及时更换新标签，所产生费用包含于本项目费用中，请各投标人充分测算相关费用成本。</w:t>
      </w:r>
    </w:p>
    <w:p>
      <w:pPr>
        <w:pStyle w:val="PlainText"/>
        <w:keepNext w:val="0"/>
        <w:keepLines w:val="0"/>
        <w:pageBreakBefore w:val="0"/>
        <w:numPr>
          <w:ilvl w:val="0"/>
          <w:numId w:val="0"/>
        </w:numPr>
        <w:tabs>
          <w:tab w:val="left" w:pos="540"/>
        </w:tabs>
        <w:kinsoku/>
        <w:wordWrap/>
        <w:overflowPunct/>
        <w:topLinePunct w:val="0"/>
        <w:autoSpaceDE/>
        <w:autoSpaceDN/>
        <w:bidi w:val="0"/>
        <w:adjustRightInd w:val="0"/>
        <w:snapToGrid w:val="0"/>
        <w:spacing w:line="360" w:lineRule="auto"/>
        <w:ind w:leftChars="0"/>
        <w:textAlignment w:val="auto"/>
        <w:rPr>
          <w:rFonts w:asciiTheme="minorEastAsia" w:eastAsiaTheme="minorEastAsia" w:hAnsiTheme="minorEastAsia" w:cstheme="minorEastAsia" w:hint="eastAsia"/>
          <w:b/>
          <w:sz w:val="24"/>
          <w:szCs w:val="24"/>
        </w:rPr>
      </w:pPr>
      <w:r>
        <w:rPr>
          <w:rFonts w:asciiTheme="minorEastAsia" w:eastAsiaTheme="minorEastAsia" w:hAnsiTheme="minorEastAsia" w:cstheme="minorEastAsia" w:hint="eastAsia"/>
          <w:b/>
          <w:sz w:val="24"/>
          <w:szCs w:val="24"/>
        </w:rPr>
        <w:t>消杀质量要求</w:t>
      </w:r>
    </w:p>
    <w:p>
      <w:pPr>
        <w:keepNext w:val="0"/>
        <w:keepLines w:val="0"/>
        <w:pageBreakBefore w:val="0"/>
        <w:kinsoku/>
        <w:wordWrap/>
        <w:overflowPunct/>
        <w:topLinePunct w:val="0"/>
        <w:autoSpaceDE/>
        <w:autoSpaceDN/>
        <w:bidi w:val="0"/>
        <w:spacing w:line="360" w:lineRule="auto"/>
        <w:textAlignment w:val="auto"/>
        <w:rPr>
          <w:rFonts w:asciiTheme="minorEastAsia" w:eastAsiaTheme="minorEastAsia" w:hAnsiTheme="minorEastAsia" w:cstheme="minorEastAsia" w:hint="eastAsia"/>
          <w:color w:val="000000"/>
          <w:sz w:val="24"/>
          <w:szCs w:val="24"/>
        </w:rPr>
      </w:pPr>
      <w:r>
        <w:rPr>
          <w:rFonts w:asciiTheme="minorEastAsia" w:eastAsiaTheme="minorEastAsia" w:hAnsiTheme="minorEastAsia" w:cstheme="minorEastAsia" w:hint="eastAsia"/>
          <w:color w:val="000000"/>
          <w:sz w:val="24"/>
          <w:szCs w:val="24"/>
        </w:rPr>
        <w:t>（1）确保服务区域内“四害”密度达到国家卫生城市验收标准和要求。</w:t>
      </w:r>
    </w:p>
    <w:p>
      <w:pPr>
        <w:keepNext w:val="0"/>
        <w:keepLines w:val="0"/>
        <w:pageBreakBefore w:val="0"/>
        <w:kinsoku/>
        <w:wordWrap/>
        <w:overflowPunct/>
        <w:topLinePunct w:val="0"/>
        <w:autoSpaceDE/>
        <w:autoSpaceDN/>
        <w:bidi w:val="0"/>
        <w:spacing w:line="360" w:lineRule="auto"/>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灭鼠：粉迹法（每15平方米房间布放20×20厘米粉板两块）监测鼠足印阳性率低于3%；鼠迹（活鼠、死鼠、鼠洞、鼠粪、鼠路、鼠咬痕），有鼠迹房间不超过2%；1000米外环境鼠迹不超过5处；重点单位防鼠设施（仓库、厨房等的门窗、出水口等部位有防鼠设施），合格率达95%。</w:t>
      </w:r>
    </w:p>
    <w:p>
      <w:pPr>
        <w:keepNext w:val="0"/>
        <w:keepLines w:val="0"/>
        <w:pageBreakBefore w:val="0"/>
        <w:kinsoku/>
        <w:wordWrap/>
        <w:overflowPunct/>
        <w:topLinePunct w:val="0"/>
        <w:autoSpaceDE/>
        <w:autoSpaceDN/>
        <w:bidi w:val="0"/>
        <w:spacing w:line="360" w:lineRule="auto"/>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3）灭蚊：居民区、单位内外环境各种存水容器和积水中的幼蚊及蛹，阳性率低于3%；用500毫升收集勺采集城区内大中型水体中的蚊幼虫或蛹，阳性率低于3%，阳性勺内幼虫或蛹的平均数不超过5只；在特殊场所白天人诱蚊30分钟，平均诱获成蚊不超过1只/人次。</w:t>
      </w:r>
    </w:p>
    <w:p>
      <w:pPr>
        <w:keepNext w:val="0"/>
        <w:keepLines w:val="0"/>
        <w:pageBreakBefore w:val="0"/>
        <w:kinsoku/>
        <w:wordWrap/>
        <w:overflowPunct/>
        <w:topLinePunct w:val="0"/>
        <w:autoSpaceDE/>
        <w:autoSpaceDN/>
        <w:bidi w:val="0"/>
        <w:spacing w:line="360" w:lineRule="auto"/>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4）灭蝇：重点单位（如饮食、食品加工、销售业）有蝇房间不超过1%；加工、销售、存放直接入口食品的场所，不得有蝇；一般单位（如机关、学校、工厂）有蝇房间不超过3%，平均每阳性房间不超过3只；防蝇设施（查门窗等部位），合格率格率达95%以上；蝇类孳生地（外环境、垃圾容器、垃圾存放地等），得到有效治理，幼虫和蛹的检出率不超过3%。</w:t>
      </w:r>
    </w:p>
    <w:p>
      <w:pPr>
        <w:keepNext w:val="0"/>
        <w:keepLines w:val="0"/>
        <w:pageBreakBefore w:val="0"/>
        <w:kinsoku/>
        <w:wordWrap/>
        <w:overflowPunct/>
        <w:topLinePunct w:val="0"/>
        <w:autoSpaceDE/>
        <w:autoSpaceDN/>
        <w:bidi w:val="0"/>
        <w:spacing w:line="360" w:lineRule="auto"/>
        <w:textAlignment w:val="auto"/>
        <w:rPr>
          <w:bCs/>
          <w:szCs w:val="21"/>
        </w:rPr>
      </w:pPr>
      <w:r>
        <w:rPr>
          <w:rFonts w:asciiTheme="minorEastAsia" w:eastAsiaTheme="minorEastAsia" w:hAnsiTheme="minorEastAsia" w:cstheme="minorEastAsia" w:hint="eastAsia"/>
          <w:sz w:val="24"/>
          <w:szCs w:val="24"/>
        </w:rPr>
        <w:t>（5）灭蟑螂：查室内蟑螂成虫或幼虫，阳性房间不超过3%；有活蟑螂卵鞘房间，阳性房间不超过25%；蟑螂孳生栖息场所的清理，查墙的孔洞、缝隙蟑迹：粪便、蜕皮、蟑尸、空卵鞘等，阳性房间不超过5%。</w:t>
      </w:r>
    </w:p>
    <w:p>
      <w:pPr>
        <w:pStyle w:val="Heading3"/>
        <w:spacing w:line="400" w:lineRule="exact"/>
        <w:rPr>
          <w:color w:val="000000"/>
          <w:szCs w:val="28"/>
          <w:lang w:val="zh-CN"/>
        </w:rPr>
      </w:pPr>
      <w:r>
        <w:rPr>
          <w:rFonts w:hint="eastAsia"/>
          <w:color w:val="000000"/>
          <w:szCs w:val="28"/>
          <w:lang w:val="zh-CN"/>
        </w:rPr>
        <w:t>八、服务方式及服务期限</w:t>
      </w:r>
    </w:p>
    <w:p>
      <w:pPr>
        <w:spacing w:line="360" w:lineRule="auto"/>
        <w:ind w:firstLine="480" w:firstLineChars="200"/>
        <w:rPr>
          <w:lang w:val="zh-CN"/>
        </w:rPr>
      </w:pPr>
      <w:r>
        <w:rPr>
          <w:rFonts w:hint="eastAsia"/>
          <w:lang w:val="zh-CN"/>
        </w:rPr>
        <w:t>采用全包干形式，即业务包干、经费包干（包含人工费、税费、药械费、保险费、劳保费等相关的各项税费以及合同实施过程中不可预见的各种费用和所有的投标等费用）。采购人将上述标段范围内病媒生物防制消杀服务业务发包给中标人，中标人按采购人的要求和标准组织日常消杀工作，并接受采购人的指导、监督、检查、考核和验收，中标人不得将业务转包或分包。本项目服务期限为自合同签订之日起一年。本项目为长期服务类项目，第一年为本次招标的中标服务期限，长期服务政府采购合同履行期限最长不得超过三十六个月，如甲方对履约情况不满意，甲方不再续约。若政府采购主管部门发现项目有异常情况，以主管部门意见为准</w:t>
      </w:r>
    </w:p>
    <w:p>
      <w:pPr>
        <w:pStyle w:val="Heading3"/>
        <w:spacing w:line="400" w:lineRule="exact"/>
        <w:rPr>
          <w:color w:val="000000"/>
          <w:szCs w:val="28"/>
          <w:lang w:val="zh-CN"/>
        </w:rPr>
      </w:pPr>
      <w:r>
        <w:rPr>
          <w:rFonts w:hint="eastAsia"/>
          <w:color w:val="000000"/>
          <w:szCs w:val="28"/>
          <w:lang w:val="zh-CN"/>
        </w:rPr>
        <w:t>九、管理要求</w:t>
      </w:r>
    </w:p>
    <w:p>
      <w:pPr>
        <w:spacing w:line="360" w:lineRule="auto"/>
        <w:ind w:firstLine="480" w:firstLineChars="200"/>
        <w:rPr>
          <w:rFonts w:ascii="宋体" w:hAnsi="宋体" w:hint="eastAsia"/>
          <w:szCs w:val="21"/>
        </w:rPr>
      </w:pPr>
      <w:r>
        <w:rPr>
          <w:rFonts w:ascii="宋体" w:hAnsi="宋体" w:hint="eastAsia"/>
          <w:szCs w:val="21"/>
        </w:rPr>
        <w:t>（1）本项目服务质量不符合要求或服务质量不合格者，采购人有权要求中标人停工或返工，经返工后项目服务质量不符合要求或服务质量不合格，采购人有权终止合同。</w:t>
      </w:r>
    </w:p>
    <w:p>
      <w:pPr>
        <w:spacing w:line="360" w:lineRule="auto"/>
        <w:ind w:firstLine="480" w:firstLineChars="200"/>
        <w:rPr>
          <w:rFonts w:ascii="宋体" w:hAnsi="宋体" w:hint="eastAsia"/>
          <w:szCs w:val="21"/>
        </w:rPr>
      </w:pPr>
      <w:r>
        <w:rPr>
          <w:rFonts w:ascii="宋体" w:hAnsi="宋体" w:hint="eastAsia"/>
          <w:szCs w:val="21"/>
        </w:rPr>
        <w:t>（2）投标人中标后在服务期间，须严格遵守当地政府职能部门的各项规章制度，做好防火、安全施工等工作。违反规章制度所发生的费用及损失投标人必须承诺自行承担。</w:t>
      </w:r>
    </w:p>
    <w:p>
      <w:pPr>
        <w:spacing w:line="360" w:lineRule="auto"/>
        <w:ind w:firstLine="480" w:firstLineChars="200"/>
        <w:rPr>
          <w:rFonts w:ascii="宋体" w:hAnsi="宋体" w:hint="eastAsia"/>
          <w:szCs w:val="21"/>
        </w:rPr>
      </w:pPr>
      <w:r>
        <w:rPr>
          <w:rFonts w:ascii="宋体" w:hAnsi="宋体" w:hint="eastAsia"/>
          <w:szCs w:val="21"/>
        </w:rPr>
        <w:t>（3）投标人中标后要向采购人提供防制人员有效的证件，包括驾驶证、上岗证等有效证件。</w:t>
      </w:r>
    </w:p>
    <w:p>
      <w:pPr>
        <w:spacing w:line="360" w:lineRule="auto"/>
        <w:ind w:firstLine="480" w:firstLineChars="200"/>
        <w:rPr>
          <w:rFonts w:ascii="宋体" w:hAnsi="宋体" w:hint="eastAsia"/>
          <w:szCs w:val="21"/>
        </w:rPr>
      </w:pPr>
      <w:r>
        <w:rPr>
          <w:rFonts w:ascii="宋体" w:hAnsi="宋体" w:hint="eastAsia"/>
          <w:szCs w:val="21"/>
        </w:rPr>
        <w:t>（4）配套设施维护所使用的水电费用，由中标人负责。</w:t>
      </w:r>
    </w:p>
    <w:p>
      <w:pPr>
        <w:spacing w:line="360" w:lineRule="auto"/>
        <w:ind w:firstLine="480" w:firstLineChars="200"/>
        <w:rPr>
          <w:rFonts w:ascii="宋体" w:hAnsi="宋体" w:hint="eastAsia"/>
          <w:szCs w:val="21"/>
        </w:rPr>
      </w:pPr>
      <w:r>
        <w:rPr>
          <w:rFonts w:ascii="宋体" w:hAnsi="宋体" w:hint="eastAsia"/>
          <w:szCs w:val="21"/>
        </w:rPr>
        <w:t>（5）投标人中标后必须具备设施维护等所需要的设备，并承担使用设备的所有费用。</w:t>
      </w:r>
    </w:p>
    <w:p>
      <w:pPr>
        <w:spacing w:line="360" w:lineRule="auto"/>
        <w:ind w:firstLine="480" w:firstLineChars="200"/>
        <w:rPr>
          <w:rFonts w:ascii="宋体" w:hAnsi="宋体" w:hint="eastAsia"/>
          <w:szCs w:val="21"/>
        </w:rPr>
      </w:pPr>
      <w:r>
        <w:rPr>
          <w:rFonts w:ascii="宋体" w:hAnsi="宋体" w:hint="eastAsia"/>
          <w:szCs w:val="21"/>
        </w:rPr>
        <w:t>（6）非自然灾害不可抗力因素造成设施更换的，一切费用均由中标人负责。</w:t>
      </w:r>
    </w:p>
    <w:p>
      <w:pPr>
        <w:spacing w:line="360" w:lineRule="auto"/>
        <w:ind w:firstLine="480" w:firstLineChars="200"/>
        <w:rPr>
          <w:rFonts w:ascii="宋体" w:hAnsi="宋体" w:hint="eastAsia"/>
          <w:szCs w:val="21"/>
        </w:rPr>
      </w:pPr>
      <w:r>
        <w:rPr>
          <w:rFonts w:ascii="宋体" w:hAnsi="宋体" w:hint="eastAsia"/>
          <w:szCs w:val="21"/>
        </w:rPr>
        <w:t>（7）采购人不提供施工临时食宿设施，投标人中标后自行考虑住宿、水电、交通运输所需费用。</w:t>
      </w:r>
    </w:p>
    <w:p>
      <w:pPr>
        <w:spacing w:line="360" w:lineRule="auto"/>
        <w:ind w:firstLine="480" w:firstLineChars="200"/>
        <w:rPr>
          <w:rFonts w:ascii="宋体" w:hAnsi="宋体" w:hint="eastAsia"/>
          <w:szCs w:val="21"/>
        </w:rPr>
      </w:pPr>
      <w:r>
        <w:rPr>
          <w:rFonts w:ascii="宋体" w:hAnsi="宋体" w:hint="eastAsia"/>
          <w:szCs w:val="21"/>
        </w:rPr>
        <w:t>（8）采购人有权在签订合同时对项目方案作适当调整或修改。</w:t>
      </w:r>
    </w:p>
    <w:p>
      <w:pPr>
        <w:spacing w:line="360" w:lineRule="auto"/>
        <w:ind w:firstLine="480" w:firstLineChars="200"/>
        <w:rPr>
          <w:rFonts w:ascii="宋体" w:hAnsi="宋体" w:hint="eastAsia"/>
          <w:szCs w:val="21"/>
        </w:rPr>
      </w:pPr>
      <w:r>
        <w:rPr>
          <w:rFonts w:ascii="宋体" w:hAnsi="宋体" w:hint="eastAsia"/>
          <w:szCs w:val="21"/>
        </w:rPr>
        <w:t>（9）在施工过程中，因受客观因素影响，无法按规定施工的，由采购人与中标人协商解决。</w:t>
      </w:r>
    </w:p>
    <w:p>
      <w:pPr>
        <w:spacing w:line="360" w:lineRule="auto"/>
        <w:ind w:firstLine="480" w:firstLineChars="200"/>
        <w:rPr>
          <w:rFonts w:ascii="宋体" w:hAnsi="宋体"/>
          <w:szCs w:val="21"/>
        </w:rPr>
      </w:pPr>
      <w:r>
        <w:rPr>
          <w:rFonts w:ascii="宋体" w:hAnsi="宋体" w:hint="eastAsia"/>
          <w:szCs w:val="21"/>
        </w:rPr>
        <w:t>（10）中标人需有相应的应急方案，以应对如“登革热寨卡病毒”等虫蚊引起病毒感染事件，如发生重大疫情事件，中标单位需无条件服从招标人开展相关消杀、防御等工作。</w:t>
      </w:r>
    </w:p>
    <w:p>
      <w:pPr>
        <w:pStyle w:val="Heading3"/>
        <w:spacing w:line="400" w:lineRule="exact"/>
        <w:rPr>
          <w:color w:val="000000"/>
          <w:szCs w:val="28"/>
          <w:lang w:val="zh-CN"/>
        </w:rPr>
      </w:pPr>
      <w:r>
        <w:rPr>
          <w:rFonts w:hint="eastAsia"/>
          <w:color w:val="000000"/>
          <w:szCs w:val="28"/>
          <w:lang w:val="zh-CN"/>
        </w:rPr>
        <w:t>十、考核要求</w:t>
      </w:r>
    </w:p>
    <w:p>
      <w:pPr>
        <w:spacing w:line="360" w:lineRule="auto"/>
        <w:ind w:firstLine="480" w:firstLineChars="200"/>
        <w:rPr>
          <w:rFonts w:ascii="宋体" w:hAnsi="宋体"/>
          <w:szCs w:val="21"/>
        </w:rPr>
      </w:pPr>
      <w:r>
        <w:rPr>
          <w:rFonts w:ascii="宋体" w:hAnsi="宋体" w:hint="eastAsia"/>
        </w:rPr>
        <w:t>根据甲方制定的最新考核方案</w:t>
      </w:r>
      <w:r>
        <w:rPr>
          <w:rFonts w:ascii="宋体" w:hAnsi="宋体" w:hint="eastAsia"/>
          <w:lang w:eastAsia="zh-CN"/>
        </w:rPr>
        <w:t>、</w:t>
      </w:r>
      <w:r>
        <w:rPr>
          <w:rFonts w:ascii="宋体" w:hAnsi="宋体" w:hint="eastAsia"/>
        </w:rPr>
        <w:t>细则</w:t>
      </w:r>
      <w:r>
        <w:rPr>
          <w:rFonts w:ascii="宋体" w:hAnsi="宋体" w:hint="eastAsia"/>
          <w:lang w:eastAsia="zh-CN"/>
        </w:rPr>
        <w:t>、区级以上卫生健康局的相关文件</w:t>
      </w:r>
      <w:r>
        <w:rPr>
          <w:rFonts w:ascii="宋体" w:hAnsi="宋体" w:hint="eastAsia"/>
        </w:rPr>
        <w:t>，对乙方进行业务指导、监督、管理、检查和考核。</w:t>
      </w:r>
    </w:p>
    <w:p>
      <w:pPr>
        <w:pStyle w:val="Heading3"/>
        <w:spacing w:line="400" w:lineRule="exact"/>
        <w:rPr>
          <w:color w:val="000000"/>
          <w:szCs w:val="28"/>
          <w:lang w:val="zh-CN"/>
        </w:rPr>
      </w:pPr>
      <w:r>
        <w:rPr>
          <w:rFonts w:hint="eastAsia"/>
          <w:color w:val="000000"/>
          <w:szCs w:val="28"/>
          <w:lang w:val="zh-CN"/>
        </w:rPr>
        <w:t>十一、商务内容</w:t>
      </w:r>
    </w:p>
    <w:p>
      <w:pPr>
        <w:pStyle w:val="PlainText"/>
        <w:keepNext w:val="0"/>
        <w:keepLines w:val="0"/>
        <w:pageBreakBefore w:val="0"/>
        <w:widowControl w:val="0"/>
        <w:tabs>
          <w:tab w:val="left" w:pos="540"/>
        </w:tabs>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b/>
          <w:color w:val="000000" w:themeColor="text1"/>
          <w:sz w:val="24"/>
          <w:szCs w:val="24"/>
        </w:rPr>
      </w:pPr>
      <w:r>
        <w:rPr>
          <w:rFonts w:asciiTheme="minorEastAsia" w:eastAsiaTheme="minorEastAsia" w:hAnsiTheme="minorEastAsia" w:cstheme="minorEastAsia" w:hint="eastAsia"/>
          <w:b/>
          <w:color w:val="000000" w:themeColor="text1"/>
          <w:sz w:val="24"/>
          <w:szCs w:val="24"/>
        </w:rPr>
        <w:t>1</w:t>
      </w:r>
      <w:r>
        <w:rPr>
          <w:rFonts w:asciiTheme="minorEastAsia" w:eastAsiaTheme="minorEastAsia" w:hAnsiTheme="minorEastAsia" w:cstheme="minorEastAsia" w:hint="eastAsia"/>
          <w:b/>
          <w:color w:val="000000" w:themeColor="text1"/>
          <w:sz w:val="24"/>
          <w:szCs w:val="24"/>
          <w:lang w:val="en-US" w:eastAsia="zh-CN"/>
        </w:rPr>
        <w:t>.</w:t>
      </w:r>
      <w:r>
        <w:rPr>
          <w:rFonts w:asciiTheme="minorEastAsia" w:eastAsiaTheme="minorEastAsia" w:hAnsiTheme="minorEastAsia" w:cstheme="minorEastAsia" w:hint="eastAsia"/>
          <w:b/>
          <w:color w:val="000000" w:themeColor="text1"/>
          <w:kern w:val="0"/>
          <w:sz w:val="24"/>
          <w:szCs w:val="24"/>
        </w:rPr>
        <w:t>付款方式：</w:t>
      </w:r>
    </w:p>
    <w:p>
      <w:pPr>
        <w:pStyle w:val="PlainText"/>
        <w:keepNext w:val="0"/>
        <w:keepLines w:val="0"/>
        <w:pageBreakBefore w:val="0"/>
        <w:widowControl w:val="0"/>
        <w:tabs>
          <w:tab w:val="left" w:pos="540"/>
        </w:tabs>
        <w:kinsoku/>
        <w:wordWrap/>
        <w:overflowPunct/>
        <w:topLinePunct w:val="0"/>
        <w:autoSpaceDE/>
        <w:autoSpaceDN/>
        <w:bidi w:val="0"/>
        <w:adjustRightInd w:val="0"/>
        <w:snapToGrid w:val="0"/>
        <w:spacing w:line="360" w:lineRule="auto"/>
        <w:ind w:firstLine="480" w:firstLineChars="200"/>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本项目服务费按月付款，甲方于每月下旬向乙方支付当月服务费的80%。甲方将乙方每个月服务费的20%作为月度考核奖惩经费(扣除费用不足部分在下个月扣除)，当月考核结束后根据考核结果扣除考核扣分扣款、违约金等应扣款项之后拨付。</w:t>
      </w:r>
    </w:p>
    <w:p>
      <w:pPr>
        <w:pStyle w:val="PlainText"/>
        <w:keepNext w:val="0"/>
        <w:keepLines w:val="0"/>
        <w:pageBreakBefore w:val="0"/>
        <w:widowControl w:val="0"/>
        <w:tabs>
          <w:tab w:val="left" w:pos="540"/>
        </w:tabs>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b/>
          <w:sz w:val="24"/>
          <w:szCs w:val="24"/>
          <w:lang w:eastAsia="zh-CN"/>
        </w:rPr>
      </w:pPr>
      <w:r>
        <w:rPr>
          <w:rFonts w:asciiTheme="minorEastAsia" w:eastAsiaTheme="minorEastAsia" w:hAnsiTheme="minorEastAsia" w:cstheme="minorEastAsia" w:hint="eastAsia"/>
          <w:b/>
          <w:sz w:val="24"/>
          <w:szCs w:val="24"/>
          <w:lang w:val="en-US" w:eastAsia="zh-CN"/>
        </w:rPr>
        <w:t>2.</w:t>
      </w:r>
      <w:r>
        <w:rPr>
          <w:rFonts w:asciiTheme="minorEastAsia" w:eastAsiaTheme="minorEastAsia" w:hAnsiTheme="minorEastAsia" w:cstheme="minorEastAsia" w:hint="eastAsia"/>
          <w:b/>
          <w:sz w:val="24"/>
          <w:szCs w:val="24"/>
        </w:rPr>
        <w:t>报价要求</w:t>
      </w:r>
      <w:r>
        <w:rPr>
          <w:rFonts w:asciiTheme="minorEastAsia" w:eastAsiaTheme="minorEastAsia" w:hAnsiTheme="minorEastAsia" w:cstheme="minorEastAsia" w:hint="eastAsia"/>
          <w:b/>
          <w:sz w:val="24"/>
          <w:szCs w:val="24"/>
          <w:lang w:eastAsia="zh-CN"/>
        </w:rPr>
        <w:t>：</w:t>
      </w:r>
    </w:p>
    <w:p>
      <w:pPr>
        <w:pStyle w:val="PlainText"/>
        <w:keepNext w:val="0"/>
        <w:keepLines w:val="0"/>
        <w:pageBreakBefore w:val="0"/>
        <w:widowControl w:val="0"/>
        <w:tabs>
          <w:tab w:val="left" w:pos="540"/>
        </w:tabs>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（1）服务费包括但不限于人工费、税费、药械费、保险费、劳保费等相关的各项税费以及合同实施过程中不可预见的各种费用，采购人不再额外支付费用。</w:t>
      </w:r>
    </w:p>
    <w:p>
      <w:pPr>
        <w:pStyle w:val="PlainText"/>
        <w:keepNext w:val="0"/>
        <w:keepLines w:val="0"/>
        <w:pageBreakBefore w:val="0"/>
        <w:widowControl w:val="0"/>
        <w:tabs>
          <w:tab w:val="left" w:pos="540"/>
        </w:tabs>
        <w:kinsoku/>
        <w:wordWrap/>
        <w:overflowPunct/>
        <w:topLinePunct w:val="0"/>
        <w:autoSpaceDE/>
        <w:autoSpaceDN/>
        <w:bidi w:val="0"/>
        <w:spacing w:line="360" w:lineRule="auto"/>
        <w:textAlignment w:val="auto"/>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rPr>
        <w:t>（2）合同总价必须按本项目中标价执行，采购人不接受任何调整的理由，投标人在投标报价时必须充分考虑到工资标准调整、物价上涨等影响本项目服务价格的因素，并承担相应的风险。</w:t>
      </w:r>
    </w:p>
    <w:p>
      <w:pPr>
        <w:pStyle w:val="PlainText"/>
        <w:keepNext w:val="0"/>
        <w:keepLines w:val="0"/>
        <w:pageBreakBefore w:val="0"/>
        <w:widowControl w:val="0"/>
        <w:tabs>
          <w:tab w:val="left" w:pos="540"/>
        </w:tabs>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b/>
          <w:bCs/>
          <w:sz w:val="24"/>
          <w:szCs w:val="24"/>
          <w:lang w:eastAsia="zh-CN"/>
        </w:rPr>
      </w:pPr>
      <w:r>
        <w:rPr>
          <w:rFonts w:asciiTheme="minorEastAsia" w:eastAsiaTheme="minorEastAsia" w:hAnsiTheme="minorEastAsia" w:cstheme="minorEastAsia" w:hint="eastAsia"/>
          <w:b/>
          <w:bCs/>
          <w:sz w:val="24"/>
          <w:szCs w:val="24"/>
          <w:lang w:val="en-US" w:eastAsia="zh-CN"/>
        </w:rPr>
        <w:t>3.</w:t>
      </w:r>
      <w:r>
        <w:rPr>
          <w:rFonts w:asciiTheme="minorEastAsia" w:eastAsiaTheme="minorEastAsia" w:hAnsiTheme="minorEastAsia" w:cstheme="minorEastAsia" w:hint="eastAsia"/>
          <w:b/>
          <w:bCs/>
          <w:sz w:val="24"/>
          <w:szCs w:val="24"/>
        </w:rPr>
        <w:t>其他要求</w:t>
      </w:r>
      <w:r>
        <w:rPr>
          <w:rFonts w:asciiTheme="minorEastAsia" w:eastAsiaTheme="minorEastAsia" w:hAnsiTheme="minorEastAsia" w:cstheme="minorEastAsia" w:hint="eastAsia"/>
          <w:b/>
          <w:bCs/>
          <w:sz w:val="24"/>
          <w:szCs w:val="24"/>
          <w:lang w:eastAsia="zh-CN"/>
        </w:rPr>
        <w:t>：</w:t>
      </w:r>
    </w:p>
    <w:p>
      <w:pPr>
        <w:pStyle w:val="PlainText"/>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保密义务</w:t>
      </w:r>
      <w:r>
        <w:rPr>
          <w:rFonts w:asciiTheme="minorEastAsia" w:eastAsiaTheme="minorEastAsia" w:hAnsiTheme="minorEastAsia" w:cstheme="minorEastAsia" w:hint="eastAsia"/>
          <w:color w:val="000000" w:themeColor="text1"/>
          <w:kern w:val="0"/>
          <w:sz w:val="24"/>
          <w:szCs w:val="24"/>
        </w:rPr>
        <w:tab/>
      </w:r>
    </w:p>
    <w:p>
      <w:pPr>
        <w:pStyle w:val="PlainText"/>
        <w:keepNext w:val="0"/>
        <w:keepLines w:val="0"/>
        <w:pageBreakBefore w:val="0"/>
        <w:widowControl w:val="0"/>
        <w:numPr>
          <w:ilvl w:val="1"/>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采购人、中标人双方在采购和履行合同过程中所获悉的所有信息都属于保密的内容，采购人中标人双方均有保密义务。</w:t>
      </w:r>
    </w:p>
    <w:p>
      <w:pPr>
        <w:pStyle w:val="PlainText"/>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违约责任</w:t>
      </w:r>
    </w:p>
    <w:p>
      <w:pPr>
        <w:pStyle w:val="PlainText"/>
        <w:keepNext w:val="0"/>
        <w:keepLines w:val="0"/>
        <w:pageBreakBefore w:val="0"/>
        <w:widowControl w:val="0"/>
        <w:numPr>
          <w:ilvl w:val="1"/>
          <w:numId w:val="2"/>
        </w:numPr>
        <w:kinsoku/>
        <w:wordWrap/>
        <w:overflowPunct/>
        <w:topLinePunct w:val="0"/>
        <w:autoSpaceDE/>
        <w:autoSpaceDN/>
        <w:bidi w:val="0"/>
        <w:adjustRightInd w:val="0"/>
        <w:snapToGrid w:val="0"/>
        <w:spacing w:line="360" w:lineRule="auto"/>
        <w:ind w:left="567" w:hanging="567" w:leftChars="0" w:firstLineChars="0"/>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sz w:val="24"/>
          <w:szCs w:val="24"/>
          <w:lang w:val="en-US" w:eastAsia="zh-CN"/>
        </w:rPr>
        <w:t>按合同约定执行。</w:t>
      </w:r>
      <w:r>
        <w:rPr>
          <w:rFonts w:asciiTheme="minorEastAsia" w:eastAsiaTheme="minorEastAsia" w:hAnsiTheme="minorEastAsia" w:cstheme="minorEastAsia" w:hint="eastAsia"/>
          <w:color w:val="000000" w:themeColor="text1"/>
          <w:kern w:val="0"/>
          <w:sz w:val="24"/>
          <w:szCs w:val="24"/>
        </w:rPr>
        <w:tab/>
      </w:r>
    </w:p>
    <w:p>
      <w:pPr>
        <w:pStyle w:val="PlainText"/>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合同的变更</w:t>
      </w:r>
    </w:p>
    <w:p>
      <w:pPr>
        <w:pStyle w:val="PlainText"/>
        <w:keepNext w:val="0"/>
        <w:keepLines w:val="0"/>
        <w:pageBreakBefore w:val="0"/>
        <w:widowControl w:val="0"/>
        <w:numPr>
          <w:ilvl w:val="1"/>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在合同履行过程中，采购人、中标人双方可就合同履行的时间、地点和方式等协商进行变更。协商一致后，双方应签订书面的补充协议。</w:t>
      </w:r>
    </w:p>
    <w:p>
      <w:pPr>
        <w:pStyle w:val="PlainText"/>
        <w:keepNext w:val="0"/>
        <w:keepLines w:val="0"/>
        <w:pageBreakBefore w:val="0"/>
        <w:widowControl w:val="0"/>
        <w:numPr>
          <w:ilvl w:val="1"/>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在不改变合同其他条款的前提下，采购人有权在合同价款改变正负百分之十的范围内追加或减少与合同标的相同的货物或服务，并就此与中标人签订补充合同，中标人不得拒绝。</w:t>
      </w:r>
    </w:p>
    <w:p>
      <w:pPr>
        <w:pStyle w:val="PlainText"/>
        <w:keepNext w:val="0"/>
        <w:keepLines w:val="0"/>
        <w:pageBreakBefore w:val="0"/>
        <w:widowControl w:val="0"/>
        <w:numPr>
          <w:ilvl w:val="1"/>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除了双方签署书面协议，并成为合同不可分割的一部分之外，合同条件不得有任何变更。</w:t>
      </w:r>
    </w:p>
    <w:p>
      <w:pPr>
        <w:pStyle w:val="PlainText"/>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合同转让和分包</w:t>
      </w:r>
    </w:p>
    <w:p>
      <w:pPr>
        <w:pStyle w:val="PlainText"/>
        <w:keepNext w:val="0"/>
        <w:keepLines w:val="0"/>
        <w:pageBreakBefore w:val="0"/>
        <w:widowControl w:val="0"/>
        <w:numPr>
          <w:ilvl w:val="1"/>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中标人不得以任何形式部分或全部转让其应履行的合同义务。</w:t>
      </w:r>
    </w:p>
    <w:p>
      <w:pPr>
        <w:pStyle w:val="PlainText"/>
        <w:keepNext w:val="0"/>
        <w:keepLines w:val="0"/>
        <w:pageBreakBefore w:val="0"/>
        <w:widowControl w:val="0"/>
        <w:numPr>
          <w:ilvl w:val="1"/>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除非在投标文件中提出的分包项目和建议的分包人，中标人不得采用分包方式履行合同。</w:t>
      </w:r>
    </w:p>
    <w:p>
      <w:pPr>
        <w:pStyle w:val="PlainText"/>
        <w:keepNext w:val="0"/>
        <w:keepLines w:val="0"/>
        <w:pageBreakBefore w:val="0"/>
        <w:widowControl w:val="0"/>
        <w:numPr>
          <w:ilvl w:val="1"/>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在合同实施过程中，除非中标人违约，采购人不得指定分包人。</w:t>
      </w:r>
    </w:p>
    <w:p>
      <w:pPr>
        <w:pStyle w:val="PlainText"/>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解决争议的方法</w:t>
      </w:r>
      <w:r>
        <w:rPr>
          <w:rFonts w:asciiTheme="minorEastAsia" w:eastAsiaTheme="minorEastAsia" w:hAnsiTheme="minorEastAsia" w:cstheme="minorEastAsia" w:hint="eastAsia"/>
          <w:color w:val="000000" w:themeColor="text1"/>
          <w:kern w:val="0"/>
          <w:sz w:val="24"/>
          <w:szCs w:val="24"/>
        </w:rPr>
        <w:tab/>
      </w:r>
    </w:p>
    <w:p>
      <w:pPr>
        <w:pStyle w:val="PlainText"/>
        <w:keepNext w:val="0"/>
        <w:keepLines w:val="0"/>
        <w:pageBreakBefore w:val="0"/>
        <w:widowControl w:val="0"/>
        <w:numPr>
          <w:ilvl w:val="1"/>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合同各方应通过友好协商，解决在执行合同过程中所发生的或与合同有关的一切争端。</w:t>
      </w:r>
    </w:p>
    <w:p>
      <w:pPr>
        <w:pStyle w:val="PlainText"/>
        <w:keepNext w:val="0"/>
        <w:keepLines w:val="0"/>
        <w:pageBreakBefore w:val="0"/>
        <w:widowControl w:val="0"/>
        <w:numPr>
          <w:ilvl w:val="1"/>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如从协商开始28天内仍不能解决，任一方可向采购人所在地的人民法院提起诉讼。</w:t>
      </w:r>
    </w:p>
    <w:p>
      <w:pPr>
        <w:pStyle w:val="PlainText"/>
        <w:keepNext w:val="0"/>
        <w:keepLines w:val="0"/>
        <w:pageBreakBefore w:val="0"/>
        <w:widowControl w:val="0"/>
        <w:numPr>
          <w:ilvl w:val="1"/>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在诉讼期间，除正在进行诉讼的部分外，合同的其他部分应继续执行。</w:t>
      </w:r>
    </w:p>
    <w:p>
      <w:pPr>
        <w:pStyle w:val="PlainText"/>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合同语言</w:t>
      </w:r>
      <w:r>
        <w:rPr>
          <w:rFonts w:asciiTheme="minorEastAsia" w:eastAsiaTheme="minorEastAsia" w:hAnsiTheme="minorEastAsia" w:cstheme="minorEastAsia" w:hint="eastAsia"/>
          <w:color w:val="000000" w:themeColor="text1"/>
          <w:kern w:val="0"/>
          <w:sz w:val="24"/>
          <w:szCs w:val="24"/>
        </w:rPr>
        <w:tab/>
      </w:r>
    </w:p>
    <w:p>
      <w:pPr>
        <w:pStyle w:val="PlainText"/>
        <w:keepNext w:val="0"/>
        <w:keepLines w:val="0"/>
        <w:pageBreakBefore w:val="0"/>
        <w:widowControl w:val="0"/>
        <w:numPr>
          <w:ilvl w:val="1"/>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合同以及双方来住的与合同有关的信件、传真和其它文件应用中文书写。</w:t>
      </w:r>
    </w:p>
    <w:p>
      <w:pPr>
        <w:pStyle w:val="PlainText"/>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法律适用</w:t>
      </w:r>
      <w:r>
        <w:rPr>
          <w:rFonts w:asciiTheme="minorEastAsia" w:eastAsiaTheme="minorEastAsia" w:hAnsiTheme="minorEastAsia" w:cstheme="minorEastAsia" w:hint="eastAsia"/>
          <w:color w:val="000000" w:themeColor="text1"/>
          <w:kern w:val="0"/>
          <w:sz w:val="24"/>
          <w:szCs w:val="24"/>
        </w:rPr>
        <w:tab/>
      </w:r>
    </w:p>
    <w:p>
      <w:pPr>
        <w:pStyle w:val="PlainText"/>
        <w:keepNext w:val="0"/>
        <w:keepLines w:val="0"/>
        <w:pageBreakBefore w:val="0"/>
        <w:widowControl w:val="0"/>
        <w:numPr>
          <w:ilvl w:val="1"/>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合同适用中华人民共和国现行法律、行政法规和规章，如合同条款与法律、行政法规和规章不一致的，按照法律、行政法规和规章修改合同。</w:t>
      </w:r>
    </w:p>
    <w:p>
      <w:pPr>
        <w:pStyle w:val="PlainText"/>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通知</w:t>
      </w:r>
      <w:r>
        <w:rPr>
          <w:rFonts w:asciiTheme="minorEastAsia" w:eastAsiaTheme="minorEastAsia" w:hAnsiTheme="minorEastAsia" w:cstheme="minorEastAsia" w:hint="eastAsia"/>
          <w:color w:val="000000" w:themeColor="text1"/>
          <w:kern w:val="0"/>
          <w:sz w:val="24"/>
          <w:szCs w:val="24"/>
        </w:rPr>
        <w:tab/>
      </w:r>
    </w:p>
    <w:p>
      <w:pPr>
        <w:pStyle w:val="PlainText"/>
        <w:keepNext w:val="0"/>
        <w:keepLines w:val="0"/>
        <w:pageBreakBefore w:val="0"/>
        <w:widowControl w:val="0"/>
        <w:numPr>
          <w:ilvl w:val="1"/>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合同一方给另一方的通知均应采用书面形式，传真或快递送到对方的地址和办理签收手续。</w:t>
      </w:r>
    </w:p>
    <w:p>
      <w:pPr>
        <w:pStyle w:val="PlainText"/>
        <w:keepNext w:val="0"/>
        <w:keepLines w:val="0"/>
        <w:pageBreakBefore w:val="0"/>
        <w:widowControl w:val="0"/>
        <w:numPr>
          <w:ilvl w:val="1"/>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通知以送到之日或通知书中规定的生效之日起生效，两者中以较迟之日为准。</w:t>
      </w:r>
    </w:p>
    <w:p>
      <w:pPr>
        <w:pStyle w:val="PlainText"/>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知识产权</w:t>
      </w:r>
      <w:r>
        <w:rPr>
          <w:rFonts w:asciiTheme="minorEastAsia" w:eastAsiaTheme="minorEastAsia" w:hAnsiTheme="minorEastAsia" w:cstheme="minorEastAsia" w:hint="eastAsia"/>
          <w:color w:val="000000" w:themeColor="text1"/>
          <w:kern w:val="0"/>
          <w:sz w:val="24"/>
          <w:szCs w:val="24"/>
        </w:rPr>
        <w:tab/>
      </w:r>
    </w:p>
    <w:p>
      <w:pPr>
        <w:pStyle w:val="PlainText"/>
        <w:keepNext w:val="0"/>
        <w:keepLines w:val="0"/>
        <w:pageBreakBefore w:val="0"/>
        <w:widowControl w:val="0"/>
        <w:numPr>
          <w:ilvl w:val="1"/>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中标人应保证采购人在使用该货物或其任何一部分时免受第三方提出侵犯其专利、商标、版权等知识产权或商品名称及其他权利的起诉及索赔。若采购人因此被第三方起诉或以其它方式追究责任，中标人应赔偿因采购人被第三方索赔所引起的一切损失，包括但不限于采购人所支付的侵权损害赔偿费、律师费、诉讼费、仲裁费、办案差旅费等因应诉、沟通协调所发的一切费用。</w:t>
      </w:r>
    </w:p>
    <w:p>
      <w:pPr>
        <w:pStyle w:val="PlainText"/>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合同解除和终止</w:t>
      </w:r>
      <w:r>
        <w:rPr>
          <w:rFonts w:asciiTheme="minorEastAsia" w:eastAsiaTheme="minorEastAsia" w:hAnsiTheme="minorEastAsia" w:cstheme="minorEastAsia" w:hint="eastAsia"/>
          <w:color w:val="000000" w:themeColor="text1"/>
          <w:kern w:val="0"/>
          <w:sz w:val="24"/>
          <w:szCs w:val="24"/>
        </w:rPr>
        <w:tab/>
      </w:r>
    </w:p>
    <w:p>
      <w:pPr>
        <w:pStyle w:val="PlainText"/>
        <w:keepNext w:val="0"/>
        <w:keepLines w:val="0"/>
        <w:pageBreakBefore w:val="0"/>
        <w:widowControl w:val="0"/>
        <w:numPr>
          <w:ilvl w:val="1"/>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如果中标人未能在协议规定的限期或采购人同意延长的限期内提供部分或全部服务，采购人可向中标人发出书面的违约通知书，提出终止部份或全部协议。采购人可在任何时候出于自身的便利向中标人发出书面通知终止部分合同，采购人在合同总价中扣除该终止部分服务的价款，并不再对中标人作出额外赔偿。</w:t>
      </w:r>
    </w:p>
    <w:p>
      <w:pPr>
        <w:pStyle w:val="PlainText"/>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textAlignment w:val="auto"/>
        <w:rPr>
          <w:rFonts w:asciiTheme="minorEastAsia" w:eastAsiaTheme="minorEastAsia" w:hAnsiTheme="minorEastAsia" w:cstheme="minorEastAsia" w:hint="eastAsia"/>
          <w:color w:val="000000" w:themeColor="text1"/>
          <w:kern w:val="0"/>
          <w:sz w:val="24"/>
          <w:szCs w:val="24"/>
        </w:rPr>
      </w:pPr>
      <w:r>
        <w:rPr>
          <w:rFonts w:asciiTheme="minorEastAsia" w:eastAsiaTheme="minorEastAsia" w:hAnsiTheme="minorEastAsia" w:cstheme="minorEastAsia" w:hint="eastAsia"/>
          <w:color w:val="000000" w:themeColor="text1"/>
          <w:kern w:val="0"/>
          <w:sz w:val="24"/>
          <w:szCs w:val="24"/>
        </w:rPr>
        <w:t>税费</w:t>
      </w:r>
      <w:r>
        <w:rPr>
          <w:rFonts w:asciiTheme="minorEastAsia" w:eastAsiaTheme="minorEastAsia" w:hAnsiTheme="minorEastAsia" w:cstheme="minorEastAsia" w:hint="eastAsia"/>
          <w:color w:val="000000" w:themeColor="text1"/>
          <w:kern w:val="0"/>
          <w:sz w:val="24"/>
          <w:szCs w:val="24"/>
        </w:rPr>
        <w:tab/>
      </w:r>
    </w:p>
    <w:p>
      <w:pPr>
        <w:spacing w:line="360" w:lineRule="auto"/>
        <w:ind w:firstLine="200"/>
        <w:rPr>
          <w:rFonts w:ascii="宋体" w:hAnsi="宋体"/>
          <w:sz w:val="24"/>
          <w:szCs w:val="24"/>
        </w:rPr>
      </w:pPr>
      <w:r>
        <w:rPr>
          <w:rFonts w:asciiTheme="minorEastAsia" w:eastAsiaTheme="minorEastAsia" w:hAnsiTheme="minorEastAsia" w:cstheme="minorEastAsia" w:hint="eastAsia"/>
          <w:color w:val="000000" w:themeColor="text1"/>
          <w:kern w:val="0"/>
          <w:sz w:val="24"/>
          <w:szCs w:val="24"/>
        </w:rPr>
        <w:t>中国政府根据现行税法向中标人征收的与合同有关的一切税费均由中标人负责。</w:t>
      </w:r>
    </w:p>
    <w:p>
      <w:pPr>
        <w:spacing w:line="360" w:lineRule="auto"/>
        <w:ind w:firstLine="200"/>
        <w:rPr>
          <w:rFonts w:ascii="宋体" w:hAnsi="宋体"/>
          <w:szCs w:val="21"/>
        </w:rPr>
      </w:pPr>
    </w:p>
    <w:p>
      <w:pPr>
        <w:pStyle w:val="a"/>
        <w:ind w:firstLine="0" w:firstLineChars="0"/>
      </w:pPr>
      <w:r>
        <w:rPr>
          <w:sz w:val="21"/>
          <w:szCs w:val="21"/>
        </w:rPr>
        <w:br w:type="page"/>
      </w:r>
    </w:p>
    <w:p>
      <w:pPr>
        <w:pStyle w:val="Heading3"/>
        <w:jc w:val="center"/>
        <w:rPr>
          <w:szCs w:val="28"/>
        </w:rPr>
      </w:pPr>
      <w:r>
        <w:rPr>
          <w:rFonts w:hint="eastAsia"/>
          <w:szCs w:val="28"/>
        </w:rPr>
        <w:t>政策导向</w:t>
      </w:r>
    </w:p>
    <w:p>
      <w:pPr>
        <w:ind w:firstLine="480" w:firstLineChars="200"/>
        <w:rPr>
          <w:szCs w:val="21"/>
        </w:rPr>
      </w:pPr>
      <w:r>
        <w:rPr>
          <w:szCs w:val="21"/>
        </w:rPr>
        <w:t>1、按照《财政部 发展改革委 生态环境部 市场监管总局关于调整优化节能产品、环境标志产品政府采购执行机制的通知》（财库〔2019〕9号）的要求，对政府采购节能产品、环境标志产品实施品目清单管理。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ind w:firstLine="480" w:firstLineChars="200"/>
        <w:rPr>
          <w:szCs w:val="21"/>
        </w:rPr>
      </w:pPr>
      <w:r>
        <w:rPr>
          <w:szCs w:val="21"/>
        </w:rPr>
        <w:t>《节能产品政府采购品目清单》、《环境标志产品政府采购品目清单》、《参与实施政府采购节能产品认证机构名录》及《参与实施政府采购环境标志产品认证机构名录》，详见中国政府采购网（</w:t>
      </w:r>
      <w:r>
        <w:fldChar w:fldCharType="begin"/>
      </w:r>
      <w:r>
        <w:instrText xml:space="preserve"> HYPERLINK "http://www.ccgp.gov.cn/" </w:instrText>
      </w:r>
      <w:r>
        <w:fldChar w:fldCharType="separate"/>
      </w:r>
      <w:r>
        <w:rPr>
          <w:rStyle w:val="Hyperlink"/>
          <w:rFonts w:hint="default"/>
          <w:szCs w:val="21"/>
        </w:rPr>
        <w:t>http://www.ccgp.gov.cn/</w:t>
      </w:r>
      <w:r>
        <w:rPr>
          <w:rStyle w:val="Hyperlink"/>
          <w:rFonts w:hint="default"/>
          <w:szCs w:val="21"/>
        </w:rPr>
        <w:fldChar w:fldCharType="end"/>
      </w:r>
      <w:r>
        <w:rPr>
          <w:szCs w:val="21"/>
        </w:rPr>
        <w:t>）。</w:t>
      </w:r>
    </w:p>
    <w:p>
      <w:pPr>
        <w:ind w:firstLine="480" w:firstLineChars="200"/>
        <w:rPr>
          <w:bCs/>
          <w:szCs w:val="21"/>
        </w:rPr>
      </w:pPr>
      <w:r>
        <w:rPr>
          <w:bCs/>
          <w:szCs w:val="21"/>
        </w:rPr>
        <w:t>2、2014年起，政府部门、国有企业在进行设备或工程采购时，应在招标文件中明确要求工程机械、装卸机械满足国家现阶段非道路移动机械用柴油机排放标准，并鼓励使用LNG或电动工程机械、装卸机械。2015年起，政府部门、国有企业采购设备或工程项目中选用LNG或电动工程机械、装卸机械的比例不低于30%。</w:t>
      </w:r>
    </w:p>
    <w:p>
      <w:pPr>
        <w:ind w:firstLine="480" w:firstLineChars="200"/>
        <w:rPr>
          <w:bCs/>
          <w:szCs w:val="21"/>
        </w:rPr>
      </w:pPr>
      <w:r>
        <w:rPr>
          <w:bCs/>
          <w:szCs w:val="21"/>
        </w:rPr>
        <w:t>3. 根据《光明新区发展和财政局转发推广纯电动环卫车应用有关要求的通知》（</w:t>
      </w:r>
      <w:r>
        <w:rPr>
          <w:szCs w:val="21"/>
        </w:rPr>
        <w:t>深光发财〔2018〕609号）以及《深圳市城市管理局关于加快推进使用纯电动环卫车的通知》（深城管通〔2018〕292 号）的要求，“各区需完成推广纯电动环卫车，以及柴油环卫车DPF安装改造或提前淘汰工作，2018年5月起，各区对重新招标标段所使用的环卫车，除垃圾清运类勾臂车外的全部车辆更换为纯电动车”</w:t>
      </w:r>
      <w:r>
        <w:rPr>
          <w:rFonts w:hint="eastAsia"/>
          <w:bCs/>
          <w:szCs w:val="21"/>
        </w:rPr>
        <w:t>。</w:t>
      </w:r>
    </w:p>
    <w:p>
      <w:pPr>
        <w:pStyle w:val="a"/>
        <w:spacing w:line="240" w:lineRule="auto"/>
        <w:ind w:firstLine="420"/>
        <w:rPr>
          <w:rFonts w:ascii="Times New Roman"/>
          <w:bCs/>
          <w:sz w:val="21"/>
          <w:szCs w:val="21"/>
        </w:rPr>
      </w:pPr>
      <w:r>
        <w:rPr>
          <w:rFonts w:ascii="Times New Roman"/>
          <w:bCs/>
          <w:sz w:val="21"/>
          <w:szCs w:val="21"/>
        </w:rPr>
        <w:t>4.根据《光明新区环境保护和水务局关于落实&lt;低挥发性有机物含量涂料技术规范&gt;有关要求的通知》“限制高挥发性有机物含量产品参与招标采购”要求，确保符合《低挥发性有机物含量涂料技术规范（SZJG 54-2017）》，要求区各级政府部门采购项目中必须采购使用低挥发性有机物含量涂料生产的办公家具。</w:t>
      </w:r>
    </w:p>
    <w:p>
      <w:pPr>
        <w:pStyle w:val="a"/>
        <w:ind w:firstLine="0" w:firstLineChars="0"/>
      </w:pPr>
    </w:p>
    <w:p>
      <w:pPr>
        <w:pStyle w:val="Heading2"/>
        <w:keepNext/>
        <w:keepLines/>
        <w:tabs>
          <w:tab w:val="left" w:pos="720"/>
        </w:tabs>
        <w:spacing w:before="120" w:beforeLines="50" w:after="120" w:afterLines="50"/>
        <w:ind w:firstLine="2640" w:firstLineChars="1100"/>
        <w:jc w:val="both"/>
        <w:rPr>
          <w:rFonts w:ascii="宋体" w:hAnsi="宋体"/>
          <w:b/>
          <w:sz w:val="28"/>
          <w:szCs w:val="28"/>
        </w:rPr>
      </w:pPr>
      <w:r>
        <w:rPr>
          <w:rFonts w:ascii="宋体" w:hAnsi="宋体"/>
          <w:b/>
          <w:sz w:val="28"/>
          <w:szCs w:val="28"/>
        </w:rPr>
        <w:br w:type="page"/>
      </w:r>
      <w:r>
        <w:rPr>
          <w:rFonts w:ascii="宋体" w:hAnsi="宋体" w:hint="eastAsia"/>
          <w:b/>
          <w:sz w:val="28"/>
          <w:szCs w:val="28"/>
        </w:rPr>
        <w:t>第三章  投标文件的格式、附件</w:t>
      </w:r>
    </w:p>
    <w:p>
      <w:pPr>
        <w:rPr>
          <w:rFonts w:ascii="宋体" w:hAnsi="宋体"/>
          <w:szCs w:val="21"/>
        </w:rPr>
      </w:pPr>
      <w:r>
        <w:rPr>
          <w:rStyle w:val="3Char"/>
          <w:rFonts w:hint="eastAsia"/>
          <w:szCs w:val="21"/>
        </w:rPr>
        <w:t>特别提醒：</w:t>
      </w:r>
      <w:r>
        <w:rPr>
          <w:rFonts w:ascii="宋体" w:hAnsi="宋体" w:hint="eastAsia"/>
          <w:szCs w:val="21"/>
        </w:rPr>
        <w:t>投标人在编制投标文件时，在投标文件目录中属于本节点内容的必须在本节点中填写，填写到其他节点或附件的将</w:t>
      </w:r>
      <w:r>
        <w:rPr>
          <w:rFonts w:ascii="宋体" w:hAnsi="宋体" w:hint="eastAsia"/>
          <w:b/>
          <w:szCs w:val="21"/>
        </w:rPr>
        <w:t>可能</w:t>
      </w:r>
      <w:r>
        <w:rPr>
          <w:rFonts w:ascii="宋体" w:hAnsi="宋体" w:hint="eastAsia"/>
          <w:szCs w:val="21"/>
        </w:rPr>
        <w:t>导致投标无效，投标人应自行承担不利后果。</w:t>
      </w:r>
    </w:p>
    <w:p>
      <w:pPr>
        <w:rPr>
          <w:rFonts w:ascii="仿宋_GB2312" w:eastAsia="仿宋_GB2312"/>
          <w:b/>
          <w:sz w:val="30"/>
          <w:szCs w:val="30"/>
        </w:rPr>
      </w:pPr>
      <w:r>
        <w:rPr>
          <w:rFonts w:ascii="仿宋_GB2312" w:eastAsia="仿宋_GB2312" w:hint="eastAsia"/>
          <w:b/>
          <w:sz w:val="30"/>
          <w:szCs w:val="30"/>
        </w:rPr>
        <w:t>投标文件正文（信息公开部分）：</w:t>
      </w:r>
    </w:p>
    <w:p>
      <w:pPr>
        <w:pStyle w:val="Heading3"/>
        <w:jc w:val="center"/>
        <w:rPr>
          <w:rFonts w:ascii="黑体" w:eastAsia="黑体"/>
          <w:b w:val="0"/>
          <w:sz w:val="24"/>
        </w:rPr>
      </w:pPr>
      <w:r>
        <w:rPr>
          <w:rFonts w:ascii="黑体" w:eastAsia="黑体" w:hint="eastAsia"/>
          <w:b w:val="0"/>
          <w:sz w:val="24"/>
        </w:rPr>
        <w:t>一、投标函</w:t>
      </w:r>
    </w:p>
    <w:p>
      <w:pPr>
        <w:spacing w:line="360" w:lineRule="auto"/>
        <w:rPr>
          <w:rFonts w:ascii="宋体" w:hAnsi="宋体"/>
          <w:szCs w:val="21"/>
        </w:rPr>
      </w:pPr>
      <w:r>
        <w:rPr>
          <w:rFonts w:ascii="宋体" w:hAnsi="宋体" w:hint="eastAsia"/>
          <w:szCs w:val="21"/>
        </w:rPr>
        <w:t xml:space="preserve">致：深圳市德顺项目咨询有限公司  </w:t>
      </w:r>
    </w:p>
    <w:p>
      <w:pPr>
        <w:ind w:firstLine="480" w:firstLineChars="200"/>
        <w:rPr>
          <w:rFonts w:ascii="宋体" w:hAnsi="宋体"/>
          <w:szCs w:val="21"/>
        </w:rPr>
      </w:pPr>
      <w:bookmarkStart w:id="15" w:name="_Hlk73818812"/>
      <w:r>
        <w:rPr>
          <w:rFonts w:hint="eastAsia"/>
          <w:szCs w:val="21"/>
        </w:rPr>
        <w:t>1、根据已收到贵单位的项目编号为</w:t>
      </w:r>
      <w:r>
        <w:rPr>
          <w:rFonts w:hint="eastAsia"/>
          <w:szCs w:val="21"/>
          <w:u w:val="single"/>
          <w:lang w:val="en-US" w:eastAsia="zh-CN"/>
        </w:rPr>
        <w:t xml:space="preserve">      </w:t>
      </w:r>
      <w:r>
        <w:rPr>
          <w:rFonts w:hint="eastAsia"/>
          <w:szCs w:val="21"/>
        </w:rPr>
        <w:t>的</w:t>
      </w:r>
      <w:r>
        <w:rPr>
          <w:rFonts w:hint="eastAsia"/>
          <w:szCs w:val="21"/>
          <w:u w:val="single"/>
          <w:lang w:val="en-US" w:eastAsia="zh-CN"/>
        </w:rPr>
        <w:t xml:space="preserve">      </w:t>
      </w:r>
      <w:r>
        <w:rPr>
          <w:rFonts w:hint="eastAsia"/>
          <w:szCs w:val="21"/>
        </w:rPr>
        <w:t>项目的招标文件，遵照《深圳经济特区政府采购条例》和《深圳网上政府采购管理暂行办法》等有关规定，我单位经研究上述招标文件的专用条款及通用条款后，</w:t>
      </w:r>
      <w:bookmarkStart w:id="16" w:name="_Hlk72263588"/>
      <w:r>
        <w:rPr>
          <w:rFonts w:hint="eastAsia"/>
          <w:szCs w:val="21"/>
        </w:rPr>
        <w:t>愿意按照招标文件要求承包上述项目并修补其任何缺陷。</w:t>
      </w:r>
      <w:bookmarkEnd w:id="16"/>
    </w:p>
    <w:p>
      <w:pPr>
        <w:ind w:firstLine="480" w:firstLineChars="200"/>
        <w:rPr>
          <w:rFonts w:ascii="宋体" w:hAnsi="宋体"/>
          <w:szCs w:val="21"/>
        </w:rPr>
      </w:pPr>
      <w:r>
        <w:rPr>
          <w:rFonts w:ascii="宋体" w:hAnsi="宋体"/>
          <w:szCs w:val="21"/>
        </w:rPr>
        <w:t>2</w:t>
      </w:r>
      <w:r>
        <w:rPr>
          <w:rFonts w:ascii="宋体" w:hAnsi="宋体" w:hint="eastAsia"/>
          <w:szCs w:val="21"/>
        </w:rPr>
        <w:t>、投标价格见</w:t>
      </w:r>
      <w:r>
        <w:rPr>
          <w:rFonts w:hint="eastAsia"/>
          <w:szCs w:val="21"/>
        </w:rPr>
        <w:t>投标书编制软件中《开标一览表》中填写的投标总价。</w:t>
      </w:r>
    </w:p>
    <w:p>
      <w:pPr>
        <w:ind w:firstLine="480" w:firstLineChars="200"/>
        <w:rPr>
          <w:rFonts w:ascii="宋体" w:hAnsi="宋体"/>
          <w:szCs w:val="21"/>
        </w:rPr>
      </w:pPr>
      <w:r>
        <w:rPr>
          <w:rFonts w:ascii="宋体" w:hAnsi="宋体" w:hint="eastAsia"/>
          <w:szCs w:val="21"/>
        </w:rPr>
        <w:t>3、如果我单位中标，我单位将按照招标文件的要求足额提交履约担保。</w:t>
      </w:r>
    </w:p>
    <w:p>
      <w:pPr>
        <w:ind w:firstLine="480" w:firstLineChars="200"/>
        <w:rPr>
          <w:rFonts w:ascii="宋体" w:hAnsi="宋体"/>
          <w:szCs w:val="21"/>
        </w:rPr>
      </w:pPr>
      <w:r>
        <w:rPr>
          <w:rFonts w:ascii="宋体" w:hAnsi="宋体" w:hint="eastAsia"/>
          <w:szCs w:val="21"/>
        </w:rPr>
        <w:t>4、我单位同意所递交的投标文件在“对通用条款的补充内容”中明确的投标有效期内有效，在此期间内我单位的投标有可能中标，我方将受此约束。</w:t>
      </w:r>
    </w:p>
    <w:p>
      <w:pPr>
        <w:ind w:firstLine="480" w:firstLineChars="200"/>
        <w:rPr>
          <w:rFonts w:ascii="宋体" w:hAnsi="宋体"/>
          <w:szCs w:val="21"/>
        </w:rPr>
      </w:pPr>
      <w:r>
        <w:rPr>
          <w:rFonts w:ascii="宋体" w:hAnsi="宋体" w:hint="eastAsia"/>
          <w:szCs w:val="21"/>
        </w:rPr>
        <w:t>5、除非另外达成协议并生效，贵单位的中标通知书和本投标文件将构成合同的重要内容。</w:t>
      </w:r>
    </w:p>
    <w:p>
      <w:pPr>
        <w:ind w:left="480" w:leftChars="200"/>
        <w:rPr>
          <w:szCs w:val="21"/>
          <w:u w:val="single"/>
        </w:rPr>
      </w:pPr>
      <w:r>
        <w:rPr>
          <w:rFonts w:ascii="宋体" w:hAnsi="宋体" w:hint="eastAsia"/>
          <w:szCs w:val="21"/>
        </w:rPr>
        <w:t>6、我单位理解贵单位将不受必须接受所收到的最低报价或其它任何投标文件的约束。</w:t>
      </w:r>
      <w:bookmarkEnd w:id="15"/>
      <w:r>
        <w:rPr>
          <w:rFonts w:hint="eastAsia"/>
          <w:szCs w:val="21"/>
        </w:rPr>
        <w:t>投标人：    单位地址：</w:t>
      </w:r>
    </w:p>
    <w:p>
      <w:pPr>
        <w:ind w:left="617" w:leftChars="257"/>
        <w:rPr>
          <w:szCs w:val="21"/>
          <w:u w:val="single"/>
        </w:rPr>
      </w:pPr>
      <w:r>
        <w:rPr>
          <w:rFonts w:hint="eastAsia"/>
          <w:szCs w:val="21"/>
        </w:rPr>
        <w:t>法定代表人（负责人）或其委托代理人：</w:t>
      </w:r>
    </w:p>
    <w:p>
      <w:pPr>
        <w:ind w:left="617" w:leftChars="257"/>
        <w:rPr>
          <w:szCs w:val="21"/>
          <w:u w:val="single"/>
        </w:rPr>
      </w:pPr>
      <w:r>
        <w:rPr>
          <w:rFonts w:hint="eastAsia"/>
          <w:szCs w:val="21"/>
        </w:rPr>
        <w:t>邮政编码：  电话：  传真：</w:t>
      </w:r>
    </w:p>
    <w:p>
      <w:pPr>
        <w:ind w:left="617"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left="617"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pPr>
        <w:ind w:firstLine="617" w:firstLineChars="257"/>
      </w:pPr>
      <w:r>
        <w:rPr>
          <w:rFonts w:ascii="宋体" w:hAnsi="宋体" w:hint="eastAsia"/>
          <w:szCs w:val="21"/>
        </w:rPr>
        <w:t>日期：年月日</w:t>
      </w:r>
    </w:p>
    <w:p>
      <w:pPr>
        <w:rPr>
          <w:rFonts w:ascii="黑体" w:eastAsia="黑体" w:hAnsi="宋体"/>
        </w:rPr>
      </w:pPr>
    </w:p>
    <w:p>
      <w:pPr>
        <w:pStyle w:val="Heading3"/>
        <w:jc w:val="center"/>
        <w:rPr>
          <w:sz w:val="24"/>
        </w:rPr>
      </w:pPr>
      <w:r>
        <w:rPr>
          <w:rFonts w:ascii="黑体" w:eastAsia="黑体"/>
          <w:b w:val="0"/>
          <w:sz w:val="24"/>
        </w:rPr>
        <w:br w:type="page"/>
      </w:r>
      <w:r>
        <w:rPr>
          <w:rFonts w:ascii="黑体" w:eastAsia="黑体" w:hint="eastAsia"/>
          <w:b w:val="0"/>
          <w:sz w:val="24"/>
        </w:rPr>
        <w:t>二、政府采购投标及履约承诺函</w:t>
      </w:r>
    </w:p>
    <w:p>
      <w:pPr>
        <w:rPr>
          <w:rFonts w:ascii="宋体" w:hAnsi="宋体"/>
          <w:color w:val="FF0000"/>
          <w:szCs w:val="21"/>
        </w:rPr>
      </w:pPr>
      <w:r>
        <w:rPr>
          <w:rFonts w:ascii="宋体" w:hAnsi="宋体" w:hint="eastAsia"/>
          <w:szCs w:val="21"/>
        </w:rPr>
        <w:t>致：深圳市德顺项目咨询有限公司</w:t>
      </w:r>
    </w:p>
    <w:p>
      <w:pPr>
        <w:ind w:right="-815" w:firstLine="480" w:firstLineChars="200"/>
        <w:rPr>
          <w:rFonts w:ascii="宋体" w:hAnsi="宋体"/>
          <w:szCs w:val="21"/>
        </w:rPr>
      </w:pPr>
      <w:r>
        <w:rPr>
          <w:rFonts w:ascii="宋体" w:hAnsi="宋体" w:hint="eastAsia"/>
          <w:szCs w:val="21"/>
        </w:rPr>
        <w:t>我单位承诺：</w:t>
      </w:r>
    </w:p>
    <w:p>
      <w:pPr>
        <w:ind w:firstLine="480" w:firstLineChars="200"/>
        <w:rPr>
          <w:rFonts w:ascii="宋体" w:hAnsi="宋体"/>
          <w:szCs w:val="21"/>
        </w:rPr>
      </w:pPr>
      <w:r>
        <w:rPr>
          <w:rFonts w:ascii="宋体" w:hAnsi="宋体" w:hint="eastAsia"/>
          <w:szCs w:val="21"/>
        </w:rPr>
        <w:t>1.我单位本招标项目所提供的货物或服务未侵犯知识产权。</w:t>
      </w:r>
    </w:p>
    <w:p>
      <w:pPr>
        <w:ind w:firstLine="480" w:firstLineChars="200"/>
        <w:rPr>
          <w:rFonts w:ascii="宋体" w:hAnsi="宋体"/>
          <w:szCs w:val="21"/>
        </w:rPr>
      </w:pPr>
      <w:r>
        <w:rPr>
          <w:rFonts w:ascii="宋体" w:hAnsi="宋体" w:hint="eastAsia"/>
          <w:szCs w:val="21"/>
        </w:rPr>
        <w:t>2.我单位参与本项目投标前三年内，在经营活动中没有重大违法记录。</w:t>
      </w:r>
    </w:p>
    <w:p>
      <w:pPr>
        <w:ind w:firstLine="480" w:firstLineChars="20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pPr>
        <w:ind w:firstLine="480" w:firstLineChars="200"/>
        <w:rPr>
          <w:rFonts w:ascii="宋体" w:hAnsi="宋体"/>
          <w:szCs w:val="21"/>
        </w:rPr>
      </w:pPr>
      <w:r>
        <w:rPr>
          <w:rFonts w:ascii="宋体" w:hAnsi="宋体" w:hint="eastAsia"/>
          <w:szCs w:val="21"/>
        </w:rPr>
        <w:t>4.我单位具备《中华人民共和国政府采购法》第二十二条规定的六项条件。</w:t>
      </w:r>
    </w:p>
    <w:p>
      <w:pPr>
        <w:ind w:firstLine="480" w:firstLineChars="20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pPr>
        <w:ind w:firstLine="480" w:firstLineChars="200"/>
        <w:rPr>
          <w:rFonts w:ascii="宋体" w:hAnsi="宋体"/>
          <w:szCs w:val="21"/>
        </w:rPr>
      </w:pPr>
      <w:r>
        <w:rPr>
          <w:rFonts w:ascii="宋体" w:hAnsi="宋体" w:hint="eastAsia"/>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80" w:firstLineChars="20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80" w:firstLineChars="20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80" w:firstLineChars="20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80" w:firstLineChars="20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pPr>
        <w:ind w:firstLine="480" w:firstLineChars="20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80" w:firstLineChars="200"/>
        <w:rPr>
          <w:rFonts w:ascii="宋体" w:hAnsi="宋体"/>
        </w:rPr>
      </w:pPr>
      <w:r>
        <w:rPr>
          <w:rFonts w:ascii="宋体" w:hAnsi="宋体"/>
        </w:rPr>
        <w:t>11.</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w:t>
      </w:r>
    </w:p>
    <w:p>
      <w:pPr>
        <w:ind w:firstLine="480" w:firstLineChars="200"/>
        <w:rPr>
          <w:rFonts w:ascii="宋体" w:hAnsi="宋体"/>
          <w:szCs w:val="21"/>
        </w:rPr>
      </w:pPr>
      <w:r>
        <w:rPr>
          <w:rFonts w:ascii="宋体" w:hAnsi="宋体" w:hint="eastAsia"/>
          <w:szCs w:val="21"/>
        </w:rPr>
        <w:t>以上承诺，如有违反，愿依照国家相关法律法规处理，并承担由此给采购人带来的损失。</w:t>
      </w:r>
    </w:p>
    <w:p>
      <w:pPr>
        <w:spacing w:before="60" w:beforeLines="25" w:after="60" w:afterLines="25"/>
        <w:ind w:firstLine="6240" w:firstLineChars="2600"/>
        <w:rPr>
          <w:rFonts w:ascii="宋体" w:hAnsi="宋体"/>
          <w:szCs w:val="21"/>
        </w:rPr>
      </w:pPr>
    </w:p>
    <w:p>
      <w:pPr>
        <w:spacing w:before="60" w:beforeLines="25" w:after="60" w:afterLines="25"/>
        <w:ind w:firstLine="6240" w:firstLineChars="2600"/>
        <w:rPr>
          <w:color w:val="FF0000"/>
        </w:rPr>
      </w:pPr>
      <w:r>
        <w:rPr>
          <w:rFonts w:hint="eastAsia"/>
          <w:color w:val="FF0000"/>
          <w:szCs w:val="21"/>
        </w:rPr>
        <w:t>投标人：</w:t>
      </w:r>
    </w:p>
    <w:p>
      <w:pPr>
        <w:ind w:firstLine="645"/>
        <w:rPr>
          <w:rFonts w:ascii="宋体" w:hAnsi="宋体"/>
          <w:color w:val="FF0000"/>
          <w:szCs w:val="21"/>
        </w:rPr>
      </w:pPr>
      <w:r>
        <w:rPr>
          <w:rFonts w:ascii="宋体" w:hAnsi="宋体" w:hint="eastAsia"/>
          <w:color w:val="FF0000"/>
          <w:szCs w:val="21"/>
        </w:rPr>
        <w:t xml:space="preserve">                                              日期：年月日</w:t>
      </w:r>
    </w:p>
    <w:p>
      <w:pPr>
        <w:pStyle w:val="BodyText"/>
        <w:ind w:firstLine="480" w:firstLineChars="200"/>
        <w:rPr>
          <w:b/>
          <w:bCs/>
          <w:szCs w:val="21"/>
        </w:rPr>
      </w:pPr>
      <w:r>
        <w:rPr>
          <w:b/>
          <w:bCs/>
          <w:szCs w:val="21"/>
        </w:rPr>
        <w:br w:type="page"/>
      </w:r>
    </w:p>
    <w:p>
      <w:pPr>
        <w:spacing w:after="60"/>
        <w:ind w:firstLine="240" w:firstLineChars="100"/>
        <w:rPr>
          <w:rFonts w:hAnsi="宋体"/>
          <w:u w:val="single"/>
        </w:rPr>
      </w:pPr>
    </w:p>
    <w:p>
      <w:pPr>
        <w:pStyle w:val="Heading3"/>
        <w:jc w:val="center"/>
        <w:rPr>
          <w:rFonts w:ascii="黑体" w:eastAsia="黑体"/>
          <w:b w:val="0"/>
          <w:sz w:val="24"/>
        </w:rPr>
      </w:pPr>
      <w:bookmarkStart w:id="17" w:name="_Toc73518186"/>
      <w:bookmarkStart w:id="18" w:name="_Toc71860060"/>
      <w:bookmarkStart w:id="19" w:name="_Toc73517708"/>
      <w:bookmarkStart w:id="20" w:name="_Toc70748068"/>
      <w:bookmarkStart w:id="21" w:name="_Toc100052469"/>
      <w:bookmarkStart w:id="22" w:name="_Toc101074900"/>
      <w:bookmarkStart w:id="23" w:name="_Toc73521614"/>
      <w:bookmarkStart w:id="24" w:name="_Toc73521702"/>
      <w:r>
        <w:rPr>
          <w:rFonts w:ascii="黑体" w:eastAsia="黑体" w:hint="eastAsia"/>
          <w:b w:val="0"/>
          <w:sz w:val="24"/>
        </w:rPr>
        <w:t>三、</w:t>
      </w:r>
      <w:bookmarkEnd w:id="17"/>
      <w:bookmarkEnd w:id="18"/>
      <w:bookmarkEnd w:id="19"/>
      <w:bookmarkEnd w:id="20"/>
      <w:bookmarkEnd w:id="21"/>
      <w:bookmarkEnd w:id="22"/>
      <w:bookmarkEnd w:id="23"/>
      <w:bookmarkEnd w:id="24"/>
      <w:r>
        <w:rPr>
          <w:rFonts w:ascii="黑体" w:eastAsia="黑体" w:hint="eastAsia"/>
          <w:b w:val="0"/>
          <w:sz w:val="24"/>
        </w:rPr>
        <w:t>投标人情况介绍及资格要求</w:t>
      </w:r>
    </w:p>
    <w:p>
      <w:pPr>
        <w:ind w:left="720" w:hanging="240" w:leftChars="200" w:hangingChars="100"/>
        <w:rPr>
          <w:bCs/>
        </w:rPr>
      </w:pPr>
      <w:r>
        <w:rPr>
          <w:rFonts w:hint="eastAsia"/>
          <w:bCs/>
        </w:rPr>
        <w:t>1. 投标人情况介绍：</w:t>
      </w:r>
    </w:p>
    <w:p>
      <w:pPr>
        <w:ind w:firstLine="480" w:firstLineChars="200"/>
        <w:rPr>
          <w:b/>
          <w:bCs/>
          <w:color w:val="FF0000"/>
        </w:rPr>
      </w:pPr>
    </w:p>
    <w:p>
      <w:pPr>
        <w:ind w:firstLine="480" w:firstLineChars="200"/>
        <w:rPr>
          <w:b/>
          <w:bCs/>
        </w:rPr>
      </w:pPr>
      <w:r>
        <w:rPr>
          <w:rFonts w:hint="eastAsia"/>
          <w:b/>
          <w:bCs/>
        </w:rPr>
        <w:t>2.</w:t>
      </w:r>
      <w:r>
        <w:rPr>
          <w:rFonts w:hint="eastAsia"/>
        </w:rPr>
        <w:t xml:space="preserve"> </w:t>
      </w:r>
      <w:r>
        <w:rPr>
          <w:rFonts w:hint="eastAsia"/>
          <w:b/>
          <w:bCs/>
        </w:rPr>
        <w:t>资格证明材料：</w:t>
      </w:r>
    </w:p>
    <w:p>
      <w:pPr>
        <w:ind w:firstLine="480" w:firstLineChars="200"/>
        <w:rPr>
          <w:b/>
          <w:bCs/>
        </w:rPr>
      </w:pPr>
      <w:r>
        <w:rPr>
          <w:rFonts w:hint="eastAsia"/>
          <w:b/>
          <w:bCs/>
        </w:rPr>
        <w:t>投标人须按招标文件中“投标人资质要求”提供相关的资质证明，投标文件中未提供或提供不完整、不符合要求的，将按投标无效处理。在政府采购系统响应报名的单位，不代表资格审查通过。</w:t>
      </w:r>
    </w:p>
    <w:p>
      <w:pPr>
        <w:ind w:firstLine="960" w:firstLineChars="400"/>
        <w:rPr>
          <w:b/>
          <w:bCs/>
        </w:rPr>
      </w:pPr>
    </w:p>
    <w:p>
      <w:pPr>
        <w:ind w:firstLine="480" w:firstLineChars="200"/>
        <w:rPr>
          <w:b/>
          <w:bCs/>
        </w:rPr>
      </w:pPr>
      <w:r>
        <w:rPr>
          <w:rFonts w:hint="eastAsia"/>
          <w:b/>
          <w:bCs/>
        </w:rPr>
        <w:t>3.中小企业声明函、残疾人福利性单位声明函及监狱企业声明函：</w:t>
      </w:r>
    </w:p>
    <w:p>
      <w:pPr>
        <w:ind w:firstLine="480" w:firstLineChars="200"/>
        <w:rPr>
          <w:b/>
          <w:bCs/>
        </w:rPr>
      </w:pPr>
      <w:r>
        <w:rPr>
          <w:rFonts w:hint="eastAsia"/>
          <w:b/>
          <w:bCs/>
        </w:rPr>
        <w:t>（备注：该部分内容由供应商根据自身情况提供相关内容，不符合要求的供应商不提供。）</w:t>
      </w:r>
    </w:p>
    <w:p>
      <w:pPr>
        <w:pStyle w:val="a"/>
        <w:ind w:firstLine="480"/>
      </w:pPr>
    </w:p>
    <w:p>
      <w:pPr>
        <w:ind w:firstLine="480" w:firstLineChars="200"/>
        <w:rPr>
          <w:rFonts w:ascii="黑体" w:eastAsia="黑体" w:hAnsi="宋体"/>
          <w:bCs/>
          <w:color w:val="FF0000"/>
          <w:szCs w:val="21"/>
        </w:rPr>
      </w:pPr>
      <w:r>
        <w:rPr>
          <w:rFonts w:ascii="黑体" w:eastAsia="黑体" w:hAnsi="宋体" w:hint="eastAsia"/>
          <w:bCs/>
          <w:color w:val="FF0000"/>
          <w:szCs w:val="21"/>
        </w:rPr>
        <w:t>填写指引：</w:t>
      </w:r>
    </w:p>
    <w:p>
      <w:pPr>
        <w:ind w:firstLine="480" w:firstLineChars="200"/>
        <w:rPr>
          <w:rFonts w:ascii="黑体" w:eastAsia="黑体" w:hAnsi="宋体"/>
          <w:bCs/>
          <w:color w:val="FF0000"/>
          <w:szCs w:val="21"/>
        </w:rPr>
      </w:pPr>
      <w:r>
        <w:rPr>
          <w:rFonts w:ascii="黑体" w:eastAsia="黑体" w:hAnsi="宋体" w:hint="eastAsia"/>
          <w:bCs/>
          <w:color w:val="FF0000"/>
          <w:szCs w:val="21"/>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pPr>
        <w:ind w:firstLine="480" w:firstLineChars="200"/>
        <w:rPr>
          <w:rFonts w:ascii="黑体" w:eastAsia="黑体" w:hAnsi="宋体"/>
          <w:bCs/>
          <w:color w:val="FF0000"/>
          <w:szCs w:val="21"/>
        </w:rPr>
      </w:pPr>
      <w:r>
        <w:rPr>
          <w:rFonts w:ascii="黑体" w:eastAsia="黑体" w:hAnsi="宋体" w:hint="eastAsia"/>
          <w:bCs/>
          <w:color w:val="FF0000"/>
          <w:szCs w:val="21"/>
        </w:rPr>
        <w:t>2、该部分内容填写需要参考的相关文件：(</w:t>
      </w:r>
      <w:r>
        <w:rPr>
          <w:rFonts w:ascii="黑体" w:eastAsia="黑体" w:hAnsi="宋体"/>
          <w:bCs/>
          <w:color w:val="FF0000"/>
          <w:szCs w:val="21"/>
        </w:rPr>
        <w:t>1</w:t>
      </w:r>
      <w:r>
        <w:rPr>
          <w:rFonts w:ascii="黑体" w:eastAsia="黑体" w:hAnsi="宋体" w:hint="eastAsia"/>
          <w:bCs/>
          <w:color w:val="FF0000"/>
          <w:szCs w:val="21"/>
        </w:rPr>
        <w:t>)财政部《政府采购促进中小企业发展管理办法》（财库〔2020〕46号）；(</w:t>
      </w:r>
      <w:r>
        <w:rPr>
          <w:rFonts w:ascii="黑体" w:eastAsia="黑体" w:hAnsi="宋体"/>
          <w:bCs/>
          <w:color w:val="FF0000"/>
          <w:szCs w:val="21"/>
        </w:rPr>
        <w:t>2</w:t>
      </w:r>
      <w:r>
        <w:rPr>
          <w:rFonts w:ascii="黑体" w:eastAsia="黑体" w:hAnsi="宋体" w:hint="eastAsia"/>
          <w:bCs/>
          <w:color w:val="FF0000"/>
          <w:szCs w:val="21"/>
        </w:rPr>
        <w:t>)</w:t>
      </w:r>
      <w:bookmarkStart w:id="25" w:name="_Hlk71925120"/>
      <w:r>
        <w:rPr>
          <w:rFonts w:ascii="黑体" w:eastAsia="黑体" w:hAnsi="宋体" w:hint="eastAsia"/>
          <w:bCs/>
          <w:color w:val="FF0000"/>
          <w:szCs w:val="21"/>
        </w:rPr>
        <w:t>《工业和信息化部、国家统计局、国家发展和改革委员会、财政部关于印发中小企业划型标准规定的通知》（工信部联企业〔2011〕300 号</w:t>
      </w:r>
      <w:bookmarkEnd w:id="25"/>
      <w:r>
        <w:rPr>
          <w:rFonts w:ascii="黑体" w:eastAsia="黑体" w:hAnsi="宋体" w:hint="eastAsia"/>
          <w:bCs/>
          <w:color w:val="FF0000"/>
          <w:szCs w:val="21"/>
        </w:rPr>
        <w:t>，以下简称3</w:t>
      </w:r>
      <w:r>
        <w:rPr>
          <w:rFonts w:ascii="黑体" w:eastAsia="黑体" w:hAnsi="宋体"/>
          <w:bCs/>
          <w:color w:val="FF0000"/>
          <w:szCs w:val="21"/>
        </w:rPr>
        <w:t>00</w:t>
      </w:r>
      <w:r>
        <w:rPr>
          <w:rFonts w:ascii="黑体" w:eastAsia="黑体" w:hAnsi="宋体" w:hint="eastAsia"/>
          <w:bCs/>
          <w:color w:val="FF0000"/>
          <w:szCs w:val="21"/>
        </w:rPr>
        <w:t>号文）。</w:t>
      </w:r>
    </w:p>
    <w:p>
      <w:pPr>
        <w:ind w:firstLine="480" w:firstLineChars="200"/>
        <w:rPr>
          <w:rFonts w:ascii="黑体" w:eastAsia="黑体" w:hAnsi="宋体"/>
          <w:bCs/>
          <w:color w:val="FF0000"/>
          <w:szCs w:val="21"/>
        </w:rPr>
      </w:pPr>
      <w:r>
        <w:rPr>
          <w:rFonts w:ascii="黑体" w:eastAsia="黑体" w:hAnsi="宋体" w:hint="eastAsia"/>
          <w:bCs/>
          <w:color w:val="FF0000"/>
          <w:szCs w:val="21"/>
        </w:rPr>
        <w:t>3、请依照提供的格式和内容填写声明函，不要随意变更格式；声明函不需要盖章或签字；满足多项优惠政策的投标人，不重复享受多项价格扣除政策。</w:t>
      </w:r>
    </w:p>
    <w:p>
      <w:pPr>
        <w:ind w:firstLine="480" w:firstLineChars="200"/>
        <w:rPr>
          <w:rFonts w:ascii="黑体" w:eastAsia="黑体" w:hAnsi="宋体"/>
          <w:bCs/>
          <w:color w:val="FF0000"/>
          <w:szCs w:val="21"/>
        </w:rPr>
      </w:pPr>
      <w:r>
        <w:rPr>
          <w:rFonts w:ascii="黑体" w:eastAsia="黑体" w:hAnsi="宋体" w:hint="eastAsia"/>
          <w:bCs/>
          <w:color w:val="FF0000"/>
          <w:szCs w:val="21"/>
        </w:rPr>
        <w:t>4、声明函具体填写要求：</w:t>
      </w:r>
    </w:p>
    <w:p>
      <w:pPr>
        <w:ind w:firstLine="480" w:firstLineChars="200"/>
        <w:rPr>
          <w:rFonts w:ascii="黑体" w:eastAsia="黑体" w:hAnsi="宋体"/>
          <w:bCs/>
          <w:color w:val="FF0000"/>
          <w:szCs w:val="21"/>
        </w:rPr>
      </w:pPr>
      <w:r>
        <w:rPr>
          <w:rFonts w:ascii="黑体" w:eastAsia="黑体" w:hAnsi="宋体" w:hint="eastAsia"/>
          <w:bCs/>
          <w:color w:val="FF0000"/>
          <w:szCs w:val="21"/>
        </w:rPr>
        <w:t>（1）声明是中小企业须填写《中小企业声明函》的以下内容：</w:t>
      </w:r>
    </w:p>
    <w:p>
      <w:pPr>
        <w:ind w:firstLine="480" w:firstLineChars="200"/>
        <w:rPr>
          <w:rFonts w:ascii="黑体" w:eastAsia="黑体" w:hAnsi="宋体"/>
          <w:bCs/>
          <w:color w:val="FF0000"/>
          <w:szCs w:val="21"/>
        </w:rPr>
      </w:pPr>
      <w:r>
        <w:rPr>
          <w:rFonts w:ascii="黑体" w:eastAsia="黑体" w:hAnsi="宋体" w:hint="eastAsia"/>
          <w:bCs/>
          <w:color w:val="FF0000"/>
          <w:szCs w:val="21"/>
        </w:rPr>
        <w:t>第一处，在“单位名称”下划线处如实填写采购人名称（深圳市德顺项目咨询有限公司不是本项目的采购人，而是组织实施机构）；</w:t>
      </w:r>
    </w:p>
    <w:p>
      <w:pPr>
        <w:ind w:firstLine="480" w:firstLineChars="200"/>
        <w:rPr>
          <w:rFonts w:ascii="黑体" w:eastAsia="黑体" w:hAnsi="宋体"/>
          <w:bCs/>
          <w:color w:val="FF0000"/>
          <w:szCs w:val="21"/>
        </w:rPr>
      </w:pPr>
      <w:r>
        <w:rPr>
          <w:rFonts w:ascii="黑体" w:eastAsia="黑体" w:hAnsi="宋体" w:hint="eastAsia"/>
          <w:bCs/>
          <w:color w:val="FF0000"/>
          <w:szCs w:val="21"/>
        </w:rPr>
        <w:t>第二处，在“项目名称”下划线处如实填写采购项目名称；</w:t>
      </w:r>
    </w:p>
    <w:p>
      <w:pPr>
        <w:ind w:firstLine="480" w:firstLineChars="200"/>
        <w:rPr>
          <w:rFonts w:ascii="黑体" w:eastAsia="黑体" w:hAnsi="宋体"/>
          <w:bCs/>
          <w:color w:val="FF0000"/>
          <w:szCs w:val="21"/>
        </w:rPr>
      </w:pPr>
      <w:r>
        <w:rPr>
          <w:rFonts w:ascii="黑体" w:eastAsia="黑体" w:hAnsi="宋体" w:hint="eastAsia"/>
          <w:bCs/>
          <w:color w:val="FF0000"/>
          <w:szCs w:val="21"/>
        </w:rPr>
        <w:t>第三处，在“标的名称”下划线处填写所采购服务（标的）的具体名称（以</w:t>
      </w:r>
      <w:bookmarkStart w:id="26" w:name="_Hlk72259001"/>
      <w:r>
        <w:rPr>
          <w:rFonts w:ascii="黑体" w:eastAsia="黑体" w:hAnsi="宋体" w:hint="eastAsia"/>
          <w:bCs/>
          <w:color w:val="FF0000"/>
          <w:szCs w:val="21"/>
        </w:rPr>
        <w:t>招标文件第一册第二章</w:t>
      </w:r>
      <w:bookmarkEnd w:id="26"/>
      <w:r>
        <w:rPr>
          <w:rFonts w:ascii="黑体" w:eastAsia="黑体" w:hAnsi="宋体" w:hint="eastAsia"/>
          <w:bCs/>
          <w:color w:val="FF0000"/>
          <w:szCs w:val="21"/>
        </w:rPr>
        <w:t>用户需求书“服务需求明细”的“服务需求名称”一栏为准）；如果涉及多个服务需求（标的）由同一企业承接，“标的名称”下划线处可以如实填写多个服务需求（标的）；</w:t>
      </w:r>
    </w:p>
    <w:p>
      <w:pPr>
        <w:ind w:firstLine="480" w:firstLineChars="200"/>
        <w:rPr>
          <w:rFonts w:ascii="黑体" w:eastAsia="黑体" w:hAnsi="宋体"/>
          <w:bCs/>
          <w:color w:val="FF0000"/>
          <w:szCs w:val="21"/>
        </w:rPr>
      </w:pPr>
      <w:r>
        <w:rPr>
          <w:rFonts w:ascii="黑体" w:eastAsia="黑体" w:hAnsi="宋体" w:hint="eastAsia"/>
          <w:bCs/>
          <w:color w:val="FF0000"/>
          <w:szCs w:val="21"/>
        </w:rPr>
        <w:t>第四处，在“招标文件中明确的所属行业”下划线处填写采购标的对应的中小企业划分标准所属行业（所属行业可在招标文件第一册第二章“对通用条款的补充内容及其他关键信息”章节查看）；</w:t>
      </w:r>
    </w:p>
    <w:p>
      <w:pPr>
        <w:ind w:firstLine="480" w:firstLineChars="200"/>
        <w:rPr>
          <w:rFonts w:ascii="黑体" w:eastAsia="黑体" w:hAnsi="宋体"/>
          <w:bCs/>
          <w:color w:val="FF0000"/>
          <w:szCs w:val="21"/>
        </w:rPr>
      </w:pPr>
      <w:r>
        <w:rPr>
          <w:rFonts w:ascii="黑体" w:eastAsia="黑体" w:hAnsi="宋体" w:hint="eastAsia"/>
          <w:bCs/>
          <w:color w:val="FF0000"/>
          <w:szCs w:val="21"/>
        </w:rPr>
        <w:t>第五处，在“企业名称”下划线处如实填写承接企业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w:t>
      </w:r>
    </w:p>
    <w:p>
      <w:pPr>
        <w:ind w:firstLine="480" w:firstLineChars="200"/>
        <w:rPr>
          <w:rFonts w:ascii="黑体" w:eastAsia="黑体" w:hAnsi="宋体"/>
          <w:bCs/>
          <w:color w:val="FF0000"/>
          <w:szCs w:val="21"/>
        </w:rPr>
      </w:pPr>
      <w:r>
        <w:rPr>
          <w:rFonts w:ascii="黑体" w:eastAsia="黑体" w:hAnsi="宋体" w:hint="eastAsia"/>
          <w:bCs/>
          <w:color w:val="FF0000"/>
          <w:szCs w:val="21"/>
        </w:rPr>
        <w:t>（2）声明是残疾人福利性单位须填写《残疾人福利性单位声明函》的相关内容（填写位置的字体已加粗），具体参照以上《中小企业声明函》填写要求执行。</w:t>
      </w:r>
    </w:p>
    <w:p>
      <w:pPr>
        <w:ind w:firstLine="480" w:firstLineChars="200"/>
        <w:rPr>
          <w:rFonts w:ascii="黑体" w:eastAsia="黑体" w:hAnsi="宋体"/>
          <w:bCs/>
          <w:color w:val="FF0000"/>
          <w:szCs w:val="21"/>
        </w:rPr>
      </w:pPr>
      <w:r>
        <w:rPr>
          <w:rFonts w:ascii="黑体" w:eastAsia="黑体" w:hAnsi="宋体" w:hint="eastAsia"/>
          <w:bCs/>
          <w:color w:val="FF0000"/>
          <w:szCs w:val="21"/>
        </w:rPr>
        <w:t>（3）声明是监狱企业须填写《监狱企业声明函》的相关内容（填写位置的字体已加粗），具体参照以上《中小企业声明函》填写要求执行。</w:t>
      </w:r>
    </w:p>
    <w:p>
      <w:pPr>
        <w:ind w:firstLine="480" w:firstLineChars="200"/>
      </w:pPr>
      <w:r>
        <w:rPr>
          <w:rFonts w:ascii="黑体" w:eastAsia="黑体" w:hAnsi="宋体" w:hint="eastAsia"/>
          <w:bCs/>
          <w:color w:val="FF0000"/>
          <w:szCs w:val="21"/>
        </w:rPr>
        <w:t>5、声明函的有效性最终由评审委员会判定；如评审委员会判定声明函无效，相关供应商不享受价格扣除（但不作投标无效处理）。</w:t>
      </w:r>
    </w:p>
    <w:p>
      <w:pPr>
        <w:jc w:val="center"/>
        <w:outlineLvl w:val="3"/>
        <w:rPr>
          <w:b/>
        </w:rPr>
      </w:pPr>
    </w:p>
    <w:p>
      <w:pPr>
        <w:jc w:val="center"/>
        <w:outlineLvl w:val="3"/>
        <w:rPr>
          <w:b/>
        </w:rPr>
      </w:pPr>
      <w:r>
        <w:rPr>
          <w:rFonts w:hint="eastAsia"/>
          <w:b/>
        </w:rPr>
        <w:t>1、</w:t>
      </w:r>
      <w:r>
        <w:rPr>
          <w:b/>
        </w:rPr>
        <w:t>中小企业声明函（</w:t>
      </w:r>
      <w:r>
        <w:rPr>
          <w:rFonts w:hint="eastAsia"/>
          <w:b/>
        </w:rPr>
        <w:t>服务</w:t>
      </w:r>
      <w:r>
        <w:rPr>
          <w:b/>
        </w:rPr>
        <w:t xml:space="preserve">） </w:t>
      </w:r>
    </w:p>
    <w:p>
      <w:pPr>
        <w:ind w:firstLine="480" w:firstLineChars="200"/>
        <w:outlineLvl w:val="3"/>
        <w:rPr>
          <w:rFonts w:ascii="宋体" w:hAnsi="宋体"/>
          <w:szCs w:val="21"/>
        </w:rPr>
      </w:pPr>
      <w:r>
        <w:rPr>
          <w:rFonts w:ascii="宋体" w:hAnsi="宋体"/>
          <w:szCs w:val="21"/>
        </w:rPr>
        <w:t>本</w:t>
      </w:r>
      <w:r>
        <w:rPr>
          <w:rFonts w:ascii="宋体" w:hAnsi="宋体" w:hint="eastAsia"/>
          <w:szCs w:val="21"/>
        </w:rPr>
        <w:t>投标人</w:t>
      </w:r>
      <w:r>
        <w:rPr>
          <w:rFonts w:ascii="宋体" w:hAnsi="宋体"/>
          <w:szCs w:val="21"/>
        </w:rPr>
        <w:t>郑重声明，根据《政府采购促进中小企业发展管理办法》（财库</w:t>
      </w:r>
      <w:r>
        <w:rPr>
          <w:rFonts w:ascii="宋体" w:hAnsi="宋体" w:cs="微软雅黑" w:hint="eastAsia"/>
          <w:szCs w:val="21"/>
        </w:rPr>
        <w:t>﹝</w:t>
      </w:r>
      <w:r>
        <w:rPr>
          <w:rFonts w:ascii="宋体" w:hAnsi="宋体"/>
          <w:szCs w:val="21"/>
        </w:rPr>
        <w:t>2020</w:t>
      </w:r>
      <w:r>
        <w:rPr>
          <w:rFonts w:ascii="宋体" w:hAnsi="宋体" w:cs="微软雅黑" w:hint="eastAsia"/>
          <w:szCs w:val="21"/>
        </w:rPr>
        <w:t>﹞</w:t>
      </w:r>
      <w:r>
        <w:rPr>
          <w:rFonts w:ascii="宋体" w:hAnsi="宋体"/>
          <w:szCs w:val="21"/>
        </w:rPr>
        <w:t>46 号）的规定，本</w:t>
      </w:r>
      <w:r>
        <w:rPr>
          <w:rFonts w:ascii="宋体" w:hAnsi="宋体" w:hint="eastAsia"/>
          <w:szCs w:val="21"/>
        </w:rPr>
        <w:t>投标人</w:t>
      </w:r>
      <w:r>
        <w:rPr>
          <w:rFonts w:ascii="宋体" w:hAnsi="宋体"/>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w:t>
      </w:r>
      <w:r>
        <w:rPr>
          <w:rFonts w:ascii="宋体" w:hAnsi="宋体" w:hint="eastAsia"/>
          <w:szCs w:val="21"/>
        </w:rPr>
        <w:t>服务</w:t>
      </w:r>
      <w:r>
        <w:rPr>
          <w:rFonts w:ascii="宋体" w:hAnsi="宋体"/>
          <w:szCs w:val="21"/>
        </w:rPr>
        <w:t>全部由符合政策要求的中小企业</w:t>
      </w:r>
      <w:r>
        <w:rPr>
          <w:rFonts w:ascii="宋体" w:hAnsi="宋体" w:hint="eastAsia"/>
          <w:szCs w:val="21"/>
        </w:rPr>
        <w:t>承接</w:t>
      </w:r>
      <w:r>
        <w:rPr>
          <w:rFonts w:ascii="宋体" w:hAnsi="宋体"/>
          <w:szCs w:val="21"/>
        </w:rPr>
        <w:t>。相关企业的具体情况如下：</w:t>
      </w:r>
    </w:p>
    <w:p>
      <w:pPr>
        <w:ind w:firstLine="480" w:firstLineChars="200"/>
        <w:outlineLvl w:val="3"/>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w:t>
      </w:r>
      <w:r>
        <w:rPr>
          <w:rFonts w:ascii="宋体" w:hAnsi="宋体" w:hint="eastAsia"/>
          <w:szCs w:val="21"/>
        </w:rPr>
        <w:t>承接企业</w:t>
      </w:r>
      <w:r>
        <w:rPr>
          <w:rFonts w:ascii="宋体" w:hAnsi="宋体"/>
          <w:szCs w:val="21"/>
        </w:rPr>
        <w:t>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pPr>
        <w:ind w:firstLine="480" w:firstLineChars="200"/>
        <w:outlineLvl w:val="3"/>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w:t>
      </w:r>
      <w:r>
        <w:rPr>
          <w:rFonts w:ascii="宋体" w:hAnsi="宋体" w:hint="eastAsia"/>
          <w:szCs w:val="21"/>
        </w:rPr>
        <w:t>承接企业</w:t>
      </w:r>
      <w:r>
        <w:rPr>
          <w:rFonts w:ascii="宋体" w:hAnsi="宋体"/>
          <w:szCs w:val="21"/>
        </w:rPr>
        <w:t>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hint="eastAsia"/>
          <w:szCs w:val="21"/>
        </w:rPr>
        <w:t>；</w:t>
      </w:r>
    </w:p>
    <w:p>
      <w:pPr>
        <w:ind w:firstLine="480" w:firstLineChars="200"/>
        <w:outlineLvl w:val="3"/>
        <w:rPr>
          <w:rFonts w:ascii="宋体" w:hAnsi="宋体"/>
          <w:szCs w:val="21"/>
        </w:rPr>
      </w:pPr>
      <w:r>
        <w:rPr>
          <w:rFonts w:ascii="宋体" w:hAnsi="宋体"/>
          <w:szCs w:val="21"/>
        </w:rPr>
        <w:t xml:space="preserve">…… </w:t>
      </w:r>
    </w:p>
    <w:p>
      <w:pPr>
        <w:ind w:firstLine="480" w:firstLineChars="200"/>
        <w:outlineLvl w:val="3"/>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pPr>
        <w:ind w:firstLine="480" w:firstLineChars="200"/>
      </w:pPr>
      <w:r>
        <w:rPr>
          <w:rFonts w:hint="eastAsia"/>
        </w:rPr>
        <w:t>本</w:t>
      </w:r>
      <w:r>
        <w:t>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p>
    <w:p/>
    <w:p>
      <w:pPr>
        <w:ind w:firstLine="480" w:firstLineChars="200"/>
      </w:pPr>
    </w:p>
    <w:p>
      <w:pPr>
        <w:widowControl w:val="0"/>
        <w:jc w:val="center"/>
        <w:outlineLvl w:val="3"/>
        <w:rPr>
          <w:rFonts w:ascii="Calibri" w:eastAsia="宋体" w:hAnsi="Calibri"/>
          <w:b/>
          <w:kern w:val="2"/>
          <w:szCs w:val="22"/>
        </w:rPr>
      </w:pPr>
      <w:bookmarkStart w:id="27" w:name="_Hlk73562245"/>
      <w:r>
        <w:rPr>
          <w:rFonts w:ascii="Calibri" w:eastAsia="宋体" w:hAnsi="Calibri" w:hint="eastAsia"/>
          <w:b/>
          <w:kern w:val="2"/>
          <w:szCs w:val="22"/>
        </w:rPr>
        <w:t>2、残疾人福利性单位声明函（服务类）</w:t>
      </w:r>
    </w:p>
    <w:p>
      <w:pPr>
        <w:widowControl w:val="0"/>
        <w:jc w:val="both"/>
        <w:rPr>
          <w:rFonts w:ascii="Calibri" w:eastAsia="宋体" w:hAnsi="Calibri"/>
          <w:b/>
          <w:bCs/>
          <w:kern w:val="2"/>
          <w:sz w:val="21"/>
          <w:szCs w:val="22"/>
        </w:rPr>
      </w:pPr>
    </w:p>
    <w:p>
      <w:pPr>
        <w:widowControl w:val="0"/>
        <w:ind w:firstLine="480" w:firstLineChars="200"/>
        <w:jc w:val="both"/>
        <w:rPr>
          <w:rFonts w:ascii="宋体" w:eastAsia="宋体" w:hAnsi="宋体"/>
          <w:kern w:val="2"/>
          <w:sz w:val="21"/>
          <w:szCs w:val="21"/>
        </w:rPr>
      </w:pPr>
      <w:r>
        <w:rPr>
          <w:rFonts w:ascii="宋体" w:eastAsia="宋体" w:hAnsi="宋体"/>
          <w:kern w:val="2"/>
          <w:sz w:val="21"/>
          <w:szCs w:val="21"/>
        </w:rPr>
        <w:t>本</w:t>
      </w:r>
      <w:r>
        <w:rPr>
          <w:rFonts w:ascii="宋体" w:eastAsia="宋体" w:hAnsi="宋体" w:hint="eastAsia"/>
          <w:kern w:val="2"/>
          <w:sz w:val="21"/>
          <w:szCs w:val="21"/>
        </w:rPr>
        <w:t>投标人郑重声明，根据《财政部民政部中国残疾人联合会关于促进残疾人就业政府采购政策的通知》（财库〔</w:t>
      </w:r>
      <w:r>
        <w:rPr>
          <w:rFonts w:ascii="宋体" w:eastAsia="宋体" w:hAnsi="宋体"/>
          <w:kern w:val="2"/>
          <w:sz w:val="21"/>
          <w:szCs w:val="21"/>
        </w:rPr>
        <w:t>2017</w:t>
      </w:r>
      <w:r>
        <w:rPr>
          <w:rFonts w:ascii="宋体" w:eastAsia="宋体" w:hAnsi="宋体" w:hint="eastAsia"/>
          <w:kern w:val="2"/>
          <w:sz w:val="21"/>
          <w:szCs w:val="21"/>
        </w:rPr>
        <w:t>〕</w:t>
      </w:r>
      <w:r>
        <w:rPr>
          <w:rFonts w:ascii="宋体" w:eastAsia="宋体" w:hAnsi="宋体"/>
          <w:kern w:val="2"/>
          <w:sz w:val="21"/>
          <w:szCs w:val="21"/>
        </w:rPr>
        <w:t xml:space="preserve">141 </w:t>
      </w:r>
      <w:r>
        <w:rPr>
          <w:rFonts w:ascii="宋体" w:eastAsia="宋体" w:hAnsi="宋体" w:hint="eastAsia"/>
          <w:kern w:val="2"/>
          <w:sz w:val="21"/>
          <w:szCs w:val="21"/>
        </w:rPr>
        <w:t>号）的规定，本投标人</w:t>
      </w:r>
      <w:r>
        <w:rPr>
          <w:rFonts w:ascii="宋体" w:eastAsia="宋体" w:hAnsi="宋体"/>
          <w:kern w:val="2"/>
          <w:sz w:val="21"/>
          <w:szCs w:val="21"/>
        </w:rPr>
        <w:t>参加</w:t>
      </w:r>
      <w:r>
        <w:rPr>
          <w:rFonts w:ascii="宋体" w:eastAsia="宋体" w:hAnsi="宋体"/>
          <w:b/>
          <w:bCs/>
          <w:kern w:val="2"/>
          <w:sz w:val="21"/>
          <w:szCs w:val="21"/>
          <w:u w:val="single"/>
        </w:rPr>
        <w:t>（</w:t>
      </w:r>
      <w:r>
        <w:rPr>
          <w:rFonts w:ascii="宋体" w:eastAsia="宋体" w:hAnsi="宋体" w:hint="eastAsia"/>
          <w:b/>
          <w:bCs/>
          <w:kern w:val="2"/>
          <w:sz w:val="21"/>
          <w:szCs w:val="21"/>
          <w:u w:val="single"/>
        </w:rPr>
        <w:t>采购人</w:t>
      </w:r>
      <w:r>
        <w:rPr>
          <w:rFonts w:ascii="宋体" w:eastAsia="宋体" w:hAnsi="宋体"/>
          <w:b/>
          <w:bCs/>
          <w:kern w:val="2"/>
          <w:sz w:val="21"/>
          <w:szCs w:val="21"/>
          <w:u w:val="single"/>
        </w:rPr>
        <w:t>名称）</w:t>
      </w:r>
      <w:r>
        <w:rPr>
          <w:rFonts w:ascii="宋体" w:eastAsia="宋体" w:hAnsi="宋体"/>
          <w:kern w:val="2"/>
          <w:sz w:val="21"/>
          <w:szCs w:val="21"/>
        </w:rPr>
        <w:t>的</w:t>
      </w:r>
      <w:r>
        <w:rPr>
          <w:rFonts w:ascii="宋体" w:eastAsia="宋体" w:hAnsi="宋体"/>
          <w:b/>
          <w:bCs/>
          <w:kern w:val="2"/>
          <w:sz w:val="21"/>
          <w:szCs w:val="21"/>
          <w:u w:val="single"/>
        </w:rPr>
        <w:t>（项目名称）</w:t>
      </w:r>
      <w:r>
        <w:rPr>
          <w:rFonts w:ascii="宋体" w:eastAsia="宋体" w:hAnsi="宋体"/>
          <w:kern w:val="2"/>
          <w:sz w:val="21"/>
          <w:szCs w:val="21"/>
        </w:rPr>
        <w:t>采购活动，</w:t>
      </w:r>
      <w:r>
        <w:rPr>
          <w:rFonts w:ascii="宋体" w:eastAsia="宋体" w:hAnsi="宋体" w:hint="eastAsia"/>
          <w:kern w:val="2"/>
          <w:sz w:val="21"/>
          <w:szCs w:val="21"/>
        </w:rPr>
        <w:t>服务</w:t>
      </w:r>
      <w:r>
        <w:rPr>
          <w:rFonts w:ascii="宋体" w:eastAsia="宋体" w:hAnsi="宋体"/>
          <w:kern w:val="2"/>
          <w:sz w:val="21"/>
          <w:szCs w:val="21"/>
        </w:rPr>
        <w:t>全部由符合政策要求的</w:t>
      </w:r>
      <w:r>
        <w:rPr>
          <w:rFonts w:ascii="宋体" w:eastAsia="宋体" w:hAnsi="宋体" w:hint="eastAsia"/>
          <w:kern w:val="2"/>
          <w:sz w:val="21"/>
          <w:szCs w:val="21"/>
        </w:rPr>
        <w:t>残疾人福利性单位承接</w:t>
      </w:r>
      <w:r>
        <w:rPr>
          <w:rFonts w:ascii="宋体" w:eastAsia="宋体" w:hAnsi="宋体"/>
          <w:kern w:val="2"/>
          <w:sz w:val="21"/>
          <w:szCs w:val="21"/>
        </w:rPr>
        <w:t>。相关</w:t>
      </w:r>
      <w:r>
        <w:rPr>
          <w:rFonts w:ascii="宋体" w:eastAsia="宋体" w:hAnsi="宋体" w:hint="eastAsia"/>
          <w:kern w:val="2"/>
          <w:sz w:val="21"/>
          <w:szCs w:val="21"/>
        </w:rPr>
        <w:t>残疾人福利性单位</w:t>
      </w:r>
      <w:r>
        <w:rPr>
          <w:rFonts w:ascii="宋体" w:eastAsia="宋体" w:hAnsi="宋体"/>
          <w:kern w:val="2"/>
          <w:sz w:val="21"/>
          <w:szCs w:val="21"/>
        </w:rPr>
        <w:t>的具体情况如下：</w:t>
      </w:r>
    </w:p>
    <w:p>
      <w:pPr>
        <w:widowControl w:val="0"/>
        <w:ind w:firstLine="480" w:firstLineChars="200"/>
        <w:jc w:val="both"/>
        <w:rPr>
          <w:rFonts w:ascii="宋体" w:eastAsia="宋体" w:hAnsi="宋体"/>
          <w:kern w:val="2"/>
          <w:sz w:val="21"/>
          <w:szCs w:val="21"/>
        </w:rPr>
      </w:pPr>
      <w:r>
        <w:rPr>
          <w:rFonts w:ascii="宋体" w:eastAsia="宋体" w:hAnsi="宋体"/>
          <w:kern w:val="2"/>
          <w:sz w:val="21"/>
          <w:szCs w:val="21"/>
        </w:rPr>
        <w:t>1.</w:t>
      </w:r>
      <w:r>
        <w:rPr>
          <w:rFonts w:ascii="宋体" w:eastAsia="宋体" w:hAnsi="宋体"/>
          <w:b/>
          <w:bCs/>
          <w:kern w:val="2"/>
          <w:sz w:val="21"/>
          <w:szCs w:val="21"/>
          <w:u w:val="single"/>
        </w:rPr>
        <w:t xml:space="preserve"> （标的名称）</w:t>
      </w:r>
      <w:r>
        <w:rPr>
          <w:rFonts w:ascii="宋体" w:eastAsia="宋体" w:hAnsi="宋体"/>
          <w:kern w:val="2"/>
          <w:sz w:val="21"/>
          <w:szCs w:val="21"/>
        </w:rPr>
        <w:t xml:space="preserve"> </w:t>
      </w:r>
      <w:r>
        <w:rPr>
          <w:rFonts w:ascii="宋体" w:eastAsia="宋体" w:hAnsi="宋体" w:hint="eastAsia"/>
          <w:kern w:val="2"/>
          <w:sz w:val="21"/>
          <w:szCs w:val="21"/>
        </w:rPr>
        <w:t>，承接企业</w:t>
      </w:r>
      <w:r>
        <w:rPr>
          <w:rFonts w:ascii="宋体" w:eastAsia="宋体" w:hAnsi="宋体"/>
          <w:kern w:val="2"/>
          <w:sz w:val="21"/>
          <w:szCs w:val="21"/>
        </w:rPr>
        <w:t>为</w:t>
      </w:r>
      <w:r>
        <w:rPr>
          <w:rFonts w:ascii="宋体" w:eastAsia="宋体" w:hAnsi="宋体"/>
          <w:b/>
          <w:bCs/>
          <w:kern w:val="2"/>
          <w:sz w:val="21"/>
          <w:szCs w:val="21"/>
          <w:u w:val="single"/>
        </w:rPr>
        <w:t>（</w:t>
      </w:r>
      <w:r>
        <w:rPr>
          <w:rFonts w:ascii="宋体" w:eastAsia="宋体" w:hAnsi="宋体" w:hint="eastAsia"/>
          <w:b/>
          <w:bCs/>
          <w:kern w:val="2"/>
          <w:sz w:val="21"/>
          <w:szCs w:val="21"/>
          <w:u w:val="single"/>
        </w:rPr>
        <w:t>单位</w:t>
      </w:r>
      <w:r>
        <w:rPr>
          <w:rFonts w:ascii="宋体" w:eastAsia="宋体" w:hAnsi="宋体"/>
          <w:b/>
          <w:bCs/>
          <w:kern w:val="2"/>
          <w:sz w:val="21"/>
          <w:szCs w:val="21"/>
          <w:u w:val="single"/>
        </w:rPr>
        <w:t>名称）</w:t>
      </w:r>
      <w:r>
        <w:rPr>
          <w:rFonts w:ascii="宋体" w:eastAsia="宋体" w:hAnsi="宋体"/>
          <w:kern w:val="2"/>
          <w:sz w:val="21"/>
          <w:szCs w:val="21"/>
        </w:rPr>
        <w:t>，属于</w:t>
      </w:r>
      <w:r>
        <w:rPr>
          <w:rFonts w:ascii="宋体" w:eastAsia="宋体" w:hAnsi="宋体" w:hint="eastAsia"/>
          <w:b/>
          <w:bCs/>
          <w:kern w:val="2"/>
          <w:sz w:val="21"/>
          <w:szCs w:val="21"/>
          <w:u w:val="single"/>
        </w:rPr>
        <w:t>残疾人福利性单位</w:t>
      </w:r>
      <w:r>
        <w:rPr>
          <w:rFonts w:ascii="宋体" w:eastAsia="宋体" w:hAnsi="宋体"/>
          <w:kern w:val="2"/>
          <w:sz w:val="21"/>
          <w:szCs w:val="21"/>
        </w:rPr>
        <w:t>；</w:t>
      </w:r>
    </w:p>
    <w:p>
      <w:pPr>
        <w:widowControl w:val="0"/>
        <w:ind w:firstLine="480" w:firstLineChars="200"/>
        <w:jc w:val="both"/>
        <w:rPr>
          <w:rFonts w:ascii="宋体" w:eastAsia="宋体" w:hAnsi="宋体"/>
          <w:kern w:val="2"/>
          <w:sz w:val="21"/>
          <w:szCs w:val="21"/>
        </w:rPr>
      </w:pPr>
      <w:r>
        <w:rPr>
          <w:rFonts w:ascii="宋体" w:eastAsia="宋体" w:hAnsi="宋体"/>
          <w:kern w:val="2"/>
          <w:sz w:val="21"/>
          <w:szCs w:val="21"/>
        </w:rPr>
        <w:t>2.</w:t>
      </w:r>
      <w:r>
        <w:rPr>
          <w:rFonts w:ascii="宋体" w:eastAsia="宋体" w:hAnsi="宋体"/>
          <w:b/>
          <w:bCs/>
          <w:kern w:val="2"/>
          <w:sz w:val="21"/>
          <w:szCs w:val="21"/>
          <w:u w:val="single"/>
        </w:rPr>
        <w:t xml:space="preserve"> （标的名称）</w:t>
      </w:r>
      <w:r>
        <w:rPr>
          <w:rFonts w:ascii="宋体" w:eastAsia="宋体" w:hAnsi="宋体"/>
          <w:kern w:val="2"/>
          <w:sz w:val="21"/>
          <w:szCs w:val="21"/>
        </w:rPr>
        <w:t xml:space="preserve"> </w:t>
      </w:r>
      <w:r>
        <w:rPr>
          <w:rFonts w:ascii="宋体" w:eastAsia="宋体" w:hAnsi="宋体" w:hint="eastAsia"/>
          <w:kern w:val="2"/>
          <w:sz w:val="21"/>
          <w:szCs w:val="21"/>
        </w:rPr>
        <w:t>，承接企业</w:t>
      </w:r>
      <w:r>
        <w:rPr>
          <w:rFonts w:ascii="宋体" w:eastAsia="宋体" w:hAnsi="宋体"/>
          <w:kern w:val="2"/>
          <w:sz w:val="21"/>
          <w:szCs w:val="21"/>
        </w:rPr>
        <w:t>为</w:t>
      </w:r>
      <w:r>
        <w:rPr>
          <w:rFonts w:ascii="宋体" w:eastAsia="宋体" w:hAnsi="宋体"/>
          <w:b/>
          <w:bCs/>
          <w:kern w:val="2"/>
          <w:sz w:val="21"/>
          <w:szCs w:val="21"/>
          <w:u w:val="single"/>
        </w:rPr>
        <w:t>（</w:t>
      </w:r>
      <w:r>
        <w:rPr>
          <w:rFonts w:ascii="宋体" w:eastAsia="宋体" w:hAnsi="宋体" w:hint="eastAsia"/>
          <w:b/>
          <w:bCs/>
          <w:kern w:val="2"/>
          <w:sz w:val="21"/>
          <w:szCs w:val="21"/>
          <w:u w:val="single"/>
        </w:rPr>
        <w:t>单位</w:t>
      </w:r>
      <w:r>
        <w:rPr>
          <w:rFonts w:ascii="宋体" w:eastAsia="宋体" w:hAnsi="宋体"/>
          <w:b/>
          <w:bCs/>
          <w:kern w:val="2"/>
          <w:sz w:val="21"/>
          <w:szCs w:val="21"/>
          <w:u w:val="single"/>
        </w:rPr>
        <w:t>名称）</w:t>
      </w:r>
      <w:r>
        <w:rPr>
          <w:rFonts w:ascii="宋体" w:eastAsia="宋体" w:hAnsi="宋体"/>
          <w:kern w:val="2"/>
          <w:sz w:val="21"/>
          <w:szCs w:val="21"/>
        </w:rPr>
        <w:t>，属于</w:t>
      </w:r>
      <w:r>
        <w:rPr>
          <w:rFonts w:ascii="宋体" w:eastAsia="宋体" w:hAnsi="宋体" w:hint="eastAsia"/>
          <w:b/>
          <w:bCs/>
          <w:kern w:val="2"/>
          <w:sz w:val="21"/>
          <w:szCs w:val="21"/>
          <w:u w:val="single"/>
        </w:rPr>
        <w:t>残疾人福利性单位</w:t>
      </w:r>
      <w:r>
        <w:rPr>
          <w:rFonts w:ascii="宋体" w:eastAsia="宋体" w:hAnsi="宋体" w:hint="eastAsia"/>
          <w:kern w:val="2"/>
          <w:sz w:val="21"/>
          <w:szCs w:val="21"/>
        </w:rPr>
        <w:t>。</w:t>
      </w:r>
    </w:p>
    <w:p>
      <w:pPr>
        <w:widowControl w:val="0"/>
        <w:ind w:firstLine="480" w:firstLineChars="200"/>
        <w:jc w:val="both"/>
        <w:outlineLvl w:val="3"/>
        <w:rPr>
          <w:rFonts w:ascii="宋体" w:eastAsia="宋体" w:hAnsi="宋体"/>
          <w:kern w:val="2"/>
          <w:sz w:val="21"/>
          <w:szCs w:val="21"/>
        </w:rPr>
      </w:pPr>
      <w:r>
        <w:rPr>
          <w:rFonts w:ascii="宋体" w:eastAsia="宋体" w:hAnsi="宋体"/>
          <w:kern w:val="2"/>
          <w:sz w:val="21"/>
          <w:szCs w:val="21"/>
        </w:rPr>
        <w:t xml:space="preserve">…… </w:t>
      </w:r>
    </w:p>
    <w:p>
      <w:pPr>
        <w:ind w:firstLine="480" w:firstLineChars="200"/>
        <w:rPr>
          <w:rFonts w:ascii="宋体" w:hAnsi="宋体"/>
          <w:szCs w:val="21"/>
        </w:rPr>
      </w:pPr>
      <w:r>
        <w:rPr>
          <w:rFonts w:ascii="Calibri" w:eastAsia="宋体" w:hAnsi="Calibri" w:hint="eastAsia"/>
          <w:kern w:val="2"/>
          <w:sz w:val="21"/>
          <w:szCs w:val="22"/>
        </w:rPr>
        <w:t>本</w:t>
      </w:r>
      <w:r>
        <w:rPr>
          <w:rFonts w:ascii="Calibri" w:eastAsia="宋体" w:hAnsi="Calibri"/>
          <w:kern w:val="2"/>
          <w:sz w:val="21"/>
          <w:szCs w:val="22"/>
        </w:rPr>
        <w:t>投标人</w:t>
      </w:r>
      <w:r>
        <w:rPr>
          <w:rFonts w:ascii="Calibri" w:eastAsia="宋体" w:hAnsi="Calibri" w:hint="eastAsia"/>
          <w:kern w:val="2"/>
          <w:sz w:val="21"/>
          <w:szCs w:val="22"/>
        </w:rPr>
        <w:t>已</w:t>
      </w:r>
      <w:r>
        <w:rPr>
          <w:rFonts w:ascii="Calibri" w:eastAsia="宋体" w:hAnsi="Calibri"/>
          <w:kern w:val="2"/>
          <w:sz w:val="21"/>
          <w:szCs w:val="22"/>
        </w:rPr>
        <w:t>知悉</w:t>
      </w:r>
      <w:r>
        <w:rPr>
          <w:rFonts w:ascii="Calibri" w:eastAsia="宋体" w:hAnsi="Calibri" w:hint="eastAsia"/>
          <w:kern w:val="2"/>
          <w:sz w:val="21"/>
          <w:szCs w:val="22"/>
        </w:rPr>
        <w:t>《财政部民政部中国残疾人联合会关于促进残疾人就业政府采购政策的通知》（财库〔2017〕141 号）</w:t>
      </w:r>
      <w:r>
        <w:rPr>
          <w:rFonts w:ascii="Calibri" w:eastAsia="宋体" w:hAnsi="Calibri"/>
          <w:kern w:val="2"/>
          <w:sz w:val="21"/>
          <w:szCs w:val="22"/>
        </w:rPr>
        <w:t>的规定，承诺提供的声明函内容是真实的，如提供声明函内容不实，则依法追究相关法律责任</w:t>
      </w:r>
      <w:r>
        <w:rPr>
          <w:rFonts w:ascii="Calibri" w:eastAsia="宋体" w:hAnsi="Calibri" w:hint="eastAsia"/>
          <w:kern w:val="2"/>
          <w:sz w:val="21"/>
          <w:szCs w:val="22"/>
        </w:rPr>
        <w:t>。</w:t>
      </w:r>
    </w:p>
    <w:p>
      <w:pPr>
        <w:ind w:firstLine="480" w:firstLineChars="200"/>
        <w:rPr>
          <w:rFonts w:ascii="宋体" w:hAnsi="宋体"/>
          <w:szCs w:val="21"/>
        </w:rPr>
      </w:pPr>
      <w:bookmarkEnd w:id="27"/>
    </w:p>
    <w:p>
      <w:pPr>
        <w:ind w:firstLine="480" w:firstLineChars="200"/>
        <w:rPr>
          <w:rFonts w:ascii="宋体" w:hAnsi="宋体"/>
          <w:szCs w:val="21"/>
        </w:rPr>
      </w:pPr>
    </w:p>
    <w:p>
      <w:pPr>
        <w:widowControl w:val="0"/>
        <w:numPr>
          <w:ilvl w:val="0"/>
          <w:numId w:val="3"/>
        </w:numPr>
        <w:jc w:val="center"/>
        <w:outlineLvl w:val="3"/>
        <w:rPr>
          <w:rFonts w:ascii="Calibri" w:eastAsia="宋体" w:hAnsi="Calibri"/>
          <w:b/>
          <w:kern w:val="2"/>
        </w:rPr>
      </w:pPr>
      <w:r>
        <w:rPr>
          <w:rFonts w:ascii="Calibri" w:eastAsia="宋体" w:hAnsi="Calibri" w:hint="eastAsia"/>
          <w:b/>
          <w:kern w:val="2"/>
        </w:rPr>
        <w:t>监狱企业声明函【服务类，监狱企业如需享受优惠政策，还须另行提供省级以上监狱管理局、戒毒管理局（含新疆生产建设兵团）出具的监狱企业证明文件】</w:t>
      </w:r>
    </w:p>
    <w:p>
      <w:pPr>
        <w:widowControl w:val="0"/>
        <w:ind w:firstLine="480" w:firstLineChars="200"/>
        <w:jc w:val="both"/>
        <w:rPr>
          <w:rFonts w:ascii="宋体" w:eastAsia="宋体" w:hAnsi="宋体"/>
          <w:kern w:val="2"/>
          <w:sz w:val="21"/>
          <w:szCs w:val="21"/>
        </w:rPr>
      </w:pPr>
      <w:r>
        <w:rPr>
          <w:rFonts w:ascii="宋体" w:eastAsia="宋体" w:hAnsi="宋体" w:hint="eastAsia"/>
          <w:kern w:val="2"/>
          <w:sz w:val="21"/>
          <w:szCs w:val="21"/>
        </w:rPr>
        <w:t>本投标人郑重声明，根据《财政部司法部关于政府采购支持监狱企业发展有关问题的通知》（财库〔</w:t>
      </w:r>
      <w:r>
        <w:rPr>
          <w:rFonts w:ascii="宋体" w:eastAsia="宋体" w:hAnsi="宋体"/>
          <w:kern w:val="2"/>
          <w:sz w:val="21"/>
          <w:szCs w:val="21"/>
        </w:rPr>
        <w:t>2014</w:t>
      </w:r>
      <w:r>
        <w:rPr>
          <w:rFonts w:ascii="宋体" w:eastAsia="宋体" w:hAnsi="宋体" w:hint="eastAsia"/>
          <w:kern w:val="2"/>
          <w:sz w:val="21"/>
          <w:szCs w:val="21"/>
        </w:rPr>
        <w:t>〕</w:t>
      </w:r>
      <w:r>
        <w:rPr>
          <w:rFonts w:ascii="宋体" w:eastAsia="宋体" w:hAnsi="宋体"/>
          <w:kern w:val="2"/>
          <w:sz w:val="21"/>
          <w:szCs w:val="21"/>
        </w:rPr>
        <w:t>68</w:t>
      </w:r>
      <w:r>
        <w:rPr>
          <w:rFonts w:ascii="宋体" w:eastAsia="宋体" w:hAnsi="宋体" w:hint="eastAsia"/>
          <w:kern w:val="2"/>
          <w:sz w:val="21"/>
          <w:szCs w:val="21"/>
        </w:rPr>
        <w:t>号）的规定，本投标人</w:t>
      </w:r>
      <w:r>
        <w:rPr>
          <w:rFonts w:ascii="宋体" w:eastAsia="宋体" w:hAnsi="宋体"/>
          <w:kern w:val="2"/>
          <w:sz w:val="21"/>
          <w:szCs w:val="21"/>
        </w:rPr>
        <w:t>参加</w:t>
      </w:r>
      <w:r>
        <w:rPr>
          <w:rFonts w:ascii="宋体" w:eastAsia="宋体" w:hAnsi="宋体"/>
          <w:b/>
          <w:bCs/>
          <w:kern w:val="2"/>
          <w:sz w:val="21"/>
          <w:szCs w:val="21"/>
          <w:u w:val="single"/>
        </w:rPr>
        <w:t>（</w:t>
      </w:r>
      <w:r>
        <w:rPr>
          <w:rFonts w:ascii="宋体" w:eastAsia="宋体" w:hAnsi="宋体" w:hint="eastAsia"/>
          <w:b/>
          <w:bCs/>
          <w:kern w:val="2"/>
          <w:sz w:val="21"/>
          <w:szCs w:val="21"/>
          <w:u w:val="single"/>
        </w:rPr>
        <w:t>采购人</w:t>
      </w:r>
      <w:r>
        <w:rPr>
          <w:rFonts w:ascii="宋体" w:eastAsia="宋体" w:hAnsi="宋体"/>
          <w:b/>
          <w:bCs/>
          <w:kern w:val="2"/>
          <w:sz w:val="21"/>
          <w:szCs w:val="21"/>
          <w:u w:val="single"/>
        </w:rPr>
        <w:t>名称）</w:t>
      </w:r>
      <w:r>
        <w:rPr>
          <w:rFonts w:ascii="宋体" w:eastAsia="宋体" w:hAnsi="宋体"/>
          <w:kern w:val="2"/>
          <w:sz w:val="21"/>
          <w:szCs w:val="21"/>
        </w:rPr>
        <w:t>的</w:t>
      </w:r>
      <w:r>
        <w:rPr>
          <w:rFonts w:ascii="宋体" w:eastAsia="宋体" w:hAnsi="宋体"/>
          <w:b/>
          <w:bCs/>
          <w:kern w:val="2"/>
          <w:sz w:val="21"/>
          <w:szCs w:val="21"/>
          <w:u w:val="single"/>
        </w:rPr>
        <w:t>（项目名称）</w:t>
      </w:r>
      <w:r>
        <w:rPr>
          <w:rFonts w:ascii="宋体" w:eastAsia="宋体" w:hAnsi="宋体"/>
          <w:kern w:val="2"/>
          <w:sz w:val="21"/>
          <w:szCs w:val="21"/>
        </w:rPr>
        <w:t>采购活动，</w:t>
      </w:r>
      <w:r>
        <w:rPr>
          <w:rFonts w:ascii="宋体" w:eastAsia="宋体" w:hAnsi="宋体" w:hint="eastAsia"/>
          <w:kern w:val="2"/>
          <w:sz w:val="21"/>
          <w:szCs w:val="21"/>
        </w:rPr>
        <w:t>服务</w:t>
      </w:r>
      <w:r>
        <w:rPr>
          <w:rFonts w:ascii="宋体" w:eastAsia="宋体" w:hAnsi="宋体"/>
          <w:kern w:val="2"/>
          <w:sz w:val="21"/>
          <w:szCs w:val="21"/>
        </w:rPr>
        <w:t>全部由符合政策要求的</w:t>
      </w:r>
      <w:r>
        <w:rPr>
          <w:rFonts w:ascii="宋体" w:eastAsia="宋体" w:hAnsi="宋体" w:hint="eastAsia"/>
          <w:kern w:val="2"/>
          <w:sz w:val="21"/>
          <w:szCs w:val="21"/>
        </w:rPr>
        <w:t>监狱企业承接</w:t>
      </w:r>
      <w:r>
        <w:rPr>
          <w:rFonts w:ascii="宋体" w:eastAsia="宋体" w:hAnsi="宋体"/>
          <w:kern w:val="2"/>
          <w:sz w:val="21"/>
          <w:szCs w:val="21"/>
        </w:rPr>
        <w:t>。相关</w:t>
      </w:r>
      <w:r>
        <w:rPr>
          <w:rFonts w:ascii="宋体" w:eastAsia="宋体" w:hAnsi="宋体" w:hint="eastAsia"/>
          <w:kern w:val="2"/>
          <w:sz w:val="21"/>
          <w:szCs w:val="21"/>
        </w:rPr>
        <w:t>监狱企业</w:t>
      </w:r>
      <w:r>
        <w:rPr>
          <w:rFonts w:ascii="宋体" w:eastAsia="宋体" w:hAnsi="宋体"/>
          <w:kern w:val="2"/>
          <w:sz w:val="21"/>
          <w:szCs w:val="21"/>
        </w:rPr>
        <w:t>的具体情况如下：</w:t>
      </w:r>
    </w:p>
    <w:p>
      <w:pPr>
        <w:widowControl w:val="0"/>
        <w:ind w:firstLine="480" w:firstLineChars="200"/>
        <w:jc w:val="both"/>
        <w:rPr>
          <w:rFonts w:ascii="宋体" w:eastAsia="宋体" w:hAnsi="宋体"/>
          <w:kern w:val="2"/>
          <w:sz w:val="21"/>
          <w:szCs w:val="21"/>
        </w:rPr>
      </w:pPr>
      <w:r>
        <w:rPr>
          <w:rFonts w:ascii="宋体" w:eastAsia="宋体" w:hAnsi="宋体"/>
          <w:kern w:val="2"/>
          <w:sz w:val="21"/>
          <w:szCs w:val="21"/>
        </w:rPr>
        <w:t>1.</w:t>
      </w:r>
      <w:r>
        <w:rPr>
          <w:rFonts w:ascii="宋体" w:eastAsia="宋体" w:hAnsi="宋体"/>
          <w:b/>
          <w:bCs/>
          <w:kern w:val="2"/>
          <w:sz w:val="21"/>
          <w:szCs w:val="21"/>
          <w:u w:val="single"/>
        </w:rPr>
        <w:t xml:space="preserve"> （标的名称）</w:t>
      </w:r>
      <w:r>
        <w:rPr>
          <w:rFonts w:ascii="宋体" w:eastAsia="宋体" w:hAnsi="宋体"/>
          <w:kern w:val="2"/>
          <w:sz w:val="21"/>
          <w:szCs w:val="21"/>
        </w:rPr>
        <w:t xml:space="preserve"> </w:t>
      </w:r>
      <w:r>
        <w:rPr>
          <w:rFonts w:ascii="宋体" w:eastAsia="宋体" w:hAnsi="宋体" w:hint="eastAsia"/>
          <w:kern w:val="2"/>
          <w:sz w:val="21"/>
          <w:szCs w:val="21"/>
        </w:rPr>
        <w:t>，承接单位</w:t>
      </w:r>
      <w:r>
        <w:rPr>
          <w:rFonts w:ascii="宋体" w:eastAsia="宋体" w:hAnsi="宋体"/>
          <w:kern w:val="2"/>
          <w:sz w:val="21"/>
          <w:szCs w:val="21"/>
        </w:rPr>
        <w:t>为</w:t>
      </w:r>
      <w:r>
        <w:rPr>
          <w:rFonts w:ascii="宋体" w:eastAsia="宋体" w:hAnsi="宋体"/>
          <w:b/>
          <w:bCs/>
          <w:kern w:val="2"/>
          <w:sz w:val="21"/>
          <w:szCs w:val="21"/>
          <w:u w:val="single"/>
        </w:rPr>
        <w:t>（</w:t>
      </w:r>
      <w:r>
        <w:rPr>
          <w:rFonts w:ascii="宋体" w:eastAsia="宋体" w:hAnsi="宋体" w:hint="eastAsia"/>
          <w:b/>
          <w:bCs/>
          <w:kern w:val="2"/>
          <w:sz w:val="21"/>
          <w:szCs w:val="21"/>
          <w:u w:val="single"/>
        </w:rPr>
        <w:t>企业</w:t>
      </w:r>
      <w:r>
        <w:rPr>
          <w:rFonts w:ascii="宋体" w:eastAsia="宋体" w:hAnsi="宋体"/>
          <w:b/>
          <w:bCs/>
          <w:kern w:val="2"/>
          <w:sz w:val="21"/>
          <w:szCs w:val="21"/>
          <w:u w:val="single"/>
        </w:rPr>
        <w:t>名称）</w:t>
      </w:r>
      <w:r>
        <w:rPr>
          <w:rFonts w:ascii="宋体" w:eastAsia="宋体" w:hAnsi="宋体"/>
          <w:kern w:val="2"/>
          <w:sz w:val="21"/>
          <w:szCs w:val="21"/>
        </w:rPr>
        <w:t>，属于</w:t>
      </w:r>
      <w:r>
        <w:rPr>
          <w:rFonts w:ascii="宋体" w:eastAsia="宋体" w:hAnsi="宋体" w:hint="eastAsia"/>
          <w:b/>
          <w:bCs/>
          <w:kern w:val="2"/>
          <w:sz w:val="21"/>
          <w:szCs w:val="21"/>
          <w:u w:val="single"/>
        </w:rPr>
        <w:t>监狱企业</w:t>
      </w:r>
      <w:r>
        <w:rPr>
          <w:rFonts w:ascii="宋体" w:eastAsia="宋体" w:hAnsi="宋体"/>
          <w:kern w:val="2"/>
          <w:sz w:val="21"/>
          <w:szCs w:val="21"/>
        </w:rPr>
        <w:t>；</w:t>
      </w:r>
    </w:p>
    <w:p>
      <w:pPr>
        <w:widowControl w:val="0"/>
        <w:ind w:firstLine="480" w:firstLineChars="200"/>
        <w:jc w:val="both"/>
        <w:rPr>
          <w:rFonts w:ascii="宋体" w:eastAsia="宋体" w:hAnsi="宋体"/>
          <w:kern w:val="2"/>
          <w:sz w:val="21"/>
          <w:szCs w:val="21"/>
        </w:rPr>
      </w:pPr>
      <w:r>
        <w:rPr>
          <w:rFonts w:ascii="宋体" w:eastAsia="宋体" w:hAnsi="宋体"/>
          <w:kern w:val="2"/>
          <w:sz w:val="21"/>
          <w:szCs w:val="21"/>
        </w:rPr>
        <w:t>2.</w:t>
      </w:r>
      <w:r>
        <w:rPr>
          <w:rFonts w:ascii="宋体" w:eastAsia="宋体" w:hAnsi="宋体"/>
          <w:b/>
          <w:bCs/>
          <w:kern w:val="2"/>
          <w:sz w:val="21"/>
          <w:szCs w:val="21"/>
          <w:u w:val="single"/>
        </w:rPr>
        <w:t xml:space="preserve"> （标的名称）</w:t>
      </w:r>
      <w:r>
        <w:rPr>
          <w:rFonts w:ascii="宋体" w:eastAsia="宋体" w:hAnsi="宋体"/>
          <w:kern w:val="2"/>
          <w:sz w:val="21"/>
          <w:szCs w:val="21"/>
        </w:rPr>
        <w:t xml:space="preserve"> </w:t>
      </w:r>
      <w:r>
        <w:rPr>
          <w:rFonts w:ascii="宋体" w:eastAsia="宋体" w:hAnsi="宋体" w:hint="eastAsia"/>
          <w:kern w:val="2"/>
          <w:sz w:val="21"/>
          <w:szCs w:val="21"/>
        </w:rPr>
        <w:t>，承接单位</w:t>
      </w:r>
      <w:r>
        <w:rPr>
          <w:rFonts w:ascii="宋体" w:eastAsia="宋体" w:hAnsi="宋体"/>
          <w:kern w:val="2"/>
          <w:sz w:val="21"/>
          <w:szCs w:val="21"/>
        </w:rPr>
        <w:t>为</w:t>
      </w:r>
      <w:r>
        <w:rPr>
          <w:rFonts w:ascii="宋体" w:eastAsia="宋体" w:hAnsi="宋体"/>
          <w:b/>
          <w:bCs/>
          <w:kern w:val="2"/>
          <w:sz w:val="21"/>
          <w:szCs w:val="21"/>
          <w:u w:val="single"/>
        </w:rPr>
        <w:t>（</w:t>
      </w:r>
      <w:r>
        <w:rPr>
          <w:rFonts w:ascii="宋体" w:eastAsia="宋体" w:hAnsi="宋体" w:hint="eastAsia"/>
          <w:b/>
          <w:bCs/>
          <w:kern w:val="2"/>
          <w:sz w:val="21"/>
          <w:szCs w:val="21"/>
          <w:u w:val="single"/>
        </w:rPr>
        <w:t>企业</w:t>
      </w:r>
      <w:r>
        <w:rPr>
          <w:rFonts w:ascii="宋体" w:eastAsia="宋体" w:hAnsi="宋体"/>
          <w:b/>
          <w:bCs/>
          <w:kern w:val="2"/>
          <w:sz w:val="21"/>
          <w:szCs w:val="21"/>
          <w:u w:val="single"/>
        </w:rPr>
        <w:t>名称）</w:t>
      </w:r>
      <w:r>
        <w:rPr>
          <w:rFonts w:ascii="宋体" w:eastAsia="宋体" w:hAnsi="宋体"/>
          <w:kern w:val="2"/>
          <w:sz w:val="21"/>
          <w:szCs w:val="21"/>
        </w:rPr>
        <w:t>，属于</w:t>
      </w:r>
      <w:r>
        <w:rPr>
          <w:rFonts w:ascii="宋体" w:eastAsia="宋体" w:hAnsi="宋体" w:hint="eastAsia"/>
          <w:b/>
          <w:bCs/>
          <w:kern w:val="2"/>
          <w:sz w:val="21"/>
          <w:szCs w:val="21"/>
          <w:u w:val="single"/>
        </w:rPr>
        <w:t>监狱企业</w:t>
      </w:r>
      <w:r>
        <w:rPr>
          <w:rFonts w:ascii="宋体" w:eastAsia="宋体" w:hAnsi="宋体" w:hint="eastAsia"/>
          <w:kern w:val="2"/>
          <w:sz w:val="21"/>
          <w:szCs w:val="21"/>
        </w:rPr>
        <w:t>。</w:t>
      </w:r>
    </w:p>
    <w:p>
      <w:pPr>
        <w:widowControl w:val="0"/>
        <w:ind w:firstLine="480" w:firstLineChars="200"/>
        <w:jc w:val="both"/>
        <w:outlineLvl w:val="3"/>
        <w:rPr>
          <w:rFonts w:ascii="宋体" w:eastAsia="宋体" w:hAnsi="宋体"/>
          <w:kern w:val="2"/>
          <w:sz w:val="21"/>
          <w:szCs w:val="21"/>
        </w:rPr>
      </w:pPr>
      <w:r>
        <w:rPr>
          <w:rFonts w:ascii="宋体" w:eastAsia="宋体" w:hAnsi="宋体"/>
          <w:kern w:val="2"/>
          <w:sz w:val="21"/>
          <w:szCs w:val="21"/>
        </w:rPr>
        <w:t xml:space="preserve">…… </w:t>
      </w:r>
    </w:p>
    <w:p>
      <w:pPr>
        <w:widowControl w:val="0"/>
        <w:ind w:firstLine="480" w:firstLineChars="200"/>
        <w:jc w:val="both"/>
        <w:rPr>
          <w:rFonts w:ascii="宋体" w:eastAsia="宋体" w:hAnsi="宋体"/>
          <w:kern w:val="2"/>
          <w:sz w:val="21"/>
          <w:szCs w:val="21"/>
        </w:rPr>
      </w:pPr>
      <w:r>
        <w:rPr>
          <w:rFonts w:ascii="宋体" w:eastAsia="宋体" w:hAnsi="宋体"/>
          <w:kern w:val="2"/>
          <w:sz w:val="21"/>
          <w:szCs w:val="21"/>
        </w:rPr>
        <w:t>本</w:t>
      </w:r>
      <w:r>
        <w:rPr>
          <w:rFonts w:ascii="宋体" w:eastAsia="宋体" w:hAnsi="宋体" w:hint="eastAsia"/>
          <w:kern w:val="2"/>
          <w:sz w:val="21"/>
          <w:szCs w:val="21"/>
        </w:rPr>
        <w:t>投标人</w:t>
      </w:r>
      <w:r>
        <w:rPr>
          <w:rFonts w:ascii="宋体" w:eastAsia="宋体" w:hAnsi="宋体"/>
          <w:kern w:val="2"/>
          <w:sz w:val="21"/>
          <w:szCs w:val="21"/>
        </w:rPr>
        <w:t>对上述声明内容的真实性负责。如有虚假，将依法承担相应责任。</w:t>
      </w:r>
    </w:p>
    <w:p>
      <w:pPr>
        <w:widowControl w:val="0"/>
        <w:autoSpaceDE w:val="0"/>
        <w:autoSpaceDN w:val="0"/>
        <w:adjustRightInd w:val="0"/>
        <w:ind w:firstLine="420"/>
        <w:rPr>
          <w:rFonts w:ascii="宋体" w:eastAsia="宋体" w:cs="宋体"/>
          <w:color w:val="000000"/>
          <w:sz w:val="21"/>
          <w:szCs w:val="21"/>
          <w:lang w:val="zh-CN"/>
        </w:rPr>
      </w:pPr>
      <w:r>
        <w:rPr>
          <w:rFonts w:ascii="宋体" w:eastAsia="宋体" w:hAnsi="宋体" w:hint="eastAsia"/>
          <w:kern w:val="2"/>
          <w:sz w:val="21"/>
          <w:szCs w:val="21"/>
        </w:rPr>
        <w:t>附：省级以上监狱管理局、戒毒管理局（含新疆生产建设兵团）出具的监狱企业证明文件。</w:t>
      </w:r>
    </w:p>
    <w:p>
      <w:pPr>
        <w:rPr>
          <w:rFonts w:ascii="宋体" w:hAnsi="宋体"/>
          <w:szCs w:val="21"/>
        </w:rPr>
      </w:pPr>
      <w:r>
        <w:rPr>
          <w:rFonts w:ascii="宋体" w:hAnsi="宋体"/>
          <w:szCs w:val="21"/>
        </w:rPr>
        <w:br w:type="page"/>
      </w:r>
      <w:r>
        <w:rPr>
          <w:rFonts w:ascii="仿宋_GB2312" w:eastAsia="仿宋_GB2312" w:hint="eastAsia"/>
          <w:b/>
          <w:sz w:val="30"/>
          <w:szCs w:val="30"/>
        </w:rPr>
        <w:t>投标文件附件（非信息公开部分）：</w:t>
      </w:r>
    </w:p>
    <w:p>
      <w:pPr>
        <w:pStyle w:val="Heading3"/>
        <w:jc w:val="center"/>
        <w:rPr>
          <w:rFonts w:ascii="黑体" w:eastAsia="黑体"/>
          <w:b w:val="0"/>
          <w:sz w:val="24"/>
        </w:rPr>
      </w:pPr>
      <w:bookmarkStart w:id="28" w:name="_Toc73521688"/>
      <w:bookmarkStart w:id="29" w:name="_Toc73521600"/>
      <w:bookmarkStart w:id="30" w:name="_Toc73518172"/>
      <w:bookmarkStart w:id="31" w:name="_Toc73517694"/>
      <w:r>
        <w:rPr>
          <w:rFonts w:ascii="黑体" w:eastAsia="黑体" w:hint="eastAsia"/>
          <w:b w:val="0"/>
          <w:sz w:val="24"/>
        </w:rPr>
        <w:t>一、</w:t>
      </w:r>
      <w:bookmarkStart w:id="32" w:name="_Hlk72092499"/>
      <w:r>
        <w:rPr>
          <w:rFonts w:ascii="黑体" w:eastAsia="黑体" w:hint="eastAsia"/>
          <w:b w:val="0"/>
          <w:sz w:val="24"/>
        </w:rPr>
        <w:t>法定代表人（负责人）证明书</w:t>
      </w:r>
      <w:bookmarkEnd w:id="32"/>
    </w:p>
    <w:p/>
    <w:p>
      <w:pPr>
        <w:spacing w:line="360" w:lineRule="auto"/>
        <w:rPr>
          <w:szCs w:val="21"/>
        </w:rPr>
      </w:pPr>
      <w:r>
        <w:rPr>
          <w:rFonts w:hint="eastAsia"/>
          <w:szCs w:val="21"/>
        </w:rPr>
        <w:t>同志，现任我单位职务，为法定代表人（负责人），特此证明。</w:t>
      </w:r>
    </w:p>
    <w:p>
      <w:pPr>
        <w:spacing w:line="360" w:lineRule="auto"/>
        <w:rPr>
          <w:szCs w:val="21"/>
        </w:rPr>
      </w:pPr>
    </w:p>
    <w:p>
      <w:pPr>
        <w:spacing w:line="360" w:lineRule="auto"/>
        <w:rPr>
          <w:szCs w:val="21"/>
        </w:rPr>
      </w:pPr>
      <w:r>
        <w:rPr>
          <w:rFonts w:hint="eastAsia"/>
          <w:szCs w:val="21"/>
        </w:rPr>
        <w:t>说明：1、法定代表人为投标人（企业事业单位、国家机关、社会团体）的主要行政负责人。</w:t>
      </w:r>
    </w:p>
    <w:p>
      <w:pPr>
        <w:rPr>
          <w:szCs w:val="21"/>
        </w:rPr>
      </w:pPr>
      <w:r>
        <w:rPr>
          <w:rFonts w:hint="eastAsia"/>
          <w:szCs w:val="21"/>
        </w:rPr>
        <w:t xml:space="preserve">      2、内容必须填写真实、清楚，涂改无效，不得转让、买卖。</w:t>
      </w:r>
    </w:p>
    <w:p/>
    <w:p>
      <w:pPr>
        <w:spacing w:line="360" w:lineRule="auto"/>
        <w:ind w:firstLine="480" w:firstLineChars="200"/>
        <w:rPr>
          <w:b/>
          <w:color w:val="FF0000"/>
          <w:szCs w:val="21"/>
        </w:rPr>
      </w:pPr>
      <w:r>
        <w:rPr>
          <w:rFonts w:hint="eastAsia"/>
          <w:b/>
          <w:color w:val="FF0000"/>
          <w:szCs w:val="21"/>
        </w:rPr>
        <w:t>附：要求必须提供法定代表人（负责人）身份证（境外人员无法提供身份证的，可提供护照）扫描件（正反两面）。</w:t>
      </w:r>
    </w:p>
    <w:p>
      <w:pPr>
        <w:spacing w:line="360" w:lineRule="auto"/>
        <w:ind w:firstLine="480" w:firstLineChars="200"/>
        <w:rPr>
          <w:b/>
          <w:color w:val="FF0000"/>
          <w:szCs w:val="21"/>
        </w:rPr>
      </w:pPr>
      <w:r>
        <w:rPr>
          <w:b/>
          <w:color w:val="FF0000"/>
          <w:szCs w:val="21"/>
        </w:rPr>
        <w:br w:type="page"/>
      </w:r>
    </w:p>
    <w:p>
      <w:pPr>
        <w:pStyle w:val="Heading3"/>
        <w:spacing w:before="120" w:after="120"/>
        <w:jc w:val="center"/>
        <w:rPr>
          <w:rFonts w:ascii="黑体" w:eastAsia="黑体"/>
          <w:b w:val="0"/>
          <w:sz w:val="24"/>
        </w:rPr>
      </w:pPr>
      <w:r>
        <w:rPr>
          <w:rFonts w:ascii="黑体" w:eastAsia="黑体" w:hint="eastAsia"/>
          <w:b w:val="0"/>
          <w:sz w:val="24"/>
        </w:rPr>
        <w:t>二、投标文件签署授权委托书</w:t>
      </w:r>
    </w:p>
    <w:p>
      <w:pPr>
        <w:spacing w:line="360" w:lineRule="auto"/>
        <w:ind w:firstLine="480" w:firstLineChars="200"/>
        <w:rPr>
          <w:szCs w:val="21"/>
        </w:rPr>
      </w:pPr>
      <w:r>
        <w:rPr>
          <w:rFonts w:hint="eastAsia"/>
          <w:szCs w:val="21"/>
        </w:rPr>
        <w:t>本授权委托书声明：我（姓名）系（投标人名称）的法定代表人（负责人），现授权委托（姓名）为我单位签署本项目已递交的投标文件的法定代表人（负责人）的授权委托代理人，代理人全权代表我所签署的本项目已递交的投标文件内容我均承认。</w:t>
      </w:r>
    </w:p>
    <w:p>
      <w:pPr>
        <w:pStyle w:val="NormalIndent"/>
        <w:spacing w:line="360" w:lineRule="auto"/>
        <w:rPr>
          <w:szCs w:val="21"/>
        </w:rPr>
      </w:pPr>
      <w:r>
        <w:rPr>
          <w:rFonts w:hint="eastAsia"/>
          <w:szCs w:val="21"/>
        </w:rPr>
        <w:t>代理人无转委托权，特此委托。</w:t>
      </w:r>
    </w:p>
    <w:p>
      <w:pPr>
        <w:pStyle w:val="NormalIndent"/>
        <w:spacing w:line="360" w:lineRule="auto"/>
        <w:rPr>
          <w:szCs w:val="21"/>
        </w:rPr>
      </w:pPr>
    </w:p>
    <w:p>
      <w:pPr>
        <w:spacing w:line="360" w:lineRule="auto"/>
        <w:ind w:left="617" w:leftChars="257"/>
        <w:rPr>
          <w:szCs w:val="21"/>
          <w:u w:val="single"/>
        </w:rPr>
      </w:pPr>
      <w:r>
        <w:rPr>
          <w:rFonts w:hint="eastAsia"/>
          <w:szCs w:val="21"/>
        </w:rPr>
        <w:t>代理人：</w:t>
      </w:r>
    </w:p>
    <w:p>
      <w:pPr>
        <w:spacing w:line="360" w:lineRule="auto"/>
        <w:ind w:left="617" w:leftChars="257"/>
        <w:rPr>
          <w:szCs w:val="21"/>
        </w:rPr>
      </w:pPr>
      <w:r>
        <w:rPr>
          <w:rFonts w:hint="eastAsia"/>
          <w:szCs w:val="21"/>
        </w:rPr>
        <w:t>联系电话：  手机：</w:t>
      </w:r>
    </w:p>
    <w:p>
      <w:pPr>
        <w:spacing w:line="360" w:lineRule="auto"/>
        <w:ind w:left="617" w:leftChars="257"/>
        <w:rPr>
          <w:szCs w:val="21"/>
          <w:u w:val="single"/>
        </w:rPr>
      </w:pPr>
      <w:r>
        <w:rPr>
          <w:rFonts w:hint="eastAsia"/>
          <w:szCs w:val="21"/>
        </w:rPr>
        <w:t>身份证号码：职务：</w:t>
      </w:r>
    </w:p>
    <w:p>
      <w:pPr>
        <w:spacing w:line="360" w:lineRule="auto"/>
        <w:ind w:left="617" w:leftChars="257"/>
        <w:rPr>
          <w:szCs w:val="21"/>
        </w:rPr>
      </w:pPr>
      <w:r>
        <w:rPr>
          <w:rFonts w:hint="eastAsia"/>
          <w:szCs w:val="21"/>
        </w:rPr>
        <w:t>授权委托日期：年月 日</w:t>
      </w:r>
    </w:p>
    <w:p/>
    <w:p>
      <w:pPr>
        <w:spacing w:line="360" w:lineRule="auto"/>
        <w:ind w:firstLine="480" w:firstLineChars="200"/>
        <w:rPr>
          <w:b/>
          <w:color w:val="FF0000"/>
          <w:szCs w:val="21"/>
        </w:rPr>
      </w:pPr>
      <w:r>
        <w:rPr>
          <w:rFonts w:hint="eastAsia"/>
          <w:b/>
          <w:color w:val="FF0000"/>
          <w:szCs w:val="21"/>
        </w:rPr>
        <w:t>附： 请提供代理人身份证扫描件（正反两面）；非中国国籍管辖范围人员，可提供公安部门认可的身份证明材料扫描件。</w:t>
      </w:r>
    </w:p>
    <w:p>
      <w:pPr>
        <w:spacing w:line="360" w:lineRule="auto"/>
        <w:ind w:firstLine="480" w:firstLineChars="200"/>
        <w:rPr>
          <w:b/>
          <w:szCs w:val="21"/>
        </w:rPr>
      </w:pPr>
      <w:r>
        <w:rPr>
          <w:b/>
          <w:color w:val="FF0000"/>
          <w:szCs w:val="21"/>
        </w:rPr>
        <w:br w:type="page"/>
      </w:r>
    </w:p>
    <w:p>
      <w:pPr>
        <w:pStyle w:val="Heading3"/>
        <w:jc w:val="center"/>
        <w:rPr>
          <w:rFonts w:ascii="黑体" w:eastAsia="黑体"/>
          <w:b w:val="0"/>
          <w:sz w:val="24"/>
          <w:szCs w:val="24"/>
        </w:rPr>
      </w:pPr>
      <w:r>
        <w:rPr>
          <w:rFonts w:ascii="黑体" w:eastAsia="黑体" w:hint="eastAsia"/>
          <w:b w:val="0"/>
          <w:sz w:val="24"/>
          <w:szCs w:val="24"/>
        </w:rPr>
        <w:t>三、</w:t>
      </w:r>
      <w:bookmarkStart w:id="33" w:name="_Hlk72092634"/>
      <w:r>
        <w:rPr>
          <w:rFonts w:ascii="黑体" w:eastAsia="黑体" w:hint="eastAsia"/>
          <w:b w:val="0"/>
          <w:sz w:val="24"/>
          <w:szCs w:val="24"/>
        </w:rPr>
        <w:t>实质性条款响应情况表</w:t>
      </w:r>
      <w:bookmarkEnd w:id="33"/>
    </w:p>
    <w:tbl>
      <w:tblPr>
        <w:tblStyle w:val="TableNormal"/>
        <w:tblW w:w="98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47"/>
        <w:gridCol w:w="4516"/>
        <w:gridCol w:w="2385"/>
        <w:gridCol w:w="1174"/>
        <w:gridCol w:w="958"/>
      </w:tblGrid>
      <w:tr>
        <w:tblPrEx>
          <w:tblW w:w="988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661"/>
          <w:jc w:val="center"/>
        </w:trPr>
        <w:tc>
          <w:tcPr>
            <w:tcW w:w="847" w:type="dxa"/>
            <w:vAlign w:val="center"/>
          </w:tcPr>
          <w:p>
            <w:pPr>
              <w:adjustRightInd w:val="0"/>
              <w:snapToGrid w:val="0"/>
              <w:spacing w:line="360" w:lineRule="auto"/>
              <w:jc w:val="center"/>
              <w:rPr>
                <w:rFonts w:ascii="宋体" w:hAnsi="宋体"/>
                <w:szCs w:val="21"/>
              </w:rPr>
            </w:pPr>
            <w:bookmarkStart w:id="34" w:name="_Hlk72092651"/>
            <w:r>
              <w:rPr>
                <w:rFonts w:ascii="宋体" w:hAnsi="宋体" w:hint="eastAsia"/>
                <w:szCs w:val="21"/>
              </w:rPr>
              <w:t>序号</w:t>
            </w:r>
          </w:p>
        </w:tc>
        <w:tc>
          <w:tcPr>
            <w:tcW w:w="4516" w:type="dxa"/>
            <w:vAlign w:val="center"/>
          </w:tcPr>
          <w:p>
            <w:pPr>
              <w:adjustRightInd w:val="0"/>
              <w:snapToGrid w:val="0"/>
              <w:spacing w:line="360" w:lineRule="auto"/>
              <w:jc w:val="center"/>
              <w:rPr>
                <w:rFonts w:ascii="宋体" w:hAnsi="宋体"/>
                <w:szCs w:val="21"/>
              </w:rPr>
            </w:pPr>
            <w:r>
              <w:rPr>
                <w:rFonts w:ascii="宋体" w:hAnsi="宋体" w:hint="eastAsia"/>
                <w:szCs w:val="21"/>
              </w:rPr>
              <w:t>实质性条款具体内容</w:t>
            </w:r>
          </w:p>
        </w:tc>
        <w:tc>
          <w:tcPr>
            <w:tcW w:w="2385" w:type="dxa"/>
            <w:vAlign w:val="center"/>
          </w:tcPr>
          <w:p>
            <w:pPr>
              <w:adjustRightInd w:val="0"/>
              <w:snapToGrid w:val="0"/>
              <w:spacing w:line="360" w:lineRule="auto"/>
              <w:jc w:val="center"/>
              <w:rPr>
                <w:rFonts w:ascii="宋体" w:hAnsi="宋体"/>
                <w:szCs w:val="21"/>
              </w:rPr>
            </w:pPr>
            <w:r>
              <w:rPr>
                <w:rFonts w:hint="eastAsia"/>
              </w:rPr>
              <w:t>投标响应</w:t>
            </w:r>
          </w:p>
        </w:tc>
        <w:tc>
          <w:tcPr>
            <w:tcW w:w="1174" w:type="dxa"/>
            <w:vAlign w:val="center"/>
          </w:tcPr>
          <w:p>
            <w:pPr>
              <w:adjustRightInd w:val="0"/>
              <w:snapToGrid w:val="0"/>
              <w:spacing w:line="360" w:lineRule="auto"/>
              <w:jc w:val="center"/>
              <w:rPr>
                <w:rFonts w:ascii="宋体" w:hAnsi="宋体"/>
                <w:szCs w:val="21"/>
              </w:rPr>
            </w:pPr>
            <w:r>
              <w:rPr>
                <w:rFonts w:hint="eastAsia"/>
              </w:rPr>
              <w:t>偏离情况</w:t>
            </w:r>
          </w:p>
        </w:tc>
        <w:tc>
          <w:tcPr>
            <w:tcW w:w="958" w:type="dxa"/>
            <w:vAlign w:val="center"/>
          </w:tcPr>
          <w:p>
            <w:pPr>
              <w:adjustRightInd w:val="0"/>
              <w:snapToGrid w:val="0"/>
              <w:spacing w:line="360" w:lineRule="auto"/>
              <w:jc w:val="center"/>
              <w:rPr>
                <w:rFonts w:ascii="宋体" w:hAnsi="宋体"/>
                <w:szCs w:val="21"/>
              </w:rPr>
            </w:pPr>
            <w:r>
              <w:rPr>
                <w:rFonts w:hint="eastAsia"/>
              </w:rPr>
              <w:t>说明</w:t>
            </w:r>
          </w:p>
        </w:tc>
      </w:tr>
      <w:tr>
        <w:tblPrEx>
          <w:tblW w:w="9880" w:type="dxa"/>
          <w:jc w:val="center"/>
          <w:tblInd w:w="0" w:type="dxa"/>
          <w:tblLayout w:type="fixed"/>
          <w:tblCellMar>
            <w:top w:w="0" w:type="dxa"/>
            <w:left w:w="108" w:type="dxa"/>
            <w:bottom w:w="0" w:type="dxa"/>
            <w:right w:w="108" w:type="dxa"/>
          </w:tblCellMar>
        </w:tblPrEx>
        <w:trPr>
          <w:trHeight w:val="721"/>
          <w:jc w:val="center"/>
        </w:trPr>
        <w:tc>
          <w:tcPr>
            <w:tcW w:w="847" w:type="dxa"/>
            <w:vAlign w:val="center"/>
          </w:tcPr>
          <w:p>
            <w:pPr>
              <w:adjustRightInd w:val="0"/>
              <w:snapToGrid w:val="0"/>
              <w:jc w:val="center"/>
              <w:rPr>
                <w:rFonts w:ascii="宋体" w:hAnsi="宋体"/>
                <w:bCs/>
                <w:szCs w:val="21"/>
              </w:rPr>
            </w:pPr>
            <w:bookmarkEnd w:id="34"/>
            <w:r>
              <w:rPr>
                <w:rFonts w:ascii="宋体" w:hAnsi="宋体" w:hint="eastAsia"/>
                <w:szCs w:val="21"/>
              </w:rPr>
              <w:t>1</w:t>
            </w:r>
          </w:p>
        </w:tc>
        <w:tc>
          <w:tcPr>
            <w:tcW w:w="4516" w:type="dxa"/>
            <w:vAlign w:val="center"/>
          </w:tcPr>
          <w:p>
            <w:pPr>
              <w:jc w:val="center"/>
              <w:rPr>
                <w:rFonts w:hAnsi="宋体"/>
                <w:bCs/>
                <w:szCs w:val="21"/>
              </w:rPr>
            </w:pPr>
            <w:r>
              <w:rPr>
                <w:rFonts w:hAnsi="宋体" w:hint="eastAsia"/>
                <w:bCs/>
                <w:szCs w:val="21"/>
              </w:rPr>
              <w:t>完全满足本项目服务期限的要求。</w:t>
            </w:r>
          </w:p>
        </w:tc>
        <w:tc>
          <w:tcPr>
            <w:tcW w:w="2385" w:type="dxa"/>
          </w:tcPr>
          <w:p>
            <w:pPr>
              <w:adjustRightInd w:val="0"/>
              <w:snapToGrid w:val="0"/>
              <w:spacing w:line="360" w:lineRule="auto"/>
              <w:rPr>
                <w:rFonts w:ascii="宋体" w:hAnsi="宋体"/>
                <w:szCs w:val="21"/>
              </w:rPr>
            </w:pPr>
          </w:p>
        </w:tc>
        <w:tc>
          <w:tcPr>
            <w:tcW w:w="1174" w:type="dxa"/>
          </w:tcPr>
          <w:p>
            <w:pPr>
              <w:adjustRightInd w:val="0"/>
              <w:snapToGrid w:val="0"/>
              <w:spacing w:line="360" w:lineRule="auto"/>
              <w:rPr>
                <w:rFonts w:ascii="宋体" w:hAnsi="宋体"/>
                <w:szCs w:val="21"/>
              </w:rPr>
            </w:pPr>
          </w:p>
        </w:tc>
        <w:tc>
          <w:tcPr>
            <w:tcW w:w="958" w:type="dxa"/>
          </w:tcPr>
          <w:p>
            <w:pPr>
              <w:adjustRightInd w:val="0"/>
              <w:snapToGrid w:val="0"/>
              <w:spacing w:line="360" w:lineRule="auto"/>
              <w:rPr>
                <w:rFonts w:ascii="宋体" w:hAnsi="宋体"/>
                <w:szCs w:val="21"/>
              </w:rPr>
            </w:pPr>
          </w:p>
        </w:tc>
      </w:tr>
    </w:tbl>
    <w:p>
      <w:pPr>
        <w:ind w:firstLine="480" w:firstLineChars="200"/>
        <w:rPr>
          <w:b/>
        </w:rPr>
      </w:pPr>
    </w:p>
    <w:p>
      <w:pPr>
        <w:rPr>
          <w:b/>
          <w:szCs w:val="20"/>
        </w:rPr>
      </w:pPr>
      <w:r>
        <w:rPr>
          <w:rFonts w:hint="eastAsia"/>
          <w:b/>
          <w:szCs w:val="20"/>
        </w:rPr>
        <w:t>注：1. 上表所列各项均为不可负偏离条款。</w:t>
      </w:r>
    </w:p>
    <w:p>
      <w:pPr>
        <w:ind w:firstLine="480" w:firstLineChars="200"/>
        <w:rPr>
          <w:b/>
          <w:szCs w:val="20"/>
        </w:rPr>
      </w:pPr>
      <w:r>
        <w:rPr>
          <w:rFonts w:hint="eastAsia"/>
          <w:b/>
          <w:szCs w:val="20"/>
        </w:rPr>
        <w:t>2.“投标响应”一栏应当详细填写投标人自身响应情况，而不能不合理照搬照抄招实质性条款具体内容。</w:t>
      </w:r>
    </w:p>
    <w:p>
      <w:pPr>
        <w:ind w:firstLine="480" w:firstLineChars="200"/>
        <w:rPr>
          <w:b/>
          <w:szCs w:val="20"/>
        </w:rPr>
      </w:pPr>
      <w:r>
        <w:rPr>
          <w:rFonts w:hint="eastAsia"/>
          <w:b/>
          <w:szCs w:val="20"/>
        </w:rPr>
        <w:t>3</w:t>
      </w:r>
      <w:r>
        <w:rPr>
          <w:b/>
          <w:szCs w:val="20"/>
        </w:rPr>
        <w:t>.</w:t>
      </w:r>
      <w:r>
        <w:rPr>
          <w:rFonts w:hint="eastAsia"/>
          <w:b/>
          <w:szCs w:val="20"/>
        </w:rPr>
        <w:t>“偏离情况”一栏应填写“正偏离”、“负偏离”或“无偏离”，</w:t>
      </w:r>
      <w:r>
        <w:rPr>
          <w:rFonts w:hint="eastAsia"/>
          <w:b/>
          <w:szCs w:val="21"/>
        </w:rPr>
        <w:t>“正偏离”表示“投标响应优于实质性条款具体内容要求”，“负偏离”表示“投标响应不满足实质性条款具体内容要求”，“无偏离”表示“投标响应与实质性条款具体内容要求一致”。</w:t>
      </w:r>
    </w:p>
    <w:p>
      <w:pPr>
        <w:ind w:firstLine="480" w:firstLineChars="200"/>
        <w:rPr>
          <w:b/>
          <w:szCs w:val="21"/>
        </w:rPr>
      </w:pPr>
      <w:r>
        <w:rPr>
          <w:b/>
          <w:szCs w:val="21"/>
        </w:rPr>
        <w:t>4.</w:t>
      </w:r>
      <w:r>
        <w:rPr>
          <w:rFonts w:hint="eastAsia"/>
          <w:b/>
          <w:szCs w:val="21"/>
        </w:rPr>
        <w:t>评审委员会有权对投标响应情况作出判断（作出评审结论）。</w:t>
      </w:r>
    </w:p>
    <w:p>
      <w:pPr>
        <w:autoSpaceDE w:val="0"/>
        <w:autoSpaceDN w:val="0"/>
        <w:adjustRightInd w:val="0"/>
        <w:ind w:firstLine="420"/>
        <w:rPr>
          <w:rFonts w:ascii="宋体" w:cs="宋体"/>
          <w:color w:val="000000"/>
          <w:szCs w:val="21"/>
          <w:lang w:val="zh-CN"/>
        </w:rPr>
      </w:pPr>
      <w:r>
        <w:rPr>
          <w:b/>
          <w:szCs w:val="20"/>
        </w:rPr>
        <w:t>5</w:t>
      </w:r>
      <w:r>
        <w:rPr>
          <w:rFonts w:hint="eastAsia"/>
          <w:b/>
          <w:szCs w:val="20"/>
        </w:rPr>
        <w:t>.实质性响应条款“投标响应情况”与投标文件其它内容冲突的，以实质性响应条款“投标响应情况”为准。</w:t>
      </w:r>
    </w:p>
    <w:p>
      <w:pPr>
        <w:autoSpaceDE w:val="0"/>
        <w:autoSpaceDN w:val="0"/>
        <w:adjustRightInd w:val="0"/>
        <w:ind w:firstLine="420"/>
        <w:jc w:val="right"/>
        <w:rPr>
          <w:rFonts w:ascii="宋体" w:cs="宋体"/>
          <w:color w:val="000000"/>
          <w:szCs w:val="21"/>
          <w:lang w:val="zh-CN"/>
        </w:rPr>
      </w:pPr>
      <w:r>
        <w:rPr>
          <w:rFonts w:ascii="宋体" w:cs="宋体"/>
          <w:color w:val="000000"/>
          <w:szCs w:val="21"/>
          <w:lang w:val="zh-CN"/>
        </w:rPr>
        <w:br w:type="page"/>
      </w:r>
    </w:p>
    <w:p>
      <w:pPr>
        <w:pStyle w:val="a"/>
        <w:ind w:firstLine="0" w:firstLineChars="0"/>
      </w:pPr>
      <w:bookmarkEnd w:id="28"/>
      <w:bookmarkEnd w:id="29"/>
      <w:bookmarkEnd w:id="30"/>
      <w:bookmarkEnd w:id="31"/>
    </w:p>
    <w:p>
      <w:pPr>
        <w:pStyle w:val="Heading3"/>
        <w:spacing w:line="320" w:lineRule="exact"/>
        <w:jc w:val="center"/>
        <w:rPr>
          <w:color w:val="000000"/>
          <w:sz w:val="24"/>
          <w:szCs w:val="28"/>
          <w:lang w:val="zh-CN"/>
        </w:rPr>
      </w:pPr>
      <w:r>
        <w:rPr>
          <w:rFonts w:hint="eastAsia"/>
          <w:color w:val="000000"/>
          <w:sz w:val="24"/>
          <w:szCs w:val="28"/>
          <w:lang w:val="zh-CN"/>
        </w:rPr>
        <w:t>四、项目费用支出清单</w:t>
      </w:r>
    </w:p>
    <w:p>
      <w:pPr>
        <w:autoSpaceDE w:val="0"/>
        <w:autoSpaceDN w:val="0"/>
        <w:adjustRightInd w:val="0"/>
        <w:jc w:val="center"/>
        <w:rPr>
          <w:b/>
          <w:bCs/>
          <w:color w:val="000000"/>
          <w:sz w:val="22"/>
        </w:rPr>
      </w:pPr>
      <w:r>
        <w:rPr>
          <w:rFonts w:ascii="宋体" w:cs="宋体" w:hint="eastAsia"/>
          <w:b/>
          <w:bCs/>
          <w:color w:val="000000"/>
          <w:sz w:val="22"/>
          <w:lang w:val="zh-CN"/>
        </w:rPr>
        <w:t>（一）分项报价清单</w:t>
      </w:r>
    </w:p>
    <w:p>
      <w:pPr>
        <w:spacing w:after="60"/>
        <w:rPr>
          <w:rFonts w:hAnsi="宋体"/>
          <w:szCs w:val="21"/>
        </w:rPr>
      </w:pPr>
      <w:r>
        <w:rPr>
          <w:rFonts w:hint="eastAsia"/>
          <w:szCs w:val="21"/>
        </w:rPr>
        <w:t>投标人名称：</w:t>
      </w:r>
    </w:p>
    <w:p>
      <w:pPr>
        <w:spacing w:after="60"/>
        <w:rPr>
          <w:rFonts w:hAnsi="宋体"/>
          <w:szCs w:val="21"/>
          <w:u w:val="single"/>
        </w:rPr>
      </w:pPr>
      <w:r>
        <w:rPr>
          <w:rFonts w:hAnsi="宋体" w:hint="eastAsia"/>
          <w:szCs w:val="21"/>
        </w:rPr>
        <w:t>被授权人：</w:t>
      </w:r>
    </w:p>
    <w:tbl>
      <w:tblPr>
        <w:tblStyle w:val="TableNormal"/>
        <w:tblW w:w="9540" w:type="dxa"/>
        <w:jc w:val="center"/>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42" w:type="dxa"/>
          <w:bottom w:w="0" w:type="dxa"/>
          <w:right w:w="42" w:type="dxa"/>
        </w:tblCellMar>
      </w:tblPr>
      <w:tblGrid>
        <w:gridCol w:w="720"/>
        <w:gridCol w:w="3420"/>
        <w:gridCol w:w="1620"/>
        <w:gridCol w:w="1620"/>
        <w:gridCol w:w="2160"/>
      </w:tblGrid>
      <w:tr>
        <w:tblPrEx>
          <w:tblW w:w="9540" w:type="dxa"/>
          <w:jc w:val="center"/>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42" w:type="dxa"/>
            <w:bottom w:w="0" w:type="dxa"/>
            <w:right w:w="42" w:type="dxa"/>
          </w:tblCellMar>
        </w:tblPrEx>
        <w:trPr>
          <w:cantSplit/>
          <w:trHeight w:val="469"/>
          <w:jc w:val="center"/>
        </w:trPr>
        <w:tc>
          <w:tcPr>
            <w:tcW w:w="720" w:type="dxa"/>
            <w:vAlign w:val="center"/>
          </w:tcPr>
          <w:p>
            <w:pPr>
              <w:spacing w:after="60"/>
              <w:jc w:val="center"/>
              <w:rPr>
                <w:rFonts w:asciiTheme="minorEastAsia" w:hAnsiTheme="minorEastAsia"/>
              </w:rPr>
            </w:pPr>
            <w:r>
              <w:rPr>
                <w:rFonts w:asciiTheme="minorEastAsia" w:hAnsiTheme="minorEastAsia" w:hint="eastAsia"/>
              </w:rPr>
              <w:t>序号</w:t>
            </w:r>
          </w:p>
        </w:tc>
        <w:tc>
          <w:tcPr>
            <w:tcW w:w="3420" w:type="dxa"/>
            <w:vAlign w:val="center"/>
          </w:tcPr>
          <w:p>
            <w:pPr>
              <w:spacing w:after="60"/>
              <w:jc w:val="center"/>
              <w:rPr>
                <w:rFonts w:asciiTheme="minorEastAsia" w:hAnsiTheme="minorEastAsia"/>
              </w:rPr>
            </w:pPr>
            <w:r>
              <w:rPr>
                <w:rFonts w:asciiTheme="minorEastAsia" w:hAnsiTheme="minorEastAsia" w:hint="eastAsia"/>
              </w:rPr>
              <w:t>项目内容</w:t>
            </w:r>
          </w:p>
        </w:tc>
        <w:tc>
          <w:tcPr>
            <w:tcW w:w="1620" w:type="dxa"/>
            <w:vAlign w:val="center"/>
          </w:tcPr>
          <w:p>
            <w:pPr>
              <w:spacing w:after="60"/>
              <w:jc w:val="center"/>
              <w:rPr>
                <w:rFonts w:asciiTheme="minorEastAsia" w:hAnsiTheme="minorEastAsia"/>
              </w:rPr>
            </w:pPr>
            <w:r>
              <w:rPr>
                <w:rFonts w:asciiTheme="minorEastAsia" w:hAnsiTheme="minorEastAsia" w:hint="eastAsia"/>
              </w:rPr>
              <w:t>单价（元）</w:t>
            </w:r>
          </w:p>
        </w:tc>
        <w:tc>
          <w:tcPr>
            <w:tcW w:w="1620" w:type="dxa"/>
            <w:tcBorders>
              <w:right w:val="single" w:sz="4" w:space="0" w:color="auto"/>
            </w:tcBorders>
            <w:vAlign w:val="center"/>
          </w:tcPr>
          <w:p>
            <w:pPr>
              <w:spacing w:after="60"/>
              <w:jc w:val="center"/>
              <w:rPr>
                <w:rFonts w:asciiTheme="minorEastAsia" w:hAnsiTheme="minorEastAsia"/>
              </w:rPr>
            </w:pPr>
            <w:r>
              <w:rPr>
                <w:rFonts w:asciiTheme="minorEastAsia" w:hAnsiTheme="minorEastAsia" w:hint="eastAsia"/>
              </w:rPr>
              <w:t>总价（元）</w:t>
            </w:r>
          </w:p>
        </w:tc>
        <w:tc>
          <w:tcPr>
            <w:tcW w:w="2160" w:type="dxa"/>
            <w:tcBorders>
              <w:left w:val="single" w:sz="4" w:space="0" w:color="auto"/>
            </w:tcBorders>
            <w:vAlign w:val="center"/>
          </w:tcPr>
          <w:p>
            <w:pPr>
              <w:spacing w:after="60"/>
              <w:jc w:val="center"/>
              <w:rPr>
                <w:rFonts w:asciiTheme="minorEastAsia" w:hAnsiTheme="minorEastAsia"/>
              </w:rPr>
            </w:pPr>
            <w:r>
              <w:rPr>
                <w:rFonts w:asciiTheme="minorEastAsia" w:hAnsiTheme="minorEastAsia" w:hint="eastAsia"/>
              </w:rPr>
              <w:t>备注</w:t>
            </w:r>
          </w:p>
        </w:tc>
      </w:tr>
      <w:tr>
        <w:tblPrEx>
          <w:tblW w:w="9540" w:type="dxa"/>
          <w:jc w:val="center"/>
          <w:tblInd w:w="0" w:type="dxa"/>
          <w:tblLayout w:type="fixed"/>
          <w:tblCellMar>
            <w:top w:w="0" w:type="dxa"/>
            <w:left w:w="42" w:type="dxa"/>
            <w:bottom w:w="0" w:type="dxa"/>
            <w:right w:w="42" w:type="dxa"/>
          </w:tblCellMar>
        </w:tblPrEx>
        <w:trPr>
          <w:cantSplit/>
          <w:trHeight w:val="448"/>
          <w:jc w:val="center"/>
        </w:trPr>
        <w:tc>
          <w:tcPr>
            <w:tcW w:w="720" w:type="dxa"/>
            <w:vAlign w:val="center"/>
          </w:tcPr>
          <w:p>
            <w:pPr>
              <w:spacing w:after="60"/>
              <w:jc w:val="center"/>
              <w:rPr>
                <w:rFonts w:asciiTheme="minorEastAsia" w:hAnsiTheme="minorEastAsia"/>
              </w:rPr>
            </w:pPr>
            <w:r>
              <w:rPr>
                <w:rFonts w:asciiTheme="minorEastAsia" w:hAnsiTheme="minorEastAsia" w:hint="eastAsia"/>
              </w:rPr>
              <w:t>1</w:t>
            </w:r>
          </w:p>
        </w:tc>
        <w:tc>
          <w:tcPr>
            <w:tcW w:w="3420" w:type="dxa"/>
            <w:vAlign w:val="center"/>
          </w:tcPr>
          <w:p>
            <w:pPr>
              <w:spacing w:after="60"/>
              <w:rPr>
                <w:rFonts w:asciiTheme="minorEastAsia" w:hAnsiTheme="minorEastAsia"/>
              </w:rPr>
            </w:pPr>
          </w:p>
        </w:tc>
        <w:tc>
          <w:tcPr>
            <w:tcW w:w="1620" w:type="dxa"/>
            <w:vAlign w:val="center"/>
          </w:tcPr>
          <w:p>
            <w:pPr>
              <w:spacing w:after="60"/>
              <w:rPr>
                <w:rFonts w:asciiTheme="minorEastAsia" w:hAnsiTheme="minorEastAsia"/>
              </w:rPr>
            </w:pPr>
          </w:p>
        </w:tc>
        <w:tc>
          <w:tcPr>
            <w:tcW w:w="1620" w:type="dxa"/>
            <w:tcBorders>
              <w:right w:val="single" w:sz="4" w:space="0" w:color="auto"/>
            </w:tcBorders>
            <w:vAlign w:val="center"/>
          </w:tcPr>
          <w:p>
            <w:pPr>
              <w:spacing w:after="60"/>
              <w:rPr>
                <w:rFonts w:asciiTheme="minorEastAsia" w:hAnsiTheme="minorEastAsia"/>
              </w:rPr>
            </w:pPr>
          </w:p>
        </w:tc>
        <w:tc>
          <w:tcPr>
            <w:tcW w:w="2160" w:type="dxa"/>
            <w:tcBorders>
              <w:left w:val="single" w:sz="4" w:space="0" w:color="auto"/>
            </w:tcBorders>
            <w:vAlign w:val="center"/>
          </w:tcPr>
          <w:p>
            <w:pPr>
              <w:spacing w:after="60"/>
              <w:rPr>
                <w:rFonts w:asciiTheme="minorEastAsia" w:hAnsiTheme="minorEastAsia"/>
              </w:rPr>
            </w:pPr>
          </w:p>
        </w:tc>
      </w:tr>
      <w:tr>
        <w:tblPrEx>
          <w:tblW w:w="9540" w:type="dxa"/>
          <w:jc w:val="center"/>
          <w:tblInd w:w="0" w:type="dxa"/>
          <w:tblLayout w:type="fixed"/>
          <w:tblCellMar>
            <w:top w:w="0" w:type="dxa"/>
            <w:left w:w="42" w:type="dxa"/>
            <w:bottom w:w="0" w:type="dxa"/>
            <w:right w:w="42" w:type="dxa"/>
          </w:tblCellMar>
        </w:tblPrEx>
        <w:trPr>
          <w:cantSplit/>
          <w:trHeight w:val="498"/>
          <w:jc w:val="center"/>
        </w:trPr>
        <w:tc>
          <w:tcPr>
            <w:tcW w:w="720" w:type="dxa"/>
            <w:vAlign w:val="center"/>
          </w:tcPr>
          <w:p>
            <w:pPr>
              <w:spacing w:after="60"/>
              <w:jc w:val="center"/>
              <w:rPr>
                <w:rFonts w:asciiTheme="minorEastAsia" w:hAnsiTheme="minorEastAsia"/>
              </w:rPr>
            </w:pPr>
            <w:r>
              <w:rPr>
                <w:rFonts w:asciiTheme="minorEastAsia" w:hAnsiTheme="minorEastAsia" w:hint="eastAsia"/>
              </w:rPr>
              <w:t>2</w:t>
            </w:r>
          </w:p>
        </w:tc>
        <w:tc>
          <w:tcPr>
            <w:tcW w:w="3420" w:type="dxa"/>
            <w:vAlign w:val="center"/>
          </w:tcPr>
          <w:p>
            <w:pPr>
              <w:spacing w:after="60"/>
              <w:rPr>
                <w:rFonts w:asciiTheme="minorEastAsia" w:hAnsiTheme="minorEastAsia"/>
              </w:rPr>
            </w:pPr>
          </w:p>
        </w:tc>
        <w:tc>
          <w:tcPr>
            <w:tcW w:w="1620" w:type="dxa"/>
            <w:vAlign w:val="center"/>
          </w:tcPr>
          <w:p>
            <w:pPr>
              <w:spacing w:after="60"/>
              <w:rPr>
                <w:rFonts w:asciiTheme="minorEastAsia" w:hAnsiTheme="minorEastAsia"/>
              </w:rPr>
            </w:pPr>
          </w:p>
        </w:tc>
        <w:tc>
          <w:tcPr>
            <w:tcW w:w="1620" w:type="dxa"/>
            <w:tcBorders>
              <w:right w:val="single" w:sz="4" w:space="0" w:color="auto"/>
            </w:tcBorders>
            <w:vAlign w:val="center"/>
          </w:tcPr>
          <w:p>
            <w:pPr>
              <w:spacing w:after="60"/>
              <w:rPr>
                <w:rFonts w:asciiTheme="minorEastAsia" w:hAnsiTheme="minorEastAsia"/>
              </w:rPr>
            </w:pPr>
          </w:p>
        </w:tc>
        <w:tc>
          <w:tcPr>
            <w:tcW w:w="2160" w:type="dxa"/>
            <w:tcBorders>
              <w:left w:val="single" w:sz="4" w:space="0" w:color="auto"/>
            </w:tcBorders>
            <w:vAlign w:val="center"/>
          </w:tcPr>
          <w:p>
            <w:pPr>
              <w:spacing w:after="60"/>
              <w:rPr>
                <w:rFonts w:asciiTheme="minorEastAsia" w:hAnsiTheme="minorEastAsia"/>
              </w:rPr>
            </w:pPr>
          </w:p>
        </w:tc>
      </w:tr>
      <w:tr>
        <w:tblPrEx>
          <w:tblW w:w="9540" w:type="dxa"/>
          <w:jc w:val="center"/>
          <w:tblInd w:w="0" w:type="dxa"/>
          <w:tblLayout w:type="fixed"/>
          <w:tblCellMar>
            <w:top w:w="0" w:type="dxa"/>
            <w:left w:w="42" w:type="dxa"/>
            <w:bottom w:w="0" w:type="dxa"/>
            <w:right w:w="42" w:type="dxa"/>
          </w:tblCellMar>
        </w:tblPrEx>
        <w:trPr>
          <w:cantSplit/>
          <w:trHeight w:val="498"/>
          <w:jc w:val="center"/>
        </w:trPr>
        <w:tc>
          <w:tcPr>
            <w:tcW w:w="720" w:type="dxa"/>
            <w:vAlign w:val="center"/>
          </w:tcPr>
          <w:p>
            <w:pPr>
              <w:spacing w:after="60"/>
              <w:jc w:val="center"/>
              <w:rPr>
                <w:rFonts w:asciiTheme="minorEastAsia" w:hAnsiTheme="minorEastAsia"/>
              </w:rPr>
            </w:pPr>
            <w:r>
              <w:rPr>
                <w:rFonts w:asciiTheme="minorEastAsia" w:hAnsiTheme="minorEastAsia" w:hint="eastAsia"/>
              </w:rPr>
              <w:t>3</w:t>
            </w:r>
          </w:p>
        </w:tc>
        <w:tc>
          <w:tcPr>
            <w:tcW w:w="3420" w:type="dxa"/>
            <w:vAlign w:val="center"/>
          </w:tcPr>
          <w:p>
            <w:pPr>
              <w:spacing w:after="60"/>
              <w:rPr>
                <w:rFonts w:asciiTheme="minorEastAsia" w:hAnsiTheme="minorEastAsia"/>
              </w:rPr>
            </w:pPr>
          </w:p>
        </w:tc>
        <w:tc>
          <w:tcPr>
            <w:tcW w:w="1620" w:type="dxa"/>
            <w:vAlign w:val="center"/>
          </w:tcPr>
          <w:p>
            <w:pPr>
              <w:spacing w:after="60"/>
              <w:rPr>
                <w:rFonts w:asciiTheme="minorEastAsia" w:hAnsiTheme="minorEastAsia"/>
              </w:rPr>
            </w:pPr>
          </w:p>
        </w:tc>
        <w:tc>
          <w:tcPr>
            <w:tcW w:w="1620" w:type="dxa"/>
            <w:tcBorders>
              <w:right w:val="single" w:sz="4" w:space="0" w:color="auto"/>
            </w:tcBorders>
            <w:vAlign w:val="center"/>
          </w:tcPr>
          <w:p>
            <w:pPr>
              <w:spacing w:after="60"/>
              <w:rPr>
                <w:rFonts w:asciiTheme="minorEastAsia" w:hAnsiTheme="minorEastAsia"/>
              </w:rPr>
            </w:pPr>
          </w:p>
        </w:tc>
        <w:tc>
          <w:tcPr>
            <w:tcW w:w="2160" w:type="dxa"/>
            <w:tcBorders>
              <w:left w:val="single" w:sz="4" w:space="0" w:color="auto"/>
            </w:tcBorders>
            <w:vAlign w:val="center"/>
          </w:tcPr>
          <w:p>
            <w:pPr>
              <w:spacing w:after="60"/>
              <w:rPr>
                <w:rFonts w:asciiTheme="minorEastAsia" w:hAnsiTheme="minorEastAsia"/>
              </w:rPr>
            </w:pPr>
          </w:p>
        </w:tc>
      </w:tr>
      <w:tr>
        <w:tblPrEx>
          <w:tblW w:w="9540" w:type="dxa"/>
          <w:jc w:val="center"/>
          <w:tblInd w:w="0" w:type="dxa"/>
          <w:tblLayout w:type="fixed"/>
          <w:tblCellMar>
            <w:top w:w="0" w:type="dxa"/>
            <w:left w:w="42" w:type="dxa"/>
            <w:bottom w:w="0" w:type="dxa"/>
            <w:right w:w="42" w:type="dxa"/>
          </w:tblCellMar>
        </w:tblPrEx>
        <w:trPr>
          <w:cantSplit/>
          <w:trHeight w:val="498"/>
          <w:jc w:val="center"/>
        </w:trPr>
        <w:tc>
          <w:tcPr>
            <w:tcW w:w="720" w:type="dxa"/>
            <w:vAlign w:val="center"/>
          </w:tcPr>
          <w:p>
            <w:pPr>
              <w:spacing w:after="60"/>
              <w:jc w:val="center"/>
              <w:rPr>
                <w:rFonts w:asciiTheme="minorEastAsia" w:hAnsiTheme="minorEastAsia"/>
              </w:rPr>
            </w:pPr>
            <w:r>
              <w:rPr>
                <w:rFonts w:asciiTheme="minorEastAsia" w:hAnsiTheme="minorEastAsia" w:hint="eastAsia"/>
              </w:rPr>
              <w:t>4</w:t>
            </w:r>
          </w:p>
        </w:tc>
        <w:tc>
          <w:tcPr>
            <w:tcW w:w="3420" w:type="dxa"/>
            <w:vAlign w:val="center"/>
          </w:tcPr>
          <w:p>
            <w:pPr>
              <w:spacing w:after="60"/>
              <w:rPr>
                <w:rFonts w:asciiTheme="minorEastAsia" w:hAnsiTheme="minorEastAsia"/>
              </w:rPr>
            </w:pPr>
          </w:p>
        </w:tc>
        <w:tc>
          <w:tcPr>
            <w:tcW w:w="1620" w:type="dxa"/>
            <w:vAlign w:val="center"/>
          </w:tcPr>
          <w:p>
            <w:pPr>
              <w:spacing w:after="60"/>
              <w:rPr>
                <w:rFonts w:asciiTheme="minorEastAsia" w:hAnsiTheme="minorEastAsia"/>
              </w:rPr>
            </w:pPr>
          </w:p>
        </w:tc>
        <w:tc>
          <w:tcPr>
            <w:tcW w:w="1620" w:type="dxa"/>
            <w:tcBorders>
              <w:right w:val="single" w:sz="4" w:space="0" w:color="auto"/>
            </w:tcBorders>
            <w:vAlign w:val="center"/>
          </w:tcPr>
          <w:p>
            <w:pPr>
              <w:spacing w:after="60"/>
              <w:rPr>
                <w:rFonts w:asciiTheme="minorEastAsia" w:hAnsiTheme="minorEastAsia"/>
              </w:rPr>
            </w:pPr>
          </w:p>
        </w:tc>
        <w:tc>
          <w:tcPr>
            <w:tcW w:w="2160" w:type="dxa"/>
            <w:tcBorders>
              <w:left w:val="single" w:sz="4" w:space="0" w:color="auto"/>
            </w:tcBorders>
            <w:vAlign w:val="center"/>
          </w:tcPr>
          <w:p>
            <w:pPr>
              <w:spacing w:after="60"/>
              <w:rPr>
                <w:rFonts w:asciiTheme="minorEastAsia" w:hAnsiTheme="minorEastAsia"/>
              </w:rPr>
            </w:pPr>
          </w:p>
        </w:tc>
      </w:tr>
      <w:tr>
        <w:tblPrEx>
          <w:tblW w:w="9540" w:type="dxa"/>
          <w:jc w:val="center"/>
          <w:tblInd w:w="0" w:type="dxa"/>
          <w:tblLayout w:type="fixed"/>
          <w:tblCellMar>
            <w:top w:w="0" w:type="dxa"/>
            <w:left w:w="42" w:type="dxa"/>
            <w:bottom w:w="0" w:type="dxa"/>
            <w:right w:w="42" w:type="dxa"/>
          </w:tblCellMar>
        </w:tblPrEx>
        <w:trPr>
          <w:cantSplit/>
          <w:trHeight w:val="462"/>
          <w:jc w:val="center"/>
        </w:trPr>
        <w:tc>
          <w:tcPr>
            <w:tcW w:w="720" w:type="dxa"/>
            <w:vAlign w:val="center"/>
          </w:tcPr>
          <w:p>
            <w:pPr>
              <w:spacing w:after="60"/>
              <w:jc w:val="center"/>
              <w:rPr>
                <w:rFonts w:asciiTheme="minorEastAsia" w:hAnsiTheme="minorEastAsia"/>
              </w:rPr>
            </w:pPr>
            <w:r>
              <w:rPr>
                <w:rFonts w:asciiTheme="minorEastAsia" w:hAnsiTheme="minorEastAsia" w:hint="eastAsia"/>
              </w:rPr>
              <w:t>5</w:t>
            </w:r>
          </w:p>
        </w:tc>
        <w:tc>
          <w:tcPr>
            <w:tcW w:w="3420" w:type="dxa"/>
            <w:vAlign w:val="center"/>
          </w:tcPr>
          <w:p>
            <w:pPr>
              <w:spacing w:after="60"/>
              <w:rPr>
                <w:rFonts w:asciiTheme="minorEastAsia" w:hAnsiTheme="minorEastAsia"/>
              </w:rPr>
            </w:pPr>
          </w:p>
        </w:tc>
        <w:tc>
          <w:tcPr>
            <w:tcW w:w="1620" w:type="dxa"/>
            <w:vAlign w:val="center"/>
          </w:tcPr>
          <w:p>
            <w:pPr>
              <w:spacing w:after="60"/>
              <w:rPr>
                <w:rFonts w:asciiTheme="minorEastAsia" w:hAnsiTheme="minorEastAsia"/>
              </w:rPr>
            </w:pPr>
          </w:p>
        </w:tc>
        <w:tc>
          <w:tcPr>
            <w:tcW w:w="1620" w:type="dxa"/>
            <w:tcBorders>
              <w:right w:val="single" w:sz="4" w:space="0" w:color="auto"/>
            </w:tcBorders>
            <w:vAlign w:val="center"/>
          </w:tcPr>
          <w:p>
            <w:pPr>
              <w:spacing w:after="60"/>
              <w:rPr>
                <w:rFonts w:asciiTheme="minorEastAsia" w:hAnsiTheme="minorEastAsia"/>
              </w:rPr>
            </w:pPr>
          </w:p>
        </w:tc>
        <w:tc>
          <w:tcPr>
            <w:tcW w:w="2160" w:type="dxa"/>
            <w:tcBorders>
              <w:left w:val="single" w:sz="4" w:space="0" w:color="auto"/>
            </w:tcBorders>
            <w:vAlign w:val="center"/>
          </w:tcPr>
          <w:p>
            <w:pPr>
              <w:spacing w:after="60"/>
              <w:rPr>
                <w:rFonts w:asciiTheme="minorEastAsia" w:hAnsiTheme="minorEastAsia"/>
              </w:rPr>
            </w:pPr>
          </w:p>
        </w:tc>
      </w:tr>
      <w:tr>
        <w:tblPrEx>
          <w:tblW w:w="9540" w:type="dxa"/>
          <w:jc w:val="center"/>
          <w:tblInd w:w="0" w:type="dxa"/>
          <w:tblLayout w:type="fixed"/>
          <w:tblCellMar>
            <w:top w:w="0" w:type="dxa"/>
            <w:left w:w="42" w:type="dxa"/>
            <w:bottom w:w="0" w:type="dxa"/>
            <w:right w:w="42" w:type="dxa"/>
          </w:tblCellMar>
        </w:tblPrEx>
        <w:trPr>
          <w:cantSplit/>
          <w:trHeight w:val="454"/>
          <w:jc w:val="center"/>
        </w:trPr>
        <w:tc>
          <w:tcPr>
            <w:tcW w:w="720" w:type="dxa"/>
            <w:vAlign w:val="center"/>
          </w:tcPr>
          <w:p>
            <w:pPr>
              <w:spacing w:after="60"/>
              <w:jc w:val="center"/>
              <w:rPr>
                <w:rFonts w:asciiTheme="minorEastAsia" w:hAnsiTheme="minorEastAsia"/>
              </w:rPr>
            </w:pPr>
            <w:r>
              <w:rPr>
                <w:rFonts w:asciiTheme="minorEastAsia" w:hAnsiTheme="minorEastAsia" w:hint="eastAsia"/>
              </w:rPr>
              <w:t>6</w:t>
            </w:r>
          </w:p>
        </w:tc>
        <w:tc>
          <w:tcPr>
            <w:tcW w:w="3420" w:type="dxa"/>
            <w:vAlign w:val="center"/>
          </w:tcPr>
          <w:p>
            <w:pPr>
              <w:spacing w:after="60"/>
              <w:rPr>
                <w:rFonts w:asciiTheme="minorEastAsia" w:hAnsiTheme="minorEastAsia"/>
              </w:rPr>
            </w:pPr>
          </w:p>
        </w:tc>
        <w:tc>
          <w:tcPr>
            <w:tcW w:w="1620" w:type="dxa"/>
            <w:vAlign w:val="center"/>
          </w:tcPr>
          <w:p>
            <w:pPr>
              <w:spacing w:after="60"/>
              <w:rPr>
                <w:rFonts w:asciiTheme="minorEastAsia" w:hAnsiTheme="minorEastAsia"/>
              </w:rPr>
            </w:pPr>
          </w:p>
        </w:tc>
        <w:tc>
          <w:tcPr>
            <w:tcW w:w="1620" w:type="dxa"/>
            <w:tcBorders>
              <w:right w:val="single" w:sz="4" w:space="0" w:color="auto"/>
            </w:tcBorders>
            <w:vAlign w:val="center"/>
          </w:tcPr>
          <w:p>
            <w:pPr>
              <w:spacing w:after="60"/>
              <w:rPr>
                <w:rFonts w:asciiTheme="minorEastAsia" w:hAnsiTheme="minorEastAsia"/>
              </w:rPr>
            </w:pPr>
          </w:p>
        </w:tc>
        <w:tc>
          <w:tcPr>
            <w:tcW w:w="2160" w:type="dxa"/>
            <w:tcBorders>
              <w:left w:val="single" w:sz="4" w:space="0" w:color="auto"/>
            </w:tcBorders>
            <w:vAlign w:val="center"/>
          </w:tcPr>
          <w:p>
            <w:pPr>
              <w:spacing w:after="60"/>
              <w:rPr>
                <w:rFonts w:asciiTheme="minorEastAsia" w:hAnsiTheme="minorEastAsia"/>
              </w:rPr>
            </w:pPr>
          </w:p>
        </w:tc>
      </w:tr>
      <w:tr>
        <w:tblPrEx>
          <w:tblW w:w="9540" w:type="dxa"/>
          <w:jc w:val="center"/>
          <w:tblInd w:w="0" w:type="dxa"/>
          <w:tblLayout w:type="fixed"/>
          <w:tblCellMar>
            <w:top w:w="0" w:type="dxa"/>
            <w:left w:w="42" w:type="dxa"/>
            <w:bottom w:w="0" w:type="dxa"/>
            <w:right w:w="42" w:type="dxa"/>
          </w:tblCellMar>
        </w:tblPrEx>
        <w:trPr>
          <w:cantSplit/>
          <w:trHeight w:val="454"/>
          <w:jc w:val="center"/>
        </w:trPr>
        <w:tc>
          <w:tcPr>
            <w:tcW w:w="720" w:type="dxa"/>
            <w:vAlign w:val="center"/>
          </w:tcPr>
          <w:p>
            <w:pPr>
              <w:spacing w:after="60"/>
              <w:jc w:val="center"/>
              <w:rPr>
                <w:rFonts w:asciiTheme="minorEastAsia" w:hAnsiTheme="minorEastAsia"/>
              </w:rPr>
            </w:pPr>
            <w:r>
              <w:rPr>
                <w:rFonts w:asciiTheme="minorEastAsia" w:hAnsiTheme="minorEastAsia" w:hint="eastAsia"/>
              </w:rPr>
              <w:t>…</w:t>
            </w:r>
          </w:p>
        </w:tc>
        <w:tc>
          <w:tcPr>
            <w:tcW w:w="3420" w:type="dxa"/>
            <w:vAlign w:val="center"/>
          </w:tcPr>
          <w:p>
            <w:pPr>
              <w:spacing w:after="60"/>
              <w:rPr>
                <w:rFonts w:asciiTheme="minorEastAsia" w:hAnsiTheme="minorEastAsia"/>
              </w:rPr>
            </w:pPr>
          </w:p>
        </w:tc>
        <w:tc>
          <w:tcPr>
            <w:tcW w:w="1620" w:type="dxa"/>
            <w:vAlign w:val="center"/>
          </w:tcPr>
          <w:p>
            <w:pPr>
              <w:spacing w:after="60"/>
              <w:rPr>
                <w:rFonts w:asciiTheme="minorEastAsia" w:hAnsiTheme="minorEastAsia"/>
              </w:rPr>
            </w:pPr>
          </w:p>
        </w:tc>
        <w:tc>
          <w:tcPr>
            <w:tcW w:w="1620" w:type="dxa"/>
            <w:tcBorders>
              <w:right w:val="single" w:sz="4" w:space="0" w:color="auto"/>
            </w:tcBorders>
            <w:vAlign w:val="center"/>
          </w:tcPr>
          <w:p>
            <w:pPr>
              <w:spacing w:after="60"/>
              <w:rPr>
                <w:rFonts w:asciiTheme="minorEastAsia" w:hAnsiTheme="minorEastAsia"/>
              </w:rPr>
            </w:pPr>
          </w:p>
        </w:tc>
        <w:tc>
          <w:tcPr>
            <w:tcW w:w="2160" w:type="dxa"/>
            <w:tcBorders>
              <w:left w:val="single" w:sz="4" w:space="0" w:color="auto"/>
            </w:tcBorders>
            <w:vAlign w:val="center"/>
          </w:tcPr>
          <w:p>
            <w:pPr>
              <w:spacing w:after="60"/>
              <w:rPr>
                <w:rFonts w:asciiTheme="minorEastAsia" w:hAnsiTheme="minorEastAsia"/>
              </w:rPr>
            </w:pPr>
          </w:p>
        </w:tc>
      </w:tr>
      <w:tr>
        <w:tblPrEx>
          <w:tblW w:w="9540" w:type="dxa"/>
          <w:jc w:val="center"/>
          <w:tblInd w:w="0" w:type="dxa"/>
          <w:tblLayout w:type="fixed"/>
          <w:tblCellMar>
            <w:top w:w="0" w:type="dxa"/>
            <w:left w:w="42" w:type="dxa"/>
            <w:bottom w:w="0" w:type="dxa"/>
            <w:right w:w="42" w:type="dxa"/>
          </w:tblCellMar>
        </w:tblPrEx>
        <w:trPr>
          <w:cantSplit/>
          <w:trHeight w:val="340"/>
          <w:jc w:val="center"/>
        </w:trPr>
        <w:tc>
          <w:tcPr>
            <w:tcW w:w="5760" w:type="dxa"/>
            <w:gridSpan w:val="3"/>
            <w:vAlign w:val="center"/>
          </w:tcPr>
          <w:p>
            <w:pPr>
              <w:spacing w:after="60"/>
              <w:rPr>
                <w:rFonts w:asciiTheme="minorEastAsia" w:hAnsiTheme="minorEastAsia"/>
              </w:rPr>
            </w:pPr>
            <w:r>
              <w:rPr>
                <w:rFonts w:asciiTheme="minorEastAsia" w:hAnsiTheme="minorEastAsia" w:hint="eastAsia"/>
              </w:rPr>
              <w:t>投标总价</w:t>
            </w:r>
          </w:p>
        </w:tc>
        <w:tc>
          <w:tcPr>
            <w:tcW w:w="1620" w:type="dxa"/>
            <w:tcBorders>
              <w:right w:val="single" w:sz="4" w:space="0" w:color="auto"/>
            </w:tcBorders>
            <w:vAlign w:val="center"/>
          </w:tcPr>
          <w:p>
            <w:pPr>
              <w:spacing w:after="60"/>
              <w:rPr>
                <w:rFonts w:asciiTheme="minorEastAsia" w:hAnsiTheme="minorEastAsia"/>
              </w:rPr>
            </w:pPr>
          </w:p>
        </w:tc>
        <w:tc>
          <w:tcPr>
            <w:tcW w:w="2160" w:type="dxa"/>
            <w:tcBorders>
              <w:left w:val="single" w:sz="4" w:space="0" w:color="auto"/>
            </w:tcBorders>
            <w:vAlign w:val="center"/>
          </w:tcPr>
          <w:p>
            <w:pPr>
              <w:spacing w:after="60"/>
              <w:rPr>
                <w:rFonts w:asciiTheme="minorEastAsia" w:hAnsiTheme="minorEastAsia"/>
              </w:rPr>
            </w:pPr>
          </w:p>
        </w:tc>
      </w:tr>
    </w:tbl>
    <w:p>
      <w:pPr>
        <w:spacing w:after="60"/>
        <w:rPr>
          <w:rFonts w:hAnsi="宋体"/>
          <w:szCs w:val="21"/>
        </w:rPr>
      </w:pPr>
    </w:p>
    <w:p>
      <w:pPr>
        <w:spacing w:after="60"/>
        <w:rPr>
          <w:rFonts w:hAnsi="宋体"/>
          <w:szCs w:val="21"/>
        </w:rPr>
      </w:pPr>
      <w:r>
        <w:rPr>
          <w:rFonts w:hAnsi="宋体" w:hint="eastAsia"/>
          <w:szCs w:val="21"/>
        </w:rPr>
        <w:t>注：</w:t>
      </w:r>
      <w:r>
        <w:rPr>
          <w:rFonts w:hAnsi="宋体"/>
          <w:szCs w:val="21"/>
        </w:rPr>
        <w:t>1</w:t>
      </w:r>
      <w:r>
        <w:rPr>
          <w:rFonts w:hAnsi="宋体" w:hint="eastAsia"/>
          <w:szCs w:val="21"/>
        </w:rPr>
        <w:t>、所有价格应按“招标文件”中规定的货币单位填写；</w:t>
      </w:r>
    </w:p>
    <w:p>
      <w:pPr>
        <w:spacing w:after="60"/>
        <w:ind w:firstLine="468"/>
        <w:rPr>
          <w:rFonts w:hAnsi="宋体"/>
          <w:szCs w:val="21"/>
        </w:rPr>
      </w:pPr>
      <w:r>
        <w:rPr>
          <w:rFonts w:hAnsi="宋体"/>
          <w:szCs w:val="21"/>
        </w:rPr>
        <w:t>2</w:t>
      </w:r>
      <w:r>
        <w:rPr>
          <w:rFonts w:hAnsi="宋体" w:hint="eastAsia"/>
          <w:szCs w:val="21"/>
        </w:rPr>
        <w:t>、投标总价应为以上各分项价格之和；</w:t>
      </w:r>
    </w:p>
    <w:p>
      <w:pPr>
        <w:spacing w:after="60" w:line="360" w:lineRule="auto"/>
        <w:ind w:firstLine="468"/>
        <w:rPr>
          <w:rFonts w:hAnsi="宋体"/>
          <w:b/>
          <w:szCs w:val="21"/>
        </w:rPr>
      </w:pPr>
      <w:r>
        <w:rPr>
          <w:rFonts w:hAnsi="宋体" w:hint="eastAsia"/>
          <w:b/>
          <w:szCs w:val="21"/>
        </w:rPr>
        <w:t>3、投标人如果需要对报价或其它内容加以说明，可在备注栏填写；</w:t>
      </w:r>
    </w:p>
    <w:p>
      <w:pPr>
        <w:numPr>
          <w:ilvl w:val="0"/>
          <w:numId w:val="4"/>
        </w:numPr>
        <w:autoSpaceDE w:val="0"/>
        <w:autoSpaceDN w:val="0"/>
        <w:adjustRightInd w:val="0"/>
        <w:spacing w:after="60"/>
        <w:ind w:firstLine="482"/>
        <w:jc w:val="center"/>
        <w:rPr>
          <w:rFonts w:ascii="宋体" w:cs="宋体"/>
          <w:b/>
          <w:bCs/>
          <w:color w:val="000000"/>
          <w:lang w:val="zh-CN"/>
        </w:rPr>
      </w:pPr>
      <w:r>
        <w:rPr>
          <w:rFonts w:ascii="宋体" w:cs="宋体" w:hint="eastAsia"/>
          <w:b/>
          <w:bCs/>
          <w:color w:val="000000"/>
          <w:lang w:val="zh-CN"/>
        </w:rPr>
        <w:t>供应商认为需要涉及的其他内容报价清单（格式自定）</w:t>
      </w:r>
    </w:p>
    <w:p>
      <w:pPr>
        <w:autoSpaceDE w:val="0"/>
        <w:autoSpaceDN w:val="0"/>
        <w:adjustRightInd w:val="0"/>
        <w:spacing w:after="60"/>
        <w:ind w:left="482"/>
        <w:rPr>
          <w:rFonts w:ascii="宋体" w:cs="宋体"/>
          <w:b/>
          <w:bCs/>
          <w:color w:val="000000"/>
          <w:lang w:val="zh-CN"/>
        </w:rPr>
      </w:pPr>
      <w:r>
        <w:rPr>
          <w:rFonts w:ascii="宋体" w:cs="宋体"/>
          <w:b/>
          <w:bCs/>
          <w:color w:val="000000"/>
          <w:lang w:val="zh-CN"/>
        </w:rPr>
        <w:br w:type="page"/>
      </w:r>
    </w:p>
    <w:p>
      <w:pPr>
        <w:pStyle w:val="Heading3"/>
        <w:jc w:val="center"/>
        <w:rPr>
          <w:rFonts w:ascii="黑体" w:eastAsia="黑体" w:hint="eastAsia"/>
          <w:b w:val="0"/>
          <w:sz w:val="24"/>
        </w:rPr>
      </w:pPr>
      <w:r>
        <w:rPr>
          <w:rFonts w:ascii="黑体" w:eastAsia="黑体" w:hint="eastAsia"/>
          <w:b w:val="0"/>
          <w:sz w:val="24"/>
        </w:rPr>
        <w:t>五、企业资质情况（根据招标文件要求提供，格式自拟）</w:t>
      </w:r>
    </w:p>
    <w:p>
      <w:pPr>
        <w:pStyle w:val="Heading3"/>
        <w:jc w:val="center"/>
        <w:rPr>
          <w:rFonts w:ascii="黑体" w:eastAsia="黑体" w:hint="eastAsia"/>
          <w:b w:val="0"/>
          <w:sz w:val="24"/>
        </w:rPr>
      </w:pPr>
      <w:r>
        <w:rPr>
          <w:rFonts w:ascii="黑体" w:eastAsia="黑体" w:hint="eastAsia"/>
          <w:b w:val="0"/>
          <w:sz w:val="24"/>
        </w:rPr>
        <w:t>六、相关认证情况（根据招标文件要求提供，格式自拟）</w:t>
      </w:r>
    </w:p>
    <w:p>
      <w:pPr>
        <w:pStyle w:val="Heading3"/>
        <w:jc w:val="center"/>
        <w:rPr>
          <w:rFonts w:ascii="黑体" w:eastAsia="黑体" w:hint="eastAsia"/>
          <w:b w:val="0"/>
          <w:sz w:val="24"/>
        </w:rPr>
      </w:pPr>
      <w:r>
        <w:rPr>
          <w:rFonts w:ascii="黑体" w:eastAsia="黑体" w:hint="eastAsia"/>
          <w:b w:val="0"/>
          <w:sz w:val="24"/>
        </w:rPr>
        <w:t>七、同类项目业绩（根据招标文件要求提供，格式自拟）</w:t>
      </w:r>
    </w:p>
    <w:p>
      <w:pPr>
        <w:pStyle w:val="Heading3"/>
        <w:jc w:val="center"/>
        <w:rPr>
          <w:rFonts w:ascii="黑体" w:eastAsia="黑体" w:hint="eastAsia"/>
          <w:b w:val="0"/>
          <w:sz w:val="24"/>
        </w:rPr>
      </w:pPr>
      <w:r>
        <w:rPr>
          <w:rFonts w:ascii="黑体" w:eastAsia="黑体" w:hint="eastAsia"/>
          <w:b w:val="0"/>
          <w:sz w:val="24"/>
        </w:rPr>
        <w:t>八、服务网点（根据招标文件要求提供，格式自拟）</w:t>
      </w:r>
    </w:p>
    <w:p>
      <w:pPr>
        <w:pStyle w:val="Heading3"/>
        <w:jc w:val="center"/>
        <w:rPr>
          <w:rFonts w:ascii="黑体" w:eastAsia="黑体" w:hint="eastAsia"/>
          <w:b w:val="0"/>
          <w:sz w:val="24"/>
        </w:rPr>
      </w:pPr>
      <w:r>
        <w:rPr>
          <w:rFonts w:ascii="黑体" w:eastAsia="黑体" w:hint="eastAsia"/>
          <w:b w:val="0"/>
          <w:sz w:val="24"/>
        </w:rPr>
        <w:t>九、党建和工会情况（根据招标文件要求提供，格式自拟）</w:t>
      </w:r>
    </w:p>
    <w:p>
      <w:pPr>
        <w:pStyle w:val="Heading3"/>
        <w:jc w:val="center"/>
        <w:rPr>
          <w:rFonts w:ascii="黑体" w:eastAsia="黑体" w:hAnsi="宋体" w:cs="Times New Roman" w:hint="eastAsia"/>
          <w:b w:val="0"/>
          <w:sz w:val="24"/>
        </w:rPr>
      </w:pPr>
      <w:r>
        <w:rPr>
          <w:rFonts w:ascii="黑体" w:eastAsia="黑体" w:hint="eastAsia"/>
          <w:b w:val="0"/>
          <w:sz w:val="24"/>
        </w:rPr>
        <w:t>十、</w:t>
      </w:r>
      <w:r>
        <w:rPr>
          <w:rFonts w:ascii="黑体" w:eastAsia="黑体" w:hAnsi="宋体" w:cs="Times New Roman" w:hint="eastAsia"/>
          <w:b w:val="0"/>
          <w:sz w:val="24"/>
        </w:rPr>
        <w:t>实施方案</w:t>
      </w:r>
      <w:r>
        <w:rPr>
          <w:rFonts w:ascii="黑体" w:eastAsia="黑体" w:hint="eastAsia"/>
          <w:b w:val="0"/>
          <w:sz w:val="24"/>
        </w:rPr>
        <w:t>（根据招标文件要求提供，格式自拟）</w:t>
      </w:r>
    </w:p>
    <w:p>
      <w:pPr>
        <w:pStyle w:val="Heading3"/>
        <w:jc w:val="center"/>
        <w:rPr>
          <w:rFonts w:ascii="黑体" w:eastAsia="黑体" w:hint="eastAsia"/>
          <w:b w:val="0"/>
          <w:sz w:val="24"/>
        </w:rPr>
      </w:pPr>
      <w:r>
        <w:rPr>
          <w:rFonts w:ascii="黑体" w:eastAsia="黑体" w:hint="eastAsia"/>
          <w:b w:val="0"/>
          <w:sz w:val="24"/>
        </w:rPr>
        <w:t>十一、</w:t>
      </w:r>
      <w:r>
        <w:rPr>
          <w:rFonts w:ascii="黑体" w:eastAsia="黑体" w:hAnsi="宋体" w:cs="Times New Roman" w:hint="eastAsia"/>
          <w:b w:val="0"/>
          <w:sz w:val="24"/>
        </w:rPr>
        <w:t>安全服务方案</w:t>
      </w:r>
      <w:r>
        <w:rPr>
          <w:rFonts w:ascii="黑体" w:eastAsia="黑体" w:hint="eastAsia"/>
          <w:b w:val="0"/>
          <w:sz w:val="24"/>
        </w:rPr>
        <w:t>（根据招标文件要求提供，格式自拟）</w:t>
      </w:r>
    </w:p>
    <w:p>
      <w:pPr>
        <w:pStyle w:val="Heading3"/>
        <w:jc w:val="center"/>
        <w:rPr>
          <w:rFonts w:ascii="黑体" w:eastAsia="黑体" w:hint="eastAsia"/>
          <w:b w:val="0"/>
          <w:sz w:val="24"/>
          <w:lang w:val="en-US" w:eastAsia="zh-CN"/>
        </w:rPr>
      </w:pPr>
      <w:r>
        <w:rPr>
          <w:rFonts w:ascii="黑体" w:eastAsia="黑体" w:hint="eastAsia"/>
          <w:b w:val="0"/>
          <w:sz w:val="24"/>
          <w:lang w:val="en-US" w:eastAsia="zh-CN"/>
        </w:rPr>
        <w:t>十二、拟投入本项目安全员情况</w:t>
      </w:r>
      <w:r>
        <w:rPr>
          <w:rFonts w:ascii="黑体" w:eastAsia="黑体" w:hint="eastAsia"/>
          <w:b w:val="0"/>
          <w:sz w:val="24"/>
        </w:rPr>
        <w:t>（根据招标文件要求提供，格式自拟）</w:t>
      </w:r>
    </w:p>
    <w:p>
      <w:pPr>
        <w:pStyle w:val="Heading3"/>
        <w:jc w:val="center"/>
        <w:rPr>
          <w:rFonts w:ascii="黑体" w:eastAsia="黑体" w:hAnsi="宋体" w:cs="Times New Roman" w:hint="eastAsia"/>
          <w:b w:val="0"/>
          <w:sz w:val="24"/>
        </w:rPr>
      </w:pPr>
      <w:r>
        <w:rPr>
          <w:rFonts w:ascii="黑体" w:eastAsia="黑体" w:hint="eastAsia"/>
          <w:b w:val="0"/>
          <w:sz w:val="24"/>
        </w:rPr>
        <w:t>十</w:t>
      </w:r>
      <w:r>
        <w:rPr>
          <w:rFonts w:ascii="黑体" w:eastAsia="黑体" w:hint="eastAsia"/>
          <w:b w:val="0"/>
          <w:sz w:val="24"/>
          <w:lang w:val="en-US" w:eastAsia="zh-CN"/>
        </w:rPr>
        <w:t>三</w:t>
      </w:r>
      <w:r>
        <w:rPr>
          <w:rFonts w:ascii="黑体" w:eastAsia="黑体" w:hint="eastAsia"/>
          <w:b w:val="0"/>
          <w:sz w:val="24"/>
        </w:rPr>
        <w:t>、</w:t>
      </w:r>
      <w:r>
        <w:rPr>
          <w:rFonts w:ascii="黑体" w:eastAsia="黑体" w:hAnsi="宋体" w:cs="Times New Roman" w:hint="eastAsia"/>
          <w:b w:val="0"/>
          <w:sz w:val="24"/>
        </w:rPr>
        <w:t>拟投入本项目团队成员情况</w:t>
      </w:r>
      <w:r>
        <w:rPr>
          <w:rFonts w:ascii="黑体" w:eastAsia="黑体" w:hint="eastAsia"/>
          <w:b w:val="0"/>
          <w:sz w:val="24"/>
        </w:rPr>
        <w:t>（根据招标文件要求提供，格式自拟）</w:t>
      </w:r>
    </w:p>
    <w:p>
      <w:pPr>
        <w:pStyle w:val="Heading3"/>
        <w:jc w:val="center"/>
        <w:rPr>
          <w:rFonts w:ascii="黑体" w:eastAsia="黑体" w:hint="eastAsia"/>
          <w:b w:val="0"/>
          <w:sz w:val="24"/>
          <w:lang w:eastAsia="zh-CN"/>
        </w:rPr>
      </w:pPr>
      <w:r>
        <w:rPr>
          <w:rFonts w:ascii="黑体" w:eastAsia="黑体" w:hint="eastAsia"/>
          <w:b w:val="0"/>
          <w:sz w:val="24"/>
        </w:rPr>
        <w:t>十</w:t>
      </w:r>
      <w:r>
        <w:rPr>
          <w:rFonts w:ascii="黑体" w:eastAsia="黑体" w:hint="eastAsia"/>
          <w:b w:val="0"/>
          <w:sz w:val="24"/>
          <w:lang w:val="en-US" w:eastAsia="zh-CN"/>
        </w:rPr>
        <w:t>四</w:t>
      </w:r>
      <w:r>
        <w:rPr>
          <w:rFonts w:ascii="黑体" w:eastAsia="黑体" w:hint="eastAsia"/>
          <w:b w:val="0"/>
          <w:sz w:val="24"/>
        </w:rPr>
        <w:t>、</w:t>
      </w:r>
      <w:r>
        <w:rPr>
          <w:rFonts w:ascii="黑体" w:eastAsia="黑体" w:hAnsi="宋体" w:cs="Times New Roman" w:hint="eastAsia"/>
          <w:b w:val="0"/>
          <w:sz w:val="24"/>
        </w:rPr>
        <w:t>突发事件应急处理措施方案</w:t>
      </w:r>
      <w:r>
        <w:rPr>
          <w:rFonts w:ascii="黑体" w:eastAsia="黑体" w:hint="eastAsia"/>
          <w:b w:val="0"/>
          <w:sz w:val="24"/>
        </w:rPr>
        <w:t>（根据招标文件要求提供，格式自拟）</w:t>
      </w:r>
    </w:p>
    <w:p>
      <w:pPr>
        <w:pStyle w:val="Heading3"/>
        <w:tabs>
          <w:tab w:val="left" w:pos="628"/>
          <w:tab w:val="center" w:pos="4213"/>
        </w:tabs>
        <w:jc w:val="center"/>
        <w:rPr>
          <w:rFonts w:ascii="黑体" w:eastAsia="黑体"/>
          <w:b w:val="0"/>
          <w:sz w:val="24"/>
        </w:rPr>
      </w:pPr>
      <w:r>
        <w:rPr>
          <w:rFonts w:ascii="黑体" w:eastAsia="黑体" w:hint="eastAsia"/>
          <w:b w:val="0"/>
          <w:sz w:val="24"/>
          <w:lang w:eastAsia="zh-CN"/>
        </w:rPr>
        <w:br w:type="page"/>
      </w:r>
      <w:r>
        <w:rPr>
          <w:rFonts w:ascii="黑体" w:eastAsia="黑体" w:hAnsi="宋体" w:cs="Times New Roman" w:hint="eastAsia"/>
          <w:b w:val="0"/>
          <w:sz w:val="24"/>
          <w:lang w:eastAsia="zh-CN"/>
        </w:rPr>
        <w:tab/>
      </w:r>
      <w:r>
        <w:rPr>
          <w:rFonts w:ascii="黑体" w:eastAsia="黑体" w:hAnsi="宋体" w:cs="Times New Roman" w:hint="eastAsia"/>
          <w:b w:val="0"/>
          <w:sz w:val="24"/>
        </w:rPr>
        <w:t>十</w:t>
      </w:r>
      <w:r>
        <w:rPr>
          <w:rFonts w:ascii="黑体" w:eastAsia="黑体" w:cs="Times New Roman" w:hint="eastAsia"/>
          <w:b w:val="0"/>
          <w:sz w:val="24"/>
          <w:lang w:val="en-US" w:eastAsia="zh-CN"/>
        </w:rPr>
        <w:t>五</w:t>
      </w:r>
      <w:r>
        <w:rPr>
          <w:rFonts w:ascii="黑体" w:eastAsia="黑体" w:hAnsi="宋体" w:cs="Times New Roman" w:hint="eastAsia"/>
          <w:b w:val="0"/>
          <w:sz w:val="24"/>
        </w:rPr>
        <w:t>、服务条款偏离表</w:t>
      </w:r>
    </w:p>
    <w:tbl>
      <w:tblPr>
        <w:tblStyle w:val="TableNormal"/>
        <w:tblW w:w="10078" w:type="dxa"/>
        <w:jc w:val="center"/>
        <w:tblInd w:w="0" w:type="dxa"/>
        <w:tblLayout w:type="fixed"/>
        <w:tblCellMar>
          <w:top w:w="0" w:type="dxa"/>
          <w:left w:w="108" w:type="dxa"/>
          <w:bottom w:w="0" w:type="dxa"/>
          <w:right w:w="108" w:type="dxa"/>
        </w:tblCellMar>
      </w:tblPr>
      <w:tblGrid>
        <w:gridCol w:w="640"/>
        <w:gridCol w:w="4193"/>
        <w:gridCol w:w="2835"/>
        <w:gridCol w:w="1276"/>
        <w:gridCol w:w="1134"/>
      </w:tblGrid>
      <w:tr>
        <w:tblPrEx>
          <w:tblW w:w="10078" w:type="dxa"/>
          <w:jc w:val="center"/>
          <w:tblInd w:w="0" w:type="dxa"/>
          <w:tblLayout w:type="fixed"/>
          <w:tblCellMar>
            <w:top w:w="0" w:type="dxa"/>
            <w:left w:w="108" w:type="dxa"/>
            <w:bottom w:w="0" w:type="dxa"/>
            <w:right w:w="108" w:type="dxa"/>
          </w:tblCellMar>
        </w:tblPrEx>
        <w:trPr>
          <w:trHeight w:val="135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宋体"/>
                <w:b/>
                <w:bCs/>
                <w:color w:val="000000"/>
                <w:sz w:val="22"/>
              </w:rPr>
            </w:pPr>
            <w:r>
              <w:rPr>
                <w:rFonts w:ascii="宋体" w:hAnsi="宋体" w:cs="宋体" w:hint="eastAsia"/>
                <w:b/>
                <w:bCs/>
                <w:color w:val="000000"/>
                <w:sz w:val="22"/>
              </w:rPr>
              <w:t>序号</w:t>
            </w:r>
          </w:p>
        </w:tc>
        <w:tc>
          <w:tcPr>
            <w:tcW w:w="4193" w:type="dxa"/>
            <w:tcBorders>
              <w:top w:val="single" w:sz="4" w:space="0" w:color="auto"/>
              <w:left w:val="nil"/>
              <w:bottom w:val="single" w:sz="4" w:space="0" w:color="auto"/>
              <w:right w:val="single" w:sz="4" w:space="0" w:color="auto"/>
            </w:tcBorders>
            <w:shd w:val="clear" w:color="auto" w:fill="auto"/>
            <w:vAlign w:val="center"/>
          </w:tcPr>
          <w:p>
            <w:pPr>
              <w:jc w:val="center"/>
              <w:rPr>
                <w:rFonts w:ascii="宋体" w:hAnsi="宋体" w:cs="宋体"/>
                <w:b/>
                <w:bCs/>
                <w:color w:val="000000"/>
                <w:sz w:val="22"/>
              </w:rPr>
            </w:pPr>
            <w:r>
              <w:rPr>
                <w:rFonts w:ascii="宋体" w:hAnsi="宋体" w:cs="宋体" w:hint="eastAsia"/>
                <w:b/>
                <w:bCs/>
                <w:color w:val="000000"/>
                <w:sz w:val="22"/>
              </w:rPr>
              <w:t>招标文件服务条款</w:t>
            </w:r>
          </w:p>
        </w:tc>
        <w:tc>
          <w:tcPr>
            <w:tcW w:w="2835" w:type="dxa"/>
            <w:tcBorders>
              <w:top w:val="single" w:sz="4" w:space="0" w:color="auto"/>
              <w:left w:val="nil"/>
              <w:bottom w:val="single" w:sz="4" w:space="0" w:color="auto"/>
              <w:right w:val="single" w:sz="4" w:space="0" w:color="auto"/>
            </w:tcBorders>
            <w:shd w:val="clear" w:color="auto" w:fill="auto"/>
            <w:vAlign w:val="center"/>
          </w:tcPr>
          <w:p>
            <w:pPr>
              <w:jc w:val="center"/>
              <w:rPr>
                <w:rFonts w:ascii="宋体" w:hAnsi="宋体" w:cs="宋体"/>
                <w:b/>
                <w:bCs/>
                <w:color w:val="000000"/>
                <w:sz w:val="22"/>
              </w:rPr>
            </w:pPr>
            <w:r>
              <w:rPr>
                <w:rFonts w:ascii="宋体" w:hAnsi="宋体" w:cs="宋体" w:hint="eastAsia"/>
                <w:b/>
                <w:bCs/>
                <w:color w:val="000000"/>
                <w:sz w:val="22"/>
              </w:rPr>
              <w:t>投标文件服务条款</w:t>
            </w:r>
          </w:p>
        </w:tc>
        <w:tc>
          <w:tcPr>
            <w:tcW w:w="1276" w:type="dxa"/>
            <w:tcBorders>
              <w:top w:val="single" w:sz="4" w:space="0" w:color="auto"/>
              <w:left w:val="nil"/>
              <w:bottom w:val="single" w:sz="4" w:space="0" w:color="auto"/>
              <w:right w:val="single" w:sz="4" w:space="0" w:color="auto"/>
            </w:tcBorders>
            <w:shd w:val="clear" w:color="auto" w:fill="auto"/>
            <w:vAlign w:val="center"/>
          </w:tcPr>
          <w:p>
            <w:pPr>
              <w:jc w:val="center"/>
              <w:rPr>
                <w:rFonts w:ascii="宋体" w:hAnsi="宋体" w:cs="宋体"/>
                <w:b/>
                <w:bCs/>
                <w:color w:val="000000"/>
                <w:sz w:val="22"/>
              </w:rPr>
            </w:pPr>
            <w:r>
              <w:rPr>
                <w:rFonts w:ascii="宋体" w:hAnsi="宋体" w:cs="宋体" w:hint="eastAsia"/>
                <w:b/>
                <w:bCs/>
                <w:color w:val="000000"/>
                <w:sz w:val="22"/>
              </w:rPr>
              <w:t>偏离说明（无偏离/正偏离/负偏离）</w:t>
            </w:r>
          </w:p>
        </w:tc>
        <w:tc>
          <w:tcPr>
            <w:tcW w:w="1134" w:type="dxa"/>
            <w:tcBorders>
              <w:top w:val="single" w:sz="4" w:space="0" w:color="auto"/>
              <w:left w:val="nil"/>
              <w:bottom w:val="single" w:sz="4" w:space="0" w:color="auto"/>
              <w:right w:val="single" w:sz="4" w:space="0" w:color="auto"/>
            </w:tcBorders>
            <w:shd w:val="clear" w:color="auto" w:fill="auto"/>
            <w:vAlign w:val="center"/>
          </w:tcPr>
          <w:p>
            <w:pPr>
              <w:jc w:val="center"/>
              <w:rPr>
                <w:rFonts w:ascii="宋体" w:hAnsi="宋体" w:cs="宋体"/>
                <w:b/>
                <w:bCs/>
                <w:color w:val="000000"/>
                <w:sz w:val="22"/>
              </w:rPr>
            </w:pPr>
            <w:r>
              <w:rPr>
                <w:rFonts w:ascii="宋体" w:hAnsi="宋体" w:cs="宋体" w:hint="eastAsia"/>
                <w:b/>
                <w:bCs/>
                <w:color w:val="000000"/>
                <w:sz w:val="22"/>
              </w:rPr>
              <w:t>说明</w:t>
            </w:r>
          </w:p>
        </w:tc>
      </w:tr>
      <w:tr>
        <w:tblPrEx>
          <w:tblW w:w="10078" w:type="dxa"/>
          <w:jc w:val="center"/>
          <w:tblInd w:w="0" w:type="dxa"/>
          <w:tblLayout w:type="fixed"/>
          <w:tblCellMar>
            <w:top w:w="0" w:type="dxa"/>
            <w:left w:w="108" w:type="dxa"/>
            <w:bottom w:w="0" w:type="dxa"/>
            <w:right w:w="108" w:type="dxa"/>
          </w:tblCellMar>
        </w:tblPrEx>
        <w:trPr>
          <w:trHeight w:val="748"/>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pPr>
              <w:jc w:val="center"/>
              <w:rPr>
                <w:rFonts w:ascii="宋体" w:hAnsi="宋体" w:cs="宋体"/>
                <w:color w:val="000000"/>
                <w:sz w:val="22"/>
              </w:rPr>
            </w:pPr>
          </w:p>
        </w:tc>
        <w:tc>
          <w:tcPr>
            <w:tcW w:w="4193" w:type="dxa"/>
            <w:tcBorders>
              <w:top w:val="single" w:sz="4" w:space="0" w:color="auto"/>
              <w:left w:val="nil"/>
              <w:bottom w:val="single" w:sz="4" w:space="0" w:color="auto"/>
              <w:right w:val="single" w:sz="4" w:space="0" w:color="auto"/>
            </w:tcBorders>
            <w:shd w:val="clear" w:color="auto" w:fill="auto"/>
            <w:vAlign w:val="center"/>
          </w:tcPr>
          <w:p>
            <w:pPr>
              <w:rPr>
                <w:rFonts w:ascii="宋体" w:hAnsi="宋体" w:cs="宋体"/>
                <w:color w:val="000000"/>
                <w:sz w:val="22"/>
              </w:rPr>
            </w:pPr>
          </w:p>
        </w:tc>
        <w:tc>
          <w:tcPr>
            <w:tcW w:w="2835" w:type="dxa"/>
            <w:tcBorders>
              <w:top w:val="single" w:sz="4" w:space="0" w:color="auto"/>
              <w:left w:val="nil"/>
              <w:bottom w:val="single" w:sz="4" w:space="0" w:color="auto"/>
              <w:right w:val="single" w:sz="4" w:space="0" w:color="auto"/>
            </w:tcBorders>
            <w:shd w:val="clear" w:color="auto" w:fill="auto"/>
            <w:vAlign w:val="center"/>
          </w:tcPr>
          <w:p>
            <w:pPr>
              <w:rPr>
                <w:rFonts w:ascii="宋体" w:hAnsi="宋体" w:cs="宋体"/>
                <w:color w:val="000000"/>
                <w:sz w:val="22"/>
              </w:rPr>
            </w:pPr>
          </w:p>
        </w:tc>
        <w:tc>
          <w:tcPr>
            <w:tcW w:w="1276" w:type="dxa"/>
            <w:tcBorders>
              <w:top w:val="single" w:sz="4" w:space="0" w:color="auto"/>
              <w:left w:val="nil"/>
              <w:bottom w:val="single" w:sz="4" w:space="0" w:color="auto"/>
              <w:right w:val="single" w:sz="4" w:space="0" w:color="auto"/>
            </w:tcBorders>
            <w:shd w:val="clear" w:color="auto" w:fill="auto"/>
            <w:vAlign w:val="center"/>
          </w:tcPr>
          <w:p>
            <w:pPr>
              <w:rPr>
                <w:rFonts w:ascii="宋体" w:hAnsi="宋体" w:cs="宋体"/>
                <w:color w:val="000000"/>
                <w:sz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pPr>
              <w:rPr>
                <w:rFonts w:ascii="宋体" w:hAnsi="宋体" w:cs="宋体"/>
                <w:color w:val="000000"/>
                <w:sz w:val="22"/>
              </w:rPr>
            </w:pPr>
            <w:r>
              <w:rPr>
                <w:rFonts w:ascii="宋体" w:hAnsi="宋体" w:cs="宋体" w:hint="eastAsia"/>
                <w:color w:val="000000"/>
                <w:sz w:val="22"/>
              </w:rPr>
              <w:t>　</w:t>
            </w:r>
          </w:p>
        </w:tc>
      </w:tr>
    </w:tbl>
    <w:p>
      <w:r>
        <w:rPr>
          <w:rFonts w:hint="eastAsia"/>
        </w:rPr>
        <w:t>填写说明： 1.请投标人于“投标文件服务要求响应”栏中对招标文件服务条款要求中相关条款作出响应情况详细描述，若响应情况优于招标要求或没有达到招标要求，应作详细说明；“偏离情况”栏中根据响应情况填写，没有达到要求的填“负偏离”，达到要求的填“无偏离”，优于要求的填“正偏离”。若《服务条款偏离表》中未要求提供相应证明材料的，投标人可以不提供。</w:t>
      </w:r>
    </w:p>
    <w:p>
      <w:pPr>
        <w:jc w:val="center"/>
      </w:pPr>
    </w:p>
    <w:p>
      <w:pPr>
        <w:pStyle w:val="Heading3"/>
        <w:jc w:val="center"/>
        <w:rPr>
          <w:rFonts w:ascii="黑体" w:eastAsia="黑体"/>
          <w:b w:val="0"/>
          <w:sz w:val="24"/>
        </w:rPr>
      </w:pPr>
      <w:r>
        <w:rPr>
          <w:rFonts w:ascii="黑体" w:eastAsia="黑体" w:hint="eastAsia"/>
          <w:b w:val="0"/>
          <w:sz w:val="24"/>
        </w:rPr>
        <w:t>十</w:t>
      </w:r>
      <w:r>
        <w:rPr>
          <w:rFonts w:ascii="黑体" w:eastAsia="黑体" w:hint="eastAsia"/>
          <w:b w:val="0"/>
          <w:sz w:val="24"/>
          <w:lang w:val="en-US" w:eastAsia="zh-CN"/>
        </w:rPr>
        <w:t>六</w:t>
      </w:r>
      <w:r>
        <w:rPr>
          <w:rFonts w:ascii="黑体" w:eastAsia="黑体" w:hint="eastAsia"/>
          <w:b w:val="0"/>
          <w:sz w:val="24"/>
        </w:rPr>
        <w:t>、</w:t>
      </w:r>
      <w:r>
        <w:rPr>
          <w:rFonts w:ascii="黑体" w:eastAsia="黑体"/>
          <w:b w:val="0"/>
          <w:sz w:val="24"/>
        </w:rPr>
        <w:t>投标人认为需要加以说明的其他内容（格式自定）</w:t>
      </w:r>
    </w:p>
    <w:p>
      <w:pPr>
        <w:autoSpaceDE w:val="0"/>
        <w:autoSpaceDN w:val="0"/>
        <w:adjustRightInd w:val="0"/>
        <w:spacing w:line="579" w:lineRule="exact"/>
        <w:jc w:val="center"/>
        <w:rPr>
          <w:rFonts w:asciiTheme="minorEastAsia" w:eastAsiaTheme="minorEastAsia" w:hAnsiTheme="minorEastAsia" w:cstheme="minorEastAsia" w:hint="eastAsia"/>
          <w:b w:val="0"/>
          <w:bCs w:val="0"/>
          <w:kern w:val="0"/>
          <w:sz w:val="24"/>
          <w:szCs w:val="24"/>
          <w:lang w:eastAsia="zh-CN"/>
        </w:rPr>
      </w:pPr>
      <w:r>
        <w:rPr>
          <w:rFonts w:asciiTheme="minorEastAsia" w:eastAsiaTheme="minorEastAsia" w:hAnsiTheme="minorEastAsia" w:cstheme="minorEastAsia" w:hint="eastAsia"/>
          <w:b/>
          <w:bCs/>
          <w:kern w:val="0"/>
          <w:sz w:val="24"/>
          <w:szCs w:val="24"/>
          <w:lang w:eastAsia="zh-CN"/>
        </w:rPr>
        <w:t>政府采购违法行为风险知悉确认书</w:t>
      </w:r>
    </w:p>
    <w:p>
      <w:pPr>
        <w:numPr>
          <w:ilvl w:val="0"/>
          <w:numId w:val="0"/>
        </w:numPr>
        <w:spacing w:line="579" w:lineRule="exact"/>
        <w:ind w:firstLine="480" w:firstLineChars="200"/>
        <w:rPr>
          <w:rFonts w:asciiTheme="minorEastAsia" w:eastAsiaTheme="minorEastAsia" w:hAnsiTheme="minorEastAsia" w:cstheme="minorEastAsia" w:hint="eastAsia"/>
          <w:sz w:val="24"/>
          <w:szCs w:val="24"/>
          <w:lang w:val="en-US" w:eastAsia="zh-CN"/>
        </w:rPr>
      </w:pPr>
    </w:p>
    <w:p>
      <w:pPr>
        <w:numPr>
          <w:ilvl w:val="0"/>
          <w:numId w:val="0"/>
        </w:numPr>
        <w:spacing w:line="579" w:lineRule="exact"/>
        <w:ind w:firstLine="480" w:firstLineChars="200"/>
        <w:rPr>
          <w:rFonts w:asciiTheme="minorEastAsia" w:eastAsiaTheme="minorEastAsia" w:hAnsiTheme="minorEastAsia" w:cstheme="minorEastAsia" w:hint="eastAsia"/>
          <w:b w:val="0"/>
          <w:bCs w:val="0"/>
          <w:kern w:val="0"/>
          <w:sz w:val="24"/>
          <w:szCs w:val="24"/>
          <w:lang w:eastAsia="zh-CN"/>
        </w:rPr>
      </w:pPr>
      <w:r>
        <w:rPr>
          <w:rFonts w:asciiTheme="minorEastAsia" w:eastAsiaTheme="minorEastAsia" w:hAnsiTheme="minorEastAsia" w:cstheme="minorEastAsia" w:hint="eastAsia"/>
          <w:b w:val="0"/>
          <w:bCs w:val="0"/>
          <w:sz w:val="24"/>
          <w:szCs w:val="24"/>
          <w:lang w:val="en-US" w:eastAsia="zh-CN"/>
        </w:rPr>
        <w:t>本公司在投标前已充分知悉以下情形为参与政府采购活动时的重大风险事项，并承诺已对下述风险提示事项重点排查，做到严谨、诚信、依法依规参与政府采购活动。</w:t>
      </w:r>
    </w:p>
    <w:p>
      <w:pPr>
        <w:numPr>
          <w:ilvl w:val="0"/>
          <w:numId w:val="0"/>
        </w:numPr>
        <w:spacing w:line="579"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b/>
          <w:bCs/>
          <w:sz w:val="24"/>
          <w:szCs w:val="24"/>
          <w:lang w:val="en-US" w:eastAsia="zh-CN"/>
        </w:rPr>
        <w:t>一、本公司已充分知悉“隐瞒真实情况，提供虚假</w:t>
      </w:r>
      <w:r>
        <w:rPr>
          <w:rFonts w:asciiTheme="minorEastAsia" w:eastAsiaTheme="minorEastAsia" w:hAnsiTheme="minorEastAsia" w:cstheme="minorEastAsia" w:hint="eastAsia"/>
          <w:b/>
          <w:bCs/>
          <w:sz w:val="24"/>
          <w:szCs w:val="24"/>
          <w:highlight w:val="none"/>
          <w:lang w:val="en-US" w:eastAsia="zh-CN"/>
        </w:rPr>
        <w:t>资料</w:t>
      </w:r>
      <w:r>
        <w:rPr>
          <w:rFonts w:asciiTheme="minorEastAsia" w:eastAsiaTheme="minorEastAsia" w:hAnsiTheme="minorEastAsia" w:cstheme="minorEastAsia" w:hint="eastAsia"/>
          <w:b/>
          <w:bCs/>
          <w:sz w:val="24"/>
          <w:szCs w:val="24"/>
          <w:lang w:val="en-US" w:eastAsia="zh-CN"/>
        </w:rPr>
        <w:t>”的法定情形，相关情形包括但不限于</w:t>
      </w:r>
      <w:r>
        <w:rPr>
          <w:rFonts w:asciiTheme="minorEastAsia" w:eastAsiaTheme="minorEastAsia" w:hAnsiTheme="minorEastAsia" w:cstheme="minorEastAsia" w:hint="eastAsia"/>
          <w:sz w:val="24"/>
          <w:szCs w:val="24"/>
          <w:lang w:val="en-US" w:eastAsia="zh-CN"/>
        </w:rPr>
        <w:t>：</w:t>
      </w:r>
    </w:p>
    <w:p>
      <w:pPr>
        <w:numPr>
          <w:ilvl w:val="0"/>
          <w:numId w:val="0"/>
        </w:numPr>
        <w:spacing w:line="579"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（一）通过转让或者租借等方式从其他单位获取资格或者资质证书投标的。</w:t>
      </w:r>
    </w:p>
    <w:p>
      <w:pPr>
        <w:numPr>
          <w:ilvl w:val="0"/>
          <w:numId w:val="0"/>
        </w:numPr>
        <w:spacing w:line="579"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（二）由其他单位或者其他单位负责人在投标供应商编制的投标文件上加盖印章或者签字的。</w:t>
      </w:r>
    </w:p>
    <w:p>
      <w:pPr>
        <w:numPr>
          <w:ilvl w:val="0"/>
          <w:numId w:val="0"/>
        </w:numPr>
        <w:spacing w:line="579"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（三）项目负责人或者主要技术人员不是本单位人员的。</w:t>
      </w:r>
    </w:p>
    <w:p>
      <w:pPr>
        <w:numPr>
          <w:ilvl w:val="0"/>
          <w:numId w:val="0"/>
        </w:numPr>
        <w:spacing w:line="579"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（四）投标保证金不是从投标供应商基本账户转出的。</w:t>
      </w:r>
    </w:p>
    <w:p>
      <w:pPr>
        <w:numPr>
          <w:ilvl w:val="0"/>
          <w:numId w:val="0"/>
        </w:numPr>
        <w:spacing w:line="579"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（五）其他隐瞒真实情况、提供虚假资料的行为。</w:t>
      </w:r>
    </w:p>
    <w:p>
      <w:pPr>
        <w:numPr>
          <w:ilvl w:val="0"/>
          <w:numId w:val="0"/>
        </w:numPr>
        <w:spacing w:line="579"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b/>
          <w:bCs/>
          <w:sz w:val="24"/>
          <w:szCs w:val="24"/>
          <w:lang w:val="en-US" w:eastAsia="zh-CN"/>
        </w:rPr>
        <w:t>二、本公司已充分知悉“与其他采购参加人串通投标”的法定情形，相关情形包括但不限于：</w:t>
      </w:r>
    </w:p>
    <w:p>
      <w:pPr>
        <w:numPr>
          <w:ilvl w:val="0"/>
          <w:numId w:val="0"/>
        </w:numPr>
        <w:spacing w:line="579"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 xml:space="preserve">（一）投标供应商之间相互约定给予未中标的供应商利益补偿。 </w:t>
      </w:r>
    </w:p>
    <w:p>
      <w:pPr>
        <w:numPr>
          <w:ilvl w:val="0"/>
          <w:numId w:val="0"/>
        </w:numPr>
        <w:spacing w:line="579"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（二）不同投标供应商的法定代表人、主要经营负责人、项目投标授权代表人、项目负责人、主要技术人员为同一人、属同一单位或者在同一单位缴纳社会保险。</w:t>
      </w:r>
    </w:p>
    <w:p>
      <w:pPr>
        <w:numPr>
          <w:ilvl w:val="0"/>
          <w:numId w:val="0"/>
        </w:numPr>
        <w:spacing w:line="579"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（三）不同投标供应商的投标文件由同一单位或者同一人编制，或者由同一人分阶段参与编制的。</w:t>
      </w:r>
    </w:p>
    <w:p>
      <w:pPr>
        <w:numPr>
          <w:ilvl w:val="0"/>
          <w:numId w:val="0"/>
        </w:numPr>
        <w:spacing w:line="579"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（四）不同投标供应商的投标文件或部分投标文件相互混装。</w:t>
      </w:r>
    </w:p>
    <w:p>
      <w:pPr>
        <w:numPr>
          <w:ilvl w:val="0"/>
          <w:numId w:val="0"/>
        </w:numPr>
        <w:spacing w:line="579"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（五）不同投标供应商的投标文件内容存在非正常一致。</w:t>
      </w:r>
    </w:p>
    <w:p>
      <w:pPr>
        <w:numPr>
          <w:ilvl w:val="0"/>
          <w:numId w:val="0"/>
        </w:numPr>
        <w:spacing w:line="579"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（六）由同一单位工作人员为两家以上（含两家）供应商进行同一项投标活动的。</w:t>
      </w:r>
    </w:p>
    <w:p>
      <w:pPr>
        <w:numPr>
          <w:ilvl w:val="0"/>
          <w:numId w:val="0"/>
        </w:numPr>
        <w:spacing w:line="579"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（七）</w:t>
      </w:r>
      <w:r>
        <w:rPr>
          <w:rFonts w:asciiTheme="minorEastAsia" w:eastAsiaTheme="minorEastAsia" w:hAnsiTheme="minorEastAsia" w:cstheme="minorEastAsia" w:hint="eastAsia"/>
          <w:b w:val="0"/>
          <w:bCs w:val="0"/>
          <w:sz w:val="24"/>
          <w:szCs w:val="24"/>
          <w:u w:val="none"/>
          <w:lang w:val="en-US" w:eastAsia="zh-CN"/>
        </w:rPr>
        <w:t>不同投标人的投标报价呈规律性差异。</w:t>
      </w:r>
    </w:p>
    <w:p>
      <w:pPr>
        <w:numPr>
          <w:ilvl w:val="0"/>
          <w:numId w:val="0"/>
        </w:numPr>
        <w:spacing w:line="579"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（八）</w:t>
      </w:r>
      <w:r>
        <w:rPr>
          <w:rFonts w:asciiTheme="minorEastAsia" w:eastAsiaTheme="minorEastAsia" w:hAnsiTheme="minorEastAsia" w:cstheme="minorEastAsia" w:hint="eastAsia"/>
          <w:b w:val="0"/>
          <w:bCs w:val="0"/>
          <w:sz w:val="24"/>
          <w:szCs w:val="24"/>
          <w:u w:val="none"/>
          <w:lang w:val="en-US" w:eastAsia="zh-CN"/>
        </w:rPr>
        <w:t>不同投标人的投标保证金从同一单位或者个人的账户转出。</w:t>
      </w:r>
    </w:p>
    <w:p>
      <w:pPr>
        <w:numPr>
          <w:ilvl w:val="0"/>
          <w:numId w:val="0"/>
        </w:numPr>
        <w:spacing w:line="579"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（九）主管部门依照法律、法规认定的其他情形。</w:t>
      </w:r>
    </w:p>
    <w:p>
      <w:pPr>
        <w:numPr>
          <w:ilvl w:val="0"/>
          <w:numId w:val="0"/>
        </w:numPr>
        <w:spacing w:line="579" w:lineRule="exact"/>
        <w:ind w:firstLine="480" w:firstLineChars="200"/>
        <w:rPr>
          <w:rFonts w:asciiTheme="minorEastAsia" w:eastAsiaTheme="minorEastAsia" w:hAnsiTheme="minorEastAsia" w:cstheme="minorEastAsia" w:hint="eastAsia"/>
          <w:b/>
          <w:bCs/>
          <w:sz w:val="24"/>
          <w:szCs w:val="24"/>
          <w:highlight w:val="none"/>
          <w:lang w:val="en-US" w:eastAsia="zh-CN"/>
        </w:rPr>
      </w:pPr>
      <w:r>
        <w:rPr>
          <w:rFonts w:asciiTheme="minorEastAsia" w:eastAsiaTheme="minorEastAsia" w:hAnsiTheme="minorEastAsia" w:cstheme="minorEastAsia" w:hint="eastAsia"/>
          <w:b/>
          <w:bCs/>
          <w:sz w:val="24"/>
          <w:szCs w:val="24"/>
          <w:highlight w:val="none"/>
          <w:lang w:val="en-US" w:eastAsia="zh-CN"/>
        </w:rPr>
        <w:t>三、本公司已充分知悉下列情形所对应的法律风险，并在投标前已对相关风险事项进行排查。</w:t>
      </w:r>
    </w:p>
    <w:p>
      <w:pPr>
        <w:numPr>
          <w:ilvl w:val="0"/>
          <w:numId w:val="0"/>
        </w:numPr>
        <w:spacing w:line="579" w:lineRule="exact"/>
        <w:ind w:firstLine="480" w:firstLineChars="200"/>
        <w:rPr>
          <w:rFonts w:asciiTheme="minorEastAsia" w:eastAsiaTheme="minorEastAsia" w:hAnsiTheme="minorEastAsia" w:cstheme="minorEastAsia" w:hint="eastAsia"/>
          <w:b/>
          <w:bCs/>
          <w:sz w:val="24"/>
          <w:szCs w:val="24"/>
          <w:lang w:val="en-US" w:eastAsia="zh-CN"/>
        </w:rPr>
      </w:pPr>
      <w:r>
        <w:rPr>
          <w:rFonts w:asciiTheme="minorEastAsia" w:eastAsiaTheme="minorEastAsia" w:hAnsiTheme="minorEastAsia" w:cstheme="minorEastAsia" w:hint="eastAsia"/>
          <w:sz w:val="24"/>
          <w:szCs w:val="24"/>
          <w:lang w:val="en-US" w:eastAsia="zh-CN"/>
        </w:rPr>
        <w:t>（一）对于</w:t>
      </w:r>
      <w:r>
        <w:rPr>
          <w:rFonts w:asciiTheme="minorEastAsia" w:eastAsiaTheme="minorEastAsia" w:hAnsiTheme="minorEastAsia" w:cstheme="minorEastAsia" w:hint="eastAsia"/>
          <w:sz w:val="24"/>
          <w:szCs w:val="24"/>
          <w:lang w:eastAsia="zh-CN"/>
        </w:rPr>
        <w:t>从</w:t>
      </w:r>
      <w:r>
        <w:rPr>
          <w:rFonts w:asciiTheme="minorEastAsia" w:eastAsiaTheme="minorEastAsia" w:hAnsiTheme="minorEastAsia" w:cstheme="minorEastAsia" w:hint="eastAsia"/>
          <w:sz w:val="24"/>
          <w:szCs w:val="24"/>
          <w:lang w:val="en-US" w:eastAsia="zh-CN"/>
        </w:rPr>
        <w:t>其他主体</w:t>
      </w:r>
      <w:r>
        <w:rPr>
          <w:rFonts w:asciiTheme="minorEastAsia" w:eastAsiaTheme="minorEastAsia" w:hAnsiTheme="minorEastAsia" w:cstheme="minorEastAsia" w:hint="eastAsia"/>
          <w:sz w:val="24"/>
          <w:szCs w:val="24"/>
          <w:lang w:eastAsia="zh-CN"/>
        </w:rPr>
        <w:t>获取</w:t>
      </w:r>
      <w:r>
        <w:rPr>
          <w:rFonts w:asciiTheme="minorEastAsia" w:eastAsiaTheme="minorEastAsia" w:hAnsiTheme="minorEastAsia" w:cstheme="minorEastAsia" w:hint="eastAsia"/>
          <w:sz w:val="24"/>
          <w:szCs w:val="24"/>
          <w:lang w:val="en-US" w:eastAsia="zh-CN"/>
        </w:rPr>
        <w:t>的投标资料，供应商应审慎核查，确保投标资料的真实性。</w:t>
      </w:r>
      <w:r>
        <w:rPr>
          <w:rFonts w:asciiTheme="minorEastAsia" w:eastAsiaTheme="minorEastAsia" w:hAnsiTheme="minorEastAsia" w:cstheme="minorEastAsia" w:hint="eastAsia"/>
          <w:b/>
          <w:bCs/>
          <w:sz w:val="24"/>
          <w:szCs w:val="24"/>
          <w:lang w:val="en-US" w:eastAsia="zh-CN"/>
        </w:rPr>
        <w:t>如主管部门查实投标文件中存在虚假资料的，无论相关资料是否由第三方或本公司员工提供，均不影响主管部门对供应商存在“隐瞒真实情况，提供虚假资料”违法行为的认定。</w:t>
      </w:r>
    </w:p>
    <w:p>
      <w:pPr>
        <w:numPr>
          <w:ilvl w:val="0"/>
          <w:numId w:val="0"/>
        </w:numPr>
        <w:spacing w:line="579"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pPr>
        <w:numPr>
          <w:ilvl w:val="0"/>
          <w:numId w:val="0"/>
        </w:numPr>
        <w:spacing w:line="579"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 xml:space="preserve">（三）对于涉及安全生产、特种作业、抢险救灾、防疫等政府采购项目，供应商实施提供虚假资料、串通投标等违法行为的，主管部门将依法从严处理。 </w:t>
      </w:r>
    </w:p>
    <w:p>
      <w:pPr>
        <w:numPr>
          <w:ilvl w:val="0"/>
          <w:numId w:val="0"/>
        </w:numPr>
        <w:spacing w:line="579"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（四）供应商应严格规范项目授权代表、员工参与招标投标的行为，加强对投标文件的审核。项目授权代表、员工</w:t>
      </w:r>
      <w:r>
        <w:rPr>
          <w:rFonts w:asciiTheme="minorEastAsia" w:eastAsiaTheme="minorEastAsia" w:hAnsiTheme="minorEastAsia" w:cstheme="minorEastAsia" w:hint="eastAsia"/>
          <w:sz w:val="24"/>
          <w:szCs w:val="24"/>
          <w:lang w:eastAsia="zh-CN"/>
        </w:rPr>
        <w:t>编制、上传</w:t>
      </w:r>
      <w:r>
        <w:rPr>
          <w:rFonts w:asciiTheme="minorEastAsia" w:eastAsiaTheme="minorEastAsia" w:hAnsiTheme="minorEastAsia" w:cstheme="minorEastAsia" w:hint="eastAsia"/>
          <w:sz w:val="24"/>
          <w:szCs w:val="24"/>
          <w:lang w:val="en-US" w:eastAsia="zh-CN"/>
        </w:rPr>
        <w:t>投标文件</w:t>
      </w:r>
      <w:r>
        <w:rPr>
          <w:rFonts w:asciiTheme="minorEastAsia" w:eastAsiaTheme="minorEastAsia" w:hAnsiTheme="minorEastAsia" w:cstheme="minorEastAsia" w:hint="eastAsia"/>
          <w:sz w:val="24"/>
          <w:szCs w:val="24"/>
          <w:lang w:eastAsia="zh-CN"/>
        </w:rPr>
        <w:t>等行为</w:t>
      </w:r>
      <w:r>
        <w:rPr>
          <w:rFonts w:asciiTheme="minorEastAsia" w:eastAsiaTheme="minorEastAsia" w:hAnsiTheme="minorEastAsia" w:cstheme="minorEastAsia" w:hint="eastAsia"/>
          <w:sz w:val="24"/>
          <w:szCs w:val="24"/>
          <w:lang w:val="en-US" w:eastAsia="zh-CN"/>
        </w:rPr>
        <w:t>违反政府采购法律法规或招标文件要求的，投标供应商应当依法承担相应法律责任。</w:t>
      </w:r>
    </w:p>
    <w:p>
      <w:pPr>
        <w:numPr>
          <w:ilvl w:val="0"/>
          <w:numId w:val="0"/>
        </w:numPr>
        <w:spacing w:line="579" w:lineRule="exact"/>
        <w:ind w:firstLine="480" w:firstLineChars="200"/>
        <w:jc w:val="left"/>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numPr>
          <w:ilvl w:val="0"/>
          <w:numId w:val="0"/>
        </w:numPr>
        <w:spacing w:line="579" w:lineRule="exact"/>
        <w:ind w:firstLine="480" w:firstLineChars="200"/>
        <w:rPr>
          <w:rFonts w:asciiTheme="minorEastAsia" w:eastAsiaTheme="minorEastAsia" w:hAnsiTheme="minorEastAsia" w:cstheme="minorEastAsia" w:hint="eastAsia"/>
          <w:b w:val="0"/>
          <w:bCs w:val="0"/>
          <w:sz w:val="24"/>
          <w:szCs w:val="24"/>
          <w:highlight w:val="none"/>
          <w:lang w:val="en-US" w:eastAsia="zh-CN"/>
        </w:rPr>
      </w:pPr>
      <w:r>
        <w:rPr>
          <w:rFonts w:asciiTheme="minorEastAsia" w:eastAsiaTheme="minorEastAsia" w:hAnsiTheme="minorEastAsia" w:cstheme="minorEastAsia" w:hint="eastAsia"/>
          <w:b w:val="0"/>
          <w:bCs w:val="0"/>
          <w:sz w:val="24"/>
          <w:szCs w:val="24"/>
          <w:lang w:val="en-US" w:eastAsia="zh-CN"/>
        </w:rPr>
        <w:t>（六）</w:t>
      </w:r>
      <w:r>
        <w:rPr>
          <w:rFonts w:asciiTheme="minorEastAsia" w:eastAsiaTheme="minorEastAsia" w:hAnsiTheme="minorEastAsia" w:cstheme="minorEastAsia" w:hint="eastAsia"/>
          <w:b w:val="0"/>
          <w:bCs w:val="0"/>
          <w:sz w:val="24"/>
          <w:szCs w:val="24"/>
          <w:highlight w:val="none"/>
          <w:lang w:val="en-US" w:eastAsia="zh-CN"/>
        </w:rPr>
        <w:t>单位负责人为同一人或者存在直接控股、管理关系的不同供应商，不得参加同一合同项下的政府采购活动。相关情形</w:t>
      </w:r>
      <w:r>
        <w:rPr>
          <w:rFonts w:asciiTheme="minorEastAsia" w:eastAsiaTheme="minorEastAsia" w:hAnsiTheme="minorEastAsia" w:cstheme="minorEastAsia" w:hint="eastAsia"/>
          <w:sz w:val="24"/>
          <w:szCs w:val="24"/>
          <w:lang w:eastAsia="zh-CN"/>
        </w:rPr>
        <w:t>如</w:t>
      </w:r>
      <w:r>
        <w:rPr>
          <w:rFonts w:asciiTheme="minorEastAsia" w:eastAsiaTheme="minorEastAsia" w:hAnsiTheme="minorEastAsia" w:cstheme="minorEastAsia" w:hint="eastAsia"/>
          <w:b w:val="0"/>
          <w:bCs w:val="0"/>
          <w:sz w:val="24"/>
          <w:szCs w:val="24"/>
          <w:highlight w:val="none"/>
          <w:lang w:val="en-US" w:eastAsia="zh-CN"/>
        </w:rPr>
        <w:t>查实，依法作投标无效处理；涉嫌串通投标等违法行为的，主管部门将依法调查处理。</w:t>
      </w:r>
    </w:p>
    <w:p>
      <w:pPr>
        <w:numPr>
          <w:ilvl w:val="0"/>
          <w:numId w:val="0"/>
        </w:numPr>
        <w:spacing w:line="579" w:lineRule="exact"/>
        <w:ind w:firstLine="480" w:firstLineChars="200"/>
        <w:rPr>
          <w:rFonts w:asciiTheme="minorEastAsia" w:eastAsiaTheme="minorEastAsia" w:hAnsiTheme="minorEastAsia" w:cstheme="minorEastAsia" w:hint="eastAsia"/>
          <w:b/>
          <w:bCs/>
          <w:sz w:val="24"/>
          <w:szCs w:val="24"/>
          <w:lang w:val="en-US" w:eastAsia="zh-CN"/>
        </w:rPr>
      </w:pPr>
      <w:r>
        <w:rPr>
          <w:rFonts w:asciiTheme="minorEastAsia" w:eastAsiaTheme="minorEastAsia" w:hAnsiTheme="minorEastAsia" w:cstheme="minorEastAsia" w:hint="eastAsia"/>
          <w:b/>
          <w:bCs/>
          <w:sz w:val="24"/>
          <w:szCs w:val="24"/>
          <w:highlight w:val="none"/>
          <w:lang w:val="en-US" w:eastAsia="zh-CN"/>
        </w:rPr>
        <w:t>四、本公司已充分知悉</w:t>
      </w:r>
      <w:r>
        <w:rPr>
          <w:rFonts w:asciiTheme="minorEastAsia" w:eastAsiaTheme="minorEastAsia" w:hAnsiTheme="minorEastAsia" w:cstheme="minorEastAsia" w:hint="eastAsia"/>
          <w:b/>
          <w:bCs/>
          <w:sz w:val="24"/>
          <w:szCs w:val="24"/>
          <w:highlight w:val="none"/>
          <w:u w:val="none"/>
          <w:lang w:val="en-US" w:eastAsia="zh-CN"/>
        </w:rPr>
        <w:t>政府采购违法、违规行为</w:t>
      </w:r>
      <w:r>
        <w:rPr>
          <w:rFonts w:asciiTheme="minorEastAsia" w:eastAsiaTheme="minorEastAsia" w:hAnsiTheme="minorEastAsia" w:cstheme="minorEastAsia" w:hint="eastAsia"/>
          <w:b/>
          <w:bCs/>
          <w:sz w:val="24"/>
          <w:szCs w:val="24"/>
          <w:highlight w:val="none"/>
          <w:lang w:val="en-US" w:eastAsia="zh-CN"/>
        </w:rPr>
        <w:t>的法律后果。</w:t>
      </w:r>
      <w:r>
        <w:rPr>
          <w:rFonts w:asciiTheme="minorEastAsia" w:eastAsiaTheme="minorEastAsia" w:hAnsiTheme="minorEastAsia" w:cstheme="minorEastAsia" w:hint="eastAsia"/>
          <w:sz w:val="24"/>
          <w:szCs w:val="24"/>
          <w:lang w:val="en-US" w:eastAsia="zh-CN"/>
        </w:rPr>
        <w:t>经查实，若投标供应商存在</w:t>
      </w:r>
      <w:r>
        <w:rPr>
          <w:rFonts w:asciiTheme="minorEastAsia" w:eastAsiaTheme="minorEastAsia" w:hAnsiTheme="minorEastAsia" w:cstheme="minorEastAsia" w:hint="eastAsia"/>
          <w:sz w:val="24"/>
          <w:szCs w:val="24"/>
          <w:u w:val="none"/>
          <w:lang w:val="en-US" w:eastAsia="zh-CN"/>
        </w:rPr>
        <w:t>政府采购违法、违规行为</w:t>
      </w:r>
      <w:r>
        <w:rPr>
          <w:rFonts w:asciiTheme="minorEastAsia" w:eastAsiaTheme="minorEastAsia" w:hAnsiTheme="minorEastAsia" w:cstheme="minorEastAsia" w:hint="eastAsia"/>
          <w:sz w:val="24"/>
          <w:szCs w:val="24"/>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numPr>
          <w:ilvl w:val="0"/>
          <w:numId w:val="0"/>
        </w:numPr>
        <w:spacing w:line="579" w:lineRule="exact"/>
        <w:ind w:firstLine="480" w:firstLineChars="2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以下文字请投标供应商抄写并确认：“本公司已仔细阅读《政府采购违法行为风险知悉确认书》，充分知悉违法行为的法律后果，并承诺将</w:t>
      </w:r>
      <w:r>
        <w:rPr>
          <w:rFonts w:asciiTheme="minorEastAsia" w:eastAsiaTheme="minorEastAsia" w:hAnsiTheme="minorEastAsia" w:cstheme="minorEastAsia" w:hint="eastAsia"/>
          <w:b w:val="0"/>
          <w:bCs w:val="0"/>
          <w:sz w:val="24"/>
          <w:szCs w:val="24"/>
          <w:lang w:val="en-US" w:eastAsia="zh-CN"/>
        </w:rPr>
        <w:t>严谨、诚信、依法依规参与政府采购活动</w:t>
      </w:r>
      <w:r>
        <w:rPr>
          <w:rFonts w:asciiTheme="minorEastAsia" w:eastAsiaTheme="minorEastAsia" w:hAnsiTheme="minorEastAsia" w:cstheme="minorEastAsia" w:hint="eastAsia"/>
          <w:sz w:val="24"/>
          <w:szCs w:val="24"/>
          <w:lang w:val="en-US" w:eastAsia="zh-CN"/>
        </w:rPr>
        <w:t>”</w:t>
      </w:r>
      <w:r>
        <w:rPr>
          <w:rFonts w:asciiTheme="minorEastAsia" w:eastAsiaTheme="minorEastAsia" w:hAnsiTheme="minorEastAsia" w:cstheme="minorEastAsia" w:hint="eastAsia"/>
          <w:b w:val="0"/>
          <w:bCs w:val="0"/>
          <w:sz w:val="24"/>
          <w:szCs w:val="24"/>
          <w:lang w:val="en-US" w:eastAsia="zh-CN"/>
        </w:rPr>
        <w:t>。</w:t>
      </w:r>
    </w:p>
    <w:p>
      <w:pPr>
        <w:numPr>
          <w:ilvl w:val="0"/>
          <w:numId w:val="0"/>
        </w:numPr>
        <w:spacing w:line="579" w:lineRule="exact"/>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u w:val="single"/>
          <w:lang w:val="en-US" w:eastAsia="zh-CN"/>
        </w:rPr>
        <w:t xml:space="preserve">                                                    </w:t>
      </w:r>
    </w:p>
    <w:p>
      <w:pPr>
        <w:numPr>
          <w:ilvl w:val="0"/>
          <w:numId w:val="0"/>
        </w:numPr>
        <w:spacing w:line="579" w:lineRule="exact"/>
        <w:rPr>
          <w:rFonts w:asciiTheme="minorEastAsia" w:eastAsiaTheme="minorEastAsia" w:hAnsiTheme="minorEastAsia" w:cstheme="minorEastAsia" w:hint="eastAsia"/>
          <w:sz w:val="24"/>
          <w:szCs w:val="24"/>
          <w:u w:val="single"/>
          <w:lang w:val="en-US" w:eastAsia="zh-CN"/>
        </w:rPr>
      </w:pPr>
      <w:r>
        <w:rPr>
          <w:rFonts w:asciiTheme="minorEastAsia" w:eastAsiaTheme="minorEastAsia" w:hAnsiTheme="minorEastAsia" w:cstheme="minorEastAsia" w:hint="eastAsia"/>
          <w:sz w:val="24"/>
          <w:szCs w:val="24"/>
          <w:u w:val="single"/>
          <w:lang w:val="en-US" w:eastAsia="zh-CN"/>
        </w:rPr>
        <w:t xml:space="preserve">                                                    </w:t>
      </w:r>
    </w:p>
    <w:p>
      <w:pPr>
        <w:numPr>
          <w:ilvl w:val="0"/>
          <w:numId w:val="0"/>
        </w:numPr>
        <w:spacing w:line="579" w:lineRule="exact"/>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u w:val="single"/>
          <w:lang w:val="en-US" w:eastAsia="zh-CN"/>
        </w:rPr>
        <w:t xml:space="preserve">                                                    </w:t>
      </w:r>
    </w:p>
    <w:p>
      <w:pPr>
        <w:numPr>
          <w:ilvl w:val="0"/>
          <w:numId w:val="0"/>
        </w:numPr>
        <w:spacing w:line="579" w:lineRule="exact"/>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u w:val="single"/>
          <w:lang w:val="en-US" w:eastAsia="zh-CN"/>
        </w:rPr>
        <w:t xml:space="preserve">                                                    </w:t>
      </w:r>
    </w:p>
    <w:p>
      <w:pPr>
        <w:numPr>
          <w:ilvl w:val="0"/>
          <w:numId w:val="0"/>
        </w:numPr>
        <w:spacing w:line="579" w:lineRule="exact"/>
        <w:rPr>
          <w:rFonts w:asciiTheme="minorEastAsia" w:eastAsiaTheme="minorEastAsia" w:hAnsiTheme="minorEastAsia" w:cstheme="minorEastAsia" w:hint="eastAsia"/>
          <w:sz w:val="24"/>
          <w:szCs w:val="24"/>
          <w:highlight w:val="yellow"/>
          <w:lang w:val="en-US" w:eastAsia="zh-CN"/>
        </w:rPr>
      </w:pPr>
    </w:p>
    <w:p>
      <w:pPr>
        <w:numPr>
          <w:ilvl w:val="0"/>
          <w:numId w:val="0"/>
        </w:numPr>
        <w:spacing w:line="579" w:lineRule="exact"/>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 xml:space="preserve">                    负责人/投标授权代表签名：</w:t>
      </w:r>
    </w:p>
    <w:p>
      <w:pPr>
        <w:numPr>
          <w:ilvl w:val="0"/>
          <w:numId w:val="0"/>
        </w:numPr>
        <w:spacing w:line="579" w:lineRule="exact"/>
        <w:ind w:firstLine="2400" w:firstLineChars="1000"/>
        <w:rPr>
          <w:rFonts w:asciiTheme="minorEastAsia" w:eastAsiaTheme="minorEastAsia" w:hAnsiTheme="minorEastAsia" w:cstheme="minorEastAsia" w:hint="eastAsia"/>
          <w:sz w:val="24"/>
          <w:szCs w:val="24"/>
          <w:lang w:val="en-US" w:eastAsia="zh-CN"/>
        </w:rPr>
      </w:pPr>
      <w:r>
        <w:rPr>
          <w:rFonts w:asciiTheme="minorEastAsia" w:eastAsiaTheme="minorEastAsia" w:hAnsiTheme="minorEastAsia" w:cstheme="minorEastAsia" w:hint="eastAsia"/>
          <w:sz w:val="24"/>
          <w:szCs w:val="24"/>
          <w:lang w:val="en-US" w:eastAsia="zh-CN"/>
        </w:rPr>
        <w:t>知悉人（公章）：</w:t>
      </w:r>
    </w:p>
    <w:p>
      <w:pPr>
        <w:spacing w:line="579" w:lineRule="exact"/>
        <w:rPr>
          <w:rFonts w:asciiTheme="minorEastAsia" w:eastAsiaTheme="minorEastAsia" w:hAnsiTheme="minorEastAsia" w:cstheme="minorEastAsia" w:hint="eastAsia"/>
          <w:sz w:val="24"/>
          <w:szCs w:val="24"/>
        </w:rPr>
      </w:pPr>
      <w:r>
        <w:rPr>
          <w:rFonts w:asciiTheme="minorEastAsia" w:eastAsiaTheme="minorEastAsia" w:hAnsiTheme="minorEastAsia" w:cstheme="minorEastAsia" w:hint="eastAsia"/>
          <w:sz w:val="24"/>
          <w:szCs w:val="24"/>
          <w:lang w:val="en-US" w:eastAsia="zh-CN"/>
        </w:rPr>
        <w:t xml:space="preserve">                    日期：</w:t>
      </w:r>
    </w:p>
    <w:p>
      <w:pPr>
        <w:rPr>
          <w:rFonts w:ascii="Verdana" w:eastAsia="仿宋_GB2312" w:hAnsi="Verdana"/>
          <w:szCs w:val="20"/>
        </w:rPr>
      </w:pPr>
      <w:r>
        <w:rPr>
          <w:rFonts w:ascii="Verdana" w:eastAsia="仿宋_GB2312" w:hAnsi="Verdana"/>
          <w:szCs w:val="20"/>
        </w:rPr>
        <w:br w:type="page"/>
      </w:r>
    </w:p>
    <w:p>
      <w:pPr>
        <w:pStyle w:val="Heading3"/>
        <w:spacing w:before="120" w:after="120"/>
        <w:jc w:val="center"/>
        <w:rPr>
          <w:sz w:val="24"/>
          <w:szCs w:val="24"/>
        </w:rPr>
      </w:pPr>
      <w:r>
        <w:rPr>
          <w:rFonts w:hint="eastAsia"/>
          <w:sz w:val="24"/>
          <w:szCs w:val="24"/>
        </w:rPr>
        <w:t>第四章  政府采购合同的签订、履约及验收</w:t>
      </w:r>
    </w:p>
    <w:p>
      <w:pPr>
        <w:pStyle w:val="Heading3"/>
        <w:ind w:left="720"/>
        <w:jc w:val="center"/>
        <w:rPr>
          <w:sz w:val="24"/>
        </w:rPr>
      </w:pPr>
      <w:r>
        <w:rPr>
          <w:rFonts w:hint="eastAsia"/>
          <w:sz w:val="24"/>
        </w:rPr>
        <w:t>一、合同条款及格式（仅供参考）</w:t>
      </w:r>
    </w:p>
    <w:p>
      <w:pPr>
        <w:jc w:val="center"/>
        <w:rPr>
          <w:szCs w:val="21"/>
        </w:rPr>
      </w:pPr>
      <w:r>
        <w:rPr>
          <w:rFonts w:hint="eastAsia"/>
          <w:szCs w:val="21"/>
        </w:rPr>
        <w:t>有专业类别的格式合同范本请选择相应的合同</w:t>
      </w:r>
    </w:p>
    <w:p>
      <w:pPr>
        <w:jc w:val="center"/>
        <w:rPr>
          <w:szCs w:val="21"/>
        </w:rPr>
      </w:pPr>
    </w:p>
    <w:p>
      <w:pPr>
        <w:autoSpaceDE w:val="0"/>
        <w:autoSpaceDN w:val="0"/>
        <w:adjustRightInd w:val="0"/>
        <w:jc w:val="center"/>
        <w:rPr>
          <w:rFonts w:ascii="宋体" w:cs="宋体"/>
          <w:b/>
          <w:bCs/>
          <w:color w:val="000000"/>
          <w:lang w:val="zh-CN"/>
        </w:rPr>
      </w:pPr>
      <w:r>
        <w:rPr>
          <w:rFonts w:ascii="宋体" w:cs="宋体" w:hint="eastAsia"/>
          <w:b/>
          <w:bCs/>
          <w:color w:val="000000"/>
          <w:lang w:val="zh-CN"/>
        </w:rPr>
        <w:t>合同条款</w:t>
      </w:r>
    </w:p>
    <w:p>
      <w:pPr>
        <w:autoSpaceDE w:val="0"/>
        <w:autoSpaceDN w:val="0"/>
        <w:adjustRightInd w:val="0"/>
        <w:jc w:val="center"/>
        <w:rPr>
          <w:rFonts w:ascii="Verdana" w:hAnsi="Verdana" w:cs="Verdana"/>
          <w:b/>
          <w:bCs/>
          <w:color w:val="000000"/>
        </w:rPr>
      </w:pPr>
      <w:r>
        <w:rPr>
          <w:rFonts w:ascii="宋体" w:cs="宋体" w:hint="eastAsia"/>
          <w:b/>
          <w:bCs/>
          <w:color w:val="000000"/>
          <w:lang w:val="zh-CN"/>
        </w:rPr>
        <w:t>（仅供参考，项目具体要求以招标项目需求为准）</w:t>
      </w:r>
    </w:p>
    <w:p>
      <w:pPr>
        <w:autoSpaceDE w:val="0"/>
        <w:autoSpaceDN w:val="0"/>
        <w:adjustRightInd w:val="0"/>
        <w:ind w:firstLine="480"/>
        <w:rPr>
          <w:rFonts w:ascii="仿宋_GB2312" w:eastAsia="仿宋_GB2312" w:hAnsi="Verdana" w:cs="仿宋_GB2312"/>
          <w:color w:val="000000"/>
          <w:lang w:val="zh-CN"/>
        </w:rPr>
      </w:pPr>
    </w:p>
    <w:p>
      <w:pPr>
        <w:autoSpaceDE w:val="0"/>
        <w:autoSpaceDN w:val="0"/>
        <w:adjustRightInd w:val="0"/>
        <w:ind w:firstLine="422"/>
        <w:rPr>
          <w:rFonts w:ascii="宋体" w:hAnsi="Verdana" w:cs="宋体"/>
          <w:b/>
          <w:bCs/>
          <w:color w:val="000000"/>
          <w:szCs w:val="21"/>
          <w:lang w:val="zh-CN"/>
        </w:rPr>
      </w:pPr>
      <w:r>
        <w:rPr>
          <w:rFonts w:ascii="宋体" w:hAnsi="Verdana" w:cs="宋体" w:hint="eastAsia"/>
          <w:b/>
          <w:bCs/>
          <w:color w:val="000000"/>
          <w:szCs w:val="21"/>
          <w:lang w:val="zh-CN"/>
        </w:rPr>
        <w:t>甲方：</w:t>
      </w:r>
    </w:p>
    <w:p>
      <w:pPr>
        <w:autoSpaceDE w:val="0"/>
        <w:autoSpaceDN w:val="0"/>
        <w:adjustRightInd w:val="0"/>
        <w:ind w:firstLine="422"/>
        <w:rPr>
          <w:rFonts w:ascii="宋体" w:hAnsi="Verdana" w:cs="宋体"/>
          <w:b/>
          <w:bCs/>
          <w:color w:val="000000"/>
          <w:szCs w:val="21"/>
          <w:lang w:val="zh-CN"/>
        </w:rPr>
      </w:pPr>
      <w:r>
        <w:rPr>
          <w:rFonts w:ascii="宋体" w:hAnsi="Verdana" w:cs="宋体" w:hint="eastAsia"/>
          <w:b/>
          <w:bCs/>
          <w:color w:val="000000"/>
          <w:szCs w:val="21"/>
          <w:lang w:val="zh-CN"/>
        </w:rPr>
        <w:t>法定代表人：</w:t>
      </w:r>
    </w:p>
    <w:p>
      <w:pPr>
        <w:autoSpaceDE w:val="0"/>
        <w:autoSpaceDN w:val="0"/>
        <w:adjustRightInd w:val="0"/>
        <w:ind w:firstLine="435"/>
        <w:rPr>
          <w:rFonts w:ascii="宋体" w:hAnsi="Verdana" w:cs="宋体"/>
          <w:b/>
          <w:bCs/>
          <w:color w:val="000000"/>
          <w:szCs w:val="21"/>
          <w:lang w:val="zh-CN"/>
        </w:rPr>
      </w:pPr>
      <w:r>
        <w:rPr>
          <w:rFonts w:ascii="宋体" w:hAnsi="Verdana" w:cs="宋体" w:hint="eastAsia"/>
          <w:b/>
          <w:bCs/>
          <w:color w:val="000000"/>
          <w:szCs w:val="21"/>
          <w:lang w:val="zh-CN"/>
        </w:rPr>
        <w:t>住所：</w:t>
      </w:r>
    </w:p>
    <w:p>
      <w:pPr>
        <w:autoSpaceDE w:val="0"/>
        <w:autoSpaceDN w:val="0"/>
        <w:adjustRightInd w:val="0"/>
        <w:ind w:firstLine="435"/>
        <w:rPr>
          <w:rFonts w:ascii="宋体" w:hAnsi="Verdana" w:cs="宋体"/>
          <w:b/>
          <w:bCs/>
          <w:color w:val="000000"/>
          <w:szCs w:val="21"/>
          <w:lang w:val="zh-CN"/>
        </w:rPr>
      </w:pPr>
      <w:r>
        <w:rPr>
          <w:rFonts w:ascii="宋体" w:hAnsi="Verdana" w:cs="宋体" w:hint="eastAsia"/>
          <w:b/>
          <w:bCs/>
          <w:color w:val="000000"/>
          <w:szCs w:val="21"/>
          <w:lang w:val="zh-CN"/>
        </w:rPr>
        <w:t>联系方式：</w:t>
      </w:r>
    </w:p>
    <w:p>
      <w:pPr>
        <w:autoSpaceDE w:val="0"/>
        <w:autoSpaceDN w:val="0"/>
        <w:adjustRightInd w:val="0"/>
        <w:ind w:firstLine="435"/>
        <w:rPr>
          <w:rFonts w:ascii="宋体" w:hAnsi="Verdana" w:cs="宋体"/>
          <w:b/>
          <w:bCs/>
          <w:color w:val="000000"/>
          <w:szCs w:val="21"/>
          <w:lang w:val="zh-CN"/>
        </w:rPr>
      </w:pPr>
    </w:p>
    <w:p>
      <w:pPr>
        <w:autoSpaceDE w:val="0"/>
        <w:autoSpaceDN w:val="0"/>
        <w:adjustRightInd w:val="0"/>
        <w:ind w:firstLine="316"/>
        <w:rPr>
          <w:rFonts w:ascii="宋体" w:hAnsi="Verdana" w:cs="宋体"/>
          <w:b/>
          <w:bCs/>
          <w:color w:val="000000"/>
          <w:szCs w:val="21"/>
          <w:lang w:val="zh-CN"/>
        </w:rPr>
      </w:pPr>
      <w:r>
        <w:rPr>
          <w:rFonts w:ascii="宋体" w:hAnsi="Verdana" w:cs="宋体" w:hint="eastAsia"/>
          <w:b/>
          <w:bCs/>
          <w:color w:val="000000"/>
          <w:szCs w:val="21"/>
          <w:lang w:val="zh-CN"/>
        </w:rPr>
        <w:t>乙方：</w:t>
      </w:r>
    </w:p>
    <w:p>
      <w:pPr>
        <w:autoSpaceDE w:val="0"/>
        <w:autoSpaceDN w:val="0"/>
        <w:adjustRightInd w:val="0"/>
        <w:ind w:firstLine="316"/>
        <w:rPr>
          <w:rFonts w:ascii="宋体" w:hAnsi="Verdana" w:cs="宋体"/>
          <w:b/>
          <w:bCs/>
          <w:color w:val="000000"/>
          <w:szCs w:val="21"/>
          <w:lang w:val="zh-CN"/>
        </w:rPr>
      </w:pPr>
      <w:r>
        <w:rPr>
          <w:rFonts w:ascii="宋体" w:hAnsi="Verdana" w:cs="宋体" w:hint="eastAsia"/>
          <w:b/>
          <w:bCs/>
          <w:color w:val="000000"/>
          <w:szCs w:val="21"/>
          <w:lang w:val="zh-CN"/>
        </w:rPr>
        <w:t>法定代表人：</w:t>
      </w:r>
    </w:p>
    <w:p>
      <w:pPr>
        <w:autoSpaceDE w:val="0"/>
        <w:autoSpaceDN w:val="0"/>
        <w:adjustRightInd w:val="0"/>
        <w:ind w:firstLine="316"/>
        <w:rPr>
          <w:rFonts w:ascii="宋体" w:hAnsi="Verdana" w:cs="宋体"/>
          <w:b/>
          <w:bCs/>
          <w:color w:val="000000"/>
          <w:szCs w:val="21"/>
          <w:lang w:val="zh-CN"/>
        </w:rPr>
      </w:pPr>
      <w:r>
        <w:rPr>
          <w:rFonts w:ascii="宋体" w:hAnsi="Verdana" w:cs="宋体" w:hint="eastAsia"/>
          <w:b/>
          <w:bCs/>
          <w:color w:val="000000"/>
          <w:szCs w:val="21"/>
          <w:lang w:val="zh-CN"/>
        </w:rPr>
        <w:t>住所：</w:t>
      </w:r>
    </w:p>
    <w:p>
      <w:pPr>
        <w:autoSpaceDE w:val="0"/>
        <w:autoSpaceDN w:val="0"/>
        <w:adjustRightInd w:val="0"/>
        <w:ind w:firstLine="316"/>
        <w:rPr>
          <w:rFonts w:ascii="宋体" w:hAnsi="Verdana" w:cs="宋体"/>
          <w:b/>
          <w:bCs/>
          <w:color w:val="000000"/>
          <w:szCs w:val="21"/>
          <w:lang w:val="zh-CN"/>
        </w:rPr>
      </w:pPr>
      <w:r>
        <w:rPr>
          <w:rFonts w:ascii="宋体" w:hAnsi="Verdana" w:cs="宋体" w:hint="eastAsia"/>
          <w:b/>
          <w:bCs/>
          <w:color w:val="000000"/>
          <w:szCs w:val="21"/>
          <w:lang w:val="zh-CN"/>
        </w:rPr>
        <w:t>联系方式：</w:t>
      </w:r>
    </w:p>
    <w:p>
      <w:pPr>
        <w:autoSpaceDE w:val="0"/>
        <w:autoSpaceDN w:val="0"/>
        <w:adjustRightInd w:val="0"/>
        <w:rPr>
          <w:rFonts w:ascii="宋体" w:hAnsi="Verdana" w:cs="宋体"/>
          <w:color w:val="000000"/>
          <w:szCs w:val="21"/>
          <w:lang w:val="zh-CN"/>
        </w:rPr>
      </w:pPr>
    </w:p>
    <w:p>
      <w:pPr>
        <w:autoSpaceDE w:val="0"/>
        <w:autoSpaceDN w:val="0"/>
        <w:adjustRightInd w:val="0"/>
        <w:ind w:firstLine="420"/>
        <w:rPr>
          <w:color w:val="000000"/>
          <w:szCs w:val="21"/>
        </w:rPr>
      </w:pPr>
      <w:r>
        <w:rPr>
          <w:rFonts w:ascii="宋体" w:hAnsi="Verdana" w:cs="宋体" w:hint="eastAsia"/>
          <w:color w:val="000000"/>
          <w:szCs w:val="21"/>
          <w:lang w:val="zh-CN"/>
        </w:rPr>
        <w:t>根据深圳市德顺项目咨询有限公司（项目编号：          ）招标项目的结果公告，由       单位为中标方。按照《中华人民共和国民法典》（第三编合同）和《深圳经济特区政府采购条例》</w:t>
      </w:r>
      <w:r>
        <w:rPr>
          <w:rFonts w:ascii="宋体" w:cs="宋体" w:hint="eastAsia"/>
          <w:color w:val="000000"/>
          <w:szCs w:val="21"/>
          <w:lang w:val="zh-CN"/>
        </w:rPr>
        <w:t>，经（以下简称甲方）和单位（以下简称乙方）协商，就甲方委托乙方承担</w:t>
      </w:r>
      <w:r>
        <w:rPr>
          <w:rFonts w:ascii="宋体" w:cs="宋体" w:hint="eastAsia"/>
          <w:b/>
          <w:bCs/>
          <w:color w:val="000000"/>
          <w:szCs w:val="21"/>
          <w:u w:val="single"/>
          <w:lang w:val="zh-CN"/>
        </w:rPr>
        <w:t>服务项目</w:t>
      </w:r>
      <w:r>
        <w:rPr>
          <w:rFonts w:ascii="宋体" w:cs="宋体" w:hint="eastAsia"/>
          <w:color w:val="000000"/>
          <w:szCs w:val="21"/>
          <w:lang w:val="zh-CN"/>
        </w:rPr>
        <w:t>，达成以下合同条款：</w:t>
      </w:r>
    </w:p>
    <w:p>
      <w:pPr>
        <w:autoSpaceDE w:val="0"/>
        <w:autoSpaceDN w:val="0"/>
        <w:adjustRightInd w:val="0"/>
        <w:ind w:firstLine="422"/>
        <w:rPr>
          <w:b/>
          <w:bCs/>
          <w:color w:val="000000"/>
          <w:szCs w:val="21"/>
        </w:rPr>
      </w:pPr>
      <w:r>
        <w:rPr>
          <w:rFonts w:ascii="宋体" w:cs="宋体" w:hint="eastAsia"/>
          <w:b/>
          <w:bCs/>
          <w:color w:val="000000"/>
          <w:szCs w:val="21"/>
          <w:lang w:val="zh-CN"/>
        </w:rPr>
        <w:t>第一条　项目概况</w:t>
      </w:r>
    </w:p>
    <w:p>
      <w:pPr>
        <w:autoSpaceDE w:val="0"/>
        <w:autoSpaceDN w:val="0"/>
        <w:adjustRightInd w:val="0"/>
        <w:ind w:firstLine="420"/>
        <w:rPr>
          <w:color w:val="000000"/>
          <w:szCs w:val="21"/>
        </w:rPr>
      </w:pPr>
      <w:r>
        <w:rPr>
          <w:rFonts w:ascii="宋体" w:cs="宋体" w:hint="eastAsia"/>
          <w:color w:val="000000"/>
          <w:szCs w:val="21"/>
          <w:lang w:val="zh-CN"/>
        </w:rPr>
        <w:t>项目名称：</w:t>
      </w:r>
    </w:p>
    <w:p>
      <w:pPr>
        <w:autoSpaceDE w:val="0"/>
        <w:autoSpaceDN w:val="0"/>
        <w:adjustRightInd w:val="0"/>
        <w:ind w:firstLine="420"/>
        <w:rPr>
          <w:color w:val="000000"/>
          <w:szCs w:val="21"/>
        </w:rPr>
      </w:pPr>
      <w:r>
        <w:rPr>
          <w:rFonts w:ascii="宋体" w:cs="宋体" w:hint="eastAsia"/>
          <w:color w:val="000000"/>
          <w:szCs w:val="21"/>
          <w:lang w:val="zh-CN"/>
        </w:rPr>
        <w:t>项目内容：</w:t>
      </w:r>
    </w:p>
    <w:p>
      <w:pPr>
        <w:autoSpaceDE w:val="0"/>
        <w:autoSpaceDN w:val="0"/>
        <w:adjustRightInd w:val="0"/>
        <w:ind w:firstLine="420"/>
        <w:rPr>
          <w:color w:val="000000"/>
          <w:szCs w:val="21"/>
        </w:rPr>
      </w:pPr>
      <w:r>
        <w:rPr>
          <w:rFonts w:ascii="宋体" w:cs="宋体" w:hint="eastAsia"/>
          <w:color w:val="000000"/>
          <w:szCs w:val="21"/>
          <w:lang w:val="zh-CN"/>
        </w:rPr>
        <w:t>服务时间：</w:t>
      </w:r>
    </w:p>
    <w:p>
      <w:pPr>
        <w:autoSpaceDE w:val="0"/>
        <w:autoSpaceDN w:val="0"/>
        <w:adjustRightInd w:val="0"/>
        <w:ind w:firstLine="420"/>
        <w:rPr>
          <w:color w:val="000000"/>
          <w:szCs w:val="21"/>
        </w:rPr>
      </w:pPr>
      <w:r>
        <w:rPr>
          <w:rFonts w:ascii="宋体" w:cs="宋体" w:hint="eastAsia"/>
          <w:color w:val="000000"/>
          <w:szCs w:val="21"/>
          <w:lang w:val="zh-CN"/>
        </w:rPr>
        <w:t>合同价款：合同总价为元，含一切税、费。本合同总价包括乙方为实施本项目荷载试验所需的设备仪器费、车辆租赁费、服务和技术费用等，为固定不变价格，且不随通货膨胀的影响而波动。合同总价包括乙方履行本合同义务所发生的一切费用和支出和以各种方式寄送技术资料到甲方办公室所发生的费用。如发生本合同规定的不可抗力，合同总价可经双方友好协商予以调整。</w:t>
      </w:r>
    </w:p>
    <w:p>
      <w:pPr>
        <w:autoSpaceDE w:val="0"/>
        <w:autoSpaceDN w:val="0"/>
        <w:adjustRightInd w:val="0"/>
        <w:ind w:firstLine="420"/>
        <w:rPr>
          <w:color w:val="000000"/>
          <w:szCs w:val="21"/>
        </w:rPr>
      </w:pPr>
      <w:r>
        <w:rPr>
          <w:rFonts w:ascii="宋体" w:cs="宋体" w:hint="eastAsia"/>
          <w:color w:val="000000"/>
          <w:szCs w:val="21"/>
          <w:lang w:val="zh-CN"/>
        </w:rPr>
        <w:t>支付方式：分期支付。</w:t>
      </w:r>
    </w:p>
    <w:p>
      <w:pPr>
        <w:autoSpaceDE w:val="0"/>
        <w:autoSpaceDN w:val="0"/>
        <w:adjustRightInd w:val="0"/>
        <w:ind w:firstLine="422"/>
        <w:rPr>
          <w:b/>
          <w:bCs/>
          <w:color w:val="000000"/>
          <w:szCs w:val="21"/>
        </w:rPr>
      </w:pPr>
      <w:r>
        <w:rPr>
          <w:rFonts w:ascii="宋体" w:cs="宋体" w:hint="eastAsia"/>
          <w:b/>
          <w:bCs/>
          <w:color w:val="000000"/>
          <w:szCs w:val="21"/>
          <w:lang w:val="zh-CN"/>
        </w:rPr>
        <w:t>第二条服务范围</w:t>
      </w:r>
    </w:p>
    <w:p>
      <w:pPr>
        <w:autoSpaceDE w:val="0"/>
        <w:autoSpaceDN w:val="0"/>
        <w:adjustRightInd w:val="0"/>
        <w:ind w:firstLine="420"/>
        <w:rPr>
          <w:color w:val="000000"/>
          <w:szCs w:val="21"/>
        </w:rPr>
      </w:pPr>
      <w:r>
        <w:rPr>
          <w:color w:val="000000"/>
          <w:szCs w:val="21"/>
        </w:rPr>
        <w:t>1</w:t>
      </w:r>
      <w:r>
        <w:rPr>
          <w:rFonts w:ascii="宋体" w:cs="宋体" w:hint="eastAsia"/>
          <w:color w:val="000000"/>
          <w:szCs w:val="21"/>
          <w:lang w:val="zh-CN"/>
        </w:rPr>
        <w:t>、</w:t>
      </w:r>
    </w:p>
    <w:p>
      <w:pPr>
        <w:autoSpaceDE w:val="0"/>
        <w:autoSpaceDN w:val="0"/>
        <w:adjustRightInd w:val="0"/>
        <w:ind w:firstLine="420"/>
        <w:rPr>
          <w:color w:val="000000"/>
          <w:szCs w:val="21"/>
        </w:rPr>
      </w:pPr>
      <w:r>
        <w:rPr>
          <w:color w:val="000000"/>
          <w:szCs w:val="21"/>
        </w:rPr>
        <w:t>2</w:t>
      </w:r>
      <w:r>
        <w:rPr>
          <w:rFonts w:ascii="宋体" w:cs="宋体" w:hint="eastAsia"/>
          <w:color w:val="000000"/>
          <w:szCs w:val="21"/>
          <w:lang w:val="zh-CN"/>
        </w:rPr>
        <w:t>、</w:t>
      </w:r>
    </w:p>
    <w:p>
      <w:pPr>
        <w:autoSpaceDE w:val="0"/>
        <w:autoSpaceDN w:val="0"/>
        <w:adjustRightInd w:val="0"/>
        <w:ind w:firstLine="420"/>
        <w:rPr>
          <w:color w:val="000000"/>
          <w:szCs w:val="21"/>
        </w:rPr>
      </w:pPr>
      <w:r>
        <w:rPr>
          <w:color w:val="000000"/>
          <w:szCs w:val="21"/>
        </w:rPr>
        <w:t>3</w:t>
      </w:r>
      <w:r>
        <w:rPr>
          <w:rFonts w:ascii="宋体" w:cs="宋体" w:hint="eastAsia"/>
          <w:color w:val="000000"/>
          <w:szCs w:val="21"/>
          <w:lang w:val="zh-CN"/>
        </w:rPr>
        <w:t>、</w:t>
      </w:r>
    </w:p>
    <w:p>
      <w:pPr>
        <w:autoSpaceDE w:val="0"/>
        <w:autoSpaceDN w:val="0"/>
        <w:adjustRightInd w:val="0"/>
        <w:ind w:firstLine="420"/>
        <w:rPr>
          <w:color w:val="000000"/>
          <w:szCs w:val="21"/>
        </w:rPr>
      </w:pPr>
      <w:r>
        <w:rPr>
          <w:color w:val="000000"/>
          <w:szCs w:val="21"/>
        </w:rPr>
        <w:t>4</w:t>
      </w:r>
      <w:r>
        <w:rPr>
          <w:rFonts w:ascii="宋体" w:cs="宋体" w:hint="eastAsia"/>
          <w:color w:val="000000"/>
          <w:szCs w:val="21"/>
          <w:lang w:val="zh-CN"/>
        </w:rPr>
        <w:t>、其他合同未明示的相关工作。</w:t>
      </w:r>
    </w:p>
    <w:p>
      <w:pPr>
        <w:autoSpaceDE w:val="0"/>
        <w:autoSpaceDN w:val="0"/>
        <w:adjustRightInd w:val="0"/>
        <w:ind w:firstLine="422"/>
        <w:rPr>
          <w:b/>
          <w:bCs/>
          <w:color w:val="000000"/>
          <w:szCs w:val="21"/>
        </w:rPr>
      </w:pPr>
      <w:r>
        <w:rPr>
          <w:rFonts w:ascii="宋体" w:cs="宋体" w:hint="eastAsia"/>
          <w:b/>
          <w:bCs/>
          <w:color w:val="000000"/>
          <w:szCs w:val="21"/>
          <w:lang w:val="zh-CN"/>
        </w:rPr>
        <w:t>第三条时间要求及阶段成果</w:t>
      </w:r>
    </w:p>
    <w:p>
      <w:pPr>
        <w:autoSpaceDE w:val="0"/>
        <w:autoSpaceDN w:val="0"/>
        <w:adjustRightInd w:val="0"/>
        <w:ind w:firstLine="420"/>
        <w:rPr>
          <w:color w:val="000000"/>
          <w:szCs w:val="21"/>
        </w:rPr>
      </w:pPr>
      <w:r>
        <w:rPr>
          <w:color w:val="000000"/>
          <w:szCs w:val="21"/>
        </w:rPr>
        <w:t>1</w:t>
      </w:r>
      <w:r>
        <w:rPr>
          <w:rFonts w:ascii="宋体" w:cs="宋体" w:hint="eastAsia"/>
          <w:color w:val="000000"/>
          <w:szCs w:val="21"/>
          <w:lang w:val="zh-CN"/>
        </w:rPr>
        <w:t>、合同签订天内完成项目实施的准备工作，包括工作大纲和试验细则的编制；</w:t>
      </w:r>
    </w:p>
    <w:p>
      <w:pPr>
        <w:autoSpaceDE w:val="0"/>
        <w:autoSpaceDN w:val="0"/>
        <w:adjustRightInd w:val="0"/>
        <w:ind w:firstLine="420"/>
        <w:rPr>
          <w:color w:val="000000"/>
          <w:szCs w:val="21"/>
        </w:rPr>
      </w:pPr>
      <w:r>
        <w:rPr>
          <w:color w:val="000000"/>
          <w:szCs w:val="21"/>
        </w:rPr>
        <w:t>2</w:t>
      </w:r>
      <w:r>
        <w:rPr>
          <w:rFonts w:ascii="宋体" w:cs="宋体" w:hint="eastAsia"/>
          <w:color w:val="000000"/>
          <w:szCs w:val="21"/>
          <w:lang w:val="zh-CN"/>
        </w:rPr>
        <w:t>、</w:t>
      </w:r>
    </w:p>
    <w:p>
      <w:pPr>
        <w:autoSpaceDE w:val="0"/>
        <w:autoSpaceDN w:val="0"/>
        <w:adjustRightInd w:val="0"/>
        <w:ind w:firstLine="420"/>
        <w:rPr>
          <w:color w:val="000000"/>
          <w:szCs w:val="21"/>
        </w:rPr>
      </w:pPr>
      <w:r>
        <w:rPr>
          <w:color w:val="000000"/>
          <w:szCs w:val="21"/>
        </w:rPr>
        <w:t>3</w:t>
      </w:r>
      <w:r>
        <w:rPr>
          <w:rFonts w:ascii="宋体" w:cs="宋体" w:hint="eastAsia"/>
          <w:color w:val="000000"/>
          <w:szCs w:val="21"/>
          <w:lang w:val="zh-CN"/>
        </w:rPr>
        <w:t>、</w:t>
      </w:r>
    </w:p>
    <w:p>
      <w:pPr>
        <w:autoSpaceDE w:val="0"/>
        <w:autoSpaceDN w:val="0"/>
        <w:adjustRightInd w:val="0"/>
        <w:ind w:firstLine="420"/>
        <w:rPr>
          <w:color w:val="000000"/>
          <w:szCs w:val="21"/>
        </w:rPr>
      </w:pPr>
      <w:r>
        <w:rPr>
          <w:color w:val="000000"/>
          <w:szCs w:val="21"/>
        </w:rPr>
        <w:t>4</w:t>
      </w:r>
      <w:r>
        <w:rPr>
          <w:rFonts w:ascii="宋体" w:cs="宋体" w:hint="eastAsia"/>
          <w:color w:val="000000"/>
          <w:szCs w:val="21"/>
          <w:lang w:val="zh-CN"/>
        </w:rPr>
        <w:t>、</w:t>
      </w:r>
    </w:p>
    <w:p>
      <w:pPr>
        <w:autoSpaceDE w:val="0"/>
        <w:autoSpaceDN w:val="0"/>
        <w:adjustRightInd w:val="0"/>
        <w:ind w:firstLine="422"/>
        <w:rPr>
          <w:b/>
          <w:bCs/>
          <w:color w:val="000000"/>
          <w:szCs w:val="21"/>
        </w:rPr>
      </w:pPr>
      <w:r>
        <w:rPr>
          <w:rFonts w:ascii="宋体" w:cs="宋体" w:hint="eastAsia"/>
          <w:b/>
          <w:bCs/>
          <w:color w:val="000000"/>
          <w:szCs w:val="21"/>
          <w:lang w:val="zh-CN"/>
        </w:rPr>
        <w:t>第四条咨询服务资料归属</w:t>
      </w:r>
    </w:p>
    <w:p>
      <w:pPr>
        <w:autoSpaceDE w:val="0"/>
        <w:autoSpaceDN w:val="0"/>
        <w:adjustRightInd w:val="0"/>
        <w:ind w:firstLine="420"/>
        <w:rPr>
          <w:color w:val="000000"/>
          <w:szCs w:val="21"/>
        </w:rPr>
      </w:pPr>
      <w:r>
        <w:rPr>
          <w:color w:val="000000"/>
          <w:szCs w:val="21"/>
        </w:rPr>
        <w:t>1</w:t>
      </w:r>
      <w:r>
        <w:rPr>
          <w:rFonts w:ascii="宋体" w:cs="宋体" w:hint="eastAsia"/>
          <w:color w:val="000000"/>
          <w:szCs w:val="21"/>
          <w:lang w:val="zh-CN"/>
        </w:rPr>
        <w:t>、所有提交给甲方的咨询服务文件及相关的资料的最后文本，包括为履行技术咨询服务范围所编制的图纸、计划和证明资料等，都属于甲方的财产，乙方在提交给甲方之前应将上述资料进行整理归类和编制索引。</w:t>
      </w:r>
    </w:p>
    <w:p>
      <w:pPr>
        <w:autoSpaceDE w:val="0"/>
        <w:autoSpaceDN w:val="0"/>
        <w:adjustRightInd w:val="0"/>
        <w:ind w:firstLine="420"/>
        <w:rPr>
          <w:color w:val="000000"/>
          <w:szCs w:val="21"/>
        </w:rPr>
      </w:pPr>
      <w:r>
        <w:rPr>
          <w:color w:val="000000"/>
          <w:szCs w:val="21"/>
        </w:rPr>
        <w:t>2</w:t>
      </w:r>
      <w:r>
        <w:rPr>
          <w:rFonts w:ascii="宋体" w:cs="宋体" w:hint="eastAsia"/>
          <w:color w:val="000000"/>
          <w:szCs w:val="21"/>
          <w:lang w:val="zh-CN"/>
        </w:rPr>
        <w:t>、乙方未经甲方的书面同意，不得将上述资料用于与本咨询服务项目之外的任何项目。</w:t>
      </w:r>
    </w:p>
    <w:p>
      <w:pPr>
        <w:autoSpaceDE w:val="0"/>
        <w:autoSpaceDN w:val="0"/>
        <w:adjustRightInd w:val="0"/>
        <w:ind w:firstLine="420"/>
        <w:rPr>
          <w:color w:val="000000"/>
          <w:szCs w:val="21"/>
        </w:rPr>
      </w:pPr>
      <w:r>
        <w:rPr>
          <w:color w:val="000000"/>
          <w:szCs w:val="21"/>
        </w:rPr>
        <w:t>3</w:t>
      </w:r>
      <w:r>
        <w:rPr>
          <w:rFonts w:ascii="宋体" w:cs="宋体" w:hint="eastAsia"/>
          <w:color w:val="000000"/>
          <w:szCs w:val="21"/>
          <w:lang w:val="zh-CN"/>
        </w:rPr>
        <w:t>、合同履行完毕，未经甲方的书面同意，乙方不得保存在履行合同过程中所获得或接触到的任何内部数据资料。</w:t>
      </w:r>
    </w:p>
    <w:p>
      <w:pPr>
        <w:autoSpaceDE w:val="0"/>
        <w:autoSpaceDN w:val="0"/>
        <w:adjustRightInd w:val="0"/>
        <w:ind w:firstLine="422"/>
        <w:rPr>
          <w:b/>
          <w:bCs/>
          <w:color w:val="000000"/>
          <w:szCs w:val="21"/>
        </w:rPr>
      </w:pPr>
      <w:r>
        <w:rPr>
          <w:rFonts w:ascii="宋体" w:cs="宋体" w:hint="eastAsia"/>
          <w:b/>
          <w:bCs/>
          <w:color w:val="000000"/>
          <w:szCs w:val="21"/>
          <w:lang w:val="zh-CN"/>
        </w:rPr>
        <w:t>第五条甲方的义务</w:t>
      </w:r>
    </w:p>
    <w:p>
      <w:pPr>
        <w:autoSpaceDE w:val="0"/>
        <w:autoSpaceDN w:val="0"/>
        <w:adjustRightInd w:val="0"/>
        <w:ind w:firstLine="420"/>
        <w:rPr>
          <w:color w:val="000000"/>
          <w:szCs w:val="21"/>
        </w:rPr>
      </w:pPr>
      <w:r>
        <w:rPr>
          <w:color w:val="000000"/>
          <w:szCs w:val="21"/>
        </w:rPr>
        <w:t>1</w:t>
      </w:r>
      <w:r>
        <w:rPr>
          <w:rFonts w:ascii="宋体" w:cs="宋体" w:hint="eastAsia"/>
          <w:color w:val="000000"/>
          <w:szCs w:val="21"/>
          <w:lang w:val="zh-CN"/>
        </w:rPr>
        <w:t>、负责与本咨询服务项目有关的第三方的协调，提供开展咨询服务工作的外部条件。</w:t>
      </w:r>
    </w:p>
    <w:p>
      <w:pPr>
        <w:autoSpaceDE w:val="0"/>
        <w:autoSpaceDN w:val="0"/>
        <w:adjustRightInd w:val="0"/>
        <w:ind w:firstLine="420"/>
        <w:rPr>
          <w:color w:val="000000"/>
          <w:szCs w:val="21"/>
        </w:rPr>
      </w:pPr>
      <w:r>
        <w:rPr>
          <w:color w:val="000000"/>
          <w:szCs w:val="21"/>
        </w:rPr>
        <w:t>2</w:t>
      </w:r>
      <w:r>
        <w:rPr>
          <w:rFonts w:ascii="宋体" w:cs="宋体" w:hint="eastAsia"/>
          <w:color w:val="000000"/>
          <w:szCs w:val="21"/>
          <w:lang w:val="zh-CN"/>
        </w:rPr>
        <w:t>、向乙方提供与本项目咨询服务工作有关的资料。</w:t>
      </w:r>
    </w:p>
    <w:p>
      <w:pPr>
        <w:autoSpaceDE w:val="0"/>
        <w:autoSpaceDN w:val="0"/>
        <w:adjustRightInd w:val="0"/>
        <w:ind w:firstLine="420"/>
        <w:rPr>
          <w:color w:val="000000"/>
          <w:szCs w:val="21"/>
        </w:rPr>
      </w:pPr>
      <w:r>
        <w:rPr>
          <w:color w:val="000000"/>
          <w:szCs w:val="21"/>
        </w:rPr>
        <w:t>3</w:t>
      </w:r>
      <w:r>
        <w:rPr>
          <w:rFonts w:ascii="宋体" w:cs="宋体" w:hint="eastAsia"/>
          <w:color w:val="000000"/>
          <w:szCs w:val="21"/>
          <w:lang w:val="zh-CN"/>
        </w:rPr>
        <w:t>、负责组织有关专家对项目试验成果评估报告的评审。</w:t>
      </w:r>
    </w:p>
    <w:p>
      <w:pPr>
        <w:autoSpaceDE w:val="0"/>
        <w:autoSpaceDN w:val="0"/>
        <w:adjustRightInd w:val="0"/>
        <w:ind w:firstLine="422"/>
        <w:rPr>
          <w:b/>
          <w:bCs/>
          <w:color w:val="000000"/>
          <w:szCs w:val="21"/>
        </w:rPr>
      </w:pPr>
      <w:r>
        <w:rPr>
          <w:rFonts w:ascii="宋体" w:cs="宋体" w:hint="eastAsia"/>
          <w:b/>
          <w:bCs/>
          <w:color w:val="000000"/>
          <w:szCs w:val="21"/>
          <w:lang w:val="zh-CN"/>
        </w:rPr>
        <w:t>第六条　乙方的义务</w:t>
      </w:r>
    </w:p>
    <w:p>
      <w:pPr>
        <w:autoSpaceDE w:val="0"/>
        <w:autoSpaceDN w:val="0"/>
        <w:adjustRightInd w:val="0"/>
        <w:ind w:firstLine="420"/>
        <w:rPr>
          <w:color w:val="000000"/>
          <w:szCs w:val="21"/>
        </w:rPr>
      </w:pPr>
      <w:r>
        <w:rPr>
          <w:color w:val="000000"/>
          <w:szCs w:val="21"/>
        </w:rPr>
        <w:t>1</w:t>
      </w:r>
      <w:r>
        <w:rPr>
          <w:rFonts w:ascii="宋体" w:cs="宋体" w:hint="eastAsia"/>
          <w:color w:val="000000"/>
          <w:szCs w:val="21"/>
          <w:lang w:val="zh-CN"/>
        </w:rPr>
        <w:t>、应按照招标文件、乙方投标文件要求按期完成本项目咨询服务工作。</w:t>
      </w:r>
    </w:p>
    <w:p>
      <w:pPr>
        <w:autoSpaceDE w:val="0"/>
        <w:autoSpaceDN w:val="0"/>
        <w:adjustRightInd w:val="0"/>
        <w:ind w:firstLine="420"/>
        <w:rPr>
          <w:color w:val="000000"/>
          <w:szCs w:val="21"/>
        </w:rPr>
      </w:pPr>
      <w:r>
        <w:rPr>
          <w:color w:val="000000"/>
          <w:szCs w:val="21"/>
        </w:rPr>
        <w:t>2</w:t>
      </w:r>
      <w:r>
        <w:rPr>
          <w:rFonts w:ascii="宋体" w:cs="宋体" w:hint="eastAsia"/>
          <w:color w:val="000000"/>
          <w:szCs w:val="21"/>
          <w:lang w:val="zh-CN"/>
        </w:rPr>
        <w:t>、负责组织项目的实施，保证工程进度和成桥荷载试验工作质量，并满足交通部交工验收相关标准。</w:t>
      </w:r>
    </w:p>
    <w:p>
      <w:pPr>
        <w:autoSpaceDE w:val="0"/>
        <w:autoSpaceDN w:val="0"/>
        <w:adjustRightInd w:val="0"/>
        <w:ind w:firstLine="420"/>
        <w:rPr>
          <w:color w:val="000000"/>
          <w:szCs w:val="21"/>
        </w:rPr>
      </w:pPr>
      <w:r>
        <w:rPr>
          <w:color w:val="000000"/>
          <w:szCs w:val="21"/>
        </w:rPr>
        <w:t>3</w:t>
      </w:r>
      <w:r>
        <w:rPr>
          <w:rFonts w:ascii="宋体" w:cs="宋体" w:hint="eastAsia"/>
          <w:color w:val="000000"/>
          <w:szCs w:val="21"/>
          <w:lang w:val="zh-CN"/>
        </w:rPr>
        <w:t>、向甲方提交检测资料等各套，一套电子版文件。</w:t>
      </w:r>
    </w:p>
    <w:p>
      <w:pPr>
        <w:autoSpaceDE w:val="0"/>
        <w:autoSpaceDN w:val="0"/>
        <w:adjustRightInd w:val="0"/>
        <w:ind w:firstLine="420"/>
        <w:rPr>
          <w:color w:val="000000"/>
          <w:szCs w:val="21"/>
        </w:rPr>
      </w:pPr>
      <w:r>
        <w:rPr>
          <w:color w:val="000000"/>
          <w:szCs w:val="21"/>
        </w:rPr>
        <w:t>4</w:t>
      </w:r>
      <w:r>
        <w:rPr>
          <w:rFonts w:ascii="宋体" w:cs="宋体" w:hint="eastAsia"/>
          <w:color w:val="000000"/>
          <w:szCs w:val="21"/>
          <w:lang w:val="zh-CN"/>
        </w:rPr>
        <w:t>、在履行合同期间或合同规定期限内，不得泄露与本合同规定业务活动有关的保密资料。</w:t>
      </w:r>
    </w:p>
    <w:p>
      <w:pPr>
        <w:autoSpaceDE w:val="0"/>
        <w:autoSpaceDN w:val="0"/>
        <w:adjustRightInd w:val="0"/>
        <w:ind w:firstLine="422"/>
        <w:rPr>
          <w:b/>
          <w:bCs/>
          <w:color w:val="000000"/>
          <w:szCs w:val="21"/>
        </w:rPr>
      </w:pPr>
      <w:r>
        <w:rPr>
          <w:rFonts w:ascii="宋体" w:cs="宋体" w:hint="eastAsia"/>
          <w:b/>
          <w:bCs/>
          <w:color w:val="000000"/>
          <w:szCs w:val="21"/>
          <w:lang w:val="zh-CN"/>
        </w:rPr>
        <w:t>第七条甲方的权利</w:t>
      </w:r>
    </w:p>
    <w:p>
      <w:pPr>
        <w:autoSpaceDE w:val="0"/>
        <w:autoSpaceDN w:val="0"/>
        <w:adjustRightInd w:val="0"/>
        <w:ind w:firstLine="420"/>
        <w:rPr>
          <w:color w:val="000000"/>
          <w:szCs w:val="21"/>
        </w:rPr>
      </w:pPr>
      <w:r>
        <w:rPr>
          <w:color w:val="000000"/>
          <w:szCs w:val="21"/>
        </w:rPr>
        <w:t>1</w:t>
      </w:r>
      <w:r>
        <w:rPr>
          <w:rFonts w:ascii="宋体" w:cs="宋体" w:hint="eastAsia"/>
          <w:color w:val="000000"/>
          <w:szCs w:val="21"/>
          <w:lang w:val="zh-CN"/>
        </w:rPr>
        <w:t>、有权向乙方询问工作进展情况及相关的内容。</w:t>
      </w:r>
    </w:p>
    <w:p>
      <w:pPr>
        <w:autoSpaceDE w:val="0"/>
        <w:autoSpaceDN w:val="0"/>
        <w:adjustRightInd w:val="0"/>
        <w:ind w:firstLine="420"/>
        <w:rPr>
          <w:color w:val="000000"/>
          <w:szCs w:val="21"/>
        </w:rPr>
      </w:pPr>
      <w:r>
        <w:rPr>
          <w:color w:val="000000"/>
          <w:szCs w:val="21"/>
        </w:rPr>
        <w:t>2</w:t>
      </w:r>
      <w:r>
        <w:rPr>
          <w:rFonts w:ascii="宋体" w:cs="宋体" w:hint="eastAsia"/>
          <w:color w:val="000000"/>
          <w:szCs w:val="21"/>
          <w:lang w:val="zh-CN"/>
        </w:rPr>
        <w:t>、有权阐述对具体问题的意见和建议。</w:t>
      </w:r>
    </w:p>
    <w:p>
      <w:pPr>
        <w:autoSpaceDE w:val="0"/>
        <w:autoSpaceDN w:val="0"/>
        <w:adjustRightInd w:val="0"/>
        <w:ind w:firstLine="420"/>
        <w:rPr>
          <w:color w:val="000000"/>
          <w:szCs w:val="21"/>
        </w:rPr>
      </w:pPr>
      <w:r>
        <w:rPr>
          <w:color w:val="000000"/>
          <w:szCs w:val="21"/>
        </w:rPr>
        <w:t>3</w:t>
      </w:r>
      <w:r>
        <w:rPr>
          <w:rFonts w:ascii="宋体" w:cs="宋体" w:hint="eastAsia"/>
          <w:color w:val="000000"/>
          <w:szCs w:val="21"/>
          <w:lang w:val="zh-CN"/>
        </w:rPr>
        <w:t>、当甲方认定乙方人员不按合同履行其职责，或与第三人串通给甲方造成经济损失的，甲方有权要求更换人员，直至终止合同并要求乙方承担相应的赔偿责任。</w:t>
      </w:r>
    </w:p>
    <w:p>
      <w:pPr>
        <w:autoSpaceDE w:val="0"/>
        <w:autoSpaceDN w:val="0"/>
        <w:adjustRightInd w:val="0"/>
        <w:ind w:firstLine="422"/>
        <w:rPr>
          <w:b/>
          <w:bCs/>
          <w:color w:val="000000"/>
          <w:szCs w:val="21"/>
        </w:rPr>
      </w:pPr>
      <w:r>
        <w:rPr>
          <w:rFonts w:ascii="宋体" w:cs="宋体" w:hint="eastAsia"/>
          <w:b/>
          <w:bCs/>
          <w:color w:val="000000"/>
          <w:szCs w:val="21"/>
          <w:lang w:val="zh-CN"/>
        </w:rPr>
        <w:t>第八条乙方的权利</w:t>
      </w:r>
    </w:p>
    <w:p>
      <w:pPr>
        <w:autoSpaceDE w:val="0"/>
        <w:autoSpaceDN w:val="0"/>
        <w:adjustRightInd w:val="0"/>
        <w:ind w:firstLine="420"/>
        <w:rPr>
          <w:color w:val="000000"/>
          <w:szCs w:val="21"/>
        </w:rPr>
      </w:pPr>
      <w:r>
        <w:rPr>
          <w:color w:val="000000"/>
          <w:szCs w:val="21"/>
        </w:rPr>
        <w:t>1</w:t>
      </w:r>
      <w:r>
        <w:rPr>
          <w:rFonts w:ascii="宋体" w:cs="宋体" w:hint="eastAsia"/>
          <w:color w:val="000000"/>
          <w:szCs w:val="21"/>
          <w:lang w:val="zh-CN"/>
        </w:rPr>
        <w:t>、乙方在本项目服务过程中，如甲方提供的资料不明确时可向甲方提出书面报告。</w:t>
      </w:r>
    </w:p>
    <w:p>
      <w:pPr>
        <w:autoSpaceDE w:val="0"/>
        <w:autoSpaceDN w:val="0"/>
        <w:adjustRightInd w:val="0"/>
        <w:ind w:firstLine="420"/>
        <w:rPr>
          <w:color w:val="000000"/>
          <w:szCs w:val="21"/>
        </w:rPr>
      </w:pPr>
      <w:r>
        <w:rPr>
          <w:color w:val="000000"/>
          <w:szCs w:val="21"/>
        </w:rPr>
        <w:t>2</w:t>
      </w:r>
      <w:r>
        <w:rPr>
          <w:rFonts w:ascii="宋体" w:cs="宋体" w:hint="eastAsia"/>
          <w:color w:val="000000"/>
          <w:szCs w:val="21"/>
          <w:lang w:val="zh-CN"/>
        </w:rPr>
        <w:t>、乙方在本项目服务过程中，有权对第三方提出与本咨询服务业务有关的问题进行核对或查问。</w:t>
      </w:r>
    </w:p>
    <w:p>
      <w:pPr>
        <w:autoSpaceDE w:val="0"/>
        <w:autoSpaceDN w:val="0"/>
        <w:adjustRightInd w:val="0"/>
        <w:ind w:firstLine="420"/>
        <w:rPr>
          <w:color w:val="000000"/>
          <w:szCs w:val="21"/>
        </w:rPr>
      </w:pPr>
      <w:r>
        <w:rPr>
          <w:color w:val="000000"/>
          <w:szCs w:val="21"/>
        </w:rPr>
        <w:t>3</w:t>
      </w:r>
      <w:r>
        <w:rPr>
          <w:rFonts w:ascii="宋体" w:cs="宋体" w:hint="eastAsia"/>
          <w:color w:val="000000"/>
          <w:szCs w:val="21"/>
          <w:lang w:val="zh-CN"/>
        </w:rPr>
        <w:t>、乙方在本项目服务过程中，有到工程现场勘察的权利。</w:t>
      </w:r>
    </w:p>
    <w:p>
      <w:pPr>
        <w:autoSpaceDE w:val="0"/>
        <w:autoSpaceDN w:val="0"/>
        <w:adjustRightInd w:val="0"/>
        <w:ind w:firstLine="422"/>
        <w:rPr>
          <w:b/>
          <w:bCs/>
          <w:color w:val="000000"/>
          <w:szCs w:val="21"/>
        </w:rPr>
      </w:pPr>
      <w:r>
        <w:rPr>
          <w:rFonts w:ascii="宋体" w:cs="宋体" w:hint="eastAsia"/>
          <w:b/>
          <w:bCs/>
          <w:color w:val="000000"/>
          <w:szCs w:val="21"/>
          <w:lang w:val="zh-CN"/>
        </w:rPr>
        <w:t>第九条甲方的责任</w:t>
      </w:r>
    </w:p>
    <w:p>
      <w:pPr>
        <w:autoSpaceDE w:val="0"/>
        <w:autoSpaceDN w:val="0"/>
        <w:adjustRightInd w:val="0"/>
        <w:ind w:firstLine="420"/>
        <w:rPr>
          <w:color w:val="000000"/>
          <w:szCs w:val="21"/>
        </w:rPr>
      </w:pPr>
      <w:r>
        <w:rPr>
          <w:color w:val="000000"/>
          <w:szCs w:val="21"/>
        </w:rPr>
        <w:t>1</w:t>
      </w:r>
      <w:r>
        <w:rPr>
          <w:rFonts w:ascii="宋体" w:cs="宋体" w:hint="eastAsia"/>
          <w:color w:val="000000"/>
          <w:szCs w:val="21"/>
          <w:lang w:val="zh-CN"/>
        </w:rPr>
        <w:t>、应当履行本合同约定的义务，如有违反则应当承担违约责任，赔偿给乙方造成的损失。</w:t>
      </w:r>
    </w:p>
    <w:p>
      <w:pPr>
        <w:autoSpaceDE w:val="0"/>
        <w:autoSpaceDN w:val="0"/>
        <w:adjustRightInd w:val="0"/>
        <w:ind w:firstLine="420"/>
        <w:rPr>
          <w:color w:val="000000"/>
          <w:szCs w:val="21"/>
        </w:rPr>
      </w:pPr>
      <w:r>
        <w:rPr>
          <w:color w:val="000000"/>
          <w:szCs w:val="21"/>
        </w:rPr>
        <w:t>2</w:t>
      </w:r>
      <w:r>
        <w:rPr>
          <w:rFonts w:ascii="宋体" w:cs="宋体" w:hint="eastAsia"/>
          <w:color w:val="000000"/>
          <w:szCs w:val="21"/>
          <w:lang w:val="zh-CN"/>
        </w:rPr>
        <w:t>、甲方向乙方提出赔偿要求不能成立时，则应补偿由于该赔偿或其他要求所导致乙方的各种费用的支出。</w:t>
      </w:r>
    </w:p>
    <w:p>
      <w:pPr>
        <w:autoSpaceDE w:val="0"/>
        <w:autoSpaceDN w:val="0"/>
        <w:adjustRightInd w:val="0"/>
        <w:ind w:firstLine="422"/>
        <w:rPr>
          <w:b/>
          <w:bCs/>
          <w:color w:val="000000"/>
          <w:szCs w:val="21"/>
        </w:rPr>
      </w:pPr>
      <w:r>
        <w:rPr>
          <w:rFonts w:ascii="宋体" w:cs="宋体" w:hint="eastAsia"/>
          <w:b/>
          <w:bCs/>
          <w:color w:val="000000"/>
          <w:szCs w:val="21"/>
          <w:lang w:val="zh-CN"/>
        </w:rPr>
        <w:t>第十条乙方的责任</w:t>
      </w:r>
    </w:p>
    <w:p>
      <w:pPr>
        <w:autoSpaceDE w:val="0"/>
        <w:autoSpaceDN w:val="0"/>
        <w:adjustRightInd w:val="0"/>
        <w:ind w:firstLine="420"/>
        <w:rPr>
          <w:color w:val="000000"/>
          <w:szCs w:val="21"/>
        </w:rPr>
      </w:pPr>
      <w:r>
        <w:rPr>
          <w:color w:val="000000"/>
          <w:szCs w:val="21"/>
        </w:rPr>
        <w:t>1</w:t>
      </w:r>
      <w:r>
        <w:rPr>
          <w:rFonts w:ascii="宋体" w:cs="宋体" w:hint="eastAsia"/>
          <w:color w:val="000000"/>
          <w:szCs w:val="21"/>
          <w:lang w:val="zh-CN"/>
        </w:rPr>
        <w:t>、乙方的责任期即本合同有效期。如因非乙方的责任造成进度的推迟或延误而超过约定的日期，双方应进一步约定相应延长合同有效期。</w:t>
      </w:r>
    </w:p>
    <w:p>
      <w:pPr>
        <w:autoSpaceDE w:val="0"/>
        <w:autoSpaceDN w:val="0"/>
        <w:adjustRightInd w:val="0"/>
        <w:ind w:firstLine="420"/>
        <w:rPr>
          <w:color w:val="000000"/>
          <w:szCs w:val="21"/>
        </w:rPr>
      </w:pPr>
      <w:r>
        <w:rPr>
          <w:color w:val="000000"/>
          <w:szCs w:val="21"/>
        </w:rPr>
        <w:t>2</w:t>
      </w:r>
      <w:r>
        <w:rPr>
          <w:rFonts w:ascii="宋体" w:cs="宋体" w:hint="eastAsia"/>
          <w:color w:val="000000"/>
          <w:szCs w:val="21"/>
          <w:lang w:val="zh-CN"/>
        </w:rPr>
        <w:t>、乙方的责任期内，应当履行本合同中约定的义务，因乙方的单方过失造成的经济损失，应当向甲方进行赔偿。</w:t>
      </w:r>
    </w:p>
    <w:p>
      <w:pPr>
        <w:autoSpaceDE w:val="0"/>
        <w:autoSpaceDN w:val="0"/>
        <w:adjustRightInd w:val="0"/>
        <w:ind w:firstLine="420"/>
        <w:rPr>
          <w:color w:val="000000"/>
          <w:szCs w:val="21"/>
        </w:rPr>
      </w:pPr>
      <w:r>
        <w:rPr>
          <w:color w:val="000000"/>
          <w:szCs w:val="21"/>
        </w:rPr>
        <w:t>3</w:t>
      </w:r>
      <w:r>
        <w:rPr>
          <w:rFonts w:ascii="宋体" w:cs="宋体" w:hint="eastAsia"/>
          <w:color w:val="000000"/>
          <w:szCs w:val="21"/>
          <w:lang w:val="zh-CN"/>
        </w:rPr>
        <w:t>、乙方对甲方或第三方所提出的问题不能及时核对或答复，导致合同不能全部或部分履行，乙方应承担责任。</w:t>
      </w:r>
    </w:p>
    <w:p>
      <w:pPr>
        <w:autoSpaceDE w:val="0"/>
        <w:autoSpaceDN w:val="0"/>
        <w:adjustRightInd w:val="0"/>
        <w:ind w:firstLine="420"/>
        <w:rPr>
          <w:color w:val="000000"/>
          <w:szCs w:val="21"/>
        </w:rPr>
      </w:pPr>
      <w:r>
        <w:rPr>
          <w:color w:val="000000"/>
          <w:szCs w:val="21"/>
        </w:rPr>
        <w:t>4</w:t>
      </w:r>
      <w:r>
        <w:rPr>
          <w:rFonts w:ascii="宋体" w:cs="宋体" w:hint="eastAsia"/>
          <w:color w:val="000000"/>
          <w:szCs w:val="21"/>
          <w:lang w:val="zh-CN"/>
        </w:rPr>
        <w:t>、乙方向甲方提出赔偿要求不能成立时，则应补偿由于该赔偿或其他要求所导致甲方的各种费用的支出。</w:t>
      </w:r>
    </w:p>
    <w:p>
      <w:pPr>
        <w:autoSpaceDE w:val="0"/>
        <w:autoSpaceDN w:val="0"/>
        <w:adjustRightInd w:val="0"/>
        <w:ind w:firstLine="422"/>
        <w:rPr>
          <w:b/>
          <w:bCs/>
          <w:color w:val="000000"/>
          <w:szCs w:val="21"/>
        </w:rPr>
      </w:pPr>
      <w:r>
        <w:rPr>
          <w:rFonts w:ascii="宋体" w:cs="宋体" w:hint="eastAsia"/>
          <w:b/>
          <w:bCs/>
          <w:color w:val="000000"/>
          <w:szCs w:val="21"/>
          <w:lang w:val="zh-CN"/>
        </w:rPr>
        <w:t>第十一条人员要求</w:t>
      </w:r>
    </w:p>
    <w:p>
      <w:pPr>
        <w:autoSpaceDE w:val="0"/>
        <w:autoSpaceDN w:val="0"/>
        <w:adjustRightInd w:val="0"/>
        <w:ind w:firstLine="420"/>
        <w:rPr>
          <w:color w:val="000000"/>
          <w:szCs w:val="21"/>
        </w:rPr>
      </w:pPr>
      <w:r>
        <w:rPr>
          <w:color w:val="000000"/>
          <w:szCs w:val="21"/>
        </w:rPr>
        <w:t>1</w:t>
      </w:r>
      <w:r>
        <w:rPr>
          <w:rFonts w:ascii="宋体" w:cs="宋体" w:hint="eastAsia"/>
          <w:color w:val="000000"/>
          <w:szCs w:val="21"/>
          <w:lang w:val="zh-CN"/>
        </w:rPr>
        <w:t>、参加本项目试验的人员必须具有国家和有关部门规定的相应资质。</w:t>
      </w:r>
    </w:p>
    <w:p>
      <w:pPr>
        <w:autoSpaceDE w:val="0"/>
        <w:autoSpaceDN w:val="0"/>
        <w:adjustRightInd w:val="0"/>
        <w:ind w:firstLine="420"/>
        <w:rPr>
          <w:color w:val="000000"/>
          <w:szCs w:val="21"/>
        </w:rPr>
      </w:pPr>
      <w:r>
        <w:rPr>
          <w:color w:val="000000"/>
          <w:szCs w:val="21"/>
        </w:rPr>
        <w:t>2</w:t>
      </w:r>
      <w:r>
        <w:rPr>
          <w:rFonts w:ascii="宋体" w:cs="宋体" w:hint="eastAsia"/>
          <w:color w:val="000000"/>
          <w:szCs w:val="21"/>
          <w:lang w:val="zh-CN"/>
        </w:rPr>
        <w:t>、参加本项目的试验人员的配置必须与投标文件中的服务承诺书和试验服务组织实施方案一致。</w:t>
      </w:r>
    </w:p>
    <w:p>
      <w:pPr>
        <w:autoSpaceDE w:val="0"/>
        <w:autoSpaceDN w:val="0"/>
        <w:adjustRightInd w:val="0"/>
        <w:ind w:firstLine="420"/>
        <w:rPr>
          <w:color w:val="000000"/>
          <w:szCs w:val="21"/>
        </w:rPr>
      </w:pPr>
      <w:r>
        <w:rPr>
          <w:color w:val="000000"/>
          <w:szCs w:val="21"/>
        </w:rPr>
        <w:t>3</w:t>
      </w:r>
      <w:r>
        <w:rPr>
          <w:rFonts w:ascii="宋体" w:cs="宋体" w:hint="eastAsia"/>
          <w:color w:val="000000"/>
          <w:szCs w:val="21"/>
          <w:lang w:val="zh-CN"/>
        </w:rPr>
        <w:t>、必须以直属试验人员参与本项目服务，不得使用挂靠队伍。</w:t>
      </w:r>
    </w:p>
    <w:p>
      <w:pPr>
        <w:autoSpaceDE w:val="0"/>
        <w:autoSpaceDN w:val="0"/>
        <w:adjustRightInd w:val="0"/>
        <w:ind w:firstLine="422"/>
        <w:rPr>
          <w:b/>
          <w:bCs/>
          <w:color w:val="000000"/>
          <w:szCs w:val="21"/>
        </w:rPr>
      </w:pPr>
      <w:r>
        <w:rPr>
          <w:rFonts w:ascii="宋体" w:cs="宋体" w:hint="eastAsia"/>
          <w:b/>
          <w:bCs/>
          <w:color w:val="000000"/>
          <w:szCs w:val="21"/>
          <w:lang w:val="zh-CN"/>
        </w:rPr>
        <w:t>第十二条乙方咨询服务工具要求</w:t>
      </w:r>
    </w:p>
    <w:p>
      <w:pPr>
        <w:autoSpaceDE w:val="0"/>
        <w:autoSpaceDN w:val="0"/>
        <w:adjustRightInd w:val="0"/>
        <w:ind w:firstLine="420"/>
        <w:rPr>
          <w:color w:val="000000"/>
          <w:szCs w:val="21"/>
        </w:rPr>
      </w:pPr>
      <w:r>
        <w:rPr>
          <w:color w:val="000000"/>
          <w:szCs w:val="21"/>
        </w:rPr>
        <w:t>1</w:t>
      </w:r>
      <w:r>
        <w:rPr>
          <w:rFonts w:ascii="宋体" w:cs="宋体" w:hint="eastAsia"/>
          <w:color w:val="000000"/>
          <w:szCs w:val="21"/>
          <w:lang w:val="zh-CN"/>
        </w:rPr>
        <w:t>、乙方应配备中标项目所需的足够数量的仪器、仪表以及工具等设备。用户不需向乙方提供施工工具和仪器、仪表。</w:t>
      </w:r>
    </w:p>
    <w:p>
      <w:pPr>
        <w:autoSpaceDE w:val="0"/>
        <w:autoSpaceDN w:val="0"/>
        <w:adjustRightInd w:val="0"/>
        <w:ind w:firstLine="420"/>
        <w:rPr>
          <w:color w:val="000000"/>
          <w:szCs w:val="21"/>
        </w:rPr>
      </w:pPr>
      <w:r>
        <w:rPr>
          <w:color w:val="000000"/>
          <w:szCs w:val="21"/>
        </w:rPr>
        <w:t>2</w:t>
      </w:r>
      <w:r>
        <w:rPr>
          <w:rFonts w:ascii="宋体" w:cs="宋体" w:hint="eastAsia"/>
          <w:color w:val="000000"/>
          <w:szCs w:val="21"/>
          <w:lang w:val="zh-CN"/>
        </w:rPr>
        <w:t>、乙方在提供服务过程中应自备车辆。</w:t>
      </w:r>
    </w:p>
    <w:p>
      <w:pPr>
        <w:autoSpaceDE w:val="0"/>
        <w:autoSpaceDN w:val="0"/>
        <w:adjustRightInd w:val="0"/>
        <w:ind w:firstLine="422"/>
        <w:rPr>
          <w:b/>
          <w:bCs/>
          <w:color w:val="000000"/>
          <w:szCs w:val="21"/>
        </w:rPr>
      </w:pPr>
      <w:r>
        <w:rPr>
          <w:rFonts w:ascii="宋体" w:cs="宋体" w:hint="eastAsia"/>
          <w:b/>
          <w:bCs/>
          <w:color w:val="000000"/>
          <w:szCs w:val="21"/>
          <w:lang w:val="zh-CN"/>
        </w:rPr>
        <w:t>第十三条保密要求</w:t>
      </w:r>
    </w:p>
    <w:p>
      <w:pPr>
        <w:autoSpaceDE w:val="0"/>
        <w:autoSpaceDN w:val="0"/>
        <w:adjustRightInd w:val="0"/>
        <w:ind w:firstLine="420"/>
        <w:rPr>
          <w:color w:val="000000"/>
          <w:szCs w:val="21"/>
        </w:rPr>
      </w:pPr>
      <w:r>
        <w:rPr>
          <w:color w:val="000000"/>
          <w:szCs w:val="21"/>
        </w:rPr>
        <w:t>1</w:t>
      </w:r>
      <w:r>
        <w:rPr>
          <w:rFonts w:ascii="宋体" w:cs="宋体" w:hint="eastAsia"/>
          <w:color w:val="000000"/>
          <w:szCs w:val="21"/>
          <w:lang w:val="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pPr>
        <w:autoSpaceDE w:val="0"/>
        <w:autoSpaceDN w:val="0"/>
        <w:adjustRightInd w:val="0"/>
        <w:ind w:firstLine="420"/>
        <w:rPr>
          <w:color w:val="000000"/>
          <w:szCs w:val="21"/>
        </w:rPr>
      </w:pPr>
      <w:r>
        <w:rPr>
          <w:color w:val="000000"/>
          <w:szCs w:val="21"/>
        </w:rPr>
        <w:t>2</w:t>
      </w:r>
      <w:r>
        <w:rPr>
          <w:rFonts w:ascii="宋体" w:cs="宋体" w:hint="eastAsia"/>
          <w:color w:val="000000"/>
          <w:szCs w:val="21"/>
          <w:lang w:val="zh-CN"/>
        </w:rPr>
        <w:t>、乙方在履行合同过程中所获得或接触到的任何内部数据资料，未经甲方同意，不得向第三方透露。</w:t>
      </w:r>
    </w:p>
    <w:p>
      <w:pPr>
        <w:autoSpaceDE w:val="0"/>
        <w:autoSpaceDN w:val="0"/>
        <w:adjustRightInd w:val="0"/>
        <w:ind w:firstLine="420"/>
        <w:rPr>
          <w:color w:val="000000"/>
          <w:szCs w:val="21"/>
        </w:rPr>
      </w:pPr>
      <w:r>
        <w:rPr>
          <w:color w:val="000000"/>
          <w:szCs w:val="21"/>
        </w:rPr>
        <w:t>3</w:t>
      </w:r>
      <w:r>
        <w:rPr>
          <w:rFonts w:ascii="宋体" w:cs="宋体" w:hint="eastAsia"/>
          <w:color w:val="000000"/>
          <w:szCs w:val="21"/>
          <w:lang w:val="zh-CN"/>
        </w:rPr>
        <w:t>、乙方实施项目的一切程序都应符合国家安全、保密的有关规定和标准。</w:t>
      </w:r>
    </w:p>
    <w:p>
      <w:pPr>
        <w:autoSpaceDE w:val="0"/>
        <w:autoSpaceDN w:val="0"/>
        <w:adjustRightInd w:val="0"/>
        <w:ind w:firstLine="420"/>
        <w:rPr>
          <w:color w:val="000000"/>
          <w:szCs w:val="21"/>
        </w:rPr>
      </w:pPr>
      <w:r>
        <w:rPr>
          <w:color w:val="000000"/>
          <w:szCs w:val="21"/>
        </w:rPr>
        <w:t>4</w:t>
      </w:r>
      <w:r>
        <w:rPr>
          <w:rFonts w:ascii="宋体" w:cs="宋体" w:hint="eastAsia"/>
          <w:color w:val="000000"/>
          <w:szCs w:val="21"/>
          <w:lang w:val="zh-CN"/>
        </w:rPr>
        <w:t>、乙方参加项目的有关人员均需同甲方签订保密协议。</w:t>
      </w:r>
    </w:p>
    <w:p>
      <w:pPr>
        <w:autoSpaceDE w:val="0"/>
        <w:autoSpaceDN w:val="0"/>
        <w:adjustRightInd w:val="0"/>
        <w:ind w:firstLine="422"/>
        <w:rPr>
          <w:b/>
          <w:bCs/>
          <w:color w:val="000000"/>
          <w:szCs w:val="21"/>
        </w:rPr>
      </w:pPr>
      <w:r>
        <w:rPr>
          <w:rFonts w:ascii="宋体" w:cs="宋体" w:hint="eastAsia"/>
          <w:b/>
          <w:bCs/>
          <w:color w:val="000000"/>
          <w:szCs w:val="21"/>
          <w:lang w:val="zh-CN"/>
        </w:rPr>
        <w:t>第十四条验收</w:t>
      </w:r>
    </w:p>
    <w:p>
      <w:pPr>
        <w:autoSpaceDE w:val="0"/>
        <w:autoSpaceDN w:val="0"/>
        <w:adjustRightInd w:val="0"/>
        <w:ind w:firstLine="420"/>
        <w:rPr>
          <w:color w:val="000000"/>
          <w:szCs w:val="21"/>
        </w:rPr>
      </w:pPr>
      <w:r>
        <w:rPr>
          <w:color w:val="000000"/>
          <w:szCs w:val="21"/>
        </w:rPr>
        <w:t>1</w:t>
      </w:r>
      <w:r>
        <w:rPr>
          <w:rFonts w:ascii="宋体" w:cs="宋体" w:hint="eastAsia"/>
          <w:color w:val="000000"/>
          <w:szCs w:val="21"/>
          <w:lang w:val="zh-CN"/>
        </w:rPr>
        <w:t>、下列文件的验收分为三个阶段</w:t>
      </w:r>
      <w:r>
        <w:rPr>
          <w:color w:val="000000"/>
          <w:szCs w:val="21"/>
        </w:rPr>
        <w:t>:</w:t>
      </w:r>
    </w:p>
    <w:p>
      <w:pPr>
        <w:autoSpaceDE w:val="0"/>
        <w:autoSpaceDN w:val="0"/>
        <w:adjustRightInd w:val="0"/>
        <w:ind w:firstLine="420"/>
        <w:rPr>
          <w:color w:val="000000"/>
          <w:szCs w:val="21"/>
        </w:rPr>
      </w:pPr>
      <w:r>
        <w:rPr>
          <w:color w:val="000000"/>
          <w:szCs w:val="21"/>
        </w:rPr>
        <w:t>2</w:t>
      </w:r>
      <w:r>
        <w:rPr>
          <w:rFonts w:ascii="宋体" w:cs="宋体" w:hint="eastAsia"/>
          <w:color w:val="000000"/>
          <w:szCs w:val="21"/>
          <w:lang w:val="zh-CN"/>
        </w:rPr>
        <w:t>、其余文件和工作由用户组织有关技术人员根据国家和行业有关规范、规程、标准和用户需求直接验收。</w:t>
      </w:r>
    </w:p>
    <w:p>
      <w:pPr>
        <w:autoSpaceDE w:val="0"/>
        <w:autoSpaceDN w:val="0"/>
        <w:adjustRightInd w:val="0"/>
        <w:ind w:firstLine="420"/>
        <w:rPr>
          <w:color w:val="000000"/>
          <w:szCs w:val="21"/>
        </w:rPr>
      </w:pPr>
      <w:r>
        <w:rPr>
          <w:color w:val="000000"/>
          <w:szCs w:val="21"/>
        </w:rPr>
        <w:t>3</w:t>
      </w:r>
      <w:r>
        <w:rPr>
          <w:rFonts w:ascii="宋体" w:cs="宋体" w:hint="eastAsia"/>
          <w:color w:val="000000"/>
          <w:szCs w:val="21"/>
          <w:lang w:val="zh-CN"/>
        </w:rPr>
        <w:t>、验收依据为号招标文件、乙方投标文件，国家和行业有关规范、规程和标准。</w:t>
      </w:r>
    </w:p>
    <w:p>
      <w:pPr>
        <w:autoSpaceDE w:val="0"/>
        <w:autoSpaceDN w:val="0"/>
        <w:adjustRightInd w:val="0"/>
        <w:ind w:firstLine="422"/>
        <w:rPr>
          <w:b/>
          <w:bCs/>
          <w:color w:val="000000"/>
          <w:szCs w:val="21"/>
        </w:rPr>
      </w:pPr>
      <w:r>
        <w:rPr>
          <w:rFonts w:ascii="宋体" w:cs="宋体" w:hint="eastAsia"/>
          <w:b/>
          <w:bCs/>
          <w:color w:val="000000"/>
          <w:szCs w:val="21"/>
          <w:lang w:val="zh-CN"/>
        </w:rPr>
        <w:t>第十五条付款方式</w:t>
      </w:r>
    </w:p>
    <w:p>
      <w:pPr>
        <w:autoSpaceDE w:val="0"/>
        <w:autoSpaceDN w:val="0"/>
        <w:adjustRightInd w:val="0"/>
        <w:ind w:firstLine="420"/>
        <w:rPr>
          <w:color w:val="000000"/>
          <w:szCs w:val="21"/>
        </w:rPr>
      </w:pPr>
      <w:r>
        <w:rPr>
          <w:color w:val="000000"/>
          <w:szCs w:val="21"/>
        </w:rPr>
        <w:t>1</w:t>
      </w:r>
      <w:r>
        <w:rPr>
          <w:rFonts w:ascii="宋体" w:cs="宋体" w:hint="eastAsia"/>
          <w:color w:val="000000"/>
          <w:szCs w:val="21"/>
          <w:lang w:val="zh-CN"/>
        </w:rPr>
        <w:t>、合同签订后天内，甲方向乙方支付合同总价</w:t>
      </w:r>
      <w:r>
        <w:rPr>
          <w:color w:val="000000"/>
          <w:szCs w:val="21"/>
        </w:rPr>
        <w:t>%</w:t>
      </w:r>
      <w:r>
        <w:rPr>
          <w:rFonts w:ascii="宋体" w:cs="宋体" w:hint="eastAsia"/>
          <w:color w:val="000000"/>
          <w:szCs w:val="21"/>
          <w:lang w:val="zh-CN"/>
        </w:rPr>
        <w:t>的款项。</w:t>
      </w:r>
    </w:p>
    <w:p>
      <w:pPr>
        <w:autoSpaceDE w:val="0"/>
        <w:autoSpaceDN w:val="0"/>
        <w:adjustRightInd w:val="0"/>
        <w:ind w:firstLine="420"/>
        <w:rPr>
          <w:color w:val="000000"/>
          <w:szCs w:val="21"/>
        </w:rPr>
      </w:pPr>
      <w:r>
        <w:rPr>
          <w:color w:val="000000"/>
          <w:szCs w:val="21"/>
        </w:rPr>
        <w:t>2</w:t>
      </w:r>
      <w:r>
        <w:rPr>
          <w:rFonts w:ascii="宋体" w:cs="宋体" w:hint="eastAsia"/>
          <w:color w:val="000000"/>
          <w:szCs w:val="21"/>
          <w:lang w:val="zh-CN"/>
        </w:rPr>
        <w:t>、检测完成并提交评估报告后，甲方向乙方支付合同总价</w:t>
      </w:r>
      <w:r>
        <w:rPr>
          <w:color w:val="000000"/>
          <w:szCs w:val="21"/>
        </w:rPr>
        <w:t>%</w:t>
      </w:r>
      <w:r>
        <w:rPr>
          <w:rFonts w:ascii="宋体" w:cs="宋体" w:hint="eastAsia"/>
          <w:color w:val="000000"/>
          <w:szCs w:val="21"/>
          <w:lang w:val="zh-CN"/>
        </w:rPr>
        <w:t>的款项。</w:t>
      </w:r>
    </w:p>
    <w:p>
      <w:pPr>
        <w:autoSpaceDE w:val="0"/>
        <w:autoSpaceDN w:val="0"/>
        <w:adjustRightInd w:val="0"/>
        <w:ind w:firstLine="420"/>
        <w:rPr>
          <w:color w:val="000000"/>
          <w:szCs w:val="21"/>
        </w:rPr>
      </w:pPr>
      <w:r>
        <w:rPr>
          <w:color w:val="000000"/>
          <w:szCs w:val="21"/>
        </w:rPr>
        <w:t>3</w:t>
      </w:r>
      <w:r>
        <w:rPr>
          <w:rFonts w:ascii="宋体" w:cs="宋体" w:hint="eastAsia"/>
          <w:color w:val="000000"/>
          <w:szCs w:val="21"/>
          <w:lang w:val="zh-CN"/>
        </w:rPr>
        <w:t>、报告通过专家评审后，甲方向乙方支付合同总价</w:t>
      </w:r>
      <w:r>
        <w:rPr>
          <w:color w:val="000000"/>
          <w:szCs w:val="21"/>
        </w:rPr>
        <w:t>%</w:t>
      </w:r>
      <w:r>
        <w:rPr>
          <w:rFonts w:ascii="宋体" w:cs="宋体" w:hint="eastAsia"/>
          <w:color w:val="000000"/>
          <w:szCs w:val="21"/>
          <w:lang w:val="zh-CN"/>
        </w:rPr>
        <w:t>的款项。</w:t>
      </w:r>
    </w:p>
    <w:p>
      <w:pPr>
        <w:autoSpaceDE w:val="0"/>
        <w:autoSpaceDN w:val="0"/>
        <w:adjustRightInd w:val="0"/>
        <w:ind w:firstLine="422"/>
        <w:rPr>
          <w:b/>
          <w:bCs/>
          <w:color w:val="000000"/>
          <w:szCs w:val="21"/>
        </w:rPr>
      </w:pPr>
      <w:r>
        <w:rPr>
          <w:rFonts w:ascii="宋体" w:cs="宋体" w:hint="eastAsia"/>
          <w:b/>
          <w:bCs/>
          <w:color w:val="000000"/>
          <w:szCs w:val="21"/>
          <w:lang w:val="zh-CN"/>
        </w:rPr>
        <w:t>第十六条争议解决办法</w:t>
      </w:r>
    </w:p>
    <w:p>
      <w:pPr>
        <w:autoSpaceDE w:val="0"/>
        <w:autoSpaceDN w:val="0"/>
        <w:adjustRightInd w:val="0"/>
        <w:ind w:firstLine="420"/>
        <w:rPr>
          <w:color w:val="000000"/>
          <w:szCs w:val="21"/>
        </w:rPr>
      </w:pPr>
      <w:r>
        <w:rPr>
          <w:rFonts w:ascii="宋体" w:cs="宋体" w:hint="eastAsia"/>
          <w:color w:val="000000"/>
          <w:szCs w:val="21"/>
          <w:lang w:val="zh-CN"/>
        </w:rPr>
        <w:t>执行本合同发生的争议，由甲乙双方协商解决。</w:t>
      </w:r>
    </w:p>
    <w:p>
      <w:pPr>
        <w:autoSpaceDE w:val="0"/>
        <w:autoSpaceDN w:val="0"/>
        <w:adjustRightInd w:val="0"/>
        <w:ind w:firstLine="422"/>
        <w:rPr>
          <w:b/>
          <w:bCs/>
          <w:color w:val="000000"/>
          <w:szCs w:val="21"/>
        </w:rPr>
      </w:pPr>
      <w:r>
        <w:rPr>
          <w:rFonts w:ascii="宋体" w:cs="宋体" w:hint="eastAsia"/>
          <w:b/>
          <w:bCs/>
          <w:color w:val="000000"/>
          <w:szCs w:val="21"/>
          <w:lang w:val="zh-CN"/>
        </w:rPr>
        <w:t>第十七条风险责任</w:t>
      </w:r>
    </w:p>
    <w:p>
      <w:pPr>
        <w:autoSpaceDE w:val="0"/>
        <w:autoSpaceDN w:val="0"/>
        <w:adjustRightInd w:val="0"/>
        <w:ind w:firstLine="420"/>
        <w:rPr>
          <w:color w:val="000000"/>
          <w:szCs w:val="21"/>
        </w:rPr>
      </w:pPr>
      <w:r>
        <w:rPr>
          <w:rFonts w:ascii="宋体" w:cs="宋体" w:hint="eastAsia"/>
          <w:color w:val="000000"/>
          <w:szCs w:val="21"/>
          <w:lang w:val="zh-CN"/>
        </w:rPr>
        <w:t>１、乙方应完全地按照招标文件的要求和乙方投标文件的承诺完成本项目，出于自身财务、技术、人力等原因导致项目失败的，应承担全部责任。</w:t>
      </w:r>
    </w:p>
    <w:p>
      <w:pPr>
        <w:autoSpaceDE w:val="0"/>
        <w:autoSpaceDN w:val="0"/>
        <w:adjustRightInd w:val="0"/>
        <w:ind w:firstLine="420"/>
        <w:rPr>
          <w:color w:val="000000"/>
          <w:szCs w:val="21"/>
        </w:rPr>
      </w:pPr>
      <w:r>
        <w:rPr>
          <w:color w:val="000000"/>
          <w:szCs w:val="21"/>
        </w:rPr>
        <w:t>2</w:t>
      </w:r>
      <w:r>
        <w:rPr>
          <w:rFonts w:ascii="宋体" w:cs="宋体" w:hint="eastAsia"/>
          <w:color w:val="000000"/>
          <w:szCs w:val="21"/>
          <w:lang w:val="zh-CN"/>
        </w:rPr>
        <w:t>、乙方在实施荷载试验过程中应对自身的安全生产负责，若由乙方原因发生的各种事故甲方不承担任何责任。</w:t>
      </w:r>
    </w:p>
    <w:p>
      <w:pPr>
        <w:autoSpaceDE w:val="0"/>
        <w:autoSpaceDN w:val="0"/>
        <w:adjustRightInd w:val="0"/>
        <w:ind w:firstLine="422"/>
        <w:rPr>
          <w:b/>
          <w:bCs/>
          <w:color w:val="000000"/>
          <w:szCs w:val="21"/>
        </w:rPr>
      </w:pPr>
      <w:r>
        <w:rPr>
          <w:rFonts w:ascii="宋体" w:cs="宋体" w:hint="eastAsia"/>
          <w:b/>
          <w:bCs/>
          <w:color w:val="000000"/>
          <w:szCs w:val="21"/>
          <w:lang w:val="zh-CN"/>
        </w:rPr>
        <w:t>第十八条违约责任</w:t>
      </w:r>
    </w:p>
    <w:p>
      <w:pPr>
        <w:autoSpaceDE w:val="0"/>
        <w:autoSpaceDN w:val="0"/>
        <w:adjustRightInd w:val="0"/>
        <w:ind w:firstLine="420"/>
        <w:rPr>
          <w:color w:val="000000"/>
          <w:szCs w:val="21"/>
        </w:rPr>
      </w:pPr>
      <w:r>
        <w:rPr>
          <w:color w:val="000000"/>
          <w:szCs w:val="21"/>
        </w:rPr>
        <w:t>1</w:t>
      </w:r>
      <w:r>
        <w:rPr>
          <w:rFonts w:ascii="宋体" w:cs="宋体" w:hint="eastAsia"/>
          <w:color w:val="000000"/>
          <w:szCs w:val="21"/>
          <w:lang w:val="zh-CN"/>
        </w:rPr>
        <w:t>、因乙方原因，未能按规定时间完成有关工作的，每延误一天，甲方可在支付合同余款中扣除合同价款千分之一。</w:t>
      </w:r>
    </w:p>
    <w:p>
      <w:pPr>
        <w:autoSpaceDE w:val="0"/>
        <w:autoSpaceDN w:val="0"/>
        <w:adjustRightInd w:val="0"/>
        <w:ind w:firstLine="420"/>
        <w:rPr>
          <w:color w:val="000000"/>
          <w:szCs w:val="21"/>
        </w:rPr>
      </w:pPr>
      <w:r>
        <w:rPr>
          <w:color w:val="000000"/>
          <w:szCs w:val="21"/>
        </w:rPr>
        <w:t>2</w:t>
      </w:r>
      <w:r>
        <w:rPr>
          <w:rFonts w:ascii="宋体" w:cs="宋体" w:hint="eastAsia"/>
          <w:color w:val="000000"/>
          <w:szCs w:val="21"/>
          <w:lang w:val="zh-CN"/>
        </w:rPr>
        <w:t>、由于乙方原因造成试验成果质量低劣，不能满足大纲要求时，应继续完善试验工作，其费用由乙方承担。</w:t>
      </w:r>
    </w:p>
    <w:p>
      <w:pPr>
        <w:autoSpaceDE w:val="0"/>
        <w:autoSpaceDN w:val="0"/>
        <w:adjustRightInd w:val="0"/>
        <w:ind w:firstLine="420"/>
        <w:rPr>
          <w:color w:val="000000"/>
          <w:szCs w:val="21"/>
        </w:rPr>
      </w:pPr>
      <w:r>
        <w:rPr>
          <w:color w:val="000000"/>
          <w:szCs w:val="21"/>
        </w:rPr>
        <w:t>3</w:t>
      </w:r>
      <w:r>
        <w:rPr>
          <w:rFonts w:ascii="宋体" w:cs="宋体" w:hint="eastAsia"/>
          <w:color w:val="000000"/>
          <w:szCs w:val="21"/>
          <w:lang w:val="zh-CN"/>
        </w:rPr>
        <w:t>、如乙方提供的咨询服务文件不符合质量要求，必须在甲方提出要求后</w:t>
      </w:r>
      <w:r>
        <w:rPr>
          <w:color w:val="000000"/>
          <w:szCs w:val="21"/>
        </w:rPr>
        <w:t>7</w:t>
      </w:r>
      <w:r>
        <w:rPr>
          <w:rFonts w:ascii="宋体" w:cs="宋体" w:hint="eastAsia"/>
          <w:color w:val="000000"/>
          <w:szCs w:val="21"/>
          <w:lang w:val="zh-CN"/>
        </w:rPr>
        <w:t>天内无条件修改，其费用由乙方承担。</w:t>
      </w:r>
    </w:p>
    <w:p>
      <w:pPr>
        <w:autoSpaceDE w:val="0"/>
        <w:autoSpaceDN w:val="0"/>
        <w:adjustRightInd w:val="0"/>
        <w:ind w:firstLine="420"/>
        <w:rPr>
          <w:color w:val="000000"/>
          <w:szCs w:val="21"/>
        </w:rPr>
      </w:pPr>
      <w:r>
        <w:rPr>
          <w:color w:val="000000"/>
          <w:szCs w:val="21"/>
        </w:rPr>
        <w:t>4</w:t>
      </w:r>
      <w:r>
        <w:rPr>
          <w:rFonts w:ascii="宋体" w:cs="宋体" w:hint="eastAsia"/>
          <w:color w:val="000000"/>
          <w:szCs w:val="21"/>
          <w:lang w:val="zh-CN"/>
        </w:rPr>
        <w:t>、若甲方发现乙方派出的试验服务人员或提供的试验仪器设备不符合合同要求，乙方应在</w:t>
      </w:r>
      <w:r>
        <w:rPr>
          <w:color w:val="000000"/>
          <w:szCs w:val="21"/>
        </w:rPr>
        <w:t>3</w:t>
      </w:r>
      <w:r>
        <w:rPr>
          <w:rFonts w:ascii="宋体" w:cs="宋体" w:hint="eastAsia"/>
          <w:color w:val="000000"/>
          <w:szCs w:val="21"/>
          <w:lang w:val="zh-CN"/>
        </w:rPr>
        <w:t>天之内按要求派出人员或提供满足投标文件承诺的仪器设备，否则甲方有权终止合同，并保留追究乙方责任及要求赔偿损失的权利。</w:t>
      </w:r>
    </w:p>
    <w:p>
      <w:pPr>
        <w:autoSpaceDE w:val="0"/>
        <w:autoSpaceDN w:val="0"/>
        <w:adjustRightInd w:val="0"/>
        <w:ind w:firstLine="422"/>
        <w:rPr>
          <w:b/>
          <w:bCs/>
          <w:color w:val="000000"/>
          <w:szCs w:val="21"/>
        </w:rPr>
      </w:pPr>
      <w:r>
        <w:rPr>
          <w:rFonts w:ascii="宋体" w:cs="宋体" w:hint="eastAsia"/>
          <w:b/>
          <w:bCs/>
          <w:color w:val="000000"/>
          <w:szCs w:val="21"/>
          <w:lang w:val="zh-CN"/>
        </w:rPr>
        <w:t>第十九条其他</w:t>
      </w:r>
    </w:p>
    <w:p>
      <w:pPr>
        <w:autoSpaceDE w:val="0"/>
        <w:autoSpaceDN w:val="0"/>
        <w:adjustRightInd w:val="0"/>
        <w:ind w:firstLine="420"/>
        <w:rPr>
          <w:color w:val="000000"/>
          <w:szCs w:val="21"/>
        </w:rPr>
      </w:pPr>
      <w:r>
        <w:rPr>
          <w:color w:val="000000"/>
          <w:szCs w:val="21"/>
        </w:rPr>
        <w:t>1</w:t>
      </w:r>
      <w:r>
        <w:rPr>
          <w:rFonts w:ascii="宋体" w:cs="宋体" w:hint="eastAsia"/>
          <w:color w:val="000000"/>
          <w:szCs w:val="21"/>
          <w:lang w:val="zh-CN"/>
        </w:rPr>
        <w:t>、本合同与招标文件、乙方投标文件如有抵触之处，以本合同条款为准。</w:t>
      </w:r>
    </w:p>
    <w:p>
      <w:pPr>
        <w:autoSpaceDE w:val="0"/>
        <w:autoSpaceDN w:val="0"/>
        <w:adjustRightInd w:val="0"/>
        <w:ind w:firstLine="420"/>
        <w:rPr>
          <w:color w:val="000000"/>
          <w:szCs w:val="21"/>
        </w:rPr>
      </w:pPr>
      <w:r>
        <w:rPr>
          <w:color w:val="000000"/>
          <w:szCs w:val="21"/>
        </w:rPr>
        <w:t>2</w:t>
      </w:r>
      <w:r>
        <w:rPr>
          <w:rFonts w:ascii="宋体" w:cs="宋体" w:hint="eastAsia"/>
          <w:color w:val="000000"/>
          <w:szCs w:val="21"/>
          <w:lang w:val="zh-CN"/>
        </w:rPr>
        <w:t>、下列文件均为本合同的组成部分：</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1</w:t>
      </w:r>
      <w:r>
        <w:rPr>
          <w:rFonts w:ascii="宋体" w:cs="宋体" w:hint="eastAsia"/>
          <w:color w:val="000000"/>
          <w:szCs w:val="21"/>
          <w:lang w:val="zh-CN"/>
        </w:rPr>
        <w:t>）招标文件、答疑及补充通知；</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2</w:t>
      </w:r>
      <w:r>
        <w:rPr>
          <w:rFonts w:ascii="宋体" w:cs="宋体" w:hint="eastAsia"/>
          <w:color w:val="000000"/>
          <w:szCs w:val="21"/>
          <w:lang w:val="zh-CN"/>
        </w:rPr>
        <w:t>）投标文件；</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3</w:t>
      </w:r>
      <w:r>
        <w:rPr>
          <w:rFonts w:ascii="宋体" w:cs="宋体" w:hint="eastAsia"/>
          <w:color w:val="000000"/>
          <w:szCs w:val="21"/>
          <w:lang w:val="zh-CN"/>
        </w:rPr>
        <w:t>）本合同执行中共同签署的补充与修正文件。</w:t>
      </w:r>
    </w:p>
    <w:p>
      <w:pPr>
        <w:autoSpaceDE w:val="0"/>
        <w:autoSpaceDN w:val="0"/>
        <w:adjustRightInd w:val="0"/>
        <w:ind w:firstLine="420"/>
        <w:rPr>
          <w:color w:val="000000"/>
          <w:szCs w:val="21"/>
        </w:rPr>
      </w:pPr>
      <w:r>
        <w:rPr>
          <w:rFonts w:ascii="宋体" w:cs="宋体" w:hint="eastAsia"/>
          <w:color w:val="000000"/>
          <w:szCs w:val="21"/>
          <w:lang w:val="zh-CN"/>
        </w:rPr>
        <w:t>本合同一式份，甲、乙方双方各执份，具有同等法律效力。本合同自双方法人代表签字（盖章）认可之日起生效。</w:t>
      </w:r>
    </w:p>
    <w:p>
      <w:pPr>
        <w:autoSpaceDE w:val="0"/>
        <w:autoSpaceDN w:val="0"/>
        <w:adjustRightInd w:val="0"/>
        <w:ind w:firstLine="420"/>
        <w:rPr>
          <w:color w:val="000000"/>
          <w:szCs w:val="21"/>
        </w:rPr>
      </w:pPr>
      <w:r>
        <w:rPr>
          <w:rFonts w:ascii="宋体" w:cs="宋体" w:hint="eastAsia"/>
          <w:color w:val="000000"/>
          <w:szCs w:val="21"/>
          <w:lang w:val="zh-CN"/>
        </w:rPr>
        <w:t>本合同未尽事宜，双方友好协商，达成解决方案，经双方签字后，可作为本合同的有效附件。</w:t>
      </w:r>
    </w:p>
    <w:p>
      <w:pPr>
        <w:autoSpaceDE w:val="0"/>
        <w:autoSpaceDN w:val="0"/>
        <w:adjustRightInd w:val="0"/>
        <w:rPr>
          <w:b/>
          <w:bCs/>
          <w:color w:val="000000"/>
          <w:szCs w:val="21"/>
        </w:rPr>
      </w:pPr>
    </w:p>
    <w:p>
      <w:pPr>
        <w:autoSpaceDE w:val="0"/>
        <w:autoSpaceDN w:val="0"/>
        <w:adjustRightInd w:val="0"/>
        <w:rPr>
          <w:b/>
          <w:bCs/>
          <w:color w:val="000000"/>
          <w:szCs w:val="21"/>
        </w:rPr>
      </w:pPr>
    </w:p>
    <w:p>
      <w:pPr>
        <w:autoSpaceDE w:val="0"/>
        <w:autoSpaceDN w:val="0"/>
        <w:adjustRightInd w:val="0"/>
        <w:rPr>
          <w:b/>
          <w:bCs/>
          <w:color w:val="000000"/>
          <w:szCs w:val="21"/>
        </w:rPr>
      </w:pPr>
      <w:r>
        <w:rPr>
          <w:rFonts w:ascii="宋体" w:cs="宋体" w:hint="eastAsia"/>
          <w:b/>
          <w:bCs/>
          <w:color w:val="000000"/>
          <w:szCs w:val="21"/>
          <w:lang w:val="zh-CN"/>
        </w:rPr>
        <w:t>甲方：乙方：</w:t>
      </w:r>
      <w:r>
        <w:rPr>
          <w:rFonts w:ascii="宋体" w:cs="宋体"/>
          <w:color w:val="000000"/>
          <w:szCs w:val="21"/>
          <w:u w:val="single"/>
          <w:lang w:val="zh-CN"/>
        </w:rPr>
        <w:t xml:space="preserve">__________________________ </w:t>
      </w:r>
    </w:p>
    <w:p>
      <w:pPr>
        <w:autoSpaceDE w:val="0"/>
        <w:autoSpaceDN w:val="0"/>
        <w:adjustRightInd w:val="0"/>
        <w:rPr>
          <w:b/>
          <w:bCs/>
          <w:color w:val="000000"/>
          <w:szCs w:val="21"/>
        </w:rPr>
      </w:pPr>
      <w:r>
        <w:rPr>
          <w:rFonts w:ascii="宋体" w:cs="宋体" w:hint="eastAsia"/>
          <w:b/>
          <w:bCs/>
          <w:color w:val="000000"/>
          <w:szCs w:val="21"/>
          <w:lang w:val="zh-CN"/>
        </w:rPr>
        <w:t>（签章）（签章）</w:t>
      </w:r>
    </w:p>
    <w:p>
      <w:pPr>
        <w:autoSpaceDE w:val="0"/>
        <w:autoSpaceDN w:val="0"/>
        <w:adjustRightInd w:val="0"/>
        <w:rPr>
          <w:b/>
          <w:bCs/>
          <w:color w:val="000000"/>
          <w:szCs w:val="21"/>
        </w:rPr>
      </w:pPr>
    </w:p>
    <w:p>
      <w:pPr>
        <w:autoSpaceDE w:val="0"/>
        <w:autoSpaceDN w:val="0"/>
        <w:adjustRightInd w:val="0"/>
        <w:rPr>
          <w:b/>
          <w:bCs/>
          <w:color w:val="000000"/>
          <w:szCs w:val="21"/>
        </w:rPr>
      </w:pPr>
      <w:r>
        <w:rPr>
          <w:rFonts w:ascii="宋体" w:cs="宋体" w:hint="eastAsia"/>
          <w:b/>
          <w:bCs/>
          <w:color w:val="000000"/>
          <w:szCs w:val="21"/>
          <w:lang w:val="zh-CN"/>
        </w:rPr>
        <w:t>地址：地址：</w:t>
      </w:r>
    </w:p>
    <w:p>
      <w:pPr>
        <w:autoSpaceDE w:val="0"/>
        <w:autoSpaceDN w:val="0"/>
        <w:adjustRightInd w:val="0"/>
        <w:rPr>
          <w:b/>
          <w:bCs/>
          <w:color w:val="000000"/>
          <w:szCs w:val="21"/>
        </w:rPr>
      </w:pPr>
      <w:r>
        <w:rPr>
          <w:rFonts w:ascii="宋体" w:cs="宋体" w:hint="eastAsia"/>
          <w:b/>
          <w:bCs/>
          <w:color w:val="000000"/>
          <w:szCs w:val="21"/>
          <w:lang w:val="zh-CN"/>
        </w:rPr>
        <w:t>法定代表人：（签章）法定代表人：（签章）</w:t>
      </w:r>
    </w:p>
    <w:p>
      <w:pPr>
        <w:autoSpaceDE w:val="0"/>
        <w:autoSpaceDN w:val="0"/>
        <w:adjustRightInd w:val="0"/>
        <w:rPr>
          <w:b/>
          <w:bCs/>
          <w:color w:val="000000"/>
          <w:szCs w:val="21"/>
        </w:rPr>
      </w:pPr>
      <w:r>
        <w:rPr>
          <w:rFonts w:ascii="宋体" w:cs="宋体" w:hint="eastAsia"/>
          <w:b/>
          <w:bCs/>
          <w:color w:val="000000"/>
          <w:szCs w:val="21"/>
          <w:lang w:val="zh-CN"/>
        </w:rPr>
        <w:t>开户行：开户行：</w:t>
      </w:r>
    </w:p>
    <w:p>
      <w:pPr>
        <w:autoSpaceDE w:val="0"/>
        <w:autoSpaceDN w:val="0"/>
        <w:adjustRightInd w:val="0"/>
        <w:rPr>
          <w:b/>
          <w:bCs/>
          <w:color w:val="000000"/>
          <w:szCs w:val="21"/>
        </w:rPr>
      </w:pPr>
      <w:r>
        <w:rPr>
          <w:rFonts w:ascii="宋体" w:cs="宋体" w:hint="eastAsia"/>
          <w:b/>
          <w:bCs/>
          <w:color w:val="000000"/>
          <w:szCs w:val="21"/>
          <w:lang w:val="zh-CN"/>
        </w:rPr>
        <w:t>人民币帐号：人民币帐号：</w:t>
      </w:r>
    </w:p>
    <w:p>
      <w:pPr>
        <w:autoSpaceDE w:val="0"/>
        <w:autoSpaceDN w:val="0"/>
        <w:adjustRightInd w:val="0"/>
        <w:rPr>
          <w:b/>
          <w:bCs/>
          <w:color w:val="000000"/>
          <w:szCs w:val="21"/>
        </w:rPr>
      </w:pPr>
      <w:r>
        <w:rPr>
          <w:rFonts w:ascii="宋体" w:cs="宋体" w:hint="eastAsia"/>
          <w:b/>
          <w:bCs/>
          <w:color w:val="000000"/>
          <w:szCs w:val="21"/>
          <w:lang w:val="zh-CN"/>
        </w:rPr>
        <w:t>联系人：联系人：</w:t>
      </w:r>
    </w:p>
    <w:p>
      <w:pPr>
        <w:autoSpaceDE w:val="0"/>
        <w:autoSpaceDN w:val="0"/>
        <w:adjustRightInd w:val="0"/>
        <w:rPr>
          <w:b/>
          <w:bCs/>
          <w:color w:val="000000"/>
          <w:szCs w:val="21"/>
        </w:rPr>
      </w:pPr>
      <w:r>
        <w:rPr>
          <w:rFonts w:ascii="宋体" w:cs="宋体" w:hint="eastAsia"/>
          <w:b/>
          <w:bCs/>
          <w:color w:val="000000"/>
          <w:szCs w:val="21"/>
          <w:lang w:val="zh-CN"/>
        </w:rPr>
        <w:t>电话：电话：</w:t>
      </w:r>
    </w:p>
    <w:p>
      <w:pPr>
        <w:spacing w:line="360" w:lineRule="exact"/>
        <w:rPr>
          <w:rFonts w:ascii="宋体" w:hAnsi="宋体"/>
          <w:b/>
          <w:szCs w:val="21"/>
        </w:rPr>
      </w:pPr>
      <w:r>
        <w:rPr>
          <w:rFonts w:ascii="宋体" w:cs="宋体" w:hint="eastAsia"/>
          <w:b/>
          <w:bCs/>
          <w:color w:val="000000"/>
          <w:szCs w:val="21"/>
          <w:lang w:val="zh-CN"/>
        </w:rPr>
        <w:t>日期：日期：</w:t>
      </w:r>
    </w:p>
    <w:p>
      <w:pPr>
        <w:jc w:val="center"/>
        <w:rPr>
          <w:rFonts w:ascii="Verdana" w:eastAsia="仿宋_GB2312" w:hAnsi="Verdana"/>
          <w:b/>
          <w:color w:val="FF0000"/>
        </w:rPr>
      </w:pPr>
    </w:p>
    <w:p>
      <w:pPr>
        <w:spacing w:line="240" w:lineRule="atLeast"/>
        <w:jc w:val="center"/>
        <w:rPr>
          <w:rFonts w:ascii="黑体" w:eastAsia="黑体" w:hAnsi="黑体"/>
          <w:b/>
          <w:sz w:val="28"/>
          <w:szCs w:val="28"/>
        </w:rPr>
      </w:pPr>
      <w:r>
        <w:rPr>
          <w:szCs w:val="21"/>
        </w:rPr>
        <w:br w:type="page"/>
      </w:r>
      <w:r>
        <w:rPr>
          <w:rFonts w:ascii="黑体" w:eastAsia="黑体" w:hAnsi="黑体" w:hint="eastAsia"/>
          <w:b/>
          <w:sz w:val="28"/>
          <w:szCs w:val="28"/>
        </w:rPr>
        <w:t>第二册  通用条款</w:t>
      </w:r>
    </w:p>
    <w:p>
      <w:pPr>
        <w:pStyle w:val="Heading2"/>
        <w:rPr>
          <w:color w:val="000000"/>
          <w:sz w:val="28"/>
          <w:szCs w:val="28"/>
          <w:lang w:val="zh-CN"/>
        </w:rPr>
      </w:pPr>
      <w:r>
        <w:rPr>
          <w:rFonts w:hint="eastAsia"/>
          <w:color w:val="000000"/>
          <w:sz w:val="28"/>
          <w:szCs w:val="28"/>
          <w:lang w:val="zh-CN"/>
        </w:rPr>
        <w:t>第一章总则</w:t>
      </w:r>
    </w:p>
    <w:p>
      <w:pPr>
        <w:autoSpaceDE w:val="0"/>
        <w:autoSpaceDN w:val="0"/>
        <w:adjustRightInd w:val="0"/>
        <w:ind w:firstLine="422"/>
        <w:rPr>
          <w:b/>
          <w:bCs/>
          <w:color w:val="000000"/>
          <w:szCs w:val="21"/>
        </w:rPr>
      </w:pPr>
      <w:r>
        <w:rPr>
          <w:b/>
          <w:bCs/>
          <w:color w:val="000000"/>
          <w:szCs w:val="21"/>
        </w:rPr>
        <w:t>1.</w:t>
      </w:r>
      <w:r>
        <w:rPr>
          <w:rFonts w:ascii="宋体" w:cs="宋体" w:hint="eastAsia"/>
          <w:b/>
          <w:bCs/>
          <w:color w:val="000000"/>
          <w:szCs w:val="21"/>
          <w:lang w:val="zh-CN"/>
        </w:rPr>
        <w:t>通用条款说明</w:t>
      </w:r>
    </w:p>
    <w:p>
      <w:pPr>
        <w:autoSpaceDE w:val="0"/>
        <w:autoSpaceDN w:val="0"/>
        <w:adjustRightInd w:val="0"/>
        <w:ind w:firstLine="420"/>
        <w:rPr>
          <w:color w:val="000000"/>
          <w:szCs w:val="21"/>
        </w:rPr>
      </w:pPr>
      <w:r>
        <w:rPr>
          <w:rFonts w:ascii="宋体" w:cs="宋体" w:hint="eastAsia"/>
          <w:color w:val="000000"/>
          <w:szCs w:val="21"/>
          <w:lang w:val="zh-CN"/>
        </w:rPr>
        <w:t>社会采购代理机构发出招标文件通用条款版本，列出光明区政府采购项目进行招标采购所适用的通用条款内容。如有需要，社会采购代理机构可以对通用条款增加附录或补充内容。</w:t>
      </w:r>
    </w:p>
    <w:p>
      <w:pPr>
        <w:autoSpaceDE w:val="0"/>
        <w:autoSpaceDN w:val="0"/>
        <w:adjustRightInd w:val="0"/>
        <w:ind w:firstLine="422"/>
        <w:rPr>
          <w:b/>
          <w:bCs/>
          <w:color w:val="000000"/>
          <w:szCs w:val="21"/>
        </w:rPr>
      </w:pPr>
      <w:r>
        <w:rPr>
          <w:b/>
          <w:bCs/>
          <w:color w:val="000000"/>
          <w:szCs w:val="21"/>
        </w:rPr>
        <w:t>2</w:t>
      </w:r>
      <w:r>
        <w:rPr>
          <w:rFonts w:ascii="宋体" w:cs="宋体" w:hint="eastAsia"/>
          <w:b/>
          <w:bCs/>
          <w:color w:val="000000"/>
          <w:szCs w:val="21"/>
          <w:lang w:val="zh-CN"/>
        </w:rPr>
        <w:t>．招标说明</w:t>
      </w:r>
    </w:p>
    <w:p>
      <w:pPr>
        <w:autoSpaceDE w:val="0"/>
        <w:autoSpaceDN w:val="0"/>
        <w:adjustRightInd w:val="0"/>
        <w:ind w:firstLine="420"/>
        <w:rPr>
          <w:color w:val="000000"/>
          <w:szCs w:val="21"/>
        </w:rPr>
      </w:pPr>
      <w:r>
        <w:rPr>
          <w:rFonts w:ascii="宋体" w:cs="宋体" w:hint="eastAsia"/>
          <w:color w:val="000000"/>
          <w:szCs w:val="21"/>
          <w:lang w:val="zh-CN"/>
        </w:rPr>
        <w:t>本项目按照《深圳经济特区政府采购条例》、《深圳经济特区政府采购条例实施细则》和《深圳网上政府采购管理暂行办法》等规定，并参考有关法规、政策、规章、规定通过招标方式择优选定供应商。</w:t>
      </w:r>
    </w:p>
    <w:p>
      <w:pPr>
        <w:autoSpaceDE w:val="0"/>
        <w:autoSpaceDN w:val="0"/>
        <w:adjustRightInd w:val="0"/>
        <w:ind w:firstLine="422"/>
        <w:rPr>
          <w:b/>
          <w:bCs/>
          <w:color w:val="000000"/>
          <w:szCs w:val="21"/>
        </w:rPr>
      </w:pPr>
      <w:r>
        <w:rPr>
          <w:b/>
          <w:bCs/>
          <w:color w:val="000000"/>
          <w:szCs w:val="21"/>
        </w:rPr>
        <w:t>3.</w:t>
      </w:r>
      <w:r>
        <w:rPr>
          <w:rFonts w:ascii="宋体" w:cs="宋体" w:hint="eastAsia"/>
          <w:b/>
          <w:bCs/>
          <w:color w:val="000000"/>
          <w:szCs w:val="21"/>
          <w:lang w:val="zh-CN"/>
        </w:rPr>
        <w:t>采购单位、社会采购代理机构、投标人</w:t>
      </w:r>
    </w:p>
    <w:p>
      <w:pPr>
        <w:autoSpaceDE w:val="0"/>
        <w:autoSpaceDN w:val="0"/>
        <w:adjustRightInd w:val="0"/>
        <w:ind w:firstLine="420"/>
        <w:rPr>
          <w:color w:val="000000"/>
          <w:szCs w:val="21"/>
        </w:rPr>
      </w:pPr>
      <w:r>
        <w:rPr>
          <w:color w:val="000000"/>
          <w:szCs w:val="21"/>
        </w:rPr>
        <w:t>3.1</w:t>
      </w:r>
      <w:r>
        <w:rPr>
          <w:rFonts w:ascii="宋体" w:cs="宋体"/>
          <w:color w:val="000000"/>
          <w:szCs w:val="21"/>
          <w:lang w:val="zh-CN"/>
        </w:rPr>
        <w:t>“</w:t>
      </w:r>
      <w:r>
        <w:rPr>
          <w:rFonts w:ascii="宋体" w:cs="宋体" w:hint="eastAsia"/>
          <w:color w:val="000000"/>
          <w:szCs w:val="21"/>
          <w:lang w:val="zh-CN"/>
        </w:rPr>
        <w:t>社会采购代理机构</w:t>
      </w:r>
      <w:r>
        <w:rPr>
          <w:rFonts w:ascii="宋体" w:cs="宋体"/>
          <w:color w:val="000000"/>
          <w:szCs w:val="21"/>
          <w:lang w:val="zh-CN"/>
        </w:rPr>
        <w:t>”</w:t>
      </w:r>
      <w:r>
        <w:rPr>
          <w:rFonts w:ascii="宋体" w:cs="宋体" w:hint="eastAsia"/>
          <w:color w:val="000000"/>
          <w:szCs w:val="21"/>
          <w:lang w:val="zh-CN"/>
        </w:rPr>
        <w:t>：本项目系指深圳市德顺项目咨询有限公司，以下简称“代理机构”；</w:t>
      </w:r>
    </w:p>
    <w:p>
      <w:pPr>
        <w:autoSpaceDE w:val="0"/>
        <w:autoSpaceDN w:val="0"/>
        <w:adjustRightInd w:val="0"/>
        <w:ind w:firstLine="420"/>
        <w:rPr>
          <w:color w:val="000000"/>
          <w:szCs w:val="21"/>
        </w:rPr>
      </w:pPr>
      <w:r>
        <w:rPr>
          <w:color w:val="000000"/>
          <w:szCs w:val="21"/>
        </w:rPr>
        <w:t>3.2</w:t>
      </w:r>
      <w:r>
        <w:rPr>
          <w:rFonts w:ascii="宋体" w:cs="宋体"/>
          <w:color w:val="000000"/>
          <w:szCs w:val="21"/>
          <w:lang w:val="zh-CN"/>
        </w:rPr>
        <w:t>“</w:t>
      </w:r>
      <w:r>
        <w:rPr>
          <w:rFonts w:ascii="宋体" w:cs="宋体" w:hint="eastAsia"/>
          <w:color w:val="000000"/>
          <w:szCs w:val="21"/>
          <w:lang w:val="zh-CN"/>
        </w:rPr>
        <w:t>采购人</w:t>
      </w:r>
      <w:r>
        <w:rPr>
          <w:rFonts w:ascii="宋体" w:cs="宋体"/>
          <w:color w:val="000000"/>
          <w:szCs w:val="21"/>
          <w:lang w:val="zh-CN"/>
        </w:rPr>
        <w:t>”</w:t>
      </w:r>
      <w:r>
        <w:rPr>
          <w:rFonts w:ascii="宋体" w:cs="宋体" w:hint="eastAsia"/>
          <w:color w:val="000000"/>
          <w:szCs w:val="21"/>
          <w:lang w:val="zh-CN"/>
        </w:rPr>
        <w:t>或</w:t>
      </w:r>
      <w:r>
        <w:rPr>
          <w:rFonts w:ascii="宋体" w:cs="宋体"/>
          <w:color w:val="000000"/>
          <w:szCs w:val="21"/>
          <w:lang w:val="zh-CN"/>
        </w:rPr>
        <w:t>“</w:t>
      </w:r>
      <w:r>
        <w:rPr>
          <w:rFonts w:ascii="宋体" w:cs="宋体" w:hint="eastAsia"/>
          <w:color w:val="000000"/>
          <w:szCs w:val="21"/>
          <w:lang w:val="zh-CN"/>
        </w:rPr>
        <w:t>采购单位</w:t>
      </w:r>
      <w:r>
        <w:rPr>
          <w:rFonts w:ascii="宋体" w:cs="宋体"/>
          <w:color w:val="000000"/>
          <w:szCs w:val="21"/>
          <w:lang w:val="zh-CN"/>
        </w:rPr>
        <w:t>”</w:t>
      </w:r>
      <w:r>
        <w:rPr>
          <w:rFonts w:ascii="宋体" w:cs="宋体" w:hint="eastAsia"/>
          <w:color w:val="000000"/>
          <w:szCs w:val="21"/>
          <w:lang w:val="zh-CN"/>
        </w:rPr>
        <w:t>：系指利用财政性资金依法进行政府采购的国家机关、事业单位、团体组织；</w:t>
      </w:r>
    </w:p>
    <w:p>
      <w:pPr>
        <w:autoSpaceDE w:val="0"/>
        <w:autoSpaceDN w:val="0"/>
        <w:adjustRightInd w:val="0"/>
        <w:ind w:firstLine="420"/>
        <w:rPr>
          <w:color w:val="000000"/>
          <w:szCs w:val="21"/>
        </w:rPr>
      </w:pPr>
      <w:r>
        <w:rPr>
          <w:color w:val="000000"/>
          <w:szCs w:val="21"/>
        </w:rPr>
        <w:t>3.3</w:t>
      </w:r>
      <w:r>
        <w:rPr>
          <w:rFonts w:ascii="宋体" w:cs="宋体"/>
          <w:color w:val="000000"/>
          <w:szCs w:val="21"/>
          <w:lang w:val="zh-CN"/>
        </w:rPr>
        <w:t>“</w:t>
      </w:r>
      <w:r>
        <w:rPr>
          <w:rFonts w:ascii="宋体" w:cs="宋体" w:hint="eastAsia"/>
          <w:color w:val="000000"/>
          <w:szCs w:val="21"/>
          <w:lang w:val="zh-CN"/>
        </w:rPr>
        <w:t>投标人</w:t>
      </w:r>
      <w:r>
        <w:rPr>
          <w:rFonts w:ascii="宋体" w:cs="宋体"/>
          <w:color w:val="000000"/>
          <w:szCs w:val="21"/>
          <w:lang w:val="zh-CN"/>
        </w:rPr>
        <w:t>”</w:t>
      </w:r>
      <w:r>
        <w:rPr>
          <w:rFonts w:ascii="宋体" w:cs="宋体" w:hint="eastAsia"/>
          <w:color w:val="000000"/>
          <w:szCs w:val="21"/>
          <w:lang w:val="zh-CN"/>
        </w:rPr>
        <w:t>或</w:t>
      </w:r>
      <w:r>
        <w:rPr>
          <w:rFonts w:ascii="宋体" w:cs="宋体"/>
          <w:color w:val="000000"/>
          <w:szCs w:val="21"/>
          <w:lang w:val="zh-CN"/>
        </w:rPr>
        <w:t>“</w:t>
      </w:r>
      <w:r>
        <w:rPr>
          <w:rFonts w:ascii="宋体" w:cs="宋体" w:hint="eastAsia"/>
          <w:color w:val="000000"/>
          <w:szCs w:val="21"/>
          <w:lang w:val="zh-CN"/>
        </w:rPr>
        <w:t>投标方</w:t>
      </w:r>
      <w:r>
        <w:rPr>
          <w:rFonts w:ascii="宋体" w:cs="宋体"/>
          <w:color w:val="000000"/>
          <w:szCs w:val="21"/>
          <w:lang w:val="zh-CN"/>
        </w:rPr>
        <w:t>”</w:t>
      </w:r>
      <w:r>
        <w:rPr>
          <w:rFonts w:ascii="宋体" w:cs="宋体" w:hint="eastAsia"/>
          <w:color w:val="000000"/>
          <w:szCs w:val="21"/>
          <w:lang w:val="zh-CN"/>
        </w:rPr>
        <w:t>，即供应商，是指参加投标竞争并愿意按照招标文件要求向采购人提供货物、工程或者服务的依法成立的法人、其他组织或者自然人；</w:t>
      </w:r>
    </w:p>
    <w:p>
      <w:pPr>
        <w:autoSpaceDE w:val="0"/>
        <w:autoSpaceDN w:val="0"/>
        <w:adjustRightInd w:val="0"/>
        <w:ind w:firstLine="420"/>
        <w:rPr>
          <w:color w:val="000000"/>
          <w:szCs w:val="21"/>
        </w:rPr>
      </w:pPr>
      <w:r>
        <w:rPr>
          <w:color w:val="000000"/>
          <w:szCs w:val="21"/>
        </w:rPr>
        <w:t>3.4</w:t>
      </w:r>
      <w:r>
        <w:rPr>
          <w:rFonts w:ascii="宋体" w:cs="宋体"/>
          <w:color w:val="000000"/>
          <w:szCs w:val="21"/>
          <w:lang w:val="zh-CN"/>
        </w:rPr>
        <w:t>“</w:t>
      </w:r>
      <w:r>
        <w:rPr>
          <w:rFonts w:ascii="宋体" w:cs="宋体" w:hint="eastAsia"/>
          <w:color w:val="000000"/>
          <w:szCs w:val="21"/>
          <w:lang w:val="zh-CN"/>
        </w:rPr>
        <w:t>评审委员会</w:t>
      </w:r>
      <w:r>
        <w:rPr>
          <w:rFonts w:ascii="宋体" w:cs="宋体"/>
          <w:color w:val="000000"/>
          <w:szCs w:val="21"/>
          <w:lang w:val="zh-CN"/>
        </w:rPr>
        <w:t>”</w:t>
      </w:r>
      <w:r>
        <w:rPr>
          <w:rFonts w:ascii="宋体" w:cs="宋体" w:hint="eastAsia"/>
          <w:color w:val="000000"/>
          <w:szCs w:val="21"/>
          <w:lang w:val="zh-CN"/>
        </w:rPr>
        <w:t>和</w:t>
      </w:r>
      <w:r>
        <w:rPr>
          <w:rFonts w:ascii="宋体" w:cs="宋体"/>
          <w:color w:val="000000"/>
          <w:szCs w:val="21"/>
          <w:lang w:val="zh-CN"/>
        </w:rPr>
        <w:t>“</w:t>
      </w:r>
      <w:r>
        <w:rPr>
          <w:rFonts w:ascii="宋体" w:cs="宋体" w:hint="eastAsia"/>
          <w:color w:val="000000"/>
          <w:szCs w:val="21"/>
          <w:lang w:val="zh-CN"/>
        </w:rPr>
        <w:t>谈判小组</w:t>
      </w:r>
      <w:r>
        <w:rPr>
          <w:rFonts w:ascii="宋体" w:cs="宋体"/>
          <w:color w:val="000000"/>
          <w:szCs w:val="21"/>
          <w:lang w:val="zh-CN"/>
        </w:rPr>
        <w:t>”</w:t>
      </w:r>
      <w:r>
        <w:rPr>
          <w:rFonts w:ascii="宋体" w:cs="宋体" w:hint="eastAsia"/>
          <w:color w:val="000000"/>
          <w:szCs w:val="21"/>
          <w:lang w:val="zh-CN"/>
        </w:rPr>
        <w:t>是依据《深圳经济特区政府采购条例》、《深圳经济特区政府采购条例实施细则》等有关规定组建的专门负责本次评标（谈判）工作的临时性机构；</w:t>
      </w:r>
    </w:p>
    <w:p>
      <w:pPr>
        <w:autoSpaceDE w:val="0"/>
        <w:autoSpaceDN w:val="0"/>
        <w:adjustRightInd w:val="0"/>
        <w:ind w:firstLine="420"/>
        <w:rPr>
          <w:color w:val="000000"/>
          <w:szCs w:val="21"/>
        </w:rPr>
      </w:pPr>
      <w:r>
        <w:rPr>
          <w:color w:val="000000"/>
          <w:szCs w:val="21"/>
        </w:rPr>
        <w:t>3.5</w:t>
      </w:r>
      <w:r>
        <w:rPr>
          <w:rFonts w:ascii="宋体" w:cs="宋体"/>
          <w:color w:val="000000"/>
          <w:szCs w:val="21"/>
          <w:lang w:val="zh-CN"/>
        </w:rPr>
        <w:t>“</w:t>
      </w:r>
      <w:r>
        <w:rPr>
          <w:rFonts w:ascii="宋体" w:cs="宋体" w:hint="eastAsia"/>
          <w:color w:val="000000"/>
          <w:szCs w:val="21"/>
          <w:lang w:val="zh-CN"/>
        </w:rPr>
        <w:t>日期</w:t>
      </w:r>
      <w:r>
        <w:rPr>
          <w:rFonts w:ascii="宋体" w:cs="宋体"/>
          <w:color w:val="000000"/>
          <w:szCs w:val="21"/>
          <w:lang w:val="zh-CN"/>
        </w:rPr>
        <w:t>”</w:t>
      </w:r>
      <w:r>
        <w:rPr>
          <w:rFonts w:ascii="宋体" w:cs="宋体" w:hint="eastAsia"/>
          <w:color w:val="000000"/>
          <w:szCs w:val="21"/>
          <w:lang w:val="zh-CN"/>
        </w:rPr>
        <w:t>指公历日；</w:t>
      </w:r>
    </w:p>
    <w:p>
      <w:pPr>
        <w:autoSpaceDE w:val="0"/>
        <w:autoSpaceDN w:val="0"/>
        <w:adjustRightInd w:val="0"/>
        <w:ind w:firstLine="420"/>
        <w:rPr>
          <w:color w:val="000000"/>
          <w:szCs w:val="21"/>
        </w:rPr>
      </w:pPr>
      <w:r>
        <w:rPr>
          <w:color w:val="000000"/>
          <w:szCs w:val="21"/>
        </w:rPr>
        <w:t>3.6</w:t>
      </w:r>
      <w:r>
        <w:rPr>
          <w:rFonts w:ascii="宋体" w:cs="宋体"/>
          <w:color w:val="000000"/>
          <w:szCs w:val="21"/>
          <w:lang w:val="zh-CN"/>
        </w:rPr>
        <w:t>“</w:t>
      </w:r>
      <w:r>
        <w:rPr>
          <w:rFonts w:ascii="宋体" w:cs="宋体" w:hint="eastAsia"/>
          <w:color w:val="000000"/>
          <w:szCs w:val="21"/>
          <w:lang w:val="zh-CN"/>
        </w:rPr>
        <w:t>合同</w:t>
      </w:r>
      <w:r>
        <w:rPr>
          <w:rFonts w:ascii="宋体" w:cs="宋体"/>
          <w:color w:val="000000"/>
          <w:szCs w:val="21"/>
          <w:lang w:val="zh-CN"/>
        </w:rPr>
        <w:t>”</w:t>
      </w:r>
      <w:r>
        <w:rPr>
          <w:rFonts w:ascii="宋体" w:cs="宋体" w:hint="eastAsia"/>
          <w:color w:val="000000"/>
          <w:szCs w:val="21"/>
          <w:lang w:val="zh-CN"/>
        </w:rPr>
        <w:t>指由本次招标所产生的合同或合约文件；</w:t>
      </w:r>
    </w:p>
    <w:p>
      <w:pPr>
        <w:autoSpaceDE w:val="0"/>
        <w:autoSpaceDN w:val="0"/>
        <w:adjustRightInd w:val="0"/>
        <w:ind w:firstLine="420"/>
        <w:rPr>
          <w:color w:val="000000"/>
          <w:szCs w:val="21"/>
        </w:rPr>
      </w:pPr>
      <w:r>
        <w:rPr>
          <w:color w:val="000000"/>
          <w:szCs w:val="21"/>
        </w:rPr>
        <w:t>3.7</w:t>
      </w:r>
      <w:r>
        <w:rPr>
          <w:rFonts w:ascii="宋体" w:cs="宋体"/>
          <w:color w:val="000000"/>
          <w:szCs w:val="21"/>
        </w:rPr>
        <w:t>“</w:t>
      </w:r>
      <w:r>
        <w:rPr>
          <w:rFonts w:ascii="宋体" w:cs="宋体" w:hint="eastAsia"/>
          <w:color w:val="000000"/>
          <w:szCs w:val="21"/>
          <w:lang w:val="zh-CN"/>
        </w:rPr>
        <w:t>电子投标文件</w:t>
      </w:r>
      <w:r>
        <w:rPr>
          <w:rFonts w:ascii="宋体" w:cs="宋体"/>
          <w:color w:val="000000"/>
          <w:szCs w:val="21"/>
        </w:rPr>
        <w:t>”</w:t>
      </w:r>
      <w:r>
        <w:rPr>
          <w:rFonts w:ascii="宋体" w:cs="宋体" w:hint="eastAsia"/>
          <w:color w:val="000000"/>
          <w:szCs w:val="21"/>
          <w:lang w:val="zh-CN"/>
        </w:rPr>
        <w:t>指利用深圳市政府采购网提供的投标书加密软件加密的投标文件</w:t>
      </w:r>
      <w:r>
        <w:rPr>
          <w:color w:val="000000"/>
          <w:szCs w:val="21"/>
        </w:rPr>
        <w:t>,</w:t>
      </w:r>
      <w:r>
        <w:rPr>
          <w:rFonts w:ascii="宋体" w:cs="宋体" w:hint="eastAsia"/>
          <w:color w:val="000000"/>
          <w:szCs w:val="21"/>
          <w:lang w:val="zh-CN"/>
        </w:rPr>
        <w:t>适用于网上投标</w:t>
      </w:r>
      <w:r>
        <w:rPr>
          <w:rFonts w:ascii="宋体" w:cs="宋体" w:hint="eastAsia"/>
          <w:color w:val="000000"/>
          <w:szCs w:val="21"/>
        </w:rPr>
        <w:t>；（</w:t>
      </w:r>
      <w:r>
        <w:rPr>
          <w:rFonts w:ascii="宋体" w:cs="宋体" w:hint="eastAsia"/>
          <w:color w:val="000000"/>
          <w:szCs w:val="21"/>
          <w:lang w:val="zh-CN"/>
        </w:rPr>
        <w:t>此投标书加密软件可从</w:t>
      </w:r>
      <w:r>
        <w:fldChar w:fldCharType="begin"/>
      </w:r>
      <w:r>
        <w:instrText xml:space="preserve"> HYPERLINK "D:用户目录我的文档WeChat%20FilesototmiFileStorageFile2020-06www.cgzx.sz.gov.cn" </w:instrText>
      </w:r>
      <w:r>
        <w:fldChar w:fldCharType="separate"/>
      </w:r>
      <w:r>
        <w:rPr>
          <w:color w:val="000000"/>
          <w:szCs w:val="21"/>
          <w:u w:val="single"/>
        </w:rPr>
        <w:t>www.cgzx.sz.gov.cn</w:t>
      </w:r>
      <w:r>
        <w:rPr>
          <w:color w:val="000000"/>
          <w:szCs w:val="21"/>
          <w:u w:val="single"/>
        </w:rPr>
        <w:fldChar w:fldCharType="end"/>
      </w:r>
      <w:r>
        <w:rPr>
          <w:rFonts w:ascii="宋体" w:cs="宋体" w:hint="eastAsia"/>
          <w:color w:val="000000"/>
          <w:szCs w:val="21"/>
          <w:lang w:val="zh-CN"/>
        </w:rPr>
        <w:t>网站</w:t>
      </w:r>
      <w:r>
        <w:rPr>
          <w:rFonts w:ascii="宋体" w:cs="宋体"/>
          <w:color w:val="000000"/>
          <w:szCs w:val="21"/>
        </w:rPr>
        <w:t>“</w:t>
      </w:r>
      <w:r>
        <w:rPr>
          <w:rFonts w:ascii="宋体" w:cs="宋体" w:hint="eastAsia"/>
          <w:color w:val="000000"/>
          <w:szCs w:val="21"/>
          <w:lang w:val="zh-CN"/>
        </w:rPr>
        <w:t>相关软件</w:t>
      </w:r>
      <w:r>
        <w:rPr>
          <w:rFonts w:ascii="宋体" w:cs="宋体"/>
          <w:color w:val="000000"/>
          <w:szCs w:val="21"/>
        </w:rPr>
        <w:t>”</w:t>
      </w:r>
      <w:r>
        <w:rPr>
          <w:rFonts w:ascii="宋体" w:cs="宋体" w:hint="eastAsia"/>
          <w:color w:val="000000"/>
          <w:szCs w:val="21"/>
          <w:lang w:val="zh-CN"/>
        </w:rPr>
        <w:t>栏目中下载</w:t>
      </w:r>
      <w:r>
        <w:rPr>
          <w:rFonts w:ascii="宋体" w:cs="宋体" w:hint="eastAsia"/>
          <w:color w:val="000000"/>
          <w:szCs w:val="21"/>
        </w:rPr>
        <w:t>）；</w:t>
      </w:r>
    </w:p>
    <w:p>
      <w:pPr>
        <w:autoSpaceDE w:val="0"/>
        <w:autoSpaceDN w:val="0"/>
        <w:adjustRightInd w:val="0"/>
        <w:ind w:firstLine="420"/>
        <w:rPr>
          <w:color w:val="000000"/>
          <w:szCs w:val="21"/>
        </w:rPr>
      </w:pPr>
      <w:r>
        <w:rPr>
          <w:color w:val="000000"/>
          <w:szCs w:val="21"/>
        </w:rPr>
        <w:t>3.8</w:t>
      </w:r>
      <w:r>
        <w:rPr>
          <w:rFonts w:ascii="宋体" w:cs="宋体"/>
          <w:color w:val="000000"/>
          <w:szCs w:val="21"/>
          <w:lang w:val="zh-CN"/>
        </w:rPr>
        <w:t>“</w:t>
      </w:r>
      <w:r>
        <w:rPr>
          <w:rFonts w:ascii="宋体" w:cs="宋体" w:hint="eastAsia"/>
          <w:color w:val="000000"/>
          <w:szCs w:val="21"/>
          <w:lang w:val="zh-CN"/>
        </w:rPr>
        <w:t>网上投标</w:t>
      </w:r>
      <w:r>
        <w:rPr>
          <w:rFonts w:ascii="宋体" w:cs="宋体"/>
          <w:color w:val="000000"/>
          <w:szCs w:val="21"/>
          <w:lang w:val="zh-CN"/>
        </w:rPr>
        <w:t>”</w:t>
      </w:r>
      <w:r>
        <w:rPr>
          <w:rFonts w:ascii="宋体" w:cs="宋体" w:hint="eastAsia"/>
          <w:color w:val="000000"/>
          <w:szCs w:val="21"/>
          <w:lang w:val="zh-CN"/>
        </w:rPr>
        <w:t>指通过深圳市政府采购网上传电子投标文件；</w:t>
      </w:r>
    </w:p>
    <w:p>
      <w:pPr>
        <w:autoSpaceDE w:val="0"/>
        <w:autoSpaceDN w:val="0"/>
        <w:adjustRightInd w:val="0"/>
        <w:ind w:firstLine="420"/>
        <w:rPr>
          <w:color w:val="000000"/>
          <w:szCs w:val="21"/>
        </w:rPr>
      </w:pPr>
      <w:r>
        <w:rPr>
          <w:color w:val="000000"/>
          <w:szCs w:val="21"/>
        </w:rPr>
        <w:t>3.9</w:t>
      </w:r>
      <w:r>
        <w:rPr>
          <w:rFonts w:ascii="宋体" w:cs="宋体" w:hint="eastAsia"/>
          <w:color w:val="000000"/>
          <w:szCs w:val="21"/>
          <w:lang w:val="zh-CN"/>
        </w:rPr>
        <w:t>招标文件中的标题或题名仅起引导作用，而不应视为对招标文件内容的理解和解释。</w:t>
      </w:r>
    </w:p>
    <w:p>
      <w:pPr>
        <w:autoSpaceDE w:val="0"/>
        <w:autoSpaceDN w:val="0"/>
        <w:adjustRightInd w:val="0"/>
        <w:ind w:firstLine="422"/>
        <w:rPr>
          <w:b/>
          <w:bCs/>
          <w:color w:val="000000"/>
          <w:szCs w:val="21"/>
        </w:rPr>
      </w:pPr>
      <w:r>
        <w:rPr>
          <w:b/>
          <w:bCs/>
          <w:color w:val="000000"/>
          <w:szCs w:val="21"/>
        </w:rPr>
        <w:t xml:space="preserve">4. </w:t>
      </w:r>
      <w:r>
        <w:rPr>
          <w:rFonts w:ascii="宋体" w:cs="宋体" w:hint="eastAsia"/>
          <w:b/>
          <w:bCs/>
          <w:color w:val="000000"/>
          <w:szCs w:val="21"/>
          <w:lang w:val="zh-CN"/>
        </w:rPr>
        <w:t>政府采购供应商责任</w:t>
      </w:r>
    </w:p>
    <w:p>
      <w:pPr>
        <w:autoSpaceDE w:val="0"/>
        <w:autoSpaceDN w:val="0"/>
        <w:adjustRightInd w:val="0"/>
        <w:ind w:firstLine="420"/>
        <w:rPr>
          <w:color w:val="000000"/>
          <w:szCs w:val="21"/>
        </w:rPr>
      </w:pPr>
      <w:r>
        <w:rPr>
          <w:color w:val="000000"/>
          <w:szCs w:val="21"/>
        </w:rPr>
        <w:t>4.1</w:t>
      </w:r>
      <w:r>
        <w:rPr>
          <w:rFonts w:ascii="宋体" w:cs="宋体" w:hint="eastAsia"/>
          <w:color w:val="000000"/>
          <w:szCs w:val="21"/>
          <w:lang w:val="zh-CN"/>
        </w:rPr>
        <w:t>欢迎诚信、有实力和有社会责任心的供应商参与政府采购事业。</w:t>
      </w:r>
    </w:p>
    <w:p>
      <w:pPr>
        <w:autoSpaceDE w:val="0"/>
        <w:autoSpaceDN w:val="0"/>
        <w:adjustRightInd w:val="0"/>
        <w:ind w:firstLine="420"/>
        <w:rPr>
          <w:color w:val="000000"/>
          <w:szCs w:val="21"/>
        </w:rPr>
      </w:pPr>
      <w:r>
        <w:rPr>
          <w:color w:val="000000"/>
          <w:szCs w:val="21"/>
        </w:rPr>
        <w:t>4.2</w:t>
      </w:r>
      <w:r>
        <w:rPr>
          <w:rFonts w:ascii="宋体" w:cs="宋体" w:hint="eastAsia"/>
          <w:color w:val="000000"/>
          <w:szCs w:val="21"/>
          <w:lang w:val="zh-CN"/>
        </w:rPr>
        <w:t>投标人应当遵循公平竞争的原则，不得恶意串通，不得妨碍其他投标人的竞争行为，不得损害采购人或者其他投标人的合法权益。如违反上述要求，经核实后，供应商的投标无效。</w:t>
      </w:r>
    </w:p>
    <w:p>
      <w:pPr>
        <w:autoSpaceDE w:val="0"/>
        <w:autoSpaceDN w:val="0"/>
        <w:adjustRightInd w:val="0"/>
        <w:ind w:firstLine="422"/>
        <w:rPr>
          <w:b/>
          <w:bCs/>
          <w:color w:val="000000"/>
          <w:szCs w:val="21"/>
        </w:rPr>
      </w:pPr>
      <w:r>
        <w:rPr>
          <w:b/>
          <w:bCs/>
          <w:color w:val="000000"/>
          <w:szCs w:val="21"/>
        </w:rPr>
        <w:t>5.</w:t>
      </w:r>
      <w:r>
        <w:rPr>
          <w:rFonts w:ascii="宋体" w:cs="宋体" w:hint="eastAsia"/>
          <w:b/>
          <w:bCs/>
          <w:color w:val="000000"/>
          <w:szCs w:val="21"/>
          <w:lang w:val="zh-CN"/>
        </w:rPr>
        <w:t>合格的投标人</w:t>
      </w:r>
    </w:p>
    <w:p>
      <w:pPr>
        <w:autoSpaceDE w:val="0"/>
        <w:autoSpaceDN w:val="0"/>
        <w:adjustRightInd w:val="0"/>
        <w:ind w:firstLine="420"/>
        <w:rPr>
          <w:color w:val="000000"/>
          <w:szCs w:val="21"/>
        </w:rPr>
      </w:pPr>
      <w:r>
        <w:rPr>
          <w:color w:val="000000"/>
          <w:szCs w:val="21"/>
        </w:rPr>
        <w:t>5.1</w:t>
      </w:r>
      <w:r>
        <w:rPr>
          <w:rFonts w:ascii="宋体" w:cs="宋体" w:hint="eastAsia"/>
          <w:color w:val="000000"/>
          <w:szCs w:val="21"/>
          <w:lang w:val="zh-CN"/>
        </w:rPr>
        <w:t>在中华人民共和国境内（不含享有独立关税地位的地区）注册，并有能力按本次招标文件的要求提供本项目相关货物、工程和服务。</w:t>
      </w:r>
    </w:p>
    <w:p>
      <w:pPr>
        <w:autoSpaceDE w:val="0"/>
        <w:autoSpaceDN w:val="0"/>
        <w:adjustRightInd w:val="0"/>
        <w:ind w:firstLine="420"/>
        <w:rPr>
          <w:color w:val="000000"/>
          <w:szCs w:val="21"/>
        </w:rPr>
      </w:pPr>
      <w:r>
        <w:rPr>
          <w:color w:val="000000"/>
          <w:szCs w:val="21"/>
        </w:rPr>
        <w:t>5.2</w:t>
      </w:r>
      <w:r>
        <w:rPr>
          <w:rFonts w:ascii="宋体" w:cs="宋体" w:hint="eastAsia"/>
          <w:color w:val="000000"/>
          <w:szCs w:val="21"/>
          <w:lang w:val="zh-CN"/>
        </w:rPr>
        <w:t>遵守并符合《中华人民共和国政府采购法》、《深圳经济特区政府采购条例》的有关规定。</w:t>
      </w:r>
    </w:p>
    <w:p>
      <w:pPr>
        <w:autoSpaceDE w:val="0"/>
        <w:autoSpaceDN w:val="0"/>
        <w:adjustRightInd w:val="0"/>
        <w:ind w:firstLine="420"/>
        <w:rPr>
          <w:color w:val="000000"/>
          <w:szCs w:val="21"/>
        </w:rPr>
      </w:pPr>
      <w:r>
        <w:rPr>
          <w:color w:val="000000"/>
          <w:szCs w:val="21"/>
        </w:rPr>
        <w:t>5.3</w:t>
      </w:r>
      <w:r>
        <w:rPr>
          <w:rFonts w:ascii="宋体" w:cs="宋体" w:hint="eastAsia"/>
          <w:color w:val="000000"/>
          <w:szCs w:val="21"/>
          <w:lang w:val="zh-CN"/>
        </w:rPr>
        <w:t>在法律上和财务上独立、合法运作并独立于采购人和招标机构的投标人。</w:t>
      </w:r>
    </w:p>
    <w:p>
      <w:pPr>
        <w:autoSpaceDE w:val="0"/>
        <w:autoSpaceDN w:val="0"/>
        <w:adjustRightInd w:val="0"/>
        <w:ind w:firstLine="420"/>
        <w:rPr>
          <w:color w:val="000000"/>
          <w:szCs w:val="21"/>
        </w:rPr>
      </w:pPr>
      <w:r>
        <w:rPr>
          <w:color w:val="000000"/>
          <w:szCs w:val="21"/>
        </w:rPr>
        <w:t>5.4</w:t>
      </w:r>
      <w:r>
        <w:rPr>
          <w:rFonts w:ascii="宋体" w:cs="宋体" w:hint="eastAsia"/>
          <w:color w:val="000000"/>
          <w:szCs w:val="21"/>
          <w:lang w:val="zh-CN"/>
        </w:rPr>
        <w:t>在深圳市政府采购中心注册的政府采购供应商。</w:t>
      </w:r>
    </w:p>
    <w:p>
      <w:pPr>
        <w:autoSpaceDE w:val="0"/>
        <w:autoSpaceDN w:val="0"/>
        <w:adjustRightInd w:val="0"/>
        <w:ind w:firstLine="420"/>
        <w:rPr>
          <w:color w:val="000000"/>
          <w:szCs w:val="21"/>
        </w:rPr>
      </w:pPr>
      <w:r>
        <w:rPr>
          <w:color w:val="000000"/>
          <w:szCs w:val="21"/>
        </w:rPr>
        <w:t>5.5</w:t>
      </w:r>
      <w:r>
        <w:rPr>
          <w:rFonts w:ascii="宋体" w:cs="宋体" w:hint="eastAsia"/>
          <w:color w:val="000000"/>
          <w:szCs w:val="21"/>
          <w:lang w:val="zh-CN"/>
        </w:rPr>
        <w:t>采购项目不接受联合投标（招标文件中有特殊要求除外）。</w:t>
      </w:r>
    </w:p>
    <w:p>
      <w:pPr>
        <w:autoSpaceDE w:val="0"/>
        <w:autoSpaceDN w:val="0"/>
        <w:adjustRightInd w:val="0"/>
        <w:ind w:firstLine="420"/>
        <w:rPr>
          <w:color w:val="000000"/>
          <w:szCs w:val="21"/>
        </w:rPr>
      </w:pPr>
      <w:r>
        <w:rPr>
          <w:color w:val="000000"/>
          <w:szCs w:val="21"/>
        </w:rPr>
        <w:t>5.6</w:t>
      </w:r>
      <w:r>
        <w:rPr>
          <w:rFonts w:ascii="宋体" w:cs="宋体" w:hint="eastAsia"/>
          <w:color w:val="000000"/>
          <w:szCs w:val="21"/>
          <w:lang w:val="zh-CN"/>
        </w:rPr>
        <w:t>参加本项目的投标人应具备的资格条件详见本项目招标公告中</w:t>
      </w:r>
      <w:r>
        <w:rPr>
          <w:rFonts w:ascii="宋体" w:cs="宋体"/>
          <w:color w:val="000000"/>
          <w:szCs w:val="21"/>
          <w:lang w:val="zh-CN"/>
        </w:rPr>
        <w:t>“</w:t>
      </w:r>
      <w:r>
        <w:rPr>
          <w:rFonts w:ascii="宋体" w:cs="宋体" w:hint="eastAsia"/>
          <w:color w:val="000000"/>
          <w:szCs w:val="21"/>
          <w:lang w:val="zh-CN"/>
        </w:rPr>
        <w:t>投标人资格要求</w:t>
      </w:r>
      <w:r>
        <w:rPr>
          <w:rFonts w:ascii="宋体" w:cs="宋体"/>
          <w:color w:val="000000"/>
          <w:szCs w:val="21"/>
          <w:lang w:val="zh-CN"/>
        </w:rPr>
        <w:t>”</w:t>
      </w:r>
      <w:r>
        <w:rPr>
          <w:rFonts w:ascii="宋体" w:cs="宋体" w:hint="eastAsia"/>
          <w:color w:val="000000"/>
          <w:szCs w:val="21"/>
          <w:lang w:val="zh-CN"/>
        </w:rPr>
        <w:t>的内容。</w:t>
      </w:r>
    </w:p>
    <w:p>
      <w:pPr>
        <w:autoSpaceDE w:val="0"/>
        <w:autoSpaceDN w:val="0"/>
        <w:adjustRightInd w:val="0"/>
        <w:ind w:firstLine="422"/>
        <w:rPr>
          <w:b/>
          <w:bCs/>
          <w:color w:val="000000"/>
          <w:szCs w:val="21"/>
        </w:rPr>
      </w:pPr>
      <w:r>
        <w:rPr>
          <w:b/>
          <w:bCs/>
          <w:color w:val="000000"/>
          <w:szCs w:val="21"/>
        </w:rPr>
        <w:t>6</w:t>
      </w:r>
      <w:r>
        <w:rPr>
          <w:rFonts w:ascii="宋体" w:cs="宋体" w:hint="eastAsia"/>
          <w:b/>
          <w:bCs/>
          <w:color w:val="000000"/>
          <w:szCs w:val="21"/>
          <w:lang w:val="zh-CN"/>
        </w:rPr>
        <w:t>．联合体投标</w:t>
      </w:r>
    </w:p>
    <w:p>
      <w:pPr>
        <w:autoSpaceDE w:val="0"/>
        <w:autoSpaceDN w:val="0"/>
        <w:adjustRightInd w:val="0"/>
        <w:ind w:firstLine="420"/>
        <w:rPr>
          <w:color w:val="000000"/>
          <w:szCs w:val="21"/>
        </w:rPr>
      </w:pPr>
      <w:r>
        <w:rPr>
          <w:color w:val="000000"/>
          <w:szCs w:val="21"/>
        </w:rPr>
        <w:t xml:space="preserve">6.1 </w:t>
      </w:r>
      <w:r>
        <w:rPr>
          <w:rFonts w:ascii="宋体" w:cs="宋体" w:hint="eastAsia"/>
          <w:color w:val="000000"/>
          <w:szCs w:val="21"/>
          <w:lang w:val="zh-CN"/>
        </w:rPr>
        <w:t>以下有关联合体投标的条款仅适用于允许投标人组成联合体投标的项目。</w:t>
      </w:r>
    </w:p>
    <w:p>
      <w:pPr>
        <w:autoSpaceDE w:val="0"/>
        <w:autoSpaceDN w:val="0"/>
        <w:adjustRightInd w:val="0"/>
        <w:ind w:firstLine="420"/>
        <w:rPr>
          <w:color w:val="000000"/>
          <w:szCs w:val="21"/>
        </w:rPr>
      </w:pPr>
      <w:r>
        <w:rPr>
          <w:color w:val="000000"/>
          <w:szCs w:val="21"/>
        </w:rPr>
        <w:t xml:space="preserve">6.2 </w:t>
      </w:r>
      <w:r>
        <w:rPr>
          <w:rFonts w:ascii="宋体" w:cs="宋体" w:hint="eastAsia"/>
          <w:color w:val="000000"/>
          <w:szCs w:val="21"/>
          <w:lang w:val="zh-CN"/>
        </w:rPr>
        <w:t>由两个或两个以上的自然人、法人或者其他组织可以组成一个联合体，以一个供应商的身份共同投标时，应符合以下原则：</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1</w:t>
      </w:r>
      <w:r>
        <w:rPr>
          <w:rFonts w:ascii="宋体" w:cs="宋体" w:hint="eastAsia"/>
          <w:color w:val="000000"/>
          <w:szCs w:val="21"/>
          <w:lang w:val="zh-CN"/>
        </w:rPr>
        <w:t>）投标联合体各方参加政府采购活动应当具备下列条件：</w:t>
      </w:r>
    </w:p>
    <w:p>
      <w:pPr>
        <w:autoSpaceDE w:val="0"/>
        <w:autoSpaceDN w:val="0"/>
        <w:adjustRightInd w:val="0"/>
        <w:ind w:firstLine="420"/>
        <w:rPr>
          <w:color w:val="000000"/>
          <w:szCs w:val="21"/>
        </w:rPr>
      </w:pPr>
      <w:r>
        <w:rPr>
          <w:color w:val="000000"/>
          <w:szCs w:val="21"/>
        </w:rPr>
        <w:t>1</w:t>
      </w:r>
      <w:r>
        <w:rPr>
          <w:rFonts w:ascii="宋体" w:cs="宋体" w:hint="eastAsia"/>
          <w:color w:val="000000"/>
          <w:szCs w:val="21"/>
          <w:lang w:val="zh-CN"/>
        </w:rPr>
        <w:t>）具有独立承担民事责任的能力；</w:t>
      </w:r>
    </w:p>
    <w:p>
      <w:pPr>
        <w:autoSpaceDE w:val="0"/>
        <w:autoSpaceDN w:val="0"/>
        <w:adjustRightInd w:val="0"/>
        <w:ind w:firstLine="420"/>
        <w:rPr>
          <w:color w:val="000000"/>
          <w:szCs w:val="21"/>
        </w:rPr>
      </w:pPr>
      <w:r>
        <w:rPr>
          <w:color w:val="000000"/>
          <w:szCs w:val="21"/>
        </w:rPr>
        <w:t>2</w:t>
      </w:r>
      <w:r>
        <w:rPr>
          <w:rFonts w:ascii="宋体" w:cs="宋体" w:hint="eastAsia"/>
          <w:color w:val="000000"/>
          <w:szCs w:val="21"/>
          <w:lang w:val="zh-CN"/>
        </w:rPr>
        <w:t>）有良好的商业信誉和健全的财务会计制度；</w:t>
      </w:r>
    </w:p>
    <w:p>
      <w:pPr>
        <w:autoSpaceDE w:val="0"/>
        <w:autoSpaceDN w:val="0"/>
        <w:adjustRightInd w:val="0"/>
        <w:ind w:firstLine="420"/>
        <w:rPr>
          <w:color w:val="000000"/>
          <w:szCs w:val="21"/>
        </w:rPr>
      </w:pPr>
      <w:r>
        <w:rPr>
          <w:color w:val="000000"/>
          <w:szCs w:val="21"/>
        </w:rPr>
        <w:t>3</w:t>
      </w:r>
      <w:r>
        <w:rPr>
          <w:rFonts w:ascii="宋体" w:cs="宋体" w:hint="eastAsia"/>
          <w:color w:val="000000"/>
          <w:szCs w:val="21"/>
          <w:lang w:val="zh-CN"/>
        </w:rPr>
        <w:t>）具有履行合同所必需的设备和专业技术能力；</w:t>
      </w:r>
    </w:p>
    <w:p>
      <w:pPr>
        <w:autoSpaceDE w:val="0"/>
        <w:autoSpaceDN w:val="0"/>
        <w:adjustRightInd w:val="0"/>
        <w:ind w:firstLine="420"/>
        <w:rPr>
          <w:color w:val="000000"/>
          <w:szCs w:val="21"/>
        </w:rPr>
      </w:pPr>
      <w:r>
        <w:rPr>
          <w:color w:val="000000"/>
          <w:szCs w:val="21"/>
        </w:rPr>
        <w:t>4</w:t>
      </w:r>
      <w:r>
        <w:rPr>
          <w:rFonts w:ascii="宋体" w:cs="宋体" w:hint="eastAsia"/>
          <w:color w:val="000000"/>
          <w:szCs w:val="21"/>
          <w:lang w:val="zh-CN"/>
        </w:rPr>
        <w:t>）有依法缴纳税收和社会保障资金的良好记录；</w:t>
      </w:r>
    </w:p>
    <w:p>
      <w:pPr>
        <w:autoSpaceDE w:val="0"/>
        <w:autoSpaceDN w:val="0"/>
        <w:adjustRightInd w:val="0"/>
        <w:ind w:firstLine="420"/>
        <w:rPr>
          <w:color w:val="000000"/>
          <w:szCs w:val="21"/>
        </w:rPr>
      </w:pPr>
      <w:r>
        <w:rPr>
          <w:color w:val="000000"/>
          <w:szCs w:val="21"/>
        </w:rPr>
        <w:t>5</w:t>
      </w:r>
      <w:r>
        <w:rPr>
          <w:rFonts w:ascii="宋体" w:cs="宋体" w:hint="eastAsia"/>
          <w:color w:val="000000"/>
          <w:szCs w:val="21"/>
          <w:lang w:val="zh-CN"/>
        </w:rPr>
        <w:t>）参加政府采购活动前三年内，在经营活动中没有重大违法记录；</w:t>
      </w:r>
    </w:p>
    <w:p>
      <w:pPr>
        <w:autoSpaceDE w:val="0"/>
        <w:autoSpaceDN w:val="0"/>
        <w:adjustRightInd w:val="0"/>
        <w:ind w:firstLine="420"/>
        <w:rPr>
          <w:color w:val="000000"/>
          <w:szCs w:val="21"/>
        </w:rPr>
      </w:pPr>
      <w:r>
        <w:rPr>
          <w:color w:val="000000"/>
          <w:szCs w:val="21"/>
        </w:rPr>
        <w:t>6</w:t>
      </w:r>
      <w:r>
        <w:rPr>
          <w:rFonts w:ascii="宋体" w:cs="宋体" w:hint="eastAsia"/>
          <w:color w:val="000000"/>
          <w:szCs w:val="21"/>
          <w:lang w:val="zh-CN"/>
        </w:rPr>
        <w:t>）法律、行政法规规定的其他条件。</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2</w:t>
      </w:r>
      <w:r>
        <w:rPr>
          <w:rFonts w:ascii="宋体" w:cs="宋体" w:hint="eastAsia"/>
          <w:color w:val="000000"/>
          <w:szCs w:val="21"/>
          <w:lang w:val="zh-CN"/>
        </w:rPr>
        <w:t>）投标联合体各方必须有一方先行注册成深圳市政府采购中心供应商；</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3</w:t>
      </w:r>
      <w:r>
        <w:rPr>
          <w:rFonts w:ascii="宋体" w:cs="宋体" w:hint="eastAsia"/>
          <w:color w:val="000000"/>
          <w:szCs w:val="21"/>
          <w:lang w:val="zh-CN"/>
        </w:rPr>
        <w:t>）联合体中有同类资质的供应商按照联合体分工承担相同工作的，应当按照资质等级较低的供应商确定资质等级；</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4</w:t>
      </w:r>
      <w:r>
        <w:rPr>
          <w:rFonts w:ascii="宋体" w:cs="宋体" w:hint="eastAsia"/>
          <w:color w:val="000000"/>
          <w:szCs w:val="21"/>
          <w:lang w:val="zh-CN"/>
        </w:rPr>
        <w:t>）是否允许联合体参加投标，应当由采购人根据项目的实际情况和潜在供应商的数量自主决定，如果决定接受联合体投标则应当在采购公告中明示；</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5</w:t>
      </w:r>
      <w:r>
        <w:rPr>
          <w:rFonts w:ascii="宋体" w:cs="宋体" w:hint="eastAsia"/>
          <w:color w:val="000000"/>
          <w:szCs w:val="21"/>
          <w:lang w:val="zh-CN"/>
        </w:rPr>
        <w:t>）采购人根据采购项目的特殊要求规定投标人特定条件的，招标公告对投标人某一资格有要求的，按照联合体各方中最低资质等级确定联合体的资质等级；采购人根据采购项目的特殊要求规定投标人特定条件的，可以要求联合体各方中至少应当有一方符合采购人规定的特定条件，联合体各方的不同资质可优势互补；</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6</w:t>
      </w:r>
      <w:r>
        <w:rPr>
          <w:rFonts w:ascii="宋体" w:cs="宋体" w:hint="eastAsia"/>
          <w:color w:val="000000"/>
          <w:szCs w:val="21"/>
          <w:lang w:val="zh-CN"/>
        </w:rPr>
        <w:t>）投标人的投标文件及中标后签署的合同协议对联合体各方均具法律约束力；</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7</w:t>
      </w:r>
      <w:r>
        <w:rPr>
          <w:rFonts w:ascii="宋体" w:cs="宋体" w:hint="eastAsia"/>
          <w:color w:val="000000"/>
          <w:szCs w:val="21"/>
          <w:lang w:val="zh-CN"/>
        </w:rPr>
        <w:t>）联合体各方应当签订共同投标协议，明确约定各方拟承担的工作和责任，并将该共同投标协议随投标文件一并递交给代理机构；</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8</w:t>
      </w:r>
      <w:r>
        <w:rPr>
          <w:rFonts w:ascii="宋体" w:cs="宋体" w:hint="eastAsia"/>
          <w:color w:val="000000"/>
          <w:szCs w:val="21"/>
          <w:lang w:val="zh-CN"/>
        </w:rPr>
        <w:t>）联合体中标后，联合体各方应当共同与采购单位签订合同，就中标项目向采购单位承担连带责任；</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9</w:t>
      </w:r>
      <w:r>
        <w:rPr>
          <w:rFonts w:ascii="宋体" w:cs="宋体" w:hint="eastAsia"/>
          <w:color w:val="000000"/>
          <w:szCs w:val="21"/>
          <w:lang w:val="zh-CN"/>
        </w:rPr>
        <w:t>）联合体的各方应当共同推荐一联合体投标授权代表方，由联合体各方提交一份授权书，证明其有资格代表联合体各方签署投标文件，该授权书作为投标文件的组成部分一并提交给代理机构；</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10</w:t>
      </w:r>
      <w:r>
        <w:rPr>
          <w:rFonts w:ascii="宋体" w:cs="宋体" w:hint="eastAsia"/>
          <w:color w:val="000000"/>
          <w:szCs w:val="21"/>
          <w:lang w:val="zh-CN"/>
        </w:rPr>
        <w:t>）以联合体形式参加政府采购活动的，联合体各方不得再单独参加或者与其他供应商另外组成联合体参加同一合同项下的政府采购活动，出现上述情况者，其投标和与此有关联合体、总包单位的投标将被拒绝；</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11</w:t>
      </w:r>
      <w:r>
        <w:rPr>
          <w:rFonts w:ascii="宋体" w:cs="宋体" w:hint="eastAsia"/>
          <w:color w:val="000000"/>
          <w:szCs w:val="21"/>
          <w:lang w:val="zh-CN"/>
        </w:rPr>
        <w:t>）除非另有规定或说明，本通用条款中</w:t>
      </w:r>
      <w:r>
        <w:rPr>
          <w:rFonts w:ascii="宋体" w:cs="宋体"/>
          <w:color w:val="000000"/>
          <w:szCs w:val="21"/>
          <w:lang w:val="zh-CN"/>
        </w:rPr>
        <w:t>“</w:t>
      </w:r>
      <w:r>
        <w:rPr>
          <w:rFonts w:ascii="宋体" w:cs="宋体" w:hint="eastAsia"/>
          <w:color w:val="000000"/>
          <w:szCs w:val="21"/>
          <w:lang w:val="zh-CN"/>
        </w:rPr>
        <w:t>投标人</w:t>
      </w:r>
      <w:r>
        <w:rPr>
          <w:rFonts w:ascii="宋体" w:cs="宋体"/>
          <w:color w:val="000000"/>
          <w:szCs w:val="21"/>
          <w:lang w:val="zh-CN"/>
        </w:rPr>
        <w:t>”</w:t>
      </w:r>
      <w:r>
        <w:rPr>
          <w:rFonts w:ascii="宋体" w:cs="宋体" w:hint="eastAsia"/>
          <w:color w:val="000000"/>
          <w:szCs w:val="21"/>
          <w:lang w:val="zh-CN"/>
        </w:rPr>
        <w:t>一词亦指联合体各方。</w:t>
      </w:r>
    </w:p>
    <w:p>
      <w:pPr>
        <w:autoSpaceDE w:val="0"/>
        <w:autoSpaceDN w:val="0"/>
        <w:adjustRightInd w:val="0"/>
        <w:ind w:firstLine="422"/>
        <w:rPr>
          <w:b/>
          <w:bCs/>
          <w:color w:val="000000"/>
          <w:szCs w:val="21"/>
        </w:rPr>
      </w:pPr>
      <w:r>
        <w:rPr>
          <w:b/>
          <w:bCs/>
          <w:color w:val="000000"/>
          <w:szCs w:val="21"/>
        </w:rPr>
        <w:t>7.</w:t>
      </w:r>
      <w:r>
        <w:rPr>
          <w:rFonts w:ascii="宋体" w:cs="宋体" w:hint="eastAsia"/>
          <w:b/>
          <w:bCs/>
          <w:color w:val="000000"/>
          <w:szCs w:val="21"/>
          <w:lang w:val="zh-CN"/>
        </w:rPr>
        <w:t>本项目若涉及采购货物，则合格的货物及相应服务应满足以下要求：</w:t>
      </w:r>
    </w:p>
    <w:p>
      <w:pPr>
        <w:autoSpaceDE w:val="0"/>
        <w:autoSpaceDN w:val="0"/>
        <w:adjustRightInd w:val="0"/>
        <w:ind w:firstLine="420"/>
        <w:rPr>
          <w:color w:val="000000"/>
          <w:szCs w:val="21"/>
        </w:rPr>
      </w:pPr>
      <w:r>
        <w:rPr>
          <w:color w:val="000000"/>
          <w:szCs w:val="21"/>
        </w:rPr>
        <w:t>7.1</w:t>
      </w:r>
      <w:r>
        <w:rPr>
          <w:rFonts w:ascii="宋体" w:cs="宋体" w:hint="eastAsia"/>
          <w:color w:val="000000"/>
          <w:szCs w:val="21"/>
          <w:lang w:val="zh-CN"/>
        </w:rPr>
        <w:t>必须是全新、未使用过的原装合格正品（包括零部件），如安装或配置了软件的，须为正版软件。</w:t>
      </w:r>
    </w:p>
    <w:p>
      <w:pPr>
        <w:autoSpaceDE w:val="0"/>
        <w:autoSpaceDN w:val="0"/>
        <w:adjustRightInd w:val="0"/>
        <w:ind w:firstLine="420"/>
        <w:rPr>
          <w:color w:val="000000"/>
          <w:szCs w:val="21"/>
        </w:rPr>
      </w:pPr>
      <w:r>
        <w:rPr>
          <w:color w:val="000000"/>
          <w:szCs w:val="21"/>
        </w:rPr>
        <w:t>7.2</w:t>
      </w:r>
      <w:r>
        <w:rPr>
          <w:rFonts w:ascii="宋体" w:cs="宋体" w:hint="eastAsia"/>
          <w:color w:val="000000"/>
          <w:szCs w:val="21"/>
          <w:lang w:val="zh-CN"/>
        </w:rPr>
        <w:t>国产的货物及其有关服务必须符合中华人民共和国的设计和制造生产标准或行业标准。招标文件有其他要求的，亦应符合其要求。</w:t>
      </w:r>
    </w:p>
    <w:p>
      <w:pPr>
        <w:autoSpaceDE w:val="0"/>
        <w:autoSpaceDN w:val="0"/>
        <w:adjustRightInd w:val="0"/>
        <w:ind w:firstLine="420"/>
        <w:rPr>
          <w:color w:val="000000"/>
          <w:szCs w:val="21"/>
        </w:rPr>
      </w:pPr>
      <w:r>
        <w:rPr>
          <w:color w:val="000000"/>
          <w:szCs w:val="21"/>
        </w:rPr>
        <w:t>7.3</w:t>
      </w:r>
      <w:r>
        <w:rPr>
          <w:rFonts w:ascii="宋体" w:cs="宋体" w:hint="eastAsia"/>
          <w:color w:val="000000"/>
          <w:szCs w:val="21"/>
          <w:lang w:val="zh-CN"/>
        </w:rPr>
        <w:t>进口产品的定义以财政部《政府采购进口产品管理办法》（财库</w:t>
      </w:r>
      <w:r>
        <w:rPr>
          <w:color w:val="000000"/>
          <w:szCs w:val="21"/>
        </w:rPr>
        <w:t>[2007]119</w:t>
      </w:r>
      <w:r>
        <w:rPr>
          <w:rFonts w:ascii="宋体" w:cs="宋体" w:hint="eastAsia"/>
          <w:color w:val="000000"/>
          <w:szCs w:val="21"/>
          <w:lang w:val="zh-CN"/>
        </w:rPr>
        <w:t>号）和《关于政府采购进口产品管理有关问题的通知》（财办库</w:t>
      </w:r>
      <w:r>
        <w:rPr>
          <w:color w:val="000000"/>
          <w:szCs w:val="21"/>
        </w:rPr>
        <w:t>[2008]248</w:t>
      </w:r>
      <w:r>
        <w:rPr>
          <w:rFonts w:ascii="宋体" w:cs="宋体" w:hint="eastAsia"/>
          <w:color w:val="000000"/>
          <w:szCs w:val="21"/>
          <w:lang w:val="zh-CN"/>
        </w:rPr>
        <w:t>号）的相关规定为准。进口货物及其有关服务必须符合原产地和</w:t>
      </w:r>
      <w:r>
        <w:rPr>
          <w:color w:val="000000"/>
          <w:szCs w:val="21"/>
        </w:rPr>
        <w:t>/</w:t>
      </w:r>
      <w:r>
        <w:rPr>
          <w:rFonts w:ascii="宋体" w:cs="宋体" w:hint="eastAsia"/>
          <w:color w:val="000000"/>
          <w:szCs w:val="21"/>
          <w:lang w:val="zh-CN"/>
        </w:rPr>
        <w:t>或中华人民共和国的设计和制造生产标准或行业标准。进口的货物必须具有合法的进口手续和途径，并通过中华人民共和国商检部门检验。招标文件有其他要求的，亦应符合其要求。</w:t>
      </w:r>
    </w:p>
    <w:p>
      <w:pPr>
        <w:autoSpaceDE w:val="0"/>
        <w:autoSpaceDN w:val="0"/>
        <w:adjustRightInd w:val="0"/>
        <w:ind w:firstLine="420"/>
        <w:rPr>
          <w:color w:val="000000"/>
          <w:szCs w:val="21"/>
        </w:rPr>
      </w:pPr>
      <w:r>
        <w:rPr>
          <w:color w:val="000000"/>
          <w:szCs w:val="21"/>
        </w:rPr>
        <w:t>7.4</w:t>
      </w:r>
      <w:r>
        <w:rPr>
          <w:rFonts w:ascii="宋体" w:cs="宋体" w:hint="eastAsia"/>
          <w:color w:val="000000"/>
          <w:szCs w:val="21"/>
          <w:lang w:val="zh-CN"/>
        </w:rPr>
        <w:t>投标人应保证，其所提供的货物在提供给采购单位前具有完全的所有权，采购单位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pPr>
        <w:autoSpaceDE w:val="0"/>
        <w:autoSpaceDN w:val="0"/>
        <w:adjustRightInd w:val="0"/>
        <w:ind w:firstLine="420"/>
        <w:rPr>
          <w:color w:val="000000"/>
          <w:szCs w:val="21"/>
        </w:rPr>
      </w:pPr>
      <w:r>
        <w:rPr>
          <w:color w:val="000000"/>
          <w:szCs w:val="21"/>
        </w:rPr>
        <w:t>7.5</w:t>
      </w:r>
      <w:r>
        <w:rPr>
          <w:rFonts w:ascii="宋体" w:cs="宋体" w:hint="eastAsia"/>
          <w:color w:val="000000"/>
          <w:szCs w:val="21"/>
          <w:lang w:val="zh-CN"/>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pPr>
        <w:autoSpaceDE w:val="0"/>
        <w:autoSpaceDN w:val="0"/>
        <w:adjustRightInd w:val="0"/>
        <w:ind w:firstLine="420"/>
        <w:rPr>
          <w:color w:val="000000"/>
          <w:szCs w:val="21"/>
        </w:rPr>
      </w:pPr>
      <w:r>
        <w:rPr>
          <w:color w:val="000000"/>
          <w:szCs w:val="21"/>
        </w:rPr>
        <w:t>7.6</w:t>
      </w:r>
      <w:r>
        <w:rPr>
          <w:rFonts w:ascii="宋体" w:cs="宋体" w:hint="eastAsia"/>
          <w:color w:val="000000"/>
          <w:szCs w:val="21"/>
          <w:lang w:val="zh-CN"/>
        </w:rPr>
        <w:t>对工期的要求：投标人在投标时对其所投项目应提交交货进度、交货计划等，在合同规定的时间内完工验收。</w:t>
      </w:r>
    </w:p>
    <w:p>
      <w:pPr>
        <w:autoSpaceDE w:val="0"/>
        <w:autoSpaceDN w:val="0"/>
        <w:adjustRightInd w:val="0"/>
        <w:ind w:firstLine="420"/>
        <w:rPr>
          <w:color w:val="000000"/>
          <w:szCs w:val="21"/>
        </w:rPr>
      </w:pPr>
      <w:r>
        <w:rPr>
          <w:color w:val="000000"/>
          <w:szCs w:val="21"/>
        </w:rPr>
        <w:t>7.7</w:t>
      </w:r>
      <w:r>
        <w:rPr>
          <w:rFonts w:ascii="宋体" w:cs="宋体" w:hint="eastAsia"/>
          <w:color w:val="000000"/>
          <w:szCs w:val="21"/>
          <w:lang w:val="zh-CN"/>
        </w:rPr>
        <w:t>投标人必须承担的设备运输、安装调试、验收检测和提供设备操作说明书、图纸等其他相关及类似的义务。</w:t>
      </w:r>
    </w:p>
    <w:p>
      <w:pPr>
        <w:autoSpaceDE w:val="0"/>
        <w:autoSpaceDN w:val="0"/>
        <w:adjustRightInd w:val="0"/>
        <w:ind w:firstLine="422"/>
        <w:rPr>
          <w:b/>
          <w:bCs/>
          <w:color w:val="000000"/>
          <w:szCs w:val="21"/>
        </w:rPr>
      </w:pPr>
      <w:r>
        <w:rPr>
          <w:b/>
          <w:bCs/>
          <w:color w:val="000000"/>
          <w:szCs w:val="21"/>
        </w:rPr>
        <w:t>8.</w:t>
      </w:r>
      <w:r>
        <w:rPr>
          <w:rFonts w:ascii="宋体" w:cs="宋体" w:hint="eastAsia"/>
          <w:b/>
          <w:bCs/>
          <w:color w:val="000000"/>
          <w:szCs w:val="21"/>
          <w:lang w:val="zh-CN"/>
        </w:rPr>
        <w:t>投标费用</w:t>
      </w:r>
    </w:p>
    <w:p>
      <w:pPr>
        <w:autoSpaceDE w:val="0"/>
        <w:autoSpaceDN w:val="0"/>
        <w:adjustRightInd w:val="0"/>
        <w:ind w:firstLine="420"/>
        <w:rPr>
          <w:color w:val="000000"/>
          <w:szCs w:val="21"/>
        </w:rPr>
      </w:pPr>
      <w:r>
        <w:rPr>
          <w:rFonts w:ascii="宋体" w:cs="宋体" w:hint="eastAsia"/>
          <w:color w:val="000000"/>
          <w:szCs w:val="21"/>
          <w:lang w:val="zh-CN"/>
        </w:rPr>
        <w:t>投标人应承担所有与准备和参加投标有关的费用。不论投标的结果如何，代理机构和采购单位均无义务和责任承担这些费用。</w:t>
      </w:r>
    </w:p>
    <w:p>
      <w:pPr>
        <w:autoSpaceDE w:val="0"/>
        <w:autoSpaceDN w:val="0"/>
        <w:adjustRightInd w:val="0"/>
        <w:ind w:firstLine="422"/>
        <w:rPr>
          <w:b/>
          <w:bCs/>
          <w:color w:val="000000"/>
          <w:szCs w:val="21"/>
        </w:rPr>
      </w:pPr>
      <w:r>
        <w:rPr>
          <w:b/>
          <w:bCs/>
          <w:color w:val="000000"/>
          <w:szCs w:val="21"/>
        </w:rPr>
        <w:t>9</w:t>
      </w:r>
      <w:r>
        <w:rPr>
          <w:rFonts w:ascii="宋体" w:cs="宋体" w:hint="eastAsia"/>
          <w:b/>
          <w:bCs/>
          <w:color w:val="000000"/>
          <w:szCs w:val="21"/>
          <w:lang w:val="zh-CN"/>
        </w:rPr>
        <w:t>．踏勘现场</w:t>
      </w:r>
    </w:p>
    <w:p>
      <w:pPr>
        <w:autoSpaceDE w:val="0"/>
        <w:autoSpaceDN w:val="0"/>
        <w:adjustRightInd w:val="0"/>
        <w:ind w:firstLine="420"/>
        <w:rPr>
          <w:color w:val="000000"/>
          <w:szCs w:val="21"/>
        </w:rPr>
      </w:pPr>
      <w:r>
        <w:rPr>
          <w:color w:val="000000"/>
          <w:szCs w:val="21"/>
        </w:rPr>
        <w:t>9.1</w:t>
      </w:r>
      <w:r>
        <w:rPr>
          <w:rFonts w:ascii="宋体" w:cs="宋体" w:hint="eastAsia"/>
          <w:color w:val="000000"/>
          <w:szCs w:val="21"/>
          <w:lang w:val="zh-CN"/>
        </w:rPr>
        <w:t>如有需要，代理机构或采购单位将组织投标人对项目现场及周围环境进行踏勘，以便投标人获取有关编制投标文件和签署合同所需的所有资料。踏勘现场所发生的费用由投标人自己承担，投标人应按</w:t>
      </w:r>
      <w:r>
        <w:rPr>
          <w:rFonts w:ascii="宋体" w:cs="宋体" w:hint="eastAsia"/>
          <w:b/>
          <w:bCs/>
          <w:color w:val="000000"/>
          <w:szCs w:val="21"/>
          <w:lang w:val="zh-CN"/>
        </w:rPr>
        <w:t>招标公告</w:t>
      </w:r>
      <w:r>
        <w:rPr>
          <w:rFonts w:ascii="宋体" w:cs="宋体" w:hint="eastAsia"/>
          <w:color w:val="000000"/>
          <w:szCs w:val="21"/>
          <w:lang w:val="zh-CN"/>
        </w:rPr>
        <w:t>所约定的时间、地点统一踏勘现场。</w:t>
      </w:r>
    </w:p>
    <w:p>
      <w:pPr>
        <w:autoSpaceDE w:val="0"/>
        <w:autoSpaceDN w:val="0"/>
        <w:adjustRightInd w:val="0"/>
        <w:ind w:firstLine="420"/>
        <w:rPr>
          <w:color w:val="000000"/>
          <w:szCs w:val="21"/>
        </w:rPr>
      </w:pPr>
      <w:r>
        <w:rPr>
          <w:color w:val="000000"/>
          <w:szCs w:val="21"/>
        </w:rPr>
        <w:t>9.2</w:t>
      </w:r>
      <w:r>
        <w:rPr>
          <w:rFonts w:ascii="宋体" w:cs="宋体" w:hint="eastAsia"/>
          <w:color w:val="000000"/>
          <w:szCs w:val="21"/>
          <w:lang w:val="zh-CN"/>
        </w:rPr>
        <w:t>投标人及其人员经过采购单位的允许，可以踏勘目的进入采购单位的项目现场。若本项目招标文件要求投标人于统一时间地点踏勘现场的，投标人应当按时前往。</w:t>
      </w:r>
    </w:p>
    <w:p>
      <w:pPr>
        <w:autoSpaceDE w:val="0"/>
        <w:autoSpaceDN w:val="0"/>
        <w:adjustRightInd w:val="0"/>
        <w:ind w:firstLine="420"/>
        <w:rPr>
          <w:color w:val="000000"/>
          <w:szCs w:val="21"/>
        </w:rPr>
      </w:pPr>
      <w:r>
        <w:rPr>
          <w:color w:val="000000"/>
          <w:szCs w:val="21"/>
        </w:rPr>
        <w:t>9.3</w:t>
      </w:r>
      <w:r>
        <w:rPr>
          <w:rFonts w:ascii="宋体" w:cs="宋体" w:hint="eastAsia"/>
          <w:color w:val="000000"/>
          <w:szCs w:val="21"/>
          <w:lang w:val="zh-CN"/>
        </w:rPr>
        <w:t>采购单位必须通过代理机构向投标人提供有关现场的资料和数据。</w:t>
      </w:r>
    </w:p>
    <w:p>
      <w:pPr>
        <w:autoSpaceDE w:val="0"/>
        <w:autoSpaceDN w:val="0"/>
        <w:adjustRightInd w:val="0"/>
        <w:ind w:firstLine="420"/>
        <w:rPr>
          <w:color w:val="000000"/>
          <w:szCs w:val="21"/>
        </w:rPr>
      </w:pPr>
      <w:r>
        <w:rPr>
          <w:color w:val="000000"/>
          <w:szCs w:val="21"/>
        </w:rPr>
        <w:t>9.4</w:t>
      </w:r>
      <w:r>
        <w:rPr>
          <w:rFonts w:ascii="宋体" w:cs="宋体" w:hint="eastAsia"/>
          <w:color w:val="000000"/>
          <w:szCs w:val="21"/>
          <w:lang w:val="zh-CN"/>
        </w:rPr>
        <w:t>任何人或任何组织在踏勘现场时向投标人提交的任何书面或口头上的资料，未经代理机构在网上发布或书面通知，均作无效处理。代理机构对投标人由此而做出的推论、理解和结论概不负责。</w:t>
      </w:r>
    </w:p>
    <w:p>
      <w:pPr>
        <w:autoSpaceDE w:val="0"/>
        <w:autoSpaceDN w:val="0"/>
        <w:adjustRightInd w:val="0"/>
        <w:ind w:firstLine="420"/>
        <w:rPr>
          <w:color w:val="000000"/>
          <w:szCs w:val="21"/>
        </w:rPr>
      </w:pPr>
      <w:r>
        <w:rPr>
          <w:color w:val="000000"/>
          <w:szCs w:val="21"/>
        </w:rPr>
        <w:t xml:space="preserve">9.5 </w:t>
      </w:r>
      <w:r>
        <w:rPr>
          <w:rFonts w:ascii="宋体" w:cs="宋体" w:hint="eastAsia"/>
          <w:color w:val="000000"/>
          <w:szCs w:val="21"/>
          <w:lang w:val="zh-CN"/>
        </w:rPr>
        <w:t>未参与现场踏勘不作为否定投标人资格的理由。</w:t>
      </w:r>
    </w:p>
    <w:p>
      <w:pPr>
        <w:autoSpaceDE w:val="0"/>
        <w:autoSpaceDN w:val="0"/>
        <w:adjustRightInd w:val="0"/>
        <w:ind w:firstLine="422"/>
        <w:rPr>
          <w:b/>
          <w:bCs/>
          <w:color w:val="000000"/>
          <w:szCs w:val="21"/>
        </w:rPr>
      </w:pPr>
      <w:r>
        <w:rPr>
          <w:b/>
          <w:bCs/>
          <w:color w:val="000000"/>
          <w:szCs w:val="21"/>
        </w:rPr>
        <w:t>10</w:t>
      </w:r>
      <w:r>
        <w:rPr>
          <w:rFonts w:ascii="宋体" w:cs="宋体" w:hint="eastAsia"/>
          <w:b/>
          <w:bCs/>
          <w:color w:val="000000"/>
          <w:szCs w:val="21"/>
          <w:lang w:val="zh-CN"/>
        </w:rPr>
        <w:t>．招标答疑</w:t>
      </w:r>
    </w:p>
    <w:p>
      <w:pPr>
        <w:autoSpaceDE w:val="0"/>
        <w:autoSpaceDN w:val="0"/>
        <w:adjustRightInd w:val="0"/>
        <w:ind w:firstLine="420"/>
        <w:rPr>
          <w:color w:val="000000"/>
          <w:szCs w:val="21"/>
        </w:rPr>
      </w:pPr>
      <w:r>
        <w:rPr>
          <w:color w:val="000000"/>
          <w:szCs w:val="21"/>
        </w:rPr>
        <w:t>10.1</w:t>
      </w:r>
      <w:r>
        <w:rPr>
          <w:rFonts w:ascii="宋体" w:cs="宋体" w:hint="eastAsia"/>
          <w:color w:val="000000"/>
          <w:szCs w:val="21"/>
          <w:lang w:val="zh-CN"/>
        </w:rPr>
        <w:t>招标答疑的目的是澄清、解答投标人在查阅招标文件后或现场踏勘中可能提出的与投标有关的疑问或询问。</w:t>
      </w:r>
    </w:p>
    <w:p>
      <w:pPr>
        <w:autoSpaceDE w:val="0"/>
        <w:autoSpaceDN w:val="0"/>
        <w:adjustRightInd w:val="0"/>
        <w:ind w:firstLine="420"/>
        <w:rPr>
          <w:color w:val="000000"/>
          <w:szCs w:val="21"/>
        </w:rPr>
      </w:pPr>
      <w:r>
        <w:rPr>
          <w:color w:val="000000"/>
          <w:szCs w:val="21"/>
        </w:rPr>
        <w:t>10.2</w:t>
      </w:r>
      <w:r>
        <w:rPr>
          <w:rFonts w:ascii="宋体" w:cs="宋体" w:hint="eastAsia"/>
          <w:color w:val="000000"/>
          <w:szCs w:val="21"/>
          <w:lang w:val="zh-CN"/>
        </w:rPr>
        <w:t>投标人提出的与投标有关的问题须在招标文件规定的答疑截止时间前以网上提问形式提交给代理机构。</w:t>
      </w:r>
    </w:p>
    <w:p>
      <w:pPr>
        <w:autoSpaceDE w:val="0"/>
        <w:autoSpaceDN w:val="0"/>
        <w:adjustRightInd w:val="0"/>
        <w:ind w:firstLine="420"/>
        <w:rPr>
          <w:color w:val="000000"/>
          <w:szCs w:val="21"/>
        </w:rPr>
      </w:pPr>
      <w:r>
        <w:rPr>
          <w:color w:val="000000"/>
          <w:szCs w:val="21"/>
        </w:rPr>
        <w:t>10.3</w:t>
      </w:r>
      <w:r>
        <w:rPr>
          <w:rFonts w:ascii="宋体" w:cs="宋体" w:hint="eastAsia"/>
          <w:color w:val="000000"/>
          <w:szCs w:val="21"/>
          <w:lang w:val="zh-CN"/>
        </w:rPr>
        <w:t>代理机构对疑问所做出的澄清和解答，以书面答复（包括网站发布信息）为准。答疑纪要的有效性规定按照本通用条款第</w:t>
      </w:r>
      <w:r>
        <w:rPr>
          <w:b/>
          <w:bCs/>
          <w:color w:val="000000"/>
          <w:szCs w:val="21"/>
        </w:rPr>
        <w:t>13.3</w:t>
      </w:r>
      <w:r>
        <w:rPr>
          <w:rFonts w:ascii="宋体" w:cs="宋体" w:hint="eastAsia"/>
          <w:b/>
          <w:bCs/>
          <w:color w:val="000000"/>
          <w:szCs w:val="21"/>
          <w:lang w:val="zh-CN"/>
        </w:rPr>
        <w:t>、</w:t>
      </w:r>
      <w:r>
        <w:rPr>
          <w:b/>
          <w:bCs/>
          <w:color w:val="000000"/>
          <w:szCs w:val="21"/>
        </w:rPr>
        <w:t>13.4</w:t>
      </w:r>
      <w:r>
        <w:rPr>
          <w:rFonts w:ascii="宋体" w:cs="宋体" w:hint="eastAsia"/>
          <w:color w:val="000000"/>
          <w:szCs w:val="21"/>
          <w:lang w:val="zh-CN"/>
        </w:rPr>
        <w:t>款规定执行。</w:t>
      </w:r>
    </w:p>
    <w:p>
      <w:pPr>
        <w:autoSpaceDE w:val="0"/>
        <w:autoSpaceDN w:val="0"/>
        <w:adjustRightInd w:val="0"/>
        <w:ind w:firstLine="420"/>
        <w:rPr>
          <w:color w:val="000000"/>
          <w:szCs w:val="21"/>
        </w:rPr>
      </w:pPr>
      <w:r>
        <w:rPr>
          <w:color w:val="000000"/>
          <w:szCs w:val="21"/>
        </w:rPr>
        <w:t>10.4</w:t>
      </w:r>
      <w:r>
        <w:rPr>
          <w:rFonts w:ascii="宋体" w:cs="宋体" w:hint="eastAsia"/>
          <w:color w:val="000000"/>
          <w:szCs w:val="21"/>
          <w:lang w:val="zh-CN"/>
        </w:rPr>
        <w:t>如代理机构认为有必要组织现场答疑会，投标人应按照招标文件规定的时间或代理机构另行书面通知（包括网站发布的通知）的时间和地点，参与现场答疑会。</w:t>
      </w:r>
    </w:p>
    <w:p>
      <w:pPr>
        <w:autoSpaceDE w:val="0"/>
        <w:autoSpaceDN w:val="0"/>
        <w:adjustRightInd w:val="0"/>
        <w:ind w:firstLine="420"/>
        <w:rPr>
          <w:color w:val="000000"/>
          <w:szCs w:val="21"/>
        </w:rPr>
      </w:pPr>
      <w:r>
        <w:rPr>
          <w:color w:val="000000"/>
          <w:szCs w:val="21"/>
        </w:rPr>
        <w:t>10.5</w:t>
      </w:r>
      <w:r>
        <w:rPr>
          <w:rFonts w:ascii="宋体" w:cs="宋体" w:hint="eastAsia"/>
          <w:color w:val="000000"/>
          <w:szCs w:val="21"/>
          <w:lang w:val="zh-CN"/>
        </w:rPr>
        <w:t>未参与招标答疑不作为否定投标人资格的理由。</w:t>
      </w:r>
    </w:p>
    <w:p>
      <w:pPr>
        <w:pStyle w:val="Heading2"/>
        <w:rPr>
          <w:color w:val="000000"/>
          <w:sz w:val="28"/>
          <w:szCs w:val="28"/>
          <w:lang w:val="zh-CN"/>
        </w:rPr>
      </w:pPr>
      <w:r>
        <w:rPr>
          <w:rFonts w:hint="eastAsia"/>
          <w:color w:val="000000"/>
          <w:sz w:val="28"/>
          <w:szCs w:val="28"/>
          <w:lang w:val="zh-CN"/>
        </w:rPr>
        <w:t>第二章招标文件</w:t>
      </w:r>
    </w:p>
    <w:p>
      <w:pPr>
        <w:autoSpaceDE w:val="0"/>
        <w:autoSpaceDN w:val="0"/>
        <w:adjustRightInd w:val="0"/>
        <w:ind w:firstLine="422"/>
        <w:rPr>
          <w:b/>
          <w:bCs/>
          <w:color w:val="000000"/>
          <w:szCs w:val="21"/>
        </w:rPr>
      </w:pPr>
      <w:r>
        <w:rPr>
          <w:b/>
          <w:bCs/>
          <w:color w:val="000000"/>
          <w:szCs w:val="21"/>
        </w:rPr>
        <w:t>11.</w:t>
      </w:r>
      <w:r>
        <w:rPr>
          <w:rFonts w:ascii="宋体" w:cs="宋体" w:hint="eastAsia"/>
          <w:b/>
          <w:bCs/>
          <w:color w:val="000000"/>
          <w:szCs w:val="21"/>
          <w:lang w:val="zh-CN"/>
        </w:rPr>
        <w:t>招标文件构成</w:t>
      </w:r>
    </w:p>
    <w:p>
      <w:pPr>
        <w:autoSpaceDE w:val="0"/>
        <w:autoSpaceDN w:val="0"/>
        <w:adjustRightInd w:val="0"/>
        <w:ind w:firstLine="420"/>
        <w:rPr>
          <w:color w:val="000000"/>
          <w:szCs w:val="21"/>
        </w:rPr>
      </w:pPr>
      <w:r>
        <w:rPr>
          <w:color w:val="000000"/>
          <w:szCs w:val="21"/>
        </w:rPr>
        <w:t xml:space="preserve">11.1  </w:t>
      </w:r>
      <w:r>
        <w:rPr>
          <w:rFonts w:ascii="宋体" w:cs="宋体" w:hint="eastAsia"/>
          <w:color w:val="000000"/>
          <w:szCs w:val="21"/>
          <w:lang w:val="zh-CN"/>
        </w:rPr>
        <w:t>要求提供的货物、工程、服务、招标过程和合同条件在招标文件中均有说明。</w:t>
      </w:r>
    </w:p>
    <w:p>
      <w:pPr>
        <w:autoSpaceDE w:val="0"/>
        <w:autoSpaceDN w:val="0"/>
        <w:adjustRightInd w:val="0"/>
        <w:ind w:firstLine="420"/>
        <w:rPr>
          <w:color w:val="000000"/>
          <w:szCs w:val="21"/>
        </w:rPr>
      </w:pPr>
      <w:r>
        <w:rPr>
          <w:rFonts w:ascii="宋体" w:cs="宋体" w:hint="eastAsia"/>
          <w:color w:val="000000"/>
          <w:szCs w:val="21"/>
          <w:lang w:val="zh-CN"/>
        </w:rPr>
        <w:t>招标文件除以下内容外，代理机构在招标（或谈判）期间发出的答疑纪要和其他补充修改函件，均是招标文件的组成部分，对投标人起约束作用；</w:t>
      </w:r>
    </w:p>
    <w:p>
      <w:pPr>
        <w:autoSpaceDE w:val="0"/>
        <w:autoSpaceDN w:val="0"/>
        <w:adjustRightInd w:val="0"/>
        <w:ind w:firstLine="420"/>
        <w:rPr>
          <w:color w:val="000000"/>
          <w:szCs w:val="21"/>
        </w:rPr>
      </w:pPr>
      <w:r>
        <w:rPr>
          <w:rFonts w:ascii="宋体" w:cs="宋体" w:hint="eastAsia"/>
          <w:color w:val="000000"/>
          <w:szCs w:val="21"/>
          <w:lang w:val="zh-CN"/>
        </w:rPr>
        <w:t>招标文件包括下列内容：</w:t>
      </w:r>
    </w:p>
    <w:p>
      <w:pPr>
        <w:autoSpaceDE w:val="0"/>
        <w:autoSpaceDN w:val="0"/>
        <w:adjustRightInd w:val="0"/>
        <w:ind w:firstLine="1680"/>
        <w:rPr>
          <w:color w:val="000000"/>
          <w:szCs w:val="21"/>
        </w:rPr>
      </w:pPr>
      <w:r>
        <w:rPr>
          <w:rFonts w:ascii="宋体" w:cs="宋体" w:hint="eastAsia"/>
          <w:color w:val="000000"/>
          <w:szCs w:val="21"/>
          <w:lang w:val="zh-CN"/>
        </w:rPr>
        <w:t>招标文件信息</w:t>
      </w:r>
    </w:p>
    <w:p>
      <w:pPr>
        <w:autoSpaceDE w:val="0"/>
        <w:autoSpaceDN w:val="0"/>
        <w:adjustRightInd w:val="0"/>
        <w:ind w:firstLine="840"/>
        <w:rPr>
          <w:color w:val="000000"/>
          <w:szCs w:val="21"/>
        </w:rPr>
      </w:pPr>
      <w:r>
        <w:rPr>
          <w:rFonts w:ascii="宋体" w:cs="宋体" w:hint="eastAsia"/>
          <w:color w:val="000000"/>
          <w:szCs w:val="21"/>
          <w:lang w:val="zh-CN"/>
        </w:rPr>
        <w:t>第一册专用条款</w:t>
      </w:r>
    </w:p>
    <w:p>
      <w:pPr>
        <w:autoSpaceDE w:val="0"/>
        <w:autoSpaceDN w:val="0"/>
        <w:adjustRightInd w:val="0"/>
        <w:ind w:left="630" w:firstLine="1147"/>
        <w:rPr>
          <w:color w:val="000000"/>
          <w:szCs w:val="21"/>
        </w:rPr>
      </w:pPr>
      <w:r>
        <w:rPr>
          <w:rFonts w:ascii="宋体" w:cs="宋体" w:hint="eastAsia"/>
          <w:color w:val="000000"/>
          <w:szCs w:val="21"/>
          <w:lang w:val="zh-CN"/>
        </w:rPr>
        <w:t>第一章招标公告</w:t>
      </w:r>
    </w:p>
    <w:p>
      <w:pPr>
        <w:autoSpaceDE w:val="0"/>
        <w:autoSpaceDN w:val="0"/>
        <w:adjustRightInd w:val="0"/>
        <w:ind w:left="630" w:firstLine="1147"/>
        <w:rPr>
          <w:color w:val="000000"/>
          <w:szCs w:val="21"/>
        </w:rPr>
      </w:pPr>
      <w:r>
        <w:rPr>
          <w:rFonts w:ascii="宋体" w:cs="宋体" w:hint="eastAsia"/>
          <w:color w:val="000000"/>
          <w:szCs w:val="21"/>
          <w:lang w:val="zh-CN"/>
        </w:rPr>
        <w:t>第二章用户需求书</w:t>
      </w:r>
    </w:p>
    <w:p>
      <w:pPr>
        <w:autoSpaceDE w:val="0"/>
        <w:autoSpaceDN w:val="0"/>
        <w:adjustRightInd w:val="0"/>
        <w:ind w:left="630" w:firstLine="1147"/>
        <w:rPr>
          <w:color w:val="000000"/>
          <w:szCs w:val="21"/>
        </w:rPr>
      </w:pPr>
      <w:r>
        <w:rPr>
          <w:rFonts w:ascii="宋体" w:cs="宋体" w:hint="eastAsia"/>
          <w:color w:val="000000"/>
          <w:szCs w:val="21"/>
          <w:lang w:val="zh-CN"/>
        </w:rPr>
        <w:t>第三章投标文件的格式、附件</w:t>
      </w:r>
    </w:p>
    <w:p>
      <w:pPr>
        <w:autoSpaceDE w:val="0"/>
        <w:autoSpaceDN w:val="0"/>
        <w:adjustRightInd w:val="0"/>
        <w:ind w:left="630" w:firstLine="1147"/>
        <w:rPr>
          <w:color w:val="000000"/>
          <w:szCs w:val="21"/>
        </w:rPr>
      </w:pPr>
      <w:r>
        <w:rPr>
          <w:rFonts w:ascii="宋体" w:cs="宋体" w:hint="eastAsia"/>
          <w:color w:val="000000"/>
          <w:szCs w:val="21"/>
          <w:lang w:val="zh-CN"/>
        </w:rPr>
        <w:t>第四章政府采购合同的签订、履约及验收</w:t>
      </w:r>
    </w:p>
    <w:p>
      <w:pPr>
        <w:autoSpaceDE w:val="0"/>
        <w:autoSpaceDN w:val="0"/>
        <w:adjustRightInd w:val="0"/>
        <w:ind w:left="420" w:firstLine="412"/>
        <w:rPr>
          <w:color w:val="000000"/>
          <w:szCs w:val="21"/>
        </w:rPr>
      </w:pPr>
      <w:r>
        <w:rPr>
          <w:rFonts w:ascii="宋体" w:cs="宋体" w:hint="eastAsia"/>
          <w:color w:val="000000"/>
          <w:szCs w:val="21"/>
          <w:lang w:val="zh-CN"/>
        </w:rPr>
        <w:t>第二册通用条款</w:t>
      </w:r>
    </w:p>
    <w:p>
      <w:pPr>
        <w:autoSpaceDE w:val="0"/>
        <w:autoSpaceDN w:val="0"/>
        <w:adjustRightInd w:val="0"/>
        <w:ind w:left="630" w:firstLine="1147"/>
        <w:rPr>
          <w:color w:val="000000"/>
          <w:szCs w:val="21"/>
        </w:rPr>
      </w:pPr>
      <w:r>
        <w:rPr>
          <w:rFonts w:ascii="宋体" w:cs="宋体" w:hint="eastAsia"/>
          <w:color w:val="000000"/>
          <w:szCs w:val="21"/>
          <w:lang w:val="zh-CN"/>
        </w:rPr>
        <w:t>第一章总则</w:t>
      </w:r>
    </w:p>
    <w:p>
      <w:pPr>
        <w:autoSpaceDE w:val="0"/>
        <w:autoSpaceDN w:val="0"/>
        <w:adjustRightInd w:val="0"/>
        <w:ind w:left="630" w:firstLine="1147"/>
        <w:rPr>
          <w:color w:val="000000"/>
          <w:szCs w:val="21"/>
        </w:rPr>
      </w:pPr>
      <w:r>
        <w:rPr>
          <w:rFonts w:ascii="宋体" w:cs="宋体" w:hint="eastAsia"/>
          <w:color w:val="000000"/>
          <w:szCs w:val="21"/>
          <w:lang w:val="zh-CN"/>
        </w:rPr>
        <w:t>第二章招标文件</w:t>
      </w:r>
    </w:p>
    <w:p>
      <w:pPr>
        <w:autoSpaceDE w:val="0"/>
        <w:autoSpaceDN w:val="0"/>
        <w:adjustRightInd w:val="0"/>
        <w:ind w:left="630" w:firstLine="1147"/>
        <w:rPr>
          <w:color w:val="000000"/>
          <w:szCs w:val="21"/>
        </w:rPr>
      </w:pPr>
      <w:r>
        <w:rPr>
          <w:rFonts w:ascii="宋体" w:cs="宋体" w:hint="eastAsia"/>
          <w:color w:val="000000"/>
          <w:szCs w:val="21"/>
          <w:lang w:val="zh-CN"/>
        </w:rPr>
        <w:t>第三章投标文件的编制</w:t>
      </w:r>
    </w:p>
    <w:p>
      <w:pPr>
        <w:autoSpaceDE w:val="0"/>
        <w:autoSpaceDN w:val="0"/>
        <w:adjustRightInd w:val="0"/>
        <w:ind w:left="630" w:firstLine="1147"/>
        <w:rPr>
          <w:color w:val="000000"/>
          <w:szCs w:val="21"/>
        </w:rPr>
      </w:pPr>
      <w:r>
        <w:rPr>
          <w:rFonts w:ascii="宋体" w:cs="宋体" w:hint="eastAsia"/>
          <w:color w:val="000000"/>
          <w:szCs w:val="21"/>
          <w:lang w:val="zh-CN"/>
        </w:rPr>
        <w:t>第四章投标文件的递交</w:t>
      </w:r>
    </w:p>
    <w:p>
      <w:pPr>
        <w:autoSpaceDE w:val="0"/>
        <w:autoSpaceDN w:val="0"/>
        <w:adjustRightInd w:val="0"/>
        <w:ind w:left="630" w:firstLine="1147"/>
        <w:rPr>
          <w:color w:val="000000"/>
          <w:szCs w:val="21"/>
        </w:rPr>
      </w:pPr>
      <w:r>
        <w:rPr>
          <w:rFonts w:ascii="宋体" w:cs="宋体" w:hint="eastAsia"/>
          <w:color w:val="000000"/>
          <w:szCs w:val="21"/>
          <w:lang w:val="zh-CN"/>
        </w:rPr>
        <w:t>第五章开标与评标</w:t>
      </w:r>
    </w:p>
    <w:p>
      <w:pPr>
        <w:autoSpaceDE w:val="0"/>
        <w:autoSpaceDN w:val="0"/>
        <w:adjustRightInd w:val="0"/>
        <w:ind w:left="630" w:firstLine="1147"/>
        <w:rPr>
          <w:color w:val="000000"/>
          <w:szCs w:val="21"/>
        </w:rPr>
      </w:pPr>
      <w:r>
        <w:rPr>
          <w:rFonts w:ascii="宋体" w:cs="宋体" w:hint="eastAsia"/>
          <w:color w:val="000000"/>
          <w:szCs w:val="21"/>
          <w:lang w:val="zh-CN"/>
        </w:rPr>
        <w:t>第六章定标及公示</w:t>
      </w:r>
    </w:p>
    <w:p>
      <w:pPr>
        <w:autoSpaceDE w:val="0"/>
        <w:autoSpaceDN w:val="0"/>
        <w:adjustRightInd w:val="0"/>
        <w:ind w:left="630" w:firstLine="1147"/>
        <w:rPr>
          <w:color w:val="000000"/>
          <w:szCs w:val="21"/>
        </w:rPr>
      </w:pPr>
      <w:r>
        <w:rPr>
          <w:rFonts w:ascii="宋体" w:cs="宋体" w:hint="eastAsia"/>
          <w:color w:val="000000"/>
          <w:szCs w:val="21"/>
          <w:lang w:val="zh-CN"/>
        </w:rPr>
        <w:t>第七章公开招标失败的后续处理</w:t>
      </w:r>
    </w:p>
    <w:p>
      <w:pPr>
        <w:autoSpaceDE w:val="0"/>
        <w:autoSpaceDN w:val="0"/>
        <w:adjustRightInd w:val="0"/>
        <w:ind w:left="630" w:firstLine="1147"/>
        <w:rPr>
          <w:color w:val="000000"/>
          <w:szCs w:val="21"/>
        </w:rPr>
      </w:pPr>
      <w:r>
        <w:rPr>
          <w:rFonts w:ascii="宋体" w:cs="宋体" w:hint="eastAsia"/>
          <w:color w:val="000000"/>
          <w:szCs w:val="21"/>
          <w:lang w:val="zh-CN"/>
        </w:rPr>
        <w:t>第八章授予合同</w:t>
      </w:r>
    </w:p>
    <w:p>
      <w:pPr>
        <w:autoSpaceDE w:val="0"/>
        <w:autoSpaceDN w:val="0"/>
        <w:adjustRightInd w:val="0"/>
        <w:ind w:left="630" w:firstLine="1147"/>
        <w:rPr>
          <w:color w:val="000000"/>
          <w:szCs w:val="21"/>
        </w:rPr>
      </w:pPr>
      <w:r>
        <w:rPr>
          <w:rFonts w:ascii="宋体" w:cs="宋体" w:hint="eastAsia"/>
          <w:color w:val="000000"/>
          <w:szCs w:val="21"/>
          <w:lang w:val="zh-CN"/>
        </w:rPr>
        <w:t>第九章质疑处理</w:t>
      </w:r>
    </w:p>
    <w:p>
      <w:pPr>
        <w:autoSpaceDE w:val="0"/>
        <w:autoSpaceDN w:val="0"/>
        <w:adjustRightInd w:val="0"/>
        <w:ind w:firstLine="422"/>
        <w:rPr>
          <w:b/>
          <w:bCs/>
          <w:color w:val="000000"/>
          <w:szCs w:val="21"/>
        </w:rPr>
      </w:pPr>
      <w:r>
        <w:rPr>
          <w:rFonts w:ascii="宋体" w:cs="宋体" w:hint="eastAsia"/>
          <w:b/>
          <w:bCs/>
          <w:color w:val="000000"/>
          <w:szCs w:val="21"/>
          <w:lang w:val="zh-CN"/>
        </w:rPr>
        <w:t>专用条款与通用条款内容有冲突的，以专用条款为准。</w:t>
      </w:r>
    </w:p>
    <w:p>
      <w:pPr>
        <w:autoSpaceDE w:val="0"/>
        <w:autoSpaceDN w:val="0"/>
        <w:adjustRightInd w:val="0"/>
        <w:ind w:firstLine="420"/>
        <w:rPr>
          <w:color w:val="000000"/>
          <w:szCs w:val="21"/>
        </w:rPr>
      </w:pPr>
      <w:r>
        <w:rPr>
          <w:color w:val="000000"/>
          <w:szCs w:val="21"/>
        </w:rPr>
        <w:t xml:space="preserve">11.2  </w:t>
      </w:r>
      <w:r>
        <w:rPr>
          <w:rFonts w:ascii="宋体" w:cs="宋体" w:hint="eastAsia"/>
          <w:color w:val="000000"/>
          <w:szCs w:val="21"/>
          <w:lang w:val="zh-CN"/>
        </w:rPr>
        <w:t>投标人下载招标文件后，应仔细检查招标文件的所有内容，如有残缺应在答疑截止时间之前向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pPr>
        <w:autoSpaceDE w:val="0"/>
        <w:autoSpaceDN w:val="0"/>
        <w:adjustRightInd w:val="0"/>
        <w:ind w:firstLine="420"/>
        <w:rPr>
          <w:color w:val="000000"/>
          <w:szCs w:val="21"/>
        </w:rPr>
      </w:pPr>
      <w:r>
        <w:rPr>
          <w:color w:val="000000"/>
          <w:szCs w:val="21"/>
        </w:rPr>
        <w:t xml:space="preserve">11.3  </w:t>
      </w:r>
      <w:r>
        <w:rPr>
          <w:rFonts w:ascii="宋体" w:cs="宋体" w:hint="eastAsia"/>
          <w:color w:val="000000"/>
          <w:szCs w:val="21"/>
          <w:lang w:val="zh-CN"/>
        </w:rPr>
        <w:t>网上报名。为方便开标准备工作，投标人如确定参加投标，应登录深圳政府采购网站网上报名参加投标，方法是点击</w:t>
      </w:r>
      <w:r>
        <w:rPr>
          <w:rFonts w:ascii="宋体" w:cs="宋体"/>
          <w:color w:val="000000"/>
          <w:szCs w:val="21"/>
          <w:lang w:val="zh-CN"/>
        </w:rPr>
        <w:t>“</w:t>
      </w:r>
      <w:r>
        <w:rPr>
          <w:rFonts w:ascii="宋体" w:cs="宋体" w:hint="eastAsia"/>
          <w:color w:val="000000"/>
          <w:szCs w:val="21"/>
          <w:lang w:val="zh-CN"/>
        </w:rPr>
        <w:t>应标管理投标响应</w:t>
      </w:r>
      <w:r>
        <w:rPr>
          <w:rFonts w:ascii="宋体" w:cs="宋体"/>
          <w:color w:val="000000"/>
          <w:szCs w:val="21"/>
          <w:lang w:val="zh-CN"/>
        </w:rPr>
        <w:t>”</w:t>
      </w:r>
      <w:r>
        <w:rPr>
          <w:rFonts w:ascii="宋体" w:cs="宋体" w:hint="eastAsia"/>
          <w:color w:val="000000"/>
          <w:szCs w:val="21"/>
          <w:lang w:val="zh-CN"/>
        </w:rPr>
        <w:t>或</w:t>
      </w:r>
      <w:r>
        <w:rPr>
          <w:rFonts w:ascii="宋体" w:cs="宋体"/>
          <w:color w:val="000000"/>
          <w:szCs w:val="21"/>
          <w:lang w:val="zh-CN"/>
        </w:rPr>
        <w:t>“</w:t>
      </w:r>
      <w:r>
        <w:rPr>
          <w:rFonts w:ascii="宋体" w:cs="宋体" w:hint="eastAsia"/>
          <w:color w:val="000000"/>
          <w:szCs w:val="21"/>
          <w:lang w:val="zh-CN"/>
        </w:rPr>
        <w:t>应标管理确认邀请函</w:t>
      </w:r>
      <w:r>
        <w:rPr>
          <w:rFonts w:ascii="宋体" w:cs="宋体"/>
          <w:color w:val="000000"/>
          <w:szCs w:val="21"/>
          <w:lang w:val="zh-CN"/>
        </w:rPr>
        <w:t>”</w:t>
      </w:r>
      <w:r>
        <w:rPr>
          <w:rFonts w:ascii="宋体" w:cs="宋体" w:hint="eastAsia"/>
          <w:color w:val="000000"/>
          <w:szCs w:val="21"/>
          <w:lang w:val="zh-CN"/>
        </w:rPr>
        <w:t>；如果网上报名后又不参加投标，应再到【应标管理】→【投标响应】功能点中点击</w:t>
      </w:r>
      <w:r>
        <w:rPr>
          <w:rFonts w:ascii="宋体" w:cs="宋体"/>
          <w:color w:val="000000"/>
          <w:szCs w:val="21"/>
          <w:lang w:val="zh-CN"/>
        </w:rPr>
        <w:t>“</w:t>
      </w:r>
      <w:r>
        <w:rPr>
          <w:rFonts w:ascii="宋体" w:cs="宋体" w:hint="eastAsia"/>
          <w:color w:val="000000"/>
          <w:szCs w:val="21"/>
          <w:lang w:val="zh-CN"/>
        </w:rPr>
        <w:t>撤销响应</w:t>
      </w:r>
      <w:r>
        <w:rPr>
          <w:rFonts w:ascii="宋体" w:cs="宋体"/>
          <w:color w:val="000000"/>
          <w:szCs w:val="21"/>
          <w:lang w:val="zh-CN"/>
        </w:rPr>
        <w:t>”</w:t>
      </w:r>
      <w:r>
        <w:rPr>
          <w:rFonts w:ascii="宋体" w:cs="宋体" w:hint="eastAsia"/>
          <w:color w:val="000000"/>
          <w:szCs w:val="21"/>
          <w:lang w:val="zh-CN"/>
        </w:rPr>
        <w:t>；如果网上报名后上传了投标文件，又不参加投标，应再到【应标管理】→【上传投标文件】功能点中进行</w:t>
      </w:r>
      <w:r>
        <w:rPr>
          <w:rFonts w:ascii="宋体" w:cs="宋体"/>
          <w:color w:val="000000"/>
          <w:szCs w:val="21"/>
          <w:lang w:val="zh-CN"/>
        </w:rPr>
        <w:t>“</w:t>
      </w:r>
      <w:r>
        <w:rPr>
          <w:rFonts w:ascii="宋体" w:cs="宋体" w:hint="eastAsia"/>
          <w:color w:val="000000"/>
          <w:szCs w:val="21"/>
          <w:lang w:val="zh-CN"/>
        </w:rPr>
        <w:t>撤标</w:t>
      </w:r>
      <w:r>
        <w:rPr>
          <w:rFonts w:ascii="宋体" w:cs="宋体"/>
          <w:color w:val="000000"/>
          <w:szCs w:val="21"/>
          <w:lang w:val="zh-CN"/>
        </w:rPr>
        <w:t>”</w:t>
      </w:r>
      <w:r>
        <w:rPr>
          <w:rFonts w:ascii="宋体" w:cs="宋体" w:hint="eastAsia"/>
          <w:color w:val="000000"/>
          <w:szCs w:val="21"/>
          <w:lang w:val="zh-CN"/>
        </w:rPr>
        <w:t>操作。</w:t>
      </w:r>
    </w:p>
    <w:p>
      <w:pPr>
        <w:autoSpaceDE w:val="0"/>
        <w:autoSpaceDN w:val="0"/>
        <w:adjustRightInd w:val="0"/>
        <w:ind w:firstLine="420"/>
        <w:rPr>
          <w:color w:val="000000"/>
          <w:szCs w:val="21"/>
        </w:rPr>
      </w:pPr>
      <w:r>
        <w:rPr>
          <w:color w:val="000000"/>
          <w:szCs w:val="21"/>
        </w:rPr>
        <w:t>11.4</w:t>
      </w:r>
      <w:r>
        <w:rPr>
          <w:rFonts w:ascii="宋体" w:cs="宋体" w:hint="eastAsia"/>
          <w:color w:val="000000"/>
          <w:szCs w:val="21"/>
          <w:lang w:val="zh-CN"/>
        </w:rPr>
        <w:t>任何人或任何组织向投标人提交的任何书面或口头资料，未经代理机构在网上发布或书面通知，均作无效处理，不得作为招标文件的组成部分。代理机构对投标人由此而做出的推论、理解和结论概不负责。</w:t>
      </w:r>
    </w:p>
    <w:p>
      <w:pPr>
        <w:autoSpaceDE w:val="0"/>
        <w:autoSpaceDN w:val="0"/>
        <w:adjustRightInd w:val="0"/>
        <w:ind w:firstLine="422"/>
        <w:rPr>
          <w:b/>
          <w:bCs/>
          <w:color w:val="000000"/>
          <w:szCs w:val="21"/>
        </w:rPr>
      </w:pPr>
      <w:r>
        <w:rPr>
          <w:b/>
          <w:bCs/>
          <w:color w:val="000000"/>
          <w:szCs w:val="21"/>
        </w:rPr>
        <w:t>12.</w:t>
      </w:r>
      <w:r>
        <w:rPr>
          <w:rFonts w:ascii="宋体" w:cs="宋体" w:hint="eastAsia"/>
          <w:b/>
          <w:bCs/>
          <w:color w:val="000000"/>
          <w:szCs w:val="21"/>
          <w:lang w:val="zh-CN"/>
        </w:rPr>
        <w:t>招标文件的澄清</w:t>
      </w:r>
    </w:p>
    <w:p>
      <w:pPr>
        <w:autoSpaceDE w:val="0"/>
        <w:autoSpaceDN w:val="0"/>
        <w:adjustRightInd w:val="0"/>
        <w:ind w:firstLine="420"/>
        <w:rPr>
          <w:color w:val="000000"/>
          <w:szCs w:val="21"/>
        </w:rPr>
      </w:pPr>
      <w:r>
        <w:rPr>
          <w:color w:val="000000"/>
          <w:szCs w:val="21"/>
        </w:rPr>
        <w:t>12.1</w:t>
      </w:r>
      <w:r>
        <w:rPr>
          <w:rFonts w:ascii="宋体" w:cs="宋体" w:hint="eastAsia"/>
          <w:color w:val="000000"/>
          <w:szCs w:val="21"/>
          <w:lang w:val="zh-CN"/>
        </w:rPr>
        <w:t>投标人在收到招标文件后，对招标文件任何部分若有任何疑问，或要求澄清招标文件的，均应在招标公告规定的答疑截止时间内，按网上提问的形式向代理机构提交。不论是代理机构根据需要主动对招标文件进行必要的澄清或是根据投标人的要求对招标文件做出澄清，代理机构都将在投标截止日期前以书面形式（包括光明区公共资源交易网站公开发布方式）答复或发送给所有投标人。澄清纪要作为招标文件的组成部分，对投标人起约束作用；</w:t>
      </w:r>
    </w:p>
    <w:p>
      <w:pPr>
        <w:autoSpaceDE w:val="0"/>
        <w:autoSpaceDN w:val="0"/>
        <w:adjustRightInd w:val="0"/>
        <w:ind w:firstLine="420"/>
        <w:rPr>
          <w:color w:val="000000"/>
          <w:szCs w:val="21"/>
        </w:rPr>
      </w:pPr>
      <w:r>
        <w:rPr>
          <w:color w:val="000000"/>
          <w:szCs w:val="21"/>
        </w:rPr>
        <w:t xml:space="preserve">12.2  </w:t>
      </w:r>
      <w:r>
        <w:rPr>
          <w:rFonts w:ascii="宋体" w:cs="宋体" w:hint="eastAsia"/>
          <w:color w:val="000000"/>
          <w:szCs w:val="21"/>
          <w:lang w:val="zh-CN"/>
        </w:rPr>
        <w:t>对于没有提出澄清又参与了该项目投标的供应商将被视为完全认同该招标文件（含澄清纪要），投标截止期后不再受理针对招标文件的相关质疑或投诉。</w:t>
      </w:r>
    </w:p>
    <w:p>
      <w:pPr>
        <w:autoSpaceDE w:val="0"/>
        <w:autoSpaceDN w:val="0"/>
        <w:adjustRightInd w:val="0"/>
        <w:ind w:firstLine="420"/>
        <w:rPr>
          <w:color w:val="000000"/>
          <w:szCs w:val="21"/>
        </w:rPr>
      </w:pPr>
      <w:r>
        <w:rPr>
          <w:color w:val="000000"/>
          <w:szCs w:val="21"/>
        </w:rPr>
        <w:t xml:space="preserve">12.3  </w:t>
      </w:r>
      <w:r>
        <w:rPr>
          <w:rFonts w:ascii="宋体" w:cs="宋体" w:hint="eastAsia"/>
          <w:color w:val="000000"/>
          <w:szCs w:val="21"/>
          <w:lang w:val="zh-CN"/>
        </w:rPr>
        <w:t>对招标文件中描述有歧义或前后不一致的地方，评审委员会有权进行评判，但对同一条款的评判应适用于每个投标人。</w:t>
      </w:r>
    </w:p>
    <w:p>
      <w:pPr>
        <w:autoSpaceDE w:val="0"/>
        <w:autoSpaceDN w:val="0"/>
        <w:adjustRightInd w:val="0"/>
        <w:ind w:firstLine="422"/>
        <w:rPr>
          <w:b/>
          <w:bCs/>
          <w:color w:val="000000"/>
          <w:szCs w:val="21"/>
        </w:rPr>
      </w:pPr>
      <w:r>
        <w:rPr>
          <w:b/>
          <w:bCs/>
          <w:color w:val="000000"/>
          <w:szCs w:val="21"/>
        </w:rPr>
        <w:t>13.</w:t>
      </w:r>
      <w:r>
        <w:rPr>
          <w:rFonts w:ascii="宋体" w:cs="宋体" w:hint="eastAsia"/>
          <w:b/>
          <w:bCs/>
          <w:color w:val="000000"/>
          <w:szCs w:val="21"/>
          <w:lang w:val="zh-CN"/>
        </w:rPr>
        <w:t>招标文件的修改</w:t>
      </w:r>
    </w:p>
    <w:p>
      <w:pPr>
        <w:autoSpaceDE w:val="0"/>
        <w:autoSpaceDN w:val="0"/>
        <w:adjustRightInd w:val="0"/>
        <w:ind w:firstLine="420"/>
        <w:rPr>
          <w:color w:val="000000"/>
          <w:szCs w:val="21"/>
        </w:rPr>
      </w:pPr>
      <w:r>
        <w:rPr>
          <w:color w:val="000000"/>
          <w:szCs w:val="21"/>
        </w:rPr>
        <w:t>13.1</w:t>
      </w:r>
      <w:r>
        <w:rPr>
          <w:rFonts w:ascii="宋体" w:cs="宋体" w:hint="eastAsia"/>
          <w:color w:val="000000"/>
          <w:szCs w:val="21"/>
          <w:lang w:val="zh-CN"/>
        </w:rPr>
        <w:t>招标文件发出后，在投标截止日期前任何时候，确需要变更招标内容的，代理机构可主动地或在解答投标人提出的澄清问题时对招标文件进行修改；</w:t>
      </w:r>
    </w:p>
    <w:p>
      <w:pPr>
        <w:autoSpaceDE w:val="0"/>
        <w:autoSpaceDN w:val="0"/>
        <w:adjustRightInd w:val="0"/>
        <w:ind w:firstLine="420"/>
        <w:rPr>
          <w:color w:val="000000"/>
          <w:szCs w:val="21"/>
        </w:rPr>
      </w:pPr>
      <w:r>
        <w:rPr>
          <w:color w:val="000000"/>
          <w:szCs w:val="21"/>
        </w:rPr>
        <w:t>13.2</w:t>
      </w:r>
      <w:r>
        <w:rPr>
          <w:rFonts w:ascii="宋体" w:cs="宋体" w:hint="eastAsia"/>
          <w:color w:val="000000"/>
          <w:szCs w:val="21"/>
          <w:lang w:val="zh-CN"/>
        </w:rPr>
        <w:t>招标文件的修改以书面形式（包括网站公开发布方式）发送给所有投标人，招标文件的修改内容作为招标文件的组成部分，并具有约束力。</w:t>
      </w:r>
    </w:p>
    <w:p>
      <w:pPr>
        <w:autoSpaceDE w:val="0"/>
        <w:autoSpaceDN w:val="0"/>
        <w:adjustRightInd w:val="0"/>
        <w:ind w:firstLine="420"/>
        <w:rPr>
          <w:color w:val="000000"/>
          <w:szCs w:val="21"/>
        </w:rPr>
      </w:pPr>
      <w:r>
        <w:rPr>
          <w:color w:val="000000"/>
          <w:szCs w:val="21"/>
        </w:rPr>
        <w:t>13.3</w:t>
      </w:r>
      <w:r>
        <w:rPr>
          <w:rFonts w:ascii="宋体" w:cs="宋体" w:hint="eastAsia"/>
          <w:color w:val="000000"/>
          <w:szCs w:val="21"/>
          <w:lang w:val="zh-CN"/>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autoSpaceDE w:val="0"/>
        <w:autoSpaceDN w:val="0"/>
        <w:adjustRightInd w:val="0"/>
        <w:ind w:firstLine="420"/>
        <w:rPr>
          <w:color w:val="000000"/>
          <w:szCs w:val="21"/>
        </w:rPr>
      </w:pPr>
      <w:r>
        <w:rPr>
          <w:color w:val="000000"/>
          <w:szCs w:val="21"/>
        </w:rPr>
        <w:t>13.4</w:t>
      </w:r>
      <w:r>
        <w:rPr>
          <w:rFonts w:ascii="宋体" w:cs="宋体" w:hint="eastAsia"/>
          <w:color w:val="000000"/>
          <w:szCs w:val="21"/>
          <w:lang w:val="zh-CN"/>
        </w:rPr>
        <w:t>代理机构保证招标文件澄清（答疑）纪要和招标文件修改补充通知在投标截止时间前以网站公开发布形式或书面形式发送给所有投标人。为使投标人在编写投标文件时有充分时间对招标文件的修改部分进行研究，代理机构可以酌情延长递交投标文件的截止日期，具体时间将在修改补充通知中明确。</w:t>
      </w:r>
    </w:p>
    <w:p>
      <w:pPr>
        <w:pStyle w:val="Heading2"/>
        <w:rPr>
          <w:color w:val="000000"/>
          <w:sz w:val="28"/>
          <w:szCs w:val="28"/>
          <w:lang w:val="zh-CN"/>
        </w:rPr>
      </w:pPr>
      <w:r>
        <w:rPr>
          <w:rFonts w:hint="eastAsia"/>
          <w:color w:val="000000"/>
          <w:sz w:val="28"/>
          <w:szCs w:val="28"/>
          <w:lang w:val="zh-CN"/>
        </w:rPr>
        <w:t>第三章投标文件的编制</w:t>
      </w:r>
    </w:p>
    <w:p>
      <w:pPr>
        <w:autoSpaceDE w:val="0"/>
        <w:autoSpaceDN w:val="0"/>
        <w:adjustRightInd w:val="0"/>
        <w:ind w:firstLine="422"/>
        <w:rPr>
          <w:b/>
          <w:bCs/>
          <w:color w:val="000000"/>
          <w:szCs w:val="21"/>
        </w:rPr>
      </w:pPr>
      <w:r>
        <w:rPr>
          <w:b/>
          <w:bCs/>
          <w:color w:val="000000"/>
          <w:szCs w:val="21"/>
        </w:rPr>
        <w:t>14.</w:t>
      </w:r>
      <w:r>
        <w:rPr>
          <w:rFonts w:ascii="宋体" w:cs="宋体" w:hint="eastAsia"/>
          <w:b/>
          <w:bCs/>
          <w:color w:val="000000"/>
          <w:szCs w:val="21"/>
          <w:lang w:val="zh-CN"/>
        </w:rPr>
        <w:t>投标的语言及计量单位</w:t>
      </w:r>
    </w:p>
    <w:p>
      <w:pPr>
        <w:autoSpaceDE w:val="0"/>
        <w:autoSpaceDN w:val="0"/>
        <w:adjustRightInd w:val="0"/>
        <w:ind w:firstLine="420"/>
        <w:rPr>
          <w:color w:val="000000"/>
          <w:szCs w:val="21"/>
        </w:rPr>
      </w:pPr>
      <w:r>
        <w:rPr>
          <w:color w:val="000000"/>
          <w:szCs w:val="21"/>
        </w:rPr>
        <w:t>14.1</w:t>
      </w:r>
      <w:r>
        <w:rPr>
          <w:rFonts w:ascii="宋体" w:cs="宋体" w:hint="eastAsia"/>
          <w:color w:val="000000"/>
          <w:szCs w:val="21"/>
          <w:lang w:val="zh-CN"/>
        </w:rPr>
        <w:t>投标人提交的投标文件以及投标人与代理机构和采购单位就有关投标的所有来往通知、函件和投标文件均应使用中文书写。任何非中文的资料，都应提供中文翻译本，在解释时以翻译本为准，但翻译错误的除外。</w:t>
      </w:r>
    </w:p>
    <w:p>
      <w:pPr>
        <w:autoSpaceDE w:val="0"/>
        <w:autoSpaceDN w:val="0"/>
        <w:adjustRightInd w:val="0"/>
        <w:ind w:firstLine="420"/>
        <w:rPr>
          <w:color w:val="000000"/>
          <w:szCs w:val="21"/>
        </w:rPr>
      </w:pPr>
      <w:r>
        <w:rPr>
          <w:color w:val="000000"/>
          <w:szCs w:val="21"/>
        </w:rPr>
        <w:t>14.2</w:t>
      </w:r>
      <w:r>
        <w:rPr>
          <w:rFonts w:ascii="宋体" w:cs="宋体" w:hint="eastAsia"/>
          <w:color w:val="000000"/>
          <w:szCs w:val="21"/>
          <w:lang w:val="zh-CN"/>
        </w:rPr>
        <w:t>除非技术规范另有规定，投标文件使用中华人民共和国法定计量单位。</w:t>
      </w:r>
    </w:p>
    <w:p>
      <w:pPr>
        <w:autoSpaceDE w:val="0"/>
        <w:autoSpaceDN w:val="0"/>
        <w:adjustRightInd w:val="0"/>
        <w:ind w:firstLine="422"/>
        <w:rPr>
          <w:b/>
          <w:bCs/>
          <w:color w:val="000000"/>
          <w:szCs w:val="21"/>
        </w:rPr>
      </w:pPr>
      <w:r>
        <w:rPr>
          <w:b/>
          <w:bCs/>
          <w:color w:val="000000"/>
          <w:szCs w:val="21"/>
        </w:rPr>
        <w:t>15.</w:t>
      </w:r>
      <w:r>
        <w:rPr>
          <w:rFonts w:ascii="宋体" w:cs="宋体" w:hint="eastAsia"/>
          <w:b/>
          <w:bCs/>
          <w:color w:val="000000"/>
          <w:szCs w:val="21"/>
          <w:lang w:val="zh-CN"/>
        </w:rPr>
        <w:t>投标文件构成</w:t>
      </w:r>
    </w:p>
    <w:p>
      <w:pPr>
        <w:autoSpaceDE w:val="0"/>
        <w:autoSpaceDN w:val="0"/>
        <w:adjustRightInd w:val="0"/>
        <w:ind w:firstLine="420"/>
        <w:rPr>
          <w:color w:val="000000"/>
          <w:szCs w:val="21"/>
        </w:rPr>
      </w:pPr>
      <w:r>
        <w:rPr>
          <w:color w:val="000000"/>
          <w:szCs w:val="21"/>
        </w:rPr>
        <w:t xml:space="preserve">15.1 </w:t>
      </w:r>
      <w:r>
        <w:rPr>
          <w:rFonts w:ascii="宋体" w:cs="宋体" w:hint="eastAsia"/>
          <w:color w:val="000000"/>
          <w:szCs w:val="21"/>
          <w:lang w:val="zh-CN"/>
        </w:rPr>
        <w:t>投标人应按本招标文件规定的投标书目录提供招标要求的所有材料。</w:t>
      </w:r>
    </w:p>
    <w:p>
      <w:pPr>
        <w:autoSpaceDE w:val="0"/>
        <w:autoSpaceDN w:val="0"/>
        <w:adjustRightInd w:val="0"/>
        <w:ind w:firstLine="420"/>
        <w:rPr>
          <w:color w:val="000000"/>
          <w:szCs w:val="21"/>
        </w:rPr>
      </w:pPr>
      <w:r>
        <w:rPr>
          <w:color w:val="000000"/>
          <w:szCs w:val="21"/>
        </w:rPr>
        <w:t xml:space="preserve">15.2 </w:t>
      </w:r>
      <w:r>
        <w:rPr>
          <w:rFonts w:ascii="宋体" w:cs="宋体" w:hint="eastAsia"/>
          <w:color w:val="000000"/>
          <w:szCs w:val="21"/>
          <w:lang w:val="zh-CN"/>
        </w:rPr>
        <w:t>投标文件必须是通过在深圳市政府采购中心网站</w:t>
      </w:r>
      <w:r>
        <w:rPr>
          <w:rFonts w:ascii="宋体" w:cs="宋体" w:hint="eastAsia"/>
          <w:color w:val="000000"/>
          <w:szCs w:val="21"/>
        </w:rPr>
        <w:t>（</w:t>
      </w:r>
      <w:r>
        <w:fldChar w:fldCharType="begin"/>
      </w:r>
      <w:r>
        <w:instrText xml:space="preserve"> HYPERLINK "D:用户目录我的文档WeChat%20FilesototmiFileStorageFile2020-06www.szzfcg.cn" </w:instrText>
      </w:r>
      <w:r>
        <w:fldChar w:fldCharType="separate"/>
      </w:r>
      <w:r>
        <w:rPr>
          <w:color w:val="000000"/>
          <w:szCs w:val="21"/>
          <w:u w:val="single"/>
        </w:rPr>
        <w:t>www.szzfcg.cn</w:t>
      </w:r>
      <w:r>
        <w:rPr>
          <w:color w:val="000000"/>
          <w:szCs w:val="21"/>
          <w:u w:val="single"/>
        </w:rPr>
        <w:fldChar w:fldCharType="end"/>
      </w:r>
      <w:r>
        <w:rPr>
          <w:rFonts w:ascii="宋体" w:cs="宋体" w:hint="eastAsia"/>
          <w:color w:val="000000"/>
          <w:szCs w:val="21"/>
        </w:rPr>
        <w:t>）</w:t>
      </w:r>
      <w:r>
        <w:rPr>
          <w:rFonts w:ascii="宋体" w:cs="宋体" w:hint="eastAsia"/>
          <w:color w:val="000000"/>
          <w:szCs w:val="21"/>
          <w:lang w:val="zh-CN"/>
        </w:rPr>
        <w:t>下载的最新版投标书编制软件制作的</w:t>
      </w:r>
      <w:r>
        <w:rPr>
          <w:rFonts w:ascii="宋体" w:cs="宋体" w:hint="eastAsia"/>
          <w:color w:val="000000"/>
          <w:szCs w:val="21"/>
        </w:rPr>
        <w:t>，</w:t>
      </w:r>
      <w:r>
        <w:rPr>
          <w:rFonts w:ascii="宋体" w:cs="宋体" w:hint="eastAsia"/>
          <w:color w:val="000000"/>
          <w:szCs w:val="21"/>
          <w:lang w:val="zh-CN"/>
        </w:rPr>
        <w:t>并使用投标人密钥及正确加密规则加密成功的电子档文件</w:t>
      </w:r>
      <w:r>
        <w:rPr>
          <w:rFonts w:ascii="宋体" w:cs="宋体" w:hint="eastAsia"/>
          <w:color w:val="000000"/>
          <w:szCs w:val="21"/>
        </w:rPr>
        <w:t>（</w:t>
      </w:r>
      <w:r>
        <w:rPr>
          <w:rFonts w:ascii="宋体" w:cs="宋体" w:hint="eastAsia"/>
          <w:color w:val="000000"/>
          <w:szCs w:val="21"/>
          <w:lang w:val="zh-CN"/>
        </w:rPr>
        <w:t>文件格式为</w:t>
      </w:r>
      <w:r>
        <w:rPr>
          <w:color w:val="000000"/>
          <w:szCs w:val="21"/>
        </w:rPr>
        <w:t>BIDX</w:t>
      </w:r>
      <w:r>
        <w:rPr>
          <w:rFonts w:ascii="宋体" w:cs="宋体" w:hint="eastAsia"/>
          <w:color w:val="000000"/>
          <w:szCs w:val="21"/>
          <w:lang w:val="zh-CN"/>
        </w:rPr>
        <w:t>文件</w:t>
      </w:r>
      <w:r>
        <w:rPr>
          <w:rFonts w:ascii="宋体" w:cs="宋体" w:hint="eastAsia"/>
          <w:color w:val="000000"/>
          <w:szCs w:val="21"/>
        </w:rPr>
        <w:t>）；</w:t>
      </w:r>
      <w:r>
        <w:rPr>
          <w:rFonts w:ascii="宋体" w:cs="宋体" w:hint="eastAsia"/>
          <w:color w:val="000000"/>
          <w:szCs w:val="21"/>
          <w:lang w:val="zh-CN"/>
        </w:rPr>
        <w:t>投标人自行承担错误操作投标书编制软件或使用了旧版本的投标书编制软件制作投标文件使投标文件无法打开、资料缺失、无法显示等情况导致的扣分、投标无效等不良后果</w:t>
      </w:r>
      <w:r>
        <w:rPr>
          <w:rFonts w:ascii="宋体" w:cs="宋体" w:hint="eastAsia"/>
          <w:color w:val="000000"/>
          <w:szCs w:val="21"/>
        </w:rPr>
        <w:t>；</w:t>
      </w:r>
      <w:r>
        <w:rPr>
          <w:rFonts w:ascii="宋体" w:cs="宋体" w:hint="eastAsia"/>
          <w:color w:val="000000"/>
          <w:szCs w:val="21"/>
          <w:lang w:val="zh-CN"/>
        </w:rPr>
        <w:t>不正确加密的投标文件将导致其投标被拒绝。</w:t>
      </w:r>
    </w:p>
    <w:p>
      <w:pPr>
        <w:autoSpaceDE w:val="0"/>
        <w:autoSpaceDN w:val="0"/>
        <w:adjustRightInd w:val="0"/>
        <w:ind w:firstLine="422"/>
        <w:rPr>
          <w:b/>
          <w:bCs/>
          <w:color w:val="000000"/>
          <w:szCs w:val="21"/>
        </w:rPr>
      </w:pPr>
      <w:r>
        <w:rPr>
          <w:b/>
          <w:bCs/>
          <w:color w:val="000000"/>
          <w:szCs w:val="21"/>
        </w:rPr>
        <w:t>16.</w:t>
      </w:r>
      <w:r>
        <w:rPr>
          <w:rFonts w:ascii="宋体" w:cs="宋体" w:hint="eastAsia"/>
          <w:b/>
          <w:bCs/>
          <w:color w:val="000000"/>
          <w:szCs w:val="21"/>
          <w:lang w:val="zh-CN"/>
        </w:rPr>
        <w:t>投标文件格式</w:t>
      </w:r>
    </w:p>
    <w:p>
      <w:pPr>
        <w:autoSpaceDE w:val="0"/>
        <w:autoSpaceDN w:val="0"/>
        <w:adjustRightInd w:val="0"/>
        <w:ind w:firstLine="420"/>
        <w:rPr>
          <w:color w:val="000000"/>
          <w:szCs w:val="21"/>
        </w:rPr>
      </w:pPr>
      <w:r>
        <w:rPr>
          <w:color w:val="000000"/>
          <w:szCs w:val="21"/>
        </w:rPr>
        <w:t>16.1</w:t>
      </w:r>
      <w:r>
        <w:rPr>
          <w:rFonts w:ascii="宋体" w:cs="宋体" w:hint="eastAsia"/>
          <w:color w:val="000000"/>
          <w:szCs w:val="21"/>
          <w:lang w:val="zh-CN"/>
        </w:rPr>
        <w:t>投标人应按招标文件提供的</w:t>
      </w:r>
      <w:r>
        <w:rPr>
          <w:rFonts w:ascii="宋体" w:cs="宋体"/>
          <w:color w:val="000000"/>
          <w:szCs w:val="21"/>
          <w:lang w:val="zh-CN"/>
        </w:rPr>
        <w:t>“</w:t>
      </w:r>
      <w:r>
        <w:rPr>
          <w:rFonts w:ascii="宋体" w:cs="宋体" w:hint="eastAsia"/>
          <w:color w:val="000000"/>
          <w:szCs w:val="21"/>
          <w:lang w:val="zh-CN"/>
        </w:rPr>
        <w:t>投标文件的格式</w:t>
      </w:r>
      <w:r>
        <w:rPr>
          <w:rFonts w:ascii="宋体" w:cs="宋体"/>
          <w:color w:val="000000"/>
          <w:szCs w:val="21"/>
          <w:lang w:val="zh-CN"/>
        </w:rPr>
        <w:t>”</w:t>
      </w:r>
      <w:r>
        <w:rPr>
          <w:rFonts w:ascii="宋体" w:cs="宋体" w:hint="eastAsia"/>
          <w:color w:val="000000"/>
          <w:szCs w:val="21"/>
          <w:lang w:val="zh-CN"/>
        </w:rPr>
        <w:t>填写。</w:t>
      </w:r>
    </w:p>
    <w:p>
      <w:pPr>
        <w:autoSpaceDE w:val="0"/>
        <w:autoSpaceDN w:val="0"/>
        <w:adjustRightInd w:val="0"/>
        <w:ind w:firstLine="420"/>
        <w:rPr>
          <w:color w:val="000000"/>
          <w:szCs w:val="21"/>
        </w:rPr>
      </w:pPr>
      <w:r>
        <w:rPr>
          <w:color w:val="000000"/>
          <w:szCs w:val="21"/>
        </w:rPr>
        <w:t>16.2</w:t>
      </w:r>
      <w:r>
        <w:rPr>
          <w:rFonts w:ascii="宋体" w:cs="宋体" w:hint="eastAsia"/>
          <w:color w:val="000000"/>
          <w:szCs w:val="21"/>
          <w:lang w:val="zh-CN"/>
        </w:rPr>
        <w:t>本招标文件中的</w:t>
      </w:r>
      <w:r>
        <w:rPr>
          <w:rFonts w:ascii="宋体" w:cs="宋体"/>
          <w:color w:val="000000"/>
          <w:szCs w:val="21"/>
          <w:lang w:val="zh-CN"/>
        </w:rPr>
        <w:t>“</w:t>
      </w:r>
      <w:r>
        <w:rPr>
          <w:rFonts w:ascii="宋体" w:cs="宋体" w:hint="eastAsia"/>
          <w:color w:val="000000"/>
          <w:szCs w:val="21"/>
          <w:lang w:val="zh-CN"/>
        </w:rPr>
        <w:t>包</w:t>
      </w:r>
      <w:r>
        <w:rPr>
          <w:rFonts w:ascii="宋体" w:cs="宋体"/>
          <w:color w:val="000000"/>
          <w:szCs w:val="21"/>
          <w:lang w:val="zh-CN"/>
        </w:rPr>
        <w:t>”</w:t>
      </w:r>
      <w:r>
        <w:rPr>
          <w:rFonts w:ascii="宋体" w:cs="宋体" w:hint="eastAsia"/>
          <w:color w:val="000000"/>
          <w:szCs w:val="21"/>
          <w:lang w:val="zh-CN"/>
        </w:rPr>
        <w:t>是最小的</w:t>
      </w:r>
      <w:r>
        <w:rPr>
          <w:rFonts w:ascii="宋体" w:cs="宋体"/>
          <w:color w:val="000000"/>
          <w:szCs w:val="21"/>
          <w:lang w:val="zh-CN"/>
        </w:rPr>
        <w:t>“</w:t>
      </w:r>
      <w:r>
        <w:rPr>
          <w:rFonts w:ascii="宋体" w:cs="宋体" w:hint="eastAsia"/>
          <w:color w:val="000000"/>
          <w:szCs w:val="21"/>
          <w:lang w:val="zh-CN"/>
        </w:rPr>
        <w:t>标的单位</w:t>
      </w:r>
      <w:r>
        <w:rPr>
          <w:rFonts w:ascii="宋体" w:cs="宋体"/>
          <w:color w:val="000000"/>
          <w:szCs w:val="21"/>
          <w:lang w:val="zh-CN"/>
        </w:rPr>
        <w:t>”</w:t>
      </w:r>
      <w:r>
        <w:rPr>
          <w:rFonts w:ascii="宋体" w:cs="宋体" w:hint="eastAsia"/>
          <w:color w:val="000000"/>
          <w:szCs w:val="21"/>
          <w:lang w:val="zh-CN"/>
        </w:rPr>
        <w:t>，投标人可对本</w:t>
      </w:r>
      <w:r>
        <w:rPr>
          <w:rFonts w:ascii="宋体" w:cs="宋体"/>
          <w:color w:val="000000"/>
          <w:szCs w:val="21"/>
          <w:lang w:val="zh-CN"/>
        </w:rPr>
        <w:t>“</w:t>
      </w:r>
      <w:r>
        <w:rPr>
          <w:rFonts w:ascii="宋体" w:cs="宋体" w:hint="eastAsia"/>
          <w:color w:val="000000"/>
          <w:szCs w:val="21"/>
          <w:lang w:val="zh-CN"/>
        </w:rPr>
        <w:t>招标文件</w:t>
      </w:r>
      <w:r>
        <w:rPr>
          <w:rFonts w:ascii="宋体" w:cs="宋体"/>
          <w:color w:val="000000"/>
          <w:szCs w:val="21"/>
          <w:lang w:val="zh-CN"/>
        </w:rPr>
        <w:t>”</w:t>
      </w:r>
      <w:r>
        <w:rPr>
          <w:rFonts w:ascii="宋体" w:cs="宋体" w:hint="eastAsia"/>
          <w:color w:val="000000"/>
          <w:szCs w:val="21"/>
          <w:lang w:val="zh-CN"/>
        </w:rPr>
        <w:t>中所列的所有货物、工程和服务项进行投标，投标人可只对其中一个包或几个包的内容进行投标（如有的话），但不得将一个包中的内容拆开投标，否则将导致其投标被拒绝。</w:t>
      </w:r>
    </w:p>
    <w:p>
      <w:pPr>
        <w:autoSpaceDE w:val="0"/>
        <w:autoSpaceDN w:val="0"/>
        <w:adjustRightInd w:val="0"/>
        <w:ind w:firstLine="422"/>
        <w:rPr>
          <w:b/>
          <w:bCs/>
          <w:color w:val="000000"/>
          <w:szCs w:val="21"/>
        </w:rPr>
      </w:pPr>
      <w:r>
        <w:rPr>
          <w:b/>
          <w:bCs/>
          <w:color w:val="000000"/>
          <w:szCs w:val="21"/>
        </w:rPr>
        <w:t>17.</w:t>
      </w:r>
      <w:r>
        <w:rPr>
          <w:rFonts w:ascii="宋体" w:cs="宋体" w:hint="eastAsia"/>
          <w:b/>
          <w:bCs/>
          <w:color w:val="000000"/>
          <w:szCs w:val="21"/>
          <w:lang w:val="zh-CN"/>
        </w:rPr>
        <w:t>投标报价和货币</w:t>
      </w:r>
    </w:p>
    <w:p>
      <w:pPr>
        <w:autoSpaceDE w:val="0"/>
        <w:autoSpaceDN w:val="0"/>
        <w:adjustRightInd w:val="0"/>
        <w:ind w:firstLine="420"/>
        <w:rPr>
          <w:color w:val="000000"/>
          <w:szCs w:val="21"/>
        </w:rPr>
      </w:pPr>
      <w:r>
        <w:rPr>
          <w:color w:val="000000"/>
          <w:szCs w:val="21"/>
        </w:rPr>
        <w:t>17.1</w:t>
      </w:r>
      <w:r>
        <w:rPr>
          <w:rFonts w:ascii="宋体" w:cs="宋体" w:hint="eastAsia"/>
          <w:color w:val="000000"/>
          <w:szCs w:val="21"/>
          <w:lang w:val="zh-CN"/>
        </w:rPr>
        <w:t>投标报价以人民币为结算单位。</w:t>
      </w:r>
    </w:p>
    <w:p>
      <w:pPr>
        <w:autoSpaceDE w:val="0"/>
        <w:autoSpaceDN w:val="0"/>
        <w:adjustRightInd w:val="0"/>
        <w:ind w:firstLine="420"/>
        <w:rPr>
          <w:color w:val="000000"/>
          <w:szCs w:val="21"/>
        </w:rPr>
      </w:pPr>
      <w:r>
        <w:rPr>
          <w:color w:val="000000"/>
          <w:szCs w:val="21"/>
        </w:rPr>
        <w:t>17.2</w:t>
      </w:r>
      <w:r>
        <w:rPr>
          <w:rFonts w:ascii="宋体" w:cs="宋体" w:hint="eastAsia"/>
          <w:color w:val="000000"/>
          <w:szCs w:val="21"/>
          <w:lang w:val="zh-CN"/>
        </w:rPr>
        <w:t>国产的有关货物、工程和服务的报价应包括要向中华人民共和国政府缴纳的增值税和其他税。</w:t>
      </w:r>
    </w:p>
    <w:p>
      <w:pPr>
        <w:autoSpaceDE w:val="0"/>
        <w:autoSpaceDN w:val="0"/>
        <w:adjustRightInd w:val="0"/>
        <w:ind w:firstLine="420"/>
        <w:rPr>
          <w:color w:val="000000"/>
          <w:szCs w:val="21"/>
        </w:rPr>
      </w:pPr>
      <w:r>
        <w:rPr>
          <w:color w:val="000000"/>
          <w:szCs w:val="21"/>
        </w:rPr>
        <w:t>17.3</w:t>
      </w:r>
      <w:r>
        <w:rPr>
          <w:rFonts w:ascii="宋体" w:cs="宋体" w:hint="eastAsia"/>
          <w:color w:val="000000"/>
          <w:szCs w:val="21"/>
          <w:lang w:val="zh-CN"/>
        </w:rPr>
        <w:t>在中华人民共和国境内提供的进口货物及其有关工程、服务的报价应包括要向中华人民共和国政府缴纳的关税、增值税和其他税。</w:t>
      </w:r>
    </w:p>
    <w:p>
      <w:pPr>
        <w:autoSpaceDE w:val="0"/>
        <w:autoSpaceDN w:val="0"/>
        <w:adjustRightInd w:val="0"/>
        <w:ind w:firstLine="420"/>
        <w:rPr>
          <w:color w:val="000000"/>
          <w:szCs w:val="21"/>
        </w:rPr>
      </w:pPr>
      <w:r>
        <w:rPr>
          <w:color w:val="000000"/>
          <w:szCs w:val="21"/>
        </w:rPr>
        <w:t>17.4</w:t>
      </w:r>
      <w:r>
        <w:rPr>
          <w:rFonts w:ascii="宋体" w:cs="宋体" w:hint="eastAsia"/>
          <w:color w:val="000000"/>
          <w:szCs w:val="21"/>
          <w:lang w:val="zh-CN"/>
        </w:rPr>
        <w:t>投标人对项目的报价必须是唯一的，不接受有任何选择的报价。</w:t>
      </w:r>
    </w:p>
    <w:p>
      <w:pPr>
        <w:autoSpaceDE w:val="0"/>
        <w:autoSpaceDN w:val="0"/>
        <w:adjustRightInd w:val="0"/>
        <w:ind w:firstLine="422"/>
        <w:rPr>
          <w:b/>
          <w:bCs/>
          <w:color w:val="000000"/>
          <w:szCs w:val="21"/>
        </w:rPr>
      </w:pPr>
      <w:r>
        <w:rPr>
          <w:b/>
          <w:bCs/>
          <w:color w:val="000000"/>
          <w:szCs w:val="21"/>
        </w:rPr>
        <w:t>18.</w:t>
      </w:r>
      <w:r>
        <w:rPr>
          <w:rFonts w:ascii="宋体" w:cs="宋体" w:hint="eastAsia"/>
          <w:b/>
          <w:bCs/>
          <w:color w:val="000000"/>
          <w:szCs w:val="21"/>
          <w:lang w:val="zh-CN"/>
        </w:rPr>
        <w:t>投标人资格的证明文件</w:t>
      </w:r>
    </w:p>
    <w:p>
      <w:pPr>
        <w:autoSpaceDE w:val="0"/>
        <w:autoSpaceDN w:val="0"/>
        <w:adjustRightInd w:val="0"/>
        <w:ind w:firstLine="420"/>
        <w:rPr>
          <w:color w:val="000000"/>
          <w:szCs w:val="21"/>
        </w:rPr>
      </w:pPr>
      <w:r>
        <w:rPr>
          <w:color w:val="000000"/>
          <w:szCs w:val="21"/>
        </w:rPr>
        <w:t>18.1</w:t>
      </w:r>
      <w:r>
        <w:rPr>
          <w:rFonts w:ascii="宋体" w:cs="宋体" w:hint="eastAsia"/>
          <w:color w:val="000000"/>
          <w:szCs w:val="21"/>
          <w:lang w:val="zh-CN"/>
        </w:rPr>
        <w:t>投标人应提交证明其有资格参加投标和中标后有能力履行合同的文件，并作为其投标文件的一部分。</w:t>
      </w:r>
    </w:p>
    <w:p>
      <w:pPr>
        <w:autoSpaceDE w:val="0"/>
        <w:autoSpaceDN w:val="0"/>
        <w:adjustRightInd w:val="0"/>
        <w:ind w:firstLine="420"/>
        <w:rPr>
          <w:color w:val="000000"/>
          <w:szCs w:val="21"/>
        </w:rPr>
      </w:pPr>
      <w:r>
        <w:rPr>
          <w:color w:val="000000"/>
          <w:szCs w:val="21"/>
        </w:rPr>
        <w:t>18.1.1</w:t>
      </w:r>
      <w:r>
        <w:rPr>
          <w:rFonts w:ascii="宋体" w:cs="宋体" w:hint="eastAsia"/>
          <w:color w:val="000000"/>
          <w:szCs w:val="21"/>
          <w:lang w:val="zh-CN"/>
        </w:rPr>
        <w:t>采用最低价法的采购项目，提供相同品牌产品的不同投标人参加同一合同项下投标的，以其中通过资格审查、符合性审查且报价最低的参加评标；报价相同的，由采购人采取</w:t>
      </w:r>
      <w:r>
        <w:rPr>
          <w:color w:val="000000"/>
          <w:szCs w:val="21"/>
        </w:rPr>
        <w:t>18.1.5</w:t>
      </w:r>
      <w:r>
        <w:rPr>
          <w:rFonts w:ascii="宋体" w:cs="宋体" w:hint="eastAsia"/>
          <w:color w:val="000000"/>
          <w:szCs w:val="21"/>
          <w:lang w:val="zh-CN"/>
        </w:rPr>
        <w:t>规定的随机抽取方式确定一个参加评标的投标人，其他投标无效。</w:t>
      </w:r>
    </w:p>
    <w:p>
      <w:pPr>
        <w:autoSpaceDE w:val="0"/>
        <w:autoSpaceDN w:val="0"/>
        <w:adjustRightInd w:val="0"/>
        <w:ind w:firstLine="420"/>
        <w:rPr>
          <w:color w:val="000000"/>
          <w:szCs w:val="21"/>
        </w:rPr>
      </w:pPr>
      <w:r>
        <w:rPr>
          <w:color w:val="000000"/>
          <w:szCs w:val="21"/>
        </w:rPr>
        <w:t>18.1.2</w:t>
      </w:r>
      <w:r>
        <w:rPr>
          <w:rFonts w:ascii="宋体" w:cs="宋体" w:hint="eastAsia"/>
          <w:color w:val="000000"/>
          <w:szCs w:val="21"/>
          <w:lang w:val="zh-CN"/>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采取</w:t>
      </w:r>
      <w:r>
        <w:rPr>
          <w:color w:val="000000"/>
          <w:szCs w:val="21"/>
        </w:rPr>
        <w:t>18.1.5</w:t>
      </w:r>
      <w:r>
        <w:rPr>
          <w:rFonts w:ascii="宋体" w:cs="宋体" w:hint="eastAsia"/>
          <w:color w:val="000000"/>
          <w:szCs w:val="21"/>
          <w:lang w:val="zh-CN"/>
        </w:rPr>
        <w:t>规定的随机抽取方式确定一个投标人获得中标人推荐资格，其他同品牌投标人不作为中标候选人。</w:t>
      </w:r>
    </w:p>
    <w:p>
      <w:pPr>
        <w:autoSpaceDE w:val="0"/>
        <w:autoSpaceDN w:val="0"/>
        <w:adjustRightInd w:val="0"/>
        <w:ind w:firstLine="420"/>
        <w:rPr>
          <w:color w:val="000000"/>
          <w:szCs w:val="21"/>
        </w:rPr>
      </w:pPr>
      <w:r>
        <w:rPr>
          <w:color w:val="000000"/>
          <w:szCs w:val="21"/>
        </w:rPr>
        <w:t>18.1.3</w:t>
      </w:r>
      <w:r>
        <w:rPr>
          <w:rFonts w:ascii="宋体" w:cs="宋体" w:hint="eastAsia"/>
          <w:color w:val="000000"/>
          <w:szCs w:val="21"/>
          <w:lang w:val="zh-CN"/>
        </w:rPr>
        <w:t>非单一产品采购项目，采购人应当根据采购项目技术构成、产品价格比重等合理确定核心产品，并在招标文件中载明。多家投标人提供的核心产品品牌相同的，按前两款规定处理。</w:t>
      </w:r>
    </w:p>
    <w:p>
      <w:pPr>
        <w:autoSpaceDE w:val="0"/>
        <w:autoSpaceDN w:val="0"/>
        <w:adjustRightInd w:val="0"/>
        <w:ind w:firstLine="420"/>
        <w:rPr>
          <w:color w:val="000000"/>
          <w:szCs w:val="21"/>
        </w:rPr>
      </w:pPr>
      <w:r>
        <w:rPr>
          <w:color w:val="000000"/>
          <w:szCs w:val="21"/>
        </w:rPr>
        <w:t>18.1.4</w:t>
      </w:r>
      <w:r>
        <w:rPr>
          <w:rFonts w:ascii="宋体" w:cs="宋体" w:hint="eastAsia"/>
          <w:color w:val="000000"/>
          <w:szCs w:val="21"/>
          <w:lang w:val="zh-CN"/>
        </w:rPr>
        <w:t>公开招标以外采购方式以及政府采购服务和工程涉及采购货物的项目，也按此方法计算供应商家数。</w:t>
      </w:r>
    </w:p>
    <w:p>
      <w:pPr>
        <w:autoSpaceDE w:val="0"/>
        <w:autoSpaceDN w:val="0"/>
        <w:adjustRightInd w:val="0"/>
        <w:ind w:firstLine="422"/>
        <w:rPr>
          <w:color w:val="000000"/>
          <w:szCs w:val="21"/>
        </w:rPr>
      </w:pPr>
      <w:r>
        <w:rPr>
          <w:b/>
          <w:bCs/>
          <w:color w:val="000000"/>
          <w:szCs w:val="21"/>
        </w:rPr>
        <w:t>18.1.5</w:t>
      </w:r>
      <w:r>
        <w:rPr>
          <w:rFonts w:ascii="宋体" w:cs="宋体" w:hint="eastAsia"/>
          <w:b/>
          <w:bCs/>
          <w:color w:val="000000"/>
          <w:szCs w:val="21"/>
          <w:lang w:val="zh-CN"/>
        </w:rPr>
        <w:t>随机抽取程序：</w:t>
      </w:r>
      <w:r>
        <w:rPr>
          <w:rFonts w:ascii="宋体" w:cs="宋体" w:hint="eastAsia"/>
          <w:color w:val="000000"/>
          <w:szCs w:val="21"/>
          <w:lang w:val="zh-CN"/>
        </w:rPr>
        <w:t>采购人代表从</w:t>
      </w:r>
      <w:r>
        <w:rPr>
          <w:color w:val="000000"/>
          <w:szCs w:val="21"/>
        </w:rPr>
        <w:t>01-50</w:t>
      </w:r>
      <w:r>
        <w:rPr>
          <w:rFonts w:ascii="宋体" w:cs="宋体" w:hint="eastAsia"/>
          <w:color w:val="000000"/>
          <w:szCs w:val="21"/>
          <w:lang w:val="zh-CN"/>
        </w:rPr>
        <w:t>号球中抽取一个球：抽到</w:t>
      </w:r>
      <w:r>
        <w:rPr>
          <w:color w:val="000000"/>
          <w:szCs w:val="21"/>
        </w:rPr>
        <w:t>01-25</w:t>
      </w:r>
      <w:r>
        <w:rPr>
          <w:rFonts w:ascii="宋体" w:cs="宋体" w:hint="eastAsia"/>
          <w:color w:val="000000"/>
          <w:szCs w:val="21"/>
          <w:lang w:val="zh-CN"/>
        </w:rPr>
        <w:t>号范围内的球，本项目由号码最小的投标人获得资格；抽到</w:t>
      </w:r>
      <w:r>
        <w:rPr>
          <w:color w:val="000000"/>
          <w:szCs w:val="21"/>
        </w:rPr>
        <w:t>26-50</w:t>
      </w:r>
      <w:r>
        <w:rPr>
          <w:rFonts w:ascii="宋体" w:cs="宋体" w:hint="eastAsia"/>
          <w:color w:val="000000"/>
          <w:szCs w:val="21"/>
          <w:lang w:val="zh-CN"/>
        </w:rPr>
        <w:t>号范围内的球，本项目由号码最大的投标人获得资格。各投标人按照投标时间依次抽签，如最大（小）出现两家或以上投标人同号的情况，则对同号的投标人重新摇签确定获得资格的投标人。抽签过程中遇抽签机器卡球的，被卡球方当轮重新抽签。</w:t>
      </w:r>
    </w:p>
    <w:p>
      <w:pPr>
        <w:autoSpaceDE w:val="0"/>
        <w:autoSpaceDN w:val="0"/>
        <w:adjustRightInd w:val="0"/>
        <w:ind w:firstLine="420"/>
        <w:rPr>
          <w:color w:val="000000"/>
          <w:szCs w:val="21"/>
        </w:rPr>
      </w:pPr>
      <w:r>
        <w:rPr>
          <w:color w:val="000000"/>
          <w:szCs w:val="21"/>
        </w:rPr>
        <w:t>18.2</w:t>
      </w:r>
      <w:r>
        <w:rPr>
          <w:rFonts w:ascii="宋体" w:cs="宋体" w:hint="eastAsia"/>
          <w:color w:val="000000"/>
          <w:szCs w:val="21"/>
          <w:lang w:val="zh-CN"/>
        </w:rPr>
        <w:t>投标人除招标文件规定的资格条件外，还必须符合国家法规规定的强制性条件，并提供相关证明文件，作为投标文件的一部份。</w:t>
      </w:r>
    </w:p>
    <w:p>
      <w:pPr>
        <w:autoSpaceDE w:val="0"/>
        <w:autoSpaceDN w:val="0"/>
        <w:adjustRightInd w:val="0"/>
        <w:ind w:firstLine="420"/>
        <w:rPr>
          <w:color w:val="000000"/>
          <w:szCs w:val="21"/>
        </w:rPr>
      </w:pPr>
      <w:r>
        <w:rPr>
          <w:color w:val="000000"/>
          <w:szCs w:val="21"/>
        </w:rPr>
        <w:t>18.3</w:t>
      </w:r>
      <w:r>
        <w:rPr>
          <w:rFonts w:ascii="宋体" w:cs="宋体" w:hint="eastAsia"/>
          <w:color w:val="000000"/>
          <w:szCs w:val="21"/>
          <w:lang w:val="zh-CN"/>
        </w:rPr>
        <w:t>投标人提交的证明文件应当是合法有效的。</w:t>
      </w:r>
    </w:p>
    <w:p>
      <w:pPr>
        <w:autoSpaceDE w:val="0"/>
        <w:autoSpaceDN w:val="0"/>
        <w:adjustRightInd w:val="0"/>
        <w:ind w:firstLine="420"/>
        <w:rPr>
          <w:color w:val="000000"/>
          <w:szCs w:val="21"/>
        </w:rPr>
      </w:pPr>
      <w:r>
        <w:rPr>
          <w:color w:val="000000"/>
          <w:szCs w:val="21"/>
        </w:rPr>
        <w:t xml:space="preserve">18.4 </w:t>
      </w:r>
      <w:r>
        <w:rPr>
          <w:rFonts w:ascii="宋体" w:cs="宋体" w:hint="eastAsia"/>
          <w:color w:val="000000"/>
          <w:szCs w:val="21"/>
          <w:lang w:val="zh-CN"/>
        </w:rPr>
        <w:t>投标人应提交参加本次政府采购活动前</w:t>
      </w:r>
      <w:r>
        <w:rPr>
          <w:color w:val="000000"/>
          <w:szCs w:val="21"/>
        </w:rPr>
        <w:t>3</w:t>
      </w:r>
      <w:r>
        <w:rPr>
          <w:rFonts w:ascii="宋体" w:cs="宋体" w:hint="eastAsia"/>
          <w:color w:val="000000"/>
          <w:szCs w:val="21"/>
          <w:lang w:val="zh-CN"/>
        </w:rPr>
        <w:t>年内在经营活动中没有重大违法记录的书面承诺，并作为其投标文件的一部分。</w:t>
      </w:r>
    </w:p>
    <w:p>
      <w:pPr>
        <w:autoSpaceDE w:val="0"/>
        <w:autoSpaceDN w:val="0"/>
        <w:adjustRightInd w:val="0"/>
        <w:ind w:firstLine="422"/>
        <w:rPr>
          <w:b/>
          <w:bCs/>
          <w:color w:val="000000"/>
          <w:szCs w:val="21"/>
        </w:rPr>
      </w:pPr>
      <w:r>
        <w:rPr>
          <w:b/>
          <w:bCs/>
          <w:color w:val="000000"/>
          <w:szCs w:val="21"/>
        </w:rPr>
        <w:t>19.</w:t>
      </w:r>
      <w:r>
        <w:rPr>
          <w:rFonts w:ascii="宋体" w:cs="宋体" w:hint="eastAsia"/>
          <w:b/>
          <w:bCs/>
          <w:color w:val="000000"/>
          <w:szCs w:val="21"/>
          <w:lang w:val="zh-CN"/>
        </w:rPr>
        <w:t>证明投标文件投标技术方案的合格性和符合招标文件规定的文件要求</w:t>
      </w:r>
    </w:p>
    <w:p>
      <w:pPr>
        <w:autoSpaceDE w:val="0"/>
        <w:autoSpaceDN w:val="0"/>
        <w:adjustRightInd w:val="0"/>
        <w:ind w:firstLine="420"/>
        <w:rPr>
          <w:color w:val="000000"/>
          <w:szCs w:val="21"/>
        </w:rPr>
      </w:pPr>
      <w:r>
        <w:rPr>
          <w:color w:val="000000"/>
          <w:szCs w:val="21"/>
        </w:rPr>
        <w:t xml:space="preserve">19.1 </w:t>
      </w:r>
      <w:r>
        <w:rPr>
          <w:rFonts w:ascii="宋体" w:cs="宋体" w:hint="eastAsia"/>
          <w:color w:val="000000"/>
          <w:szCs w:val="21"/>
          <w:lang w:val="zh-CN"/>
        </w:rPr>
        <w:t>投标人应提交证明文件证明其投标技术方案项下的货物、工程或服务的合格性符合招标文件规定。该投标技术方案及其证明文件作为投标文件的一部分。</w:t>
      </w:r>
    </w:p>
    <w:p>
      <w:pPr>
        <w:autoSpaceDE w:val="0"/>
        <w:autoSpaceDN w:val="0"/>
        <w:adjustRightInd w:val="0"/>
        <w:ind w:firstLine="420"/>
        <w:rPr>
          <w:color w:val="000000"/>
          <w:szCs w:val="21"/>
        </w:rPr>
      </w:pPr>
      <w:r>
        <w:rPr>
          <w:color w:val="000000"/>
          <w:szCs w:val="21"/>
        </w:rPr>
        <w:t xml:space="preserve">19.2 </w:t>
      </w:r>
      <w:r>
        <w:rPr>
          <w:rFonts w:ascii="宋体" w:cs="宋体" w:hint="eastAsia"/>
          <w:color w:val="000000"/>
          <w:szCs w:val="21"/>
          <w:lang w:val="zh-CN"/>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pPr>
        <w:autoSpaceDE w:val="0"/>
        <w:autoSpaceDN w:val="0"/>
        <w:adjustRightInd w:val="0"/>
        <w:ind w:firstLine="420"/>
        <w:rPr>
          <w:color w:val="000000"/>
          <w:szCs w:val="21"/>
        </w:rPr>
      </w:pPr>
      <w:r>
        <w:rPr>
          <w:color w:val="000000"/>
          <w:szCs w:val="21"/>
        </w:rPr>
        <w:t>19.2.1</w:t>
      </w:r>
      <w:r>
        <w:rPr>
          <w:rFonts w:ascii="宋体" w:cs="宋体" w:hint="eastAsia"/>
          <w:color w:val="000000"/>
          <w:szCs w:val="21"/>
          <w:lang w:val="zh-CN"/>
        </w:rPr>
        <w:t>主要技术指标和性能的详细说明。</w:t>
      </w:r>
    </w:p>
    <w:p>
      <w:pPr>
        <w:autoSpaceDE w:val="0"/>
        <w:autoSpaceDN w:val="0"/>
        <w:adjustRightInd w:val="0"/>
        <w:ind w:firstLine="420"/>
        <w:rPr>
          <w:color w:val="000000"/>
          <w:szCs w:val="21"/>
        </w:rPr>
      </w:pPr>
      <w:r>
        <w:rPr>
          <w:color w:val="000000"/>
          <w:szCs w:val="21"/>
        </w:rPr>
        <w:t>19.2.2</w:t>
      </w:r>
      <w:r>
        <w:rPr>
          <w:rFonts w:ascii="宋体" w:cs="宋体" w:hint="eastAsia"/>
          <w:color w:val="000000"/>
          <w:szCs w:val="21"/>
          <w:lang w:val="zh-CN"/>
        </w:rPr>
        <w:t>投标产品从采购单位开始使用至招标文件中规定的周期内正常、连续地使用所必须的备件和专用工具清单，包括备件和专用工具的货源及现行价格。</w:t>
      </w:r>
    </w:p>
    <w:p>
      <w:pPr>
        <w:autoSpaceDE w:val="0"/>
        <w:autoSpaceDN w:val="0"/>
        <w:adjustRightInd w:val="0"/>
        <w:ind w:firstLine="420"/>
        <w:rPr>
          <w:color w:val="000000"/>
          <w:szCs w:val="21"/>
        </w:rPr>
      </w:pPr>
      <w:r>
        <w:rPr>
          <w:color w:val="000000"/>
          <w:szCs w:val="21"/>
        </w:rPr>
        <w:t>19.2.3</w:t>
      </w:r>
      <w:r>
        <w:rPr>
          <w:rFonts w:ascii="宋体" w:cs="宋体" w:hint="eastAsia"/>
          <w:color w:val="000000"/>
          <w:szCs w:val="21"/>
          <w:lang w:val="zh-CN"/>
        </w:rPr>
        <w:t>对照招标文件技术规格，逐条说明投标技术规格已对采购单位的技术规格做出了实质性的响应，或申明与技术规格条文的偏差和例外。投标人应详细说明投标技术方案中产品的具体参数，不得照搬照抄招标文件的技术要求。</w:t>
      </w:r>
    </w:p>
    <w:p>
      <w:pPr>
        <w:autoSpaceDE w:val="0"/>
        <w:autoSpaceDN w:val="0"/>
        <w:adjustRightInd w:val="0"/>
        <w:ind w:firstLine="420"/>
        <w:rPr>
          <w:color w:val="000000"/>
          <w:szCs w:val="21"/>
        </w:rPr>
      </w:pPr>
      <w:r>
        <w:rPr>
          <w:color w:val="000000"/>
          <w:szCs w:val="21"/>
        </w:rPr>
        <w:t>19.2.4</w:t>
      </w:r>
      <w:r>
        <w:rPr>
          <w:rFonts w:ascii="宋体" w:cs="宋体" w:hint="eastAsia"/>
          <w:color w:val="000000"/>
          <w:szCs w:val="21"/>
          <w:lang w:val="zh-CN"/>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提供扫描件，原件备查；</w:t>
      </w:r>
    </w:p>
    <w:p>
      <w:pPr>
        <w:autoSpaceDE w:val="0"/>
        <w:autoSpaceDN w:val="0"/>
        <w:adjustRightInd w:val="0"/>
        <w:ind w:firstLine="420"/>
        <w:rPr>
          <w:color w:val="000000"/>
          <w:szCs w:val="21"/>
        </w:rPr>
      </w:pPr>
      <w:r>
        <w:rPr>
          <w:color w:val="000000"/>
          <w:szCs w:val="21"/>
        </w:rPr>
        <w:t>19.2.5</w:t>
      </w:r>
      <w:r>
        <w:rPr>
          <w:rFonts w:ascii="宋体" w:cs="宋体" w:hint="eastAsia"/>
          <w:color w:val="000000"/>
          <w:szCs w:val="21"/>
          <w:lang w:val="zh-CN"/>
        </w:rPr>
        <w:t>我国政府机构出具的产品检验和核准证件应为证件正面、背面和附件标注的全部具体内容；产品检验和核准证件的尺寸和清晰度应该能够在电脑上被阅读、识别和判断，提供扫描件，原件备查。</w:t>
      </w:r>
    </w:p>
    <w:p>
      <w:pPr>
        <w:autoSpaceDE w:val="0"/>
        <w:autoSpaceDN w:val="0"/>
        <w:adjustRightInd w:val="0"/>
        <w:ind w:firstLine="420"/>
        <w:rPr>
          <w:color w:val="000000"/>
          <w:szCs w:val="21"/>
        </w:rPr>
      </w:pPr>
      <w:r>
        <w:rPr>
          <w:color w:val="000000"/>
          <w:szCs w:val="21"/>
        </w:rPr>
        <w:t>19.3</w:t>
      </w:r>
      <w:r>
        <w:rPr>
          <w:rFonts w:ascii="宋体" w:cs="宋体" w:hint="eastAsia"/>
          <w:color w:val="000000"/>
          <w:szCs w:val="21"/>
          <w:lang w:val="zh-CN"/>
        </w:rPr>
        <w:t>未达到</w:t>
      </w:r>
      <w:r>
        <w:rPr>
          <w:color w:val="000000"/>
          <w:szCs w:val="21"/>
        </w:rPr>
        <w:t>19.2</w:t>
      </w:r>
      <w:r>
        <w:rPr>
          <w:rFonts w:ascii="宋体" w:cs="宋体" w:hint="eastAsia"/>
          <w:color w:val="000000"/>
          <w:szCs w:val="21"/>
          <w:lang w:val="zh-CN"/>
        </w:rPr>
        <w:t>要求提供的，评审委员会有权认定为投标技术方案不合格响应，其相关分数予以扣减或作投标无效处理。</w:t>
      </w:r>
    </w:p>
    <w:p>
      <w:pPr>
        <w:autoSpaceDE w:val="0"/>
        <w:autoSpaceDN w:val="0"/>
        <w:adjustRightInd w:val="0"/>
        <w:ind w:firstLine="420"/>
        <w:rPr>
          <w:color w:val="000000"/>
          <w:szCs w:val="21"/>
        </w:rPr>
      </w:pPr>
      <w:r>
        <w:rPr>
          <w:color w:val="000000"/>
          <w:szCs w:val="21"/>
        </w:rPr>
        <w:t>19.4</w:t>
      </w:r>
      <w:r>
        <w:rPr>
          <w:rFonts w:ascii="宋体" w:cs="宋体" w:hint="eastAsia"/>
          <w:color w:val="000000"/>
          <w:szCs w:val="21"/>
          <w:lang w:val="zh-CN"/>
        </w:rPr>
        <w:t>评审委员会有权对以谋取中标为目的的技术规格模糊响应（如有意照搬照抄招标文件的货物、工程或服务要求）或虚假响应予以认定。供应商上述行为一经发现或查实，除扣分或作投标无效处理外，代理机构可视情况报政府采购监督管理部门作进一步处理。</w:t>
      </w:r>
    </w:p>
    <w:p>
      <w:pPr>
        <w:autoSpaceDE w:val="0"/>
        <w:autoSpaceDN w:val="0"/>
        <w:adjustRightInd w:val="0"/>
        <w:ind w:firstLine="420"/>
        <w:rPr>
          <w:color w:val="000000"/>
          <w:szCs w:val="21"/>
        </w:rPr>
      </w:pPr>
      <w:r>
        <w:rPr>
          <w:color w:val="000000"/>
          <w:szCs w:val="21"/>
        </w:rPr>
        <w:t>19.5</w:t>
      </w:r>
      <w:r>
        <w:rPr>
          <w:rFonts w:ascii="宋体" w:cs="宋体" w:hint="eastAsia"/>
          <w:color w:val="000000"/>
          <w:szCs w:val="21"/>
          <w:lang w:val="zh-CN"/>
        </w:rPr>
        <w:t>投标人在阐述上述第</w:t>
      </w:r>
      <w:r>
        <w:rPr>
          <w:color w:val="000000"/>
          <w:szCs w:val="21"/>
        </w:rPr>
        <w:t>19.2</w:t>
      </w:r>
      <w:r>
        <w:rPr>
          <w:rFonts w:ascii="宋体" w:cs="宋体" w:hint="eastAsia"/>
          <w:color w:val="000000"/>
          <w:szCs w:val="21"/>
          <w:lang w:val="zh-CN"/>
        </w:rPr>
        <w:t>时应注意采购单位在技术规格中指出的工艺、材料和设备的标准以及参照的牌号或分类号仅起说明作用，并没有任何限制性。投标人在投标中可以选用替代标准、牌号或分类号，但这些替代要实质上满足采购文件中技术规格的要求，是否满足，由评审委员会来评判。</w:t>
      </w:r>
    </w:p>
    <w:p>
      <w:pPr>
        <w:autoSpaceDE w:val="0"/>
        <w:autoSpaceDN w:val="0"/>
        <w:adjustRightInd w:val="0"/>
        <w:ind w:firstLine="420"/>
        <w:rPr>
          <w:color w:val="000000"/>
          <w:szCs w:val="21"/>
        </w:rPr>
      </w:pPr>
      <w:r>
        <w:rPr>
          <w:color w:val="000000"/>
          <w:szCs w:val="21"/>
        </w:rPr>
        <w:t>19.6</w:t>
      </w:r>
      <w:r>
        <w:rPr>
          <w:rFonts w:ascii="宋体" w:cs="宋体" w:hint="eastAsia"/>
          <w:color w:val="000000"/>
          <w:szCs w:val="21"/>
          <w:lang w:val="zh-CN"/>
        </w:rPr>
        <w:t>为保证公平公正，除非另有规定或说明，投标人对同一货物、工程或服务投标时，不得同时提供两套或两套以上的投标方案。</w:t>
      </w:r>
    </w:p>
    <w:p>
      <w:pPr>
        <w:autoSpaceDE w:val="0"/>
        <w:autoSpaceDN w:val="0"/>
        <w:adjustRightInd w:val="0"/>
        <w:ind w:firstLine="422"/>
        <w:rPr>
          <w:b/>
          <w:bCs/>
          <w:color w:val="000000"/>
          <w:szCs w:val="21"/>
        </w:rPr>
      </w:pPr>
      <w:r>
        <w:rPr>
          <w:b/>
          <w:bCs/>
          <w:color w:val="000000"/>
          <w:szCs w:val="21"/>
        </w:rPr>
        <w:t>20.</w:t>
      </w:r>
      <w:r>
        <w:rPr>
          <w:rFonts w:ascii="宋体" w:cs="宋体" w:hint="eastAsia"/>
          <w:b/>
          <w:bCs/>
          <w:color w:val="000000"/>
          <w:szCs w:val="21"/>
          <w:lang w:val="zh-CN"/>
        </w:rPr>
        <w:t>投标文件其他证明文件的要求</w:t>
      </w:r>
    </w:p>
    <w:p>
      <w:pPr>
        <w:autoSpaceDE w:val="0"/>
        <w:autoSpaceDN w:val="0"/>
        <w:adjustRightInd w:val="0"/>
        <w:ind w:firstLine="420"/>
        <w:rPr>
          <w:color w:val="000000"/>
          <w:szCs w:val="21"/>
        </w:rPr>
      </w:pPr>
      <w:r>
        <w:rPr>
          <w:color w:val="000000"/>
          <w:szCs w:val="21"/>
        </w:rPr>
        <w:t>20.1</w:t>
      </w:r>
      <w:r>
        <w:rPr>
          <w:rFonts w:ascii="宋体" w:cs="宋体" w:hint="eastAsia"/>
          <w:color w:val="000000"/>
          <w:szCs w:val="21"/>
          <w:lang w:val="zh-CN"/>
        </w:rPr>
        <w:t>对项目招标文件《评标信息》评分项中涉及的相关业绩、社保情况、银行资信等级和资金流状况等内容以及《投标文件初审表》中涉及的资质证书，投标人应提供相关部门出具的证明材料扫描件，原件备查。有关扫描件的尺寸和清晰度应该能够在电脑上被阅读、识别和判断。若投标人未按要求提供证明材料或提供的是部分证明材料或提供不清晰的扫描件的，评审委员会有权认定其投标文件未对招标文件有关需求进行响应，涉及资格性检查或符合性检查的予以作投标无效处理，涉及《评标信息》打分项的则该项评分予以</w:t>
      </w:r>
      <w:r>
        <w:rPr>
          <w:color w:val="000000"/>
          <w:szCs w:val="21"/>
        </w:rPr>
        <w:t>0</w:t>
      </w:r>
      <w:r>
        <w:rPr>
          <w:rFonts w:ascii="宋体" w:cs="宋体" w:hint="eastAsia"/>
          <w:color w:val="000000"/>
          <w:szCs w:val="21"/>
          <w:lang w:val="zh-CN"/>
        </w:rPr>
        <w:t>分处理。</w:t>
      </w:r>
    </w:p>
    <w:p>
      <w:pPr>
        <w:autoSpaceDE w:val="0"/>
        <w:autoSpaceDN w:val="0"/>
        <w:adjustRightInd w:val="0"/>
        <w:ind w:firstLine="420"/>
        <w:rPr>
          <w:color w:val="000000"/>
          <w:szCs w:val="21"/>
        </w:rPr>
      </w:pPr>
      <w:r>
        <w:rPr>
          <w:color w:val="000000"/>
          <w:szCs w:val="21"/>
        </w:rPr>
        <w:t>20.2</w:t>
      </w:r>
      <w:r>
        <w:rPr>
          <w:rFonts w:ascii="宋体" w:cs="宋体" w:hint="eastAsia"/>
          <w:color w:val="000000"/>
          <w:szCs w:val="21"/>
          <w:lang w:val="zh-CN"/>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质疑相关供应商的投标文件资料、质疑相关供应商的答辩说明、质疑相关资料原件、质疑相关资料相应官方查询渠道查询到的信息等。以下情形可由评审委员会判定投标资料无效：</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1</w:t>
      </w:r>
      <w:r>
        <w:rPr>
          <w:rFonts w:ascii="宋体" w:cs="宋体" w:hint="eastAsia"/>
          <w:color w:val="000000"/>
          <w:szCs w:val="21"/>
          <w:lang w:val="zh-CN"/>
        </w:rPr>
        <w:t>）质疑相关供应商未能在合理时间内提供资料原件核对，且不能合理说明的；</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2</w:t>
      </w:r>
      <w:r>
        <w:rPr>
          <w:rFonts w:ascii="宋体" w:cs="宋体" w:hint="eastAsia"/>
          <w:color w:val="000000"/>
          <w:szCs w:val="21"/>
          <w:lang w:val="zh-CN"/>
        </w:rPr>
        <w:t>）质疑相关供应商提供的资料原件与投标文件资料不一致的；</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3</w:t>
      </w:r>
      <w:r>
        <w:rPr>
          <w:rFonts w:ascii="宋体" w:cs="宋体" w:hint="eastAsia"/>
          <w:color w:val="000000"/>
          <w:szCs w:val="21"/>
          <w:lang w:val="zh-CN"/>
        </w:rPr>
        <w:t>）质疑相关供应商投标文件资料信息与在相应官方查询渠道查询到的信息不一致，且不能合理说明的。</w:t>
      </w:r>
    </w:p>
    <w:p>
      <w:pPr>
        <w:autoSpaceDE w:val="0"/>
        <w:autoSpaceDN w:val="0"/>
        <w:adjustRightInd w:val="0"/>
        <w:ind w:firstLine="420"/>
        <w:rPr>
          <w:color w:val="000000"/>
          <w:szCs w:val="21"/>
        </w:rPr>
      </w:pPr>
      <w:r>
        <w:rPr>
          <w:color w:val="000000"/>
          <w:szCs w:val="21"/>
        </w:rPr>
        <w:t>20.3</w:t>
      </w:r>
      <w:r>
        <w:rPr>
          <w:rFonts w:ascii="宋体" w:cs="宋体" w:hint="eastAsia"/>
          <w:color w:val="000000"/>
          <w:szCs w:val="21"/>
          <w:lang w:val="zh-CN"/>
        </w:rPr>
        <w:t>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批准之前，仍按原级别资质投标。</w:t>
      </w:r>
    </w:p>
    <w:p>
      <w:pPr>
        <w:autoSpaceDE w:val="0"/>
        <w:autoSpaceDN w:val="0"/>
        <w:adjustRightInd w:val="0"/>
        <w:ind w:firstLine="422"/>
        <w:rPr>
          <w:b/>
          <w:bCs/>
          <w:color w:val="000000"/>
          <w:szCs w:val="21"/>
        </w:rPr>
      </w:pPr>
      <w:r>
        <w:rPr>
          <w:b/>
          <w:bCs/>
          <w:color w:val="000000"/>
          <w:szCs w:val="21"/>
        </w:rPr>
        <w:t>21.</w:t>
      </w:r>
      <w:r>
        <w:rPr>
          <w:rFonts w:ascii="宋体" w:cs="宋体" w:hint="eastAsia"/>
          <w:b/>
          <w:bCs/>
          <w:color w:val="000000"/>
          <w:szCs w:val="21"/>
          <w:lang w:val="zh-CN"/>
        </w:rPr>
        <w:t>投标有效期</w:t>
      </w:r>
    </w:p>
    <w:p>
      <w:pPr>
        <w:autoSpaceDE w:val="0"/>
        <w:autoSpaceDN w:val="0"/>
        <w:adjustRightInd w:val="0"/>
        <w:ind w:firstLine="420"/>
        <w:rPr>
          <w:color w:val="000000"/>
          <w:szCs w:val="21"/>
        </w:rPr>
      </w:pPr>
      <w:r>
        <w:rPr>
          <w:color w:val="000000"/>
          <w:szCs w:val="21"/>
        </w:rPr>
        <w:t xml:space="preserve">21.1 </w:t>
      </w:r>
      <w:r>
        <w:rPr>
          <w:rFonts w:ascii="宋体" w:cs="宋体" w:hint="eastAsia"/>
          <w:color w:val="000000"/>
          <w:szCs w:val="21"/>
          <w:lang w:val="zh-CN"/>
        </w:rPr>
        <w:t>在未有特别要求的情况下，投标有效期一律为</w:t>
      </w:r>
      <w:r>
        <w:rPr>
          <w:color w:val="000000"/>
          <w:szCs w:val="21"/>
        </w:rPr>
        <w:t>120</w:t>
      </w:r>
      <w:r>
        <w:rPr>
          <w:rFonts w:ascii="宋体" w:cs="宋体" w:hint="eastAsia"/>
          <w:color w:val="000000"/>
          <w:szCs w:val="21"/>
          <w:lang w:val="zh-CN"/>
        </w:rPr>
        <w:t>个日历日，投标应在规定的投标有效期内保持有效。投标有效期为从投标截止之日算起的日历天数，具体见专用条款中投标有效期的天数要求。在此期限内，所有投标文件均保持有效；</w:t>
      </w:r>
    </w:p>
    <w:p>
      <w:pPr>
        <w:autoSpaceDE w:val="0"/>
        <w:autoSpaceDN w:val="0"/>
        <w:adjustRightInd w:val="0"/>
        <w:ind w:firstLine="420"/>
        <w:rPr>
          <w:color w:val="000000"/>
          <w:szCs w:val="21"/>
        </w:rPr>
      </w:pPr>
      <w:r>
        <w:rPr>
          <w:color w:val="000000"/>
          <w:szCs w:val="21"/>
        </w:rPr>
        <w:t>21.2</w:t>
      </w:r>
      <w:r>
        <w:rPr>
          <w:rFonts w:ascii="宋体" w:cs="宋体" w:hint="eastAsia"/>
          <w:color w:val="000000"/>
          <w:szCs w:val="21"/>
          <w:lang w:val="zh-CN"/>
        </w:rPr>
        <w:t>特殊情况下，在原投标有效期截止之前，代理机构可要求投标人同意延长投标有效期。这种要求与答复均应以书面形式（包括网站公开发布方式）提交。投标人可拒绝代理机构的这种要求，其投标在原投标有效期截止后不再有效；接受延长投标有效期的投标人将不会被要求和允许修正其投标，但应当相应的延长投标担保有效期。</w:t>
      </w:r>
    </w:p>
    <w:p>
      <w:pPr>
        <w:autoSpaceDE w:val="0"/>
        <w:autoSpaceDN w:val="0"/>
        <w:adjustRightInd w:val="0"/>
        <w:ind w:firstLine="420"/>
        <w:rPr>
          <w:color w:val="000000"/>
          <w:szCs w:val="21"/>
        </w:rPr>
      </w:pPr>
      <w:r>
        <w:rPr>
          <w:color w:val="000000"/>
          <w:szCs w:val="21"/>
        </w:rPr>
        <w:t>21.3</w:t>
      </w:r>
      <w:r>
        <w:rPr>
          <w:rFonts w:ascii="宋体" w:cs="宋体" w:hint="eastAsia"/>
          <w:color w:val="000000"/>
          <w:szCs w:val="21"/>
          <w:lang w:val="zh-CN"/>
        </w:rPr>
        <w:t>中标单位的投标书有效期，截止于完成本招标文件规定的全部项目内容，并通过竣工验收及保修结束。</w:t>
      </w:r>
    </w:p>
    <w:p>
      <w:pPr>
        <w:autoSpaceDE w:val="0"/>
        <w:autoSpaceDN w:val="0"/>
        <w:adjustRightInd w:val="0"/>
        <w:ind w:firstLine="422"/>
        <w:rPr>
          <w:color w:val="000000"/>
          <w:szCs w:val="21"/>
        </w:rPr>
      </w:pPr>
      <w:r>
        <w:rPr>
          <w:b/>
          <w:bCs/>
          <w:color w:val="000000"/>
          <w:szCs w:val="21"/>
        </w:rPr>
        <w:t>22.</w:t>
      </w:r>
      <w:r>
        <w:rPr>
          <w:rFonts w:ascii="宋体" w:cs="宋体" w:hint="eastAsia"/>
          <w:b/>
          <w:bCs/>
          <w:color w:val="000000"/>
          <w:szCs w:val="21"/>
          <w:lang w:val="zh-CN"/>
        </w:rPr>
        <w:t>投标文件的制作要求</w:t>
      </w:r>
    </w:p>
    <w:p>
      <w:pPr>
        <w:autoSpaceDE w:val="0"/>
        <w:autoSpaceDN w:val="0"/>
        <w:adjustRightInd w:val="0"/>
        <w:ind w:firstLine="420"/>
        <w:rPr>
          <w:color w:val="000000"/>
          <w:szCs w:val="21"/>
        </w:rPr>
      </w:pPr>
      <w:r>
        <w:rPr>
          <w:color w:val="000000"/>
          <w:szCs w:val="21"/>
        </w:rPr>
        <w:t>22.1</w:t>
      </w:r>
      <w:r>
        <w:rPr>
          <w:rFonts w:ascii="宋体" w:cs="宋体" w:hint="eastAsia"/>
          <w:color w:val="000000"/>
          <w:szCs w:val="21"/>
          <w:lang w:val="zh-CN"/>
        </w:rPr>
        <w:t>投标人应准备所投投标项目的电子投标文件一份。此电子投标文件须由投标人根据代理机构提供的后缀名为</w:t>
      </w:r>
      <w:r>
        <w:rPr>
          <w:color w:val="000000"/>
          <w:szCs w:val="21"/>
        </w:rPr>
        <w:t>.zbs</w:t>
      </w:r>
      <w:r>
        <w:rPr>
          <w:rFonts w:ascii="宋体" w:cs="宋体" w:hint="eastAsia"/>
          <w:color w:val="000000"/>
          <w:szCs w:val="21"/>
          <w:lang w:val="zh-CN"/>
        </w:rPr>
        <w:t>的电子采购文件、《投标书编制软件》编制。（要下载安装《投标书编辑软件》及其配套软件，可在深圳市政府采购网下载并安装最新版本的投标书编制软件，或在打开新版投标书编制软件时按自动升级提示要求安装投标书编制软件至最新版本，须先安装</w:t>
      </w:r>
      <w:r>
        <w:rPr>
          <w:color w:val="000000"/>
          <w:szCs w:val="21"/>
        </w:rPr>
        <w:t>Adobe Reader 9.0</w:t>
      </w:r>
      <w:r>
        <w:rPr>
          <w:rFonts w:ascii="宋体" w:cs="宋体" w:hint="eastAsia"/>
          <w:color w:val="000000"/>
          <w:szCs w:val="21"/>
          <w:lang w:val="zh-CN"/>
        </w:rPr>
        <w:t>以上。）</w:t>
      </w:r>
      <w:r>
        <w:rPr>
          <w:rFonts w:ascii="宋体" w:cs="宋体" w:hint="eastAsia"/>
          <w:b/>
          <w:bCs/>
          <w:color w:val="000000"/>
          <w:szCs w:val="21"/>
          <w:lang w:val="zh-CN"/>
        </w:rPr>
        <w:t>投标人应使用最新版本的投标书编制软件制作投标文件，因投标人未及时更新投标书编制软件造成投标文件出错（如：开标一览表空白，无法正常导入投标书浏览软件等）而导致投标无效的，后果由投标人自负。</w:t>
      </w:r>
    </w:p>
    <w:p>
      <w:pPr>
        <w:autoSpaceDE w:val="0"/>
        <w:autoSpaceDN w:val="0"/>
        <w:adjustRightInd w:val="0"/>
        <w:ind w:firstLine="420"/>
        <w:rPr>
          <w:color w:val="000000"/>
          <w:szCs w:val="21"/>
        </w:rPr>
      </w:pPr>
      <w:r>
        <w:rPr>
          <w:color w:val="000000"/>
          <w:szCs w:val="21"/>
        </w:rPr>
        <w:t xml:space="preserve">22.2 </w:t>
      </w:r>
      <w:r>
        <w:rPr>
          <w:rFonts w:ascii="宋体" w:cs="宋体" w:hint="eastAsia"/>
          <w:color w:val="000000"/>
          <w:szCs w:val="21"/>
          <w:lang w:val="zh-CN"/>
        </w:rPr>
        <w:t>投标人在利用《投标书编制软件》编制投标书时须注意：</w:t>
      </w:r>
    </w:p>
    <w:p>
      <w:pPr>
        <w:autoSpaceDE w:val="0"/>
        <w:autoSpaceDN w:val="0"/>
        <w:adjustRightInd w:val="0"/>
        <w:ind w:firstLine="420"/>
        <w:rPr>
          <w:color w:val="000000"/>
          <w:szCs w:val="21"/>
        </w:rPr>
      </w:pPr>
      <w:r>
        <w:rPr>
          <w:color w:val="000000"/>
          <w:szCs w:val="21"/>
        </w:rPr>
        <w:t>1</w:t>
      </w:r>
      <w:r>
        <w:rPr>
          <w:rFonts w:ascii="宋体" w:cs="宋体" w:hint="eastAsia"/>
          <w:color w:val="000000"/>
          <w:szCs w:val="21"/>
          <w:lang w:val="zh-CN"/>
        </w:rPr>
        <w:t>、导入《投标书编制软件》的招标文件项目编号、包号应与以此制作的投标文件项目编号、包号一致。例如，不能将甲项目</w:t>
      </w:r>
      <w:r>
        <w:rPr>
          <w:color w:val="000000"/>
          <w:szCs w:val="21"/>
        </w:rPr>
        <w:t>A</w:t>
      </w:r>
      <w:r>
        <w:rPr>
          <w:rFonts w:ascii="宋体" w:cs="宋体" w:hint="eastAsia"/>
          <w:color w:val="000000"/>
          <w:szCs w:val="21"/>
          <w:lang w:val="zh-CN"/>
        </w:rPr>
        <w:t>包的招标书导入《投标书编制软件》，制作乙项目</w:t>
      </w:r>
      <w:r>
        <w:rPr>
          <w:color w:val="000000"/>
          <w:szCs w:val="21"/>
        </w:rPr>
        <w:t>B</w:t>
      </w:r>
      <w:r>
        <w:rPr>
          <w:rFonts w:ascii="宋体" w:cs="宋体" w:hint="eastAsia"/>
          <w:color w:val="000000"/>
          <w:szCs w:val="21"/>
          <w:lang w:val="zh-CN"/>
        </w:rPr>
        <w:t>包的投标书。</w:t>
      </w:r>
    </w:p>
    <w:p>
      <w:pPr>
        <w:autoSpaceDE w:val="0"/>
        <w:autoSpaceDN w:val="0"/>
        <w:adjustRightInd w:val="0"/>
        <w:ind w:firstLine="420"/>
        <w:rPr>
          <w:color w:val="000000"/>
          <w:szCs w:val="21"/>
        </w:rPr>
      </w:pPr>
      <w:r>
        <w:rPr>
          <w:color w:val="000000"/>
          <w:szCs w:val="21"/>
        </w:rPr>
        <w:t>2</w:t>
      </w:r>
      <w:r>
        <w:rPr>
          <w:rFonts w:ascii="宋体" w:cs="宋体" w:hint="eastAsia"/>
          <w:color w:val="000000"/>
          <w:szCs w:val="21"/>
          <w:lang w:val="zh-CN"/>
        </w:rPr>
        <w:t>、不能用非本公司的电子密钥加密本公司的投标文件，或者用其它公司的用户登录上传本公司的投标文件。</w:t>
      </w:r>
    </w:p>
    <w:p>
      <w:pPr>
        <w:autoSpaceDE w:val="0"/>
        <w:autoSpaceDN w:val="0"/>
        <w:adjustRightInd w:val="0"/>
        <w:ind w:firstLine="420"/>
        <w:rPr>
          <w:color w:val="000000"/>
          <w:szCs w:val="21"/>
        </w:rPr>
      </w:pPr>
      <w:r>
        <w:rPr>
          <w:color w:val="000000"/>
          <w:szCs w:val="21"/>
        </w:rPr>
        <w:t>3</w:t>
      </w:r>
      <w:r>
        <w:rPr>
          <w:rFonts w:ascii="宋体" w:cs="宋体" w:hint="eastAsia"/>
          <w:color w:val="000000"/>
          <w:szCs w:val="21"/>
          <w:lang w:val="zh-CN"/>
        </w:rPr>
        <w:t>、要求用《投标书编制软件》编制投标书的包，不能用其它方式编制投标书。编制投标文件时，电脑须连通互联网。</w:t>
      </w:r>
    </w:p>
    <w:p>
      <w:pPr>
        <w:autoSpaceDE w:val="0"/>
        <w:autoSpaceDN w:val="0"/>
        <w:adjustRightInd w:val="0"/>
        <w:ind w:firstLine="420"/>
        <w:rPr>
          <w:color w:val="000000"/>
          <w:szCs w:val="21"/>
        </w:rPr>
      </w:pPr>
      <w:r>
        <w:rPr>
          <w:color w:val="000000"/>
          <w:szCs w:val="21"/>
        </w:rPr>
        <w:t>4</w:t>
      </w:r>
      <w:r>
        <w:rPr>
          <w:rFonts w:ascii="宋体" w:cs="宋体" w:hint="eastAsia"/>
          <w:color w:val="000000"/>
          <w:szCs w:val="21"/>
          <w:lang w:val="zh-CN"/>
        </w:rPr>
        <w:t>、投标文件不能带病毒。代理机构将用杀毒软件对投标文件进行病毒检测，如果杀毒软件报告发现病毒，则代理机构认为该投标文件带病毒。</w:t>
      </w:r>
    </w:p>
    <w:p>
      <w:pPr>
        <w:autoSpaceDE w:val="0"/>
        <w:autoSpaceDN w:val="0"/>
        <w:adjustRightInd w:val="0"/>
        <w:ind w:firstLine="420"/>
        <w:rPr>
          <w:color w:val="000000"/>
          <w:szCs w:val="21"/>
        </w:rPr>
      </w:pPr>
      <w:r>
        <w:rPr>
          <w:color w:val="000000"/>
          <w:szCs w:val="21"/>
        </w:rPr>
        <w:t>5</w:t>
      </w:r>
      <w:r>
        <w:rPr>
          <w:rFonts w:ascii="宋体" w:cs="宋体" w:hint="eastAsia"/>
          <w:color w:val="000000"/>
          <w:szCs w:val="21"/>
          <w:lang w:val="zh-CN"/>
        </w:rPr>
        <w:t>、完整填写</w:t>
      </w:r>
      <w:r>
        <w:rPr>
          <w:rFonts w:ascii="宋体" w:cs="宋体"/>
          <w:color w:val="000000"/>
          <w:szCs w:val="21"/>
          <w:lang w:val="zh-CN"/>
        </w:rPr>
        <w:t>“</w:t>
      </w:r>
      <w:r>
        <w:rPr>
          <w:rFonts w:ascii="宋体" w:cs="宋体" w:hint="eastAsia"/>
          <w:color w:val="000000"/>
          <w:szCs w:val="21"/>
          <w:lang w:val="zh-CN"/>
        </w:rPr>
        <w:t>投标关键信息</w:t>
      </w:r>
      <w:r>
        <w:rPr>
          <w:rFonts w:ascii="宋体" w:cs="宋体"/>
          <w:color w:val="000000"/>
          <w:szCs w:val="21"/>
          <w:lang w:val="zh-CN"/>
        </w:rPr>
        <w:t>”</w:t>
      </w:r>
      <w:r>
        <w:rPr>
          <w:rFonts w:ascii="宋体" w:cs="宋体" w:hint="eastAsia"/>
          <w:color w:val="000000"/>
          <w:szCs w:val="21"/>
          <w:lang w:val="zh-CN"/>
        </w:rPr>
        <w:t>，如下图所示：</w:t>
      </w:r>
    </w:p>
    <w:p>
      <w:pPr>
        <w:autoSpaceDE w:val="0"/>
        <w:autoSpaceDN w:val="0"/>
        <w:adjustRightInd w:val="0"/>
        <w:jc w:val="center"/>
        <w:rPr>
          <w:color w:val="000000"/>
          <w:szCs w:val="21"/>
        </w:rPr>
      </w:pPr>
      <w:r>
        <w:rPr>
          <w:rFonts w:ascii="宋体" w:cs="宋体"/>
          <w:color w:val="000000"/>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279pt;width:414pt" coordsize="21600,21600" o:preferrelative="t" filled="f" stroked="f">
            <v:stroke joinstyle="miter"/>
            <v:imagedata r:id="rId4" o:title=""/>
            <o:lock v:ext="edit" aspectratio="t"/>
            <w10:anchorlock/>
          </v:shape>
        </w:pict>
      </w:r>
    </w:p>
    <w:p>
      <w:pPr>
        <w:autoSpaceDE w:val="0"/>
        <w:autoSpaceDN w:val="0"/>
        <w:adjustRightInd w:val="0"/>
        <w:ind w:firstLine="422"/>
        <w:rPr>
          <w:b/>
          <w:bCs/>
          <w:color w:val="000000"/>
          <w:szCs w:val="21"/>
        </w:rPr>
      </w:pPr>
      <w:r>
        <w:rPr>
          <w:rFonts w:ascii="宋体" w:cs="宋体" w:hint="eastAsia"/>
          <w:b/>
          <w:bCs/>
          <w:color w:val="000000"/>
          <w:szCs w:val="21"/>
          <w:lang w:val="zh-CN"/>
        </w:rPr>
        <w:t>如果在投标文件的其它地方有与</w:t>
      </w:r>
      <w:r>
        <w:rPr>
          <w:rFonts w:ascii="宋体" w:cs="宋体"/>
          <w:b/>
          <w:bCs/>
          <w:color w:val="000000"/>
          <w:szCs w:val="21"/>
          <w:lang w:val="zh-CN"/>
        </w:rPr>
        <w:t>“</w:t>
      </w:r>
      <w:r>
        <w:rPr>
          <w:rFonts w:ascii="宋体" w:cs="宋体" w:hint="eastAsia"/>
          <w:b/>
          <w:bCs/>
          <w:color w:val="000000"/>
          <w:szCs w:val="21"/>
          <w:lang w:val="zh-CN"/>
        </w:rPr>
        <w:t>投标关键信息</w:t>
      </w:r>
      <w:r>
        <w:rPr>
          <w:rFonts w:ascii="宋体" w:cs="宋体"/>
          <w:b/>
          <w:bCs/>
          <w:color w:val="000000"/>
          <w:szCs w:val="21"/>
          <w:lang w:val="zh-CN"/>
        </w:rPr>
        <w:t>”</w:t>
      </w:r>
      <w:r>
        <w:rPr>
          <w:rFonts w:ascii="宋体" w:cs="宋体" w:hint="eastAsia"/>
          <w:b/>
          <w:bCs/>
          <w:color w:val="000000"/>
          <w:szCs w:val="21"/>
          <w:lang w:val="zh-CN"/>
        </w:rPr>
        <w:t>内容相冲突的，以</w:t>
      </w:r>
      <w:r>
        <w:rPr>
          <w:rFonts w:ascii="宋体" w:cs="宋体"/>
          <w:b/>
          <w:bCs/>
          <w:color w:val="000000"/>
          <w:szCs w:val="21"/>
          <w:lang w:val="zh-CN"/>
        </w:rPr>
        <w:t>“</w:t>
      </w:r>
      <w:r>
        <w:rPr>
          <w:rFonts w:ascii="宋体" w:cs="宋体" w:hint="eastAsia"/>
          <w:b/>
          <w:bCs/>
          <w:color w:val="000000"/>
          <w:szCs w:val="21"/>
          <w:lang w:val="zh-CN"/>
        </w:rPr>
        <w:t>投标关键信息</w:t>
      </w:r>
      <w:r>
        <w:rPr>
          <w:rFonts w:ascii="宋体" w:cs="宋体"/>
          <w:b/>
          <w:bCs/>
          <w:color w:val="000000"/>
          <w:szCs w:val="21"/>
          <w:lang w:val="zh-CN"/>
        </w:rPr>
        <w:t>”</w:t>
      </w:r>
      <w:r>
        <w:rPr>
          <w:rFonts w:ascii="宋体" w:cs="宋体" w:hint="eastAsia"/>
          <w:b/>
          <w:bCs/>
          <w:color w:val="000000"/>
          <w:szCs w:val="21"/>
          <w:lang w:val="zh-CN"/>
        </w:rPr>
        <w:t>为准。</w:t>
      </w:r>
    </w:p>
    <w:p>
      <w:pPr>
        <w:autoSpaceDE w:val="0"/>
        <w:autoSpaceDN w:val="0"/>
        <w:adjustRightInd w:val="0"/>
        <w:ind w:firstLine="422"/>
        <w:rPr>
          <w:color w:val="000000"/>
          <w:szCs w:val="21"/>
        </w:rPr>
      </w:pPr>
      <w:r>
        <w:rPr>
          <w:b/>
          <w:bCs/>
          <w:color w:val="000000"/>
          <w:szCs w:val="21"/>
        </w:rPr>
        <w:t>6</w:t>
      </w:r>
      <w:r>
        <w:rPr>
          <w:rFonts w:ascii="宋体" w:cs="宋体" w:hint="eastAsia"/>
          <w:b/>
          <w:bCs/>
          <w:color w:val="000000"/>
          <w:szCs w:val="21"/>
          <w:lang w:val="zh-CN"/>
        </w:rPr>
        <w:t>、投标人在编辑投标文件时，在投标文件目录中属于本节点内容的必须在本节点中填写，填写到其他节点或附件的将可能导致评审委员会对该投标文件作出不利判断或投标无效，一切后果由供应商自行承担。</w:t>
      </w:r>
      <w:r>
        <w:rPr>
          <w:rFonts w:ascii="宋体" w:cs="宋体" w:hint="eastAsia"/>
          <w:color w:val="000000"/>
          <w:szCs w:val="21"/>
          <w:lang w:val="zh-CN"/>
        </w:rPr>
        <w:t>填写完投标文件后，要检查每一个章节中图片的清晰程度，如果图片中字体的笔划不连贯，难以辨识的，请及时更换，以确保图片清晰可辨，</w:t>
      </w:r>
      <w:r>
        <w:rPr>
          <w:rFonts w:ascii="宋体" w:cs="宋体" w:hint="eastAsia"/>
          <w:b/>
          <w:bCs/>
          <w:color w:val="000000"/>
          <w:szCs w:val="21"/>
          <w:lang w:val="zh-CN"/>
        </w:rPr>
        <w:t>无法辨识的图片将可能导致评审委员会对该投标文件作出不利判断或投标无效</w:t>
      </w:r>
      <w:r>
        <w:rPr>
          <w:rFonts w:ascii="宋体" w:cs="宋体" w:hint="eastAsia"/>
          <w:color w:val="000000"/>
          <w:szCs w:val="21"/>
          <w:lang w:val="zh-CN"/>
        </w:rPr>
        <w:t>。</w:t>
      </w:r>
    </w:p>
    <w:p>
      <w:pPr>
        <w:autoSpaceDE w:val="0"/>
        <w:autoSpaceDN w:val="0"/>
        <w:adjustRightInd w:val="0"/>
        <w:ind w:firstLine="420"/>
        <w:rPr>
          <w:color w:val="000000"/>
          <w:szCs w:val="21"/>
        </w:rPr>
      </w:pPr>
      <w:r>
        <w:rPr>
          <w:color w:val="000000"/>
          <w:szCs w:val="21"/>
        </w:rPr>
        <w:t>7</w:t>
      </w:r>
      <w:r>
        <w:rPr>
          <w:rFonts w:ascii="宋体" w:cs="宋体" w:hint="eastAsia"/>
          <w:color w:val="000000"/>
          <w:szCs w:val="21"/>
          <w:lang w:val="zh-CN"/>
        </w:rPr>
        <w:t>、投标书编写完成后，必须用属于本公司的电子密钥进行加密，否则视同未盖公章，将导致投标文件无效。</w:t>
      </w:r>
    </w:p>
    <w:p>
      <w:pPr>
        <w:autoSpaceDE w:val="0"/>
        <w:autoSpaceDN w:val="0"/>
        <w:adjustRightInd w:val="0"/>
        <w:ind w:firstLine="420"/>
        <w:rPr>
          <w:color w:val="000000"/>
          <w:szCs w:val="21"/>
        </w:rPr>
      </w:pPr>
      <w:r>
        <w:rPr>
          <w:color w:val="000000"/>
          <w:szCs w:val="21"/>
        </w:rPr>
        <w:t>8</w:t>
      </w:r>
      <w:r>
        <w:rPr>
          <w:rFonts w:ascii="宋体" w:cs="宋体" w:hint="eastAsia"/>
          <w:color w:val="000000"/>
          <w:szCs w:val="21"/>
          <w:lang w:val="zh-CN"/>
        </w:rPr>
        <w:t>、深圳市德顺项目咨询有限公司不接受投标截止时间后递交的纸质、电子、传真等所有形式的投标文件。由于对网上招投标操作不熟悉或自身电脑、网络等原因导致不能在投标截止时间之前上传投标文件，深圳市德顺项目咨询有限公司不负任何责任。</w:t>
      </w:r>
      <w:r>
        <w:rPr>
          <w:rFonts w:ascii="宋体" w:cs="宋体" w:hint="eastAsia"/>
          <w:b/>
          <w:bCs/>
          <w:color w:val="000000"/>
          <w:szCs w:val="21"/>
          <w:lang w:val="zh-CN"/>
        </w:rPr>
        <w:t>建议于开标前一个工作日完成投标文件的制作与上传，如果上传有困难，请及时咨询（电话：</w:t>
      </w:r>
      <w:r>
        <w:rPr>
          <w:b/>
          <w:bCs/>
          <w:color w:val="000000"/>
          <w:szCs w:val="21"/>
        </w:rPr>
        <w:t>0755-88212595</w:t>
      </w:r>
      <w:r>
        <w:rPr>
          <w:rFonts w:ascii="宋体" w:cs="宋体" w:hint="eastAsia"/>
          <w:b/>
          <w:bCs/>
          <w:color w:val="000000"/>
          <w:szCs w:val="21"/>
          <w:lang w:val="zh-CN"/>
        </w:rPr>
        <w:t>）。</w:t>
      </w:r>
    </w:p>
    <w:p>
      <w:pPr>
        <w:autoSpaceDE w:val="0"/>
        <w:autoSpaceDN w:val="0"/>
        <w:adjustRightInd w:val="0"/>
        <w:ind w:firstLine="420"/>
        <w:rPr>
          <w:color w:val="000000"/>
          <w:szCs w:val="21"/>
        </w:rPr>
      </w:pPr>
      <w:r>
        <w:rPr>
          <w:color w:val="000000"/>
          <w:szCs w:val="21"/>
        </w:rPr>
        <w:t>9</w:t>
      </w:r>
      <w:r>
        <w:rPr>
          <w:rFonts w:ascii="宋体" w:cs="宋体" w:hint="eastAsia"/>
          <w:color w:val="000000"/>
          <w:szCs w:val="21"/>
          <w:lang w:val="zh-CN"/>
        </w:rPr>
        <w:t>、如果开标时出现网络故障、技术故障，影响了招投标活动，深圳市德顺项目咨询有限公司有权采取措施如延期、接受无法从网上上传的投标书等，以保障招投标活动的公开、公平和公正，投标供应商不得对此持有异议。</w:t>
      </w:r>
    </w:p>
    <w:p>
      <w:pPr>
        <w:autoSpaceDE w:val="0"/>
        <w:autoSpaceDN w:val="0"/>
        <w:adjustRightInd w:val="0"/>
        <w:ind w:firstLine="422"/>
        <w:rPr>
          <w:b/>
          <w:bCs/>
          <w:color w:val="000000"/>
          <w:szCs w:val="21"/>
        </w:rPr>
      </w:pPr>
      <w:r>
        <w:rPr>
          <w:rFonts w:ascii="宋体" w:cs="宋体" w:hint="eastAsia"/>
          <w:b/>
          <w:bCs/>
          <w:color w:val="000000"/>
          <w:szCs w:val="21"/>
          <w:lang w:val="zh-CN"/>
        </w:rPr>
        <w:t>以上九条，如有违悖，深圳市德顺项目咨询有限公司将不接受该投标文件。</w:t>
      </w:r>
    </w:p>
    <w:p>
      <w:pPr>
        <w:autoSpaceDE w:val="0"/>
        <w:autoSpaceDN w:val="0"/>
        <w:adjustRightInd w:val="0"/>
        <w:ind w:firstLine="420"/>
        <w:rPr>
          <w:color w:val="000000"/>
          <w:szCs w:val="21"/>
        </w:rPr>
      </w:pPr>
      <w:r>
        <w:rPr>
          <w:color w:val="000000"/>
          <w:szCs w:val="21"/>
        </w:rPr>
        <w:t xml:space="preserve">22.3 </w:t>
      </w:r>
      <w:r>
        <w:rPr>
          <w:rFonts w:ascii="宋体" w:cs="宋体" w:hint="eastAsia"/>
          <w:color w:val="000000"/>
          <w:szCs w:val="21"/>
          <w:lang w:val="zh-CN"/>
        </w:rPr>
        <w:t>电报、电话、传真形式的投标概不接受。</w:t>
      </w:r>
    </w:p>
    <w:p>
      <w:pPr>
        <w:autoSpaceDE w:val="0"/>
        <w:autoSpaceDN w:val="0"/>
        <w:adjustRightInd w:val="0"/>
        <w:ind w:firstLine="420"/>
        <w:rPr>
          <w:color w:val="000000"/>
          <w:szCs w:val="21"/>
        </w:rPr>
      </w:pPr>
      <w:r>
        <w:rPr>
          <w:color w:val="000000"/>
          <w:szCs w:val="21"/>
        </w:rPr>
        <w:t>22.4</w:t>
      </w:r>
      <w:r>
        <w:rPr>
          <w:rFonts w:ascii="宋体" w:cs="宋体" w:hint="eastAsia"/>
          <w:color w:val="000000"/>
          <w:szCs w:val="21"/>
          <w:lang w:val="zh-CN"/>
        </w:rPr>
        <w:t>投标文件不用盖章或签字（招标文件另有特殊要求除外）。</w:t>
      </w:r>
    </w:p>
    <w:p>
      <w:pPr>
        <w:autoSpaceDE w:val="0"/>
        <w:autoSpaceDN w:val="0"/>
        <w:adjustRightInd w:val="0"/>
        <w:ind w:firstLine="420"/>
        <w:rPr>
          <w:color w:val="000000"/>
          <w:szCs w:val="21"/>
        </w:rPr>
      </w:pPr>
      <w:r>
        <w:rPr>
          <w:color w:val="000000"/>
          <w:szCs w:val="21"/>
        </w:rPr>
        <w:t>22.5</w:t>
      </w:r>
      <w:r>
        <w:rPr>
          <w:rFonts w:ascii="宋体" w:cs="宋体" w:hint="eastAsia"/>
          <w:color w:val="000000"/>
          <w:szCs w:val="21"/>
          <w:lang w:val="zh-CN"/>
        </w:rPr>
        <w:t>资格证明文件按招标要求提供扫描件（招标文件另有特殊要求除外）。</w:t>
      </w:r>
    </w:p>
    <w:p>
      <w:pPr>
        <w:autoSpaceDE w:val="0"/>
        <w:autoSpaceDN w:val="0"/>
        <w:adjustRightInd w:val="0"/>
        <w:ind w:firstLine="422"/>
        <w:rPr>
          <w:b/>
          <w:bCs/>
          <w:color w:val="000000"/>
          <w:szCs w:val="21"/>
        </w:rPr>
      </w:pPr>
      <w:r>
        <w:rPr>
          <w:b/>
          <w:bCs/>
          <w:color w:val="000000"/>
          <w:szCs w:val="21"/>
        </w:rPr>
        <w:t>23.</w:t>
      </w:r>
      <w:r>
        <w:rPr>
          <w:rFonts w:ascii="宋体" w:cs="宋体" w:hint="eastAsia"/>
          <w:b/>
          <w:bCs/>
          <w:color w:val="000000"/>
          <w:szCs w:val="21"/>
          <w:lang w:val="zh-CN"/>
        </w:rPr>
        <w:t>投标人的替代方案</w:t>
      </w:r>
    </w:p>
    <w:p>
      <w:pPr>
        <w:autoSpaceDE w:val="0"/>
        <w:autoSpaceDN w:val="0"/>
        <w:adjustRightInd w:val="0"/>
        <w:ind w:firstLine="420"/>
        <w:rPr>
          <w:color w:val="000000"/>
          <w:szCs w:val="21"/>
        </w:rPr>
      </w:pPr>
      <w:r>
        <w:rPr>
          <w:color w:val="000000"/>
          <w:szCs w:val="21"/>
        </w:rPr>
        <w:t>23.1</w:t>
      </w:r>
      <w:r>
        <w:rPr>
          <w:rFonts w:ascii="宋体" w:cs="宋体" w:hint="eastAsia"/>
          <w:color w:val="000000"/>
          <w:szCs w:val="21"/>
          <w:lang w:val="zh-CN"/>
        </w:rPr>
        <w:t>投标人所提交的投标文件应完全满足招标文件（包括图纸和技术规范所示的基本技术设计）的要求。除非招标的项目明确允许投标人提交替代方案，否则投标人有关替代方案的条款将初审不通过，投标无效。</w:t>
      </w:r>
    </w:p>
    <w:p>
      <w:pPr>
        <w:autoSpaceDE w:val="0"/>
        <w:autoSpaceDN w:val="0"/>
        <w:adjustRightInd w:val="0"/>
        <w:ind w:firstLine="420"/>
        <w:rPr>
          <w:color w:val="000000"/>
          <w:szCs w:val="21"/>
        </w:rPr>
      </w:pPr>
      <w:r>
        <w:rPr>
          <w:color w:val="000000"/>
          <w:szCs w:val="21"/>
        </w:rPr>
        <w:t xml:space="preserve">23.2 </w:t>
      </w:r>
      <w:r>
        <w:rPr>
          <w:rFonts w:ascii="宋体" w:cs="宋体" w:hint="eastAsia"/>
          <w:color w:val="000000"/>
          <w:szCs w:val="21"/>
          <w:lang w:val="zh-CN"/>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pStyle w:val="Heading2"/>
        <w:rPr>
          <w:color w:val="000000"/>
          <w:sz w:val="28"/>
          <w:szCs w:val="28"/>
          <w:lang w:val="zh-CN"/>
        </w:rPr>
      </w:pPr>
      <w:r>
        <w:rPr>
          <w:rFonts w:hint="eastAsia"/>
          <w:color w:val="000000"/>
          <w:sz w:val="28"/>
          <w:szCs w:val="28"/>
          <w:lang w:val="zh-CN"/>
        </w:rPr>
        <w:t>第四章投标文件的递交</w:t>
      </w:r>
    </w:p>
    <w:p>
      <w:pPr>
        <w:autoSpaceDE w:val="0"/>
        <w:autoSpaceDN w:val="0"/>
        <w:adjustRightInd w:val="0"/>
        <w:ind w:firstLine="422"/>
        <w:rPr>
          <w:b/>
          <w:bCs/>
          <w:color w:val="000000"/>
          <w:szCs w:val="21"/>
        </w:rPr>
      </w:pPr>
      <w:r>
        <w:rPr>
          <w:b/>
          <w:bCs/>
          <w:color w:val="000000"/>
          <w:szCs w:val="21"/>
        </w:rPr>
        <w:t>24.</w:t>
      </w:r>
      <w:r>
        <w:rPr>
          <w:rFonts w:ascii="宋体" w:cs="宋体" w:hint="eastAsia"/>
          <w:b/>
          <w:bCs/>
          <w:color w:val="000000"/>
          <w:szCs w:val="21"/>
          <w:lang w:val="zh-CN"/>
        </w:rPr>
        <w:t>投标文件的加密</w:t>
      </w:r>
    </w:p>
    <w:p>
      <w:pPr>
        <w:autoSpaceDE w:val="0"/>
        <w:autoSpaceDN w:val="0"/>
        <w:adjustRightInd w:val="0"/>
        <w:ind w:firstLine="420"/>
        <w:rPr>
          <w:color w:val="000000"/>
          <w:szCs w:val="21"/>
        </w:rPr>
      </w:pPr>
      <w:r>
        <w:rPr>
          <w:color w:val="000000"/>
          <w:szCs w:val="21"/>
        </w:rPr>
        <w:t>24.1</w:t>
      </w:r>
      <w:r>
        <w:rPr>
          <w:rFonts w:ascii="宋体" w:cs="宋体" w:hint="eastAsia"/>
          <w:color w:val="000000"/>
          <w:szCs w:val="21"/>
          <w:lang w:val="zh-CN"/>
        </w:rPr>
        <w:t>在投标文件制作完成后，投标书编制软件自带的加密程序能自行对其进行加密，投标人无须用其它加密方式。此加密程序确保投标文件在到达投标截止时间后才能解密查看。在加密过程中，加密软件会提示选取对应项目的加密规则文件，</w:t>
      </w:r>
      <w:r>
        <w:rPr>
          <w:rFonts w:ascii="宋体" w:cs="宋体" w:hint="eastAsia"/>
          <w:b/>
          <w:bCs/>
          <w:color w:val="000000"/>
          <w:szCs w:val="21"/>
          <w:lang w:val="zh-CN"/>
        </w:rPr>
        <w:t>如果误选了非本项目的规则文件导致不能在开标时解密投标文件，该投标文件将被深圳市德顺项目咨询有限公司拒绝</w:t>
      </w:r>
      <w:r>
        <w:rPr>
          <w:rFonts w:ascii="宋体" w:cs="宋体" w:hint="eastAsia"/>
          <w:color w:val="000000"/>
          <w:szCs w:val="21"/>
          <w:lang w:val="zh-CN"/>
        </w:rPr>
        <w:t>。选取项目加密规则文件的界面如下图所示：</w:t>
      </w:r>
    </w:p>
    <w:p>
      <w:pPr>
        <w:autoSpaceDE w:val="0"/>
        <w:autoSpaceDN w:val="0"/>
        <w:adjustRightInd w:val="0"/>
        <w:jc w:val="center"/>
        <w:rPr>
          <w:b/>
          <w:bCs/>
          <w:color w:val="000000"/>
          <w:szCs w:val="21"/>
        </w:rPr>
      </w:pPr>
      <w:r>
        <w:rPr>
          <w:rFonts w:ascii="宋体" w:cs="宋体"/>
          <w:color w:val="000000"/>
          <w:sz w:val="22"/>
        </w:rPr>
        <w:pict>
          <v:shape id="_x0000_i1026" type="#_x0000_t75" style="height:264pt;width:418.5pt" coordsize="21600,21600" o:preferrelative="t" filled="f" stroked="f">
            <v:stroke joinstyle="miter"/>
            <v:imagedata r:id="rId5" o:title=""/>
            <o:lock v:ext="edit" aspectratio="t"/>
            <w10:anchorlock/>
          </v:shape>
        </w:pict>
      </w:r>
    </w:p>
    <w:p>
      <w:pPr>
        <w:autoSpaceDE w:val="0"/>
        <w:autoSpaceDN w:val="0"/>
        <w:adjustRightInd w:val="0"/>
        <w:spacing w:after="60"/>
        <w:jc w:val="center"/>
        <w:rPr>
          <w:b/>
          <w:bCs/>
          <w:color w:val="000000"/>
          <w:szCs w:val="21"/>
        </w:rPr>
      </w:pPr>
      <w:r>
        <w:rPr>
          <w:rFonts w:ascii="宋体" w:cs="宋体" w:hint="eastAsia"/>
          <w:b/>
          <w:bCs/>
          <w:color w:val="000000"/>
          <w:szCs w:val="21"/>
          <w:lang w:val="zh-CN"/>
        </w:rPr>
        <w:t>（图</w:t>
      </w:r>
      <w:r>
        <w:rPr>
          <w:b/>
          <w:bCs/>
          <w:color w:val="000000"/>
          <w:szCs w:val="21"/>
        </w:rPr>
        <w:t>1</w:t>
      </w:r>
      <w:r>
        <w:rPr>
          <w:rFonts w:ascii="宋体" w:cs="宋体" w:hint="eastAsia"/>
          <w:b/>
          <w:bCs/>
          <w:color w:val="000000"/>
          <w:szCs w:val="21"/>
          <w:lang w:val="zh-CN"/>
        </w:rPr>
        <w:t>：标书加密）</w:t>
      </w:r>
    </w:p>
    <w:p>
      <w:pPr>
        <w:autoSpaceDE w:val="0"/>
        <w:autoSpaceDN w:val="0"/>
        <w:adjustRightInd w:val="0"/>
        <w:spacing w:after="60"/>
        <w:jc w:val="center"/>
        <w:rPr>
          <w:color w:val="000000"/>
          <w:szCs w:val="21"/>
        </w:rPr>
      </w:pPr>
      <w:r>
        <w:rPr>
          <w:rFonts w:ascii="宋体" w:cs="宋体" w:hint="eastAsia"/>
          <w:color w:val="000000"/>
          <w:szCs w:val="21"/>
          <w:lang w:val="zh-CN"/>
        </w:rPr>
        <w:t>点击</w:t>
      </w:r>
      <w:r>
        <w:rPr>
          <w:rFonts w:ascii="宋体" w:cs="宋体"/>
          <w:color w:val="000000"/>
          <w:szCs w:val="21"/>
          <w:lang w:val="zh-CN"/>
        </w:rPr>
        <w:t>“</w:t>
      </w:r>
      <w:r>
        <w:rPr>
          <w:rFonts w:ascii="宋体" w:cs="宋体" w:hint="eastAsia"/>
          <w:color w:val="000000"/>
          <w:szCs w:val="21"/>
          <w:lang w:val="zh-CN"/>
        </w:rPr>
        <w:t>开始</w:t>
      </w:r>
      <w:r>
        <w:rPr>
          <w:rFonts w:ascii="宋体" w:cs="宋体"/>
          <w:color w:val="000000"/>
          <w:szCs w:val="21"/>
          <w:lang w:val="zh-CN"/>
        </w:rPr>
        <w:t>”</w:t>
      </w:r>
      <w:r>
        <w:rPr>
          <w:rFonts w:ascii="宋体" w:cs="宋体" w:hint="eastAsia"/>
          <w:color w:val="000000"/>
          <w:szCs w:val="21"/>
          <w:lang w:val="zh-CN"/>
        </w:rPr>
        <w:t>按钮进行标书加密，根据软件的提示信息完成标书的加密。</w:t>
      </w:r>
    </w:p>
    <w:p>
      <w:pPr>
        <w:autoSpaceDE w:val="0"/>
        <w:autoSpaceDN w:val="0"/>
        <w:adjustRightInd w:val="0"/>
        <w:jc w:val="center"/>
        <w:rPr>
          <w:b/>
          <w:bCs/>
          <w:color w:val="000000"/>
          <w:szCs w:val="21"/>
        </w:rPr>
      </w:pPr>
      <w:r>
        <w:rPr>
          <w:rFonts w:ascii="宋体" w:cs="宋体"/>
          <w:color w:val="000000"/>
          <w:sz w:val="22"/>
        </w:rPr>
        <w:pict>
          <v:shape id="_x0000_i1027" type="#_x0000_t75" style="height:241.5pt;width:418.5pt" coordsize="21600,21600" o:preferrelative="t" filled="f" stroked="f">
            <v:stroke joinstyle="miter"/>
            <v:imagedata r:id="rId6" o:title=""/>
            <o:lock v:ext="edit" aspectratio="t"/>
            <w10:anchorlock/>
          </v:shape>
        </w:pict>
      </w:r>
    </w:p>
    <w:p>
      <w:pPr>
        <w:autoSpaceDE w:val="0"/>
        <w:autoSpaceDN w:val="0"/>
        <w:adjustRightInd w:val="0"/>
        <w:jc w:val="center"/>
        <w:rPr>
          <w:b/>
          <w:bCs/>
          <w:color w:val="000000"/>
          <w:szCs w:val="21"/>
        </w:rPr>
      </w:pPr>
      <w:r>
        <w:rPr>
          <w:rFonts w:ascii="宋体" w:cs="宋体" w:hint="eastAsia"/>
          <w:b/>
          <w:bCs/>
          <w:color w:val="000000"/>
          <w:szCs w:val="21"/>
          <w:lang w:val="zh-CN"/>
        </w:rPr>
        <w:t>（图</w:t>
      </w:r>
      <w:r>
        <w:rPr>
          <w:b/>
          <w:bCs/>
          <w:color w:val="000000"/>
          <w:szCs w:val="21"/>
        </w:rPr>
        <w:t>2</w:t>
      </w:r>
      <w:r>
        <w:rPr>
          <w:rFonts w:ascii="宋体" w:cs="宋体" w:hint="eastAsia"/>
          <w:b/>
          <w:bCs/>
          <w:color w:val="000000"/>
          <w:szCs w:val="21"/>
          <w:lang w:val="zh-CN"/>
        </w:rPr>
        <w:t>：标书加密成功）</w:t>
      </w:r>
    </w:p>
    <w:p>
      <w:pPr>
        <w:autoSpaceDE w:val="0"/>
        <w:autoSpaceDN w:val="0"/>
        <w:adjustRightInd w:val="0"/>
        <w:ind w:firstLine="420"/>
        <w:rPr>
          <w:color w:val="000000"/>
          <w:szCs w:val="21"/>
        </w:rPr>
      </w:pPr>
      <w:r>
        <w:rPr>
          <w:color w:val="000000"/>
          <w:szCs w:val="21"/>
        </w:rPr>
        <w:t>24.2</w:t>
      </w:r>
      <w:r>
        <w:rPr>
          <w:rFonts w:ascii="宋体" w:cs="宋体" w:hint="eastAsia"/>
          <w:color w:val="000000"/>
          <w:szCs w:val="21"/>
          <w:lang w:val="zh-CN"/>
        </w:rPr>
        <w:t>若采购项目出现延期情况，投标人必须重新下载新的加密规则、重新上传投标文件。否则，投标人自行承担投标文件无法解密导致投标无效的后果。</w:t>
      </w:r>
    </w:p>
    <w:p>
      <w:pPr>
        <w:autoSpaceDE w:val="0"/>
        <w:autoSpaceDN w:val="0"/>
        <w:adjustRightInd w:val="0"/>
        <w:ind w:firstLine="422"/>
        <w:rPr>
          <w:b/>
          <w:bCs/>
          <w:color w:val="000000"/>
          <w:szCs w:val="21"/>
        </w:rPr>
      </w:pPr>
      <w:r>
        <w:rPr>
          <w:b/>
          <w:bCs/>
          <w:color w:val="000000"/>
          <w:szCs w:val="21"/>
        </w:rPr>
        <w:t>25.</w:t>
      </w:r>
      <w:r>
        <w:rPr>
          <w:rFonts w:ascii="宋体" w:cs="宋体" w:hint="eastAsia"/>
          <w:b/>
          <w:bCs/>
          <w:color w:val="000000"/>
          <w:szCs w:val="21"/>
          <w:lang w:val="zh-CN"/>
        </w:rPr>
        <w:t>投标</w:t>
      </w:r>
    </w:p>
    <w:p>
      <w:pPr>
        <w:autoSpaceDE w:val="0"/>
        <w:autoSpaceDN w:val="0"/>
        <w:adjustRightInd w:val="0"/>
        <w:ind w:firstLine="420"/>
        <w:rPr>
          <w:color w:val="000000"/>
          <w:szCs w:val="21"/>
        </w:rPr>
      </w:pPr>
      <w:r>
        <w:rPr>
          <w:color w:val="000000"/>
          <w:szCs w:val="21"/>
        </w:rPr>
        <w:t>25.1</w:t>
      </w:r>
      <w:r>
        <w:rPr>
          <w:rFonts w:ascii="宋体" w:cs="宋体" w:hint="eastAsia"/>
          <w:color w:val="000000"/>
          <w:szCs w:val="21"/>
          <w:lang w:val="zh-CN"/>
        </w:rPr>
        <w:t>网上投标</w:t>
      </w:r>
    </w:p>
    <w:p>
      <w:pPr>
        <w:autoSpaceDE w:val="0"/>
        <w:autoSpaceDN w:val="0"/>
        <w:adjustRightInd w:val="0"/>
        <w:ind w:firstLine="420"/>
        <w:rPr>
          <w:color w:val="000000"/>
          <w:szCs w:val="21"/>
        </w:rPr>
      </w:pPr>
      <w:r>
        <w:rPr>
          <w:rFonts w:ascii="宋体" w:cs="宋体" w:hint="eastAsia"/>
          <w:color w:val="000000"/>
          <w:szCs w:val="21"/>
          <w:lang w:val="zh-CN"/>
        </w:rPr>
        <w:t>投标人必须在采购文件规定的投标截止时间前用电子密钥登录</w:t>
      </w:r>
      <w:r>
        <w:rPr>
          <w:rFonts w:ascii="宋体" w:cs="宋体"/>
          <w:color w:val="000000"/>
          <w:szCs w:val="21"/>
          <w:lang w:val="zh-CN"/>
        </w:rPr>
        <w:t>“</w:t>
      </w:r>
      <w:r>
        <w:rPr>
          <w:rFonts w:ascii="宋体" w:cs="宋体" w:hint="eastAsia"/>
          <w:color w:val="000000"/>
          <w:szCs w:val="21"/>
          <w:lang w:val="zh-CN"/>
        </w:rPr>
        <w:t>深圳市光明区公共资源交易中心</w:t>
      </w:r>
      <w:r>
        <w:rPr>
          <w:rFonts w:ascii="宋体" w:cs="宋体"/>
          <w:color w:val="000000"/>
          <w:szCs w:val="21"/>
          <w:lang w:val="zh-CN"/>
        </w:rPr>
        <w:t>”</w:t>
      </w:r>
      <w:r>
        <w:rPr>
          <w:rFonts w:ascii="宋体" w:cs="宋体" w:hint="eastAsia"/>
          <w:color w:val="000000"/>
          <w:szCs w:val="21"/>
          <w:lang w:val="zh-CN"/>
        </w:rPr>
        <w:t>（</w:t>
      </w:r>
      <w:r>
        <w:rPr>
          <w:color w:val="000000"/>
          <w:szCs w:val="21"/>
        </w:rPr>
        <w:t>gm.szzfcg.cn</w:t>
      </w:r>
      <w:r>
        <w:rPr>
          <w:rFonts w:ascii="宋体" w:cs="宋体" w:hint="eastAsia"/>
          <w:color w:val="000000"/>
          <w:szCs w:val="21"/>
          <w:lang w:val="zh-CN"/>
        </w:rPr>
        <w:t>），用</w:t>
      </w:r>
      <w:r>
        <w:rPr>
          <w:rFonts w:ascii="宋体" w:cs="宋体"/>
          <w:color w:val="000000"/>
          <w:szCs w:val="21"/>
          <w:lang w:val="zh-CN"/>
        </w:rPr>
        <w:t>“</w:t>
      </w:r>
      <w:r>
        <w:rPr>
          <w:rFonts w:ascii="宋体" w:cs="宋体" w:hint="eastAsia"/>
          <w:color w:val="000000"/>
          <w:szCs w:val="21"/>
          <w:lang w:val="zh-CN"/>
        </w:rPr>
        <w:t>应标管理</w:t>
      </w:r>
      <w:r>
        <w:rPr>
          <w:rFonts w:ascii="宋体" w:cs="宋体"/>
          <w:color w:val="000000"/>
          <w:szCs w:val="21"/>
          <w:lang w:val="zh-CN"/>
        </w:rPr>
        <w:t>”—</w:t>
      </w:r>
      <w:r>
        <w:rPr>
          <w:rFonts w:ascii="宋体" w:cs="宋体" w:hint="eastAsia"/>
          <w:color w:val="000000"/>
          <w:szCs w:val="21"/>
          <w:lang w:val="zh-CN"/>
        </w:rPr>
        <w:t>》</w:t>
      </w:r>
      <w:r>
        <w:rPr>
          <w:rFonts w:ascii="宋体" w:cs="宋体"/>
          <w:color w:val="000000"/>
          <w:szCs w:val="21"/>
          <w:lang w:val="zh-CN"/>
        </w:rPr>
        <w:t>“</w:t>
      </w:r>
      <w:r>
        <w:rPr>
          <w:rFonts w:ascii="宋体" w:cs="宋体" w:hint="eastAsia"/>
          <w:color w:val="000000"/>
          <w:szCs w:val="21"/>
          <w:lang w:val="zh-CN"/>
        </w:rPr>
        <w:t>上传投标文件</w:t>
      </w:r>
      <w:r>
        <w:rPr>
          <w:rFonts w:ascii="宋体" w:cs="宋体"/>
          <w:color w:val="000000"/>
          <w:szCs w:val="21"/>
          <w:lang w:val="zh-CN"/>
        </w:rPr>
        <w:t>”</w:t>
      </w:r>
      <w:r>
        <w:rPr>
          <w:rFonts w:ascii="宋体" w:cs="宋体" w:hint="eastAsia"/>
          <w:color w:val="000000"/>
          <w:szCs w:val="21"/>
          <w:lang w:val="zh-CN"/>
        </w:rPr>
        <w:t>功能点上传投标文件。如果没有该功能点，请用本公司的机构管理员密钥在</w:t>
      </w:r>
      <w:r>
        <w:rPr>
          <w:rFonts w:ascii="宋体" w:cs="宋体"/>
          <w:color w:val="000000"/>
          <w:szCs w:val="21"/>
          <w:lang w:val="zh-CN"/>
        </w:rPr>
        <w:t>“</w:t>
      </w:r>
      <w:r>
        <w:rPr>
          <w:rFonts w:ascii="宋体" w:cs="宋体" w:hint="eastAsia"/>
          <w:color w:val="000000"/>
          <w:szCs w:val="21"/>
          <w:lang w:val="zh-CN"/>
        </w:rPr>
        <w:t>系统维护</w:t>
      </w:r>
      <w:r>
        <w:rPr>
          <w:rFonts w:ascii="宋体" w:cs="宋体"/>
          <w:color w:val="000000"/>
          <w:szCs w:val="21"/>
          <w:lang w:val="zh-CN"/>
        </w:rPr>
        <w:t>”—</w:t>
      </w:r>
      <w:r>
        <w:rPr>
          <w:rFonts w:ascii="宋体" w:cs="宋体" w:hint="eastAsia"/>
          <w:color w:val="000000"/>
          <w:szCs w:val="21"/>
          <w:lang w:val="zh-CN"/>
        </w:rPr>
        <w:t>》</w:t>
      </w:r>
      <w:r>
        <w:rPr>
          <w:rFonts w:ascii="宋体" w:cs="宋体"/>
          <w:color w:val="000000"/>
          <w:szCs w:val="21"/>
          <w:lang w:val="zh-CN"/>
        </w:rPr>
        <w:t>“</w:t>
      </w:r>
      <w:r>
        <w:rPr>
          <w:rFonts w:ascii="宋体" w:cs="宋体" w:hint="eastAsia"/>
          <w:color w:val="000000"/>
          <w:szCs w:val="21"/>
          <w:lang w:val="zh-CN"/>
        </w:rPr>
        <w:t>修改用户权限</w:t>
      </w:r>
      <w:r>
        <w:rPr>
          <w:rFonts w:ascii="宋体" w:cs="宋体"/>
          <w:color w:val="000000"/>
          <w:szCs w:val="21"/>
          <w:lang w:val="zh-CN"/>
        </w:rPr>
        <w:t>”</w:t>
      </w:r>
      <w:r>
        <w:rPr>
          <w:rFonts w:ascii="宋体" w:cs="宋体" w:hint="eastAsia"/>
          <w:color w:val="000000"/>
          <w:szCs w:val="21"/>
          <w:lang w:val="zh-CN"/>
        </w:rPr>
        <w:t>中增加该功能点，如果增加不成功，请在工作日与深圳市政府采购中心联系，联系电话：</w:t>
      </w:r>
      <w:r>
        <w:rPr>
          <w:color w:val="000000"/>
          <w:szCs w:val="21"/>
        </w:rPr>
        <w:t>0755-83948155</w:t>
      </w:r>
      <w:r>
        <w:rPr>
          <w:rFonts w:ascii="宋体" w:cs="宋体" w:hint="eastAsia"/>
          <w:color w:val="000000"/>
          <w:szCs w:val="21"/>
          <w:lang w:val="zh-CN"/>
        </w:rPr>
        <w:t>。如果确有困难，多次上传均告失败，请在投标截止时间之前携带加密后的电子投标文件送达深圳市光明区公共资源交易中心技术支持部门，联系电话：</w:t>
      </w:r>
      <w:r>
        <w:rPr>
          <w:color w:val="000000"/>
          <w:szCs w:val="21"/>
        </w:rPr>
        <w:t>0755-88212595</w:t>
      </w:r>
      <w:r>
        <w:rPr>
          <w:rFonts w:ascii="宋体" w:cs="宋体" w:hint="eastAsia"/>
          <w:color w:val="000000"/>
          <w:szCs w:val="21"/>
          <w:lang w:val="zh-CN"/>
        </w:rPr>
        <w:t>。</w:t>
      </w:r>
    </w:p>
    <w:p>
      <w:pPr>
        <w:autoSpaceDE w:val="0"/>
        <w:autoSpaceDN w:val="0"/>
        <w:adjustRightInd w:val="0"/>
        <w:ind w:firstLine="420"/>
        <w:rPr>
          <w:color w:val="000000"/>
          <w:szCs w:val="21"/>
        </w:rPr>
      </w:pPr>
      <w:r>
        <w:rPr>
          <w:color w:val="000000"/>
          <w:szCs w:val="21"/>
        </w:rPr>
        <w:t>25.2</w:t>
      </w:r>
      <w:r>
        <w:rPr>
          <w:rFonts w:ascii="宋体" w:cs="宋体" w:hint="eastAsia"/>
          <w:color w:val="000000"/>
          <w:szCs w:val="21"/>
          <w:lang w:val="zh-CN"/>
        </w:rPr>
        <w:t>深圳市德顺项目咨询有限公司可以按通用条款第</w:t>
      </w:r>
      <w:r>
        <w:rPr>
          <w:color w:val="000000"/>
          <w:szCs w:val="21"/>
        </w:rPr>
        <w:t>13</w:t>
      </w:r>
      <w:r>
        <w:rPr>
          <w:rFonts w:ascii="宋体" w:cs="宋体" w:hint="eastAsia"/>
          <w:color w:val="000000"/>
          <w:szCs w:val="21"/>
          <w:lang w:val="zh-CN"/>
        </w:rPr>
        <w:t>条规定，通过修改招标文件自行决定酌情延长投标截止期。在此情况下，深圳市德顺项目咨询有限公司、采购单位和投标人受投标截止期制约的所有权利和义务均应延长至新的截止期。</w:t>
      </w:r>
    </w:p>
    <w:p>
      <w:pPr>
        <w:autoSpaceDE w:val="0"/>
        <w:autoSpaceDN w:val="0"/>
        <w:adjustRightInd w:val="0"/>
        <w:ind w:firstLine="422"/>
        <w:rPr>
          <w:b/>
          <w:bCs/>
          <w:color w:val="000000"/>
          <w:szCs w:val="21"/>
        </w:rPr>
      </w:pPr>
      <w:r>
        <w:rPr>
          <w:b/>
          <w:bCs/>
          <w:color w:val="000000"/>
          <w:szCs w:val="21"/>
        </w:rPr>
        <w:t>26.</w:t>
      </w:r>
      <w:r>
        <w:rPr>
          <w:rFonts w:ascii="宋体" w:cs="宋体" w:hint="eastAsia"/>
          <w:b/>
          <w:bCs/>
          <w:color w:val="000000"/>
          <w:szCs w:val="21"/>
          <w:lang w:val="zh-CN"/>
        </w:rPr>
        <w:t>迟交的投标文件</w:t>
      </w:r>
    </w:p>
    <w:p>
      <w:pPr>
        <w:autoSpaceDE w:val="0"/>
        <w:autoSpaceDN w:val="0"/>
        <w:adjustRightInd w:val="0"/>
        <w:ind w:firstLine="420"/>
        <w:rPr>
          <w:color w:val="000000"/>
          <w:szCs w:val="21"/>
        </w:rPr>
      </w:pPr>
      <w:r>
        <w:rPr>
          <w:color w:val="000000"/>
          <w:szCs w:val="21"/>
        </w:rPr>
        <w:t>26.1</w:t>
      </w:r>
      <w:r>
        <w:rPr>
          <w:rFonts w:ascii="宋体" w:cs="宋体" w:hint="eastAsia"/>
          <w:color w:val="000000"/>
          <w:szCs w:val="21"/>
          <w:lang w:val="zh-CN"/>
        </w:rPr>
        <w:t>投标截止时间以后不得上传投标文件。</w:t>
      </w:r>
    </w:p>
    <w:p>
      <w:pPr>
        <w:autoSpaceDE w:val="0"/>
        <w:autoSpaceDN w:val="0"/>
        <w:adjustRightInd w:val="0"/>
        <w:ind w:firstLine="422"/>
        <w:rPr>
          <w:b/>
          <w:bCs/>
          <w:color w:val="000000"/>
          <w:szCs w:val="21"/>
        </w:rPr>
      </w:pPr>
      <w:r>
        <w:rPr>
          <w:b/>
          <w:bCs/>
          <w:color w:val="000000"/>
          <w:szCs w:val="21"/>
        </w:rPr>
        <w:t>27.</w:t>
      </w:r>
      <w:r>
        <w:rPr>
          <w:rFonts w:ascii="宋体" w:cs="宋体" w:hint="eastAsia"/>
          <w:b/>
          <w:bCs/>
          <w:color w:val="000000"/>
          <w:szCs w:val="21"/>
          <w:lang w:val="zh-CN"/>
        </w:rPr>
        <w:t>投标文件的修改与撤回</w:t>
      </w:r>
    </w:p>
    <w:p>
      <w:pPr>
        <w:autoSpaceDE w:val="0"/>
        <w:autoSpaceDN w:val="0"/>
        <w:adjustRightInd w:val="0"/>
        <w:ind w:firstLine="420"/>
        <w:rPr>
          <w:color w:val="000000"/>
          <w:szCs w:val="21"/>
        </w:rPr>
      </w:pPr>
      <w:r>
        <w:rPr>
          <w:color w:val="000000"/>
          <w:szCs w:val="21"/>
        </w:rPr>
        <w:t>27.1</w:t>
      </w:r>
      <w:r>
        <w:rPr>
          <w:rFonts w:ascii="宋体" w:cs="宋体" w:hint="eastAsia"/>
          <w:color w:val="000000"/>
          <w:szCs w:val="21"/>
          <w:lang w:val="zh-CN"/>
        </w:rPr>
        <w:t>投标方在提交投标文件后可对其投标文件进行修改并重新上传投标文件或在网上进行撤销投标的操作。</w:t>
      </w:r>
    </w:p>
    <w:p>
      <w:pPr>
        <w:autoSpaceDE w:val="0"/>
        <w:autoSpaceDN w:val="0"/>
        <w:adjustRightInd w:val="0"/>
        <w:ind w:firstLine="420"/>
        <w:rPr>
          <w:color w:val="000000"/>
          <w:szCs w:val="21"/>
        </w:rPr>
      </w:pPr>
      <w:r>
        <w:rPr>
          <w:color w:val="000000"/>
          <w:szCs w:val="21"/>
        </w:rPr>
        <w:t>27.2</w:t>
      </w:r>
      <w:r>
        <w:rPr>
          <w:rFonts w:ascii="宋体" w:cs="宋体" w:hint="eastAsia"/>
          <w:color w:val="000000"/>
          <w:szCs w:val="21"/>
          <w:lang w:val="zh-CN"/>
        </w:rPr>
        <w:t>投标截止时间以后不得修改投标文件。</w:t>
      </w:r>
    </w:p>
    <w:p>
      <w:pPr>
        <w:autoSpaceDE w:val="0"/>
        <w:autoSpaceDN w:val="0"/>
        <w:adjustRightInd w:val="0"/>
        <w:ind w:firstLine="420"/>
        <w:rPr>
          <w:color w:val="000000"/>
          <w:szCs w:val="21"/>
        </w:rPr>
      </w:pPr>
      <w:r>
        <w:rPr>
          <w:color w:val="000000"/>
          <w:szCs w:val="21"/>
        </w:rPr>
        <w:t>27.3</w:t>
      </w:r>
      <w:r>
        <w:rPr>
          <w:rFonts w:ascii="宋体" w:cs="宋体" w:hint="eastAsia"/>
          <w:color w:val="000000"/>
          <w:szCs w:val="21"/>
          <w:lang w:val="zh-CN"/>
        </w:rPr>
        <w:t>从投标截止期至投标人在投标书格式中确定的投标有效期之间的这段时间内，投标人不得撤回其投标，否则由财政部门根据实际情况记入供应商诚信档案，予以通报。</w:t>
      </w:r>
    </w:p>
    <w:p>
      <w:pPr>
        <w:autoSpaceDE w:val="0"/>
        <w:autoSpaceDN w:val="0"/>
        <w:adjustRightInd w:val="0"/>
        <w:ind w:firstLine="420"/>
        <w:rPr>
          <w:color w:val="000000"/>
          <w:szCs w:val="21"/>
        </w:rPr>
      </w:pPr>
      <w:r>
        <w:rPr>
          <w:color w:val="000000"/>
          <w:szCs w:val="21"/>
        </w:rPr>
        <w:t xml:space="preserve">27.4 </w:t>
      </w:r>
      <w:r>
        <w:rPr>
          <w:rFonts w:ascii="宋体" w:cs="宋体" w:hint="eastAsia"/>
          <w:color w:val="000000"/>
          <w:szCs w:val="21"/>
          <w:lang w:val="zh-CN"/>
        </w:rPr>
        <w:t>评审委员会不退还投标文件。</w:t>
      </w:r>
    </w:p>
    <w:p>
      <w:pPr>
        <w:autoSpaceDE w:val="0"/>
        <w:autoSpaceDN w:val="0"/>
        <w:adjustRightInd w:val="0"/>
        <w:ind w:firstLine="422"/>
        <w:rPr>
          <w:b/>
          <w:bCs/>
          <w:color w:val="000000"/>
          <w:szCs w:val="21"/>
        </w:rPr>
      </w:pPr>
      <w:r>
        <w:rPr>
          <w:b/>
          <w:bCs/>
          <w:color w:val="000000"/>
          <w:szCs w:val="21"/>
        </w:rPr>
        <w:t>28.</w:t>
      </w:r>
      <w:r>
        <w:rPr>
          <w:rFonts w:ascii="宋体" w:cs="宋体" w:hint="eastAsia"/>
          <w:b/>
          <w:bCs/>
          <w:color w:val="000000"/>
          <w:szCs w:val="21"/>
          <w:lang w:val="zh-CN"/>
        </w:rPr>
        <w:t>样品的递交</w:t>
      </w:r>
    </w:p>
    <w:p>
      <w:pPr>
        <w:autoSpaceDE w:val="0"/>
        <w:autoSpaceDN w:val="0"/>
        <w:adjustRightInd w:val="0"/>
        <w:ind w:firstLine="420"/>
        <w:rPr>
          <w:color w:val="000000"/>
          <w:szCs w:val="21"/>
        </w:rPr>
      </w:pPr>
      <w:r>
        <w:rPr>
          <w:color w:val="000000"/>
          <w:szCs w:val="21"/>
        </w:rPr>
        <w:t xml:space="preserve">28.1 </w:t>
      </w:r>
      <w:r>
        <w:rPr>
          <w:rFonts w:ascii="宋体" w:cs="宋体" w:hint="eastAsia"/>
          <w:color w:val="000000"/>
          <w:szCs w:val="21"/>
          <w:lang w:val="zh-CN"/>
        </w:rPr>
        <w:t>原则上，不接受样品要求（如有要求，详见第一册专用条款的第二章相关内容）。如确有必要，采购人可以要求投标人提供能反映货物材质或关键部分的极少部分的尺寸、价值不大的样品，投标人在投标时应提交《样品清单》，样品作为投标文件的一部分。</w:t>
      </w:r>
    </w:p>
    <w:p>
      <w:pPr>
        <w:autoSpaceDE w:val="0"/>
        <w:autoSpaceDN w:val="0"/>
        <w:adjustRightInd w:val="0"/>
        <w:ind w:firstLine="420"/>
        <w:rPr>
          <w:color w:val="000000"/>
          <w:szCs w:val="21"/>
        </w:rPr>
      </w:pPr>
      <w:r>
        <w:rPr>
          <w:color w:val="000000"/>
          <w:szCs w:val="21"/>
        </w:rPr>
        <w:t>28.2</w:t>
      </w:r>
      <w:r>
        <w:rPr>
          <w:rFonts w:ascii="宋体" w:cs="宋体" w:hint="eastAsia"/>
          <w:color w:val="000000"/>
          <w:szCs w:val="21"/>
          <w:lang w:val="zh-CN"/>
        </w:rPr>
        <w:t>投标样品上必须标注</w:t>
      </w:r>
      <w:r>
        <w:rPr>
          <w:rFonts w:ascii="宋体" w:cs="宋体"/>
          <w:color w:val="000000"/>
          <w:szCs w:val="21"/>
          <w:lang w:val="zh-CN"/>
        </w:rPr>
        <w:t>“</w:t>
      </w:r>
      <w:r>
        <w:rPr>
          <w:rFonts w:ascii="宋体" w:cs="宋体" w:hint="eastAsia"/>
          <w:color w:val="000000"/>
          <w:szCs w:val="21"/>
          <w:lang w:val="zh-CN"/>
        </w:rPr>
        <w:t>项目名称及项目编号、样品编号、样品名称</w:t>
      </w:r>
      <w:r>
        <w:rPr>
          <w:rFonts w:ascii="宋体" w:cs="宋体"/>
          <w:color w:val="000000"/>
          <w:szCs w:val="21"/>
          <w:lang w:val="zh-CN"/>
        </w:rPr>
        <w:t>”</w:t>
      </w:r>
      <w:r>
        <w:rPr>
          <w:rFonts w:ascii="宋体" w:cs="宋体" w:hint="eastAsia"/>
          <w:color w:val="000000"/>
          <w:szCs w:val="21"/>
          <w:lang w:val="zh-CN"/>
        </w:rPr>
        <w:t>等信息，但不得显示指向任何投标供应商的信息、生产厂家的商标，或者其他的标记标识。需要安装的投标样品必须为安装完整的成品，由投标供应商自行组织安装。</w:t>
      </w:r>
    </w:p>
    <w:p>
      <w:pPr>
        <w:autoSpaceDE w:val="0"/>
        <w:autoSpaceDN w:val="0"/>
        <w:adjustRightInd w:val="0"/>
        <w:ind w:firstLine="420"/>
        <w:rPr>
          <w:color w:val="000000"/>
          <w:szCs w:val="21"/>
        </w:rPr>
      </w:pPr>
      <w:r>
        <w:rPr>
          <w:color w:val="000000"/>
          <w:szCs w:val="21"/>
        </w:rPr>
        <w:t>28.2.1</w:t>
      </w:r>
      <w:r>
        <w:rPr>
          <w:rFonts w:ascii="宋体" w:cs="宋体" w:hint="eastAsia"/>
          <w:color w:val="000000"/>
          <w:szCs w:val="21"/>
          <w:lang w:val="zh-CN"/>
        </w:rPr>
        <w:t>样品递交签到：</w:t>
      </w:r>
    </w:p>
    <w:p>
      <w:pPr>
        <w:autoSpaceDE w:val="0"/>
        <w:autoSpaceDN w:val="0"/>
        <w:adjustRightInd w:val="0"/>
        <w:ind w:firstLine="420"/>
        <w:rPr>
          <w:color w:val="000000"/>
          <w:szCs w:val="21"/>
        </w:rPr>
      </w:pPr>
      <w:r>
        <w:rPr>
          <w:rFonts w:ascii="宋体" w:cs="宋体" w:hint="eastAsia"/>
          <w:color w:val="000000"/>
          <w:szCs w:val="21"/>
          <w:lang w:val="zh-CN"/>
        </w:rPr>
        <w:t>投标供应商授权人要求在本项目投标截止时间前，携带法定代表人证明书（盖公章）、法定代表人授权委托书（盖公章）、授权委托人身份证原件和复印件、样品清单（加盖公章），到达深圳市德顺项目咨询有限公司，按代理机构工作人员指引进行样品递交签到。</w:t>
      </w:r>
    </w:p>
    <w:p>
      <w:pPr>
        <w:autoSpaceDE w:val="0"/>
        <w:autoSpaceDN w:val="0"/>
        <w:adjustRightInd w:val="0"/>
        <w:ind w:firstLine="420"/>
        <w:rPr>
          <w:color w:val="000000"/>
          <w:szCs w:val="21"/>
        </w:rPr>
      </w:pPr>
      <w:r>
        <w:rPr>
          <w:rFonts w:ascii="宋体" w:cs="宋体" w:hint="eastAsia"/>
          <w:color w:val="000000"/>
          <w:szCs w:val="21"/>
          <w:lang w:val="zh-CN"/>
        </w:rPr>
        <w:t>特别注意事项：（</w:t>
      </w:r>
      <w:r>
        <w:rPr>
          <w:color w:val="000000"/>
          <w:szCs w:val="21"/>
        </w:rPr>
        <w:t>1</w:t>
      </w:r>
      <w:r>
        <w:rPr>
          <w:rFonts w:ascii="宋体" w:cs="宋体" w:hint="eastAsia"/>
          <w:color w:val="000000"/>
          <w:szCs w:val="21"/>
          <w:lang w:val="zh-CN"/>
        </w:rPr>
        <w:t>）上述资料提供不齐全的，不予签到；（</w:t>
      </w:r>
      <w:r>
        <w:rPr>
          <w:color w:val="000000"/>
          <w:szCs w:val="21"/>
        </w:rPr>
        <w:t>2</w:t>
      </w:r>
      <w:r>
        <w:rPr>
          <w:rFonts w:ascii="宋体" w:cs="宋体" w:hint="eastAsia"/>
          <w:color w:val="000000"/>
          <w:szCs w:val="21"/>
          <w:lang w:val="zh-CN"/>
        </w:rPr>
        <w:t>）本项目投标截止时间后，不再受理签到；（</w:t>
      </w:r>
      <w:r>
        <w:rPr>
          <w:color w:val="000000"/>
          <w:szCs w:val="21"/>
        </w:rPr>
        <w:t>3</w:t>
      </w:r>
      <w:r>
        <w:rPr>
          <w:rFonts w:ascii="宋体" w:cs="宋体" w:hint="eastAsia"/>
          <w:color w:val="000000"/>
          <w:szCs w:val="21"/>
          <w:lang w:val="zh-CN"/>
        </w:rPr>
        <w:t>）未进行签到的，样品不予接收。</w:t>
      </w:r>
    </w:p>
    <w:p>
      <w:pPr>
        <w:autoSpaceDE w:val="0"/>
        <w:autoSpaceDN w:val="0"/>
        <w:adjustRightInd w:val="0"/>
        <w:ind w:firstLine="420"/>
        <w:rPr>
          <w:color w:val="000000"/>
          <w:szCs w:val="21"/>
        </w:rPr>
      </w:pPr>
      <w:r>
        <w:rPr>
          <w:color w:val="000000"/>
          <w:szCs w:val="21"/>
        </w:rPr>
        <w:t xml:space="preserve">28.2.2 </w:t>
      </w:r>
      <w:r>
        <w:rPr>
          <w:rFonts w:ascii="宋体" w:cs="宋体" w:hint="eastAsia"/>
          <w:color w:val="000000"/>
          <w:szCs w:val="21"/>
          <w:lang w:val="zh-CN"/>
        </w:rPr>
        <w:t>样品接收</w:t>
      </w:r>
    </w:p>
    <w:p>
      <w:pPr>
        <w:autoSpaceDE w:val="0"/>
        <w:autoSpaceDN w:val="0"/>
        <w:adjustRightInd w:val="0"/>
        <w:ind w:firstLine="420"/>
        <w:rPr>
          <w:color w:val="000000"/>
          <w:szCs w:val="21"/>
        </w:rPr>
      </w:pPr>
      <w:r>
        <w:rPr>
          <w:rFonts w:ascii="宋体" w:cs="宋体" w:hint="eastAsia"/>
          <w:color w:val="000000"/>
          <w:szCs w:val="21"/>
          <w:lang w:val="zh-CN"/>
        </w:rPr>
        <w:t>本项目投标截止时间后进行投标样品接收。投标样品接收必须进行身份核对、样品核对、登记确认、顺序编号。</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1</w:t>
      </w:r>
      <w:r>
        <w:rPr>
          <w:rFonts w:ascii="宋体" w:cs="宋体" w:hint="eastAsia"/>
          <w:color w:val="000000"/>
          <w:szCs w:val="21"/>
          <w:lang w:val="zh-CN"/>
        </w:rPr>
        <w:t>）身份核对。代理机构核对投标供应商授权委托人提供的</w:t>
      </w:r>
      <w:r>
        <w:rPr>
          <w:rFonts w:ascii="宋体" w:cs="宋体"/>
          <w:color w:val="000000"/>
          <w:szCs w:val="21"/>
          <w:lang w:val="zh-CN"/>
        </w:rPr>
        <w:t>“</w:t>
      </w:r>
      <w:r>
        <w:rPr>
          <w:rFonts w:ascii="宋体" w:cs="宋体" w:hint="eastAsia"/>
          <w:color w:val="000000"/>
          <w:szCs w:val="21"/>
          <w:lang w:val="zh-CN"/>
        </w:rPr>
        <w:t>法定代表人证明书（盖公章）、法定代表人授权委托书（盖公章）、授权委托人身份证原件和复印件</w:t>
      </w:r>
      <w:r>
        <w:rPr>
          <w:rFonts w:ascii="宋体" w:cs="宋体"/>
          <w:color w:val="000000"/>
          <w:szCs w:val="21"/>
          <w:lang w:val="zh-CN"/>
        </w:rPr>
        <w:t>”</w:t>
      </w:r>
      <w:r>
        <w:rPr>
          <w:rFonts w:ascii="宋体" w:cs="宋体" w:hint="eastAsia"/>
          <w:color w:val="000000"/>
          <w:szCs w:val="21"/>
          <w:lang w:val="zh-CN"/>
        </w:rPr>
        <w:t>。资料不齐全的，不得接收投标样品。</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2</w:t>
      </w:r>
      <w:r>
        <w:rPr>
          <w:rFonts w:ascii="宋体" w:cs="宋体" w:hint="eastAsia"/>
          <w:color w:val="000000"/>
          <w:szCs w:val="21"/>
          <w:lang w:val="zh-CN"/>
        </w:rPr>
        <w:t>）样品核对。代理机构工作人员将投标样品与投标供应商提供的《样品清单》（盖公章）进行一一核对。有不一致的或损坏情况的，将要求供应商授权委托人在《样品清单》上注明。</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3</w:t>
      </w:r>
      <w:r>
        <w:rPr>
          <w:rFonts w:ascii="宋体" w:cs="宋体" w:hint="eastAsia"/>
          <w:color w:val="000000"/>
          <w:szCs w:val="21"/>
          <w:lang w:val="zh-CN"/>
        </w:rPr>
        <w:t>）登记确认。在完成身份核对及样品核对后，投标供应商授权委托人必须在《样品接收登记表》上登记确认。</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4</w:t>
      </w:r>
      <w:r>
        <w:rPr>
          <w:rFonts w:ascii="宋体" w:cs="宋体" w:hint="eastAsia"/>
          <w:color w:val="000000"/>
          <w:szCs w:val="21"/>
          <w:lang w:val="zh-CN"/>
        </w:rPr>
        <w:t>）顺序编号。代理机构工作人员按投标样品接收的先后顺序进行编号。</w:t>
      </w:r>
    </w:p>
    <w:p>
      <w:pPr>
        <w:autoSpaceDE w:val="0"/>
        <w:autoSpaceDN w:val="0"/>
        <w:adjustRightInd w:val="0"/>
        <w:ind w:firstLine="420"/>
        <w:rPr>
          <w:color w:val="000000"/>
          <w:szCs w:val="21"/>
        </w:rPr>
      </w:pPr>
      <w:r>
        <w:rPr>
          <w:color w:val="000000"/>
          <w:szCs w:val="21"/>
        </w:rPr>
        <w:t>28.3</w:t>
      </w:r>
      <w:r>
        <w:rPr>
          <w:rFonts w:ascii="宋体" w:cs="宋体" w:hint="eastAsia"/>
          <w:color w:val="000000"/>
          <w:szCs w:val="21"/>
          <w:lang w:val="zh-CN"/>
        </w:rPr>
        <w:t>代理机构工作人员负责组织投标样品摆样，指引供应商授权委托人将投标样品搬运到指定地点摆放、拆除包装，按要求摆放整齐。</w:t>
      </w:r>
    </w:p>
    <w:p>
      <w:pPr>
        <w:autoSpaceDE w:val="0"/>
        <w:autoSpaceDN w:val="0"/>
        <w:adjustRightInd w:val="0"/>
        <w:ind w:firstLine="420"/>
        <w:rPr>
          <w:color w:val="000000"/>
          <w:szCs w:val="21"/>
        </w:rPr>
      </w:pPr>
      <w:r>
        <w:rPr>
          <w:color w:val="000000"/>
          <w:szCs w:val="21"/>
        </w:rPr>
        <w:t>28.4</w:t>
      </w:r>
      <w:r>
        <w:rPr>
          <w:rFonts w:ascii="宋体" w:cs="宋体" w:hint="eastAsia"/>
          <w:color w:val="000000"/>
          <w:szCs w:val="21"/>
          <w:lang w:val="zh-CN"/>
        </w:rPr>
        <w:t>样品的退回：投标样品移交时，代理机构工作人员将再次核对供应商授权委托人或采购人代表身份、核对《样品清单》，签字确认后并取走样品。</w:t>
      </w:r>
    </w:p>
    <w:p>
      <w:pPr>
        <w:autoSpaceDE w:val="0"/>
        <w:autoSpaceDN w:val="0"/>
        <w:adjustRightInd w:val="0"/>
        <w:ind w:firstLine="420"/>
        <w:rPr>
          <w:color w:val="000000"/>
          <w:szCs w:val="21"/>
        </w:rPr>
      </w:pPr>
      <w:r>
        <w:rPr>
          <w:color w:val="000000"/>
          <w:szCs w:val="21"/>
        </w:rPr>
        <w:t>28.5</w:t>
      </w:r>
      <w:r>
        <w:rPr>
          <w:rFonts w:ascii="宋体" w:cs="宋体" w:hint="eastAsia"/>
          <w:color w:val="000000"/>
          <w:szCs w:val="21"/>
          <w:lang w:val="zh-CN"/>
        </w:rPr>
        <w:t>投标样品未能及时退回的，代理机构工作人员将及时存放到样品室，并发函或电话敦促相关单位取回。经敦促仍未能按规定取回的，视同投标供应商或采购人放弃取回，深圳市德顺项目咨询有限公司将定期清理。</w:t>
      </w:r>
    </w:p>
    <w:p>
      <w:pPr>
        <w:pStyle w:val="Heading2"/>
        <w:rPr>
          <w:color w:val="000000"/>
          <w:sz w:val="28"/>
          <w:szCs w:val="28"/>
          <w:lang w:val="zh-CN"/>
        </w:rPr>
      </w:pPr>
      <w:r>
        <w:rPr>
          <w:rFonts w:hint="eastAsia"/>
          <w:color w:val="000000"/>
          <w:sz w:val="28"/>
          <w:szCs w:val="28"/>
          <w:lang w:val="zh-CN"/>
        </w:rPr>
        <w:t>第五章开标与评标</w:t>
      </w:r>
    </w:p>
    <w:p>
      <w:pPr>
        <w:autoSpaceDE w:val="0"/>
        <w:autoSpaceDN w:val="0"/>
        <w:adjustRightInd w:val="0"/>
        <w:ind w:firstLine="422"/>
        <w:rPr>
          <w:b/>
          <w:bCs/>
          <w:color w:val="000000"/>
          <w:szCs w:val="21"/>
        </w:rPr>
      </w:pPr>
      <w:r>
        <w:rPr>
          <w:b/>
          <w:bCs/>
          <w:color w:val="000000"/>
          <w:szCs w:val="21"/>
        </w:rPr>
        <w:t>29.</w:t>
      </w:r>
      <w:r>
        <w:rPr>
          <w:rFonts w:ascii="宋体" w:cs="宋体" w:hint="eastAsia"/>
          <w:b/>
          <w:bCs/>
          <w:color w:val="000000"/>
          <w:szCs w:val="21"/>
          <w:lang w:val="zh-CN"/>
        </w:rPr>
        <w:t>开标</w:t>
      </w:r>
    </w:p>
    <w:p>
      <w:pPr>
        <w:autoSpaceDE w:val="0"/>
        <w:autoSpaceDN w:val="0"/>
        <w:adjustRightInd w:val="0"/>
        <w:ind w:firstLine="420"/>
        <w:rPr>
          <w:color w:val="000000"/>
          <w:szCs w:val="21"/>
        </w:rPr>
      </w:pPr>
      <w:r>
        <w:rPr>
          <w:color w:val="000000"/>
          <w:szCs w:val="21"/>
        </w:rPr>
        <w:t>29.1</w:t>
      </w:r>
      <w:r>
        <w:rPr>
          <w:rFonts w:ascii="宋体" w:cs="宋体" w:hint="eastAsia"/>
          <w:color w:val="000000"/>
          <w:szCs w:val="21"/>
          <w:lang w:val="zh-CN"/>
        </w:rPr>
        <w:t>代理机构根据采购文件规定的时间、地点对投标文件进行解密，开标，并在网上发布开标一览表。</w:t>
      </w:r>
    </w:p>
    <w:p>
      <w:pPr>
        <w:autoSpaceDE w:val="0"/>
        <w:autoSpaceDN w:val="0"/>
        <w:adjustRightInd w:val="0"/>
        <w:ind w:firstLine="420"/>
        <w:rPr>
          <w:color w:val="000000"/>
          <w:szCs w:val="21"/>
        </w:rPr>
      </w:pPr>
      <w:r>
        <w:rPr>
          <w:color w:val="000000"/>
          <w:szCs w:val="21"/>
        </w:rPr>
        <w:t>29.2</w:t>
      </w:r>
      <w:r>
        <w:rPr>
          <w:rFonts w:ascii="宋体" w:cs="宋体" w:hint="eastAsia"/>
          <w:color w:val="000000"/>
          <w:szCs w:val="21"/>
          <w:lang w:val="zh-CN"/>
        </w:rPr>
        <w:t>按照第</w:t>
      </w:r>
      <w:r>
        <w:rPr>
          <w:color w:val="000000"/>
          <w:szCs w:val="21"/>
        </w:rPr>
        <w:t>27.1</w:t>
      </w:r>
      <w:r>
        <w:rPr>
          <w:rFonts w:ascii="宋体" w:cs="宋体" w:hint="eastAsia"/>
          <w:color w:val="000000"/>
          <w:szCs w:val="21"/>
          <w:lang w:val="zh-CN"/>
        </w:rPr>
        <w:t>条规定，在网上进行了</w:t>
      </w:r>
      <w:r>
        <w:rPr>
          <w:rFonts w:ascii="宋体" w:cs="宋体"/>
          <w:color w:val="000000"/>
          <w:szCs w:val="21"/>
          <w:lang w:val="zh-CN"/>
        </w:rPr>
        <w:t>“</w:t>
      </w:r>
      <w:r>
        <w:rPr>
          <w:rFonts w:ascii="宋体" w:cs="宋体" w:hint="eastAsia"/>
          <w:color w:val="000000"/>
          <w:szCs w:val="21"/>
          <w:lang w:val="zh-CN"/>
        </w:rPr>
        <w:t>撤销响应</w:t>
      </w:r>
      <w:r>
        <w:rPr>
          <w:rFonts w:ascii="宋体" w:cs="宋体"/>
          <w:color w:val="000000"/>
          <w:szCs w:val="21"/>
          <w:lang w:val="zh-CN"/>
        </w:rPr>
        <w:t>”</w:t>
      </w:r>
      <w:r>
        <w:rPr>
          <w:rFonts w:ascii="宋体" w:cs="宋体" w:hint="eastAsia"/>
          <w:color w:val="000000"/>
          <w:szCs w:val="21"/>
          <w:lang w:val="zh-CN"/>
        </w:rPr>
        <w:t>或</w:t>
      </w:r>
      <w:r>
        <w:rPr>
          <w:rFonts w:ascii="宋体" w:cs="宋体"/>
          <w:color w:val="000000"/>
          <w:szCs w:val="21"/>
          <w:lang w:val="zh-CN"/>
        </w:rPr>
        <w:t>“</w:t>
      </w:r>
      <w:r>
        <w:rPr>
          <w:rFonts w:ascii="宋体" w:cs="宋体" w:hint="eastAsia"/>
          <w:color w:val="000000"/>
          <w:szCs w:val="21"/>
          <w:lang w:val="zh-CN"/>
        </w:rPr>
        <w:t>撤标</w:t>
      </w:r>
      <w:r>
        <w:rPr>
          <w:rFonts w:ascii="宋体" w:cs="宋体"/>
          <w:color w:val="000000"/>
          <w:szCs w:val="21"/>
          <w:lang w:val="zh-CN"/>
        </w:rPr>
        <w:t>”</w:t>
      </w:r>
      <w:r>
        <w:rPr>
          <w:rFonts w:ascii="宋体" w:cs="宋体" w:hint="eastAsia"/>
          <w:color w:val="000000"/>
          <w:szCs w:val="21"/>
          <w:lang w:val="zh-CN"/>
        </w:rPr>
        <w:t>的操作的投标将不予开封。</w:t>
      </w:r>
    </w:p>
    <w:p>
      <w:pPr>
        <w:autoSpaceDE w:val="0"/>
        <w:autoSpaceDN w:val="0"/>
        <w:adjustRightInd w:val="0"/>
        <w:ind w:firstLine="420"/>
        <w:rPr>
          <w:color w:val="000000"/>
          <w:szCs w:val="21"/>
        </w:rPr>
      </w:pPr>
      <w:r>
        <w:rPr>
          <w:color w:val="000000"/>
          <w:szCs w:val="21"/>
        </w:rPr>
        <w:t xml:space="preserve">29.3 </w:t>
      </w:r>
      <w:r>
        <w:rPr>
          <w:rFonts w:ascii="宋体" w:cs="宋体" w:hint="eastAsia"/>
          <w:color w:val="000000"/>
          <w:szCs w:val="21"/>
          <w:lang w:val="zh-CN"/>
        </w:rPr>
        <w:t>进行网上投标，当代理机构开标后，投标人即可登录</w:t>
      </w:r>
      <w:r>
        <w:rPr>
          <w:rFonts w:ascii="宋体" w:cs="宋体"/>
          <w:color w:val="000000"/>
          <w:szCs w:val="21"/>
          <w:lang w:val="zh-CN"/>
        </w:rPr>
        <w:t>“</w:t>
      </w:r>
      <w:r>
        <w:rPr>
          <w:rFonts w:ascii="宋体" w:cs="宋体" w:hint="eastAsia"/>
          <w:color w:val="000000"/>
          <w:szCs w:val="21"/>
          <w:lang w:val="zh-CN"/>
        </w:rPr>
        <w:t>深圳市光明区公共资源交易中心网</w:t>
      </w:r>
      <w:r>
        <w:rPr>
          <w:rFonts w:ascii="宋体" w:cs="宋体"/>
          <w:color w:val="000000"/>
          <w:szCs w:val="21"/>
          <w:lang w:val="zh-CN"/>
        </w:rPr>
        <w:t>”</w:t>
      </w:r>
      <w:r>
        <w:rPr>
          <w:rFonts w:ascii="宋体" w:cs="宋体" w:hint="eastAsia"/>
          <w:color w:val="000000"/>
          <w:szCs w:val="21"/>
          <w:lang w:val="zh-CN"/>
        </w:rPr>
        <w:t>，用</w:t>
      </w:r>
      <w:r>
        <w:rPr>
          <w:rFonts w:ascii="宋体" w:cs="宋体"/>
          <w:color w:val="000000"/>
          <w:szCs w:val="21"/>
          <w:lang w:val="zh-CN"/>
        </w:rPr>
        <w:t>“</w:t>
      </w:r>
      <w:r>
        <w:rPr>
          <w:rFonts w:ascii="宋体" w:cs="宋体" w:hint="eastAsia"/>
          <w:color w:val="000000"/>
          <w:szCs w:val="21"/>
          <w:lang w:val="zh-CN"/>
        </w:rPr>
        <w:t>采购项目查询及管理查看开标一览表</w:t>
      </w:r>
      <w:r>
        <w:rPr>
          <w:rFonts w:ascii="宋体" w:cs="宋体"/>
          <w:color w:val="000000"/>
          <w:szCs w:val="21"/>
          <w:lang w:val="zh-CN"/>
        </w:rPr>
        <w:t>”</w:t>
      </w:r>
      <w:r>
        <w:rPr>
          <w:rFonts w:ascii="宋体" w:cs="宋体" w:hint="eastAsia"/>
          <w:color w:val="000000"/>
          <w:szCs w:val="21"/>
          <w:lang w:val="zh-CN"/>
        </w:rPr>
        <w:t>功能查看开标一览表。</w:t>
      </w:r>
    </w:p>
    <w:p>
      <w:pPr>
        <w:autoSpaceDE w:val="0"/>
        <w:autoSpaceDN w:val="0"/>
        <w:adjustRightInd w:val="0"/>
        <w:ind w:firstLine="422"/>
        <w:rPr>
          <w:b/>
          <w:bCs/>
          <w:color w:val="000000"/>
          <w:szCs w:val="21"/>
        </w:rPr>
      </w:pPr>
      <w:r>
        <w:rPr>
          <w:b/>
          <w:bCs/>
          <w:color w:val="000000"/>
          <w:szCs w:val="21"/>
        </w:rPr>
        <w:t>30.</w:t>
      </w:r>
      <w:r>
        <w:rPr>
          <w:rFonts w:ascii="宋体" w:cs="宋体" w:hint="eastAsia"/>
          <w:b/>
          <w:bCs/>
          <w:color w:val="000000"/>
          <w:szCs w:val="21"/>
          <w:lang w:val="zh-CN"/>
        </w:rPr>
        <w:t>评审委员会</w:t>
      </w:r>
    </w:p>
    <w:p>
      <w:pPr>
        <w:autoSpaceDE w:val="0"/>
        <w:autoSpaceDN w:val="0"/>
        <w:adjustRightInd w:val="0"/>
        <w:ind w:firstLine="420"/>
        <w:rPr>
          <w:color w:val="000000"/>
          <w:szCs w:val="21"/>
        </w:rPr>
      </w:pPr>
      <w:r>
        <w:rPr>
          <w:color w:val="000000"/>
          <w:szCs w:val="21"/>
        </w:rPr>
        <w:t xml:space="preserve">30.1 </w:t>
      </w:r>
      <w:r>
        <w:rPr>
          <w:rFonts w:ascii="宋体" w:cs="宋体" w:hint="eastAsia"/>
          <w:color w:val="000000"/>
          <w:szCs w:val="21"/>
          <w:lang w:val="zh-CN"/>
        </w:rPr>
        <w:t>网上开标结束后召开评标会议，评审委员会由代理机构依法组建，负责评标活动。</w:t>
      </w:r>
    </w:p>
    <w:p>
      <w:pPr>
        <w:autoSpaceDE w:val="0"/>
        <w:autoSpaceDN w:val="0"/>
        <w:adjustRightInd w:val="0"/>
        <w:ind w:firstLine="420"/>
        <w:rPr>
          <w:color w:val="000000"/>
          <w:szCs w:val="21"/>
        </w:rPr>
      </w:pPr>
      <w:r>
        <w:rPr>
          <w:rFonts w:ascii="宋体" w:cs="宋体" w:hint="eastAsia"/>
          <w:color w:val="000000"/>
          <w:szCs w:val="21"/>
          <w:lang w:val="zh-CN"/>
        </w:rPr>
        <w:t>评审委员会的组成及行为规范执行《深圳经济特区政府采购条例实施细则》，评审委员会由采购单位代表和有关技术、经济等方面的专家组成，成员人数为五人以上单数，其中技术、经济等方面的专家不少于成员总数的三分之二。</w:t>
      </w:r>
    </w:p>
    <w:p>
      <w:pPr>
        <w:autoSpaceDE w:val="0"/>
        <w:autoSpaceDN w:val="0"/>
        <w:adjustRightInd w:val="0"/>
        <w:ind w:firstLine="420"/>
        <w:rPr>
          <w:color w:val="000000"/>
          <w:szCs w:val="21"/>
        </w:rPr>
      </w:pPr>
      <w:r>
        <w:rPr>
          <w:rFonts w:ascii="宋体" w:cs="宋体" w:hint="eastAsia"/>
          <w:color w:val="000000"/>
          <w:szCs w:val="21"/>
          <w:lang w:val="zh-CN"/>
        </w:rPr>
        <w:t>为保证评委人选的专业性，以及评标中的公平公正性，评审委员会成员由主管部门从深圳市财政委员会评标专家库中随机抽取。</w:t>
      </w:r>
    </w:p>
    <w:p>
      <w:pPr>
        <w:autoSpaceDE w:val="0"/>
        <w:autoSpaceDN w:val="0"/>
        <w:adjustRightInd w:val="0"/>
        <w:ind w:firstLine="420"/>
        <w:rPr>
          <w:color w:val="000000"/>
          <w:szCs w:val="21"/>
        </w:rPr>
      </w:pPr>
      <w:r>
        <w:rPr>
          <w:rFonts w:ascii="宋体" w:cs="宋体" w:hint="eastAsia"/>
          <w:color w:val="000000"/>
          <w:szCs w:val="21"/>
          <w:lang w:val="zh-CN"/>
        </w:rPr>
        <w:t>采购单位代表持本单位签发的《采购人代表授权函》及身份证明材料参加评标。</w:t>
      </w:r>
    </w:p>
    <w:p>
      <w:pPr>
        <w:autoSpaceDE w:val="0"/>
        <w:autoSpaceDN w:val="0"/>
        <w:adjustRightInd w:val="0"/>
        <w:ind w:firstLine="420"/>
        <w:rPr>
          <w:color w:val="000000"/>
          <w:szCs w:val="21"/>
        </w:rPr>
      </w:pPr>
      <w:r>
        <w:rPr>
          <w:rFonts w:ascii="宋体" w:cs="宋体" w:hint="eastAsia"/>
          <w:color w:val="000000"/>
          <w:szCs w:val="21"/>
          <w:lang w:val="zh-CN"/>
        </w:rPr>
        <w:t>采购单位不派代表参与评标，应在开标前三天提交《采购单位不派评委参与项目评标承诺书》给代理机构。</w:t>
      </w:r>
    </w:p>
    <w:p>
      <w:pPr>
        <w:autoSpaceDE w:val="0"/>
        <w:autoSpaceDN w:val="0"/>
        <w:adjustRightInd w:val="0"/>
        <w:ind w:firstLine="420"/>
        <w:rPr>
          <w:color w:val="000000"/>
          <w:szCs w:val="21"/>
        </w:rPr>
      </w:pPr>
      <w:r>
        <w:rPr>
          <w:color w:val="000000"/>
          <w:szCs w:val="21"/>
        </w:rPr>
        <w:t>30.2</w:t>
      </w:r>
      <w:r>
        <w:rPr>
          <w:rFonts w:ascii="宋体" w:cs="宋体" w:hint="eastAsia"/>
          <w:color w:val="000000"/>
          <w:szCs w:val="21"/>
          <w:lang w:val="zh-CN"/>
        </w:rPr>
        <w:t>评标定标应当遵循公平、公正、科学、择优的原则。</w:t>
      </w:r>
    </w:p>
    <w:p>
      <w:pPr>
        <w:autoSpaceDE w:val="0"/>
        <w:autoSpaceDN w:val="0"/>
        <w:adjustRightInd w:val="0"/>
        <w:ind w:firstLine="420"/>
        <w:rPr>
          <w:color w:val="000000"/>
          <w:szCs w:val="21"/>
        </w:rPr>
      </w:pPr>
      <w:r>
        <w:rPr>
          <w:color w:val="000000"/>
          <w:szCs w:val="21"/>
        </w:rPr>
        <w:t>30.3</w:t>
      </w:r>
      <w:r>
        <w:rPr>
          <w:rFonts w:ascii="宋体" w:cs="宋体" w:hint="eastAsia"/>
          <w:color w:val="000000"/>
          <w:szCs w:val="21"/>
          <w:lang w:val="zh-CN"/>
        </w:rPr>
        <w:t>评标活动依法进行，任何单位和个人不得非法干预评标过程和结果。</w:t>
      </w:r>
    </w:p>
    <w:p>
      <w:pPr>
        <w:autoSpaceDE w:val="0"/>
        <w:autoSpaceDN w:val="0"/>
        <w:adjustRightInd w:val="0"/>
        <w:ind w:firstLine="420"/>
        <w:rPr>
          <w:color w:val="000000"/>
          <w:szCs w:val="21"/>
        </w:rPr>
      </w:pPr>
      <w:r>
        <w:rPr>
          <w:color w:val="000000"/>
          <w:szCs w:val="21"/>
        </w:rPr>
        <w:t>30.4</w:t>
      </w:r>
      <w:r>
        <w:rPr>
          <w:rFonts w:ascii="宋体" w:cs="宋体" w:hint="eastAsia"/>
          <w:color w:val="000000"/>
          <w:szCs w:val="21"/>
          <w:lang w:val="zh-CN"/>
        </w:rPr>
        <w:t>评标过程中不允许违背评标程序或采用招标文件未载明的评标方法或评标因素进行评标。</w:t>
      </w:r>
    </w:p>
    <w:p>
      <w:pPr>
        <w:autoSpaceDE w:val="0"/>
        <w:autoSpaceDN w:val="0"/>
        <w:adjustRightInd w:val="0"/>
        <w:ind w:firstLine="420"/>
        <w:rPr>
          <w:color w:val="000000"/>
          <w:szCs w:val="21"/>
        </w:rPr>
      </w:pPr>
      <w:r>
        <w:rPr>
          <w:color w:val="000000"/>
          <w:szCs w:val="21"/>
        </w:rPr>
        <w:t>30.5</w:t>
      </w:r>
      <w:r>
        <w:rPr>
          <w:rFonts w:ascii="宋体" w:cs="宋体" w:hint="eastAsia"/>
          <w:color w:val="000000"/>
          <w:szCs w:val="21"/>
          <w:lang w:val="zh-CN"/>
        </w:rPr>
        <w:t>凡属于对投标文件的审查、澄清、评价和比较的有关资料以及中标候选人的推荐情况、与评标有关的其他任何情况均严格保密。</w:t>
      </w:r>
    </w:p>
    <w:p>
      <w:pPr>
        <w:autoSpaceDE w:val="0"/>
        <w:autoSpaceDN w:val="0"/>
        <w:adjustRightInd w:val="0"/>
        <w:ind w:firstLine="422"/>
        <w:rPr>
          <w:b/>
          <w:bCs/>
          <w:color w:val="000000"/>
          <w:szCs w:val="21"/>
        </w:rPr>
      </w:pPr>
      <w:r>
        <w:rPr>
          <w:b/>
          <w:bCs/>
          <w:color w:val="000000"/>
          <w:szCs w:val="21"/>
        </w:rPr>
        <w:t>31.</w:t>
      </w:r>
      <w:r>
        <w:rPr>
          <w:rFonts w:ascii="宋体" w:cs="宋体" w:hint="eastAsia"/>
          <w:b/>
          <w:bCs/>
          <w:color w:val="000000"/>
          <w:szCs w:val="21"/>
          <w:lang w:val="zh-CN"/>
        </w:rPr>
        <w:t>向评审委员会提供的资料</w:t>
      </w:r>
    </w:p>
    <w:p>
      <w:pPr>
        <w:autoSpaceDE w:val="0"/>
        <w:autoSpaceDN w:val="0"/>
        <w:adjustRightInd w:val="0"/>
        <w:ind w:firstLine="420"/>
        <w:rPr>
          <w:color w:val="000000"/>
          <w:szCs w:val="21"/>
        </w:rPr>
      </w:pPr>
      <w:r>
        <w:rPr>
          <w:color w:val="000000"/>
          <w:szCs w:val="21"/>
        </w:rPr>
        <w:t>31.1</w:t>
      </w:r>
      <w:r>
        <w:rPr>
          <w:rFonts w:ascii="宋体" w:cs="宋体" w:hint="eastAsia"/>
          <w:color w:val="000000"/>
          <w:szCs w:val="21"/>
          <w:lang w:val="zh-CN"/>
        </w:rPr>
        <w:t>公开发布的招标文件，包括图纸、服务清单、答疑文件等；</w:t>
      </w:r>
    </w:p>
    <w:p>
      <w:pPr>
        <w:autoSpaceDE w:val="0"/>
        <w:autoSpaceDN w:val="0"/>
        <w:adjustRightInd w:val="0"/>
        <w:ind w:firstLine="420"/>
        <w:rPr>
          <w:color w:val="000000"/>
          <w:szCs w:val="21"/>
        </w:rPr>
      </w:pPr>
      <w:r>
        <w:rPr>
          <w:color w:val="000000"/>
          <w:szCs w:val="21"/>
        </w:rPr>
        <w:t>31.2</w:t>
      </w:r>
      <w:r>
        <w:rPr>
          <w:rFonts w:ascii="宋体" w:cs="宋体" w:hint="eastAsia"/>
          <w:color w:val="000000"/>
          <w:szCs w:val="21"/>
          <w:lang w:val="zh-CN"/>
        </w:rPr>
        <w:t>其他评标必须的资料。</w:t>
      </w:r>
    </w:p>
    <w:p>
      <w:pPr>
        <w:autoSpaceDE w:val="0"/>
        <w:autoSpaceDN w:val="0"/>
        <w:adjustRightInd w:val="0"/>
        <w:ind w:firstLine="420"/>
        <w:rPr>
          <w:color w:val="000000"/>
          <w:szCs w:val="21"/>
        </w:rPr>
      </w:pPr>
      <w:r>
        <w:rPr>
          <w:color w:val="000000"/>
          <w:szCs w:val="21"/>
        </w:rPr>
        <w:t>31.3</w:t>
      </w:r>
      <w:r>
        <w:rPr>
          <w:rFonts w:ascii="宋体" w:cs="宋体" w:hint="eastAsia"/>
          <w:color w:val="000000"/>
          <w:szCs w:val="21"/>
          <w:lang w:val="zh-CN"/>
        </w:rPr>
        <w:t>评审委员会应当认真研究招标文件，至少应了解熟悉以下内容：</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1</w:t>
      </w:r>
      <w:r>
        <w:rPr>
          <w:rFonts w:ascii="宋体" w:cs="宋体" w:hint="eastAsia"/>
          <w:color w:val="000000"/>
          <w:szCs w:val="21"/>
          <w:lang w:val="zh-CN"/>
        </w:rPr>
        <w:t>）招标的目的；</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2</w:t>
      </w:r>
      <w:r>
        <w:rPr>
          <w:rFonts w:ascii="宋体" w:cs="宋体" w:hint="eastAsia"/>
          <w:color w:val="000000"/>
          <w:szCs w:val="21"/>
          <w:lang w:val="zh-CN"/>
        </w:rPr>
        <w:t>）招标项目需求的范围和性质；</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3</w:t>
      </w:r>
      <w:r>
        <w:rPr>
          <w:rFonts w:ascii="宋体" w:cs="宋体" w:hint="eastAsia"/>
          <w:color w:val="000000"/>
          <w:szCs w:val="21"/>
          <w:lang w:val="zh-CN"/>
        </w:rPr>
        <w:t>）招标文件规定的投标人的资格、财政预算限额、商务条款；</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4</w:t>
      </w:r>
      <w:r>
        <w:rPr>
          <w:rFonts w:ascii="宋体" w:cs="宋体" w:hint="eastAsia"/>
          <w:color w:val="000000"/>
          <w:szCs w:val="21"/>
          <w:lang w:val="zh-CN"/>
        </w:rPr>
        <w:t>）招标文件规定的评标程序、评标方法和评标因素；</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5</w:t>
      </w:r>
      <w:r>
        <w:rPr>
          <w:rFonts w:ascii="宋体" w:cs="宋体" w:hint="eastAsia"/>
          <w:color w:val="000000"/>
          <w:szCs w:val="21"/>
          <w:lang w:val="zh-CN"/>
        </w:rPr>
        <w:t>）招标文件所列示的投标无效或废标条款。</w:t>
      </w:r>
    </w:p>
    <w:p>
      <w:pPr>
        <w:autoSpaceDE w:val="0"/>
        <w:autoSpaceDN w:val="0"/>
        <w:adjustRightInd w:val="0"/>
        <w:ind w:firstLine="422"/>
        <w:rPr>
          <w:b/>
          <w:bCs/>
          <w:color w:val="000000"/>
          <w:szCs w:val="21"/>
        </w:rPr>
      </w:pPr>
      <w:r>
        <w:rPr>
          <w:b/>
          <w:bCs/>
          <w:color w:val="000000"/>
          <w:szCs w:val="21"/>
        </w:rPr>
        <w:t>32.</w:t>
      </w:r>
      <w:r>
        <w:rPr>
          <w:rFonts w:ascii="宋体" w:cs="宋体" w:hint="eastAsia"/>
          <w:b/>
          <w:bCs/>
          <w:color w:val="000000"/>
          <w:szCs w:val="21"/>
          <w:lang w:val="zh-CN"/>
        </w:rPr>
        <w:t>独立评标</w:t>
      </w:r>
    </w:p>
    <w:p>
      <w:pPr>
        <w:autoSpaceDE w:val="0"/>
        <w:autoSpaceDN w:val="0"/>
        <w:adjustRightInd w:val="0"/>
        <w:ind w:firstLine="420"/>
        <w:rPr>
          <w:color w:val="000000"/>
          <w:szCs w:val="21"/>
        </w:rPr>
      </w:pPr>
      <w:r>
        <w:rPr>
          <w:color w:val="000000"/>
          <w:szCs w:val="21"/>
        </w:rPr>
        <w:t>32.1</w:t>
      </w:r>
      <w:r>
        <w:rPr>
          <w:rFonts w:ascii="宋体" w:cs="宋体" w:hint="eastAsia"/>
          <w:color w:val="000000"/>
          <w:szCs w:val="21"/>
          <w:lang w:val="zh-CN"/>
        </w:rPr>
        <w:t>评审委员会成员的评标活动应当独立进行，并应遵循投标文件初审、澄清有关问题、比较与评价、确定中标供应商（或推荐候选中标供应商）、编写评标报告的工作程序。</w:t>
      </w:r>
    </w:p>
    <w:p>
      <w:pPr>
        <w:autoSpaceDE w:val="0"/>
        <w:autoSpaceDN w:val="0"/>
        <w:adjustRightInd w:val="0"/>
        <w:ind w:firstLine="422"/>
        <w:rPr>
          <w:b/>
          <w:bCs/>
          <w:color w:val="000000"/>
          <w:szCs w:val="21"/>
        </w:rPr>
      </w:pPr>
      <w:r>
        <w:rPr>
          <w:b/>
          <w:bCs/>
          <w:color w:val="000000"/>
          <w:szCs w:val="21"/>
        </w:rPr>
        <w:t>33.</w:t>
      </w:r>
      <w:r>
        <w:rPr>
          <w:rFonts w:ascii="宋体" w:cs="宋体" w:hint="eastAsia"/>
          <w:b/>
          <w:bCs/>
          <w:color w:val="000000"/>
          <w:szCs w:val="21"/>
          <w:lang w:val="zh-CN"/>
        </w:rPr>
        <w:t>投标文件的澄清</w:t>
      </w:r>
    </w:p>
    <w:p>
      <w:pPr>
        <w:autoSpaceDE w:val="0"/>
        <w:autoSpaceDN w:val="0"/>
        <w:adjustRightInd w:val="0"/>
        <w:ind w:firstLine="420"/>
        <w:rPr>
          <w:color w:val="000000"/>
          <w:szCs w:val="21"/>
        </w:rPr>
      </w:pPr>
      <w:r>
        <w:rPr>
          <w:color w:val="000000"/>
          <w:szCs w:val="21"/>
        </w:rPr>
        <w:t>33.1</w:t>
      </w:r>
      <w:r>
        <w:rPr>
          <w:rFonts w:ascii="宋体" w:cs="宋体" w:hint="eastAsia"/>
          <w:color w:val="000000"/>
          <w:szCs w:val="21"/>
          <w:lang w:val="zh-CN"/>
        </w:rPr>
        <w:t>对于投标文件中含义不明确、同类问题表述不一致或者有明显文字和计算错误的内容，评审委员会应当以书面形式要求投标人作出必要的澄清、说明或者补正。</w:t>
      </w:r>
    </w:p>
    <w:p>
      <w:pPr>
        <w:autoSpaceDE w:val="0"/>
        <w:autoSpaceDN w:val="0"/>
        <w:adjustRightInd w:val="0"/>
        <w:ind w:firstLine="420"/>
        <w:rPr>
          <w:color w:val="000000"/>
          <w:szCs w:val="21"/>
        </w:rPr>
      </w:pPr>
      <w:r>
        <w:rPr>
          <w:rFonts w:ascii="宋体" w:cs="宋体" w:hint="eastAsia"/>
          <w:color w:val="000000"/>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autoSpaceDE w:val="0"/>
        <w:autoSpaceDN w:val="0"/>
        <w:adjustRightInd w:val="0"/>
        <w:ind w:firstLine="420"/>
        <w:rPr>
          <w:color w:val="000000"/>
          <w:szCs w:val="21"/>
        </w:rPr>
      </w:pPr>
      <w:r>
        <w:rPr>
          <w:rFonts w:ascii="宋体" w:cs="宋体" w:hint="eastAsia"/>
          <w:color w:val="000000"/>
          <w:szCs w:val="21"/>
          <w:lang w:val="zh-CN"/>
        </w:rPr>
        <w:t>根据本通用条款第</w:t>
      </w:r>
      <w:r>
        <w:rPr>
          <w:color w:val="000000"/>
          <w:szCs w:val="21"/>
        </w:rPr>
        <w:t>34.2</w:t>
      </w:r>
      <w:r>
        <w:rPr>
          <w:rFonts w:ascii="宋体" w:cs="宋体" w:hint="eastAsia"/>
          <w:color w:val="000000"/>
          <w:szCs w:val="21"/>
          <w:lang w:val="zh-CN"/>
        </w:rPr>
        <w:t>条，凡属于评审委员会在评审中发现的算术错误进行核实的修改不在此列。</w:t>
      </w:r>
    </w:p>
    <w:p>
      <w:pPr>
        <w:autoSpaceDE w:val="0"/>
        <w:autoSpaceDN w:val="0"/>
        <w:adjustRightInd w:val="0"/>
        <w:ind w:firstLine="420"/>
        <w:rPr>
          <w:color w:val="000000"/>
          <w:szCs w:val="21"/>
        </w:rPr>
      </w:pPr>
      <w:r>
        <w:rPr>
          <w:color w:val="000000"/>
          <w:szCs w:val="21"/>
        </w:rPr>
        <w:t>33.2</w:t>
      </w:r>
      <w:r>
        <w:rPr>
          <w:rFonts w:ascii="宋体" w:cs="宋体" w:hint="eastAsia"/>
          <w:color w:val="000000"/>
          <w:szCs w:val="21"/>
          <w:lang w:val="zh-CN"/>
        </w:rPr>
        <w:t>对于未按要求进行澄清的，视为投标人放弃澄清，并相应承担不利后果。</w:t>
      </w:r>
    </w:p>
    <w:p>
      <w:pPr>
        <w:autoSpaceDE w:val="0"/>
        <w:autoSpaceDN w:val="0"/>
        <w:adjustRightInd w:val="0"/>
        <w:ind w:firstLine="422"/>
        <w:rPr>
          <w:b/>
          <w:bCs/>
          <w:color w:val="000000"/>
          <w:szCs w:val="21"/>
        </w:rPr>
      </w:pPr>
      <w:r>
        <w:rPr>
          <w:b/>
          <w:bCs/>
          <w:color w:val="000000"/>
          <w:szCs w:val="21"/>
        </w:rPr>
        <w:t>34.</w:t>
      </w:r>
      <w:r>
        <w:rPr>
          <w:rFonts w:ascii="宋体" w:cs="宋体" w:hint="eastAsia"/>
          <w:b/>
          <w:bCs/>
          <w:color w:val="000000"/>
          <w:szCs w:val="21"/>
          <w:lang w:val="zh-CN"/>
        </w:rPr>
        <w:t>投标文件的初审</w:t>
      </w:r>
    </w:p>
    <w:p>
      <w:pPr>
        <w:autoSpaceDE w:val="0"/>
        <w:autoSpaceDN w:val="0"/>
        <w:adjustRightInd w:val="0"/>
        <w:ind w:firstLine="420"/>
        <w:rPr>
          <w:color w:val="000000"/>
          <w:szCs w:val="21"/>
        </w:rPr>
      </w:pPr>
      <w:r>
        <w:rPr>
          <w:color w:val="000000"/>
          <w:szCs w:val="21"/>
        </w:rPr>
        <w:t>34.1</w:t>
      </w:r>
      <w:r>
        <w:rPr>
          <w:rFonts w:ascii="宋体" w:cs="宋体" w:hint="eastAsia"/>
          <w:b/>
          <w:bCs/>
          <w:color w:val="000000"/>
          <w:szCs w:val="21"/>
          <w:lang w:val="zh-CN"/>
        </w:rPr>
        <w:t>投标文件初审包括资格性审查和符合性审查</w:t>
      </w:r>
      <w:r>
        <w:rPr>
          <w:rFonts w:ascii="宋体" w:cs="宋体" w:hint="eastAsia"/>
          <w:color w:val="000000"/>
          <w:szCs w:val="21"/>
          <w:lang w:val="zh-CN"/>
        </w:rPr>
        <w:t>。资格性审查：依据法律法规和招标文件的规定，对投标文件中的资格证明等进行审查，以确定投标供应商是否具备投标资格。符合性审查：依据招标文件的规定，从投标文件的有效性、完整性和对招标文件的响应程度进行审查，以确定是否对招标文件的实质性要求作出响应。</w:t>
      </w:r>
    </w:p>
    <w:p>
      <w:pPr>
        <w:autoSpaceDE w:val="0"/>
        <w:autoSpaceDN w:val="0"/>
        <w:adjustRightInd w:val="0"/>
        <w:ind w:firstLine="420"/>
        <w:rPr>
          <w:color w:val="000000"/>
          <w:szCs w:val="21"/>
        </w:rPr>
      </w:pPr>
      <w:r>
        <w:rPr>
          <w:color w:val="000000"/>
          <w:szCs w:val="21"/>
        </w:rPr>
        <w:t>34.2</w:t>
      </w:r>
      <w:r>
        <w:rPr>
          <w:rFonts w:ascii="宋体" w:cs="宋体" w:hint="eastAsia"/>
          <w:b/>
          <w:bCs/>
          <w:color w:val="000000"/>
          <w:szCs w:val="21"/>
          <w:lang w:val="zh-CN"/>
        </w:rPr>
        <w:t>投标文件报价出现前后不一致、存在明显文字或计算错误的，</w:t>
      </w:r>
      <w:r>
        <w:rPr>
          <w:rFonts w:ascii="宋体" w:cs="宋体" w:hint="eastAsia"/>
          <w:color w:val="000000"/>
          <w:szCs w:val="21"/>
          <w:lang w:val="zh-CN"/>
        </w:rPr>
        <w:t>按照下列规定修正：</w:t>
      </w:r>
    </w:p>
    <w:p>
      <w:pPr>
        <w:autoSpaceDE w:val="0"/>
        <w:autoSpaceDN w:val="0"/>
        <w:adjustRightInd w:val="0"/>
        <w:ind w:firstLine="420"/>
        <w:rPr>
          <w:color w:val="000000"/>
          <w:szCs w:val="21"/>
        </w:rPr>
      </w:pPr>
      <w:r>
        <w:rPr>
          <w:color w:val="000000"/>
          <w:szCs w:val="21"/>
        </w:rPr>
        <w:t>34.2.1</w:t>
      </w:r>
      <w:r>
        <w:rPr>
          <w:rFonts w:ascii="宋体" w:cs="宋体" w:hint="eastAsia"/>
          <w:color w:val="000000"/>
          <w:szCs w:val="21"/>
          <w:lang w:val="zh-CN"/>
        </w:rPr>
        <w:t>投标文件中开标一览表内容与投标文件中相应内容不一致的，以开标一览表为准；</w:t>
      </w:r>
    </w:p>
    <w:p>
      <w:pPr>
        <w:autoSpaceDE w:val="0"/>
        <w:autoSpaceDN w:val="0"/>
        <w:adjustRightInd w:val="0"/>
        <w:ind w:firstLine="420"/>
        <w:rPr>
          <w:color w:val="000000"/>
          <w:szCs w:val="21"/>
        </w:rPr>
      </w:pPr>
      <w:r>
        <w:rPr>
          <w:color w:val="000000"/>
          <w:szCs w:val="21"/>
        </w:rPr>
        <w:t>34.2.2</w:t>
      </w:r>
      <w:r>
        <w:rPr>
          <w:rFonts w:ascii="宋体" w:cs="宋体" w:hint="eastAsia"/>
          <w:color w:val="000000"/>
          <w:szCs w:val="21"/>
          <w:lang w:val="zh-CN"/>
        </w:rPr>
        <w:t>大写金额和小写金额不一致的，以大写金额为准；</w:t>
      </w:r>
    </w:p>
    <w:p>
      <w:pPr>
        <w:autoSpaceDE w:val="0"/>
        <w:autoSpaceDN w:val="0"/>
        <w:adjustRightInd w:val="0"/>
        <w:ind w:firstLine="420"/>
        <w:rPr>
          <w:color w:val="000000"/>
          <w:szCs w:val="21"/>
        </w:rPr>
      </w:pPr>
      <w:r>
        <w:rPr>
          <w:color w:val="000000"/>
          <w:szCs w:val="21"/>
        </w:rPr>
        <w:t>34.2.3</w:t>
      </w:r>
      <w:r>
        <w:rPr>
          <w:rFonts w:ascii="宋体" w:cs="宋体" w:hint="eastAsia"/>
          <w:color w:val="000000"/>
          <w:szCs w:val="21"/>
          <w:lang w:val="zh-CN"/>
        </w:rPr>
        <w:t>单价金额小数点或者百分比有明显错位的，以开标一览表的总价为准，并修改单价；</w:t>
      </w:r>
    </w:p>
    <w:p>
      <w:pPr>
        <w:autoSpaceDE w:val="0"/>
        <w:autoSpaceDN w:val="0"/>
        <w:adjustRightInd w:val="0"/>
        <w:ind w:firstLine="420"/>
        <w:rPr>
          <w:color w:val="000000"/>
          <w:szCs w:val="21"/>
        </w:rPr>
      </w:pPr>
      <w:r>
        <w:rPr>
          <w:color w:val="000000"/>
          <w:szCs w:val="21"/>
        </w:rPr>
        <w:t>34.2.4</w:t>
      </w:r>
      <w:r>
        <w:rPr>
          <w:rFonts w:ascii="宋体" w:cs="宋体" w:hint="eastAsia"/>
          <w:color w:val="000000"/>
          <w:szCs w:val="21"/>
          <w:lang w:val="zh-CN"/>
        </w:rPr>
        <w:t>总价金额与按单价汇总金额不一致的，以单价金额计算结果为准。</w:t>
      </w:r>
    </w:p>
    <w:p>
      <w:pPr>
        <w:autoSpaceDE w:val="0"/>
        <w:autoSpaceDN w:val="0"/>
        <w:adjustRightInd w:val="0"/>
        <w:ind w:firstLine="420"/>
        <w:rPr>
          <w:b/>
          <w:bCs/>
          <w:color w:val="000000"/>
          <w:szCs w:val="21"/>
        </w:rPr>
      </w:pPr>
      <w:r>
        <w:rPr>
          <w:rFonts w:ascii="宋体" w:cs="宋体" w:hint="eastAsia"/>
          <w:color w:val="000000"/>
          <w:szCs w:val="21"/>
          <w:lang w:val="zh-CN"/>
        </w:rPr>
        <w:t>同时出现两种以上不一致的，按照前款规定的顺序修正。</w:t>
      </w:r>
      <w:r>
        <w:rPr>
          <w:rFonts w:ascii="宋体" w:cs="宋体" w:hint="eastAsia"/>
          <w:b/>
          <w:bCs/>
          <w:color w:val="000000"/>
          <w:szCs w:val="21"/>
          <w:lang w:val="zh-CN"/>
        </w:rPr>
        <w:t>修正后的报价按照本通用条款</w:t>
      </w:r>
      <w:r>
        <w:rPr>
          <w:b/>
          <w:bCs/>
          <w:color w:val="000000"/>
          <w:szCs w:val="21"/>
        </w:rPr>
        <w:t>33</w:t>
      </w:r>
      <w:r>
        <w:rPr>
          <w:rFonts w:ascii="宋体" w:cs="宋体" w:hint="eastAsia"/>
          <w:b/>
          <w:bCs/>
          <w:color w:val="000000"/>
          <w:szCs w:val="21"/>
          <w:lang w:val="zh-CN"/>
        </w:rPr>
        <w:t>条的规定，经投标人确认后产生约束力，投标人不确认的，其投标无效。</w:t>
      </w:r>
    </w:p>
    <w:p>
      <w:pPr>
        <w:autoSpaceDE w:val="0"/>
        <w:autoSpaceDN w:val="0"/>
        <w:adjustRightInd w:val="0"/>
        <w:ind w:firstLine="420"/>
        <w:rPr>
          <w:color w:val="000000"/>
          <w:szCs w:val="21"/>
        </w:rPr>
      </w:pPr>
      <w:r>
        <w:rPr>
          <w:color w:val="000000"/>
          <w:szCs w:val="21"/>
        </w:rPr>
        <w:t>34.3</w:t>
      </w:r>
      <w:r>
        <w:rPr>
          <w:rFonts w:ascii="宋体" w:cs="宋体" w:hint="eastAsia"/>
          <w:color w:val="000000"/>
          <w:szCs w:val="21"/>
          <w:lang w:val="zh-CN"/>
        </w:rPr>
        <w:t>资格性审查：依据法律法规和招标文件的规定，对投标文件进行审查，内容详见《关键信息》→《资格性审查表》。评审委员会对投标单位打√为通过审查，打×为未通过审查。</w:t>
      </w:r>
    </w:p>
    <w:p>
      <w:pPr>
        <w:autoSpaceDE w:val="0"/>
        <w:autoSpaceDN w:val="0"/>
        <w:adjustRightInd w:val="0"/>
        <w:ind w:firstLine="420"/>
        <w:rPr>
          <w:color w:val="000000"/>
          <w:szCs w:val="21"/>
        </w:rPr>
      </w:pPr>
      <w:r>
        <w:rPr>
          <w:color w:val="000000"/>
          <w:szCs w:val="21"/>
        </w:rPr>
        <w:t>34.4</w:t>
      </w:r>
      <w:r>
        <w:rPr>
          <w:rFonts w:ascii="宋体" w:cs="宋体" w:hint="eastAsia"/>
          <w:color w:val="000000"/>
          <w:szCs w:val="21"/>
          <w:lang w:val="zh-CN"/>
        </w:rPr>
        <w:t>符合性审查：依据招标文件的规定，从投标文件的有效性、完整性和对招标文件的响应程度进行审查，以确定是否对招标文件的实质性要求作出响应。内容详见《关键信息》→《符合性审查表》。评审委员会对投标单位打√为通过审查，打×为未通过审查。</w:t>
      </w:r>
    </w:p>
    <w:p>
      <w:pPr>
        <w:autoSpaceDE w:val="0"/>
        <w:autoSpaceDN w:val="0"/>
        <w:adjustRightInd w:val="0"/>
        <w:ind w:firstLine="420"/>
        <w:rPr>
          <w:color w:val="000000"/>
          <w:szCs w:val="21"/>
        </w:rPr>
      </w:pPr>
      <w:r>
        <w:rPr>
          <w:color w:val="000000"/>
          <w:szCs w:val="21"/>
        </w:rPr>
        <w:t>34.5</w:t>
      </w:r>
      <w:r>
        <w:rPr>
          <w:rFonts w:ascii="宋体" w:cs="宋体" w:hint="eastAsia"/>
          <w:color w:val="000000"/>
          <w:szCs w:val="21"/>
          <w:lang w:val="zh-CN"/>
        </w:rPr>
        <w:t>投标人投标文件作无效处理的情形，具体包括但不限于以下：</w:t>
      </w:r>
    </w:p>
    <w:p>
      <w:pPr>
        <w:autoSpaceDE w:val="0"/>
        <w:autoSpaceDN w:val="0"/>
        <w:adjustRightInd w:val="0"/>
        <w:ind w:firstLine="420"/>
        <w:rPr>
          <w:color w:val="000000"/>
          <w:szCs w:val="21"/>
        </w:rPr>
      </w:pPr>
      <w:r>
        <w:rPr>
          <w:color w:val="000000"/>
          <w:szCs w:val="21"/>
        </w:rPr>
        <w:t>34.5.1</w:t>
      </w:r>
      <w:r>
        <w:rPr>
          <w:rFonts w:ascii="宋体" w:cs="宋体" w:hint="eastAsia"/>
          <w:color w:val="000000"/>
          <w:szCs w:val="21"/>
          <w:lang w:val="zh-CN"/>
        </w:rPr>
        <w:t>不同投标人的投标文件由同一单位或者同一个人编制，或者由同一个人分阶段参与编制；</w:t>
      </w:r>
    </w:p>
    <w:p>
      <w:pPr>
        <w:autoSpaceDE w:val="0"/>
        <w:autoSpaceDN w:val="0"/>
        <w:adjustRightInd w:val="0"/>
        <w:ind w:firstLine="420"/>
        <w:rPr>
          <w:color w:val="000000"/>
          <w:szCs w:val="21"/>
        </w:rPr>
      </w:pPr>
      <w:r>
        <w:rPr>
          <w:color w:val="000000"/>
          <w:szCs w:val="21"/>
        </w:rPr>
        <w:t>34.5.2</w:t>
      </w:r>
      <w:r>
        <w:rPr>
          <w:rFonts w:ascii="宋体" w:cs="宋体" w:hint="eastAsia"/>
          <w:color w:val="000000"/>
          <w:szCs w:val="21"/>
          <w:lang w:val="zh-CN"/>
        </w:rPr>
        <w:t>不同投标人委托同一单位或者个人办理投标事宜；</w:t>
      </w:r>
    </w:p>
    <w:p>
      <w:pPr>
        <w:autoSpaceDE w:val="0"/>
        <w:autoSpaceDN w:val="0"/>
        <w:adjustRightInd w:val="0"/>
        <w:ind w:firstLine="420"/>
        <w:rPr>
          <w:color w:val="000000"/>
          <w:szCs w:val="21"/>
        </w:rPr>
      </w:pPr>
      <w:r>
        <w:rPr>
          <w:color w:val="000000"/>
          <w:szCs w:val="21"/>
        </w:rPr>
        <w:t>34.5.3</w:t>
      </w:r>
      <w:r>
        <w:rPr>
          <w:rFonts w:ascii="宋体" w:cs="宋体" w:hint="eastAsia"/>
          <w:color w:val="000000"/>
          <w:szCs w:val="21"/>
          <w:lang w:val="zh-CN"/>
        </w:rPr>
        <w:t>不同投标人的投标文件载明的项目管理成员或者联系人员为同一人；</w:t>
      </w:r>
    </w:p>
    <w:p>
      <w:pPr>
        <w:autoSpaceDE w:val="0"/>
        <w:autoSpaceDN w:val="0"/>
        <w:adjustRightInd w:val="0"/>
        <w:ind w:firstLine="420"/>
        <w:rPr>
          <w:color w:val="000000"/>
          <w:szCs w:val="21"/>
        </w:rPr>
      </w:pPr>
      <w:r>
        <w:rPr>
          <w:color w:val="000000"/>
          <w:szCs w:val="21"/>
        </w:rPr>
        <w:t>34.5.4</w:t>
      </w:r>
      <w:r>
        <w:rPr>
          <w:rFonts w:ascii="宋体" w:cs="宋体" w:hint="eastAsia"/>
          <w:color w:val="000000"/>
          <w:szCs w:val="21"/>
          <w:lang w:val="zh-CN"/>
        </w:rPr>
        <w:t>不同投标人的投标文件异常一致或者投标报价呈规律性差异；</w:t>
      </w:r>
    </w:p>
    <w:p>
      <w:pPr>
        <w:autoSpaceDE w:val="0"/>
        <w:autoSpaceDN w:val="0"/>
        <w:adjustRightInd w:val="0"/>
        <w:ind w:firstLine="420"/>
        <w:rPr>
          <w:color w:val="000000"/>
          <w:szCs w:val="21"/>
        </w:rPr>
      </w:pPr>
      <w:r>
        <w:rPr>
          <w:color w:val="000000"/>
          <w:szCs w:val="21"/>
        </w:rPr>
        <w:t>34.5.5</w:t>
      </w:r>
      <w:r>
        <w:rPr>
          <w:rFonts w:ascii="宋体" w:cs="宋体" w:hint="eastAsia"/>
          <w:color w:val="000000"/>
          <w:szCs w:val="21"/>
          <w:lang w:val="zh-CN"/>
        </w:rPr>
        <w:t>不同投标人的投标文件相互混装；</w:t>
      </w:r>
    </w:p>
    <w:p>
      <w:pPr>
        <w:autoSpaceDE w:val="0"/>
        <w:autoSpaceDN w:val="0"/>
        <w:adjustRightInd w:val="0"/>
        <w:ind w:firstLine="420"/>
        <w:rPr>
          <w:color w:val="000000"/>
          <w:szCs w:val="21"/>
        </w:rPr>
      </w:pPr>
      <w:r>
        <w:rPr>
          <w:color w:val="000000"/>
          <w:szCs w:val="21"/>
        </w:rPr>
        <w:t>34.5.6</w:t>
      </w:r>
      <w:r>
        <w:rPr>
          <w:rFonts w:ascii="宋体" w:cs="宋体" w:hint="eastAsia"/>
          <w:color w:val="000000"/>
          <w:szCs w:val="21"/>
          <w:lang w:val="zh-CN"/>
        </w:rPr>
        <w:t>投标供应商之间相互约定给予未中标的供应商利益补偿；</w:t>
      </w:r>
    </w:p>
    <w:p>
      <w:pPr>
        <w:autoSpaceDE w:val="0"/>
        <w:autoSpaceDN w:val="0"/>
        <w:adjustRightInd w:val="0"/>
        <w:ind w:firstLine="420"/>
        <w:rPr>
          <w:color w:val="000000"/>
          <w:szCs w:val="21"/>
        </w:rPr>
      </w:pPr>
      <w:r>
        <w:rPr>
          <w:color w:val="000000"/>
          <w:szCs w:val="21"/>
        </w:rPr>
        <w:t>34.5.7</w:t>
      </w:r>
      <w:r>
        <w:rPr>
          <w:rFonts w:ascii="宋体" w:cs="宋体" w:hint="eastAsia"/>
          <w:color w:val="000000"/>
          <w:szCs w:val="21"/>
          <w:lang w:val="zh-CN"/>
        </w:rPr>
        <w:t>不同投标供应商的法定代表人、主要经营负责人、项目投标授权代表人、项目负责人、主要技术人员为同一人、属同一单位或者同一单位缴纳社会保险；</w:t>
      </w:r>
    </w:p>
    <w:p>
      <w:pPr>
        <w:autoSpaceDE w:val="0"/>
        <w:autoSpaceDN w:val="0"/>
        <w:adjustRightInd w:val="0"/>
        <w:ind w:firstLine="420"/>
        <w:rPr>
          <w:color w:val="000000"/>
          <w:szCs w:val="21"/>
        </w:rPr>
      </w:pPr>
      <w:r>
        <w:rPr>
          <w:color w:val="000000"/>
          <w:szCs w:val="21"/>
        </w:rPr>
        <w:t>34.5.8</w:t>
      </w:r>
      <w:r>
        <w:rPr>
          <w:rFonts w:ascii="宋体" w:cs="宋体" w:hint="eastAsia"/>
          <w:color w:val="000000"/>
          <w:szCs w:val="21"/>
          <w:lang w:val="zh-CN"/>
        </w:rPr>
        <w:t>不同投标供应商的投标文件内容存在非正常一致；</w:t>
      </w:r>
    </w:p>
    <w:p>
      <w:pPr>
        <w:autoSpaceDE w:val="0"/>
        <w:autoSpaceDN w:val="0"/>
        <w:adjustRightInd w:val="0"/>
        <w:ind w:firstLine="420"/>
        <w:rPr>
          <w:color w:val="000000"/>
          <w:szCs w:val="21"/>
        </w:rPr>
      </w:pPr>
      <w:r>
        <w:rPr>
          <w:color w:val="000000"/>
          <w:szCs w:val="21"/>
        </w:rPr>
        <w:t>34.5.9</w:t>
      </w:r>
      <w:r>
        <w:rPr>
          <w:rFonts w:ascii="宋体" w:cs="宋体" w:hint="eastAsia"/>
          <w:color w:val="000000"/>
          <w:szCs w:val="21"/>
          <w:lang w:val="zh-CN"/>
        </w:rPr>
        <w:t>同一工作人员为两家以上（含两家）供应商进行同一项投标活动；</w:t>
      </w:r>
    </w:p>
    <w:p>
      <w:pPr>
        <w:autoSpaceDE w:val="0"/>
        <w:autoSpaceDN w:val="0"/>
        <w:adjustRightInd w:val="0"/>
        <w:ind w:firstLine="420"/>
        <w:rPr>
          <w:color w:val="000000"/>
          <w:szCs w:val="21"/>
        </w:rPr>
      </w:pPr>
      <w:r>
        <w:rPr>
          <w:color w:val="000000"/>
          <w:szCs w:val="21"/>
        </w:rPr>
        <w:t>34.5.10</w:t>
      </w:r>
      <w:r>
        <w:rPr>
          <w:rFonts w:ascii="宋体" w:cs="宋体" w:hint="eastAsia"/>
          <w:color w:val="000000"/>
          <w:szCs w:val="21"/>
          <w:lang w:val="zh-CN"/>
        </w:rPr>
        <w:t>主管部门依照法律、法规认定的其他情形。</w:t>
      </w:r>
    </w:p>
    <w:p>
      <w:pPr>
        <w:autoSpaceDE w:val="0"/>
        <w:autoSpaceDN w:val="0"/>
        <w:adjustRightInd w:val="0"/>
        <w:ind w:firstLine="420"/>
        <w:rPr>
          <w:color w:val="000000"/>
          <w:szCs w:val="21"/>
        </w:rPr>
      </w:pPr>
      <w:r>
        <w:rPr>
          <w:color w:val="000000"/>
          <w:szCs w:val="21"/>
        </w:rPr>
        <w:t>34.6</w:t>
      </w:r>
      <w:r>
        <w:rPr>
          <w:rFonts w:ascii="宋体" w:cs="宋体" w:hint="eastAsia"/>
          <w:color w:val="000000"/>
          <w:szCs w:val="21"/>
          <w:lang w:val="zh-CN"/>
        </w:rPr>
        <w:t>对不属于《资格性审查表》和《符合性审查表》所列的其他情形，除专用条款另有规定和</w:t>
      </w:r>
      <w:r>
        <w:rPr>
          <w:color w:val="000000"/>
          <w:szCs w:val="21"/>
        </w:rPr>
        <w:t>34.5</w:t>
      </w:r>
      <w:r>
        <w:rPr>
          <w:rFonts w:ascii="宋体" w:cs="宋体" w:hint="eastAsia"/>
          <w:color w:val="000000"/>
          <w:szCs w:val="21"/>
          <w:lang w:val="zh-CN"/>
        </w:rPr>
        <w:t>条款所列情形外，不得作为投标无效的理由。</w:t>
      </w:r>
    </w:p>
    <w:p>
      <w:pPr>
        <w:autoSpaceDE w:val="0"/>
        <w:autoSpaceDN w:val="0"/>
        <w:adjustRightInd w:val="0"/>
        <w:ind w:firstLine="420"/>
        <w:rPr>
          <w:color w:val="000000"/>
          <w:szCs w:val="21"/>
          <w:highlight w:val="white"/>
        </w:rPr>
      </w:pPr>
      <w:r>
        <w:rPr>
          <w:b/>
          <w:bCs/>
          <w:color w:val="000000"/>
          <w:szCs w:val="21"/>
          <w:highlight w:val="white"/>
        </w:rPr>
        <w:t>34.7</w:t>
      </w:r>
      <w:r>
        <w:rPr>
          <w:rFonts w:ascii="宋体" w:cs="宋体" w:hint="eastAsia"/>
          <w:b/>
          <w:bCs/>
          <w:color w:val="000000"/>
          <w:szCs w:val="21"/>
          <w:lang w:val="zh-CN"/>
        </w:rPr>
        <w:t>代理机构在评标前</w:t>
      </w:r>
      <w:r>
        <w:rPr>
          <w:rFonts w:ascii="宋体" w:cs="宋体" w:hint="eastAsia"/>
          <w:b/>
          <w:bCs/>
          <w:color w:val="000000"/>
          <w:szCs w:val="21"/>
        </w:rPr>
        <w:t>，</w:t>
      </w:r>
      <w:r>
        <w:rPr>
          <w:rFonts w:ascii="宋体" w:cs="宋体" w:hint="eastAsia"/>
          <w:b/>
          <w:bCs/>
          <w:color w:val="000000"/>
          <w:szCs w:val="21"/>
          <w:lang w:val="zh-CN"/>
        </w:rPr>
        <w:t>应当在深圳市政府采购网、深圳市政府采购监管网</w:t>
      </w:r>
      <w:r>
        <w:rPr>
          <w:rFonts w:ascii="宋体" w:cs="宋体" w:hint="eastAsia"/>
          <w:b/>
          <w:bCs/>
          <w:color w:val="000000"/>
          <w:szCs w:val="21"/>
        </w:rPr>
        <w:t>“</w:t>
      </w:r>
      <w:r>
        <w:rPr>
          <w:rFonts w:ascii="宋体" w:cs="宋体" w:hint="eastAsia"/>
          <w:b/>
          <w:bCs/>
          <w:color w:val="000000"/>
          <w:szCs w:val="21"/>
          <w:lang w:val="zh-CN"/>
        </w:rPr>
        <w:t>诚信档案</w:t>
      </w:r>
      <w:r>
        <w:rPr>
          <w:rFonts w:ascii="宋体" w:cs="宋体" w:hint="eastAsia"/>
          <w:b/>
          <w:bCs/>
          <w:color w:val="000000"/>
          <w:szCs w:val="21"/>
        </w:rPr>
        <w:t>”</w:t>
      </w:r>
      <w:r>
        <w:rPr>
          <w:rFonts w:ascii="宋体" w:cs="宋体" w:hint="eastAsia"/>
          <w:b/>
          <w:bCs/>
          <w:color w:val="000000"/>
          <w:szCs w:val="21"/>
          <w:lang w:val="zh-CN"/>
        </w:rPr>
        <w:t>栏目以及信用中国官网</w:t>
      </w:r>
      <w:r>
        <w:rPr>
          <w:rFonts w:ascii="宋体" w:cs="宋体" w:hint="eastAsia"/>
          <w:b/>
          <w:bCs/>
          <w:color w:val="000000"/>
          <w:szCs w:val="21"/>
        </w:rPr>
        <w:t>（www.creditchina.gov.cn）</w:t>
      </w:r>
      <w:r>
        <w:rPr>
          <w:rFonts w:ascii="宋体" w:cs="宋体" w:hint="eastAsia"/>
          <w:b/>
          <w:bCs/>
          <w:color w:val="000000"/>
          <w:szCs w:val="21"/>
          <w:lang w:val="zh-CN"/>
        </w:rPr>
        <w:t>、中国政府采购网</w:t>
      </w:r>
      <w:r>
        <w:rPr>
          <w:rFonts w:ascii="宋体" w:cs="宋体" w:hint="eastAsia"/>
          <w:b/>
          <w:bCs/>
          <w:color w:val="000000"/>
          <w:szCs w:val="21"/>
        </w:rPr>
        <w:t>(www.ccgp.gov.cn)</w:t>
      </w:r>
      <w:r>
        <w:rPr>
          <w:rFonts w:ascii="宋体" w:cs="宋体" w:hint="eastAsia"/>
          <w:b/>
          <w:bCs/>
          <w:color w:val="000000"/>
          <w:szCs w:val="21"/>
          <w:lang w:val="zh-CN"/>
        </w:rPr>
        <w:t>、深圳信用网</w:t>
      </w:r>
      <w:r>
        <w:rPr>
          <w:rFonts w:ascii="宋体" w:cs="宋体" w:hint="eastAsia"/>
          <w:b/>
          <w:bCs/>
          <w:color w:val="000000"/>
          <w:szCs w:val="21"/>
        </w:rPr>
        <w:t>( www.szcredit.com.cn)</w:t>
      </w:r>
      <w:r>
        <w:rPr>
          <w:rFonts w:ascii="宋体" w:cs="宋体" w:hint="eastAsia"/>
          <w:b/>
          <w:bCs/>
          <w:color w:val="000000"/>
          <w:szCs w:val="21"/>
          <w:lang w:val="zh-CN"/>
        </w:rPr>
        <w:t>集中查询投标供应商的诚信状况</w:t>
      </w:r>
      <w:r>
        <w:rPr>
          <w:rFonts w:ascii="宋体" w:cs="宋体" w:hint="eastAsia"/>
          <w:b/>
          <w:bCs/>
          <w:color w:val="000000"/>
          <w:szCs w:val="21"/>
        </w:rPr>
        <w:t>，</w:t>
      </w:r>
      <w:r>
        <w:rPr>
          <w:rFonts w:ascii="宋体" w:cs="宋体" w:hint="eastAsia"/>
          <w:b/>
          <w:bCs/>
          <w:color w:val="000000"/>
          <w:szCs w:val="21"/>
          <w:lang w:val="zh-CN"/>
        </w:rPr>
        <w:t>并将供应商诚信状况提供给评审委员会</w:t>
      </w:r>
      <w:r>
        <w:rPr>
          <w:rFonts w:ascii="宋体" w:cs="宋体" w:hint="eastAsia"/>
          <w:b/>
          <w:bCs/>
          <w:color w:val="000000"/>
          <w:szCs w:val="21"/>
        </w:rPr>
        <w:t>，</w:t>
      </w:r>
      <w:r>
        <w:rPr>
          <w:rFonts w:ascii="宋体" w:cs="宋体" w:hint="eastAsia"/>
          <w:b/>
          <w:bCs/>
          <w:color w:val="000000"/>
          <w:szCs w:val="21"/>
          <w:lang w:val="zh-CN"/>
        </w:rPr>
        <w:t>由评审委员会根据招标文件的规定进行评审。相关信用信息以开标当日的查询结果为准</w:t>
      </w:r>
      <w:r>
        <w:rPr>
          <w:rFonts w:ascii="宋体" w:cs="宋体" w:hint="eastAsia"/>
          <w:b/>
          <w:bCs/>
          <w:color w:val="000000"/>
          <w:szCs w:val="21"/>
          <w:highlight w:val="white"/>
          <w:lang w:val="zh-CN"/>
        </w:rPr>
        <w:t>。</w:t>
      </w:r>
    </w:p>
    <w:p>
      <w:pPr>
        <w:autoSpaceDE w:val="0"/>
        <w:autoSpaceDN w:val="0"/>
        <w:adjustRightInd w:val="0"/>
        <w:ind w:firstLine="422"/>
        <w:rPr>
          <w:b/>
          <w:bCs/>
          <w:color w:val="000000"/>
          <w:szCs w:val="21"/>
        </w:rPr>
      </w:pPr>
      <w:r>
        <w:rPr>
          <w:b/>
          <w:bCs/>
          <w:color w:val="000000"/>
          <w:szCs w:val="21"/>
        </w:rPr>
        <w:t>35.</w:t>
      </w:r>
      <w:r>
        <w:rPr>
          <w:rFonts w:ascii="宋体" w:cs="宋体" w:hint="eastAsia"/>
          <w:b/>
          <w:bCs/>
          <w:color w:val="000000"/>
          <w:szCs w:val="21"/>
          <w:lang w:val="zh-CN"/>
        </w:rPr>
        <w:t>投标文件的比较与评价</w:t>
      </w:r>
    </w:p>
    <w:p>
      <w:pPr>
        <w:autoSpaceDE w:val="0"/>
        <w:autoSpaceDN w:val="0"/>
        <w:adjustRightInd w:val="0"/>
        <w:ind w:firstLine="420"/>
        <w:rPr>
          <w:color w:val="000000"/>
          <w:szCs w:val="21"/>
        </w:rPr>
      </w:pPr>
      <w:r>
        <w:rPr>
          <w:rFonts w:ascii="宋体" w:cs="宋体" w:hint="eastAsia"/>
          <w:color w:val="000000"/>
          <w:szCs w:val="21"/>
          <w:lang w:val="zh-CN"/>
        </w:rPr>
        <w:t>评审委员会将按照《深圳经济特区政府采购条例》、《深圳经济特区政府采购条例实施细则》及《深圳市政府采购评标委员会和评标方法暂行规定》，参照相关法律、法规、规定，仅对通过资格性审查和符合性审查的投标文件进行综合比较与评价。</w:t>
      </w:r>
    </w:p>
    <w:p>
      <w:pPr>
        <w:autoSpaceDE w:val="0"/>
        <w:autoSpaceDN w:val="0"/>
        <w:adjustRightInd w:val="0"/>
        <w:ind w:firstLine="412"/>
        <w:rPr>
          <w:color w:val="000000"/>
          <w:szCs w:val="21"/>
        </w:rPr>
      </w:pPr>
      <w:r>
        <w:rPr>
          <w:rFonts w:ascii="宋体" w:cs="宋体" w:hint="eastAsia"/>
          <w:color w:val="000000"/>
          <w:szCs w:val="21"/>
          <w:lang w:val="zh-CN"/>
        </w:rPr>
        <w:t>评审委员会成员对需要共同认定的事项存在争议的，应当按照少数服从多数的原则作出结论。持不同意见的评审委员会成员应当在评标报告上签署不同意见及理由，否则视为同意评标报告。</w:t>
      </w:r>
    </w:p>
    <w:p>
      <w:pPr>
        <w:autoSpaceDE w:val="0"/>
        <w:autoSpaceDN w:val="0"/>
        <w:adjustRightInd w:val="0"/>
        <w:ind w:firstLine="422"/>
        <w:rPr>
          <w:b/>
          <w:bCs/>
          <w:color w:val="000000"/>
          <w:szCs w:val="21"/>
        </w:rPr>
      </w:pPr>
      <w:r>
        <w:rPr>
          <w:b/>
          <w:bCs/>
          <w:color w:val="000000"/>
          <w:szCs w:val="21"/>
        </w:rPr>
        <w:t>36.</w:t>
      </w:r>
      <w:r>
        <w:rPr>
          <w:rFonts w:ascii="宋体" w:cs="宋体" w:hint="eastAsia"/>
          <w:b/>
          <w:bCs/>
          <w:color w:val="000000"/>
          <w:szCs w:val="21"/>
          <w:lang w:val="zh-CN"/>
        </w:rPr>
        <w:t>实地考察、演示或设备测试</w:t>
      </w:r>
    </w:p>
    <w:p>
      <w:pPr>
        <w:autoSpaceDE w:val="0"/>
        <w:autoSpaceDN w:val="0"/>
        <w:adjustRightInd w:val="0"/>
        <w:ind w:firstLine="420"/>
        <w:rPr>
          <w:color w:val="000000"/>
          <w:szCs w:val="21"/>
        </w:rPr>
      </w:pPr>
      <w:r>
        <w:rPr>
          <w:color w:val="000000"/>
          <w:szCs w:val="21"/>
        </w:rPr>
        <w:t>36.1</w:t>
      </w:r>
      <w:r>
        <w:rPr>
          <w:rFonts w:ascii="宋体" w:cs="宋体" w:hint="eastAsia"/>
          <w:color w:val="000000"/>
          <w:szCs w:val="21"/>
          <w:lang w:val="zh-CN"/>
        </w:rPr>
        <w:t>在招标过程中，评审委员会有权决定是否对本项目投标人进行现场勘察或实地考察或检验有关证明材料的原件。投标人应随时做好接受检查的准备。</w:t>
      </w:r>
    </w:p>
    <w:p>
      <w:pPr>
        <w:autoSpaceDE w:val="0"/>
        <w:autoSpaceDN w:val="0"/>
        <w:adjustRightInd w:val="0"/>
        <w:ind w:firstLine="420"/>
        <w:rPr>
          <w:color w:val="000000"/>
          <w:szCs w:val="21"/>
        </w:rPr>
      </w:pPr>
      <w:r>
        <w:rPr>
          <w:color w:val="000000"/>
          <w:szCs w:val="21"/>
        </w:rPr>
        <w:t>36.2</w:t>
      </w:r>
      <w:r>
        <w:rPr>
          <w:rFonts w:ascii="宋体" w:cs="宋体" w:hint="eastAsia"/>
          <w:color w:val="000000"/>
          <w:szCs w:val="21"/>
          <w:lang w:val="zh-CN"/>
        </w:rPr>
        <w:t>若招标文件要求进行现场演示或设备测试的，投标人应做好相应准备。</w:t>
      </w:r>
    </w:p>
    <w:p>
      <w:pPr>
        <w:autoSpaceDE w:val="0"/>
        <w:autoSpaceDN w:val="0"/>
        <w:adjustRightInd w:val="0"/>
        <w:ind w:firstLine="422"/>
        <w:rPr>
          <w:b/>
          <w:bCs/>
          <w:color w:val="000000"/>
          <w:szCs w:val="21"/>
        </w:rPr>
      </w:pPr>
      <w:r>
        <w:rPr>
          <w:b/>
          <w:bCs/>
          <w:color w:val="000000"/>
          <w:szCs w:val="21"/>
        </w:rPr>
        <w:t>37.</w:t>
      </w:r>
      <w:r>
        <w:rPr>
          <w:rFonts w:ascii="宋体" w:cs="宋体" w:hint="eastAsia"/>
          <w:b/>
          <w:bCs/>
          <w:color w:val="000000"/>
          <w:szCs w:val="21"/>
          <w:lang w:val="zh-CN"/>
        </w:rPr>
        <w:t>评标方法（本项目具体所采用的评标方法详见《关键信息》→《评标信息》）</w:t>
      </w:r>
    </w:p>
    <w:p>
      <w:pPr>
        <w:autoSpaceDE w:val="0"/>
        <w:autoSpaceDN w:val="0"/>
        <w:adjustRightInd w:val="0"/>
        <w:ind w:firstLine="420"/>
        <w:rPr>
          <w:color w:val="000000"/>
          <w:szCs w:val="21"/>
        </w:rPr>
      </w:pPr>
      <w:r>
        <w:rPr>
          <w:rFonts w:ascii="宋体" w:cs="宋体" w:hint="eastAsia"/>
          <w:color w:val="000000"/>
          <w:szCs w:val="21"/>
          <w:lang w:val="zh-CN"/>
        </w:rPr>
        <w:t>项目评标方法分为最低价法、综合评分法、定性评审法及法律、法规允许的其它评标办法。</w:t>
      </w:r>
    </w:p>
    <w:p>
      <w:pPr>
        <w:autoSpaceDE w:val="0"/>
        <w:autoSpaceDN w:val="0"/>
        <w:adjustRightInd w:val="0"/>
        <w:ind w:firstLine="420"/>
        <w:rPr>
          <w:color w:val="000000"/>
          <w:szCs w:val="21"/>
        </w:rPr>
      </w:pPr>
      <w:r>
        <w:rPr>
          <w:color w:val="000000"/>
          <w:szCs w:val="21"/>
        </w:rPr>
        <w:t>37.1</w:t>
      </w:r>
      <w:r>
        <w:rPr>
          <w:rFonts w:ascii="宋体" w:cs="宋体" w:hint="eastAsia"/>
          <w:color w:val="000000"/>
          <w:szCs w:val="21"/>
          <w:lang w:val="zh-CN"/>
        </w:rPr>
        <w:t>最低价法</w:t>
      </w:r>
    </w:p>
    <w:p>
      <w:pPr>
        <w:autoSpaceDE w:val="0"/>
        <w:autoSpaceDN w:val="0"/>
        <w:adjustRightInd w:val="0"/>
        <w:ind w:firstLine="420"/>
        <w:rPr>
          <w:color w:val="000000"/>
          <w:szCs w:val="21"/>
        </w:rPr>
      </w:pPr>
      <w:r>
        <w:rPr>
          <w:color w:val="000000"/>
          <w:szCs w:val="21"/>
        </w:rPr>
        <w:t>37.1.1</w:t>
      </w:r>
      <w:r>
        <w:rPr>
          <w:rFonts w:ascii="宋体" w:cs="宋体" w:hint="eastAsia"/>
          <w:color w:val="000000"/>
          <w:szCs w:val="21"/>
          <w:lang w:val="zh-CN"/>
        </w:rPr>
        <w:t>最低价法是指评审委员会按照以下方法对投标文件进行评审：完全满足招标文件的实质性要求，按照报价由低到高的顺序，依据招标文件中规定的数量或者比例推荐候选中标供应商。投标报价相同的，按技术指标优劣顺序排列；投标报价且技术指标相同的，则现场由采购人在开标现场随机抽取决定排名。（</w:t>
      </w:r>
      <w:r>
        <w:rPr>
          <w:rFonts w:ascii="宋体" w:cs="宋体" w:hint="eastAsia"/>
          <w:b/>
          <w:bCs/>
          <w:color w:val="000000"/>
          <w:szCs w:val="21"/>
          <w:lang w:val="zh-CN"/>
        </w:rPr>
        <w:t>随机抽取程序：</w:t>
      </w:r>
      <w:r>
        <w:rPr>
          <w:rFonts w:ascii="宋体" w:cs="宋体" w:hint="eastAsia"/>
          <w:color w:val="000000"/>
          <w:szCs w:val="21"/>
          <w:lang w:val="zh-CN"/>
        </w:rPr>
        <w:t>采购人代表从</w:t>
      </w:r>
      <w:r>
        <w:rPr>
          <w:color w:val="000000"/>
          <w:szCs w:val="21"/>
        </w:rPr>
        <w:t>01-50</w:t>
      </w:r>
      <w:r>
        <w:rPr>
          <w:rFonts w:ascii="宋体" w:cs="宋体" w:hint="eastAsia"/>
          <w:color w:val="000000"/>
          <w:szCs w:val="21"/>
          <w:lang w:val="zh-CN"/>
        </w:rPr>
        <w:t>号球中抽取一个球：抽到</w:t>
      </w:r>
      <w:r>
        <w:rPr>
          <w:color w:val="000000"/>
          <w:szCs w:val="21"/>
        </w:rPr>
        <w:t>01-25</w:t>
      </w:r>
      <w:r>
        <w:rPr>
          <w:rFonts w:ascii="宋体" w:cs="宋体" w:hint="eastAsia"/>
          <w:color w:val="000000"/>
          <w:szCs w:val="21"/>
          <w:lang w:val="zh-CN"/>
        </w:rPr>
        <w:t>号范围内的球，本项目由号码最小的投标人获得有利排名；抽到</w:t>
      </w:r>
      <w:r>
        <w:rPr>
          <w:color w:val="000000"/>
          <w:szCs w:val="21"/>
        </w:rPr>
        <w:t>26-50</w:t>
      </w:r>
      <w:r>
        <w:rPr>
          <w:rFonts w:ascii="宋体" w:cs="宋体" w:hint="eastAsia"/>
          <w:color w:val="000000"/>
          <w:szCs w:val="21"/>
          <w:lang w:val="zh-CN"/>
        </w:rPr>
        <w:t>号范围内的球，本项目由号码最大的投标人有利排名。各投标人按照投标时间依次抽签，如最大（小）出现两家或以上投标人同号的情况，则对同号的投标人重新摇签确定获得有利排名的投标人。抽签过程中遇抽签机器卡球的，被卡球当轮重新抽签。）</w:t>
      </w:r>
    </w:p>
    <w:p>
      <w:pPr>
        <w:autoSpaceDE w:val="0"/>
        <w:autoSpaceDN w:val="0"/>
        <w:adjustRightInd w:val="0"/>
        <w:ind w:firstLine="420"/>
        <w:rPr>
          <w:color w:val="000000"/>
          <w:szCs w:val="21"/>
        </w:rPr>
      </w:pPr>
      <w:r>
        <w:rPr>
          <w:color w:val="000000"/>
          <w:szCs w:val="21"/>
        </w:rPr>
        <w:t>37.2</w:t>
      </w:r>
      <w:r>
        <w:rPr>
          <w:rFonts w:ascii="宋体" w:cs="宋体" w:hint="eastAsia"/>
          <w:color w:val="000000"/>
          <w:szCs w:val="21"/>
          <w:lang w:val="zh-CN"/>
        </w:rPr>
        <w:t>综合评分法</w:t>
      </w:r>
    </w:p>
    <w:p>
      <w:pPr>
        <w:autoSpaceDE w:val="0"/>
        <w:autoSpaceDN w:val="0"/>
        <w:adjustRightInd w:val="0"/>
        <w:ind w:firstLine="420"/>
        <w:rPr>
          <w:color w:val="000000"/>
          <w:szCs w:val="21"/>
        </w:rPr>
      </w:pPr>
      <w:r>
        <w:rPr>
          <w:color w:val="000000"/>
          <w:szCs w:val="21"/>
        </w:rPr>
        <w:t>37.2.1</w:t>
      </w:r>
      <w:r>
        <w:rPr>
          <w:rFonts w:ascii="宋体" w:cs="宋体" w:hint="eastAsia"/>
          <w:color w:val="000000"/>
          <w:szCs w:val="21"/>
          <w:lang w:val="zh-CN"/>
        </w:rPr>
        <w:t>综合评分法，是指在最大限度满足招标文件实质性要求前提下，按照招标文件规定的各项因素进行量化打分，以评标总得分最高的投标供应商作为中标候选供应商。得分相同的，按投标报价由低到高排列，报价最低者为中标候选供应商。投标报价相同的，按技术指标优劣顺序排列，技术得分且投标报价相同的，则现场由采购人在开标现场抽签决定排名。（</w:t>
      </w:r>
      <w:r>
        <w:rPr>
          <w:rFonts w:ascii="宋体" w:cs="宋体" w:hint="eastAsia"/>
          <w:b/>
          <w:bCs/>
          <w:color w:val="000000"/>
          <w:szCs w:val="21"/>
          <w:lang w:val="zh-CN"/>
        </w:rPr>
        <w:t>随机抽取程序：</w:t>
      </w:r>
      <w:r>
        <w:rPr>
          <w:rFonts w:ascii="宋体" w:cs="宋体" w:hint="eastAsia"/>
          <w:color w:val="000000"/>
          <w:szCs w:val="21"/>
          <w:lang w:val="zh-CN"/>
        </w:rPr>
        <w:t>采购人代表从</w:t>
      </w:r>
      <w:r>
        <w:rPr>
          <w:color w:val="000000"/>
          <w:szCs w:val="21"/>
        </w:rPr>
        <w:t>01-50</w:t>
      </w:r>
      <w:r>
        <w:rPr>
          <w:rFonts w:ascii="宋体" w:cs="宋体" w:hint="eastAsia"/>
          <w:color w:val="000000"/>
          <w:szCs w:val="21"/>
          <w:lang w:val="zh-CN"/>
        </w:rPr>
        <w:t>号球中抽取一个球：抽到</w:t>
      </w:r>
      <w:r>
        <w:rPr>
          <w:color w:val="000000"/>
          <w:szCs w:val="21"/>
        </w:rPr>
        <w:t>01-25</w:t>
      </w:r>
      <w:r>
        <w:rPr>
          <w:rFonts w:ascii="宋体" w:cs="宋体" w:hint="eastAsia"/>
          <w:color w:val="000000"/>
          <w:szCs w:val="21"/>
          <w:lang w:val="zh-CN"/>
        </w:rPr>
        <w:t>号范围内的球，本项目由号码最小的投标人获得有利排名；抽到</w:t>
      </w:r>
      <w:r>
        <w:rPr>
          <w:color w:val="000000"/>
          <w:szCs w:val="21"/>
        </w:rPr>
        <w:t>26-50</w:t>
      </w:r>
      <w:r>
        <w:rPr>
          <w:rFonts w:ascii="宋体" w:cs="宋体" w:hint="eastAsia"/>
          <w:color w:val="000000"/>
          <w:szCs w:val="21"/>
          <w:lang w:val="zh-CN"/>
        </w:rPr>
        <w:t>号范围内的球，本项目由号码最大的投标人有利排名。各投标人按照投标时间依次抽签，如最大（小）出现两家或以上投标人同号的情况，则对同号的投标人重新摇签确定获得有利排名的投标人。抽签过程中遇抽签机器卡球的，被卡球当轮重新抽签。）</w:t>
      </w:r>
    </w:p>
    <w:p>
      <w:pPr>
        <w:autoSpaceDE w:val="0"/>
        <w:autoSpaceDN w:val="0"/>
        <w:adjustRightInd w:val="0"/>
        <w:ind w:firstLine="420"/>
        <w:rPr>
          <w:color w:val="000000"/>
          <w:szCs w:val="21"/>
        </w:rPr>
      </w:pPr>
      <w:r>
        <w:rPr>
          <w:color w:val="000000"/>
          <w:szCs w:val="21"/>
        </w:rPr>
        <w:t>37.3</w:t>
      </w:r>
      <w:r>
        <w:rPr>
          <w:rFonts w:ascii="宋体" w:cs="宋体" w:hint="eastAsia"/>
          <w:color w:val="000000"/>
          <w:szCs w:val="21"/>
          <w:lang w:val="zh-CN"/>
        </w:rPr>
        <w:t>定性评审法</w:t>
      </w:r>
    </w:p>
    <w:p>
      <w:pPr>
        <w:autoSpaceDE w:val="0"/>
        <w:autoSpaceDN w:val="0"/>
        <w:adjustRightInd w:val="0"/>
        <w:ind w:firstLine="420"/>
        <w:rPr>
          <w:color w:val="000000"/>
          <w:szCs w:val="21"/>
        </w:rPr>
      </w:pPr>
      <w:r>
        <w:rPr>
          <w:rFonts w:ascii="宋体" w:cs="宋体" w:hint="eastAsia"/>
          <w:color w:val="000000"/>
          <w:szCs w:val="21"/>
          <w:lang w:val="zh-CN"/>
        </w:rPr>
        <w:t>定性评审法是指评审委员会按照以下方法对投标文件进行评审：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废标或无效标的投标人，均推荐为候选中标供应商。</w:t>
      </w:r>
    </w:p>
    <w:p>
      <w:pPr>
        <w:autoSpaceDE w:val="0"/>
        <w:autoSpaceDN w:val="0"/>
        <w:adjustRightInd w:val="0"/>
        <w:ind w:firstLine="420"/>
        <w:rPr>
          <w:color w:val="000000"/>
          <w:szCs w:val="21"/>
        </w:rPr>
      </w:pPr>
      <w:r>
        <w:rPr>
          <w:color w:val="000000"/>
          <w:szCs w:val="21"/>
        </w:rPr>
        <w:t xml:space="preserve">37.4 </w:t>
      </w:r>
      <w:r>
        <w:rPr>
          <w:rFonts w:ascii="宋体" w:cs="宋体" w:hint="eastAsia"/>
          <w:color w:val="000000"/>
          <w:szCs w:val="21"/>
          <w:lang w:val="zh-CN"/>
        </w:rPr>
        <w:t>本项目采用的评标方法见本项目招标文件专用条款的相关内容。</w:t>
      </w:r>
    </w:p>
    <w:p>
      <w:pPr>
        <w:autoSpaceDE w:val="0"/>
        <w:autoSpaceDN w:val="0"/>
        <w:adjustRightInd w:val="0"/>
        <w:ind w:firstLine="422"/>
        <w:rPr>
          <w:b/>
          <w:bCs/>
          <w:color w:val="000000"/>
          <w:szCs w:val="21"/>
        </w:rPr>
      </w:pPr>
      <w:r>
        <w:rPr>
          <w:b/>
          <w:bCs/>
          <w:color w:val="000000"/>
          <w:szCs w:val="21"/>
        </w:rPr>
        <w:t>37.5</w:t>
      </w:r>
      <w:r>
        <w:rPr>
          <w:rFonts w:ascii="宋体" w:cs="宋体" w:hint="eastAsia"/>
          <w:b/>
          <w:bCs/>
          <w:color w:val="000000"/>
          <w:szCs w:val="21"/>
          <w:lang w:val="zh-CN"/>
        </w:rPr>
        <w:t>其它采购方式的采购程序</w:t>
      </w:r>
    </w:p>
    <w:p>
      <w:pPr>
        <w:autoSpaceDE w:val="0"/>
        <w:autoSpaceDN w:val="0"/>
        <w:adjustRightInd w:val="0"/>
        <w:ind w:firstLine="420"/>
        <w:rPr>
          <w:color w:val="000000"/>
          <w:szCs w:val="21"/>
        </w:rPr>
      </w:pPr>
      <w:r>
        <w:rPr>
          <w:color w:val="000000"/>
          <w:szCs w:val="21"/>
        </w:rPr>
        <w:t xml:space="preserve">37.5.1  </w:t>
      </w:r>
      <w:r>
        <w:rPr>
          <w:rFonts w:ascii="宋体" w:cs="宋体" w:hint="eastAsia"/>
          <w:color w:val="000000"/>
          <w:szCs w:val="21"/>
          <w:lang w:val="zh-CN"/>
        </w:rPr>
        <w:t>同一包号需多个供应商中标的情形</w:t>
      </w:r>
    </w:p>
    <w:p>
      <w:pPr>
        <w:autoSpaceDE w:val="0"/>
        <w:autoSpaceDN w:val="0"/>
        <w:adjustRightInd w:val="0"/>
        <w:ind w:firstLine="420"/>
        <w:rPr>
          <w:color w:val="000000"/>
          <w:szCs w:val="21"/>
        </w:rPr>
      </w:pPr>
      <w:r>
        <w:rPr>
          <w:rFonts w:ascii="宋体" w:cs="宋体" w:hint="eastAsia"/>
          <w:color w:val="000000"/>
          <w:szCs w:val="21"/>
          <w:lang w:val="zh-CN"/>
        </w:rPr>
        <w:t>同一包号需多个中标供应商的，应在《专用条款》中作特别说明。评审委员会根据评标方法评审的结果从优到劣进行排序，并按招标文件规定的中标供应商数量择优推荐或确定中标供应商。</w:t>
      </w:r>
    </w:p>
    <w:p>
      <w:pPr>
        <w:autoSpaceDE w:val="0"/>
        <w:autoSpaceDN w:val="0"/>
        <w:adjustRightInd w:val="0"/>
        <w:ind w:firstLine="420"/>
        <w:rPr>
          <w:color w:val="000000"/>
          <w:szCs w:val="21"/>
        </w:rPr>
      </w:pPr>
      <w:r>
        <w:rPr>
          <w:color w:val="000000"/>
          <w:szCs w:val="21"/>
        </w:rPr>
        <w:t xml:space="preserve">37.5.2 </w:t>
      </w:r>
      <w:r>
        <w:rPr>
          <w:rFonts w:ascii="宋体" w:cs="宋体" w:hint="eastAsia"/>
          <w:color w:val="000000"/>
          <w:szCs w:val="21"/>
          <w:lang w:val="zh-CN"/>
        </w:rPr>
        <w:t>其它评标方法</w:t>
      </w:r>
    </w:p>
    <w:p>
      <w:pPr>
        <w:autoSpaceDE w:val="0"/>
        <w:autoSpaceDN w:val="0"/>
        <w:adjustRightInd w:val="0"/>
        <w:ind w:firstLine="420"/>
        <w:rPr>
          <w:color w:val="000000"/>
          <w:szCs w:val="21"/>
        </w:rPr>
      </w:pPr>
      <w:r>
        <w:rPr>
          <w:rFonts w:ascii="宋体" w:cs="宋体" w:hint="eastAsia"/>
          <w:color w:val="000000"/>
          <w:szCs w:val="21"/>
          <w:lang w:val="zh-CN"/>
        </w:rPr>
        <w:t>采用上述评标方法以外的评标定标方法的，必须事先征得政府采购主管部门的批准，并在招标文件作特别说明。</w:t>
      </w:r>
    </w:p>
    <w:p>
      <w:pPr>
        <w:autoSpaceDE w:val="0"/>
        <w:autoSpaceDN w:val="0"/>
        <w:adjustRightInd w:val="0"/>
        <w:ind w:firstLine="422"/>
        <w:rPr>
          <w:b/>
          <w:bCs/>
          <w:color w:val="000000"/>
          <w:szCs w:val="21"/>
        </w:rPr>
      </w:pPr>
      <w:r>
        <w:rPr>
          <w:b/>
          <w:bCs/>
          <w:color w:val="000000"/>
          <w:szCs w:val="21"/>
        </w:rPr>
        <w:t>38</w:t>
      </w:r>
      <w:r>
        <w:rPr>
          <w:rFonts w:ascii="宋体" w:cs="宋体" w:hint="eastAsia"/>
          <w:b/>
          <w:bCs/>
          <w:color w:val="000000"/>
          <w:szCs w:val="21"/>
          <w:lang w:val="zh-CN"/>
        </w:rPr>
        <w:t>资格后审</w:t>
      </w:r>
    </w:p>
    <w:p>
      <w:pPr>
        <w:autoSpaceDE w:val="0"/>
        <w:autoSpaceDN w:val="0"/>
        <w:adjustRightInd w:val="0"/>
        <w:ind w:firstLine="420"/>
        <w:rPr>
          <w:color w:val="000000"/>
          <w:szCs w:val="21"/>
        </w:rPr>
      </w:pPr>
      <w:r>
        <w:rPr>
          <w:color w:val="000000"/>
          <w:szCs w:val="21"/>
        </w:rPr>
        <w:t xml:space="preserve">38.1 </w:t>
      </w:r>
      <w:r>
        <w:rPr>
          <w:rFonts w:ascii="宋体" w:cs="宋体" w:hint="eastAsia"/>
          <w:color w:val="000000"/>
          <w:szCs w:val="21"/>
          <w:lang w:val="zh-CN"/>
        </w:rPr>
        <w:t>评审委员会保留审查中标供应商投标文件响应及承诺是否与实际一致的权利，包括对中标供应商投标的真实可靠性、规模、人员、场地、货物等方面的核实或现场考察。如发现虚假投标或弄虚作假的，评审委员会将根据相关法律法规确定最终结果。</w:t>
      </w:r>
    </w:p>
    <w:p>
      <w:pPr>
        <w:pStyle w:val="Heading2"/>
        <w:rPr>
          <w:color w:val="000000"/>
          <w:sz w:val="28"/>
          <w:szCs w:val="28"/>
          <w:lang w:val="zh-CN"/>
        </w:rPr>
      </w:pPr>
      <w:r>
        <w:rPr>
          <w:rFonts w:hint="eastAsia"/>
          <w:color w:val="000000"/>
          <w:sz w:val="28"/>
          <w:szCs w:val="28"/>
          <w:lang w:val="zh-CN"/>
        </w:rPr>
        <w:t>第六章定标及公示</w:t>
      </w:r>
    </w:p>
    <w:p>
      <w:pPr>
        <w:autoSpaceDE w:val="0"/>
        <w:autoSpaceDN w:val="0"/>
        <w:adjustRightInd w:val="0"/>
        <w:ind w:firstLine="422"/>
        <w:rPr>
          <w:b/>
          <w:bCs/>
          <w:color w:val="000000"/>
          <w:szCs w:val="21"/>
        </w:rPr>
      </w:pPr>
      <w:r>
        <w:rPr>
          <w:b/>
          <w:bCs/>
          <w:color w:val="000000"/>
          <w:szCs w:val="21"/>
        </w:rPr>
        <w:t>39</w:t>
      </w:r>
      <w:r>
        <w:rPr>
          <w:rFonts w:ascii="宋体" w:cs="宋体" w:hint="eastAsia"/>
          <w:b/>
          <w:bCs/>
          <w:color w:val="000000"/>
          <w:szCs w:val="21"/>
          <w:lang w:val="zh-CN"/>
        </w:rPr>
        <w:t>．定标方法</w:t>
      </w:r>
    </w:p>
    <w:p>
      <w:pPr>
        <w:autoSpaceDE w:val="0"/>
        <w:autoSpaceDN w:val="0"/>
        <w:adjustRightInd w:val="0"/>
        <w:ind w:firstLine="420"/>
        <w:rPr>
          <w:color w:val="000000"/>
          <w:szCs w:val="21"/>
        </w:rPr>
      </w:pPr>
      <w:r>
        <w:rPr>
          <w:color w:val="000000"/>
          <w:szCs w:val="21"/>
        </w:rPr>
        <w:t>39.1</w:t>
      </w:r>
      <w:r>
        <w:rPr>
          <w:rFonts w:ascii="宋体" w:cs="宋体" w:hint="eastAsia"/>
          <w:color w:val="000000"/>
          <w:szCs w:val="21"/>
          <w:lang w:val="zh-CN"/>
        </w:rPr>
        <w:t>非评定分离项目定标方法</w:t>
      </w:r>
    </w:p>
    <w:p>
      <w:pPr>
        <w:autoSpaceDE w:val="0"/>
        <w:autoSpaceDN w:val="0"/>
        <w:adjustRightInd w:val="0"/>
        <w:ind w:firstLine="420"/>
        <w:rPr>
          <w:color w:val="000000"/>
          <w:szCs w:val="21"/>
        </w:rPr>
      </w:pPr>
      <w:r>
        <w:rPr>
          <w:rFonts w:ascii="宋体" w:cs="宋体" w:hint="eastAsia"/>
          <w:color w:val="000000"/>
          <w:szCs w:val="21"/>
          <w:lang w:val="zh-CN"/>
        </w:rPr>
        <w:t>采购人授权评标委员会确定中标供应商的，评审委员会依据本项目招标文件所约定的评标方法及通用条款</w:t>
      </w:r>
      <w:r>
        <w:rPr>
          <w:color w:val="000000"/>
          <w:szCs w:val="21"/>
        </w:rPr>
        <w:t>37</w:t>
      </w:r>
      <w:r>
        <w:rPr>
          <w:rFonts w:ascii="宋体" w:cs="宋体" w:hint="eastAsia"/>
          <w:color w:val="000000"/>
          <w:szCs w:val="21"/>
          <w:lang w:val="zh-CN"/>
        </w:rPr>
        <w:t>条进行评审和比较，向代理机构提交书面评标报告，并根据评标方法比较评价结果从优到劣进行排序，确定中标供应商；</w:t>
      </w:r>
    </w:p>
    <w:p>
      <w:pPr>
        <w:autoSpaceDE w:val="0"/>
        <w:autoSpaceDN w:val="0"/>
        <w:adjustRightInd w:val="0"/>
        <w:ind w:firstLine="420"/>
        <w:rPr>
          <w:color w:val="000000"/>
          <w:szCs w:val="21"/>
        </w:rPr>
      </w:pPr>
      <w:r>
        <w:rPr>
          <w:color w:val="000000"/>
          <w:szCs w:val="21"/>
        </w:rPr>
        <w:t>39.2</w:t>
      </w:r>
      <w:r>
        <w:rPr>
          <w:rFonts w:ascii="宋体" w:cs="宋体" w:hint="eastAsia"/>
          <w:color w:val="000000"/>
          <w:szCs w:val="21"/>
          <w:lang w:val="zh-CN"/>
        </w:rPr>
        <w:t>评定分离项目定标方法</w:t>
      </w:r>
    </w:p>
    <w:p>
      <w:pPr>
        <w:autoSpaceDE w:val="0"/>
        <w:autoSpaceDN w:val="0"/>
        <w:adjustRightInd w:val="0"/>
        <w:ind w:firstLine="420"/>
        <w:rPr>
          <w:strike/>
          <w:color w:val="000000"/>
          <w:szCs w:val="21"/>
        </w:rPr>
      </w:pPr>
      <w:r>
        <w:rPr>
          <w:color w:val="000000"/>
          <w:szCs w:val="21"/>
        </w:rPr>
        <w:t>39.2.1</w:t>
      </w:r>
      <w:r>
        <w:rPr>
          <w:rFonts w:ascii="宋体" w:cs="宋体" w:hint="eastAsia"/>
          <w:color w:val="000000"/>
          <w:szCs w:val="21"/>
          <w:lang w:val="zh-CN"/>
        </w:rPr>
        <w:t>采购人采用评定分离方法确定中标供应商的，评审委员会按照本项目招标文件所约定的评标方法及通用条款</w:t>
      </w:r>
      <w:r>
        <w:rPr>
          <w:color w:val="000000"/>
          <w:szCs w:val="21"/>
        </w:rPr>
        <w:t>37</w:t>
      </w:r>
      <w:r>
        <w:rPr>
          <w:rFonts w:ascii="宋体" w:cs="宋体" w:hint="eastAsia"/>
          <w:color w:val="000000"/>
          <w:szCs w:val="21"/>
          <w:lang w:val="zh-CN"/>
        </w:rPr>
        <w:t>条对投标文件进行评审、推荐候选中标供应商并出具书面评审报告，由采购人根据评审委员会出具的评审报告和推荐的候选中标供应商确定中标供应商。具体所采用的评标方法和定标方法（定标规则）详见招标文件专用条款的内容。</w:t>
      </w:r>
    </w:p>
    <w:p>
      <w:pPr>
        <w:autoSpaceDE w:val="0"/>
        <w:autoSpaceDN w:val="0"/>
        <w:adjustRightInd w:val="0"/>
        <w:ind w:firstLine="420"/>
        <w:rPr>
          <w:color w:val="000000"/>
          <w:szCs w:val="21"/>
          <w:highlight w:val="yellow"/>
        </w:rPr>
      </w:pPr>
      <w:r>
        <w:rPr>
          <w:color w:val="000000"/>
          <w:szCs w:val="21"/>
        </w:rPr>
        <w:t>39.2.2</w:t>
      </w:r>
      <w:r>
        <w:rPr>
          <w:rFonts w:ascii="宋体" w:cs="宋体" w:hint="eastAsia"/>
          <w:color w:val="000000"/>
          <w:szCs w:val="21"/>
          <w:lang w:val="zh-CN"/>
        </w:rPr>
        <w:t>适用评定分离的政府采购项目，按《深圳市政府采购评标定标分离管理办法》深财规〔</w:t>
      </w:r>
      <w:r>
        <w:rPr>
          <w:rFonts w:ascii="宋体" w:cs="宋体"/>
          <w:color w:val="000000"/>
          <w:szCs w:val="21"/>
          <w:lang w:val="zh-CN"/>
        </w:rPr>
        <w:t>2020</w:t>
      </w:r>
      <w:r>
        <w:rPr>
          <w:rFonts w:ascii="宋体" w:cs="宋体" w:hint="eastAsia"/>
          <w:color w:val="000000"/>
          <w:szCs w:val="21"/>
          <w:lang w:val="zh-CN"/>
        </w:rPr>
        <w:t>〕</w:t>
      </w:r>
      <w:r>
        <w:rPr>
          <w:rFonts w:ascii="宋体" w:cs="宋体"/>
          <w:color w:val="000000"/>
          <w:szCs w:val="21"/>
          <w:lang w:val="zh-CN"/>
        </w:rPr>
        <w:t>1</w:t>
      </w:r>
      <w:r>
        <w:rPr>
          <w:rFonts w:ascii="宋体" w:cs="宋体" w:hint="eastAsia"/>
          <w:color w:val="000000"/>
          <w:szCs w:val="21"/>
          <w:lang w:val="zh-CN"/>
        </w:rPr>
        <w:t>号有关规定执行。</w:t>
      </w:r>
    </w:p>
    <w:p>
      <w:pPr>
        <w:autoSpaceDE w:val="0"/>
        <w:autoSpaceDN w:val="0"/>
        <w:adjustRightInd w:val="0"/>
        <w:ind w:firstLine="422"/>
        <w:rPr>
          <w:b/>
          <w:bCs/>
          <w:color w:val="000000"/>
          <w:szCs w:val="21"/>
        </w:rPr>
      </w:pPr>
      <w:r>
        <w:rPr>
          <w:b/>
          <w:bCs/>
          <w:color w:val="000000"/>
          <w:szCs w:val="21"/>
        </w:rPr>
        <w:t>40</w:t>
      </w:r>
      <w:r>
        <w:rPr>
          <w:rFonts w:ascii="宋体" w:cs="宋体" w:hint="eastAsia"/>
          <w:b/>
          <w:bCs/>
          <w:color w:val="000000"/>
          <w:szCs w:val="21"/>
          <w:lang w:val="zh-CN"/>
        </w:rPr>
        <w:t>．编写评标报告</w:t>
      </w:r>
    </w:p>
    <w:p>
      <w:pPr>
        <w:autoSpaceDE w:val="0"/>
        <w:autoSpaceDN w:val="0"/>
        <w:adjustRightInd w:val="0"/>
        <w:ind w:firstLine="420"/>
        <w:rPr>
          <w:color w:val="000000"/>
          <w:szCs w:val="21"/>
        </w:rPr>
      </w:pPr>
      <w:r>
        <w:rPr>
          <w:rFonts w:ascii="宋体" w:cs="宋体" w:hint="eastAsia"/>
          <w:color w:val="000000"/>
          <w:szCs w:val="21"/>
          <w:lang w:val="zh-CN"/>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在案。</w:t>
      </w:r>
    </w:p>
    <w:p>
      <w:pPr>
        <w:autoSpaceDE w:val="0"/>
        <w:autoSpaceDN w:val="0"/>
        <w:adjustRightInd w:val="0"/>
        <w:ind w:firstLine="422"/>
        <w:rPr>
          <w:b/>
          <w:bCs/>
          <w:color w:val="000000"/>
          <w:szCs w:val="21"/>
        </w:rPr>
      </w:pPr>
      <w:r>
        <w:rPr>
          <w:b/>
          <w:bCs/>
          <w:color w:val="000000"/>
          <w:szCs w:val="21"/>
        </w:rPr>
        <w:t xml:space="preserve">41. </w:t>
      </w:r>
      <w:r>
        <w:rPr>
          <w:rFonts w:ascii="宋体" w:cs="宋体" w:hint="eastAsia"/>
          <w:b/>
          <w:bCs/>
          <w:color w:val="000000"/>
          <w:szCs w:val="21"/>
          <w:lang w:val="zh-CN"/>
        </w:rPr>
        <w:t>中标结果公示</w:t>
      </w:r>
    </w:p>
    <w:p>
      <w:pPr>
        <w:autoSpaceDE w:val="0"/>
        <w:autoSpaceDN w:val="0"/>
        <w:adjustRightInd w:val="0"/>
        <w:ind w:firstLine="420"/>
        <w:rPr>
          <w:color w:val="000000"/>
          <w:szCs w:val="21"/>
        </w:rPr>
      </w:pPr>
      <w:r>
        <w:rPr>
          <w:color w:val="000000"/>
          <w:szCs w:val="21"/>
        </w:rPr>
        <w:t>41.1</w:t>
      </w:r>
      <w:r>
        <w:rPr>
          <w:rFonts w:ascii="宋体" w:cs="宋体" w:hint="eastAsia"/>
          <w:color w:val="000000"/>
          <w:szCs w:val="21"/>
          <w:lang w:val="zh-CN"/>
        </w:rPr>
        <w:t>评标定标结束后，代理机构和招标人将在</w:t>
      </w:r>
      <w:r>
        <w:rPr>
          <w:rFonts w:ascii="宋体" w:cs="宋体"/>
          <w:color w:val="000000"/>
          <w:szCs w:val="21"/>
          <w:lang w:val="zh-CN"/>
        </w:rPr>
        <w:t>“</w:t>
      </w:r>
      <w:r>
        <w:rPr>
          <w:rFonts w:ascii="宋体" w:cs="宋体" w:hint="eastAsia"/>
          <w:color w:val="000000"/>
          <w:szCs w:val="21"/>
          <w:lang w:val="zh-CN"/>
        </w:rPr>
        <w:t>深圳市光明区公共资源交易中心</w:t>
      </w:r>
      <w:r>
        <w:rPr>
          <w:rFonts w:ascii="宋体" w:cs="宋体"/>
          <w:color w:val="000000"/>
          <w:szCs w:val="21"/>
          <w:lang w:val="zh-CN"/>
        </w:rPr>
        <w:t>”</w:t>
      </w:r>
      <w:r>
        <w:rPr>
          <w:rFonts w:ascii="宋体" w:cs="宋体" w:hint="eastAsia"/>
          <w:color w:val="000000"/>
          <w:szCs w:val="21"/>
          <w:lang w:val="zh-CN"/>
        </w:rPr>
        <w:t>（</w:t>
      </w:r>
      <w:r>
        <w:rPr>
          <w:color w:val="000000"/>
          <w:szCs w:val="21"/>
        </w:rPr>
        <w:t>gm.szzfcg.cn</w:t>
      </w:r>
      <w:r>
        <w:rPr>
          <w:rFonts w:ascii="宋体" w:cs="宋体" w:hint="eastAsia"/>
          <w:color w:val="000000"/>
          <w:szCs w:val="21"/>
          <w:lang w:val="zh-CN"/>
        </w:rPr>
        <w:t>）上公布中标结果，公示期为三天。若投标人对中标结果有异议，投标人可以用书面形式向深圳市德顺项目咨询有限公司提出书面质疑，若中标结果公示之日起七个工作日内未提出质疑，则视为认同中标结果。</w:t>
      </w:r>
    </w:p>
    <w:p>
      <w:pPr>
        <w:autoSpaceDE w:val="0"/>
        <w:autoSpaceDN w:val="0"/>
        <w:adjustRightInd w:val="0"/>
        <w:ind w:firstLine="420"/>
        <w:rPr>
          <w:color w:val="000000"/>
          <w:szCs w:val="21"/>
        </w:rPr>
      </w:pPr>
      <w:r>
        <w:rPr>
          <w:color w:val="000000"/>
          <w:szCs w:val="21"/>
        </w:rPr>
        <w:t>41.2</w:t>
      </w:r>
      <w:r>
        <w:rPr>
          <w:rFonts w:ascii="宋体" w:cs="宋体" w:hint="eastAsia"/>
          <w:color w:val="000000"/>
          <w:szCs w:val="21"/>
          <w:lang w:val="zh-CN"/>
        </w:rPr>
        <w:t>提出质疑的供应商应保证其质疑的真实性和可靠性，并承担相应的法律责任。</w:t>
      </w:r>
    </w:p>
    <w:p>
      <w:pPr>
        <w:pStyle w:val="Heading2"/>
        <w:rPr>
          <w:color w:val="000000"/>
          <w:sz w:val="28"/>
          <w:szCs w:val="28"/>
          <w:lang w:val="zh-CN"/>
        </w:rPr>
      </w:pPr>
      <w:r>
        <w:rPr>
          <w:rFonts w:hint="eastAsia"/>
          <w:color w:val="000000"/>
          <w:sz w:val="28"/>
          <w:szCs w:val="28"/>
          <w:lang w:val="zh-CN"/>
        </w:rPr>
        <w:t>第七章公开招标失败的后续处理</w:t>
      </w:r>
    </w:p>
    <w:p>
      <w:pPr>
        <w:autoSpaceDE w:val="0"/>
        <w:autoSpaceDN w:val="0"/>
        <w:adjustRightInd w:val="0"/>
        <w:ind w:firstLine="422"/>
        <w:rPr>
          <w:b/>
          <w:bCs/>
          <w:color w:val="000000"/>
          <w:szCs w:val="21"/>
        </w:rPr>
      </w:pPr>
      <w:r>
        <w:rPr>
          <w:b/>
          <w:bCs/>
          <w:color w:val="000000"/>
          <w:szCs w:val="21"/>
        </w:rPr>
        <w:t>42</w:t>
      </w:r>
      <w:r>
        <w:rPr>
          <w:rFonts w:ascii="宋体" w:cs="宋体" w:hint="eastAsia"/>
          <w:b/>
          <w:bCs/>
          <w:color w:val="000000"/>
          <w:szCs w:val="21"/>
          <w:lang w:val="zh-CN"/>
        </w:rPr>
        <w:t>．公开招标失败的处理</w:t>
      </w:r>
    </w:p>
    <w:p>
      <w:pPr>
        <w:autoSpaceDE w:val="0"/>
        <w:autoSpaceDN w:val="0"/>
        <w:adjustRightInd w:val="0"/>
        <w:ind w:firstLine="420"/>
        <w:rPr>
          <w:color w:val="000000"/>
          <w:szCs w:val="21"/>
        </w:rPr>
      </w:pPr>
      <w:r>
        <w:rPr>
          <w:color w:val="000000"/>
          <w:szCs w:val="21"/>
        </w:rPr>
        <w:t>42.1</w:t>
      </w:r>
      <w:r>
        <w:rPr>
          <w:rFonts w:ascii="宋体" w:cs="宋体" w:hint="eastAsia"/>
          <w:color w:val="000000"/>
          <w:szCs w:val="21"/>
          <w:lang w:val="zh-CN"/>
        </w:rPr>
        <w:t>本项目公开招标过程中若由于投标截止后实际递交投标文件的供应商数量不足、经评审委员会评审对招标文件作实质响应的供应商不足等原因造成公开招标失败，可由代理机构重新组织采购。</w:t>
      </w:r>
    </w:p>
    <w:p>
      <w:pPr>
        <w:autoSpaceDE w:val="0"/>
        <w:autoSpaceDN w:val="0"/>
        <w:adjustRightInd w:val="0"/>
        <w:ind w:firstLine="420"/>
        <w:rPr>
          <w:color w:val="000000"/>
          <w:szCs w:val="21"/>
        </w:rPr>
      </w:pPr>
      <w:r>
        <w:rPr>
          <w:color w:val="000000"/>
          <w:szCs w:val="21"/>
        </w:rPr>
        <w:t xml:space="preserve">42.2 </w:t>
      </w:r>
      <w:r>
        <w:rPr>
          <w:rFonts w:ascii="宋体" w:cs="宋体" w:hint="eastAsia"/>
          <w:color w:val="000000"/>
          <w:szCs w:val="21"/>
          <w:lang w:val="zh-CN"/>
        </w:rPr>
        <w:t>对公开招标失败的项目，评审委员会在出具该项目招标失败结论的同时，提出重新采购组织形式的建议，以及进一步完善招标文件的资格、技术、商务要求的修改建议。</w:t>
      </w:r>
    </w:p>
    <w:p>
      <w:pPr>
        <w:autoSpaceDE w:val="0"/>
        <w:autoSpaceDN w:val="0"/>
        <w:adjustRightInd w:val="0"/>
        <w:ind w:firstLine="420"/>
        <w:rPr>
          <w:color w:val="000000"/>
          <w:szCs w:val="21"/>
        </w:rPr>
      </w:pPr>
      <w:r>
        <w:rPr>
          <w:color w:val="000000"/>
          <w:szCs w:val="21"/>
        </w:rPr>
        <w:t>42.3</w:t>
      </w:r>
      <w:r>
        <w:rPr>
          <w:rFonts w:ascii="宋体" w:cs="宋体" w:hint="eastAsia"/>
          <w:color w:val="000000"/>
          <w:szCs w:val="21"/>
          <w:lang w:val="zh-CN"/>
        </w:rPr>
        <w:t>重新组织采购有以下两种组织形式：</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1</w:t>
      </w:r>
      <w:r>
        <w:rPr>
          <w:rFonts w:ascii="宋体" w:cs="宋体" w:hint="eastAsia"/>
          <w:color w:val="000000"/>
          <w:szCs w:val="21"/>
          <w:lang w:val="zh-CN"/>
        </w:rPr>
        <w:t>）由代理机构重新组织公开招标；</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2</w:t>
      </w:r>
      <w:r>
        <w:rPr>
          <w:rFonts w:ascii="宋体" w:cs="宋体" w:hint="eastAsia"/>
          <w:color w:val="000000"/>
          <w:szCs w:val="21"/>
          <w:lang w:val="zh-CN"/>
        </w:rPr>
        <w:t>）根据实际情况需要向政府采购监督管理部门提出非公开招标方式申请，经政府采购监督管理部门批准公开招标失败采购项目可转为竞争性谈判或单一来源谈判方式采购。</w:t>
      </w:r>
    </w:p>
    <w:p>
      <w:pPr>
        <w:autoSpaceDE w:val="0"/>
        <w:autoSpaceDN w:val="0"/>
        <w:adjustRightInd w:val="0"/>
        <w:ind w:firstLine="420"/>
        <w:rPr>
          <w:color w:val="000000"/>
          <w:szCs w:val="21"/>
        </w:rPr>
      </w:pPr>
      <w:r>
        <w:rPr>
          <w:color w:val="000000"/>
          <w:szCs w:val="21"/>
        </w:rPr>
        <w:t>42.4</w:t>
      </w:r>
      <w:r>
        <w:rPr>
          <w:rFonts w:ascii="宋体" w:cs="宋体" w:hint="eastAsia"/>
          <w:color w:val="000000"/>
          <w:szCs w:val="21"/>
          <w:lang w:val="zh-CN"/>
        </w:rPr>
        <w:t>公开招标失败的采购项目重新组织公开招标，代理机构要重新按公开招标流程发布招标公告和招标文件、组成评审委员会等组织采购活动。</w:t>
      </w:r>
    </w:p>
    <w:p>
      <w:pPr>
        <w:autoSpaceDE w:val="0"/>
        <w:autoSpaceDN w:val="0"/>
        <w:adjustRightInd w:val="0"/>
        <w:ind w:firstLine="420"/>
        <w:rPr>
          <w:color w:val="000000"/>
          <w:szCs w:val="21"/>
        </w:rPr>
      </w:pPr>
      <w:r>
        <w:rPr>
          <w:color w:val="000000"/>
          <w:szCs w:val="21"/>
        </w:rPr>
        <w:t>42.5</w:t>
      </w:r>
      <w:r>
        <w:rPr>
          <w:rFonts w:ascii="宋体" w:cs="宋体" w:hint="eastAsia"/>
          <w:color w:val="000000"/>
          <w:szCs w:val="21"/>
          <w:lang w:val="zh-CN"/>
        </w:rPr>
        <w:t>公开招标失败的采购项目经政府采购监督管理部门批准转为竞争性谈判或单一来源谈判方式采购的，按规定要求组织政府采购工作。</w:t>
      </w:r>
    </w:p>
    <w:p>
      <w:pPr>
        <w:autoSpaceDE w:val="0"/>
        <w:autoSpaceDN w:val="0"/>
        <w:adjustRightInd w:val="0"/>
        <w:ind w:firstLine="422"/>
        <w:rPr>
          <w:b/>
          <w:bCs/>
          <w:color w:val="000000"/>
          <w:szCs w:val="21"/>
        </w:rPr>
      </w:pPr>
      <w:r>
        <w:rPr>
          <w:b/>
          <w:bCs/>
          <w:color w:val="000000"/>
          <w:szCs w:val="21"/>
        </w:rPr>
        <w:t>43</w:t>
      </w:r>
      <w:r>
        <w:rPr>
          <w:rFonts w:ascii="宋体" w:cs="宋体" w:hint="eastAsia"/>
          <w:b/>
          <w:bCs/>
          <w:color w:val="000000"/>
          <w:szCs w:val="21"/>
          <w:lang w:val="zh-CN"/>
        </w:rPr>
        <w:t>．公开招标失败项目转为竞争性谈判方式采购</w:t>
      </w:r>
    </w:p>
    <w:p>
      <w:pPr>
        <w:autoSpaceDE w:val="0"/>
        <w:autoSpaceDN w:val="0"/>
        <w:adjustRightInd w:val="0"/>
        <w:ind w:firstLine="422"/>
        <w:rPr>
          <w:b/>
          <w:bCs/>
          <w:color w:val="000000"/>
          <w:szCs w:val="21"/>
        </w:rPr>
      </w:pPr>
      <w:r>
        <w:rPr>
          <w:b/>
          <w:bCs/>
          <w:color w:val="000000"/>
          <w:szCs w:val="21"/>
        </w:rPr>
        <w:t>43.1</w:t>
      </w:r>
      <w:r>
        <w:rPr>
          <w:rFonts w:ascii="宋体" w:cs="宋体" w:hint="eastAsia"/>
          <w:b/>
          <w:bCs/>
          <w:color w:val="000000"/>
          <w:szCs w:val="21"/>
          <w:lang w:val="zh-CN"/>
        </w:rPr>
        <w:t>谈判应答文件</w:t>
      </w:r>
    </w:p>
    <w:p>
      <w:pPr>
        <w:autoSpaceDE w:val="0"/>
        <w:autoSpaceDN w:val="0"/>
        <w:adjustRightInd w:val="0"/>
        <w:ind w:firstLine="420"/>
        <w:rPr>
          <w:color w:val="000000"/>
          <w:szCs w:val="21"/>
        </w:rPr>
      </w:pPr>
      <w:r>
        <w:rPr>
          <w:color w:val="000000"/>
          <w:szCs w:val="21"/>
        </w:rPr>
        <w:t>43.1.1</w:t>
      </w:r>
      <w:r>
        <w:rPr>
          <w:rFonts w:ascii="宋体" w:cs="宋体" w:hint="eastAsia"/>
          <w:color w:val="000000"/>
          <w:szCs w:val="21"/>
          <w:lang w:val="zh-CN"/>
        </w:rPr>
        <w:t>公开招标失败后，供应商的投标文件即转为谈判应答文件。</w:t>
      </w:r>
    </w:p>
    <w:p>
      <w:pPr>
        <w:autoSpaceDE w:val="0"/>
        <w:autoSpaceDN w:val="0"/>
        <w:adjustRightInd w:val="0"/>
        <w:ind w:firstLine="422"/>
        <w:rPr>
          <w:b/>
          <w:bCs/>
          <w:color w:val="000000"/>
          <w:szCs w:val="21"/>
        </w:rPr>
      </w:pPr>
      <w:r>
        <w:rPr>
          <w:b/>
          <w:bCs/>
          <w:color w:val="000000"/>
          <w:szCs w:val="21"/>
        </w:rPr>
        <w:t>43.2</w:t>
      </w:r>
      <w:r>
        <w:rPr>
          <w:rFonts w:ascii="宋体" w:cs="宋体" w:hint="eastAsia"/>
          <w:b/>
          <w:bCs/>
          <w:color w:val="000000"/>
          <w:szCs w:val="21"/>
          <w:lang w:val="zh-CN"/>
        </w:rPr>
        <w:t>谈判小组</w:t>
      </w:r>
    </w:p>
    <w:p>
      <w:pPr>
        <w:autoSpaceDE w:val="0"/>
        <w:autoSpaceDN w:val="0"/>
        <w:adjustRightInd w:val="0"/>
        <w:ind w:firstLine="420"/>
        <w:rPr>
          <w:color w:val="000000"/>
          <w:szCs w:val="21"/>
        </w:rPr>
      </w:pPr>
      <w:r>
        <w:rPr>
          <w:color w:val="000000"/>
          <w:szCs w:val="21"/>
        </w:rPr>
        <w:t>43.2.1</w:t>
      </w:r>
      <w:r>
        <w:rPr>
          <w:rFonts w:ascii="宋体" w:cs="宋体" w:hint="eastAsia"/>
          <w:color w:val="000000"/>
          <w:szCs w:val="21"/>
          <w:lang w:val="zh-CN"/>
        </w:rPr>
        <w:t>公开招标失败项目转为竞争性谈判方式采购后，谈判小组成员由采购单位代表和有关专家共</w:t>
      </w:r>
      <w:r>
        <w:rPr>
          <w:color w:val="000000"/>
          <w:szCs w:val="21"/>
        </w:rPr>
        <w:t>3</w:t>
      </w:r>
      <w:r>
        <w:rPr>
          <w:rFonts w:ascii="宋体" w:cs="宋体" w:hint="eastAsia"/>
          <w:color w:val="000000"/>
          <w:szCs w:val="21"/>
          <w:lang w:val="zh-CN"/>
        </w:rPr>
        <w:t>人以上（含</w:t>
      </w:r>
      <w:r>
        <w:rPr>
          <w:color w:val="000000"/>
          <w:szCs w:val="21"/>
        </w:rPr>
        <w:t>3</w:t>
      </w:r>
      <w:r>
        <w:rPr>
          <w:rFonts w:ascii="宋体" w:cs="宋体" w:hint="eastAsia"/>
          <w:color w:val="000000"/>
          <w:szCs w:val="21"/>
          <w:lang w:val="zh-CN"/>
        </w:rPr>
        <w:t>人）的单数组成；其中专家的人数不得少于成员总数的三分之二。</w:t>
      </w:r>
    </w:p>
    <w:p>
      <w:pPr>
        <w:autoSpaceDE w:val="0"/>
        <w:autoSpaceDN w:val="0"/>
        <w:adjustRightInd w:val="0"/>
        <w:ind w:firstLine="420"/>
        <w:rPr>
          <w:color w:val="000000"/>
          <w:szCs w:val="21"/>
        </w:rPr>
      </w:pPr>
      <w:r>
        <w:rPr>
          <w:color w:val="000000"/>
          <w:szCs w:val="21"/>
        </w:rPr>
        <w:t>43.2.2</w:t>
      </w:r>
      <w:r>
        <w:rPr>
          <w:rFonts w:ascii="宋体" w:cs="宋体" w:hint="eastAsia"/>
          <w:color w:val="000000"/>
          <w:szCs w:val="21"/>
          <w:lang w:val="zh-CN"/>
        </w:rPr>
        <w:t>谈判前，谈判小组将对各供应商的谈判应答文件进行审查，当谈判应答文件出现下列情况之一的将视为无效，按投标无效处理，不得进入谈判，具体内容见《资格性审查表》和《符合性审查表》。</w:t>
      </w:r>
    </w:p>
    <w:p>
      <w:pPr>
        <w:autoSpaceDE w:val="0"/>
        <w:autoSpaceDN w:val="0"/>
        <w:adjustRightInd w:val="0"/>
        <w:ind w:firstLine="422"/>
        <w:rPr>
          <w:b/>
          <w:bCs/>
          <w:color w:val="000000"/>
          <w:szCs w:val="21"/>
        </w:rPr>
      </w:pPr>
      <w:r>
        <w:rPr>
          <w:b/>
          <w:bCs/>
          <w:color w:val="000000"/>
          <w:szCs w:val="21"/>
        </w:rPr>
        <w:t>43.3</w:t>
      </w:r>
      <w:r>
        <w:rPr>
          <w:rFonts w:ascii="宋体" w:cs="宋体" w:hint="eastAsia"/>
          <w:b/>
          <w:bCs/>
          <w:color w:val="000000"/>
          <w:szCs w:val="21"/>
          <w:lang w:val="zh-CN"/>
        </w:rPr>
        <w:t>谈判程序</w:t>
      </w:r>
    </w:p>
    <w:p>
      <w:pPr>
        <w:autoSpaceDE w:val="0"/>
        <w:autoSpaceDN w:val="0"/>
        <w:adjustRightInd w:val="0"/>
        <w:ind w:firstLine="420"/>
        <w:rPr>
          <w:color w:val="000000"/>
          <w:szCs w:val="21"/>
        </w:rPr>
      </w:pPr>
      <w:r>
        <w:rPr>
          <w:color w:val="000000"/>
          <w:szCs w:val="21"/>
        </w:rPr>
        <w:t>43.3.1</w:t>
      </w:r>
      <w:r>
        <w:rPr>
          <w:rFonts w:ascii="宋体" w:cs="宋体" w:hint="eastAsia"/>
          <w:color w:val="000000"/>
          <w:szCs w:val="21"/>
          <w:lang w:val="zh-CN"/>
        </w:rPr>
        <w:t>谈判小组主持人宣布谈判规则和谈判纪律。</w:t>
      </w:r>
    </w:p>
    <w:p>
      <w:pPr>
        <w:autoSpaceDE w:val="0"/>
        <w:autoSpaceDN w:val="0"/>
        <w:adjustRightInd w:val="0"/>
        <w:ind w:firstLine="420"/>
        <w:rPr>
          <w:color w:val="000000"/>
          <w:szCs w:val="21"/>
        </w:rPr>
      </w:pPr>
      <w:r>
        <w:rPr>
          <w:color w:val="000000"/>
          <w:szCs w:val="21"/>
        </w:rPr>
        <w:t>43.3.2</w:t>
      </w:r>
      <w:r>
        <w:rPr>
          <w:rFonts w:ascii="宋体" w:cs="宋体" w:hint="eastAsia"/>
          <w:color w:val="000000"/>
          <w:szCs w:val="21"/>
          <w:lang w:val="zh-CN"/>
        </w:rPr>
        <w:t>在谈判中，谈判小组将就以下谈判内容跟供应商进行谈判：</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1</w:t>
      </w:r>
      <w:r>
        <w:rPr>
          <w:rFonts w:ascii="宋体" w:cs="宋体" w:hint="eastAsia"/>
          <w:color w:val="000000"/>
          <w:szCs w:val="21"/>
          <w:lang w:val="zh-CN"/>
        </w:rPr>
        <w:t>）投标价格；</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2</w:t>
      </w:r>
      <w:r>
        <w:rPr>
          <w:rFonts w:ascii="宋体" w:cs="宋体" w:hint="eastAsia"/>
          <w:color w:val="000000"/>
          <w:szCs w:val="21"/>
          <w:lang w:val="zh-CN"/>
        </w:rPr>
        <w:t>）项目实施方案；</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3</w:t>
      </w:r>
      <w:r>
        <w:rPr>
          <w:rFonts w:ascii="宋体" w:cs="宋体" w:hint="eastAsia"/>
          <w:color w:val="000000"/>
          <w:szCs w:val="21"/>
          <w:lang w:val="zh-CN"/>
        </w:rPr>
        <w:t>）售后服务方案；</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4</w:t>
      </w:r>
      <w:r>
        <w:rPr>
          <w:rFonts w:ascii="宋体" w:cs="宋体" w:hint="eastAsia"/>
          <w:color w:val="000000"/>
          <w:szCs w:val="21"/>
          <w:lang w:val="zh-CN"/>
        </w:rPr>
        <w:t>）其它相关事项。</w:t>
      </w:r>
    </w:p>
    <w:p>
      <w:pPr>
        <w:autoSpaceDE w:val="0"/>
        <w:autoSpaceDN w:val="0"/>
        <w:adjustRightInd w:val="0"/>
        <w:ind w:firstLine="420"/>
        <w:rPr>
          <w:color w:val="000000"/>
          <w:szCs w:val="21"/>
        </w:rPr>
      </w:pPr>
      <w:r>
        <w:rPr>
          <w:rFonts w:ascii="宋体" w:cs="宋体" w:hint="eastAsia"/>
          <w:color w:val="000000"/>
          <w:szCs w:val="21"/>
          <w:lang w:val="zh-CN"/>
        </w:rPr>
        <w:t>原招标文件或谈判邀请文件有实质性变动的，谈判小组应当通过代理机构通知所有参加谈判的供应商。</w:t>
      </w:r>
    </w:p>
    <w:p>
      <w:pPr>
        <w:autoSpaceDE w:val="0"/>
        <w:autoSpaceDN w:val="0"/>
        <w:adjustRightInd w:val="0"/>
        <w:ind w:firstLine="420"/>
        <w:rPr>
          <w:color w:val="000000"/>
          <w:szCs w:val="21"/>
        </w:rPr>
      </w:pPr>
      <w:r>
        <w:rPr>
          <w:color w:val="000000"/>
          <w:szCs w:val="21"/>
        </w:rPr>
        <w:t>43.3.3</w:t>
      </w:r>
      <w:r>
        <w:rPr>
          <w:rFonts w:ascii="宋体" w:cs="宋体" w:hint="eastAsia"/>
          <w:color w:val="000000"/>
          <w:szCs w:val="21"/>
          <w:lang w:val="zh-CN"/>
        </w:rPr>
        <w:t>谈判小组可以用书面形式要求各供应商对其谈判应答文件含义不明确的内容作必要的澄清或者说明，供应商应主要以书面形式进行澄清、说明。</w:t>
      </w:r>
    </w:p>
    <w:p>
      <w:pPr>
        <w:autoSpaceDE w:val="0"/>
        <w:autoSpaceDN w:val="0"/>
        <w:adjustRightInd w:val="0"/>
        <w:ind w:firstLine="420"/>
        <w:rPr>
          <w:color w:val="000000"/>
          <w:szCs w:val="21"/>
        </w:rPr>
      </w:pPr>
      <w:r>
        <w:rPr>
          <w:color w:val="000000"/>
          <w:szCs w:val="21"/>
        </w:rPr>
        <w:t xml:space="preserve">43.3.4 </w:t>
      </w:r>
      <w:r>
        <w:rPr>
          <w:rFonts w:ascii="宋体" w:cs="宋体" w:hint="eastAsia"/>
          <w:color w:val="000000"/>
          <w:szCs w:val="21"/>
          <w:lang w:val="zh-CN"/>
        </w:rPr>
        <w:t>允许供应商在谈判结束之前根据谈判小组提出的内容进行澄清、修改或完善，以及对项目方案进行相应的调整。</w:t>
      </w:r>
    </w:p>
    <w:p>
      <w:pPr>
        <w:autoSpaceDE w:val="0"/>
        <w:autoSpaceDN w:val="0"/>
        <w:adjustRightInd w:val="0"/>
        <w:ind w:firstLine="420"/>
        <w:rPr>
          <w:color w:val="000000"/>
          <w:szCs w:val="21"/>
        </w:rPr>
      </w:pPr>
      <w:r>
        <w:rPr>
          <w:color w:val="000000"/>
          <w:szCs w:val="21"/>
        </w:rPr>
        <w:t>43.3.5</w:t>
      </w:r>
      <w:r>
        <w:rPr>
          <w:rFonts w:ascii="宋体" w:cs="宋体" w:hint="eastAsia"/>
          <w:color w:val="000000"/>
          <w:szCs w:val="21"/>
          <w:lang w:val="zh-CN"/>
        </w:rPr>
        <w:t>供应商对谈判应答文件进行修改，都应形成文字材料，并经供应商谈判授权人签字认可。</w:t>
      </w:r>
    </w:p>
    <w:p>
      <w:pPr>
        <w:autoSpaceDE w:val="0"/>
        <w:autoSpaceDN w:val="0"/>
        <w:adjustRightInd w:val="0"/>
        <w:ind w:firstLine="420"/>
        <w:rPr>
          <w:color w:val="000000"/>
          <w:szCs w:val="21"/>
        </w:rPr>
      </w:pPr>
      <w:r>
        <w:rPr>
          <w:color w:val="000000"/>
          <w:szCs w:val="21"/>
        </w:rPr>
        <w:t>43.3.6</w:t>
      </w:r>
      <w:r>
        <w:rPr>
          <w:rFonts w:ascii="宋体" w:cs="宋体" w:hint="eastAsia"/>
          <w:color w:val="000000"/>
          <w:szCs w:val="21"/>
          <w:lang w:val="zh-CN"/>
        </w:rPr>
        <w:t>谈判小组所有成员集中与单一供应商分别进行谈判。在谈判中，谈判的任何一方不得透露与谈判有关的其它供应商的技术资料、价格或者其他信息；参加谈判的供应商有三次更改机会；供应商应在规定的时间内提出最后更改及书面承诺。</w:t>
      </w:r>
    </w:p>
    <w:p>
      <w:pPr>
        <w:autoSpaceDE w:val="0"/>
        <w:autoSpaceDN w:val="0"/>
        <w:adjustRightInd w:val="0"/>
        <w:ind w:firstLine="420"/>
        <w:rPr>
          <w:color w:val="000000"/>
          <w:szCs w:val="21"/>
        </w:rPr>
      </w:pPr>
      <w:r>
        <w:rPr>
          <w:color w:val="000000"/>
          <w:szCs w:val="21"/>
        </w:rPr>
        <w:t>43.3.7</w:t>
      </w:r>
      <w:r>
        <w:rPr>
          <w:rFonts w:ascii="宋体" w:cs="宋体" w:hint="eastAsia"/>
          <w:color w:val="000000"/>
          <w:szCs w:val="21"/>
          <w:lang w:val="zh-CN"/>
        </w:rPr>
        <w:t>有下列情形之一的，该供应商的谈判结果作投标无效处理，具体内容见《资格性审查表》和《符合性审查表》。</w:t>
      </w:r>
    </w:p>
    <w:p>
      <w:pPr>
        <w:autoSpaceDE w:val="0"/>
        <w:autoSpaceDN w:val="0"/>
        <w:adjustRightInd w:val="0"/>
        <w:ind w:firstLine="420"/>
        <w:rPr>
          <w:color w:val="000000"/>
          <w:szCs w:val="21"/>
        </w:rPr>
      </w:pPr>
      <w:r>
        <w:rPr>
          <w:color w:val="000000"/>
          <w:szCs w:val="21"/>
        </w:rPr>
        <w:t>43.3.8</w:t>
      </w:r>
      <w:r>
        <w:rPr>
          <w:rFonts w:ascii="宋体" w:cs="宋体" w:hint="eastAsia"/>
          <w:color w:val="000000"/>
          <w:szCs w:val="21"/>
          <w:lang w:val="zh-CN"/>
        </w:rPr>
        <w:t>谈判结束后，谈判小组根据供应商提供的谈判应答文件、谈判过程中产生的相关资料，对供应商谈判应答文件进行评估与比较，提出书面评审意见。</w:t>
      </w:r>
    </w:p>
    <w:p>
      <w:pPr>
        <w:autoSpaceDE w:val="0"/>
        <w:autoSpaceDN w:val="0"/>
        <w:adjustRightInd w:val="0"/>
        <w:ind w:firstLine="420"/>
        <w:rPr>
          <w:color w:val="000000"/>
          <w:szCs w:val="21"/>
        </w:rPr>
      </w:pPr>
      <w:r>
        <w:rPr>
          <w:color w:val="000000"/>
          <w:szCs w:val="21"/>
        </w:rPr>
        <w:t>43.3.9</w:t>
      </w:r>
      <w:r>
        <w:rPr>
          <w:rFonts w:ascii="宋体" w:cs="宋体" w:hint="eastAsia"/>
          <w:color w:val="000000"/>
          <w:szCs w:val="21"/>
          <w:lang w:val="zh-CN"/>
        </w:rPr>
        <w:t>谈判小组将对谈判过程进行记录，以存档备查。</w:t>
      </w:r>
    </w:p>
    <w:p>
      <w:pPr>
        <w:autoSpaceDE w:val="0"/>
        <w:autoSpaceDN w:val="0"/>
        <w:adjustRightInd w:val="0"/>
        <w:ind w:firstLine="422"/>
        <w:rPr>
          <w:b/>
          <w:bCs/>
          <w:color w:val="000000"/>
          <w:szCs w:val="21"/>
        </w:rPr>
      </w:pPr>
      <w:r>
        <w:rPr>
          <w:b/>
          <w:bCs/>
          <w:color w:val="000000"/>
          <w:szCs w:val="21"/>
        </w:rPr>
        <w:t>43.4</w:t>
      </w:r>
      <w:r>
        <w:rPr>
          <w:rFonts w:ascii="宋体" w:cs="宋体" w:hint="eastAsia"/>
          <w:b/>
          <w:bCs/>
          <w:color w:val="000000"/>
          <w:szCs w:val="21"/>
          <w:lang w:val="zh-CN"/>
        </w:rPr>
        <w:t>评标方法和定标原则</w:t>
      </w:r>
    </w:p>
    <w:p>
      <w:pPr>
        <w:autoSpaceDE w:val="0"/>
        <w:autoSpaceDN w:val="0"/>
        <w:adjustRightInd w:val="0"/>
        <w:ind w:firstLine="420"/>
        <w:rPr>
          <w:color w:val="000000"/>
          <w:szCs w:val="21"/>
        </w:rPr>
      </w:pPr>
      <w:r>
        <w:rPr>
          <w:color w:val="000000"/>
          <w:szCs w:val="21"/>
        </w:rPr>
        <w:t>43.4.1</w:t>
      </w:r>
      <w:r>
        <w:rPr>
          <w:rFonts w:ascii="宋体" w:cs="宋体" w:hint="eastAsia"/>
          <w:color w:val="000000"/>
          <w:szCs w:val="21"/>
          <w:lang w:val="zh-CN"/>
        </w:rPr>
        <w:t>竞争性谈判采购项目的评标方法要比照</w:t>
      </w:r>
      <w:r>
        <w:rPr>
          <w:rFonts w:ascii="宋体" w:cs="宋体" w:hint="eastAsia"/>
          <w:b/>
          <w:bCs/>
          <w:color w:val="000000"/>
          <w:szCs w:val="21"/>
          <w:lang w:val="zh-CN"/>
        </w:rPr>
        <w:t>最低价法规定执行</w:t>
      </w:r>
      <w:r>
        <w:rPr>
          <w:rFonts w:ascii="宋体" w:cs="宋体" w:hint="eastAsia"/>
          <w:color w:val="000000"/>
          <w:szCs w:val="21"/>
          <w:lang w:val="zh-CN"/>
        </w:rPr>
        <w:t>。</w:t>
      </w:r>
      <w:r>
        <w:rPr>
          <w:rFonts w:ascii="宋体" w:cs="宋体" w:hint="eastAsia"/>
          <w:b/>
          <w:bCs/>
          <w:color w:val="000000"/>
          <w:szCs w:val="21"/>
          <w:lang w:val="zh-CN"/>
        </w:rPr>
        <w:t>原招标文件若采用最低价法以外的评标方法，转为竞争性谈判后，评标方法应采用最低价法。</w:t>
      </w:r>
    </w:p>
    <w:p>
      <w:pPr>
        <w:autoSpaceDE w:val="0"/>
        <w:autoSpaceDN w:val="0"/>
        <w:adjustRightInd w:val="0"/>
        <w:ind w:firstLine="420"/>
        <w:rPr>
          <w:color w:val="000000"/>
          <w:szCs w:val="21"/>
        </w:rPr>
      </w:pPr>
      <w:r>
        <w:rPr>
          <w:color w:val="000000"/>
          <w:szCs w:val="21"/>
        </w:rPr>
        <w:t>43.4.2</w:t>
      </w:r>
      <w:r>
        <w:rPr>
          <w:rFonts w:ascii="宋体" w:cs="宋体" w:hint="eastAsia"/>
          <w:color w:val="000000"/>
          <w:szCs w:val="21"/>
          <w:lang w:val="zh-CN"/>
        </w:rPr>
        <w:t>对公开招标失败转为竞争性谈判方式采购的项目，谈判小组对谈判应答文件进行评审和比较，综合各家供应商最终的投标价格、实施方案、售后服务等谈判结果并按通用条款第</w:t>
      </w:r>
      <w:r>
        <w:rPr>
          <w:color w:val="000000"/>
          <w:szCs w:val="21"/>
        </w:rPr>
        <w:t>36.1</w:t>
      </w:r>
      <w:r>
        <w:rPr>
          <w:rFonts w:ascii="宋体" w:cs="宋体" w:hint="eastAsia"/>
          <w:color w:val="000000"/>
          <w:szCs w:val="21"/>
          <w:lang w:val="zh-CN"/>
        </w:rPr>
        <w:t>规定的</w:t>
      </w:r>
      <w:r>
        <w:rPr>
          <w:rFonts w:ascii="宋体" w:cs="宋体" w:hint="eastAsia"/>
          <w:b/>
          <w:bCs/>
          <w:color w:val="000000"/>
          <w:szCs w:val="21"/>
          <w:lang w:val="zh-CN"/>
        </w:rPr>
        <w:t>最低价法</w:t>
      </w:r>
      <w:r>
        <w:rPr>
          <w:rFonts w:ascii="宋体" w:cs="宋体" w:hint="eastAsia"/>
          <w:color w:val="000000"/>
          <w:szCs w:val="21"/>
          <w:lang w:val="zh-CN"/>
        </w:rPr>
        <w:t>进行评审。</w:t>
      </w:r>
    </w:p>
    <w:p>
      <w:pPr>
        <w:autoSpaceDE w:val="0"/>
        <w:autoSpaceDN w:val="0"/>
        <w:adjustRightInd w:val="0"/>
        <w:ind w:firstLine="420"/>
        <w:rPr>
          <w:color w:val="000000"/>
          <w:szCs w:val="21"/>
        </w:rPr>
      </w:pPr>
      <w:r>
        <w:rPr>
          <w:color w:val="000000"/>
          <w:szCs w:val="21"/>
        </w:rPr>
        <w:t>43.4.3</w:t>
      </w:r>
      <w:r>
        <w:rPr>
          <w:rFonts w:ascii="宋体" w:cs="宋体" w:hint="eastAsia"/>
          <w:color w:val="000000"/>
          <w:szCs w:val="21"/>
          <w:lang w:val="zh-CN"/>
        </w:rPr>
        <w:t>谈判小组向代理机构提交书面评标报告，并受采购人授权直接确定中标供应商。</w:t>
      </w:r>
    </w:p>
    <w:p>
      <w:pPr>
        <w:autoSpaceDE w:val="0"/>
        <w:autoSpaceDN w:val="0"/>
        <w:adjustRightInd w:val="0"/>
        <w:ind w:firstLine="422"/>
        <w:rPr>
          <w:b/>
          <w:bCs/>
          <w:color w:val="000000"/>
          <w:szCs w:val="21"/>
        </w:rPr>
      </w:pPr>
      <w:r>
        <w:rPr>
          <w:b/>
          <w:bCs/>
          <w:color w:val="000000"/>
          <w:szCs w:val="21"/>
        </w:rPr>
        <w:t>44</w:t>
      </w:r>
      <w:r>
        <w:rPr>
          <w:rFonts w:ascii="宋体" w:cs="宋体" w:hint="eastAsia"/>
          <w:b/>
          <w:bCs/>
          <w:color w:val="000000"/>
          <w:szCs w:val="21"/>
          <w:lang w:val="zh-CN"/>
        </w:rPr>
        <w:t>．公开招标失败项目转为单一来源谈判方式采购</w:t>
      </w:r>
    </w:p>
    <w:p>
      <w:pPr>
        <w:autoSpaceDE w:val="0"/>
        <w:autoSpaceDN w:val="0"/>
        <w:adjustRightInd w:val="0"/>
        <w:ind w:firstLine="422"/>
        <w:rPr>
          <w:b/>
          <w:bCs/>
          <w:color w:val="000000"/>
          <w:szCs w:val="21"/>
        </w:rPr>
      </w:pPr>
      <w:r>
        <w:rPr>
          <w:b/>
          <w:bCs/>
          <w:color w:val="000000"/>
          <w:szCs w:val="21"/>
        </w:rPr>
        <w:t>44.1</w:t>
      </w:r>
      <w:r>
        <w:rPr>
          <w:rFonts w:ascii="宋体" w:cs="宋体" w:hint="eastAsia"/>
          <w:b/>
          <w:bCs/>
          <w:color w:val="000000"/>
          <w:szCs w:val="21"/>
          <w:lang w:val="zh-CN"/>
        </w:rPr>
        <w:t>谈判小组</w:t>
      </w:r>
    </w:p>
    <w:p>
      <w:pPr>
        <w:autoSpaceDE w:val="0"/>
        <w:autoSpaceDN w:val="0"/>
        <w:adjustRightInd w:val="0"/>
        <w:ind w:firstLine="420"/>
        <w:rPr>
          <w:color w:val="000000"/>
          <w:szCs w:val="21"/>
        </w:rPr>
      </w:pPr>
      <w:r>
        <w:rPr>
          <w:color w:val="000000"/>
          <w:szCs w:val="21"/>
        </w:rPr>
        <w:t>44.1.1</w:t>
      </w:r>
      <w:r>
        <w:rPr>
          <w:rFonts w:ascii="宋体" w:cs="宋体" w:hint="eastAsia"/>
          <w:color w:val="000000"/>
          <w:szCs w:val="21"/>
          <w:lang w:val="zh-CN"/>
        </w:rPr>
        <w:t>公开招标失败项目转为单一来源方式采购后，谈判小组成员由采购单位代表和有关专家共</w:t>
      </w:r>
      <w:r>
        <w:rPr>
          <w:color w:val="000000"/>
          <w:szCs w:val="21"/>
        </w:rPr>
        <w:t>3</w:t>
      </w:r>
      <w:r>
        <w:rPr>
          <w:rFonts w:ascii="宋体" w:cs="宋体" w:hint="eastAsia"/>
          <w:color w:val="000000"/>
          <w:szCs w:val="21"/>
          <w:lang w:val="zh-CN"/>
        </w:rPr>
        <w:t>人以上（含</w:t>
      </w:r>
      <w:r>
        <w:rPr>
          <w:color w:val="000000"/>
          <w:szCs w:val="21"/>
        </w:rPr>
        <w:t>3</w:t>
      </w:r>
      <w:r>
        <w:rPr>
          <w:rFonts w:ascii="宋体" w:cs="宋体" w:hint="eastAsia"/>
          <w:color w:val="000000"/>
          <w:szCs w:val="21"/>
          <w:lang w:val="zh-CN"/>
        </w:rPr>
        <w:t>人）的单数组成；其中专家的人数不得少于成员总数的三分之二。</w:t>
      </w:r>
    </w:p>
    <w:p>
      <w:pPr>
        <w:autoSpaceDE w:val="0"/>
        <w:autoSpaceDN w:val="0"/>
        <w:adjustRightInd w:val="0"/>
        <w:ind w:firstLine="420"/>
        <w:rPr>
          <w:color w:val="000000"/>
          <w:szCs w:val="21"/>
        </w:rPr>
      </w:pPr>
      <w:r>
        <w:rPr>
          <w:color w:val="000000"/>
          <w:szCs w:val="21"/>
        </w:rPr>
        <w:t>44.1.2</w:t>
      </w:r>
      <w:r>
        <w:rPr>
          <w:rFonts w:ascii="宋体" w:cs="宋体" w:hint="eastAsia"/>
          <w:color w:val="000000"/>
          <w:szCs w:val="21"/>
          <w:lang w:val="zh-CN"/>
        </w:rPr>
        <w:t>谈判前，谈判小组将对单一来源供应商的谈判应答文件进行审查，当谈判应答文件出现下列情况之一的将视为无效，按投标无效处理，不得进入谈判，具体内容见《资格性审查表》和《符合性审查表》。</w:t>
      </w:r>
    </w:p>
    <w:p>
      <w:pPr>
        <w:autoSpaceDE w:val="0"/>
        <w:autoSpaceDN w:val="0"/>
        <w:adjustRightInd w:val="0"/>
        <w:ind w:firstLine="422"/>
        <w:rPr>
          <w:b/>
          <w:bCs/>
          <w:color w:val="000000"/>
          <w:szCs w:val="21"/>
        </w:rPr>
      </w:pPr>
      <w:r>
        <w:rPr>
          <w:b/>
          <w:bCs/>
          <w:color w:val="000000"/>
          <w:szCs w:val="21"/>
        </w:rPr>
        <w:t>44.2</w:t>
      </w:r>
      <w:r>
        <w:rPr>
          <w:rFonts w:ascii="宋体" w:cs="宋体" w:hint="eastAsia"/>
          <w:b/>
          <w:bCs/>
          <w:color w:val="000000"/>
          <w:szCs w:val="21"/>
          <w:lang w:val="zh-CN"/>
        </w:rPr>
        <w:t>谈判程序</w:t>
      </w:r>
    </w:p>
    <w:p>
      <w:pPr>
        <w:autoSpaceDE w:val="0"/>
        <w:autoSpaceDN w:val="0"/>
        <w:adjustRightInd w:val="0"/>
        <w:ind w:firstLine="420"/>
        <w:rPr>
          <w:color w:val="000000"/>
          <w:szCs w:val="21"/>
        </w:rPr>
      </w:pPr>
      <w:r>
        <w:rPr>
          <w:color w:val="000000"/>
          <w:szCs w:val="21"/>
        </w:rPr>
        <w:t>44.2.1</w:t>
      </w:r>
      <w:r>
        <w:rPr>
          <w:rFonts w:ascii="宋体" w:cs="宋体" w:hint="eastAsia"/>
          <w:color w:val="000000"/>
          <w:szCs w:val="21"/>
          <w:lang w:val="zh-CN"/>
        </w:rPr>
        <w:t>谈判小组主持人宣布谈判规则和谈判纪律。</w:t>
      </w:r>
    </w:p>
    <w:p>
      <w:pPr>
        <w:autoSpaceDE w:val="0"/>
        <w:autoSpaceDN w:val="0"/>
        <w:adjustRightInd w:val="0"/>
        <w:ind w:firstLine="420"/>
        <w:rPr>
          <w:color w:val="000000"/>
          <w:szCs w:val="21"/>
        </w:rPr>
      </w:pPr>
      <w:r>
        <w:rPr>
          <w:color w:val="000000"/>
          <w:szCs w:val="21"/>
        </w:rPr>
        <w:t>44.2.2</w:t>
      </w:r>
      <w:r>
        <w:rPr>
          <w:rFonts w:ascii="宋体" w:cs="宋体" w:hint="eastAsia"/>
          <w:color w:val="000000"/>
          <w:szCs w:val="21"/>
          <w:lang w:val="zh-CN"/>
        </w:rPr>
        <w:t>在谈判中，谈判小组将就以下谈判内容跟供应商进行谈判：</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1</w:t>
      </w:r>
      <w:r>
        <w:rPr>
          <w:rFonts w:ascii="宋体" w:cs="宋体" w:hint="eastAsia"/>
          <w:color w:val="000000"/>
          <w:szCs w:val="21"/>
          <w:lang w:val="zh-CN"/>
        </w:rPr>
        <w:t>）项目方案；</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2</w:t>
      </w:r>
      <w:r>
        <w:rPr>
          <w:rFonts w:ascii="宋体" w:cs="宋体" w:hint="eastAsia"/>
          <w:color w:val="000000"/>
          <w:szCs w:val="21"/>
          <w:lang w:val="zh-CN"/>
        </w:rPr>
        <w:t>）报价；</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3</w:t>
      </w:r>
      <w:r>
        <w:rPr>
          <w:rFonts w:ascii="宋体" w:cs="宋体" w:hint="eastAsia"/>
          <w:color w:val="000000"/>
          <w:szCs w:val="21"/>
          <w:lang w:val="zh-CN"/>
        </w:rPr>
        <w:t>）其它相关事项。</w:t>
      </w:r>
    </w:p>
    <w:p>
      <w:pPr>
        <w:autoSpaceDE w:val="0"/>
        <w:autoSpaceDN w:val="0"/>
        <w:adjustRightInd w:val="0"/>
        <w:ind w:firstLine="420"/>
        <w:rPr>
          <w:color w:val="000000"/>
          <w:szCs w:val="21"/>
        </w:rPr>
      </w:pPr>
      <w:r>
        <w:rPr>
          <w:rFonts w:ascii="宋体" w:cs="宋体" w:hint="eastAsia"/>
          <w:color w:val="000000"/>
          <w:szCs w:val="21"/>
          <w:lang w:val="zh-CN"/>
        </w:rPr>
        <w:t>原招标文件或谈判邀请文件有实质性变动的，谈判小组应当通过代理机构通知供应商。</w:t>
      </w:r>
    </w:p>
    <w:p>
      <w:pPr>
        <w:autoSpaceDE w:val="0"/>
        <w:autoSpaceDN w:val="0"/>
        <w:adjustRightInd w:val="0"/>
        <w:ind w:firstLine="420"/>
        <w:rPr>
          <w:color w:val="000000"/>
          <w:szCs w:val="21"/>
        </w:rPr>
      </w:pPr>
      <w:r>
        <w:rPr>
          <w:color w:val="000000"/>
          <w:szCs w:val="21"/>
        </w:rPr>
        <w:t>44.2.3</w:t>
      </w:r>
      <w:r>
        <w:rPr>
          <w:rFonts w:ascii="宋体" w:cs="宋体" w:hint="eastAsia"/>
          <w:color w:val="000000"/>
          <w:szCs w:val="21"/>
          <w:lang w:val="zh-CN"/>
        </w:rPr>
        <w:t>谈判小组可以用书面形式要求供应商对其谈判应答文件含义不明确的内容作必要的澄清或者说明，供应商应主要以书面形式进行澄清、说明。</w:t>
      </w:r>
    </w:p>
    <w:p>
      <w:pPr>
        <w:autoSpaceDE w:val="0"/>
        <w:autoSpaceDN w:val="0"/>
        <w:adjustRightInd w:val="0"/>
        <w:ind w:firstLine="420"/>
        <w:rPr>
          <w:color w:val="000000"/>
          <w:szCs w:val="21"/>
        </w:rPr>
      </w:pPr>
      <w:r>
        <w:rPr>
          <w:color w:val="000000"/>
          <w:szCs w:val="21"/>
        </w:rPr>
        <w:t xml:space="preserve">44.2.4 </w:t>
      </w:r>
      <w:r>
        <w:rPr>
          <w:rFonts w:ascii="宋体" w:cs="宋体" w:hint="eastAsia"/>
          <w:color w:val="000000"/>
          <w:szCs w:val="21"/>
          <w:lang w:val="zh-CN"/>
        </w:rPr>
        <w:t>允许供应商在谈判结束之前根据谈判小组提出的内容进行澄清、修改或完善，或对项目方案进行相应的调整。</w:t>
      </w:r>
    </w:p>
    <w:p>
      <w:pPr>
        <w:autoSpaceDE w:val="0"/>
        <w:autoSpaceDN w:val="0"/>
        <w:adjustRightInd w:val="0"/>
        <w:ind w:firstLine="420"/>
        <w:rPr>
          <w:color w:val="000000"/>
          <w:szCs w:val="21"/>
        </w:rPr>
      </w:pPr>
      <w:r>
        <w:rPr>
          <w:color w:val="000000"/>
          <w:szCs w:val="21"/>
        </w:rPr>
        <w:t>44.2.5</w:t>
      </w:r>
      <w:r>
        <w:rPr>
          <w:rFonts w:ascii="宋体" w:cs="宋体" w:hint="eastAsia"/>
          <w:color w:val="000000"/>
          <w:szCs w:val="21"/>
          <w:lang w:val="zh-CN"/>
        </w:rPr>
        <w:t>供应商对谈判应答文件进行修改，都应形成文字材料，并经供应商谈判授权人签字认可。</w:t>
      </w:r>
    </w:p>
    <w:p>
      <w:pPr>
        <w:autoSpaceDE w:val="0"/>
        <w:autoSpaceDN w:val="0"/>
        <w:adjustRightInd w:val="0"/>
        <w:ind w:firstLine="420"/>
        <w:rPr>
          <w:color w:val="000000"/>
          <w:szCs w:val="21"/>
        </w:rPr>
      </w:pPr>
      <w:r>
        <w:rPr>
          <w:color w:val="000000"/>
          <w:szCs w:val="21"/>
        </w:rPr>
        <w:t>44.2.6</w:t>
      </w:r>
      <w:r>
        <w:rPr>
          <w:rFonts w:ascii="宋体" w:cs="宋体" w:hint="eastAsia"/>
          <w:color w:val="000000"/>
          <w:szCs w:val="21"/>
          <w:lang w:val="zh-CN"/>
        </w:rPr>
        <w:t>谈判小组与单一来源供应商进行谈判。供应商有三次更改机会；供应商应在规定的时间内提出最后更改及书面承诺。</w:t>
      </w:r>
    </w:p>
    <w:p>
      <w:pPr>
        <w:autoSpaceDE w:val="0"/>
        <w:autoSpaceDN w:val="0"/>
        <w:adjustRightInd w:val="0"/>
        <w:ind w:firstLine="420"/>
        <w:rPr>
          <w:color w:val="000000"/>
          <w:szCs w:val="21"/>
        </w:rPr>
      </w:pPr>
      <w:r>
        <w:rPr>
          <w:color w:val="000000"/>
          <w:szCs w:val="21"/>
        </w:rPr>
        <w:t>44.2.7</w:t>
      </w:r>
      <w:r>
        <w:rPr>
          <w:rFonts w:ascii="宋体" w:cs="宋体" w:hint="eastAsia"/>
          <w:color w:val="000000"/>
          <w:szCs w:val="21"/>
          <w:lang w:val="zh-CN"/>
        </w:rPr>
        <w:t>有下列情形之一的，供应商的谈判结果作投标无效处理，具体内容见《资格性审查表》和《符合性审查表》</w:t>
      </w:r>
      <w:r>
        <w:rPr>
          <w:rFonts w:ascii="宋体" w:cs="宋体" w:hint="eastAsia"/>
          <w:b/>
          <w:bCs/>
          <w:color w:val="000000"/>
          <w:szCs w:val="21"/>
          <w:lang w:val="zh-CN"/>
        </w:rPr>
        <w:t>。</w:t>
      </w:r>
    </w:p>
    <w:p>
      <w:pPr>
        <w:autoSpaceDE w:val="0"/>
        <w:autoSpaceDN w:val="0"/>
        <w:adjustRightInd w:val="0"/>
        <w:ind w:firstLine="420"/>
        <w:rPr>
          <w:color w:val="000000"/>
          <w:szCs w:val="21"/>
        </w:rPr>
      </w:pPr>
      <w:r>
        <w:rPr>
          <w:color w:val="000000"/>
          <w:szCs w:val="21"/>
        </w:rPr>
        <w:t>44.2.8</w:t>
      </w:r>
      <w:r>
        <w:rPr>
          <w:rFonts w:ascii="宋体" w:cs="宋体" w:hint="eastAsia"/>
          <w:color w:val="000000"/>
          <w:szCs w:val="21"/>
          <w:lang w:val="zh-CN"/>
        </w:rPr>
        <w:t>谈判结束后，谈判小组根据供应商提供的谈判应答文件、谈判过程中产生的相关资料，对供应商谈判应答文件进行评估与比较，提出书面评审意见。</w:t>
      </w:r>
    </w:p>
    <w:p>
      <w:pPr>
        <w:autoSpaceDE w:val="0"/>
        <w:autoSpaceDN w:val="0"/>
        <w:adjustRightInd w:val="0"/>
        <w:ind w:firstLine="420"/>
        <w:rPr>
          <w:color w:val="000000"/>
          <w:szCs w:val="21"/>
        </w:rPr>
      </w:pPr>
      <w:r>
        <w:rPr>
          <w:color w:val="000000"/>
          <w:szCs w:val="21"/>
        </w:rPr>
        <w:t>44.2.9</w:t>
      </w:r>
      <w:r>
        <w:rPr>
          <w:rFonts w:ascii="宋体" w:cs="宋体" w:hint="eastAsia"/>
          <w:color w:val="000000"/>
          <w:szCs w:val="21"/>
          <w:lang w:val="zh-CN"/>
        </w:rPr>
        <w:t>谈判小组将对谈判过程进行记录，以存档备查。</w:t>
      </w:r>
    </w:p>
    <w:p>
      <w:pPr>
        <w:autoSpaceDE w:val="0"/>
        <w:autoSpaceDN w:val="0"/>
        <w:adjustRightInd w:val="0"/>
        <w:ind w:firstLine="422"/>
        <w:rPr>
          <w:b/>
          <w:bCs/>
          <w:color w:val="000000"/>
          <w:szCs w:val="21"/>
        </w:rPr>
      </w:pPr>
      <w:r>
        <w:rPr>
          <w:b/>
          <w:bCs/>
          <w:color w:val="000000"/>
          <w:szCs w:val="21"/>
        </w:rPr>
        <w:t>44.3</w:t>
      </w:r>
      <w:r>
        <w:rPr>
          <w:rFonts w:ascii="宋体" w:cs="宋体" w:hint="eastAsia"/>
          <w:b/>
          <w:bCs/>
          <w:color w:val="000000"/>
          <w:szCs w:val="21"/>
          <w:lang w:val="zh-CN"/>
        </w:rPr>
        <w:t>评标方法和定标原则</w:t>
      </w:r>
    </w:p>
    <w:p>
      <w:pPr>
        <w:autoSpaceDE w:val="0"/>
        <w:autoSpaceDN w:val="0"/>
        <w:adjustRightInd w:val="0"/>
        <w:ind w:firstLine="420"/>
        <w:rPr>
          <w:color w:val="000000"/>
          <w:szCs w:val="21"/>
        </w:rPr>
      </w:pPr>
      <w:r>
        <w:rPr>
          <w:color w:val="000000"/>
          <w:szCs w:val="21"/>
        </w:rPr>
        <w:t>44.3.1</w:t>
      </w:r>
      <w:r>
        <w:rPr>
          <w:rFonts w:ascii="宋体" w:cs="宋体" w:hint="eastAsia"/>
          <w:b/>
          <w:bCs/>
          <w:color w:val="000000"/>
          <w:szCs w:val="21"/>
          <w:lang w:val="zh-CN"/>
        </w:rPr>
        <w:t>单一来源谈判采用最低价法。</w:t>
      </w:r>
      <w:r>
        <w:rPr>
          <w:rFonts w:ascii="宋体" w:cs="宋体" w:hint="eastAsia"/>
          <w:color w:val="000000"/>
          <w:szCs w:val="21"/>
          <w:lang w:val="zh-CN"/>
        </w:rPr>
        <w:t>原招标文件若采用最低价法以外的评标方法，转为竞争性谈判后，评标方法改为最低价法。谈判小组对谈判应答文件进行评审和比较，对供应商最终的方案、服务和投资等谈判结果按通用条款第</w:t>
      </w:r>
      <w:r>
        <w:rPr>
          <w:color w:val="000000"/>
          <w:szCs w:val="21"/>
        </w:rPr>
        <w:t>37.1</w:t>
      </w:r>
      <w:r>
        <w:rPr>
          <w:rFonts w:ascii="宋体" w:cs="宋体" w:hint="eastAsia"/>
          <w:color w:val="000000"/>
          <w:szCs w:val="21"/>
          <w:lang w:val="zh-CN"/>
        </w:rPr>
        <w:t>规定的</w:t>
      </w:r>
      <w:r>
        <w:rPr>
          <w:rFonts w:ascii="宋体" w:cs="宋体" w:hint="eastAsia"/>
          <w:b/>
          <w:bCs/>
          <w:color w:val="000000"/>
          <w:szCs w:val="21"/>
          <w:lang w:val="zh-CN"/>
        </w:rPr>
        <w:t>最低价法</w:t>
      </w:r>
      <w:r>
        <w:rPr>
          <w:rFonts w:ascii="宋体" w:cs="宋体" w:hint="eastAsia"/>
          <w:color w:val="000000"/>
          <w:szCs w:val="21"/>
          <w:lang w:val="zh-CN"/>
        </w:rPr>
        <w:t>进行评审。</w:t>
      </w:r>
    </w:p>
    <w:p>
      <w:pPr>
        <w:autoSpaceDE w:val="0"/>
        <w:autoSpaceDN w:val="0"/>
        <w:adjustRightInd w:val="0"/>
        <w:ind w:firstLine="420"/>
        <w:rPr>
          <w:color w:val="000000"/>
          <w:szCs w:val="21"/>
        </w:rPr>
      </w:pPr>
      <w:r>
        <w:rPr>
          <w:color w:val="000000"/>
          <w:szCs w:val="21"/>
        </w:rPr>
        <w:t>44.3.2</w:t>
      </w:r>
      <w:r>
        <w:rPr>
          <w:rFonts w:ascii="宋体" w:cs="宋体" w:hint="eastAsia"/>
          <w:color w:val="000000"/>
          <w:szCs w:val="21"/>
          <w:lang w:val="zh-CN"/>
        </w:rPr>
        <w:t>谈判小组向代理机构提交书面评标报告，并受采购人授权直接确定中标供应商。</w:t>
      </w:r>
    </w:p>
    <w:p>
      <w:pPr>
        <w:pStyle w:val="Heading2"/>
        <w:rPr>
          <w:color w:val="000000"/>
          <w:sz w:val="28"/>
          <w:szCs w:val="28"/>
          <w:lang w:val="zh-CN"/>
        </w:rPr>
      </w:pPr>
      <w:r>
        <w:rPr>
          <w:rFonts w:hint="eastAsia"/>
          <w:color w:val="000000"/>
          <w:sz w:val="28"/>
          <w:szCs w:val="28"/>
          <w:lang w:val="zh-CN"/>
        </w:rPr>
        <w:t>第八章授予合同</w:t>
      </w:r>
    </w:p>
    <w:p>
      <w:pPr>
        <w:autoSpaceDE w:val="0"/>
        <w:autoSpaceDN w:val="0"/>
        <w:adjustRightInd w:val="0"/>
        <w:ind w:firstLine="422"/>
        <w:rPr>
          <w:b/>
          <w:bCs/>
          <w:color w:val="000000"/>
          <w:szCs w:val="21"/>
        </w:rPr>
      </w:pPr>
      <w:r>
        <w:rPr>
          <w:b/>
          <w:bCs/>
          <w:color w:val="000000"/>
          <w:szCs w:val="21"/>
        </w:rPr>
        <w:t>45</w:t>
      </w:r>
      <w:r>
        <w:rPr>
          <w:rFonts w:ascii="宋体" w:cs="宋体" w:hint="eastAsia"/>
          <w:b/>
          <w:bCs/>
          <w:color w:val="000000"/>
          <w:szCs w:val="21"/>
          <w:lang w:val="zh-CN"/>
        </w:rPr>
        <w:t>．接受和拒绝任何或所有投标的权力</w:t>
      </w:r>
    </w:p>
    <w:p>
      <w:pPr>
        <w:autoSpaceDE w:val="0"/>
        <w:autoSpaceDN w:val="0"/>
        <w:adjustRightInd w:val="0"/>
        <w:ind w:firstLine="420"/>
        <w:rPr>
          <w:color w:val="000000"/>
          <w:szCs w:val="21"/>
        </w:rPr>
      </w:pPr>
      <w:r>
        <w:rPr>
          <w:color w:val="000000"/>
          <w:szCs w:val="21"/>
        </w:rPr>
        <w:t xml:space="preserve">45.1  </w:t>
      </w:r>
      <w:r>
        <w:rPr>
          <w:rFonts w:ascii="宋体" w:cs="宋体" w:hint="eastAsia"/>
          <w:color w:val="000000"/>
          <w:szCs w:val="21"/>
          <w:lang w:val="zh-CN"/>
        </w:rPr>
        <w:t>代理机构和采购单位保留在投标之前任何时候接受或拒绝任何投标或所有投标，以及宣布招标无效的权力，对受影响的投标人不承担任何责任，也无义务向受影响的投标人解释采取这一行动的理由。</w:t>
      </w:r>
    </w:p>
    <w:p>
      <w:pPr>
        <w:autoSpaceDE w:val="0"/>
        <w:autoSpaceDN w:val="0"/>
        <w:adjustRightInd w:val="0"/>
        <w:ind w:firstLine="422"/>
        <w:rPr>
          <w:b/>
          <w:bCs/>
          <w:color w:val="000000"/>
          <w:szCs w:val="21"/>
        </w:rPr>
      </w:pPr>
      <w:r>
        <w:rPr>
          <w:b/>
          <w:bCs/>
          <w:color w:val="000000"/>
          <w:szCs w:val="21"/>
        </w:rPr>
        <w:t>46</w:t>
      </w:r>
      <w:r>
        <w:rPr>
          <w:rFonts w:ascii="宋体" w:cs="宋体" w:hint="eastAsia"/>
          <w:b/>
          <w:bCs/>
          <w:color w:val="000000"/>
          <w:szCs w:val="21"/>
          <w:lang w:val="zh-CN"/>
        </w:rPr>
        <w:t>．中标通知书</w:t>
      </w:r>
    </w:p>
    <w:p>
      <w:pPr>
        <w:autoSpaceDE w:val="0"/>
        <w:autoSpaceDN w:val="0"/>
        <w:adjustRightInd w:val="0"/>
        <w:ind w:firstLine="420"/>
        <w:rPr>
          <w:color w:val="000000"/>
          <w:szCs w:val="21"/>
        </w:rPr>
      </w:pPr>
      <w:r>
        <w:rPr>
          <w:rFonts w:ascii="宋体" w:cs="宋体" w:hint="eastAsia"/>
          <w:color w:val="000000"/>
          <w:szCs w:val="21"/>
          <w:lang w:val="zh-CN"/>
        </w:rPr>
        <w:t>深圳市德顺项目咨询有限公司沿用深圳市政府采购中心中标（成交）通知书系统，政府采购项目将实施网上打印中标（成交）通知书。</w:t>
      </w:r>
    </w:p>
    <w:p>
      <w:pPr>
        <w:autoSpaceDE w:val="0"/>
        <w:autoSpaceDN w:val="0"/>
        <w:adjustRightInd w:val="0"/>
        <w:ind w:firstLine="420"/>
        <w:rPr>
          <w:color w:val="000000"/>
          <w:szCs w:val="21"/>
        </w:rPr>
      </w:pPr>
      <w:r>
        <w:rPr>
          <w:color w:val="000000"/>
          <w:szCs w:val="21"/>
        </w:rPr>
        <w:t>46.</w:t>
      </w:r>
      <w:r>
        <w:rPr>
          <w:rFonts w:hint="eastAsia"/>
          <w:color w:val="000000"/>
          <w:szCs w:val="21"/>
        </w:rPr>
        <w:t>1</w:t>
      </w:r>
      <w:r>
        <w:rPr>
          <w:rFonts w:ascii="宋体" w:cs="宋体" w:hint="eastAsia"/>
          <w:color w:val="000000"/>
          <w:szCs w:val="21"/>
          <w:lang w:val="zh-CN"/>
        </w:rPr>
        <w:t>中标通知书是合同的重要组成部分。</w:t>
      </w:r>
    </w:p>
    <w:p>
      <w:pPr>
        <w:autoSpaceDE w:val="0"/>
        <w:autoSpaceDN w:val="0"/>
        <w:adjustRightInd w:val="0"/>
        <w:ind w:firstLine="420"/>
        <w:rPr>
          <w:color w:val="000000"/>
          <w:szCs w:val="21"/>
        </w:rPr>
      </w:pPr>
      <w:r>
        <w:rPr>
          <w:color w:val="000000"/>
          <w:szCs w:val="21"/>
        </w:rPr>
        <w:t>46.</w:t>
      </w:r>
      <w:r>
        <w:rPr>
          <w:rFonts w:hint="eastAsia"/>
          <w:color w:val="000000"/>
          <w:szCs w:val="21"/>
        </w:rPr>
        <w:t>2</w:t>
      </w:r>
      <w:r>
        <w:rPr>
          <w:rFonts w:ascii="宋体" w:cs="宋体" w:hint="eastAsia"/>
          <w:color w:val="000000"/>
          <w:szCs w:val="21"/>
          <w:lang w:val="zh-CN"/>
        </w:rPr>
        <w:t>因质疑投诉或其它原因导致项目结果变更或采购终止的，深圳市德顺项目咨询有限公司有权撤销原中标通知书。</w:t>
      </w:r>
    </w:p>
    <w:p>
      <w:pPr>
        <w:autoSpaceDE w:val="0"/>
        <w:autoSpaceDN w:val="0"/>
        <w:adjustRightInd w:val="0"/>
        <w:ind w:firstLine="422"/>
        <w:rPr>
          <w:b/>
          <w:bCs/>
          <w:color w:val="000000"/>
          <w:szCs w:val="21"/>
        </w:rPr>
      </w:pPr>
      <w:r>
        <w:rPr>
          <w:b/>
          <w:bCs/>
          <w:color w:val="000000"/>
          <w:szCs w:val="21"/>
        </w:rPr>
        <w:t>47</w:t>
      </w:r>
      <w:r>
        <w:rPr>
          <w:rFonts w:ascii="宋体" w:cs="宋体" w:hint="eastAsia"/>
          <w:b/>
          <w:bCs/>
          <w:color w:val="000000"/>
          <w:szCs w:val="21"/>
          <w:lang w:val="zh-CN"/>
        </w:rPr>
        <w:t>．签订合同</w:t>
      </w:r>
    </w:p>
    <w:p>
      <w:pPr>
        <w:autoSpaceDE w:val="0"/>
        <w:autoSpaceDN w:val="0"/>
        <w:adjustRightInd w:val="0"/>
        <w:ind w:firstLine="420"/>
        <w:rPr>
          <w:color w:val="000000"/>
          <w:szCs w:val="21"/>
        </w:rPr>
      </w:pPr>
      <w:r>
        <w:rPr>
          <w:color w:val="000000"/>
          <w:szCs w:val="21"/>
        </w:rPr>
        <w:t>47.1</w:t>
      </w:r>
      <w:r>
        <w:rPr>
          <w:rFonts w:ascii="宋体" w:cs="宋体"/>
          <w:color w:val="000000"/>
          <w:szCs w:val="21"/>
          <w:lang w:val="zh-CN"/>
        </w:rPr>
        <w:t>“</w:t>
      </w:r>
      <w:r>
        <w:rPr>
          <w:rFonts w:ascii="宋体" w:cs="宋体" w:hint="eastAsia"/>
          <w:color w:val="000000"/>
          <w:szCs w:val="21"/>
          <w:lang w:val="zh-CN"/>
        </w:rPr>
        <w:t>招标文件</w:t>
      </w:r>
      <w:r>
        <w:rPr>
          <w:rFonts w:ascii="宋体" w:cs="宋体"/>
          <w:color w:val="000000"/>
          <w:szCs w:val="21"/>
          <w:lang w:val="zh-CN"/>
        </w:rPr>
        <w:t>”</w:t>
      </w:r>
      <w:r>
        <w:rPr>
          <w:rFonts w:ascii="宋体" w:cs="宋体" w:hint="eastAsia"/>
          <w:color w:val="000000"/>
          <w:szCs w:val="21"/>
          <w:lang w:val="zh-CN"/>
        </w:rPr>
        <w:t>、中标方的</w:t>
      </w:r>
      <w:r>
        <w:rPr>
          <w:rFonts w:ascii="宋体" w:cs="宋体"/>
          <w:color w:val="000000"/>
          <w:szCs w:val="21"/>
          <w:lang w:val="zh-CN"/>
        </w:rPr>
        <w:t>“</w:t>
      </w:r>
      <w:r>
        <w:rPr>
          <w:rFonts w:ascii="宋体" w:cs="宋体" w:hint="eastAsia"/>
          <w:color w:val="000000"/>
          <w:szCs w:val="21"/>
          <w:lang w:val="zh-CN"/>
        </w:rPr>
        <w:t>投标文件</w:t>
      </w:r>
      <w:r>
        <w:rPr>
          <w:rFonts w:ascii="宋体" w:cs="宋体"/>
          <w:color w:val="000000"/>
          <w:szCs w:val="21"/>
          <w:lang w:val="zh-CN"/>
        </w:rPr>
        <w:t>”</w:t>
      </w:r>
      <w:r>
        <w:rPr>
          <w:rFonts w:ascii="宋体" w:cs="宋体" w:hint="eastAsia"/>
          <w:color w:val="000000"/>
          <w:szCs w:val="21"/>
          <w:lang w:val="zh-CN"/>
        </w:rPr>
        <w:t>及其澄清文件等，均为签订合同的依据。</w:t>
      </w:r>
    </w:p>
    <w:p>
      <w:pPr>
        <w:autoSpaceDE w:val="0"/>
        <w:autoSpaceDN w:val="0"/>
        <w:adjustRightInd w:val="0"/>
        <w:ind w:firstLine="420"/>
        <w:rPr>
          <w:color w:val="000000"/>
          <w:szCs w:val="21"/>
        </w:rPr>
      </w:pPr>
      <w:r>
        <w:rPr>
          <w:color w:val="000000"/>
          <w:szCs w:val="21"/>
        </w:rPr>
        <w:t xml:space="preserve">47.2 </w:t>
      </w:r>
      <w:r>
        <w:rPr>
          <w:rFonts w:ascii="宋体" w:cs="宋体" w:hint="eastAsia"/>
          <w:color w:val="000000"/>
          <w:szCs w:val="21"/>
          <w:lang w:val="zh-CN"/>
        </w:rPr>
        <w:t>采购人与中标人签订的合同必须遵守本招标文件的合同条件，并且不得更改合同条件。</w:t>
      </w:r>
    </w:p>
    <w:p>
      <w:pPr>
        <w:autoSpaceDE w:val="0"/>
        <w:autoSpaceDN w:val="0"/>
        <w:adjustRightInd w:val="0"/>
        <w:ind w:firstLine="420"/>
        <w:rPr>
          <w:color w:val="000000"/>
          <w:szCs w:val="21"/>
        </w:rPr>
      </w:pPr>
      <w:r>
        <w:rPr>
          <w:color w:val="000000"/>
          <w:szCs w:val="21"/>
        </w:rPr>
        <w:t xml:space="preserve">47.3  </w:t>
      </w:r>
      <w:r>
        <w:rPr>
          <w:rFonts w:ascii="宋体" w:cs="宋体" w:hint="eastAsia"/>
          <w:color w:val="000000"/>
          <w:szCs w:val="21"/>
          <w:lang w:val="zh-CN"/>
        </w:rPr>
        <w:t>采购人自政府采购合同签订之日起十日内，携带全套合同及中标（成交）通知书原件到光明区公共资源交易中心备案。如有另行签订补充合同的，采购人应在补充合同签订之日起十日内到光明区公共资源交易中心办理备案手续。采购人凭加盖</w:t>
      </w:r>
      <w:r>
        <w:rPr>
          <w:rFonts w:ascii="宋体" w:cs="宋体"/>
          <w:color w:val="000000"/>
          <w:szCs w:val="21"/>
          <w:lang w:val="zh-CN"/>
        </w:rPr>
        <w:t>“</w:t>
      </w:r>
      <w:r>
        <w:rPr>
          <w:rFonts w:ascii="宋体" w:cs="宋体" w:hint="eastAsia"/>
          <w:color w:val="000000"/>
          <w:szCs w:val="21"/>
          <w:lang w:val="zh-CN"/>
        </w:rPr>
        <w:t>合同备案专用章</w:t>
      </w:r>
      <w:r>
        <w:rPr>
          <w:rFonts w:ascii="宋体" w:cs="宋体"/>
          <w:color w:val="000000"/>
          <w:szCs w:val="21"/>
          <w:lang w:val="zh-CN"/>
        </w:rPr>
        <w:t>”</w:t>
      </w:r>
      <w:r>
        <w:rPr>
          <w:rFonts w:ascii="宋体" w:cs="宋体" w:hint="eastAsia"/>
          <w:color w:val="000000"/>
          <w:szCs w:val="21"/>
          <w:lang w:val="zh-CN"/>
        </w:rPr>
        <w:t>的合同、中标（成交）通知书及相关材料办理资金拨付手续。</w:t>
      </w:r>
    </w:p>
    <w:p>
      <w:pPr>
        <w:autoSpaceDE w:val="0"/>
        <w:autoSpaceDN w:val="0"/>
        <w:adjustRightInd w:val="0"/>
        <w:ind w:firstLine="420"/>
        <w:rPr>
          <w:color w:val="000000"/>
          <w:szCs w:val="21"/>
        </w:rPr>
      </w:pPr>
      <w:r>
        <w:rPr>
          <w:color w:val="000000"/>
          <w:szCs w:val="21"/>
        </w:rPr>
        <w:t xml:space="preserve">47.4 </w:t>
      </w:r>
      <w:r>
        <w:rPr>
          <w:rFonts w:ascii="宋体" w:cs="宋体" w:hint="eastAsia"/>
          <w:color w:val="000000"/>
          <w:szCs w:val="21"/>
          <w:lang w:val="zh-CN"/>
        </w:rPr>
        <w:t>中标人应当按照合同约定履行义务，完成中标项目，不得将中标项目转让（转包）给他人；</w:t>
      </w:r>
    </w:p>
    <w:p>
      <w:pPr>
        <w:autoSpaceDE w:val="0"/>
        <w:autoSpaceDN w:val="0"/>
        <w:adjustRightInd w:val="0"/>
        <w:ind w:firstLine="422"/>
        <w:rPr>
          <w:b/>
          <w:bCs/>
          <w:color w:val="000000"/>
          <w:szCs w:val="21"/>
        </w:rPr>
      </w:pPr>
      <w:r>
        <w:rPr>
          <w:b/>
          <w:bCs/>
          <w:color w:val="000000"/>
          <w:szCs w:val="21"/>
        </w:rPr>
        <w:t>48</w:t>
      </w:r>
      <w:r>
        <w:rPr>
          <w:rFonts w:ascii="宋体" w:cs="宋体" w:hint="eastAsia"/>
          <w:b/>
          <w:bCs/>
          <w:color w:val="000000"/>
          <w:szCs w:val="21"/>
          <w:lang w:val="zh-CN"/>
        </w:rPr>
        <w:t>．招标代理服务费</w:t>
      </w:r>
    </w:p>
    <w:p>
      <w:pPr>
        <w:pStyle w:val="ListParagraph"/>
        <w:snapToGrid w:val="0"/>
        <w:spacing w:line="360" w:lineRule="auto"/>
        <w:ind w:left="420" w:firstLine="0" w:firstLineChars="0"/>
        <w:rPr>
          <w:rFonts w:ascii="宋体" w:hAnsi="宋体"/>
          <w:szCs w:val="21"/>
        </w:rPr>
      </w:pPr>
      <w:r>
        <w:rPr>
          <w:rFonts w:ascii="Times New Roman" w:hAnsi="Times New Roman"/>
          <w:color w:val="000000"/>
          <w:szCs w:val="21"/>
        </w:rPr>
        <w:t xml:space="preserve">48.1  </w:t>
      </w:r>
      <w:r>
        <w:rPr>
          <w:rFonts w:ascii="宋体" w:hAnsi="宋体" w:hint="eastAsia"/>
          <w:szCs w:val="21"/>
        </w:rPr>
        <w:t>根据原国家计委《招标代理服务收费管理暂行办法》（计价格[2002]1980号）和国家发改委办公厅《关于招标代理服务收费有关问题的通知》（发改办价格[2003]857号）文件相关规定，</w:t>
      </w:r>
      <w:r>
        <w:rPr>
          <w:rFonts w:ascii="宋体" w:hAnsi="宋体"/>
          <w:szCs w:val="21"/>
        </w:rPr>
        <w:t>招标代理服务费</w:t>
      </w:r>
      <w:r>
        <w:rPr>
          <w:rFonts w:ascii="宋体" w:hAnsi="宋体" w:hint="eastAsia"/>
          <w:szCs w:val="21"/>
        </w:rPr>
        <w:t>以中标金额为基数、按</w:t>
      </w:r>
      <w:r>
        <w:rPr>
          <w:rFonts w:ascii="宋体" w:hAnsi="宋体"/>
          <w:szCs w:val="21"/>
        </w:rPr>
        <w:t>差额定率累进法</w:t>
      </w:r>
      <w:r>
        <w:rPr>
          <w:rFonts w:ascii="宋体" w:hAnsi="宋体" w:hint="eastAsia"/>
          <w:szCs w:val="21"/>
        </w:rPr>
        <w:t>计算</w:t>
      </w:r>
      <w:r>
        <w:rPr>
          <w:rFonts w:ascii="宋体" w:hAnsi="宋体"/>
          <w:szCs w:val="21"/>
        </w:rPr>
        <w:t>。</w:t>
      </w:r>
    </w:p>
    <w:p>
      <w:pPr>
        <w:pStyle w:val="ListParagraph"/>
        <w:snapToGrid w:val="0"/>
        <w:spacing w:line="360" w:lineRule="auto"/>
        <w:ind w:left="420" w:firstLine="0" w:firstLineChars="0"/>
        <w:rPr>
          <w:rFonts w:ascii="黑体" w:eastAsia="黑体" w:hAnsi="宋体"/>
        </w:rPr>
      </w:pPr>
      <w:r>
        <w:rPr>
          <w:rFonts w:ascii="宋体" w:hAnsi="宋体" w:hint="eastAsia"/>
          <w:szCs w:val="21"/>
        </w:rPr>
        <w:t>具体</w:t>
      </w:r>
      <w:r>
        <w:rPr>
          <w:rFonts w:ascii="宋体" w:hAnsi="宋体"/>
          <w:szCs w:val="21"/>
        </w:rPr>
        <w:t>计取费率标准</w:t>
      </w:r>
      <w:r>
        <w:rPr>
          <w:rFonts w:ascii="宋体" w:hAnsi="宋体" w:hint="eastAsia"/>
          <w:szCs w:val="21"/>
        </w:rPr>
        <w:t>如下表所示：</w:t>
      </w:r>
    </w:p>
    <w:tbl>
      <w:tblPr>
        <w:tblStyle w:val="TableNormal"/>
        <w:tblW w:w="9624" w:type="dxa"/>
        <w:jc w:val="center"/>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
      <w:tblGrid>
        <w:gridCol w:w="3152"/>
        <w:gridCol w:w="2268"/>
        <w:gridCol w:w="2102"/>
        <w:gridCol w:w="2102"/>
      </w:tblGrid>
      <w:tr>
        <w:tblPrEx>
          <w:tblW w:w="9624" w:type="dxa"/>
          <w:jc w:val="center"/>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0" w:type="dxa"/>
            <w:left w:w="108" w:type="dxa"/>
            <w:bottom w:w="0" w:type="dxa"/>
            <w:right w:w="108" w:type="dxa"/>
          </w:tblCellMar>
        </w:tblPrEx>
        <w:trPr>
          <w:trHeight w:val="794"/>
          <w:jc w:val="center"/>
        </w:trPr>
        <w:tc>
          <w:tcPr>
            <w:tcW w:w="3152" w:type="dxa"/>
            <w:vAlign w:val="center"/>
          </w:tcPr>
          <w:p>
            <w:pPr>
              <w:snapToGrid w:val="0"/>
              <w:spacing w:line="360" w:lineRule="auto"/>
              <w:ind w:firstLine="470" w:firstLineChars="196"/>
              <w:rPr>
                <w:rFonts w:ascii="宋体" w:hAnsi="宋体"/>
                <w:szCs w:val="21"/>
              </w:rPr>
            </w:pPr>
            <w:r>
              <w:rPr>
                <w:rFonts w:ascii="宋体" w:hAnsi="宋体" w:hint="eastAsia"/>
                <w:szCs w:val="21"/>
              </w:rPr>
              <w:t xml:space="preserve">         类型</w:t>
            </w:r>
          </w:p>
          <w:p>
            <w:pPr>
              <w:snapToGrid w:val="0"/>
              <w:spacing w:line="360" w:lineRule="auto"/>
              <w:ind w:firstLine="470" w:firstLineChars="196"/>
              <w:rPr>
                <w:rFonts w:ascii="宋体" w:hAnsi="宋体"/>
                <w:szCs w:val="21"/>
              </w:rPr>
            </w:pPr>
            <w:r>
              <w:rPr>
                <w:rFonts w:ascii="宋体" w:hAnsi="宋体" w:hint="eastAsia"/>
                <w:szCs w:val="21"/>
              </w:rPr>
              <w:t>中标金额</w:t>
            </w:r>
          </w:p>
        </w:tc>
        <w:tc>
          <w:tcPr>
            <w:tcW w:w="2268" w:type="dxa"/>
            <w:vAlign w:val="center"/>
          </w:tcPr>
          <w:p>
            <w:pPr>
              <w:snapToGrid w:val="0"/>
              <w:spacing w:line="360" w:lineRule="auto"/>
              <w:ind w:firstLine="470" w:firstLineChars="196"/>
              <w:rPr>
                <w:rFonts w:ascii="宋体" w:hAnsi="宋体"/>
                <w:szCs w:val="21"/>
              </w:rPr>
            </w:pPr>
            <w:r>
              <w:rPr>
                <w:rFonts w:ascii="宋体" w:hAnsi="宋体" w:hint="eastAsia"/>
                <w:szCs w:val="21"/>
              </w:rPr>
              <w:t>货物招标</w:t>
            </w:r>
          </w:p>
        </w:tc>
        <w:tc>
          <w:tcPr>
            <w:tcW w:w="2102" w:type="dxa"/>
            <w:vAlign w:val="center"/>
          </w:tcPr>
          <w:p>
            <w:pPr>
              <w:snapToGrid w:val="0"/>
              <w:spacing w:line="360" w:lineRule="auto"/>
              <w:ind w:firstLine="470" w:firstLineChars="196"/>
              <w:rPr>
                <w:rFonts w:ascii="宋体" w:hAnsi="宋体"/>
                <w:szCs w:val="21"/>
              </w:rPr>
            </w:pPr>
            <w:r>
              <w:rPr>
                <w:rFonts w:ascii="宋体" w:hAnsi="宋体" w:hint="eastAsia"/>
                <w:szCs w:val="21"/>
              </w:rPr>
              <w:t>服务招标</w:t>
            </w:r>
          </w:p>
        </w:tc>
        <w:tc>
          <w:tcPr>
            <w:tcW w:w="2102" w:type="dxa"/>
            <w:vAlign w:val="center"/>
          </w:tcPr>
          <w:p>
            <w:pPr>
              <w:snapToGrid w:val="0"/>
              <w:spacing w:line="360" w:lineRule="auto"/>
              <w:ind w:firstLine="470" w:firstLineChars="196"/>
              <w:rPr>
                <w:rFonts w:ascii="宋体" w:hAnsi="宋体"/>
                <w:szCs w:val="21"/>
              </w:rPr>
            </w:pPr>
            <w:r>
              <w:rPr>
                <w:rFonts w:ascii="宋体" w:hAnsi="宋体" w:hint="eastAsia"/>
                <w:szCs w:val="21"/>
              </w:rPr>
              <w:t>工程招标</w:t>
            </w:r>
          </w:p>
        </w:tc>
      </w:tr>
      <w:tr>
        <w:tblPrEx>
          <w:tblW w:w="9624" w:type="dxa"/>
          <w:jc w:val="center"/>
          <w:tblInd w:w="0" w:type="dxa"/>
          <w:tblLayout w:type="fixed"/>
          <w:tblCellMar>
            <w:top w:w="0" w:type="dxa"/>
            <w:left w:w="108" w:type="dxa"/>
            <w:bottom w:w="0" w:type="dxa"/>
            <w:right w:w="108" w:type="dxa"/>
          </w:tblCellMar>
        </w:tblPrEx>
        <w:trPr>
          <w:trHeight w:val="402"/>
          <w:jc w:val="center"/>
        </w:trPr>
        <w:tc>
          <w:tcPr>
            <w:tcW w:w="3152" w:type="dxa"/>
            <w:vAlign w:val="center"/>
          </w:tcPr>
          <w:p>
            <w:pPr>
              <w:spacing w:line="360" w:lineRule="auto"/>
              <w:jc w:val="center"/>
              <w:rPr>
                <w:rFonts w:ascii="宋体" w:hAnsi="宋体"/>
                <w:bCs/>
                <w:szCs w:val="21"/>
              </w:rPr>
            </w:pPr>
            <w:r>
              <w:rPr>
                <w:rFonts w:ascii="宋体" w:hAnsi="宋体" w:hint="eastAsia"/>
                <w:szCs w:val="21"/>
              </w:rPr>
              <w:t>100万元以下</w:t>
            </w:r>
          </w:p>
        </w:tc>
        <w:tc>
          <w:tcPr>
            <w:tcW w:w="2268" w:type="dxa"/>
            <w:vAlign w:val="center"/>
          </w:tcPr>
          <w:p>
            <w:pPr>
              <w:spacing w:line="360" w:lineRule="auto"/>
              <w:jc w:val="center"/>
              <w:rPr>
                <w:rFonts w:ascii="宋体" w:hAnsi="宋体"/>
                <w:szCs w:val="21"/>
              </w:rPr>
            </w:pPr>
            <w:r>
              <w:rPr>
                <w:rFonts w:ascii="宋体" w:hAnsi="宋体"/>
                <w:szCs w:val="21"/>
              </w:rPr>
              <w:t>1.5%</w:t>
            </w:r>
          </w:p>
        </w:tc>
        <w:tc>
          <w:tcPr>
            <w:tcW w:w="2102" w:type="dxa"/>
            <w:vAlign w:val="center"/>
          </w:tcPr>
          <w:p>
            <w:pPr>
              <w:spacing w:line="360" w:lineRule="auto"/>
              <w:ind w:firstLine="240" w:firstLineChars="100"/>
              <w:jc w:val="center"/>
              <w:rPr>
                <w:rFonts w:ascii="宋体" w:hAnsi="宋体"/>
                <w:szCs w:val="21"/>
              </w:rPr>
            </w:pPr>
            <w:r>
              <w:rPr>
                <w:rFonts w:ascii="宋体" w:hAnsi="宋体" w:cs="宋体" w:hint="eastAsia"/>
                <w:szCs w:val="21"/>
              </w:rPr>
              <w:t>1.5%</w:t>
            </w:r>
          </w:p>
        </w:tc>
        <w:tc>
          <w:tcPr>
            <w:tcW w:w="2102" w:type="dxa"/>
          </w:tcPr>
          <w:p>
            <w:pPr>
              <w:spacing w:line="360" w:lineRule="auto"/>
              <w:ind w:firstLine="240" w:firstLineChars="100"/>
              <w:jc w:val="center"/>
              <w:rPr>
                <w:rFonts w:ascii="宋体" w:hAnsi="宋体" w:cs="宋体"/>
                <w:szCs w:val="21"/>
              </w:rPr>
            </w:pPr>
            <w:r>
              <w:rPr>
                <w:rFonts w:ascii="宋体" w:hAnsi="宋体" w:cs="宋体" w:hint="eastAsia"/>
                <w:szCs w:val="21"/>
              </w:rPr>
              <w:t>1.0%</w:t>
            </w:r>
          </w:p>
        </w:tc>
      </w:tr>
      <w:tr>
        <w:tblPrEx>
          <w:tblW w:w="9624" w:type="dxa"/>
          <w:jc w:val="center"/>
          <w:tblInd w:w="0" w:type="dxa"/>
          <w:tblLayout w:type="fixed"/>
          <w:tblCellMar>
            <w:top w:w="0" w:type="dxa"/>
            <w:left w:w="108" w:type="dxa"/>
            <w:bottom w:w="0" w:type="dxa"/>
            <w:right w:w="108" w:type="dxa"/>
          </w:tblCellMar>
        </w:tblPrEx>
        <w:trPr>
          <w:trHeight w:val="402"/>
          <w:jc w:val="center"/>
        </w:trPr>
        <w:tc>
          <w:tcPr>
            <w:tcW w:w="3152" w:type="dxa"/>
            <w:vAlign w:val="center"/>
          </w:tcPr>
          <w:p>
            <w:pPr>
              <w:spacing w:line="360" w:lineRule="auto"/>
              <w:jc w:val="center"/>
              <w:rPr>
                <w:rFonts w:ascii="宋体" w:hAnsi="宋体"/>
                <w:szCs w:val="21"/>
              </w:rPr>
            </w:pPr>
            <w:r>
              <w:rPr>
                <w:rFonts w:ascii="宋体" w:hAnsi="宋体" w:hint="eastAsia"/>
                <w:szCs w:val="21"/>
              </w:rPr>
              <w:t>100～500万元</w:t>
            </w:r>
          </w:p>
        </w:tc>
        <w:tc>
          <w:tcPr>
            <w:tcW w:w="2268" w:type="dxa"/>
            <w:vAlign w:val="center"/>
          </w:tcPr>
          <w:p>
            <w:pPr>
              <w:spacing w:line="360" w:lineRule="auto"/>
              <w:jc w:val="center"/>
              <w:rPr>
                <w:rFonts w:ascii="宋体" w:hAnsi="宋体"/>
                <w:szCs w:val="21"/>
              </w:rPr>
            </w:pPr>
            <w:r>
              <w:rPr>
                <w:rFonts w:ascii="宋体" w:hAnsi="宋体"/>
                <w:szCs w:val="21"/>
              </w:rPr>
              <w:t>1.1%</w:t>
            </w:r>
          </w:p>
        </w:tc>
        <w:tc>
          <w:tcPr>
            <w:tcW w:w="2102" w:type="dxa"/>
            <w:vAlign w:val="center"/>
          </w:tcPr>
          <w:p>
            <w:pPr>
              <w:spacing w:line="360" w:lineRule="auto"/>
              <w:ind w:firstLine="240" w:firstLineChars="100"/>
              <w:jc w:val="center"/>
              <w:rPr>
                <w:rFonts w:ascii="宋体" w:hAnsi="宋体"/>
                <w:szCs w:val="21"/>
              </w:rPr>
            </w:pPr>
            <w:r>
              <w:rPr>
                <w:rFonts w:ascii="宋体" w:hAnsi="宋体" w:cs="宋体" w:hint="eastAsia"/>
                <w:szCs w:val="21"/>
              </w:rPr>
              <w:t>0.8%</w:t>
            </w:r>
          </w:p>
        </w:tc>
        <w:tc>
          <w:tcPr>
            <w:tcW w:w="2102" w:type="dxa"/>
          </w:tcPr>
          <w:p>
            <w:pPr>
              <w:spacing w:line="360" w:lineRule="auto"/>
              <w:ind w:firstLine="240" w:firstLineChars="100"/>
              <w:jc w:val="center"/>
              <w:rPr>
                <w:rFonts w:ascii="宋体" w:hAnsi="宋体" w:cs="宋体"/>
                <w:szCs w:val="21"/>
              </w:rPr>
            </w:pPr>
            <w:r>
              <w:rPr>
                <w:rFonts w:ascii="宋体" w:hAnsi="宋体" w:cs="宋体" w:hint="eastAsia"/>
                <w:szCs w:val="21"/>
              </w:rPr>
              <w:t>0.7%</w:t>
            </w:r>
          </w:p>
        </w:tc>
      </w:tr>
      <w:tr>
        <w:tblPrEx>
          <w:tblW w:w="9624" w:type="dxa"/>
          <w:jc w:val="center"/>
          <w:tblInd w:w="0" w:type="dxa"/>
          <w:tblLayout w:type="fixed"/>
          <w:tblCellMar>
            <w:top w:w="0" w:type="dxa"/>
            <w:left w:w="108" w:type="dxa"/>
            <w:bottom w:w="0" w:type="dxa"/>
            <w:right w:w="108" w:type="dxa"/>
          </w:tblCellMar>
        </w:tblPrEx>
        <w:trPr>
          <w:trHeight w:val="402"/>
          <w:jc w:val="center"/>
        </w:trPr>
        <w:tc>
          <w:tcPr>
            <w:tcW w:w="3152" w:type="dxa"/>
            <w:vAlign w:val="center"/>
          </w:tcPr>
          <w:p>
            <w:pPr>
              <w:spacing w:line="360" w:lineRule="auto"/>
              <w:jc w:val="center"/>
              <w:rPr>
                <w:rFonts w:ascii="宋体" w:hAnsi="宋体"/>
                <w:szCs w:val="21"/>
              </w:rPr>
            </w:pPr>
            <w:r>
              <w:rPr>
                <w:rFonts w:ascii="宋体" w:hAnsi="宋体" w:hint="eastAsia"/>
                <w:szCs w:val="21"/>
              </w:rPr>
              <w:t>500～1000万元</w:t>
            </w:r>
          </w:p>
        </w:tc>
        <w:tc>
          <w:tcPr>
            <w:tcW w:w="2268" w:type="dxa"/>
            <w:vAlign w:val="center"/>
          </w:tcPr>
          <w:p>
            <w:pPr>
              <w:spacing w:line="360" w:lineRule="auto"/>
              <w:jc w:val="center"/>
              <w:rPr>
                <w:rFonts w:ascii="宋体" w:hAnsi="宋体"/>
                <w:szCs w:val="21"/>
              </w:rPr>
            </w:pPr>
            <w:r>
              <w:rPr>
                <w:rFonts w:ascii="宋体" w:hAnsi="宋体"/>
                <w:szCs w:val="21"/>
              </w:rPr>
              <w:t>0.8%</w:t>
            </w:r>
          </w:p>
        </w:tc>
        <w:tc>
          <w:tcPr>
            <w:tcW w:w="2102" w:type="dxa"/>
            <w:vAlign w:val="center"/>
          </w:tcPr>
          <w:p>
            <w:pPr>
              <w:spacing w:line="360" w:lineRule="auto"/>
              <w:ind w:firstLine="240" w:firstLineChars="100"/>
              <w:jc w:val="center"/>
              <w:rPr>
                <w:rFonts w:ascii="宋体" w:hAnsi="宋体"/>
                <w:szCs w:val="21"/>
              </w:rPr>
            </w:pPr>
            <w:r>
              <w:rPr>
                <w:rFonts w:ascii="宋体" w:hAnsi="宋体" w:cs="宋体" w:hint="eastAsia"/>
                <w:szCs w:val="21"/>
              </w:rPr>
              <w:t>0.45%</w:t>
            </w:r>
          </w:p>
        </w:tc>
        <w:tc>
          <w:tcPr>
            <w:tcW w:w="2102" w:type="dxa"/>
          </w:tcPr>
          <w:p>
            <w:pPr>
              <w:spacing w:line="360" w:lineRule="auto"/>
              <w:ind w:firstLine="240" w:firstLineChars="100"/>
              <w:jc w:val="center"/>
              <w:rPr>
                <w:rFonts w:ascii="宋体" w:hAnsi="宋体" w:cs="宋体"/>
                <w:szCs w:val="21"/>
              </w:rPr>
            </w:pPr>
            <w:r>
              <w:rPr>
                <w:rFonts w:ascii="宋体" w:hAnsi="宋体" w:cs="宋体" w:hint="eastAsia"/>
                <w:szCs w:val="21"/>
              </w:rPr>
              <w:t>0.55%</w:t>
            </w:r>
          </w:p>
        </w:tc>
      </w:tr>
      <w:tr>
        <w:tblPrEx>
          <w:tblW w:w="9624" w:type="dxa"/>
          <w:jc w:val="center"/>
          <w:tblInd w:w="0" w:type="dxa"/>
          <w:tblLayout w:type="fixed"/>
          <w:tblCellMar>
            <w:top w:w="0" w:type="dxa"/>
            <w:left w:w="108" w:type="dxa"/>
            <w:bottom w:w="0" w:type="dxa"/>
            <w:right w:w="108" w:type="dxa"/>
          </w:tblCellMar>
        </w:tblPrEx>
        <w:trPr>
          <w:trHeight w:val="402"/>
          <w:jc w:val="center"/>
        </w:trPr>
        <w:tc>
          <w:tcPr>
            <w:tcW w:w="3152" w:type="dxa"/>
            <w:vAlign w:val="center"/>
          </w:tcPr>
          <w:p>
            <w:pPr>
              <w:spacing w:line="360" w:lineRule="auto"/>
              <w:jc w:val="center"/>
              <w:rPr>
                <w:rFonts w:ascii="宋体" w:hAnsi="宋体"/>
                <w:szCs w:val="21"/>
              </w:rPr>
            </w:pPr>
            <w:r>
              <w:rPr>
                <w:rFonts w:ascii="宋体" w:hAnsi="宋体" w:hint="eastAsia"/>
                <w:szCs w:val="21"/>
              </w:rPr>
              <w:t>1000～5000万元</w:t>
            </w:r>
          </w:p>
        </w:tc>
        <w:tc>
          <w:tcPr>
            <w:tcW w:w="2268" w:type="dxa"/>
            <w:vAlign w:val="center"/>
          </w:tcPr>
          <w:p>
            <w:pPr>
              <w:spacing w:line="360" w:lineRule="auto"/>
              <w:jc w:val="center"/>
              <w:rPr>
                <w:rFonts w:ascii="宋体" w:hAnsi="宋体"/>
                <w:szCs w:val="21"/>
              </w:rPr>
            </w:pPr>
            <w:r>
              <w:rPr>
                <w:rFonts w:ascii="宋体" w:hAnsi="宋体"/>
                <w:szCs w:val="21"/>
              </w:rPr>
              <w:t>0.5%</w:t>
            </w:r>
          </w:p>
        </w:tc>
        <w:tc>
          <w:tcPr>
            <w:tcW w:w="2102" w:type="dxa"/>
            <w:vAlign w:val="center"/>
          </w:tcPr>
          <w:p>
            <w:pPr>
              <w:spacing w:line="360" w:lineRule="auto"/>
              <w:ind w:firstLine="240" w:firstLineChars="100"/>
              <w:jc w:val="center"/>
              <w:rPr>
                <w:rFonts w:ascii="宋体" w:hAnsi="宋体"/>
                <w:szCs w:val="21"/>
              </w:rPr>
            </w:pPr>
            <w:r>
              <w:rPr>
                <w:rFonts w:ascii="宋体" w:hAnsi="宋体" w:cs="宋体" w:hint="eastAsia"/>
                <w:szCs w:val="21"/>
              </w:rPr>
              <w:t>0.25%</w:t>
            </w:r>
          </w:p>
        </w:tc>
        <w:tc>
          <w:tcPr>
            <w:tcW w:w="2102" w:type="dxa"/>
          </w:tcPr>
          <w:p>
            <w:pPr>
              <w:spacing w:line="360" w:lineRule="auto"/>
              <w:ind w:firstLine="240" w:firstLineChars="100"/>
              <w:jc w:val="center"/>
              <w:rPr>
                <w:rFonts w:ascii="宋体" w:hAnsi="宋体" w:cs="宋体"/>
                <w:szCs w:val="21"/>
              </w:rPr>
            </w:pPr>
            <w:r>
              <w:rPr>
                <w:rFonts w:ascii="宋体" w:hAnsi="宋体" w:cs="宋体" w:hint="eastAsia"/>
                <w:szCs w:val="21"/>
              </w:rPr>
              <w:t>0.35%</w:t>
            </w:r>
          </w:p>
        </w:tc>
      </w:tr>
      <w:tr>
        <w:tblPrEx>
          <w:tblW w:w="9624" w:type="dxa"/>
          <w:jc w:val="center"/>
          <w:tblInd w:w="0" w:type="dxa"/>
          <w:tblLayout w:type="fixed"/>
          <w:tblCellMar>
            <w:top w:w="0" w:type="dxa"/>
            <w:left w:w="108" w:type="dxa"/>
            <w:bottom w:w="0" w:type="dxa"/>
            <w:right w:w="108" w:type="dxa"/>
          </w:tblCellMar>
        </w:tblPrEx>
        <w:trPr>
          <w:trHeight w:val="402"/>
          <w:jc w:val="center"/>
        </w:trPr>
        <w:tc>
          <w:tcPr>
            <w:tcW w:w="3152" w:type="dxa"/>
            <w:vAlign w:val="center"/>
          </w:tcPr>
          <w:p>
            <w:pPr>
              <w:spacing w:line="360" w:lineRule="auto"/>
              <w:jc w:val="center"/>
              <w:rPr>
                <w:rFonts w:ascii="宋体" w:hAnsi="宋体"/>
                <w:szCs w:val="21"/>
              </w:rPr>
            </w:pPr>
            <w:r>
              <w:rPr>
                <w:rFonts w:ascii="宋体" w:hAnsi="宋体" w:hint="eastAsia"/>
                <w:szCs w:val="21"/>
              </w:rPr>
              <w:t>5000万元～1亿元</w:t>
            </w:r>
          </w:p>
        </w:tc>
        <w:tc>
          <w:tcPr>
            <w:tcW w:w="2268" w:type="dxa"/>
            <w:vAlign w:val="center"/>
          </w:tcPr>
          <w:p>
            <w:pPr>
              <w:spacing w:line="360" w:lineRule="auto"/>
              <w:jc w:val="center"/>
              <w:rPr>
                <w:rFonts w:ascii="宋体" w:hAnsi="宋体"/>
                <w:szCs w:val="21"/>
              </w:rPr>
            </w:pPr>
            <w:r>
              <w:rPr>
                <w:rFonts w:ascii="宋体" w:hAnsi="宋体"/>
                <w:szCs w:val="21"/>
              </w:rPr>
              <w:t>0.25%</w:t>
            </w:r>
          </w:p>
        </w:tc>
        <w:tc>
          <w:tcPr>
            <w:tcW w:w="2102" w:type="dxa"/>
            <w:vAlign w:val="center"/>
          </w:tcPr>
          <w:p>
            <w:pPr>
              <w:spacing w:line="360" w:lineRule="auto"/>
              <w:ind w:firstLine="240" w:firstLineChars="100"/>
              <w:jc w:val="center"/>
              <w:rPr>
                <w:rFonts w:ascii="宋体" w:hAnsi="宋体"/>
                <w:szCs w:val="21"/>
              </w:rPr>
            </w:pPr>
            <w:r>
              <w:rPr>
                <w:rFonts w:ascii="宋体" w:hAnsi="宋体" w:cs="宋体" w:hint="eastAsia"/>
                <w:szCs w:val="21"/>
              </w:rPr>
              <w:t>0.1%</w:t>
            </w:r>
          </w:p>
        </w:tc>
        <w:tc>
          <w:tcPr>
            <w:tcW w:w="2102" w:type="dxa"/>
          </w:tcPr>
          <w:p>
            <w:pPr>
              <w:spacing w:line="360" w:lineRule="auto"/>
              <w:ind w:firstLine="240" w:firstLineChars="100"/>
              <w:jc w:val="center"/>
              <w:rPr>
                <w:rFonts w:ascii="宋体" w:hAnsi="宋体" w:cs="宋体"/>
                <w:szCs w:val="21"/>
              </w:rPr>
            </w:pPr>
            <w:r>
              <w:rPr>
                <w:rFonts w:ascii="宋体" w:hAnsi="宋体" w:cs="宋体" w:hint="eastAsia"/>
                <w:szCs w:val="21"/>
              </w:rPr>
              <w:t>0.2%</w:t>
            </w:r>
          </w:p>
        </w:tc>
      </w:tr>
      <w:tr>
        <w:tblPrEx>
          <w:tblW w:w="9624" w:type="dxa"/>
          <w:jc w:val="center"/>
          <w:tblInd w:w="0" w:type="dxa"/>
          <w:tblLayout w:type="fixed"/>
          <w:tblCellMar>
            <w:top w:w="0" w:type="dxa"/>
            <w:left w:w="108" w:type="dxa"/>
            <w:bottom w:w="0" w:type="dxa"/>
            <w:right w:w="108" w:type="dxa"/>
          </w:tblCellMar>
        </w:tblPrEx>
        <w:trPr>
          <w:trHeight w:val="402"/>
          <w:jc w:val="center"/>
        </w:trPr>
        <w:tc>
          <w:tcPr>
            <w:tcW w:w="3152" w:type="dxa"/>
            <w:vAlign w:val="center"/>
          </w:tcPr>
          <w:p>
            <w:pPr>
              <w:spacing w:line="360" w:lineRule="auto"/>
              <w:jc w:val="center"/>
              <w:rPr>
                <w:rFonts w:ascii="宋体" w:hAnsi="宋体"/>
                <w:szCs w:val="21"/>
              </w:rPr>
            </w:pPr>
            <w:r>
              <w:rPr>
                <w:rFonts w:ascii="宋体" w:hAnsi="宋体" w:hint="eastAsia"/>
                <w:szCs w:val="21"/>
              </w:rPr>
              <w:t>1～5亿元</w:t>
            </w:r>
          </w:p>
        </w:tc>
        <w:tc>
          <w:tcPr>
            <w:tcW w:w="2268" w:type="dxa"/>
            <w:vAlign w:val="center"/>
          </w:tcPr>
          <w:p>
            <w:pPr>
              <w:spacing w:line="360" w:lineRule="auto"/>
              <w:jc w:val="center"/>
              <w:rPr>
                <w:rFonts w:ascii="宋体" w:hAnsi="宋体"/>
                <w:szCs w:val="21"/>
              </w:rPr>
            </w:pPr>
            <w:r>
              <w:rPr>
                <w:rFonts w:ascii="宋体" w:hAnsi="宋体" w:hint="eastAsia"/>
                <w:szCs w:val="21"/>
              </w:rPr>
              <w:t>0.05%</w:t>
            </w:r>
          </w:p>
        </w:tc>
        <w:tc>
          <w:tcPr>
            <w:tcW w:w="2102" w:type="dxa"/>
            <w:vAlign w:val="center"/>
          </w:tcPr>
          <w:p>
            <w:pPr>
              <w:spacing w:line="360" w:lineRule="auto"/>
              <w:jc w:val="center"/>
              <w:rPr>
                <w:rFonts w:ascii="宋体" w:hAnsi="宋体"/>
                <w:szCs w:val="21"/>
              </w:rPr>
            </w:pPr>
            <w:r>
              <w:rPr>
                <w:rFonts w:ascii="宋体" w:hAnsi="宋体" w:hint="eastAsia"/>
                <w:szCs w:val="21"/>
              </w:rPr>
              <w:t>0.05%</w:t>
            </w:r>
          </w:p>
        </w:tc>
        <w:tc>
          <w:tcPr>
            <w:tcW w:w="2102" w:type="dxa"/>
          </w:tcPr>
          <w:p>
            <w:pPr>
              <w:spacing w:line="360" w:lineRule="auto"/>
              <w:jc w:val="center"/>
              <w:rPr>
                <w:rFonts w:ascii="宋体" w:hAnsi="宋体"/>
                <w:szCs w:val="21"/>
              </w:rPr>
            </w:pPr>
            <w:r>
              <w:rPr>
                <w:rFonts w:ascii="宋体" w:hAnsi="宋体" w:hint="eastAsia"/>
                <w:szCs w:val="21"/>
              </w:rPr>
              <w:t>0.05%</w:t>
            </w:r>
          </w:p>
        </w:tc>
      </w:tr>
      <w:tr>
        <w:tblPrEx>
          <w:tblW w:w="9624" w:type="dxa"/>
          <w:jc w:val="center"/>
          <w:tblInd w:w="0" w:type="dxa"/>
          <w:tblLayout w:type="fixed"/>
          <w:tblCellMar>
            <w:top w:w="0" w:type="dxa"/>
            <w:left w:w="108" w:type="dxa"/>
            <w:bottom w:w="0" w:type="dxa"/>
            <w:right w:w="108" w:type="dxa"/>
          </w:tblCellMar>
        </w:tblPrEx>
        <w:trPr>
          <w:trHeight w:val="402"/>
          <w:jc w:val="center"/>
        </w:trPr>
        <w:tc>
          <w:tcPr>
            <w:tcW w:w="3152" w:type="dxa"/>
            <w:vAlign w:val="center"/>
          </w:tcPr>
          <w:p>
            <w:pPr>
              <w:spacing w:line="360" w:lineRule="auto"/>
              <w:jc w:val="center"/>
              <w:rPr>
                <w:rFonts w:ascii="宋体" w:hAnsi="宋体"/>
                <w:szCs w:val="21"/>
              </w:rPr>
            </w:pPr>
            <w:r>
              <w:rPr>
                <w:rFonts w:ascii="宋体" w:hAnsi="宋体" w:hint="eastAsia"/>
                <w:szCs w:val="21"/>
              </w:rPr>
              <w:t>5～10亿元</w:t>
            </w:r>
          </w:p>
        </w:tc>
        <w:tc>
          <w:tcPr>
            <w:tcW w:w="2268" w:type="dxa"/>
            <w:vAlign w:val="center"/>
          </w:tcPr>
          <w:p>
            <w:pPr>
              <w:spacing w:line="360" w:lineRule="auto"/>
              <w:jc w:val="center"/>
              <w:rPr>
                <w:rFonts w:ascii="宋体" w:hAnsi="宋体"/>
                <w:szCs w:val="21"/>
              </w:rPr>
            </w:pPr>
            <w:r>
              <w:rPr>
                <w:rFonts w:ascii="宋体" w:hAnsi="宋体" w:hint="eastAsia"/>
                <w:szCs w:val="21"/>
              </w:rPr>
              <w:t>0.038%</w:t>
            </w:r>
          </w:p>
        </w:tc>
        <w:tc>
          <w:tcPr>
            <w:tcW w:w="2102" w:type="dxa"/>
            <w:vAlign w:val="center"/>
          </w:tcPr>
          <w:p>
            <w:pPr>
              <w:spacing w:line="360" w:lineRule="auto"/>
              <w:jc w:val="center"/>
              <w:rPr>
                <w:rFonts w:ascii="宋体" w:hAnsi="宋体"/>
                <w:szCs w:val="21"/>
              </w:rPr>
            </w:pPr>
            <w:r>
              <w:rPr>
                <w:rFonts w:ascii="宋体" w:hAnsi="宋体" w:hint="eastAsia"/>
                <w:szCs w:val="21"/>
              </w:rPr>
              <w:t>0.038%</w:t>
            </w:r>
          </w:p>
        </w:tc>
        <w:tc>
          <w:tcPr>
            <w:tcW w:w="2102" w:type="dxa"/>
          </w:tcPr>
          <w:p>
            <w:pPr>
              <w:spacing w:line="360" w:lineRule="auto"/>
              <w:jc w:val="center"/>
              <w:rPr>
                <w:rFonts w:ascii="宋体" w:hAnsi="宋体"/>
                <w:szCs w:val="21"/>
              </w:rPr>
            </w:pPr>
            <w:r>
              <w:rPr>
                <w:rFonts w:ascii="宋体" w:hAnsi="宋体" w:hint="eastAsia"/>
                <w:szCs w:val="21"/>
              </w:rPr>
              <w:t>0.038%</w:t>
            </w:r>
          </w:p>
        </w:tc>
      </w:tr>
      <w:tr>
        <w:tblPrEx>
          <w:tblW w:w="9624" w:type="dxa"/>
          <w:jc w:val="center"/>
          <w:tblInd w:w="0" w:type="dxa"/>
          <w:tblLayout w:type="fixed"/>
          <w:tblCellMar>
            <w:top w:w="0" w:type="dxa"/>
            <w:left w:w="108" w:type="dxa"/>
            <w:bottom w:w="0" w:type="dxa"/>
            <w:right w:w="108" w:type="dxa"/>
          </w:tblCellMar>
        </w:tblPrEx>
        <w:trPr>
          <w:trHeight w:val="402"/>
          <w:jc w:val="center"/>
        </w:trPr>
        <w:tc>
          <w:tcPr>
            <w:tcW w:w="3152" w:type="dxa"/>
            <w:vAlign w:val="center"/>
          </w:tcPr>
          <w:p>
            <w:pPr>
              <w:spacing w:line="360" w:lineRule="auto"/>
              <w:jc w:val="center"/>
              <w:rPr>
                <w:rFonts w:ascii="宋体" w:hAnsi="宋体"/>
                <w:szCs w:val="21"/>
              </w:rPr>
            </w:pPr>
            <w:r>
              <w:rPr>
                <w:rFonts w:ascii="宋体" w:hAnsi="宋体" w:hint="eastAsia"/>
                <w:szCs w:val="21"/>
              </w:rPr>
              <w:t>10～50亿元</w:t>
            </w:r>
          </w:p>
        </w:tc>
        <w:tc>
          <w:tcPr>
            <w:tcW w:w="2268" w:type="dxa"/>
            <w:vAlign w:val="center"/>
          </w:tcPr>
          <w:p>
            <w:pPr>
              <w:spacing w:line="360" w:lineRule="auto"/>
              <w:jc w:val="center"/>
              <w:rPr>
                <w:rFonts w:ascii="宋体" w:hAnsi="宋体"/>
                <w:szCs w:val="21"/>
              </w:rPr>
            </w:pPr>
            <w:r>
              <w:rPr>
                <w:rFonts w:ascii="宋体" w:hAnsi="宋体" w:hint="eastAsia"/>
                <w:szCs w:val="21"/>
              </w:rPr>
              <w:t>0.008%</w:t>
            </w:r>
          </w:p>
        </w:tc>
        <w:tc>
          <w:tcPr>
            <w:tcW w:w="2102" w:type="dxa"/>
            <w:vAlign w:val="center"/>
          </w:tcPr>
          <w:p>
            <w:pPr>
              <w:spacing w:line="360" w:lineRule="auto"/>
              <w:ind w:firstLine="240" w:firstLineChars="100"/>
              <w:jc w:val="center"/>
              <w:rPr>
                <w:rFonts w:ascii="宋体" w:hAnsi="宋体"/>
                <w:szCs w:val="21"/>
              </w:rPr>
            </w:pPr>
            <w:r>
              <w:rPr>
                <w:rFonts w:ascii="宋体" w:hAnsi="宋体" w:hint="eastAsia"/>
                <w:szCs w:val="21"/>
              </w:rPr>
              <w:t>0.008%</w:t>
            </w:r>
          </w:p>
        </w:tc>
        <w:tc>
          <w:tcPr>
            <w:tcW w:w="2102" w:type="dxa"/>
          </w:tcPr>
          <w:p>
            <w:pPr>
              <w:spacing w:line="360" w:lineRule="auto"/>
              <w:ind w:firstLine="240" w:firstLineChars="100"/>
              <w:jc w:val="center"/>
              <w:rPr>
                <w:rFonts w:ascii="宋体" w:hAnsi="宋体"/>
                <w:szCs w:val="21"/>
              </w:rPr>
            </w:pPr>
            <w:r>
              <w:rPr>
                <w:rFonts w:ascii="宋体" w:hAnsi="宋体" w:hint="eastAsia"/>
                <w:szCs w:val="21"/>
              </w:rPr>
              <w:t>0.008%</w:t>
            </w:r>
          </w:p>
        </w:tc>
      </w:tr>
      <w:tr>
        <w:tblPrEx>
          <w:tblW w:w="9624" w:type="dxa"/>
          <w:jc w:val="center"/>
          <w:tblInd w:w="0" w:type="dxa"/>
          <w:tblLayout w:type="fixed"/>
          <w:tblCellMar>
            <w:top w:w="0" w:type="dxa"/>
            <w:left w:w="108" w:type="dxa"/>
            <w:bottom w:w="0" w:type="dxa"/>
            <w:right w:w="108" w:type="dxa"/>
          </w:tblCellMar>
        </w:tblPrEx>
        <w:trPr>
          <w:trHeight w:val="402"/>
          <w:jc w:val="center"/>
        </w:trPr>
        <w:tc>
          <w:tcPr>
            <w:tcW w:w="3152" w:type="dxa"/>
            <w:vAlign w:val="center"/>
          </w:tcPr>
          <w:p>
            <w:pPr>
              <w:spacing w:line="360" w:lineRule="auto"/>
              <w:jc w:val="center"/>
              <w:rPr>
                <w:rFonts w:ascii="宋体" w:hAnsi="宋体"/>
                <w:szCs w:val="21"/>
              </w:rPr>
            </w:pPr>
            <w:r>
              <w:rPr>
                <w:rFonts w:ascii="宋体" w:hAnsi="宋体" w:hint="eastAsia"/>
                <w:szCs w:val="21"/>
              </w:rPr>
              <w:t>50～100亿元</w:t>
            </w:r>
          </w:p>
        </w:tc>
        <w:tc>
          <w:tcPr>
            <w:tcW w:w="2268" w:type="dxa"/>
            <w:vAlign w:val="center"/>
          </w:tcPr>
          <w:p>
            <w:pPr>
              <w:spacing w:line="360" w:lineRule="auto"/>
              <w:jc w:val="center"/>
              <w:rPr>
                <w:rFonts w:ascii="宋体" w:hAnsi="宋体"/>
                <w:szCs w:val="21"/>
              </w:rPr>
            </w:pPr>
            <w:r>
              <w:rPr>
                <w:rFonts w:ascii="宋体" w:hAnsi="宋体" w:hint="eastAsia"/>
                <w:szCs w:val="21"/>
              </w:rPr>
              <w:t>0.006%</w:t>
            </w:r>
          </w:p>
        </w:tc>
        <w:tc>
          <w:tcPr>
            <w:tcW w:w="2102" w:type="dxa"/>
            <w:vAlign w:val="center"/>
          </w:tcPr>
          <w:p>
            <w:pPr>
              <w:spacing w:line="360" w:lineRule="auto"/>
              <w:ind w:firstLine="240" w:firstLineChars="100"/>
              <w:jc w:val="center"/>
              <w:rPr>
                <w:rFonts w:ascii="宋体" w:hAnsi="宋体"/>
                <w:szCs w:val="21"/>
              </w:rPr>
            </w:pPr>
            <w:r>
              <w:rPr>
                <w:rFonts w:ascii="宋体" w:hAnsi="宋体" w:hint="eastAsia"/>
                <w:szCs w:val="21"/>
              </w:rPr>
              <w:t>0.006%</w:t>
            </w:r>
          </w:p>
        </w:tc>
        <w:tc>
          <w:tcPr>
            <w:tcW w:w="2102" w:type="dxa"/>
          </w:tcPr>
          <w:p>
            <w:pPr>
              <w:spacing w:line="360" w:lineRule="auto"/>
              <w:ind w:firstLine="240" w:firstLineChars="100"/>
              <w:jc w:val="center"/>
              <w:rPr>
                <w:rFonts w:ascii="宋体" w:hAnsi="宋体"/>
                <w:szCs w:val="21"/>
              </w:rPr>
            </w:pPr>
            <w:r>
              <w:rPr>
                <w:rFonts w:ascii="宋体" w:hAnsi="宋体" w:hint="eastAsia"/>
                <w:szCs w:val="21"/>
              </w:rPr>
              <w:t>0.006%</w:t>
            </w:r>
          </w:p>
        </w:tc>
      </w:tr>
      <w:tr>
        <w:tblPrEx>
          <w:tblW w:w="9624" w:type="dxa"/>
          <w:jc w:val="center"/>
          <w:tblInd w:w="0" w:type="dxa"/>
          <w:tblLayout w:type="fixed"/>
          <w:tblCellMar>
            <w:top w:w="0" w:type="dxa"/>
            <w:left w:w="108" w:type="dxa"/>
            <w:bottom w:w="0" w:type="dxa"/>
            <w:right w:w="108" w:type="dxa"/>
          </w:tblCellMar>
        </w:tblPrEx>
        <w:trPr>
          <w:trHeight w:val="402"/>
          <w:jc w:val="center"/>
        </w:trPr>
        <w:tc>
          <w:tcPr>
            <w:tcW w:w="3152" w:type="dxa"/>
            <w:vAlign w:val="center"/>
          </w:tcPr>
          <w:p>
            <w:pPr>
              <w:spacing w:line="360" w:lineRule="auto"/>
              <w:jc w:val="center"/>
              <w:rPr>
                <w:rFonts w:ascii="宋体" w:hAnsi="宋体"/>
                <w:szCs w:val="21"/>
              </w:rPr>
            </w:pPr>
            <w:r>
              <w:rPr>
                <w:rFonts w:ascii="宋体" w:hAnsi="宋体" w:hint="eastAsia"/>
                <w:szCs w:val="21"/>
              </w:rPr>
              <w:t>100亿以上</w:t>
            </w:r>
          </w:p>
        </w:tc>
        <w:tc>
          <w:tcPr>
            <w:tcW w:w="2268" w:type="dxa"/>
            <w:vAlign w:val="center"/>
          </w:tcPr>
          <w:p>
            <w:pPr>
              <w:spacing w:line="360" w:lineRule="auto"/>
              <w:jc w:val="center"/>
              <w:rPr>
                <w:rFonts w:ascii="宋体" w:hAnsi="宋体"/>
                <w:szCs w:val="21"/>
              </w:rPr>
            </w:pPr>
            <w:r>
              <w:rPr>
                <w:rFonts w:ascii="宋体" w:hAnsi="宋体" w:hint="eastAsia"/>
                <w:szCs w:val="21"/>
              </w:rPr>
              <w:t>0.004%</w:t>
            </w:r>
          </w:p>
        </w:tc>
        <w:tc>
          <w:tcPr>
            <w:tcW w:w="2102" w:type="dxa"/>
            <w:vAlign w:val="center"/>
          </w:tcPr>
          <w:p>
            <w:pPr>
              <w:spacing w:line="360" w:lineRule="auto"/>
              <w:ind w:firstLine="240" w:firstLineChars="100"/>
              <w:jc w:val="center"/>
              <w:rPr>
                <w:rFonts w:ascii="宋体" w:hAnsi="宋体"/>
                <w:szCs w:val="21"/>
              </w:rPr>
            </w:pPr>
            <w:r>
              <w:rPr>
                <w:rFonts w:ascii="宋体" w:hAnsi="宋体" w:hint="eastAsia"/>
                <w:szCs w:val="21"/>
              </w:rPr>
              <w:t>0.004%</w:t>
            </w:r>
          </w:p>
        </w:tc>
        <w:tc>
          <w:tcPr>
            <w:tcW w:w="2102" w:type="dxa"/>
          </w:tcPr>
          <w:p>
            <w:pPr>
              <w:spacing w:line="360" w:lineRule="auto"/>
              <w:ind w:firstLine="240" w:firstLineChars="100"/>
              <w:jc w:val="center"/>
              <w:rPr>
                <w:rFonts w:ascii="宋体" w:hAnsi="宋体"/>
                <w:szCs w:val="21"/>
              </w:rPr>
            </w:pPr>
            <w:r>
              <w:rPr>
                <w:rFonts w:ascii="宋体" w:hAnsi="宋体" w:hint="eastAsia"/>
                <w:szCs w:val="21"/>
              </w:rPr>
              <w:t>0.004%</w:t>
            </w:r>
          </w:p>
        </w:tc>
      </w:tr>
    </w:tbl>
    <w:p>
      <w:pPr>
        <w:pStyle w:val="ListParagraph"/>
        <w:snapToGrid w:val="0"/>
        <w:spacing w:line="360" w:lineRule="auto"/>
        <w:ind w:left="420" w:firstLine="0" w:firstLineChars="0"/>
        <w:rPr>
          <w:rFonts w:ascii="宋体" w:hAnsi="宋体"/>
          <w:szCs w:val="21"/>
        </w:rPr>
      </w:pPr>
      <w:r>
        <w:rPr>
          <w:rFonts w:ascii="宋体" w:hAnsi="宋体"/>
          <w:szCs w:val="21"/>
        </w:rPr>
        <w:t>例如：某</w:t>
      </w:r>
      <w:r>
        <w:rPr>
          <w:rFonts w:ascii="宋体" w:hAnsi="宋体" w:hint="eastAsia"/>
          <w:szCs w:val="21"/>
        </w:rPr>
        <w:t>货物</w:t>
      </w:r>
      <w:r>
        <w:rPr>
          <w:rFonts w:ascii="宋体" w:hAnsi="宋体"/>
          <w:szCs w:val="21"/>
        </w:rPr>
        <w:t>招标代理业务</w:t>
      </w:r>
      <w:r>
        <w:rPr>
          <w:rFonts w:ascii="宋体" w:hAnsi="宋体" w:hint="eastAsia"/>
          <w:szCs w:val="21"/>
        </w:rPr>
        <w:t>支付上限</w:t>
      </w:r>
      <w:r>
        <w:rPr>
          <w:rFonts w:ascii="宋体" w:hAnsi="宋体"/>
          <w:szCs w:val="21"/>
        </w:rPr>
        <w:t>为</w:t>
      </w:r>
      <w:r>
        <w:rPr>
          <w:rFonts w:ascii="宋体" w:hAnsi="宋体" w:hint="eastAsia"/>
          <w:szCs w:val="21"/>
        </w:rPr>
        <w:t>600</w:t>
      </w:r>
      <w:r>
        <w:rPr>
          <w:rFonts w:ascii="宋体" w:hAnsi="宋体"/>
          <w:szCs w:val="21"/>
        </w:rPr>
        <w:t>万元，计算招标代理服务收费额如下：</w:t>
      </w:r>
    </w:p>
    <w:p>
      <w:pPr>
        <w:pStyle w:val="ListParagraph"/>
        <w:snapToGrid w:val="0"/>
        <w:spacing w:line="360" w:lineRule="auto"/>
        <w:ind w:left="420" w:firstLine="0" w:firstLineChars="0"/>
        <w:rPr>
          <w:rFonts w:ascii="宋体" w:hAnsi="宋体"/>
          <w:szCs w:val="21"/>
        </w:rPr>
      </w:pPr>
      <w:r>
        <w:rPr>
          <w:rFonts w:ascii="宋体" w:hAnsi="宋体"/>
          <w:szCs w:val="21"/>
        </w:rPr>
        <w:t>100万元×1.5%=1</w:t>
      </w:r>
      <w:r>
        <w:rPr>
          <w:rFonts w:ascii="宋体" w:hAnsi="宋体" w:hint="eastAsia"/>
          <w:szCs w:val="21"/>
        </w:rPr>
        <w:t>.</w:t>
      </w:r>
      <w:r>
        <w:rPr>
          <w:rFonts w:ascii="宋体" w:hAnsi="宋体"/>
          <w:szCs w:val="21"/>
        </w:rPr>
        <w:t>5万元</w:t>
      </w:r>
    </w:p>
    <w:p>
      <w:pPr>
        <w:pStyle w:val="ListParagraph"/>
        <w:snapToGrid w:val="0"/>
        <w:spacing w:line="360" w:lineRule="auto"/>
        <w:ind w:left="420" w:firstLine="0" w:firstLineChars="0"/>
        <w:rPr>
          <w:rFonts w:ascii="宋体" w:hAnsi="宋体"/>
          <w:szCs w:val="21"/>
        </w:rPr>
      </w:pPr>
      <w:r>
        <w:rPr>
          <w:rFonts w:ascii="宋体" w:hAnsi="宋体"/>
          <w:szCs w:val="21"/>
        </w:rPr>
        <w:t>（500-100）万元×</w:t>
      </w:r>
      <w:r>
        <w:rPr>
          <w:rFonts w:ascii="宋体" w:hAnsi="宋体" w:hint="eastAsia"/>
          <w:szCs w:val="21"/>
        </w:rPr>
        <w:t>1.1</w:t>
      </w:r>
      <w:r>
        <w:rPr>
          <w:rFonts w:ascii="宋体" w:hAnsi="宋体"/>
          <w:szCs w:val="21"/>
        </w:rPr>
        <w:t>%=</w:t>
      </w:r>
      <w:r>
        <w:rPr>
          <w:rFonts w:ascii="宋体" w:hAnsi="宋体" w:hint="eastAsia"/>
          <w:szCs w:val="21"/>
        </w:rPr>
        <w:t>4.4</w:t>
      </w:r>
      <w:r>
        <w:rPr>
          <w:rFonts w:ascii="宋体" w:hAnsi="宋体"/>
          <w:szCs w:val="21"/>
        </w:rPr>
        <w:t>万元</w:t>
      </w:r>
    </w:p>
    <w:p>
      <w:pPr>
        <w:pStyle w:val="ListParagraph"/>
        <w:snapToGrid w:val="0"/>
        <w:spacing w:line="360" w:lineRule="auto"/>
        <w:ind w:left="420" w:firstLine="0" w:firstLineChars="0"/>
        <w:rPr>
          <w:rFonts w:ascii="宋体" w:hAnsi="宋体"/>
          <w:szCs w:val="21"/>
        </w:rPr>
      </w:pPr>
      <w:r>
        <w:rPr>
          <w:rFonts w:ascii="宋体" w:hAnsi="宋体"/>
          <w:szCs w:val="21"/>
        </w:rPr>
        <w:t>（</w:t>
      </w:r>
      <w:r>
        <w:rPr>
          <w:rFonts w:ascii="宋体" w:hAnsi="宋体" w:hint="eastAsia"/>
          <w:szCs w:val="21"/>
        </w:rPr>
        <w:t>6</w:t>
      </w:r>
      <w:r>
        <w:rPr>
          <w:rFonts w:ascii="宋体" w:hAnsi="宋体"/>
          <w:szCs w:val="21"/>
        </w:rPr>
        <w:t>00-</w:t>
      </w:r>
      <w:r>
        <w:rPr>
          <w:rFonts w:ascii="宋体" w:hAnsi="宋体" w:hint="eastAsia"/>
          <w:szCs w:val="21"/>
        </w:rPr>
        <w:t>5</w:t>
      </w:r>
      <w:r>
        <w:rPr>
          <w:rFonts w:ascii="宋体" w:hAnsi="宋体"/>
          <w:szCs w:val="21"/>
        </w:rPr>
        <w:t>00）万元×</w:t>
      </w:r>
      <w:r>
        <w:rPr>
          <w:rFonts w:ascii="宋体" w:hAnsi="宋体" w:hint="eastAsia"/>
          <w:szCs w:val="21"/>
        </w:rPr>
        <w:t>0.8</w:t>
      </w:r>
      <w:r>
        <w:rPr>
          <w:rFonts w:ascii="宋体" w:hAnsi="宋体"/>
          <w:szCs w:val="21"/>
        </w:rPr>
        <w:t>%=</w:t>
      </w:r>
      <w:r>
        <w:rPr>
          <w:rFonts w:ascii="宋体" w:hAnsi="宋体" w:hint="eastAsia"/>
          <w:szCs w:val="21"/>
        </w:rPr>
        <w:t>0.8</w:t>
      </w:r>
      <w:r>
        <w:rPr>
          <w:rFonts w:ascii="宋体" w:hAnsi="宋体"/>
          <w:szCs w:val="21"/>
        </w:rPr>
        <w:t>万元</w:t>
      </w:r>
    </w:p>
    <w:p>
      <w:pPr>
        <w:pStyle w:val="ListParagraph"/>
        <w:snapToGrid w:val="0"/>
        <w:spacing w:line="360" w:lineRule="auto"/>
        <w:ind w:left="420" w:firstLine="0" w:firstLineChars="0"/>
        <w:rPr>
          <w:rFonts w:ascii="宋体" w:hAnsi="宋体"/>
          <w:szCs w:val="21"/>
        </w:rPr>
      </w:pPr>
      <w:r>
        <w:rPr>
          <w:rFonts w:ascii="宋体" w:hAnsi="宋体"/>
          <w:szCs w:val="21"/>
        </w:rPr>
        <w:t>合计收费=1</w:t>
      </w:r>
      <w:r>
        <w:rPr>
          <w:rFonts w:ascii="宋体" w:hAnsi="宋体" w:hint="eastAsia"/>
          <w:szCs w:val="21"/>
        </w:rPr>
        <w:t>.</w:t>
      </w:r>
      <w:r>
        <w:rPr>
          <w:rFonts w:ascii="宋体" w:hAnsi="宋体"/>
          <w:szCs w:val="21"/>
        </w:rPr>
        <w:t>5+</w:t>
      </w:r>
      <w:r>
        <w:rPr>
          <w:rFonts w:ascii="宋体" w:hAnsi="宋体" w:hint="eastAsia"/>
          <w:szCs w:val="21"/>
        </w:rPr>
        <w:t>4.4</w:t>
      </w:r>
      <w:r>
        <w:rPr>
          <w:rFonts w:ascii="宋体" w:hAnsi="宋体"/>
          <w:szCs w:val="21"/>
        </w:rPr>
        <w:t>+</w:t>
      </w:r>
      <w:r>
        <w:rPr>
          <w:rFonts w:ascii="宋体" w:hAnsi="宋体" w:hint="eastAsia"/>
          <w:szCs w:val="21"/>
        </w:rPr>
        <w:t>0.8</w:t>
      </w:r>
      <w:r>
        <w:rPr>
          <w:rFonts w:ascii="宋体" w:hAnsi="宋体"/>
          <w:szCs w:val="21"/>
        </w:rPr>
        <w:t xml:space="preserve">= </w:t>
      </w:r>
      <w:r>
        <w:rPr>
          <w:rFonts w:ascii="宋体" w:hAnsi="宋体" w:hint="eastAsia"/>
          <w:szCs w:val="21"/>
        </w:rPr>
        <w:t>6.7</w:t>
      </w:r>
      <w:r>
        <w:rPr>
          <w:rFonts w:ascii="宋体" w:hAnsi="宋体"/>
          <w:szCs w:val="21"/>
        </w:rPr>
        <w:t>万元</w:t>
      </w:r>
    </w:p>
    <w:p>
      <w:pPr>
        <w:pStyle w:val="ListParagraph"/>
        <w:spacing w:after="60" w:line="360" w:lineRule="auto"/>
        <w:ind w:left="420" w:right="-57" w:firstLine="0" w:firstLineChars="0"/>
        <w:rPr>
          <w:rFonts w:ascii="宋体" w:hAnsi="宋体"/>
          <w:szCs w:val="21"/>
        </w:rPr>
      </w:pPr>
      <w:r>
        <w:rPr>
          <w:rFonts w:ascii="宋体" w:hAnsi="宋体" w:hint="eastAsia"/>
          <w:szCs w:val="21"/>
        </w:rPr>
        <w:t>备注：组织专家评审的采购项目按上述收费标准计算的服务费低于6000元时，按6000元计取。</w:t>
      </w:r>
    </w:p>
    <w:p>
      <w:pPr>
        <w:spacing w:after="60" w:line="360" w:lineRule="auto"/>
        <w:ind w:right="-57" w:firstLine="480" w:firstLineChars="200"/>
        <w:rPr>
          <w:rFonts w:ascii="宋体" w:hAnsi="宋体"/>
          <w:szCs w:val="21"/>
        </w:rPr>
      </w:pPr>
      <w:r>
        <w:rPr>
          <w:rFonts w:ascii="宋体" w:hAnsi="宋体" w:hint="eastAsia"/>
          <w:szCs w:val="21"/>
        </w:rPr>
        <w:t>账户名称：深圳市德顺项目咨询有限公司</w:t>
      </w:r>
    </w:p>
    <w:p>
      <w:pPr>
        <w:spacing w:after="60" w:line="360" w:lineRule="auto"/>
        <w:ind w:right="-57" w:firstLine="480" w:firstLineChars="200"/>
        <w:rPr>
          <w:rFonts w:ascii="宋体" w:hAnsi="宋体"/>
          <w:szCs w:val="21"/>
        </w:rPr>
      </w:pPr>
      <w:r>
        <w:rPr>
          <w:rFonts w:ascii="宋体" w:hAnsi="宋体" w:hint="eastAsia"/>
          <w:szCs w:val="21"/>
        </w:rPr>
        <w:t>开户银行：中国工商银行股份有限公司深圳光明支行</w:t>
      </w:r>
    </w:p>
    <w:p>
      <w:pPr>
        <w:pStyle w:val="ListParagraph"/>
        <w:spacing w:after="60" w:line="360" w:lineRule="auto"/>
        <w:ind w:left="420" w:right="-57" w:firstLine="0" w:firstLineChars="0"/>
        <w:rPr>
          <w:rFonts w:ascii="宋体" w:hAnsi="宋体"/>
          <w:szCs w:val="21"/>
        </w:rPr>
      </w:pPr>
      <w:r>
        <w:rPr>
          <w:rFonts w:ascii="宋体" w:hAnsi="宋体" w:hint="eastAsia"/>
          <w:szCs w:val="21"/>
        </w:rPr>
        <w:t>银行帐号：4000091109100707662（用于支付标书费和中标服务费）</w:t>
      </w:r>
    </w:p>
    <w:p>
      <w:pPr>
        <w:autoSpaceDE w:val="0"/>
        <w:autoSpaceDN w:val="0"/>
        <w:adjustRightInd w:val="0"/>
        <w:ind w:firstLine="422"/>
        <w:rPr>
          <w:rFonts w:ascii="宋体" w:hAnsi="宋体"/>
          <w:szCs w:val="21"/>
        </w:rPr>
      </w:pPr>
      <w:r>
        <w:rPr>
          <w:rFonts w:ascii="宋体" w:hAnsi="宋体" w:hint="eastAsia"/>
          <w:szCs w:val="21"/>
        </w:rPr>
        <w:t>中标公告公示期结束后，由中标人向招标代理机构支付招标代理服务费。招标代理服务费以转账、银行汇票形式支付。</w:t>
      </w:r>
    </w:p>
    <w:p>
      <w:pPr>
        <w:autoSpaceDE w:val="0"/>
        <w:autoSpaceDN w:val="0"/>
        <w:adjustRightInd w:val="0"/>
        <w:ind w:firstLine="422"/>
        <w:rPr>
          <w:b/>
          <w:bCs/>
          <w:color w:val="000000"/>
          <w:szCs w:val="21"/>
        </w:rPr>
      </w:pPr>
      <w:r>
        <w:rPr>
          <w:b/>
          <w:bCs/>
          <w:color w:val="000000"/>
          <w:szCs w:val="21"/>
        </w:rPr>
        <w:t>49.</w:t>
      </w:r>
      <w:r>
        <w:rPr>
          <w:rFonts w:ascii="宋体" w:cs="宋体" w:hint="eastAsia"/>
          <w:b/>
          <w:bCs/>
          <w:color w:val="000000"/>
          <w:szCs w:val="21"/>
          <w:lang w:val="zh-CN"/>
        </w:rPr>
        <w:t>履约情况的反馈</w:t>
      </w:r>
    </w:p>
    <w:p>
      <w:pPr>
        <w:autoSpaceDE w:val="0"/>
        <w:autoSpaceDN w:val="0"/>
        <w:adjustRightInd w:val="0"/>
        <w:ind w:firstLine="420"/>
        <w:rPr>
          <w:color w:val="000000"/>
          <w:szCs w:val="21"/>
        </w:rPr>
      </w:pPr>
      <w:r>
        <w:rPr>
          <w:rFonts w:ascii="宋体" w:cs="宋体" w:hint="eastAsia"/>
          <w:color w:val="000000"/>
          <w:szCs w:val="21"/>
          <w:lang w:val="zh-CN"/>
        </w:rPr>
        <w:t>采购人应及时向政府集中采购机构反馈中标人的履约情况（填写《政府采购履约情况反馈表》），中标人的履约情况将作为供应商考核的重要依据。</w:t>
      </w:r>
    </w:p>
    <w:p>
      <w:pPr>
        <w:autoSpaceDE w:val="0"/>
        <w:autoSpaceDN w:val="0"/>
        <w:adjustRightInd w:val="0"/>
        <w:ind w:firstLine="422"/>
        <w:rPr>
          <w:b/>
          <w:bCs/>
          <w:color w:val="000000"/>
          <w:szCs w:val="21"/>
        </w:rPr>
      </w:pPr>
      <w:r>
        <w:rPr>
          <w:b/>
          <w:bCs/>
          <w:color w:val="000000"/>
          <w:szCs w:val="21"/>
        </w:rPr>
        <w:t>50</w:t>
      </w:r>
      <w:r>
        <w:rPr>
          <w:rFonts w:ascii="宋体" w:cs="宋体" w:hint="eastAsia"/>
          <w:b/>
          <w:bCs/>
          <w:color w:val="000000"/>
          <w:szCs w:val="21"/>
          <w:lang w:val="zh-CN"/>
        </w:rPr>
        <w:t>．宣传</w:t>
      </w:r>
    </w:p>
    <w:p>
      <w:pPr>
        <w:autoSpaceDE w:val="0"/>
        <w:autoSpaceDN w:val="0"/>
        <w:adjustRightInd w:val="0"/>
        <w:ind w:firstLine="420"/>
        <w:rPr>
          <w:color w:val="000000"/>
          <w:szCs w:val="21"/>
        </w:rPr>
      </w:pPr>
      <w:r>
        <w:rPr>
          <w:rFonts w:ascii="宋体" w:cs="宋体" w:hint="eastAsia"/>
          <w:color w:val="000000"/>
          <w:szCs w:val="21"/>
          <w:lang w:val="zh-CN"/>
        </w:rPr>
        <w:t>凡与政府采购活动有关的宣传或广告，若当中提及政府采购，必须事先将具体对外宣传方案报区采购主管部门和代理机构，并征得其同意。对外市场宣传包括但不限于以下形式：</w:t>
      </w:r>
    </w:p>
    <w:p>
      <w:pPr>
        <w:autoSpaceDE w:val="0"/>
        <w:autoSpaceDN w:val="0"/>
        <w:adjustRightInd w:val="0"/>
        <w:ind w:firstLine="420"/>
        <w:rPr>
          <w:color w:val="000000"/>
          <w:szCs w:val="21"/>
        </w:rPr>
      </w:pPr>
      <w:r>
        <w:rPr>
          <w:color w:val="000000"/>
          <w:szCs w:val="21"/>
        </w:rPr>
        <w:t>a.</w:t>
      </w:r>
      <w:r>
        <w:rPr>
          <w:rFonts w:ascii="宋体" w:cs="宋体" w:hint="eastAsia"/>
          <w:color w:val="000000"/>
          <w:szCs w:val="21"/>
          <w:lang w:val="zh-CN"/>
        </w:rPr>
        <w:t>名片、宣传册、广告标语等；</w:t>
      </w:r>
    </w:p>
    <w:p>
      <w:pPr>
        <w:autoSpaceDE w:val="0"/>
        <w:autoSpaceDN w:val="0"/>
        <w:adjustRightInd w:val="0"/>
        <w:ind w:firstLine="420"/>
        <w:rPr>
          <w:color w:val="000000"/>
          <w:szCs w:val="21"/>
        </w:rPr>
      </w:pPr>
      <w:r>
        <w:rPr>
          <w:color w:val="000000"/>
          <w:szCs w:val="21"/>
        </w:rPr>
        <w:t>b.</w:t>
      </w:r>
      <w:r>
        <w:rPr>
          <w:rFonts w:ascii="宋体" w:cs="宋体" w:hint="eastAsia"/>
          <w:color w:val="000000"/>
          <w:szCs w:val="21"/>
          <w:lang w:val="zh-CN"/>
        </w:rPr>
        <w:t>案例介绍、推广等；</w:t>
      </w:r>
    </w:p>
    <w:p>
      <w:pPr>
        <w:autoSpaceDE w:val="0"/>
        <w:autoSpaceDN w:val="0"/>
        <w:adjustRightInd w:val="0"/>
        <w:ind w:firstLine="420"/>
        <w:rPr>
          <w:color w:val="000000"/>
          <w:szCs w:val="21"/>
        </w:rPr>
      </w:pPr>
      <w:r>
        <w:rPr>
          <w:color w:val="000000"/>
          <w:szCs w:val="21"/>
        </w:rPr>
        <w:t>c.</w:t>
      </w:r>
      <w:r>
        <w:rPr>
          <w:rFonts w:ascii="宋体" w:cs="宋体" w:hint="eastAsia"/>
          <w:color w:val="000000"/>
          <w:szCs w:val="21"/>
          <w:lang w:val="zh-CN"/>
        </w:rPr>
        <w:t>工作人员向其他消费群体宣传。</w:t>
      </w:r>
    </w:p>
    <w:p>
      <w:pPr>
        <w:autoSpaceDE w:val="0"/>
        <w:autoSpaceDN w:val="0"/>
        <w:adjustRightInd w:val="0"/>
        <w:ind w:firstLine="422"/>
        <w:rPr>
          <w:b/>
          <w:bCs/>
          <w:color w:val="000000"/>
          <w:szCs w:val="21"/>
        </w:rPr>
      </w:pPr>
      <w:r>
        <w:rPr>
          <w:b/>
          <w:bCs/>
          <w:color w:val="000000"/>
          <w:szCs w:val="21"/>
        </w:rPr>
        <w:t>51</w:t>
      </w:r>
      <w:r>
        <w:rPr>
          <w:rFonts w:ascii="宋体" w:cs="宋体" w:hint="eastAsia"/>
          <w:b/>
          <w:bCs/>
          <w:color w:val="000000"/>
          <w:szCs w:val="21"/>
          <w:lang w:val="zh-CN"/>
        </w:rPr>
        <w:t>．供应商相关责任</w:t>
      </w:r>
    </w:p>
    <w:p>
      <w:pPr>
        <w:autoSpaceDE w:val="0"/>
        <w:autoSpaceDN w:val="0"/>
        <w:adjustRightInd w:val="0"/>
        <w:ind w:firstLine="422"/>
        <w:rPr>
          <w:color w:val="000000"/>
          <w:szCs w:val="21"/>
        </w:rPr>
      </w:pPr>
      <w:r>
        <w:rPr>
          <w:b/>
          <w:bCs/>
          <w:color w:val="000000"/>
          <w:szCs w:val="21"/>
        </w:rPr>
        <w:t>51.1</w:t>
      </w:r>
      <w:r>
        <w:rPr>
          <w:rFonts w:ascii="宋体" w:cs="宋体" w:hint="eastAsia"/>
          <w:color w:val="000000"/>
          <w:szCs w:val="21"/>
          <w:lang w:val="zh-CN"/>
        </w:rPr>
        <w:t>若供应商在政府采购活动中出现《深圳经济特区政府采购条例实施细则》第八十四条规定情形的，采购人或招标机构可将有关情况报同级财政部门，由财政部门根据实际情况记入供应商诚信档案，予以通报。市、区财政部门将加大对违法违规供应商的惩戒力度，实施联合惩戒。</w:t>
      </w:r>
    </w:p>
    <w:p>
      <w:pPr>
        <w:autoSpaceDE w:val="0"/>
        <w:autoSpaceDN w:val="0"/>
        <w:adjustRightInd w:val="0"/>
        <w:ind w:firstLine="422"/>
        <w:rPr>
          <w:b/>
          <w:bCs/>
          <w:color w:val="000000"/>
          <w:szCs w:val="21"/>
        </w:rPr>
      </w:pPr>
      <w:r>
        <w:rPr>
          <w:b/>
          <w:bCs/>
          <w:color w:val="000000"/>
          <w:szCs w:val="21"/>
        </w:rPr>
        <w:t>51.2</w:t>
      </w:r>
      <w:r>
        <w:rPr>
          <w:rFonts w:ascii="宋体" w:cs="宋体" w:hint="eastAsia"/>
          <w:b/>
          <w:bCs/>
          <w:color w:val="000000"/>
          <w:szCs w:val="21"/>
          <w:lang w:val="zh-CN"/>
        </w:rPr>
        <w:t>供应商违法责任</w:t>
      </w:r>
    </w:p>
    <w:p>
      <w:pPr>
        <w:autoSpaceDE w:val="0"/>
        <w:autoSpaceDN w:val="0"/>
        <w:adjustRightInd w:val="0"/>
        <w:ind w:firstLine="420"/>
        <w:rPr>
          <w:color w:val="000000"/>
          <w:szCs w:val="21"/>
        </w:rPr>
      </w:pPr>
      <w:r>
        <w:rPr>
          <w:rFonts w:ascii="宋体" w:cs="宋体" w:hint="eastAsia"/>
          <w:color w:val="000000"/>
          <w:szCs w:val="21"/>
          <w:lang w:val="zh-CN"/>
        </w:rPr>
        <w:t>《深圳经济特区政府采购条例》第五十七条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1</w:t>
      </w:r>
      <w:r>
        <w:rPr>
          <w:rFonts w:ascii="宋体" w:cs="宋体" w:hint="eastAsia"/>
          <w:color w:val="000000"/>
          <w:szCs w:val="21"/>
          <w:lang w:val="zh-CN"/>
        </w:rPr>
        <w:t>）在采购活动中应当回避而未回避的；</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2</w:t>
      </w:r>
      <w:r>
        <w:rPr>
          <w:rFonts w:ascii="宋体" w:cs="宋体" w:hint="eastAsia"/>
          <w:color w:val="000000"/>
          <w:szCs w:val="21"/>
          <w:lang w:val="zh-CN"/>
        </w:rPr>
        <w:t>）未按本条例规定签订、履行采购合同，造成严重后果的；</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3</w:t>
      </w:r>
      <w:r>
        <w:rPr>
          <w:rFonts w:ascii="宋体" w:cs="宋体" w:hint="eastAsia"/>
          <w:color w:val="000000"/>
          <w:szCs w:val="21"/>
          <w:lang w:val="zh-CN"/>
        </w:rPr>
        <w:t>）隐瞒真实情况，提供虚假资料的；</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4</w:t>
      </w:r>
      <w:r>
        <w:rPr>
          <w:rFonts w:ascii="宋体" w:cs="宋体" w:hint="eastAsia"/>
          <w:color w:val="000000"/>
          <w:szCs w:val="21"/>
          <w:lang w:val="zh-CN"/>
        </w:rPr>
        <w:t>）以非法手段排斥其他供应商参与竞争的；</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5</w:t>
      </w:r>
      <w:r>
        <w:rPr>
          <w:rFonts w:ascii="宋体" w:cs="宋体" w:hint="eastAsia"/>
          <w:color w:val="000000"/>
          <w:szCs w:val="21"/>
          <w:lang w:val="zh-CN"/>
        </w:rPr>
        <w:t>）与其他采购参加人串通投标的；</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6</w:t>
      </w:r>
      <w:r>
        <w:rPr>
          <w:rFonts w:ascii="宋体" w:cs="宋体" w:hint="eastAsia"/>
          <w:color w:val="000000"/>
          <w:szCs w:val="21"/>
          <w:lang w:val="zh-CN"/>
        </w:rPr>
        <w:t>）恶意投诉的；</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7</w:t>
      </w:r>
      <w:r>
        <w:rPr>
          <w:rFonts w:ascii="宋体" w:cs="宋体" w:hint="eastAsia"/>
          <w:color w:val="000000"/>
          <w:szCs w:val="21"/>
          <w:lang w:val="zh-CN"/>
        </w:rPr>
        <w:t>）向采购项目相关人行贿或者提供其他不当利益的；</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8</w:t>
      </w:r>
      <w:r>
        <w:rPr>
          <w:rFonts w:ascii="宋体" w:cs="宋体" w:hint="eastAsia"/>
          <w:color w:val="000000"/>
          <w:szCs w:val="21"/>
          <w:lang w:val="zh-CN"/>
        </w:rPr>
        <w:t>）阻碍、抗拒主管部门监督检查的；</w:t>
      </w:r>
    </w:p>
    <w:p>
      <w:pPr>
        <w:autoSpaceDE w:val="0"/>
        <w:autoSpaceDN w:val="0"/>
        <w:adjustRightInd w:val="0"/>
        <w:ind w:firstLine="420"/>
        <w:rPr>
          <w:color w:val="000000"/>
          <w:szCs w:val="21"/>
        </w:rPr>
      </w:pPr>
      <w:r>
        <w:rPr>
          <w:rFonts w:ascii="宋体" w:cs="宋体" w:hint="eastAsia"/>
          <w:color w:val="000000"/>
          <w:szCs w:val="21"/>
          <w:lang w:val="zh-CN"/>
        </w:rPr>
        <w:t>（</w:t>
      </w:r>
      <w:r>
        <w:rPr>
          <w:color w:val="000000"/>
          <w:szCs w:val="21"/>
        </w:rPr>
        <w:t>9</w:t>
      </w:r>
      <w:r>
        <w:rPr>
          <w:rFonts w:ascii="宋体" w:cs="宋体" w:hint="eastAsia"/>
          <w:color w:val="000000"/>
          <w:szCs w:val="21"/>
          <w:lang w:val="zh-CN"/>
        </w:rPr>
        <w:t>）其他违反本条例规定的行为。</w:t>
      </w:r>
    </w:p>
    <w:p>
      <w:pPr>
        <w:pStyle w:val="Heading2"/>
        <w:rPr>
          <w:color w:val="000000"/>
          <w:sz w:val="28"/>
          <w:szCs w:val="28"/>
          <w:lang w:val="zh-CN"/>
        </w:rPr>
      </w:pPr>
      <w:r>
        <w:rPr>
          <w:rFonts w:hint="eastAsia"/>
          <w:color w:val="000000"/>
          <w:sz w:val="28"/>
          <w:szCs w:val="28"/>
          <w:lang w:val="zh-CN"/>
        </w:rPr>
        <w:t>第九章质疑处理</w:t>
      </w:r>
    </w:p>
    <w:p>
      <w:pPr>
        <w:autoSpaceDE w:val="0"/>
        <w:autoSpaceDN w:val="0"/>
        <w:adjustRightInd w:val="0"/>
        <w:ind w:firstLine="422"/>
        <w:rPr>
          <w:b/>
          <w:bCs/>
          <w:color w:val="000000"/>
          <w:szCs w:val="21"/>
        </w:rPr>
      </w:pPr>
      <w:r>
        <w:rPr>
          <w:b/>
          <w:bCs/>
          <w:color w:val="000000"/>
          <w:szCs w:val="21"/>
        </w:rPr>
        <w:t>52</w:t>
      </w:r>
      <w:r>
        <w:rPr>
          <w:rFonts w:ascii="宋体" w:cs="宋体" w:hint="eastAsia"/>
          <w:b/>
          <w:bCs/>
          <w:color w:val="000000"/>
          <w:szCs w:val="21"/>
          <w:lang w:val="zh-CN"/>
        </w:rPr>
        <w:t>．质疑接收机构</w:t>
      </w:r>
    </w:p>
    <w:p>
      <w:pPr>
        <w:autoSpaceDE w:val="0"/>
        <w:autoSpaceDN w:val="0"/>
        <w:adjustRightInd w:val="0"/>
        <w:ind w:firstLine="420"/>
        <w:rPr>
          <w:color w:val="000000"/>
          <w:szCs w:val="21"/>
        </w:rPr>
      </w:pPr>
      <w:r>
        <w:rPr>
          <w:color w:val="000000"/>
          <w:szCs w:val="21"/>
        </w:rPr>
        <w:t>52.1</w:t>
      </w:r>
      <w:r>
        <w:rPr>
          <w:rFonts w:ascii="宋体" w:cs="宋体" w:hint="eastAsia"/>
          <w:color w:val="000000"/>
          <w:szCs w:val="21"/>
          <w:lang w:val="zh-CN"/>
        </w:rPr>
        <w:t>涉及采购需求的询问与质疑事项</w:t>
      </w:r>
      <w:r>
        <w:rPr>
          <w:color w:val="000000"/>
          <w:szCs w:val="21"/>
        </w:rPr>
        <w:t>,</w:t>
      </w:r>
      <w:r>
        <w:rPr>
          <w:rFonts w:ascii="宋体" w:cs="宋体" w:hint="eastAsia"/>
          <w:color w:val="000000"/>
          <w:szCs w:val="21"/>
          <w:lang w:val="zh-CN"/>
        </w:rPr>
        <w:t>以及适用评定分离自定法定标的结果选择问题</w:t>
      </w:r>
      <w:r>
        <w:rPr>
          <w:color w:val="000000"/>
          <w:szCs w:val="21"/>
        </w:rPr>
        <w:t>,</w:t>
      </w:r>
      <w:r>
        <w:rPr>
          <w:rFonts w:ascii="宋体" w:cs="宋体" w:hint="eastAsia"/>
          <w:color w:val="000000"/>
          <w:szCs w:val="21"/>
          <w:lang w:val="zh-CN"/>
        </w:rPr>
        <w:t>由采购人负责接收。涉及信息公开和评审过程等询问与质疑事项</w:t>
      </w:r>
      <w:r>
        <w:rPr>
          <w:color w:val="000000"/>
          <w:szCs w:val="21"/>
        </w:rPr>
        <w:t>,</w:t>
      </w:r>
      <w:r>
        <w:rPr>
          <w:rFonts w:ascii="宋体" w:cs="宋体" w:hint="eastAsia"/>
          <w:color w:val="000000"/>
          <w:szCs w:val="21"/>
          <w:lang w:val="zh-CN"/>
        </w:rPr>
        <w:t>由深圳市德顺项目咨询有限公司负责接收。</w:t>
      </w:r>
    </w:p>
    <w:p>
      <w:pPr>
        <w:autoSpaceDE w:val="0"/>
        <w:autoSpaceDN w:val="0"/>
        <w:adjustRightInd w:val="0"/>
        <w:ind w:firstLine="422"/>
        <w:rPr>
          <w:b/>
          <w:bCs/>
          <w:color w:val="000000"/>
          <w:szCs w:val="21"/>
        </w:rPr>
      </w:pPr>
      <w:r>
        <w:rPr>
          <w:b/>
          <w:bCs/>
          <w:color w:val="000000"/>
          <w:szCs w:val="21"/>
        </w:rPr>
        <w:t>53</w:t>
      </w:r>
      <w:r>
        <w:rPr>
          <w:rFonts w:ascii="宋体" w:cs="宋体" w:hint="eastAsia"/>
          <w:b/>
          <w:bCs/>
          <w:color w:val="000000"/>
          <w:szCs w:val="21"/>
          <w:lang w:val="zh-CN"/>
        </w:rPr>
        <w:t>．质疑回复原则</w:t>
      </w:r>
    </w:p>
    <w:p>
      <w:pPr>
        <w:autoSpaceDE w:val="0"/>
        <w:autoSpaceDN w:val="0"/>
        <w:adjustRightInd w:val="0"/>
        <w:ind w:firstLine="420"/>
        <w:rPr>
          <w:color w:val="000000"/>
          <w:szCs w:val="21"/>
        </w:rPr>
      </w:pPr>
      <w:r>
        <w:rPr>
          <w:color w:val="000000"/>
          <w:szCs w:val="21"/>
        </w:rPr>
        <w:t>53.1</w:t>
      </w:r>
      <w:r>
        <w:rPr>
          <w:rFonts w:ascii="宋体" w:cs="宋体" w:hint="eastAsia"/>
          <w:color w:val="000000"/>
          <w:szCs w:val="21"/>
          <w:lang w:val="zh-CN"/>
        </w:rPr>
        <w:t>质疑回复遵循公平、公正、规范、高效的原则。</w:t>
      </w:r>
    </w:p>
    <w:p>
      <w:pPr>
        <w:autoSpaceDE w:val="0"/>
        <w:autoSpaceDN w:val="0"/>
        <w:adjustRightInd w:val="0"/>
        <w:ind w:firstLine="420"/>
        <w:rPr>
          <w:color w:val="000000"/>
          <w:szCs w:val="21"/>
        </w:rPr>
      </w:pPr>
      <w:r>
        <w:rPr>
          <w:color w:val="000000"/>
          <w:szCs w:val="21"/>
        </w:rPr>
        <w:t>53.2</w:t>
      </w:r>
      <w:r>
        <w:rPr>
          <w:rFonts w:ascii="宋体" w:cs="宋体" w:hint="eastAsia"/>
          <w:color w:val="000000"/>
          <w:szCs w:val="21"/>
          <w:lang w:val="zh-CN"/>
        </w:rPr>
        <w:t>供应商质疑实行实名制和</w:t>
      </w:r>
      <w:r>
        <w:rPr>
          <w:rFonts w:ascii="宋体" w:cs="宋体"/>
          <w:color w:val="000000"/>
          <w:szCs w:val="21"/>
          <w:lang w:val="zh-CN"/>
        </w:rPr>
        <w:t>“</w:t>
      </w:r>
      <w:r>
        <w:rPr>
          <w:rFonts w:ascii="宋体" w:cs="宋体" w:hint="eastAsia"/>
          <w:color w:val="000000"/>
          <w:szCs w:val="21"/>
          <w:lang w:val="zh-CN"/>
        </w:rPr>
        <w:t>谁质疑，谁举证</w:t>
      </w:r>
      <w:r>
        <w:rPr>
          <w:rFonts w:ascii="宋体" w:cs="宋体"/>
          <w:color w:val="000000"/>
          <w:szCs w:val="21"/>
          <w:lang w:val="zh-CN"/>
        </w:rPr>
        <w:t>”</w:t>
      </w:r>
      <w:r>
        <w:rPr>
          <w:rFonts w:ascii="宋体" w:cs="宋体" w:hint="eastAsia"/>
          <w:color w:val="000000"/>
          <w:szCs w:val="21"/>
          <w:lang w:val="zh-CN"/>
        </w:rPr>
        <w:t>的原则，质疑应有具体的事项及事实根据。</w:t>
      </w:r>
    </w:p>
    <w:p>
      <w:pPr>
        <w:autoSpaceDE w:val="0"/>
        <w:autoSpaceDN w:val="0"/>
        <w:adjustRightInd w:val="0"/>
        <w:ind w:firstLine="422"/>
        <w:rPr>
          <w:b/>
          <w:bCs/>
          <w:color w:val="000000"/>
          <w:szCs w:val="21"/>
        </w:rPr>
      </w:pPr>
      <w:r>
        <w:rPr>
          <w:b/>
          <w:bCs/>
          <w:color w:val="000000"/>
          <w:szCs w:val="21"/>
        </w:rPr>
        <w:t>54</w:t>
      </w:r>
      <w:r>
        <w:rPr>
          <w:rFonts w:ascii="宋体" w:cs="宋体" w:hint="eastAsia"/>
          <w:b/>
          <w:bCs/>
          <w:color w:val="000000"/>
          <w:szCs w:val="21"/>
          <w:lang w:val="zh-CN"/>
        </w:rPr>
        <w:t>．质疑接收的时效和范围</w:t>
      </w:r>
    </w:p>
    <w:p>
      <w:pPr>
        <w:autoSpaceDE w:val="0"/>
        <w:autoSpaceDN w:val="0"/>
        <w:adjustRightInd w:val="0"/>
        <w:ind w:firstLine="420"/>
        <w:rPr>
          <w:color w:val="000000"/>
          <w:szCs w:val="21"/>
        </w:rPr>
      </w:pPr>
      <w:r>
        <w:rPr>
          <w:color w:val="000000"/>
          <w:szCs w:val="21"/>
        </w:rPr>
        <w:t>54.1</w:t>
      </w:r>
      <w:r>
        <w:rPr>
          <w:rFonts w:ascii="宋体" w:cs="宋体" w:hint="eastAsia"/>
          <w:color w:val="000000"/>
          <w:szCs w:val="21"/>
          <w:lang w:val="zh-CN"/>
        </w:rPr>
        <w:t>供应商认为采购文件、采购过程和中标</w:t>
      </w:r>
      <w:r>
        <w:rPr>
          <w:rFonts w:ascii="宋体" w:cs="宋体" w:hint="eastAsia"/>
          <w:color w:val="000000"/>
          <w:szCs w:val="21"/>
        </w:rPr>
        <w:t>（</w:t>
      </w:r>
      <w:r>
        <w:rPr>
          <w:rFonts w:ascii="宋体" w:cs="宋体" w:hint="eastAsia"/>
          <w:color w:val="000000"/>
          <w:szCs w:val="21"/>
          <w:lang w:val="zh-CN"/>
        </w:rPr>
        <w:t>成交</w:t>
      </w:r>
      <w:r>
        <w:rPr>
          <w:rFonts w:ascii="宋体" w:cs="宋体" w:hint="eastAsia"/>
          <w:color w:val="000000"/>
          <w:szCs w:val="21"/>
        </w:rPr>
        <w:t>）</w:t>
      </w:r>
      <w:r>
        <w:rPr>
          <w:rFonts w:ascii="宋体" w:cs="宋体" w:hint="eastAsia"/>
          <w:color w:val="000000"/>
          <w:szCs w:val="21"/>
          <w:lang w:val="zh-CN"/>
        </w:rPr>
        <w:t>结果使自己权益受到损害的</w:t>
      </w:r>
      <w:r>
        <w:rPr>
          <w:rFonts w:ascii="宋体" w:cs="宋体" w:hint="eastAsia"/>
          <w:color w:val="000000"/>
          <w:szCs w:val="21"/>
        </w:rPr>
        <w:t>，</w:t>
      </w:r>
      <w:r>
        <w:rPr>
          <w:rFonts w:ascii="宋体" w:cs="宋体" w:hint="eastAsia"/>
          <w:color w:val="000000"/>
          <w:szCs w:val="21"/>
          <w:lang w:val="zh-CN"/>
        </w:rPr>
        <w:t>可以在知道或者应知其权益受到损害之日起七个工作日内</w:t>
      </w:r>
      <w:r>
        <w:rPr>
          <w:rFonts w:ascii="宋体" w:cs="宋体" w:hint="eastAsia"/>
          <w:color w:val="000000"/>
          <w:szCs w:val="21"/>
        </w:rPr>
        <w:t>，</w:t>
      </w:r>
      <w:r>
        <w:rPr>
          <w:rFonts w:ascii="宋体" w:cs="宋体" w:hint="eastAsia"/>
          <w:color w:val="000000"/>
          <w:szCs w:val="21"/>
          <w:lang w:val="zh-CN"/>
        </w:rPr>
        <w:t>按照光明区公共资源交易中心官网公布《政府采购供应商质疑函范本》填写</w:t>
      </w:r>
      <w:r>
        <w:rPr>
          <w:rFonts w:ascii="宋体" w:cs="宋体" w:hint="eastAsia"/>
          <w:color w:val="000000"/>
          <w:szCs w:val="21"/>
        </w:rPr>
        <w:t>（</w:t>
      </w:r>
      <w:r>
        <w:rPr>
          <w:rFonts w:ascii="宋体" w:cs="宋体" w:hint="eastAsia"/>
          <w:color w:val="000000"/>
          <w:szCs w:val="21"/>
          <w:lang w:val="zh-CN"/>
        </w:rPr>
        <w:t>下载地址</w:t>
      </w:r>
      <w:r>
        <w:rPr>
          <w:rFonts w:ascii="宋体" w:cs="宋体" w:hint="eastAsia"/>
          <w:color w:val="000000"/>
          <w:szCs w:val="21"/>
        </w:rPr>
        <w:t>：</w:t>
      </w:r>
      <w:r>
        <w:fldChar w:fldCharType="begin"/>
      </w:r>
      <w:r>
        <w:instrText xml:space="preserve"> HYPERLINK "http://113.98.245.237:1019/bszn.do" </w:instrText>
      </w:r>
      <w:r>
        <w:fldChar w:fldCharType="separate"/>
      </w:r>
      <w:r>
        <w:rPr>
          <w:color w:val="000000"/>
          <w:szCs w:val="21"/>
          <w:u w:val="single"/>
        </w:rPr>
        <w:t>http://113.98.245.237:1019/bszn.do</w:t>
      </w:r>
      <w:r>
        <w:rPr>
          <w:color w:val="000000"/>
          <w:szCs w:val="21"/>
          <w:u w:val="single"/>
        </w:rPr>
        <w:fldChar w:fldCharType="end"/>
      </w:r>
      <w:r>
        <w:rPr>
          <w:rFonts w:ascii="宋体" w:cs="宋体" w:hint="eastAsia"/>
          <w:color w:val="000000"/>
          <w:szCs w:val="21"/>
        </w:rPr>
        <w:t>），</w:t>
      </w:r>
      <w:r>
        <w:rPr>
          <w:rFonts w:ascii="宋体" w:cs="宋体" w:hint="eastAsia"/>
          <w:color w:val="000000"/>
          <w:szCs w:val="21"/>
          <w:lang w:val="zh-CN"/>
        </w:rPr>
        <w:t>以书面形式向深圳市德顺项目咨询有限公司提出质疑</w:t>
      </w:r>
      <w:r>
        <w:rPr>
          <w:rFonts w:ascii="宋体" w:cs="宋体" w:hint="eastAsia"/>
          <w:color w:val="000000"/>
          <w:szCs w:val="21"/>
        </w:rPr>
        <w:t>，</w:t>
      </w:r>
      <w:r>
        <w:rPr>
          <w:rFonts w:ascii="宋体" w:cs="宋体" w:hint="eastAsia"/>
          <w:color w:val="000000"/>
          <w:szCs w:val="21"/>
          <w:lang w:val="zh-CN"/>
        </w:rPr>
        <w:t>联系方式及地址详见招标公告。</w:t>
      </w:r>
    </w:p>
    <w:p>
      <w:pPr>
        <w:autoSpaceDE w:val="0"/>
        <w:autoSpaceDN w:val="0"/>
        <w:adjustRightInd w:val="0"/>
        <w:ind w:firstLine="422"/>
        <w:rPr>
          <w:b/>
          <w:bCs/>
          <w:color w:val="000000"/>
          <w:szCs w:val="21"/>
        </w:rPr>
      </w:pPr>
      <w:r>
        <w:rPr>
          <w:b/>
          <w:bCs/>
          <w:color w:val="000000"/>
          <w:szCs w:val="21"/>
        </w:rPr>
        <w:t>55</w:t>
      </w:r>
      <w:r>
        <w:rPr>
          <w:rFonts w:ascii="宋体" w:cs="宋体" w:hint="eastAsia"/>
          <w:b/>
          <w:bCs/>
          <w:color w:val="000000"/>
          <w:szCs w:val="21"/>
          <w:lang w:val="zh-CN"/>
        </w:rPr>
        <w:t>．质疑条件</w:t>
      </w:r>
    </w:p>
    <w:p>
      <w:pPr>
        <w:autoSpaceDE w:val="0"/>
        <w:autoSpaceDN w:val="0"/>
        <w:adjustRightInd w:val="0"/>
        <w:ind w:firstLine="420"/>
        <w:rPr>
          <w:color w:val="000000"/>
          <w:szCs w:val="21"/>
        </w:rPr>
      </w:pPr>
      <w:r>
        <w:rPr>
          <w:color w:val="000000"/>
          <w:szCs w:val="21"/>
        </w:rPr>
        <w:t>55.1</w:t>
      </w:r>
      <w:r>
        <w:rPr>
          <w:rFonts w:ascii="宋体" w:cs="宋体" w:hint="eastAsia"/>
          <w:color w:val="000000"/>
          <w:szCs w:val="21"/>
          <w:lang w:val="zh-CN"/>
        </w:rPr>
        <w:t>提出质疑的应是直接参与相应采购项目的供应商。以联合体形式参与的，由联合体的主体共同提出；</w:t>
      </w:r>
    </w:p>
    <w:p>
      <w:pPr>
        <w:autoSpaceDE w:val="0"/>
        <w:autoSpaceDN w:val="0"/>
        <w:adjustRightInd w:val="0"/>
        <w:ind w:firstLine="420"/>
        <w:rPr>
          <w:color w:val="000000"/>
          <w:szCs w:val="21"/>
        </w:rPr>
      </w:pPr>
      <w:r>
        <w:rPr>
          <w:color w:val="000000"/>
          <w:szCs w:val="21"/>
        </w:rPr>
        <w:t>55.2</w:t>
      </w:r>
      <w:r>
        <w:rPr>
          <w:rFonts w:ascii="宋体" w:cs="宋体" w:hint="eastAsia"/>
          <w:color w:val="000000"/>
          <w:szCs w:val="21"/>
          <w:lang w:val="zh-CN"/>
        </w:rPr>
        <w:t>提供质疑的项目名称和编号、质疑供应商的单位名称、详细地址、邮政编码、联系人及联系电话等基本情况；</w:t>
      </w:r>
    </w:p>
    <w:p>
      <w:pPr>
        <w:autoSpaceDE w:val="0"/>
        <w:autoSpaceDN w:val="0"/>
        <w:adjustRightInd w:val="0"/>
        <w:ind w:firstLine="420"/>
        <w:rPr>
          <w:color w:val="000000"/>
          <w:szCs w:val="21"/>
        </w:rPr>
      </w:pPr>
      <w:r>
        <w:rPr>
          <w:color w:val="000000"/>
          <w:szCs w:val="21"/>
        </w:rPr>
        <w:t>55.3</w:t>
      </w:r>
      <w:r>
        <w:rPr>
          <w:rFonts w:ascii="宋体" w:cs="宋体" w:hint="eastAsia"/>
          <w:color w:val="000000"/>
          <w:szCs w:val="21"/>
          <w:lang w:val="zh-CN"/>
        </w:rPr>
        <w:t>有质疑的具体事项、请求及理由，并附相关证据材料及法律依据；</w:t>
      </w:r>
    </w:p>
    <w:p>
      <w:pPr>
        <w:autoSpaceDE w:val="0"/>
        <w:autoSpaceDN w:val="0"/>
        <w:adjustRightInd w:val="0"/>
        <w:ind w:firstLine="420"/>
        <w:rPr>
          <w:color w:val="000000"/>
          <w:szCs w:val="21"/>
        </w:rPr>
      </w:pPr>
      <w:r>
        <w:rPr>
          <w:color w:val="000000"/>
          <w:szCs w:val="21"/>
        </w:rPr>
        <w:t>55.4</w:t>
      </w:r>
      <w:r>
        <w:rPr>
          <w:rFonts w:ascii="宋体" w:cs="宋体" w:hint="eastAsia"/>
          <w:color w:val="000000"/>
          <w:szCs w:val="21"/>
          <w:lang w:val="zh-CN"/>
        </w:rPr>
        <w:t>质疑书加盖公章，被授权人进行质疑的同时提交营业执照复印件、法定代表人证明书及其身份证复印件、授权委托书及被授权人身份证复印件；</w:t>
      </w:r>
    </w:p>
    <w:p>
      <w:pPr>
        <w:autoSpaceDE w:val="0"/>
        <w:autoSpaceDN w:val="0"/>
        <w:adjustRightInd w:val="0"/>
        <w:ind w:firstLine="420"/>
        <w:rPr>
          <w:color w:val="000000"/>
          <w:szCs w:val="21"/>
        </w:rPr>
      </w:pPr>
      <w:r>
        <w:rPr>
          <w:color w:val="000000"/>
          <w:szCs w:val="21"/>
        </w:rPr>
        <w:t>55.5</w:t>
      </w:r>
      <w:r>
        <w:rPr>
          <w:rFonts w:ascii="宋体" w:cs="宋体" w:hint="eastAsia"/>
          <w:color w:val="000000"/>
          <w:szCs w:val="21"/>
          <w:lang w:val="zh-CN"/>
        </w:rPr>
        <w:t>质疑材料中有外文资料的，应一并附上中文译本，并以中文译本为准。</w:t>
      </w:r>
    </w:p>
    <w:p>
      <w:pPr>
        <w:autoSpaceDE w:val="0"/>
        <w:autoSpaceDN w:val="0"/>
        <w:adjustRightInd w:val="0"/>
        <w:ind w:firstLine="420"/>
        <w:rPr>
          <w:color w:val="000000"/>
          <w:szCs w:val="21"/>
        </w:rPr>
      </w:pPr>
      <w:r>
        <w:rPr>
          <w:rFonts w:ascii="宋体" w:cs="宋体" w:hint="eastAsia"/>
          <w:color w:val="000000"/>
          <w:szCs w:val="21"/>
          <w:lang w:val="zh-CN"/>
        </w:rPr>
        <w:t>不符合上述条件的，供应商应当补正材料，补正后深圳市德顺项目咨询有限公司予以接收。</w:t>
      </w:r>
    </w:p>
    <w:p>
      <w:pPr>
        <w:autoSpaceDE w:val="0"/>
        <w:autoSpaceDN w:val="0"/>
        <w:adjustRightInd w:val="0"/>
        <w:ind w:firstLine="422"/>
        <w:rPr>
          <w:b/>
          <w:bCs/>
          <w:color w:val="000000"/>
          <w:szCs w:val="21"/>
        </w:rPr>
      </w:pPr>
      <w:r>
        <w:rPr>
          <w:b/>
          <w:bCs/>
          <w:color w:val="000000"/>
          <w:szCs w:val="21"/>
        </w:rPr>
        <w:t>56</w:t>
      </w:r>
      <w:r>
        <w:rPr>
          <w:rFonts w:ascii="宋体" w:cs="宋体" w:hint="eastAsia"/>
          <w:b/>
          <w:bCs/>
          <w:color w:val="000000"/>
          <w:szCs w:val="21"/>
          <w:lang w:val="zh-CN"/>
        </w:rPr>
        <w:t>．接收质疑程序</w:t>
      </w:r>
    </w:p>
    <w:p>
      <w:pPr>
        <w:autoSpaceDE w:val="0"/>
        <w:autoSpaceDN w:val="0"/>
        <w:adjustRightInd w:val="0"/>
        <w:ind w:firstLine="420"/>
        <w:rPr>
          <w:color w:val="000000"/>
          <w:szCs w:val="21"/>
        </w:rPr>
      </w:pPr>
      <w:r>
        <w:rPr>
          <w:color w:val="000000"/>
          <w:szCs w:val="21"/>
        </w:rPr>
        <w:t>56.1</w:t>
      </w:r>
      <w:r>
        <w:rPr>
          <w:rFonts w:ascii="宋体" w:cs="宋体" w:hint="eastAsia"/>
          <w:color w:val="000000"/>
          <w:szCs w:val="21"/>
          <w:lang w:val="zh-CN"/>
        </w:rPr>
        <w:t>先与质疑供应商进行沟通，以消除因误解或对采购规则和程序的不了解而引起的质疑。对沟通情况满意的，供应商撤回质疑，质疑程序终止。</w:t>
      </w:r>
    </w:p>
    <w:p>
      <w:pPr>
        <w:autoSpaceDE w:val="0"/>
        <w:autoSpaceDN w:val="0"/>
        <w:adjustRightInd w:val="0"/>
        <w:ind w:firstLine="420"/>
        <w:rPr>
          <w:color w:val="000000"/>
          <w:szCs w:val="21"/>
        </w:rPr>
      </w:pPr>
      <w:r>
        <w:rPr>
          <w:color w:val="000000"/>
          <w:szCs w:val="21"/>
        </w:rPr>
        <w:t>56.2</w:t>
      </w:r>
      <w:r>
        <w:rPr>
          <w:rFonts w:ascii="宋体" w:cs="宋体" w:hint="eastAsia"/>
          <w:color w:val="000000"/>
          <w:szCs w:val="21"/>
          <w:lang w:val="zh-CN"/>
        </w:rPr>
        <w:t>处理质疑一般进行书面审查；必要时听取各方当事人的陈述和申辩、进行相关调查；组织原评审委员会或谈判小组进行复核。</w:t>
      </w:r>
    </w:p>
    <w:p>
      <w:pPr>
        <w:autoSpaceDE w:val="0"/>
        <w:autoSpaceDN w:val="0"/>
        <w:adjustRightInd w:val="0"/>
        <w:ind w:firstLine="420"/>
        <w:rPr>
          <w:color w:val="000000"/>
          <w:szCs w:val="21"/>
        </w:rPr>
      </w:pPr>
      <w:r>
        <w:rPr>
          <w:color w:val="000000"/>
          <w:szCs w:val="21"/>
        </w:rPr>
        <w:t>56.3</w:t>
      </w:r>
      <w:r>
        <w:rPr>
          <w:rFonts w:ascii="宋体" w:cs="宋体" w:hint="eastAsia"/>
          <w:color w:val="000000"/>
          <w:szCs w:val="21"/>
          <w:lang w:val="zh-CN"/>
        </w:rPr>
        <w:t>在质疑处理期间，原则上不中止采购活动。但深圳市光明区财政局可以视情形决定是否暂停采购活动。</w:t>
      </w:r>
    </w:p>
    <w:p>
      <w:pPr>
        <w:autoSpaceDE w:val="0"/>
        <w:autoSpaceDN w:val="0"/>
        <w:adjustRightInd w:val="0"/>
        <w:ind w:firstLine="420"/>
        <w:rPr>
          <w:color w:val="000000"/>
          <w:szCs w:val="21"/>
        </w:rPr>
      </w:pPr>
      <w:r>
        <w:rPr>
          <w:color w:val="000000"/>
          <w:szCs w:val="21"/>
        </w:rPr>
        <w:t>56.4</w:t>
      </w:r>
      <w:r>
        <w:rPr>
          <w:rFonts w:ascii="宋体" w:cs="宋体" w:hint="eastAsia"/>
          <w:color w:val="000000"/>
          <w:szCs w:val="21"/>
          <w:lang w:val="zh-CN"/>
        </w:rPr>
        <w:t>深圳市德顺项目咨询有限公司原则上在质疑受理之日起七个工作日内书面答复质疑供应商。质疑事项需要向有关部门取得证明或者组织专门机构、人员进行检验、检测或者鉴定的，所需时间不计入质疑处理期间。</w:t>
      </w:r>
    </w:p>
    <w:p>
      <w:pPr>
        <w:autoSpaceDE w:val="0"/>
        <w:autoSpaceDN w:val="0"/>
        <w:adjustRightInd w:val="0"/>
        <w:ind w:firstLine="420"/>
        <w:rPr>
          <w:color w:val="000000"/>
          <w:szCs w:val="21"/>
        </w:rPr>
      </w:pPr>
      <w:r>
        <w:rPr>
          <w:rFonts w:ascii="宋体" w:cs="宋体" w:hint="eastAsia"/>
          <w:color w:val="000000"/>
          <w:szCs w:val="21"/>
          <w:lang w:val="zh-CN"/>
        </w:rPr>
        <w:t>质疑答复函以直接领取、传真或邮寄方式送达。</w:t>
      </w:r>
    </w:p>
    <w:p>
      <w:pPr>
        <w:autoSpaceDE w:val="0"/>
        <w:autoSpaceDN w:val="0"/>
        <w:adjustRightInd w:val="0"/>
        <w:ind w:firstLine="420"/>
        <w:rPr>
          <w:color w:val="000000"/>
          <w:szCs w:val="21"/>
        </w:rPr>
      </w:pPr>
      <w:r>
        <w:rPr>
          <w:color w:val="000000"/>
          <w:szCs w:val="21"/>
        </w:rPr>
        <w:t>56.5</w:t>
      </w:r>
      <w:r>
        <w:rPr>
          <w:rFonts w:ascii="宋体" w:cs="宋体" w:hint="eastAsia"/>
          <w:color w:val="000000"/>
          <w:szCs w:val="21"/>
          <w:lang w:val="zh-CN"/>
        </w:rPr>
        <w:t>供应商向深圳市德顺项目咨询有限公司提出质疑后，在质疑期限内，不得同时向其他方面提起同一质疑。质疑供应商如已就同一事项提起投诉、提请行政复议或诉讼的，质疑程序终止。</w:t>
      </w:r>
    </w:p>
    <w:p>
      <w:pPr>
        <w:autoSpaceDE w:val="0"/>
        <w:autoSpaceDN w:val="0"/>
        <w:adjustRightInd w:val="0"/>
        <w:ind w:firstLine="420"/>
        <w:rPr>
          <w:color w:val="000000"/>
          <w:szCs w:val="21"/>
        </w:rPr>
      </w:pPr>
      <w:r>
        <w:rPr>
          <w:color w:val="000000"/>
          <w:szCs w:val="21"/>
        </w:rPr>
        <w:t xml:space="preserve">56.6 </w:t>
      </w:r>
      <w:r>
        <w:rPr>
          <w:rFonts w:ascii="宋体" w:cs="宋体" w:hint="eastAsia"/>
          <w:color w:val="000000"/>
          <w:szCs w:val="21"/>
          <w:lang w:val="zh-CN"/>
        </w:rPr>
        <w:t>供应商应当在法定质疑期内一次性提出针对同一采购程序环节的质疑。</w:t>
      </w:r>
    </w:p>
    <w:p>
      <w:pPr>
        <w:autoSpaceDE w:val="0"/>
        <w:autoSpaceDN w:val="0"/>
        <w:adjustRightInd w:val="0"/>
        <w:ind w:firstLine="422"/>
        <w:rPr>
          <w:b/>
          <w:bCs/>
          <w:color w:val="000000"/>
          <w:szCs w:val="21"/>
        </w:rPr>
      </w:pPr>
      <w:r>
        <w:rPr>
          <w:b/>
          <w:bCs/>
          <w:color w:val="000000"/>
          <w:szCs w:val="21"/>
        </w:rPr>
        <w:t>57.</w:t>
      </w:r>
      <w:r>
        <w:rPr>
          <w:rFonts w:ascii="宋体" w:cs="宋体" w:hint="eastAsia"/>
          <w:b/>
          <w:bCs/>
          <w:color w:val="000000"/>
          <w:szCs w:val="21"/>
          <w:lang w:val="zh-CN"/>
        </w:rPr>
        <w:t>质疑成立且影响或者可能影响中标、成交结果的处理</w:t>
      </w:r>
    </w:p>
    <w:p>
      <w:pPr>
        <w:autoSpaceDE w:val="0"/>
        <w:autoSpaceDN w:val="0"/>
        <w:adjustRightInd w:val="0"/>
        <w:ind w:firstLine="420"/>
        <w:rPr>
          <w:color w:val="000000"/>
          <w:szCs w:val="21"/>
        </w:rPr>
      </w:pPr>
      <w:r>
        <w:rPr>
          <w:color w:val="000000"/>
          <w:szCs w:val="21"/>
        </w:rPr>
        <w:t>57.1</w:t>
      </w:r>
      <w:r>
        <w:rPr>
          <w:rFonts w:ascii="宋体" w:cs="宋体" w:hint="eastAsia"/>
          <w:color w:val="000000"/>
          <w:szCs w:val="21"/>
          <w:lang w:val="zh-CN"/>
        </w:rPr>
        <w:t>供应商质疑成立且影响或者可能影响中标、成交结果的，按照下列情况处理：（</w:t>
      </w:r>
      <w:r>
        <w:rPr>
          <w:color w:val="000000"/>
          <w:szCs w:val="21"/>
        </w:rPr>
        <w:t>1</w:t>
      </w:r>
      <w:r>
        <w:rPr>
          <w:rFonts w:ascii="宋体" w:cs="宋体" w:hint="eastAsia"/>
          <w:color w:val="000000"/>
          <w:szCs w:val="21"/>
          <w:lang w:val="zh-CN"/>
        </w:rPr>
        <w:t>）对采购文件提出的质疑，依法通过澄清或者修改可以继续开展采购活动的，澄清或者修改采购文件后继续开展采购活动；否则应当修改采购文件后重新开展采购活动。（</w:t>
      </w:r>
      <w:r>
        <w:rPr>
          <w:color w:val="000000"/>
          <w:szCs w:val="21"/>
        </w:rPr>
        <w:t>2</w:t>
      </w:r>
      <w:r>
        <w:rPr>
          <w:rFonts w:ascii="宋体" w:cs="宋体" w:hint="eastAsia"/>
          <w:color w:val="000000"/>
          <w:szCs w:val="21"/>
          <w:lang w:val="zh-CN"/>
        </w:rPr>
        <w:t>）对采购过程、中标或者成交结果提出的质疑，如果合格供应商符合法定数量，依法从合格的中标或者成交候选人中另行确定中标、成交供应商；如果合格供应商不符合法定数量，应当重新开展采购活动。</w:t>
      </w:r>
    </w:p>
    <w:p>
      <w:pPr>
        <w:autoSpaceDE w:val="0"/>
        <w:autoSpaceDN w:val="0"/>
        <w:adjustRightInd w:val="0"/>
        <w:ind w:firstLine="420"/>
        <w:rPr>
          <w:color w:val="000000"/>
          <w:szCs w:val="21"/>
        </w:rPr>
      </w:pPr>
      <w:r>
        <w:rPr>
          <w:color w:val="000000"/>
          <w:szCs w:val="21"/>
        </w:rPr>
        <w:t xml:space="preserve">57.2 </w:t>
      </w:r>
      <w:r>
        <w:rPr>
          <w:rFonts w:ascii="宋体" w:cs="宋体" w:hint="eastAsia"/>
          <w:color w:val="000000"/>
          <w:szCs w:val="21"/>
          <w:lang w:val="zh-CN"/>
        </w:rPr>
        <w:t>质疑答复导致中标、成交结果改变的，我公司依法将有关情况向深圳市光明区财政局书面报告。供应商对质疑处理结果不满，可依法向深圳市光明区财政局提起投诉。</w:t>
      </w:r>
    </w:p>
    <w:p>
      <w:pPr>
        <w:autoSpaceDE w:val="0"/>
        <w:autoSpaceDN w:val="0"/>
        <w:adjustRightInd w:val="0"/>
        <w:ind w:firstLine="422"/>
        <w:rPr>
          <w:b/>
          <w:bCs/>
          <w:color w:val="000000"/>
          <w:szCs w:val="21"/>
        </w:rPr>
      </w:pPr>
      <w:r>
        <w:rPr>
          <w:b/>
          <w:bCs/>
          <w:color w:val="000000"/>
          <w:szCs w:val="21"/>
        </w:rPr>
        <w:t>58</w:t>
      </w:r>
      <w:r>
        <w:rPr>
          <w:rFonts w:ascii="宋体" w:cs="宋体" w:hint="eastAsia"/>
          <w:b/>
          <w:bCs/>
          <w:color w:val="000000"/>
          <w:szCs w:val="21"/>
          <w:lang w:val="zh-CN"/>
        </w:rPr>
        <w:t>．相关责任与义务</w:t>
      </w:r>
    </w:p>
    <w:p>
      <w:pPr>
        <w:autoSpaceDE w:val="0"/>
        <w:autoSpaceDN w:val="0"/>
        <w:adjustRightInd w:val="0"/>
        <w:ind w:firstLine="420"/>
        <w:rPr>
          <w:color w:val="000000"/>
          <w:szCs w:val="21"/>
        </w:rPr>
      </w:pPr>
      <w:r>
        <w:rPr>
          <w:color w:val="000000"/>
          <w:szCs w:val="21"/>
        </w:rPr>
        <w:t>58.1</w:t>
      </w:r>
      <w:r>
        <w:rPr>
          <w:rFonts w:ascii="宋体" w:cs="宋体" w:hint="eastAsia"/>
          <w:color w:val="000000"/>
          <w:szCs w:val="21"/>
          <w:lang w:val="zh-CN"/>
        </w:rPr>
        <w:t>采购单位、评标专家和相关供应商等当事人应积极配合深圳市德顺项目咨询有限公司进行质疑处理，如实反映情况，及时提供证明材料。</w:t>
      </w:r>
    </w:p>
    <w:p>
      <w:pPr>
        <w:autoSpaceDE w:val="0"/>
        <w:autoSpaceDN w:val="0"/>
        <w:adjustRightInd w:val="0"/>
        <w:ind w:firstLine="420"/>
        <w:rPr>
          <w:color w:val="000000"/>
          <w:szCs w:val="21"/>
        </w:rPr>
      </w:pPr>
      <w:r>
        <w:rPr>
          <w:color w:val="000000"/>
          <w:szCs w:val="21"/>
        </w:rPr>
        <w:t>58.2</w:t>
      </w:r>
      <w:r>
        <w:rPr>
          <w:rFonts w:ascii="宋体" w:cs="宋体" w:hint="eastAsia"/>
          <w:color w:val="000000"/>
          <w:szCs w:val="21"/>
          <w:lang w:val="zh-CN"/>
        </w:rPr>
        <w:t>质疑供应商有下列情形之一的，深圳市德顺项目咨询有限公司将视情节上报至政府采购监督管理部门，由政府采购监督管理部门记入供应商诚信档案：</w:t>
      </w:r>
    </w:p>
    <w:p>
      <w:pPr>
        <w:autoSpaceDE w:val="0"/>
        <w:autoSpaceDN w:val="0"/>
        <w:adjustRightInd w:val="0"/>
        <w:ind w:firstLine="420"/>
        <w:rPr>
          <w:color w:val="000000"/>
          <w:szCs w:val="21"/>
        </w:rPr>
      </w:pPr>
      <w:r>
        <w:rPr>
          <w:color w:val="000000"/>
          <w:szCs w:val="21"/>
        </w:rPr>
        <w:t>58.2.1</w:t>
      </w:r>
      <w:r>
        <w:rPr>
          <w:rFonts w:ascii="宋体" w:cs="宋体" w:hint="eastAsia"/>
          <w:color w:val="000000"/>
          <w:szCs w:val="21"/>
          <w:lang w:val="zh-CN"/>
        </w:rPr>
        <w:t>捏造事实或提供虚假证明材料的；</w:t>
      </w:r>
    </w:p>
    <w:p>
      <w:pPr>
        <w:autoSpaceDE w:val="0"/>
        <w:autoSpaceDN w:val="0"/>
        <w:adjustRightInd w:val="0"/>
        <w:ind w:firstLine="420"/>
        <w:rPr>
          <w:color w:val="000000"/>
          <w:szCs w:val="21"/>
        </w:rPr>
      </w:pPr>
      <w:r>
        <w:rPr>
          <w:color w:val="000000"/>
          <w:szCs w:val="21"/>
        </w:rPr>
        <w:t>58.2.2</w:t>
      </w:r>
      <w:r>
        <w:rPr>
          <w:rFonts w:ascii="宋体" w:cs="宋体" w:hint="eastAsia"/>
          <w:color w:val="000000"/>
          <w:szCs w:val="21"/>
          <w:lang w:val="zh-CN"/>
        </w:rPr>
        <w:t>假冒他人名义进行质疑的；</w:t>
      </w:r>
    </w:p>
    <w:p>
      <w:pPr>
        <w:rPr>
          <w:szCs w:val="21"/>
        </w:rPr>
      </w:pPr>
      <w:r>
        <w:rPr>
          <w:color w:val="000000"/>
          <w:szCs w:val="21"/>
        </w:rPr>
        <w:t>58.2.3</w:t>
      </w:r>
      <w:r>
        <w:rPr>
          <w:rFonts w:ascii="宋体" w:cs="宋体" w:hint="eastAsia"/>
          <w:color w:val="000000"/>
          <w:szCs w:val="21"/>
          <w:lang w:val="zh-CN"/>
        </w:rPr>
        <w:t>拒不配合进行有关调查、情节严重的。</w:t>
      </w:r>
    </w:p>
    <w:p/>
    <w:p/>
    <w:p/>
    <w:p/>
    <w:p/>
    <w:p/>
    <w:p/>
    <w:sectPr>
      <w:pgSz w:w="11906" w:h="16838"/>
      <w:pgMar w:header="720" w:footer="72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4"/>
      <w:numFmt w:val="decimal"/>
      <w:suff w:val="nothing"/>
      <w:lvlText w:val="（%1）"/>
      <w:lvlJc w:val="left"/>
    </w:lvl>
  </w:abstractNum>
  <w:abstractNum w:abstractNumId="1">
    <w:nsid w:val="00000002"/>
    <w:multiLevelType w:val="multilevel"/>
    <w:tmpl w:val="0000000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nsid w:val="00000003"/>
    <w:multiLevelType w:val="singleLevel"/>
    <w:tmpl w:val="00000003"/>
    <w:lvl w:ilvl="0">
      <w:start w:val="3"/>
      <w:numFmt w:val="decimal"/>
      <w:suff w:val="nothing"/>
      <w:lvlText w:val="%1、"/>
      <w:lvlJc w:val="left"/>
    </w:lvl>
  </w:abstractNum>
  <w:abstractNum w:abstractNumId="3">
    <w:nsid w:val="00000004"/>
    <w:multiLevelType w:val="singleLevel"/>
    <w:tmpl w:val="00000004"/>
    <w:lvl w:ilvl="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trackRevisions/>
  <w:defaultTabStop w:val="720"/>
  <w:noPunctuationKerning/>
  <w:characterSpacingControl w:val="doNotCompress"/>
  <w:compat>
    <w:ulTrailSpac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Heading3"/>
    <w:next w:val="Normal"/>
    <w:link w:val="1Char"/>
    <w:qFormat/>
    <w:pPr>
      <w:spacing w:before="340" w:after="330" w:line="360" w:lineRule="auto"/>
      <w:jc w:val="center"/>
      <w:outlineLvl w:val="0"/>
    </w:pPr>
    <w:rPr>
      <w:rFonts w:eastAsia="黑体"/>
      <w:kern w:val="44"/>
      <w:szCs w:val="44"/>
    </w:rPr>
  </w:style>
  <w:style w:type="paragraph" w:styleId="Heading2">
    <w:name w:val="heading 2"/>
    <w:basedOn w:val="Normal"/>
    <w:next w:val="Normal"/>
    <w:link w:val="2Char"/>
    <w:qFormat/>
    <w:pPr>
      <w:adjustRightInd w:val="0"/>
      <w:jc w:val="center"/>
      <w:textAlignment w:val="baseline"/>
      <w:outlineLvl w:val="1"/>
    </w:pPr>
    <w:rPr>
      <w:bCs/>
      <w:szCs w:val="20"/>
    </w:rPr>
  </w:style>
  <w:style w:type="paragraph" w:styleId="Heading3">
    <w:name w:val="heading 3"/>
    <w:basedOn w:val="Heading4"/>
    <w:next w:val="Normal"/>
    <w:link w:val="3Char"/>
    <w:qFormat/>
    <w:pPr>
      <w:spacing w:before="260" w:after="260" w:line="240" w:lineRule="auto"/>
      <w:outlineLvl w:val="2"/>
    </w:pPr>
    <w:rPr>
      <w:rFonts w:ascii="宋体" w:eastAsia="宋体" w:hAnsi="宋体"/>
      <w:szCs w:val="32"/>
    </w:rPr>
  </w:style>
  <w:style w:type="paragraph" w:styleId="Heading4">
    <w:name w:val="heading 4"/>
    <w:basedOn w:val="Normal"/>
    <w:next w:val="Normal"/>
    <w:link w:val="4Char"/>
    <w:qFormat/>
    <w:pPr>
      <w:keepNext/>
      <w:keepLines/>
      <w:spacing w:before="280" w:after="290" w:line="376" w:lineRule="auto"/>
      <w:outlineLvl w:val="3"/>
    </w:pPr>
    <w:rPr>
      <w:rFonts w:ascii="Arial" w:eastAsia="黑体" w:hAnsi="Arial"/>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uiPriority w:val="99"/>
    <w:qFormat/>
  </w:style>
  <w:style w:type="paragraph" w:customStyle="1" w:styleId="a">
    <w:name w:val="*正文"/>
    <w:basedOn w:val="Normal"/>
    <w:link w:val="Char"/>
    <w:qFormat/>
    <w:pPr>
      <w:spacing w:line="360" w:lineRule="auto"/>
      <w:ind w:firstLine="200" w:firstLineChars="200"/>
    </w:pPr>
    <w:rPr>
      <w:rFonts w:ascii="仿宋_GB2312" w:hAnsi="Calibri"/>
      <w:szCs w:val="28"/>
    </w:rPr>
  </w:style>
  <w:style w:type="character" w:customStyle="1" w:styleId="Char">
    <w:name w:val="*正文 Char"/>
    <w:link w:val="a"/>
    <w:qFormat/>
    <w:rPr>
      <w:rFonts w:ascii="仿宋_GB2312"/>
      <w:sz w:val="24"/>
      <w:szCs w:val="28"/>
    </w:rPr>
  </w:style>
  <w:style w:type="character" w:customStyle="1" w:styleId="4Char">
    <w:name w:val="标题 4 Char"/>
    <w:link w:val="Heading4"/>
    <w:qFormat/>
    <w:rPr>
      <w:rFonts w:ascii="Arial" w:eastAsia="黑体" w:hAnsi="Arial" w:cs="Times New Roman"/>
      <w:b/>
      <w:bCs/>
      <w:kern w:val="0"/>
      <w:sz w:val="28"/>
      <w:szCs w:val="28"/>
    </w:rPr>
  </w:style>
  <w:style w:type="character" w:customStyle="1" w:styleId="3Char">
    <w:name w:val="标题 3 Char"/>
    <w:basedOn w:val="DefaultParagraphFont"/>
    <w:link w:val="Heading3"/>
    <w:uiPriority w:val="9"/>
    <w:qFormat/>
    <w:rPr>
      <w:rFonts w:ascii="Times New Roman" w:eastAsia="宋体" w:hAnsi="Times New Roman" w:cs="Times New Roman"/>
      <w:b/>
      <w:bCs/>
      <w:sz w:val="32"/>
      <w:szCs w:val="32"/>
    </w:rPr>
  </w:style>
  <w:style w:type="character" w:customStyle="1" w:styleId="1Char">
    <w:name w:val="标题 1 Char"/>
    <w:link w:val="Heading1"/>
    <w:qFormat/>
    <w:rPr>
      <w:rFonts w:ascii="宋体" w:eastAsia="黑体" w:hAnsi="宋体" w:cs="Times New Roman"/>
      <w:b/>
      <w:bCs/>
      <w:kern w:val="44"/>
      <w:sz w:val="28"/>
      <w:szCs w:val="44"/>
    </w:rPr>
  </w:style>
  <w:style w:type="character" w:customStyle="1" w:styleId="2Char">
    <w:name w:val="标题 2 Char"/>
    <w:link w:val="Heading2"/>
    <w:qFormat/>
    <w:rPr>
      <w:rFonts w:ascii="Times New Roman" w:eastAsia="宋体" w:hAnsi="Times New Roman" w:cs="Times New Roman"/>
      <w:bCs/>
      <w:kern w:val="0"/>
      <w:sz w:val="24"/>
      <w:szCs w:val="20"/>
    </w:rPr>
  </w:style>
  <w:style w:type="paragraph" w:styleId="NormalIndent">
    <w:name w:val="Normal Indent"/>
    <w:basedOn w:val="Normal"/>
    <w:next w:val="BodyText"/>
    <w:link w:val="Char1"/>
    <w:qFormat/>
    <w:pPr>
      <w:ind w:firstLine="420"/>
    </w:pPr>
    <w:rPr>
      <w:sz w:val="20"/>
      <w:szCs w:val="20"/>
    </w:rPr>
  </w:style>
  <w:style w:type="paragraph" w:styleId="BodyText">
    <w:name w:val="Body Text"/>
    <w:basedOn w:val="Normal"/>
    <w:next w:val="Title"/>
    <w:link w:val="Char0"/>
    <w:uiPriority w:val="99"/>
    <w:unhideWhenUsed/>
    <w:qFormat/>
    <w:pPr>
      <w:spacing w:after="120"/>
    </w:pPr>
  </w:style>
  <w:style w:type="paragraph" w:styleId="Title">
    <w:name w:val="Title"/>
    <w:basedOn w:val="Normal"/>
    <w:next w:val="Normal"/>
    <w:qFormat/>
    <w:pPr>
      <w:widowControl w:val="0"/>
      <w:spacing w:before="240" w:after="60" w:line="276" w:lineRule="auto"/>
      <w:jc w:val="center"/>
      <w:outlineLvl w:val="0"/>
    </w:pPr>
    <w:rPr>
      <w:rFonts w:ascii="Cambria" w:hAnsi="Cambria"/>
      <w:b/>
      <w:bCs/>
      <w:kern w:val="2"/>
      <w:sz w:val="32"/>
      <w:szCs w:val="32"/>
      <w:lang w:val="en-US" w:eastAsia="zh-CN" w:bidi="ar-SA"/>
    </w:rPr>
  </w:style>
  <w:style w:type="character" w:customStyle="1" w:styleId="Char0">
    <w:name w:val="正文文本 Char"/>
    <w:basedOn w:val="DefaultParagraphFont"/>
    <w:link w:val="BodyText"/>
    <w:qFormat/>
    <w:rPr>
      <w:rFonts w:ascii="Times New Roman" w:eastAsia="宋体" w:hAnsi="Times New Roman" w:cs="Times New Roman"/>
      <w:szCs w:val="24"/>
    </w:rPr>
  </w:style>
  <w:style w:type="character" w:customStyle="1" w:styleId="Char1">
    <w:name w:val="正文缩进 Char"/>
    <w:link w:val="NormalIndent"/>
    <w:qFormat/>
    <w:rPr>
      <w:rFonts w:ascii="Times New Roman" w:eastAsia="宋体" w:hAnsi="Times New Roman" w:cs="Times New Roman"/>
      <w:kern w:val="0"/>
      <w:sz w:val="20"/>
      <w:szCs w:val="20"/>
    </w:rPr>
  </w:style>
  <w:style w:type="paragraph" w:styleId="PlainText">
    <w:name w:val="Plain Text"/>
    <w:basedOn w:val="Normal"/>
    <w:qFormat/>
    <w:pPr>
      <w:widowControl w:val="0"/>
      <w:jc w:val="both"/>
    </w:pPr>
    <w:rPr>
      <w:rFonts w:hAnsi="Courier New" w:cs="Times New Roman"/>
      <w:kern w:val="2"/>
      <w:sz w:val="21"/>
      <w:szCs w:val="20"/>
    </w:rPr>
  </w:style>
  <w:style w:type="character" w:styleId="Hyperlink">
    <w:name w:val="Hyperlink"/>
    <w:qFormat/>
    <w:rPr>
      <w:rFonts w:ascii="宋体" w:eastAsia="宋体" w:hAnsi="宋体" w:cs="宋体" w:hint="eastAsia"/>
      <w:color w:val="0031C1"/>
      <w:sz w:val="18"/>
      <w:szCs w:val="18"/>
      <w:u w:val="none"/>
    </w:rPr>
  </w:style>
  <w:style w:type="paragraph" w:styleId="ListParagraph">
    <w:name w:val="List Paragraph"/>
    <w:basedOn w:val="Normal"/>
    <w:uiPriority w:val="99"/>
    <w:qFormat/>
    <w:pPr>
      <w:ind w:firstLine="420" w:firstLineChars="20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TotalTime>0</TotalTime>
  <Pages>54</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