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b/>
          <w:bCs/>
          <w:color w:val="000000"/>
          <w:kern w:val="0"/>
          <w:sz w:val="40"/>
          <w:szCs w:val="40"/>
          <w:lang w:val="en-US" w:eastAsia="zh-CN" w:bidi="ar"/>
        </w:rPr>
      </w:pPr>
      <w:r>
        <w:rPr>
          <w:rFonts w:hint="eastAsia" w:ascii="仿宋_GB2312" w:hAnsi="仿宋_GB2312" w:eastAsia="仿宋_GB2312" w:cs="仿宋_GB2312"/>
          <w:b/>
          <w:bCs/>
          <w:color w:val="000000"/>
          <w:kern w:val="0"/>
          <w:sz w:val="40"/>
          <w:szCs w:val="40"/>
          <w:lang w:val="en-US" w:eastAsia="zh-CN" w:bidi="ar"/>
        </w:rPr>
        <w:t>政府采购需求书</w:t>
      </w:r>
    </w:p>
    <w:p>
      <w:pPr>
        <w:pStyle w:val="5"/>
        <w:rPr>
          <w:rFonts w:hint="default"/>
          <w:lang w:val="en-US" w:eastAsia="zh-CN"/>
        </w:rPr>
      </w:pPr>
    </w:p>
    <w:p>
      <w:pPr>
        <w:keepNext w:val="0"/>
        <w:keepLines w:val="0"/>
        <w:widowControl/>
        <w:suppressLineNumbers w:val="0"/>
        <w:ind w:firstLine="622" w:firstLineChars="200"/>
        <w:jc w:val="both"/>
        <w:rPr>
          <w:rFonts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一、采购标的需实现的功能或者目标，以及为落实政府采购政策需满足的要求：</w:t>
      </w:r>
    </w:p>
    <w:p>
      <w:pPr>
        <w:keepNext w:val="0"/>
        <w:keepLines w:val="0"/>
        <w:widowControl/>
        <w:numPr>
          <w:ilvl w:val="0"/>
          <w:numId w:val="0"/>
        </w:numPr>
        <w:suppressLineNumbers w:val="0"/>
        <w:ind w:firstLine="620" w:firstLineChars="200"/>
        <w:jc w:val="both"/>
        <w:rPr>
          <w:rFonts w:hint="eastAsia" w:ascii="仿宋" w:hAnsi="仿宋" w:eastAsia="仿宋" w:cs="仿宋"/>
          <w:sz w:val="28"/>
          <w:szCs w:val="28"/>
          <w:u w:val="none"/>
          <w:lang w:val="zh-CN" w:eastAsia="zh-CN"/>
        </w:rPr>
      </w:pPr>
      <w:r>
        <w:rPr>
          <w:rFonts w:hint="eastAsia" w:ascii="仿宋_GB2312" w:hAnsi="仿宋_GB2312" w:eastAsia="仿宋_GB2312" w:cs="仿宋_GB2312"/>
          <w:b w:val="0"/>
          <w:bCs w:val="0"/>
          <w:color w:val="000000"/>
          <w:kern w:val="0"/>
          <w:sz w:val="31"/>
          <w:szCs w:val="31"/>
          <w:lang w:val="zh-CN" w:eastAsia="zh-CN" w:bidi="ar"/>
        </w:rPr>
        <w:t>（一）、</w:t>
      </w:r>
      <w:r>
        <w:rPr>
          <w:rFonts w:hint="eastAsia" w:ascii="仿宋" w:hAnsi="仿宋" w:eastAsia="仿宋" w:cs="仿宋"/>
          <w:sz w:val="28"/>
          <w:szCs w:val="28"/>
          <w:u w:val="none"/>
          <w:lang w:val="zh-CN" w:eastAsia="zh-CN"/>
        </w:rPr>
        <w:t>进一步围绕林业高质量发展，将以“优质、高产、高效、生态、安全”的原则，以有效控制农作物重大病虫危害，安全科学合理使用农药，确保</w:t>
      </w:r>
      <w:r>
        <w:rPr>
          <w:rFonts w:hint="eastAsia" w:ascii="仿宋" w:hAnsi="仿宋" w:eastAsia="仿宋" w:cs="仿宋"/>
          <w:sz w:val="28"/>
          <w:szCs w:val="28"/>
          <w:u w:val="none"/>
          <w:lang w:val="en-US" w:eastAsia="zh-CN"/>
        </w:rPr>
        <w:t>林业有害生物防治建设有效实施，现采购农药一批</w:t>
      </w:r>
      <w:r>
        <w:rPr>
          <w:rFonts w:hint="eastAsia" w:ascii="仿宋" w:hAnsi="仿宋" w:eastAsia="仿宋" w:cs="仿宋"/>
          <w:sz w:val="28"/>
          <w:szCs w:val="28"/>
          <w:u w:val="none"/>
          <w:lang w:val="zh-CN" w:eastAsia="zh-CN"/>
        </w:rPr>
        <w:t>。</w:t>
      </w:r>
    </w:p>
    <w:p>
      <w:pPr>
        <w:keepNext w:val="0"/>
        <w:keepLines w:val="0"/>
        <w:widowControl/>
        <w:numPr>
          <w:ilvl w:val="0"/>
          <w:numId w:val="0"/>
        </w:numPr>
        <w:suppressLineNumbers w:val="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31"/>
          <w:szCs w:val="31"/>
          <w:lang w:val="en-US" w:eastAsia="zh-CN" w:bidi="ar"/>
        </w:rPr>
        <w:t>（二）、</w:t>
      </w:r>
      <w:r>
        <w:rPr>
          <w:rFonts w:hint="eastAsia" w:ascii="仿宋_GB2312" w:hAnsi="仿宋_GB2312" w:eastAsia="仿宋_GB2312" w:cs="仿宋_GB2312"/>
          <w:b/>
          <w:bCs/>
          <w:color w:val="000000"/>
          <w:kern w:val="0"/>
          <w:sz w:val="28"/>
          <w:szCs w:val="28"/>
          <w:lang w:val="en-US" w:eastAsia="zh-CN" w:bidi="ar"/>
        </w:rPr>
        <w:t>为落实政府采购政策需满足的要求：</w:t>
      </w:r>
    </w:p>
    <w:p>
      <w:pPr>
        <w:pStyle w:val="5"/>
        <w:ind w:firstLine="62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 xml:space="preserve">（1）《关于中国环境标志产品政府采购实施的意见》（财库[2006]90号）； </w:t>
      </w:r>
    </w:p>
    <w:p>
      <w:pPr>
        <w:pStyle w:val="5"/>
        <w:ind w:firstLine="62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（2）《关于开展政府采购信用担保试点工作的通知》（财库【2011】124号）；</w:t>
      </w:r>
    </w:p>
    <w:p>
      <w:pPr>
        <w:pStyle w:val="5"/>
        <w:ind w:firstLine="62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（3）《关于印发《政府采购促进中小企业发展暂行办法》的通知》（财库【2011】181号）；</w:t>
      </w:r>
    </w:p>
    <w:p>
      <w:pPr>
        <w:pStyle w:val="5"/>
        <w:ind w:firstLine="62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（4）《财政部、司法部关于政府采购支持监狱企业发展有关问题的通知》（财库【2014】68号）；</w:t>
      </w:r>
    </w:p>
    <w:p>
      <w:pPr>
        <w:pStyle w:val="5"/>
        <w:ind w:firstLine="62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widowControl/>
        <w:suppressLineNumbers w:val="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二、投标人资格要求</w:t>
      </w:r>
    </w:p>
    <w:p>
      <w:pPr>
        <w:pStyle w:val="5"/>
        <w:spacing w:line="500" w:lineRule="exact"/>
        <w:ind w:left="0" w:leftChars="0" w:firstLine="560" w:firstLineChars="200"/>
        <w:rPr>
          <w:rFonts w:hint="eastAsia" w:ascii="仿宋" w:hAnsi="仿宋" w:eastAsia="仿宋" w:cs="仿宋"/>
          <w:kern w:val="2"/>
          <w:sz w:val="28"/>
          <w:szCs w:val="28"/>
          <w:u w:val="none"/>
          <w:lang w:val="zh-CN" w:eastAsia="zh-CN" w:bidi="ar-SA"/>
        </w:rPr>
      </w:pPr>
      <w:r>
        <w:rPr>
          <w:rFonts w:hint="eastAsia" w:ascii="仿宋" w:hAnsi="仿宋" w:eastAsia="仿宋" w:cs="仿宋"/>
          <w:kern w:val="2"/>
          <w:sz w:val="28"/>
          <w:szCs w:val="28"/>
          <w:u w:val="none"/>
          <w:lang w:val="zh-CN" w:eastAsia="zh-CN" w:bidi="ar-SA"/>
        </w:rPr>
        <w:t>1、企业法人的三证合一营业执照原件或含二维码的营业执照复印件盖公章（现场核查）；</w:t>
      </w:r>
    </w:p>
    <w:p>
      <w:pPr>
        <w:pStyle w:val="5"/>
        <w:spacing w:line="500" w:lineRule="exact"/>
        <w:ind w:left="0" w:leftChars="0" w:firstLine="560" w:firstLineChars="200"/>
        <w:rPr>
          <w:rFonts w:hint="eastAsia" w:ascii="仿宋" w:hAnsi="仿宋" w:eastAsia="仿宋" w:cs="仿宋"/>
          <w:kern w:val="2"/>
          <w:sz w:val="28"/>
          <w:szCs w:val="28"/>
          <w:u w:val="none"/>
          <w:lang w:val="zh-CN" w:eastAsia="zh-CN" w:bidi="ar-SA"/>
        </w:rPr>
      </w:pPr>
      <w:r>
        <w:rPr>
          <w:rFonts w:hint="eastAsia" w:ascii="仿宋" w:hAnsi="仿宋" w:eastAsia="仿宋" w:cs="仿宋"/>
          <w:kern w:val="2"/>
          <w:sz w:val="28"/>
          <w:szCs w:val="28"/>
          <w:u w:val="none"/>
          <w:lang w:val="zh-CN" w:eastAsia="zh-CN" w:bidi="ar-SA"/>
        </w:rPr>
        <w:t>2、法定代表人授权书原件及被授权人身份证原件，法人本人参与投标提供法人资格证明及法人身份证原件；</w:t>
      </w:r>
    </w:p>
    <w:p>
      <w:pPr>
        <w:pStyle w:val="5"/>
        <w:spacing w:line="500" w:lineRule="exact"/>
        <w:ind w:left="0" w:leftChars="0" w:firstLine="560" w:firstLineChars="200"/>
        <w:rPr>
          <w:rFonts w:hint="eastAsia" w:ascii="仿宋" w:hAnsi="仿宋" w:eastAsia="仿宋" w:cs="仿宋"/>
          <w:kern w:val="2"/>
          <w:sz w:val="28"/>
          <w:szCs w:val="28"/>
          <w:u w:val="none"/>
          <w:lang w:val="zh-CN" w:eastAsia="zh-CN" w:bidi="ar-SA"/>
        </w:rPr>
      </w:pPr>
      <w:r>
        <w:rPr>
          <w:rFonts w:hint="eastAsia" w:ascii="仿宋" w:hAnsi="仿宋" w:eastAsia="仿宋" w:cs="仿宋"/>
          <w:kern w:val="2"/>
          <w:sz w:val="28"/>
          <w:szCs w:val="28"/>
          <w:u w:val="none"/>
          <w:lang w:val="zh-CN" w:eastAsia="zh-CN" w:bidi="ar-SA"/>
        </w:rPr>
        <w:t>3、法定代表人或被委托人：由社保部门或税务局出具的投标单位缴纳的社保证明和个人缴纳的社保明细表（近半年任意</w:t>
      </w:r>
      <w:r>
        <w:rPr>
          <w:rFonts w:hint="eastAsia" w:ascii="仿宋" w:hAnsi="仿宋" w:eastAsia="仿宋" w:cs="仿宋"/>
          <w:kern w:val="2"/>
          <w:sz w:val="28"/>
          <w:szCs w:val="28"/>
          <w:u w:val="none"/>
          <w:lang w:val="en-US" w:eastAsia="zh-CN" w:bidi="ar-SA"/>
        </w:rPr>
        <w:t>4个月</w:t>
      </w:r>
      <w:r>
        <w:rPr>
          <w:rFonts w:hint="eastAsia" w:ascii="仿宋" w:hAnsi="仿宋" w:eastAsia="仿宋" w:cs="仿宋"/>
          <w:kern w:val="2"/>
          <w:sz w:val="28"/>
          <w:szCs w:val="28"/>
          <w:u w:val="none"/>
          <w:lang w:val="zh-CN" w:eastAsia="zh-CN" w:bidi="ar-SA"/>
        </w:rPr>
        <w:t>的社保缴费凭证及个人缴费明细）；</w:t>
      </w:r>
    </w:p>
    <w:p>
      <w:pPr>
        <w:pStyle w:val="5"/>
        <w:spacing w:line="500" w:lineRule="exact"/>
        <w:ind w:left="0" w:leftChars="0" w:firstLine="560" w:firstLineChars="200"/>
        <w:rPr>
          <w:rFonts w:hint="eastAsia" w:ascii="仿宋" w:hAnsi="仿宋" w:eastAsia="仿宋" w:cs="仿宋"/>
          <w:kern w:val="2"/>
          <w:sz w:val="28"/>
          <w:szCs w:val="28"/>
          <w:u w:val="none"/>
          <w:lang w:val="zh-CN" w:eastAsia="zh-CN" w:bidi="ar-SA"/>
        </w:rPr>
      </w:pPr>
      <w:r>
        <w:rPr>
          <w:rFonts w:hint="eastAsia" w:ascii="仿宋" w:hAnsi="仿宋" w:eastAsia="仿宋" w:cs="仿宋"/>
          <w:kern w:val="2"/>
          <w:sz w:val="28"/>
          <w:szCs w:val="28"/>
          <w:u w:val="none"/>
          <w:lang w:val="zh-CN" w:eastAsia="zh-CN" w:bidi="ar-SA"/>
        </w:rPr>
        <w:t>4、</w:t>
      </w:r>
      <w:r>
        <w:rPr>
          <w:rFonts w:hint="eastAsia" w:ascii="仿宋" w:hAnsi="仿宋" w:eastAsia="仿宋" w:cs="仿宋"/>
          <w:kern w:val="2"/>
          <w:sz w:val="28"/>
          <w:szCs w:val="28"/>
          <w:u w:val="none"/>
          <w:lang w:val="en-US" w:eastAsia="zh-CN" w:bidi="ar-SA"/>
        </w:rPr>
        <w:t>2020年或2021年</w:t>
      </w:r>
      <w:r>
        <w:rPr>
          <w:rFonts w:hint="eastAsia" w:ascii="仿宋" w:hAnsi="仿宋" w:eastAsia="仿宋" w:cs="仿宋"/>
          <w:kern w:val="2"/>
          <w:sz w:val="28"/>
          <w:szCs w:val="28"/>
          <w:u w:val="none"/>
          <w:lang w:val="zh-CN" w:eastAsia="zh-CN" w:bidi="ar-SA"/>
        </w:rPr>
        <w:t>的财务审计报告（新成立公司不足一年的提供近一个月内的有效银行资信证明）；</w:t>
      </w:r>
      <w:r>
        <w:rPr>
          <w:rFonts w:hint="eastAsia" w:ascii="仿宋" w:hAnsi="仿宋" w:eastAsia="仿宋" w:cs="仿宋"/>
          <w:kern w:val="2"/>
          <w:sz w:val="28"/>
          <w:szCs w:val="28"/>
          <w:u w:val="none"/>
          <w:lang w:val="zh-CN" w:eastAsia="zh-CN" w:bidi="ar-SA"/>
        </w:rPr>
        <w:br w:type="textWrapping"/>
      </w:r>
      <w:r>
        <w:rPr>
          <w:rFonts w:hint="eastAsia" w:ascii="仿宋" w:hAnsi="仿宋" w:eastAsia="仿宋" w:cs="仿宋"/>
          <w:kern w:val="2"/>
          <w:sz w:val="28"/>
          <w:szCs w:val="28"/>
          <w:u w:val="none"/>
          <w:lang w:val="en-US" w:eastAsia="zh-CN" w:bidi="ar-SA"/>
        </w:rPr>
        <w:t xml:space="preserve">    </w:t>
      </w:r>
      <w:r>
        <w:rPr>
          <w:rFonts w:hint="eastAsia" w:ascii="仿宋" w:hAnsi="仿宋" w:eastAsia="仿宋" w:cs="仿宋"/>
          <w:kern w:val="2"/>
          <w:sz w:val="28"/>
          <w:szCs w:val="28"/>
          <w:u w:val="none"/>
          <w:lang w:val="zh-CN" w:eastAsia="zh-CN" w:bidi="ar-SA"/>
        </w:rPr>
        <w:t>5、在税务局依法缴纳</w:t>
      </w:r>
      <w:r>
        <w:rPr>
          <w:rFonts w:hint="eastAsia" w:ascii="仿宋" w:hAnsi="仿宋" w:eastAsia="仿宋" w:cs="仿宋"/>
          <w:kern w:val="2"/>
          <w:sz w:val="28"/>
          <w:szCs w:val="28"/>
          <w:u w:val="none"/>
          <w:lang w:val="en-US" w:eastAsia="zh-CN" w:bidi="ar-SA"/>
        </w:rPr>
        <w:t>近半年任意三个月</w:t>
      </w:r>
      <w:r>
        <w:rPr>
          <w:rFonts w:hint="eastAsia" w:ascii="仿宋" w:hAnsi="仿宋" w:eastAsia="仿宋" w:cs="仿宋"/>
          <w:kern w:val="2"/>
          <w:sz w:val="28"/>
          <w:szCs w:val="28"/>
          <w:u w:val="none"/>
          <w:lang w:val="zh-CN" w:eastAsia="zh-CN" w:bidi="ar-SA"/>
        </w:rPr>
        <w:t>完税证明的良好记录；（或由税务局出具的无拖欠税收证明，零申报需加盖税务机关鲜章）</w:t>
      </w:r>
      <w:r>
        <w:rPr>
          <w:rFonts w:hint="eastAsia" w:ascii="仿宋" w:hAnsi="仿宋" w:eastAsia="仿宋" w:cs="仿宋"/>
          <w:kern w:val="2"/>
          <w:sz w:val="28"/>
          <w:szCs w:val="28"/>
          <w:u w:val="none"/>
          <w:lang w:val="zh-CN" w:eastAsia="zh-CN" w:bidi="ar-SA"/>
        </w:rPr>
        <w:br w:type="textWrapping"/>
      </w:r>
      <w:r>
        <w:rPr>
          <w:rFonts w:hint="eastAsia" w:ascii="仿宋" w:hAnsi="仿宋" w:eastAsia="仿宋" w:cs="仿宋"/>
          <w:kern w:val="2"/>
          <w:sz w:val="28"/>
          <w:szCs w:val="28"/>
          <w:u w:val="none"/>
          <w:lang w:val="en-US" w:eastAsia="zh-CN" w:bidi="ar-SA"/>
        </w:rPr>
        <w:t xml:space="preserve">    </w:t>
      </w:r>
      <w:r>
        <w:rPr>
          <w:rFonts w:hint="eastAsia" w:ascii="仿宋" w:hAnsi="仿宋" w:eastAsia="仿宋" w:cs="仿宋"/>
          <w:kern w:val="2"/>
          <w:sz w:val="28"/>
          <w:szCs w:val="28"/>
          <w:u w:val="none"/>
          <w:lang w:val="zh-CN" w:eastAsia="zh-CN" w:bidi="ar-SA"/>
        </w:rPr>
        <w:t>6、在“信用中国”网站（http://www.creditchina.gov.cn）、中国政府采购网（http://www.ccgp.gov.cn）上的无不良行为记录网上截图；</w:t>
      </w:r>
      <w:r>
        <w:rPr>
          <w:rFonts w:hint="eastAsia" w:ascii="仿宋" w:hAnsi="仿宋" w:eastAsia="仿宋" w:cs="仿宋"/>
          <w:kern w:val="2"/>
          <w:sz w:val="28"/>
          <w:szCs w:val="28"/>
          <w:u w:val="none"/>
          <w:lang w:val="zh-CN" w:eastAsia="zh-CN" w:bidi="ar-SA"/>
        </w:rPr>
        <w:br w:type="textWrapping"/>
      </w:r>
      <w:r>
        <w:rPr>
          <w:rFonts w:hint="eastAsia" w:ascii="仿宋" w:hAnsi="仿宋" w:eastAsia="仿宋" w:cs="仿宋"/>
          <w:kern w:val="2"/>
          <w:sz w:val="28"/>
          <w:szCs w:val="28"/>
          <w:u w:val="none"/>
          <w:lang w:val="en-US" w:eastAsia="zh-CN" w:bidi="ar-SA"/>
        </w:rPr>
        <w:t xml:space="preserve">    </w:t>
      </w:r>
      <w:r>
        <w:rPr>
          <w:rFonts w:hint="eastAsia" w:ascii="仿宋" w:hAnsi="仿宋" w:eastAsia="仿宋" w:cs="仿宋"/>
          <w:kern w:val="2"/>
          <w:sz w:val="28"/>
          <w:szCs w:val="28"/>
          <w:u w:val="none"/>
          <w:lang w:val="zh-CN" w:eastAsia="zh-CN" w:bidi="ar-SA"/>
        </w:rPr>
        <w:t>7、在参加政府采购活动中前三年内无重大违法记录的承诺书；</w:t>
      </w:r>
      <w:r>
        <w:rPr>
          <w:rFonts w:hint="eastAsia" w:ascii="仿宋" w:hAnsi="仿宋" w:eastAsia="仿宋" w:cs="仿宋"/>
          <w:kern w:val="2"/>
          <w:sz w:val="28"/>
          <w:szCs w:val="28"/>
          <w:u w:val="none"/>
          <w:lang w:val="zh-CN" w:eastAsia="zh-CN" w:bidi="ar-SA"/>
        </w:rPr>
        <w:br w:type="textWrapping"/>
      </w:r>
      <w:r>
        <w:rPr>
          <w:rFonts w:hint="eastAsia" w:ascii="仿宋" w:hAnsi="仿宋" w:eastAsia="仿宋" w:cs="仿宋"/>
          <w:kern w:val="2"/>
          <w:sz w:val="28"/>
          <w:szCs w:val="28"/>
          <w:u w:val="none"/>
          <w:lang w:val="en-US" w:eastAsia="zh-CN" w:bidi="ar-SA"/>
        </w:rPr>
        <w:t xml:space="preserve">    </w:t>
      </w:r>
      <w:r>
        <w:rPr>
          <w:rFonts w:hint="eastAsia" w:ascii="仿宋" w:hAnsi="仿宋" w:eastAsia="仿宋" w:cs="仿宋"/>
          <w:kern w:val="2"/>
          <w:sz w:val="28"/>
          <w:szCs w:val="28"/>
          <w:u w:val="none"/>
          <w:lang w:val="zh-CN" w:eastAsia="zh-CN" w:bidi="ar-SA"/>
        </w:rPr>
        <w:t>8、针对本次采购项目《反</w:t>
      </w:r>
      <w:r>
        <w:rPr>
          <w:rFonts w:hint="eastAsia" w:ascii="仿宋" w:hAnsi="仿宋" w:eastAsia="仿宋" w:cs="仿宋"/>
          <w:i w:val="0"/>
          <w:iCs w:val="0"/>
          <w:kern w:val="2"/>
          <w:sz w:val="24"/>
          <w:szCs w:val="24"/>
          <w:lang w:val="zh-CN" w:eastAsia="zh-CN" w:bidi="ar-SA"/>
        </w:rPr>
        <w:t>商业</w:t>
      </w:r>
      <w:r>
        <w:rPr>
          <w:rFonts w:hint="eastAsia" w:ascii="仿宋" w:hAnsi="仿宋" w:eastAsia="仿宋" w:cs="仿宋"/>
          <w:kern w:val="2"/>
          <w:sz w:val="28"/>
          <w:szCs w:val="28"/>
          <w:u w:val="none"/>
          <w:lang w:val="zh-CN" w:eastAsia="zh-CN" w:bidi="ar-SA"/>
        </w:rPr>
        <w:t>贿赂承诺书》的书面声明；</w:t>
      </w:r>
    </w:p>
    <w:p>
      <w:pPr>
        <w:rPr>
          <w:rFonts w:hint="default"/>
          <w:sz w:val="21"/>
          <w:szCs w:val="24"/>
          <w:lang w:val="en-US" w:eastAsia="zh-CN"/>
        </w:rPr>
      </w:pPr>
      <w:r>
        <w:rPr>
          <w:rFonts w:hint="eastAsia" w:ascii="仿宋" w:hAnsi="仿宋" w:eastAsia="仿宋" w:cs="仿宋"/>
          <w:kern w:val="2"/>
          <w:sz w:val="28"/>
          <w:szCs w:val="28"/>
          <w:u w:val="none"/>
          <w:lang w:val="en-US" w:eastAsia="zh-CN" w:bidi="ar-SA"/>
        </w:rPr>
        <w:t xml:space="preserve">    9、</w:t>
      </w:r>
      <w:r>
        <w:rPr>
          <w:rFonts w:hint="eastAsia" w:ascii="仿宋" w:hAnsi="仿宋" w:eastAsia="仿宋" w:cs="仿宋"/>
          <w:kern w:val="2"/>
          <w:sz w:val="28"/>
          <w:szCs w:val="28"/>
          <w:u w:val="none"/>
          <w:lang w:val="zh-CN" w:eastAsia="zh-CN" w:bidi="ar-SA"/>
        </w:rPr>
        <w:t>投标人为生产厂家需提供《农药登记证》、《农药生产许可证或者农药生产批准文件》复印件加盖公章；经销商需提供《农药经营许可证》原件和生产厂家的《农药登记证》、《农药标准证》、《农药生产许可证或者农药生产批准文件》复印件加盖公章；</w:t>
      </w:r>
    </w:p>
    <w:p>
      <w:pPr>
        <w:widowControl/>
        <w:spacing w:line="336" w:lineRule="auto"/>
        <w:ind w:left="559" w:leftChars="266" w:firstLine="0" w:firstLineChars="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8"/>
          <w:szCs w:val="28"/>
          <w:u w:val="none"/>
          <w:lang w:val="en-US" w:eastAsia="zh-CN" w:bidi="ar-SA"/>
        </w:rPr>
        <w:t>10、本项目不接受联合体；</w:t>
      </w:r>
    </w:p>
    <w:p>
      <w:pPr>
        <w:widowControl/>
        <w:spacing w:line="336" w:lineRule="auto"/>
        <w:textAlignment w:val="baseline"/>
        <w:rPr>
          <w:rFonts w:hint="eastAsia" w:ascii="仿宋" w:hAnsi="仿宋" w:eastAsia="仿宋" w:cs="仿宋"/>
          <w:kern w:val="2"/>
          <w:sz w:val="24"/>
          <w:szCs w:val="24"/>
          <w:u w:val="none"/>
          <w:lang w:val="en-US" w:eastAsia="zh-CN" w:bidi="ar-SA"/>
        </w:rPr>
      </w:pPr>
    </w:p>
    <w:p>
      <w:pPr>
        <w:keepNext w:val="0"/>
        <w:keepLines w:val="0"/>
        <w:widowControl/>
        <w:suppressLineNumbers w:val="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三、采购标的需执行的国家相关标准、行业标准、地方标准或者其他标准、规范：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default"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 国家农药标准GBT 24756-2009、</w:t>
      </w:r>
      <w:r>
        <w:rPr>
          <w:rFonts w:hint="eastAsia" w:ascii="仿宋_GB2312" w:hAnsi="仿宋_GB2312" w:eastAsia="仿宋_GB2312" w:cs="仿宋_GB2312"/>
          <w:b w:val="0"/>
          <w:bCs w:val="0"/>
          <w:color w:val="000000"/>
          <w:kern w:val="0"/>
          <w:sz w:val="31"/>
          <w:szCs w:val="31"/>
          <w:lang w:val="en-US" w:eastAsia="zh-CN" w:bidi="ar"/>
        </w:rPr>
        <w:tab/>
      </w:r>
      <w:r>
        <w:rPr>
          <w:rFonts w:hint="eastAsia" w:ascii="仿宋_GB2312" w:hAnsi="仿宋_GB2312" w:eastAsia="仿宋_GB2312" w:cs="仿宋_GB2312"/>
          <w:b w:val="0"/>
          <w:bCs w:val="0"/>
          <w:color w:val="000000"/>
          <w:kern w:val="0"/>
          <w:sz w:val="31"/>
          <w:szCs w:val="31"/>
          <w:lang w:val="en-US" w:eastAsia="zh-CN" w:bidi="ar"/>
        </w:rPr>
        <w:t>国家农药标准HG/T2988-1988等</w:t>
      </w:r>
    </w:p>
    <w:p>
      <w:pPr>
        <w:keepNext w:val="0"/>
        <w:keepLines w:val="0"/>
        <w:widowControl/>
        <w:suppressLineNumbers w:val="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采购实施计划</w:t>
      </w:r>
      <w:r>
        <w:rPr>
          <w:rFonts w:hint="eastAsia" w:ascii="仿宋_GB2312" w:hAnsi="仿宋_GB2312" w:eastAsia="仿宋_GB2312" w:cs="仿宋_GB2312"/>
          <w:b/>
          <w:bCs/>
          <w:color w:val="000000"/>
          <w:kern w:val="0"/>
          <w:sz w:val="31"/>
          <w:szCs w:val="31"/>
          <w:lang w:val="en-US" w:eastAsia="zh-CN" w:bidi="ar"/>
        </w:rPr>
        <w:t>主要内容</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 xml:space="preserve"> </w:t>
      </w:r>
    </w:p>
    <w:p>
      <w:pPr>
        <w:spacing w:line="360" w:lineRule="auto"/>
        <w:ind w:left="617" w:leftChars="294" w:firstLine="0" w:firstLineChars="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1、采购内容：农药1批</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2、开展采购活动的时间安排：</w:t>
      </w:r>
    </w:p>
    <w:p>
      <w:pPr>
        <w:spacing w:line="360" w:lineRule="auto"/>
        <w:ind w:left="617" w:leftChars="294" w:firstLine="0" w:firstLineChars="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1、时间：2022年 9 月 7 日起至2022年 9 月 12 日上午10:30-13:30时及下午16:00-19:00时（北京时间)节假日除外</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2、方式：邮箱获取</w:t>
      </w:r>
    </w:p>
    <w:p>
      <w:pPr>
        <w:spacing w:line="360" w:lineRule="auto"/>
        <w:ind w:left="617" w:leftChars="294" w:firstLine="0" w:firstLineChars="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3、递交投标文件时间：投标书应于2022年 9 月 13 日下午16：00前（北京时间）提交到开标现场。</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4、开标时间：2022年 9 月 13 日下午16：00时（北京时间）</w:t>
      </w:r>
    </w:p>
    <w:p>
      <w:pPr>
        <w:spacing w:line="360" w:lineRule="auto"/>
        <w:ind w:firstLine="620" w:firstLineChars="200"/>
        <w:rPr>
          <w:rFonts w:hint="eastAsia" w:ascii="仿宋_GB2312" w:hAnsi="仿宋_GB2312" w:eastAsia="仿宋_GB2312" w:cs="仿宋_GB2312"/>
          <w:b/>
          <w:bCs/>
          <w:color w:val="FF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5、开标地点：</w:t>
      </w:r>
      <w:r>
        <w:rPr>
          <w:rFonts w:hint="eastAsia" w:ascii="仿宋_GB2312" w:hAnsi="仿宋_GB2312" w:eastAsia="仿宋_GB2312" w:cs="仿宋_GB2312"/>
          <w:b/>
          <w:bCs/>
          <w:color w:val="FF0000"/>
          <w:kern w:val="0"/>
          <w:sz w:val="31"/>
          <w:szCs w:val="31"/>
          <w:lang w:val="en-US" w:eastAsia="zh-CN" w:bidi="ar"/>
        </w:rPr>
        <w:t>莎车县莎车宾馆1号开标室</w:t>
      </w:r>
      <w:bookmarkStart w:id="0" w:name="_GoBack"/>
      <w:bookmarkEnd w:id="0"/>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5、采购组织形式：委托中介采购（机构代理采购）</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6、委托代理安排：新疆锦天恒业工程项目管理有限公司</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7、采购包划分与合同分包：不分包</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8、采购方式：竞争性谈判</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9、竞争范围：全国</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10、评审规则：采用最低价，投标文件满足招标文件全部实质性要求且质量和服务相等情况下报价最低供应商。</w:t>
      </w:r>
    </w:p>
    <w:p>
      <w:pPr>
        <w:spacing w:line="360" w:lineRule="auto"/>
        <w:ind w:firstLine="622" w:firstLineChars="200"/>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五、采购标的内容、数量，包括技术要求和商务要求：</w:t>
      </w:r>
    </w:p>
    <w:tbl>
      <w:tblPr>
        <w:tblStyle w:val="8"/>
        <w:tblpPr w:leftFromText="180" w:rightFromText="180" w:vertAnchor="text" w:horzAnchor="page" w:tblpX="838" w:tblpY="921"/>
        <w:tblOverlap w:val="never"/>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79"/>
        <w:gridCol w:w="1708"/>
        <w:gridCol w:w="1133"/>
        <w:gridCol w:w="1310"/>
        <w:gridCol w:w="2440"/>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trPr>
        <w:tc>
          <w:tcPr>
            <w:tcW w:w="1579" w:type="dxa"/>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标项序号</w:t>
            </w:r>
          </w:p>
        </w:tc>
        <w:tc>
          <w:tcPr>
            <w:tcW w:w="1708" w:type="dxa"/>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标项名称</w:t>
            </w:r>
          </w:p>
        </w:tc>
        <w:tc>
          <w:tcPr>
            <w:tcW w:w="1133" w:type="dxa"/>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数量</w:t>
            </w:r>
          </w:p>
        </w:tc>
        <w:tc>
          <w:tcPr>
            <w:tcW w:w="1310" w:type="dxa"/>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单位</w:t>
            </w:r>
          </w:p>
        </w:tc>
        <w:tc>
          <w:tcPr>
            <w:tcW w:w="2440" w:type="dxa"/>
            <w:tcBorders>
              <w:right w:val="single" w:color="auto" w:sz="4" w:space="0"/>
            </w:tcBorders>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预算金额(元)</w:t>
            </w:r>
          </w:p>
        </w:tc>
        <w:tc>
          <w:tcPr>
            <w:tcW w:w="2138"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7" w:hRule="atLeast"/>
        </w:trPr>
        <w:tc>
          <w:tcPr>
            <w:tcW w:w="1579" w:type="dxa"/>
            <w:noWrap w:val="0"/>
            <w:tcMar>
              <w:top w:w="75" w:type="dxa"/>
              <w:left w:w="150" w:type="dxa"/>
              <w:bottom w:w="75" w:type="dxa"/>
              <w:right w:w="150" w:type="dxa"/>
            </w:tcMar>
            <w:vAlign w:val="center"/>
          </w:tcPr>
          <w:p>
            <w:pPr>
              <w:adjustRightInd w:val="0"/>
              <w:spacing w:line="336" w:lineRule="auto"/>
              <w:ind w:firstLine="480" w:firstLineChars="200"/>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val="en-US" w:eastAsia="zh-CN"/>
              </w:rPr>
              <w:t>1</w:t>
            </w:r>
          </w:p>
        </w:tc>
        <w:tc>
          <w:tcPr>
            <w:tcW w:w="1708" w:type="dxa"/>
            <w:noWrap w:val="0"/>
            <w:tcMar>
              <w:top w:w="75" w:type="dxa"/>
              <w:left w:w="150" w:type="dxa"/>
              <w:bottom w:w="75" w:type="dxa"/>
              <w:right w:w="150" w:type="dxa"/>
            </w:tcMar>
            <w:vAlign w:val="center"/>
          </w:tcPr>
          <w:p>
            <w:pPr>
              <w:adjustRightInd w:val="0"/>
              <w:spacing w:line="336" w:lineRule="auto"/>
              <w:ind w:firstLine="480" w:firstLineChars="200"/>
              <w:jc w:val="both"/>
              <w:rPr>
                <w:rFonts w:hint="eastAsia" w:ascii="楷体" w:hAnsi="楷体" w:eastAsia="楷体" w:cs="宋体"/>
                <w:sz w:val="24"/>
                <w:szCs w:val="24"/>
                <w:u w:val="none"/>
                <w:lang w:eastAsia="zh-CN"/>
              </w:rPr>
            </w:pPr>
            <w:r>
              <w:rPr>
                <w:rFonts w:hint="eastAsia" w:ascii="仿宋" w:hAnsi="仿宋" w:eastAsia="仿宋" w:cs="仿宋"/>
                <w:sz w:val="24"/>
                <w:szCs w:val="24"/>
                <w:u w:val="none"/>
                <w:lang w:eastAsia="zh-CN"/>
              </w:rPr>
              <w:t>农药</w:t>
            </w:r>
          </w:p>
        </w:tc>
        <w:tc>
          <w:tcPr>
            <w:tcW w:w="1133" w:type="dxa"/>
            <w:noWrap w:val="0"/>
            <w:tcMar>
              <w:top w:w="75" w:type="dxa"/>
              <w:left w:w="150" w:type="dxa"/>
              <w:bottom w:w="75" w:type="dxa"/>
              <w:right w:w="150" w:type="dxa"/>
            </w:tcMar>
            <w:vAlign w:val="center"/>
          </w:tcPr>
          <w:p>
            <w:pPr>
              <w:adjustRightInd w:val="0"/>
              <w:spacing w:line="336" w:lineRule="auto"/>
              <w:ind w:firstLine="480" w:firstLineChars="200"/>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1</w:t>
            </w:r>
          </w:p>
        </w:tc>
        <w:tc>
          <w:tcPr>
            <w:tcW w:w="1310" w:type="dxa"/>
            <w:noWrap w:val="0"/>
            <w:tcMar>
              <w:top w:w="75" w:type="dxa"/>
              <w:left w:w="150" w:type="dxa"/>
              <w:bottom w:w="75" w:type="dxa"/>
              <w:right w:w="150" w:type="dxa"/>
            </w:tcMar>
            <w:vAlign w:val="center"/>
          </w:tcPr>
          <w:p>
            <w:pPr>
              <w:adjustRightInd w:val="0"/>
              <w:spacing w:line="336" w:lineRule="auto"/>
              <w:ind w:firstLine="480" w:firstLineChars="200"/>
              <w:jc w:val="both"/>
              <w:rPr>
                <w:rFonts w:hint="eastAsia" w:ascii="楷体" w:hAnsi="楷体" w:eastAsia="楷体" w:cs="宋体"/>
                <w:sz w:val="24"/>
                <w:szCs w:val="24"/>
                <w:u w:val="none"/>
                <w:lang w:eastAsia="zh-CN"/>
              </w:rPr>
            </w:pPr>
            <w:r>
              <w:rPr>
                <w:rFonts w:hint="eastAsia" w:ascii="楷体" w:hAnsi="楷体" w:eastAsia="楷体" w:cs="宋体"/>
                <w:sz w:val="24"/>
                <w:szCs w:val="24"/>
                <w:u w:val="none"/>
                <w:lang w:eastAsia="zh-CN"/>
              </w:rPr>
              <w:t>批</w:t>
            </w:r>
          </w:p>
        </w:tc>
        <w:tc>
          <w:tcPr>
            <w:tcW w:w="2440" w:type="dxa"/>
            <w:tcBorders>
              <w:right w:val="single" w:color="auto" w:sz="4" w:space="0"/>
            </w:tcBorders>
            <w:noWrap w:val="0"/>
            <w:tcMar>
              <w:top w:w="75" w:type="dxa"/>
              <w:left w:w="150" w:type="dxa"/>
              <w:bottom w:w="75" w:type="dxa"/>
              <w:right w:w="150" w:type="dxa"/>
            </w:tcMar>
            <w:vAlign w:val="center"/>
          </w:tcPr>
          <w:p>
            <w:pPr>
              <w:adjustRightInd w:val="0"/>
              <w:spacing w:line="336" w:lineRule="auto"/>
              <w:ind w:firstLine="480" w:firstLineChars="200"/>
              <w:jc w:val="both"/>
              <w:rPr>
                <w:rFonts w:hint="default" w:ascii="楷体" w:hAnsi="楷体" w:eastAsia="楷体" w:cs="宋体"/>
                <w:sz w:val="24"/>
                <w:szCs w:val="24"/>
                <w:u w:val="none"/>
                <w:lang w:val="en-US" w:eastAsia="zh-CN"/>
              </w:rPr>
            </w:pPr>
            <w:r>
              <w:rPr>
                <w:rFonts w:hint="eastAsia" w:ascii="仿宋" w:hAnsi="仿宋" w:eastAsia="仿宋" w:cs="仿宋"/>
                <w:sz w:val="24"/>
                <w:szCs w:val="24"/>
                <w:u w:val="none"/>
                <w:lang w:val="en-US" w:eastAsia="zh-CN"/>
              </w:rPr>
              <w:t>1504400</w:t>
            </w:r>
          </w:p>
        </w:tc>
        <w:tc>
          <w:tcPr>
            <w:tcW w:w="2138" w:type="dxa"/>
            <w:tcBorders>
              <w:left w:val="single" w:color="auto" w:sz="4" w:space="0"/>
              <w:right w:val="single" w:color="auto" w:sz="4" w:space="0"/>
            </w:tcBorders>
            <w:noWrap w:val="0"/>
            <w:tcMar>
              <w:top w:w="75" w:type="dxa"/>
              <w:left w:w="150" w:type="dxa"/>
              <w:bottom w:w="75" w:type="dxa"/>
              <w:right w:w="150" w:type="dxa"/>
            </w:tcMar>
            <w:vAlign w:val="center"/>
          </w:tcPr>
          <w:p>
            <w:pPr>
              <w:adjustRightInd w:val="0"/>
              <w:spacing w:line="336" w:lineRule="auto"/>
              <w:jc w:val="both"/>
              <w:rPr>
                <w:rFonts w:hint="eastAsia" w:ascii="楷体" w:hAnsi="楷体" w:eastAsia="楷体" w:cs="宋体"/>
                <w:sz w:val="24"/>
                <w:szCs w:val="24"/>
                <w:u w:val="none"/>
                <w:lang w:val="en-US" w:eastAsia="zh-CN"/>
              </w:rPr>
            </w:pPr>
            <w:r>
              <w:rPr>
                <w:rFonts w:hint="eastAsia" w:ascii="仿宋" w:hAnsi="仿宋" w:eastAsia="仿宋" w:cs="仿宋"/>
                <w:sz w:val="24"/>
                <w:szCs w:val="24"/>
                <w:u w:val="none"/>
                <w:lang w:eastAsia="zh-CN"/>
              </w:rPr>
              <w:t>四螨哒螨灵（</w:t>
            </w:r>
            <w:r>
              <w:rPr>
                <w:rFonts w:hint="eastAsia" w:ascii="仿宋" w:hAnsi="仿宋" w:eastAsia="仿宋" w:cs="仿宋"/>
                <w:sz w:val="24"/>
                <w:szCs w:val="24"/>
                <w:u w:val="none"/>
                <w:lang w:val="en-US" w:eastAsia="zh-CN"/>
              </w:rPr>
              <w:t>3.3吨</w:t>
            </w:r>
            <w:r>
              <w:rPr>
                <w:rFonts w:hint="eastAsia" w:ascii="仿宋" w:hAnsi="仿宋" w:eastAsia="仿宋" w:cs="仿宋"/>
                <w:sz w:val="24"/>
                <w:szCs w:val="24"/>
                <w:u w:val="none"/>
                <w:lang w:eastAsia="zh-CN"/>
              </w:rPr>
              <w:t>）、高效氯氢菊酯（</w:t>
            </w:r>
            <w:r>
              <w:rPr>
                <w:rFonts w:hint="eastAsia" w:ascii="仿宋" w:hAnsi="仿宋" w:eastAsia="仿宋" w:cs="仿宋"/>
                <w:sz w:val="24"/>
                <w:szCs w:val="24"/>
                <w:u w:val="none"/>
                <w:lang w:val="en-US" w:eastAsia="zh-CN"/>
              </w:rPr>
              <w:t>19吨</w:t>
            </w:r>
            <w:r>
              <w:rPr>
                <w:rFonts w:hint="eastAsia" w:ascii="仿宋" w:hAnsi="仿宋" w:eastAsia="仿宋" w:cs="仿宋"/>
                <w:sz w:val="24"/>
                <w:szCs w:val="24"/>
                <w:u w:val="none"/>
                <w:lang w:eastAsia="zh-CN"/>
              </w:rPr>
              <w:t>）、阿维除虫脲（</w:t>
            </w:r>
            <w:r>
              <w:rPr>
                <w:rFonts w:hint="eastAsia" w:ascii="仿宋" w:hAnsi="仿宋" w:eastAsia="仿宋" w:cs="仿宋"/>
                <w:sz w:val="24"/>
                <w:szCs w:val="24"/>
                <w:u w:val="none"/>
                <w:lang w:val="en-US" w:eastAsia="zh-CN"/>
              </w:rPr>
              <w:t>2.4吨</w:t>
            </w:r>
            <w:r>
              <w:rPr>
                <w:rFonts w:hint="eastAsia" w:ascii="仿宋" w:hAnsi="仿宋" w:eastAsia="仿宋" w:cs="仿宋"/>
                <w:sz w:val="24"/>
                <w:szCs w:val="24"/>
                <w:u w:val="none"/>
                <w:lang w:eastAsia="zh-CN"/>
              </w:rPr>
              <w:t>）、吡虫噻嗪酮（</w:t>
            </w:r>
            <w:r>
              <w:rPr>
                <w:rFonts w:hint="eastAsia" w:ascii="仿宋" w:hAnsi="仿宋" w:eastAsia="仿宋" w:cs="仿宋"/>
                <w:sz w:val="24"/>
                <w:szCs w:val="24"/>
                <w:u w:val="none"/>
                <w:lang w:val="en-US" w:eastAsia="zh-CN"/>
              </w:rPr>
              <w:t>2.5吨</w:t>
            </w:r>
            <w:r>
              <w:rPr>
                <w:rFonts w:hint="eastAsia" w:ascii="仿宋" w:hAnsi="仿宋" w:eastAsia="仿宋" w:cs="仿宋"/>
                <w:sz w:val="24"/>
                <w:szCs w:val="24"/>
                <w:u w:val="none"/>
                <w:lang w:eastAsia="zh-CN"/>
              </w:rPr>
              <w:t>）</w:t>
            </w:r>
          </w:p>
        </w:tc>
      </w:tr>
    </w:tbl>
    <w:p>
      <w:pPr>
        <w:pStyle w:val="5"/>
        <w:ind w:left="0" w:leftChars="0" w:firstLine="0" w:firstLineChars="0"/>
        <w:rPr>
          <w:rFonts w:hint="eastAsia" w:ascii="仿宋" w:hAnsi="仿宋" w:eastAsia="仿宋" w:cs="仿宋"/>
          <w:sz w:val="21"/>
          <w:szCs w:val="21"/>
        </w:rPr>
      </w:pP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六、采购标的的验收标准：</w:t>
      </w:r>
    </w:p>
    <w:p>
      <w:pPr>
        <w:ind w:firstLine="620" w:firstLineChars="200"/>
        <w:jc w:val="left"/>
        <w:rPr>
          <w:rFonts w:ascii="仿宋_GB2312" w:hAnsi="仿宋_GB2312" w:eastAsia="仿宋_GB2312" w:cs="仿宋_GB2312"/>
          <w:b w:val="0"/>
          <w:bCs w:val="0"/>
          <w:color w:val="auto"/>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验收主体</w:t>
      </w:r>
      <w:r>
        <w:rPr>
          <w:rFonts w:hint="eastAsia" w:ascii="仿宋_GB2312" w:hAnsi="仿宋_GB2312" w:eastAsia="仿宋_GB2312" w:cs="仿宋_GB2312"/>
          <w:b w:val="0"/>
          <w:bCs w:val="0"/>
          <w:color w:val="000000"/>
          <w:kern w:val="0"/>
          <w:sz w:val="31"/>
          <w:szCs w:val="31"/>
          <w:lang w:val="en-US" w:eastAsia="zh-CN" w:bidi="ar"/>
        </w:rPr>
        <w:t>：</w:t>
      </w:r>
      <w:r>
        <w:rPr>
          <w:rFonts w:hint="eastAsia" w:ascii="仿宋_GB2312" w:hAnsi="仿宋_GB2312" w:eastAsia="仿宋_GB2312" w:cs="仿宋_GB2312"/>
          <w:b w:val="0"/>
          <w:bCs w:val="0"/>
          <w:color w:val="auto"/>
          <w:kern w:val="0"/>
          <w:sz w:val="31"/>
          <w:szCs w:val="31"/>
          <w:lang w:val="zh-CN" w:eastAsia="zh-CN" w:bidi="ar"/>
        </w:rPr>
        <w:t xml:space="preserve"> 莎车县自然资源局、莎车县农业农村局、本次项目的中标单位及具体使用部门</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时间</w:t>
      </w:r>
      <w:r>
        <w:rPr>
          <w:rFonts w:hint="eastAsia" w:ascii="仿宋_GB2312" w:hAnsi="仿宋_GB2312" w:eastAsia="仿宋_GB2312" w:cs="仿宋_GB2312"/>
          <w:b w:val="0"/>
          <w:bCs w:val="0"/>
          <w:color w:val="000000"/>
          <w:kern w:val="0"/>
          <w:sz w:val="31"/>
          <w:szCs w:val="31"/>
          <w:lang w:val="en-US" w:eastAsia="zh-CN" w:bidi="ar"/>
        </w:rPr>
        <w:t>：具体以签订合同为准</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方式</w:t>
      </w:r>
      <w:r>
        <w:rPr>
          <w:rFonts w:hint="eastAsia" w:ascii="仿宋_GB2312" w:hAnsi="仿宋_GB2312" w:eastAsia="仿宋_GB2312" w:cs="仿宋_GB2312"/>
          <w:b w:val="0"/>
          <w:bCs w:val="0"/>
          <w:color w:val="000000"/>
          <w:kern w:val="0"/>
          <w:sz w:val="31"/>
          <w:szCs w:val="31"/>
          <w:lang w:val="en-US" w:eastAsia="zh-CN" w:bidi="ar"/>
        </w:rPr>
        <w:t>：组成验收小组，邀请中标单位及实际使用部门参与验收</w:t>
      </w:r>
    </w:p>
    <w:p>
      <w:pPr>
        <w:ind w:firstLine="620" w:firstLineChars="200"/>
        <w:jc w:val="left"/>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程序</w:t>
      </w:r>
      <w:r>
        <w:rPr>
          <w:rFonts w:hint="eastAsia" w:ascii="仿宋_GB2312" w:hAnsi="仿宋_GB2312" w:eastAsia="仿宋_GB2312" w:cs="仿宋_GB2312"/>
          <w:b w:val="0"/>
          <w:bCs w:val="0"/>
          <w:color w:val="000000"/>
          <w:kern w:val="0"/>
          <w:sz w:val="31"/>
          <w:szCs w:val="31"/>
          <w:lang w:val="en-US" w:eastAsia="zh-CN" w:bidi="ar"/>
        </w:rPr>
        <w:t>：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对验收不达标的设备，所发生的一切费用及给甲方造成的经济；损失，均由中标公司承担；甲方保留追究其经济及法律责任的权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内容</w:t>
      </w:r>
      <w:r>
        <w:rPr>
          <w:rFonts w:hint="eastAsia" w:ascii="仿宋_GB2312" w:hAnsi="仿宋_GB2312" w:eastAsia="仿宋_GB2312" w:cs="仿宋_GB2312"/>
          <w:b w:val="0"/>
          <w:bCs w:val="0"/>
          <w:color w:val="000000"/>
          <w:kern w:val="0"/>
          <w:sz w:val="31"/>
          <w:szCs w:val="31"/>
          <w:lang w:val="en-US" w:eastAsia="zh-CN" w:bidi="ar"/>
        </w:rPr>
        <w:t>：农药1批</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验收标准</w:t>
      </w:r>
      <w:r>
        <w:rPr>
          <w:rFonts w:hint="eastAsia" w:ascii="仿宋_GB2312" w:hAnsi="仿宋_GB2312" w:eastAsia="仿宋_GB2312" w:cs="仿宋_GB2312"/>
          <w:b w:val="0"/>
          <w:bCs w:val="0"/>
          <w:color w:val="000000"/>
          <w:kern w:val="0"/>
          <w:sz w:val="31"/>
          <w:szCs w:val="31"/>
          <w:lang w:val="en-US" w:eastAsia="zh-CN" w:bidi="ar"/>
        </w:rPr>
        <w:t>：符合国家产品标准，以最终验收小组及产品验收报告为准</w:t>
      </w:r>
    </w:p>
    <w:p>
      <w:pPr>
        <w:keepNext w:val="0"/>
        <w:keepLines w:val="0"/>
        <w:widowControl/>
        <w:suppressLineNumbers w:val="0"/>
        <w:ind w:firstLine="622"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七、采购标的的其他技术、服务等要求；</w:t>
      </w:r>
      <w:r>
        <w:rPr>
          <w:rFonts w:hint="eastAsia" w:ascii="仿宋_GB2312" w:hAnsi="仿宋_GB2312" w:eastAsia="仿宋_GB2312" w:cs="仿宋_GB2312"/>
          <w:b w:val="0"/>
          <w:bCs w:val="0"/>
          <w:color w:val="000000"/>
          <w:kern w:val="0"/>
          <w:sz w:val="31"/>
          <w:szCs w:val="31"/>
          <w:lang w:val="zh-CN" w:eastAsia="zh-CN" w:bidi="ar"/>
        </w:rPr>
        <w:t>无</w:t>
      </w: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八、需要满足的其他技术规格要求；</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1、设备名称：农药</w:t>
      </w:r>
    </w:p>
    <w:p>
      <w:pPr>
        <w:keepNext w:val="0"/>
        <w:keepLines w:val="0"/>
        <w:widowControl/>
        <w:suppressLineNumbers w:val="0"/>
        <w:ind w:firstLine="620" w:firstLineChars="200"/>
        <w:jc w:val="both"/>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1"/>
          <w:szCs w:val="31"/>
          <w:lang w:val="en-US" w:eastAsia="zh-CN" w:bidi="ar"/>
        </w:rPr>
        <w:t>2、维保期限：免费质保一年</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3、设备使用单位：</w:t>
      </w:r>
      <w:r>
        <w:rPr>
          <w:rFonts w:hint="eastAsia" w:ascii="仿宋_GB2312" w:hAnsi="仿宋_GB2312" w:eastAsia="仿宋_GB2312" w:cs="仿宋_GB2312"/>
          <w:b w:val="0"/>
          <w:bCs w:val="0"/>
          <w:color w:val="auto"/>
          <w:kern w:val="0"/>
          <w:sz w:val="31"/>
          <w:szCs w:val="31"/>
          <w:lang w:val="zh-CN" w:eastAsia="zh-CN" w:bidi="ar"/>
        </w:rPr>
        <w:t xml:space="preserve"> 莎车县自然资源局</w:t>
      </w:r>
    </w:p>
    <w:p>
      <w:pPr>
        <w:ind w:firstLine="622" w:firstLineChars="200"/>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九、一般性审查和重点审查：</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（一）该项目是一般性审查还是重点审查？（对应选择）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1、一般性审查√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2、重点审查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3、采购单位审查人员姓名：</w:t>
      </w:r>
      <w:r>
        <w:rPr>
          <w:rFonts w:hint="eastAsia" w:ascii="楷体" w:hAnsi="楷体" w:eastAsia="楷体" w:cs="宋体"/>
          <w:kern w:val="2"/>
          <w:sz w:val="28"/>
          <w:szCs w:val="28"/>
          <w:u w:val="none"/>
          <w:lang w:val="zh-CN" w:eastAsia="zh-CN" w:bidi="ar-SA"/>
        </w:rPr>
        <w:t>彭海军</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审查时间：根据项目实施进度来定。</w:t>
      </w:r>
    </w:p>
    <w:p>
      <w:pPr>
        <w:pStyle w:val="5"/>
        <w:rPr>
          <w:rFonts w:hint="default"/>
          <w:b/>
          <w:bCs/>
          <w:lang w:val="en-US" w:eastAsia="zh-CN"/>
        </w:rPr>
      </w:pPr>
    </w:p>
    <w:p>
      <w:pPr>
        <w:pStyle w:val="5"/>
        <w:numPr>
          <w:ilvl w:val="0"/>
          <w:numId w:val="0"/>
        </w:numPr>
        <w:jc w:val="both"/>
        <w:rPr>
          <w:rFonts w:hint="eastAsia" w:ascii="仿宋_GB2312" w:hAnsi="仿宋_GB2312" w:eastAsia="仿宋_GB2312" w:cs="仿宋_GB2312"/>
          <w:b w:val="0"/>
          <w:bCs w:val="0"/>
          <w:color w:val="000000"/>
          <w:kern w:val="0"/>
          <w:sz w:val="28"/>
          <w:szCs w:val="28"/>
          <w:lang w:val="en-US" w:eastAsia="zh-CN" w:bidi="ar"/>
        </w:rPr>
      </w:pPr>
    </w:p>
    <w:p>
      <w:pPr>
        <w:pStyle w:val="5"/>
        <w:numPr>
          <w:ilvl w:val="0"/>
          <w:numId w:val="0"/>
        </w:numPr>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采 购 单 位：</w:t>
      </w:r>
    </w:p>
    <w:p>
      <w:pPr>
        <w:pStyle w:val="5"/>
        <w:numPr>
          <w:ilvl w:val="0"/>
          <w:numId w:val="0"/>
        </w:numPr>
        <w:ind w:firstLine="560" w:firstLineChars="200"/>
        <w:jc w:val="center"/>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2022年 8 月 5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58AE8"/>
    <w:multiLevelType w:val="multilevel"/>
    <w:tmpl w:val="78258AE8"/>
    <w:lvl w:ilvl="0" w:tentative="0">
      <w:start w:val="1"/>
      <w:numFmt w:val="decimal"/>
      <w:lvlText w:val="第%1章"/>
      <w:lvlJc w:val="left"/>
      <w:pPr>
        <w:tabs>
          <w:tab w:val="left" w:pos="0"/>
        </w:tabs>
        <w:ind w:left="432" w:hanging="432"/>
      </w:pPr>
      <w:rPr>
        <w:rFonts w:hint="eastAsia" w:ascii="宋体" w:hAnsi="宋体" w:eastAsia="宋体" w:cs="宋体"/>
      </w:rPr>
    </w:lvl>
    <w:lvl w:ilvl="1" w:tentative="0">
      <w:start w:val="1"/>
      <w:numFmt w:val="decimalFullWidth"/>
      <w:lvlText w:val="%1.%2"/>
      <w:lvlJc w:val="left"/>
      <w:pPr>
        <w:tabs>
          <w:tab w:val="left" w:pos="0"/>
        </w:tabs>
        <w:ind w:left="575" w:hanging="575"/>
      </w:pPr>
      <w:rPr>
        <w:rFonts w:hint="eastAsia" w:ascii="宋体" w:hAnsi="宋体" w:eastAsia="宋体" w:cs="宋体"/>
      </w:rPr>
    </w:lvl>
    <w:lvl w:ilvl="2" w:tentative="0">
      <w:start w:val="1"/>
      <w:numFmt w:val="decimal"/>
      <w:lvlText w:val="%1.%2.%3 "/>
      <w:lvlJc w:val="left"/>
      <w:pPr>
        <w:tabs>
          <w:tab w:val="left" w:pos="0"/>
        </w:tabs>
        <w:ind w:left="720" w:hanging="720"/>
      </w:pPr>
      <w:rPr>
        <w:rFonts w:hint="eastAsia" w:ascii="宋体" w:hAnsi="宋体" w:eastAsia="宋体" w:cs="宋体"/>
      </w:rPr>
    </w:lvl>
    <w:lvl w:ilvl="3" w:tentative="0">
      <w:start w:val="1"/>
      <w:numFmt w:val="decimal"/>
      <w:pStyle w:val="4"/>
      <w:lvlText w:val="%1.%2.%3.%4."/>
      <w:lvlJc w:val="left"/>
      <w:pPr>
        <w:tabs>
          <w:tab w:val="left" w:pos="0"/>
        </w:tabs>
        <w:ind w:left="864" w:hanging="864"/>
      </w:pPr>
      <w:rPr>
        <w:rFonts w:hint="eastAsia"/>
      </w:rPr>
    </w:lvl>
    <w:lvl w:ilvl="4" w:tentative="0">
      <w:start w:val="1"/>
      <w:numFmt w:val="decimal"/>
      <w:lvlText w:val="%1.%2.%3.%4.%5."/>
      <w:lvlJc w:val="left"/>
      <w:pPr>
        <w:tabs>
          <w:tab w:val="left" w:pos="0"/>
        </w:tabs>
        <w:ind w:left="1008" w:hanging="1008"/>
      </w:pPr>
      <w:rPr>
        <w:rFonts w:hint="eastAsia"/>
      </w:rPr>
    </w:lvl>
    <w:lvl w:ilvl="5" w:tentative="0">
      <w:start w:val="1"/>
      <w:numFmt w:val="decimal"/>
      <w:lvlText w:val="%1.%2.%3.%4.%5.%6."/>
      <w:lvlJc w:val="left"/>
      <w:pPr>
        <w:tabs>
          <w:tab w:val="left" w:pos="0"/>
        </w:tabs>
        <w:ind w:left="1151" w:hanging="1151"/>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YWFhMjMwNDkxM2E0ZTJjODk5NGE0ZTRiZjNjY2IifQ=="/>
  </w:docVars>
  <w:rsids>
    <w:rsidRoot w:val="527D0205"/>
    <w:rsid w:val="0229019F"/>
    <w:rsid w:val="02987E74"/>
    <w:rsid w:val="030A0A72"/>
    <w:rsid w:val="03F62DA4"/>
    <w:rsid w:val="04911826"/>
    <w:rsid w:val="063237F8"/>
    <w:rsid w:val="0B6E035F"/>
    <w:rsid w:val="0CA040D9"/>
    <w:rsid w:val="0FDD4CAA"/>
    <w:rsid w:val="117D511C"/>
    <w:rsid w:val="118C42EF"/>
    <w:rsid w:val="133C5D26"/>
    <w:rsid w:val="14531B4D"/>
    <w:rsid w:val="19D67BD1"/>
    <w:rsid w:val="1A671119"/>
    <w:rsid w:val="1AB8095B"/>
    <w:rsid w:val="1CC6368F"/>
    <w:rsid w:val="21361914"/>
    <w:rsid w:val="21601D38"/>
    <w:rsid w:val="25B476B5"/>
    <w:rsid w:val="25C038DD"/>
    <w:rsid w:val="25EC6FF7"/>
    <w:rsid w:val="26D80952"/>
    <w:rsid w:val="27B2523D"/>
    <w:rsid w:val="28054952"/>
    <w:rsid w:val="298760C9"/>
    <w:rsid w:val="2B4B7E87"/>
    <w:rsid w:val="2BD02D85"/>
    <w:rsid w:val="2BE953CD"/>
    <w:rsid w:val="2CCB128C"/>
    <w:rsid w:val="30D8542F"/>
    <w:rsid w:val="31E16592"/>
    <w:rsid w:val="355844D8"/>
    <w:rsid w:val="387024F3"/>
    <w:rsid w:val="3B2A2D58"/>
    <w:rsid w:val="3DB57A38"/>
    <w:rsid w:val="3E680B58"/>
    <w:rsid w:val="3F8F4849"/>
    <w:rsid w:val="3FCA5DCF"/>
    <w:rsid w:val="42720304"/>
    <w:rsid w:val="4ED5769D"/>
    <w:rsid w:val="502003F5"/>
    <w:rsid w:val="51D11D45"/>
    <w:rsid w:val="527D0205"/>
    <w:rsid w:val="55016B51"/>
    <w:rsid w:val="554C666A"/>
    <w:rsid w:val="59504308"/>
    <w:rsid w:val="59E52C46"/>
    <w:rsid w:val="59EE54F4"/>
    <w:rsid w:val="5B315790"/>
    <w:rsid w:val="5C6E51D2"/>
    <w:rsid w:val="5CA10F9F"/>
    <w:rsid w:val="5D796FEB"/>
    <w:rsid w:val="5DE85727"/>
    <w:rsid w:val="5FA06F6A"/>
    <w:rsid w:val="600477D3"/>
    <w:rsid w:val="60713E32"/>
    <w:rsid w:val="635F3825"/>
    <w:rsid w:val="647A182D"/>
    <w:rsid w:val="64BE7C48"/>
    <w:rsid w:val="656D034C"/>
    <w:rsid w:val="68533026"/>
    <w:rsid w:val="68DA7146"/>
    <w:rsid w:val="6B5D5904"/>
    <w:rsid w:val="6BBF7D35"/>
    <w:rsid w:val="6BD50D22"/>
    <w:rsid w:val="6D7E4866"/>
    <w:rsid w:val="6F2C480B"/>
    <w:rsid w:val="6F321384"/>
    <w:rsid w:val="6F4A5D6C"/>
    <w:rsid w:val="6FD82437"/>
    <w:rsid w:val="74B44A94"/>
    <w:rsid w:val="76EF6628"/>
    <w:rsid w:val="7CD532B5"/>
    <w:rsid w:val="7ED80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6">
    <w:name w:val="toa heading"/>
    <w:basedOn w:val="1"/>
    <w:next w:val="1"/>
    <w:qFormat/>
    <w:uiPriority w:val="0"/>
    <w:pPr>
      <w:spacing w:before="120"/>
    </w:pPr>
    <w:rPr>
      <w:rFonts w:ascii="Cambria" w:hAnsi="Cambria"/>
      <w:sz w:val="24"/>
      <w:szCs w:val="24"/>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customStyle="1" w:styleId="10">
    <w:name w:val="正文3"/>
    <w:qFormat/>
    <w:uiPriority w:val="99"/>
    <w:pPr>
      <w:jc w:val="both"/>
    </w:pPr>
    <w:rPr>
      <w:rFonts w:ascii="Calibri" w:hAnsi="Calibri" w:eastAsia="宋体" w:cs="Calibri"/>
      <w:kern w:val="2"/>
      <w:sz w:val="21"/>
      <w:szCs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1916</Words>
  <Characters>2082</Characters>
  <Lines>0</Lines>
  <Paragraphs>0</Paragraphs>
  <TotalTime>1</TotalTime>
  <ScaleCrop>false</ScaleCrop>
  <LinksUpToDate>false</LinksUpToDate>
  <CharactersWithSpaces>2210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牵着*^_^*蜗牛去散步</cp:lastModifiedBy>
  <cp:lastPrinted>2022-06-17T08:56:00Z</cp:lastPrinted>
  <dcterms:modified xsi:type="dcterms:W3CDTF">2022-09-06T02:47:19Z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986BC928C5A2480F96EB8E1E80BF37A9</vt:lpwstr>
  </property>
</Properties>
</file>