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200" w:hanging="3200" w:hangingChars="1000"/>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bookmarkStart w:id="0" w:name="_GoBack"/>
      <w:bookmarkEnd w:id="0"/>
    </w:p>
    <w:p>
      <w:pPr>
        <w:ind w:left="3200" w:hanging="3200" w:hangingChars="10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年林业有害生物防治项目采购药剂药械及松材线虫病测报设备参数</w:t>
      </w:r>
    </w:p>
    <w:tbl>
      <w:tblPr>
        <w:tblStyle w:val="2"/>
        <w:tblpPr w:leftFromText="180" w:rightFromText="180" w:vertAnchor="text" w:horzAnchor="page" w:tblpX="1485" w:tblpY="120"/>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82"/>
        <w:gridCol w:w="5163"/>
        <w:gridCol w:w="567"/>
        <w:gridCol w:w="61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tcPr>
          <w:p>
            <w:pPr>
              <w:rPr>
                <w:rFonts w:hint="eastAsia" w:ascii="仿宋" w:hAnsi="仿宋" w:eastAsia="仿宋"/>
                <w:sz w:val="32"/>
                <w:szCs w:val="32"/>
              </w:rPr>
            </w:pPr>
            <w:r>
              <w:rPr>
                <w:rFonts w:hint="eastAsia" w:ascii="仿宋" w:hAnsi="仿宋" w:eastAsia="仿宋"/>
                <w:sz w:val="32"/>
                <w:szCs w:val="32"/>
              </w:rPr>
              <w:t>序号</w:t>
            </w:r>
          </w:p>
        </w:tc>
        <w:tc>
          <w:tcPr>
            <w:tcW w:w="1182" w:type="dxa"/>
          </w:tcPr>
          <w:p>
            <w:pPr>
              <w:rPr>
                <w:rFonts w:hint="eastAsia" w:ascii="仿宋" w:hAnsi="仿宋" w:eastAsia="仿宋"/>
                <w:sz w:val="32"/>
                <w:szCs w:val="32"/>
              </w:rPr>
            </w:pPr>
            <w:r>
              <w:rPr>
                <w:rFonts w:hint="eastAsia" w:ascii="仿宋" w:hAnsi="仿宋" w:eastAsia="仿宋"/>
                <w:sz w:val="32"/>
                <w:szCs w:val="32"/>
              </w:rPr>
              <w:t>名称</w:t>
            </w:r>
          </w:p>
        </w:tc>
        <w:tc>
          <w:tcPr>
            <w:tcW w:w="5163" w:type="dxa"/>
          </w:tcPr>
          <w:p>
            <w:pPr>
              <w:ind w:firstLine="1440" w:firstLineChars="450"/>
              <w:rPr>
                <w:rFonts w:hint="eastAsia" w:ascii="仿宋" w:hAnsi="仿宋" w:eastAsia="仿宋"/>
                <w:sz w:val="32"/>
                <w:szCs w:val="32"/>
              </w:rPr>
            </w:pPr>
            <w:r>
              <w:rPr>
                <w:rFonts w:hint="eastAsia" w:ascii="仿宋" w:hAnsi="仿宋" w:eastAsia="仿宋"/>
                <w:sz w:val="32"/>
                <w:szCs w:val="32"/>
              </w:rPr>
              <w:t>产品参数</w:t>
            </w:r>
          </w:p>
        </w:tc>
        <w:tc>
          <w:tcPr>
            <w:tcW w:w="567" w:type="dxa"/>
          </w:tcPr>
          <w:p>
            <w:pPr>
              <w:rPr>
                <w:rFonts w:hint="eastAsia" w:ascii="仿宋" w:hAnsi="仿宋" w:eastAsia="仿宋"/>
                <w:sz w:val="32"/>
                <w:szCs w:val="32"/>
              </w:rPr>
            </w:pPr>
            <w:r>
              <w:rPr>
                <w:rFonts w:hint="eastAsia" w:ascii="仿宋" w:hAnsi="仿宋" w:eastAsia="仿宋"/>
                <w:sz w:val="32"/>
                <w:szCs w:val="32"/>
              </w:rPr>
              <w:t>数量</w:t>
            </w:r>
          </w:p>
        </w:tc>
        <w:tc>
          <w:tcPr>
            <w:tcW w:w="616" w:type="dxa"/>
          </w:tcPr>
          <w:p>
            <w:pPr>
              <w:rPr>
                <w:rFonts w:hint="eastAsia" w:ascii="仿宋" w:hAnsi="仿宋" w:eastAsia="仿宋"/>
                <w:sz w:val="32"/>
                <w:szCs w:val="32"/>
              </w:rPr>
            </w:pPr>
            <w:r>
              <w:rPr>
                <w:rFonts w:hint="eastAsia" w:ascii="仿宋" w:hAnsi="仿宋" w:eastAsia="仿宋"/>
                <w:sz w:val="32"/>
                <w:szCs w:val="32"/>
              </w:rPr>
              <w:t>单位</w:t>
            </w:r>
          </w:p>
        </w:tc>
        <w:tc>
          <w:tcPr>
            <w:tcW w:w="895" w:type="dxa"/>
          </w:tcPr>
          <w:p>
            <w:pPr>
              <w:rPr>
                <w:rFonts w:hint="eastAsia" w:ascii="仿宋" w:hAnsi="仿宋" w:eastAsia="仿宋"/>
                <w:sz w:val="32"/>
                <w:szCs w:val="32"/>
                <w:lang w:val="en-US" w:eastAsia="zh-CN"/>
              </w:rPr>
            </w:pPr>
            <w:r>
              <w:rPr>
                <w:rFonts w:hint="eastAsia" w:ascii="仿宋" w:hAnsi="仿宋" w:eastAsia="仿宋"/>
                <w:sz w:val="32"/>
                <w:szCs w:val="32"/>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8" w:hRule="atLeast"/>
        </w:trPr>
        <w:tc>
          <w:tcPr>
            <w:tcW w:w="993"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ind w:firstLine="320" w:firstLineChars="100"/>
              <w:rPr>
                <w:rFonts w:hint="eastAsia" w:ascii="仿宋" w:hAnsi="仿宋" w:eastAsia="仿宋"/>
                <w:sz w:val="32"/>
                <w:szCs w:val="32"/>
              </w:rPr>
            </w:pPr>
          </w:p>
          <w:p>
            <w:pPr>
              <w:ind w:firstLine="320" w:firstLineChars="100"/>
              <w:rPr>
                <w:rFonts w:hint="eastAsia" w:ascii="仿宋" w:hAnsi="仿宋" w:eastAsia="仿宋"/>
                <w:sz w:val="32"/>
                <w:szCs w:val="32"/>
              </w:rPr>
            </w:pPr>
            <w:r>
              <w:rPr>
                <w:rFonts w:hint="eastAsia" w:ascii="仿宋" w:hAnsi="仿宋" w:eastAsia="仿宋"/>
                <w:sz w:val="32"/>
                <w:szCs w:val="32"/>
              </w:rPr>
              <w:t>1</w:t>
            </w:r>
          </w:p>
        </w:tc>
        <w:tc>
          <w:tcPr>
            <w:tcW w:w="1182"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物联网松材线虫病测</w:t>
            </w:r>
            <w:r>
              <w:rPr>
                <w:rFonts w:hint="eastAsia" w:ascii="仿宋" w:hAnsi="仿宋" w:eastAsia="仿宋"/>
                <w:sz w:val="32"/>
                <w:szCs w:val="32"/>
                <w:lang w:val="en-US" w:eastAsia="zh-CN"/>
              </w:rPr>
              <w:t xml:space="preserve"> </w:t>
            </w:r>
            <w:r>
              <w:rPr>
                <w:rFonts w:hint="eastAsia" w:ascii="仿宋" w:hAnsi="仿宋" w:eastAsia="仿宋"/>
                <w:sz w:val="32"/>
                <w:szCs w:val="32"/>
              </w:rPr>
              <w:t>报器</w:t>
            </w:r>
          </w:p>
        </w:tc>
        <w:tc>
          <w:tcPr>
            <w:tcW w:w="5163" w:type="dxa"/>
          </w:tcPr>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1、主机须能</w:t>
            </w:r>
            <w:r>
              <w:rPr>
                <w:rFonts w:hint="eastAsia" w:ascii="仿宋" w:hAnsi="仿宋" w:eastAsia="仿宋" w:cs="宋体"/>
                <w:kern w:val="0"/>
                <w:sz w:val="24"/>
                <w:lang w:eastAsia="zh-CN"/>
              </w:rPr>
              <w:t>长期</w:t>
            </w:r>
            <w:r>
              <w:rPr>
                <w:rFonts w:hint="eastAsia" w:ascii="仿宋" w:hAnsi="仿宋" w:eastAsia="仿宋" w:cs="宋体"/>
                <w:kern w:val="0"/>
                <w:sz w:val="24"/>
              </w:rPr>
              <w:t>在恶劣气候</w:t>
            </w:r>
            <w:r>
              <w:rPr>
                <w:rFonts w:hint="eastAsia" w:ascii="仿宋" w:hAnsi="仿宋" w:eastAsia="仿宋" w:cs="宋体"/>
                <w:kern w:val="0"/>
                <w:sz w:val="24"/>
                <w:lang w:eastAsia="zh-CN"/>
              </w:rPr>
              <w:t>条件下</w:t>
            </w:r>
            <w:r>
              <w:rPr>
                <w:rFonts w:hint="eastAsia" w:ascii="仿宋" w:hAnsi="仿宋" w:eastAsia="仿宋" w:cs="宋体"/>
                <w:kern w:val="0"/>
                <w:sz w:val="24"/>
              </w:rPr>
              <w:t>正常工作，工作温度：-20℃-60℃。；</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2、标靶害虫通过性诱剂诱集，害虫种类可控；</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3、诱捕及计数装置的高度可调节；支架防锈防水，高度不低于3米；</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szCs w:val="24"/>
              </w:rPr>
              <w:t>可根据害虫个体、重量、飞行轨迹等参数的设置</w:t>
            </w:r>
            <w:r>
              <w:rPr>
                <w:rFonts w:hint="eastAsia" w:ascii="仿宋" w:hAnsi="仿宋" w:eastAsia="仿宋" w:cs="宋体"/>
                <w:kern w:val="0"/>
                <w:sz w:val="24"/>
              </w:rPr>
              <w:t>自动排除非</w:t>
            </w:r>
            <w:r>
              <w:rPr>
                <w:rFonts w:hint="eastAsia" w:ascii="仿宋" w:hAnsi="仿宋" w:eastAsia="仿宋" w:cs="宋体"/>
                <w:kern w:val="0"/>
                <w:sz w:val="24"/>
                <w:lang w:eastAsia="zh-CN"/>
              </w:rPr>
              <w:t>标靶</w:t>
            </w:r>
            <w:r>
              <w:rPr>
                <w:rFonts w:hint="eastAsia" w:ascii="仿宋" w:hAnsi="仿宋" w:eastAsia="仿宋" w:cs="宋体"/>
                <w:kern w:val="0"/>
                <w:sz w:val="24"/>
              </w:rPr>
              <w:t>害虫；</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5、具备数据远程自动报传功能，数据涵盖：害虫数量、诱捕时间、GPS信息、温湿度等内容，并可远程设置以下报传方式：①根据害虫阈值自动上传 ②固定时间自动上传 ③在任意时间点，远程发送命令自动上传。</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6、上传数据可实时上报至用户指定地址，可实现手机、电脑多种客户端接收。</w:t>
            </w:r>
          </w:p>
          <w:p>
            <w:pPr>
              <w:rPr>
                <w:rFonts w:hint="eastAsia" w:ascii="仿宋" w:hAnsi="仿宋" w:eastAsia="仿宋" w:cs="宋体"/>
                <w:kern w:val="0"/>
                <w:sz w:val="24"/>
              </w:rPr>
            </w:pPr>
            <w:r>
              <w:rPr>
                <w:rFonts w:hint="eastAsia" w:ascii="仿宋" w:hAnsi="仿宋" w:eastAsia="仿宋" w:cs="宋体"/>
                <w:kern w:val="0"/>
                <w:sz w:val="24"/>
              </w:rPr>
              <w:t>7、主机具备远程开关机功能， 具备设备故障远程诊断和维护功能，设备异常或故障远程提醒、性诱芯到期更换时间提醒功能。</w:t>
            </w:r>
          </w:p>
          <w:p>
            <w:pPr>
              <w:widowControl/>
              <w:jc w:val="left"/>
              <w:rPr>
                <w:rFonts w:ascii="仿宋" w:hAnsi="仿宋" w:eastAsia="仿宋" w:cs="宋体"/>
                <w:kern w:val="0"/>
                <w:sz w:val="24"/>
              </w:rPr>
            </w:pPr>
            <w:r>
              <w:rPr>
                <w:rFonts w:hint="eastAsia" w:ascii="仿宋" w:hAnsi="仿宋" w:eastAsia="仿宋" w:cs="宋体"/>
                <w:kern w:val="0"/>
                <w:sz w:val="24"/>
              </w:rPr>
              <w:t>8、支持通过列表查看、地图查看、图表查看三种数据查看方式；</w:t>
            </w:r>
          </w:p>
          <w:p>
            <w:pPr>
              <w:rPr>
                <w:rFonts w:hint="eastAsia" w:ascii="仿宋" w:hAnsi="仿宋" w:eastAsia="仿宋"/>
                <w:kern w:val="0"/>
                <w:sz w:val="24"/>
              </w:rPr>
            </w:pPr>
            <w:r>
              <w:rPr>
                <w:rFonts w:hint="eastAsia" w:ascii="仿宋" w:hAnsi="仿宋" w:eastAsia="仿宋" w:cs="宋体"/>
                <w:kern w:val="0"/>
                <w:sz w:val="24"/>
              </w:rPr>
              <w:t>9、太阳能电池板功率≥40瓦；锂电池容量≥</w:t>
            </w:r>
            <w:r>
              <w:rPr>
                <w:rFonts w:hint="eastAsia" w:ascii="仿宋" w:hAnsi="仿宋" w:eastAsia="仿宋"/>
                <w:kern w:val="0"/>
                <w:sz w:val="24"/>
              </w:rPr>
              <w:t>60AH。保证7</w:t>
            </w:r>
            <w:r>
              <w:rPr>
                <w:rFonts w:hint="eastAsia" w:ascii="仿宋" w:hAnsi="仿宋" w:eastAsia="仿宋"/>
                <w:kern w:val="0"/>
                <w:sz w:val="24"/>
                <w:lang w:eastAsia="zh-CN"/>
              </w:rPr>
              <w:t>个</w:t>
            </w:r>
            <w:r>
              <w:rPr>
                <w:rFonts w:hint="eastAsia" w:ascii="仿宋" w:hAnsi="仿宋" w:eastAsia="仿宋"/>
                <w:kern w:val="0"/>
                <w:sz w:val="24"/>
              </w:rPr>
              <w:t>阴天正常工作。</w:t>
            </w:r>
          </w:p>
          <w:p>
            <w:pPr>
              <w:widowControl/>
              <w:adjustRightInd w:val="0"/>
              <w:snapToGrid w:val="0"/>
              <w:spacing w:line="240" w:lineRule="atLeast"/>
              <w:rPr>
                <w:rFonts w:hint="eastAsia" w:ascii="宋体" w:hAnsi="宋体" w:cs="宋体"/>
                <w:kern w:val="0"/>
                <w:sz w:val="24"/>
              </w:rPr>
            </w:pPr>
            <w:r>
              <w:rPr>
                <w:rFonts w:hint="eastAsia" w:ascii="仿宋" w:hAnsi="仿宋" w:eastAsia="仿宋" w:cs="宋体"/>
                <w:kern w:val="0"/>
                <w:sz w:val="24"/>
              </w:rPr>
              <w:t>10、主要监测对象为松墨天牛、松褐天牛等易感染松材线虫病的天牛。</w:t>
            </w:r>
          </w:p>
        </w:tc>
        <w:tc>
          <w:tcPr>
            <w:tcW w:w="567" w:type="dxa"/>
          </w:tcPr>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rPr>
            </w:pPr>
          </w:p>
          <w:p>
            <w:pPr>
              <w:jc w:val="left"/>
              <w:rPr>
                <w:rFonts w:hint="eastAsia" w:ascii="仿宋" w:hAnsi="仿宋" w:eastAsia="仿宋"/>
                <w:sz w:val="32"/>
                <w:szCs w:val="32"/>
                <w:lang w:eastAsia="zh-CN"/>
              </w:rPr>
            </w:pPr>
            <w:r>
              <w:rPr>
                <w:rFonts w:hint="eastAsia" w:ascii="仿宋" w:hAnsi="仿宋" w:eastAsia="仿宋"/>
                <w:sz w:val="32"/>
                <w:szCs w:val="32"/>
                <w:lang w:val="en-US" w:eastAsia="zh-CN"/>
              </w:rPr>
              <w:t>5</w:t>
            </w:r>
          </w:p>
        </w:tc>
        <w:tc>
          <w:tcPr>
            <w:tcW w:w="616"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台</w:t>
            </w:r>
          </w:p>
        </w:tc>
        <w:tc>
          <w:tcPr>
            <w:tcW w:w="895" w:type="dxa"/>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993" w:type="dxa"/>
          </w:tcPr>
          <w:p>
            <w:pPr>
              <w:rPr>
                <w:rFonts w:hint="eastAsia" w:ascii="仿宋" w:hAnsi="仿宋" w:eastAsia="仿宋"/>
                <w:sz w:val="32"/>
                <w:szCs w:val="32"/>
              </w:rPr>
            </w:pPr>
          </w:p>
          <w:p>
            <w:pPr>
              <w:rPr>
                <w:rFonts w:hint="eastAsia" w:ascii="仿宋" w:hAnsi="仿宋" w:eastAsia="仿宋"/>
                <w:sz w:val="32"/>
                <w:szCs w:val="32"/>
              </w:rPr>
            </w:pPr>
          </w:p>
          <w:p>
            <w:pPr>
              <w:ind w:firstLine="320" w:firstLineChars="100"/>
              <w:rPr>
                <w:rFonts w:ascii="仿宋" w:hAnsi="仿宋" w:eastAsia="仿宋"/>
                <w:sz w:val="32"/>
                <w:szCs w:val="32"/>
              </w:rPr>
            </w:pPr>
            <w:r>
              <w:rPr>
                <w:rFonts w:hint="eastAsia" w:ascii="仿宋" w:hAnsi="仿宋" w:eastAsia="仿宋"/>
                <w:sz w:val="32"/>
                <w:szCs w:val="32"/>
              </w:rPr>
              <w:t>2</w:t>
            </w:r>
          </w:p>
          <w:p>
            <w:pPr>
              <w:rPr>
                <w:rFonts w:hint="eastAsia" w:ascii="仿宋" w:hAnsi="仿宋" w:eastAsia="仿宋"/>
                <w:sz w:val="32"/>
                <w:szCs w:val="32"/>
              </w:rPr>
            </w:pPr>
          </w:p>
        </w:tc>
        <w:tc>
          <w:tcPr>
            <w:tcW w:w="1182" w:type="dxa"/>
          </w:tcPr>
          <w:p>
            <w:pPr>
              <w:rPr>
                <w:rFonts w:hint="eastAsia" w:ascii="仿宋" w:hAnsi="仿宋" w:eastAsia="仿宋" w:cs="仿宋_GB2312"/>
                <w:bCs/>
                <w:sz w:val="32"/>
                <w:szCs w:val="32"/>
              </w:rPr>
            </w:pPr>
          </w:p>
          <w:p>
            <w:pPr>
              <w:rPr>
                <w:rFonts w:ascii="仿宋" w:hAnsi="仿宋" w:eastAsia="仿宋"/>
                <w:sz w:val="32"/>
                <w:szCs w:val="32"/>
              </w:rPr>
            </w:pPr>
            <w:r>
              <w:rPr>
                <w:rFonts w:hint="eastAsia" w:ascii="仿宋" w:hAnsi="仿宋" w:eastAsia="仿宋" w:cs="仿宋_GB2312"/>
                <w:bCs/>
                <w:sz w:val="32"/>
                <w:szCs w:val="32"/>
              </w:rPr>
              <w:t>松褐天牛诱捕器</w:t>
            </w:r>
          </w:p>
          <w:p>
            <w:pPr>
              <w:rPr>
                <w:rFonts w:hint="eastAsia" w:ascii="仿宋" w:hAnsi="仿宋" w:eastAsia="仿宋"/>
                <w:sz w:val="32"/>
                <w:szCs w:val="32"/>
              </w:rPr>
            </w:pPr>
          </w:p>
        </w:tc>
        <w:tc>
          <w:tcPr>
            <w:tcW w:w="5163" w:type="dxa"/>
          </w:tcPr>
          <w:p>
            <w:pPr>
              <w:ind w:firstLine="480" w:firstLineChars="200"/>
              <w:rPr>
                <w:rFonts w:hint="eastAsia" w:ascii="仿宋" w:hAnsi="仿宋" w:eastAsia="仿宋" w:cs="仿宋_GB2312"/>
                <w:bCs/>
                <w:sz w:val="24"/>
                <w:szCs w:val="24"/>
              </w:rPr>
            </w:pPr>
            <w:r>
              <w:rPr>
                <w:rFonts w:hint="eastAsia" w:ascii="仿宋" w:hAnsi="仿宋" w:eastAsia="仿宋" w:cs="仿宋_GB2312"/>
                <w:bCs/>
                <w:sz w:val="24"/>
                <w:szCs w:val="24"/>
              </w:rPr>
              <w:t>1、具有省级以上检测机构出具的诱芯分析测试报告；</w:t>
            </w:r>
          </w:p>
          <w:p>
            <w:pPr>
              <w:ind w:firstLine="480" w:firstLineChars="200"/>
              <w:rPr>
                <w:rFonts w:hint="eastAsia" w:ascii="仿宋" w:hAnsi="仿宋" w:eastAsia="仿宋" w:cs="仿宋_GB2312"/>
                <w:bCs/>
                <w:sz w:val="24"/>
                <w:szCs w:val="24"/>
              </w:rPr>
            </w:pPr>
            <w:r>
              <w:rPr>
                <w:rFonts w:hint="eastAsia" w:ascii="仿宋" w:hAnsi="仿宋" w:eastAsia="仿宋" w:cs="仿宋_GB2312"/>
                <w:bCs/>
                <w:sz w:val="24"/>
                <w:szCs w:val="24"/>
              </w:rPr>
              <w:t>2、有效时间：2个月</w:t>
            </w:r>
          </w:p>
          <w:p>
            <w:pPr>
              <w:ind w:firstLine="480" w:firstLineChars="200"/>
              <w:rPr>
                <w:rFonts w:hint="eastAsia" w:ascii="仿宋" w:hAnsi="仿宋" w:eastAsia="仿宋" w:cs="仿宋_GB2312"/>
                <w:bCs/>
                <w:sz w:val="24"/>
                <w:szCs w:val="24"/>
              </w:rPr>
            </w:pPr>
            <w:r>
              <w:rPr>
                <w:rFonts w:hint="eastAsia" w:ascii="仿宋" w:hAnsi="仿宋" w:eastAsia="仿宋" w:cs="仿宋_GB2312"/>
                <w:bCs/>
                <w:sz w:val="24"/>
                <w:szCs w:val="24"/>
              </w:rPr>
              <w:t>3、诱捕器组成：黑色顶盖1个、中空大交叉板1个、中空小交叉板1个、黑色漏斗1个、天牛集虫瓶1个。</w:t>
            </w:r>
          </w:p>
          <w:p>
            <w:pPr>
              <w:ind w:firstLine="480" w:firstLineChars="200"/>
              <w:rPr>
                <w:rFonts w:hint="eastAsia" w:ascii="仿宋" w:hAnsi="仿宋" w:eastAsia="仿宋" w:cs="仿宋_GB2312"/>
                <w:bCs/>
                <w:sz w:val="24"/>
                <w:szCs w:val="24"/>
                <w:lang w:val="en-US" w:eastAsia="zh-CN"/>
              </w:rPr>
            </w:pPr>
            <w:r>
              <w:rPr>
                <w:rFonts w:hint="eastAsia" w:ascii="仿宋" w:hAnsi="仿宋" w:eastAsia="仿宋" w:cs="仿宋_GB2312"/>
                <w:bCs/>
                <w:sz w:val="24"/>
                <w:szCs w:val="24"/>
                <w:lang w:val="en-US" w:eastAsia="zh-CN"/>
              </w:rPr>
              <w:t>4、一个诱捕器加四个诱芯为一套。</w:t>
            </w:r>
          </w:p>
        </w:tc>
        <w:tc>
          <w:tcPr>
            <w:tcW w:w="567" w:type="dxa"/>
          </w:tcPr>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default" w:ascii="仿宋" w:hAnsi="仿宋" w:eastAsia="仿宋"/>
                <w:sz w:val="32"/>
                <w:szCs w:val="32"/>
                <w:lang w:val="en-US" w:eastAsia="zh-CN"/>
              </w:rPr>
            </w:pPr>
          </w:p>
        </w:tc>
        <w:tc>
          <w:tcPr>
            <w:tcW w:w="616"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lang w:eastAsia="zh-CN"/>
              </w:rPr>
              <w:t>套</w:t>
            </w:r>
          </w:p>
        </w:tc>
        <w:tc>
          <w:tcPr>
            <w:tcW w:w="895" w:type="dxa"/>
          </w:tcPr>
          <w:p>
            <w:pPr>
              <w:rPr>
                <w:rFonts w:hint="eastAsia" w:ascii="仿宋" w:hAnsi="仿宋" w:eastAsia="仿宋"/>
                <w:sz w:val="32"/>
                <w:szCs w:val="32"/>
              </w:rPr>
            </w:pPr>
          </w:p>
        </w:tc>
      </w:tr>
    </w:tbl>
    <w:p>
      <w:pPr>
        <w:rPr>
          <w:rFonts w:hint="eastAsia" w:ascii="仿宋" w:hAnsi="仿宋" w:eastAsia="仿宋"/>
          <w:sz w:val="32"/>
          <w:szCs w:val="32"/>
        </w:rPr>
      </w:pPr>
    </w:p>
    <w:tbl>
      <w:tblPr>
        <w:tblStyle w:val="2"/>
        <w:tblW w:w="937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985"/>
        <w:gridCol w:w="5470"/>
        <w:gridCol w:w="537"/>
        <w:gridCol w:w="55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04" w:type="dxa"/>
          </w:tcPr>
          <w:p/>
          <w:p/>
          <w:p/>
        </w:tc>
        <w:tc>
          <w:tcPr>
            <w:tcW w:w="985" w:type="dxa"/>
          </w:tcPr>
          <w:p>
            <w:r>
              <w:rPr>
                <w:rFonts w:hint="eastAsia" w:ascii="仿宋" w:hAnsi="仿宋" w:eastAsia="仿宋"/>
                <w:sz w:val="32"/>
                <w:szCs w:val="32"/>
              </w:rPr>
              <w:t>名称</w:t>
            </w:r>
          </w:p>
        </w:tc>
        <w:tc>
          <w:tcPr>
            <w:tcW w:w="5470" w:type="dxa"/>
          </w:tcPr>
          <w:p>
            <w:pPr>
              <w:ind w:firstLine="1920" w:firstLineChars="600"/>
            </w:pPr>
            <w:r>
              <w:rPr>
                <w:rFonts w:hint="eastAsia" w:ascii="仿宋" w:hAnsi="仿宋" w:eastAsia="仿宋"/>
                <w:sz w:val="32"/>
                <w:szCs w:val="32"/>
              </w:rPr>
              <w:t>产品参数</w:t>
            </w:r>
          </w:p>
        </w:tc>
        <w:tc>
          <w:tcPr>
            <w:tcW w:w="537" w:type="dxa"/>
          </w:tcPr>
          <w:p>
            <w:r>
              <w:rPr>
                <w:rFonts w:hint="eastAsia" w:ascii="仿宋" w:hAnsi="仿宋" w:eastAsia="仿宋"/>
                <w:sz w:val="32"/>
                <w:szCs w:val="32"/>
              </w:rPr>
              <w:t>数量</w:t>
            </w:r>
          </w:p>
        </w:tc>
        <w:tc>
          <w:tcPr>
            <w:tcW w:w="556" w:type="dxa"/>
          </w:tcPr>
          <w:p>
            <w:r>
              <w:rPr>
                <w:rFonts w:hint="eastAsia" w:ascii="仿宋" w:hAnsi="仿宋" w:eastAsia="仿宋"/>
                <w:sz w:val="32"/>
                <w:szCs w:val="32"/>
              </w:rPr>
              <w:t>单位</w:t>
            </w:r>
          </w:p>
        </w:tc>
        <w:tc>
          <w:tcPr>
            <w:tcW w:w="826" w:type="dxa"/>
          </w:tcPr>
          <w:p>
            <w:pPr>
              <w:rPr>
                <w:rFonts w:hint="eastAsia" w:eastAsiaTheme="minorEastAsia"/>
                <w:lang w:eastAsia="zh-CN"/>
              </w:rPr>
            </w:pPr>
            <w:r>
              <w:rPr>
                <w:rFonts w:hint="eastAsia" w:ascii="仿宋" w:hAnsi="仿宋" w:eastAsia="仿宋"/>
                <w:sz w:val="32"/>
                <w:szCs w:val="32"/>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1004" w:type="dxa"/>
          </w:tcPr>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c>
          <w:tcPr>
            <w:tcW w:w="985" w:type="dxa"/>
          </w:tcPr>
          <w:p>
            <w:pPr>
              <w:jc w:val="center"/>
              <w:rPr>
                <w:rFonts w:hint="eastAsia" w:ascii="仿宋" w:hAnsi="仿宋" w:eastAsia="仿宋" w:cs="仿宋_GB2312"/>
                <w:bCs/>
                <w:sz w:val="32"/>
                <w:szCs w:val="32"/>
              </w:rPr>
            </w:pPr>
          </w:p>
          <w:p>
            <w:pPr>
              <w:jc w:val="center"/>
              <w:rPr>
                <w:rFonts w:hint="eastAsia" w:ascii="仿宋" w:hAnsi="仿宋" w:eastAsia="仿宋" w:cs="仿宋_GB2312"/>
                <w:bCs/>
                <w:sz w:val="32"/>
                <w:szCs w:val="32"/>
              </w:rPr>
            </w:pPr>
          </w:p>
          <w:p>
            <w:pPr>
              <w:jc w:val="center"/>
              <w:rPr>
                <w:rFonts w:hint="eastAsia" w:ascii="仿宋" w:hAnsi="仿宋" w:eastAsia="仿宋" w:cs="仿宋_GB2312"/>
                <w:bCs/>
                <w:sz w:val="32"/>
                <w:szCs w:val="32"/>
              </w:rPr>
            </w:pPr>
          </w:p>
          <w:p>
            <w:pPr>
              <w:jc w:val="center"/>
              <w:rPr>
                <w:rFonts w:hint="eastAsia" w:ascii="仿宋" w:hAnsi="仿宋" w:eastAsia="仿宋"/>
                <w:sz w:val="32"/>
                <w:szCs w:val="32"/>
                <w:lang w:eastAsia="zh-CN"/>
              </w:rPr>
            </w:pPr>
            <w:r>
              <w:rPr>
                <w:rFonts w:hint="eastAsia" w:ascii="仿宋" w:hAnsi="仿宋" w:eastAsia="仿宋"/>
                <w:sz w:val="32"/>
                <w:szCs w:val="32"/>
              </w:rPr>
              <w:t>物联网</w:t>
            </w:r>
            <w:r>
              <w:rPr>
                <w:rFonts w:hint="eastAsia" w:ascii="仿宋" w:hAnsi="仿宋" w:eastAsia="仿宋"/>
                <w:sz w:val="32"/>
                <w:szCs w:val="32"/>
                <w:lang w:eastAsia="zh-CN"/>
              </w:rPr>
              <w:t>美国白蛾</w:t>
            </w:r>
            <w:r>
              <w:rPr>
                <w:rFonts w:hint="eastAsia" w:ascii="仿宋" w:hAnsi="仿宋" w:eastAsia="仿宋"/>
                <w:sz w:val="32"/>
                <w:szCs w:val="32"/>
              </w:rPr>
              <w:t>测</w:t>
            </w:r>
            <w:r>
              <w:rPr>
                <w:rFonts w:hint="eastAsia" w:ascii="仿宋" w:hAnsi="仿宋" w:eastAsia="仿宋"/>
                <w:sz w:val="32"/>
                <w:szCs w:val="32"/>
                <w:lang w:val="en-US" w:eastAsia="zh-CN"/>
              </w:rPr>
              <w:t xml:space="preserve"> </w:t>
            </w:r>
            <w:r>
              <w:rPr>
                <w:rFonts w:hint="eastAsia" w:ascii="仿宋" w:hAnsi="仿宋" w:eastAsia="仿宋"/>
                <w:sz w:val="32"/>
                <w:szCs w:val="32"/>
              </w:rPr>
              <w:t>报器</w:t>
            </w:r>
          </w:p>
        </w:tc>
        <w:tc>
          <w:tcPr>
            <w:tcW w:w="5470" w:type="dxa"/>
          </w:tcPr>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1、主机须能</w:t>
            </w:r>
            <w:r>
              <w:rPr>
                <w:rFonts w:hint="eastAsia" w:ascii="仿宋" w:hAnsi="仿宋" w:eastAsia="仿宋" w:cs="宋体"/>
                <w:kern w:val="0"/>
                <w:sz w:val="24"/>
                <w:lang w:eastAsia="zh-CN"/>
              </w:rPr>
              <w:t>长期</w:t>
            </w:r>
            <w:r>
              <w:rPr>
                <w:rFonts w:hint="eastAsia" w:ascii="仿宋" w:hAnsi="仿宋" w:eastAsia="仿宋" w:cs="宋体"/>
                <w:kern w:val="0"/>
                <w:sz w:val="24"/>
              </w:rPr>
              <w:t>在恶劣气候</w:t>
            </w:r>
            <w:r>
              <w:rPr>
                <w:rFonts w:hint="eastAsia" w:ascii="仿宋" w:hAnsi="仿宋" w:eastAsia="仿宋" w:cs="宋体"/>
                <w:kern w:val="0"/>
                <w:sz w:val="24"/>
                <w:lang w:eastAsia="zh-CN"/>
              </w:rPr>
              <w:t>条件下</w:t>
            </w:r>
            <w:r>
              <w:rPr>
                <w:rFonts w:hint="eastAsia" w:ascii="仿宋" w:hAnsi="仿宋" w:eastAsia="仿宋" w:cs="宋体"/>
                <w:kern w:val="0"/>
                <w:sz w:val="24"/>
              </w:rPr>
              <w:t>正常工作，工作温度：-20℃-60℃。；</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2、标靶害虫通过性诱剂诱集，害虫种类可控；</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lang w:val="en-US" w:eastAsia="zh-CN"/>
              </w:rPr>
              <w:t>3</w:t>
            </w:r>
            <w:r>
              <w:rPr>
                <w:rFonts w:hint="eastAsia" w:ascii="仿宋" w:hAnsi="仿宋" w:eastAsia="仿宋" w:cs="宋体"/>
                <w:kern w:val="0"/>
                <w:sz w:val="24"/>
              </w:rPr>
              <w:t>、</w:t>
            </w:r>
            <w:r>
              <w:rPr>
                <w:rFonts w:ascii="仿宋" w:hAnsi="仿宋" w:eastAsia="仿宋" w:cs="宋体"/>
                <w:kern w:val="0"/>
                <w:sz w:val="24"/>
                <w:szCs w:val="24"/>
              </w:rPr>
              <w:t>可根据害虫个体、重量、飞行轨迹等参数的设置</w:t>
            </w:r>
            <w:r>
              <w:rPr>
                <w:rFonts w:hint="eastAsia" w:ascii="仿宋" w:hAnsi="仿宋" w:eastAsia="仿宋" w:cs="宋体"/>
                <w:kern w:val="0"/>
                <w:sz w:val="24"/>
              </w:rPr>
              <w:t>自动排除非</w:t>
            </w:r>
            <w:r>
              <w:rPr>
                <w:rFonts w:hint="eastAsia" w:ascii="仿宋" w:hAnsi="仿宋" w:eastAsia="仿宋" w:cs="宋体"/>
                <w:kern w:val="0"/>
                <w:sz w:val="24"/>
                <w:lang w:eastAsia="zh-CN"/>
              </w:rPr>
              <w:t>标靶</w:t>
            </w:r>
            <w:r>
              <w:rPr>
                <w:rFonts w:hint="eastAsia" w:ascii="仿宋" w:hAnsi="仿宋" w:eastAsia="仿宋" w:cs="宋体"/>
                <w:kern w:val="0"/>
                <w:sz w:val="24"/>
              </w:rPr>
              <w:t>害虫；</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lang w:val="en-US" w:eastAsia="zh-CN"/>
              </w:rPr>
              <w:t>4</w:t>
            </w:r>
            <w:r>
              <w:rPr>
                <w:rFonts w:hint="eastAsia" w:ascii="仿宋" w:hAnsi="仿宋" w:eastAsia="仿宋" w:cs="宋体"/>
                <w:kern w:val="0"/>
                <w:sz w:val="24"/>
              </w:rPr>
              <w:t>、具备数据远程自动报传功能，数据涵盖：害虫数量、诱捕时间、GPS信息、温湿度等内容，并可远程设置以下报传方式：①根据害虫阈值自动上传 ②固定时间自动上传 ③在任意时间点，远程发送命令自动上传。</w:t>
            </w:r>
          </w:p>
          <w:p>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lang w:val="en-US" w:eastAsia="zh-CN"/>
              </w:rPr>
              <w:t>5</w:t>
            </w:r>
            <w:r>
              <w:rPr>
                <w:rFonts w:hint="eastAsia" w:ascii="仿宋" w:hAnsi="仿宋" w:eastAsia="仿宋" w:cs="宋体"/>
                <w:kern w:val="0"/>
                <w:sz w:val="24"/>
              </w:rPr>
              <w:t>、上传数据可实时上报至用户指定地址，可实现手机、电脑多种客户端接收。</w:t>
            </w:r>
          </w:p>
          <w:p>
            <w:pPr>
              <w:rPr>
                <w:rFonts w:hint="eastAsia" w:ascii="仿宋" w:hAnsi="仿宋" w:eastAsia="仿宋" w:cs="宋体"/>
                <w:kern w:val="0"/>
                <w:sz w:val="24"/>
              </w:rPr>
            </w:pPr>
            <w:r>
              <w:rPr>
                <w:rFonts w:hint="eastAsia" w:ascii="仿宋" w:hAnsi="仿宋" w:eastAsia="仿宋" w:cs="宋体"/>
                <w:kern w:val="0"/>
                <w:sz w:val="24"/>
                <w:lang w:val="en-US" w:eastAsia="zh-CN"/>
              </w:rPr>
              <w:t>6</w:t>
            </w:r>
            <w:r>
              <w:rPr>
                <w:rFonts w:hint="eastAsia" w:ascii="仿宋" w:hAnsi="仿宋" w:eastAsia="仿宋" w:cs="宋体"/>
                <w:kern w:val="0"/>
                <w:sz w:val="24"/>
              </w:rPr>
              <w:t>、主机具备远程开关机功能， 具备设备故障远程诊断和维护功能，设备异常或故障远程提醒、性诱芯到期更换时间提醒功能。</w:t>
            </w:r>
          </w:p>
          <w:p>
            <w:pPr>
              <w:widowControl/>
              <w:jc w:val="left"/>
              <w:rPr>
                <w:rFonts w:ascii="仿宋" w:hAnsi="仿宋" w:eastAsia="仿宋" w:cs="宋体"/>
                <w:kern w:val="0"/>
                <w:sz w:val="24"/>
              </w:rPr>
            </w:pPr>
            <w:r>
              <w:rPr>
                <w:rFonts w:hint="eastAsia" w:ascii="仿宋" w:hAnsi="仿宋" w:eastAsia="仿宋" w:cs="宋体"/>
                <w:kern w:val="0"/>
                <w:sz w:val="24"/>
                <w:lang w:val="en-US" w:eastAsia="zh-CN"/>
              </w:rPr>
              <w:t>7</w:t>
            </w:r>
            <w:r>
              <w:rPr>
                <w:rFonts w:hint="eastAsia" w:ascii="仿宋" w:hAnsi="仿宋" w:eastAsia="仿宋" w:cs="宋体"/>
                <w:kern w:val="0"/>
                <w:sz w:val="24"/>
              </w:rPr>
              <w:t>、支持通过列表查看、地图查看、图表查看三种数据查看方式；</w:t>
            </w:r>
          </w:p>
          <w:p>
            <w:pPr>
              <w:rPr>
                <w:rFonts w:hint="eastAsia" w:ascii="仿宋" w:hAnsi="仿宋" w:eastAsia="仿宋"/>
                <w:kern w:val="0"/>
                <w:sz w:val="24"/>
              </w:rPr>
            </w:pPr>
            <w:r>
              <w:rPr>
                <w:rFonts w:hint="eastAsia" w:ascii="仿宋" w:hAnsi="仿宋" w:eastAsia="仿宋" w:cs="宋体"/>
                <w:kern w:val="0"/>
                <w:sz w:val="24"/>
                <w:lang w:val="en-US" w:eastAsia="zh-CN"/>
              </w:rPr>
              <w:t>8</w:t>
            </w:r>
            <w:r>
              <w:rPr>
                <w:rFonts w:hint="eastAsia" w:ascii="仿宋" w:hAnsi="仿宋" w:eastAsia="仿宋" w:cs="宋体"/>
                <w:kern w:val="0"/>
                <w:sz w:val="24"/>
              </w:rPr>
              <w:t>、太阳能电池板功率≥40瓦；锂电池容量≥</w:t>
            </w:r>
            <w:r>
              <w:rPr>
                <w:rFonts w:hint="eastAsia" w:ascii="仿宋" w:hAnsi="仿宋" w:eastAsia="仿宋"/>
                <w:kern w:val="0"/>
                <w:sz w:val="24"/>
              </w:rPr>
              <w:t>60AH。保证7</w:t>
            </w:r>
            <w:r>
              <w:rPr>
                <w:rFonts w:hint="eastAsia" w:ascii="仿宋" w:hAnsi="仿宋" w:eastAsia="仿宋"/>
                <w:kern w:val="0"/>
                <w:sz w:val="24"/>
                <w:lang w:eastAsia="zh-CN"/>
              </w:rPr>
              <w:t>个</w:t>
            </w:r>
            <w:r>
              <w:rPr>
                <w:rFonts w:hint="eastAsia" w:ascii="仿宋" w:hAnsi="仿宋" w:eastAsia="仿宋"/>
                <w:kern w:val="0"/>
                <w:sz w:val="24"/>
              </w:rPr>
              <w:t>阴天正常工作。</w:t>
            </w:r>
          </w:p>
          <w:p>
            <w:pPr>
              <w:pStyle w:val="4"/>
              <w:numPr>
                <w:ilvl w:val="0"/>
                <w:numId w:val="0"/>
              </w:numPr>
              <w:ind w:leftChars="0"/>
              <w:rPr>
                <w:rFonts w:hint="eastAsia" w:ascii="仿宋" w:hAnsi="仿宋" w:eastAsia="仿宋"/>
                <w:sz w:val="32"/>
                <w:szCs w:val="32"/>
              </w:rPr>
            </w:pPr>
            <w:r>
              <w:rPr>
                <w:rFonts w:hint="eastAsia" w:ascii="仿宋" w:hAnsi="仿宋" w:eastAsia="仿宋" w:cs="宋体"/>
                <w:kern w:val="0"/>
                <w:sz w:val="24"/>
                <w:lang w:val="en-US" w:eastAsia="zh-CN"/>
              </w:rPr>
              <w:t>9</w:t>
            </w:r>
            <w:r>
              <w:rPr>
                <w:rFonts w:hint="eastAsia" w:ascii="仿宋" w:hAnsi="仿宋" w:eastAsia="仿宋" w:cs="宋体"/>
                <w:kern w:val="0"/>
                <w:sz w:val="24"/>
              </w:rPr>
              <w:t>、主要监测对象为</w:t>
            </w:r>
            <w:r>
              <w:rPr>
                <w:rFonts w:hint="eastAsia" w:ascii="仿宋" w:hAnsi="仿宋" w:eastAsia="仿宋" w:cs="宋体"/>
                <w:kern w:val="0"/>
                <w:sz w:val="24"/>
                <w:lang w:eastAsia="zh-CN"/>
              </w:rPr>
              <w:t>美国白蛾</w:t>
            </w:r>
            <w:r>
              <w:rPr>
                <w:rFonts w:hint="eastAsia" w:ascii="仿宋" w:hAnsi="仿宋" w:eastAsia="仿宋" w:cs="宋体"/>
                <w:kern w:val="0"/>
                <w:sz w:val="24"/>
              </w:rPr>
              <w:t>。</w:t>
            </w:r>
          </w:p>
        </w:tc>
        <w:tc>
          <w:tcPr>
            <w:tcW w:w="537" w:type="dxa"/>
          </w:tcPr>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5</w:t>
            </w:r>
          </w:p>
        </w:tc>
        <w:tc>
          <w:tcPr>
            <w:tcW w:w="556"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lang w:eastAsia="zh-CN"/>
              </w:rPr>
              <w:t>台</w:t>
            </w:r>
          </w:p>
        </w:tc>
        <w:tc>
          <w:tcPr>
            <w:tcW w:w="826" w:type="dxa"/>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1004" w:type="dxa"/>
          </w:tcPr>
          <w:p>
            <w:pPr>
              <w:rPr>
                <w:rFonts w:hint="eastAsia" w:ascii="仿宋" w:hAnsi="仿宋" w:eastAsia="仿宋"/>
                <w:sz w:val="32"/>
                <w:szCs w:val="32"/>
              </w:rPr>
            </w:pPr>
          </w:p>
          <w:p>
            <w:pPr>
              <w:rPr>
                <w:rFonts w:hint="eastAsia" w:ascii="仿宋" w:hAnsi="仿宋" w:eastAsia="仿宋"/>
                <w:sz w:val="32"/>
                <w:szCs w:val="32"/>
              </w:rPr>
            </w:pPr>
          </w:p>
          <w:p>
            <w:pPr>
              <w:ind w:firstLine="320" w:firstLineChars="100"/>
              <w:rPr>
                <w:rFonts w:hint="eastAsia" w:ascii="仿宋" w:hAnsi="仿宋" w:eastAsia="仿宋"/>
                <w:sz w:val="32"/>
                <w:szCs w:val="32"/>
              </w:rPr>
            </w:pPr>
            <w:r>
              <w:rPr>
                <w:rFonts w:hint="eastAsia" w:ascii="仿宋" w:hAnsi="仿宋" w:eastAsia="仿宋"/>
                <w:sz w:val="32"/>
                <w:szCs w:val="32"/>
              </w:rPr>
              <w:t>4</w:t>
            </w:r>
          </w:p>
        </w:tc>
        <w:tc>
          <w:tcPr>
            <w:tcW w:w="985" w:type="dxa"/>
          </w:tcPr>
          <w:p>
            <w:pPr>
              <w:rPr>
                <w:rFonts w:hint="eastAsia" w:ascii="仿宋" w:hAnsi="仿宋" w:eastAsia="仿宋" w:cs="仿宋_GB2312"/>
                <w:bCs/>
                <w:sz w:val="32"/>
                <w:szCs w:val="32"/>
                <w:lang w:eastAsia="zh-CN"/>
              </w:rPr>
            </w:pPr>
          </w:p>
          <w:p>
            <w:pPr>
              <w:rPr>
                <w:rFonts w:ascii="仿宋" w:hAnsi="仿宋" w:eastAsia="仿宋"/>
                <w:sz w:val="32"/>
                <w:szCs w:val="32"/>
              </w:rPr>
            </w:pPr>
            <w:r>
              <w:rPr>
                <w:rFonts w:hint="eastAsia" w:ascii="仿宋" w:hAnsi="仿宋" w:eastAsia="仿宋" w:cs="仿宋_GB2312"/>
                <w:bCs/>
                <w:sz w:val="32"/>
                <w:szCs w:val="32"/>
                <w:lang w:val="en-US" w:eastAsia="zh-CN"/>
              </w:rPr>
              <w:t>美国白蛾</w:t>
            </w:r>
            <w:r>
              <w:rPr>
                <w:rFonts w:hint="eastAsia" w:ascii="仿宋" w:hAnsi="仿宋" w:eastAsia="仿宋" w:cs="仿宋_GB2312"/>
                <w:bCs/>
                <w:sz w:val="32"/>
                <w:szCs w:val="32"/>
              </w:rPr>
              <w:t>诱捕器</w:t>
            </w:r>
          </w:p>
          <w:p>
            <w:pPr>
              <w:ind w:left="320" w:hanging="320" w:hangingChars="100"/>
              <w:rPr>
                <w:rFonts w:hint="eastAsia" w:ascii="仿宋" w:hAnsi="仿宋" w:eastAsia="仿宋" w:cs="仿宋_GB2312"/>
                <w:bCs/>
                <w:sz w:val="32"/>
                <w:szCs w:val="32"/>
                <w:lang w:eastAsia="zh-CN"/>
              </w:rPr>
            </w:pPr>
          </w:p>
        </w:tc>
        <w:tc>
          <w:tcPr>
            <w:tcW w:w="5470" w:type="dxa"/>
          </w:tcPr>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1、具有省级以上检测机构出具的诱芯分析测试报告；</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2、缓释时间：90天；</w:t>
            </w:r>
          </w:p>
          <w:p>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3、诱捕器组成：上盖1个，漏斗1个、集虫桶1个，诱芯悬挂片1个。</w:t>
            </w:r>
          </w:p>
          <w:p>
            <w:pPr>
              <w:pStyle w:val="4"/>
              <w:numPr>
                <w:ilvl w:val="0"/>
                <w:numId w:val="0"/>
              </w:numPr>
              <w:ind w:firstLine="480" w:firstLineChars="200"/>
              <w:rPr>
                <w:rFonts w:hint="default" w:ascii="仿宋" w:hAnsi="仿宋" w:eastAsia="仿宋"/>
                <w:sz w:val="32"/>
                <w:szCs w:val="32"/>
                <w:lang w:val="en-US" w:eastAsia="zh-CN"/>
              </w:rPr>
            </w:pPr>
            <w:r>
              <w:rPr>
                <w:rFonts w:hint="eastAsia" w:ascii="仿宋" w:hAnsi="仿宋" w:eastAsia="仿宋" w:cs="仿宋_GB2312"/>
                <w:bCs/>
                <w:sz w:val="24"/>
                <w:szCs w:val="24"/>
                <w:lang w:val="en-US" w:eastAsia="zh-CN"/>
              </w:rPr>
              <w:t>4、一个诱捕器加四个诱芯为一套。</w:t>
            </w:r>
          </w:p>
        </w:tc>
        <w:tc>
          <w:tcPr>
            <w:tcW w:w="537"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eastAsia="zh-CN"/>
              </w:rPr>
            </w:pPr>
          </w:p>
        </w:tc>
        <w:tc>
          <w:tcPr>
            <w:tcW w:w="556" w:type="dxa"/>
          </w:tcPr>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套</w:t>
            </w:r>
          </w:p>
        </w:tc>
        <w:tc>
          <w:tcPr>
            <w:tcW w:w="826" w:type="dxa"/>
          </w:tcPr>
          <w:p>
            <w:pPr>
              <w:rPr>
                <w:rFonts w:hint="eastAsia" w:ascii="仿宋" w:hAnsi="仿宋" w:eastAsia="仿宋"/>
                <w:sz w:val="32"/>
                <w:szCs w:val="32"/>
              </w:rPr>
            </w:pPr>
          </w:p>
        </w:tc>
      </w:tr>
    </w:tbl>
    <w:p>
      <w:pPr>
        <w:ind w:left="2100" w:hanging="2100" w:hangingChars="1000"/>
      </w:pPr>
    </w:p>
    <w:p>
      <w:pPr>
        <w:ind w:left="2100" w:hanging="2100" w:hangingChars="1000"/>
      </w:pPr>
    </w:p>
    <w:p>
      <w:pPr>
        <w:ind w:left="2100" w:hanging="2100" w:hangingChars="1000"/>
      </w:pPr>
    </w:p>
    <w:p>
      <w:pPr>
        <w:ind w:left="2100" w:hanging="2100" w:hangingChars="1000"/>
      </w:pPr>
    </w:p>
    <w:p>
      <w:pPr>
        <w:ind w:left="2100" w:hanging="2100" w:hangingChars="1000"/>
      </w:pPr>
    </w:p>
    <w:p>
      <w:pPr>
        <w:ind w:left="2100" w:hanging="2100" w:hangingChars="1000"/>
      </w:pPr>
    </w:p>
    <w:tbl>
      <w:tblPr>
        <w:tblStyle w:val="2"/>
        <w:tblW w:w="937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985"/>
        <w:gridCol w:w="5470"/>
        <w:gridCol w:w="537"/>
        <w:gridCol w:w="55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04" w:type="dxa"/>
          </w:tcPr>
          <w:p/>
        </w:tc>
        <w:tc>
          <w:tcPr>
            <w:tcW w:w="985" w:type="dxa"/>
          </w:tcPr>
          <w:p>
            <w:r>
              <w:rPr>
                <w:rFonts w:hint="eastAsia" w:ascii="仿宋" w:hAnsi="仿宋" w:eastAsia="仿宋"/>
                <w:sz w:val="32"/>
                <w:szCs w:val="32"/>
              </w:rPr>
              <w:t>名称</w:t>
            </w:r>
          </w:p>
        </w:tc>
        <w:tc>
          <w:tcPr>
            <w:tcW w:w="5470" w:type="dxa"/>
          </w:tcPr>
          <w:p>
            <w:r>
              <w:rPr>
                <w:rFonts w:hint="eastAsia" w:ascii="仿宋" w:hAnsi="仿宋" w:eastAsia="仿宋"/>
                <w:sz w:val="32"/>
                <w:szCs w:val="32"/>
              </w:rPr>
              <w:t>产品参数</w:t>
            </w:r>
          </w:p>
        </w:tc>
        <w:tc>
          <w:tcPr>
            <w:tcW w:w="537" w:type="dxa"/>
          </w:tcPr>
          <w:p>
            <w:r>
              <w:rPr>
                <w:rFonts w:hint="eastAsia" w:ascii="仿宋" w:hAnsi="仿宋" w:eastAsia="仿宋"/>
                <w:sz w:val="32"/>
                <w:szCs w:val="32"/>
              </w:rPr>
              <w:t>数量</w:t>
            </w:r>
          </w:p>
        </w:tc>
        <w:tc>
          <w:tcPr>
            <w:tcW w:w="556" w:type="dxa"/>
          </w:tcPr>
          <w:p>
            <w:r>
              <w:rPr>
                <w:rFonts w:hint="eastAsia" w:ascii="仿宋" w:hAnsi="仿宋" w:eastAsia="仿宋"/>
                <w:sz w:val="32"/>
                <w:szCs w:val="32"/>
              </w:rPr>
              <w:t>单位</w:t>
            </w:r>
          </w:p>
        </w:tc>
        <w:tc>
          <w:tcPr>
            <w:tcW w:w="826" w:type="dxa"/>
          </w:tcPr>
          <w:p>
            <w:pPr>
              <w:rPr>
                <w:rFonts w:hint="eastAsia" w:eastAsiaTheme="minorEastAsia"/>
                <w:lang w:eastAsia="zh-CN"/>
              </w:rPr>
            </w:pPr>
            <w:r>
              <w:rPr>
                <w:rFonts w:hint="eastAsia" w:ascii="仿宋" w:hAnsi="仿宋" w:eastAsia="仿宋"/>
                <w:sz w:val="32"/>
                <w:szCs w:val="32"/>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1004" w:type="dxa"/>
          </w:tcPr>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24"/>
                <w:szCs w:val="24"/>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24"/>
                <w:szCs w:val="24"/>
                <w:lang w:val="en-US" w:eastAsia="zh-CN"/>
              </w:rPr>
            </w:pPr>
            <w:r>
              <w:rPr>
                <w:rFonts w:hint="eastAsia" w:ascii="仿宋" w:hAnsi="仿宋" w:eastAsia="仿宋"/>
                <w:sz w:val="32"/>
                <w:szCs w:val="32"/>
                <w:lang w:val="en-US" w:eastAsia="zh-CN"/>
              </w:rPr>
              <w:t>5</w:t>
            </w:r>
          </w:p>
        </w:tc>
        <w:tc>
          <w:tcPr>
            <w:tcW w:w="985" w:type="dxa"/>
          </w:tcPr>
          <w:p>
            <w:pPr>
              <w:jc w:val="center"/>
              <w:rPr>
                <w:rFonts w:hint="eastAsia" w:ascii="仿宋" w:hAnsi="仿宋" w:eastAsia="仿宋" w:cs="仿宋_GB2312"/>
                <w:bCs/>
                <w:sz w:val="24"/>
                <w:szCs w:val="24"/>
              </w:rPr>
            </w:pPr>
          </w:p>
          <w:p>
            <w:pPr>
              <w:jc w:val="center"/>
              <w:rPr>
                <w:rFonts w:hint="eastAsia" w:ascii="仿宋" w:hAnsi="仿宋" w:eastAsia="仿宋" w:cs="仿宋_GB2312"/>
                <w:bCs/>
                <w:sz w:val="24"/>
                <w:szCs w:val="24"/>
              </w:rPr>
            </w:pPr>
          </w:p>
          <w:p>
            <w:pPr>
              <w:jc w:val="center"/>
              <w:rPr>
                <w:rFonts w:hint="eastAsia" w:ascii="仿宋" w:hAnsi="仿宋" w:eastAsia="仿宋" w:cs="仿宋_GB2312"/>
                <w:bCs/>
                <w:sz w:val="24"/>
                <w:szCs w:val="24"/>
              </w:rPr>
            </w:pPr>
          </w:p>
          <w:p>
            <w:pPr>
              <w:jc w:val="center"/>
              <w:rPr>
                <w:rFonts w:hint="eastAsia" w:ascii="仿宋" w:hAnsi="仿宋" w:eastAsia="仿宋"/>
                <w:sz w:val="24"/>
                <w:szCs w:val="24"/>
                <w:lang w:eastAsia="zh-CN"/>
              </w:rPr>
            </w:pPr>
            <w:r>
              <w:rPr>
                <w:rFonts w:hint="eastAsia" w:ascii="仿宋" w:hAnsi="仿宋" w:eastAsia="仿宋" w:cs="仿宋_GB2312"/>
                <w:bCs/>
                <w:sz w:val="32"/>
                <w:szCs w:val="32"/>
                <w:lang w:eastAsia="zh-CN"/>
              </w:rPr>
              <w:t>脉冲直管式弥雾器</w:t>
            </w:r>
          </w:p>
        </w:tc>
        <w:tc>
          <w:tcPr>
            <w:tcW w:w="5470" w:type="dxa"/>
          </w:tcPr>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整机采用优质304不锈钢</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电压24V</w:t>
            </w:r>
            <w:r>
              <w:rPr>
                <w:rFonts w:hint="eastAsia" w:ascii="仿宋" w:hAnsi="仿宋" w:eastAsia="仿宋"/>
                <w:sz w:val="24"/>
                <w:szCs w:val="24"/>
                <w:lang w:eastAsia="zh-CN"/>
              </w:rPr>
              <w:t>便携</w:t>
            </w:r>
            <w:r>
              <w:rPr>
                <w:rFonts w:hint="eastAsia" w:ascii="仿宋" w:hAnsi="仿宋" w:eastAsia="仿宋"/>
                <w:sz w:val="24"/>
                <w:szCs w:val="24"/>
              </w:rPr>
              <w:t>式锂电池</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启动方式手动电动两用</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lang w:eastAsia="zh-CN"/>
              </w:rPr>
              <w:t>喷烟喷雾两用</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lang w:eastAsia="zh-CN"/>
              </w:rPr>
              <w:t>整机</w:t>
            </w:r>
            <w:r>
              <w:rPr>
                <w:rFonts w:hint="eastAsia" w:ascii="仿宋" w:hAnsi="仿宋" w:eastAsia="仿宋"/>
                <w:sz w:val="24"/>
                <w:szCs w:val="24"/>
              </w:rPr>
              <w:t>重量：≤1</w:t>
            </w:r>
            <w:r>
              <w:rPr>
                <w:rFonts w:hint="eastAsia" w:ascii="仿宋" w:hAnsi="仿宋" w:eastAsia="仿宋"/>
                <w:sz w:val="24"/>
                <w:szCs w:val="24"/>
                <w:lang w:val="en-US" w:eastAsia="zh-CN"/>
              </w:rPr>
              <w:t>2</w:t>
            </w:r>
            <w:r>
              <w:rPr>
                <w:rFonts w:hint="eastAsia" w:ascii="仿宋" w:hAnsi="仿宋" w:eastAsia="仿宋"/>
                <w:sz w:val="24"/>
                <w:szCs w:val="24"/>
              </w:rPr>
              <w:t>kg</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药箱容积：≥1</w:t>
            </w:r>
            <w:r>
              <w:rPr>
                <w:rFonts w:hint="eastAsia" w:ascii="仿宋" w:hAnsi="仿宋" w:eastAsia="仿宋"/>
                <w:sz w:val="24"/>
                <w:szCs w:val="24"/>
                <w:lang w:val="en-US" w:eastAsia="zh-CN"/>
              </w:rPr>
              <w:t>5</w:t>
            </w:r>
            <w:r>
              <w:rPr>
                <w:rFonts w:hint="eastAsia" w:ascii="仿宋" w:hAnsi="仿宋" w:eastAsia="仿宋"/>
                <w:sz w:val="24"/>
                <w:szCs w:val="24"/>
              </w:rPr>
              <w:t>L</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油箱容量：≥2L</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lang w:eastAsia="zh-CN"/>
              </w:rPr>
              <w:t>使用燃油</w:t>
            </w:r>
            <w:r>
              <w:rPr>
                <w:rFonts w:hint="eastAsia" w:ascii="仿宋" w:hAnsi="仿宋" w:eastAsia="仿宋"/>
                <w:sz w:val="24"/>
                <w:szCs w:val="24"/>
                <w:lang w:val="en-US" w:eastAsia="zh-CN"/>
              </w:rPr>
              <w:t>92号以上汽油</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配套动力：脉冲式发动机</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rPr>
              <w:t>喷雾量：≥120L/h</w:t>
            </w:r>
          </w:p>
          <w:p>
            <w:pPr>
              <w:pStyle w:val="4"/>
              <w:numPr>
                <w:ilvl w:val="0"/>
                <w:numId w:val="1"/>
              </w:numPr>
              <w:ind w:firstLineChars="0"/>
              <w:rPr>
                <w:rFonts w:hint="eastAsia" w:ascii="仿宋" w:hAnsi="仿宋" w:eastAsia="仿宋"/>
                <w:sz w:val="24"/>
                <w:szCs w:val="24"/>
              </w:rPr>
            </w:pPr>
            <w:r>
              <w:rPr>
                <w:rFonts w:hint="eastAsia" w:ascii="仿宋" w:hAnsi="仿宋" w:eastAsia="仿宋"/>
                <w:sz w:val="24"/>
                <w:szCs w:val="24"/>
                <w:lang w:eastAsia="zh-CN"/>
              </w:rPr>
              <w:t>整机保修一年</w:t>
            </w:r>
          </w:p>
        </w:tc>
        <w:tc>
          <w:tcPr>
            <w:tcW w:w="537" w:type="dxa"/>
          </w:tcPr>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10</w:t>
            </w:r>
          </w:p>
        </w:tc>
        <w:tc>
          <w:tcPr>
            <w:tcW w:w="556" w:type="dxa"/>
          </w:tcPr>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lang w:eastAsia="zh-CN"/>
              </w:rPr>
              <w:t>台</w:t>
            </w:r>
          </w:p>
        </w:tc>
        <w:tc>
          <w:tcPr>
            <w:tcW w:w="826" w:type="dxa"/>
          </w:tcPr>
          <w:p>
            <w:pPr>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trPr>
        <w:tc>
          <w:tcPr>
            <w:tcW w:w="1004" w:type="dxa"/>
          </w:tcPr>
          <w:p>
            <w:pPr>
              <w:jc w:val="center"/>
              <w:rPr>
                <w:rFonts w:hint="default" w:ascii="仿宋" w:hAnsi="仿宋" w:eastAsia="仿宋"/>
                <w:sz w:val="32"/>
                <w:szCs w:val="32"/>
                <w:lang w:val="en-US" w:eastAsia="zh-CN"/>
              </w:rPr>
            </w:pPr>
          </w:p>
          <w:p>
            <w:pPr>
              <w:jc w:val="center"/>
              <w:rPr>
                <w:rFonts w:hint="default" w:ascii="仿宋" w:hAnsi="仿宋" w:eastAsia="仿宋"/>
                <w:sz w:val="32"/>
                <w:szCs w:val="32"/>
                <w:lang w:val="en-US" w:eastAsia="zh-CN"/>
              </w:rPr>
            </w:pPr>
          </w:p>
          <w:p>
            <w:pPr>
              <w:jc w:val="center"/>
              <w:rPr>
                <w:rFonts w:hint="default"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w:t>
            </w:r>
          </w:p>
        </w:tc>
        <w:tc>
          <w:tcPr>
            <w:tcW w:w="985" w:type="dxa"/>
          </w:tcPr>
          <w:p>
            <w:pPr>
              <w:jc w:val="center"/>
              <w:rPr>
                <w:rFonts w:hint="eastAsia" w:ascii="仿宋" w:hAnsi="仿宋" w:eastAsia="仿宋" w:cs="仿宋_GB2312"/>
                <w:bCs/>
                <w:sz w:val="32"/>
                <w:szCs w:val="32"/>
                <w:lang w:eastAsia="zh-CN"/>
              </w:rPr>
            </w:pPr>
          </w:p>
          <w:p>
            <w:pPr>
              <w:jc w:val="center"/>
              <w:rPr>
                <w:rFonts w:hint="eastAsia" w:ascii="仿宋" w:hAnsi="仿宋" w:eastAsia="仿宋" w:cs="仿宋_GB2312"/>
                <w:bCs/>
                <w:sz w:val="32"/>
                <w:szCs w:val="32"/>
                <w:lang w:eastAsia="zh-CN"/>
              </w:rPr>
            </w:pPr>
          </w:p>
          <w:p>
            <w:pPr>
              <w:jc w:val="center"/>
              <w:rPr>
                <w:rFonts w:hint="eastAsia" w:ascii="仿宋" w:hAnsi="仿宋" w:eastAsia="仿宋" w:cs="仿宋_GB2312"/>
                <w:bCs/>
                <w:sz w:val="32"/>
                <w:szCs w:val="32"/>
                <w:lang w:eastAsia="zh-CN"/>
              </w:rPr>
            </w:pPr>
          </w:p>
          <w:p>
            <w:pPr>
              <w:jc w:val="center"/>
              <w:rPr>
                <w:rFonts w:hint="eastAsia" w:ascii="仿宋" w:hAnsi="仿宋" w:eastAsia="仿宋" w:cs="仿宋_GB2312"/>
                <w:bCs/>
                <w:sz w:val="32"/>
                <w:szCs w:val="32"/>
                <w:lang w:eastAsia="zh-CN"/>
              </w:rPr>
            </w:pPr>
          </w:p>
          <w:p>
            <w:pPr>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苦参碱</w:t>
            </w:r>
          </w:p>
        </w:tc>
        <w:tc>
          <w:tcPr>
            <w:tcW w:w="5470" w:type="dxa"/>
            <w:vAlign w:val="center"/>
          </w:tcPr>
          <w:p>
            <w:pPr>
              <w:pStyle w:val="4"/>
              <w:numPr>
                <w:ilvl w:val="0"/>
                <w:numId w:val="2"/>
              </w:numPr>
              <w:ind w:left="210" w:leftChars="0" w:firstLineChars="0"/>
              <w:jc w:val="both"/>
              <w:rPr>
                <w:rFonts w:hint="eastAsia" w:ascii="仿宋" w:hAnsi="仿宋" w:eastAsia="仿宋"/>
                <w:sz w:val="24"/>
                <w:szCs w:val="24"/>
                <w:lang w:val="en-US" w:eastAsia="zh-CN"/>
              </w:rPr>
            </w:pPr>
            <w:r>
              <w:rPr>
                <w:rFonts w:hint="eastAsia" w:ascii="仿宋" w:hAnsi="仿宋" w:eastAsia="仿宋"/>
                <w:sz w:val="24"/>
                <w:szCs w:val="24"/>
                <w:lang w:val="en-US" w:eastAsia="zh-CN"/>
              </w:rPr>
              <w:t>有效成分含量≥1%（可溶液剂）</w:t>
            </w:r>
          </w:p>
          <w:p>
            <w:pPr>
              <w:pStyle w:val="4"/>
              <w:numPr>
                <w:ilvl w:val="0"/>
                <w:numId w:val="2"/>
              </w:numPr>
              <w:ind w:left="210" w:leftChars="0" w:firstLineChars="0"/>
              <w:jc w:val="both"/>
              <w:rPr>
                <w:rFonts w:hint="default" w:ascii="仿宋" w:hAnsi="仿宋" w:eastAsia="仿宋"/>
                <w:sz w:val="24"/>
                <w:szCs w:val="24"/>
                <w:lang w:val="en-US" w:eastAsia="zh-CN"/>
              </w:rPr>
            </w:pPr>
            <w:r>
              <w:rPr>
                <w:rFonts w:hint="eastAsia" w:ascii="仿宋" w:hAnsi="仿宋" w:eastAsia="仿宋"/>
                <w:sz w:val="24"/>
                <w:szCs w:val="24"/>
                <w:lang w:val="en-US" w:eastAsia="zh-CN"/>
              </w:rPr>
              <w:t>包装500毫升/瓶</w:t>
            </w:r>
          </w:p>
          <w:p>
            <w:pPr>
              <w:pStyle w:val="4"/>
              <w:numPr>
                <w:ilvl w:val="0"/>
                <w:numId w:val="0"/>
              </w:numPr>
              <w:ind w:left="630" w:leftChars="0"/>
              <w:jc w:val="both"/>
              <w:rPr>
                <w:rFonts w:hint="default" w:ascii="仿宋" w:hAnsi="仿宋" w:eastAsia="仿宋"/>
                <w:sz w:val="32"/>
                <w:szCs w:val="32"/>
                <w:lang w:val="en-US" w:eastAsia="zh-CN"/>
              </w:rPr>
            </w:pPr>
            <w:r>
              <w:rPr>
                <w:rFonts w:hint="eastAsia" w:ascii="仿宋" w:hAnsi="仿宋" w:eastAsia="仿宋"/>
                <w:sz w:val="24"/>
                <w:szCs w:val="24"/>
                <w:lang w:val="en-US" w:eastAsia="zh-CN"/>
              </w:rPr>
              <w:t>3、产品是《国家林业和草原局生物灾害防控中心关于推荐林业用农药产品的通知》防控发[2021]14号林业用农药产品推荐名单的优先采购。</w:t>
            </w:r>
          </w:p>
        </w:tc>
        <w:tc>
          <w:tcPr>
            <w:tcW w:w="537" w:type="dxa"/>
          </w:tcPr>
          <w:p>
            <w:pPr>
              <w:rPr>
                <w:rFonts w:hint="eastAsia" w:ascii="仿宋" w:hAnsi="仿宋" w:eastAsia="仿宋"/>
                <w:sz w:val="32"/>
                <w:szCs w:val="32"/>
                <w:lang w:val="en-US" w:eastAsia="zh-CN"/>
              </w:rPr>
            </w:pPr>
          </w:p>
        </w:tc>
        <w:tc>
          <w:tcPr>
            <w:tcW w:w="556" w:type="dxa"/>
          </w:tcPr>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p>
          <w:p>
            <w:pPr>
              <w:rPr>
                <w:rFonts w:hint="eastAsia" w:ascii="仿宋" w:hAnsi="仿宋" w:eastAsia="仿宋"/>
                <w:sz w:val="32"/>
                <w:szCs w:val="32"/>
                <w:lang w:eastAsia="zh-CN"/>
              </w:rPr>
            </w:pPr>
            <w:r>
              <w:rPr>
                <w:rFonts w:hint="eastAsia" w:ascii="仿宋" w:hAnsi="仿宋" w:eastAsia="仿宋"/>
                <w:sz w:val="32"/>
                <w:szCs w:val="32"/>
                <w:lang w:eastAsia="zh-CN"/>
              </w:rPr>
              <w:t>吨</w:t>
            </w:r>
          </w:p>
        </w:tc>
        <w:tc>
          <w:tcPr>
            <w:tcW w:w="826" w:type="dxa"/>
          </w:tcPr>
          <w:p>
            <w:pPr>
              <w:rPr>
                <w:rFonts w:hint="eastAsia" w:ascii="仿宋" w:hAnsi="仿宋" w:eastAsia="仿宋"/>
                <w:sz w:val="32"/>
                <w:szCs w:val="32"/>
              </w:rPr>
            </w:pPr>
          </w:p>
        </w:tc>
      </w:tr>
    </w:tbl>
    <w:p>
      <w:pPr>
        <w:ind w:left="2100" w:hanging="2100" w:hangingChars="10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98573"/>
    <w:multiLevelType w:val="singleLevel"/>
    <w:tmpl w:val="1BC98573"/>
    <w:lvl w:ilvl="0" w:tentative="0">
      <w:start w:val="1"/>
      <w:numFmt w:val="decimal"/>
      <w:suff w:val="nothing"/>
      <w:lvlText w:val="%1、"/>
      <w:lvlJc w:val="left"/>
      <w:pPr>
        <w:ind w:left="210"/>
      </w:pPr>
    </w:lvl>
  </w:abstractNum>
  <w:abstractNum w:abstractNumId="1">
    <w:nsid w:val="76777E14"/>
    <w:multiLevelType w:val="multilevel"/>
    <w:tmpl w:val="76777E1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xMDZhYjRkZjk2ZmNiZmRmMzBmMDdjYzA3YjNjMTYifQ=="/>
  </w:docVars>
  <w:rsids>
    <w:rsidRoot w:val="00FA45DA"/>
    <w:rsid w:val="00024EB3"/>
    <w:rsid w:val="000A7743"/>
    <w:rsid w:val="000F7D5A"/>
    <w:rsid w:val="00123938"/>
    <w:rsid w:val="001C2DC4"/>
    <w:rsid w:val="00257B93"/>
    <w:rsid w:val="002877CA"/>
    <w:rsid w:val="002A4016"/>
    <w:rsid w:val="00310707"/>
    <w:rsid w:val="00314961"/>
    <w:rsid w:val="0036097F"/>
    <w:rsid w:val="004365C7"/>
    <w:rsid w:val="005F6ED8"/>
    <w:rsid w:val="00620394"/>
    <w:rsid w:val="006B50FE"/>
    <w:rsid w:val="00743AE9"/>
    <w:rsid w:val="007650F5"/>
    <w:rsid w:val="00770734"/>
    <w:rsid w:val="00865BBC"/>
    <w:rsid w:val="00941F00"/>
    <w:rsid w:val="00985CE4"/>
    <w:rsid w:val="00B177CD"/>
    <w:rsid w:val="00C36A69"/>
    <w:rsid w:val="00D62C9F"/>
    <w:rsid w:val="00DB46A8"/>
    <w:rsid w:val="00E17148"/>
    <w:rsid w:val="00E54F35"/>
    <w:rsid w:val="00EB55C5"/>
    <w:rsid w:val="00ED05F3"/>
    <w:rsid w:val="00EF6F4E"/>
    <w:rsid w:val="00F34FA1"/>
    <w:rsid w:val="00F978BE"/>
    <w:rsid w:val="00FA45DA"/>
    <w:rsid w:val="00FE4F73"/>
    <w:rsid w:val="06787A5B"/>
    <w:rsid w:val="0AB62AFD"/>
    <w:rsid w:val="101C488F"/>
    <w:rsid w:val="13F50D89"/>
    <w:rsid w:val="14FA6E96"/>
    <w:rsid w:val="19E779D5"/>
    <w:rsid w:val="19FE5434"/>
    <w:rsid w:val="1BB45D38"/>
    <w:rsid w:val="1E4852D2"/>
    <w:rsid w:val="21C56118"/>
    <w:rsid w:val="226D4ACD"/>
    <w:rsid w:val="2394351D"/>
    <w:rsid w:val="2D524076"/>
    <w:rsid w:val="2DF8435C"/>
    <w:rsid w:val="344F1ED9"/>
    <w:rsid w:val="359F1AE0"/>
    <w:rsid w:val="38220943"/>
    <w:rsid w:val="3C9E5229"/>
    <w:rsid w:val="454C7F35"/>
    <w:rsid w:val="46244412"/>
    <w:rsid w:val="4780496F"/>
    <w:rsid w:val="4AE86552"/>
    <w:rsid w:val="4B325465"/>
    <w:rsid w:val="55CA64F9"/>
    <w:rsid w:val="5A295A90"/>
    <w:rsid w:val="5C9E4E84"/>
    <w:rsid w:val="62F51B3F"/>
    <w:rsid w:val="636A7D55"/>
    <w:rsid w:val="645C3B22"/>
    <w:rsid w:val="698E1AF4"/>
    <w:rsid w:val="6A087574"/>
    <w:rsid w:val="6C6324D5"/>
    <w:rsid w:val="6C843819"/>
    <w:rsid w:val="796C199B"/>
    <w:rsid w:val="7C317AAE"/>
    <w:rsid w:val="7D8A1A5C"/>
    <w:rsid w:val="7D995755"/>
    <w:rsid w:val="7E756F69"/>
    <w:rsid w:val="7EA3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797721-A055-4018-9A4D-B685D3654E36}">
  <ds:schemaRefs/>
</ds:datastoreItem>
</file>

<file path=docProps/app.xml><?xml version="1.0" encoding="utf-8"?>
<Properties xmlns="http://schemas.openxmlformats.org/officeDocument/2006/extended-properties" xmlns:vt="http://schemas.openxmlformats.org/officeDocument/2006/docPropsVTypes">
  <Template>Normal</Template>
  <Pages>3</Pages>
  <Words>1218</Words>
  <Characters>1270</Characters>
  <Lines>5</Lines>
  <Paragraphs>1</Paragraphs>
  <TotalTime>1</TotalTime>
  <ScaleCrop>false</ScaleCrop>
  <LinksUpToDate>false</LinksUpToDate>
  <CharactersWithSpaces>1278</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2021-11-02T06:57:00Z</dcterms:created>
  <dc:creator>Administrator</dc:creator>
  <cp:lastModifiedBy>Administrator</cp:lastModifiedBy>
  <cp:lastPrinted>2022-05-31T01:58:00Z</cp:lastPrinted>
  <dcterms:modified xsi:type="dcterms:W3CDTF">2022-09-06T01:46:48Z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15E2006F56C94972AA601783EDFD7E1D</vt:lpwstr>
  </property>
</Properties>
</file>