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600" w:lineRule="exact"/>
        <w:outlineLvl w:val="0"/>
        <w:rPr>
          <w:rFonts w:ascii="仿宋" w:hAnsi="仿宋" w:eastAsia="仿宋"/>
          <w:b/>
          <w:color w:val="000000" w:themeColor="text1"/>
          <w:sz w:val="100"/>
        </w:rPr>
      </w:pPr>
    </w:p>
    <w:p>
      <w:pPr>
        <w:spacing w:line="1600" w:lineRule="exact"/>
        <w:jc w:val="center"/>
        <w:outlineLvl w:val="0"/>
        <w:rPr>
          <w:rFonts w:ascii="仿宋" w:hAnsi="仿宋" w:eastAsia="仿宋"/>
          <w:color w:val="000000" w:themeColor="text1"/>
          <w:sz w:val="120"/>
          <w:szCs w:val="120"/>
        </w:rPr>
      </w:pPr>
      <w:r>
        <w:rPr>
          <w:rFonts w:hint="eastAsia" w:ascii="仿宋" w:hAnsi="仿宋" w:eastAsia="仿宋"/>
          <w:b/>
          <w:color w:val="000000" w:themeColor="text1"/>
          <w:sz w:val="120"/>
          <w:szCs w:val="120"/>
        </w:rPr>
        <w:t>网上竞采文件</w:t>
      </w:r>
    </w:p>
    <w:p>
      <w:pPr>
        <w:pStyle w:val="23"/>
        <w:spacing w:line="500" w:lineRule="exact"/>
        <w:ind w:left="0"/>
        <w:jc w:val="center"/>
        <w:rPr>
          <w:rFonts w:ascii="仿宋" w:hAnsi="仿宋" w:eastAsia="仿宋"/>
          <w:color w:val="000000" w:themeColor="text1"/>
          <w:sz w:val="32"/>
        </w:rPr>
      </w:pPr>
    </w:p>
    <w:p>
      <w:pPr>
        <w:pStyle w:val="23"/>
        <w:spacing w:line="500" w:lineRule="exact"/>
        <w:ind w:left="0"/>
        <w:jc w:val="center"/>
        <w:rPr>
          <w:rFonts w:ascii="仿宋" w:hAnsi="仿宋" w:eastAsia="仿宋"/>
          <w:b/>
          <w:bCs/>
          <w:color w:val="000000" w:themeColor="text1"/>
          <w:sz w:val="32"/>
        </w:rPr>
      </w:pPr>
      <w:r>
        <w:rPr>
          <w:rFonts w:hint="eastAsia" w:ascii="仿宋" w:hAnsi="仿宋" w:eastAsia="仿宋"/>
          <w:b/>
          <w:bCs/>
          <w:color w:val="000000" w:themeColor="text1"/>
          <w:sz w:val="32"/>
        </w:rPr>
        <w:t>（综合评分）</w:t>
      </w:r>
    </w:p>
    <w:p>
      <w:pPr>
        <w:pStyle w:val="23"/>
        <w:spacing w:line="500" w:lineRule="exact"/>
        <w:ind w:left="0"/>
        <w:jc w:val="center"/>
        <w:rPr>
          <w:rFonts w:ascii="仿宋" w:hAnsi="仿宋" w:eastAsia="仿宋"/>
          <w:b/>
          <w:bCs/>
          <w:color w:val="000000" w:themeColor="text1"/>
          <w:sz w:val="32"/>
        </w:rPr>
      </w:pPr>
    </w:p>
    <w:p>
      <w:pPr>
        <w:pStyle w:val="23"/>
        <w:spacing w:line="500" w:lineRule="exact"/>
        <w:ind w:left="0"/>
        <w:rPr>
          <w:rFonts w:ascii="仿宋" w:hAnsi="仿宋" w:eastAsia="仿宋"/>
          <w:color w:val="000000" w:themeColor="text1"/>
          <w:sz w:val="32"/>
        </w:rPr>
      </w:pPr>
    </w:p>
    <w:p>
      <w:pPr>
        <w:pStyle w:val="23"/>
        <w:spacing w:line="500" w:lineRule="exact"/>
        <w:ind w:left="0"/>
        <w:rPr>
          <w:rFonts w:ascii="仿宋" w:hAnsi="仿宋" w:eastAsia="仿宋"/>
          <w:color w:val="000000" w:themeColor="text1"/>
          <w:sz w:val="32"/>
        </w:rPr>
      </w:pPr>
    </w:p>
    <w:p>
      <w:pPr>
        <w:pStyle w:val="23"/>
        <w:spacing w:line="500" w:lineRule="exact"/>
        <w:ind w:left="0"/>
        <w:rPr>
          <w:rFonts w:ascii="仿宋" w:hAnsi="仿宋" w:eastAsia="仿宋"/>
          <w:color w:val="000000" w:themeColor="text1"/>
          <w:sz w:val="32"/>
        </w:rPr>
      </w:pPr>
    </w:p>
    <w:p>
      <w:pPr>
        <w:pStyle w:val="23"/>
        <w:spacing w:line="500" w:lineRule="exact"/>
        <w:ind w:left="0"/>
        <w:rPr>
          <w:rFonts w:ascii="仿宋" w:hAnsi="仿宋" w:eastAsia="仿宋"/>
          <w:color w:val="000000" w:themeColor="text1"/>
          <w:sz w:val="32"/>
        </w:rPr>
      </w:pPr>
    </w:p>
    <w:p>
      <w:pPr>
        <w:pStyle w:val="23"/>
        <w:spacing w:line="500" w:lineRule="exact"/>
        <w:ind w:left="0"/>
        <w:jc w:val="center"/>
        <w:rPr>
          <w:rFonts w:ascii="仿宋" w:hAnsi="仿宋" w:eastAsia="仿宋"/>
          <w:color w:val="000000" w:themeColor="text1"/>
          <w:sz w:val="32"/>
        </w:rPr>
      </w:pPr>
    </w:p>
    <w:p>
      <w:pPr>
        <w:keepNext w:val="0"/>
        <w:keepLines w:val="0"/>
        <w:pageBreakBefore w:val="0"/>
        <w:widowControl w:val="0"/>
        <w:kinsoku/>
        <w:wordWrap/>
        <w:overflowPunct/>
        <w:topLinePunct w:val="0"/>
        <w:bidi w:val="0"/>
        <w:snapToGrid/>
        <w:spacing w:line="500" w:lineRule="exact"/>
        <w:ind w:firstLine="960" w:firstLineChars="300"/>
        <w:textAlignment w:val="auto"/>
        <w:outlineLvl w:val="0"/>
        <w:rPr>
          <w:rFonts w:hint="default" w:ascii="仿宋" w:hAnsi="仿宋" w:eastAsia="仿宋"/>
          <w:color w:val="000000" w:themeColor="text1"/>
          <w:sz w:val="32"/>
          <w:lang w:val="en-US" w:eastAsia="zh-CN"/>
        </w:rPr>
      </w:pPr>
      <w:r>
        <w:rPr>
          <w:rFonts w:hint="eastAsia" w:ascii="仿宋" w:hAnsi="仿宋" w:eastAsia="仿宋"/>
          <w:color w:val="000000" w:themeColor="text1"/>
          <w:sz w:val="32"/>
        </w:rPr>
        <w:t>采购项目编号：QC22C0110</w:t>
      </w:r>
    </w:p>
    <w:p>
      <w:pPr>
        <w:keepNext w:val="0"/>
        <w:keepLines w:val="0"/>
        <w:pageBreakBefore w:val="0"/>
        <w:widowControl w:val="0"/>
        <w:kinsoku/>
        <w:wordWrap/>
        <w:overflowPunct/>
        <w:topLinePunct w:val="0"/>
        <w:bidi w:val="0"/>
        <w:snapToGrid/>
        <w:spacing w:line="500" w:lineRule="exact"/>
        <w:ind w:firstLine="960" w:firstLineChars="300"/>
        <w:textAlignment w:val="auto"/>
        <w:outlineLvl w:val="0"/>
        <w:rPr>
          <w:rFonts w:hint="eastAsia" w:ascii="仿宋" w:hAnsi="仿宋" w:eastAsia="仿宋"/>
          <w:color w:val="auto"/>
          <w:sz w:val="32"/>
          <w:lang w:eastAsia="zh-CN"/>
        </w:rPr>
      </w:pPr>
      <w:r>
        <w:rPr>
          <w:rFonts w:hint="eastAsia" w:ascii="仿宋" w:hAnsi="仿宋" w:eastAsia="仿宋"/>
          <w:color w:val="auto"/>
          <w:sz w:val="32"/>
        </w:rPr>
        <w:t>采购项目名称：</w:t>
      </w:r>
      <w:r>
        <w:rPr>
          <w:rFonts w:hint="eastAsia" w:ascii="仿宋" w:hAnsi="仿宋" w:eastAsia="仿宋"/>
          <w:color w:val="auto"/>
          <w:sz w:val="32"/>
          <w:lang w:eastAsia="zh-CN"/>
        </w:rPr>
        <w:t>重庆市万盛经开区建成区公共外环境“四害”</w:t>
      </w:r>
    </w:p>
    <w:p>
      <w:pPr>
        <w:keepNext w:val="0"/>
        <w:keepLines w:val="0"/>
        <w:pageBreakBefore w:val="0"/>
        <w:widowControl w:val="0"/>
        <w:kinsoku/>
        <w:wordWrap/>
        <w:overflowPunct/>
        <w:topLinePunct w:val="0"/>
        <w:bidi w:val="0"/>
        <w:snapToGrid/>
        <w:spacing w:line="500" w:lineRule="exact"/>
        <w:ind w:firstLine="3200" w:firstLineChars="1000"/>
        <w:textAlignment w:val="auto"/>
        <w:outlineLvl w:val="0"/>
        <w:rPr>
          <w:rFonts w:hint="eastAsia" w:ascii="仿宋" w:hAnsi="仿宋" w:eastAsia="仿宋"/>
          <w:color w:val="auto"/>
          <w:sz w:val="32"/>
          <w:lang w:eastAsia="zh-CN"/>
        </w:rPr>
      </w:pPr>
      <w:r>
        <w:rPr>
          <w:rFonts w:hint="eastAsia" w:ascii="仿宋" w:hAnsi="仿宋" w:eastAsia="仿宋"/>
          <w:color w:val="auto"/>
          <w:sz w:val="32"/>
          <w:lang w:eastAsia="zh-CN"/>
        </w:rPr>
        <w:t>防制专业服务</w:t>
      </w:r>
    </w:p>
    <w:p>
      <w:pPr>
        <w:keepNext w:val="0"/>
        <w:keepLines w:val="0"/>
        <w:pageBreakBefore w:val="0"/>
        <w:widowControl w:val="0"/>
        <w:kinsoku/>
        <w:wordWrap/>
        <w:overflowPunct/>
        <w:topLinePunct w:val="0"/>
        <w:bidi w:val="0"/>
        <w:snapToGrid/>
        <w:spacing w:line="500" w:lineRule="exact"/>
        <w:ind w:firstLine="960" w:firstLineChars="300"/>
        <w:textAlignment w:val="auto"/>
        <w:outlineLvl w:val="0"/>
        <w:rPr>
          <w:rFonts w:ascii="仿宋" w:hAnsi="仿宋" w:eastAsia="仿宋"/>
          <w:color w:val="000000" w:themeColor="text1"/>
          <w:sz w:val="32"/>
        </w:rPr>
      </w:pPr>
    </w:p>
    <w:p>
      <w:pPr>
        <w:pStyle w:val="23"/>
        <w:keepNext w:val="0"/>
        <w:keepLines w:val="0"/>
        <w:pageBreakBefore w:val="0"/>
        <w:widowControl w:val="0"/>
        <w:kinsoku/>
        <w:wordWrap/>
        <w:overflowPunct/>
        <w:topLinePunct w:val="0"/>
        <w:bidi w:val="0"/>
        <w:snapToGrid/>
        <w:spacing w:line="500" w:lineRule="exact"/>
        <w:ind w:left="0" w:firstLine="960" w:firstLineChars="300"/>
        <w:jc w:val="center"/>
        <w:textAlignment w:val="auto"/>
        <w:rPr>
          <w:rFonts w:ascii="仿宋" w:hAnsi="仿宋" w:eastAsia="仿宋"/>
          <w:color w:val="000000" w:themeColor="text1"/>
          <w:sz w:val="32"/>
        </w:rPr>
      </w:pPr>
    </w:p>
    <w:p>
      <w:pPr>
        <w:pStyle w:val="23"/>
        <w:keepNext w:val="0"/>
        <w:keepLines w:val="0"/>
        <w:pageBreakBefore w:val="0"/>
        <w:widowControl w:val="0"/>
        <w:kinsoku/>
        <w:wordWrap/>
        <w:overflowPunct/>
        <w:topLinePunct w:val="0"/>
        <w:bidi w:val="0"/>
        <w:snapToGrid/>
        <w:spacing w:line="500" w:lineRule="exact"/>
        <w:ind w:left="0" w:firstLine="960" w:firstLineChars="300"/>
        <w:jc w:val="center"/>
        <w:textAlignment w:val="auto"/>
        <w:rPr>
          <w:rFonts w:ascii="仿宋" w:hAnsi="仿宋" w:eastAsia="仿宋"/>
          <w:color w:val="000000" w:themeColor="text1"/>
          <w:sz w:val="32"/>
        </w:rPr>
      </w:pPr>
    </w:p>
    <w:p>
      <w:pPr>
        <w:pStyle w:val="23"/>
        <w:keepNext w:val="0"/>
        <w:keepLines w:val="0"/>
        <w:pageBreakBefore w:val="0"/>
        <w:widowControl w:val="0"/>
        <w:kinsoku/>
        <w:wordWrap/>
        <w:overflowPunct/>
        <w:topLinePunct w:val="0"/>
        <w:bidi w:val="0"/>
        <w:snapToGrid/>
        <w:spacing w:line="500" w:lineRule="exact"/>
        <w:ind w:left="0" w:firstLine="960" w:firstLineChars="300"/>
        <w:jc w:val="center"/>
        <w:textAlignment w:val="auto"/>
        <w:rPr>
          <w:rFonts w:ascii="仿宋" w:hAnsi="仿宋" w:eastAsia="仿宋"/>
          <w:color w:val="000000" w:themeColor="text1"/>
          <w:sz w:val="32"/>
        </w:rPr>
      </w:pPr>
    </w:p>
    <w:p>
      <w:pPr>
        <w:pStyle w:val="15"/>
        <w:ind w:left="0" w:leftChars="0" w:firstLine="0" w:firstLineChars="0"/>
      </w:pPr>
    </w:p>
    <w:p>
      <w:pPr>
        <w:keepNext w:val="0"/>
        <w:keepLines w:val="0"/>
        <w:pageBreakBefore w:val="0"/>
        <w:widowControl w:val="0"/>
        <w:kinsoku/>
        <w:wordWrap/>
        <w:overflowPunct/>
        <w:topLinePunct w:val="0"/>
        <w:bidi w:val="0"/>
        <w:snapToGrid/>
        <w:ind w:firstLine="840" w:firstLineChars="300"/>
        <w:textAlignment w:val="auto"/>
        <w:rPr>
          <w:color w:val="000000" w:themeColor="text1"/>
        </w:rPr>
      </w:pPr>
    </w:p>
    <w:p>
      <w:pPr>
        <w:pStyle w:val="22"/>
        <w:keepNext w:val="0"/>
        <w:keepLines w:val="0"/>
        <w:pageBreakBefore w:val="0"/>
        <w:widowControl w:val="0"/>
        <w:kinsoku/>
        <w:wordWrap/>
        <w:overflowPunct/>
        <w:topLinePunct w:val="0"/>
        <w:bidi w:val="0"/>
        <w:snapToGrid/>
        <w:ind w:firstLine="960" w:firstLineChars="300"/>
        <w:textAlignment w:val="auto"/>
      </w:pPr>
    </w:p>
    <w:p>
      <w:pPr>
        <w:pStyle w:val="72"/>
        <w:keepNext w:val="0"/>
        <w:keepLines w:val="0"/>
        <w:pageBreakBefore w:val="0"/>
        <w:widowControl w:val="0"/>
        <w:kinsoku/>
        <w:wordWrap/>
        <w:overflowPunct/>
        <w:topLinePunct w:val="0"/>
        <w:bidi w:val="0"/>
        <w:snapToGrid/>
        <w:ind w:firstLine="720" w:firstLineChars="300"/>
        <w:textAlignment w:val="auto"/>
      </w:pPr>
    </w:p>
    <w:p>
      <w:pPr>
        <w:keepNext w:val="0"/>
        <w:keepLines w:val="0"/>
        <w:pageBreakBefore w:val="0"/>
        <w:widowControl w:val="0"/>
        <w:kinsoku/>
        <w:wordWrap/>
        <w:overflowPunct/>
        <w:topLinePunct w:val="0"/>
        <w:bidi w:val="0"/>
        <w:snapToGrid/>
        <w:spacing w:line="500" w:lineRule="exact"/>
        <w:ind w:firstLine="900" w:firstLineChars="300"/>
        <w:textAlignment w:val="auto"/>
        <w:outlineLvl w:val="0"/>
        <w:rPr>
          <w:rFonts w:hint="eastAsia" w:ascii="仿宋" w:hAnsi="仿宋" w:eastAsia="仿宋"/>
          <w:color w:val="000000" w:themeColor="text1"/>
          <w:sz w:val="30"/>
          <w:szCs w:val="30"/>
          <w:lang w:eastAsia="zh-CN"/>
        </w:rPr>
      </w:pPr>
      <w:r>
        <w:rPr>
          <w:rFonts w:hint="eastAsia" w:ascii="仿宋" w:hAnsi="仿宋" w:eastAsia="仿宋"/>
          <w:color w:val="000000" w:themeColor="text1"/>
          <w:sz w:val="30"/>
          <w:szCs w:val="30"/>
        </w:rPr>
        <w:t>采购人：</w:t>
      </w:r>
      <w:r>
        <w:rPr>
          <w:rFonts w:hint="eastAsia" w:ascii="仿宋" w:hAnsi="仿宋" w:eastAsia="仿宋"/>
          <w:color w:val="000000" w:themeColor="text1"/>
          <w:sz w:val="30"/>
          <w:szCs w:val="30"/>
          <w:lang w:eastAsia="zh-CN"/>
        </w:rPr>
        <w:t>重庆市万盛经济技术</w:t>
      </w:r>
      <w:bookmarkStart w:id="153" w:name="_GoBack"/>
      <w:bookmarkEnd w:id="153"/>
      <w:r>
        <w:rPr>
          <w:rFonts w:hint="eastAsia" w:ascii="仿宋" w:hAnsi="仿宋" w:eastAsia="仿宋"/>
          <w:color w:val="000000" w:themeColor="text1"/>
          <w:sz w:val="30"/>
          <w:szCs w:val="30"/>
          <w:lang w:eastAsia="zh-CN"/>
        </w:rPr>
        <w:t>开发区卫生健康局</w:t>
      </w:r>
    </w:p>
    <w:p>
      <w:pPr>
        <w:keepNext w:val="0"/>
        <w:keepLines w:val="0"/>
        <w:pageBreakBefore w:val="0"/>
        <w:widowControl w:val="0"/>
        <w:kinsoku/>
        <w:wordWrap/>
        <w:overflowPunct/>
        <w:topLinePunct w:val="0"/>
        <w:bidi w:val="0"/>
        <w:snapToGrid/>
        <w:spacing w:line="500" w:lineRule="exact"/>
        <w:ind w:firstLine="900" w:firstLineChars="300"/>
        <w:textAlignment w:val="auto"/>
        <w:outlineLvl w:val="0"/>
        <w:rPr>
          <w:color w:val="000000" w:themeColor="text1"/>
        </w:rPr>
      </w:pPr>
      <w:r>
        <w:rPr>
          <w:rFonts w:hint="eastAsia" w:ascii="仿宋" w:hAnsi="仿宋" w:eastAsia="仿宋"/>
          <w:color w:val="000000" w:themeColor="text1"/>
          <w:sz w:val="30"/>
          <w:szCs w:val="30"/>
        </w:rPr>
        <w:t>采购代理机构：重庆千策招标代理有限公司</w:t>
      </w:r>
    </w:p>
    <w:p>
      <w:pPr>
        <w:snapToGrid w:val="0"/>
        <w:spacing w:line="500" w:lineRule="exact"/>
        <w:jc w:val="center"/>
        <w:rPr>
          <w:rFonts w:hint="eastAsia" w:ascii="仿宋" w:hAnsi="仿宋" w:eastAsia="仿宋"/>
          <w:color w:val="000000" w:themeColor="text1"/>
          <w:sz w:val="32"/>
          <w:szCs w:val="32"/>
        </w:rPr>
      </w:pPr>
    </w:p>
    <w:p>
      <w:pPr>
        <w:snapToGrid w:val="0"/>
        <w:spacing w:line="500" w:lineRule="exact"/>
        <w:jc w:val="center"/>
        <w:rPr>
          <w:rFonts w:hint="eastAsia" w:ascii="仿宋" w:hAnsi="仿宋" w:eastAsia="仿宋"/>
          <w:color w:val="000000" w:themeColor="text1"/>
          <w:sz w:val="44"/>
          <w:szCs w:val="28"/>
          <w:lang w:eastAsia="zh-CN"/>
        </w:rPr>
      </w:pPr>
      <w:r>
        <w:rPr>
          <w:rFonts w:hint="eastAsia" w:ascii="仿宋" w:hAnsi="仿宋" w:eastAsia="仿宋"/>
          <w:color w:val="000000" w:themeColor="text1"/>
          <w:sz w:val="32"/>
          <w:szCs w:val="32"/>
        </w:rPr>
        <w:t>二○二二年</w:t>
      </w:r>
      <w:r>
        <w:rPr>
          <w:rFonts w:hint="eastAsia" w:ascii="仿宋" w:hAnsi="仿宋" w:eastAsia="仿宋"/>
          <w:color w:val="000000" w:themeColor="text1"/>
          <w:sz w:val="32"/>
          <w:szCs w:val="32"/>
          <w:lang w:eastAsia="zh-CN"/>
        </w:rPr>
        <w:t>九月</w:t>
      </w:r>
    </w:p>
    <w:p>
      <w:pPr>
        <w:spacing w:line="480" w:lineRule="exact"/>
        <w:jc w:val="center"/>
        <w:outlineLvl w:val="0"/>
        <w:rPr>
          <w:rFonts w:ascii="仿宋" w:hAnsi="仿宋" w:eastAsia="仿宋"/>
          <w:color w:val="000000" w:themeColor="text1"/>
          <w:sz w:val="44"/>
          <w:szCs w:val="28"/>
        </w:rPr>
      </w:pPr>
      <w:r>
        <w:rPr>
          <w:rFonts w:hint="eastAsia" w:ascii="仿宋" w:hAnsi="仿宋" w:eastAsia="仿宋"/>
          <w:color w:val="000000" w:themeColor="text1"/>
          <w:sz w:val="44"/>
          <w:szCs w:val="28"/>
        </w:rPr>
        <w:t>目</w:t>
      </w:r>
      <w:r>
        <w:rPr>
          <w:rFonts w:hint="eastAsia" w:ascii="仿宋" w:hAnsi="仿宋" w:eastAsia="仿宋"/>
          <w:color w:val="000000" w:themeColor="text1"/>
          <w:sz w:val="44"/>
          <w:szCs w:val="28"/>
          <w:lang w:val="en-US" w:eastAsia="zh-CN"/>
        </w:rPr>
        <w:t xml:space="preserve"> </w:t>
      </w:r>
      <w:r>
        <w:rPr>
          <w:rFonts w:hint="eastAsia" w:ascii="仿宋" w:hAnsi="仿宋" w:eastAsia="仿宋"/>
          <w:color w:val="000000" w:themeColor="text1"/>
          <w:sz w:val="44"/>
          <w:szCs w:val="28"/>
        </w:rPr>
        <w:t>录</w:t>
      </w:r>
    </w:p>
    <w:p>
      <w:pPr>
        <w:pStyle w:val="46"/>
        <w:tabs>
          <w:tab w:val="right" w:leader="dot" w:pos="9412"/>
        </w:tabs>
      </w:pPr>
      <w:r>
        <w:rPr>
          <w:rFonts w:hint="eastAsia" w:ascii="仿宋" w:hAnsi="仿宋" w:eastAsia="仿宋"/>
          <w:color w:val="000000" w:themeColor="text1"/>
          <w:sz w:val="24"/>
          <w:szCs w:val="24"/>
        </w:rPr>
        <w:fldChar w:fldCharType="begin"/>
      </w:r>
      <w:r>
        <w:rPr>
          <w:rFonts w:hint="eastAsia" w:ascii="仿宋" w:hAnsi="仿宋" w:eastAsia="仿宋"/>
          <w:color w:val="000000" w:themeColor="text1"/>
          <w:sz w:val="24"/>
          <w:szCs w:val="24"/>
        </w:rPr>
        <w:instrText xml:space="preserve"> TOC \o "1-3" \h \z </w:instrText>
      </w:r>
      <w:r>
        <w:rPr>
          <w:rFonts w:hint="eastAsia" w:ascii="仿宋" w:hAnsi="仿宋" w:eastAsia="仿宋"/>
          <w:color w:val="000000" w:themeColor="text1"/>
          <w:sz w:val="24"/>
          <w:szCs w:val="24"/>
        </w:rPr>
        <w:fldChar w:fldCharType="separate"/>
      </w: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_Toc32476 </w:instrText>
      </w:r>
      <w:r>
        <w:rPr>
          <w:rFonts w:hint="eastAsia" w:ascii="仿宋" w:hAnsi="仿宋" w:eastAsia="仿宋"/>
          <w:szCs w:val="24"/>
        </w:rPr>
        <w:fldChar w:fldCharType="separate"/>
      </w:r>
      <w:r>
        <w:rPr>
          <w:rFonts w:hint="eastAsia" w:ascii="仿宋" w:hAnsi="仿宋" w:eastAsia="仿宋"/>
          <w:szCs w:val="30"/>
        </w:rPr>
        <w:t>第一篇采购邀请书</w:t>
      </w:r>
      <w:r>
        <w:tab/>
      </w:r>
      <w:r>
        <w:fldChar w:fldCharType="begin"/>
      </w:r>
      <w:r>
        <w:instrText xml:space="preserve"> PAGEREF _Toc32476 \h </w:instrText>
      </w:r>
      <w:r>
        <w:fldChar w:fldCharType="separate"/>
      </w:r>
      <w:r>
        <w:t>- 3 -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_Toc29919 </w:instrText>
      </w:r>
      <w:r>
        <w:rPr>
          <w:rFonts w:hint="eastAsia" w:ascii="仿宋" w:hAnsi="仿宋" w:eastAsia="仿宋"/>
          <w:szCs w:val="24"/>
        </w:rPr>
        <w:fldChar w:fldCharType="separate"/>
      </w:r>
      <w:r>
        <w:rPr>
          <w:rFonts w:hint="eastAsia" w:ascii="仿宋" w:hAnsi="仿宋" w:eastAsia="仿宋"/>
          <w:szCs w:val="24"/>
        </w:rPr>
        <w:t>一、网上竞采内容</w:t>
      </w:r>
      <w:r>
        <w:tab/>
      </w:r>
      <w:r>
        <w:fldChar w:fldCharType="begin"/>
      </w:r>
      <w:r>
        <w:instrText xml:space="preserve"> PAGEREF _Toc29919 \h </w:instrText>
      </w:r>
      <w:r>
        <w:fldChar w:fldCharType="separate"/>
      </w:r>
      <w:r>
        <w:t>- 3 -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_Toc27983 </w:instrText>
      </w:r>
      <w:r>
        <w:rPr>
          <w:rFonts w:hint="eastAsia" w:ascii="仿宋" w:hAnsi="仿宋" w:eastAsia="仿宋"/>
          <w:szCs w:val="24"/>
        </w:rPr>
        <w:fldChar w:fldCharType="separate"/>
      </w:r>
      <w:r>
        <w:rPr>
          <w:rFonts w:hint="eastAsia" w:ascii="仿宋" w:hAnsi="仿宋" w:eastAsia="仿宋"/>
          <w:szCs w:val="24"/>
        </w:rPr>
        <w:t>二、资金来源</w:t>
      </w:r>
      <w:r>
        <w:tab/>
      </w:r>
      <w:r>
        <w:fldChar w:fldCharType="begin"/>
      </w:r>
      <w:r>
        <w:instrText xml:space="preserve"> PAGEREF _Toc27983 \h </w:instrText>
      </w:r>
      <w:r>
        <w:fldChar w:fldCharType="separate"/>
      </w:r>
      <w:r>
        <w:t>- 3 -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_Toc22982 </w:instrText>
      </w:r>
      <w:r>
        <w:rPr>
          <w:rFonts w:hint="eastAsia" w:ascii="仿宋" w:hAnsi="仿宋" w:eastAsia="仿宋"/>
          <w:szCs w:val="24"/>
        </w:rPr>
        <w:fldChar w:fldCharType="separate"/>
      </w:r>
      <w:r>
        <w:rPr>
          <w:rFonts w:hint="eastAsia" w:ascii="仿宋" w:hAnsi="仿宋" w:eastAsia="仿宋"/>
          <w:szCs w:val="24"/>
        </w:rPr>
        <w:t>三、供应商资格条件</w:t>
      </w:r>
      <w:r>
        <w:tab/>
      </w:r>
      <w:r>
        <w:fldChar w:fldCharType="begin"/>
      </w:r>
      <w:r>
        <w:instrText xml:space="preserve"> PAGEREF _Toc22982 \h </w:instrText>
      </w:r>
      <w:r>
        <w:fldChar w:fldCharType="separate"/>
      </w:r>
      <w:r>
        <w:t>- 3 -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_Toc9077 </w:instrText>
      </w:r>
      <w:r>
        <w:rPr>
          <w:rFonts w:hint="eastAsia" w:ascii="仿宋" w:hAnsi="仿宋" w:eastAsia="仿宋"/>
          <w:szCs w:val="24"/>
        </w:rPr>
        <w:fldChar w:fldCharType="separate"/>
      </w:r>
      <w:r>
        <w:rPr>
          <w:rFonts w:hint="eastAsia" w:ascii="仿宋" w:hAnsi="仿宋" w:eastAsia="仿宋"/>
          <w:szCs w:val="24"/>
        </w:rPr>
        <w:t>四、采购有关说明</w:t>
      </w:r>
      <w:r>
        <w:tab/>
      </w:r>
      <w:r>
        <w:fldChar w:fldCharType="begin"/>
      </w:r>
      <w:r>
        <w:instrText xml:space="preserve"> PAGEREF _Toc9077 \h </w:instrText>
      </w:r>
      <w:r>
        <w:fldChar w:fldCharType="separate"/>
      </w:r>
      <w:r>
        <w:t>- 3 -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_Toc10205 </w:instrText>
      </w:r>
      <w:r>
        <w:rPr>
          <w:rFonts w:hint="eastAsia" w:ascii="仿宋" w:hAnsi="仿宋" w:eastAsia="仿宋"/>
          <w:szCs w:val="24"/>
        </w:rPr>
        <w:fldChar w:fldCharType="separate"/>
      </w:r>
      <w:r>
        <w:rPr>
          <w:rFonts w:hint="eastAsia" w:ascii="仿宋" w:hAnsi="仿宋" w:eastAsia="仿宋"/>
          <w:szCs w:val="24"/>
        </w:rPr>
        <w:t>五、保证金</w:t>
      </w:r>
      <w:r>
        <w:tab/>
      </w:r>
      <w:r>
        <w:fldChar w:fldCharType="begin"/>
      </w:r>
      <w:r>
        <w:instrText xml:space="preserve"> PAGEREF _Toc10205 \h </w:instrText>
      </w:r>
      <w:r>
        <w:fldChar w:fldCharType="separate"/>
      </w:r>
      <w:r>
        <w:t>- 4 -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_Toc2618 </w:instrText>
      </w:r>
      <w:r>
        <w:rPr>
          <w:rFonts w:hint="eastAsia" w:ascii="仿宋" w:hAnsi="仿宋" w:eastAsia="仿宋"/>
          <w:szCs w:val="24"/>
        </w:rPr>
        <w:fldChar w:fldCharType="separate"/>
      </w:r>
      <w:r>
        <w:rPr>
          <w:rFonts w:hint="eastAsia" w:ascii="仿宋" w:hAnsi="仿宋" w:eastAsia="仿宋"/>
          <w:szCs w:val="24"/>
        </w:rPr>
        <w:t>六、其它有关规定</w:t>
      </w:r>
      <w:r>
        <w:tab/>
      </w:r>
      <w:r>
        <w:fldChar w:fldCharType="begin"/>
      </w:r>
      <w:r>
        <w:instrText xml:space="preserve"> PAGEREF _Toc2618 \h </w:instrText>
      </w:r>
      <w:r>
        <w:fldChar w:fldCharType="separate"/>
      </w:r>
      <w:r>
        <w:t>- 4 -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_Toc6296 </w:instrText>
      </w:r>
      <w:r>
        <w:rPr>
          <w:rFonts w:hint="eastAsia" w:ascii="仿宋" w:hAnsi="仿宋" w:eastAsia="仿宋"/>
          <w:szCs w:val="24"/>
        </w:rPr>
        <w:fldChar w:fldCharType="separate"/>
      </w:r>
      <w:r>
        <w:rPr>
          <w:rFonts w:hint="eastAsia" w:ascii="仿宋" w:hAnsi="仿宋" w:eastAsia="仿宋"/>
          <w:szCs w:val="24"/>
        </w:rPr>
        <w:t>七、联系方式</w:t>
      </w:r>
      <w:r>
        <w:tab/>
      </w:r>
      <w:r>
        <w:fldChar w:fldCharType="begin"/>
      </w:r>
      <w:r>
        <w:instrText xml:space="preserve"> PAGEREF _Toc6296 \h </w:instrText>
      </w:r>
      <w:r>
        <w:fldChar w:fldCharType="separate"/>
      </w:r>
      <w:r>
        <w:t>- 5 -</w:t>
      </w:r>
      <w:r>
        <w:fldChar w:fldCharType="end"/>
      </w:r>
      <w:r>
        <w:rPr>
          <w:rFonts w:hint="eastAsia" w:ascii="仿宋" w:hAnsi="仿宋" w:eastAsia="仿宋"/>
          <w:color w:val="000000" w:themeColor="text1"/>
          <w:szCs w:val="24"/>
        </w:rPr>
        <w:fldChar w:fldCharType="end"/>
      </w:r>
    </w:p>
    <w:p>
      <w:pPr>
        <w:pStyle w:val="46"/>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_Toc139 </w:instrText>
      </w:r>
      <w:r>
        <w:rPr>
          <w:rFonts w:hint="eastAsia" w:ascii="仿宋" w:hAnsi="仿宋" w:eastAsia="仿宋"/>
          <w:szCs w:val="24"/>
        </w:rPr>
        <w:fldChar w:fldCharType="separate"/>
      </w:r>
      <w:r>
        <w:rPr>
          <w:rFonts w:hint="eastAsia" w:ascii="仿宋" w:hAnsi="仿宋" w:eastAsia="仿宋"/>
          <w:szCs w:val="30"/>
        </w:rPr>
        <w:t>第二篇</w:t>
      </w:r>
      <w:r>
        <w:rPr>
          <w:rFonts w:hint="eastAsia" w:ascii="仿宋" w:hAnsi="仿宋" w:eastAsia="仿宋"/>
          <w:szCs w:val="30"/>
          <w:lang w:val="en-US" w:eastAsia="zh-CN"/>
        </w:rPr>
        <w:t xml:space="preserve"> </w:t>
      </w:r>
      <w:r>
        <w:rPr>
          <w:rFonts w:hint="eastAsia" w:ascii="仿宋" w:hAnsi="仿宋" w:eastAsia="仿宋"/>
          <w:szCs w:val="30"/>
        </w:rPr>
        <w:t>采购项目技术需求</w:t>
      </w:r>
      <w:r>
        <w:tab/>
      </w:r>
      <w:r>
        <w:fldChar w:fldCharType="begin"/>
      </w:r>
      <w:r>
        <w:instrText xml:space="preserve"> PAGEREF _Toc139 \h </w:instrText>
      </w:r>
      <w:r>
        <w:fldChar w:fldCharType="separate"/>
      </w:r>
      <w:r>
        <w:t>- 6 -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_Toc13625 </w:instrText>
      </w:r>
      <w:r>
        <w:rPr>
          <w:rFonts w:hint="eastAsia" w:ascii="仿宋" w:hAnsi="仿宋" w:eastAsia="仿宋"/>
          <w:szCs w:val="24"/>
        </w:rPr>
        <w:fldChar w:fldCharType="separate"/>
      </w:r>
      <w:r>
        <w:rPr>
          <w:rFonts w:hint="eastAsia" w:ascii="仿宋" w:hAnsi="仿宋" w:eastAsia="仿宋"/>
          <w:szCs w:val="24"/>
        </w:rPr>
        <w:t>一、项目</w:t>
      </w:r>
      <w:r>
        <w:rPr>
          <w:rFonts w:hint="eastAsia" w:ascii="仿宋" w:hAnsi="仿宋" w:eastAsia="仿宋"/>
          <w:szCs w:val="24"/>
          <w:lang w:eastAsia="zh-CN"/>
        </w:rPr>
        <w:t>情况一览表</w:t>
      </w:r>
      <w:r>
        <w:tab/>
      </w:r>
      <w:r>
        <w:fldChar w:fldCharType="begin"/>
      </w:r>
      <w:r>
        <w:instrText xml:space="preserve"> PAGEREF _Toc13625 \h </w:instrText>
      </w:r>
      <w:r>
        <w:fldChar w:fldCharType="separate"/>
      </w:r>
      <w:r>
        <w:t>- 6 -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_Toc8331 </w:instrText>
      </w:r>
      <w:r>
        <w:rPr>
          <w:rFonts w:hint="eastAsia" w:ascii="仿宋" w:hAnsi="仿宋" w:eastAsia="仿宋"/>
          <w:szCs w:val="24"/>
        </w:rPr>
        <w:fldChar w:fldCharType="separate"/>
      </w:r>
      <w:r>
        <w:rPr>
          <w:rFonts w:hint="eastAsia" w:ascii="仿宋" w:hAnsi="仿宋" w:eastAsia="仿宋"/>
          <w:szCs w:val="24"/>
          <w:highlight w:val="none"/>
          <w:lang w:eastAsia="zh-CN"/>
        </w:rPr>
        <w:t>二</w:t>
      </w:r>
      <w:r>
        <w:rPr>
          <w:rFonts w:hint="eastAsia" w:ascii="仿宋" w:hAnsi="仿宋" w:eastAsia="仿宋"/>
          <w:szCs w:val="24"/>
          <w:highlight w:val="none"/>
        </w:rPr>
        <w:t>、</w:t>
      </w:r>
      <w:r>
        <w:rPr>
          <w:rFonts w:hint="eastAsia" w:ascii="仿宋" w:hAnsi="仿宋" w:eastAsia="仿宋"/>
          <w:szCs w:val="24"/>
          <w:highlight w:val="none"/>
          <w:lang w:eastAsia="zh-CN"/>
        </w:rPr>
        <w:t>采购项目服务</w:t>
      </w:r>
      <w:r>
        <w:rPr>
          <w:rFonts w:hint="eastAsia" w:ascii="仿宋" w:hAnsi="仿宋" w:eastAsia="仿宋"/>
          <w:szCs w:val="24"/>
          <w:highlight w:val="none"/>
        </w:rPr>
        <w:t>内容及要求</w:t>
      </w:r>
      <w:r>
        <w:tab/>
      </w:r>
      <w:r>
        <w:fldChar w:fldCharType="begin"/>
      </w:r>
      <w:r>
        <w:instrText xml:space="preserve"> PAGEREF _Toc8331 \h </w:instrText>
      </w:r>
      <w:r>
        <w:fldChar w:fldCharType="separate"/>
      </w:r>
      <w:r>
        <w:t>- 6 -</w:t>
      </w:r>
      <w:r>
        <w:fldChar w:fldCharType="end"/>
      </w:r>
      <w:r>
        <w:rPr>
          <w:rFonts w:hint="eastAsia" w:ascii="仿宋" w:hAnsi="仿宋" w:eastAsia="仿宋"/>
          <w:color w:val="000000" w:themeColor="text1"/>
          <w:szCs w:val="24"/>
        </w:rPr>
        <w:fldChar w:fldCharType="end"/>
      </w:r>
    </w:p>
    <w:p>
      <w:pPr>
        <w:pStyle w:val="46"/>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_Toc5556 </w:instrText>
      </w:r>
      <w:r>
        <w:rPr>
          <w:rFonts w:hint="eastAsia" w:ascii="仿宋" w:hAnsi="仿宋" w:eastAsia="仿宋"/>
          <w:szCs w:val="24"/>
        </w:rPr>
        <w:fldChar w:fldCharType="separate"/>
      </w:r>
      <w:r>
        <w:rPr>
          <w:rFonts w:hint="eastAsia" w:ascii="仿宋" w:hAnsi="仿宋" w:eastAsia="仿宋"/>
          <w:bCs w:val="0"/>
          <w:szCs w:val="30"/>
        </w:rPr>
        <w:t>第三篇</w:t>
      </w:r>
      <w:r>
        <w:rPr>
          <w:rFonts w:hint="eastAsia" w:ascii="仿宋" w:hAnsi="仿宋" w:eastAsia="仿宋"/>
          <w:bCs w:val="0"/>
          <w:szCs w:val="30"/>
          <w:lang w:val="en-US" w:eastAsia="zh-CN"/>
        </w:rPr>
        <w:t xml:space="preserve"> </w:t>
      </w:r>
      <w:r>
        <w:rPr>
          <w:rFonts w:hint="eastAsia" w:ascii="仿宋" w:hAnsi="仿宋" w:eastAsia="仿宋"/>
          <w:bCs w:val="0"/>
          <w:szCs w:val="30"/>
        </w:rPr>
        <w:t>采购项目商务需求</w:t>
      </w:r>
      <w:r>
        <w:tab/>
      </w:r>
      <w:r>
        <w:fldChar w:fldCharType="begin"/>
      </w:r>
      <w:r>
        <w:instrText xml:space="preserve"> PAGEREF _Toc5556 \h </w:instrText>
      </w:r>
      <w:r>
        <w:fldChar w:fldCharType="separate"/>
      </w:r>
      <w:r>
        <w:t>- 8 -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_Toc22350 </w:instrText>
      </w:r>
      <w:r>
        <w:rPr>
          <w:rFonts w:hint="eastAsia" w:ascii="仿宋" w:hAnsi="仿宋" w:eastAsia="仿宋"/>
          <w:szCs w:val="24"/>
        </w:rPr>
        <w:fldChar w:fldCharType="separate"/>
      </w:r>
      <w:r>
        <w:rPr>
          <w:rFonts w:hint="eastAsia" w:ascii="仿宋" w:hAnsi="仿宋" w:eastAsia="仿宋"/>
          <w:szCs w:val="24"/>
          <w:highlight w:val="none"/>
        </w:rPr>
        <w:t>一、服务时间、地点、验收方式及报价方式</w:t>
      </w:r>
      <w:r>
        <w:tab/>
      </w:r>
      <w:r>
        <w:fldChar w:fldCharType="begin"/>
      </w:r>
      <w:r>
        <w:instrText xml:space="preserve"> PAGEREF _Toc22350 \h </w:instrText>
      </w:r>
      <w:r>
        <w:fldChar w:fldCharType="separate"/>
      </w:r>
      <w:r>
        <w:t>- 8 -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_Toc7157 </w:instrText>
      </w:r>
      <w:r>
        <w:rPr>
          <w:rFonts w:hint="eastAsia" w:ascii="仿宋" w:hAnsi="仿宋" w:eastAsia="仿宋"/>
          <w:szCs w:val="24"/>
        </w:rPr>
        <w:fldChar w:fldCharType="separate"/>
      </w:r>
      <w:r>
        <w:rPr>
          <w:rFonts w:hint="eastAsia" w:ascii="仿宋" w:hAnsi="仿宋" w:eastAsia="仿宋"/>
          <w:szCs w:val="24"/>
          <w:highlight w:val="none"/>
          <w:lang w:val="en-US" w:eastAsia="zh-CN"/>
        </w:rPr>
        <w:t>二</w:t>
      </w:r>
      <w:r>
        <w:rPr>
          <w:rFonts w:hint="eastAsia" w:ascii="仿宋" w:hAnsi="仿宋" w:eastAsia="仿宋"/>
          <w:szCs w:val="24"/>
          <w:highlight w:val="none"/>
        </w:rPr>
        <w:t>、付款方式</w:t>
      </w:r>
      <w:r>
        <w:tab/>
      </w:r>
      <w:r>
        <w:fldChar w:fldCharType="begin"/>
      </w:r>
      <w:r>
        <w:instrText xml:space="preserve"> PAGEREF _Toc7157 \h </w:instrText>
      </w:r>
      <w:r>
        <w:fldChar w:fldCharType="separate"/>
      </w:r>
      <w:r>
        <w:t>- 8 -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_Toc11149 </w:instrText>
      </w:r>
      <w:r>
        <w:rPr>
          <w:rFonts w:hint="eastAsia" w:ascii="仿宋" w:hAnsi="仿宋" w:eastAsia="仿宋"/>
          <w:szCs w:val="24"/>
        </w:rPr>
        <w:fldChar w:fldCharType="separate"/>
      </w:r>
      <w:r>
        <w:rPr>
          <w:rFonts w:hint="eastAsia" w:ascii="仿宋" w:hAnsi="仿宋" w:eastAsia="仿宋"/>
          <w:szCs w:val="24"/>
          <w:lang w:val="en-US" w:eastAsia="zh-CN"/>
        </w:rPr>
        <w:t>三</w:t>
      </w:r>
      <w:r>
        <w:rPr>
          <w:rFonts w:hint="eastAsia" w:ascii="仿宋" w:hAnsi="仿宋" w:eastAsia="仿宋"/>
          <w:szCs w:val="24"/>
        </w:rPr>
        <w:t>、知识产权</w:t>
      </w:r>
      <w:r>
        <w:tab/>
      </w:r>
      <w:r>
        <w:fldChar w:fldCharType="begin"/>
      </w:r>
      <w:r>
        <w:instrText xml:space="preserve"> PAGEREF _Toc11149 \h </w:instrText>
      </w:r>
      <w:r>
        <w:fldChar w:fldCharType="separate"/>
      </w:r>
      <w:r>
        <w:t>- 9 -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_Toc13897 </w:instrText>
      </w:r>
      <w:r>
        <w:rPr>
          <w:rFonts w:hint="eastAsia" w:ascii="仿宋" w:hAnsi="仿宋" w:eastAsia="仿宋"/>
          <w:szCs w:val="24"/>
        </w:rPr>
        <w:fldChar w:fldCharType="separate"/>
      </w:r>
      <w:r>
        <w:rPr>
          <w:rFonts w:hint="eastAsia" w:ascii="仿宋" w:hAnsi="仿宋" w:eastAsia="仿宋"/>
          <w:szCs w:val="24"/>
          <w:lang w:val="en-US" w:eastAsia="zh-CN"/>
        </w:rPr>
        <w:t>四</w:t>
      </w:r>
      <w:r>
        <w:rPr>
          <w:rFonts w:hint="eastAsia" w:ascii="仿宋" w:hAnsi="仿宋" w:eastAsia="仿宋"/>
          <w:szCs w:val="24"/>
        </w:rPr>
        <w:t>、其他</w:t>
      </w:r>
      <w:r>
        <w:tab/>
      </w:r>
      <w:r>
        <w:fldChar w:fldCharType="begin"/>
      </w:r>
      <w:r>
        <w:instrText xml:space="preserve"> PAGEREF _Toc13897 \h </w:instrText>
      </w:r>
      <w:r>
        <w:fldChar w:fldCharType="separate"/>
      </w:r>
      <w:r>
        <w:t>- 9 -</w:t>
      </w:r>
      <w:r>
        <w:fldChar w:fldCharType="end"/>
      </w:r>
      <w:r>
        <w:rPr>
          <w:rFonts w:hint="eastAsia" w:ascii="仿宋" w:hAnsi="仿宋" w:eastAsia="仿宋"/>
          <w:color w:val="000000" w:themeColor="text1"/>
          <w:szCs w:val="24"/>
        </w:rPr>
        <w:fldChar w:fldCharType="end"/>
      </w:r>
    </w:p>
    <w:p>
      <w:pPr>
        <w:pStyle w:val="46"/>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_Toc13051 </w:instrText>
      </w:r>
      <w:r>
        <w:rPr>
          <w:rFonts w:hint="eastAsia" w:ascii="仿宋" w:hAnsi="仿宋" w:eastAsia="仿宋"/>
          <w:szCs w:val="24"/>
        </w:rPr>
        <w:fldChar w:fldCharType="separate"/>
      </w:r>
      <w:r>
        <w:rPr>
          <w:rFonts w:hint="eastAsia" w:ascii="仿宋" w:hAnsi="仿宋" w:eastAsia="仿宋"/>
          <w:spacing w:val="-11"/>
          <w:szCs w:val="30"/>
        </w:rPr>
        <w:t>第四篇网上竞采程序及方法、评审标准、响应无效和</w:t>
      </w:r>
      <w:r>
        <w:rPr>
          <w:rFonts w:hint="eastAsia" w:ascii="仿宋" w:hAnsi="仿宋" w:eastAsia="仿宋"/>
          <w:spacing w:val="-11"/>
          <w:szCs w:val="36"/>
        </w:rPr>
        <w:t>采购终止</w:t>
      </w:r>
      <w:r>
        <w:tab/>
      </w:r>
      <w:r>
        <w:fldChar w:fldCharType="begin"/>
      </w:r>
      <w:r>
        <w:instrText xml:space="preserve"> PAGEREF _Toc13051 \h </w:instrText>
      </w:r>
      <w:r>
        <w:fldChar w:fldCharType="separate"/>
      </w:r>
      <w:r>
        <w:t>- 10 -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_Toc18918 </w:instrText>
      </w:r>
      <w:r>
        <w:rPr>
          <w:rFonts w:hint="eastAsia" w:ascii="仿宋" w:hAnsi="仿宋" w:eastAsia="仿宋"/>
          <w:szCs w:val="24"/>
        </w:rPr>
        <w:fldChar w:fldCharType="separate"/>
      </w:r>
      <w:r>
        <w:rPr>
          <w:rFonts w:hint="eastAsia" w:ascii="仿宋" w:hAnsi="仿宋" w:eastAsia="仿宋"/>
          <w:szCs w:val="24"/>
        </w:rPr>
        <w:t>一、网上竞采程序及方法</w:t>
      </w:r>
      <w:r>
        <w:tab/>
      </w:r>
      <w:r>
        <w:fldChar w:fldCharType="begin"/>
      </w:r>
      <w:r>
        <w:instrText xml:space="preserve"> PAGEREF _Toc18918 \h </w:instrText>
      </w:r>
      <w:r>
        <w:fldChar w:fldCharType="separate"/>
      </w:r>
      <w:r>
        <w:t>- 10 -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_Toc29460 </w:instrText>
      </w:r>
      <w:r>
        <w:rPr>
          <w:rFonts w:hint="eastAsia" w:ascii="仿宋" w:hAnsi="仿宋" w:eastAsia="仿宋"/>
          <w:szCs w:val="24"/>
        </w:rPr>
        <w:fldChar w:fldCharType="separate"/>
      </w:r>
      <w:r>
        <w:rPr>
          <w:rFonts w:hint="eastAsia" w:ascii="仿宋" w:hAnsi="仿宋" w:eastAsia="仿宋"/>
          <w:szCs w:val="24"/>
        </w:rPr>
        <w:t>二、评审标准</w:t>
      </w:r>
      <w:r>
        <w:tab/>
      </w:r>
      <w:r>
        <w:fldChar w:fldCharType="begin"/>
      </w:r>
      <w:r>
        <w:instrText xml:space="preserve"> PAGEREF _Toc29460 \h </w:instrText>
      </w:r>
      <w:r>
        <w:fldChar w:fldCharType="separate"/>
      </w:r>
      <w:r>
        <w:t>- 12 -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_Toc12013 </w:instrText>
      </w:r>
      <w:r>
        <w:rPr>
          <w:rFonts w:hint="eastAsia" w:ascii="仿宋" w:hAnsi="仿宋" w:eastAsia="仿宋"/>
          <w:szCs w:val="24"/>
        </w:rPr>
        <w:fldChar w:fldCharType="separate"/>
      </w:r>
      <w:r>
        <w:rPr>
          <w:rFonts w:hint="eastAsia" w:ascii="仿宋" w:hAnsi="仿宋" w:eastAsia="仿宋"/>
          <w:szCs w:val="24"/>
        </w:rPr>
        <w:t>三、响应无效</w:t>
      </w:r>
      <w:r>
        <w:tab/>
      </w:r>
      <w:r>
        <w:fldChar w:fldCharType="begin"/>
      </w:r>
      <w:r>
        <w:instrText xml:space="preserve"> PAGEREF _Toc12013 \h </w:instrText>
      </w:r>
      <w:r>
        <w:fldChar w:fldCharType="separate"/>
      </w:r>
      <w:r>
        <w:t>- 14 -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_Toc4517 </w:instrText>
      </w:r>
      <w:r>
        <w:rPr>
          <w:rFonts w:hint="eastAsia" w:ascii="仿宋" w:hAnsi="仿宋" w:eastAsia="仿宋"/>
          <w:szCs w:val="24"/>
        </w:rPr>
        <w:fldChar w:fldCharType="separate"/>
      </w:r>
      <w:r>
        <w:rPr>
          <w:rFonts w:hint="eastAsia" w:ascii="仿宋" w:hAnsi="仿宋" w:eastAsia="仿宋"/>
          <w:szCs w:val="24"/>
        </w:rPr>
        <w:t>四、采购终止</w:t>
      </w:r>
      <w:r>
        <w:tab/>
      </w:r>
      <w:r>
        <w:fldChar w:fldCharType="begin"/>
      </w:r>
      <w:r>
        <w:instrText xml:space="preserve"> PAGEREF _Toc4517 \h </w:instrText>
      </w:r>
      <w:r>
        <w:fldChar w:fldCharType="separate"/>
      </w:r>
      <w:r>
        <w:t>- 14 -</w:t>
      </w:r>
      <w:r>
        <w:fldChar w:fldCharType="end"/>
      </w:r>
      <w:r>
        <w:rPr>
          <w:rFonts w:hint="eastAsia" w:ascii="仿宋" w:hAnsi="仿宋" w:eastAsia="仿宋"/>
          <w:color w:val="000000" w:themeColor="text1"/>
          <w:szCs w:val="24"/>
        </w:rPr>
        <w:fldChar w:fldCharType="end"/>
      </w:r>
    </w:p>
    <w:p>
      <w:pPr>
        <w:pStyle w:val="46"/>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_Toc12644 </w:instrText>
      </w:r>
      <w:r>
        <w:rPr>
          <w:rFonts w:hint="eastAsia" w:ascii="仿宋" w:hAnsi="仿宋" w:eastAsia="仿宋"/>
          <w:szCs w:val="24"/>
        </w:rPr>
        <w:fldChar w:fldCharType="separate"/>
      </w:r>
      <w:r>
        <w:rPr>
          <w:rFonts w:hint="eastAsia" w:ascii="仿宋" w:hAnsi="仿宋" w:eastAsia="仿宋"/>
          <w:szCs w:val="30"/>
        </w:rPr>
        <w:t>第五篇供应商须知</w:t>
      </w:r>
      <w:r>
        <w:tab/>
      </w:r>
      <w:r>
        <w:fldChar w:fldCharType="begin"/>
      </w:r>
      <w:r>
        <w:instrText xml:space="preserve"> PAGEREF _Toc12644 \h </w:instrText>
      </w:r>
      <w:r>
        <w:fldChar w:fldCharType="separate"/>
      </w:r>
      <w:r>
        <w:t>- 16 -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_Toc6753 </w:instrText>
      </w:r>
      <w:r>
        <w:rPr>
          <w:rFonts w:hint="eastAsia" w:ascii="仿宋" w:hAnsi="仿宋" w:eastAsia="仿宋"/>
          <w:szCs w:val="24"/>
        </w:rPr>
        <w:fldChar w:fldCharType="separate"/>
      </w:r>
      <w:r>
        <w:rPr>
          <w:rFonts w:hint="eastAsia" w:ascii="仿宋" w:hAnsi="仿宋" w:eastAsia="仿宋"/>
          <w:szCs w:val="24"/>
        </w:rPr>
        <w:t>一、网上竞采费用</w:t>
      </w:r>
      <w:r>
        <w:tab/>
      </w:r>
      <w:r>
        <w:fldChar w:fldCharType="begin"/>
      </w:r>
      <w:r>
        <w:instrText xml:space="preserve"> PAGEREF _Toc6753 \h </w:instrText>
      </w:r>
      <w:r>
        <w:fldChar w:fldCharType="separate"/>
      </w:r>
      <w:r>
        <w:t>- 16 -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_Toc26349 </w:instrText>
      </w:r>
      <w:r>
        <w:rPr>
          <w:rFonts w:hint="eastAsia" w:ascii="仿宋" w:hAnsi="仿宋" w:eastAsia="仿宋"/>
          <w:szCs w:val="24"/>
        </w:rPr>
        <w:fldChar w:fldCharType="separate"/>
      </w:r>
      <w:r>
        <w:rPr>
          <w:rFonts w:hint="eastAsia" w:ascii="仿宋" w:hAnsi="仿宋" w:eastAsia="仿宋"/>
          <w:szCs w:val="24"/>
        </w:rPr>
        <w:t>二、网上竞采文件</w:t>
      </w:r>
      <w:r>
        <w:tab/>
      </w:r>
      <w:r>
        <w:fldChar w:fldCharType="begin"/>
      </w:r>
      <w:r>
        <w:instrText xml:space="preserve"> PAGEREF _Toc26349 \h </w:instrText>
      </w:r>
      <w:r>
        <w:fldChar w:fldCharType="separate"/>
      </w:r>
      <w:r>
        <w:t>- 16 -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_Toc2613 </w:instrText>
      </w:r>
      <w:r>
        <w:rPr>
          <w:rFonts w:hint="eastAsia" w:ascii="仿宋" w:hAnsi="仿宋" w:eastAsia="仿宋"/>
          <w:szCs w:val="24"/>
        </w:rPr>
        <w:fldChar w:fldCharType="separate"/>
      </w:r>
      <w:r>
        <w:rPr>
          <w:rFonts w:hint="eastAsia" w:ascii="仿宋" w:hAnsi="仿宋" w:eastAsia="仿宋"/>
          <w:szCs w:val="24"/>
        </w:rPr>
        <w:t>三、网上竞采要求</w:t>
      </w:r>
      <w:r>
        <w:tab/>
      </w:r>
      <w:r>
        <w:fldChar w:fldCharType="begin"/>
      </w:r>
      <w:r>
        <w:instrText xml:space="preserve"> PAGEREF _Toc2613 \h </w:instrText>
      </w:r>
      <w:r>
        <w:fldChar w:fldCharType="separate"/>
      </w:r>
      <w:r>
        <w:t>- 16 -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_Toc26438 </w:instrText>
      </w:r>
      <w:r>
        <w:rPr>
          <w:rFonts w:hint="eastAsia" w:ascii="仿宋" w:hAnsi="仿宋" w:eastAsia="仿宋"/>
          <w:szCs w:val="24"/>
        </w:rPr>
        <w:fldChar w:fldCharType="separate"/>
      </w:r>
      <w:r>
        <w:rPr>
          <w:rFonts w:hint="eastAsia" w:ascii="仿宋" w:hAnsi="仿宋" w:eastAsia="仿宋"/>
          <w:szCs w:val="24"/>
        </w:rPr>
        <w:t>四、成交供应商的确认和变更</w:t>
      </w:r>
      <w:r>
        <w:tab/>
      </w:r>
      <w:r>
        <w:fldChar w:fldCharType="begin"/>
      </w:r>
      <w:r>
        <w:instrText xml:space="preserve"> PAGEREF _Toc26438 \h </w:instrText>
      </w:r>
      <w:r>
        <w:fldChar w:fldCharType="separate"/>
      </w:r>
      <w:r>
        <w:t>- 18 -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_Toc5701 </w:instrText>
      </w:r>
      <w:r>
        <w:rPr>
          <w:rFonts w:hint="eastAsia" w:ascii="仿宋" w:hAnsi="仿宋" w:eastAsia="仿宋"/>
          <w:szCs w:val="24"/>
        </w:rPr>
        <w:fldChar w:fldCharType="separate"/>
      </w:r>
      <w:r>
        <w:rPr>
          <w:rFonts w:hint="eastAsia" w:ascii="仿宋" w:hAnsi="仿宋" w:eastAsia="仿宋"/>
          <w:szCs w:val="24"/>
        </w:rPr>
        <w:t>五、成交通知</w:t>
      </w:r>
      <w:r>
        <w:tab/>
      </w:r>
      <w:r>
        <w:fldChar w:fldCharType="begin"/>
      </w:r>
      <w:r>
        <w:instrText xml:space="preserve"> PAGEREF _Toc5701 \h </w:instrText>
      </w:r>
      <w:r>
        <w:fldChar w:fldCharType="separate"/>
      </w:r>
      <w:r>
        <w:t>- 18 -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_Toc9697 </w:instrText>
      </w:r>
      <w:r>
        <w:rPr>
          <w:rFonts w:hint="eastAsia" w:ascii="仿宋" w:hAnsi="仿宋" w:eastAsia="仿宋"/>
          <w:szCs w:val="24"/>
        </w:rPr>
        <w:fldChar w:fldCharType="separate"/>
      </w:r>
      <w:r>
        <w:rPr>
          <w:rFonts w:hint="eastAsia" w:ascii="仿宋" w:hAnsi="仿宋" w:eastAsia="仿宋"/>
          <w:szCs w:val="24"/>
        </w:rPr>
        <w:t>六、采购代理服务费</w:t>
      </w:r>
      <w:r>
        <w:tab/>
      </w:r>
      <w:r>
        <w:fldChar w:fldCharType="begin"/>
      </w:r>
      <w:r>
        <w:instrText xml:space="preserve"> PAGEREF _Toc9697 \h </w:instrText>
      </w:r>
      <w:r>
        <w:fldChar w:fldCharType="separate"/>
      </w:r>
      <w:r>
        <w:t>- 18 -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_Toc5040 </w:instrText>
      </w:r>
      <w:r>
        <w:rPr>
          <w:rFonts w:hint="eastAsia" w:ascii="仿宋" w:hAnsi="仿宋" w:eastAsia="仿宋"/>
          <w:szCs w:val="24"/>
        </w:rPr>
        <w:fldChar w:fldCharType="separate"/>
      </w:r>
      <w:r>
        <w:rPr>
          <w:rFonts w:hint="eastAsia" w:ascii="仿宋" w:hAnsi="仿宋" w:eastAsia="仿宋"/>
          <w:szCs w:val="24"/>
        </w:rPr>
        <w:t>七、关于质疑和投诉</w:t>
      </w:r>
      <w:r>
        <w:tab/>
      </w:r>
      <w:r>
        <w:fldChar w:fldCharType="begin"/>
      </w:r>
      <w:r>
        <w:instrText xml:space="preserve"> PAGEREF _Toc5040 \h </w:instrText>
      </w:r>
      <w:r>
        <w:fldChar w:fldCharType="separate"/>
      </w:r>
      <w:r>
        <w:t>- 18 -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_Toc23822 </w:instrText>
      </w:r>
      <w:r>
        <w:rPr>
          <w:rFonts w:hint="eastAsia" w:ascii="仿宋" w:hAnsi="仿宋" w:eastAsia="仿宋"/>
          <w:szCs w:val="24"/>
        </w:rPr>
        <w:fldChar w:fldCharType="separate"/>
      </w:r>
      <w:r>
        <w:rPr>
          <w:rFonts w:hint="eastAsia" w:ascii="仿宋" w:hAnsi="仿宋" w:eastAsia="仿宋"/>
          <w:szCs w:val="24"/>
        </w:rPr>
        <w:t>八、签订合同</w:t>
      </w:r>
      <w:r>
        <w:tab/>
      </w:r>
      <w:r>
        <w:fldChar w:fldCharType="begin"/>
      </w:r>
      <w:r>
        <w:instrText xml:space="preserve"> PAGEREF _Toc23822 \h </w:instrText>
      </w:r>
      <w:r>
        <w:fldChar w:fldCharType="separate"/>
      </w:r>
      <w:r>
        <w:t>- 20 -</w:t>
      </w:r>
      <w:r>
        <w:fldChar w:fldCharType="end"/>
      </w:r>
      <w:r>
        <w:rPr>
          <w:rFonts w:hint="eastAsia" w:ascii="仿宋" w:hAnsi="仿宋" w:eastAsia="仿宋"/>
          <w:color w:val="000000" w:themeColor="text1"/>
          <w:szCs w:val="24"/>
        </w:rPr>
        <w:fldChar w:fldCharType="end"/>
      </w:r>
    </w:p>
    <w:p>
      <w:pPr>
        <w:pStyle w:val="46"/>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_Toc20106 </w:instrText>
      </w:r>
      <w:r>
        <w:rPr>
          <w:rFonts w:hint="eastAsia" w:ascii="仿宋" w:hAnsi="仿宋" w:eastAsia="仿宋"/>
          <w:szCs w:val="24"/>
        </w:rPr>
        <w:fldChar w:fldCharType="separate"/>
      </w:r>
      <w:r>
        <w:rPr>
          <w:rFonts w:hint="eastAsia" w:ascii="仿宋" w:hAnsi="仿宋" w:eastAsia="仿宋"/>
          <w:szCs w:val="30"/>
        </w:rPr>
        <w:t>第六篇合同草案条款和格式合同</w:t>
      </w:r>
      <w:r>
        <w:tab/>
      </w:r>
      <w:r>
        <w:fldChar w:fldCharType="begin"/>
      </w:r>
      <w:r>
        <w:instrText xml:space="preserve"> PAGEREF _Toc20106 \h </w:instrText>
      </w:r>
      <w:r>
        <w:fldChar w:fldCharType="separate"/>
      </w:r>
      <w:r>
        <w:t>- 21 -</w:t>
      </w:r>
      <w:r>
        <w:fldChar w:fldCharType="end"/>
      </w:r>
      <w:r>
        <w:rPr>
          <w:rFonts w:hint="eastAsia" w:ascii="仿宋" w:hAnsi="仿宋" w:eastAsia="仿宋"/>
          <w:color w:val="000000" w:themeColor="text1"/>
          <w:szCs w:val="24"/>
        </w:rPr>
        <w:fldChar w:fldCharType="end"/>
      </w:r>
    </w:p>
    <w:p>
      <w:pPr>
        <w:pStyle w:val="46"/>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_Toc16260 </w:instrText>
      </w:r>
      <w:r>
        <w:rPr>
          <w:rFonts w:hint="eastAsia" w:ascii="仿宋" w:hAnsi="仿宋" w:eastAsia="仿宋"/>
          <w:szCs w:val="24"/>
        </w:rPr>
        <w:fldChar w:fldCharType="separate"/>
      </w:r>
      <w:r>
        <w:rPr>
          <w:rFonts w:hint="eastAsia" w:ascii="仿宋" w:hAnsi="仿宋" w:eastAsia="仿宋"/>
          <w:bCs/>
          <w:szCs w:val="30"/>
        </w:rPr>
        <w:t>第七篇</w:t>
      </w:r>
      <w:r>
        <w:rPr>
          <w:rFonts w:hint="eastAsia" w:ascii="仿宋" w:hAnsi="仿宋" w:eastAsia="仿宋"/>
          <w:bCs/>
          <w:szCs w:val="30"/>
          <w:lang w:val="en-US" w:eastAsia="zh-CN"/>
        </w:rPr>
        <w:t xml:space="preserve">  </w:t>
      </w:r>
      <w:r>
        <w:rPr>
          <w:rFonts w:hint="eastAsia" w:ascii="仿宋" w:hAnsi="仿宋" w:eastAsia="仿宋"/>
          <w:bCs/>
          <w:szCs w:val="30"/>
        </w:rPr>
        <w:t>响应文件编制要求</w:t>
      </w:r>
      <w:r>
        <w:tab/>
      </w:r>
      <w:r>
        <w:fldChar w:fldCharType="begin"/>
      </w:r>
      <w:r>
        <w:instrText xml:space="preserve"> PAGEREF _Toc16260 \h </w:instrText>
      </w:r>
      <w:r>
        <w:fldChar w:fldCharType="separate"/>
      </w:r>
      <w:r>
        <w:t>- 31 -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_Toc20920 </w:instrText>
      </w:r>
      <w:r>
        <w:rPr>
          <w:rFonts w:hint="eastAsia" w:ascii="仿宋" w:hAnsi="仿宋" w:eastAsia="仿宋"/>
          <w:szCs w:val="24"/>
        </w:rPr>
        <w:fldChar w:fldCharType="separate"/>
      </w:r>
      <w:r>
        <w:rPr>
          <w:rFonts w:hint="eastAsia" w:ascii="仿宋" w:hAnsi="仿宋" w:eastAsia="仿宋"/>
          <w:szCs w:val="24"/>
        </w:rPr>
        <w:t>一、经济部分</w:t>
      </w:r>
      <w:r>
        <w:tab/>
      </w:r>
      <w:r>
        <w:fldChar w:fldCharType="begin"/>
      </w:r>
      <w:r>
        <w:instrText xml:space="preserve"> PAGEREF _Toc20920 \h </w:instrText>
      </w:r>
      <w:r>
        <w:fldChar w:fldCharType="separate"/>
      </w:r>
      <w:r>
        <w:t>- 32 -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_Toc2912 </w:instrText>
      </w:r>
      <w:r>
        <w:rPr>
          <w:rFonts w:hint="eastAsia" w:ascii="仿宋" w:hAnsi="仿宋" w:eastAsia="仿宋"/>
          <w:szCs w:val="24"/>
        </w:rPr>
        <w:fldChar w:fldCharType="separate"/>
      </w:r>
      <w:r>
        <w:rPr>
          <w:rFonts w:hint="eastAsia" w:ascii="仿宋" w:hAnsi="仿宋" w:eastAsia="仿宋"/>
          <w:szCs w:val="24"/>
        </w:rPr>
        <w:t>二、技术部分</w:t>
      </w:r>
      <w:r>
        <w:tab/>
      </w:r>
      <w:r>
        <w:fldChar w:fldCharType="begin"/>
      </w:r>
      <w:r>
        <w:instrText xml:space="preserve"> PAGEREF _Toc2912 \h </w:instrText>
      </w:r>
      <w:r>
        <w:fldChar w:fldCharType="separate"/>
      </w:r>
      <w:r>
        <w:t>- 34 -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_Toc28302 </w:instrText>
      </w:r>
      <w:r>
        <w:rPr>
          <w:rFonts w:hint="eastAsia" w:ascii="仿宋" w:hAnsi="仿宋" w:eastAsia="仿宋"/>
          <w:szCs w:val="24"/>
        </w:rPr>
        <w:fldChar w:fldCharType="separate"/>
      </w:r>
      <w:r>
        <w:rPr>
          <w:rFonts w:hint="eastAsia" w:ascii="仿宋" w:hAnsi="仿宋" w:eastAsia="仿宋" w:cs="仿宋"/>
          <w:szCs w:val="24"/>
        </w:rPr>
        <w:t>三、商务部分</w:t>
      </w:r>
      <w:r>
        <w:tab/>
      </w:r>
      <w:r>
        <w:fldChar w:fldCharType="begin"/>
      </w:r>
      <w:r>
        <w:instrText xml:space="preserve"> PAGEREF _Toc28302 \h </w:instrText>
      </w:r>
      <w:r>
        <w:fldChar w:fldCharType="separate"/>
      </w:r>
      <w:r>
        <w:t>- 36 -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_Toc12739 </w:instrText>
      </w:r>
      <w:r>
        <w:rPr>
          <w:rFonts w:hint="eastAsia" w:ascii="仿宋" w:hAnsi="仿宋" w:eastAsia="仿宋"/>
          <w:szCs w:val="24"/>
        </w:rPr>
        <w:fldChar w:fldCharType="separate"/>
      </w:r>
      <w:r>
        <w:rPr>
          <w:rFonts w:hint="eastAsia" w:ascii="仿宋" w:hAnsi="仿宋" w:eastAsia="仿宋"/>
          <w:szCs w:val="24"/>
        </w:rPr>
        <w:t>四、资格条件及其他</w:t>
      </w:r>
      <w:r>
        <w:tab/>
      </w:r>
      <w:r>
        <w:fldChar w:fldCharType="begin"/>
      </w:r>
      <w:r>
        <w:instrText xml:space="preserve"> PAGEREF _Toc12739 \h </w:instrText>
      </w:r>
      <w:r>
        <w:fldChar w:fldCharType="separate"/>
      </w:r>
      <w:r>
        <w:t>- 38 -</w:t>
      </w:r>
      <w:r>
        <w:fldChar w:fldCharType="end"/>
      </w:r>
      <w:r>
        <w:rPr>
          <w:rFonts w:hint="eastAsia" w:ascii="仿宋" w:hAnsi="仿宋" w:eastAsia="仿宋"/>
          <w:color w:val="000000" w:themeColor="text1"/>
          <w:szCs w:val="24"/>
        </w:rPr>
        <w:fldChar w:fldCharType="end"/>
      </w:r>
    </w:p>
    <w:p>
      <w:pPr>
        <w:pStyle w:val="30"/>
        <w:tabs>
          <w:tab w:val="right" w:leader="dot" w:pos="9412"/>
        </w:tabs>
      </w:pPr>
      <w:r>
        <w:rPr>
          <w:rFonts w:hint="eastAsia" w:ascii="仿宋" w:hAnsi="仿宋" w:eastAsia="仿宋"/>
          <w:color w:val="000000" w:themeColor="text1"/>
          <w:szCs w:val="24"/>
        </w:rPr>
        <w:fldChar w:fldCharType="begin"/>
      </w:r>
      <w:r>
        <w:rPr>
          <w:rFonts w:hint="eastAsia" w:ascii="仿宋" w:hAnsi="仿宋" w:eastAsia="仿宋"/>
          <w:szCs w:val="24"/>
        </w:rPr>
        <w:instrText xml:space="preserve"> HYPERLINK \l _Toc2646 </w:instrText>
      </w:r>
      <w:r>
        <w:rPr>
          <w:rFonts w:hint="eastAsia" w:ascii="仿宋" w:hAnsi="仿宋" w:eastAsia="仿宋"/>
          <w:szCs w:val="24"/>
        </w:rPr>
        <w:fldChar w:fldCharType="separate"/>
      </w:r>
      <w:r>
        <w:rPr>
          <w:rFonts w:hint="eastAsia" w:ascii="仿宋" w:hAnsi="仿宋" w:eastAsia="仿宋"/>
          <w:szCs w:val="24"/>
        </w:rPr>
        <w:t>五、其他应提供的资料</w:t>
      </w:r>
      <w:r>
        <w:tab/>
      </w:r>
      <w:r>
        <w:fldChar w:fldCharType="begin"/>
      </w:r>
      <w:r>
        <w:instrText xml:space="preserve"> PAGEREF _Toc2646 \h </w:instrText>
      </w:r>
      <w:r>
        <w:fldChar w:fldCharType="separate"/>
      </w:r>
      <w:r>
        <w:t>- 43 -</w:t>
      </w:r>
      <w:r>
        <w:fldChar w:fldCharType="end"/>
      </w:r>
      <w:r>
        <w:rPr>
          <w:rFonts w:hint="eastAsia" w:ascii="仿宋" w:hAnsi="仿宋" w:eastAsia="仿宋"/>
          <w:color w:val="000000" w:themeColor="text1"/>
          <w:szCs w:val="24"/>
        </w:rPr>
        <w:fldChar w:fldCharType="end"/>
      </w:r>
    </w:p>
    <w:p>
      <w:pPr>
        <w:pStyle w:val="46"/>
        <w:tabs>
          <w:tab w:val="right" w:leader="dot" w:pos="9402"/>
        </w:tabs>
        <w:spacing w:line="480" w:lineRule="exact"/>
        <w:ind w:left="560"/>
        <w:jc w:val="center"/>
        <w:rPr>
          <w:rFonts w:ascii="仿宋" w:hAnsi="仿宋" w:eastAsia="仿宋"/>
          <w:color w:val="000000" w:themeColor="text1"/>
          <w:sz w:val="18"/>
          <w:szCs w:val="2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olor w:val="000000" w:themeColor="text1"/>
          <w:szCs w:val="24"/>
        </w:rPr>
        <w:fldChar w:fldCharType="end"/>
      </w:r>
      <w:bookmarkStart w:id="0" w:name="_Toc11641050"/>
      <w:bookmarkStart w:id="1" w:name="_Toc12789052"/>
    </w:p>
    <w:p>
      <w:pPr>
        <w:pStyle w:val="2"/>
        <w:spacing w:before="0" w:after="0" w:line="360" w:lineRule="auto"/>
        <w:jc w:val="center"/>
        <w:rPr>
          <w:rFonts w:ascii="仿宋" w:hAnsi="仿宋" w:eastAsia="仿宋"/>
          <w:b w:val="0"/>
          <w:color w:val="000000" w:themeColor="text1"/>
          <w:sz w:val="36"/>
          <w:szCs w:val="30"/>
        </w:rPr>
      </w:pPr>
      <w:bookmarkStart w:id="2" w:name="_Toc32476"/>
      <w:bookmarkStart w:id="3" w:name="_Toc16094"/>
      <w:r>
        <w:rPr>
          <w:rFonts w:hint="eastAsia" w:ascii="仿宋" w:hAnsi="仿宋" w:eastAsia="仿宋"/>
          <w:b w:val="0"/>
          <w:color w:val="000000" w:themeColor="text1"/>
          <w:sz w:val="36"/>
          <w:szCs w:val="30"/>
        </w:rPr>
        <w:t>第一篇采购邀请书</w:t>
      </w:r>
      <w:bookmarkEnd w:id="0"/>
      <w:bookmarkEnd w:id="1"/>
      <w:bookmarkEnd w:id="2"/>
      <w:bookmarkEnd w:id="3"/>
    </w:p>
    <w:p>
      <w:pPr>
        <w:snapToGrid w:val="0"/>
        <w:spacing w:line="360" w:lineRule="auto"/>
        <w:ind w:firstLine="480" w:firstLineChars="200"/>
        <w:rPr>
          <w:rFonts w:hint="eastAsia" w:ascii="仿宋" w:hAnsi="仿宋" w:eastAsia="仿宋"/>
          <w:color w:val="auto"/>
          <w:sz w:val="24"/>
          <w:szCs w:val="24"/>
        </w:rPr>
      </w:pPr>
      <w:r>
        <w:rPr>
          <w:rFonts w:hint="eastAsia" w:ascii="仿宋" w:hAnsi="仿宋" w:eastAsia="仿宋"/>
          <w:color w:val="000000" w:themeColor="text1"/>
          <w:sz w:val="24"/>
          <w:szCs w:val="24"/>
        </w:rPr>
        <w:t>重庆千策招标代理有限公司（以下简称：采购代理机构）接受</w:t>
      </w:r>
      <w:r>
        <w:rPr>
          <w:rFonts w:hint="eastAsia" w:ascii="仿宋" w:hAnsi="仿宋" w:eastAsia="仿宋"/>
          <w:color w:val="000000" w:themeColor="text1"/>
          <w:sz w:val="24"/>
          <w:szCs w:val="24"/>
          <w:lang w:eastAsia="zh-CN"/>
        </w:rPr>
        <w:t>重庆市万盛经济技术开发区卫生健康局（以下简称：采购人）</w:t>
      </w:r>
      <w:r>
        <w:rPr>
          <w:rFonts w:hint="eastAsia" w:ascii="仿宋" w:hAnsi="仿宋" w:eastAsia="仿宋"/>
          <w:color w:val="000000" w:themeColor="text1"/>
          <w:sz w:val="24"/>
          <w:szCs w:val="24"/>
        </w:rPr>
        <w:t>的委托，对</w:t>
      </w:r>
      <w:r>
        <w:rPr>
          <w:rFonts w:hint="eastAsia" w:ascii="仿宋" w:hAnsi="仿宋" w:eastAsia="仿宋"/>
          <w:color w:val="000000" w:themeColor="text1"/>
          <w:sz w:val="24"/>
          <w:szCs w:val="24"/>
          <w:lang w:eastAsia="zh-CN"/>
        </w:rPr>
        <w:t>重庆市万盛经开区建成区公共外环境“四害”防制专业服务</w:t>
      </w:r>
      <w:r>
        <w:rPr>
          <w:rFonts w:hint="eastAsia" w:ascii="仿宋" w:hAnsi="仿宋" w:eastAsia="仿宋"/>
          <w:color w:val="000000" w:themeColor="text1"/>
          <w:sz w:val="24"/>
          <w:szCs w:val="24"/>
        </w:rPr>
        <w:t>进行网</w:t>
      </w:r>
      <w:r>
        <w:rPr>
          <w:rFonts w:hint="eastAsia" w:ascii="仿宋" w:hAnsi="仿宋" w:eastAsia="仿宋"/>
          <w:color w:val="auto"/>
          <w:sz w:val="24"/>
          <w:szCs w:val="24"/>
        </w:rPr>
        <w:t>上竞采。欢迎有资格的供应商前来参与网上竞采。</w:t>
      </w:r>
    </w:p>
    <w:p>
      <w:pPr>
        <w:pStyle w:val="4"/>
        <w:spacing w:before="0" w:after="0" w:line="360" w:lineRule="auto"/>
        <w:rPr>
          <w:rFonts w:ascii="仿宋" w:hAnsi="仿宋" w:eastAsia="仿宋"/>
          <w:color w:val="auto"/>
          <w:sz w:val="24"/>
          <w:szCs w:val="24"/>
        </w:rPr>
      </w:pPr>
      <w:bookmarkStart w:id="4" w:name="_Toc22851"/>
      <w:bookmarkStart w:id="5" w:name="_Toc317775175"/>
      <w:bookmarkStart w:id="6" w:name="_Toc313893526"/>
      <w:bookmarkStart w:id="7" w:name="_Toc29919"/>
      <w:r>
        <w:rPr>
          <w:rFonts w:hint="eastAsia" w:ascii="仿宋" w:hAnsi="仿宋" w:eastAsia="仿宋"/>
          <w:color w:val="auto"/>
          <w:sz w:val="24"/>
          <w:szCs w:val="24"/>
        </w:rPr>
        <w:t>一、网上竞采内容</w:t>
      </w:r>
      <w:bookmarkEnd w:id="4"/>
      <w:bookmarkEnd w:id="5"/>
      <w:bookmarkEnd w:id="6"/>
      <w:bookmarkEnd w:id="7"/>
    </w:p>
    <w:tbl>
      <w:tblPr>
        <w:tblStyle w:val="59"/>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384"/>
        <w:gridCol w:w="1903"/>
        <w:gridCol w:w="2197"/>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4" w:type="dxa"/>
            <w:tcBorders>
              <w:top w:val="single" w:color="auto" w:sz="4" w:space="0"/>
              <w:left w:val="single" w:color="auto" w:sz="4" w:space="0"/>
              <w:right w:val="single" w:color="auto" w:sz="4" w:space="0"/>
            </w:tcBorders>
            <w:vAlign w:val="center"/>
          </w:tcPr>
          <w:p>
            <w:pPr>
              <w:widowControl/>
              <w:spacing w:line="360" w:lineRule="auto"/>
              <w:jc w:val="center"/>
              <w:rPr>
                <w:rFonts w:ascii="仿宋" w:eastAsia="仿宋" w:cs="宋体"/>
                <w:b/>
                <w:bCs/>
                <w:color w:val="auto"/>
                <w:kern w:val="0"/>
                <w:sz w:val="24"/>
                <w:szCs w:val="24"/>
              </w:rPr>
            </w:pPr>
            <w:bookmarkStart w:id="8" w:name="_Toc373860293"/>
            <w:bookmarkStart w:id="9" w:name="_Toc317775178"/>
            <w:r>
              <w:rPr>
                <w:rFonts w:hint="eastAsia" w:ascii="仿宋" w:eastAsia="仿宋" w:cs="宋体"/>
                <w:b/>
                <w:bCs/>
                <w:color w:val="auto"/>
                <w:kern w:val="0"/>
                <w:sz w:val="24"/>
                <w:szCs w:val="24"/>
              </w:rPr>
              <w:t>序号</w:t>
            </w:r>
          </w:p>
        </w:tc>
        <w:tc>
          <w:tcPr>
            <w:tcW w:w="3384" w:type="dxa"/>
            <w:tcBorders>
              <w:top w:val="single" w:color="auto" w:sz="4" w:space="0"/>
              <w:left w:val="single" w:color="auto" w:sz="4" w:space="0"/>
              <w:right w:val="single" w:color="auto" w:sz="4" w:space="0"/>
            </w:tcBorders>
            <w:vAlign w:val="center"/>
          </w:tcPr>
          <w:p>
            <w:pPr>
              <w:widowControl/>
              <w:spacing w:line="360" w:lineRule="auto"/>
              <w:jc w:val="center"/>
              <w:rPr>
                <w:rFonts w:ascii="仿宋" w:eastAsia="仿宋" w:cs="宋体"/>
                <w:b/>
                <w:bCs/>
                <w:color w:val="auto"/>
                <w:kern w:val="0"/>
                <w:sz w:val="24"/>
                <w:szCs w:val="24"/>
              </w:rPr>
            </w:pPr>
            <w:r>
              <w:rPr>
                <w:rFonts w:hint="eastAsia" w:ascii="仿宋" w:eastAsia="仿宋" w:cs="宋体"/>
                <w:b/>
                <w:bCs/>
                <w:color w:val="auto"/>
                <w:kern w:val="0"/>
                <w:sz w:val="24"/>
                <w:szCs w:val="24"/>
              </w:rPr>
              <w:t>名称</w:t>
            </w:r>
          </w:p>
        </w:tc>
        <w:tc>
          <w:tcPr>
            <w:tcW w:w="1903" w:type="dxa"/>
            <w:tcBorders>
              <w:top w:val="single" w:color="auto" w:sz="4" w:space="0"/>
              <w:left w:val="single" w:color="auto" w:sz="4" w:space="0"/>
              <w:right w:val="single" w:color="auto" w:sz="4" w:space="0"/>
            </w:tcBorders>
            <w:vAlign w:val="center"/>
          </w:tcPr>
          <w:p>
            <w:pPr>
              <w:spacing w:line="360" w:lineRule="auto"/>
              <w:jc w:val="center"/>
              <w:rPr>
                <w:rFonts w:hint="eastAsia" w:ascii="仿宋" w:eastAsia="仿宋" w:cs="宋体"/>
                <w:b/>
                <w:bCs/>
                <w:color w:val="auto"/>
                <w:kern w:val="0"/>
                <w:sz w:val="24"/>
                <w:szCs w:val="24"/>
              </w:rPr>
            </w:pPr>
            <w:r>
              <w:rPr>
                <w:rFonts w:hint="eastAsia" w:ascii="仿宋" w:eastAsia="仿宋" w:cs="宋体"/>
                <w:b/>
                <w:bCs/>
                <w:color w:val="auto"/>
                <w:kern w:val="0"/>
                <w:sz w:val="24"/>
                <w:szCs w:val="24"/>
              </w:rPr>
              <w:t>最高限价</w:t>
            </w:r>
          </w:p>
          <w:p>
            <w:pPr>
              <w:spacing w:line="360" w:lineRule="auto"/>
              <w:jc w:val="center"/>
              <w:rPr>
                <w:rFonts w:ascii="仿宋" w:eastAsia="微软雅黑" w:cs="宋体"/>
                <w:b/>
                <w:bCs/>
                <w:color w:val="auto"/>
                <w:kern w:val="0"/>
                <w:sz w:val="24"/>
                <w:szCs w:val="24"/>
              </w:rPr>
            </w:pPr>
            <w:r>
              <w:rPr>
                <w:rFonts w:hint="eastAsia" w:ascii="仿宋" w:eastAsia="仿宋" w:cs="宋体"/>
                <w:b/>
                <w:bCs/>
                <w:color w:val="auto"/>
                <w:kern w:val="0"/>
                <w:sz w:val="24"/>
                <w:szCs w:val="24"/>
              </w:rPr>
              <w:t>（万元）</w:t>
            </w:r>
          </w:p>
        </w:tc>
        <w:tc>
          <w:tcPr>
            <w:tcW w:w="2197" w:type="dxa"/>
            <w:tcBorders>
              <w:top w:val="single" w:color="auto" w:sz="4" w:space="0"/>
              <w:left w:val="single" w:color="auto" w:sz="4" w:space="0"/>
              <w:right w:val="single" w:color="auto" w:sz="4" w:space="0"/>
            </w:tcBorders>
            <w:vAlign w:val="center"/>
          </w:tcPr>
          <w:p>
            <w:pPr>
              <w:spacing w:line="360" w:lineRule="auto"/>
              <w:jc w:val="center"/>
              <w:rPr>
                <w:rFonts w:ascii="仿宋" w:eastAsia="仿宋" w:cs="宋体"/>
                <w:b/>
                <w:bCs/>
                <w:color w:val="auto"/>
                <w:kern w:val="0"/>
                <w:sz w:val="24"/>
                <w:szCs w:val="24"/>
              </w:rPr>
            </w:pPr>
            <w:r>
              <w:rPr>
                <w:rFonts w:hint="eastAsia" w:ascii="仿宋" w:eastAsia="仿宋" w:cs="宋体"/>
                <w:b/>
                <w:bCs/>
                <w:color w:val="auto"/>
                <w:kern w:val="0"/>
                <w:sz w:val="24"/>
                <w:szCs w:val="24"/>
              </w:rPr>
              <w:t>成交供应商数量（名）</w:t>
            </w:r>
          </w:p>
        </w:tc>
        <w:tc>
          <w:tcPr>
            <w:tcW w:w="1289" w:type="dxa"/>
            <w:tcBorders>
              <w:top w:val="single" w:color="auto" w:sz="4" w:space="0"/>
              <w:left w:val="single" w:color="auto" w:sz="4" w:space="0"/>
              <w:right w:val="single" w:color="auto" w:sz="4" w:space="0"/>
            </w:tcBorders>
            <w:vAlign w:val="center"/>
          </w:tcPr>
          <w:p>
            <w:pPr>
              <w:spacing w:line="360" w:lineRule="auto"/>
              <w:jc w:val="center"/>
              <w:rPr>
                <w:rFonts w:hint="eastAsia" w:ascii="仿宋" w:eastAsia="仿宋" w:cs="宋体"/>
                <w:b/>
                <w:bCs/>
                <w:color w:val="auto"/>
                <w:kern w:val="0"/>
                <w:sz w:val="24"/>
                <w:szCs w:val="24"/>
                <w:lang w:val="en-US" w:eastAsia="zh-CN"/>
              </w:rPr>
            </w:pPr>
            <w:r>
              <w:rPr>
                <w:rFonts w:hint="eastAsia" w:ascii="仿宋" w:eastAsia="仿宋" w:cs="宋体"/>
                <w:b/>
                <w:bCs/>
                <w:color w:val="auto"/>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eastAsia="仿宋"/>
                <w:color w:val="auto"/>
                <w:sz w:val="24"/>
                <w:szCs w:val="24"/>
              </w:rPr>
            </w:pPr>
            <w:bookmarkStart w:id="10" w:name="_Hlk344477914"/>
            <w:r>
              <w:rPr>
                <w:rFonts w:hint="eastAsia" w:ascii="仿宋" w:eastAsia="仿宋"/>
                <w:color w:val="auto"/>
                <w:sz w:val="24"/>
                <w:szCs w:val="24"/>
              </w:rPr>
              <w:t>1</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eastAsia="仿宋"/>
                <w:color w:val="auto"/>
                <w:sz w:val="24"/>
                <w:szCs w:val="24"/>
              </w:rPr>
            </w:pPr>
            <w:r>
              <w:rPr>
                <w:rFonts w:hint="eastAsia" w:ascii="仿宋" w:eastAsia="仿宋"/>
                <w:color w:val="auto"/>
                <w:sz w:val="24"/>
                <w:szCs w:val="24"/>
                <w:lang w:eastAsia="zh-CN"/>
              </w:rPr>
              <w:t>重庆市万盛经开区建成区公共外环境“四害”防制专业服务</w:t>
            </w:r>
          </w:p>
        </w:tc>
        <w:tc>
          <w:tcPr>
            <w:tcW w:w="1903" w:type="dxa"/>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bCs/>
                <w:color w:val="auto"/>
                <w:sz w:val="24"/>
                <w:szCs w:val="24"/>
                <w:lang w:val="en-US" w:eastAsia="zh-CN"/>
              </w:rPr>
            </w:pPr>
            <w:r>
              <w:rPr>
                <w:rFonts w:hint="eastAsia" w:ascii="仿宋" w:hAnsi="仿宋" w:eastAsia="仿宋"/>
                <w:bCs/>
                <w:color w:val="auto"/>
                <w:sz w:val="24"/>
                <w:szCs w:val="24"/>
                <w:lang w:val="en-US" w:eastAsia="zh-CN"/>
              </w:rPr>
              <w:t>34</w:t>
            </w:r>
          </w:p>
        </w:tc>
        <w:tc>
          <w:tcPr>
            <w:tcW w:w="2197" w:type="dxa"/>
            <w:tcBorders>
              <w:top w:val="single" w:color="auto" w:sz="4" w:space="0"/>
              <w:left w:val="single" w:color="auto" w:sz="4" w:space="0"/>
              <w:right w:val="single" w:color="auto" w:sz="4" w:space="0"/>
            </w:tcBorders>
            <w:vAlign w:val="center"/>
          </w:tcPr>
          <w:p>
            <w:pPr>
              <w:spacing w:line="400" w:lineRule="exact"/>
              <w:jc w:val="center"/>
              <w:rPr>
                <w:rFonts w:hint="eastAsia" w:ascii="仿宋" w:eastAsia="仿宋"/>
                <w:color w:val="auto"/>
                <w:sz w:val="24"/>
                <w:szCs w:val="24"/>
                <w:lang w:val="en-US" w:eastAsia="zh-CN"/>
              </w:rPr>
            </w:pPr>
            <w:r>
              <w:rPr>
                <w:rFonts w:hint="eastAsia" w:ascii="仿宋" w:eastAsia="仿宋"/>
                <w:color w:val="auto"/>
                <w:sz w:val="24"/>
                <w:szCs w:val="24"/>
                <w:lang w:val="en-US" w:eastAsia="zh-CN"/>
              </w:rPr>
              <w:t>1</w:t>
            </w:r>
          </w:p>
        </w:tc>
        <w:tc>
          <w:tcPr>
            <w:tcW w:w="1289" w:type="dxa"/>
            <w:tcBorders>
              <w:top w:val="single" w:color="auto" w:sz="4" w:space="0"/>
              <w:left w:val="single" w:color="auto" w:sz="4" w:space="0"/>
              <w:right w:val="single" w:color="auto" w:sz="4" w:space="0"/>
            </w:tcBorders>
            <w:vAlign w:val="center"/>
          </w:tcPr>
          <w:p>
            <w:pPr>
              <w:spacing w:line="400" w:lineRule="exact"/>
              <w:jc w:val="center"/>
              <w:rPr>
                <w:rFonts w:hint="eastAsia" w:ascii="仿宋" w:eastAsia="仿宋"/>
                <w:color w:val="auto"/>
                <w:sz w:val="24"/>
                <w:szCs w:val="24"/>
                <w:lang w:val="en-US" w:eastAsia="zh-CN"/>
              </w:rPr>
            </w:pPr>
            <w:r>
              <w:rPr>
                <w:rFonts w:hint="eastAsia" w:ascii="仿宋" w:eastAsia="仿宋"/>
                <w:color w:val="auto"/>
                <w:sz w:val="24"/>
                <w:szCs w:val="24"/>
                <w:lang w:val="en-US" w:eastAsia="zh-CN"/>
              </w:rPr>
              <w:t>无</w:t>
            </w:r>
          </w:p>
        </w:tc>
      </w:tr>
      <w:bookmarkEnd w:id="10"/>
    </w:tbl>
    <w:p>
      <w:pPr>
        <w:pStyle w:val="4"/>
        <w:spacing w:before="0" w:after="0" w:line="360" w:lineRule="auto"/>
        <w:rPr>
          <w:rFonts w:ascii="仿宋" w:hAnsi="仿宋" w:eastAsia="仿宋"/>
          <w:color w:val="auto"/>
          <w:sz w:val="24"/>
          <w:szCs w:val="24"/>
        </w:rPr>
      </w:pPr>
      <w:bookmarkStart w:id="11" w:name="_Toc28115"/>
      <w:bookmarkStart w:id="12" w:name="_Toc27983"/>
      <w:r>
        <w:rPr>
          <w:rFonts w:hint="eastAsia" w:ascii="仿宋" w:hAnsi="仿宋" w:eastAsia="仿宋"/>
          <w:color w:val="auto"/>
          <w:sz w:val="24"/>
          <w:szCs w:val="24"/>
        </w:rPr>
        <w:t>二、资金来源</w:t>
      </w:r>
      <w:bookmarkEnd w:id="11"/>
      <w:bookmarkEnd w:id="12"/>
    </w:p>
    <w:p>
      <w:pPr>
        <w:spacing w:line="360" w:lineRule="auto"/>
        <w:ind w:firstLine="480" w:firstLineChars="200"/>
        <w:rPr>
          <w:rFonts w:ascii="仿宋" w:hAnsi="仿宋" w:eastAsia="仿宋"/>
          <w:color w:val="auto"/>
          <w:sz w:val="24"/>
          <w:szCs w:val="24"/>
        </w:rPr>
      </w:pPr>
      <w:r>
        <w:rPr>
          <w:rFonts w:hint="eastAsia" w:ascii="仿宋" w:eastAsia="仿宋"/>
          <w:color w:val="auto"/>
          <w:sz w:val="24"/>
          <w:szCs w:val="24"/>
          <w:lang w:val="en-US" w:eastAsia="zh-CN"/>
        </w:rPr>
        <w:t>财政</w:t>
      </w:r>
      <w:r>
        <w:rPr>
          <w:rFonts w:hint="eastAsia" w:ascii="仿宋" w:eastAsia="仿宋"/>
          <w:color w:val="auto"/>
          <w:sz w:val="24"/>
          <w:szCs w:val="24"/>
        </w:rPr>
        <w:t>资金，预算金额</w:t>
      </w:r>
      <w:r>
        <w:rPr>
          <w:rFonts w:hint="eastAsia" w:ascii="仿宋" w:eastAsia="仿宋"/>
          <w:color w:val="auto"/>
          <w:sz w:val="24"/>
          <w:szCs w:val="24"/>
          <w:lang w:val="en-US" w:eastAsia="zh-CN"/>
        </w:rPr>
        <w:t>34</w:t>
      </w:r>
      <w:r>
        <w:rPr>
          <w:rFonts w:hint="eastAsia" w:ascii="仿宋" w:eastAsia="仿宋"/>
          <w:color w:val="auto"/>
          <w:sz w:val="24"/>
          <w:szCs w:val="24"/>
        </w:rPr>
        <w:t>万元。</w:t>
      </w:r>
    </w:p>
    <w:p>
      <w:pPr>
        <w:pStyle w:val="4"/>
        <w:spacing w:before="0" w:after="0" w:line="360" w:lineRule="auto"/>
        <w:rPr>
          <w:rFonts w:ascii="仿宋" w:hAnsi="仿宋" w:eastAsia="仿宋"/>
          <w:color w:val="000000" w:themeColor="text1"/>
          <w:sz w:val="24"/>
          <w:szCs w:val="24"/>
        </w:rPr>
      </w:pPr>
      <w:bookmarkStart w:id="13" w:name="_Toc15957"/>
      <w:bookmarkStart w:id="14" w:name="_Toc22982"/>
      <w:r>
        <w:rPr>
          <w:rFonts w:hint="eastAsia" w:ascii="仿宋" w:hAnsi="仿宋" w:eastAsia="仿宋"/>
          <w:color w:val="000000" w:themeColor="text1"/>
          <w:sz w:val="24"/>
          <w:szCs w:val="24"/>
        </w:rPr>
        <w:t>三、供应商资格条件</w:t>
      </w:r>
      <w:bookmarkEnd w:id="13"/>
      <w:bookmarkEnd w:id="14"/>
    </w:p>
    <w:p>
      <w:pPr>
        <w:spacing w:line="360" w:lineRule="auto"/>
        <w:ind w:firstLine="480" w:firstLineChars="200"/>
        <w:rPr>
          <w:rFonts w:hint="eastAsia" w:ascii="仿宋" w:hAnsi="仿宋" w:eastAsia="仿宋" w:cs="Times New Roman"/>
          <w:color w:val="auto"/>
          <w:sz w:val="24"/>
          <w:szCs w:val="24"/>
        </w:rPr>
      </w:pPr>
      <w:bookmarkStart w:id="15" w:name="_Toc13803"/>
      <w:r>
        <w:rPr>
          <w:rFonts w:hint="eastAsia" w:ascii="仿宋" w:hAnsi="仿宋" w:eastAsia="仿宋" w:cs="Times New Roman"/>
          <w:color w:val="auto"/>
          <w:sz w:val="24"/>
          <w:szCs w:val="24"/>
        </w:rPr>
        <w:t>（一）满足《中华人民共和国政府采购法》第二十二条规定。</w:t>
      </w:r>
    </w:p>
    <w:p>
      <w:pPr>
        <w:spacing w:line="360" w:lineRule="auto"/>
        <w:ind w:firstLine="480" w:firstLineChars="200"/>
        <w:rPr>
          <w:rFonts w:hint="eastAsia" w:ascii="仿宋" w:hAnsi="仿宋" w:eastAsia="仿宋" w:cs="Times New Roman"/>
          <w:color w:val="auto"/>
          <w:sz w:val="24"/>
          <w:szCs w:val="24"/>
        </w:rPr>
      </w:pPr>
      <w:r>
        <w:rPr>
          <w:rFonts w:hint="eastAsia" w:ascii="仿宋" w:hAnsi="仿宋" w:eastAsia="仿宋" w:cs="Times New Roman"/>
          <w:color w:val="auto"/>
          <w:sz w:val="24"/>
          <w:szCs w:val="24"/>
        </w:rPr>
        <w:t>（二）本项目的特定资格要求：</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lang w:val="en-US" w:eastAsia="zh-CN"/>
        </w:rPr>
        <w:t>供应商</w:t>
      </w:r>
      <w:r>
        <w:rPr>
          <w:rFonts w:hint="eastAsia" w:ascii="仿宋" w:hAnsi="仿宋" w:eastAsia="仿宋" w:cs="仿宋"/>
          <w:color w:val="000000" w:themeColor="text1"/>
          <w:sz w:val="24"/>
          <w:szCs w:val="24"/>
        </w:rPr>
        <w:t>具有有效的《有害生物防制服务机构服务能力认定证》</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lang w:val="en-US" w:eastAsia="zh-CN"/>
        </w:rPr>
        <w:t>提供证书复印件并加盖供应商公章</w:t>
      </w:r>
      <w:r>
        <w:rPr>
          <w:rFonts w:hint="eastAsia" w:ascii="仿宋" w:hAnsi="仿宋" w:eastAsia="仿宋" w:cs="仿宋"/>
          <w:color w:val="000000" w:themeColor="text1"/>
          <w:sz w:val="24"/>
          <w:szCs w:val="24"/>
        </w:rPr>
        <w:t>。</w:t>
      </w:r>
    </w:p>
    <w:p>
      <w:pPr>
        <w:spacing w:line="360" w:lineRule="auto"/>
        <w:ind w:firstLine="480"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rPr>
        <w:t>2</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lang w:val="en-US" w:eastAsia="zh-CN"/>
        </w:rPr>
        <w:t>供应商</w:t>
      </w:r>
      <w:r>
        <w:rPr>
          <w:rFonts w:hint="eastAsia" w:ascii="仿宋" w:hAnsi="仿宋" w:eastAsia="仿宋" w:cs="仿宋"/>
          <w:color w:val="000000" w:themeColor="text1"/>
          <w:sz w:val="24"/>
          <w:szCs w:val="24"/>
        </w:rPr>
        <w:t>具有有效的《有害生物防制服务机构服务能力等级A级证书》</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lang w:val="en-US" w:eastAsia="zh-CN"/>
        </w:rPr>
        <w:t>提供证书复印件并加盖供应商公章</w:t>
      </w:r>
      <w:r>
        <w:rPr>
          <w:rFonts w:hint="eastAsia" w:ascii="仿宋" w:hAnsi="仿宋" w:eastAsia="仿宋" w:cs="仿宋"/>
          <w:color w:val="000000" w:themeColor="text1"/>
          <w:sz w:val="24"/>
          <w:szCs w:val="24"/>
        </w:rPr>
        <w:t>。</w:t>
      </w:r>
    </w:p>
    <w:p>
      <w:pPr>
        <w:pStyle w:val="4"/>
        <w:spacing w:before="0" w:after="0" w:line="360" w:lineRule="auto"/>
        <w:rPr>
          <w:rFonts w:ascii="仿宋" w:hAnsi="仿宋" w:eastAsia="仿宋"/>
          <w:color w:val="000000" w:themeColor="text1"/>
          <w:sz w:val="24"/>
          <w:szCs w:val="24"/>
        </w:rPr>
      </w:pPr>
      <w:bookmarkStart w:id="16" w:name="_Toc9077"/>
      <w:r>
        <w:rPr>
          <w:rFonts w:hint="eastAsia" w:ascii="仿宋" w:hAnsi="仿宋" w:eastAsia="仿宋"/>
          <w:color w:val="000000" w:themeColor="text1"/>
          <w:sz w:val="24"/>
          <w:szCs w:val="24"/>
        </w:rPr>
        <w:t>四、采购有关说明</w:t>
      </w:r>
      <w:bookmarkEnd w:id="8"/>
      <w:bookmarkEnd w:id="15"/>
      <w:bookmarkEnd w:id="16"/>
    </w:p>
    <w:p>
      <w:pPr>
        <w:spacing w:line="360" w:lineRule="auto"/>
        <w:ind w:firstLine="480" w:firstLineChars="200"/>
        <w:rPr>
          <w:rFonts w:ascii="仿宋" w:hAnsi="仿宋" w:eastAsia="仿宋"/>
          <w:color w:val="000000" w:themeColor="text1"/>
          <w:sz w:val="24"/>
          <w:szCs w:val="24"/>
        </w:rPr>
      </w:pPr>
      <w:bookmarkStart w:id="17" w:name="_Toc373860294"/>
      <w:r>
        <w:rPr>
          <w:rFonts w:hint="eastAsia" w:ascii="仿宋" w:hAnsi="仿宋" w:eastAsia="仿宋"/>
          <w:color w:val="000000" w:themeColor="text1"/>
          <w:sz w:val="24"/>
          <w:szCs w:val="24"/>
        </w:rPr>
        <w:t>（</w:t>
      </w:r>
      <w:r>
        <w:rPr>
          <w:rFonts w:hint="eastAsia" w:ascii="仿宋" w:hAnsi="仿宋" w:eastAsia="仿宋" w:cs="仿宋"/>
          <w:color w:val="000000" w:themeColor="text1"/>
          <w:sz w:val="24"/>
          <w:szCs w:val="24"/>
        </w:rPr>
        <w:t>一）供应商应通过重庆市政府采购网（</w:t>
      </w:r>
      <w:r>
        <w:fldChar w:fldCharType="begin"/>
      </w:r>
      <w:r>
        <w:instrText xml:space="preserve"> HYPERLINK "http://www.cqgp.gov.cn" </w:instrText>
      </w:r>
      <w:r>
        <w:fldChar w:fldCharType="separate"/>
      </w:r>
      <w:r>
        <w:rPr>
          <w:rFonts w:hint="eastAsia" w:ascii="仿宋" w:hAnsi="仿宋" w:eastAsia="仿宋" w:cs="仿宋"/>
          <w:color w:val="000000" w:themeColor="text1"/>
          <w:sz w:val="24"/>
          <w:szCs w:val="24"/>
        </w:rPr>
        <w:t>www.ccgp-chongqing.gov.cn</w:t>
      </w:r>
      <w:r>
        <w:rPr>
          <w:rFonts w:hint="eastAsia" w:ascii="仿宋" w:hAnsi="仿宋" w:eastAsia="仿宋" w:cs="仿宋"/>
          <w:color w:val="000000" w:themeColor="text1"/>
          <w:sz w:val="24"/>
          <w:szCs w:val="24"/>
        </w:rPr>
        <w:fldChar w:fldCharType="end"/>
      </w:r>
      <w:r>
        <w:rPr>
          <w:rFonts w:hint="eastAsia" w:ascii="仿宋" w:hAnsi="仿宋" w:eastAsia="仿宋" w:cs="仿宋"/>
          <w:color w:val="000000" w:themeColor="text1"/>
          <w:sz w:val="24"/>
          <w:szCs w:val="24"/>
        </w:rPr>
        <w:t>）登记加入“重庆市政府采购供应商库”。</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二）凡有意参加采购的供应商，请在重庆市政府采购云平台.网上竞采中心（https://xj.ccgp-chongqing.gov.cn/ge/）网上下载本项目网上竞采文件以及补遗等采购前公布的所有项目资料，无论供应商下载与否，均视为已知晓所有采购实质性要求内容。</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（三）线上报价</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1.线上报价时间：按本项目网上公告规定的报价截止时间为准。</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2.线上报价要求：按本项目规定的时间在重庆市政府采购云平台</w:t>
      </w:r>
      <w:r>
        <w:rPr>
          <w:rFonts w:ascii="仿宋" w:hAnsi="仿宋" w:eastAsia="仿宋"/>
          <w:color w:val="000000" w:themeColor="text1"/>
          <w:sz w:val="24"/>
          <w:szCs w:val="24"/>
        </w:rPr>
        <w:t>.</w:t>
      </w:r>
      <w:r>
        <w:rPr>
          <w:rFonts w:hint="eastAsia" w:ascii="仿宋" w:hAnsi="仿宋" w:eastAsia="仿宋"/>
          <w:color w:val="000000" w:themeColor="text1"/>
          <w:sz w:val="24"/>
          <w:szCs w:val="24"/>
        </w:rPr>
        <w:t>网上竞采中心（</w:t>
      </w:r>
      <w:r>
        <w:rPr>
          <w:rFonts w:ascii="仿宋" w:hAnsi="仿宋" w:eastAsia="仿宋"/>
          <w:color w:val="000000" w:themeColor="text1"/>
          <w:sz w:val="24"/>
          <w:szCs w:val="24"/>
        </w:rPr>
        <w:t>https://xj.ccgp-chongqing.gov.cn/ge/</w:t>
      </w:r>
      <w:r>
        <w:rPr>
          <w:rFonts w:hint="eastAsia" w:ascii="仿宋" w:hAnsi="仿宋" w:eastAsia="仿宋"/>
          <w:color w:val="000000" w:themeColor="text1"/>
          <w:sz w:val="24"/>
          <w:szCs w:val="24"/>
        </w:rPr>
        <w:t>）进行网上报价，并在规定的时间内上传响应文件电子文档。未在规定时间内报价和上传响应文件电子文档的供应商不具备竞标资格。</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（四）网上竞采文件发售：</w:t>
      </w:r>
      <w:r>
        <w:rPr>
          <w:rFonts w:hint="eastAsia" w:ascii="仿宋" w:hAnsi="仿宋" w:eastAsia="仿宋"/>
          <w:sz w:val="24"/>
          <w:szCs w:val="24"/>
          <w:lang w:eastAsia="zh-CN"/>
        </w:rPr>
        <w:t>本项目免收网上竞采文件费</w:t>
      </w:r>
      <w:r>
        <w:rPr>
          <w:rFonts w:hint="eastAsia" w:ascii="仿宋" w:hAnsi="仿宋" w:eastAsia="仿宋"/>
          <w:sz w:val="24"/>
          <w:szCs w:val="24"/>
        </w:rPr>
        <w:t>。</w:t>
      </w:r>
    </w:p>
    <w:p>
      <w:pPr>
        <w:snapToGrid w:val="0"/>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（五）供应商须满足以下三种要件，其响应文件才被接受：</w:t>
      </w:r>
    </w:p>
    <w:p>
      <w:pPr>
        <w:snapToGrid w:val="0"/>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1.按时在重庆市政府采购云平台</w:t>
      </w:r>
      <w:r>
        <w:rPr>
          <w:rFonts w:ascii="仿宋" w:hAnsi="仿宋" w:eastAsia="仿宋"/>
          <w:color w:val="000000" w:themeColor="text1"/>
          <w:sz w:val="24"/>
          <w:szCs w:val="24"/>
        </w:rPr>
        <w:t>.</w:t>
      </w:r>
      <w:r>
        <w:rPr>
          <w:rFonts w:hint="eastAsia" w:ascii="仿宋" w:hAnsi="仿宋" w:eastAsia="仿宋"/>
          <w:color w:val="000000" w:themeColor="text1"/>
          <w:sz w:val="24"/>
          <w:szCs w:val="24"/>
        </w:rPr>
        <w:t>网上竞采中心（</w:t>
      </w:r>
      <w:r>
        <w:rPr>
          <w:rFonts w:ascii="仿宋" w:hAnsi="仿宋" w:eastAsia="仿宋"/>
          <w:color w:val="000000" w:themeColor="text1"/>
          <w:sz w:val="24"/>
          <w:szCs w:val="24"/>
        </w:rPr>
        <w:t>https://xj.ccgp-chongqing.gov.cn/ge/</w:t>
      </w:r>
      <w:r>
        <w:rPr>
          <w:rFonts w:hint="eastAsia" w:ascii="仿宋" w:hAnsi="仿宋" w:eastAsia="仿宋"/>
          <w:color w:val="000000" w:themeColor="text1"/>
          <w:sz w:val="24"/>
          <w:szCs w:val="24"/>
        </w:rPr>
        <w:t>）进行网上报价。</w:t>
      </w:r>
    </w:p>
    <w:p>
      <w:pPr>
        <w:snapToGrid w:val="0"/>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2.按时递交响应文件。</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3.按时报名签到。</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（六）开标地址：万盛经开区公共资源综合交易中心（万盛经开区松林路111号国能天街8号楼4楼）</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（七）线下响应文件递交开始时间：</w:t>
      </w:r>
      <w:r>
        <w:rPr>
          <w:rFonts w:ascii="仿宋" w:hAnsi="仿宋" w:eastAsia="仿宋"/>
          <w:color w:val="auto"/>
          <w:sz w:val="24"/>
          <w:szCs w:val="24"/>
        </w:rPr>
        <w:t>2022</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9</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7</w:t>
      </w:r>
      <w:r>
        <w:rPr>
          <w:rFonts w:hint="eastAsia" w:ascii="仿宋" w:hAnsi="仿宋" w:eastAsia="仿宋"/>
          <w:color w:val="auto"/>
          <w:sz w:val="24"/>
          <w:szCs w:val="24"/>
        </w:rPr>
        <w:t>日北京时间</w:t>
      </w:r>
      <w:r>
        <w:rPr>
          <w:rFonts w:hint="eastAsia" w:ascii="仿宋" w:hAnsi="仿宋" w:eastAsia="仿宋"/>
          <w:color w:val="auto"/>
          <w:sz w:val="24"/>
          <w:szCs w:val="24"/>
          <w:lang w:val="en-US" w:eastAsia="zh-CN"/>
        </w:rPr>
        <w:t>14</w:t>
      </w:r>
      <w:r>
        <w:rPr>
          <w:rFonts w:ascii="仿宋" w:hAnsi="仿宋" w:eastAsia="仿宋"/>
          <w:color w:val="auto"/>
          <w:sz w:val="24"/>
          <w:szCs w:val="24"/>
        </w:rPr>
        <w:t>:</w:t>
      </w:r>
      <w:r>
        <w:rPr>
          <w:rFonts w:hint="eastAsia" w:ascii="仿宋" w:hAnsi="仿宋" w:eastAsia="仿宋"/>
          <w:color w:val="auto"/>
          <w:sz w:val="24"/>
          <w:szCs w:val="24"/>
          <w:lang w:val="en-US" w:eastAsia="zh-CN"/>
        </w:rPr>
        <w:t>0</w:t>
      </w:r>
      <w:r>
        <w:rPr>
          <w:rFonts w:ascii="仿宋" w:hAnsi="仿宋" w:eastAsia="仿宋"/>
          <w:color w:val="auto"/>
          <w:sz w:val="24"/>
          <w:szCs w:val="24"/>
        </w:rPr>
        <w:t>0</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（八）线下响应文件递交截止时间：</w:t>
      </w:r>
      <w:r>
        <w:rPr>
          <w:rFonts w:ascii="仿宋" w:hAnsi="仿宋" w:eastAsia="仿宋"/>
          <w:color w:val="auto"/>
          <w:sz w:val="24"/>
          <w:szCs w:val="24"/>
        </w:rPr>
        <w:t>2022</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9</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7</w:t>
      </w:r>
      <w:r>
        <w:rPr>
          <w:rFonts w:hint="eastAsia" w:ascii="仿宋" w:hAnsi="仿宋" w:eastAsia="仿宋"/>
          <w:color w:val="auto"/>
          <w:sz w:val="24"/>
          <w:szCs w:val="24"/>
        </w:rPr>
        <w:t>日北京时间</w:t>
      </w:r>
      <w:r>
        <w:rPr>
          <w:rFonts w:hint="eastAsia" w:ascii="仿宋" w:hAnsi="仿宋" w:eastAsia="仿宋"/>
          <w:color w:val="auto"/>
          <w:sz w:val="24"/>
          <w:szCs w:val="24"/>
          <w:lang w:val="en-US" w:eastAsia="zh-CN"/>
        </w:rPr>
        <w:t>14</w:t>
      </w:r>
      <w:r>
        <w:rPr>
          <w:rFonts w:ascii="仿宋" w:hAnsi="仿宋" w:eastAsia="仿宋"/>
          <w:color w:val="auto"/>
          <w:sz w:val="24"/>
          <w:szCs w:val="24"/>
        </w:rPr>
        <w:t>:</w:t>
      </w:r>
      <w:r>
        <w:rPr>
          <w:rFonts w:hint="eastAsia" w:ascii="仿宋" w:hAnsi="仿宋" w:eastAsia="仿宋"/>
          <w:color w:val="auto"/>
          <w:sz w:val="24"/>
          <w:szCs w:val="24"/>
          <w:lang w:val="en-US" w:eastAsia="zh-CN"/>
        </w:rPr>
        <w:t>3</w:t>
      </w:r>
      <w:r>
        <w:rPr>
          <w:rFonts w:ascii="仿宋" w:hAnsi="仿宋" w:eastAsia="仿宋"/>
          <w:color w:val="auto"/>
          <w:sz w:val="24"/>
          <w:szCs w:val="24"/>
        </w:rPr>
        <w:t>0</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（九）线下开标开始时间：</w:t>
      </w:r>
      <w:r>
        <w:rPr>
          <w:rFonts w:ascii="仿宋" w:hAnsi="仿宋" w:eastAsia="仿宋"/>
          <w:color w:val="auto"/>
          <w:sz w:val="24"/>
          <w:szCs w:val="24"/>
        </w:rPr>
        <w:t>2022</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9</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7</w:t>
      </w:r>
      <w:r>
        <w:rPr>
          <w:rFonts w:hint="eastAsia" w:ascii="仿宋" w:hAnsi="仿宋" w:eastAsia="仿宋"/>
          <w:color w:val="auto"/>
          <w:sz w:val="24"/>
          <w:szCs w:val="24"/>
        </w:rPr>
        <w:t>日北京时间</w:t>
      </w:r>
      <w:r>
        <w:rPr>
          <w:rFonts w:hint="eastAsia" w:ascii="仿宋" w:hAnsi="仿宋" w:eastAsia="仿宋"/>
          <w:color w:val="auto"/>
          <w:sz w:val="24"/>
          <w:szCs w:val="24"/>
          <w:lang w:val="en-US" w:eastAsia="zh-CN"/>
        </w:rPr>
        <w:t>14</w:t>
      </w:r>
      <w:r>
        <w:rPr>
          <w:rFonts w:ascii="仿宋" w:hAnsi="仿宋" w:eastAsia="仿宋"/>
          <w:color w:val="auto"/>
          <w:sz w:val="24"/>
          <w:szCs w:val="24"/>
        </w:rPr>
        <w:t>:</w:t>
      </w:r>
      <w:r>
        <w:rPr>
          <w:rFonts w:hint="eastAsia" w:ascii="仿宋" w:hAnsi="仿宋" w:eastAsia="仿宋"/>
          <w:color w:val="auto"/>
          <w:sz w:val="24"/>
          <w:szCs w:val="24"/>
          <w:lang w:val="en-US" w:eastAsia="zh-CN"/>
        </w:rPr>
        <w:t>3</w:t>
      </w:r>
      <w:r>
        <w:rPr>
          <w:rFonts w:ascii="仿宋" w:hAnsi="仿宋" w:eastAsia="仿宋"/>
          <w:color w:val="auto"/>
          <w:sz w:val="24"/>
          <w:szCs w:val="24"/>
        </w:rPr>
        <w:t>0</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w:t>
      </w:r>
      <w:r>
        <w:rPr>
          <w:rFonts w:hint="eastAsia" w:ascii="仿宋" w:hAnsi="仿宋" w:eastAsia="仿宋"/>
          <w:color w:val="000000" w:themeColor="text1"/>
          <w:sz w:val="24"/>
          <w:szCs w:val="24"/>
          <w:lang w:eastAsia="zh-CN"/>
        </w:rPr>
        <w:t>十</w:t>
      </w:r>
      <w:r>
        <w:rPr>
          <w:rFonts w:hint="eastAsia" w:ascii="仿宋" w:hAnsi="仿宋" w:eastAsia="仿宋"/>
          <w:color w:val="000000" w:themeColor="text1"/>
          <w:sz w:val="24"/>
          <w:szCs w:val="24"/>
        </w:rPr>
        <w:t>）疫情期间注意事项：</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1.严控开标人数。原则上竞标人限派1名代表参加现场开标活动。</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2.递交响应文件前，所有人员应自觉做好个人防护，正确佩戴合格口罩，主动配合做好实名登记、体温检测等防控工作。未佩戴合格口罩、体温超过37.2℃的将被劝返。</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3.保持安全距离。开标当天，所有人员在等候期间，应全程佩戴口罩，自觉保持1米以上间隔距离，不扎堆聚集，不喧哗闲聊，不随意走动。</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4.若竞标人未按照以上要求执行导致不能参与投标的，由竞标人自行负责。</w:t>
      </w:r>
    </w:p>
    <w:p>
      <w:pPr>
        <w:pStyle w:val="4"/>
        <w:spacing w:before="0" w:after="0" w:line="360" w:lineRule="auto"/>
        <w:rPr>
          <w:rFonts w:ascii="仿宋" w:hAnsi="仿宋" w:eastAsia="仿宋"/>
          <w:color w:val="000000" w:themeColor="text1"/>
          <w:sz w:val="24"/>
          <w:szCs w:val="24"/>
        </w:rPr>
      </w:pPr>
      <w:bookmarkStart w:id="18" w:name="_Toc6341"/>
      <w:bookmarkStart w:id="19" w:name="_Toc10205"/>
      <w:r>
        <w:rPr>
          <w:rFonts w:hint="eastAsia" w:ascii="仿宋" w:hAnsi="仿宋" w:eastAsia="仿宋"/>
          <w:color w:val="000000" w:themeColor="text1"/>
          <w:sz w:val="24"/>
          <w:szCs w:val="24"/>
        </w:rPr>
        <w:t>五、保证金</w:t>
      </w:r>
      <w:bookmarkEnd w:id="17"/>
      <w:bookmarkEnd w:id="18"/>
      <w:bookmarkEnd w:id="19"/>
    </w:p>
    <w:bookmarkEnd w:id="9"/>
    <w:p>
      <w:pPr>
        <w:snapToGrid w:val="0"/>
        <w:spacing w:line="360" w:lineRule="auto"/>
        <w:ind w:firstLine="480" w:firstLineChars="200"/>
        <w:rPr>
          <w:rFonts w:hint="eastAsia" w:ascii="仿宋" w:hAnsi="仿宋" w:eastAsia="仿宋"/>
          <w:color w:val="000000" w:themeColor="text1"/>
          <w:sz w:val="24"/>
          <w:szCs w:val="24"/>
          <w:lang w:eastAsia="zh-CN"/>
        </w:rPr>
      </w:pPr>
      <w:bookmarkStart w:id="20" w:name="_Toc480466698"/>
      <w:bookmarkStart w:id="21" w:name="_Toc479668114"/>
      <w:r>
        <w:rPr>
          <w:rFonts w:hint="eastAsia" w:ascii="仿宋" w:hAnsi="仿宋" w:eastAsia="仿宋"/>
          <w:color w:val="000000" w:themeColor="text1"/>
          <w:sz w:val="24"/>
          <w:szCs w:val="24"/>
          <w:lang w:eastAsia="zh-CN"/>
        </w:rPr>
        <w:t>本项目免收保证金。</w:t>
      </w:r>
    </w:p>
    <w:bookmarkEnd w:id="20"/>
    <w:bookmarkEnd w:id="21"/>
    <w:p>
      <w:pPr>
        <w:pStyle w:val="4"/>
        <w:spacing w:before="0" w:after="0" w:line="360" w:lineRule="auto"/>
        <w:rPr>
          <w:rFonts w:ascii="仿宋" w:hAnsi="仿宋" w:eastAsia="仿宋"/>
          <w:color w:val="000000" w:themeColor="text1"/>
          <w:sz w:val="24"/>
          <w:szCs w:val="24"/>
        </w:rPr>
      </w:pPr>
      <w:bookmarkStart w:id="22" w:name="_Toc2618"/>
      <w:bookmarkStart w:id="23" w:name="_Toc480466699"/>
      <w:bookmarkStart w:id="24" w:name="_Toc17560"/>
      <w:r>
        <w:rPr>
          <w:rFonts w:hint="eastAsia" w:ascii="仿宋" w:hAnsi="仿宋" w:eastAsia="仿宋"/>
          <w:color w:val="000000" w:themeColor="text1"/>
          <w:sz w:val="24"/>
          <w:szCs w:val="24"/>
        </w:rPr>
        <w:t>六、其它有关规定</w:t>
      </w:r>
      <w:bookmarkEnd w:id="22"/>
      <w:bookmarkEnd w:id="23"/>
      <w:bookmarkEnd w:id="24"/>
    </w:p>
    <w:p>
      <w:pPr>
        <w:snapToGrid w:val="0"/>
        <w:spacing w:line="360" w:lineRule="auto"/>
        <w:ind w:firstLine="360" w:firstLineChars="150"/>
        <w:rPr>
          <w:rFonts w:ascii="仿宋" w:hAnsi="仿宋" w:eastAsia="仿宋"/>
          <w:color w:val="000000" w:themeColor="text1"/>
          <w:sz w:val="24"/>
          <w:szCs w:val="24"/>
        </w:rPr>
      </w:pPr>
      <w:r>
        <w:rPr>
          <w:rFonts w:hint="eastAsia" w:ascii="仿宋" w:hAnsi="仿宋" w:eastAsia="仿宋"/>
          <w:color w:val="000000" w:themeColor="text1"/>
          <w:sz w:val="24"/>
          <w:szCs w:val="24"/>
        </w:rPr>
        <w:t>（一）单位负责人为同一人或者存在直接控股、管理关系的不同供应商，</w:t>
      </w:r>
      <w:r>
        <w:rPr>
          <w:rFonts w:ascii="仿宋" w:hAnsi="仿宋" w:eastAsia="仿宋"/>
          <w:color w:val="000000" w:themeColor="text1"/>
          <w:sz w:val="24"/>
          <w:szCs w:val="24"/>
        </w:rPr>
        <w:t>不得参加同一合同项</w:t>
      </w:r>
      <w:r>
        <w:rPr>
          <w:rFonts w:hint="eastAsia" w:ascii="仿宋" w:hAnsi="仿宋" w:eastAsia="仿宋"/>
          <w:color w:val="000000" w:themeColor="text1"/>
          <w:sz w:val="24"/>
          <w:szCs w:val="24"/>
        </w:rPr>
        <w:t>（分包）</w:t>
      </w:r>
      <w:r>
        <w:rPr>
          <w:rFonts w:ascii="仿宋" w:hAnsi="仿宋" w:eastAsia="仿宋"/>
          <w:color w:val="000000" w:themeColor="text1"/>
          <w:sz w:val="24"/>
          <w:szCs w:val="24"/>
        </w:rPr>
        <w:t>下的政府采购活动</w:t>
      </w:r>
      <w:r>
        <w:rPr>
          <w:rFonts w:hint="eastAsia" w:ascii="仿宋" w:hAnsi="仿宋" w:eastAsia="仿宋"/>
          <w:color w:val="000000" w:themeColor="text1"/>
          <w:sz w:val="24"/>
          <w:szCs w:val="24"/>
        </w:rPr>
        <w:t>，否则均为响应无效。</w:t>
      </w:r>
    </w:p>
    <w:p>
      <w:pPr>
        <w:snapToGrid w:val="0"/>
        <w:spacing w:line="360" w:lineRule="auto"/>
        <w:ind w:firstLine="360" w:firstLineChars="150"/>
        <w:rPr>
          <w:rFonts w:ascii="仿宋" w:hAnsi="仿宋" w:eastAsia="仿宋"/>
          <w:color w:val="000000" w:themeColor="text1"/>
          <w:sz w:val="24"/>
          <w:szCs w:val="24"/>
        </w:rPr>
      </w:pPr>
      <w:r>
        <w:rPr>
          <w:rFonts w:hint="eastAsia" w:ascii="仿宋" w:hAnsi="仿宋" w:eastAsia="仿宋"/>
          <w:color w:val="000000" w:themeColor="text1"/>
          <w:sz w:val="24"/>
          <w:szCs w:val="24"/>
        </w:rPr>
        <w:t>（二）为采购项目提供整体设计、规范编制或者项目管理、监理、检测等服务的供应商，不得再</w:t>
      </w:r>
      <w:r>
        <w:rPr>
          <w:rFonts w:ascii="仿宋" w:hAnsi="仿宋" w:eastAsia="仿宋"/>
          <w:color w:val="000000" w:themeColor="text1"/>
          <w:sz w:val="24"/>
          <w:szCs w:val="24"/>
        </w:rPr>
        <w:t>参加</w:t>
      </w:r>
      <w:r>
        <w:rPr>
          <w:rFonts w:hint="eastAsia" w:ascii="仿宋" w:hAnsi="仿宋" w:eastAsia="仿宋"/>
          <w:color w:val="000000" w:themeColor="text1"/>
          <w:sz w:val="24"/>
          <w:szCs w:val="24"/>
        </w:rPr>
        <w:t>该采购</w:t>
      </w:r>
      <w:r>
        <w:rPr>
          <w:rFonts w:ascii="仿宋" w:hAnsi="仿宋" w:eastAsia="仿宋"/>
          <w:color w:val="000000" w:themeColor="text1"/>
          <w:sz w:val="24"/>
          <w:szCs w:val="24"/>
        </w:rPr>
        <w:t>项目的</w:t>
      </w:r>
      <w:r>
        <w:rPr>
          <w:rFonts w:hint="eastAsia" w:ascii="仿宋" w:hAnsi="仿宋" w:eastAsia="仿宋"/>
          <w:color w:val="000000" w:themeColor="text1"/>
          <w:sz w:val="24"/>
          <w:szCs w:val="24"/>
        </w:rPr>
        <w:t>其他</w:t>
      </w:r>
      <w:r>
        <w:rPr>
          <w:rFonts w:ascii="仿宋" w:hAnsi="仿宋" w:eastAsia="仿宋"/>
          <w:color w:val="000000" w:themeColor="text1"/>
          <w:sz w:val="24"/>
          <w:szCs w:val="24"/>
        </w:rPr>
        <w:t>采购活动</w:t>
      </w:r>
      <w:r>
        <w:rPr>
          <w:rFonts w:hint="eastAsia" w:ascii="仿宋" w:hAnsi="仿宋" w:eastAsia="仿宋"/>
          <w:color w:val="000000" w:themeColor="text1"/>
          <w:sz w:val="24"/>
          <w:szCs w:val="24"/>
        </w:rPr>
        <w:t>。</w:t>
      </w:r>
    </w:p>
    <w:p>
      <w:pPr>
        <w:spacing w:line="360" w:lineRule="auto"/>
        <w:ind w:firstLine="240" w:firstLineChars="100"/>
        <w:rPr>
          <w:color w:val="000000" w:themeColor="text1"/>
        </w:rPr>
      </w:pPr>
      <w:r>
        <w:rPr>
          <w:rFonts w:hint="eastAsia" w:ascii="仿宋" w:hAnsi="仿宋" w:eastAsia="仿宋"/>
          <w:color w:val="000000" w:themeColor="text1"/>
          <w:sz w:val="24"/>
          <w:szCs w:val="24"/>
        </w:rPr>
        <w:t>（三）同一合同项（分包）下为单一品目或非单一品目核心产品品牌的货物采购招标中，同一品牌有多家供应商参加网上竞采，只能按照一家供应商计算，最终评审得分最高的供应商获得成交供应商推荐资格。</w:t>
      </w:r>
    </w:p>
    <w:p>
      <w:pPr>
        <w:snapToGrid w:val="0"/>
        <w:spacing w:line="360" w:lineRule="auto"/>
        <w:ind w:firstLine="360" w:firstLineChars="150"/>
        <w:rPr>
          <w:rFonts w:ascii="仿宋" w:hAnsi="仿宋" w:eastAsia="仿宋"/>
          <w:color w:val="000000" w:themeColor="text1"/>
          <w:sz w:val="24"/>
          <w:szCs w:val="24"/>
        </w:rPr>
      </w:pPr>
      <w:r>
        <w:rPr>
          <w:rFonts w:hint="eastAsia" w:ascii="仿宋" w:hAnsi="仿宋" w:eastAsia="仿宋"/>
          <w:color w:val="000000" w:themeColor="text1"/>
          <w:sz w:val="24"/>
          <w:szCs w:val="24"/>
        </w:rPr>
        <w:t>（四）本项目的补遗文件（如果有）一律在重庆市政府采购云平台.网上竞采中心（https://xj.ccgp-chongqing.gov.cn/ge/）上发布，请各供应商注意下载；无论供应商下载与否，均视同供应商已知晓本项目补遗文件（如果有）的内容。</w:t>
      </w:r>
    </w:p>
    <w:p>
      <w:pPr>
        <w:snapToGrid w:val="0"/>
        <w:spacing w:line="360" w:lineRule="auto"/>
        <w:ind w:firstLine="360" w:firstLineChars="150"/>
        <w:rPr>
          <w:rFonts w:ascii="仿宋" w:hAnsi="仿宋" w:eastAsia="仿宋"/>
          <w:color w:val="000000" w:themeColor="text1"/>
          <w:sz w:val="24"/>
          <w:szCs w:val="24"/>
        </w:rPr>
      </w:pPr>
      <w:r>
        <w:rPr>
          <w:rFonts w:hint="eastAsia" w:ascii="仿宋" w:hAnsi="仿宋" w:eastAsia="仿宋"/>
          <w:color w:val="000000" w:themeColor="text1"/>
          <w:sz w:val="24"/>
          <w:szCs w:val="24"/>
        </w:rPr>
        <w:t>（五）超过响应文件截止时间递交的响应文件，恕不接收。</w:t>
      </w:r>
    </w:p>
    <w:p>
      <w:pPr>
        <w:snapToGrid w:val="0"/>
        <w:spacing w:line="360" w:lineRule="auto"/>
        <w:ind w:firstLine="360" w:firstLineChars="150"/>
        <w:rPr>
          <w:rFonts w:ascii="仿宋" w:hAnsi="仿宋" w:eastAsia="仿宋"/>
          <w:color w:val="000000" w:themeColor="text1"/>
          <w:sz w:val="24"/>
          <w:szCs w:val="24"/>
        </w:rPr>
      </w:pPr>
      <w:r>
        <w:rPr>
          <w:rFonts w:hint="eastAsia" w:ascii="仿宋" w:hAnsi="仿宋" w:eastAsia="仿宋"/>
          <w:color w:val="000000" w:themeColor="text1"/>
          <w:sz w:val="24"/>
          <w:szCs w:val="24"/>
        </w:rPr>
        <w:t>（六）网上竞采费用：无论网上竞采结果如何，供应商参与本项目网上竞采的所有费用均应由供应商自行承担。</w:t>
      </w:r>
    </w:p>
    <w:p>
      <w:pPr>
        <w:snapToGrid w:val="0"/>
        <w:spacing w:line="360" w:lineRule="auto"/>
        <w:ind w:firstLine="361" w:firstLineChars="150"/>
        <w:rPr>
          <w:rFonts w:ascii="仿宋" w:hAnsi="仿宋" w:eastAsia="仿宋"/>
          <w:b/>
          <w:bCs/>
          <w:color w:val="000000" w:themeColor="text1"/>
          <w:sz w:val="24"/>
          <w:szCs w:val="24"/>
        </w:rPr>
      </w:pPr>
      <w:bookmarkStart w:id="25" w:name="_Toc480466700"/>
      <w:r>
        <w:rPr>
          <w:rFonts w:hint="eastAsia" w:ascii="仿宋" w:hAnsi="仿宋" w:eastAsia="仿宋"/>
          <w:b/>
          <w:bCs/>
          <w:color w:val="000000" w:themeColor="text1"/>
          <w:sz w:val="24"/>
          <w:szCs w:val="24"/>
        </w:rPr>
        <w:t>（七）本项目不接受联合体参与网上竞采。</w:t>
      </w:r>
    </w:p>
    <w:p>
      <w:pPr>
        <w:snapToGrid w:val="0"/>
        <w:spacing w:line="360" w:lineRule="auto"/>
        <w:ind w:firstLine="361" w:firstLineChars="150"/>
        <w:rPr>
          <w:rFonts w:ascii="仿宋" w:hAnsi="仿宋" w:eastAsia="仿宋"/>
          <w:b/>
          <w:bCs/>
          <w:color w:val="000000" w:themeColor="text1"/>
          <w:sz w:val="24"/>
          <w:szCs w:val="24"/>
        </w:rPr>
      </w:pPr>
      <w:r>
        <w:rPr>
          <w:rFonts w:hint="eastAsia" w:ascii="仿宋" w:hAnsi="仿宋" w:eastAsia="仿宋"/>
          <w:b/>
          <w:bCs/>
          <w:color w:val="000000" w:themeColor="text1"/>
          <w:sz w:val="24"/>
          <w:szCs w:val="24"/>
        </w:rPr>
        <w:t>（八）本项目不接受合同分包。</w:t>
      </w:r>
    </w:p>
    <w:p>
      <w:pPr>
        <w:snapToGrid w:val="0"/>
        <w:spacing w:line="360" w:lineRule="auto"/>
        <w:ind w:firstLine="360" w:firstLineChars="150"/>
        <w:rPr>
          <w:rFonts w:ascii="仿宋" w:hAnsi="仿宋" w:eastAsia="仿宋"/>
          <w:color w:val="000000" w:themeColor="text1"/>
          <w:sz w:val="24"/>
          <w:szCs w:val="24"/>
        </w:rPr>
      </w:pPr>
      <w:r>
        <w:rPr>
          <w:rFonts w:hint="eastAsia" w:ascii="仿宋" w:hAnsi="仿宋" w:eastAsia="仿宋"/>
          <w:color w:val="000000" w:themeColor="text1"/>
          <w:sz w:val="24"/>
          <w:szCs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spacing w:before="0" w:after="0" w:line="360" w:lineRule="auto"/>
        <w:rPr>
          <w:rFonts w:ascii="仿宋" w:hAnsi="仿宋" w:eastAsia="仿宋"/>
          <w:color w:val="000000" w:themeColor="text1"/>
          <w:sz w:val="24"/>
          <w:szCs w:val="24"/>
        </w:rPr>
      </w:pPr>
      <w:bookmarkStart w:id="26" w:name="_Toc28780"/>
      <w:bookmarkStart w:id="27" w:name="_Toc6296"/>
      <w:r>
        <w:rPr>
          <w:rFonts w:hint="eastAsia" w:ascii="仿宋" w:hAnsi="仿宋" w:eastAsia="仿宋"/>
          <w:color w:val="000000" w:themeColor="text1"/>
          <w:sz w:val="24"/>
          <w:szCs w:val="24"/>
        </w:rPr>
        <w:t>七、联系方式</w:t>
      </w:r>
      <w:bookmarkEnd w:id="25"/>
      <w:bookmarkEnd w:id="26"/>
      <w:bookmarkEnd w:id="27"/>
    </w:p>
    <w:p>
      <w:pPr>
        <w:snapToGrid w:val="0"/>
        <w:spacing w:line="360" w:lineRule="auto"/>
        <w:ind w:firstLine="480" w:firstLineChars="200"/>
        <w:rPr>
          <w:rFonts w:hint="eastAsia" w:ascii="仿宋" w:hAnsi="仿宋" w:eastAsia="仿宋"/>
          <w:color w:val="000000" w:themeColor="text1"/>
          <w:sz w:val="24"/>
          <w:szCs w:val="24"/>
          <w:lang w:eastAsia="zh-CN"/>
        </w:rPr>
      </w:pPr>
      <w:r>
        <w:rPr>
          <w:rFonts w:hint="eastAsia" w:ascii="仿宋" w:hAnsi="仿宋" w:eastAsia="仿宋"/>
          <w:color w:val="000000" w:themeColor="text1"/>
          <w:sz w:val="24"/>
          <w:szCs w:val="24"/>
        </w:rPr>
        <w:t>（一）采购人：</w:t>
      </w:r>
      <w:r>
        <w:rPr>
          <w:rFonts w:hint="eastAsia" w:ascii="仿宋" w:hAnsi="仿宋" w:eastAsia="仿宋"/>
          <w:color w:val="000000" w:themeColor="text1"/>
          <w:sz w:val="24"/>
          <w:szCs w:val="24"/>
          <w:lang w:eastAsia="zh-CN"/>
        </w:rPr>
        <w:t>重庆市万盛经济技术开发区卫生健康局</w:t>
      </w:r>
    </w:p>
    <w:p>
      <w:pPr>
        <w:snapToGrid w:val="0"/>
        <w:spacing w:line="360" w:lineRule="auto"/>
        <w:ind w:firstLine="480" w:firstLineChars="200"/>
        <w:rPr>
          <w:rFonts w:hint="default" w:ascii="仿宋" w:hAnsi="仿宋" w:eastAsia="仿宋"/>
          <w:color w:val="000000" w:themeColor="text1"/>
          <w:sz w:val="24"/>
          <w:szCs w:val="24"/>
          <w:lang w:val="en-US" w:eastAsia="zh-CN"/>
        </w:rPr>
      </w:pPr>
      <w:r>
        <w:rPr>
          <w:rFonts w:hint="eastAsia" w:ascii="仿宋" w:hAnsi="仿宋" w:eastAsia="仿宋"/>
          <w:color w:val="000000" w:themeColor="text1"/>
          <w:sz w:val="24"/>
          <w:szCs w:val="24"/>
          <w:lang w:eastAsia="zh-CN"/>
        </w:rPr>
        <w:t>联系人：</w:t>
      </w:r>
      <w:r>
        <w:rPr>
          <w:rFonts w:hint="eastAsia" w:ascii="仿宋" w:hAnsi="仿宋" w:eastAsia="仿宋"/>
          <w:color w:val="000000" w:themeColor="text1"/>
          <w:sz w:val="24"/>
          <w:szCs w:val="24"/>
          <w:lang w:val="en-US" w:eastAsia="zh-CN"/>
        </w:rPr>
        <w:t>陈老师</w:t>
      </w:r>
    </w:p>
    <w:p>
      <w:pPr>
        <w:snapToGrid w:val="0"/>
        <w:spacing w:line="360" w:lineRule="auto"/>
        <w:ind w:firstLine="480" w:firstLineChars="200"/>
        <w:rPr>
          <w:rFonts w:hint="default" w:ascii="仿宋" w:hAnsi="仿宋" w:eastAsia="仿宋"/>
          <w:color w:val="000000" w:themeColor="text1"/>
          <w:sz w:val="24"/>
          <w:szCs w:val="24"/>
          <w:lang w:val="en-US" w:eastAsia="zh-CN"/>
        </w:rPr>
      </w:pPr>
      <w:r>
        <w:rPr>
          <w:rFonts w:hint="eastAsia" w:ascii="仿宋" w:hAnsi="仿宋" w:eastAsia="仿宋"/>
          <w:color w:val="000000" w:themeColor="text1"/>
          <w:sz w:val="24"/>
          <w:szCs w:val="24"/>
          <w:lang w:eastAsia="zh-CN"/>
        </w:rPr>
        <w:t>电话：023-48280496</w:t>
      </w:r>
    </w:p>
    <w:p>
      <w:pPr>
        <w:snapToGrid w:val="0"/>
        <w:spacing w:line="360" w:lineRule="auto"/>
        <w:ind w:firstLine="480" w:firstLineChars="200"/>
        <w:rPr>
          <w:rFonts w:hint="default" w:ascii="仿宋" w:hAnsi="仿宋" w:eastAsia="仿宋"/>
          <w:color w:val="000000" w:themeColor="text1"/>
          <w:sz w:val="24"/>
          <w:szCs w:val="24"/>
          <w:lang w:val="en-US" w:eastAsia="zh-CN"/>
        </w:rPr>
      </w:pPr>
      <w:r>
        <w:rPr>
          <w:rFonts w:hint="eastAsia" w:ascii="仿宋" w:hAnsi="仿宋" w:eastAsia="仿宋"/>
          <w:color w:val="000000" w:themeColor="text1"/>
          <w:sz w:val="24"/>
          <w:szCs w:val="24"/>
          <w:lang w:eastAsia="zh-CN"/>
        </w:rPr>
        <w:t>地址：重庆市万盛经开区勤俭路36号309室</w:t>
      </w:r>
    </w:p>
    <w:p>
      <w:pPr>
        <w:numPr>
          <w:ilvl w:val="0"/>
          <w:numId w:val="14"/>
        </w:numPr>
        <w:snapToGrid w:val="0"/>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采购代理机构：重庆千策招标代理有限公司</w:t>
      </w:r>
    </w:p>
    <w:p>
      <w:pPr>
        <w:snapToGrid w:val="0"/>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联系人：康莉</w:t>
      </w:r>
    </w:p>
    <w:p>
      <w:pPr>
        <w:snapToGrid w:val="0"/>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电话：</w:t>
      </w:r>
      <w:r>
        <w:rPr>
          <w:rFonts w:hint="eastAsia" w:ascii="仿宋" w:hAnsi="仿宋" w:eastAsia="仿宋" w:cs="仿宋"/>
          <w:color w:val="000000" w:themeColor="text1"/>
          <w:kern w:val="1"/>
          <w:sz w:val="24"/>
          <w:szCs w:val="24"/>
        </w:rPr>
        <w:t xml:space="preserve">023-67461776 </w:t>
      </w:r>
    </w:p>
    <w:p>
      <w:pPr>
        <w:snapToGrid w:val="0"/>
        <w:spacing w:line="360" w:lineRule="auto"/>
        <w:ind w:firstLine="480" w:firstLineChars="200"/>
        <w:rPr>
          <w:rFonts w:ascii="仿宋" w:hAnsi="仿宋" w:eastAsia="仿宋"/>
          <w:color w:val="000000" w:themeColor="text1"/>
          <w:sz w:val="36"/>
          <w:szCs w:val="30"/>
        </w:rPr>
      </w:pPr>
      <w:r>
        <w:rPr>
          <w:rFonts w:hint="eastAsia" w:ascii="仿宋" w:hAnsi="仿宋" w:eastAsia="仿宋"/>
          <w:color w:val="000000" w:themeColor="text1"/>
          <w:sz w:val="24"/>
          <w:szCs w:val="24"/>
        </w:rPr>
        <w:t>地址：</w:t>
      </w:r>
      <w:r>
        <w:rPr>
          <w:rFonts w:hint="eastAsia" w:ascii="仿宋" w:hAnsi="仿宋" w:eastAsia="仿宋" w:cs="仿宋"/>
          <w:color w:val="000000" w:themeColor="text1"/>
          <w:kern w:val="1"/>
          <w:sz w:val="24"/>
          <w:szCs w:val="24"/>
        </w:rPr>
        <w:t>重庆市渝北区星光大道82号天王星D1-2栋7楼</w:t>
      </w:r>
      <w:bookmarkStart w:id="28" w:name="_Toc6581"/>
    </w:p>
    <w:p>
      <w:pPr>
        <w:pStyle w:val="2"/>
        <w:spacing w:before="0" w:after="0" w:line="360" w:lineRule="auto"/>
        <w:jc w:val="center"/>
        <w:rPr>
          <w:rFonts w:hint="eastAsia" w:ascii="仿宋" w:hAnsi="仿宋" w:eastAsia="仿宋"/>
          <w:b w:val="0"/>
          <w:color w:val="000000" w:themeColor="text1"/>
          <w:sz w:val="36"/>
          <w:szCs w:val="30"/>
        </w:rPr>
      </w:pPr>
    </w:p>
    <w:p>
      <w:pPr>
        <w:rPr>
          <w:rFonts w:hint="eastAsia" w:ascii="仿宋" w:hAnsi="仿宋" w:eastAsia="仿宋"/>
          <w:b w:val="0"/>
          <w:color w:val="000000" w:themeColor="text1"/>
          <w:sz w:val="36"/>
          <w:szCs w:val="30"/>
        </w:rPr>
      </w:pPr>
    </w:p>
    <w:p>
      <w:pPr>
        <w:pStyle w:val="15"/>
        <w:rPr>
          <w:rFonts w:hint="eastAsia" w:ascii="仿宋" w:hAnsi="仿宋" w:eastAsia="仿宋"/>
          <w:b w:val="0"/>
          <w:color w:val="000000" w:themeColor="text1"/>
          <w:sz w:val="36"/>
          <w:szCs w:val="30"/>
        </w:rPr>
      </w:pPr>
    </w:p>
    <w:p>
      <w:pPr>
        <w:pStyle w:val="15"/>
        <w:rPr>
          <w:rFonts w:hint="eastAsia" w:ascii="仿宋" w:hAnsi="仿宋" w:eastAsia="仿宋"/>
          <w:b w:val="0"/>
          <w:color w:val="000000" w:themeColor="text1"/>
          <w:sz w:val="36"/>
          <w:szCs w:val="30"/>
        </w:rPr>
      </w:pPr>
    </w:p>
    <w:p>
      <w:pPr>
        <w:pStyle w:val="15"/>
        <w:rPr>
          <w:rFonts w:hint="eastAsia" w:ascii="仿宋" w:hAnsi="仿宋" w:eastAsia="仿宋"/>
          <w:b w:val="0"/>
          <w:color w:val="000000" w:themeColor="text1"/>
          <w:sz w:val="36"/>
          <w:szCs w:val="30"/>
        </w:rPr>
      </w:pPr>
    </w:p>
    <w:p>
      <w:pPr>
        <w:pStyle w:val="15"/>
        <w:rPr>
          <w:rFonts w:hint="eastAsia" w:ascii="仿宋" w:hAnsi="仿宋" w:eastAsia="仿宋"/>
          <w:b w:val="0"/>
          <w:color w:val="000000" w:themeColor="text1"/>
          <w:sz w:val="36"/>
          <w:szCs w:val="30"/>
        </w:rPr>
      </w:pPr>
    </w:p>
    <w:p>
      <w:pPr>
        <w:pStyle w:val="15"/>
        <w:rPr>
          <w:rFonts w:hint="eastAsia" w:ascii="仿宋" w:hAnsi="仿宋" w:eastAsia="仿宋"/>
          <w:b w:val="0"/>
          <w:color w:val="000000" w:themeColor="text1"/>
          <w:sz w:val="36"/>
          <w:szCs w:val="30"/>
        </w:rPr>
      </w:pPr>
    </w:p>
    <w:p>
      <w:pPr>
        <w:pStyle w:val="15"/>
        <w:ind w:left="0" w:leftChars="0" w:firstLine="0" w:firstLineChars="0"/>
        <w:rPr>
          <w:rFonts w:hint="eastAsia" w:ascii="仿宋" w:hAnsi="仿宋" w:eastAsia="仿宋"/>
          <w:b w:val="0"/>
          <w:color w:val="000000" w:themeColor="text1"/>
          <w:sz w:val="36"/>
          <w:szCs w:val="30"/>
        </w:rPr>
      </w:pPr>
    </w:p>
    <w:p>
      <w:pPr>
        <w:pStyle w:val="2"/>
        <w:spacing w:before="0" w:after="0" w:line="360" w:lineRule="auto"/>
        <w:jc w:val="center"/>
        <w:rPr>
          <w:rFonts w:ascii="仿宋" w:hAnsi="仿宋" w:eastAsia="仿宋"/>
          <w:b w:val="0"/>
          <w:color w:val="000000" w:themeColor="text1"/>
          <w:sz w:val="30"/>
          <w:szCs w:val="30"/>
        </w:rPr>
      </w:pPr>
      <w:bookmarkStart w:id="29" w:name="_Toc139"/>
      <w:r>
        <w:rPr>
          <w:rFonts w:hint="eastAsia" w:ascii="仿宋" w:hAnsi="仿宋" w:eastAsia="仿宋"/>
          <w:b w:val="0"/>
          <w:color w:val="000000" w:themeColor="text1"/>
          <w:sz w:val="36"/>
          <w:szCs w:val="30"/>
        </w:rPr>
        <w:t>第二篇</w:t>
      </w:r>
      <w:r>
        <w:rPr>
          <w:rFonts w:hint="eastAsia" w:ascii="仿宋" w:hAnsi="仿宋" w:eastAsia="仿宋"/>
          <w:b w:val="0"/>
          <w:color w:val="000000" w:themeColor="text1"/>
          <w:sz w:val="36"/>
          <w:szCs w:val="30"/>
          <w:lang w:val="en-US" w:eastAsia="zh-CN"/>
        </w:rPr>
        <w:t xml:space="preserve"> </w:t>
      </w:r>
      <w:r>
        <w:rPr>
          <w:rFonts w:hint="eastAsia" w:ascii="仿宋" w:hAnsi="仿宋" w:eastAsia="仿宋"/>
          <w:b w:val="0"/>
          <w:color w:val="000000" w:themeColor="text1"/>
          <w:sz w:val="36"/>
          <w:szCs w:val="30"/>
        </w:rPr>
        <w:t>采购项目技术需求</w:t>
      </w:r>
      <w:bookmarkEnd w:id="28"/>
      <w:bookmarkEnd w:id="29"/>
    </w:p>
    <w:p>
      <w:pPr>
        <w:pStyle w:val="4"/>
        <w:spacing w:before="0" w:after="0" w:line="360" w:lineRule="auto"/>
        <w:rPr>
          <w:rFonts w:hint="eastAsia" w:ascii="仿宋" w:hAnsi="仿宋" w:eastAsia="仿宋"/>
          <w:sz w:val="24"/>
          <w:szCs w:val="24"/>
          <w:lang w:eastAsia="zh-CN"/>
        </w:rPr>
      </w:pPr>
      <w:bookmarkStart w:id="30" w:name="_Toc22047738"/>
      <w:bookmarkStart w:id="31" w:name="_Toc10113"/>
      <w:bookmarkStart w:id="32" w:name="_Toc13625"/>
      <w:bookmarkStart w:id="33" w:name="_Toc12789058"/>
      <w:r>
        <w:rPr>
          <w:rFonts w:hint="eastAsia" w:ascii="仿宋" w:hAnsi="仿宋" w:eastAsia="仿宋"/>
          <w:sz w:val="24"/>
          <w:szCs w:val="24"/>
        </w:rPr>
        <w:t>一、</w:t>
      </w:r>
      <w:bookmarkEnd w:id="30"/>
      <w:r>
        <w:rPr>
          <w:rFonts w:hint="eastAsia" w:ascii="仿宋" w:hAnsi="仿宋" w:eastAsia="仿宋"/>
          <w:sz w:val="24"/>
          <w:szCs w:val="24"/>
        </w:rPr>
        <w:t>项目</w:t>
      </w:r>
      <w:bookmarkEnd w:id="31"/>
      <w:r>
        <w:rPr>
          <w:rFonts w:hint="eastAsia" w:ascii="仿宋" w:hAnsi="仿宋" w:eastAsia="仿宋"/>
          <w:sz w:val="24"/>
          <w:szCs w:val="24"/>
          <w:lang w:eastAsia="zh-CN"/>
        </w:rPr>
        <w:t>情况一览表</w:t>
      </w:r>
      <w:bookmarkEnd w:id="32"/>
    </w:p>
    <w:tbl>
      <w:tblPr>
        <w:tblStyle w:val="59"/>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3627"/>
        <w:gridCol w:w="1304"/>
        <w:gridCol w:w="1646"/>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0" w:type="dxa"/>
            <w:tcBorders>
              <w:top w:val="single" w:color="auto" w:sz="4" w:space="0"/>
              <w:left w:val="single" w:color="auto" w:sz="4" w:space="0"/>
              <w:right w:val="single" w:color="auto" w:sz="4" w:space="0"/>
            </w:tcBorders>
            <w:vAlign w:val="center"/>
          </w:tcPr>
          <w:p>
            <w:pPr>
              <w:widowControl/>
              <w:spacing w:line="360" w:lineRule="auto"/>
              <w:jc w:val="center"/>
              <w:rPr>
                <w:rFonts w:ascii="仿宋" w:eastAsia="仿宋" w:cs="宋体"/>
                <w:b/>
                <w:bCs/>
                <w:kern w:val="0"/>
                <w:sz w:val="24"/>
                <w:szCs w:val="24"/>
              </w:rPr>
            </w:pPr>
            <w:bookmarkStart w:id="34" w:name="_Toc31288"/>
            <w:bookmarkStart w:id="35" w:name="_Toc9863"/>
            <w:bookmarkStart w:id="36" w:name="_Toc29018"/>
            <w:bookmarkStart w:id="37" w:name="_Toc313536013"/>
            <w:bookmarkStart w:id="38" w:name="_Toc3669"/>
            <w:bookmarkStart w:id="39" w:name="_Toc344475116"/>
            <w:bookmarkStart w:id="40" w:name="_Toc530144826"/>
            <w:r>
              <w:rPr>
                <w:rFonts w:hint="eastAsia" w:ascii="仿宋" w:eastAsia="仿宋" w:cs="宋体"/>
                <w:b/>
                <w:bCs/>
                <w:kern w:val="0"/>
                <w:sz w:val="24"/>
                <w:szCs w:val="24"/>
              </w:rPr>
              <w:t>序号</w:t>
            </w:r>
          </w:p>
        </w:tc>
        <w:tc>
          <w:tcPr>
            <w:tcW w:w="3627" w:type="dxa"/>
            <w:tcBorders>
              <w:top w:val="single" w:color="auto" w:sz="4" w:space="0"/>
              <w:left w:val="single" w:color="auto" w:sz="4" w:space="0"/>
              <w:right w:val="single" w:color="auto" w:sz="4" w:space="0"/>
            </w:tcBorders>
            <w:vAlign w:val="center"/>
          </w:tcPr>
          <w:p>
            <w:pPr>
              <w:spacing w:line="360" w:lineRule="auto"/>
              <w:jc w:val="center"/>
              <w:rPr>
                <w:rFonts w:ascii="仿宋" w:eastAsia="仿宋" w:cs="宋体"/>
                <w:b/>
                <w:bCs/>
                <w:kern w:val="0"/>
                <w:sz w:val="24"/>
                <w:szCs w:val="24"/>
              </w:rPr>
            </w:pPr>
            <w:r>
              <w:rPr>
                <w:rFonts w:hint="eastAsia" w:ascii="仿宋" w:eastAsia="仿宋" w:cs="宋体"/>
                <w:b/>
                <w:bCs/>
                <w:kern w:val="0"/>
                <w:sz w:val="24"/>
                <w:szCs w:val="24"/>
              </w:rPr>
              <w:t>名称</w:t>
            </w:r>
          </w:p>
        </w:tc>
        <w:tc>
          <w:tcPr>
            <w:tcW w:w="1304" w:type="dxa"/>
            <w:tcBorders>
              <w:top w:val="single" w:color="auto" w:sz="4" w:space="0"/>
              <w:left w:val="single" w:color="auto" w:sz="4" w:space="0"/>
              <w:right w:val="single" w:color="auto" w:sz="4" w:space="0"/>
            </w:tcBorders>
            <w:vAlign w:val="center"/>
          </w:tcPr>
          <w:p>
            <w:pPr>
              <w:spacing w:line="360" w:lineRule="auto"/>
              <w:jc w:val="center"/>
              <w:rPr>
                <w:rFonts w:ascii="仿宋" w:eastAsia="仿宋" w:cs="宋体"/>
                <w:kern w:val="0"/>
                <w:sz w:val="24"/>
                <w:szCs w:val="24"/>
              </w:rPr>
            </w:pPr>
            <w:r>
              <w:rPr>
                <w:rFonts w:hint="eastAsia" w:ascii="仿宋" w:eastAsia="仿宋" w:cs="宋体"/>
                <w:b/>
                <w:bCs/>
                <w:kern w:val="0"/>
                <w:sz w:val="24"/>
                <w:szCs w:val="24"/>
              </w:rPr>
              <w:t>数量</w:t>
            </w:r>
          </w:p>
        </w:tc>
        <w:tc>
          <w:tcPr>
            <w:tcW w:w="1646" w:type="dxa"/>
            <w:tcBorders>
              <w:top w:val="single" w:color="auto" w:sz="4" w:space="0"/>
              <w:left w:val="single" w:color="auto" w:sz="4" w:space="0"/>
              <w:right w:val="single" w:color="auto" w:sz="4" w:space="0"/>
            </w:tcBorders>
            <w:vAlign w:val="center"/>
          </w:tcPr>
          <w:p>
            <w:pPr>
              <w:spacing w:line="360" w:lineRule="auto"/>
              <w:jc w:val="center"/>
              <w:rPr>
                <w:rFonts w:hint="default" w:ascii="仿宋" w:eastAsia="仿宋" w:cs="宋体"/>
                <w:b/>
                <w:bCs/>
                <w:kern w:val="0"/>
                <w:sz w:val="24"/>
                <w:szCs w:val="24"/>
                <w:lang w:val="en-US" w:eastAsia="zh-CN"/>
              </w:rPr>
            </w:pPr>
            <w:r>
              <w:rPr>
                <w:rFonts w:hint="eastAsia" w:ascii="仿宋" w:eastAsia="仿宋" w:cs="宋体"/>
                <w:b/>
                <w:bCs/>
                <w:kern w:val="0"/>
                <w:sz w:val="24"/>
                <w:szCs w:val="24"/>
                <w:lang w:val="en-US" w:eastAsia="zh-CN"/>
              </w:rPr>
              <w:t>单位</w:t>
            </w:r>
          </w:p>
        </w:tc>
        <w:tc>
          <w:tcPr>
            <w:tcW w:w="2050" w:type="dxa"/>
            <w:tcBorders>
              <w:top w:val="single" w:color="auto" w:sz="4" w:space="0"/>
              <w:left w:val="single" w:color="auto" w:sz="4" w:space="0"/>
              <w:right w:val="single" w:color="auto" w:sz="4" w:space="0"/>
            </w:tcBorders>
            <w:vAlign w:val="center"/>
          </w:tcPr>
          <w:p>
            <w:pPr>
              <w:spacing w:line="360" w:lineRule="auto"/>
              <w:jc w:val="center"/>
              <w:rPr>
                <w:rFonts w:ascii="仿宋" w:eastAsia="仿宋" w:cs="宋体"/>
                <w:b/>
                <w:bCs/>
                <w:kern w:val="0"/>
                <w:sz w:val="24"/>
                <w:szCs w:val="24"/>
              </w:rPr>
            </w:pPr>
            <w:r>
              <w:rPr>
                <w:rFonts w:hint="eastAsia" w:ascii="仿宋" w:eastAsia="仿宋"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eastAsia="仿宋"/>
                <w:sz w:val="24"/>
                <w:szCs w:val="24"/>
              </w:rPr>
            </w:pPr>
            <w:r>
              <w:rPr>
                <w:rFonts w:hint="eastAsia" w:ascii="仿宋" w:eastAsia="仿宋"/>
                <w:sz w:val="24"/>
                <w:szCs w:val="24"/>
              </w:rPr>
              <w:t>1</w:t>
            </w:r>
          </w:p>
        </w:tc>
        <w:tc>
          <w:tcPr>
            <w:tcW w:w="3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sz w:val="24"/>
                <w:szCs w:val="24"/>
              </w:rPr>
            </w:pPr>
            <w:r>
              <w:rPr>
                <w:rFonts w:hint="eastAsia" w:ascii="仿宋" w:eastAsia="仿宋"/>
                <w:sz w:val="24"/>
                <w:szCs w:val="24"/>
                <w:lang w:eastAsia="zh-CN"/>
              </w:rPr>
              <w:t>重庆市万盛经开区建成区公共外环境“四害”防制专业服务</w:t>
            </w:r>
          </w:p>
        </w:tc>
        <w:tc>
          <w:tcPr>
            <w:tcW w:w="13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eastAsia="仿宋"/>
                <w:sz w:val="24"/>
                <w:szCs w:val="24"/>
                <w:lang w:eastAsia="zh-CN"/>
              </w:rPr>
            </w:pPr>
            <w:r>
              <w:rPr>
                <w:rFonts w:hint="eastAsia" w:ascii="仿宋" w:eastAsia="仿宋"/>
                <w:sz w:val="24"/>
                <w:szCs w:val="24"/>
                <w:lang w:val="en-US" w:eastAsia="zh-CN"/>
              </w:rPr>
              <w:t>1</w:t>
            </w:r>
          </w:p>
        </w:tc>
        <w:tc>
          <w:tcPr>
            <w:tcW w:w="1646" w:type="dxa"/>
            <w:tcBorders>
              <w:top w:val="single" w:color="auto" w:sz="4" w:space="0"/>
              <w:left w:val="single" w:color="auto" w:sz="4" w:space="0"/>
              <w:right w:val="single" w:color="auto" w:sz="4" w:space="0"/>
            </w:tcBorders>
            <w:vAlign w:val="center"/>
          </w:tcPr>
          <w:p>
            <w:pPr>
              <w:spacing w:line="400" w:lineRule="exact"/>
              <w:jc w:val="center"/>
              <w:rPr>
                <w:rFonts w:hint="eastAsia" w:ascii="仿宋" w:eastAsia="仿宋"/>
                <w:sz w:val="24"/>
                <w:szCs w:val="24"/>
                <w:lang w:val="en-US" w:eastAsia="zh-CN"/>
              </w:rPr>
            </w:pPr>
            <w:r>
              <w:rPr>
                <w:rFonts w:hint="eastAsia" w:ascii="仿宋" w:eastAsia="仿宋"/>
                <w:sz w:val="24"/>
                <w:szCs w:val="24"/>
                <w:lang w:val="en-US" w:eastAsia="zh-CN"/>
              </w:rPr>
              <w:t>年</w:t>
            </w:r>
          </w:p>
        </w:tc>
        <w:tc>
          <w:tcPr>
            <w:tcW w:w="2050" w:type="dxa"/>
            <w:tcBorders>
              <w:top w:val="single" w:color="auto" w:sz="4" w:space="0"/>
              <w:left w:val="single" w:color="auto" w:sz="4" w:space="0"/>
              <w:right w:val="single" w:color="auto" w:sz="4" w:space="0"/>
            </w:tcBorders>
            <w:vAlign w:val="center"/>
          </w:tcPr>
          <w:p>
            <w:pPr>
              <w:spacing w:line="400" w:lineRule="exact"/>
              <w:jc w:val="center"/>
              <w:rPr>
                <w:rFonts w:hint="default" w:ascii="仿宋" w:eastAsia="仿宋"/>
                <w:sz w:val="24"/>
                <w:szCs w:val="24"/>
                <w:lang w:val="en-US" w:eastAsia="zh-CN"/>
              </w:rPr>
            </w:pPr>
            <w:r>
              <w:rPr>
                <w:rFonts w:hint="eastAsia" w:ascii="仿宋" w:eastAsia="仿宋"/>
                <w:sz w:val="24"/>
                <w:szCs w:val="24"/>
                <w:lang w:val="en-US" w:eastAsia="zh-CN"/>
              </w:rPr>
              <w:t>详见下文</w:t>
            </w:r>
          </w:p>
        </w:tc>
      </w:tr>
    </w:tbl>
    <w:p>
      <w:pPr>
        <w:pStyle w:val="4"/>
        <w:tabs>
          <w:tab w:val="left" w:pos="8520"/>
        </w:tabs>
        <w:spacing w:before="0" w:after="0" w:line="360" w:lineRule="auto"/>
        <w:rPr>
          <w:rFonts w:hint="eastAsia" w:ascii="仿宋" w:hAnsi="仿宋" w:eastAsia="仿宋"/>
          <w:sz w:val="24"/>
          <w:szCs w:val="24"/>
          <w:highlight w:val="none"/>
          <w:lang w:eastAsia="zh-CN"/>
        </w:rPr>
      </w:pPr>
      <w:bookmarkStart w:id="41" w:name="_Toc8331"/>
      <w:r>
        <w:rPr>
          <w:rFonts w:hint="eastAsia" w:ascii="仿宋" w:hAnsi="仿宋" w:eastAsia="仿宋"/>
          <w:sz w:val="24"/>
          <w:szCs w:val="24"/>
          <w:highlight w:val="none"/>
          <w:lang w:eastAsia="zh-CN"/>
        </w:rPr>
        <w:t>二</w:t>
      </w:r>
      <w:r>
        <w:rPr>
          <w:rFonts w:hint="eastAsia" w:ascii="仿宋" w:hAnsi="仿宋" w:eastAsia="仿宋"/>
          <w:sz w:val="24"/>
          <w:szCs w:val="24"/>
          <w:highlight w:val="none"/>
        </w:rPr>
        <w:t>、</w:t>
      </w:r>
      <w:bookmarkEnd w:id="34"/>
      <w:bookmarkEnd w:id="35"/>
      <w:bookmarkEnd w:id="36"/>
      <w:r>
        <w:rPr>
          <w:rFonts w:hint="eastAsia" w:ascii="仿宋" w:hAnsi="仿宋" w:eastAsia="仿宋"/>
          <w:sz w:val="24"/>
          <w:szCs w:val="24"/>
          <w:highlight w:val="none"/>
          <w:lang w:eastAsia="zh-CN"/>
        </w:rPr>
        <w:t>采购项目服务</w:t>
      </w:r>
      <w:r>
        <w:rPr>
          <w:rFonts w:hint="eastAsia" w:ascii="仿宋" w:hAnsi="仿宋" w:eastAsia="仿宋"/>
          <w:sz w:val="24"/>
          <w:szCs w:val="24"/>
          <w:highlight w:val="none"/>
        </w:rPr>
        <w:t>内容及要求</w:t>
      </w:r>
      <w:bookmarkEnd w:id="41"/>
      <w:r>
        <w:rPr>
          <w:rFonts w:hint="eastAsia" w:ascii="仿宋" w:hAnsi="仿宋" w:eastAsia="仿宋"/>
          <w:sz w:val="24"/>
          <w:szCs w:val="24"/>
          <w:highlight w:val="none"/>
          <w:lang w:eastAsia="zh-CN"/>
        </w:rPr>
        <w:tab/>
      </w:r>
    </w:p>
    <w:bookmarkEnd w:id="37"/>
    <w:bookmarkEnd w:id="38"/>
    <w:bookmarkEnd w:id="39"/>
    <w:bookmarkEnd w:id="40"/>
    <w:p>
      <w:pPr>
        <w:pStyle w:val="34"/>
        <w:spacing w:line="360" w:lineRule="auto"/>
        <w:ind w:firstLine="480" w:firstLineChars="200"/>
        <w:rPr>
          <w:rFonts w:hint="eastAsia" w:ascii="仿宋" w:hAnsi="仿宋" w:eastAsia="仿宋"/>
          <w:color w:val="auto"/>
          <w:sz w:val="24"/>
          <w:szCs w:val="24"/>
          <w:highlight w:val="none"/>
        </w:rPr>
      </w:pPr>
      <w:bookmarkStart w:id="42" w:name="_Toc8986"/>
      <w:bookmarkStart w:id="43" w:name="_Toc10694"/>
      <w:bookmarkStart w:id="44" w:name="_Toc31120"/>
      <w:bookmarkStart w:id="45" w:name="_Toc12675"/>
      <w:r>
        <w:rPr>
          <w:rFonts w:hint="eastAsia" w:ascii="仿宋" w:hAnsi="仿宋" w:eastAsia="仿宋"/>
          <w:color w:val="auto"/>
          <w:sz w:val="24"/>
          <w:szCs w:val="24"/>
          <w:highlight w:val="none"/>
        </w:rPr>
        <w:t>（一）采购内容</w:t>
      </w:r>
      <w:bookmarkEnd w:id="42"/>
      <w:bookmarkEnd w:id="43"/>
      <w:bookmarkEnd w:id="44"/>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万盛街道、东林街道、万东镇、南桐镇建成区公共外环境（不含物业小区、机关企事业、商场、商户、门店、摊贩等有明确主管部门或主管单位责任范围区域）约14.43平方公里的“四害”防制服务，及时对孳生地治理提出建议意见。</w:t>
      </w:r>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2.万盛经开区党工委、管委会办公院坝内所有单位和部门（含庭院、绿化带、楼道、办公室等整个院内区域）的“四害”防制服务。</w:t>
      </w:r>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万盛街道、东林街道、万东镇、南桐镇建成区范围内待建（拆迁）工地及其周边“四害”防制服务。</w:t>
      </w:r>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合理安装设置毒饵盒和灭蝇笼。每个社区毒饵盒平均不得少于60个，灭蝇笼平均不得少于15个，每个待建（拆迁）工地及其周边单独设置毒饵盒不得少于20个，灭蝇笼不得少于3个，定期维修，保持毒饵盒、灭蝇笼完好。</w:t>
      </w:r>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5.每半年组织建成区内单位、居民开展鼠、蚊、蝇、蟑螂防制知识宣传活动，适时开展密度监测工作，方法规范、资料完整。</w:t>
      </w:r>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6.春、夏、秋季每季作两轮灭鼠防制处理，冬季作一轮防制处理（连续投放五次作为一轮防制处理）。3～11月，每月至少全范围覆盖喷雾施药两次灭蚊、灭蝇、灭蟑螂，其他月份每月至少一次。</w:t>
      </w:r>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（二）服务要求</w:t>
      </w:r>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质量要求：</w:t>
      </w:r>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服务范围内“四害”密度控制在国家《病媒生物密度控制水平》各类B级标准以上（由当地疾控中心监测）。</w:t>
      </w:r>
    </w:p>
    <w:p>
      <w:pPr>
        <w:pStyle w:val="34"/>
        <w:spacing w:line="360" w:lineRule="auto"/>
        <w:ind w:firstLine="480" w:firstLineChars="20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供应商</w:t>
      </w:r>
      <w:r>
        <w:rPr>
          <w:rFonts w:hint="eastAsia" w:ascii="仿宋" w:hAnsi="仿宋" w:eastAsia="仿宋"/>
          <w:color w:val="auto"/>
          <w:sz w:val="24"/>
          <w:szCs w:val="24"/>
          <w:highlight w:val="none"/>
          <w:lang w:val="en-US" w:eastAsia="zh-CN"/>
        </w:rPr>
        <w:t>拟投入本项目</w:t>
      </w:r>
      <w:r>
        <w:rPr>
          <w:rFonts w:hint="eastAsia" w:ascii="仿宋" w:hAnsi="仿宋" w:eastAsia="仿宋"/>
          <w:color w:val="auto"/>
          <w:sz w:val="24"/>
          <w:szCs w:val="24"/>
          <w:highlight w:val="none"/>
        </w:rPr>
        <w:t>消杀用药</w:t>
      </w:r>
      <w:r>
        <w:rPr>
          <w:rFonts w:hint="eastAsia" w:ascii="仿宋" w:hAnsi="仿宋" w:eastAsia="仿宋"/>
          <w:color w:val="auto"/>
          <w:sz w:val="24"/>
          <w:szCs w:val="24"/>
          <w:highlight w:val="none"/>
          <w:lang w:val="en-US" w:eastAsia="zh-CN"/>
        </w:rPr>
        <w:t>须具备“三证”</w:t>
      </w:r>
      <w:r>
        <w:rPr>
          <w:rFonts w:hint="eastAsia" w:ascii="仿宋" w:hAnsi="仿宋" w:eastAsia="仿宋"/>
          <w:color w:val="auto"/>
          <w:sz w:val="24"/>
          <w:szCs w:val="24"/>
          <w:highlight w:val="none"/>
        </w:rPr>
        <w:t>（农药登记证、生产许可证、生产标准）</w:t>
      </w:r>
      <w:r>
        <w:rPr>
          <w:rFonts w:hint="eastAsia" w:ascii="仿宋" w:hAnsi="仿宋" w:eastAsia="仿宋"/>
          <w:color w:val="auto"/>
          <w:sz w:val="24"/>
          <w:szCs w:val="24"/>
          <w:highlight w:val="none"/>
          <w:lang w:eastAsia="zh-CN"/>
        </w:rPr>
        <w:t>。</w:t>
      </w:r>
      <w:r>
        <w:rPr>
          <w:rFonts w:hint="eastAsia" w:ascii="仿宋" w:hAnsi="仿宋" w:eastAsia="仿宋"/>
          <w:b/>
          <w:bCs/>
          <w:color w:val="auto"/>
          <w:sz w:val="24"/>
          <w:szCs w:val="24"/>
          <w:highlight w:val="none"/>
          <w:lang w:val="en-US" w:eastAsia="zh-CN"/>
        </w:rPr>
        <w:t>供应商投标时，</w:t>
      </w:r>
      <w:r>
        <w:rPr>
          <w:rFonts w:hint="eastAsia" w:ascii="仿宋" w:hAnsi="仿宋" w:eastAsia="仿宋"/>
          <w:b/>
          <w:bCs/>
          <w:color w:val="auto"/>
          <w:sz w:val="24"/>
          <w:szCs w:val="24"/>
          <w:highlight w:val="none"/>
        </w:rPr>
        <w:t>提供消杀用药“三证”（农药登记证、生产许可证、生产标准）检测报告书</w:t>
      </w:r>
      <w:r>
        <w:rPr>
          <w:rFonts w:hint="eastAsia" w:ascii="仿宋" w:hAnsi="仿宋" w:eastAsia="仿宋"/>
          <w:b/>
          <w:bCs/>
          <w:color w:val="auto"/>
          <w:sz w:val="24"/>
          <w:szCs w:val="24"/>
          <w:highlight w:val="none"/>
          <w:lang w:val="en-US" w:eastAsia="zh-CN"/>
        </w:rPr>
        <w:t>及</w:t>
      </w:r>
      <w:r>
        <w:rPr>
          <w:rFonts w:hint="eastAsia" w:ascii="仿宋" w:hAnsi="仿宋" w:eastAsia="仿宋"/>
          <w:b/>
          <w:bCs/>
          <w:color w:val="auto"/>
          <w:sz w:val="24"/>
          <w:szCs w:val="24"/>
          <w:highlight w:val="none"/>
        </w:rPr>
        <w:t>厂家授权书复印件</w:t>
      </w:r>
      <w:r>
        <w:rPr>
          <w:rFonts w:hint="eastAsia" w:ascii="仿宋" w:hAnsi="仿宋" w:eastAsia="仿宋"/>
          <w:b/>
          <w:bCs/>
          <w:color w:val="auto"/>
          <w:sz w:val="24"/>
          <w:szCs w:val="24"/>
          <w:highlight w:val="none"/>
          <w:lang w:eastAsia="zh-CN"/>
        </w:rPr>
        <w:t>，</w:t>
      </w:r>
      <w:r>
        <w:rPr>
          <w:rFonts w:hint="eastAsia" w:ascii="仿宋" w:hAnsi="仿宋" w:eastAsia="仿宋"/>
          <w:b/>
          <w:bCs/>
          <w:color w:val="auto"/>
          <w:sz w:val="24"/>
          <w:szCs w:val="24"/>
          <w:highlight w:val="none"/>
        </w:rPr>
        <w:t>并加盖</w:t>
      </w:r>
      <w:r>
        <w:rPr>
          <w:rFonts w:hint="eastAsia" w:ascii="仿宋" w:hAnsi="仿宋" w:eastAsia="仿宋"/>
          <w:b/>
          <w:bCs/>
          <w:color w:val="auto"/>
          <w:sz w:val="24"/>
          <w:szCs w:val="24"/>
          <w:highlight w:val="none"/>
          <w:lang w:val="en-US" w:eastAsia="zh-CN"/>
        </w:rPr>
        <w:t>供应商</w:t>
      </w:r>
      <w:r>
        <w:rPr>
          <w:rFonts w:hint="eastAsia" w:ascii="仿宋" w:hAnsi="仿宋" w:eastAsia="仿宋"/>
          <w:b/>
          <w:bCs/>
          <w:color w:val="auto"/>
          <w:sz w:val="24"/>
          <w:szCs w:val="24"/>
          <w:highlight w:val="none"/>
        </w:rPr>
        <w:t>公章。</w:t>
      </w:r>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人员要求：</w:t>
      </w:r>
    </w:p>
    <w:p>
      <w:pPr>
        <w:pStyle w:val="34"/>
        <w:spacing w:line="360" w:lineRule="auto"/>
        <w:ind w:firstLine="480" w:firstLineChars="20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（1）项目负责人：须具备“有害生物防制专业资格证书（高级/三级）”。</w:t>
      </w:r>
      <w:r>
        <w:rPr>
          <w:rFonts w:hint="eastAsia" w:ascii="仿宋" w:hAnsi="仿宋" w:eastAsia="仿宋"/>
          <w:b/>
          <w:bCs/>
          <w:color w:val="auto"/>
          <w:sz w:val="24"/>
          <w:szCs w:val="24"/>
          <w:highlight w:val="none"/>
          <w:lang w:eastAsia="zh-CN"/>
        </w:rPr>
        <w:t>供应商投标时，</w:t>
      </w:r>
      <w:r>
        <w:rPr>
          <w:rFonts w:hint="eastAsia" w:ascii="仿宋" w:eastAsia="仿宋" w:cs="仿宋"/>
          <w:b/>
          <w:bCs/>
          <w:color w:val="auto"/>
          <w:sz w:val="24"/>
          <w:szCs w:val="24"/>
          <w:lang w:bidi="ar-SA"/>
        </w:rPr>
        <w:t>提供证书复印件（证书在“技能人才评价证书全国联网查询系统”可查）及供应商为其缴纳的2022年1月-2022年7月社保缴纳证明材料复印件</w:t>
      </w:r>
      <w:r>
        <w:rPr>
          <w:rFonts w:hint="eastAsia" w:ascii="仿宋" w:eastAsia="仿宋" w:cs="仿宋"/>
          <w:b/>
          <w:bCs/>
          <w:color w:val="auto"/>
          <w:sz w:val="24"/>
          <w:szCs w:val="24"/>
          <w:lang w:eastAsia="zh-CN" w:bidi="ar-SA"/>
        </w:rPr>
        <w:t>（</w:t>
      </w:r>
      <w:r>
        <w:rPr>
          <w:rFonts w:hint="eastAsia" w:ascii="仿宋" w:eastAsia="仿宋" w:cs="仿宋"/>
          <w:b/>
          <w:bCs/>
          <w:color w:val="auto"/>
          <w:sz w:val="24"/>
          <w:szCs w:val="24"/>
          <w:lang w:val="en-US" w:eastAsia="zh-CN" w:bidi="ar-SA"/>
        </w:rPr>
        <w:t>供应商在2022年1月份之后成立的提供成立之后至开标前月或开标当月社保缴纳证明复印件）</w:t>
      </w:r>
      <w:r>
        <w:rPr>
          <w:rFonts w:hint="eastAsia" w:ascii="仿宋" w:eastAsia="仿宋" w:cs="仿宋"/>
          <w:b/>
          <w:bCs/>
          <w:color w:val="auto"/>
          <w:sz w:val="24"/>
          <w:szCs w:val="24"/>
          <w:lang w:bidi="ar-SA"/>
        </w:rPr>
        <w:t>，</w:t>
      </w:r>
      <w:r>
        <w:rPr>
          <w:rFonts w:hint="eastAsia" w:ascii="仿宋" w:eastAsia="仿宋" w:cs="仿宋"/>
          <w:b/>
          <w:bCs/>
          <w:color w:val="auto"/>
          <w:sz w:val="24"/>
          <w:szCs w:val="24"/>
          <w:lang w:val="en-US" w:eastAsia="zh-CN" w:bidi="ar-SA"/>
        </w:rPr>
        <w:t>若为</w:t>
      </w:r>
      <w:r>
        <w:rPr>
          <w:rFonts w:hint="eastAsia" w:ascii="仿宋" w:eastAsia="仿宋" w:cs="仿宋"/>
          <w:b/>
          <w:bCs/>
          <w:color w:val="auto"/>
          <w:sz w:val="24"/>
          <w:szCs w:val="24"/>
          <w:lang w:bidi="ar-SA"/>
        </w:rPr>
        <w:t>返聘人员</w:t>
      </w:r>
      <w:r>
        <w:rPr>
          <w:rFonts w:hint="eastAsia" w:ascii="仿宋" w:eastAsia="仿宋" w:cs="仿宋"/>
          <w:b/>
          <w:bCs/>
          <w:color w:val="auto"/>
          <w:sz w:val="24"/>
          <w:szCs w:val="24"/>
          <w:lang w:val="en-US" w:eastAsia="zh-CN" w:bidi="ar-SA"/>
        </w:rPr>
        <w:t>的</w:t>
      </w:r>
      <w:r>
        <w:rPr>
          <w:rFonts w:hint="eastAsia" w:ascii="仿宋" w:eastAsia="仿宋" w:cs="仿宋"/>
          <w:b/>
          <w:bCs/>
          <w:color w:val="auto"/>
          <w:sz w:val="24"/>
          <w:szCs w:val="24"/>
          <w:lang w:bidi="ar-SA"/>
        </w:rPr>
        <w:t>提供返聘协议</w:t>
      </w:r>
      <w:r>
        <w:rPr>
          <w:rFonts w:hint="eastAsia" w:ascii="仿宋" w:eastAsia="仿宋" w:cs="仿宋"/>
          <w:b/>
          <w:bCs/>
          <w:color w:val="auto"/>
          <w:sz w:val="24"/>
          <w:szCs w:val="24"/>
          <w:lang w:val="en-US" w:eastAsia="zh-CN" w:bidi="ar-SA"/>
        </w:rPr>
        <w:t>及</w:t>
      </w:r>
      <w:r>
        <w:rPr>
          <w:rFonts w:hint="eastAsia" w:ascii="仿宋" w:eastAsia="仿宋" w:cs="仿宋"/>
          <w:b/>
          <w:bCs/>
          <w:color w:val="auto"/>
          <w:sz w:val="24"/>
          <w:szCs w:val="24"/>
          <w:lang w:bidi="ar-SA"/>
        </w:rPr>
        <w:t>人员工资支付流水复印件（原件备查）。</w:t>
      </w:r>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（2）工程部负责人：须具备“有害生物防制专业资格证书（中级/四级）”。</w:t>
      </w:r>
      <w:r>
        <w:rPr>
          <w:rFonts w:hint="eastAsia" w:ascii="仿宋" w:hAnsi="仿宋" w:eastAsia="仿宋"/>
          <w:b/>
          <w:bCs/>
          <w:color w:val="auto"/>
          <w:sz w:val="24"/>
          <w:szCs w:val="24"/>
          <w:highlight w:val="none"/>
          <w:lang w:eastAsia="zh-CN"/>
        </w:rPr>
        <w:t>供应商投标时，</w:t>
      </w:r>
      <w:r>
        <w:rPr>
          <w:rFonts w:hint="eastAsia" w:ascii="仿宋" w:eastAsia="仿宋" w:cs="仿宋"/>
          <w:b/>
          <w:bCs/>
          <w:color w:val="auto"/>
          <w:sz w:val="24"/>
          <w:szCs w:val="24"/>
          <w:lang w:bidi="ar-SA"/>
        </w:rPr>
        <w:t>提供证书复印件（证书在“技能人才评价证书全国联网查询系统”可查）及供应商为其缴纳的2022年1月-2022年7月社保缴纳证明材料复印件</w:t>
      </w:r>
      <w:r>
        <w:rPr>
          <w:rFonts w:hint="eastAsia" w:ascii="仿宋" w:eastAsia="仿宋" w:cs="仿宋"/>
          <w:b/>
          <w:bCs/>
          <w:color w:val="auto"/>
          <w:sz w:val="24"/>
          <w:szCs w:val="24"/>
          <w:lang w:eastAsia="zh-CN" w:bidi="ar-SA"/>
        </w:rPr>
        <w:t>（</w:t>
      </w:r>
      <w:r>
        <w:rPr>
          <w:rFonts w:hint="eastAsia" w:ascii="仿宋" w:eastAsia="仿宋" w:cs="仿宋"/>
          <w:b/>
          <w:bCs/>
          <w:color w:val="auto"/>
          <w:sz w:val="24"/>
          <w:szCs w:val="24"/>
          <w:lang w:val="en-US" w:eastAsia="zh-CN" w:bidi="ar-SA"/>
        </w:rPr>
        <w:t>供应商在2022年1月份之后成立的提供成立之后至开标前月或开标当月社保缴纳证明复印件）</w:t>
      </w:r>
      <w:r>
        <w:rPr>
          <w:rFonts w:hint="eastAsia" w:ascii="仿宋" w:eastAsia="仿宋" w:cs="仿宋"/>
          <w:b/>
          <w:bCs/>
          <w:color w:val="auto"/>
          <w:sz w:val="24"/>
          <w:szCs w:val="24"/>
          <w:lang w:bidi="ar-SA"/>
        </w:rPr>
        <w:t>，</w:t>
      </w:r>
      <w:r>
        <w:rPr>
          <w:rFonts w:hint="eastAsia" w:ascii="仿宋" w:eastAsia="仿宋" w:cs="仿宋"/>
          <w:b/>
          <w:bCs/>
          <w:color w:val="auto"/>
          <w:sz w:val="24"/>
          <w:szCs w:val="24"/>
          <w:lang w:val="en-US" w:eastAsia="zh-CN" w:bidi="ar-SA"/>
        </w:rPr>
        <w:t>若为</w:t>
      </w:r>
      <w:r>
        <w:rPr>
          <w:rFonts w:hint="eastAsia" w:ascii="仿宋" w:eastAsia="仿宋" w:cs="仿宋"/>
          <w:b/>
          <w:bCs/>
          <w:color w:val="auto"/>
          <w:sz w:val="24"/>
          <w:szCs w:val="24"/>
          <w:lang w:bidi="ar-SA"/>
        </w:rPr>
        <w:t>返聘人员</w:t>
      </w:r>
      <w:r>
        <w:rPr>
          <w:rFonts w:hint="eastAsia" w:ascii="仿宋" w:eastAsia="仿宋" w:cs="仿宋"/>
          <w:b/>
          <w:bCs/>
          <w:color w:val="auto"/>
          <w:sz w:val="24"/>
          <w:szCs w:val="24"/>
          <w:lang w:val="en-US" w:eastAsia="zh-CN" w:bidi="ar-SA"/>
        </w:rPr>
        <w:t>的</w:t>
      </w:r>
      <w:r>
        <w:rPr>
          <w:rFonts w:hint="eastAsia" w:ascii="仿宋" w:eastAsia="仿宋" w:cs="仿宋"/>
          <w:b/>
          <w:bCs/>
          <w:color w:val="auto"/>
          <w:sz w:val="24"/>
          <w:szCs w:val="24"/>
          <w:lang w:bidi="ar-SA"/>
        </w:rPr>
        <w:t>提供返聘协议</w:t>
      </w:r>
      <w:r>
        <w:rPr>
          <w:rFonts w:hint="eastAsia" w:ascii="仿宋" w:eastAsia="仿宋" w:cs="仿宋"/>
          <w:b/>
          <w:bCs/>
          <w:color w:val="auto"/>
          <w:sz w:val="24"/>
          <w:szCs w:val="24"/>
          <w:lang w:val="en-US" w:eastAsia="zh-CN" w:bidi="ar-SA"/>
        </w:rPr>
        <w:t>及</w:t>
      </w:r>
      <w:r>
        <w:rPr>
          <w:rFonts w:hint="eastAsia" w:ascii="仿宋" w:eastAsia="仿宋" w:cs="仿宋"/>
          <w:b/>
          <w:bCs/>
          <w:color w:val="auto"/>
          <w:sz w:val="24"/>
          <w:szCs w:val="24"/>
          <w:lang w:bidi="ar-SA"/>
        </w:rPr>
        <w:t>人员工资支付流水复印件（原件备查）。</w:t>
      </w:r>
    </w:p>
    <w:p>
      <w:pPr>
        <w:pStyle w:val="34"/>
        <w:spacing w:line="360" w:lineRule="auto"/>
        <w:ind w:firstLine="480" w:firstLineChars="200"/>
        <w:rPr>
          <w:rFonts w:hint="eastAsia" w:ascii="仿宋" w:hAnsi="仿宋" w:eastAsia="仿宋"/>
          <w:color w:val="auto"/>
          <w:sz w:val="24"/>
          <w:szCs w:val="24"/>
          <w:highlight w:val="yellow"/>
          <w:lang w:val="en-US" w:eastAsia="zh-CN"/>
        </w:rPr>
      </w:pPr>
      <w:r>
        <w:rPr>
          <w:rFonts w:hint="eastAsia" w:ascii="仿宋" w:hAnsi="仿宋" w:eastAsia="仿宋"/>
          <w:color w:val="auto"/>
          <w:sz w:val="24"/>
          <w:szCs w:val="24"/>
          <w:highlight w:val="none"/>
        </w:rPr>
        <w:t>（3）防制人员：须具备“有害生物防制专业资格证书（初级/五级）”。</w:t>
      </w:r>
      <w:r>
        <w:rPr>
          <w:rFonts w:hint="eastAsia" w:ascii="仿宋" w:hAnsi="仿宋" w:eastAsia="仿宋"/>
          <w:b/>
          <w:bCs/>
          <w:color w:val="auto"/>
          <w:sz w:val="24"/>
          <w:szCs w:val="24"/>
          <w:highlight w:val="none"/>
          <w:lang w:eastAsia="zh-CN"/>
        </w:rPr>
        <w:t>供应商投标时，</w:t>
      </w:r>
      <w:r>
        <w:rPr>
          <w:rFonts w:hint="eastAsia" w:ascii="仿宋" w:eastAsia="仿宋" w:cs="仿宋"/>
          <w:b/>
          <w:bCs/>
          <w:color w:val="auto"/>
          <w:sz w:val="24"/>
          <w:szCs w:val="24"/>
          <w:lang w:bidi="ar-SA"/>
        </w:rPr>
        <w:t>提供证书复印件（证书在“技能人才评价证书全国联网查询系统”可查）及供应商为其缴纳的2022年1月-2022年7月社保缴纳证明材料复印件</w:t>
      </w:r>
      <w:r>
        <w:rPr>
          <w:rFonts w:hint="eastAsia" w:ascii="仿宋" w:eastAsia="仿宋" w:cs="仿宋"/>
          <w:b/>
          <w:bCs/>
          <w:color w:val="auto"/>
          <w:sz w:val="24"/>
          <w:szCs w:val="24"/>
          <w:lang w:eastAsia="zh-CN" w:bidi="ar-SA"/>
        </w:rPr>
        <w:t>（</w:t>
      </w:r>
      <w:r>
        <w:rPr>
          <w:rFonts w:hint="eastAsia" w:ascii="仿宋" w:eastAsia="仿宋" w:cs="仿宋"/>
          <w:b/>
          <w:bCs/>
          <w:color w:val="auto"/>
          <w:sz w:val="24"/>
          <w:szCs w:val="24"/>
          <w:lang w:val="en-US" w:eastAsia="zh-CN" w:bidi="ar-SA"/>
        </w:rPr>
        <w:t>供应商在2022年1月份之后成立的提供成立之后至开标前月或开标当月社保缴纳证明复印件）</w:t>
      </w:r>
      <w:r>
        <w:rPr>
          <w:rFonts w:hint="eastAsia" w:ascii="仿宋" w:eastAsia="仿宋" w:cs="仿宋"/>
          <w:b/>
          <w:bCs/>
          <w:color w:val="auto"/>
          <w:sz w:val="24"/>
          <w:szCs w:val="24"/>
          <w:lang w:bidi="ar-SA"/>
        </w:rPr>
        <w:t>，</w:t>
      </w:r>
      <w:r>
        <w:rPr>
          <w:rFonts w:hint="eastAsia" w:ascii="仿宋" w:eastAsia="仿宋" w:cs="仿宋"/>
          <w:b/>
          <w:bCs/>
          <w:color w:val="auto"/>
          <w:sz w:val="24"/>
          <w:szCs w:val="24"/>
          <w:lang w:val="en-US" w:eastAsia="zh-CN" w:bidi="ar-SA"/>
        </w:rPr>
        <w:t>若为</w:t>
      </w:r>
      <w:r>
        <w:rPr>
          <w:rFonts w:hint="eastAsia" w:ascii="仿宋" w:eastAsia="仿宋" w:cs="仿宋"/>
          <w:b/>
          <w:bCs/>
          <w:color w:val="auto"/>
          <w:sz w:val="24"/>
          <w:szCs w:val="24"/>
          <w:lang w:bidi="ar-SA"/>
        </w:rPr>
        <w:t>返聘人员</w:t>
      </w:r>
      <w:r>
        <w:rPr>
          <w:rFonts w:hint="eastAsia" w:ascii="仿宋" w:eastAsia="仿宋" w:cs="仿宋"/>
          <w:b/>
          <w:bCs/>
          <w:color w:val="auto"/>
          <w:sz w:val="24"/>
          <w:szCs w:val="24"/>
          <w:lang w:val="en-US" w:eastAsia="zh-CN" w:bidi="ar-SA"/>
        </w:rPr>
        <w:t>的</w:t>
      </w:r>
      <w:r>
        <w:rPr>
          <w:rFonts w:hint="eastAsia" w:ascii="仿宋" w:eastAsia="仿宋" w:cs="仿宋"/>
          <w:b/>
          <w:bCs/>
          <w:color w:val="auto"/>
          <w:sz w:val="24"/>
          <w:szCs w:val="24"/>
          <w:lang w:bidi="ar-SA"/>
        </w:rPr>
        <w:t>提供返聘协议</w:t>
      </w:r>
      <w:r>
        <w:rPr>
          <w:rFonts w:hint="eastAsia" w:ascii="仿宋" w:eastAsia="仿宋" w:cs="仿宋"/>
          <w:b/>
          <w:bCs/>
          <w:color w:val="auto"/>
          <w:sz w:val="24"/>
          <w:szCs w:val="24"/>
          <w:lang w:val="en-US" w:eastAsia="zh-CN" w:bidi="ar-SA"/>
        </w:rPr>
        <w:t>及</w:t>
      </w:r>
      <w:r>
        <w:rPr>
          <w:rFonts w:hint="eastAsia" w:ascii="仿宋" w:eastAsia="仿宋" w:cs="仿宋"/>
          <w:b/>
          <w:bCs/>
          <w:color w:val="auto"/>
          <w:sz w:val="24"/>
          <w:szCs w:val="24"/>
          <w:lang w:bidi="ar-SA"/>
        </w:rPr>
        <w:t>人员工资支付流水复印件（原件备查）。</w:t>
      </w:r>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设备要求：</w:t>
      </w:r>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（1）背负式机动喷雾器：用于外环境绿化带、垃圾区域、污水处理、在建区域的飞虫控制。</w:t>
      </w:r>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（2）储压式喷雾器：用于墙面、缝隙的滞留喷洒作业，或针对爬虫的喷洒。</w:t>
      </w:r>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（3）手推式机动喷雾器：用于外环境绿化带、草坪、在建区域的飞虫控制。</w:t>
      </w:r>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4.安全要求：</w:t>
      </w:r>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服务过程中，</w:t>
      </w:r>
      <w:r>
        <w:rPr>
          <w:rFonts w:hint="eastAsia" w:ascii="仿宋" w:hAnsi="仿宋" w:eastAsia="仿宋"/>
          <w:color w:val="auto"/>
          <w:sz w:val="24"/>
          <w:szCs w:val="24"/>
          <w:highlight w:val="none"/>
          <w:lang w:val="en-US" w:eastAsia="zh-CN"/>
        </w:rPr>
        <w:t>成交供应商</w:t>
      </w:r>
      <w:r>
        <w:rPr>
          <w:rFonts w:hint="eastAsia" w:ascii="仿宋" w:hAnsi="仿宋" w:eastAsia="仿宋"/>
          <w:color w:val="auto"/>
          <w:sz w:val="24"/>
          <w:szCs w:val="24"/>
          <w:highlight w:val="none"/>
        </w:rPr>
        <w:t>要严格遵守有关操作规定，加强宣传、提醒，做好安全事故防范工作，制定应急处置预案，确保安全有效。在合同期内发生的一切安全事故由</w:t>
      </w:r>
      <w:r>
        <w:rPr>
          <w:rFonts w:hint="eastAsia" w:ascii="仿宋" w:hAnsi="仿宋" w:eastAsia="仿宋"/>
          <w:color w:val="auto"/>
          <w:sz w:val="24"/>
          <w:szCs w:val="24"/>
          <w:highlight w:val="none"/>
          <w:lang w:val="en-US" w:eastAsia="zh-CN"/>
        </w:rPr>
        <w:t>成交供应商</w:t>
      </w:r>
      <w:r>
        <w:rPr>
          <w:rFonts w:hint="eastAsia" w:ascii="仿宋" w:hAnsi="仿宋" w:eastAsia="仿宋"/>
          <w:color w:val="auto"/>
          <w:sz w:val="24"/>
          <w:szCs w:val="24"/>
          <w:highlight w:val="none"/>
        </w:rPr>
        <w:t>承担一切责任。</w:t>
      </w:r>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（三）资料要求</w:t>
      </w:r>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按照规范，建立健全病媒生物防制服务技术档案，包括实施方案、本底情况调查报告、工作进度安排、监测记录、派工记录、街道或社区认同签字单等，</w:t>
      </w:r>
      <w:r>
        <w:rPr>
          <w:rFonts w:hint="eastAsia" w:ascii="仿宋" w:hAnsi="仿宋" w:eastAsia="仿宋"/>
          <w:color w:val="auto"/>
          <w:sz w:val="24"/>
          <w:szCs w:val="24"/>
          <w:highlight w:val="none"/>
          <w:lang w:eastAsia="zh-CN"/>
        </w:rPr>
        <w:t>在合同结束一周内将</w:t>
      </w:r>
      <w:r>
        <w:rPr>
          <w:rFonts w:hint="eastAsia" w:ascii="仿宋" w:hAnsi="仿宋" w:eastAsia="仿宋"/>
          <w:color w:val="auto"/>
          <w:sz w:val="24"/>
          <w:szCs w:val="24"/>
          <w:highlight w:val="none"/>
        </w:rPr>
        <w:t>上述所有档案资料整理后交采购人一份。</w:t>
      </w:r>
    </w:p>
    <w:p>
      <w:pPr>
        <w:pStyle w:val="34"/>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br w:type="page"/>
      </w:r>
    </w:p>
    <w:p>
      <w:pPr>
        <w:pStyle w:val="2"/>
        <w:spacing w:before="0" w:after="0" w:line="360" w:lineRule="auto"/>
        <w:jc w:val="center"/>
        <w:rPr>
          <w:rFonts w:ascii="仿宋" w:hAnsi="仿宋" w:eastAsia="仿宋"/>
          <w:b w:val="0"/>
          <w:bCs w:val="0"/>
          <w:color w:val="000000" w:themeColor="text1"/>
          <w:sz w:val="36"/>
          <w:szCs w:val="30"/>
        </w:rPr>
      </w:pPr>
      <w:bookmarkStart w:id="46" w:name="_Toc5556"/>
      <w:r>
        <w:rPr>
          <w:rFonts w:hint="eastAsia" w:ascii="仿宋" w:hAnsi="仿宋" w:eastAsia="仿宋"/>
          <w:b w:val="0"/>
          <w:bCs w:val="0"/>
          <w:color w:val="000000" w:themeColor="text1"/>
          <w:sz w:val="36"/>
          <w:szCs w:val="30"/>
        </w:rPr>
        <w:t>第三篇</w:t>
      </w:r>
      <w:bookmarkEnd w:id="33"/>
      <w:r>
        <w:rPr>
          <w:rFonts w:hint="eastAsia" w:ascii="仿宋" w:hAnsi="仿宋" w:eastAsia="仿宋"/>
          <w:b w:val="0"/>
          <w:bCs w:val="0"/>
          <w:color w:val="000000" w:themeColor="text1"/>
          <w:sz w:val="36"/>
          <w:szCs w:val="30"/>
          <w:lang w:val="en-US" w:eastAsia="zh-CN"/>
        </w:rPr>
        <w:t xml:space="preserve"> </w:t>
      </w:r>
      <w:r>
        <w:rPr>
          <w:rFonts w:hint="eastAsia" w:ascii="仿宋" w:hAnsi="仿宋" w:eastAsia="仿宋"/>
          <w:b w:val="0"/>
          <w:bCs w:val="0"/>
          <w:color w:val="000000" w:themeColor="text1"/>
          <w:sz w:val="36"/>
          <w:szCs w:val="30"/>
        </w:rPr>
        <w:t>采购项目商务需求</w:t>
      </w:r>
      <w:bookmarkEnd w:id="45"/>
      <w:bookmarkEnd w:id="46"/>
    </w:p>
    <w:p>
      <w:pPr>
        <w:pStyle w:val="4"/>
        <w:spacing w:before="0" w:after="0" w:line="360" w:lineRule="auto"/>
        <w:rPr>
          <w:rFonts w:ascii="仿宋" w:hAnsi="仿宋" w:eastAsia="仿宋"/>
          <w:color w:val="000000" w:themeColor="text1"/>
          <w:sz w:val="24"/>
          <w:szCs w:val="24"/>
          <w:highlight w:val="none"/>
        </w:rPr>
      </w:pPr>
      <w:bookmarkStart w:id="47" w:name="_Toc19343"/>
      <w:bookmarkStart w:id="48" w:name="_Toc22350"/>
      <w:bookmarkStart w:id="49" w:name="_Toc13038"/>
      <w:r>
        <w:rPr>
          <w:rFonts w:hint="eastAsia" w:ascii="仿宋" w:hAnsi="仿宋" w:eastAsia="仿宋"/>
          <w:color w:val="000000" w:themeColor="text1"/>
          <w:sz w:val="24"/>
          <w:szCs w:val="24"/>
          <w:highlight w:val="none"/>
        </w:rPr>
        <w:t>一、服务时间、地点、验收方式及报价方式</w:t>
      </w:r>
      <w:bookmarkEnd w:id="47"/>
      <w:bookmarkEnd w:id="48"/>
      <w:bookmarkEnd w:id="49"/>
    </w:p>
    <w:p>
      <w:pPr>
        <w:pStyle w:val="34"/>
        <w:spacing w:line="360" w:lineRule="auto"/>
        <w:ind w:firstLine="480" w:firstLineChars="200"/>
        <w:rPr>
          <w:rFonts w:hint="eastAsia" w:ascii="仿宋" w:eastAsia="仿宋" w:cs="Times New Roman"/>
          <w:sz w:val="24"/>
          <w:szCs w:val="24"/>
          <w:highlight w:val="none"/>
        </w:rPr>
      </w:pPr>
      <w:bookmarkStart w:id="50" w:name="_Toc24209"/>
      <w:bookmarkStart w:id="51" w:name="_Toc506192852"/>
      <w:bookmarkStart w:id="52" w:name="_Toc30218"/>
      <w:r>
        <w:rPr>
          <w:rFonts w:hint="eastAsia" w:ascii="仿宋" w:eastAsia="仿宋" w:cs="Times New Roman"/>
          <w:sz w:val="24"/>
          <w:szCs w:val="24"/>
          <w:highlight w:val="none"/>
        </w:rPr>
        <w:t>（一）服务时间</w:t>
      </w:r>
    </w:p>
    <w:p>
      <w:pPr>
        <w:pStyle w:val="34"/>
        <w:spacing w:line="360" w:lineRule="auto"/>
        <w:ind w:firstLine="480" w:firstLineChars="200"/>
        <w:rPr>
          <w:rFonts w:hint="eastAsia" w:ascii="仿宋" w:eastAsia="仿宋" w:cs="Times New Roman"/>
          <w:color w:val="auto"/>
          <w:sz w:val="24"/>
          <w:szCs w:val="24"/>
          <w:highlight w:val="none"/>
        </w:rPr>
      </w:pPr>
      <w:r>
        <w:rPr>
          <w:rFonts w:hint="eastAsia" w:ascii="仿宋" w:eastAsia="仿宋" w:cs="Times New Roman"/>
          <w:color w:val="auto"/>
          <w:sz w:val="24"/>
          <w:szCs w:val="24"/>
          <w:highlight w:val="none"/>
        </w:rPr>
        <w:t>服务时间：</w:t>
      </w:r>
      <w:r>
        <w:rPr>
          <w:rFonts w:hint="eastAsia" w:ascii="仿宋" w:hAnsi="仿宋" w:eastAsia="仿宋"/>
          <w:color w:val="auto"/>
          <w:sz w:val="24"/>
          <w:szCs w:val="24"/>
          <w:lang w:val="en-US" w:eastAsia="zh-CN"/>
        </w:rPr>
        <w:t>合同签订后1年。</w:t>
      </w:r>
    </w:p>
    <w:p>
      <w:pPr>
        <w:pStyle w:val="34"/>
        <w:spacing w:line="360" w:lineRule="auto"/>
        <w:ind w:firstLine="480" w:firstLineChars="200"/>
        <w:rPr>
          <w:rFonts w:ascii="仿宋" w:hAnsi="仿宋" w:eastAsia="仿宋"/>
          <w:sz w:val="24"/>
          <w:szCs w:val="24"/>
          <w:highlight w:val="none"/>
        </w:rPr>
      </w:pPr>
      <w:r>
        <w:rPr>
          <w:rFonts w:hint="eastAsia" w:ascii="仿宋" w:eastAsia="仿宋"/>
          <w:sz w:val="24"/>
          <w:szCs w:val="24"/>
          <w:highlight w:val="none"/>
        </w:rPr>
        <w:t>（二）</w:t>
      </w:r>
      <w:r>
        <w:rPr>
          <w:rFonts w:hint="eastAsia" w:ascii="仿宋" w:hAnsi="仿宋" w:eastAsia="仿宋"/>
          <w:sz w:val="24"/>
          <w:szCs w:val="24"/>
          <w:highlight w:val="none"/>
        </w:rPr>
        <w:t>服务地点</w:t>
      </w:r>
    </w:p>
    <w:p>
      <w:pPr>
        <w:pStyle w:val="34"/>
        <w:spacing w:line="360" w:lineRule="auto"/>
        <w:ind w:firstLine="480" w:firstLineChars="20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服务地点：</w:t>
      </w:r>
      <w:r>
        <w:rPr>
          <w:rFonts w:hint="eastAsia" w:ascii="仿宋" w:hAnsi="仿宋" w:eastAsia="仿宋"/>
          <w:color w:val="auto"/>
          <w:sz w:val="24"/>
          <w:szCs w:val="24"/>
          <w:highlight w:val="none"/>
          <w:lang w:val="en-US" w:eastAsia="zh-CN"/>
        </w:rPr>
        <w:t>采购人指定地点。</w:t>
      </w:r>
    </w:p>
    <w:p>
      <w:pPr>
        <w:pStyle w:val="34"/>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（三）验收方式</w:t>
      </w:r>
    </w:p>
    <w:p>
      <w:pPr>
        <w:snapToGrid w:val="0"/>
        <w:spacing w:line="360" w:lineRule="auto"/>
        <w:ind w:firstLine="54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由采购人组织验收，成交</w:t>
      </w:r>
      <w:r>
        <w:rPr>
          <w:rFonts w:hint="eastAsia" w:ascii="仿宋" w:hAnsi="仿宋" w:eastAsia="仿宋"/>
          <w:color w:val="auto"/>
          <w:sz w:val="24"/>
          <w:szCs w:val="24"/>
          <w:highlight w:val="none"/>
          <w:lang w:eastAsia="zh-CN"/>
        </w:rPr>
        <w:t>供应商</w:t>
      </w:r>
      <w:r>
        <w:rPr>
          <w:rFonts w:hint="eastAsia" w:ascii="仿宋" w:hAnsi="仿宋" w:eastAsia="仿宋"/>
          <w:color w:val="auto"/>
          <w:sz w:val="24"/>
          <w:szCs w:val="24"/>
          <w:highlight w:val="none"/>
        </w:rPr>
        <w:t>予以协助</w:t>
      </w:r>
      <w:r>
        <w:rPr>
          <w:rFonts w:hint="eastAsia" w:ascii="仿宋" w:hAnsi="仿宋" w:eastAsia="仿宋"/>
          <w:color w:val="auto"/>
          <w:sz w:val="24"/>
          <w:szCs w:val="24"/>
          <w:highlight w:val="none"/>
          <w:lang w:eastAsia="zh-CN"/>
        </w:rPr>
        <w:t>。</w:t>
      </w:r>
    </w:p>
    <w:p>
      <w:pPr>
        <w:snapToGrid w:val="0"/>
        <w:spacing w:line="360" w:lineRule="auto"/>
        <w:ind w:firstLine="540"/>
        <w:rPr>
          <w:rFonts w:ascii="仿宋" w:hAnsi="仿宋" w:eastAsia="仿宋"/>
          <w:sz w:val="24"/>
          <w:szCs w:val="24"/>
          <w:highlight w:val="none"/>
        </w:rPr>
      </w:pPr>
      <w:r>
        <w:rPr>
          <w:rFonts w:hint="eastAsia" w:ascii="仿宋" w:hAnsi="仿宋" w:eastAsia="仿宋"/>
          <w:sz w:val="24"/>
          <w:szCs w:val="24"/>
          <w:highlight w:val="none"/>
        </w:rPr>
        <w:t>（四）报价方式</w:t>
      </w:r>
      <w:bookmarkStart w:id="53" w:name="_Toc530694353"/>
    </w:p>
    <w:bookmarkEnd w:id="53"/>
    <w:p>
      <w:pPr>
        <w:pageBreakBefore w:val="0"/>
        <w:kinsoku/>
        <w:wordWrap/>
        <w:overflowPunct/>
        <w:topLinePunct w:val="0"/>
        <w:autoSpaceDE/>
        <w:autoSpaceDN/>
        <w:bidi w:val="0"/>
        <w:adjustRightInd/>
        <w:snapToGrid w:val="0"/>
        <w:spacing w:line="360" w:lineRule="auto"/>
        <w:ind w:firstLine="540"/>
        <w:textAlignment w:val="auto"/>
        <w:rPr>
          <w:rFonts w:ascii="仿宋" w:hAnsi="仿宋" w:eastAsia="仿宋"/>
          <w:sz w:val="24"/>
          <w:szCs w:val="24"/>
          <w:highlight w:val="none"/>
        </w:rPr>
      </w:pPr>
      <w:bookmarkStart w:id="54" w:name="_Toc11730"/>
      <w:bookmarkStart w:id="55" w:name="_Toc4713"/>
      <w:bookmarkStart w:id="56" w:name="_Toc24284"/>
      <w:bookmarkStart w:id="57" w:name="_Toc32652"/>
      <w:r>
        <w:rPr>
          <w:rFonts w:hint="eastAsia" w:ascii="仿宋" w:hAnsi="仿宋" w:eastAsia="仿宋" w:cs="Times New Roman"/>
          <w:color w:val="auto"/>
          <w:sz w:val="24"/>
          <w:szCs w:val="24"/>
          <w:highlight w:val="none"/>
          <w:lang w:val="en-US" w:eastAsia="zh-CN"/>
        </w:rPr>
        <w:t>本次报价为人民币报价，报价包括但不限于完成本项目第二篇采购项目技术需求中</w:t>
      </w:r>
      <w:r>
        <w:rPr>
          <w:rFonts w:hint="eastAsia" w:ascii="仿宋" w:hAnsi="仿宋" w:eastAsia="仿宋"/>
          <w:sz w:val="24"/>
          <w:szCs w:val="24"/>
          <w:highlight w:val="none"/>
          <w:lang w:eastAsia="zh-CN"/>
        </w:rPr>
        <w:t>所需</w:t>
      </w:r>
      <w:r>
        <w:rPr>
          <w:rFonts w:hint="eastAsia" w:ascii="仿宋" w:hAnsi="仿宋" w:eastAsia="仿宋"/>
          <w:sz w:val="24"/>
          <w:szCs w:val="24"/>
          <w:highlight w:val="none"/>
          <w:lang w:val="en-US" w:eastAsia="zh-CN"/>
        </w:rPr>
        <w:t>要</w:t>
      </w:r>
      <w:r>
        <w:rPr>
          <w:rFonts w:hint="eastAsia" w:ascii="仿宋" w:hAnsi="仿宋" w:eastAsia="仿宋"/>
          <w:sz w:val="24"/>
          <w:szCs w:val="24"/>
          <w:highlight w:val="none"/>
        </w:rPr>
        <w:t>的所有费用</w:t>
      </w:r>
      <w:r>
        <w:rPr>
          <w:rFonts w:hint="eastAsia" w:ascii="仿宋" w:hAnsi="仿宋" w:eastAsia="仿宋" w:cs="Times New Roman"/>
          <w:color w:val="auto"/>
          <w:sz w:val="24"/>
          <w:szCs w:val="24"/>
          <w:highlight w:val="none"/>
          <w:lang w:val="en-US" w:eastAsia="zh-CN"/>
        </w:rPr>
        <w:t>。因成交供应商自身原因造成漏报、少报皆由其自行承担责任，采购人不再补偿任何费用</w:t>
      </w:r>
      <w:r>
        <w:rPr>
          <w:rFonts w:hint="eastAsia" w:ascii="仿宋" w:hAnsi="仿宋" w:eastAsia="仿宋"/>
          <w:sz w:val="24"/>
          <w:szCs w:val="24"/>
          <w:highlight w:val="none"/>
        </w:rPr>
        <w:t>。</w:t>
      </w:r>
      <w:bookmarkEnd w:id="54"/>
      <w:bookmarkEnd w:id="55"/>
      <w:bookmarkEnd w:id="56"/>
      <w:bookmarkEnd w:id="57"/>
    </w:p>
    <w:p>
      <w:pPr>
        <w:pStyle w:val="4"/>
        <w:pageBreakBefore w:val="0"/>
        <w:kinsoku/>
        <w:wordWrap/>
        <w:overflowPunct/>
        <w:topLinePunct w:val="0"/>
        <w:autoSpaceDE/>
        <w:autoSpaceDN/>
        <w:bidi w:val="0"/>
        <w:adjustRightInd/>
        <w:spacing w:before="0" w:after="0" w:line="360" w:lineRule="auto"/>
        <w:textAlignment w:val="auto"/>
        <w:rPr>
          <w:rFonts w:ascii="仿宋" w:hAnsi="仿宋" w:eastAsia="仿宋"/>
          <w:color w:val="auto"/>
          <w:sz w:val="24"/>
          <w:szCs w:val="24"/>
          <w:highlight w:val="none"/>
        </w:rPr>
      </w:pPr>
      <w:bookmarkStart w:id="58" w:name="_Toc8644"/>
      <w:bookmarkStart w:id="59" w:name="_Toc7157"/>
      <w:r>
        <w:rPr>
          <w:rFonts w:hint="eastAsia" w:ascii="仿宋" w:hAnsi="仿宋" w:eastAsia="仿宋"/>
          <w:color w:val="auto"/>
          <w:sz w:val="24"/>
          <w:szCs w:val="24"/>
          <w:highlight w:val="none"/>
          <w:lang w:val="en-US" w:eastAsia="zh-CN"/>
        </w:rPr>
        <w:t>二</w:t>
      </w:r>
      <w:r>
        <w:rPr>
          <w:rFonts w:hint="eastAsia" w:ascii="仿宋" w:hAnsi="仿宋" w:eastAsia="仿宋"/>
          <w:color w:val="auto"/>
          <w:sz w:val="24"/>
          <w:szCs w:val="24"/>
          <w:highlight w:val="none"/>
        </w:rPr>
        <w:t>、付款方式</w:t>
      </w:r>
      <w:bookmarkEnd w:id="50"/>
      <w:bookmarkEnd w:id="51"/>
      <w:bookmarkEnd w:id="52"/>
      <w:bookmarkEnd w:id="58"/>
      <w:bookmarkEnd w:id="59"/>
    </w:p>
    <w:p>
      <w:pPr>
        <w:pStyle w:val="34"/>
        <w:spacing w:line="360" w:lineRule="auto"/>
        <w:ind w:firstLine="480" w:firstLineChars="200"/>
        <w:rPr>
          <w:rFonts w:hint="eastAsia" w:ascii="仿宋" w:hAnsi="仿宋" w:eastAsia="仿宋"/>
          <w:color w:val="auto"/>
          <w:sz w:val="24"/>
          <w:szCs w:val="24"/>
          <w:highlight w:val="none"/>
        </w:rPr>
      </w:pPr>
      <w:bookmarkStart w:id="60" w:name="_Toc344475123"/>
      <w:bookmarkStart w:id="61" w:name="_Toc506192854"/>
      <w:bookmarkStart w:id="62" w:name="_Toc414610283"/>
      <w:bookmarkStart w:id="63" w:name="_Toc16472"/>
      <w:bookmarkStart w:id="64" w:name="_Toc24069"/>
      <w:r>
        <w:rPr>
          <w:rFonts w:hint="eastAsia" w:ascii="仿宋" w:hAnsi="仿宋" w:eastAsia="仿宋"/>
          <w:color w:val="auto"/>
          <w:sz w:val="24"/>
          <w:szCs w:val="24"/>
          <w:highlight w:val="none"/>
        </w:rPr>
        <w:t>（一）付款方式和时间</w:t>
      </w:r>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本次项目不提供预付款，进度款按季度分四次经考核合格后5个工作日内由采购</w:t>
      </w:r>
      <w:r>
        <w:rPr>
          <w:rFonts w:hint="eastAsia" w:ascii="仿宋" w:hAnsi="仿宋" w:eastAsia="仿宋"/>
          <w:color w:val="auto"/>
          <w:sz w:val="24"/>
          <w:szCs w:val="24"/>
          <w:highlight w:val="none"/>
          <w:lang w:val="en-US" w:eastAsia="zh-CN"/>
        </w:rPr>
        <w:t>人</w:t>
      </w:r>
      <w:r>
        <w:rPr>
          <w:rFonts w:hint="eastAsia" w:ascii="仿宋" w:hAnsi="仿宋" w:eastAsia="仿宋"/>
          <w:color w:val="auto"/>
          <w:sz w:val="24"/>
          <w:szCs w:val="24"/>
          <w:highlight w:val="none"/>
        </w:rPr>
        <w:t>申请财政支付。</w:t>
      </w:r>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第一次付款于服务开始后的第三个月，经疾控中心监测，四害密度达到国家标准B级以上，申请财政支付合同金额的25%，未达到国家标准B级以上不予支付费用；</w:t>
      </w:r>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第二次付款于服务开始后的第六个月，经疾控中心监测，四害密度达到国家标准B级以上，申请财政支付合同金额的25%，未达到国家标准B级以上不予支付费用；                             </w:t>
      </w:r>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第三次付款于服务开始后的第九个月，经疾控中心监测，四害密度达到国家标准B级以上，申请财政支付合同金额的25%，未达到国家标准B级以上不予支付费用；</w:t>
      </w:r>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第四次付款于服务开始后的第十二个月，经疾控中心监测，四害密度达到国家标准B级以上，申请财政支付合同金额的25%，未达到国家标准B级以上不予支付费用。 </w:t>
      </w:r>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（二）扣款约定</w:t>
      </w:r>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1.累计2个月未按服务要求开展病媒生物防制服务，不支付服务费或合同尾款。</w:t>
      </w:r>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2.因</w:t>
      </w:r>
      <w:r>
        <w:rPr>
          <w:rFonts w:hint="eastAsia" w:ascii="仿宋" w:hAnsi="仿宋" w:eastAsia="仿宋"/>
          <w:color w:val="auto"/>
          <w:sz w:val="24"/>
          <w:szCs w:val="24"/>
          <w:highlight w:val="none"/>
          <w:lang w:val="en-US" w:eastAsia="zh-CN"/>
        </w:rPr>
        <w:t>成交供应商</w:t>
      </w:r>
      <w:r>
        <w:rPr>
          <w:rFonts w:hint="eastAsia" w:ascii="仿宋" w:hAnsi="仿宋" w:eastAsia="仿宋"/>
          <w:color w:val="auto"/>
          <w:sz w:val="24"/>
          <w:szCs w:val="24"/>
          <w:highlight w:val="none"/>
        </w:rPr>
        <w:t>原因导致国家卫生区复审暗访中病媒生物预防控制部分得分不足80%得分，将按照合同总价款的10%扣减服务费用。</w:t>
      </w:r>
    </w:p>
    <w:p>
      <w:pPr>
        <w:pStyle w:val="34"/>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3.未按要求提供完整的资料，扣除合同总价款的5%。</w:t>
      </w:r>
    </w:p>
    <w:p>
      <w:pPr>
        <w:pStyle w:val="34"/>
        <w:spacing w:line="360" w:lineRule="auto"/>
        <w:ind w:firstLine="480" w:firstLineChars="200"/>
        <w:rPr>
          <w:rFonts w:hint="default" w:ascii="仿宋" w:hAnsi="仿宋" w:eastAsia="仿宋" w:cs="Times New Roman"/>
          <w:color w:val="auto"/>
          <w:sz w:val="24"/>
          <w:szCs w:val="24"/>
          <w:highlight w:val="none"/>
          <w:lang w:val="en-US" w:eastAsia="zh-CN"/>
        </w:rPr>
      </w:pPr>
      <w:r>
        <w:rPr>
          <w:rFonts w:hint="eastAsia" w:ascii="仿宋" w:hAnsi="仿宋" w:eastAsia="仿宋"/>
          <w:color w:val="auto"/>
          <w:sz w:val="24"/>
          <w:szCs w:val="24"/>
          <w:highlight w:val="none"/>
        </w:rPr>
        <w:t>4.服务范围内各社区（村居）对病媒生物防制服务满意率未达90%，每降低1个百分点扣合同总价款的0.5%，扣除金额最多不超过合同总价款的3%。</w:t>
      </w:r>
    </w:p>
    <w:p>
      <w:pPr>
        <w:pStyle w:val="4"/>
        <w:pageBreakBefore w:val="0"/>
        <w:kinsoku/>
        <w:wordWrap/>
        <w:overflowPunct/>
        <w:topLinePunct w:val="0"/>
        <w:autoSpaceDE/>
        <w:autoSpaceDN/>
        <w:bidi w:val="0"/>
        <w:adjustRightInd/>
        <w:spacing w:before="0" w:after="0" w:line="360" w:lineRule="auto"/>
        <w:textAlignment w:val="auto"/>
        <w:rPr>
          <w:rFonts w:ascii="仿宋" w:hAnsi="仿宋" w:eastAsia="仿宋"/>
          <w:sz w:val="24"/>
          <w:szCs w:val="24"/>
        </w:rPr>
      </w:pPr>
      <w:bookmarkStart w:id="65" w:name="_Toc11149"/>
      <w:bookmarkStart w:id="66" w:name="_Toc24177"/>
      <w:r>
        <w:rPr>
          <w:rFonts w:hint="eastAsia" w:ascii="仿宋" w:hAnsi="仿宋" w:eastAsia="仿宋"/>
          <w:sz w:val="24"/>
          <w:szCs w:val="24"/>
          <w:lang w:val="en-US" w:eastAsia="zh-CN"/>
        </w:rPr>
        <w:t>三</w:t>
      </w:r>
      <w:r>
        <w:rPr>
          <w:rFonts w:hint="eastAsia" w:ascii="仿宋" w:hAnsi="仿宋" w:eastAsia="仿宋"/>
          <w:sz w:val="24"/>
          <w:szCs w:val="24"/>
        </w:rPr>
        <w:t>、知识产权</w:t>
      </w:r>
      <w:bookmarkEnd w:id="60"/>
      <w:bookmarkEnd w:id="61"/>
      <w:bookmarkEnd w:id="62"/>
      <w:bookmarkEnd w:id="63"/>
      <w:bookmarkEnd w:id="64"/>
      <w:bookmarkEnd w:id="65"/>
      <w:bookmarkEnd w:id="66"/>
    </w:p>
    <w:p>
      <w:pPr>
        <w:pageBreakBefore w:val="0"/>
        <w:kinsoku/>
        <w:wordWrap/>
        <w:overflowPunct/>
        <w:topLinePunct w:val="0"/>
        <w:autoSpaceDE/>
        <w:autoSpaceDN/>
        <w:bidi w:val="0"/>
        <w:adjustRightInd/>
        <w:snapToGrid w:val="0"/>
        <w:spacing w:line="360" w:lineRule="auto"/>
        <w:ind w:firstLine="540"/>
        <w:textAlignment w:val="auto"/>
        <w:rPr>
          <w:rFonts w:ascii="仿宋" w:hAnsi="仿宋" w:eastAsia="仿宋"/>
          <w:color w:val="000000" w:themeColor="text1"/>
          <w:sz w:val="24"/>
          <w:szCs w:val="24"/>
        </w:rPr>
      </w:pPr>
      <w:r>
        <w:rPr>
          <w:rFonts w:hint="eastAsia" w:ascii="仿宋" w:hAnsi="仿宋" w:eastAsia="仿宋"/>
          <w:sz w:val="24"/>
          <w:szCs w:val="24"/>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pPr>
        <w:snapToGrid w:val="0"/>
        <w:spacing w:line="360" w:lineRule="auto"/>
        <w:ind w:firstLine="540"/>
        <w:rPr>
          <w:rFonts w:ascii="仿宋" w:hAnsi="仿宋" w:eastAsia="仿宋"/>
          <w:color w:val="000000" w:themeColor="text1"/>
          <w:sz w:val="24"/>
          <w:szCs w:val="24"/>
        </w:rPr>
      </w:pPr>
      <w:r>
        <w:rPr>
          <w:rFonts w:hint="eastAsia" w:ascii="仿宋" w:hAnsi="仿宋" w:eastAsia="仿宋"/>
          <w:color w:val="000000" w:themeColor="text1"/>
          <w:sz w:val="24"/>
          <w:szCs w:val="24"/>
        </w:rPr>
        <w:t>（注：若涉及软件开发等服务类项目知识产权的，知识产权归采购人所有）。</w:t>
      </w:r>
    </w:p>
    <w:p>
      <w:pPr>
        <w:pStyle w:val="4"/>
        <w:spacing w:before="0" w:after="0" w:line="360" w:lineRule="auto"/>
        <w:rPr>
          <w:rFonts w:ascii="仿宋" w:hAnsi="仿宋" w:eastAsia="仿宋"/>
          <w:color w:val="000000" w:themeColor="text1"/>
          <w:sz w:val="24"/>
          <w:szCs w:val="24"/>
        </w:rPr>
      </w:pPr>
      <w:bookmarkStart w:id="67" w:name="_Toc506192855"/>
      <w:bookmarkStart w:id="68" w:name="_Toc21712"/>
      <w:bookmarkStart w:id="69" w:name="_Toc414610285"/>
      <w:bookmarkStart w:id="70" w:name="_Toc31551"/>
      <w:bookmarkStart w:id="71" w:name="_Toc13897"/>
      <w:bookmarkStart w:id="72" w:name="_Toc9614"/>
      <w:r>
        <w:rPr>
          <w:rFonts w:hint="eastAsia" w:ascii="仿宋" w:hAnsi="仿宋" w:eastAsia="仿宋"/>
          <w:color w:val="000000" w:themeColor="text1"/>
          <w:sz w:val="24"/>
          <w:szCs w:val="24"/>
          <w:lang w:val="en-US" w:eastAsia="zh-CN"/>
        </w:rPr>
        <w:t>四</w:t>
      </w:r>
      <w:r>
        <w:rPr>
          <w:rFonts w:hint="eastAsia" w:ascii="仿宋" w:hAnsi="仿宋" w:eastAsia="仿宋"/>
          <w:color w:val="000000" w:themeColor="text1"/>
          <w:sz w:val="24"/>
          <w:szCs w:val="24"/>
        </w:rPr>
        <w:t>、</w:t>
      </w:r>
      <w:bookmarkStart w:id="73" w:name="_Toc344475125"/>
      <w:r>
        <w:rPr>
          <w:rFonts w:hint="eastAsia" w:ascii="仿宋" w:hAnsi="仿宋" w:eastAsia="仿宋"/>
          <w:color w:val="000000" w:themeColor="text1"/>
          <w:sz w:val="24"/>
          <w:szCs w:val="24"/>
        </w:rPr>
        <w:t>其他</w:t>
      </w:r>
      <w:bookmarkEnd w:id="67"/>
      <w:bookmarkEnd w:id="68"/>
      <w:bookmarkEnd w:id="69"/>
      <w:bookmarkEnd w:id="70"/>
      <w:bookmarkEnd w:id="71"/>
      <w:bookmarkEnd w:id="72"/>
    </w:p>
    <w:bookmarkEnd w:id="73"/>
    <w:p>
      <w:pPr>
        <w:snapToGrid w:val="0"/>
        <w:spacing w:line="360" w:lineRule="auto"/>
        <w:ind w:firstLine="480" w:firstLineChars="200"/>
        <w:rPr>
          <w:rFonts w:ascii="仿宋" w:eastAsia="仿宋" w:cs="仿宋"/>
          <w:color w:val="000000" w:themeColor="text1"/>
          <w:sz w:val="24"/>
          <w:szCs w:val="24"/>
        </w:rPr>
      </w:pPr>
      <w:r>
        <w:rPr>
          <w:rFonts w:hint="eastAsia" w:ascii="仿宋" w:eastAsia="仿宋" w:cs="仿宋"/>
          <w:color w:val="000000" w:themeColor="text1"/>
          <w:sz w:val="24"/>
          <w:szCs w:val="24"/>
        </w:rPr>
        <w:t>（一）供应商必须在响应文件中对以上条款和服务承诺明确列出，承诺内容必须达到本篇及谈判采购文件其他条款的要求。</w:t>
      </w:r>
    </w:p>
    <w:p>
      <w:pPr>
        <w:snapToGrid w:val="0"/>
        <w:spacing w:line="360" w:lineRule="auto"/>
        <w:ind w:firstLine="480" w:firstLineChars="200"/>
        <w:rPr>
          <w:rFonts w:ascii="仿宋" w:eastAsia="仿宋" w:cs="仿宋"/>
          <w:color w:val="000000" w:themeColor="text1"/>
          <w:sz w:val="24"/>
          <w:szCs w:val="24"/>
        </w:rPr>
      </w:pPr>
      <w:r>
        <w:rPr>
          <w:rFonts w:hint="eastAsia" w:ascii="仿宋" w:eastAsia="仿宋" w:cs="仿宋"/>
          <w:color w:val="000000" w:themeColor="text1"/>
          <w:sz w:val="24"/>
          <w:szCs w:val="24"/>
        </w:rPr>
        <w:t>（二）其他未尽事宜由供需双方在采购合同中详细约定。</w:t>
      </w:r>
    </w:p>
    <w:p>
      <w:pPr>
        <w:pStyle w:val="2"/>
        <w:pageBreakBefore/>
        <w:spacing w:before="0" w:after="0" w:line="360" w:lineRule="auto"/>
        <w:rPr>
          <w:rFonts w:ascii="仿宋" w:hAnsi="仿宋" w:eastAsia="仿宋"/>
          <w:b w:val="0"/>
          <w:color w:val="000000" w:themeColor="text1"/>
          <w:spacing w:val="-11"/>
          <w:sz w:val="36"/>
          <w:szCs w:val="30"/>
        </w:rPr>
      </w:pPr>
      <w:bookmarkStart w:id="74" w:name="_Toc13051"/>
      <w:bookmarkStart w:id="75" w:name="_Toc20152"/>
      <w:r>
        <w:rPr>
          <w:rFonts w:hint="eastAsia" w:ascii="仿宋" w:hAnsi="仿宋" w:eastAsia="仿宋"/>
          <w:b w:val="0"/>
          <w:color w:val="000000" w:themeColor="text1"/>
          <w:spacing w:val="-11"/>
          <w:sz w:val="36"/>
          <w:szCs w:val="30"/>
        </w:rPr>
        <w:t>第四篇网上竞采程序及方法、评审标准、响应无效和</w:t>
      </w:r>
      <w:r>
        <w:rPr>
          <w:rFonts w:hint="eastAsia" w:ascii="仿宋" w:hAnsi="仿宋" w:eastAsia="仿宋"/>
          <w:b w:val="0"/>
          <w:color w:val="000000" w:themeColor="text1"/>
          <w:spacing w:val="-11"/>
          <w:sz w:val="36"/>
          <w:szCs w:val="36"/>
        </w:rPr>
        <w:t>采购终止</w:t>
      </w:r>
      <w:bookmarkEnd w:id="74"/>
      <w:bookmarkEnd w:id="75"/>
    </w:p>
    <w:p>
      <w:pPr>
        <w:pStyle w:val="4"/>
        <w:spacing w:before="0" w:after="0" w:line="360" w:lineRule="auto"/>
        <w:rPr>
          <w:rFonts w:ascii="仿宋" w:hAnsi="仿宋" w:eastAsia="仿宋"/>
          <w:color w:val="000000" w:themeColor="text1"/>
          <w:sz w:val="24"/>
          <w:szCs w:val="24"/>
        </w:rPr>
      </w:pPr>
      <w:bookmarkStart w:id="76" w:name="_Toc18918"/>
      <w:bookmarkStart w:id="77" w:name="_Toc13797"/>
      <w:r>
        <w:rPr>
          <w:rFonts w:hint="eastAsia" w:ascii="仿宋" w:hAnsi="仿宋" w:eastAsia="仿宋"/>
          <w:color w:val="000000" w:themeColor="text1"/>
          <w:sz w:val="24"/>
          <w:szCs w:val="24"/>
        </w:rPr>
        <w:t>一、网上竞采程序及方法</w:t>
      </w:r>
      <w:bookmarkEnd w:id="76"/>
      <w:bookmarkEnd w:id="77"/>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（一）网上竞采按网上竞采文件规定的开标时间和地点进行，供应商须有法定代表人或其授权代表参加并签到。</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（二）评审小组对各供应商的资格条件、响应文件的有效性、完整性和响应程度进行审查。各供应商只有在完全符合要求的前提下，才能参与正式网上竞采。</w:t>
      </w:r>
    </w:p>
    <w:p>
      <w:pPr>
        <w:snapToGrid w:val="0"/>
        <w:spacing w:line="360" w:lineRule="auto"/>
        <w:ind w:firstLine="480" w:firstLineChars="200"/>
        <w:rPr>
          <w:rFonts w:ascii="仿宋" w:hAnsi="仿宋" w:eastAsia="仿宋" w:cs="宋体"/>
          <w:color w:val="000000" w:themeColor="text1"/>
          <w:kern w:val="0"/>
          <w:sz w:val="24"/>
          <w:szCs w:val="24"/>
        </w:rPr>
      </w:pPr>
      <w:r>
        <w:rPr>
          <w:rFonts w:hint="eastAsia" w:ascii="仿宋" w:hAnsi="仿宋" w:eastAsia="仿宋"/>
          <w:color w:val="000000" w:themeColor="text1"/>
          <w:sz w:val="24"/>
          <w:szCs w:val="24"/>
        </w:rPr>
        <w:t>1.</w:t>
      </w:r>
      <w:r>
        <w:rPr>
          <w:rFonts w:hint="eastAsia" w:ascii="仿宋" w:hAnsi="仿宋" w:eastAsia="仿宋" w:cs="宋体"/>
          <w:color w:val="000000" w:themeColor="text1"/>
          <w:kern w:val="0"/>
          <w:sz w:val="24"/>
          <w:szCs w:val="24"/>
        </w:rPr>
        <w:t>资格性检查。依据法律法规和网上竞采文件的规定，对响应文件中的资格证明、进行审查，以确定供应商是否具备网上竞采资格。资格性检查资料表如下：</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ascii="仿宋" w:hAnsi="仿宋" w:eastAsia="仿宋" w:cs="宋体"/>
                <w:b/>
                <w:kern w:val="0"/>
                <w:sz w:val="24"/>
                <w:szCs w:val="24"/>
              </w:rPr>
            </w:pPr>
            <w:r>
              <w:rPr>
                <w:rFonts w:ascii="仿宋" w:hAnsi="仿宋" w:eastAsia="仿宋" w:cs="宋体"/>
                <w:b/>
                <w:kern w:val="0"/>
                <w:sz w:val="24"/>
                <w:szCs w:val="24"/>
              </w:rPr>
              <w:t>序号</w:t>
            </w:r>
          </w:p>
        </w:tc>
        <w:tc>
          <w:tcPr>
            <w:tcW w:w="4394" w:type="dxa"/>
            <w:gridSpan w:val="2"/>
            <w:vAlign w:val="center"/>
          </w:tcPr>
          <w:p>
            <w:pPr>
              <w:spacing w:line="240" w:lineRule="exact"/>
              <w:jc w:val="center"/>
              <w:rPr>
                <w:rFonts w:ascii="仿宋" w:hAnsi="仿宋" w:eastAsia="仿宋" w:cs="宋体"/>
                <w:b/>
                <w:kern w:val="0"/>
                <w:sz w:val="24"/>
                <w:szCs w:val="24"/>
              </w:rPr>
            </w:pPr>
            <w:r>
              <w:rPr>
                <w:rFonts w:ascii="仿宋" w:hAnsi="仿宋" w:eastAsia="仿宋" w:cs="宋体"/>
                <w:b/>
                <w:kern w:val="0"/>
                <w:sz w:val="24"/>
                <w:szCs w:val="24"/>
              </w:rPr>
              <w:t>检查因素</w:t>
            </w:r>
          </w:p>
        </w:tc>
        <w:tc>
          <w:tcPr>
            <w:tcW w:w="4558" w:type="dxa"/>
            <w:vAlign w:val="center"/>
          </w:tcPr>
          <w:p>
            <w:pPr>
              <w:spacing w:line="240" w:lineRule="exact"/>
              <w:jc w:val="center"/>
              <w:rPr>
                <w:rFonts w:ascii="仿宋" w:hAnsi="仿宋" w:eastAsia="仿宋" w:cs="宋体"/>
                <w:b/>
                <w:kern w:val="0"/>
                <w:sz w:val="24"/>
                <w:szCs w:val="24"/>
              </w:rPr>
            </w:pPr>
            <w:r>
              <w:rPr>
                <w:rFonts w:ascii="仿宋" w:hAnsi="仿宋" w:eastAsia="仿宋" w:cs="宋体"/>
                <w:b/>
                <w:kern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ascii="仿宋" w:hAnsi="仿宋" w:eastAsia="仿宋"/>
                <w:sz w:val="24"/>
                <w:szCs w:val="24"/>
              </w:rPr>
            </w:pPr>
            <w:r>
              <w:rPr>
                <w:rFonts w:ascii="仿宋" w:hAnsi="仿宋" w:eastAsia="仿宋"/>
                <w:sz w:val="24"/>
                <w:szCs w:val="24"/>
              </w:rPr>
              <w:t>1</w:t>
            </w:r>
          </w:p>
        </w:tc>
        <w:tc>
          <w:tcPr>
            <w:tcW w:w="709" w:type="dxa"/>
            <w:vMerge w:val="restart"/>
            <w:vAlign w:val="center"/>
          </w:tcPr>
          <w:p>
            <w:pPr>
              <w:spacing w:line="240" w:lineRule="exact"/>
              <w:rPr>
                <w:rFonts w:ascii="仿宋" w:hAnsi="仿宋" w:eastAsia="仿宋" w:cs="仿宋_GB2312"/>
                <w:sz w:val="24"/>
                <w:szCs w:val="24"/>
                <w:lang w:val="zh-CN"/>
              </w:rPr>
            </w:pPr>
            <w:r>
              <w:rPr>
                <w:rFonts w:hint="eastAsia" w:ascii="仿宋" w:hAnsi="仿宋" w:eastAsia="仿宋"/>
                <w:sz w:val="24"/>
                <w:szCs w:val="24"/>
                <w:lang w:val="zh-CN"/>
              </w:rPr>
              <w:t>《中华人民共和国政府采购法》第二十二条规定</w:t>
            </w:r>
          </w:p>
        </w:tc>
        <w:tc>
          <w:tcPr>
            <w:tcW w:w="3685" w:type="dxa"/>
            <w:vAlign w:val="center"/>
          </w:tcPr>
          <w:p>
            <w:pPr>
              <w:spacing w:line="240" w:lineRule="exact"/>
              <w:rPr>
                <w:rFonts w:ascii="仿宋" w:hAnsi="仿宋" w:eastAsia="仿宋"/>
                <w:sz w:val="24"/>
                <w:szCs w:val="24"/>
              </w:rPr>
            </w:pPr>
            <w:r>
              <w:rPr>
                <w:rFonts w:ascii="仿宋" w:hAnsi="仿宋" w:eastAsia="仿宋"/>
                <w:sz w:val="24"/>
                <w:szCs w:val="24"/>
              </w:rPr>
              <w:t>（1）具有独立承担民事责任的能力</w:t>
            </w:r>
          </w:p>
        </w:tc>
        <w:tc>
          <w:tcPr>
            <w:tcW w:w="4558" w:type="dxa"/>
            <w:vAlign w:val="center"/>
          </w:tcPr>
          <w:p>
            <w:pPr>
              <w:spacing w:line="240" w:lineRule="exact"/>
              <w:rPr>
                <w:rFonts w:ascii="仿宋" w:hAnsi="仿宋" w:eastAsia="仿宋"/>
                <w:sz w:val="24"/>
                <w:szCs w:val="24"/>
              </w:rPr>
            </w:pPr>
            <w:r>
              <w:rPr>
                <w:rFonts w:hint="eastAsia" w:ascii="仿宋" w:hAnsi="仿宋" w:eastAsia="仿宋"/>
                <w:sz w:val="24"/>
                <w:szCs w:val="24"/>
              </w:rPr>
              <w:t xml:space="preserve">1.供应商法人营业执照（副本）或事业单位法人证书（副本）或个体工商户营业执照或有效的自然人身份证明或社会团体法人登记证书（提供复印件）。 </w:t>
            </w:r>
          </w:p>
          <w:p>
            <w:pPr>
              <w:spacing w:line="240" w:lineRule="exact"/>
              <w:rPr>
                <w:rFonts w:ascii="仿宋" w:hAnsi="仿宋" w:eastAsia="仿宋"/>
                <w:sz w:val="24"/>
                <w:szCs w:val="24"/>
              </w:rPr>
            </w:pPr>
            <w:r>
              <w:rPr>
                <w:rFonts w:hint="eastAsia" w:ascii="仿宋" w:hAnsi="仿宋" w:eastAsia="仿宋"/>
                <w:sz w:val="24"/>
                <w:szCs w:val="24"/>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仿宋" w:hAnsi="仿宋" w:eastAsia="仿宋"/>
                <w:sz w:val="24"/>
                <w:szCs w:val="24"/>
              </w:rPr>
            </w:pPr>
          </w:p>
        </w:tc>
        <w:tc>
          <w:tcPr>
            <w:tcW w:w="709" w:type="dxa"/>
            <w:vMerge w:val="continue"/>
            <w:vAlign w:val="center"/>
          </w:tcPr>
          <w:p>
            <w:pPr>
              <w:spacing w:line="240" w:lineRule="exact"/>
              <w:rPr>
                <w:rFonts w:ascii="仿宋" w:hAnsi="仿宋" w:eastAsia="仿宋" w:cs="仿宋_GB2312"/>
                <w:sz w:val="24"/>
                <w:szCs w:val="24"/>
                <w:lang w:val="zh-CN"/>
              </w:rPr>
            </w:pPr>
          </w:p>
        </w:tc>
        <w:tc>
          <w:tcPr>
            <w:tcW w:w="3685" w:type="dxa"/>
            <w:vAlign w:val="center"/>
          </w:tcPr>
          <w:p>
            <w:pPr>
              <w:spacing w:line="240" w:lineRule="exact"/>
              <w:rPr>
                <w:rFonts w:ascii="仿宋" w:hAnsi="仿宋" w:eastAsia="仿宋"/>
                <w:sz w:val="24"/>
                <w:szCs w:val="24"/>
              </w:rPr>
            </w:pPr>
            <w:r>
              <w:rPr>
                <w:rFonts w:ascii="仿宋" w:hAnsi="仿宋" w:eastAsia="仿宋" w:cs="仿宋_GB2312"/>
                <w:sz w:val="24"/>
                <w:szCs w:val="24"/>
                <w:lang w:val="zh-CN"/>
              </w:rPr>
              <w:t>（2）</w:t>
            </w:r>
            <w:r>
              <w:rPr>
                <w:rFonts w:ascii="仿宋" w:hAnsi="仿宋" w:eastAsia="仿宋"/>
                <w:sz w:val="24"/>
                <w:szCs w:val="24"/>
              </w:rPr>
              <w:t>具有良好的商业信誉和健全的财务会计制度</w:t>
            </w:r>
          </w:p>
        </w:tc>
        <w:tc>
          <w:tcPr>
            <w:tcW w:w="4558" w:type="dxa"/>
            <w:vMerge w:val="restart"/>
            <w:vAlign w:val="center"/>
          </w:tcPr>
          <w:p>
            <w:pPr>
              <w:tabs>
                <w:tab w:val="left" w:pos="6300"/>
              </w:tabs>
              <w:snapToGrid w:val="0"/>
              <w:spacing w:line="240" w:lineRule="auto"/>
              <w:jc w:val="left"/>
              <w:rPr>
                <w:rFonts w:hint="eastAsia" w:ascii="仿宋" w:hAnsi="仿宋" w:eastAsia="仿宋" w:cs="Times New Roman"/>
                <w:sz w:val="24"/>
                <w:szCs w:val="24"/>
                <w:lang w:eastAsia="zh-CN"/>
              </w:rPr>
            </w:pPr>
            <w:r>
              <w:rPr>
                <w:rFonts w:hint="eastAsia" w:ascii="仿宋" w:hAnsi="仿宋" w:eastAsia="仿宋"/>
                <w:sz w:val="24"/>
                <w:szCs w:val="24"/>
                <w:lang w:eastAsia="zh-CN"/>
              </w:rPr>
              <w:t>供应</w:t>
            </w:r>
            <w:r>
              <w:rPr>
                <w:rFonts w:hint="eastAsia" w:ascii="仿宋" w:hAnsi="仿宋" w:eastAsia="仿宋" w:cs="Times New Roman"/>
                <w:sz w:val="24"/>
                <w:szCs w:val="24"/>
                <w:lang w:eastAsia="zh-CN"/>
              </w:rPr>
              <w:t>商提供“</w:t>
            </w:r>
            <w:r>
              <w:rPr>
                <w:rFonts w:hint="eastAsia" w:ascii="仿宋" w:hAnsi="仿宋" w:eastAsia="仿宋" w:cs="Times New Roman"/>
                <w:sz w:val="24"/>
                <w:szCs w:val="24"/>
              </w:rPr>
              <w:t>基本资格条件承诺函</w:t>
            </w:r>
            <w:r>
              <w:rPr>
                <w:rFonts w:hint="eastAsia" w:ascii="仿宋" w:hAnsi="仿宋" w:eastAsia="仿宋" w:cs="Times New Roman"/>
                <w:sz w:val="24"/>
                <w:szCs w:val="24"/>
                <w:lang w:eastAsia="zh-CN"/>
              </w:rPr>
              <w:t>”（详见第七篇）。</w:t>
            </w:r>
          </w:p>
          <w:p>
            <w:pPr>
              <w:spacing w:line="240" w:lineRule="exact"/>
              <w:jc w:val="left"/>
              <w:rPr>
                <w:rFonts w:hint="eastAsia" w:ascii="仿宋" w:hAnsi="仿宋" w:eastAsia="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Merge w:val="continue"/>
            <w:vAlign w:val="center"/>
          </w:tcPr>
          <w:p>
            <w:pPr>
              <w:spacing w:line="240" w:lineRule="exact"/>
              <w:jc w:val="center"/>
              <w:rPr>
                <w:rFonts w:ascii="仿宋" w:hAnsi="仿宋" w:eastAsia="仿宋"/>
                <w:sz w:val="24"/>
                <w:szCs w:val="24"/>
              </w:rPr>
            </w:pPr>
          </w:p>
        </w:tc>
        <w:tc>
          <w:tcPr>
            <w:tcW w:w="709" w:type="dxa"/>
            <w:vMerge w:val="continue"/>
            <w:vAlign w:val="center"/>
          </w:tcPr>
          <w:p>
            <w:pPr>
              <w:spacing w:line="240" w:lineRule="exact"/>
              <w:rPr>
                <w:rFonts w:ascii="仿宋" w:hAnsi="仿宋" w:eastAsia="仿宋" w:cs="仿宋_GB2312"/>
                <w:sz w:val="24"/>
                <w:szCs w:val="24"/>
                <w:lang w:val="zh-CN"/>
              </w:rPr>
            </w:pPr>
          </w:p>
        </w:tc>
        <w:tc>
          <w:tcPr>
            <w:tcW w:w="3685" w:type="dxa"/>
            <w:vAlign w:val="center"/>
          </w:tcPr>
          <w:p>
            <w:pPr>
              <w:spacing w:line="240" w:lineRule="exact"/>
              <w:rPr>
                <w:rFonts w:ascii="仿宋" w:hAnsi="仿宋" w:eastAsia="仿宋" w:cs="仿宋_GB2312"/>
                <w:sz w:val="24"/>
                <w:szCs w:val="24"/>
                <w:lang w:val="zh-CN"/>
              </w:rPr>
            </w:pPr>
            <w:r>
              <w:rPr>
                <w:rFonts w:ascii="仿宋" w:hAnsi="仿宋" w:eastAsia="仿宋" w:cs="仿宋_GB2312"/>
                <w:sz w:val="24"/>
                <w:szCs w:val="24"/>
                <w:lang w:val="zh-CN"/>
              </w:rPr>
              <w:t>（3）具有履行合同所必需的设备和专业技术能力</w:t>
            </w:r>
          </w:p>
        </w:tc>
        <w:tc>
          <w:tcPr>
            <w:tcW w:w="4558" w:type="dxa"/>
            <w:vMerge w:val="continue"/>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pPr>
              <w:spacing w:line="240" w:lineRule="exact"/>
              <w:jc w:val="center"/>
              <w:rPr>
                <w:rFonts w:ascii="仿宋" w:hAnsi="仿宋" w:eastAsia="仿宋"/>
                <w:sz w:val="24"/>
                <w:szCs w:val="24"/>
              </w:rPr>
            </w:pPr>
          </w:p>
        </w:tc>
        <w:tc>
          <w:tcPr>
            <w:tcW w:w="709" w:type="dxa"/>
            <w:vMerge w:val="continue"/>
            <w:vAlign w:val="center"/>
          </w:tcPr>
          <w:p>
            <w:pPr>
              <w:spacing w:line="240" w:lineRule="exact"/>
              <w:rPr>
                <w:rFonts w:ascii="仿宋" w:hAnsi="仿宋" w:eastAsia="仿宋" w:cs="仿宋_GB2312"/>
                <w:sz w:val="24"/>
                <w:szCs w:val="24"/>
                <w:lang w:val="zh-CN"/>
              </w:rPr>
            </w:pPr>
          </w:p>
        </w:tc>
        <w:tc>
          <w:tcPr>
            <w:tcW w:w="3685" w:type="dxa"/>
            <w:vAlign w:val="center"/>
          </w:tcPr>
          <w:p>
            <w:pPr>
              <w:spacing w:line="240" w:lineRule="exact"/>
              <w:rPr>
                <w:rFonts w:ascii="仿宋" w:hAnsi="仿宋" w:eastAsia="仿宋" w:cs="仿宋_GB2312"/>
                <w:sz w:val="24"/>
                <w:szCs w:val="24"/>
                <w:lang w:val="zh-CN"/>
              </w:rPr>
            </w:pPr>
            <w:r>
              <w:rPr>
                <w:rFonts w:ascii="仿宋" w:hAnsi="仿宋" w:eastAsia="仿宋" w:cs="仿宋_GB2312"/>
                <w:sz w:val="24"/>
                <w:szCs w:val="24"/>
                <w:lang w:val="zh-CN"/>
              </w:rPr>
              <w:t>（4）有依法缴纳税收和社会保障金的良好记录</w:t>
            </w:r>
          </w:p>
        </w:tc>
        <w:tc>
          <w:tcPr>
            <w:tcW w:w="4558" w:type="dxa"/>
            <w:vMerge w:val="continue"/>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仿宋" w:hAnsi="仿宋" w:eastAsia="仿宋"/>
                <w:sz w:val="24"/>
                <w:szCs w:val="24"/>
              </w:rPr>
            </w:pPr>
          </w:p>
        </w:tc>
        <w:tc>
          <w:tcPr>
            <w:tcW w:w="709" w:type="dxa"/>
            <w:vMerge w:val="continue"/>
            <w:vAlign w:val="center"/>
          </w:tcPr>
          <w:p>
            <w:pPr>
              <w:spacing w:line="240" w:lineRule="exact"/>
              <w:rPr>
                <w:rFonts w:ascii="仿宋" w:hAnsi="仿宋" w:eastAsia="仿宋" w:cs="仿宋_GB2312"/>
                <w:sz w:val="24"/>
                <w:szCs w:val="24"/>
                <w:lang w:val="zh-CN"/>
              </w:rPr>
            </w:pPr>
          </w:p>
        </w:tc>
        <w:tc>
          <w:tcPr>
            <w:tcW w:w="3685" w:type="dxa"/>
            <w:vAlign w:val="center"/>
          </w:tcPr>
          <w:p>
            <w:pPr>
              <w:spacing w:line="240" w:lineRule="exact"/>
              <w:rPr>
                <w:rFonts w:ascii="仿宋" w:hAnsi="仿宋" w:eastAsia="仿宋" w:cs="仿宋_GB2312"/>
                <w:sz w:val="24"/>
                <w:szCs w:val="24"/>
                <w:lang w:val="zh-CN"/>
              </w:rPr>
            </w:pPr>
            <w:r>
              <w:rPr>
                <w:rFonts w:ascii="仿宋" w:hAnsi="仿宋" w:eastAsia="仿宋"/>
                <w:sz w:val="24"/>
                <w:szCs w:val="24"/>
              </w:rPr>
              <w:t>（5）参加政府采购活动前三年内，在经营活动中没有重大违法记录（注</w:t>
            </w:r>
            <w:r>
              <w:rPr>
                <w:rFonts w:hint="eastAsia" w:ascii="仿宋" w:hAnsi="仿宋" w:eastAsia="仿宋"/>
                <w:sz w:val="24"/>
                <w:szCs w:val="24"/>
              </w:rPr>
              <w:t>①</w:t>
            </w:r>
            <w:r>
              <w:rPr>
                <w:rFonts w:ascii="仿宋" w:hAnsi="仿宋" w:eastAsia="仿宋"/>
                <w:sz w:val="24"/>
                <w:szCs w:val="24"/>
              </w:rPr>
              <w:t>）</w:t>
            </w:r>
          </w:p>
        </w:tc>
        <w:tc>
          <w:tcPr>
            <w:tcW w:w="4558" w:type="dxa"/>
            <w:vMerge w:val="continue"/>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pPr>
              <w:spacing w:line="240" w:lineRule="exact"/>
              <w:jc w:val="center"/>
              <w:rPr>
                <w:rFonts w:ascii="仿宋" w:hAnsi="仿宋" w:eastAsia="仿宋"/>
                <w:sz w:val="24"/>
                <w:szCs w:val="24"/>
              </w:rPr>
            </w:pPr>
          </w:p>
        </w:tc>
        <w:tc>
          <w:tcPr>
            <w:tcW w:w="709" w:type="dxa"/>
            <w:vMerge w:val="continue"/>
            <w:vAlign w:val="center"/>
          </w:tcPr>
          <w:p>
            <w:pPr>
              <w:spacing w:line="240" w:lineRule="exact"/>
              <w:rPr>
                <w:rFonts w:ascii="仿宋" w:hAnsi="仿宋" w:eastAsia="仿宋" w:cs="仿宋_GB2312"/>
                <w:sz w:val="24"/>
                <w:szCs w:val="24"/>
                <w:lang w:val="zh-CN"/>
              </w:rPr>
            </w:pPr>
          </w:p>
        </w:tc>
        <w:tc>
          <w:tcPr>
            <w:tcW w:w="3685" w:type="dxa"/>
            <w:vAlign w:val="center"/>
          </w:tcPr>
          <w:p>
            <w:pPr>
              <w:spacing w:line="240" w:lineRule="exact"/>
              <w:rPr>
                <w:rFonts w:ascii="仿宋" w:hAnsi="仿宋" w:eastAsia="仿宋"/>
                <w:sz w:val="24"/>
                <w:szCs w:val="24"/>
              </w:rPr>
            </w:pPr>
            <w:r>
              <w:rPr>
                <w:rFonts w:ascii="仿宋" w:hAnsi="仿宋" w:eastAsia="仿宋"/>
                <w:sz w:val="24"/>
                <w:szCs w:val="24"/>
              </w:rPr>
              <w:t>（6）法律、行政法规规定的其他条件</w:t>
            </w:r>
          </w:p>
        </w:tc>
        <w:tc>
          <w:tcPr>
            <w:tcW w:w="4558" w:type="dxa"/>
            <w:vAlign w:val="center"/>
          </w:tcPr>
          <w:p>
            <w:pPr>
              <w:spacing w:line="24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pPr>
              <w:spacing w:line="240" w:lineRule="exact"/>
              <w:jc w:val="center"/>
              <w:rPr>
                <w:rFonts w:ascii="仿宋" w:hAnsi="仿宋" w:eastAsia="仿宋"/>
                <w:sz w:val="24"/>
                <w:szCs w:val="24"/>
              </w:rPr>
            </w:pPr>
          </w:p>
        </w:tc>
        <w:tc>
          <w:tcPr>
            <w:tcW w:w="709" w:type="dxa"/>
            <w:vMerge w:val="continue"/>
            <w:vAlign w:val="center"/>
          </w:tcPr>
          <w:p>
            <w:pPr>
              <w:spacing w:line="240" w:lineRule="exact"/>
              <w:rPr>
                <w:rFonts w:ascii="仿宋" w:hAnsi="仿宋" w:eastAsia="仿宋" w:cs="仿宋_GB2312"/>
                <w:sz w:val="24"/>
                <w:szCs w:val="24"/>
                <w:lang w:val="zh-CN"/>
              </w:rPr>
            </w:pPr>
          </w:p>
        </w:tc>
        <w:tc>
          <w:tcPr>
            <w:tcW w:w="3685" w:type="dxa"/>
            <w:vAlign w:val="center"/>
          </w:tcPr>
          <w:p>
            <w:pPr>
              <w:spacing w:line="240" w:lineRule="exact"/>
              <w:rPr>
                <w:rFonts w:ascii="仿宋" w:hAnsi="仿宋" w:eastAsia="仿宋"/>
                <w:sz w:val="24"/>
                <w:szCs w:val="24"/>
              </w:rPr>
            </w:pPr>
            <w:r>
              <w:rPr>
                <w:rFonts w:hint="eastAsia" w:ascii="仿宋" w:hAnsi="仿宋" w:eastAsia="仿宋"/>
                <w:sz w:val="24"/>
                <w:szCs w:val="24"/>
              </w:rPr>
              <w:t>（7）本项目的特定资格要求</w:t>
            </w:r>
          </w:p>
        </w:tc>
        <w:tc>
          <w:tcPr>
            <w:tcW w:w="4558" w:type="dxa"/>
            <w:vAlign w:val="center"/>
          </w:tcPr>
          <w:p>
            <w:pPr>
              <w:spacing w:line="240" w:lineRule="exact"/>
              <w:rPr>
                <w:rFonts w:ascii="仿宋" w:hAnsi="仿宋" w:eastAsia="仿宋"/>
                <w:sz w:val="24"/>
                <w:szCs w:val="24"/>
              </w:rPr>
            </w:pPr>
            <w:r>
              <w:rPr>
                <w:rFonts w:hint="eastAsia" w:ascii="仿宋" w:hAnsi="仿宋" w:eastAsia="仿宋"/>
                <w:sz w:val="24"/>
                <w:szCs w:val="24"/>
              </w:rPr>
              <w:t>按第一篇“三、供应商资格条件（</w:t>
            </w:r>
            <w:r>
              <w:rPr>
                <w:rFonts w:hint="eastAsia" w:ascii="仿宋" w:hAnsi="仿宋" w:eastAsia="仿宋"/>
                <w:sz w:val="24"/>
                <w:szCs w:val="24"/>
                <w:lang w:eastAsia="zh-CN"/>
              </w:rPr>
              <w:t>二</w:t>
            </w:r>
            <w:r>
              <w:rPr>
                <w:rFonts w:hint="eastAsia" w:ascii="仿宋" w:hAnsi="仿宋" w:eastAsia="仿宋"/>
                <w:sz w:val="24"/>
                <w:szCs w:val="24"/>
              </w:rPr>
              <w:t>）本项目的特定资格要求”的要求提交</w:t>
            </w:r>
            <w:r>
              <w:rPr>
                <w:rFonts w:hint="eastAsia" w:ascii="仿宋" w:hAnsi="仿宋" w:eastAsia="仿宋"/>
                <w:sz w:val="24"/>
                <w:szCs w:val="24"/>
                <w:lang w:eastAsia="zh-CN"/>
              </w:rPr>
              <w:t>（如果有）</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76" w:type="dxa"/>
            <w:vAlign w:val="center"/>
          </w:tcPr>
          <w:p>
            <w:pPr>
              <w:spacing w:line="240" w:lineRule="exact"/>
              <w:jc w:val="center"/>
              <w:rPr>
                <w:rFonts w:hint="eastAsia" w:ascii="仿宋" w:hAnsi="仿宋" w:eastAsia="仿宋"/>
                <w:sz w:val="24"/>
                <w:szCs w:val="24"/>
                <w:lang w:eastAsia="zh-CN"/>
              </w:rPr>
            </w:pPr>
            <w:r>
              <w:rPr>
                <w:rFonts w:hint="eastAsia" w:ascii="仿宋" w:hAnsi="仿宋" w:eastAsia="仿宋"/>
                <w:sz w:val="24"/>
                <w:szCs w:val="24"/>
                <w:lang w:val="en-US" w:eastAsia="zh-CN"/>
              </w:rPr>
              <w:t>2</w:t>
            </w:r>
          </w:p>
        </w:tc>
        <w:tc>
          <w:tcPr>
            <w:tcW w:w="4394" w:type="dxa"/>
            <w:gridSpan w:val="2"/>
            <w:vAlign w:val="center"/>
          </w:tcPr>
          <w:p>
            <w:pPr>
              <w:spacing w:line="240" w:lineRule="exact"/>
              <w:rPr>
                <w:rFonts w:ascii="仿宋" w:hAnsi="仿宋" w:eastAsia="仿宋"/>
                <w:sz w:val="24"/>
                <w:szCs w:val="24"/>
              </w:rPr>
            </w:pPr>
            <w:r>
              <w:rPr>
                <w:rFonts w:ascii="仿宋" w:hAnsi="仿宋" w:eastAsia="仿宋"/>
                <w:sz w:val="24"/>
                <w:szCs w:val="24"/>
              </w:rPr>
              <w:t>保证金</w:t>
            </w:r>
          </w:p>
        </w:tc>
        <w:tc>
          <w:tcPr>
            <w:tcW w:w="4558" w:type="dxa"/>
            <w:vAlign w:val="center"/>
          </w:tcPr>
          <w:p>
            <w:pPr>
              <w:spacing w:line="240" w:lineRule="exact"/>
              <w:rPr>
                <w:rFonts w:ascii="仿宋" w:hAnsi="仿宋" w:eastAsia="仿宋"/>
                <w:sz w:val="24"/>
                <w:szCs w:val="24"/>
              </w:rPr>
            </w:pPr>
            <w:r>
              <w:rPr>
                <w:rFonts w:hint="eastAsia" w:ascii="仿宋" w:hAnsi="仿宋" w:eastAsia="仿宋"/>
                <w:sz w:val="24"/>
                <w:szCs w:val="24"/>
                <w:lang w:eastAsia="zh-CN"/>
              </w:rPr>
              <w:t>本项目免收</w:t>
            </w:r>
            <w:r>
              <w:rPr>
                <w:rFonts w:ascii="仿宋" w:hAnsi="仿宋" w:eastAsia="仿宋"/>
                <w:sz w:val="24"/>
                <w:szCs w:val="24"/>
              </w:rPr>
              <w:t>保证金</w:t>
            </w:r>
            <w:r>
              <w:rPr>
                <w:rFonts w:hint="eastAsia" w:ascii="仿宋" w:hAnsi="仿宋" w:eastAsia="仿宋"/>
                <w:sz w:val="24"/>
                <w:szCs w:val="24"/>
              </w:rPr>
              <w:t>。</w:t>
            </w:r>
          </w:p>
        </w:tc>
      </w:tr>
    </w:tbl>
    <w:p>
      <w:pPr>
        <w:spacing w:line="360" w:lineRule="auto"/>
        <w:ind w:firstLine="480" w:firstLineChars="200"/>
        <w:rPr>
          <w:rFonts w:hint="eastAsia"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注：</w:t>
      </w:r>
    </w:p>
    <w:p>
      <w:pPr>
        <w:spacing w:line="360" w:lineRule="auto"/>
        <w:ind w:firstLine="480" w:firstLineChars="200"/>
        <w:rPr>
          <w:rFonts w:hint="eastAsia" w:ascii="仿宋" w:hAnsi="仿宋" w:eastAsia="仿宋" w:cs="Times New Roman"/>
          <w:color w:val="000000" w:themeColor="text1"/>
          <w:sz w:val="24"/>
          <w:szCs w:val="24"/>
        </w:rPr>
      </w:pPr>
      <w:r>
        <w:rPr>
          <w:rFonts w:hint="eastAsia" w:ascii="仿宋" w:hAnsi="仿宋" w:eastAsia="仿宋"/>
          <w:sz w:val="24"/>
          <w:szCs w:val="24"/>
        </w:rPr>
        <w:t>①</w:t>
      </w:r>
      <w:r>
        <w:rPr>
          <w:rFonts w:hint="eastAsia" w:ascii="仿宋" w:hAnsi="仿宋" w:eastAsia="仿宋" w:cs="Times New Roman"/>
          <w:color w:val="000000" w:themeColor="text1"/>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pPr>
        <w:spacing w:line="360" w:lineRule="auto"/>
        <w:ind w:firstLine="480" w:firstLineChars="200"/>
        <w:rPr>
          <w:rFonts w:hint="eastAsia"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2.符合性检查。依据网上竞采文件的规定，从响应文件的有效性、完整性和对网上竞采文件的响应程度进行审查，以确定是否对网上竞采文件的实质性要求作出响应。符合性检查资料表如下：</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仿宋" w:hAnsi="仿宋" w:eastAsia="仿宋" w:cs="宋体"/>
                <w:b/>
                <w:color w:val="000000" w:themeColor="text1"/>
                <w:kern w:val="0"/>
                <w:sz w:val="24"/>
                <w:szCs w:val="24"/>
              </w:rPr>
            </w:pPr>
            <w:r>
              <w:rPr>
                <w:rFonts w:hint="eastAsia" w:ascii="仿宋" w:hAnsi="仿宋" w:eastAsia="仿宋" w:cs="宋体"/>
                <w:b/>
                <w:color w:val="000000" w:themeColor="text1"/>
                <w:kern w:val="0"/>
                <w:sz w:val="24"/>
                <w:szCs w:val="24"/>
              </w:rPr>
              <w:t>序号</w:t>
            </w:r>
          </w:p>
        </w:tc>
        <w:tc>
          <w:tcPr>
            <w:tcW w:w="3544" w:type="dxa"/>
            <w:gridSpan w:val="2"/>
            <w:vAlign w:val="center"/>
          </w:tcPr>
          <w:p>
            <w:pPr>
              <w:spacing w:line="240" w:lineRule="exact"/>
              <w:jc w:val="center"/>
              <w:rPr>
                <w:rFonts w:ascii="仿宋" w:hAnsi="仿宋" w:eastAsia="仿宋" w:cs="宋体"/>
                <w:b/>
                <w:color w:val="000000" w:themeColor="text1"/>
                <w:kern w:val="0"/>
                <w:sz w:val="24"/>
                <w:szCs w:val="24"/>
              </w:rPr>
            </w:pPr>
            <w:r>
              <w:rPr>
                <w:rFonts w:hint="eastAsia" w:ascii="仿宋" w:hAnsi="仿宋" w:eastAsia="仿宋" w:cs="宋体"/>
                <w:b/>
                <w:color w:val="000000" w:themeColor="text1"/>
                <w:kern w:val="0"/>
                <w:sz w:val="24"/>
                <w:szCs w:val="24"/>
              </w:rPr>
              <w:t>评审因素</w:t>
            </w:r>
          </w:p>
        </w:tc>
        <w:tc>
          <w:tcPr>
            <w:tcW w:w="5409" w:type="dxa"/>
            <w:vAlign w:val="center"/>
          </w:tcPr>
          <w:p>
            <w:pPr>
              <w:spacing w:line="240" w:lineRule="exact"/>
              <w:jc w:val="center"/>
              <w:rPr>
                <w:rFonts w:ascii="仿宋" w:hAnsi="仿宋" w:eastAsia="仿宋" w:cs="宋体"/>
                <w:b/>
                <w:color w:val="000000" w:themeColor="text1"/>
                <w:kern w:val="0"/>
                <w:sz w:val="24"/>
                <w:szCs w:val="24"/>
              </w:rPr>
            </w:pPr>
            <w:r>
              <w:rPr>
                <w:rFonts w:hint="eastAsia" w:ascii="仿宋" w:hAnsi="仿宋" w:eastAsia="仿宋" w:cs="宋体"/>
                <w:b/>
                <w:color w:val="000000" w:themeColor="text1"/>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1</w:t>
            </w:r>
          </w:p>
        </w:tc>
        <w:tc>
          <w:tcPr>
            <w:tcW w:w="1560" w:type="dxa"/>
            <w:vMerge w:val="restart"/>
            <w:vAlign w:val="center"/>
          </w:tcPr>
          <w:p>
            <w:pPr>
              <w:spacing w:line="240" w:lineRule="exact"/>
              <w:rPr>
                <w:rFonts w:hint="eastAsia"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有效性审查</w:t>
            </w:r>
          </w:p>
        </w:tc>
        <w:tc>
          <w:tcPr>
            <w:tcW w:w="1984" w:type="dxa"/>
            <w:vAlign w:val="center"/>
          </w:tcPr>
          <w:p>
            <w:pPr>
              <w:spacing w:line="240" w:lineRule="exact"/>
              <w:rPr>
                <w:rFonts w:hint="eastAsia"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响应文件签署</w:t>
            </w:r>
          </w:p>
        </w:tc>
        <w:tc>
          <w:tcPr>
            <w:tcW w:w="5409" w:type="dxa"/>
            <w:vAlign w:val="center"/>
          </w:tcPr>
          <w:p>
            <w:pPr>
              <w:spacing w:line="240" w:lineRule="exact"/>
              <w:rPr>
                <w:rFonts w:ascii="仿宋" w:hAnsi="仿宋" w:eastAsia="仿宋" w:cs="宋体"/>
                <w:color w:val="000000" w:themeColor="text1"/>
                <w:kern w:val="0"/>
                <w:sz w:val="24"/>
                <w:szCs w:val="24"/>
              </w:rPr>
            </w:pPr>
            <w:r>
              <w:rPr>
                <w:rFonts w:hint="eastAsia" w:ascii="仿宋" w:hAnsi="仿宋" w:eastAsia="仿宋"/>
                <w:color w:val="000000" w:themeColor="text1"/>
                <w:sz w:val="24"/>
              </w:rPr>
              <w:t>网上电子文档及响应文件</w:t>
            </w:r>
            <w:r>
              <w:rPr>
                <w:rFonts w:hint="eastAsia" w:ascii="仿宋" w:hAnsi="仿宋" w:eastAsia="仿宋"/>
                <w:color w:val="000000" w:themeColor="text1"/>
                <w:sz w:val="24"/>
                <w:szCs w:val="24"/>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240" w:lineRule="exact"/>
              <w:jc w:val="center"/>
              <w:rPr>
                <w:rFonts w:ascii="仿宋" w:hAnsi="仿宋" w:eastAsia="仿宋" w:cs="宋体"/>
                <w:color w:val="000000" w:themeColor="text1"/>
                <w:kern w:val="0"/>
                <w:sz w:val="24"/>
                <w:szCs w:val="24"/>
              </w:rPr>
            </w:pPr>
          </w:p>
        </w:tc>
        <w:tc>
          <w:tcPr>
            <w:tcW w:w="1560" w:type="dxa"/>
            <w:vMerge w:val="continue"/>
            <w:vAlign w:val="center"/>
          </w:tcPr>
          <w:p>
            <w:pPr>
              <w:spacing w:line="240" w:lineRule="exact"/>
              <w:rPr>
                <w:rFonts w:hint="eastAsia" w:ascii="仿宋" w:hAnsi="仿宋" w:eastAsia="仿宋" w:cs="Times New Roman"/>
                <w:color w:val="000000" w:themeColor="text1"/>
                <w:sz w:val="24"/>
                <w:szCs w:val="24"/>
              </w:rPr>
            </w:pPr>
          </w:p>
        </w:tc>
        <w:tc>
          <w:tcPr>
            <w:tcW w:w="1984" w:type="dxa"/>
            <w:vAlign w:val="center"/>
          </w:tcPr>
          <w:p>
            <w:pPr>
              <w:spacing w:line="240" w:lineRule="exact"/>
              <w:rPr>
                <w:rFonts w:hint="eastAsia"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法定代表人身份证明及授权委托书</w:t>
            </w:r>
          </w:p>
        </w:tc>
        <w:tc>
          <w:tcPr>
            <w:tcW w:w="5409" w:type="dxa"/>
            <w:vAlign w:val="center"/>
          </w:tcPr>
          <w:p>
            <w:pPr>
              <w:spacing w:line="240" w:lineRule="exact"/>
              <w:rPr>
                <w:rFonts w:ascii="仿宋" w:hAnsi="仿宋" w:eastAsia="仿宋"/>
                <w:color w:val="000000" w:themeColor="text1"/>
                <w:sz w:val="24"/>
                <w:szCs w:val="24"/>
              </w:rPr>
            </w:pPr>
            <w:r>
              <w:rPr>
                <w:rFonts w:hint="eastAsia" w:ascii="仿宋" w:hAnsi="仿宋" w:eastAsia="仿宋"/>
                <w:color w:val="000000" w:themeColor="text1"/>
                <w:sz w:val="24"/>
                <w:szCs w:val="24"/>
              </w:rPr>
              <w:t>法定代表人身份证明及授权委托书有效，符合网上竞采文件规定的格式，签字或盖章齐全。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仿宋" w:hAnsi="仿宋" w:eastAsia="仿宋" w:cs="宋体"/>
                <w:color w:val="000000" w:themeColor="text1"/>
                <w:kern w:val="0"/>
                <w:sz w:val="24"/>
                <w:szCs w:val="24"/>
              </w:rPr>
            </w:pPr>
          </w:p>
        </w:tc>
        <w:tc>
          <w:tcPr>
            <w:tcW w:w="1560" w:type="dxa"/>
            <w:vMerge w:val="continue"/>
            <w:vAlign w:val="center"/>
          </w:tcPr>
          <w:p>
            <w:pPr>
              <w:spacing w:line="240" w:lineRule="exact"/>
              <w:rPr>
                <w:rFonts w:ascii="仿宋" w:hAnsi="仿宋" w:eastAsia="仿宋" w:cs="宋体"/>
                <w:color w:val="000000" w:themeColor="text1"/>
                <w:kern w:val="0"/>
                <w:sz w:val="24"/>
                <w:szCs w:val="24"/>
              </w:rPr>
            </w:pPr>
          </w:p>
        </w:tc>
        <w:tc>
          <w:tcPr>
            <w:tcW w:w="1984" w:type="dxa"/>
            <w:vAlign w:val="center"/>
          </w:tcPr>
          <w:p>
            <w:pPr>
              <w:spacing w:line="240" w:lineRule="exact"/>
              <w:rPr>
                <w:rFonts w:ascii="仿宋" w:hAnsi="仿宋" w:eastAsia="仿宋" w:cs="仿宋_GB2312"/>
                <w:color w:val="000000" w:themeColor="text1"/>
                <w:sz w:val="24"/>
                <w:szCs w:val="24"/>
                <w:lang w:val="zh-CN"/>
              </w:rPr>
            </w:pPr>
            <w:r>
              <w:rPr>
                <w:rFonts w:hint="eastAsia" w:ascii="仿宋" w:hAnsi="仿宋" w:eastAsia="仿宋" w:cs="仿宋_GB2312"/>
                <w:color w:val="000000" w:themeColor="text1"/>
                <w:sz w:val="24"/>
                <w:szCs w:val="24"/>
              </w:rPr>
              <w:t>响应</w:t>
            </w:r>
            <w:r>
              <w:rPr>
                <w:rFonts w:hint="eastAsia" w:ascii="仿宋" w:hAnsi="仿宋" w:eastAsia="仿宋" w:cs="仿宋_GB2312"/>
                <w:color w:val="000000" w:themeColor="text1"/>
                <w:sz w:val="24"/>
                <w:szCs w:val="24"/>
                <w:lang w:val="zh-CN"/>
              </w:rPr>
              <w:t>方案</w:t>
            </w:r>
          </w:p>
        </w:tc>
        <w:tc>
          <w:tcPr>
            <w:tcW w:w="5409" w:type="dxa"/>
            <w:vAlign w:val="center"/>
          </w:tcPr>
          <w:p>
            <w:pPr>
              <w:spacing w:line="240" w:lineRule="exact"/>
              <w:rPr>
                <w:rFonts w:ascii="仿宋" w:hAnsi="仿宋" w:eastAsia="仿宋" w:cs="宋体"/>
                <w:color w:val="000000" w:themeColor="text1"/>
                <w:kern w:val="0"/>
                <w:sz w:val="24"/>
                <w:szCs w:val="24"/>
              </w:rPr>
            </w:pPr>
            <w:r>
              <w:rPr>
                <w:rFonts w:hint="eastAsia" w:ascii="仿宋" w:hAnsi="仿宋" w:eastAsia="仿宋" w:cs="仿宋_GB2312"/>
                <w:color w:val="000000" w:themeColor="text1"/>
                <w:sz w:val="24"/>
                <w:szCs w:val="24"/>
                <w:lang w:val="zh-CN"/>
              </w:rPr>
              <w:t>每个分包只能有一个</w:t>
            </w:r>
            <w:r>
              <w:rPr>
                <w:rFonts w:hint="eastAsia" w:ascii="仿宋" w:hAnsi="仿宋" w:eastAsia="仿宋" w:cs="仿宋_GB2312"/>
                <w:color w:val="000000" w:themeColor="text1"/>
                <w:sz w:val="24"/>
                <w:szCs w:val="24"/>
              </w:rPr>
              <w:t>响应</w:t>
            </w:r>
            <w:r>
              <w:rPr>
                <w:rFonts w:hint="eastAsia" w:ascii="仿宋" w:hAnsi="仿宋" w:eastAsia="仿宋" w:cs="仿宋_GB2312"/>
                <w:color w:val="000000" w:themeColor="text1"/>
                <w:sz w:val="24"/>
                <w:szCs w:val="24"/>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仿宋" w:hAnsi="仿宋" w:eastAsia="仿宋" w:cs="宋体"/>
                <w:color w:val="000000" w:themeColor="text1"/>
                <w:kern w:val="0"/>
                <w:sz w:val="24"/>
                <w:szCs w:val="24"/>
              </w:rPr>
            </w:pPr>
          </w:p>
        </w:tc>
        <w:tc>
          <w:tcPr>
            <w:tcW w:w="1560" w:type="dxa"/>
            <w:vMerge w:val="continue"/>
            <w:vAlign w:val="center"/>
          </w:tcPr>
          <w:p>
            <w:pPr>
              <w:spacing w:line="240" w:lineRule="exact"/>
              <w:rPr>
                <w:rFonts w:ascii="仿宋" w:hAnsi="仿宋" w:eastAsia="仿宋" w:cs="宋体"/>
                <w:color w:val="000000" w:themeColor="text1"/>
                <w:kern w:val="0"/>
                <w:sz w:val="24"/>
                <w:szCs w:val="24"/>
              </w:rPr>
            </w:pPr>
          </w:p>
        </w:tc>
        <w:tc>
          <w:tcPr>
            <w:tcW w:w="1984" w:type="dxa"/>
            <w:vAlign w:val="center"/>
          </w:tcPr>
          <w:p>
            <w:pPr>
              <w:spacing w:line="240" w:lineRule="exact"/>
              <w:rPr>
                <w:rFonts w:ascii="仿宋" w:hAnsi="仿宋" w:eastAsia="仿宋" w:cs="仿宋_GB2312"/>
                <w:color w:val="000000" w:themeColor="text1"/>
                <w:sz w:val="24"/>
                <w:szCs w:val="24"/>
                <w:lang w:val="zh-CN"/>
              </w:rPr>
            </w:pPr>
            <w:r>
              <w:rPr>
                <w:rFonts w:hint="eastAsia" w:ascii="仿宋" w:hAnsi="仿宋" w:eastAsia="仿宋"/>
                <w:color w:val="000000" w:themeColor="text1"/>
                <w:sz w:val="24"/>
                <w:szCs w:val="24"/>
              </w:rPr>
              <w:t>报价唯一</w:t>
            </w:r>
          </w:p>
        </w:tc>
        <w:tc>
          <w:tcPr>
            <w:tcW w:w="5409" w:type="dxa"/>
            <w:vAlign w:val="center"/>
          </w:tcPr>
          <w:p>
            <w:pPr>
              <w:spacing w:line="240" w:lineRule="exact"/>
              <w:rPr>
                <w:rFonts w:ascii="仿宋" w:hAnsi="仿宋" w:eastAsia="仿宋" w:cs="宋体"/>
                <w:color w:val="000000" w:themeColor="text1"/>
                <w:kern w:val="0"/>
                <w:sz w:val="24"/>
                <w:szCs w:val="24"/>
              </w:rPr>
            </w:pPr>
            <w:r>
              <w:rPr>
                <w:rFonts w:hint="eastAsia" w:ascii="仿宋" w:hAnsi="仿宋" w:eastAsia="仿宋" w:cs="仿宋_GB2312"/>
                <w:color w:val="000000" w:themeColor="text1"/>
                <w:sz w:val="24"/>
                <w:szCs w:val="24"/>
                <w:lang w:val="zh-CN"/>
              </w:rPr>
              <w:t>只能在采购预算范围内报价，</w:t>
            </w:r>
            <w:r>
              <w:rPr>
                <w:rFonts w:hint="eastAsia" w:ascii="仿宋" w:hAnsi="仿宋" w:eastAsia="仿宋"/>
                <w:color w:val="000000" w:themeColor="text1"/>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spacing w:line="240" w:lineRule="exact"/>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2</w:t>
            </w:r>
          </w:p>
        </w:tc>
        <w:tc>
          <w:tcPr>
            <w:tcW w:w="1560" w:type="dxa"/>
            <w:vAlign w:val="center"/>
          </w:tcPr>
          <w:p>
            <w:pPr>
              <w:spacing w:line="240" w:lineRule="exac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完整性审查</w:t>
            </w:r>
          </w:p>
        </w:tc>
        <w:tc>
          <w:tcPr>
            <w:tcW w:w="1984" w:type="dxa"/>
            <w:vAlign w:val="center"/>
          </w:tcPr>
          <w:p>
            <w:pPr>
              <w:spacing w:line="240" w:lineRule="exact"/>
              <w:rPr>
                <w:rFonts w:ascii="仿宋" w:hAnsi="仿宋" w:eastAsia="仿宋" w:cs="宋体"/>
                <w:color w:val="000000" w:themeColor="text1"/>
                <w:kern w:val="0"/>
                <w:sz w:val="24"/>
                <w:szCs w:val="24"/>
              </w:rPr>
            </w:pPr>
            <w:r>
              <w:rPr>
                <w:rFonts w:hint="eastAsia" w:ascii="仿宋" w:hAnsi="仿宋" w:eastAsia="仿宋" w:cs="仿宋_GB2312"/>
                <w:color w:val="000000" w:themeColor="text1"/>
                <w:sz w:val="24"/>
                <w:szCs w:val="24"/>
              </w:rPr>
              <w:t>响应</w:t>
            </w:r>
            <w:r>
              <w:rPr>
                <w:rFonts w:hint="eastAsia" w:ascii="仿宋" w:hAnsi="仿宋" w:eastAsia="仿宋" w:cs="仿宋_GB2312"/>
                <w:color w:val="000000" w:themeColor="text1"/>
                <w:sz w:val="24"/>
                <w:szCs w:val="24"/>
                <w:lang w:val="zh-CN"/>
              </w:rPr>
              <w:t>文件份数</w:t>
            </w:r>
          </w:p>
        </w:tc>
        <w:tc>
          <w:tcPr>
            <w:tcW w:w="5409" w:type="dxa"/>
            <w:vAlign w:val="center"/>
          </w:tcPr>
          <w:p>
            <w:pPr>
              <w:spacing w:line="240" w:lineRule="exact"/>
              <w:rPr>
                <w:rFonts w:ascii="仿宋" w:hAnsi="仿宋" w:eastAsia="仿宋" w:cs="宋体"/>
                <w:color w:val="000000" w:themeColor="text1"/>
                <w:kern w:val="0"/>
                <w:sz w:val="24"/>
                <w:szCs w:val="24"/>
              </w:rPr>
            </w:pPr>
            <w:r>
              <w:rPr>
                <w:rFonts w:hint="eastAsia" w:ascii="仿宋" w:hAnsi="仿宋" w:eastAsia="仿宋" w:cs="仿宋_GB2312"/>
                <w:color w:val="000000" w:themeColor="text1"/>
                <w:sz w:val="24"/>
                <w:szCs w:val="24"/>
              </w:rPr>
              <w:t>响应</w:t>
            </w:r>
            <w:r>
              <w:rPr>
                <w:rFonts w:hint="eastAsia" w:ascii="仿宋" w:hAnsi="仿宋" w:eastAsia="仿宋" w:cs="仿宋_GB2312"/>
                <w:color w:val="000000" w:themeColor="text1"/>
                <w:sz w:val="24"/>
                <w:szCs w:val="24"/>
                <w:lang w:val="zh-CN"/>
              </w:rPr>
              <w:t>文件正、副本数量符合</w:t>
            </w:r>
            <w:r>
              <w:rPr>
                <w:rFonts w:hint="eastAsia" w:ascii="仿宋" w:hAnsi="仿宋" w:eastAsia="仿宋" w:cs="仿宋_GB2312"/>
                <w:color w:val="000000" w:themeColor="text1"/>
                <w:sz w:val="24"/>
                <w:szCs w:val="24"/>
              </w:rPr>
              <w:t>网上竞采</w:t>
            </w:r>
            <w:r>
              <w:rPr>
                <w:rFonts w:hint="eastAsia" w:ascii="仿宋" w:hAnsi="仿宋" w:eastAsia="仿宋" w:cs="仿宋_GB2312"/>
                <w:color w:val="000000" w:themeColor="text1"/>
                <w:sz w:val="24"/>
                <w:szCs w:val="24"/>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3</w:t>
            </w:r>
          </w:p>
        </w:tc>
        <w:tc>
          <w:tcPr>
            <w:tcW w:w="1560" w:type="dxa"/>
            <w:vMerge w:val="restart"/>
            <w:vAlign w:val="center"/>
          </w:tcPr>
          <w:p>
            <w:pPr>
              <w:spacing w:line="240" w:lineRule="exact"/>
              <w:rPr>
                <w:rFonts w:ascii="仿宋" w:hAnsi="仿宋" w:eastAsia="仿宋" w:cs="仿宋_GB2312"/>
                <w:color w:val="000000" w:themeColor="text1"/>
                <w:sz w:val="24"/>
                <w:szCs w:val="24"/>
                <w:lang w:val="zh-CN"/>
              </w:rPr>
            </w:pPr>
            <w:r>
              <w:rPr>
                <w:rFonts w:hint="eastAsia" w:ascii="仿宋" w:hAnsi="仿宋" w:eastAsia="仿宋" w:cs="宋体"/>
                <w:color w:val="000000" w:themeColor="text1"/>
                <w:kern w:val="0"/>
                <w:sz w:val="24"/>
                <w:szCs w:val="24"/>
              </w:rPr>
              <w:t>网上竞采文件的响应程度审查</w:t>
            </w:r>
          </w:p>
        </w:tc>
        <w:tc>
          <w:tcPr>
            <w:tcW w:w="1984" w:type="dxa"/>
            <w:vAlign w:val="center"/>
          </w:tcPr>
          <w:p>
            <w:pPr>
              <w:spacing w:line="240" w:lineRule="exac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响应文件内容</w:t>
            </w:r>
          </w:p>
        </w:tc>
        <w:tc>
          <w:tcPr>
            <w:tcW w:w="5409" w:type="dxa"/>
            <w:vAlign w:val="center"/>
          </w:tcPr>
          <w:p>
            <w:pPr>
              <w:pStyle w:val="33"/>
              <w:spacing w:line="240" w:lineRule="exac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对网上竞采文件第二篇、第三篇规定的网上竞采内容作出响应。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75" w:type="dxa"/>
            <w:vMerge w:val="continue"/>
            <w:vAlign w:val="center"/>
          </w:tcPr>
          <w:p>
            <w:pPr>
              <w:spacing w:line="240" w:lineRule="exact"/>
              <w:jc w:val="center"/>
              <w:rPr>
                <w:rFonts w:ascii="仿宋" w:hAnsi="仿宋" w:eastAsia="仿宋" w:cs="宋体"/>
                <w:color w:val="000000" w:themeColor="text1"/>
                <w:kern w:val="0"/>
                <w:sz w:val="24"/>
                <w:szCs w:val="24"/>
              </w:rPr>
            </w:pPr>
          </w:p>
        </w:tc>
        <w:tc>
          <w:tcPr>
            <w:tcW w:w="1560" w:type="dxa"/>
            <w:vMerge w:val="continue"/>
            <w:vAlign w:val="center"/>
          </w:tcPr>
          <w:p>
            <w:pPr>
              <w:spacing w:line="240" w:lineRule="exact"/>
              <w:rPr>
                <w:rFonts w:ascii="仿宋" w:hAnsi="仿宋" w:eastAsia="仿宋" w:cs="仿宋_GB2312"/>
                <w:color w:val="000000" w:themeColor="text1"/>
                <w:sz w:val="24"/>
                <w:szCs w:val="24"/>
                <w:lang w:val="zh-CN"/>
              </w:rPr>
            </w:pPr>
          </w:p>
        </w:tc>
        <w:tc>
          <w:tcPr>
            <w:tcW w:w="1984" w:type="dxa"/>
            <w:vAlign w:val="center"/>
          </w:tcPr>
          <w:p>
            <w:pPr>
              <w:spacing w:line="240" w:lineRule="exac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网上竞采有效期</w:t>
            </w:r>
          </w:p>
        </w:tc>
        <w:tc>
          <w:tcPr>
            <w:tcW w:w="5409" w:type="dxa"/>
            <w:vAlign w:val="center"/>
          </w:tcPr>
          <w:p>
            <w:pPr>
              <w:spacing w:line="240" w:lineRule="exac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满足网上竞采文件</w:t>
            </w:r>
            <w:r>
              <w:rPr>
                <w:rFonts w:hint="eastAsia" w:ascii="仿宋" w:hAnsi="仿宋" w:eastAsia="仿宋" w:cs="仿宋_GB2312"/>
                <w:color w:val="000000" w:themeColor="text1"/>
                <w:sz w:val="24"/>
                <w:szCs w:val="24"/>
                <w:lang w:val="zh-CN"/>
              </w:rPr>
              <w:t>规定。</w:t>
            </w:r>
          </w:p>
        </w:tc>
      </w:tr>
    </w:tbl>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四）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（五）在网上竞采过程中网上竞采的任何一方不得向他人透露与网上竞采有关的服务资料、价格或其他信息。</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六）在网上竞采过程中，网上竞采小组可以根据网上竞采文件和网上竞采情况实质性变动采购需求中的技术、商务要求以及合同草案条款，但不得变动网上竞采文件中的其他内容。实质性变动的内容，须经采购人代表确认。对网上竞采文件作出的实质性变动是网上竞采文件的有效组成部分，网上竞采小组应当及时以书面形式同时通知所有参加网上竞采的供应商。</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（七）供应商在网上竞采时作出的所有书面承诺须由法定代表人或其授权代表签字。</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（八）评审小组采用综合评分法对合格的供应商的响应文件进行综合评分。</w:t>
      </w:r>
      <w:r>
        <w:rPr>
          <w:rFonts w:hint="eastAsia" w:ascii="仿宋" w:hAnsi="仿宋" w:eastAsia="仿宋" w:cs="宋体"/>
          <w:color w:val="000000" w:themeColor="text1"/>
          <w:kern w:val="0"/>
          <w:sz w:val="24"/>
          <w:szCs w:val="24"/>
        </w:rPr>
        <w:t>综合评分法，是指响应</w:t>
      </w:r>
      <w:r>
        <w:rPr>
          <w:rFonts w:ascii="仿宋" w:hAnsi="仿宋" w:eastAsia="仿宋" w:cs="宋体"/>
          <w:color w:val="000000" w:themeColor="text1"/>
          <w:kern w:val="0"/>
          <w:sz w:val="24"/>
          <w:szCs w:val="24"/>
        </w:rPr>
        <w:t>文件满足</w:t>
      </w:r>
      <w:r>
        <w:rPr>
          <w:rFonts w:hint="eastAsia" w:ascii="仿宋" w:hAnsi="仿宋" w:eastAsia="仿宋" w:cs="宋体"/>
          <w:color w:val="000000" w:themeColor="text1"/>
          <w:kern w:val="0"/>
          <w:sz w:val="24"/>
          <w:szCs w:val="24"/>
        </w:rPr>
        <w:t>网上竞采</w:t>
      </w:r>
      <w:r>
        <w:rPr>
          <w:rFonts w:ascii="仿宋" w:hAnsi="仿宋" w:eastAsia="仿宋" w:cs="宋体"/>
          <w:color w:val="000000" w:themeColor="text1"/>
          <w:kern w:val="0"/>
          <w:sz w:val="24"/>
          <w:szCs w:val="24"/>
        </w:rPr>
        <w:t>文件全部实质性要求且按照评审因素的量化指标评审得分最高的供应商为</w:t>
      </w:r>
      <w:r>
        <w:rPr>
          <w:rFonts w:hint="eastAsia" w:ascii="仿宋" w:hAnsi="仿宋" w:eastAsia="仿宋" w:cs="宋体"/>
          <w:color w:val="000000" w:themeColor="text1"/>
          <w:kern w:val="0"/>
          <w:sz w:val="24"/>
          <w:szCs w:val="24"/>
        </w:rPr>
        <w:t>成交</w:t>
      </w:r>
      <w:r>
        <w:rPr>
          <w:rFonts w:ascii="仿宋" w:hAnsi="仿宋" w:eastAsia="仿宋" w:cs="宋体"/>
          <w:color w:val="000000" w:themeColor="text1"/>
          <w:kern w:val="0"/>
          <w:sz w:val="24"/>
          <w:szCs w:val="24"/>
        </w:rPr>
        <w:t>候选</w:t>
      </w:r>
      <w:r>
        <w:rPr>
          <w:rFonts w:hint="eastAsia" w:ascii="仿宋" w:hAnsi="仿宋" w:eastAsia="仿宋" w:cs="宋体"/>
          <w:color w:val="000000" w:themeColor="text1"/>
          <w:kern w:val="0"/>
          <w:sz w:val="24"/>
          <w:szCs w:val="24"/>
        </w:rPr>
        <w:t>供应商</w:t>
      </w:r>
      <w:r>
        <w:rPr>
          <w:rFonts w:ascii="仿宋" w:hAnsi="仿宋" w:eastAsia="仿宋" w:cs="宋体"/>
          <w:color w:val="000000" w:themeColor="text1"/>
          <w:kern w:val="0"/>
          <w:sz w:val="24"/>
          <w:szCs w:val="24"/>
        </w:rPr>
        <w:t>的</w:t>
      </w:r>
      <w:r>
        <w:rPr>
          <w:rFonts w:hint="eastAsia" w:ascii="仿宋" w:hAnsi="仿宋" w:eastAsia="仿宋" w:cs="宋体"/>
          <w:color w:val="000000" w:themeColor="text1"/>
          <w:kern w:val="0"/>
          <w:sz w:val="24"/>
          <w:szCs w:val="24"/>
        </w:rPr>
        <w:t>评审</w:t>
      </w:r>
      <w:r>
        <w:rPr>
          <w:rFonts w:ascii="仿宋" w:hAnsi="仿宋" w:eastAsia="仿宋" w:cs="宋体"/>
          <w:color w:val="000000" w:themeColor="text1"/>
          <w:kern w:val="0"/>
          <w:sz w:val="24"/>
          <w:szCs w:val="24"/>
        </w:rPr>
        <w:t>方法</w:t>
      </w:r>
      <w:r>
        <w:rPr>
          <w:rFonts w:hint="eastAsia" w:ascii="仿宋" w:hAnsi="仿宋" w:eastAsia="仿宋" w:cs="宋体"/>
          <w:color w:val="000000" w:themeColor="text1"/>
          <w:kern w:val="0"/>
          <w:sz w:val="24"/>
          <w:szCs w:val="24"/>
        </w:rPr>
        <w:t>。供应商总得分为价格、技术、商务等评定因素分别按照相应权重值计算分项得分后相加，满分为100分</w:t>
      </w:r>
      <w:r>
        <w:rPr>
          <w:rFonts w:hint="eastAsia" w:ascii="仿宋" w:hAnsi="仿宋" w:eastAsia="仿宋"/>
          <w:color w:val="000000" w:themeColor="text1"/>
          <w:sz w:val="24"/>
          <w:szCs w:val="24"/>
        </w:rPr>
        <w:t>。</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（九）评审小组各成员独立对每个有效响应（通过资格性检查、</w:t>
      </w:r>
      <w:r>
        <w:rPr>
          <w:rFonts w:hint="eastAsia" w:ascii="仿宋" w:hAnsi="仿宋" w:eastAsia="仿宋" w:cs="宋体"/>
          <w:color w:val="000000" w:themeColor="text1"/>
          <w:kern w:val="0"/>
          <w:sz w:val="24"/>
          <w:szCs w:val="24"/>
        </w:rPr>
        <w:t>符合性检查的供应商</w:t>
      </w:r>
      <w:r>
        <w:rPr>
          <w:rFonts w:hint="eastAsia" w:ascii="仿宋" w:hAnsi="仿宋" w:eastAsia="仿宋"/>
          <w:color w:val="000000" w:themeColor="text1"/>
          <w:sz w:val="24"/>
          <w:szCs w:val="24"/>
        </w:rPr>
        <w:t>）的文件进行评价、打分，然后汇总每个供应商每项评分因素的得分，并根据综合评分情况按照评审得分由高到低顺序推荐3名以上成交候选供应商，并编写评审报告。若供应商的评审得分相同的，按照竞采报价由低到高的顺序排列推荐。评审得分且竞采报价相同的，按照技术部分得分高低顺序排列推荐。以上都相同的，按商务部分得分高低顺序排列推荐。</w:t>
      </w:r>
    </w:p>
    <w:p>
      <w:pPr>
        <w:pStyle w:val="4"/>
        <w:spacing w:before="0" w:after="0" w:line="360" w:lineRule="auto"/>
        <w:rPr>
          <w:rFonts w:ascii="仿宋" w:hAnsi="仿宋" w:eastAsia="仿宋"/>
          <w:color w:val="000000" w:themeColor="text1"/>
          <w:sz w:val="24"/>
          <w:szCs w:val="24"/>
        </w:rPr>
      </w:pPr>
      <w:bookmarkStart w:id="78" w:name="_Toc29460"/>
      <w:bookmarkStart w:id="79" w:name="_Toc32208"/>
      <w:r>
        <w:rPr>
          <w:rFonts w:hint="eastAsia" w:ascii="仿宋" w:hAnsi="仿宋" w:eastAsia="仿宋"/>
          <w:color w:val="000000" w:themeColor="text1"/>
          <w:sz w:val="24"/>
          <w:szCs w:val="24"/>
        </w:rPr>
        <w:t>二、评审标准</w:t>
      </w:r>
      <w:bookmarkEnd w:id="78"/>
      <w:bookmarkEnd w:id="79"/>
    </w:p>
    <w:tbl>
      <w:tblPr>
        <w:tblStyle w:val="59"/>
        <w:tblW w:w="9480"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279"/>
        <w:gridCol w:w="840"/>
        <w:gridCol w:w="4643"/>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91" w:type="dxa"/>
            <w:noWrap w:val="0"/>
            <w:vAlign w:val="center"/>
          </w:tcPr>
          <w:p>
            <w:pPr>
              <w:ind w:firstLine="28"/>
              <w:jc w:val="center"/>
              <w:rPr>
                <w:rFonts w:ascii="仿宋" w:hAnsi="仿宋" w:eastAsia="仿宋" w:cs="仿宋"/>
                <w:b/>
                <w:bCs/>
                <w:color w:val="auto"/>
                <w:sz w:val="24"/>
                <w:szCs w:val="24"/>
              </w:rPr>
            </w:pPr>
            <w:bookmarkStart w:id="80" w:name="_Toc32110"/>
            <w:bookmarkStart w:id="81" w:name="_Toc342913394"/>
            <w:bookmarkStart w:id="82" w:name="_Toc102227320"/>
            <w:r>
              <w:rPr>
                <w:rFonts w:ascii="仿宋" w:hAnsi="仿宋" w:eastAsia="仿宋" w:cs="仿宋"/>
                <w:b/>
                <w:bCs/>
                <w:color w:val="auto"/>
                <w:sz w:val="24"/>
                <w:szCs w:val="24"/>
              </w:rPr>
              <w:t>序号</w:t>
            </w:r>
          </w:p>
        </w:tc>
        <w:tc>
          <w:tcPr>
            <w:tcW w:w="1279" w:type="dxa"/>
            <w:tcBorders>
              <w:left w:val="nil"/>
            </w:tcBorders>
            <w:noWrap w:val="0"/>
            <w:vAlign w:val="center"/>
          </w:tcPr>
          <w:p>
            <w:pPr>
              <w:ind w:firstLine="28"/>
              <w:jc w:val="center"/>
              <w:rPr>
                <w:rFonts w:ascii="仿宋" w:hAnsi="仿宋" w:eastAsia="仿宋" w:cs="仿宋"/>
                <w:b/>
                <w:bCs/>
                <w:color w:val="auto"/>
                <w:sz w:val="24"/>
                <w:szCs w:val="24"/>
              </w:rPr>
            </w:pPr>
            <w:r>
              <w:rPr>
                <w:rFonts w:ascii="仿宋" w:hAnsi="仿宋" w:eastAsia="仿宋" w:cs="仿宋"/>
                <w:b/>
                <w:bCs/>
                <w:color w:val="auto"/>
                <w:sz w:val="24"/>
                <w:szCs w:val="24"/>
              </w:rPr>
              <w:t>评分因素</w:t>
            </w:r>
          </w:p>
          <w:p>
            <w:pPr>
              <w:ind w:firstLine="28"/>
              <w:jc w:val="center"/>
              <w:rPr>
                <w:rFonts w:ascii="仿宋" w:hAnsi="仿宋" w:eastAsia="仿宋" w:cs="仿宋"/>
                <w:b/>
                <w:bCs/>
                <w:color w:val="auto"/>
                <w:sz w:val="24"/>
                <w:szCs w:val="24"/>
              </w:rPr>
            </w:pPr>
            <w:r>
              <w:rPr>
                <w:rFonts w:ascii="仿宋" w:hAnsi="仿宋" w:eastAsia="仿宋" w:cs="仿宋"/>
                <w:b/>
                <w:bCs/>
                <w:color w:val="auto"/>
                <w:sz w:val="24"/>
                <w:szCs w:val="24"/>
              </w:rPr>
              <w:t>及权重</w:t>
            </w:r>
          </w:p>
        </w:tc>
        <w:tc>
          <w:tcPr>
            <w:tcW w:w="840" w:type="dxa"/>
            <w:tcBorders>
              <w:left w:val="nil"/>
            </w:tcBorders>
            <w:noWrap w:val="0"/>
            <w:vAlign w:val="center"/>
          </w:tcPr>
          <w:p>
            <w:pPr>
              <w:ind w:firstLine="28"/>
              <w:jc w:val="center"/>
              <w:rPr>
                <w:rFonts w:ascii="仿宋" w:hAnsi="仿宋" w:eastAsia="仿宋" w:cs="仿宋"/>
                <w:b/>
                <w:bCs/>
                <w:color w:val="auto"/>
                <w:sz w:val="24"/>
                <w:szCs w:val="24"/>
              </w:rPr>
            </w:pPr>
            <w:r>
              <w:rPr>
                <w:rFonts w:ascii="仿宋" w:hAnsi="仿宋" w:eastAsia="仿宋" w:cs="仿宋"/>
                <w:b/>
                <w:bCs/>
                <w:color w:val="auto"/>
                <w:sz w:val="24"/>
                <w:szCs w:val="24"/>
              </w:rPr>
              <w:t>分值</w:t>
            </w:r>
          </w:p>
        </w:tc>
        <w:tc>
          <w:tcPr>
            <w:tcW w:w="4643" w:type="dxa"/>
            <w:tcBorders>
              <w:left w:val="nil"/>
            </w:tcBorders>
            <w:noWrap w:val="0"/>
            <w:vAlign w:val="center"/>
          </w:tcPr>
          <w:p>
            <w:pPr>
              <w:ind w:firstLine="28"/>
              <w:jc w:val="center"/>
              <w:rPr>
                <w:rFonts w:ascii="仿宋" w:hAnsi="仿宋" w:eastAsia="仿宋" w:cs="仿宋"/>
                <w:b/>
                <w:bCs/>
                <w:color w:val="auto"/>
                <w:sz w:val="24"/>
                <w:szCs w:val="24"/>
              </w:rPr>
            </w:pPr>
            <w:r>
              <w:rPr>
                <w:rFonts w:ascii="仿宋" w:hAnsi="仿宋" w:eastAsia="仿宋" w:cs="仿宋"/>
                <w:b/>
                <w:bCs/>
                <w:color w:val="auto"/>
                <w:sz w:val="24"/>
                <w:szCs w:val="24"/>
              </w:rPr>
              <w:t>评分标准</w:t>
            </w:r>
          </w:p>
        </w:tc>
        <w:tc>
          <w:tcPr>
            <w:tcW w:w="1927" w:type="dxa"/>
            <w:tcBorders>
              <w:left w:val="nil"/>
            </w:tcBorders>
            <w:noWrap w:val="0"/>
            <w:vAlign w:val="center"/>
          </w:tcPr>
          <w:p>
            <w:pPr>
              <w:pStyle w:val="230"/>
              <w:rPr>
                <w:rFonts w:ascii="仿宋" w:hAnsi="仿宋" w:eastAsia="仿宋" w:cs="仿宋"/>
                <w:color w:val="auto"/>
              </w:rPr>
            </w:pPr>
            <w:r>
              <w:rPr>
                <w:rFonts w:ascii="仿宋" w:hAnsi="仿宋" w:eastAsia="仿宋" w:cs="仿宋"/>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791" w:type="dxa"/>
            <w:tcBorders>
              <w:bottom w:val="single" w:color="auto" w:sz="4" w:space="0"/>
            </w:tcBorders>
            <w:noWrap w:val="0"/>
            <w:vAlign w:val="center"/>
          </w:tcPr>
          <w:p>
            <w:pPr>
              <w:ind w:firstLine="28"/>
              <w:jc w:val="center"/>
              <w:rPr>
                <w:rFonts w:ascii="仿宋" w:hAnsi="仿宋" w:eastAsia="仿宋" w:cs="仿宋"/>
                <w:color w:val="auto"/>
                <w:sz w:val="24"/>
                <w:szCs w:val="24"/>
              </w:rPr>
            </w:pPr>
            <w:r>
              <w:rPr>
                <w:rFonts w:ascii="仿宋" w:hAnsi="仿宋" w:eastAsia="仿宋" w:cs="仿宋"/>
                <w:color w:val="auto"/>
                <w:sz w:val="24"/>
                <w:szCs w:val="24"/>
              </w:rPr>
              <w:t>1</w:t>
            </w:r>
          </w:p>
        </w:tc>
        <w:tc>
          <w:tcPr>
            <w:tcW w:w="1279" w:type="dxa"/>
            <w:tcBorders>
              <w:left w:val="nil"/>
              <w:bottom w:val="single" w:color="auto" w:sz="4" w:space="0"/>
            </w:tcBorders>
            <w:noWrap w:val="0"/>
            <w:vAlign w:val="center"/>
          </w:tcPr>
          <w:p>
            <w:pPr>
              <w:ind w:firstLine="28"/>
              <w:jc w:val="center"/>
              <w:rPr>
                <w:rFonts w:ascii="仿宋" w:hAnsi="仿宋" w:eastAsia="仿宋" w:cs="仿宋"/>
                <w:color w:val="auto"/>
                <w:sz w:val="24"/>
                <w:szCs w:val="24"/>
              </w:rPr>
            </w:pPr>
            <w:r>
              <w:rPr>
                <w:rFonts w:hint="eastAsia" w:ascii="仿宋" w:hAnsi="仿宋" w:eastAsia="仿宋" w:cs="仿宋"/>
                <w:color w:val="auto"/>
                <w:sz w:val="24"/>
                <w:szCs w:val="24"/>
                <w:lang w:eastAsia="zh-CN"/>
              </w:rPr>
              <w:t>竞采</w:t>
            </w:r>
            <w:r>
              <w:rPr>
                <w:rFonts w:ascii="仿宋" w:hAnsi="仿宋" w:eastAsia="仿宋" w:cs="仿宋"/>
                <w:color w:val="auto"/>
                <w:sz w:val="24"/>
                <w:szCs w:val="24"/>
              </w:rPr>
              <w:t>报价</w:t>
            </w:r>
          </w:p>
          <w:p>
            <w:pPr>
              <w:ind w:firstLine="28"/>
              <w:jc w:val="center"/>
              <w:rPr>
                <w:rFonts w:ascii="仿宋" w:hAnsi="仿宋" w:eastAsia="仿宋" w:cs="仿宋"/>
                <w:color w:val="auto"/>
                <w:sz w:val="24"/>
                <w:szCs w:val="24"/>
              </w:rPr>
            </w:pPr>
            <w:r>
              <w:rPr>
                <w:rFonts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ascii="仿宋" w:hAnsi="仿宋" w:eastAsia="仿宋" w:cs="仿宋"/>
                <w:color w:val="auto"/>
                <w:sz w:val="24"/>
                <w:szCs w:val="24"/>
              </w:rPr>
              <w:t>0%）</w:t>
            </w:r>
          </w:p>
        </w:tc>
        <w:tc>
          <w:tcPr>
            <w:tcW w:w="840" w:type="dxa"/>
            <w:tcBorders>
              <w:left w:val="nil"/>
              <w:bottom w:val="single" w:color="auto" w:sz="4" w:space="0"/>
            </w:tcBorders>
            <w:noWrap w:val="0"/>
            <w:vAlign w:val="center"/>
          </w:tcPr>
          <w:p>
            <w:pPr>
              <w:ind w:firstLine="28"/>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ascii="仿宋" w:hAnsi="仿宋" w:eastAsia="仿宋" w:cs="仿宋"/>
                <w:color w:val="auto"/>
                <w:sz w:val="24"/>
                <w:szCs w:val="24"/>
              </w:rPr>
              <w:t>0分</w:t>
            </w:r>
          </w:p>
        </w:tc>
        <w:tc>
          <w:tcPr>
            <w:tcW w:w="4643" w:type="dxa"/>
            <w:tcBorders>
              <w:left w:val="nil"/>
              <w:bottom w:val="single" w:color="auto" w:sz="4" w:space="0"/>
            </w:tcBorders>
            <w:noWrap w:val="0"/>
            <w:vAlign w:val="center"/>
          </w:tcPr>
          <w:p>
            <w:pPr>
              <w:rPr>
                <w:rFonts w:hint="eastAsia" w:ascii="仿宋" w:eastAsia="仿宋" w:cs="仿宋"/>
                <w:color w:val="auto"/>
                <w:sz w:val="24"/>
                <w:szCs w:val="24"/>
                <w:lang w:bidi="ar-SA"/>
              </w:rPr>
            </w:pPr>
            <w:r>
              <w:rPr>
                <w:rFonts w:hint="eastAsia" w:ascii="仿宋" w:eastAsia="仿宋" w:cs="仿宋"/>
                <w:color w:val="auto"/>
                <w:sz w:val="24"/>
                <w:szCs w:val="24"/>
                <w:lang w:bidi="ar-SA"/>
              </w:rPr>
              <w:t>满足资格性、符合性要求且报价最低的供应商的价格为</w:t>
            </w:r>
            <w:r>
              <w:rPr>
                <w:rFonts w:hint="eastAsia" w:ascii="仿宋" w:eastAsia="仿宋" w:cs="仿宋"/>
                <w:color w:val="auto"/>
                <w:sz w:val="24"/>
                <w:szCs w:val="24"/>
                <w:lang w:eastAsia="zh-CN" w:bidi="ar-SA"/>
              </w:rPr>
              <w:t>竞采</w:t>
            </w:r>
            <w:r>
              <w:rPr>
                <w:rFonts w:hint="eastAsia" w:ascii="仿宋" w:eastAsia="仿宋" w:cs="仿宋"/>
                <w:color w:val="auto"/>
                <w:sz w:val="24"/>
                <w:szCs w:val="24"/>
                <w:lang w:bidi="ar-SA"/>
              </w:rPr>
              <w:t>基准价，其价格分为满分。其他供应商的价格分统一按照下列公式计算：</w:t>
            </w:r>
          </w:p>
          <w:p>
            <w:pPr>
              <w:jc w:val="left"/>
              <w:rPr>
                <w:rFonts w:eastAsia="仿宋"/>
                <w:color w:val="auto"/>
              </w:rPr>
            </w:pPr>
            <w:r>
              <w:rPr>
                <w:rFonts w:hint="eastAsia" w:ascii="仿宋" w:eastAsia="仿宋" w:cs="仿宋"/>
                <w:color w:val="auto"/>
                <w:sz w:val="24"/>
                <w:szCs w:val="24"/>
                <w:lang w:eastAsia="zh-CN" w:bidi="ar-SA"/>
              </w:rPr>
              <w:t>竞采</w:t>
            </w:r>
            <w:r>
              <w:rPr>
                <w:rFonts w:hint="eastAsia" w:ascii="仿宋" w:eastAsia="仿宋" w:cs="仿宋"/>
                <w:color w:val="auto"/>
                <w:sz w:val="24"/>
                <w:szCs w:val="24"/>
                <w:lang w:bidi="ar-SA"/>
              </w:rPr>
              <w:t>报价得分=（</w:t>
            </w:r>
            <w:r>
              <w:rPr>
                <w:rFonts w:hint="eastAsia" w:ascii="仿宋" w:eastAsia="仿宋" w:cs="仿宋"/>
                <w:color w:val="auto"/>
                <w:sz w:val="24"/>
                <w:szCs w:val="24"/>
                <w:lang w:eastAsia="zh-CN" w:bidi="ar-SA"/>
              </w:rPr>
              <w:t>竞采</w:t>
            </w:r>
            <w:r>
              <w:rPr>
                <w:rFonts w:hint="eastAsia" w:ascii="仿宋" w:eastAsia="仿宋" w:cs="仿宋"/>
                <w:color w:val="auto"/>
                <w:sz w:val="24"/>
                <w:szCs w:val="24"/>
                <w:lang w:bidi="ar-SA"/>
              </w:rPr>
              <w:t>基准价/</w:t>
            </w:r>
            <w:r>
              <w:rPr>
                <w:rFonts w:hint="eastAsia" w:ascii="仿宋" w:eastAsia="仿宋" w:cs="仿宋"/>
                <w:color w:val="auto"/>
                <w:sz w:val="24"/>
                <w:szCs w:val="24"/>
                <w:lang w:eastAsia="zh-CN" w:bidi="ar-SA"/>
              </w:rPr>
              <w:t>竞采</w:t>
            </w:r>
            <w:r>
              <w:rPr>
                <w:rFonts w:hint="eastAsia" w:ascii="仿宋" w:eastAsia="仿宋" w:cs="仿宋"/>
                <w:color w:val="auto"/>
                <w:sz w:val="24"/>
                <w:szCs w:val="24"/>
                <w:lang w:bidi="ar-SA"/>
              </w:rPr>
              <w:t>报价）×价格权值×100</w:t>
            </w:r>
            <w:r>
              <w:rPr>
                <w:rFonts w:hint="eastAsia" w:ascii="仿宋" w:eastAsia="仿宋" w:cs="仿宋"/>
                <w:color w:val="auto"/>
                <w:sz w:val="24"/>
                <w:szCs w:val="24"/>
                <w:lang w:eastAsia="zh-CN" w:bidi="ar-SA"/>
              </w:rPr>
              <w:t>（按四舍五入法保留小数点后两位）</w:t>
            </w:r>
          </w:p>
        </w:tc>
        <w:tc>
          <w:tcPr>
            <w:tcW w:w="1927" w:type="dxa"/>
            <w:tcBorders>
              <w:left w:val="nil"/>
              <w:bottom w:val="single" w:color="auto" w:sz="4" w:space="0"/>
            </w:tcBorders>
            <w:noWrap w:val="0"/>
            <w:vAlign w:val="center"/>
          </w:tcPr>
          <w:p>
            <w:pPr>
              <w:ind w:left="-3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91" w:type="dxa"/>
            <w:vMerge w:val="restart"/>
            <w:tcBorders>
              <w:top w:val="single" w:color="auto" w:sz="4" w:space="0"/>
              <w:bottom w:val="single" w:color="auto" w:sz="4" w:space="0"/>
              <w:right w:val="single" w:color="auto" w:sz="4" w:space="0"/>
            </w:tcBorders>
            <w:noWrap w:val="0"/>
            <w:vAlign w:val="center"/>
          </w:tcPr>
          <w:p>
            <w:pPr>
              <w:ind w:firstLine="28"/>
              <w:jc w:val="center"/>
              <w:rPr>
                <w:rFonts w:ascii="仿宋" w:hAnsi="仿宋" w:eastAsia="仿宋" w:cs="仿宋"/>
                <w:color w:val="auto"/>
                <w:sz w:val="24"/>
                <w:szCs w:val="24"/>
              </w:rPr>
            </w:pPr>
            <w:r>
              <w:rPr>
                <w:rFonts w:ascii="仿宋" w:hAnsi="仿宋" w:eastAsia="仿宋" w:cs="仿宋"/>
                <w:color w:val="auto"/>
                <w:sz w:val="24"/>
                <w:szCs w:val="24"/>
              </w:rPr>
              <w:t>2</w:t>
            </w:r>
          </w:p>
        </w:tc>
        <w:tc>
          <w:tcPr>
            <w:tcW w:w="1279"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28"/>
              <w:jc w:val="center"/>
              <w:rPr>
                <w:rFonts w:ascii="仿宋" w:hAnsi="仿宋" w:eastAsia="仿宋" w:cs="仿宋"/>
                <w:color w:val="auto"/>
                <w:sz w:val="24"/>
                <w:szCs w:val="24"/>
              </w:rPr>
            </w:pPr>
            <w:r>
              <w:rPr>
                <w:rFonts w:ascii="仿宋" w:hAnsi="仿宋" w:eastAsia="仿宋" w:cs="仿宋"/>
                <w:color w:val="auto"/>
                <w:sz w:val="24"/>
                <w:szCs w:val="24"/>
              </w:rPr>
              <w:t>技术部分</w:t>
            </w:r>
          </w:p>
          <w:p>
            <w:pPr>
              <w:ind w:firstLine="28"/>
              <w:jc w:val="center"/>
              <w:rPr>
                <w:rFonts w:ascii="仿宋" w:hAnsi="仿宋" w:eastAsia="仿宋" w:cs="仿宋"/>
                <w:color w:val="auto"/>
                <w:sz w:val="24"/>
                <w:szCs w:val="24"/>
              </w:rPr>
            </w:pPr>
            <w:r>
              <w:rPr>
                <w:rFonts w:ascii="仿宋" w:hAnsi="仿宋" w:eastAsia="仿宋" w:cs="仿宋"/>
                <w:color w:val="auto"/>
                <w:sz w:val="24"/>
                <w:szCs w:val="24"/>
              </w:rPr>
              <w:t>（</w:t>
            </w:r>
            <w:r>
              <w:rPr>
                <w:rFonts w:hint="eastAsia" w:ascii="仿宋" w:hAnsi="仿宋" w:eastAsia="仿宋" w:cs="仿宋"/>
                <w:color w:val="auto"/>
                <w:sz w:val="24"/>
                <w:szCs w:val="24"/>
                <w:lang w:val="en-US" w:eastAsia="zh-CN"/>
              </w:rPr>
              <w:t>46</w:t>
            </w:r>
            <w:r>
              <w:rPr>
                <w:rFonts w:ascii="仿宋" w:hAnsi="仿宋" w:eastAsia="仿宋" w:cs="仿宋"/>
                <w:color w:val="auto"/>
                <w:sz w:val="24"/>
                <w:szCs w:val="24"/>
              </w:rPr>
              <w:t>%）</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36分</w:t>
            </w:r>
          </w:p>
        </w:tc>
        <w:tc>
          <w:tcPr>
            <w:tcW w:w="46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eastAsia="仿宋" w:cs="仿宋"/>
                <w:b/>
                <w:bCs/>
                <w:color w:val="auto"/>
                <w:sz w:val="24"/>
                <w:szCs w:val="24"/>
                <w:lang w:bidi="ar-SA"/>
              </w:rPr>
            </w:pPr>
            <w:r>
              <w:rPr>
                <w:rFonts w:hint="eastAsia" w:ascii="仿宋" w:eastAsia="仿宋" w:cs="仿宋"/>
                <w:b/>
                <w:bCs/>
                <w:color w:val="auto"/>
                <w:sz w:val="24"/>
                <w:szCs w:val="24"/>
                <w:lang w:bidi="ar-SA"/>
              </w:rPr>
              <w:t>实施方案（36分）</w:t>
            </w:r>
          </w:p>
          <w:p>
            <w:pPr>
              <w:rPr>
                <w:rFonts w:hint="eastAsia" w:ascii="仿宋" w:eastAsia="仿宋" w:cs="仿宋"/>
                <w:color w:val="auto"/>
                <w:sz w:val="24"/>
                <w:szCs w:val="24"/>
                <w:lang w:bidi="ar-SA"/>
              </w:rPr>
            </w:pPr>
            <w:r>
              <w:rPr>
                <w:rFonts w:hint="eastAsia" w:ascii="仿宋" w:eastAsia="仿宋" w:cs="仿宋"/>
                <w:color w:val="auto"/>
                <w:sz w:val="24"/>
                <w:szCs w:val="24"/>
                <w:lang w:bidi="ar-SA"/>
              </w:rPr>
              <w:t>针对本项目制订实施方案，所采取的技术和方法应适应防制需求，包含但不限于以下内容：①人员安排及分工；②全年工作计划；③基线调查；④药物选择；⑤具体防制技术措施；⑥管理措施；⑦环保与安全；⑧资料归档等。</w:t>
            </w:r>
          </w:p>
          <w:p>
            <w:pPr>
              <w:rPr>
                <w:rFonts w:hint="default" w:ascii="仿宋" w:eastAsia="仿宋" w:cs="仿宋"/>
                <w:color w:val="auto"/>
                <w:sz w:val="24"/>
                <w:szCs w:val="24"/>
                <w:lang w:val="en-US" w:eastAsia="zh-CN" w:bidi="ar-SA"/>
              </w:rPr>
            </w:pPr>
            <w:r>
              <w:rPr>
                <w:rFonts w:hint="eastAsia" w:ascii="仿宋" w:eastAsia="仿宋" w:cs="仿宋"/>
                <w:color w:val="auto"/>
                <w:sz w:val="24"/>
                <w:szCs w:val="24"/>
                <w:lang w:bidi="ar-SA"/>
              </w:rPr>
              <w:t>以上八项中每缺一项扣4.5分；每有一项缺乏完整性和针对性或有缺陷或不满足本项目防制需求的扣2分；未提供方案不得分；此项满分为36分。</w:t>
            </w:r>
          </w:p>
        </w:tc>
        <w:tc>
          <w:tcPr>
            <w:tcW w:w="1927" w:type="dxa"/>
            <w:vMerge w:val="restart"/>
            <w:tcBorders>
              <w:top w:val="single" w:color="auto" w:sz="4" w:space="0"/>
              <w:left w:val="single" w:color="auto" w:sz="4" w:space="0"/>
            </w:tcBorders>
            <w:noWrap w:val="0"/>
            <w:vAlign w:val="center"/>
          </w:tcPr>
          <w:p>
            <w:pPr>
              <w:jc w:val="center"/>
              <w:rPr>
                <w:rFonts w:ascii="仿宋" w:hAnsi="仿宋" w:eastAsia="仿宋" w:cs="仿宋"/>
                <w:color w:val="FF0000"/>
                <w:sz w:val="24"/>
                <w:szCs w:val="24"/>
              </w:rPr>
            </w:pPr>
            <w:r>
              <w:rPr>
                <w:rFonts w:ascii="仿宋" w:hAnsi="仿宋" w:eastAsia="仿宋" w:cs="仿宋"/>
                <w:color w:val="auto"/>
                <w:sz w:val="24"/>
                <w:szCs w:val="24"/>
              </w:rPr>
              <w:t>提供工作方案。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1" w:type="dxa"/>
            <w:vMerge w:val="continue"/>
            <w:tcBorders>
              <w:top w:val="single" w:color="auto" w:sz="4" w:space="0"/>
              <w:bottom w:val="single" w:color="auto" w:sz="4" w:space="0"/>
              <w:right w:val="single" w:color="auto" w:sz="4" w:space="0"/>
            </w:tcBorders>
            <w:noWrap w:val="0"/>
            <w:vAlign w:val="center"/>
          </w:tcPr>
          <w:p>
            <w:pPr>
              <w:ind w:firstLine="28"/>
              <w:jc w:val="center"/>
              <w:rPr>
                <w:rFonts w:ascii="仿宋" w:hAnsi="仿宋" w:eastAsia="仿宋" w:cs="仿宋"/>
                <w:color w:val="auto"/>
                <w:sz w:val="24"/>
                <w:szCs w:val="24"/>
              </w:rPr>
            </w:pPr>
          </w:p>
        </w:tc>
        <w:tc>
          <w:tcPr>
            <w:tcW w:w="1279"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28"/>
              <w:jc w:val="center"/>
              <w:rPr>
                <w:rFonts w:ascii="仿宋" w:hAnsi="仿宋" w:eastAsia="仿宋" w:cs="仿宋"/>
                <w:color w:val="auto"/>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3分</w:t>
            </w:r>
          </w:p>
        </w:tc>
        <w:tc>
          <w:tcPr>
            <w:tcW w:w="46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eastAsia="仿宋" w:cs="仿宋"/>
                <w:b/>
                <w:bCs/>
                <w:color w:val="auto"/>
                <w:sz w:val="24"/>
                <w:szCs w:val="24"/>
                <w:lang w:bidi="ar-SA"/>
              </w:rPr>
            </w:pPr>
            <w:r>
              <w:rPr>
                <w:rFonts w:hint="eastAsia" w:ascii="仿宋" w:eastAsia="仿宋" w:cs="仿宋"/>
                <w:b/>
                <w:bCs/>
                <w:color w:val="auto"/>
                <w:sz w:val="24"/>
                <w:szCs w:val="24"/>
                <w:lang w:bidi="ar-SA"/>
              </w:rPr>
              <w:t>安全保障（3分）</w:t>
            </w:r>
          </w:p>
          <w:p>
            <w:pPr>
              <w:rPr>
                <w:rFonts w:hint="eastAsia" w:ascii="仿宋" w:eastAsia="仿宋" w:cs="仿宋"/>
                <w:color w:val="auto"/>
                <w:sz w:val="24"/>
                <w:szCs w:val="24"/>
                <w:lang w:bidi="ar-SA"/>
              </w:rPr>
            </w:pPr>
            <w:r>
              <w:rPr>
                <w:rFonts w:hint="eastAsia" w:ascii="仿宋" w:eastAsia="仿宋" w:cs="仿宋"/>
                <w:color w:val="auto"/>
                <w:sz w:val="24"/>
                <w:szCs w:val="24"/>
                <w:lang w:bidi="ar-SA"/>
              </w:rPr>
              <w:t>供应商针对本项目提供完整的安全保障措施，包括但不限于以下内容：①安全生产、文明作业制度；②安全保障设施、设备；③对发生各类安全事故作善后处理等。</w:t>
            </w:r>
          </w:p>
          <w:p>
            <w:pPr>
              <w:rPr>
                <w:rFonts w:hint="default" w:ascii="仿宋" w:eastAsia="仿宋" w:cs="仿宋"/>
                <w:color w:val="auto"/>
                <w:sz w:val="24"/>
                <w:szCs w:val="24"/>
                <w:lang w:val="en-US" w:eastAsia="zh-CN" w:bidi="ar-SA"/>
              </w:rPr>
            </w:pPr>
            <w:r>
              <w:rPr>
                <w:rFonts w:hint="eastAsia" w:ascii="仿宋" w:eastAsia="仿宋" w:cs="仿宋"/>
                <w:color w:val="auto"/>
                <w:sz w:val="24"/>
                <w:szCs w:val="24"/>
                <w:lang w:bidi="ar-SA"/>
              </w:rPr>
              <w:t>以上三项中每缺一项扣1分；每有一项缺乏完整性和针对性或有缺陷或不满足本项目需求的扣0.5分；未提供方案不得分；此项满分为3分。</w:t>
            </w:r>
          </w:p>
        </w:tc>
        <w:tc>
          <w:tcPr>
            <w:tcW w:w="1927" w:type="dxa"/>
            <w:vMerge w:val="continue"/>
            <w:tcBorders>
              <w:left w:val="single" w:color="auto" w:sz="4" w:space="0"/>
            </w:tcBorders>
            <w:noWrap w:val="0"/>
            <w:vAlign w:val="center"/>
          </w:tcPr>
          <w:p>
            <w:pPr>
              <w:rPr>
                <w:rFonts w:hint="default" w:ascii="仿宋" w:eastAsia="仿宋" w:cs="仿宋"/>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1" w:type="dxa"/>
            <w:vMerge w:val="continue"/>
            <w:tcBorders>
              <w:top w:val="single" w:color="auto" w:sz="4" w:space="0"/>
              <w:bottom w:val="single" w:color="auto" w:sz="4" w:space="0"/>
              <w:right w:val="single" w:color="auto" w:sz="4" w:space="0"/>
            </w:tcBorders>
            <w:noWrap w:val="0"/>
            <w:vAlign w:val="center"/>
          </w:tcPr>
          <w:p>
            <w:pPr>
              <w:ind w:firstLine="28"/>
              <w:jc w:val="center"/>
              <w:rPr>
                <w:rFonts w:ascii="仿宋" w:hAnsi="仿宋" w:eastAsia="仿宋" w:cs="仿宋"/>
                <w:color w:val="auto"/>
                <w:sz w:val="24"/>
                <w:szCs w:val="24"/>
              </w:rPr>
            </w:pPr>
          </w:p>
        </w:tc>
        <w:tc>
          <w:tcPr>
            <w:tcW w:w="1279"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28"/>
              <w:jc w:val="center"/>
              <w:rPr>
                <w:rFonts w:ascii="仿宋" w:hAnsi="仿宋" w:eastAsia="仿宋" w:cs="仿宋"/>
                <w:color w:val="auto"/>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3分</w:t>
            </w:r>
          </w:p>
        </w:tc>
        <w:tc>
          <w:tcPr>
            <w:tcW w:w="46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eastAsia="仿宋" w:cs="仿宋"/>
                <w:b/>
                <w:bCs/>
                <w:color w:val="auto"/>
                <w:sz w:val="24"/>
                <w:szCs w:val="24"/>
                <w:lang w:bidi="ar-SA"/>
              </w:rPr>
            </w:pPr>
            <w:r>
              <w:rPr>
                <w:rFonts w:hint="eastAsia" w:ascii="仿宋" w:eastAsia="仿宋" w:cs="仿宋"/>
                <w:b/>
                <w:bCs/>
                <w:color w:val="auto"/>
                <w:sz w:val="24"/>
                <w:szCs w:val="24"/>
                <w:lang w:bidi="ar-SA"/>
              </w:rPr>
              <w:t>应急处置（3分）</w:t>
            </w:r>
          </w:p>
          <w:p>
            <w:pPr>
              <w:rPr>
                <w:rFonts w:hint="eastAsia" w:ascii="仿宋" w:eastAsia="仿宋" w:cs="仿宋"/>
                <w:color w:val="auto"/>
                <w:sz w:val="24"/>
                <w:szCs w:val="24"/>
                <w:lang w:bidi="ar-SA"/>
              </w:rPr>
            </w:pPr>
            <w:r>
              <w:rPr>
                <w:rFonts w:hint="eastAsia" w:ascii="仿宋" w:eastAsia="仿宋" w:cs="仿宋"/>
                <w:color w:val="auto"/>
                <w:sz w:val="24"/>
                <w:szCs w:val="24"/>
                <w:lang w:bidi="ar-SA"/>
              </w:rPr>
              <w:t>供应商针对突发公共卫生事件及重大节假日或活动等特殊情况制定应急处置方案，包含但不限于以下内容：①传达机制；②人员和设备调配；③责任分工等。</w:t>
            </w:r>
          </w:p>
          <w:p>
            <w:pPr>
              <w:rPr>
                <w:rFonts w:hint="default" w:ascii="仿宋" w:eastAsia="仿宋" w:cs="仿宋"/>
                <w:color w:val="auto"/>
                <w:sz w:val="24"/>
                <w:szCs w:val="24"/>
                <w:lang w:val="en-US" w:eastAsia="zh-CN" w:bidi="ar-SA"/>
              </w:rPr>
            </w:pPr>
            <w:r>
              <w:rPr>
                <w:rFonts w:hint="eastAsia" w:ascii="仿宋" w:eastAsia="仿宋" w:cs="仿宋"/>
                <w:color w:val="auto"/>
                <w:sz w:val="24"/>
                <w:szCs w:val="24"/>
                <w:lang w:bidi="ar-SA"/>
              </w:rPr>
              <w:t>以上三项中每缺一项扣1分；每有一项缺乏完整性和针对性或有缺陷或不满足本项目需求的扣0.5分；未提供方案不得分；此项满分为3分。</w:t>
            </w:r>
          </w:p>
        </w:tc>
        <w:tc>
          <w:tcPr>
            <w:tcW w:w="1927" w:type="dxa"/>
            <w:vMerge w:val="continue"/>
            <w:tcBorders>
              <w:left w:val="single" w:color="auto" w:sz="4" w:space="0"/>
            </w:tcBorders>
            <w:noWrap w:val="0"/>
            <w:vAlign w:val="center"/>
          </w:tcPr>
          <w:p>
            <w:pPr>
              <w:rPr>
                <w:rFonts w:hint="default" w:ascii="仿宋" w:eastAsia="仿宋" w:cs="仿宋"/>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1" w:type="dxa"/>
            <w:vMerge w:val="continue"/>
            <w:tcBorders>
              <w:top w:val="single" w:color="auto" w:sz="4" w:space="0"/>
              <w:bottom w:val="single" w:color="auto" w:sz="4" w:space="0"/>
              <w:right w:val="single" w:color="auto" w:sz="4" w:space="0"/>
            </w:tcBorders>
            <w:noWrap w:val="0"/>
            <w:vAlign w:val="center"/>
          </w:tcPr>
          <w:p>
            <w:pPr>
              <w:ind w:firstLine="28"/>
              <w:jc w:val="center"/>
              <w:rPr>
                <w:rFonts w:ascii="仿宋" w:hAnsi="仿宋" w:eastAsia="仿宋" w:cs="仿宋"/>
                <w:color w:val="auto"/>
                <w:sz w:val="24"/>
                <w:szCs w:val="24"/>
              </w:rPr>
            </w:pPr>
          </w:p>
        </w:tc>
        <w:tc>
          <w:tcPr>
            <w:tcW w:w="1279"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28"/>
              <w:jc w:val="center"/>
              <w:rPr>
                <w:rFonts w:ascii="仿宋" w:hAnsi="仿宋" w:eastAsia="仿宋" w:cs="仿宋"/>
                <w:color w:val="auto"/>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4分</w:t>
            </w:r>
          </w:p>
        </w:tc>
        <w:tc>
          <w:tcPr>
            <w:tcW w:w="46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eastAsia="仿宋" w:cs="仿宋"/>
                <w:b/>
                <w:bCs/>
                <w:color w:val="auto"/>
                <w:sz w:val="24"/>
                <w:szCs w:val="24"/>
                <w:lang w:bidi="ar-SA"/>
              </w:rPr>
            </w:pPr>
            <w:r>
              <w:rPr>
                <w:rFonts w:hint="eastAsia" w:ascii="仿宋" w:eastAsia="仿宋" w:cs="仿宋"/>
                <w:b/>
                <w:bCs/>
                <w:color w:val="auto"/>
                <w:sz w:val="24"/>
                <w:szCs w:val="24"/>
                <w:lang w:bidi="ar-SA"/>
              </w:rPr>
              <w:t>售后服务方案（4分）</w:t>
            </w:r>
          </w:p>
          <w:p>
            <w:pPr>
              <w:rPr>
                <w:rFonts w:hint="eastAsia" w:ascii="仿宋" w:eastAsia="仿宋" w:cs="仿宋"/>
                <w:color w:val="auto"/>
                <w:sz w:val="24"/>
                <w:szCs w:val="24"/>
                <w:lang w:bidi="ar-SA"/>
              </w:rPr>
            </w:pPr>
            <w:r>
              <w:rPr>
                <w:rFonts w:hint="eastAsia" w:ascii="仿宋" w:eastAsia="仿宋" w:cs="仿宋"/>
                <w:color w:val="auto"/>
                <w:sz w:val="24"/>
                <w:szCs w:val="24"/>
                <w:lang w:bidi="ar-SA"/>
              </w:rPr>
              <w:t>供应商针对本项目提供完整的售后服务方案，包括但不限于以下内容：①售后服务响应时间；②售后服务内容等。</w:t>
            </w:r>
          </w:p>
          <w:p>
            <w:pPr>
              <w:rPr>
                <w:rFonts w:hint="default" w:ascii="仿宋" w:eastAsia="仿宋" w:cs="仿宋"/>
                <w:color w:val="auto"/>
                <w:sz w:val="24"/>
                <w:szCs w:val="24"/>
                <w:lang w:val="en-US" w:eastAsia="zh-CN" w:bidi="ar-SA"/>
              </w:rPr>
            </w:pPr>
            <w:r>
              <w:rPr>
                <w:rFonts w:hint="eastAsia" w:ascii="仿宋" w:eastAsia="仿宋" w:cs="仿宋"/>
                <w:color w:val="auto"/>
                <w:sz w:val="24"/>
                <w:szCs w:val="24"/>
                <w:lang w:bidi="ar-SA"/>
              </w:rPr>
              <w:t>以上两项中每缺一项扣2分；每有一项缺乏完整性和针对性或有缺陷或操作性不强的扣1分；未提供方案不得分；此项满分为4分。</w:t>
            </w:r>
          </w:p>
        </w:tc>
        <w:tc>
          <w:tcPr>
            <w:tcW w:w="1927" w:type="dxa"/>
            <w:vMerge w:val="continue"/>
            <w:tcBorders>
              <w:left w:val="single" w:color="auto" w:sz="4" w:space="0"/>
              <w:bottom w:val="single" w:color="auto" w:sz="4" w:space="0"/>
            </w:tcBorders>
            <w:noWrap w:val="0"/>
            <w:vAlign w:val="center"/>
          </w:tcPr>
          <w:p>
            <w:pPr>
              <w:rPr>
                <w:rFonts w:hint="default" w:ascii="仿宋" w:eastAsia="仿宋" w:cs="仿宋"/>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6" w:hRule="atLeast"/>
        </w:trPr>
        <w:tc>
          <w:tcPr>
            <w:tcW w:w="791" w:type="dxa"/>
            <w:vMerge w:val="restart"/>
            <w:tcBorders>
              <w:top w:val="single" w:color="auto" w:sz="4" w:space="0"/>
              <w:right w:val="single" w:color="auto" w:sz="4" w:space="0"/>
            </w:tcBorders>
            <w:noWrap w:val="0"/>
            <w:vAlign w:val="center"/>
          </w:tcPr>
          <w:p>
            <w:pPr>
              <w:ind w:firstLine="28"/>
              <w:jc w:val="center"/>
              <w:rPr>
                <w:rFonts w:ascii="仿宋" w:hAnsi="仿宋" w:eastAsia="仿宋" w:cs="仿宋"/>
                <w:color w:val="auto"/>
                <w:sz w:val="24"/>
                <w:szCs w:val="24"/>
              </w:rPr>
            </w:pPr>
            <w:r>
              <w:rPr>
                <w:rFonts w:ascii="仿宋" w:hAnsi="仿宋" w:eastAsia="仿宋" w:cs="仿宋"/>
                <w:color w:val="auto"/>
                <w:sz w:val="24"/>
                <w:szCs w:val="24"/>
              </w:rPr>
              <w:t>3</w:t>
            </w:r>
          </w:p>
        </w:tc>
        <w:tc>
          <w:tcPr>
            <w:tcW w:w="1279" w:type="dxa"/>
            <w:vMerge w:val="restart"/>
            <w:tcBorders>
              <w:top w:val="single" w:color="auto" w:sz="4" w:space="0"/>
              <w:left w:val="single" w:color="auto" w:sz="4" w:space="0"/>
              <w:right w:val="single" w:color="auto" w:sz="4" w:space="0"/>
            </w:tcBorders>
            <w:noWrap w:val="0"/>
            <w:vAlign w:val="center"/>
          </w:tcPr>
          <w:p>
            <w:pPr>
              <w:ind w:firstLine="28"/>
              <w:jc w:val="center"/>
              <w:rPr>
                <w:rFonts w:hint="eastAsia" w:ascii="仿宋" w:hAnsi="仿宋" w:eastAsia="仿宋" w:cs="仿宋"/>
                <w:color w:val="auto"/>
                <w:sz w:val="24"/>
                <w:szCs w:val="24"/>
                <w:lang w:eastAsia="zh-CN"/>
              </w:rPr>
            </w:pPr>
            <w:r>
              <w:rPr>
                <w:rFonts w:ascii="仿宋" w:hAnsi="仿宋" w:eastAsia="仿宋" w:cs="仿宋"/>
                <w:color w:val="auto"/>
                <w:sz w:val="24"/>
                <w:szCs w:val="24"/>
              </w:rPr>
              <w:t>商务部分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44</w:t>
            </w:r>
            <w:r>
              <w:rPr>
                <w:rFonts w:ascii="仿宋" w:hAnsi="仿宋" w:eastAsia="仿宋" w:cs="仿宋"/>
                <w:color w:val="auto"/>
                <w:sz w:val="24"/>
                <w:szCs w:val="24"/>
              </w:rPr>
              <w:t>%</w:t>
            </w:r>
            <w:r>
              <w:rPr>
                <w:rFonts w:hint="eastAsia" w:ascii="仿宋" w:hAnsi="仿宋" w:eastAsia="仿宋" w:cs="仿宋"/>
                <w:color w:val="auto"/>
                <w:sz w:val="24"/>
                <w:szCs w:val="24"/>
                <w:lang w:eastAsia="zh-CN"/>
              </w:rPr>
              <w:t>）</w:t>
            </w:r>
          </w:p>
        </w:tc>
        <w:tc>
          <w:tcPr>
            <w:tcW w:w="840" w:type="dxa"/>
            <w:tcBorders>
              <w:top w:val="single" w:color="auto" w:sz="4" w:space="0"/>
              <w:left w:val="single" w:color="auto" w:sz="4" w:space="0"/>
              <w:right w:val="single" w:color="auto" w:sz="4" w:space="0"/>
            </w:tcBorders>
            <w:noWrap w:val="0"/>
            <w:vAlign w:val="center"/>
          </w:tcPr>
          <w:p>
            <w:pPr>
              <w:jc w:val="center"/>
              <w:rPr>
                <w:rFonts w:hint="default"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14分</w:t>
            </w:r>
          </w:p>
        </w:tc>
        <w:tc>
          <w:tcPr>
            <w:tcW w:w="4643" w:type="dxa"/>
            <w:tcBorders>
              <w:top w:val="single" w:color="auto" w:sz="4" w:space="0"/>
              <w:left w:val="single" w:color="auto" w:sz="4" w:space="0"/>
              <w:right w:val="single" w:color="auto" w:sz="4" w:space="0"/>
            </w:tcBorders>
            <w:noWrap w:val="0"/>
            <w:vAlign w:val="center"/>
          </w:tcPr>
          <w:p>
            <w:pPr>
              <w:rPr>
                <w:rFonts w:hint="eastAsia" w:ascii="仿宋" w:eastAsia="仿宋" w:cs="仿宋"/>
                <w:b/>
                <w:bCs/>
                <w:color w:val="auto"/>
                <w:sz w:val="24"/>
                <w:szCs w:val="24"/>
                <w:lang w:bidi="ar-SA"/>
              </w:rPr>
            </w:pPr>
            <w:r>
              <w:rPr>
                <w:rFonts w:hint="eastAsia" w:ascii="仿宋" w:eastAsia="仿宋" w:cs="仿宋"/>
                <w:b/>
                <w:bCs/>
                <w:color w:val="auto"/>
                <w:sz w:val="24"/>
                <w:szCs w:val="24"/>
                <w:lang w:bidi="ar-SA"/>
              </w:rPr>
              <w:t>公司技术力量（14分）</w:t>
            </w:r>
          </w:p>
          <w:p>
            <w:pPr>
              <w:rPr>
                <w:rFonts w:hint="eastAsia" w:ascii="仿宋" w:eastAsia="仿宋" w:cs="仿宋"/>
                <w:color w:val="auto"/>
                <w:sz w:val="24"/>
                <w:szCs w:val="24"/>
                <w:lang w:bidi="ar-SA"/>
              </w:rPr>
            </w:pPr>
            <w:r>
              <w:rPr>
                <w:rFonts w:hint="eastAsia" w:ascii="仿宋" w:eastAsia="仿宋" w:cs="仿宋"/>
                <w:color w:val="auto"/>
                <w:sz w:val="24"/>
                <w:szCs w:val="24"/>
                <w:lang w:bidi="ar-SA"/>
              </w:rPr>
              <w:t>1.</w:t>
            </w:r>
            <w:r>
              <w:rPr>
                <w:rFonts w:hint="eastAsia" w:ascii="仿宋" w:eastAsia="仿宋" w:cs="仿宋"/>
                <w:color w:val="auto"/>
                <w:sz w:val="24"/>
                <w:szCs w:val="24"/>
                <w:lang w:val="en-US" w:eastAsia="zh-CN" w:bidi="ar-SA"/>
              </w:rPr>
              <w:t>除竞采文件第二篇中要求的人员外，</w:t>
            </w:r>
            <w:r>
              <w:rPr>
                <w:rFonts w:hint="eastAsia" w:ascii="仿宋" w:eastAsia="仿宋" w:cs="仿宋"/>
                <w:color w:val="auto"/>
                <w:sz w:val="24"/>
                <w:szCs w:val="24"/>
                <w:lang w:bidi="ar-SA"/>
              </w:rPr>
              <w:t>供应商拟投入本项目服务团队成员中，具有有害生物防制员三级</w:t>
            </w:r>
            <w:r>
              <w:rPr>
                <w:rFonts w:hint="eastAsia" w:ascii="仿宋" w:eastAsia="仿宋" w:cs="仿宋"/>
                <w:color w:val="auto"/>
                <w:sz w:val="24"/>
                <w:szCs w:val="24"/>
                <w:lang w:eastAsia="zh-CN" w:bidi="ar-SA"/>
              </w:rPr>
              <w:t>（</w:t>
            </w:r>
            <w:r>
              <w:rPr>
                <w:rFonts w:hint="eastAsia" w:ascii="仿宋" w:hAnsi="仿宋" w:eastAsia="仿宋"/>
                <w:color w:val="auto"/>
                <w:sz w:val="24"/>
                <w:szCs w:val="24"/>
                <w:highlight w:val="none"/>
              </w:rPr>
              <w:t>高级</w:t>
            </w:r>
            <w:r>
              <w:rPr>
                <w:rFonts w:hint="eastAsia" w:ascii="仿宋" w:hAnsi="仿宋" w:eastAsia="仿宋"/>
                <w:color w:val="auto"/>
                <w:sz w:val="24"/>
                <w:szCs w:val="24"/>
                <w:highlight w:val="none"/>
                <w:lang w:eastAsia="zh-CN"/>
              </w:rPr>
              <w:t>）</w:t>
            </w:r>
            <w:r>
              <w:rPr>
                <w:rFonts w:hint="eastAsia" w:ascii="仿宋" w:eastAsia="仿宋" w:cs="仿宋"/>
                <w:color w:val="auto"/>
                <w:sz w:val="24"/>
                <w:szCs w:val="24"/>
                <w:lang w:bidi="ar-SA"/>
              </w:rPr>
              <w:t>证书的，每提供1人得2.5分，本项最多得5分，未提供不得分。</w:t>
            </w:r>
          </w:p>
          <w:p>
            <w:pPr>
              <w:rPr>
                <w:rFonts w:hint="eastAsia" w:ascii="仿宋" w:eastAsia="仿宋" w:cs="仿宋"/>
                <w:color w:val="auto"/>
                <w:sz w:val="24"/>
                <w:szCs w:val="24"/>
                <w:lang w:bidi="ar-SA"/>
              </w:rPr>
            </w:pPr>
          </w:p>
          <w:p>
            <w:pPr>
              <w:rPr>
                <w:rFonts w:hint="eastAsia" w:ascii="仿宋" w:eastAsia="仿宋" w:cs="仿宋"/>
                <w:color w:val="auto"/>
                <w:sz w:val="24"/>
                <w:szCs w:val="24"/>
                <w:lang w:bidi="ar-SA"/>
              </w:rPr>
            </w:pPr>
            <w:r>
              <w:rPr>
                <w:rFonts w:hint="eastAsia" w:ascii="仿宋" w:eastAsia="仿宋" w:cs="仿宋"/>
                <w:color w:val="auto"/>
                <w:sz w:val="24"/>
                <w:szCs w:val="24"/>
                <w:lang w:bidi="ar-SA"/>
              </w:rPr>
              <w:t>2.</w:t>
            </w:r>
            <w:r>
              <w:rPr>
                <w:rFonts w:hint="eastAsia" w:ascii="仿宋" w:eastAsia="仿宋" w:cs="仿宋"/>
                <w:color w:val="auto"/>
                <w:sz w:val="24"/>
                <w:szCs w:val="24"/>
                <w:lang w:val="en-US" w:eastAsia="zh-CN" w:bidi="ar-SA"/>
              </w:rPr>
              <w:t>除竞采文件第二篇中要求的人员外，</w:t>
            </w:r>
            <w:r>
              <w:rPr>
                <w:rFonts w:hint="eastAsia" w:ascii="仿宋" w:eastAsia="仿宋" w:cs="仿宋"/>
                <w:color w:val="auto"/>
                <w:sz w:val="24"/>
                <w:szCs w:val="24"/>
                <w:lang w:bidi="ar-SA"/>
              </w:rPr>
              <w:t>供应商拟投入本项目服务团队成员中，具有有害生物防制员四级</w:t>
            </w:r>
            <w:r>
              <w:rPr>
                <w:rFonts w:hint="eastAsia" w:ascii="仿宋" w:eastAsia="仿宋" w:cs="仿宋"/>
                <w:color w:val="auto"/>
                <w:sz w:val="24"/>
                <w:szCs w:val="24"/>
                <w:lang w:eastAsia="zh-CN" w:bidi="ar-SA"/>
              </w:rPr>
              <w:t>（</w:t>
            </w:r>
            <w:r>
              <w:rPr>
                <w:rFonts w:hint="eastAsia" w:ascii="仿宋" w:hAnsi="仿宋" w:eastAsia="仿宋"/>
                <w:color w:val="auto"/>
                <w:sz w:val="24"/>
                <w:szCs w:val="24"/>
                <w:highlight w:val="none"/>
              </w:rPr>
              <w:t>中级</w:t>
            </w:r>
            <w:r>
              <w:rPr>
                <w:rFonts w:hint="eastAsia" w:ascii="仿宋" w:hAnsi="仿宋" w:eastAsia="仿宋"/>
                <w:color w:val="auto"/>
                <w:sz w:val="24"/>
                <w:szCs w:val="24"/>
                <w:highlight w:val="none"/>
                <w:lang w:eastAsia="zh-CN"/>
              </w:rPr>
              <w:t>）</w:t>
            </w:r>
            <w:r>
              <w:rPr>
                <w:rFonts w:hint="eastAsia" w:ascii="仿宋" w:eastAsia="仿宋" w:cs="仿宋"/>
                <w:color w:val="auto"/>
                <w:sz w:val="24"/>
                <w:szCs w:val="24"/>
                <w:lang w:bidi="ar-SA"/>
              </w:rPr>
              <w:t>证书的，每提供1人得1分，本项最多得5分，未提供不得分。</w:t>
            </w:r>
          </w:p>
          <w:p>
            <w:pPr>
              <w:rPr>
                <w:rFonts w:hint="eastAsia" w:ascii="仿宋" w:eastAsia="仿宋" w:cs="仿宋"/>
                <w:color w:val="auto"/>
                <w:sz w:val="24"/>
                <w:szCs w:val="24"/>
                <w:lang w:bidi="ar-SA"/>
              </w:rPr>
            </w:pPr>
          </w:p>
          <w:p>
            <w:pPr>
              <w:rPr>
                <w:rFonts w:hint="eastAsia" w:ascii="仿宋" w:eastAsia="仿宋" w:cs="仿宋"/>
                <w:color w:val="auto"/>
                <w:sz w:val="24"/>
                <w:szCs w:val="24"/>
                <w:lang w:bidi="ar-SA"/>
              </w:rPr>
            </w:pPr>
            <w:r>
              <w:rPr>
                <w:rFonts w:hint="eastAsia" w:ascii="仿宋" w:eastAsia="仿宋" w:cs="仿宋"/>
                <w:color w:val="auto"/>
                <w:sz w:val="24"/>
                <w:szCs w:val="24"/>
                <w:lang w:bidi="ar-SA"/>
              </w:rPr>
              <w:t>3.</w:t>
            </w:r>
            <w:r>
              <w:rPr>
                <w:rFonts w:hint="eastAsia" w:ascii="仿宋" w:eastAsia="仿宋" w:cs="仿宋"/>
                <w:color w:val="auto"/>
                <w:sz w:val="24"/>
                <w:szCs w:val="24"/>
                <w:lang w:val="en-US" w:eastAsia="zh-CN" w:bidi="ar-SA"/>
              </w:rPr>
              <w:t>除竞采文件第二篇中要求的人员外，</w:t>
            </w:r>
            <w:r>
              <w:rPr>
                <w:rFonts w:hint="eastAsia" w:ascii="仿宋" w:eastAsia="仿宋" w:cs="仿宋"/>
                <w:color w:val="auto"/>
                <w:sz w:val="24"/>
                <w:szCs w:val="24"/>
                <w:lang w:bidi="ar-SA"/>
              </w:rPr>
              <w:t>供应商拟投入本项目服务团队成员中，具有有害生物防制员五级</w:t>
            </w:r>
            <w:r>
              <w:rPr>
                <w:rFonts w:hint="eastAsia" w:ascii="仿宋" w:eastAsia="仿宋" w:cs="仿宋"/>
                <w:color w:val="auto"/>
                <w:sz w:val="24"/>
                <w:szCs w:val="24"/>
                <w:lang w:eastAsia="zh-CN" w:bidi="ar-SA"/>
              </w:rPr>
              <w:t>（</w:t>
            </w:r>
            <w:r>
              <w:rPr>
                <w:rFonts w:hint="eastAsia" w:ascii="仿宋" w:hAnsi="仿宋" w:eastAsia="仿宋"/>
                <w:color w:val="auto"/>
                <w:sz w:val="24"/>
                <w:szCs w:val="24"/>
                <w:highlight w:val="none"/>
              </w:rPr>
              <w:t>初级</w:t>
            </w:r>
            <w:r>
              <w:rPr>
                <w:rFonts w:hint="eastAsia" w:ascii="仿宋" w:hAnsi="仿宋" w:eastAsia="仿宋"/>
                <w:color w:val="auto"/>
                <w:sz w:val="24"/>
                <w:szCs w:val="24"/>
                <w:highlight w:val="none"/>
                <w:lang w:eastAsia="zh-CN"/>
              </w:rPr>
              <w:t>）</w:t>
            </w:r>
            <w:r>
              <w:rPr>
                <w:rFonts w:hint="eastAsia" w:ascii="仿宋" w:eastAsia="仿宋" w:cs="仿宋"/>
                <w:color w:val="auto"/>
                <w:sz w:val="24"/>
                <w:szCs w:val="24"/>
                <w:lang w:bidi="ar-SA"/>
              </w:rPr>
              <w:t>证书的，每提供一人得0.5分，本项最多得4分，未提供不得分。</w:t>
            </w:r>
          </w:p>
        </w:tc>
        <w:tc>
          <w:tcPr>
            <w:tcW w:w="1927" w:type="dxa"/>
            <w:tcBorders>
              <w:top w:val="single" w:color="auto" w:sz="4" w:space="0"/>
              <w:left w:val="single" w:color="auto" w:sz="4" w:space="0"/>
              <w:bottom w:val="single" w:color="auto" w:sz="4" w:space="0"/>
            </w:tcBorders>
            <w:noWrap w:val="0"/>
            <w:vAlign w:val="center"/>
          </w:tcPr>
          <w:p>
            <w:pPr>
              <w:rPr>
                <w:rFonts w:hint="default" w:ascii="仿宋" w:eastAsia="仿宋" w:cs="仿宋"/>
                <w:color w:val="auto"/>
                <w:sz w:val="24"/>
                <w:szCs w:val="24"/>
                <w:lang w:val="en-US" w:eastAsia="zh-CN" w:bidi="ar-SA"/>
              </w:rPr>
            </w:pPr>
            <w:r>
              <w:rPr>
                <w:rFonts w:hint="eastAsia" w:ascii="仿宋" w:eastAsia="仿宋" w:cs="仿宋"/>
                <w:color w:val="auto"/>
                <w:sz w:val="24"/>
                <w:szCs w:val="24"/>
                <w:lang w:bidi="ar-SA"/>
              </w:rPr>
              <w:t>提供证书复印件（证书在“技能人才评价证书全国联网查询系统”可查）及供应商为其缴纳的2022年1月-2022年7月社保缴纳证明材料复印件</w:t>
            </w:r>
            <w:r>
              <w:rPr>
                <w:rFonts w:hint="eastAsia" w:ascii="仿宋" w:eastAsia="仿宋" w:cs="仿宋"/>
                <w:color w:val="auto"/>
                <w:sz w:val="24"/>
                <w:szCs w:val="24"/>
                <w:lang w:eastAsia="zh-CN" w:bidi="ar-SA"/>
              </w:rPr>
              <w:t>（</w:t>
            </w:r>
            <w:r>
              <w:rPr>
                <w:rFonts w:hint="eastAsia" w:ascii="仿宋" w:eastAsia="仿宋" w:cs="仿宋"/>
                <w:color w:val="auto"/>
                <w:sz w:val="24"/>
                <w:szCs w:val="24"/>
                <w:lang w:val="en-US" w:eastAsia="zh-CN" w:bidi="ar-SA"/>
              </w:rPr>
              <w:t>供应商在2022年1月份之后成立的提供成立之后至开标前月或开标当月社保缴纳证明复印件）</w:t>
            </w:r>
            <w:r>
              <w:rPr>
                <w:rFonts w:hint="eastAsia" w:ascii="仿宋" w:eastAsia="仿宋" w:cs="仿宋"/>
                <w:color w:val="auto"/>
                <w:sz w:val="24"/>
                <w:szCs w:val="24"/>
                <w:lang w:bidi="ar-SA"/>
              </w:rPr>
              <w:t>，</w:t>
            </w:r>
            <w:r>
              <w:rPr>
                <w:rFonts w:hint="eastAsia" w:ascii="仿宋" w:eastAsia="仿宋" w:cs="仿宋"/>
                <w:color w:val="auto"/>
                <w:sz w:val="24"/>
                <w:szCs w:val="24"/>
                <w:lang w:val="en-US" w:eastAsia="zh-CN" w:bidi="ar-SA"/>
              </w:rPr>
              <w:t>若为</w:t>
            </w:r>
            <w:r>
              <w:rPr>
                <w:rFonts w:hint="eastAsia" w:ascii="仿宋" w:eastAsia="仿宋" w:cs="仿宋"/>
                <w:color w:val="auto"/>
                <w:sz w:val="24"/>
                <w:szCs w:val="24"/>
                <w:lang w:bidi="ar-SA"/>
              </w:rPr>
              <w:t>返聘人员</w:t>
            </w:r>
            <w:r>
              <w:rPr>
                <w:rFonts w:hint="eastAsia" w:ascii="仿宋" w:eastAsia="仿宋" w:cs="仿宋"/>
                <w:color w:val="auto"/>
                <w:sz w:val="24"/>
                <w:szCs w:val="24"/>
                <w:lang w:val="en-US" w:eastAsia="zh-CN" w:bidi="ar-SA"/>
              </w:rPr>
              <w:t>的</w:t>
            </w:r>
            <w:r>
              <w:rPr>
                <w:rFonts w:hint="eastAsia" w:ascii="仿宋" w:eastAsia="仿宋" w:cs="仿宋"/>
                <w:color w:val="auto"/>
                <w:sz w:val="24"/>
                <w:szCs w:val="24"/>
                <w:lang w:bidi="ar-SA"/>
              </w:rPr>
              <w:t>提供返聘协议</w:t>
            </w:r>
            <w:r>
              <w:rPr>
                <w:rFonts w:hint="eastAsia" w:ascii="仿宋" w:eastAsia="仿宋" w:cs="仿宋"/>
                <w:color w:val="auto"/>
                <w:sz w:val="24"/>
                <w:szCs w:val="24"/>
                <w:lang w:val="en-US" w:eastAsia="zh-CN" w:bidi="ar-SA"/>
              </w:rPr>
              <w:t>及</w:t>
            </w:r>
            <w:r>
              <w:rPr>
                <w:rFonts w:hint="eastAsia" w:ascii="仿宋" w:eastAsia="仿宋" w:cs="仿宋"/>
                <w:color w:val="auto"/>
                <w:sz w:val="24"/>
                <w:szCs w:val="24"/>
                <w:lang w:bidi="ar-SA"/>
              </w:rPr>
              <w:t>人员工资支付流水复印件（原件备查）。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791" w:type="dxa"/>
            <w:vMerge w:val="continue"/>
            <w:tcBorders>
              <w:right w:val="single" w:color="auto" w:sz="4" w:space="0"/>
            </w:tcBorders>
            <w:noWrap w:val="0"/>
            <w:vAlign w:val="center"/>
          </w:tcPr>
          <w:p>
            <w:pPr>
              <w:ind w:firstLine="28"/>
              <w:jc w:val="center"/>
              <w:rPr>
                <w:rFonts w:ascii="仿宋" w:hAnsi="仿宋" w:eastAsia="仿宋" w:cs="仿宋"/>
                <w:color w:val="auto"/>
                <w:sz w:val="24"/>
                <w:szCs w:val="24"/>
              </w:rPr>
            </w:pPr>
          </w:p>
        </w:tc>
        <w:tc>
          <w:tcPr>
            <w:tcW w:w="1279" w:type="dxa"/>
            <w:vMerge w:val="continue"/>
            <w:tcBorders>
              <w:left w:val="single" w:color="auto" w:sz="4" w:space="0"/>
              <w:right w:val="single" w:color="auto" w:sz="4" w:space="0"/>
            </w:tcBorders>
            <w:noWrap w:val="0"/>
            <w:vAlign w:val="center"/>
          </w:tcPr>
          <w:p>
            <w:pPr>
              <w:ind w:firstLine="28"/>
              <w:jc w:val="center"/>
              <w:rPr>
                <w:rFonts w:ascii="仿宋" w:hAnsi="仿宋" w:eastAsia="仿宋" w:cs="仿宋"/>
                <w:color w:val="auto"/>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3分</w:t>
            </w:r>
          </w:p>
        </w:tc>
        <w:tc>
          <w:tcPr>
            <w:tcW w:w="46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eastAsia="仿宋" w:cs="仿宋"/>
                <w:color w:val="auto"/>
                <w:sz w:val="24"/>
                <w:szCs w:val="24"/>
                <w:lang w:val="en-US" w:eastAsia="zh-CN" w:bidi="ar-SA"/>
              </w:rPr>
            </w:pPr>
            <w:r>
              <w:rPr>
                <w:rFonts w:hint="eastAsia" w:ascii="仿宋" w:eastAsia="仿宋" w:cs="仿宋"/>
                <w:color w:val="auto"/>
                <w:sz w:val="24"/>
                <w:szCs w:val="24"/>
                <w:lang w:bidi="ar-SA"/>
              </w:rPr>
              <w:t>供应商同时具有有效的质量管理体系认证证书、环境管理体系认证证书、职业健康安全管理体系认证证书的得3分，每缺少其中一项扣1分，本项最多得3分，未提供不得分。</w:t>
            </w:r>
          </w:p>
        </w:tc>
        <w:tc>
          <w:tcPr>
            <w:tcW w:w="1927" w:type="dxa"/>
            <w:tcBorders>
              <w:top w:val="single" w:color="auto" w:sz="4" w:space="0"/>
              <w:left w:val="single" w:color="auto" w:sz="4" w:space="0"/>
              <w:bottom w:val="single" w:color="auto" w:sz="4" w:space="0"/>
            </w:tcBorders>
            <w:noWrap w:val="0"/>
            <w:vAlign w:val="center"/>
          </w:tcPr>
          <w:p>
            <w:pPr>
              <w:rPr>
                <w:rFonts w:hint="eastAsia" w:ascii="仿宋" w:eastAsia="仿宋" w:cs="仿宋"/>
                <w:color w:val="auto"/>
                <w:sz w:val="24"/>
                <w:szCs w:val="24"/>
                <w:lang w:val="en-US" w:eastAsia="zh-CN" w:bidi="ar-SA"/>
              </w:rPr>
            </w:pPr>
            <w:r>
              <w:rPr>
                <w:rFonts w:hint="eastAsia" w:ascii="仿宋" w:eastAsia="仿宋" w:cs="仿宋"/>
                <w:color w:val="auto"/>
                <w:sz w:val="24"/>
                <w:szCs w:val="24"/>
                <w:lang w:bidi="ar-SA"/>
              </w:rPr>
              <w:t>提供证书复印件，并加盖供应商公章。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791" w:type="dxa"/>
            <w:vMerge w:val="continue"/>
            <w:tcBorders>
              <w:right w:val="single" w:color="auto" w:sz="4" w:space="0"/>
            </w:tcBorders>
            <w:noWrap w:val="0"/>
            <w:vAlign w:val="center"/>
          </w:tcPr>
          <w:p>
            <w:pPr>
              <w:ind w:firstLine="28"/>
              <w:jc w:val="center"/>
              <w:rPr>
                <w:rFonts w:ascii="仿宋" w:hAnsi="仿宋" w:eastAsia="仿宋" w:cs="仿宋"/>
                <w:color w:val="auto"/>
                <w:sz w:val="24"/>
                <w:szCs w:val="24"/>
              </w:rPr>
            </w:pPr>
          </w:p>
        </w:tc>
        <w:tc>
          <w:tcPr>
            <w:tcW w:w="1279" w:type="dxa"/>
            <w:vMerge w:val="continue"/>
            <w:tcBorders>
              <w:left w:val="single" w:color="auto" w:sz="4" w:space="0"/>
              <w:right w:val="single" w:color="auto" w:sz="4" w:space="0"/>
            </w:tcBorders>
            <w:noWrap w:val="0"/>
            <w:vAlign w:val="center"/>
          </w:tcPr>
          <w:p>
            <w:pPr>
              <w:ind w:firstLine="28"/>
              <w:jc w:val="center"/>
              <w:rPr>
                <w:rFonts w:ascii="仿宋" w:hAnsi="仿宋" w:eastAsia="仿宋" w:cs="仿宋"/>
                <w:color w:val="auto"/>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24分</w:t>
            </w:r>
          </w:p>
        </w:tc>
        <w:tc>
          <w:tcPr>
            <w:tcW w:w="46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eastAsia="仿宋" w:cs="仿宋"/>
                <w:color w:val="auto"/>
                <w:sz w:val="24"/>
                <w:szCs w:val="24"/>
                <w:lang w:bidi="ar-SA"/>
              </w:rPr>
            </w:pPr>
            <w:r>
              <w:rPr>
                <w:rFonts w:hint="eastAsia" w:ascii="仿宋" w:eastAsia="仿宋" w:cs="仿宋"/>
                <w:color w:val="auto"/>
                <w:sz w:val="24"/>
                <w:szCs w:val="24"/>
                <w:lang w:bidi="ar-SA"/>
              </w:rPr>
              <w:t>2018年1月1日至今（以验收报告时间为准），供应商具有病媒生物防制项目业绩且防制效果达到卫生城市（区）的，每提供1个业绩得4分，本项最多得24分，未提供不得分。</w:t>
            </w:r>
          </w:p>
          <w:p>
            <w:pPr>
              <w:rPr>
                <w:rFonts w:hint="default" w:ascii="仿宋" w:eastAsia="仿宋" w:cs="仿宋"/>
                <w:color w:val="auto"/>
                <w:sz w:val="24"/>
                <w:szCs w:val="24"/>
                <w:lang w:val="en-US" w:eastAsia="zh-CN" w:bidi="ar-SA"/>
              </w:rPr>
            </w:pPr>
            <w:r>
              <w:rPr>
                <w:rFonts w:hint="eastAsia" w:ascii="仿宋" w:eastAsia="仿宋" w:cs="仿宋"/>
                <w:b/>
                <w:bCs/>
                <w:color w:val="auto"/>
                <w:sz w:val="24"/>
                <w:szCs w:val="24"/>
                <w:lang w:bidi="ar-SA"/>
              </w:rPr>
              <w:t>注：须同时提供合同（协议）复印件、发票复印件、验收报告复印件及业主出具的达到卫生城市（区）的证明材料复印件，并加盖供应商公章。</w:t>
            </w:r>
          </w:p>
        </w:tc>
        <w:tc>
          <w:tcPr>
            <w:tcW w:w="1927" w:type="dxa"/>
            <w:tcBorders>
              <w:top w:val="single" w:color="auto" w:sz="4" w:space="0"/>
              <w:left w:val="single" w:color="auto" w:sz="4" w:space="0"/>
              <w:bottom w:val="single" w:color="auto" w:sz="4" w:space="0"/>
            </w:tcBorders>
            <w:noWrap w:val="0"/>
            <w:vAlign w:val="center"/>
          </w:tcPr>
          <w:p>
            <w:pPr>
              <w:rPr>
                <w:rFonts w:hint="default" w:ascii="仿宋" w:eastAsia="仿宋" w:cs="仿宋"/>
                <w:color w:val="auto"/>
                <w:sz w:val="24"/>
                <w:szCs w:val="24"/>
                <w:lang w:val="en-US" w:eastAsia="zh-CN" w:bidi="ar-SA"/>
              </w:rPr>
            </w:pPr>
            <w:r>
              <w:rPr>
                <w:rFonts w:hint="eastAsia" w:ascii="仿宋" w:eastAsia="仿宋" w:cs="仿宋"/>
                <w:color w:val="auto"/>
                <w:sz w:val="24"/>
                <w:szCs w:val="24"/>
                <w:lang w:bidi="ar-SA"/>
              </w:rPr>
              <w:t>按要求提供证明材料，采购人有权对所提供的业绩进行核实，若情况不实，采购人有权取消成交候选供应商资格。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91" w:type="dxa"/>
            <w:vMerge w:val="continue"/>
            <w:tcBorders>
              <w:right w:val="single" w:color="auto" w:sz="4" w:space="0"/>
            </w:tcBorders>
            <w:noWrap w:val="0"/>
            <w:vAlign w:val="center"/>
          </w:tcPr>
          <w:p>
            <w:pPr>
              <w:ind w:firstLine="28"/>
              <w:jc w:val="center"/>
              <w:rPr>
                <w:rFonts w:ascii="仿宋" w:hAnsi="仿宋" w:eastAsia="仿宋" w:cs="仿宋"/>
                <w:color w:val="auto"/>
                <w:sz w:val="24"/>
                <w:szCs w:val="24"/>
              </w:rPr>
            </w:pPr>
          </w:p>
        </w:tc>
        <w:tc>
          <w:tcPr>
            <w:tcW w:w="1279" w:type="dxa"/>
            <w:vMerge w:val="continue"/>
            <w:tcBorders>
              <w:left w:val="single" w:color="auto" w:sz="4" w:space="0"/>
              <w:right w:val="single" w:color="auto" w:sz="4" w:space="0"/>
            </w:tcBorders>
            <w:noWrap w:val="0"/>
            <w:vAlign w:val="center"/>
          </w:tcPr>
          <w:p>
            <w:pPr>
              <w:ind w:firstLine="28"/>
              <w:jc w:val="center"/>
              <w:rPr>
                <w:rFonts w:ascii="仿宋" w:hAnsi="仿宋" w:eastAsia="仿宋" w:cs="仿宋"/>
                <w:color w:val="auto"/>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3分</w:t>
            </w:r>
          </w:p>
        </w:tc>
        <w:tc>
          <w:tcPr>
            <w:tcW w:w="46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eastAsia="仿宋" w:cs="仿宋"/>
                <w:b/>
                <w:bCs/>
                <w:color w:val="auto"/>
                <w:sz w:val="24"/>
                <w:szCs w:val="24"/>
                <w:lang w:bidi="ar-SA"/>
              </w:rPr>
            </w:pPr>
            <w:r>
              <w:rPr>
                <w:rFonts w:hint="eastAsia" w:ascii="仿宋" w:eastAsia="仿宋" w:cs="仿宋"/>
                <w:b/>
                <w:bCs/>
                <w:color w:val="auto"/>
                <w:sz w:val="24"/>
                <w:szCs w:val="24"/>
                <w:lang w:bidi="ar-SA"/>
              </w:rPr>
              <w:t>售后服务保障（3分）</w:t>
            </w:r>
          </w:p>
          <w:p>
            <w:pPr>
              <w:rPr>
                <w:rFonts w:hint="eastAsia" w:ascii="仿宋" w:eastAsia="仿宋" w:cs="仿宋"/>
                <w:color w:val="auto"/>
                <w:sz w:val="24"/>
                <w:szCs w:val="24"/>
                <w:lang w:bidi="ar-SA"/>
              </w:rPr>
            </w:pPr>
            <w:r>
              <w:rPr>
                <w:rFonts w:hint="eastAsia" w:ascii="仿宋" w:eastAsia="仿宋" w:cs="仿宋"/>
                <w:color w:val="auto"/>
                <w:sz w:val="24"/>
                <w:szCs w:val="24"/>
                <w:lang w:bidi="ar-SA"/>
              </w:rPr>
              <w:t>供应商注册地在重庆或在重庆有售后服务机构或授权服务机构的得3分，未提供不得分。</w:t>
            </w:r>
          </w:p>
          <w:p>
            <w:pPr>
              <w:rPr>
                <w:rFonts w:hint="eastAsia" w:ascii="仿宋" w:eastAsia="仿宋" w:cs="仿宋"/>
                <w:b/>
                <w:bCs/>
                <w:color w:val="auto"/>
                <w:sz w:val="24"/>
                <w:szCs w:val="24"/>
                <w:lang w:bidi="ar-SA"/>
              </w:rPr>
            </w:pPr>
            <w:r>
              <w:rPr>
                <w:rFonts w:hint="eastAsia" w:ascii="仿宋" w:eastAsia="仿宋" w:cs="仿宋"/>
                <w:b/>
                <w:bCs/>
                <w:color w:val="auto"/>
                <w:sz w:val="24"/>
                <w:szCs w:val="24"/>
                <w:lang w:bidi="ar-SA"/>
              </w:rPr>
              <w:t>注：</w:t>
            </w:r>
          </w:p>
          <w:p>
            <w:pPr>
              <w:rPr>
                <w:rFonts w:hint="default" w:ascii="仿宋" w:eastAsia="仿宋" w:cs="仿宋"/>
                <w:color w:val="auto"/>
                <w:sz w:val="24"/>
                <w:szCs w:val="24"/>
                <w:lang w:val="en-US" w:eastAsia="zh-CN" w:bidi="ar-SA"/>
              </w:rPr>
            </w:pPr>
            <w:r>
              <w:rPr>
                <w:rFonts w:hint="eastAsia" w:ascii="仿宋" w:eastAsia="仿宋" w:cs="仿宋"/>
                <w:b/>
                <w:bCs/>
                <w:color w:val="auto"/>
                <w:sz w:val="24"/>
                <w:szCs w:val="24"/>
                <w:lang w:bidi="ar-SA"/>
              </w:rPr>
              <w:t>供应商在渝设立售后服务机构的，须提供</w:t>
            </w:r>
            <w:r>
              <w:rPr>
                <w:rFonts w:hint="eastAsia" w:ascii="仿宋" w:eastAsia="仿宋" w:cs="仿宋"/>
                <w:b/>
                <w:bCs/>
                <w:color w:val="auto"/>
                <w:sz w:val="24"/>
                <w:szCs w:val="24"/>
                <w:lang w:val="en-US" w:eastAsia="zh-CN" w:bidi="ar-SA"/>
              </w:rPr>
              <w:t>市场监管部门</w:t>
            </w:r>
            <w:r>
              <w:rPr>
                <w:rFonts w:hint="eastAsia" w:ascii="仿宋" w:eastAsia="仿宋" w:cs="仿宋"/>
                <w:b/>
                <w:bCs/>
                <w:color w:val="auto"/>
                <w:sz w:val="24"/>
                <w:szCs w:val="24"/>
                <w:lang w:bidi="ar-SA"/>
              </w:rPr>
              <w:t>注册证明复印件，供应商在渝有授权服务机构的，须提供授权证明及被授权机构在渝</w:t>
            </w:r>
            <w:r>
              <w:rPr>
                <w:rFonts w:hint="eastAsia" w:ascii="仿宋" w:eastAsia="仿宋" w:cs="仿宋"/>
                <w:b/>
                <w:bCs/>
                <w:color w:val="auto"/>
                <w:sz w:val="24"/>
                <w:szCs w:val="24"/>
                <w:lang w:val="en-US" w:eastAsia="zh-CN" w:bidi="ar-SA"/>
              </w:rPr>
              <w:t>市场监管部门</w:t>
            </w:r>
            <w:r>
              <w:rPr>
                <w:rFonts w:hint="eastAsia" w:ascii="仿宋" w:eastAsia="仿宋" w:cs="仿宋"/>
                <w:b/>
                <w:bCs/>
                <w:color w:val="auto"/>
                <w:sz w:val="24"/>
                <w:szCs w:val="24"/>
                <w:lang w:bidi="ar-SA"/>
              </w:rPr>
              <w:t>注册证明复印件。</w:t>
            </w:r>
          </w:p>
        </w:tc>
        <w:tc>
          <w:tcPr>
            <w:tcW w:w="1927" w:type="dxa"/>
            <w:tcBorders>
              <w:top w:val="single" w:color="auto" w:sz="4" w:space="0"/>
              <w:left w:val="single" w:color="auto" w:sz="4" w:space="0"/>
              <w:bottom w:val="single" w:color="auto" w:sz="4" w:space="0"/>
            </w:tcBorders>
            <w:noWrap w:val="0"/>
            <w:vAlign w:val="center"/>
          </w:tcPr>
          <w:p>
            <w:pPr>
              <w:rPr>
                <w:rFonts w:hint="default" w:ascii="仿宋" w:eastAsia="仿宋" w:cs="仿宋"/>
                <w:color w:val="auto"/>
                <w:sz w:val="24"/>
                <w:szCs w:val="24"/>
                <w:lang w:val="en-US" w:eastAsia="zh-CN" w:bidi="ar-SA"/>
              </w:rPr>
            </w:pPr>
            <w:r>
              <w:rPr>
                <w:rFonts w:hint="eastAsia" w:ascii="仿宋" w:eastAsia="仿宋" w:cs="仿宋"/>
                <w:color w:val="auto"/>
                <w:sz w:val="24"/>
                <w:szCs w:val="24"/>
                <w:lang w:bidi="ar-SA"/>
              </w:rPr>
              <w:t>按要求提供证明材料，证明材料需加盖供应商公章。</w:t>
            </w:r>
          </w:p>
        </w:tc>
      </w:tr>
    </w:tbl>
    <w:p>
      <w:pPr>
        <w:pStyle w:val="4"/>
        <w:spacing w:before="0" w:after="0" w:line="440" w:lineRule="exact"/>
        <w:rPr>
          <w:rFonts w:ascii="仿宋" w:hAnsi="仿宋" w:eastAsia="仿宋"/>
          <w:color w:val="000000" w:themeColor="text1"/>
          <w:sz w:val="24"/>
          <w:szCs w:val="24"/>
        </w:rPr>
      </w:pPr>
      <w:bookmarkStart w:id="83" w:name="_Toc12013"/>
      <w:r>
        <w:rPr>
          <w:rFonts w:hint="eastAsia" w:ascii="仿宋" w:hAnsi="仿宋" w:eastAsia="仿宋"/>
          <w:color w:val="000000" w:themeColor="text1"/>
          <w:sz w:val="24"/>
          <w:szCs w:val="24"/>
        </w:rPr>
        <w:t>三、响应无效</w:t>
      </w:r>
      <w:bookmarkEnd w:id="80"/>
      <w:bookmarkEnd w:id="83"/>
    </w:p>
    <w:p>
      <w:pPr>
        <w:snapToGrid w:val="0"/>
        <w:spacing w:line="360" w:lineRule="auto"/>
        <w:ind w:firstLine="465"/>
        <w:rPr>
          <w:rFonts w:ascii="仿宋" w:hAnsi="仿宋" w:eastAsia="仿宋"/>
          <w:color w:val="000000" w:themeColor="text1"/>
          <w:sz w:val="24"/>
          <w:szCs w:val="24"/>
        </w:rPr>
      </w:pPr>
      <w:r>
        <w:rPr>
          <w:rFonts w:hint="eastAsia" w:ascii="仿宋" w:hAnsi="仿宋" w:eastAsia="仿宋"/>
          <w:color w:val="000000" w:themeColor="text1"/>
          <w:sz w:val="24"/>
          <w:szCs w:val="24"/>
        </w:rPr>
        <w:t>供应商发生以下条款情况之一者，视为响应无效，其响应文件将被拒绝：</w:t>
      </w:r>
    </w:p>
    <w:p>
      <w:pPr>
        <w:snapToGrid w:val="0"/>
        <w:spacing w:line="360" w:lineRule="auto"/>
        <w:ind w:firstLine="465"/>
        <w:rPr>
          <w:rFonts w:ascii="仿宋" w:hAnsi="仿宋" w:eastAsia="仿宋"/>
          <w:color w:val="000000" w:themeColor="text1"/>
          <w:sz w:val="24"/>
          <w:szCs w:val="24"/>
        </w:rPr>
      </w:pPr>
      <w:r>
        <w:rPr>
          <w:rFonts w:hint="eastAsia" w:ascii="仿宋" w:hAnsi="仿宋" w:eastAsia="仿宋"/>
          <w:color w:val="000000" w:themeColor="text1"/>
          <w:sz w:val="24"/>
          <w:szCs w:val="24"/>
        </w:rPr>
        <w:t>（一）</w:t>
      </w:r>
      <w:r>
        <w:rPr>
          <w:rFonts w:hint="eastAsia" w:ascii="仿宋" w:hAnsi="仿宋" w:eastAsia="仿宋" w:cs="Times New Roman"/>
          <w:color w:val="000000" w:themeColor="text1"/>
          <w:sz w:val="24"/>
          <w:szCs w:val="24"/>
        </w:rPr>
        <w:t>供应商不符合规定的资格条件的。</w:t>
      </w:r>
    </w:p>
    <w:p>
      <w:pPr>
        <w:snapToGrid w:val="0"/>
        <w:spacing w:line="360" w:lineRule="auto"/>
        <w:ind w:firstLine="465"/>
        <w:rPr>
          <w:rFonts w:ascii="仿宋" w:hAnsi="仿宋" w:eastAsia="仿宋"/>
          <w:color w:val="000000" w:themeColor="text1"/>
          <w:sz w:val="24"/>
          <w:szCs w:val="24"/>
        </w:rPr>
      </w:pPr>
      <w:r>
        <w:rPr>
          <w:rFonts w:hint="eastAsia" w:ascii="仿宋" w:hAnsi="仿宋" w:eastAsia="仿宋"/>
          <w:color w:val="000000" w:themeColor="text1"/>
          <w:sz w:val="24"/>
          <w:szCs w:val="24"/>
        </w:rPr>
        <w:t>（二</w:t>
      </w:r>
      <w:r>
        <w:rPr>
          <w:rFonts w:hint="eastAsia" w:ascii="仿宋" w:hAnsi="仿宋" w:eastAsia="仿宋" w:cs="Times New Roman"/>
          <w:color w:val="000000" w:themeColor="text1"/>
          <w:sz w:val="24"/>
          <w:szCs w:val="24"/>
        </w:rPr>
        <w:t>）供应商的法定代表人（或其授权代表）或自然人未参</w:t>
      </w:r>
      <w:r>
        <w:rPr>
          <w:rFonts w:hint="eastAsia" w:ascii="仿宋" w:hAnsi="仿宋" w:eastAsia="仿宋"/>
          <w:color w:val="000000" w:themeColor="text1"/>
          <w:sz w:val="24"/>
          <w:szCs w:val="24"/>
        </w:rPr>
        <w:t>加网上竞采。</w:t>
      </w:r>
    </w:p>
    <w:p>
      <w:pPr>
        <w:snapToGrid w:val="0"/>
        <w:spacing w:line="360" w:lineRule="auto"/>
        <w:ind w:firstLine="465"/>
        <w:rPr>
          <w:rFonts w:ascii="仿宋" w:hAnsi="仿宋" w:eastAsia="仿宋"/>
          <w:color w:val="000000" w:themeColor="text1"/>
          <w:sz w:val="24"/>
          <w:szCs w:val="24"/>
        </w:rPr>
      </w:pPr>
      <w:r>
        <w:rPr>
          <w:rFonts w:hint="eastAsia" w:ascii="仿宋" w:hAnsi="仿宋" w:eastAsia="仿宋"/>
          <w:color w:val="000000" w:themeColor="text1"/>
          <w:sz w:val="24"/>
          <w:szCs w:val="24"/>
        </w:rPr>
        <w:t>（三）供应商所提交的响应文件不按第七篇“响应文件编制要求”规定签字、盖章。</w:t>
      </w:r>
    </w:p>
    <w:p>
      <w:pPr>
        <w:snapToGrid w:val="0"/>
        <w:spacing w:line="360" w:lineRule="auto"/>
        <w:ind w:firstLine="465"/>
        <w:rPr>
          <w:rFonts w:ascii="仿宋" w:hAnsi="仿宋" w:eastAsia="仿宋"/>
          <w:color w:val="000000" w:themeColor="text1"/>
          <w:sz w:val="24"/>
          <w:szCs w:val="24"/>
        </w:rPr>
      </w:pPr>
      <w:r>
        <w:rPr>
          <w:rFonts w:hint="eastAsia" w:ascii="仿宋" w:hAnsi="仿宋" w:eastAsia="仿宋"/>
          <w:color w:val="000000" w:themeColor="text1"/>
          <w:sz w:val="24"/>
          <w:szCs w:val="24"/>
        </w:rPr>
        <w:t>（四）供应商的报价超过采购预算的。</w:t>
      </w:r>
    </w:p>
    <w:p>
      <w:pPr>
        <w:snapToGrid w:val="0"/>
        <w:spacing w:line="360" w:lineRule="auto"/>
        <w:ind w:firstLine="465"/>
        <w:rPr>
          <w:rFonts w:ascii="仿宋" w:hAnsi="仿宋" w:eastAsia="仿宋"/>
          <w:color w:val="000000" w:themeColor="text1"/>
          <w:sz w:val="24"/>
          <w:szCs w:val="24"/>
        </w:rPr>
      </w:pPr>
      <w:r>
        <w:rPr>
          <w:rFonts w:hint="eastAsia" w:ascii="仿宋" w:hAnsi="仿宋" w:eastAsia="仿宋"/>
          <w:color w:val="000000" w:themeColor="text1"/>
          <w:sz w:val="24"/>
          <w:szCs w:val="24"/>
        </w:rPr>
        <w:t>（五）供应商的平台报价与网上电子文档</w:t>
      </w:r>
      <w:r>
        <w:rPr>
          <w:rFonts w:hint="eastAsia" w:ascii="仿宋" w:hAnsi="仿宋" w:eastAsia="仿宋"/>
          <w:color w:val="000000" w:themeColor="text1"/>
          <w:sz w:val="24"/>
          <w:szCs w:val="24"/>
          <w:lang w:val="en-US" w:eastAsia="zh-CN"/>
        </w:rPr>
        <w:t>及纸质文件正本</w:t>
      </w:r>
      <w:r>
        <w:rPr>
          <w:rFonts w:hint="eastAsia" w:ascii="仿宋" w:hAnsi="仿宋" w:eastAsia="仿宋"/>
          <w:color w:val="000000" w:themeColor="text1"/>
          <w:sz w:val="24"/>
          <w:szCs w:val="24"/>
        </w:rPr>
        <w:t>网上竞采报价函中的报价不一致的。</w:t>
      </w:r>
    </w:p>
    <w:p>
      <w:pPr>
        <w:snapToGrid w:val="0"/>
        <w:spacing w:line="360" w:lineRule="auto"/>
        <w:ind w:firstLine="465"/>
        <w:rPr>
          <w:rFonts w:ascii="仿宋" w:hAnsi="仿宋" w:eastAsia="仿宋"/>
          <w:color w:val="000000" w:themeColor="text1"/>
          <w:sz w:val="24"/>
          <w:szCs w:val="24"/>
        </w:rPr>
      </w:pPr>
      <w:r>
        <w:rPr>
          <w:rFonts w:hint="eastAsia" w:ascii="仿宋" w:hAnsi="仿宋" w:eastAsia="仿宋"/>
          <w:color w:val="000000" w:themeColor="text1"/>
          <w:sz w:val="24"/>
          <w:szCs w:val="24"/>
        </w:rPr>
        <w:t>（六）法定代表人为同一个人的两个及两个以上法人，母公司、全资子公司及其控股公司，在同一分包采购中同时参与网上竞采。</w:t>
      </w:r>
    </w:p>
    <w:p>
      <w:pPr>
        <w:snapToGrid w:val="0"/>
        <w:spacing w:line="360" w:lineRule="auto"/>
        <w:ind w:firstLine="465"/>
        <w:rPr>
          <w:rFonts w:ascii="仿宋" w:hAnsi="仿宋" w:eastAsia="仿宋"/>
          <w:color w:val="000000" w:themeColor="text1"/>
          <w:sz w:val="24"/>
          <w:szCs w:val="24"/>
        </w:rPr>
      </w:pPr>
      <w:r>
        <w:rPr>
          <w:rFonts w:hint="eastAsia" w:ascii="仿宋" w:hAnsi="仿宋" w:eastAsia="仿宋"/>
          <w:color w:val="000000" w:themeColor="text1"/>
          <w:sz w:val="24"/>
          <w:szCs w:val="24"/>
        </w:rPr>
        <w:t>（七）单位负责人为同一人或者存在直接控股、管理关系的不同供应商，参加同一合同项下的采购活动的。</w:t>
      </w:r>
    </w:p>
    <w:p>
      <w:pPr>
        <w:snapToGrid w:val="0"/>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（八）</w:t>
      </w:r>
      <w:r>
        <w:rPr>
          <w:rFonts w:ascii="仿宋" w:hAnsi="仿宋" w:eastAsia="仿宋"/>
          <w:color w:val="000000" w:themeColor="text1"/>
          <w:sz w:val="24"/>
          <w:szCs w:val="24"/>
        </w:rPr>
        <w:t>为采购项目提供整体设计、规范编制或者项目管理、监理、检测等服务的供应商，再参加</w:t>
      </w:r>
      <w:r>
        <w:rPr>
          <w:rFonts w:hint="eastAsia" w:ascii="仿宋" w:hAnsi="仿宋" w:eastAsia="仿宋"/>
          <w:color w:val="000000" w:themeColor="text1"/>
          <w:sz w:val="24"/>
          <w:szCs w:val="24"/>
        </w:rPr>
        <w:t>该采购</w:t>
      </w:r>
      <w:r>
        <w:rPr>
          <w:rFonts w:ascii="仿宋" w:hAnsi="仿宋" w:eastAsia="仿宋"/>
          <w:color w:val="000000" w:themeColor="text1"/>
          <w:sz w:val="24"/>
          <w:szCs w:val="24"/>
        </w:rPr>
        <w:t>项目的</w:t>
      </w:r>
      <w:r>
        <w:rPr>
          <w:rFonts w:hint="eastAsia" w:ascii="仿宋" w:hAnsi="仿宋" w:eastAsia="仿宋"/>
          <w:color w:val="000000" w:themeColor="text1"/>
          <w:sz w:val="24"/>
          <w:szCs w:val="24"/>
        </w:rPr>
        <w:t>其他</w:t>
      </w:r>
      <w:r>
        <w:rPr>
          <w:rFonts w:ascii="仿宋" w:hAnsi="仿宋" w:eastAsia="仿宋"/>
          <w:color w:val="000000" w:themeColor="text1"/>
          <w:sz w:val="24"/>
          <w:szCs w:val="24"/>
        </w:rPr>
        <w:t>采购活动</w:t>
      </w:r>
      <w:r>
        <w:rPr>
          <w:rFonts w:hint="eastAsia" w:ascii="仿宋" w:hAnsi="仿宋" w:eastAsia="仿宋"/>
          <w:color w:val="000000" w:themeColor="text1"/>
          <w:sz w:val="24"/>
          <w:szCs w:val="24"/>
        </w:rPr>
        <w:t>。</w:t>
      </w:r>
    </w:p>
    <w:p>
      <w:pPr>
        <w:snapToGrid w:val="0"/>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（九）供应商的服务期、质量保证期及网上竞采有效期不满足网上竞采文件要求的。</w:t>
      </w:r>
    </w:p>
    <w:p>
      <w:pPr>
        <w:snapToGrid w:val="0"/>
        <w:spacing w:line="360" w:lineRule="auto"/>
        <w:ind w:firstLine="465"/>
        <w:rPr>
          <w:rFonts w:ascii="仿宋" w:hAnsi="仿宋" w:eastAsia="仿宋"/>
          <w:color w:val="000000" w:themeColor="text1"/>
          <w:sz w:val="24"/>
          <w:szCs w:val="24"/>
        </w:rPr>
      </w:pPr>
      <w:r>
        <w:rPr>
          <w:rFonts w:hint="eastAsia" w:ascii="仿宋" w:hAnsi="仿宋" w:eastAsia="仿宋"/>
          <w:color w:val="000000" w:themeColor="text1"/>
          <w:sz w:val="24"/>
          <w:szCs w:val="24"/>
        </w:rPr>
        <w:t>（十）供应商响应文件内容有与国家现行法律法规相违背的内容，或附有采购人无法接受的条件。</w:t>
      </w:r>
    </w:p>
    <w:p>
      <w:pPr>
        <w:snapToGrid w:val="0"/>
        <w:spacing w:line="360" w:lineRule="auto"/>
        <w:ind w:firstLine="465"/>
        <w:rPr>
          <w:rFonts w:ascii="仿宋" w:hAnsi="仿宋" w:eastAsia="仿宋"/>
          <w:color w:val="000000" w:themeColor="text1"/>
          <w:sz w:val="24"/>
          <w:szCs w:val="24"/>
        </w:rPr>
      </w:pPr>
      <w:r>
        <w:rPr>
          <w:rFonts w:hint="eastAsia" w:ascii="仿宋" w:hAnsi="仿宋" w:eastAsia="仿宋"/>
          <w:color w:val="000000" w:themeColor="text1"/>
          <w:sz w:val="24"/>
          <w:szCs w:val="24"/>
        </w:rPr>
        <w:t>（十一）供应商被列入失信被执行人、重大税收违法案件当事人名单、政府采购严重违法失信行为记录名单及其他不符合《中华人民共和国政府采购法》第二十二条规定条件的。</w:t>
      </w:r>
    </w:p>
    <w:p>
      <w:pPr>
        <w:pStyle w:val="4"/>
        <w:spacing w:before="0" w:after="0" w:line="360" w:lineRule="auto"/>
        <w:rPr>
          <w:rFonts w:ascii="仿宋" w:hAnsi="仿宋" w:eastAsia="仿宋"/>
          <w:color w:val="000000" w:themeColor="text1"/>
          <w:sz w:val="24"/>
          <w:szCs w:val="24"/>
        </w:rPr>
      </w:pPr>
      <w:bookmarkStart w:id="84" w:name="_Toc18788"/>
      <w:bookmarkStart w:id="85" w:name="_Toc4517"/>
      <w:r>
        <w:rPr>
          <w:rFonts w:hint="eastAsia" w:ascii="仿宋" w:hAnsi="仿宋" w:eastAsia="仿宋"/>
          <w:color w:val="000000" w:themeColor="text1"/>
          <w:sz w:val="24"/>
          <w:szCs w:val="24"/>
        </w:rPr>
        <w:t>四、</w:t>
      </w:r>
      <w:bookmarkEnd w:id="81"/>
      <w:bookmarkEnd w:id="82"/>
      <w:r>
        <w:rPr>
          <w:rFonts w:hint="eastAsia" w:ascii="仿宋" w:hAnsi="仿宋" w:eastAsia="仿宋"/>
          <w:color w:val="000000" w:themeColor="text1"/>
          <w:sz w:val="24"/>
          <w:szCs w:val="24"/>
        </w:rPr>
        <w:t>采购终止</w:t>
      </w:r>
      <w:bookmarkEnd w:id="84"/>
      <w:bookmarkEnd w:id="85"/>
    </w:p>
    <w:p>
      <w:pPr>
        <w:snapToGrid w:val="0"/>
        <w:spacing w:line="360" w:lineRule="auto"/>
        <w:ind w:firstLine="465"/>
        <w:rPr>
          <w:rFonts w:ascii="仿宋" w:hAnsi="仿宋" w:eastAsia="仿宋"/>
          <w:color w:val="000000" w:themeColor="text1"/>
          <w:sz w:val="24"/>
          <w:szCs w:val="24"/>
        </w:rPr>
      </w:pPr>
      <w:r>
        <w:rPr>
          <w:rFonts w:hint="eastAsia" w:ascii="仿宋" w:hAnsi="仿宋" w:eastAsia="仿宋"/>
          <w:color w:val="000000" w:themeColor="text1"/>
          <w:sz w:val="24"/>
          <w:szCs w:val="24"/>
        </w:rPr>
        <w:t>出现下列情形之一的，采购人或者采购代理机构应当终止网上竞采活动，发布项目终止公告并说明原因，重新开展采购活动：</w:t>
      </w:r>
    </w:p>
    <w:p>
      <w:pPr>
        <w:snapToGrid w:val="0"/>
        <w:spacing w:line="360" w:lineRule="auto"/>
        <w:ind w:firstLine="465"/>
        <w:rPr>
          <w:rFonts w:ascii="仿宋" w:hAnsi="仿宋" w:eastAsia="仿宋"/>
          <w:color w:val="000000" w:themeColor="text1"/>
          <w:sz w:val="24"/>
          <w:szCs w:val="24"/>
        </w:rPr>
      </w:pPr>
      <w:r>
        <w:rPr>
          <w:rFonts w:hint="eastAsia" w:ascii="仿宋" w:hAnsi="仿宋" w:eastAsia="仿宋"/>
          <w:color w:val="000000" w:themeColor="text1"/>
          <w:sz w:val="24"/>
          <w:szCs w:val="24"/>
        </w:rPr>
        <w:t>（一）因情况变化，不再符合规定的网上竞采采购方式适用情形的。</w:t>
      </w:r>
    </w:p>
    <w:p>
      <w:pPr>
        <w:snapToGrid w:val="0"/>
        <w:spacing w:line="360" w:lineRule="auto"/>
        <w:ind w:firstLine="465"/>
        <w:rPr>
          <w:rFonts w:ascii="仿宋" w:hAnsi="仿宋" w:eastAsia="仿宋"/>
          <w:color w:val="000000" w:themeColor="text1"/>
          <w:sz w:val="24"/>
          <w:szCs w:val="24"/>
        </w:rPr>
      </w:pPr>
      <w:r>
        <w:rPr>
          <w:rFonts w:hint="eastAsia" w:ascii="仿宋" w:hAnsi="仿宋" w:eastAsia="仿宋"/>
          <w:color w:val="000000" w:themeColor="text1"/>
          <w:sz w:val="24"/>
          <w:szCs w:val="24"/>
        </w:rPr>
        <w:t>（二）出现影响采购公正的违法、违规行为的。</w:t>
      </w:r>
    </w:p>
    <w:p>
      <w:pPr>
        <w:snapToGrid w:val="0"/>
        <w:spacing w:line="360" w:lineRule="auto"/>
        <w:ind w:firstLine="465"/>
        <w:rPr>
          <w:color w:val="000000" w:themeColor="text1"/>
        </w:rPr>
      </w:pPr>
      <w:r>
        <w:rPr>
          <w:rFonts w:hint="eastAsia" w:ascii="仿宋" w:hAnsi="仿宋" w:eastAsia="仿宋"/>
          <w:color w:val="000000" w:themeColor="text1"/>
          <w:sz w:val="24"/>
          <w:szCs w:val="24"/>
        </w:rPr>
        <w:t>（三）通过资格性审查的供应商不足3家的，终止本次采购活动，并发布终止采购活动公告</w:t>
      </w:r>
      <w:bookmarkStart w:id="86" w:name="_Toc102227313"/>
      <w:r>
        <w:rPr>
          <w:rFonts w:hint="eastAsia" w:ascii="仿宋" w:hAnsi="仿宋" w:eastAsia="仿宋"/>
          <w:color w:val="000000" w:themeColor="text1"/>
          <w:sz w:val="24"/>
          <w:szCs w:val="24"/>
        </w:rPr>
        <w:t>。</w:t>
      </w:r>
    </w:p>
    <w:p>
      <w:pPr>
        <w:pStyle w:val="2"/>
        <w:spacing w:line="360" w:lineRule="auto"/>
        <w:jc w:val="center"/>
        <w:rPr>
          <w:rFonts w:ascii="仿宋" w:hAnsi="仿宋" w:eastAsia="仿宋"/>
          <w:b w:val="0"/>
          <w:color w:val="000000" w:themeColor="text1"/>
          <w:szCs w:val="30"/>
        </w:rPr>
      </w:pPr>
      <w:r>
        <w:rPr>
          <w:rFonts w:hint="eastAsia" w:ascii="仿宋" w:hAnsi="仿宋" w:eastAsia="仿宋"/>
          <w:b w:val="0"/>
          <w:color w:val="000000" w:themeColor="text1"/>
          <w:sz w:val="36"/>
          <w:szCs w:val="30"/>
        </w:rPr>
        <w:br w:type="page"/>
      </w:r>
      <w:bookmarkStart w:id="87" w:name="_Toc21054"/>
      <w:bookmarkStart w:id="88" w:name="_Toc12644"/>
      <w:r>
        <w:rPr>
          <w:rFonts w:hint="eastAsia" w:ascii="仿宋" w:hAnsi="仿宋" w:eastAsia="仿宋"/>
          <w:b w:val="0"/>
          <w:color w:val="000000" w:themeColor="text1"/>
          <w:sz w:val="36"/>
          <w:szCs w:val="30"/>
        </w:rPr>
        <w:t>第五篇供应商须知</w:t>
      </w:r>
      <w:bookmarkEnd w:id="86"/>
      <w:bookmarkEnd w:id="87"/>
      <w:bookmarkEnd w:id="88"/>
    </w:p>
    <w:p>
      <w:pPr>
        <w:pStyle w:val="4"/>
        <w:spacing w:before="0" w:after="0" w:line="360" w:lineRule="auto"/>
        <w:rPr>
          <w:rFonts w:ascii="仿宋" w:hAnsi="仿宋" w:eastAsia="仿宋"/>
          <w:color w:val="000000" w:themeColor="text1"/>
          <w:sz w:val="24"/>
          <w:szCs w:val="24"/>
        </w:rPr>
      </w:pPr>
      <w:bookmarkStart w:id="89" w:name="_Toc6753"/>
      <w:bookmarkStart w:id="90" w:name="_Toc18927"/>
      <w:bookmarkStart w:id="91" w:name="_Toc342913389"/>
      <w:r>
        <w:rPr>
          <w:rFonts w:hint="eastAsia" w:ascii="仿宋" w:hAnsi="仿宋" w:eastAsia="仿宋"/>
          <w:color w:val="000000" w:themeColor="text1"/>
          <w:sz w:val="24"/>
          <w:szCs w:val="24"/>
        </w:rPr>
        <w:t>一、网上竞采费用</w:t>
      </w:r>
      <w:bookmarkEnd w:id="89"/>
      <w:bookmarkEnd w:id="90"/>
      <w:bookmarkEnd w:id="91"/>
    </w:p>
    <w:p>
      <w:pPr>
        <w:pStyle w:val="263"/>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参与网上竞采的供应商应承担其编制响应文件与递交响应文件所涉及的一切费用，不论网上竞采结果如何，采购人和采购代理机构在任何情况下无义务也无责任承担这些费用。</w:t>
      </w:r>
    </w:p>
    <w:p>
      <w:pPr>
        <w:pStyle w:val="4"/>
        <w:tabs>
          <w:tab w:val="left" w:pos="2640"/>
        </w:tabs>
        <w:spacing w:before="0" w:after="0" w:line="360" w:lineRule="auto"/>
        <w:rPr>
          <w:rFonts w:ascii="仿宋" w:hAnsi="仿宋" w:eastAsia="仿宋"/>
          <w:color w:val="000000" w:themeColor="text1"/>
          <w:sz w:val="24"/>
          <w:szCs w:val="24"/>
        </w:rPr>
      </w:pPr>
      <w:bookmarkStart w:id="92" w:name="_Toc25299"/>
      <w:bookmarkStart w:id="93" w:name="_Toc26349"/>
      <w:bookmarkStart w:id="94" w:name="_Toc342913391"/>
      <w:r>
        <w:rPr>
          <w:rFonts w:hint="eastAsia" w:ascii="仿宋" w:hAnsi="仿宋" w:eastAsia="仿宋"/>
          <w:color w:val="000000" w:themeColor="text1"/>
          <w:sz w:val="24"/>
          <w:szCs w:val="24"/>
        </w:rPr>
        <w:t>二、网上竞采文件</w:t>
      </w:r>
      <w:bookmarkEnd w:id="92"/>
      <w:bookmarkEnd w:id="93"/>
      <w:bookmarkEnd w:id="94"/>
    </w:p>
    <w:p>
      <w:pPr>
        <w:snapToGrid w:val="0"/>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（一）网上竞采文件由采购邀请书、采购项目技术需求、采购项目商务需求、网上竞采程序及方法、评审标准、响应无效和采购终止、供应商须知</w:t>
      </w:r>
      <w:r>
        <w:rPr>
          <w:rFonts w:hint="eastAsia" w:ascii="仿宋" w:hAnsi="仿宋" w:eastAsia="仿宋"/>
          <w:b/>
          <w:color w:val="000000" w:themeColor="text1"/>
          <w:sz w:val="24"/>
          <w:szCs w:val="24"/>
        </w:rPr>
        <w:t>、</w:t>
      </w:r>
      <w:r>
        <w:rPr>
          <w:rFonts w:hint="eastAsia" w:ascii="仿宋" w:hAnsi="仿宋" w:eastAsia="仿宋"/>
          <w:color w:val="000000" w:themeColor="text1"/>
          <w:sz w:val="24"/>
          <w:szCs w:val="24"/>
        </w:rPr>
        <w:t>合同主要条款和格式合同</w:t>
      </w:r>
      <w:r>
        <w:rPr>
          <w:rFonts w:hint="eastAsia" w:ascii="仿宋" w:hAnsi="仿宋" w:eastAsia="仿宋"/>
          <w:b/>
          <w:color w:val="000000" w:themeColor="text1"/>
          <w:sz w:val="24"/>
          <w:szCs w:val="24"/>
        </w:rPr>
        <w:t>、</w:t>
      </w:r>
      <w:r>
        <w:rPr>
          <w:rFonts w:hint="eastAsia" w:ascii="仿宋" w:hAnsi="仿宋" w:eastAsia="仿宋"/>
          <w:color w:val="000000" w:themeColor="text1"/>
          <w:sz w:val="24"/>
          <w:szCs w:val="24"/>
        </w:rPr>
        <w:t>响应文件编制要求七部分组成。</w:t>
      </w:r>
    </w:p>
    <w:p>
      <w:pPr>
        <w:snapToGrid w:val="0"/>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（二）采购人（或采购代理机构）所作的一切有效的书面通知、修改及补充，都是网上竞采文件不可分割的部分。</w:t>
      </w:r>
    </w:p>
    <w:p>
      <w:pPr>
        <w:snapToGrid w:val="0"/>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（三）网上竞采文件的解释</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供应商如对网上竞采文件有疑问，必须以书面形式在提交响应文件截止时间2个工作日前向采购人（或采购代理机构）要求澄清，采购人（或采购代理机构）可视具体情况做出处理或答复。如供应商未提出疑问，视为完全理解并同意本网上竞采文件。一经进入网上竞采程序，即视为供应商已详细阅读全部文件资料，完全理解网上竞采文件所有条款内容并同意放弃对这方面有不明白及误解的权利。</w:t>
      </w:r>
      <w:bookmarkStart w:id="95" w:name="_Toc318159780"/>
      <w:bookmarkStart w:id="96" w:name="_Toc318166429"/>
      <w:bookmarkStart w:id="97" w:name="_Toc318159160"/>
      <w:bookmarkStart w:id="98" w:name="_Toc318159349"/>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（四）本网上竞采文件中，网上竞采小组根据与供应商进行网上竞采可能实质性变动的内容为网上竞采文件第二、三、六篇全部内容。</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（五）评审的依据为网上竞采文件和响应文件（含有效的书面承诺）。评审小组判断响应文件对网上竞采文件的响应，仅基于响应文件本身而不靠外部证据。</w:t>
      </w:r>
    </w:p>
    <w:bookmarkEnd w:id="95"/>
    <w:bookmarkEnd w:id="96"/>
    <w:bookmarkEnd w:id="97"/>
    <w:bookmarkEnd w:id="98"/>
    <w:p>
      <w:pPr>
        <w:pStyle w:val="4"/>
        <w:spacing w:before="0" w:after="0" w:line="360" w:lineRule="auto"/>
        <w:rPr>
          <w:rFonts w:ascii="仿宋" w:hAnsi="仿宋" w:eastAsia="仿宋"/>
          <w:color w:val="000000" w:themeColor="text1"/>
          <w:sz w:val="24"/>
          <w:szCs w:val="24"/>
        </w:rPr>
      </w:pPr>
      <w:bookmarkStart w:id="99" w:name="_Toc2613"/>
      <w:bookmarkStart w:id="100" w:name="_Toc179714297"/>
      <w:bookmarkStart w:id="101" w:name="_Toc342913392"/>
      <w:bookmarkStart w:id="102" w:name="_Toc102227318"/>
      <w:bookmarkStart w:id="103" w:name="_Toc13364"/>
      <w:r>
        <w:rPr>
          <w:rFonts w:hint="eastAsia" w:ascii="仿宋" w:hAnsi="仿宋" w:eastAsia="仿宋"/>
          <w:color w:val="000000" w:themeColor="text1"/>
          <w:sz w:val="24"/>
          <w:szCs w:val="24"/>
        </w:rPr>
        <w:t>三、网上竞采要求</w:t>
      </w:r>
      <w:bookmarkEnd w:id="99"/>
      <w:bookmarkEnd w:id="100"/>
      <w:bookmarkEnd w:id="101"/>
      <w:bookmarkEnd w:id="102"/>
      <w:bookmarkEnd w:id="103"/>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（一）响应文件</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1.供应商应当按照网上竞采文件的要求编制响应文件，并对网上竞采文件提出的要求和条件作出实质性响应，响应文件原则上采用软面订本，同时应编制完整的页码、目录。</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2.响应文件组成</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（二）联合体</w:t>
      </w:r>
    </w:p>
    <w:p>
      <w:pPr>
        <w:spacing w:line="360" w:lineRule="auto"/>
        <w:ind w:firstLine="482"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本项目不接受联合体竞标。</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（三）网上竞采有效期：响应文件及有关承诺文件有效期为提交响应文件截止时间起90天。</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（四）修正错误</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1.若供应商所递交的响应文件中的价格出现大写金额和小写金额不一致的错误，以大写金额修正为准。</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2.评审小组按上述修正错误的原则及方法修正供应商的报价，供应商同意并签字确认后，修正后的报价对供应商具有约束作用。如果供应商不接受修正后的价格，将失去成为供应商的资格。</w:t>
      </w:r>
    </w:p>
    <w:p>
      <w:pPr>
        <w:snapToGrid w:val="0"/>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（五）提交响应文件的份数和签署</w:t>
      </w:r>
    </w:p>
    <w:p>
      <w:pPr>
        <w:snapToGrid w:val="0"/>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1.供应商须在平台报价并上传盖章后的响应文件电子文档一份，线下竞采时提供响应文件一式三份，其中正本一份，副本两份（网上电子文档内容应与纸质文件正本、副本一致，如不一致以</w:t>
      </w:r>
      <w:r>
        <w:rPr>
          <w:rFonts w:hint="eastAsia" w:ascii="仿宋" w:hAnsi="仿宋" w:eastAsia="仿宋"/>
          <w:color w:val="000000" w:themeColor="text1"/>
          <w:sz w:val="24"/>
          <w:szCs w:val="24"/>
          <w:lang w:val="en-US" w:eastAsia="zh-CN"/>
        </w:rPr>
        <w:t>纸质文件正本</w:t>
      </w:r>
      <w:r>
        <w:rPr>
          <w:rFonts w:hint="eastAsia" w:ascii="仿宋" w:hAnsi="仿宋" w:eastAsia="仿宋"/>
          <w:color w:val="000000" w:themeColor="text1"/>
          <w:sz w:val="24"/>
          <w:szCs w:val="24"/>
        </w:rPr>
        <w:t>为准，副本可为正本的复印件。）</w:t>
      </w:r>
    </w:p>
    <w:p>
      <w:pPr>
        <w:snapToGrid w:val="0"/>
        <w:spacing w:line="360" w:lineRule="auto"/>
        <w:ind w:firstLine="482" w:firstLineChars="200"/>
        <w:rPr>
          <w:rFonts w:ascii="仿宋" w:hAnsi="仿宋" w:eastAsia="仿宋"/>
          <w:color w:val="000000" w:themeColor="text1"/>
          <w:sz w:val="24"/>
          <w:szCs w:val="24"/>
        </w:rPr>
      </w:pPr>
      <w:r>
        <w:rPr>
          <w:rFonts w:hint="eastAsia" w:ascii="仿宋" w:hAnsi="仿宋" w:eastAsia="仿宋"/>
          <w:b/>
          <w:bCs/>
          <w:color w:val="000000" w:themeColor="text1"/>
          <w:sz w:val="24"/>
          <w:szCs w:val="24"/>
        </w:rPr>
        <w:t>注：若供应商的平台报价与网上电子文档</w:t>
      </w:r>
      <w:r>
        <w:rPr>
          <w:rFonts w:hint="eastAsia" w:ascii="仿宋" w:hAnsi="仿宋" w:eastAsia="仿宋"/>
          <w:b/>
          <w:bCs/>
          <w:color w:val="000000" w:themeColor="text1"/>
          <w:sz w:val="24"/>
          <w:szCs w:val="24"/>
          <w:lang w:val="en-US" w:eastAsia="zh-CN"/>
        </w:rPr>
        <w:t>及纸质文件正本</w:t>
      </w:r>
      <w:r>
        <w:rPr>
          <w:rFonts w:hint="eastAsia" w:ascii="仿宋" w:hAnsi="仿宋" w:eastAsia="仿宋"/>
          <w:b/>
          <w:bCs/>
          <w:color w:val="000000" w:themeColor="text1"/>
          <w:sz w:val="24"/>
          <w:szCs w:val="24"/>
        </w:rPr>
        <w:t>网上竞采报价函中的报价不一致，按响应无效处理。</w:t>
      </w:r>
    </w:p>
    <w:p>
      <w:pPr>
        <w:snapToGrid w:val="0"/>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2.</w:t>
      </w:r>
      <w:r>
        <w:rPr>
          <w:rFonts w:hint="eastAsia" w:ascii="仿宋" w:hAnsi="仿宋" w:eastAsia="仿宋"/>
          <w:color w:val="000000" w:themeColor="text1"/>
          <w:sz w:val="24"/>
        </w:rPr>
        <w:t>在网上电子文档及响应文件正本中，网上竞采文件第七篇响应文件编制要求中规定签字、盖章的地方必须按其规定签字、盖章。</w:t>
      </w:r>
    </w:p>
    <w:p>
      <w:pPr>
        <w:snapToGrid w:val="0"/>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（六）响应文件的递交</w:t>
      </w:r>
    </w:p>
    <w:p>
      <w:pPr>
        <w:pStyle w:val="31"/>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1.响应文件的密封与标记</w:t>
      </w:r>
    </w:p>
    <w:p>
      <w:pPr>
        <w:pStyle w:val="31"/>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1.1响应文件的正本、副本均应密封送达线下竞采地点，应在封套上注明项目名称、供应商名称。若正本、副本分别进行密封的，还应在封套上注明“正本”、“副本”字样。</w:t>
      </w:r>
    </w:p>
    <w:p>
      <w:pPr>
        <w:pStyle w:val="31"/>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1.2封套的封口处应加盖供应商公章或由法定代表人授权代表签字。</w:t>
      </w:r>
    </w:p>
    <w:p>
      <w:pPr>
        <w:pStyle w:val="31"/>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2.如果响应文件通过邮寄递交，供应商应将响应文件用内、外两层封套密封。</w:t>
      </w:r>
    </w:p>
    <w:p>
      <w:pPr>
        <w:pStyle w:val="31"/>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2.1内层封套的封装与标记同“1、”款规定。</w:t>
      </w:r>
    </w:p>
    <w:p>
      <w:pPr>
        <w:pStyle w:val="31"/>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2.2外层封套装入“1、”款所述全部内封资料，并注明项目编号、项目名称、采购代理机构名称及地址。同时应写明供应商的名称、地址，以便将迟交的响应文件原封退还。</w:t>
      </w:r>
    </w:p>
    <w:p>
      <w:pPr>
        <w:snapToGrid w:val="0"/>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rPr>
        <w:t>3.如果未按上述规定进行密封和标记，采购代理机构对响应文件误投、丢失或提前拆封不负责任。</w:t>
      </w:r>
    </w:p>
    <w:p>
      <w:pPr>
        <w:snapToGrid w:val="0"/>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（七）供应商参与人员</w:t>
      </w:r>
    </w:p>
    <w:p>
      <w:pPr>
        <w:snapToGrid w:val="0"/>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各个供应商应当派1-2名代表参与竞采，至少1人应为法定代表人或具有法定代表人授权委托书的授权代表。</w:t>
      </w:r>
    </w:p>
    <w:p>
      <w:pPr>
        <w:pStyle w:val="4"/>
        <w:spacing w:before="0" w:after="0" w:line="360" w:lineRule="auto"/>
        <w:rPr>
          <w:rFonts w:ascii="仿宋" w:hAnsi="仿宋" w:eastAsia="仿宋"/>
          <w:color w:val="000000" w:themeColor="text1"/>
          <w:sz w:val="24"/>
          <w:szCs w:val="24"/>
        </w:rPr>
      </w:pPr>
      <w:bookmarkStart w:id="104" w:name="_Toc26438"/>
      <w:bookmarkStart w:id="105" w:name="_Toc22553"/>
      <w:r>
        <w:rPr>
          <w:rFonts w:hint="eastAsia" w:ascii="仿宋" w:hAnsi="仿宋" w:eastAsia="仿宋"/>
          <w:color w:val="000000" w:themeColor="text1"/>
          <w:sz w:val="24"/>
          <w:szCs w:val="24"/>
        </w:rPr>
        <w:t>四、成交供应商的确认和变更</w:t>
      </w:r>
      <w:bookmarkEnd w:id="104"/>
      <w:bookmarkEnd w:id="105"/>
    </w:p>
    <w:p>
      <w:pPr>
        <w:snapToGrid w:val="0"/>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（一）成交供应商的确认</w:t>
      </w:r>
    </w:p>
    <w:p>
      <w:pPr>
        <w:snapToGrid w:val="0"/>
        <w:spacing w:line="360" w:lineRule="auto"/>
        <w:ind w:firstLine="480" w:firstLineChars="200"/>
        <w:rPr>
          <w:rFonts w:ascii="仿宋" w:hAnsi="仿宋" w:eastAsia="仿宋"/>
          <w:color w:val="000000" w:themeColor="text1"/>
          <w:sz w:val="24"/>
          <w:szCs w:val="24"/>
        </w:rPr>
      </w:pPr>
      <w:r>
        <w:rPr>
          <w:rFonts w:ascii="仿宋" w:hAnsi="仿宋" w:eastAsia="仿宋"/>
          <w:color w:val="000000" w:themeColor="text1"/>
          <w:sz w:val="24"/>
          <w:szCs w:val="24"/>
        </w:rPr>
        <w:t>采购代理机构应当在评审结束后2个工作日内将评审报告送采购人确认。采购人应当在收到评审报告后5个工作日内</w:t>
      </w:r>
      <w:r>
        <w:rPr>
          <w:rFonts w:hint="eastAsia" w:ascii="仿宋" w:hAnsi="仿宋" w:eastAsia="仿宋"/>
          <w:color w:val="000000" w:themeColor="text1"/>
          <w:sz w:val="24"/>
          <w:szCs w:val="24"/>
        </w:rPr>
        <w:t>，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（二）成交供应商的变更</w:t>
      </w:r>
    </w:p>
    <w:p>
      <w:pPr>
        <w:snapToGrid w:val="0"/>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rPr>
        <w:t>成交供应商拒绝与采购人签订合同的，采购人可以按照评标报告推荐的成交候选供应商顺序，确定排名下一位的候选人为成交供应商，也可以重新开展采购活动。</w:t>
      </w:r>
    </w:p>
    <w:p>
      <w:pPr>
        <w:pStyle w:val="4"/>
        <w:spacing w:before="0" w:after="0" w:line="360" w:lineRule="auto"/>
        <w:rPr>
          <w:rFonts w:ascii="仿宋" w:hAnsi="仿宋" w:eastAsia="仿宋"/>
          <w:color w:val="000000" w:themeColor="text1"/>
          <w:sz w:val="24"/>
          <w:szCs w:val="24"/>
        </w:rPr>
      </w:pPr>
      <w:bookmarkStart w:id="106" w:name="_Toc8128"/>
      <w:bookmarkStart w:id="107" w:name="_Toc5701"/>
      <w:bookmarkStart w:id="108" w:name="_Toc342913395"/>
      <w:bookmarkStart w:id="109" w:name="_Toc102227321"/>
      <w:r>
        <w:rPr>
          <w:rFonts w:hint="eastAsia" w:ascii="仿宋" w:hAnsi="仿宋" w:eastAsia="仿宋"/>
          <w:color w:val="000000" w:themeColor="text1"/>
          <w:sz w:val="24"/>
          <w:szCs w:val="24"/>
        </w:rPr>
        <w:t>五、成交通知</w:t>
      </w:r>
      <w:bookmarkEnd w:id="106"/>
      <w:bookmarkEnd w:id="107"/>
      <w:bookmarkEnd w:id="108"/>
      <w:bookmarkEnd w:id="109"/>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（一）成交供应商确定后，采购人或采购代理机构将在重庆市政府采购云平台.网上竞采中心（https://xj.ccgp-chongqing.gov.cn/ge/）上发布成交结果公告。</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（二）结果公告发出同时，采购代理机构将以书面形式发出《成交通知书》。《成交通知书》一经发出即发生法律效力。</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（三）《成交通知书》将作为签订合同的依据。</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（四）如有供应商对成交结果提出质疑的，在质疑处理完毕后发出成交通知书。</w:t>
      </w:r>
    </w:p>
    <w:p>
      <w:pPr>
        <w:pStyle w:val="4"/>
        <w:spacing w:before="0" w:after="0" w:line="360" w:lineRule="auto"/>
        <w:rPr>
          <w:rFonts w:ascii="仿宋" w:hAnsi="仿宋" w:eastAsia="仿宋"/>
          <w:color w:val="000000" w:themeColor="text1"/>
          <w:sz w:val="24"/>
          <w:szCs w:val="24"/>
        </w:rPr>
      </w:pPr>
      <w:bookmarkStart w:id="110" w:name="_Toc31861"/>
      <w:bookmarkStart w:id="111" w:name="_Toc9697"/>
      <w:r>
        <w:rPr>
          <w:rFonts w:hint="eastAsia" w:ascii="仿宋" w:hAnsi="仿宋" w:eastAsia="仿宋"/>
          <w:color w:val="000000" w:themeColor="text1"/>
          <w:sz w:val="24"/>
          <w:szCs w:val="24"/>
        </w:rPr>
        <w:t>六、采购代理服务费</w:t>
      </w:r>
      <w:bookmarkEnd w:id="110"/>
      <w:bookmarkEnd w:id="111"/>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（一）供应商成交后向采购代理机构缴纳采购代理服务费，本项目采购代理服务费按照定额</w:t>
      </w:r>
      <w:r>
        <w:rPr>
          <w:rFonts w:hint="eastAsia" w:ascii="仿宋" w:hAnsi="仿宋" w:eastAsia="仿宋"/>
          <w:color w:val="000000" w:themeColor="text1"/>
          <w:sz w:val="24"/>
          <w:szCs w:val="24"/>
          <w:lang w:val="en-US" w:eastAsia="zh-CN"/>
        </w:rPr>
        <w:t>陆</w:t>
      </w:r>
      <w:r>
        <w:rPr>
          <w:rFonts w:hint="eastAsia" w:ascii="仿宋" w:hAnsi="仿宋" w:eastAsia="仿宋"/>
          <w:color w:val="000000" w:themeColor="text1"/>
          <w:sz w:val="24"/>
          <w:szCs w:val="24"/>
        </w:rPr>
        <w:t>仟元整收取。</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（二）采购代理服务费缴纳账号：</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户名：重庆千策招标代理有限公司</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开户行：中国建设银行重庆杨家坪支行</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账号：50050103360000000623</w:t>
      </w:r>
    </w:p>
    <w:p>
      <w:pPr>
        <w:pStyle w:val="4"/>
        <w:spacing w:before="0" w:after="0" w:line="360" w:lineRule="auto"/>
        <w:rPr>
          <w:rFonts w:ascii="仿宋" w:hAnsi="仿宋" w:eastAsia="仿宋"/>
          <w:color w:val="000000" w:themeColor="text1"/>
          <w:sz w:val="24"/>
          <w:szCs w:val="24"/>
        </w:rPr>
      </w:pPr>
      <w:bookmarkStart w:id="112" w:name="_Toc5040"/>
      <w:bookmarkStart w:id="113" w:name="_Toc8778"/>
      <w:r>
        <w:rPr>
          <w:rFonts w:hint="eastAsia" w:ascii="仿宋" w:hAnsi="仿宋" w:eastAsia="仿宋"/>
          <w:color w:val="000000" w:themeColor="text1"/>
          <w:sz w:val="24"/>
          <w:szCs w:val="24"/>
        </w:rPr>
        <w:t>七、关于质疑和投诉</w:t>
      </w:r>
      <w:bookmarkEnd w:id="112"/>
      <w:bookmarkEnd w:id="113"/>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（一）质疑</w:t>
      </w:r>
    </w:p>
    <w:p>
      <w:pPr>
        <w:spacing w:line="360" w:lineRule="auto"/>
        <w:ind w:right="12" w:firstLine="480"/>
        <w:rPr>
          <w:rFonts w:ascii="仿宋" w:hAnsi="仿宋" w:eastAsia="仿宋" w:cs="仿宋"/>
          <w:color w:val="000000" w:themeColor="text1"/>
          <w:sz w:val="24"/>
        </w:rPr>
      </w:pPr>
      <w:r>
        <w:rPr>
          <w:rFonts w:hint="eastAsia" w:ascii="仿宋" w:hAnsi="仿宋" w:eastAsia="仿宋" w:cs="仿宋"/>
          <w:color w:val="000000" w:themeColor="text1"/>
          <w:sz w:val="24"/>
        </w:rPr>
        <w:t>供应商认为采购文件、采购过程和成交结果使自己的权益受到伤害的，可向采购人或采购代理机构以书面形式提出质疑。</w:t>
      </w:r>
    </w:p>
    <w:p>
      <w:pPr>
        <w:spacing w:line="360" w:lineRule="auto"/>
        <w:ind w:right="12" w:firstLine="480"/>
        <w:rPr>
          <w:rFonts w:ascii="仿宋" w:hAnsi="仿宋" w:eastAsia="仿宋" w:cs="仿宋"/>
          <w:color w:val="000000" w:themeColor="text1"/>
          <w:sz w:val="24"/>
        </w:rPr>
      </w:pPr>
      <w:r>
        <w:rPr>
          <w:rFonts w:hint="eastAsia" w:ascii="仿宋" w:hAnsi="仿宋" w:eastAsia="仿宋" w:cs="仿宋"/>
          <w:color w:val="000000" w:themeColor="text1"/>
          <w:sz w:val="24"/>
        </w:rPr>
        <w:t>提出质疑的应当是参与所质疑项目采购活动的供应商。</w:t>
      </w:r>
    </w:p>
    <w:p>
      <w:pPr>
        <w:spacing w:line="360" w:lineRule="auto"/>
        <w:ind w:right="12" w:firstLine="480"/>
        <w:rPr>
          <w:rFonts w:ascii="仿宋" w:hAnsi="仿宋" w:eastAsia="仿宋" w:cs="仿宋"/>
          <w:color w:val="000000" w:themeColor="text1"/>
          <w:sz w:val="24"/>
        </w:rPr>
      </w:pPr>
      <w:r>
        <w:rPr>
          <w:rFonts w:hint="eastAsia" w:ascii="仿宋" w:hAnsi="仿宋" w:eastAsia="仿宋" w:cs="仿宋"/>
          <w:color w:val="000000" w:themeColor="text1"/>
          <w:sz w:val="24"/>
        </w:rPr>
        <w:t>1.质疑时限、内容</w:t>
      </w:r>
    </w:p>
    <w:p>
      <w:pPr>
        <w:spacing w:line="360" w:lineRule="auto"/>
        <w:ind w:right="12" w:firstLine="480"/>
        <w:rPr>
          <w:rFonts w:ascii="仿宋" w:hAnsi="仿宋" w:eastAsia="仿宋" w:cs="仿宋"/>
          <w:color w:val="000000" w:themeColor="text1"/>
          <w:sz w:val="24"/>
        </w:rPr>
      </w:pPr>
      <w:r>
        <w:rPr>
          <w:rFonts w:hint="eastAsia" w:ascii="仿宋" w:hAnsi="仿宋" w:eastAsia="仿宋" w:cs="仿宋"/>
          <w:color w:val="000000" w:themeColor="text1"/>
          <w:sz w:val="24"/>
        </w:rPr>
        <w:t>1.1供应商认为采购文件、采购过程、成交结果使自己的权益受到损害的，可以在知道或者应知其权益受到损害之日起7个工作日内，以书面形式向采购人、采购代理机构提出质疑。</w:t>
      </w:r>
    </w:p>
    <w:p>
      <w:pPr>
        <w:spacing w:line="360" w:lineRule="auto"/>
        <w:ind w:right="12" w:firstLine="480"/>
        <w:rPr>
          <w:rFonts w:ascii="仿宋" w:hAnsi="仿宋" w:eastAsia="仿宋" w:cs="仿宋"/>
          <w:color w:val="000000" w:themeColor="text1"/>
          <w:sz w:val="24"/>
        </w:rPr>
      </w:pPr>
      <w:r>
        <w:rPr>
          <w:rFonts w:hint="eastAsia" w:ascii="仿宋" w:hAnsi="仿宋" w:eastAsia="仿宋" w:cs="仿宋"/>
          <w:color w:val="000000" w:themeColor="text1"/>
          <w:sz w:val="24"/>
        </w:rPr>
        <w:t>1.2 供应商对采购过程提出质疑的，应在各采购程序环节结束之日起七个工作日内提出。</w:t>
      </w:r>
    </w:p>
    <w:p>
      <w:pPr>
        <w:spacing w:line="360" w:lineRule="auto"/>
        <w:ind w:right="12" w:firstLine="480"/>
        <w:rPr>
          <w:rFonts w:ascii="仿宋" w:hAnsi="仿宋" w:eastAsia="仿宋" w:cs="仿宋"/>
          <w:color w:val="000000" w:themeColor="text1"/>
          <w:sz w:val="24"/>
        </w:rPr>
      </w:pPr>
      <w:r>
        <w:rPr>
          <w:rFonts w:hint="eastAsia" w:ascii="仿宋" w:hAnsi="仿宋" w:eastAsia="仿宋" w:cs="仿宋"/>
          <w:color w:val="000000" w:themeColor="text1"/>
          <w:sz w:val="24"/>
        </w:rPr>
        <w:t>1.3供应商对成交结果提出质疑的，应当在成交结果公告期限届满之日起七个工作日内提出。</w:t>
      </w:r>
    </w:p>
    <w:p>
      <w:pPr>
        <w:spacing w:line="360" w:lineRule="auto"/>
        <w:ind w:right="12" w:firstLine="480"/>
        <w:rPr>
          <w:rFonts w:ascii="仿宋" w:hAnsi="仿宋" w:eastAsia="仿宋" w:cs="仿宋"/>
          <w:color w:val="000000" w:themeColor="text1"/>
          <w:sz w:val="24"/>
        </w:rPr>
      </w:pPr>
      <w:r>
        <w:rPr>
          <w:rFonts w:hint="eastAsia" w:ascii="仿宋" w:hAnsi="仿宋" w:eastAsia="仿宋" w:cs="仿宋"/>
          <w:color w:val="000000" w:themeColor="text1"/>
          <w:sz w:val="24"/>
        </w:rPr>
        <w:t>1.4供应商提出质疑应当提交质疑函和必要的证明材料，质疑函应当包括下列内容：</w:t>
      </w:r>
    </w:p>
    <w:p>
      <w:pPr>
        <w:spacing w:line="360" w:lineRule="auto"/>
        <w:ind w:right="12" w:firstLine="480"/>
        <w:rPr>
          <w:rFonts w:ascii="仿宋" w:hAnsi="仿宋" w:eastAsia="仿宋" w:cs="仿宋"/>
          <w:color w:val="000000" w:themeColor="text1"/>
          <w:sz w:val="24"/>
        </w:rPr>
      </w:pPr>
      <w:r>
        <w:rPr>
          <w:rFonts w:hint="eastAsia" w:ascii="仿宋" w:hAnsi="仿宋" w:eastAsia="仿宋" w:cs="仿宋"/>
          <w:color w:val="000000" w:themeColor="text1"/>
          <w:sz w:val="24"/>
        </w:rPr>
        <w:t>1.4.1供应商的姓名或者名称、地址、邮编、联系人及联系电话；</w:t>
      </w:r>
    </w:p>
    <w:p>
      <w:pPr>
        <w:spacing w:line="360" w:lineRule="auto"/>
        <w:ind w:right="12" w:firstLine="480"/>
        <w:rPr>
          <w:rFonts w:ascii="仿宋" w:hAnsi="仿宋" w:eastAsia="仿宋" w:cs="仿宋"/>
          <w:color w:val="000000" w:themeColor="text1"/>
          <w:sz w:val="24"/>
        </w:rPr>
      </w:pPr>
      <w:r>
        <w:rPr>
          <w:rFonts w:hint="eastAsia" w:ascii="仿宋" w:hAnsi="仿宋" w:eastAsia="仿宋" w:cs="仿宋"/>
          <w:color w:val="000000" w:themeColor="text1"/>
          <w:sz w:val="24"/>
        </w:rPr>
        <w:t>1.4.2质疑项目的名称、项目号以及项目编号；</w:t>
      </w:r>
    </w:p>
    <w:p>
      <w:pPr>
        <w:spacing w:line="360" w:lineRule="auto"/>
        <w:ind w:right="12" w:firstLine="480"/>
        <w:rPr>
          <w:rFonts w:ascii="仿宋" w:hAnsi="仿宋" w:eastAsia="仿宋" w:cs="仿宋"/>
          <w:color w:val="000000" w:themeColor="text1"/>
          <w:sz w:val="24"/>
        </w:rPr>
      </w:pPr>
      <w:r>
        <w:rPr>
          <w:rFonts w:hint="eastAsia" w:ascii="仿宋" w:hAnsi="仿宋" w:eastAsia="仿宋" w:cs="仿宋"/>
          <w:color w:val="000000" w:themeColor="text1"/>
          <w:sz w:val="24"/>
        </w:rPr>
        <w:t>1.4.3具体、明确的质疑事项和与质疑事项相关的请求；</w:t>
      </w:r>
    </w:p>
    <w:p>
      <w:pPr>
        <w:spacing w:line="360" w:lineRule="auto"/>
        <w:ind w:right="12" w:firstLine="480"/>
        <w:rPr>
          <w:rFonts w:ascii="仿宋" w:hAnsi="仿宋" w:eastAsia="仿宋" w:cs="仿宋"/>
          <w:color w:val="000000" w:themeColor="text1"/>
          <w:sz w:val="24"/>
        </w:rPr>
      </w:pPr>
      <w:r>
        <w:rPr>
          <w:rFonts w:hint="eastAsia" w:ascii="仿宋" w:hAnsi="仿宋" w:eastAsia="仿宋" w:cs="仿宋"/>
          <w:color w:val="000000" w:themeColor="text1"/>
          <w:sz w:val="24"/>
        </w:rPr>
        <w:t>1.4.4事实依据；</w:t>
      </w:r>
    </w:p>
    <w:p>
      <w:pPr>
        <w:spacing w:line="360" w:lineRule="auto"/>
        <w:ind w:right="12" w:firstLine="480"/>
        <w:rPr>
          <w:rFonts w:ascii="仿宋" w:hAnsi="仿宋" w:eastAsia="仿宋" w:cs="仿宋"/>
          <w:color w:val="000000" w:themeColor="text1"/>
          <w:sz w:val="24"/>
        </w:rPr>
      </w:pPr>
      <w:r>
        <w:rPr>
          <w:rFonts w:hint="eastAsia" w:ascii="仿宋" w:hAnsi="仿宋" w:eastAsia="仿宋" w:cs="仿宋"/>
          <w:color w:val="000000" w:themeColor="text1"/>
          <w:sz w:val="24"/>
        </w:rPr>
        <w:t>1.4.5必要的法律依据；</w:t>
      </w:r>
    </w:p>
    <w:p>
      <w:pPr>
        <w:spacing w:line="360" w:lineRule="auto"/>
        <w:ind w:right="12" w:firstLine="480"/>
        <w:rPr>
          <w:rFonts w:ascii="仿宋" w:hAnsi="仿宋" w:eastAsia="仿宋" w:cs="仿宋"/>
          <w:color w:val="000000" w:themeColor="text1"/>
          <w:sz w:val="24"/>
        </w:rPr>
      </w:pPr>
      <w:r>
        <w:rPr>
          <w:rFonts w:hint="eastAsia" w:ascii="仿宋" w:hAnsi="仿宋" w:eastAsia="仿宋" w:cs="仿宋"/>
          <w:color w:val="000000" w:themeColor="text1"/>
          <w:sz w:val="24"/>
        </w:rPr>
        <w:t>1.4.6提出质疑的日期；</w:t>
      </w:r>
    </w:p>
    <w:p>
      <w:pPr>
        <w:spacing w:line="360" w:lineRule="auto"/>
        <w:ind w:right="12" w:firstLine="480"/>
        <w:rPr>
          <w:rFonts w:ascii="仿宋" w:hAnsi="仿宋" w:eastAsia="仿宋" w:cs="仿宋"/>
          <w:color w:val="000000" w:themeColor="text1"/>
          <w:sz w:val="24"/>
        </w:rPr>
      </w:pPr>
      <w:r>
        <w:rPr>
          <w:rFonts w:hint="eastAsia" w:ascii="仿宋" w:hAnsi="仿宋" w:eastAsia="仿宋" w:cs="仿宋"/>
          <w:color w:val="000000" w:themeColor="text1"/>
          <w:sz w:val="24"/>
        </w:rPr>
        <w:t>1.4.7营业执照（或事业单位法人证书，或个体工商户营业执照或有效的自然人身份证明、组织机构代码证）复印件；</w:t>
      </w:r>
    </w:p>
    <w:p>
      <w:pPr>
        <w:spacing w:line="360" w:lineRule="auto"/>
        <w:ind w:right="12" w:firstLine="480"/>
        <w:rPr>
          <w:rFonts w:ascii="仿宋" w:hAnsi="仿宋" w:eastAsia="仿宋" w:cs="仿宋"/>
          <w:color w:val="000000" w:themeColor="text1"/>
          <w:sz w:val="24"/>
        </w:rPr>
      </w:pPr>
      <w:r>
        <w:rPr>
          <w:rFonts w:hint="eastAsia" w:ascii="仿宋" w:hAnsi="仿宋" w:eastAsia="仿宋" w:cs="仿宋"/>
          <w:color w:val="000000" w:themeColor="text1"/>
          <w:sz w:val="24"/>
        </w:rPr>
        <w:t>1.4.8法定代表人授权委托书原件、法定代表人身份证复印件和其授权代表的身份证复印件（供应商为自然人的提供自然人身份证复印件）；</w:t>
      </w:r>
    </w:p>
    <w:p>
      <w:pPr>
        <w:spacing w:line="360" w:lineRule="auto"/>
        <w:ind w:right="12" w:firstLine="480"/>
        <w:rPr>
          <w:rFonts w:ascii="仿宋" w:hAnsi="仿宋" w:eastAsia="仿宋" w:cs="仿宋"/>
          <w:color w:val="000000" w:themeColor="text1"/>
          <w:sz w:val="24"/>
        </w:rPr>
      </w:pPr>
      <w:r>
        <w:rPr>
          <w:rFonts w:hint="eastAsia" w:ascii="仿宋" w:hAnsi="仿宋" w:eastAsia="仿宋" w:cs="仿宋"/>
          <w:color w:val="000000" w:themeColor="text1"/>
          <w:sz w:val="24"/>
        </w:rPr>
        <w:t>1.5供应商为自然人的，质疑函应当由本人签字；供应商为法人或者其他组织的，质疑函应当由法定代表人、主要负责人，或者其授权代表签字或者盖章，并加盖公章。</w:t>
      </w:r>
    </w:p>
    <w:p>
      <w:pPr>
        <w:spacing w:line="360" w:lineRule="auto"/>
        <w:ind w:right="12" w:firstLine="480"/>
        <w:rPr>
          <w:rFonts w:ascii="仿宋" w:hAnsi="仿宋" w:eastAsia="仿宋" w:cs="仿宋"/>
          <w:color w:val="000000" w:themeColor="text1"/>
          <w:sz w:val="24"/>
        </w:rPr>
      </w:pPr>
      <w:r>
        <w:rPr>
          <w:rFonts w:hint="eastAsia" w:ascii="仿宋" w:hAnsi="仿宋" w:eastAsia="仿宋" w:cs="仿宋"/>
          <w:color w:val="000000" w:themeColor="text1"/>
          <w:sz w:val="24"/>
        </w:rPr>
        <w:t>2.质疑答复</w:t>
      </w:r>
    </w:p>
    <w:p>
      <w:pPr>
        <w:spacing w:line="360" w:lineRule="auto"/>
        <w:ind w:right="12" w:firstLine="480"/>
        <w:rPr>
          <w:rFonts w:ascii="仿宋" w:hAnsi="仿宋" w:eastAsia="仿宋" w:cs="仿宋"/>
          <w:color w:val="000000" w:themeColor="text1"/>
          <w:sz w:val="24"/>
        </w:rPr>
      </w:pPr>
      <w:r>
        <w:rPr>
          <w:rFonts w:hint="eastAsia" w:ascii="仿宋" w:hAnsi="仿宋" w:eastAsia="仿宋" w:cs="仿宋"/>
          <w:color w:val="000000" w:themeColor="text1"/>
          <w:sz w:val="24"/>
        </w:rPr>
        <w:t>采购人、采购代理机构应当在收到供应商的书面质疑后七个工作日内作出答复，并以书面形式通知质疑供应商和其他有关供应商。</w:t>
      </w:r>
    </w:p>
    <w:p>
      <w:pPr>
        <w:spacing w:line="360" w:lineRule="auto"/>
        <w:ind w:right="12" w:firstLine="480"/>
        <w:rPr>
          <w:rFonts w:ascii="仿宋" w:hAnsi="仿宋" w:eastAsia="仿宋" w:cs="仿宋"/>
          <w:color w:val="000000" w:themeColor="text1"/>
          <w:sz w:val="24"/>
        </w:rPr>
      </w:pPr>
      <w:r>
        <w:rPr>
          <w:rFonts w:hint="eastAsia" w:ascii="仿宋" w:hAnsi="仿宋" w:eastAsia="仿宋" w:cs="仿宋"/>
          <w:color w:val="000000" w:themeColor="text1"/>
          <w:sz w:val="24"/>
        </w:rPr>
        <w:t>3.其他</w:t>
      </w:r>
    </w:p>
    <w:p>
      <w:pPr>
        <w:spacing w:line="360" w:lineRule="auto"/>
        <w:ind w:right="12" w:firstLine="480"/>
        <w:rPr>
          <w:rFonts w:ascii="仿宋" w:hAnsi="仿宋" w:eastAsia="仿宋" w:cs="仿宋"/>
          <w:color w:val="000000" w:themeColor="text1"/>
          <w:sz w:val="24"/>
        </w:rPr>
      </w:pPr>
      <w:r>
        <w:rPr>
          <w:rFonts w:hint="eastAsia" w:ascii="仿宋" w:hAnsi="仿宋" w:eastAsia="仿宋" w:cs="仿宋"/>
          <w:color w:val="000000" w:themeColor="text1"/>
          <w:sz w:val="24"/>
        </w:rPr>
        <w:t>3.1供应商应按照《政府采购质疑和投诉办法》（财政部令第94号）及相关法律法规要求，在法定质疑期内一次性提出针对同一采购程序环节的质疑。</w:t>
      </w:r>
    </w:p>
    <w:p>
      <w:pPr>
        <w:spacing w:line="360" w:lineRule="auto"/>
        <w:ind w:right="12" w:firstLine="480"/>
        <w:rPr>
          <w:rFonts w:ascii="仿宋" w:hAnsi="仿宋" w:eastAsia="仿宋" w:cs="仿宋"/>
          <w:color w:val="000000" w:themeColor="text1"/>
          <w:sz w:val="24"/>
        </w:rPr>
      </w:pPr>
      <w:r>
        <w:rPr>
          <w:rFonts w:hint="eastAsia" w:ascii="仿宋" w:hAnsi="仿宋" w:eastAsia="仿宋" w:cs="仿宋"/>
          <w:color w:val="000000" w:themeColor="text1"/>
          <w:sz w:val="24"/>
        </w:rPr>
        <w:t>3.2质疑函范本可在财政部门户网站和中国政府采购网下载。</w:t>
      </w:r>
    </w:p>
    <w:p>
      <w:pPr>
        <w:spacing w:line="360" w:lineRule="auto"/>
        <w:ind w:right="12" w:firstLine="480"/>
        <w:rPr>
          <w:rFonts w:ascii="仿宋" w:hAnsi="仿宋" w:eastAsia="仿宋" w:cs="仿宋"/>
          <w:color w:val="000000" w:themeColor="text1"/>
          <w:sz w:val="24"/>
        </w:rPr>
      </w:pPr>
      <w:r>
        <w:rPr>
          <w:rFonts w:hint="eastAsia" w:ascii="仿宋" w:hAnsi="仿宋" w:eastAsia="仿宋" w:cs="仿宋"/>
          <w:color w:val="000000" w:themeColor="text1"/>
          <w:sz w:val="24"/>
        </w:rPr>
        <w:t>（二）投诉</w:t>
      </w:r>
    </w:p>
    <w:p>
      <w:pPr>
        <w:spacing w:line="360" w:lineRule="auto"/>
        <w:ind w:right="12" w:firstLine="480"/>
        <w:rPr>
          <w:rFonts w:ascii="仿宋" w:hAnsi="仿宋" w:eastAsia="仿宋" w:cs="仿宋"/>
          <w:color w:val="000000" w:themeColor="text1"/>
          <w:sz w:val="24"/>
        </w:rPr>
      </w:pPr>
      <w:r>
        <w:rPr>
          <w:rFonts w:hint="eastAsia" w:ascii="仿宋" w:hAnsi="仿宋" w:eastAsia="仿宋" w:cs="仿宋"/>
          <w:color w:val="000000" w:themeColor="text1"/>
          <w:sz w:val="24"/>
        </w:rPr>
        <w:t>1.供应商对采购人、采购代理机构的答复不满意，或者采购人、采购代理机构未在规定时间内作出答复的，可以在答复期满后15个工作日内按照相关法律法规向采购人监督部门提起投诉。</w:t>
      </w:r>
    </w:p>
    <w:p>
      <w:pPr>
        <w:spacing w:line="360" w:lineRule="auto"/>
        <w:ind w:right="12" w:firstLine="480"/>
        <w:rPr>
          <w:rFonts w:ascii="仿宋" w:hAnsi="仿宋" w:eastAsia="仿宋" w:cs="仿宋"/>
          <w:color w:val="000000" w:themeColor="text1"/>
          <w:sz w:val="24"/>
        </w:rPr>
      </w:pPr>
      <w:r>
        <w:rPr>
          <w:rFonts w:hint="eastAsia" w:ascii="仿宋" w:hAnsi="仿宋" w:eastAsia="仿宋" w:cs="仿宋"/>
          <w:color w:val="000000" w:themeColor="text1"/>
          <w:sz w:val="24"/>
        </w:rPr>
        <w:t>2.供应商应按照《政府采购质疑和投诉办法》（财政部令第94号）及相关法律法规要求递交投诉书和必要的证明材料。投诉书范本可在财政部门户网站和中国政府采购网下载。</w:t>
      </w:r>
    </w:p>
    <w:p>
      <w:pPr>
        <w:spacing w:line="360" w:lineRule="auto"/>
        <w:ind w:right="12" w:firstLine="480"/>
        <w:rPr>
          <w:rFonts w:ascii="仿宋" w:hAnsi="仿宋" w:eastAsia="仿宋" w:cs="仿宋"/>
          <w:color w:val="000000" w:themeColor="text1"/>
          <w:sz w:val="24"/>
        </w:rPr>
      </w:pPr>
      <w:r>
        <w:rPr>
          <w:rFonts w:hint="eastAsia" w:ascii="仿宋" w:hAnsi="仿宋" w:eastAsia="仿宋" w:cs="仿宋"/>
          <w:color w:val="000000" w:themeColor="text1"/>
          <w:sz w:val="24"/>
        </w:rPr>
        <w:t>3.投诉书应当使用中文，相关当事人提供外文书证或者外国语视听资料的，应当附有中文译本，由翻译机构盖章或者翻译人员签名；相关当事人向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s="仿宋"/>
          <w:color w:val="000000" w:themeColor="text1"/>
          <w:sz w:val="24"/>
        </w:rPr>
        <w:t>4.在确定受理投诉后，监督部门自受理投诉之日起30个工作日内（需要检验、检测、鉴定、专家评审以及需要投诉人补正材料的，所需时间不计算在投诉处理期限内）对投诉事项做出处理决定。</w:t>
      </w:r>
    </w:p>
    <w:p>
      <w:pPr>
        <w:pStyle w:val="4"/>
        <w:spacing w:before="0" w:after="0" w:line="360" w:lineRule="auto"/>
        <w:rPr>
          <w:rFonts w:ascii="仿宋" w:hAnsi="仿宋" w:eastAsia="仿宋"/>
          <w:color w:val="000000" w:themeColor="text1"/>
          <w:sz w:val="24"/>
          <w:szCs w:val="24"/>
        </w:rPr>
      </w:pPr>
      <w:bookmarkStart w:id="114" w:name="_Toc102227322"/>
      <w:bookmarkStart w:id="115" w:name="_Toc14365"/>
      <w:bookmarkStart w:id="116" w:name="_Toc342913396"/>
      <w:bookmarkStart w:id="117" w:name="_Toc23822"/>
      <w:bookmarkStart w:id="118" w:name="_Toc11641055"/>
      <w:bookmarkStart w:id="119" w:name="_Toc12789059"/>
      <w:r>
        <w:rPr>
          <w:rFonts w:hint="eastAsia" w:ascii="仿宋" w:hAnsi="仿宋" w:eastAsia="仿宋"/>
          <w:color w:val="000000" w:themeColor="text1"/>
          <w:sz w:val="24"/>
          <w:szCs w:val="24"/>
        </w:rPr>
        <w:t>八、签订</w:t>
      </w:r>
      <w:bookmarkEnd w:id="114"/>
      <w:r>
        <w:rPr>
          <w:rFonts w:hint="eastAsia" w:ascii="仿宋" w:hAnsi="仿宋" w:eastAsia="仿宋"/>
          <w:color w:val="000000" w:themeColor="text1"/>
          <w:sz w:val="24"/>
          <w:szCs w:val="24"/>
        </w:rPr>
        <w:t>合同</w:t>
      </w:r>
      <w:bookmarkEnd w:id="115"/>
      <w:bookmarkEnd w:id="116"/>
      <w:bookmarkEnd w:id="117"/>
    </w:p>
    <w:p>
      <w:pPr>
        <w:spacing w:line="360" w:lineRule="auto"/>
        <w:ind w:firstLine="360" w:firstLineChars="150"/>
        <w:rPr>
          <w:rFonts w:ascii="仿宋" w:hAnsi="仿宋" w:eastAsia="仿宋"/>
          <w:color w:val="000000" w:themeColor="text1"/>
          <w:sz w:val="24"/>
          <w:szCs w:val="24"/>
        </w:rPr>
      </w:pPr>
      <w:r>
        <w:rPr>
          <w:rFonts w:hint="eastAsia" w:ascii="仿宋" w:hAnsi="仿宋" w:eastAsia="仿宋"/>
          <w:color w:val="000000" w:themeColor="text1"/>
          <w:sz w:val="24"/>
          <w:szCs w:val="24"/>
        </w:rPr>
        <w:t>（一）采购人应当自成交通知书发出之日起三十日内，按照网上竞采文件和成交供应商响应文件的约定，与成交供应商签订书面合同。所签订的合同不得对网上竞采文件和供应商的响应文件作实质性修改。</w:t>
      </w:r>
    </w:p>
    <w:p>
      <w:pPr>
        <w:spacing w:line="360" w:lineRule="auto"/>
        <w:ind w:firstLine="360" w:firstLineChars="150"/>
        <w:rPr>
          <w:rFonts w:ascii="仿宋" w:hAnsi="仿宋" w:eastAsia="仿宋"/>
          <w:color w:val="000000" w:themeColor="text1"/>
          <w:sz w:val="24"/>
          <w:szCs w:val="24"/>
        </w:rPr>
      </w:pPr>
      <w:r>
        <w:rPr>
          <w:rFonts w:hint="eastAsia" w:ascii="仿宋" w:hAnsi="仿宋" w:eastAsia="仿宋"/>
          <w:color w:val="000000" w:themeColor="text1"/>
          <w:sz w:val="24"/>
          <w:szCs w:val="24"/>
        </w:rPr>
        <w:t>（二）网上竞采文件、供应商的响应文件及澄清文件等，均为签订采购合同的依据。</w:t>
      </w:r>
    </w:p>
    <w:p>
      <w:pPr>
        <w:spacing w:line="360" w:lineRule="auto"/>
        <w:ind w:firstLine="360" w:firstLineChars="150"/>
        <w:rPr>
          <w:rFonts w:ascii="仿宋" w:hAnsi="仿宋" w:eastAsia="仿宋"/>
          <w:color w:val="000000" w:themeColor="text1"/>
          <w:sz w:val="24"/>
          <w:szCs w:val="24"/>
        </w:rPr>
      </w:pPr>
      <w:r>
        <w:rPr>
          <w:rFonts w:hint="eastAsia" w:ascii="仿宋" w:hAnsi="仿宋" w:eastAsia="仿宋"/>
          <w:color w:val="000000" w:themeColor="text1"/>
          <w:sz w:val="24"/>
          <w:szCs w:val="24"/>
        </w:rPr>
        <w:t>（三）合同生效条款由供需双方约定，法律、行政法规规定应当办理批准、登记等手续后生效的合同，依照其规定。</w:t>
      </w:r>
    </w:p>
    <w:p>
      <w:pPr>
        <w:spacing w:line="360" w:lineRule="auto"/>
        <w:ind w:firstLine="360" w:firstLineChars="150"/>
        <w:rPr>
          <w:rFonts w:ascii="仿宋" w:hAnsi="仿宋" w:eastAsia="仿宋"/>
          <w:color w:val="000000" w:themeColor="text1"/>
          <w:sz w:val="24"/>
          <w:szCs w:val="24"/>
        </w:rPr>
      </w:pPr>
      <w:r>
        <w:rPr>
          <w:rFonts w:hint="eastAsia" w:ascii="仿宋" w:hAnsi="仿宋" w:eastAsia="仿宋"/>
          <w:color w:val="000000" w:themeColor="text1"/>
          <w:sz w:val="24"/>
          <w:szCs w:val="24"/>
        </w:rPr>
        <w:t>（四）合同原则上应按照《采购合同》签订，相关单位要求适用合同通用格式版本的，应按其要求另行签订其他合同。</w:t>
      </w:r>
    </w:p>
    <w:p>
      <w:pPr>
        <w:spacing w:line="360" w:lineRule="auto"/>
        <w:ind w:firstLine="360" w:firstLineChars="150"/>
        <w:rPr>
          <w:rFonts w:ascii="仿宋" w:hAnsi="仿宋" w:eastAsia="仿宋"/>
          <w:color w:val="000000" w:themeColor="text1"/>
          <w:sz w:val="24"/>
          <w:szCs w:val="24"/>
        </w:rPr>
      </w:pPr>
      <w:r>
        <w:rPr>
          <w:rFonts w:hint="eastAsia" w:ascii="仿宋" w:hAnsi="仿宋" w:eastAsia="仿宋"/>
          <w:color w:val="000000" w:themeColor="text1"/>
          <w:sz w:val="24"/>
          <w:szCs w:val="24"/>
        </w:rPr>
        <w:t>（五）采购人要求成交供应商提供履约保证金的，应当在网上竞采文件中予以约定。成交供应商履约完毕后，采购人应于五日内无息退还其履约保证金。</w:t>
      </w:r>
    </w:p>
    <w:bookmarkEnd w:id="118"/>
    <w:bookmarkEnd w:id="119"/>
    <w:p>
      <w:pPr>
        <w:pStyle w:val="2"/>
        <w:spacing w:line="360" w:lineRule="auto"/>
        <w:jc w:val="center"/>
        <w:rPr>
          <w:rFonts w:ascii="仿宋" w:hAnsi="仿宋" w:eastAsia="仿宋"/>
          <w:color w:val="000000" w:themeColor="text1"/>
          <w:sz w:val="36"/>
          <w:szCs w:val="30"/>
        </w:rPr>
      </w:pPr>
      <w:bookmarkStart w:id="120" w:name="_Toc27139866"/>
    </w:p>
    <w:p>
      <w:pPr>
        <w:widowControl/>
        <w:jc w:val="left"/>
        <w:rPr>
          <w:rFonts w:ascii="仿宋" w:hAnsi="仿宋" w:eastAsia="仿宋"/>
          <w:b/>
          <w:color w:val="000000" w:themeColor="text1"/>
          <w:sz w:val="36"/>
          <w:szCs w:val="30"/>
        </w:rPr>
      </w:pPr>
      <w:bookmarkStart w:id="121" w:name="_Toc28449"/>
      <w:r>
        <w:rPr>
          <w:rFonts w:ascii="仿宋" w:hAnsi="仿宋" w:eastAsia="仿宋"/>
          <w:color w:val="000000" w:themeColor="text1"/>
          <w:sz w:val="36"/>
          <w:szCs w:val="30"/>
        </w:rPr>
        <w:br w:type="page"/>
      </w:r>
    </w:p>
    <w:p>
      <w:pPr>
        <w:pStyle w:val="2"/>
        <w:spacing w:line="360" w:lineRule="auto"/>
        <w:jc w:val="center"/>
        <w:rPr>
          <w:rFonts w:ascii="仿宋" w:hAnsi="仿宋" w:eastAsia="仿宋" w:cs="仿宋"/>
          <w:b w:val="0"/>
          <w:color w:val="000000" w:themeColor="text1"/>
          <w:sz w:val="44"/>
        </w:rPr>
      </w:pPr>
      <w:bookmarkStart w:id="122" w:name="_Toc20106"/>
      <w:r>
        <w:rPr>
          <w:rFonts w:hint="eastAsia" w:ascii="仿宋" w:hAnsi="仿宋" w:eastAsia="仿宋"/>
          <w:color w:val="000000" w:themeColor="text1"/>
          <w:sz w:val="36"/>
          <w:szCs w:val="30"/>
        </w:rPr>
        <w:t>第六篇</w:t>
      </w:r>
      <w:bookmarkEnd w:id="120"/>
      <w:r>
        <w:rPr>
          <w:rFonts w:hint="eastAsia" w:ascii="仿宋" w:hAnsi="仿宋" w:eastAsia="仿宋"/>
          <w:color w:val="000000" w:themeColor="text1"/>
          <w:sz w:val="36"/>
          <w:szCs w:val="30"/>
        </w:rPr>
        <w:t>合同草案条款和格式合同</w:t>
      </w:r>
      <w:bookmarkEnd w:id="121"/>
      <w:bookmarkEnd w:id="122"/>
    </w:p>
    <w:p>
      <w:pPr>
        <w:snapToGrid w:val="0"/>
        <w:spacing w:line="360" w:lineRule="auto"/>
        <w:ind w:firstLine="600" w:firstLineChars="2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一、定义</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（一）甲方（需方）即采购人，是指通过网上竞采，接受合同货物和服务的各级国家机关、事业单位和团体组织。</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（二）乙方（供方）即成交供应商，是指成交后提供合同货物和服务的自然人、法人及其他组织。</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（三）合同是指由甲乙双方按照网上竞采文件和响应文件的实质性内容，通过协商一致达成的书面协议。</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（四）合同价格指以成交价格为依据，在供方全面履行合同义务后，需方应支付给供方的金额。</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二、服务内容</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合同包括以下内容</w:t>
      </w:r>
      <w:r>
        <w:rPr>
          <w:rFonts w:hint="eastAsia" w:ascii="仿宋" w:hAnsi="仿宋" w:eastAsia="仿宋" w:cs="仿宋"/>
          <w:bCs/>
          <w:color w:val="000000" w:themeColor="text1"/>
          <w:sz w:val="24"/>
          <w:szCs w:val="22"/>
        </w:rPr>
        <w:t>：服务名称、服务时间、服务地点、质量要求、服务要求等内容。</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三、合同价格</w:t>
      </w:r>
    </w:p>
    <w:p>
      <w:pPr>
        <w:snapToGrid w:val="0"/>
        <w:spacing w:line="360" w:lineRule="auto"/>
        <w:ind w:firstLine="360" w:firstLineChars="150"/>
        <w:outlineLvl w:val="0"/>
        <w:rPr>
          <w:rFonts w:ascii="仿宋" w:hAnsi="仿宋" w:eastAsia="仿宋" w:cs="仿宋"/>
          <w:bCs/>
          <w:color w:val="000000" w:themeColor="text1"/>
          <w:sz w:val="24"/>
          <w:szCs w:val="22"/>
        </w:rPr>
      </w:pPr>
      <w:r>
        <w:rPr>
          <w:rFonts w:hint="eastAsia" w:ascii="仿宋" w:hAnsi="仿宋" w:eastAsia="仿宋" w:cs="仿宋"/>
          <w:bCs/>
          <w:color w:val="000000" w:themeColor="text1"/>
          <w:sz w:val="24"/>
          <w:szCs w:val="22"/>
        </w:rPr>
        <w:t>（一）合同价格即合同总价。</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szCs w:val="22"/>
        </w:rPr>
        <w:t>（二）合同价格包括提供服务所需提供的所有人、财、物、税费等一切费用，所有税费由乙方负担。</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（三）合同价格为不变价。</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四、转包或分包</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（一）本合同范围的服务，应由乙方直接供应，不得转让他人供应；</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（二）非经甲方书面同意，乙方不得将本合同范围的服务全部或部分分包给他人供应；</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（三）如有转让和未经甲方同意的分包行为，甲方有权解除合同，没收履约保证金并追究乙方的违约责任。</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五、质量保证及售后服务</w:t>
      </w:r>
    </w:p>
    <w:p>
      <w:pPr>
        <w:snapToGrid w:val="0"/>
        <w:spacing w:line="360" w:lineRule="auto"/>
        <w:ind w:firstLine="360" w:firstLineChars="150"/>
        <w:outlineLvl w:val="0"/>
        <w:rPr>
          <w:rFonts w:ascii="仿宋" w:hAnsi="仿宋" w:eastAsia="仿宋" w:cs="仿宋"/>
          <w:bCs/>
          <w:color w:val="000000" w:themeColor="text1"/>
          <w:sz w:val="24"/>
          <w:szCs w:val="22"/>
        </w:rPr>
      </w:pPr>
      <w:r>
        <w:rPr>
          <w:rFonts w:hint="eastAsia" w:ascii="仿宋" w:hAnsi="仿宋" w:eastAsia="仿宋" w:cs="仿宋"/>
          <w:bCs/>
          <w:color w:val="000000" w:themeColor="text1"/>
          <w:sz w:val="24"/>
          <w:szCs w:val="22"/>
        </w:rPr>
        <w:t>（一）乙方应按网上竞采文件规定的服务要求、质量标准向甲方保质保量的提供服务。</w:t>
      </w:r>
    </w:p>
    <w:p>
      <w:pPr>
        <w:snapToGrid w:val="0"/>
        <w:spacing w:line="360" w:lineRule="auto"/>
        <w:ind w:firstLine="360" w:firstLineChars="150"/>
        <w:outlineLvl w:val="0"/>
        <w:rPr>
          <w:rFonts w:ascii="仿宋" w:hAnsi="仿宋" w:eastAsia="仿宋" w:cs="仿宋"/>
          <w:bCs/>
          <w:color w:val="000000" w:themeColor="text1"/>
          <w:sz w:val="24"/>
          <w:szCs w:val="22"/>
        </w:rPr>
      </w:pPr>
      <w:r>
        <w:rPr>
          <w:rFonts w:hint="eastAsia" w:ascii="仿宋" w:hAnsi="仿宋" w:eastAsia="仿宋" w:cs="仿宋"/>
          <w:bCs/>
          <w:color w:val="000000" w:themeColor="text1"/>
          <w:sz w:val="24"/>
          <w:szCs w:val="22"/>
        </w:rPr>
        <w:t>（二）乙方提供的服务如果存在质量问题，乙方应负责更正。对达不到服务要求者，根据实际情况，经双方协商，可按以下办法处理：</w:t>
      </w:r>
    </w:p>
    <w:p>
      <w:pPr>
        <w:snapToGrid w:val="0"/>
        <w:spacing w:line="360" w:lineRule="auto"/>
        <w:ind w:firstLine="360" w:firstLineChars="150"/>
        <w:outlineLvl w:val="0"/>
        <w:rPr>
          <w:rFonts w:ascii="仿宋" w:hAnsi="仿宋" w:eastAsia="仿宋" w:cs="仿宋"/>
          <w:bCs/>
          <w:color w:val="000000" w:themeColor="text1"/>
          <w:sz w:val="24"/>
          <w:szCs w:val="22"/>
        </w:rPr>
      </w:pPr>
      <w:r>
        <w:rPr>
          <w:rFonts w:hint="eastAsia" w:ascii="仿宋" w:hAnsi="仿宋" w:eastAsia="仿宋" w:cs="仿宋"/>
          <w:bCs/>
          <w:color w:val="000000" w:themeColor="text1"/>
          <w:sz w:val="24"/>
          <w:szCs w:val="22"/>
        </w:rPr>
        <w:t>1.重做：由乙方承担所发生的全部费用。</w:t>
      </w:r>
    </w:p>
    <w:p>
      <w:pPr>
        <w:snapToGrid w:val="0"/>
        <w:spacing w:line="360" w:lineRule="auto"/>
        <w:ind w:firstLine="360" w:firstLineChars="150"/>
        <w:outlineLvl w:val="0"/>
        <w:rPr>
          <w:rFonts w:ascii="仿宋" w:hAnsi="仿宋" w:eastAsia="仿宋" w:cs="仿宋"/>
          <w:bCs/>
          <w:color w:val="000000" w:themeColor="text1"/>
          <w:sz w:val="24"/>
          <w:szCs w:val="22"/>
        </w:rPr>
      </w:pPr>
      <w:r>
        <w:rPr>
          <w:rFonts w:hint="eastAsia" w:ascii="仿宋" w:hAnsi="仿宋" w:eastAsia="仿宋" w:cs="仿宋"/>
          <w:bCs/>
          <w:color w:val="000000" w:themeColor="text1"/>
          <w:sz w:val="24"/>
          <w:szCs w:val="22"/>
        </w:rPr>
        <w:t>2.乙方应对服务过程中出现的安全问题负责处理解决并承担一切费用。</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（三）如在使用过程中发生质量问题，乙方应同本项目“第三篇采购项目商务需求”对</w:t>
      </w:r>
      <w:r>
        <w:rPr>
          <w:rFonts w:hint="eastAsia" w:ascii="仿宋" w:hAnsi="仿宋" w:eastAsia="仿宋" w:cs="仿宋"/>
          <w:color w:val="000000" w:themeColor="text1"/>
          <w:sz w:val="24"/>
          <w:szCs w:val="24"/>
        </w:rPr>
        <w:t>质量保证期及售后服务</w:t>
      </w:r>
      <w:r>
        <w:rPr>
          <w:rFonts w:hint="eastAsia" w:ascii="仿宋" w:hAnsi="仿宋" w:eastAsia="仿宋" w:cs="仿宋"/>
          <w:bCs/>
          <w:color w:val="000000" w:themeColor="text1"/>
          <w:sz w:val="24"/>
        </w:rPr>
        <w:t>内容的约定。</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（四）在质保期内，乙方应对货物或服务出现的质量及安全问题负责处理解决并承担一切费用。</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六、付款</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（一）本合同使用货币币制如未作特别说明均为人民币。</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（二）付款方式：银行转账、现金支票。</w:t>
      </w:r>
    </w:p>
    <w:p>
      <w:pPr>
        <w:snapToGrid w:val="0"/>
        <w:spacing w:line="360" w:lineRule="auto"/>
        <w:ind w:firstLine="360" w:firstLineChars="150"/>
        <w:jc w:val="left"/>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（三）付款方法：同本项目“第三篇采购项目商务需求”中关于付款方式的约定。</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七、检查验收</w:t>
      </w:r>
    </w:p>
    <w:p>
      <w:pPr>
        <w:snapToGrid w:val="0"/>
        <w:spacing w:line="360" w:lineRule="auto"/>
        <w:ind w:firstLine="360" w:firstLineChars="150"/>
        <w:outlineLvl w:val="0"/>
        <w:rPr>
          <w:rFonts w:ascii="仿宋" w:hAnsi="仿宋" w:eastAsia="仿宋" w:cs="仿宋"/>
          <w:bCs/>
          <w:color w:val="000000" w:themeColor="text1"/>
          <w:sz w:val="24"/>
          <w:szCs w:val="22"/>
        </w:rPr>
      </w:pPr>
      <w:r>
        <w:rPr>
          <w:rFonts w:hint="eastAsia" w:ascii="仿宋" w:hAnsi="仿宋" w:eastAsia="仿宋" w:cs="仿宋"/>
          <w:bCs/>
          <w:color w:val="000000" w:themeColor="text1"/>
          <w:sz w:val="24"/>
          <w:szCs w:val="22"/>
        </w:rPr>
        <w:t>（一）供方所供服务的各种指标不得低于网上竞采文件和响应文件的约定，服务质量要求按照网上竞采文件和响应文件的内容执行。</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（二）验收报告应由需方、供方经办人签字，并加盖双方公章，以此作为支付凭据。</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八、索赔</w:t>
      </w:r>
    </w:p>
    <w:p>
      <w:pPr>
        <w:snapToGrid w:val="0"/>
        <w:spacing w:line="360" w:lineRule="auto"/>
        <w:ind w:firstLine="360" w:firstLineChars="150"/>
        <w:outlineLvl w:val="0"/>
        <w:rPr>
          <w:rFonts w:ascii="仿宋" w:hAnsi="仿宋" w:eastAsia="仿宋" w:cs="仿宋"/>
          <w:bCs/>
          <w:color w:val="000000" w:themeColor="text1"/>
          <w:sz w:val="24"/>
          <w:szCs w:val="22"/>
        </w:rPr>
      </w:pPr>
      <w:r>
        <w:rPr>
          <w:rFonts w:hint="eastAsia" w:ascii="仿宋" w:hAnsi="仿宋" w:eastAsia="仿宋" w:cs="仿宋"/>
          <w:bCs/>
          <w:color w:val="000000" w:themeColor="text1"/>
          <w:sz w:val="24"/>
          <w:szCs w:val="22"/>
        </w:rPr>
        <w:t>供方对所提供服务与合同要求不符负有责任，并且需方提出索赔，供方应按需方同意的下述一种或多种方法解决索赔事宜。</w:t>
      </w:r>
    </w:p>
    <w:p>
      <w:pPr>
        <w:snapToGrid w:val="0"/>
        <w:spacing w:line="360" w:lineRule="auto"/>
        <w:ind w:firstLine="360" w:firstLineChars="150"/>
        <w:outlineLvl w:val="0"/>
        <w:rPr>
          <w:rFonts w:ascii="仿宋" w:hAnsi="仿宋" w:eastAsia="仿宋" w:cs="仿宋"/>
          <w:bCs/>
          <w:color w:val="000000" w:themeColor="text1"/>
          <w:sz w:val="24"/>
          <w:szCs w:val="22"/>
        </w:rPr>
      </w:pPr>
      <w:r>
        <w:rPr>
          <w:rFonts w:hint="eastAsia" w:ascii="仿宋" w:hAnsi="仿宋" w:eastAsia="仿宋" w:cs="仿宋"/>
          <w:bCs/>
          <w:color w:val="000000" w:themeColor="text1"/>
          <w:sz w:val="24"/>
          <w:szCs w:val="22"/>
        </w:rPr>
        <w:t>（一）供方同意需方拒绝服务并把拒绝部分的金额以合同规定的同类货币付给需方，供方负担发生的一切损失和费用。</w:t>
      </w:r>
    </w:p>
    <w:p>
      <w:pPr>
        <w:snapToGrid w:val="0"/>
        <w:spacing w:line="360" w:lineRule="auto"/>
        <w:ind w:firstLine="360" w:firstLineChars="150"/>
        <w:outlineLvl w:val="0"/>
        <w:rPr>
          <w:rFonts w:ascii="仿宋" w:hAnsi="仿宋" w:eastAsia="仿宋" w:cs="仿宋"/>
          <w:bCs/>
          <w:color w:val="000000" w:themeColor="text1"/>
          <w:sz w:val="24"/>
          <w:szCs w:val="22"/>
        </w:rPr>
      </w:pPr>
      <w:r>
        <w:rPr>
          <w:rFonts w:hint="eastAsia" w:ascii="仿宋" w:hAnsi="仿宋" w:eastAsia="仿宋" w:cs="仿宋"/>
          <w:bCs/>
          <w:color w:val="000000" w:themeColor="text1"/>
          <w:sz w:val="24"/>
          <w:szCs w:val="22"/>
        </w:rPr>
        <w:t>（二）根据服务的疵劣和受损程度以及需方遭受损失的金额，经双方同意降低服务价格。</w:t>
      </w:r>
    </w:p>
    <w:p>
      <w:pPr>
        <w:snapToGrid w:val="0"/>
        <w:spacing w:line="360" w:lineRule="auto"/>
        <w:ind w:firstLine="360" w:firstLineChars="150"/>
        <w:outlineLvl w:val="0"/>
        <w:rPr>
          <w:rFonts w:ascii="仿宋" w:hAnsi="仿宋" w:eastAsia="仿宋" w:cs="仿宋"/>
          <w:bCs/>
          <w:color w:val="000000" w:themeColor="text1"/>
          <w:sz w:val="24"/>
          <w:szCs w:val="22"/>
        </w:rPr>
      </w:pPr>
      <w:r>
        <w:rPr>
          <w:rFonts w:hint="eastAsia" w:ascii="仿宋" w:hAnsi="仿宋" w:eastAsia="仿宋" w:cs="仿宋"/>
          <w:bCs/>
          <w:color w:val="000000" w:themeColor="text1"/>
          <w:sz w:val="24"/>
          <w:szCs w:val="22"/>
        </w:rPr>
        <w:t>九、知识产权</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szCs w:val="22"/>
        </w:rPr>
        <w:t>（一）甲方在中华人民共和国境内使用</w:t>
      </w:r>
      <w:r>
        <w:rPr>
          <w:rFonts w:hint="eastAsia" w:ascii="仿宋" w:hAnsi="仿宋" w:eastAsia="仿宋" w:cs="仿宋"/>
          <w:bCs/>
          <w:color w:val="000000" w:themeColor="text1"/>
          <w:sz w:val="24"/>
        </w:rPr>
        <w:t>乙方提供的货物及服务时免受第三方提出的侵犯其专利权或其它知识产权的起诉。如果第三方提出侵权指控，乙方承担由此而引起的一切法律责任和费用。</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（二）若涉及软件开发等服务类项目知识产权的，知识产权归采购人所有。</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十、合同争议的解决</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（一）当事人友好协商达成一致</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（二）在60天内当事人协商不能达成协议的，可提请采购人当地仲裁机构仲裁。</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十一、违约责任</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按《中华人民共和国民法典》、《中华人民共和国政府采购法》有关条款，或由供需双方约定。</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十二、合同生效及其它</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（一）合同生效及其效力应符合《中华人民共和国民法典》有关规定。</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（二）合同应经当事人法定代表人或委托代理人签字，加盖双方合同专用章或公章。</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（三）合同所包括附件，是合同不可分割的一部分，具有同等法法律效力。</w:t>
      </w:r>
    </w:p>
    <w:p>
      <w:pPr>
        <w:snapToGrid w:val="0"/>
        <w:spacing w:line="360" w:lineRule="auto"/>
        <w:ind w:firstLine="360" w:firstLineChars="150"/>
        <w:outlineLvl w:val="0"/>
        <w:rPr>
          <w:rFonts w:ascii="仿宋" w:hAnsi="仿宋" w:eastAsia="仿宋" w:cs="仿宋"/>
          <w:bCs/>
          <w:color w:val="000000" w:themeColor="text1"/>
          <w:sz w:val="24"/>
        </w:rPr>
      </w:pPr>
      <w:r>
        <w:rPr>
          <w:rFonts w:hint="eastAsia" w:ascii="仿宋" w:hAnsi="仿宋" w:eastAsia="仿宋" w:cs="仿宋"/>
          <w:bCs/>
          <w:color w:val="000000" w:themeColor="text1"/>
          <w:sz w:val="24"/>
        </w:rPr>
        <w:t>（四）合同需提供担保的，按《中华人民共和国担保法》规定执行。</w:t>
      </w:r>
    </w:p>
    <w:p>
      <w:pPr>
        <w:spacing w:line="360" w:lineRule="auto"/>
        <w:jc w:val="center"/>
        <w:rPr>
          <w:rFonts w:ascii="仿宋" w:hAnsi="仿宋" w:eastAsia="仿宋" w:cs="仿宋"/>
          <w:b/>
          <w:color w:val="000000" w:themeColor="text1"/>
          <w:sz w:val="32"/>
          <w:szCs w:val="32"/>
        </w:rPr>
      </w:pPr>
      <w:r>
        <w:rPr>
          <w:rFonts w:hint="eastAsia" w:ascii="仿宋" w:hAnsi="仿宋" w:eastAsia="仿宋" w:cs="仿宋"/>
          <w:bCs/>
          <w:color w:val="000000" w:themeColor="text1"/>
          <w:sz w:val="24"/>
          <w:lang w:val="en-US" w:eastAsia="zh-CN"/>
        </w:rPr>
        <w:t xml:space="preserve">   </w:t>
      </w:r>
      <w:r>
        <w:rPr>
          <w:rFonts w:hint="eastAsia" w:ascii="仿宋" w:hAnsi="仿宋" w:eastAsia="仿宋" w:cs="仿宋"/>
          <w:bCs/>
          <w:color w:val="000000" w:themeColor="text1"/>
          <w:sz w:val="24"/>
        </w:rPr>
        <w:t>（五）本合同条件未尽事宜依照《中华人民共和国民法典》，由供需双方共同协商确定。</w:t>
      </w:r>
    </w:p>
    <w:p>
      <w:pPr>
        <w:spacing w:line="500" w:lineRule="exact"/>
        <w:jc w:val="center"/>
        <w:rPr>
          <w:rFonts w:ascii="仿宋" w:hAnsi="仿宋" w:eastAsia="仿宋" w:cs="仿宋"/>
          <w:b/>
          <w:color w:val="000000" w:themeColor="text1"/>
          <w:sz w:val="32"/>
          <w:szCs w:val="32"/>
        </w:rPr>
      </w:pPr>
    </w:p>
    <w:p>
      <w:pPr>
        <w:pStyle w:val="4"/>
        <w:rPr>
          <w:rFonts w:ascii="仿宋" w:hAnsi="仿宋" w:eastAsia="仿宋" w:cs="仿宋"/>
          <w:b w:val="0"/>
          <w:color w:val="000000" w:themeColor="text1"/>
          <w:szCs w:val="32"/>
        </w:rPr>
      </w:pPr>
    </w:p>
    <w:p>
      <w:pPr>
        <w:rPr>
          <w:rFonts w:ascii="仿宋" w:hAnsi="仿宋" w:eastAsia="仿宋" w:cs="仿宋"/>
          <w:b/>
          <w:color w:val="000000" w:themeColor="text1"/>
          <w:sz w:val="32"/>
          <w:szCs w:val="32"/>
        </w:rPr>
      </w:pPr>
    </w:p>
    <w:p>
      <w:pPr>
        <w:pStyle w:val="4"/>
        <w:rPr>
          <w:rFonts w:ascii="仿宋" w:hAnsi="仿宋" w:eastAsia="仿宋" w:cs="仿宋"/>
          <w:b w:val="0"/>
          <w:color w:val="000000" w:themeColor="text1"/>
          <w:szCs w:val="32"/>
        </w:rPr>
      </w:pPr>
    </w:p>
    <w:p>
      <w:pPr>
        <w:rPr>
          <w:rFonts w:ascii="仿宋" w:hAnsi="仿宋" w:eastAsia="仿宋" w:cs="仿宋"/>
          <w:b/>
          <w:color w:val="000000" w:themeColor="text1"/>
          <w:sz w:val="32"/>
          <w:szCs w:val="32"/>
        </w:rPr>
      </w:pPr>
    </w:p>
    <w:p>
      <w:pPr>
        <w:pStyle w:val="4"/>
        <w:rPr>
          <w:rFonts w:ascii="仿宋" w:hAnsi="仿宋" w:eastAsia="仿宋" w:cs="仿宋"/>
          <w:b w:val="0"/>
          <w:color w:val="000000" w:themeColor="text1"/>
          <w:szCs w:val="32"/>
        </w:rPr>
      </w:pPr>
    </w:p>
    <w:p>
      <w:pPr>
        <w:rPr>
          <w:rFonts w:ascii="仿宋" w:hAnsi="仿宋" w:eastAsia="仿宋" w:cs="仿宋"/>
          <w:b/>
          <w:color w:val="000000" w:themeColor="text1"/>
          <w:sz w:val="32"/>
          <w:szCs w:val="32"/>
        </w:rPr>
      </w:pPr>
    </w:p>
    <w:p>
      <w:pPr>
        <w:pStyle w:val="4"/>
        <w:rPr>
          <w:rFonts w:ascii="仿宋" w:hAnsi="仿宋" w:eastAsia="仿宋" w:cs="仿宋"/>
          <w:b w:val="0"/>
          <w:color w:val="000000" w:themeColor="text1"/>
          <w:szCs w:val="32"/>
        </w:rPr>
      </w:pPr>
    </w:p>
    <w:p>
      <w:pPr>
        <w:pStyle w:val="4"/>
        <w:rPr>
          <w:rFonts w:ascii="仿宋" w:hAnsi="仿宋" w:eastAsia="仿宋" w:cs="仿宋"/>
          <w:b w:val="0"/>
          <w:color w:val="000000" w:themeColor="text1"/>
          <w:szCs w:val="32"/>
        </w:rPr>
      </w:pPr>
    </w:p>
    <w:p>
      <w:pPr>
        <w:widowControl/>
        <w:jc w:val="left"/>
        <w:rPr>
          <w:rFonts w:ascii="仿宋" w:hAnsi="仿宋" w:eastAsia="仿宋" w:cs="仿宋"/>
          <w:color w:val="000000" w:themeColor="text1"/>
          <w:sz w:val="24"/>
        </w:rPr>
      </w:pPr>
      <w:bookmarkStart w:id="123" w:name="_Toc148265480"/>
      <w:bookmarkStart w:id="124" w:name="_Toc303945820"/>
      <w:r>
        <w:rPr>
          <w:rFonts w:ascii="仿宋" w:hAnsi="仿宋" w:eastAsia="仿宋" w:cs="仿宋"/>
          <w:color w:val="000000" w:themeColor="text1"/>
          <w:sz w:val="24"/>
        </w:rPr>
        <w:br w:type="page"/>
      </w:r>
    </w:p>
    <w:p>
      <w:pPr>
        <w:rPr>
          <w:color w:val="000000" w:themeColor="text1"/>
        </w:rPr>
      </w:pPr>
      <w:r>
        <w:rPr>
          <w:rFonts w:hint="eastAsia" w:ascii="仿宋" w:hAnsi="仿宋" w:eastAsia="仿宋" w:cs="仿宋"/>
          <w:color w:val="000000" w:themeColor="text1"/>
          <w:sz w:val="24"/>
        </w:rPr>
        <w:t>附页：合同格式</w:t>
      </w:r>
      <w:bookmarkEnd w:id="123"/>
      <w:bookmarkEnd w:id="124"/>
    </w:p>
    <w:p>
      <w:pPr>
        <w:jc w:val="center"/>
        <w:rPr>
          <w:rFonts w:hint="eastAsia" w:ascii="仿宋" w:hAnsi="仿宋" w:eastAsia="仿宋" w:cs="仿宋"/>
          <w:b/>
          <w:bCs/>
          <w:sz w:val="48"/>
          <w:szCs w:val="48"/>
        </w:rPr>
      </w:pPr>
      <w:bookmarkStart w:id="125" w:name="_Toc30030"/>
    </w:p>
    <w:p>
      <w:pPr>
        <w:jc w:val="center"/>
        <w:rPr>
          <w:rFonts w:hint="eastAsia" w:ascii="仿宋" w:hAnsi="仿宋" w:eastAsia="仿宋" w:cs="仿宋"/>
          <w:b/>
          <w:bCs/>
          <w:sz w:val="48"/>
          <w:szCs w:val="48"/>
        </w:rPr>
      </w:pPr>
    </w:p>
    <w:p>
      <w:pPr>
        <w:jc w:val="center"/>
        <w:rPr>
          <w:rFonts w:hint="eastAsia" w:ascii="仿宋" w:hAnsi="仿宋" w:eastAsia="仿宋" w:cs="仿宋"/>
          <w:b/>
          <w:bCs/>
          <w:sz w:val="48"/>
          <w:szCs w:val="48"/>
        </w:rPr>
      </w:pPr>
      <w:r>
        <w:rPr>
          <w:rFonts w:hint="eastAsia" w:ascii="仿宋" w:hAnsi="仿宋" w:eastAsia="仿宋" w:cs="仿宋"/>
          <w:b/>
          <w:bCs/>
          <w:sz w:val="48"/>
          <w:szCs w:val="48"/>
        </w:rPr>
        <w:t>病媒生物防制服务合同</w:t>
      </w:r>
    </w:p>
    <w:p>
      <w:pPr>
        <w:spacing w:line="500" w:lineRule="exact"/>
        <w:jc w:val="center"/>
        <w:rPr>
          <w:rFonts w:hint="eastAsia" w:ascii="仿宋" w:hAnsi="仿宋" w:eastAsia="仿宋" w:cs="仿宋"/>
          <w:b/>
          <w:sz w:val="36"/>
          <w:szCs w:val="36"/>
        </w:rPr>
      </w:pPr>
    </w:p>
    <w:p>
      <w:pPr>
        <w:spacing w:line="500" w:lineRule="exact"/>
        <w:jc w:val="center"/>
        <w:rPr>
          <w:rFonts w:hint="eastAsia" w:ascii="仿宋" w:hAnsi="仿宋" w:eastAsia="仿宋" w:cs="仿宋"/>
          <w:b/>
          <w:sz w:val="36"/>
          <w:szCs w:val="36"/>
        </w:rPr>
      </w:pPr>
    </w:p>
    <w:p>
      <w:pPr>
        <w:spacing w:line="500" w:lineRule="exact"/>
        <w:jc w:val="center"/>
        <w:rPr>
          <w:rFonts w:hint="eastAsia" w:ascii="仿宋" w:hAnsi="仿宋" w:eastAsia="仿宋" w:cs="仿宋"/>
          <w:b/>
          <w:sz w:val="36"/>
          <w:szCs w:val="36"/>
        </w:rPr>
      </w:pPr>
    </w:p>
    <w:p>
      <w:pPr>
        <w:spacing w:line="500" w:lineRule="exact"/>
        <w:jc w:val="center"/>
        <w:rPr>
          <w:rFonts w:hint="eastAsia" w:ascii="仿宋" w:hAnsi="仿宋" w:eastAsia="仿宋" w:cs="仿宋"/>
          <w:b/>
          <w:sz w:val="36"/>
          <w:szCs w:val="36"/>
        </w:rPr>
      </w:pPr>
    </w:p>
    <w:p>
      <w:pPr>
        <w:spacing w:line="0" w:lineRule="atLeast"/>
        <w:ind w:left="1506" w:hanging="1506" w:hangingChars="500"/>
        <w:jc w:val="left"/>
        <w:rPr>
          <w:rFonts w:hint="eastAsia" w:ascii="仿宋" w:hAnsi="仿宋" w:eastAsia="仿宋" w:cs="仿宋"/>
          <w:color w:val="000000"/>
          <w:u w:val="single"/>
        </w:rPr>
      </w:pPr>
      <w:r>
        <w:rPr>
          <w:rFonts w:hint="eastAsia" w:ascii="仿宋" w:hAnsi="仿宋" w:eastAsia="仿宋" w:cs="仿宋"/>
          <w:b/>
          <w:sz w:val="30"/>
          <w:szCs w:val="30"/>
        </w:rPr>
        <w:t>项目名称：</w:t>
      </w:r>
      <w:r>
        <w:rPr>
          <w:rFonts w:hint="eastAsia" w:ascii="仿宋" w:hAnsi="仿宋" w:eastAsia="仿宋" w:cs="仿宋"/>
          <w:color w:val="000000"/>
        </w:rPr>
        <w:t>重庆市万盛经开区</w:t>
      </w:r>
      <w:r>
        <w:rPr>
          <w:rFonts w:hint="eastAsia" w:ascii="仿宋" w:hAnsi="仿宋" w:eastAsia="仿宋" w:cs="仿宋"/>
        </w:rPr>
        <w:t>建成区公共外环境“四害”防制专业</w:t>
      </w:r>
      <w:r>
        <w:rPr>
          <w:rFonts w:hint="eastAsia" w:ascii="仿宋" w:hAnsi="仿宋" w:eastAsia="仿宋" w:cs="仿宋"/>
          <w:color w:val="000000"/>
        </w:rPr>
        <w:t>服务</w:t>
      </w:r>
    </w:p>
    <w:p>
      <w:pPr>
        <w:pStyle w:val="4"/>
        <w:rPr>
          <w:rFonts w:hint="eastAsia" w:ascii="仿宋" w:hAnsi="仿宋" w:eastAsia="仿宋" w:cs="仿宋"/>
        </w:rPr>
      </w:pPr>
    </w:p>
    <w:p>
      <w:pPr>
        <w:spacing w:line="0" w:lineRule="atLeast"/>
        <w:outlineLvl w:val="2"/>
        <w:rPr>
          <w:rFonts w:hint="eastAsia" w:ascii="仿宋" w:hAnsi="仿宋" w:eastAsia="仿宋" w:cs="仿宋"/>
          <w:color w:val="000000"/>
          <w:u w:val="single"/>
        </w:rPr>
      </w:pPr>
      <w:r>
        <w:rPr>
          <w:rFonts w:hint="eastAsia" w:ascii="仿宋" w:hAnsi="仿宋" w:eastAsia="仿宋" w:cs="仿宋"/>
          <w:b/>
        </w:rPr>
        <w:t>项目编号：</w:t>
      </w:r>
      <w:r>
        <w:rPr>
          <w:rFonts w:hint="eastAsia" w:ascii="仿宋" w:hAnsi="仿宋" w:eastAsia="仿宋" w:cs="仿宋"/>
          <w:b/>
          <w:u w:val="single"/>
        </w:rPr>
        <w:t>xxxxxxx</w:t>
      </w:r>
    </w:p>
    <w:p>
      <w:pPr>
        <w:tabs>
          <w:tab w:val="left" w:pos="3780"/>
        </w:tabs>
        <w:spacing w:line="800" w:lineRule="exact"/>
        <w:jc w:val="left"/>
        <w:rPr>
          <w:rFonts w:hint="eastAsia" w:ascii="仿宋" w:hAnsi="仿宋" w:eastAsia="仿宋" w:cs="仿宋"/>
          <w:bCs/>
          <w:color w:val="000000"/>
          <w:u w:val="single"/>
        </w:rPr>
      </w:pPr>
    </w:p>
    <w:p>
      <w:pPr>
        <w:spacing w:line="500" w:lineRule="exact"/>
        <w:rPr>
          <w:rFonts w:hint="eastAsia" w:ascii="仿宋" w:hAnsi="仿宋" w:eastAsia="仿宋" w:cs="仿宋"/>
          <w:b/>
        </w:rPr>
      </w:pPr>
    </w:p>
    <w:p>
      <w:pPr>
        <w:spacing w:line="500" w:lineRule="exact"/>
        <w:rPr>
          <w:rFonts w:hint="eastAsia" w:ascii="仿宋" w:hAnsi="仿宋" w:eastAsia="仿宋" w:cs="仿宋"/>
          <w:b/>
        </w:rPr>
      </w:pPr>
    </w:p>
    <w:p>
      <w:pPr>
        <w:spacing w:line="500" w:lineRule="exact"/>
        <w:rPr>
          <w:rFonts w:hint="eastAsia" w:ascii="仿宋" w:hAnsi="仿宋" w:eastAsia="仿宋" w:cs="仿宋"/>
          <w:b/>
        </w:rPr>
      </w:pPr>
    </w:p>
    <w:p>
      <w:pPr>
        <w:spacing w:line="500" w:lineRule="exact"/>
        <w:rPr>
          <w:rFonts w:hint="eastAsia" w:ascii="仿宋" w:hAnsi="仿宋" w:eastAsia="仿宋" w:cs="仿宋"/>
          <w:b/>
        </w:rPr>
      </w:pPr>
    </w:p>
    <w:p>
      <w:pPr>
        <w:spacing w:line="500" w:lineRule="exact"/>
        <w:rPr>
          <w:rFonts w:hint="eastAsia" w:ascii="仿宋" w:hAnsi="仿宋" w:eastAsia="仿宋" w:cs="仿宋"/>
          <w:b/>
        </w:rPr>
      </w:pPr>
    </w:p>
    <w:p>
      <w:pPr>
        <w:spacing w:line="500" w:lineRule="exact"/>
        <w:rPr>
          <w:rFonts w:hint="eastAsia" w:ascii="仿宋" w:hAnsi="仿宋" w:eastAsia="仿宋" w:cs="仿宋"/>
          <w:b/>
          <w:color w:val="000000"/>
        </w:rPr>
      </w:pPr>
      <w:r>
        <w:rPr>
          <w:rFonts w:hint="eastAsia" w:ascii="仿宋" w:hAnsi="仿宋" w:eastAsia="仿宋" w:cs="仿宋"/>
          <w:b/>
        </w:rPr>
        <w:t>委 托 方：</w:t>
      </w:r>
      <w:r>
        <w:rPr>
          <w:rFonts w:hint="eastAsia" w:ascii="仿宋" w:hAnsi="仿宋" w:eastAsia="仿宋" w:cs="仿宋"/>
          <w:bCs/>
          <w:color w:val="auto"/>
          <w:sz w:val="30"/>
          <w:szCs w:val="30"/>
          <w:u w:val="single"/>
        </w:rPr>
        <w:t>重庆市</w:t>
      </w:r>
      <w:r>
        <w:rPr>
          <w:rFonts w:hint="eastAsia" w:ascii="仿宋" w:hAnsi="仿宋" w:eastAsia="仿宋" w:cs="仿宋"/>
          <w:color w:val="auto"/>
          <w:sz w:val="30"/>
          <w:szCs w:val="30"/>
          <w:u w:val="single"/>
        </w:rPr>
        <w:t>万盛经济技术开发区卫生健康局</w:t>
      </w:r>
      <w:r>
        <w:rPr>
          <w:rFonts w:hint="eastAsia" w:ascii="仿宋" w:hAnsi="仿宋" w:eastAsia="仿宋" w:cs="仿宋"/>
          <w:color w:val="000000"/>
          <w:u w:val="single"/>
        </w:rPr>
        <w:t xml:space="preserve">  </w:t>
      </w:r>
    </w:p>
    <w:p>
      <w:pPr>
        <w:spacing w:line="500" w:lineRule="exact"/>
        <w:rPr>
          <w:rFonts w:hint="eastAsia" w:ascii="仿宋" w:hAnsi="仿宋" w:eastAsia="仿宋" w:cs="仿宋"/>
          <w:b/>
        </w:rPr>
      </w:pPr>
      <w:r>
        <w:rPr>
          <w:rFonts w:hint="eastAsia" w:ascii="仿宋" w:hAnsi="仿宋" w:eastAsia="仿宋" w:cs="仿宋"/>
          <w:b/>
        </w:rPr>
        <w:t>（甲 方）</w:t>
      </w:r>
    </w:p>
    <w:p>
      <w:pPr>
        <w:spacing w:line="500" w:lineRule="exact"/>
        <w:rPr>
          <w:rFonts w:hint="eastAsia" w:ascii="仿宋" w:hAnsi="仿宋" w:eastAsia="仿宋" w:cs="仿宋"/>
          <w:b/>
        </w:rPr>
      </w:pPr>
    </w:p>
    <w:p>
      <w:pPr>
        <w:spacing w:line="500" w:lineRule="exact"/>
        <w:rPr>
          <w:rFonts w:hint="eastAsia" w:ascii="仿宋" w:hAnsi="仿宋" w:eastAsia="仿宋" w:cs="仿宋"/>
          <w:b/>
        </w:rPr>
      </w:pPr>
    </w:p>
    <w:p>
      <w:pPr>
        <w:spacing w:line="500" w:lineRule="exact"/>
        <w:rPr>
          <w:rFonts w:hint="eastAsia" w:ascii="仿宋" w:hAnsi="仿宋" w:eastAsia="仿宋" w:cs="仿宋"/>
          <w:b/>
        </w:rPr>
      </w:pPr>
      <w:r>
        <w:rPr>
          <w:rFonts w:hint="eastAsia" w:ascii="仿宋" w:hAnsi="仿宋" w:eastAsia="仿宋" w:cs="仿宋"/>
          <w:b/>
        </w:rPr>
        <w:t>服 务 方：</w:t>
      </w:r>
      <w:r>
        <w:rPr>
          <w:rFonts w:hint="eastAsia" w:ascii="仿宋" w:hAnsi="仿宋" w:eastAsia="仿宋" w:cs="仿宋"/>
          <w:sz w:val="30"/>
          <w:szCs w:val="30"/>
          <w:u w:val="single"/>
        </w:rPr>
        <w:t>xxxxxxxxxxxxx</w:t>
      </w:r>
    </w:p>
    <w:p>
      <w:pPr>
        <w:spacing w:line="500" w:lineRule="exact"/>
        <w:rPr>
          <w:rFonts w:hint="eastAsia" w:ascii="仿宋" w:hAnsi="仿宋" w:eastAsia="仿宋" w:cs="仿宋"/>
          <w:b/>
        </w:rPr>
      </w:pPr>
      <w:r>
        <w:rPr>
          <w:rFonts w:hint="eastAsia" w:ascii="仿宋" w:hAnsi="仿宋" w:eastAsia="仿宋" w:cs="仿宋"/>
          <w:b/>
        </w:rPr>
        <w:t>（乙 方）</w:t>
      </w:r>
    </w:p>
    <w:p>
      <w:pPr>
        <w:spacing w:line="500" w:lineRule="exact"/>
        <w:jc w:val="center"/>
        <w:rPr>
          <w:rFonts w:hint="eastAsia" w:ascii="仿宋" w:hAnsi="仿宋" w:eastAsia="仿宋" w:cs="仿宋"/>
          <w:b/>
          <w:sz w:val="36"/>
          <w:szCs w:val="36"/>
        </w:rPr>
      </w:pPr>
    </w:p>
    <w:p>
      <w:pPr>
        <w:spacing w:line="500" w:lineRule="exact"/>
        <w:jc w:val="center"/>
        <w:rPr>
          <w:rFonts w:hint="eastAsia" w:ascii="仿宋" w:hAnsi="仿宋" w:eastAsia="仿宋" w:cs="仿宋"/>
          <w:b/>
          <w:sz w:val="36"/>
          <w:szCs w:val="36"/>
        </w:rPr>
      </w:pPr>
    </w:p>
    <w:p>
      <w:pPr>
        <w:spacing w:line="500" w:lineRule="exact"/>
        <w:jc w:val="both"/>
        <w:rPr>
          <w:rFonts w:hint="eastAsia" w:ascii="仿宋" w:hAnsi="仿宋" w:eastAsia="仿宋" w:cs="仿宋"/>
          <w:b/>
          <w:sz w:val="40"/>
          <w:szCs w:val="40"/>
        </w:rPr>
      </w:pPr>
    </w:p>
    <w:p>
      <w:pPr>
        <w:spacing w:line="500" w:lineRule="exact"/>
        <w:jc w:val="center"/>
        <w:rPr>
          <w:rFonts w:hint="eastAsia" w:ascii="仿宋" w:hAnsi="仿宋" w:eastAsia="仿宋" w:cs="仿宋"/>
          <w:b/>
          <w:sz w:val="36"/>
          <w:szCs w:val="36"/>
        </w:rPr>
      </w:pPr>
      <w:r>
        <w:rPr>
          <w:rFonts w:hint="eastAsia" w:ascii="仿宋" w:hAnsi="仿宋" w:eastAsia="仿宋" w:cs="仿宋"/>
          <w:b/>
          <w:sz w:val="36"/>
          <w:szCs w:val="36"/>
        </w:rPr>
        <w:t>重庆市政府采购购销合同</w:t>
      </w:r>
    </w:p>
    <w:p>
      <w:pPr>
        <w:spacing w:line="500" w:lineRule="exact"/>
        <w:jc w:val="center"/>
        <w:rPr>
          <w:rFonts w:hint="eastAsia" w:ascii="仿宋" w:hAnsi="仿宋" w:eastAsia="仿宋" w:cs="仿宋"/>
          <w:b/>
          <w:sz w:val="36"/>
          <w:szCs w:val="36"/>
        </w:rPr>
      </w:pPr>
    </w:p>
    <w:p>
      <w:pPr>
        <w:spacing w:line="0" w:lineRule="atLeast"/>
        <w:outlineLvl w:val="2"/>
        <w:rPr>
          <w:rFonts w:hint="eastAsia" w:ascii="仿宋" w:hAnsi="仿宋" w:eastAsia="仿宋" w:cs="仿宋"/>
          <w:color w:val="000000"/>
          <w:sz w:val="24"/>
          <w:szCs w:val="24"/>
          <w:u w:val="single"/>
        </w:rPr>
      </w:pPr>
      <w:r>
        <w:rPr>
          <w:rFonts w:hint="eastAsia" w:ascii="仿宋" w:hAnsi="仿宋" w:eastAsia="仿宋" w:cs="仿宋"/>
          <w:sz w:val="24"/>
          <w:szCs w:val="24"/>
        </w:rPr>
        <w:t>项目编号：</w:t>
      </w:r>
      <w:r>
        <w:rPr>
          <w:rFonts w:hint="eastAsia" w:ascii="仿宋" w:hAnsi="仿宋" w:eastAsia="仿宋" w:cs="仿宋"/>
          <w:color w:val="000000"/>
          <w:sz w:val="24"/>
          <w:szCs w:val="24"/>
          <w:u w:val="single"/>
        </w:rPr>
        <w:t>xxxxxxxx</w:t>
      </w:r>
    </w:p>
    <w:p>
      <w:pPr>
        <w:spacing w:line="360" w:lineRule="auto"/>
        <w:rPr>
          <w:rFonts w:hint="eastAsia" w:ascii="仿宋" w:hAnsi="仿宋" w:eastAsia="仿宋" w:cs="仿宋"/>
          <w:color w:val="000000"/>
          <w:sz w:val="24"/>
          <w:szCs w:val="24"/>
          <w:u w:val="single"/>
        </w:rPr>
      </w:pPr>
      <w:r>
        <w:rPr>
          <w:rFonts w:hint="eastAsia" w:ascii="仿宋" w:hAnsi="仿宋" w:eastAsia="仿宋" w:cs="仿宋"/>
          <w:sz w:val="24"/>
          <w:szCs w:val="24"/>
        </w:rPr>
        <w:t>项目名称：</w:t>
      </w:r>
      <w:r>
        <w:rPr>
          <w:rFonts w:hint="eastAsia" w:ascii="仿宋" w:hAnsi="仿宋" w:eastAsia="仿宋" w:cs="仿宋"/>
          <w:color w:val="auto"/>
          <w:sz w:val="24"/>
          <w:szCs w:val="24"/>
          <w:u w:val="single"/>
        </w:rPr>
        <w:t>重庆市万盛经开区建成区公共外环境“四害”防制专业服务</w:t>
      </w:r>
    </w:p>
    <w:p>
      <w:pPr>
        <w:spacing w:line="500" w:lineRule="exact"/>
        <w:rPr>
          <w:rFonts w:hint="eastAsia" w:ascii="仿宋" w:hAnsi="仿宋" w:eastAsia="仿宋" w:cs="仿宋"/>
          <w:sz w:val="24"/>
          <w:szCs w:val="24"/>
        </w:rPr>
      </w:pPr>
      <w:r>
        <w:rPr>
          <w:rFonts w:hint="eastAsia" w:ascii="仿宋" w:hAnsi="仿宋" w:eastAsia="仿宋" w:cs="仿宋"/>
          <w:color w:val="000000"/>
          <w:sz w:val="24"/>
          <w:szCs w:val="24"/>
        </w:rPr>
        <w:t>甲方（需方）：</w:t>
      </w:r>
      <w:r>
        <w:rPr>
          <w:rFonts w:hint="eastAsia" w:ascii="仿宋" w:hAnsi="仿宋" w:eastAsia="仿宋" w:cs="仿宋"/>
          <w:bCs/>
          <w:color w:val="auto"/>
          <w:sz w:val="24"/>
          <w:szCs w:val="24"/>
          <w:u w:val="single"/>
        </w:rPr>
        <w:t>重庆市</w:t>
      </w:r>
      <w:r>
        <w:rPr>
          <w:rFonts w:hint="eastAsia" w:ascii="仿宋" w:hAnsi="仿宋" w:eastAsia="仿宋" w:cs="仿宋"/>
          <w:color w:val="auto"/>
          <w:sz w:val="24"/>
          <w:szCs w:val="24"/>
          <w:u w:val="single"/>
        </w:rPr>
        <w:t>万盛经济技术开发区卫生健康局</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sz w:val="24"/>
          <w:szCs w:val="24"/>
        </w:rPr>
        <w:t xml:space="preserve">          </w:t>
      </w:r>
    </w:p>
    <w:p>
      <w:pPr>
        <w:spacing w:line="500" w:lineRule="exact"/>
        <w:rPr>
          <w:rFonts w:hint="eastAsia" w:ascii="仿宋" w:hAnsi="仿宋" w:eastAsia="仿宋" w:cs="仿宋"/>
          <w:sz w:val="24"/>
          <w:szCs w:val="24"/>
        </w:rPr>
      </w:pPr>
      <w:r>
        <w:rPr>
          <w:rFonts w:hint="eastAsia" w:ascii="仿宋" w:hAnsi="仿宋" w:eastAsia="仿宋" w:cs="仿宋"/>
          <w:sz w:val="24"/>
          <w:szCs w:val="24"/>
        </w:rPr>
        <w:t>乙方（供方）：</w:t>
      </w:r>
      <w:r>
        <w:rPr>
          <w:rFonts w:hint="eastAsia" w:ascii="仿宋" w:hAnsi="仿宋" w:eastAsia="仿宋" w:cs="仿宋"/>
          <w:sz w:val="24"/>
          <w:szCs w:val="24"/>
          <w:u w:val="single"/>
        </w:rPr>
        <w:t xml:space="preserve">xxxxxxxxxxxx </w:t>
      </w:r>
      <w:r>
        <w:rPr>
          <w:rFonts w:hint="eastAsia" w:ascii="仿宋" w:hAnsi="仿宋" w:eastAsia="仿宋" w:cs="仿宋"/>
          <w:sz w:val="24"/>
          <w:szCs w:val="24"/>
        </w:rPr>
        <w:t xml:space="preserve">    </w:t>
      </w:r>
    </w:p>
    <w:p>
      <w:pPr>
        <w:spacing w:line="500" w:lineRule="exact"/>
        <w:rPr>
          <w:rFonts w:hint="eastAsia" w:ascii="仿宋" w:hAnsi="仿宋" w:eastAsia="仿宋" w:cs="仿宋"/>
          <w:sz w:val="24"/>
          <w:szCs w:val="24"/>
        </w:rPr>
      </w:pPr>
      <w:r>
        <w:rPr>
          <w:rFonts w:hint="eastAsia" w:ascii="仿宋" w:hAnsi="仿宋" w:eastAsia="仿宋" w:cs="仿宋"/>
          <w:sz w:val="24"/>
          <w:szCs w:val="24"/>
        </w:rPr>
        <w:t>经双方协商一致，达成以下购销合同：</w:t>
      </w:r>
    </w:p>
    <w:tbl>
      <w:tblPr>
        <w:tblStyle w:val="59"/>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960"/>
        <w:gridCol w:w="4685"/>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88"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960"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服务名称</w:t>
            </w:r>
          </w:p>
        </w:tc>
        <w:tc>
          <w:tcPr>
            <w:tcW w:w="4685"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服务区域</w:t>
            </w:r>
          </w:p>
        </w:tc>
        <w:tc>
          <w:tcPr>
            <w:tcW w:w="1879"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888"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960"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城区公共外环境病媒生物防制服务</w:t>
            </w:r>
          </w:p>
        </w:tc>
        <w:tc>
          <w:tcPr>
            <w:tcW w:w="4685" w:type="dxa"/>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万盛街道、东林街道、万东镇、南桐镇建成区的公共外环境（不含物业小区、机关企事业、商场、商户、门店、摊贩等有明确主管部门或主管单位责任范围区域）约14.43平方公里。</w:t>
            </w:r>
          </w:p>
        </w:tc>
        <w:tc>
          <w:tcPr>
            <w:tcW w:w="1879" w:type="dxa"/>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2022年x月x日-2023年x月x日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88"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960"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万盛经开区党工委、管委会办公区域病媒生物防制服务</w:t>
            </w:r>
          </w:p>
        </w:tc>
        <w:tc>
          <w:tcPr>
            <w:tcW w:w="4685" w:type="dxa"/>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万盛经开区党工委、管委会办公院坝内所有单位和部门（含庭院、绿化带、楼道、办公室等整个院内区域）。</w:t>
            </w:r>
          </w:p>
        </w:tc>
        <w:tc>
          <w:tcPr>
            <w:tcW w:w="1879" w:type="dxa"/>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2022年x月x日-2023年x月x日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88"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960"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城区待建工地病媒生物防制服务</w:t>
            </w:r>
          </w:p>
        </w:tc>
        <w:tc>
          <w:tcPr>
            <w:tcW w:w="4685" w:type="dxa"/>
            <w:noWrap w:val="0"/>
            <w:vAlign w:val="center"/>
          </w:tcPr>
          <w:p>
            <w:pPr>
              <w:pStyle w:val="22"/>
              <w:spacing w:after="0" w:line="560" w:lineRule="exact"/>
              <w:jc w:val="left"/>
              <w:rPr>
                <w:rFonts w:hint="eastAsia" w:ascii="仿宋" w:hAnsi="仿宋" w:eastAsia="仿宋" w:cs="仿宋"/>
                <w:color w:val="000000"/>
                <w:sz w:val="24"/>
                <w:szCs w:val="24"/>
              </w:rPr>
            </w:pPr>
            <w:r>
              <w:rPr>
                <w:rFonts w:hint="eastAsia" w:ascii="仿宋" w:hAnsi="仿宋" w:eastAsia="仿宋" w:cs="仿宋"/>
                <w:sz w:val="24"/>
                <w:szCs w:val="24"/>
              </w:rPr>
              <w:t>万盛街道、东林街道、万东镇、南桐镇建成区范围内待建（拆迁）工地及其周边。</w:t>
            </w:r>
          </w:p>
          <w:p>
            <w:pPr>
              <w:spacing w:line="360" w:lineRule="auto"/>
              <w:jc w:val="left"/>
              <w:rPr>
                <w:rFonts w:hint="eastAsia" w:ascii="仿宋" w:hAnsi="仿宋" w:eastAsia="仿宋" w:cs="仿宋"/>
                <w:sz w:val="24"/>
                <w:szCs w:val="24"/>
              </w:rPr>
            </w:pPr>
          </w:p>
        </w:tc>
        <w:tc>
          <w:tcPr>
            <w:tcW w:w="1879" w:type="dxa"/>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2022年x月x日-2023年x月x日</w:t>
            </w:r>
          </w:p>
        </w:tc>
      </w:tr>
    </w:tbl>
    <w:p>
      <w:pPr>
        <w:spacing w:line="500" w:lineRule="exact"/>
        <w:rPr>
          <w:rFonts w:hint="eastAsia" w:ascii="仿宋" w:hAnsi="仿宋" w:eastAsia="仿宋" w:cs="仿宋"/>
          <w:sz w:val="24"/>
          <w:szCs w:val="24"/>
        </w:rPr>
      </w:pPr>
    </w:p>
    <w:tbl>
      <w:tblPr>
        <w:tblStyle w:val="5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1"/>
        <w:gridCol w:w="5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jc w:val="center"/>
        </w:trPr>
        <w:tc>
          <w:tcPr>
            <w:tcW w:w="9464" w:type="dxa"/>
            <w:gridSpan w:val="2"/>
            <w:noWrap w:val="0"/>
            <w:vAlign w:val="top"/>
          </w:tcPr>
          <w:p>
            <w:pPr>
              <w:spacing w:line="500" w:lineRule="exact"/>
              <w:rPr>
                <w:rFonts w:hint="eastAsia" w:ascii="仿宋" w:hAnsi="仿宋" w:eastAsia="仿宋" w:cs="仿宋"/>
                <w:sz w:val="24"/>
                <w:szCs w:val="24"/>
              </w:rPr>
            </w:pPr>
            <w:r>
              <w:rPr>
                <w:rFonts w:hint="eastAsia" w:ascii="仿宋" w:hAnsi="仿宋" w:eastAsia="仿宋" w:cs="仿宋"/>
                <w:sz w:val="24"/>
                <w:szCs w:val="24"/>
              </w:rPr>
              <w:t>一、质量要求和技术标准。供方提供的商品必须是全新的，完全符合国家有关技术标准，供方的质量保证及售后服务承诺如下：</w:t>
            </w:r>
          </w:p>
          <w:p>
            <w:pPr>
              <w:spacing w:line="500" w:lineRule="exact"/>
              <w:rPr>
                <w:rFonts w:hint="eastAsia" w:ascii="仿宋" w:hAnsi="仿宋" w:eastAsia="仿宋" w:cs="仿宋"/>
                <w:sz w:val="24"/>
                <w:szCs w:val="24"/>
              </w:rPr>
            </w:pPr>
            <w:r>
              <w:rPr>
                <w:rFonts w:hint="eastAsia" w:ascii="仿宋" w:hAnsi="仿宋" w:eastAsia="仿宋" w:cs="仿宋"/>
                <w:sz w:val="24"/>
                <w:szCs w:val="24"/>
              </w:rPr>
              <w:t>1.质保期限：乙方承诺，合同服务期的1年内，在甲方相关综合防制制度落实的前提下，乙方保证防制效果</w:t>
            </w:r>
            <w:r>
              <w:rPr>
                <w:rFonts w:hint="eastAsia" w:ascii="仿宋" w:hAnsi="仿宋" w:eastAsia="仿宋" w:cs="仿宋"/>
                <w:color w:val="000000"/>
                <w:sz w:val="24"/>
                <w:szCs w:val="24"/>
              </w:rPr>
              <w:t>符合国标B级标准及以上（由当地疾控中心监测）。</w:t>
            </w:r>
          </w:p>
          <w:p>
            <w:pPr>
              <w:spacing w:line="500" w:lineRule="exact"/>
              <w:rPr>
                <w:rFonts w:hint="eastAsia" w:ascii="仿宋" w:hAnsi="仿宋" w:eastAsia="仿宋" w:cs="仿宋"/>
                <w:sz w:val="24"/>
                <w:szCs w:val="24"/>
              </w:rPr>
            </w:pPr>
            <w:r>
              <w:rPr>
                <w:rFonts w:hint="eastAsia" w:ascii="仿宋" w:hAnsi="仿宋" w:eastAsia="仿宋" w:cs="仿宋"/>
                <w:sz w:val="24"/>
                <w:szCs w:val="24"/>
              </w:rPr>
              <w:t>2.防制范围：</w:t>
            </w:r>
          </w:p>
          <w:p>
            <w:pPr>
              <w:spacing w:line="500" w:lineRule="exact"/>
              <w:rPr>
                <w:rFonts w:hint="eastAsia" w:ascii="仿宋" w:hAnsi="仿宋" w:eastAsia="仿宋" w:cs="仿宋"/>
                <w:sz w:val="24"/>
                <w:szCs w:val="24"/>
              </w:rPr>
            </w:pPr>
            <w:r>
              <w:rPr>
                <w:rFonts w:hint="eastAsia" w:ascii="仿宋" w:hAnsi="仿宋" w:eastAsia="仿宋" w:cs="仿宋"/>
                <w:sz w:val="24"/>
                <w:szCs w:val="24"/>
              </w:rPr>
              <w:t>(1) 万盛街道、东林街道、万东镇、南桐镇建成区公共外环境（不含物业小区、机关企事业、商场、商户、门店、摊贩等有明确主管部门或主管单位责任范围区域）约14.43平方公里的“四害”防制服务，及时对孳生地治理提出建议意见。</w:t>
            </w:r>
          </w:p>
          <w:p>
            <w:pPr>
              <w:spacing w:line="500" w:lineRule="exact"/>
              <w:rPr>
                <w:rFonts w:hint="eastAsia" w:ascii="仿宋" w:hAnsi="仿宋" w:eastAsia="仿宋" w:cs="仿宋"/>
                <w:sz w:val="24"/>
                <w:szCs w:val="24"/>
              </w:rPr>
            </w:pPr>
            <w:r>
              <w:rPr>
                <w:rFonts w:hint="eastAsia" w:ascii="仿宋" w:hAnsi="仿宋" w:eastAsia="仿宋" w:cs="仿宋"/>
                <w:sz w:val="24"/>
                <w:szCs w:val="24"/>
              </w:rPr>
              <w:t>(2) 万盛经开区党工委、管委会办公院坝内所有单位和部门（含庭院、绿化带、楼道、办公室等整个院内区域）的“四害”防制服务。</w:t>
            </w:r>
          </w:p>
          <w:p>
            <w:pPr>
              <w:spacing w:line="500" w:lineRule="exact"/>
              <w:rPr>
                <w:rFonts w:hint="eastAsia" w:ascii="仿宋" w:hAnsi="仿宋" w:eastAsia="仿宋" w:cs="仿宋"/>
                <w:sz w:val="24"/>
                <w:szCs w:val="24"/>
              </w:rPr>
            </w:pPr>
            <w:r>
              <w:rPr>
                <w:rFonts w:hint="eastAsia" w:ascii="仿宋" w:hAnsi="仿宋" w:eastAsia="仿宋" w:cs="仿宋"/>
                <w:sz w:val="24"/>
                <w:szCs w:val="24"/>
              </w:rPr>
              <w:t>(3) 万盛街道、东林街道、万东镇、南桐镇建成区范围内待建（拆迁）工地及其周边“四害”防制服务。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64" w:type="dxa"/>
            <w:gridSpan w:val="2"/>
            <w:noWrap w:val="0"/>
            <w:vAlign w:val="top"/>
          </w:tcPr>
          <w:p>
            <w:pPr>
              <w:numPr>
                <w:ilvl w:val="0"/>
                <w:numId w:val="0"/>
              </w:numPr>
              <w:spacing w:line="500" w:lineRule="exact"/>
              <w:rPr>
                <w:rFonts w:hint="eastAsia" w:ascii="仿宋" w:hAnsi="仿宋" w:eastAsia="仿宋" w:cs="仿宋"/>
                <w:sz w:val="24"/>
                <w:szCs w:val="24"/>
              </w:rPr>
            </w:pPr>
            <w:r>
              <w:rPr>
                <w:rFonts w:hint="eastAsia" w:ascii="仿宋" w:hAnsi="仿宋" w:eastAsia="仿宋" w:cs="仿宋"/>
                <w:sz w:val="24"/>
                <w:szCs w:val="24"/>
              </w:rPr>
              <w:t>随机备品、附件、工具数量及供应方法：</w:t>
            </w:r>
          </w:p>
          <w:p>
            <w:pPr>
              <w:spacing w:line="500" w:lineRule="exact"/>
              <w:rPr>
                <w:rFonts w:hint="eastAsia" w:ascii="仿宋" w:hAnsi="仿宋" w:eastAsia="仿宋" w:cs="仿宋"/>
                <w:sz w:val="24"/>
                <w:szCs w:val="24"/>
              </w:rPr>
            </w:pPr>
            <w:r>
              <w:rPr>
                <w:rFonts w:hint="eastAsia" w:ascii="仿宋" w:hAnsi="仿宋" w:eastAsia="仿宋" w:cs="仿宋"/>
                <w:sz w:val="24"/>
                <w:szCs w:val="24"/>
              </w:rPr>
              <w:t>防制过程所需的药品、工具由乙方自行负责采购和运输，确保能满足防制工作的需要。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9464" w:type="dxa"/>
            <w:gridSpan w:val="2"/>
            <w:noWrap w:val="0"/>
            <w:vAlign w:val="top"/>
          </w:tcPr>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三、交提货方式：</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按照乙方万盛经开区公共外环境病媒生物防制服务采购项目投标文件中：商务技术部分项目解决方案施工计划执行：</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合理安装设置毒饵盒和灭蝇笼。每个社区毒饵盒平均不得少于60个，灭蝇笼平均不得少于15个，每个待建（拆迁）工地及其周边单独设置毒饵盒不得少于20个，灭蝇笼不得少于3个，定期维修，保持毒饵盒、灭蝇笼完好。</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 每半年组织建成区内单位、居民开展鼠、蚊、蝇、蟑螂防制知识宣传活动，适时开展密度监测工作，方法规范、资料完整。</w:t>
            </w:r>
          </w:p>
          <w:p>
            <w:pPr>
              <w:spacing w:line="560" w:lineRule="exact"/>
              <w:rPr>
                <w:rFonts w:hint="eastAsia" w:ascii="仿宋" w:hAnsi="仿宋" w:eastAsia="仿宋" w:cs="仿宋"/>
                <w:sz w:val="24"/>
                <w:szCs w:val="24"/>
              </w:rPr>
            </w:pPr>
            <w:r>
              <w:rPr>
                <w:rFonts w:hint="eastAsia" w:ascii="仿宋" w:hAnsi="仿宋" w:eastAsia="仿宋" w:cs="仿宋"/>
                <w:color w:val="000000"/>
                <w:sz w:val="24"/>
                <w:szCs w:val="24"/>
              </w:rPr>
              <w:t>3.</w:t>
            </w:r>
            <w:r>
              <w:rPr>
                <w:rFonts w:hint="eastAsia" w:ascii="仿宋" w:hAnsi="仿宋" w:eastAsia="仿宋" w:cs="仿宋"/>
                <w:sz w:val="24"/>
                <w:szCs w:val="24"/>
              </w:rPr>
              <w:t>按照规范，建立健全病媒生物防制服务技术档案，包括实施方案、本底情况调查报告、工作进度安排、监测记录、派工记录、街道或社区认同签字单等，</w:t>
            </w:r>
            <w:r>
              <w:rPr>
                <w:rFonts w:hint="eastAsia" w:ascii="仿宋" w:hAnsi="仿宋" w:eastAsia="仿宋" w:cs="仿宋"/>
                <w:sz w:val="24"/>
                <w:szCs w:val="24"/>
                <w:lang w:eastAsia="zh-CN"/>
              </w:rPr>
              <w:t>在合同结束一周内将</w:t>
            </w:r>
            <w:r>
              <w:rPr>
                <w:rFonts w:hint="eastAsia" w:ascii="仿宋" w:hAnsi="仿宋" w:eastAsia="仿宋" w:cs="仿宋"/>
                <w:sz w:val="24"/>
                <w:szCs w:val="24"/>
              </w:rPr>
              <w:t>上述所有档案资料整理后交采购人一份。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64" w:type="dxa"/>
            <w:gridSpan w:val="2"/>
            <w:noWrap w:val="0"/>
            <w:vAlign w:val="top"/>
          </w:tcPr>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4. 治理频率：春、夏、秋季每季作两轮灭鼠防制处理，冬季作一轮防制处理（连续投放五次作为一轮防制处理）。3～11月，每月至少全范围覆盖喷雾施药两次灭蚊、灭蝇、灭蟑螂，其他月份每月至少一次。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4" w:type="dxa"/>
            <w:gridSpan w:val="2"/>
            <w:noWrap w:val="0"/>
            <w:vAlign w:val="top"/>
          </w:tcPr>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四、验收标准：</w:t>
            </w:r>
          </w:p>
          <w:p>
            <w:pPr>
              <w:spacing w:line="500" w:lineRule="exact"/>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（一）标准：通过综合防制服务范围内的鼠、蚊、蝇、蟑螂密度分别控制在GB/T27770-2011、GB/T27771-2011、GB/T27772-2011、GB/T27773-2011所规定的B级标准以上（含本数）。</w:t>
            </w:r>
          </w:p>
          <w:p>
            <w:pPr>
              <w:spacing w:line="50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（二）具体标准为：</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1.灭鼠标准</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（1）室内环境按15平方米为1标准房间计算，阳性率(有鼠迹的房间)不超过5%；其单位外环境不得有鼠洞，死鼠，活鼠等鼠迹。</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（2）不同类型的外环境累计1500米，每1000米鼠迹不超过5处。　  </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2.灭蚊标准</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（1）不同类型的外环境累计8000米，每1000米外环境各种存水容器和积水中，蚊幼及蛹的阳性(检出)率不超过0.8。</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（2）用500ml收集勺采集城区内大中型水体5个，其中的蚊幼或蛹阳性(检出)率不超过5%，阳性勺内蚴虫或蛹的平均数不超过8只。</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（3）特殊场所白天人诱蚊5人次，每次30分钟，平均每人次诱获成蚊数不超过1.5只。</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3.灭蝇标准</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（1）室内环境按15平方米为1标准房间计算，有蝇房间阳性率小于或等于9%，阳性间蝇密度小于或等于 3只/间。</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（2）外环境蝇类孳生地得到有效治理，抽查容器数不超过60处，种类处环境延长米不超过1500米。孳生地阳性率不超过5%。</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4.灭蟑螂标准</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（1）室内有蟑螂成虫或若虫阳性房间不超过5%，平均每间房大蠊(蟑螂成虫)不超过5只，小蠊(蟑螂幼虫)不超过10只。</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（2）有活蟑螂卵鞘房间不超过3%，平均每间房不超过8只。</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（3）有蟑螂粪便、蜕皮等蟑迹的房间不超过7%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9464" w:type="dxa"/>
            <w:gridSpan w:val="2"/>
            <w:noWrap w:val="0"/>
            <w:vAlign w:val="top"/>
          </w:tcPr>
          <w:p>
            <w:pPr>
              <w:spacing w:line="400" w:lineRule="exact"/>
              <w:rPr>
                <w:rStyle w:val="270"/>
                <w:rFonts w:hint="eastAsia" w:ascii="仿宋" w:hAnsi="仿宋" w:eastAsia="仿宋" w:cs="仿宋"/>
                <w:color w:val="000000"/>
                <w:sz w:val="28"/>
                <w:szCs w:val="28"/>
              </w:rPr>
            </w:pPr>
            <w:r>
              <w:rPr>
                <w:rStyle w:val="270"/>
                <w:rFonts w:hint="eastAsia" w:ascii="仿宋" w:hAnsi="仿宋" w:eastAsia="仿宋" w:cs="仿宋"/>
                <w:color w:val="000000"/>
                <w:sz w:val="28"/>
                <w:szCs w:val="28"/>
              </w:rPr>
              <w:t>五、服务价格及支付方式</w:t>
            </w:r>
          </w:p>
          <w:p>
            <w:pPr>
              <w:spacing w:line="560" w:lineRule="exact"/>
              <w:ind w:firstLine="480" w:firstLineChars="200"/>
              <w:rPr>
                <w:rStyle w:val="270"/>
                <w:rFonts w:hint="eastAsia" w:ascii="仿宋" w:hAnsi="仿宋" w:eastAsia="仿宋" w:cs="仿宋"/>
                <w:color w:val="000000"/>
                <w:sz w:val="24"/>
                <w:szCs w:val="24"/>
              </w:rPr>
            </w:pPr>
            <w:r>
              <w:rPr>
                <w:rStyle w:val="270"/>
                <w:rFonts w:hint="eastAsia" w:ascii="仿宋" w:hAnsi="仿宋" w:eastAsia="仿宋" w:cs="仿宋"/>
                <w:color w:val="000000"/>
                <w:sz w:val="24"/>
                <w:szCs w:val="24"/>
              </w:rPr>
              <w:t>本次服务费为XXXXXX元（大写：XXXXXX元整），本次项目不提供预付款，进度款按季度分四次经考核合格后</w:t>
            </w:r>
            <w:r>
              <w:rPr>
                <w:rFonts w:hint="eastAsia" w:ascii="仿宋" w:hAnsi="仿宋" w:eastAsia="仿宋" w:cs="仿宋"/>
                <w:color w:val="000000"/>
                <w:sz w:val="24"/>
                <w:szCs w:val="24"/>
              </w:rPr>
              <w:t>5个工作日内由采购方申请财政支付。</w:t>
            </w:r>
            <w:r>
              <w:rPr>
                <w:rStyle w:val="270"/>
                <w:rFonts w:hint="eastAsia" w:ascii="仿宋" w:hAnsi="仿宋" w:eastAsia="仿宋" w:cs="仿宋"/>
                <w:color w:val="000000"/>
                <w:sz w:val="24"/>
                <w:szCs w:val="24"/>
              </w:rPr>
              <w:t>乙方要先行开具合法有效的发票，本服务费用包干使用，包含乙方完成本合同全部内容所需的全部费用，甲方不再另行支付其他任何费用。</w:t>
            </w:r>
          </w:p>
          <w:p>
            <w:pPr>
              <w:spacing w:line="560" w:lineRule="exact"/>
              <w:ind w:firstLine="480" w:firstLineChars="200"/>
              <w:rPr>
                <w:rStyle w:val="270"/>
                <w:rFonts w:hint="eastAsia" w:ascii="仿宋" w:hAnsi="仿宋" w:eastAsia="仿宋" w:cs="仿宋"/>
                <w:color w:val="000000"/>
                <w:sz w:val="24"/>
                <w:szCs w:val="24"/>
              </w:rPr>
            </w:pPr>
            <w:r>
              <w:rPr>
                <w:rFonts w:hint="eastAsia" w:ascii="仿宋" w:hAnsi="仿宋" w:eastAsia="仿宋" w:cs="仿宋"/>
                <w:color w:val="000000"/>
                <w:sz w:val="24"/>
                <w:szCs w:val="24"/>
              </w:rPr>
              <w:t>1.</w:t>
            </w:r>
            <w:r>
              <w:rPr>
                <w:rStyle w:val="270"/>
                <w:rFonts w:hint="eastAsia" w:ascii="仿宋" w:hAnsi="仿宋" w:eastAsia="仿宋" w:cs="仿宋"/>
                <w:color w:val="000000"/>
                <w:sz w:val="24"/>
                <w:szCs w:val="24"/>
              </w:rPr>
              <w:t>第一次付款于服务开始后的第三个月，经疾控中心监测，四害密度达到国家标准B级以上，</w:t>
            </w:r>
            <w:r>
              <w:rPr>
                <w:rFonts w:hint="eastAsia" w:ascii="仿宋" w:hAnsi="仿宋" w:eastAsia="仿宋" w:cs="仿宋"/>
                <w:color w:val="000000"/>
                <w:sz w:val="24"/>
                <w:szCs w:val="24"/>
              </w:rPr>
              <w:t>申请财政支付</w:t>
            </w:r>
            <w:r>
              <w:rPr>
                <w:rStyle w:val="270"/>
                <w:rFonts w:hint="eastAsia" w:ascii="仿宋" w:hAnsi="仿宋" w:eastAsia="仿宋" w:cs="仿宋"/>
                <w:color w:val="000000"/>
                <w:sz w:val="24"/>
                <w:szCs w:val="24"/>
              </w:rPr>
              <w:t>合同金额的25%，未达到国家标准B级以上不予支付费用；</w:t>
            </w:r>
          </w:p>
          <w:p>
            <w:pPr>
              <w:spacing w:line="560" w:lineRule="exact"/>
              <w:ind w:firstLine="480" w:firstLineChars="200"/>
              <w:jc w:val="left"/>
              <w:rPr>
                <w:rStyle w:val="270"/>
                <w:rFonts w:hint="eastAsia" w:ascii="仿宋" w:hAnsi="仿宋" w:eastAsia="仿宋" w:cs="仿宋"/>
                <w:color w:val="000000"/>
                <w:sz w:val="24"/>
                <w:szCs w:val="24"/>
              </w:rPr>
            </w:pPr>
            <w:r>
              <w:rPr>
                <w:rStyle w:val="270"/>
                <w:rFonts w:hint="eastAsia" w:ascii="仿宋" w:hAnsi="仿宋" w:eastAsia="仿宋" w:cs="仿宋"/>
                <w:color w:val="000000"/>
                <w:sz w:val="24"/>
                <w:szCs w:val="24"/>
              </w:rPr>
              <w:t>2.第二次付款于服务开始后的第六个月，经疾控中心监测，四害密度达到国家标准B级以上，</w:t>
            </w:r>
            <w:r>
              <w:rPr>
                <w:rFonts w:hint="eastAsia" w:ascii="仿宋" w:hAnsi="仿宋" w:eastAsia="仿宋" w:cs="仿宋"/>
                <w:color w:val="000000"/>
                <w:sz w:val="24"/>
                <w:szCs w:val="24"/>
              </w:rPr>
              <w:t>申请财政支付</w:t>
            </w:r>
            <w:r>
              <w:rPr>
                <w:rStyle w:val="270"/>
                <w:rFonts w:hint="eastAsia" w:ascii="仿宋" w:hAnsi="仿宋" w:eastAsia="仿宋" w:cs="仿宋"/>
                <w:color w:val="000000"/>
                <w:sz w:val="24"/>
                <w:szCs w:val="24"/>
              </w:rPr>
              <w:t xml:space="preserve">合同金额的25%，未达到国家标准B级以上不予支付费用；                             </w:t>
            </w:r>
          </w:p>
          <w:p>
            <w:pPr>
              <w:spacing w:line="560" w:lineRule="exact"/>
              <w:ind w:firstLine="480" w:firstLineChars="200"/>
              <w:jc w:val="left"/>
              <w:rPr>
                <w:rStyle w:val="270"/>
                <w:rFonts w:hint="eastAsia" w:ascii="仿宋" w:hAnsi="仿宋" w:eastAsia="仿宋" w:cs="仿宋"/>
                <w:color w:val="000000"/>
                <w:sz w:val="24"/>
                <w:szCs w:val="24"/>
              </w:rPr>
            </w:pPr>
            <w:r>
              <w:rPr>
                <w:rStyle w:val="270"/>
                <w:rFonts w:hint="eastAsia" w:ascii="仿宋" w:hAnsi="仿宋" w:eastAsia="仿宋" w:cs="仿宋"/>
                <w:color w:val="000000"/>
                <w:sz w:val="24"/>
                <w:szCs w:val="24"/>
              </w:rPr>
              <w:t>3.第三次付款于服务开始后的第九个月，经疾控中心监测，四害密度达到国家标准B级以上，</w:t>
            </w:r>
            <w:r>
              <w:rPr>
                <w:rFonts w:hint="eastAsia" w:ascii="仿宋" w:hAnsi="仿宋" w:eastAsia="仿宋" w:cs="仿宋"/>
                <w:color w:val="000000"/>
                <w:sz w:val="24"/>
                <w:szCs w:val="24"/>
              </w:rPr>
              <w:t>申请财政支付</w:t>
            </w:r>
            <w:r>
              <w:rPr>
                <w:rStyle w:val="270"/>
                <w:rFonts w:hint="eastAsia" w:ascii="仿宋" w:hAnsi="仿宋" w:eastAsia="仿宋" w:cs="仿宋"/>
                <w:color w:val="000000"/>
                <w:sz w:val="24"/>
                <w:szCs w:val="24"/>
              </w:rPr>
              <w:t>合同金额的25%，未达到国家标准B级以上不予支付费用；</w:t>
            </w:r>
          </w:p>
          <w:p>
            <w:pPr>
              <w:spacing w:line="500" w:lineRule="exact"/>
              <w:ind w:firstLine="480" w:firstLineChars="200"/>
              <w:rPr>
                <w:rFonts w:hint="eastAsia" w:ascii="仿宋" w:hAnsi="仿宋" w:eastAsia="仿宋" w:cs="仿宋"/>
                <w:color w:val="000000"/>
                <w:sz w:val="24"/>
                <w:szCs w:val="24"/>
              </w:rPr>
            </w:pPr>
            <w:r>
              <w:rPr>
                <w:rStyle w:val="270"/>
                <w:rFonts w:hint="eastAsia" w:ascii="仿宋" w:hAnsi="仿宋" w:eastAsia="仿宋" w:cs="仿宋"/>
                <w:color w:val="000000"/>
                <w:sz w:val="24"/>
                <w:szCs w:val="24"/>
              </w:rPr>
              <w:t>4.第四次付款于服务开始后的第十二个月，经疾控中心监测，四害密度达到国家标准B级以上，</w:t>
            </w:r>
            <w:r>
              <w:rPr>
                <w:rFonts w:hint="eastAsia" w:ascii="仿宋" w:hAnsi="仿宋" w:eastAsia="仿宋" w:cs="仿宋"/>
                <w:color w:val="000000"/>
                <w:sz w:val="24"/>
                <w:szCs w:val="24"/>
              </w:rPr>
              <w:t>申请财政支付</w:t>
            </w:r>
            <w:r>
              <w:rPr>
                <w:rStyle w:val="270"/>
                <w:rFonts w:hint="eastAsia" w:ascii="仿宋" w:hAnsi="仿宋" w:eastAsia="仿宋" w:cs="仿宋"/>
                <w:color w:val="000000"/>
                <w:sz w:val="24"/>
                <w:szCs w:val="24"/>
              </w:rPr>
              <w:t>合同金额的25%，未达到国家标准B级以上不予支付费用。</w:t>
            </w:r>
            <w:r>
              <w:rPr>
                <w:rFonts w:hint="eastAsia" w:ascii="仿宋" w:hAnsi="仿宋" w:eastAsia="仿宋" w:cs="仿宋"/>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9464" w:type="dxa"/>
            <w:gridSpan w:val="2"/>
            <w:noWrap w:val="0"/>
            <w:vAlign w:val="top"/>
          </w:tcPr>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六、双方责任：</w:t>
            </w:r>
          </w:p>
          <w:p>
            <w:pPr>
              <w:widowControl/>
              <w:spacing w:line="500" w:lineRule="exact"/>
              <w:ind w:firstLine="472" w:firstLineChars="196"/>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甲方责任：</w:t>
            </w:r>
          </w:p>
          <w:p>
            <w:pPr>
              <w:widowControl/>
              <w:spacing w:line="5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1.甲方应按合同约定按时支付乙方服务费用。</w:t>
            </w:r>
          </w:p>
          <w:p>
            <w:pPr>
              <w:widowControl/>
              <w:spacing w:line="5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2.甲方应积极配合乙方做好灭四害的宣传、防制工作；对乙方投放的灭鼠、杀虫药物、器械，甲方不得随意损坏并且做好管护工作。</w:t>
            </w:r>
          </w:p>
          <w:p>
            <w:pPr>
              <w:widowControl/>
              <w:spacing w:line="5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3.甲方要配合乙方灭四害，并根据需要完善相关四害防制措施。如甲方不配合，造成治理难度增大，由甲方承担经济责任。其具体配合如下：</w:t>
            </w:r>
          </w:p>
          <w:p>
            <w:pPr>
              <w:widowControl/>
              <w:spacing w:line="500" w:lineRule="exact"/>
              <w:ind w:firstLine="360" w:firstLineChars="15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（1）甲方相关单位坚持做好室内外环境的清洁保洁，保持良好的卫生环境。如垃圾日产日清、密闭运输工作，四害孳生地治理、下水道堵塞后及时疏通等工作。</w:t>
            </w:r>
          </w:p>
          <w:p>
            <w:pPr>
              <w:widowControl/>
              <w:spacing w:line="500" w:lineRule="exact"/>
              <w:ind w:firstLine="360" w:firstLineChars="15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（2）乙方在综合现场勘查环境因素、人、动物安全等多种因素后选择施药点，并科学合理的使用药量，甲方对乙方施药点和药量适时进行督查并提出建议和意见。</w:t>
            </w:r>
          </w:p>
          <w:p>
            <w:pPr>
              <w:widowControl/>
              <w:spacing w:line="500" w:lineRule="exact"/>
              <w:ind w:firstLine="360" w:firstLineChars="15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（3）甲方加强对社区居民的引导，预防居民以及家禽误食，在乙方进行药物喷杀时请保持安全距离、对乙方布放的药物或设备不要随意挪动或据为私用。</w:t>
            </w:r>
          </w:p>
          <w:p>
            <w:pPr>
              <w:widowControl/>
              <w:spacing w:line="500" w:lineRule="exact"/>
              <w:ind w:right="-512" w:rightChars="-183" w:firstLine="360" w:firstLineChars="15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（4）对于乙方提出的整改意见甲方要及时调研并采取相关措施予以解决。</w:t>
            </w:r>
          </w:p>
          <w:p>
            <w:pPr>
              <w:widowControl/>
              <w:spacing w:line="500" w:lineRule="exact"/>
              <w:ind w:right="-512" w:rightChars="-183" w:firstLine="360" w:firstLineChars="15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（5）督促单位、居民落实除“四害”措施，确保“四害”防制效果。</w:t>
            </w:r>
          </w:p>
          <w:p>
            <w:pPr>
              <w:widowControl/>
              <w:spacing w:line="500" w:lineRule="exact"/>
              <w:ind w:firstLine="472" w:firstLineChars="196"/>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乙方责任：</w:t>
            </w:r>
          </w:p>
          <w:p>
            <w:pPr>
              <w:widowControl/>
              <w:spacing w:line="5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1.乙方在防制过程中，严格遵守有关操作规定。</w:t>
            </w:r>
          </w:p>
          <w:p>
            <w:pPr>
              <w:widowControl/>
              <w:spacing w:line="5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2.乙方须</w:t>
            </w:r>
            <w:r>
              <w:rPr>
                <w:rFonts w:hint="eastAsia" w:ascii="仿宋" w:hAnsi="仿宋" w:eastAsia="仿宋" w:cs="仿宋"/>
                <w:color w:val="000000"/>
                <w:sz w:val="24"/>
                <w:szCs w:val="24"/>
              </w:rPr>
              <w:t>按创国卫规范，建立健全病媒生物防制服务技术档案，包括实施方案、本底情况调查报告、工作进度安排、监测记录、派工记录需社区工作人员认同签字，乙方应</w:t>
            </w:r>
            <w:r>
              <w:rPr>
                <w:rFonts w:hint="eastAsia" w:ascii="仿宋" w:hAnsi="仿宋" w:eastAsia="仿宋" w:cs="仿宋"/>
                <w:color w:val="000000"/>
                <w:kern w:val="0"/>
                <w:sz w:val="24"/>
                <w:szCs w:val="24"/>
              </w:rPr>
              <w:t>分别在防制前和防制后对防制区域内相应病媒生物密度进行监测，并将相关档案资料交甲方进行存档。</w:t>
            </w:r>
          </w:p>
          <w:p>
            <w:pPr>
              <w:widowControl/>
              <w:spacing w:line="5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乙方在每月底30日发次月施工计划，包括施工时间、施工区域和联系人等；乙方每次施工完毕后，由甲方或甲方授权人在乙方工作人员施工单上签字确认，对乙方工作存在的问题提出整改意见，乙方需及时整改。</w:t>
            </w:r>
          </w:p>
          <w:p>
            <w:pPr>
              <w:widowControl/>
              <w:spacing w:line="5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4.乙方在万盛经开区公共外环境鼠类孳生场所设置灭鼠毒饵盒，并负责投放诱饵。</w:t>
            </w:r>
          </w:p>
          <w:p>
            <w:pPr>
              <w:widowControl/>
              <w:spacing w:line="5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5.在甲方配合到位的前提下，按甲方规定时间保质保量完成各项消杀工作，把“四害”密度控制在国家标准范围内。</w:t>
            </w:r>
          </w:p>
          <w:p>
            <w:pPr>
              <w:widowControl/>
              <w:spacing w:line="5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6.乙方做好灭鼠毒饵的投放、补放以及其他药物消杀工作，对重点孳生场所进行统计，并及时向甲方提出书面整改意见。</w:t>
            </w:r>
          </w:p>
          <w:p>
            <w:pPr>
              <w:widowControl/>
              <w:spacing w:line="5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7.加强与甲方沟通、协调，配合完成各级领导专家对经开区的病媒生物防制检查工作，并及时整改存在的问题，确保“四害”密度控制在国家规定标准之内。</w:t>
            </w:r>
          </w:p>
          <w:p>
            <w:pPr>
              <w:widowControl/>
              <w:spacing w:line="5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8.乙方派专人到甲方实施工作，可根据甲方需要提供先进药品、器件等，同时，配合甲方搞好城区公共外环境“四害”防制技术指导工作。</w:t>
            </w:r>
          </w:p>
          <w:p>
            <w:pPr>
              <w:widowControl/>
              <w:spacing w:line="5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9.乙方在实施过程中，不得中止、退出、转包合同，否则将承担甲方损失。</w:t>
            </w:r>
          </w:p>
          <w:p>
            <w:pPr>
              <w:spacing w:line="5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10.在服务区域内若出现四害密度加大，配合迎接各级领导检查等，需要进行应急处理的情况，乙方承诺在6小时内派遣应急小组前往现场，开展应急整治工作。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464" w:type="dxa"/>
            <w:gridSpan w:val="2"/>
            <w:noWrap w:val="0"/>
            <w:vAlign w:val="top"/>
          </w:tcPr>
          <w:p>
            <w:pPr>
              <w:widowControl/>
              <w:spacing w:line="5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七、违约责任：</w:t>
            </w:r>
          </w:p>
          <w:p>
            <w:pPr>
              <w:snapToGri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1.累计2个月未按服务要求开展病媒生物防制服务，不支付服务费或合同尾款。</w:t>
            </w:r>
          </w:p>
          <w:p>
            <w:pPr>
              <w:snapToGrid w:val="0"/>
              <w:spacing w:line="560" w:lineRule="exact"/>
              <w:ind w:firstLine="480" w:firstLineChars="200"/>
              <w:rPr>
                <w:rStyle w:val="270"/>
                <w:rFonts w:hint="eastAsia" w:ascii="仿宋" w:hAnsi="仿宋" w:eastAsia="仿宋" w:cs="仿宋"/>
                <w:color w:val="000000"/>
                <w:sz w:val="24"/>
                <w:szCs w:val="24"/>
              </w:rPr>
            </w:pPr>
            <w:r>
              <w:rPr>
                <w:rFonts w:hint="eastAsia" w:ascii="仿宋" w:hAnsi="仿宋" w:eastAsia="仿宋" w:cs="仿宋"/>
                <w:sz w:val="24"/>
                <w:szCs w:val="24"/>
              </w:rPr>
              <w:t>2.</w:t>
            </w:r>
            <w:r>
              <w:rPr>
                <w:rStyle w:val="270"/>
                <w:rFonts w:hint="eastAsia" w:ascii="仿宋" w:hAnsi="仿宋" w:eastAsia="仿宋" w:cs="仿宋"/>
                <w:color w:val="000000"/>
                <w:sz w:val="24"/>
                <w:szCs w:val="24"/>
              </w:rPr>
              <w:t>因服务方原因导致国家卫生区复审暗访中病媒生物预防控制部分得分不足80%得分，将按照合同</w:t>
            </w:r>
            <w:r>
              <w:rPr>
                <w:rFonts w:hint="eastAsia" w:ascii="仿宋" w:hAnsi="仿宋" w:eastAsia="仿宋" w:cs="仿宋"/>
                <w:sz w:val="24"/>
                <w:szCs w:val="24"/>
              </w:rPr>
              <w:t>总价款的</w:t>
            </w:r>
            <w:r>
              <w:rPr>
                <w:rStyle w:val="270"/>
                <w:rFonts w:hint="eastAsia" w:ascii="仿宋" w:hAnsi="仿宋" w:eastAsia="仿宋" w:cs="仿宋"/>
                <w:color w:val="000000"/>
                <w:sz w:val="24"/>
                <w:szCs w:val="24"/>
              </w:rPr>
              <w:t>10%扣减服务费用。</w:t>
            </w:r>
          </w:p>
          <w:p>
            <w:pPr>
              <w:snapToGrid w:val="0"/>
              <w:spacing w:line="560" w:lineRule="exact"/>
              <w:ind w:firstLine="480" w:firstLineChars="200"/>
              <w:rPr>
                <w:rFonts w:hint="eastAsia" w:ascii="仿宋" w:hAnsi="仿宋" w:eastAsia="仿宋" w:cs="仿宋"/>
                <w:bCs/>
                <w:sz w:val="24"/>
                <w:szCs w:val="24"/>
              </w:rPr>
            </w:pPr>
            <w:r>
              <w:rPr>
                <w:rFonts w:hint="eastAsia" w:ascii="仿宋" w:hAnsi="仿宋" w:eastAsia="仿宋" w:cs="仿宋"/>
                <w:sz w:val="24"/>
                <w:szCs w:val="24"/>
              </w:rPr>
              <w:t>3.未按要求提供完整的资料，扣除合同总价款的5%</w:t>
            </w:r>
            <w:r>
              <w:rPr>
                <w:rFonts w:hint="eastAsia" w:ascii="仿宋" w:hAnsi="仿宋" w:eastAsia="仿宋" w:cs="仿宋"/>
                <w:bCs/>
                <w:sz w:val="24"/>
                <w:szCs w:val="24"/>
              </w:rPr>
              <w:t>。</w:t>
            </w:r>
          </w:p>
          <w:p>
            <w:pPr>
              <w:snapToGrid w:val="0"/>
              <w:spacing w:line="560" w:lineRule="exact"/>
              <w:ind w:firstLine="480" w:firstLineChars="200"/>
              <w:rPr>
                <w:rFonts w:hint="eastAsia" w:ascii="仿宋" w:hAnsi="仿宋" w:eastAsia="仿宋" w:cs="仿宋"/>
                <w:sz w:val="24"/>
                <w:szCs w:val="24"/>
              </w:rPr>
            </w:pPr>
            <w:r>
              <w:rPr>
                <w:rFonts w:hint="eastAsia" w:ascii="仿宋" w:hAnsi="仿宋" w:eastAsia="仿宋" w:cs="仿宋"/>
                <w:bCs/>
                <w:color w:val="000000"/>
                <w:sz w:val="24"/>
                <w:szCs w:val="24"/>
              </w:rPr>
              <w:t>4.</w:t>
            </w:r>
            <w:r>
              <w:rPr>
                <w:rFonts w:hint="eastAsia" w:ascii="仿宋" w:hAnsi="仿宋" w:eastAsia="仿宋" w:cs="仿宋"/>
                <w:sz w:val="24"/>
                <w:szCs w:val="24"/>
              </w:rPr>
              <w:t>服务范围内各社区（村居）对病媒生物防制服务满意率未达90%，每降低1个百分点扣合同总价款的0.5%，扣除金额最多不超过合同总价款的3%。</w:t>
            </w:r>
          </w:p>
          <w:p>
            <w:pPr>
              <w:snapToGri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b/>
                <w:bCs/>
                <w:sz w:val="24"/>
                <w:szCs w:val="24"/>
              </w:rPr>
              <w:t xml:space="preserve"> </w:t>
            </w:r>
            <w:r>
              <w:rPr>
                <w:rFonts w:hint="eastAsia" w:ascii="仿宋" w:hAnsi="仿宋" w:eastAsia="仿宋" w:cs="仿宋"/>
                <w:sz w:val="24"/>
                <w:szCs w:val="24"/>
              </w:rPr>
              <w:t>经查验未达标准的，乙方还需按照甲方的要求整改至符合前述标准，否则甲方有权委托第三方整改，由此产生的全部费用，无须乙方同意，甲方有权从应付款中扣除，不足抵扣部分，甲方有权向乙方主张。</w:t>
            </w:r>
          </w:p>
          <w:p>
            <w:pPr>
              <w:snapToGri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6.乙方的行为不符合合同约定或者达不到甲方签订本合同之目的，经甲方书面催告后仍未整改，甲方有权要求乙方支付合同总价款5%的违约金。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464" w:type="dxa"/>
            <w:gridSpan w:val="2"/>
            <w:noWrap w:val="0"/>
            <w:vAlign w:val="top"/>
          </w:tcPr>
          <w:p>
            <w:pPr>
              <w:spacing w:line="500" w:lineRule="exact"/>
              <w:rPr>
                <w:rFonts w:hint="eastAsia" w:ascii="仿宋" w:hAnsi="仿宋" w:eastAsia="仿宋" w:cs="仿宋"/>
                <w:sz w:val="24"/>
                <w:szCs w:val="24"/>
              </w:rPr>
            </w:pPr>
            <w:r>
              <w:rPr>
                <w:rFonts w:hint="eastAsia" w:ascii="仿宋" w:hAnsi="仿宋" w:eastAsia="仿宋" w:cs="仿宋"/>
                <w:sz w:val="24"/>
                <w:szCs w:val="24"/>
              </w:rPr>
              <w:t>八、其他约定事项：</w:t>
            </w:r>
          </w:p>
          <w:p>
            <w:pPr>
              <w:tabs>
                <w:tab w:val="left" w:pos="360"/>
              </w:tabs>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1.询价文件及其补遗书、响应文件和承诺是本合同不可分割的部分。</w:t>
            </w:r>
          </w:p>
          <w:p>
            <w:pPr>
              <w:tabs>
                <w:tab w:val="left" w:pos="360"/>
              </w:tabs>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2.本合同中载明的地址及方式作为双方工作联系往来或者发生争议时，人民法院送达法律文书的地址及方式，任何一方变更地址及方式的应当书面通知对方，否则按照该地址及方式送达的视为有效送达。</w:t>
            </w:r>
          </w:p>
          <w:p>
            <w:pPr>
              <w:tabs>
                <w:tab w:val="left" w:pos="360"/>
              </w:tabs>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3.本合同如发生争议由双方协商解决，协商不成向需方所在人民法院提请诉讼。</w:t>
            </w:r>
          </w:p>
          <w:p>
            <w:pPr>
              <w:tabs>
                <w:tab w:val="left" w:pos="360"/>
              </w:tabs>
              <w:spacing w:line="500" w:lineRule="exact"/>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4.本合同一式</w:t>
            </w:r>
            <w:r>
              <w:rPr>
                <w:rFonts w:hint="eastAsia" w:ascii="仿宋" w:hAnsi="仿宋" w:eastAsia="仿宋" w:cs="仿宋"/>
                <w:color w:val="000000"/>
                <w:sz w:val="24"/>
                <w:szCs w:val="24"/>
                <w:u w:val="single"/>
              </w:rPr>
              <w:t xml:space="preserve"> 肆 </w:t>
            </w:r>
            <w:r>
              <w:rPr>
                <w:rFonts w:hint="eastAsia" w:ascii="仿宋" w:hAnsi="仿宋" w:eastAsia="仿宋" w:cs="仿宋"/>
                <w:color w:val="000000"/>
                <w:sz w:val="24"/>
                <w:szCs w:val="24"/>
              </w:rPr>
              <w:t>份， 甲方</w:t>
            </w:r>
            <w:r>
              <w:rPr>
                <w:rFonts w:hint="eastAsia" w:ascii="仿宋" w:hAnsi="仿宋" w:eastAsia="仿宋" w:cs="仿宋"/>
                <w:color w:val="000000"/>
                <w:sz w:val="24"/>
                <w:szCs w:val="24"/>
                <w:u w:val="single"/>
              </w:rPr>
              <w:t xml:space="preserve"> 贰 </w:t>
            </w:r>
            <w:r>
              <w:rPr>
                <w:rFonts w:hint="eastAsia" w:ascii="仿宋" w:hAnsi="仿宋" w:eastAsia="仿宋" w:cs="仿宋"/>
                <w:color w:val="000000"/>
                <w:sz w:val="24"/>
                <w:szCs w:val="24"/>
              </w:rPr>
              <w:t>份，乙方</w:t>
            </w:r>
            <w:r>
              <w:rPr>
                <w:rFonts w:hint="eastAsia" w:ascii="仿宋" w:hAnsi="仿宋" w:eastAsia="仿宋" w:cs="仿宋"/>
                <w:color w:val="000000"/>
                <w:sz w:val="24"/>
                <w:szCs w:val="24"/>
                <w:u w:val="single"/>
              </w:rPr>
              <w:t xml:space="preserve"> 贰 </w:t>
            </w:r>
            <w:r>
              <w:rPr>
                <w:rFonts w:hint="eastAsia" w:ascii="仿宋" w:hAnsi="仿宋" w:eastAsia="仿宋" w:cs="仿宋"/>
                <w:color w:val="000000"/>
                <w:sz w:val="24"/>
                <w:szCs w:val="24"/>
              </w:rPr>
              <w:t>份，具同等法律效</w:t>
            </w:r>
            <w:r>
              <w:rPr>
                <w:rFonts w:hint="eastAsia" w:ascii="仿宋" w:hAnsi="仿宋" w:eastAsia="仿宋" w:cs="仿宋"/>
                <w:sz w:val="24"/>
                <w:szCs w:val="24"/>
              </w:rPr>
              <w:t>力。</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bCs/>
                <w:color w:val="000000"/>
                <w:kern w:val="0"/>
                <w:sz w:val="24"/>
                <w:szCs w:val="24"/>
              </w:rPr>
              <w:t>5.其他未尽事宜，双方可另行协商，协商结果作为附件。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4" w:hRule="atLeast"/>
          <w:jc w:val="center"/>
        </w:trPr>
        <w:tc>
          <w:tcPr>
            <w:tcW w:w="4291" w:type="dxa"/>
            <w:noWrap w:val="0"/>
            <w:vAlign w:val="top"/>
          </w:tcPr>
          <w:p>
            <w:pPr>
              <w:spacing w:line="500" w:lineRule="exact"/>
              <w:rPr>
                <w:rFonts w:hint="eastAsia" w:ascii="仿宋" w:hAnsi="仿宋" w:eastAsia="仿宋" w:cs="仿宋"/>
                <w:color w:val="000000"/>
                <w:sz w:val="24"/>
                <w:szCs w:val="24"/>
              </w:rPr>
            </w:pPr>
            <w:r>
              <w:rPr>
                <w:rFonts w:hint="eastAsia" w:ascii="仿宋" w:hAnsi="仿宋" w:eastAsia="仿宋" w:cs="仿宋"/>
                <w:sz w:val="24"/>
                <w:szCs w:val="24"/>
              </w:rPr>
              <w:t>甲</w:t>
            </w:r>
            <w:r>
              <w:rPr>
                <w:rFonts w:hint="eastAsia" w:ascii="仿宋" w:hAnsi="仿宋" w:eastAsia="仿宋" w:cs="仿宋"/>
                <w:color w:val="000000"/>
                <w:sz w:val="24"/>
                <w:szCs w:val="24"/>
              </w:rPr>
              <w:t>方：</w:t>
            </w:r>
            <w:r>
              <w:rPr>
                <w:rFonts w:hint="eastAsia" w:ascii="仿宋" w:hAnsi="仿宋" w:eastAsia="仿宋" w:cs="仿宋"/>
                <w:bCs/>
                <w:color w:val="000000"/>
                <w:sz w:val="24"/>
                <w:szCs w:val="24"/>
              </w:rPr>
              <w:t>重庆市</w:t>
            </w:r>
            <w:r>
              <w:rPr>
                <w:rFonts w:hint="eastAsia" w:ascii="仿宋" w:hAnsi="仿宋" w:eastAsia="仿宋" w:cs="仿宋"/>
                <w:color w:val="000000"/>
                <w:sz w:val="24"/>
                <w:szCs w:val="24"/>
              </w:rPr>
              <w:t xml:space="preserve">万盛经济技术开发区卫生健康局   </w:t>
            </w:r>
          </w:p>
          <w:p>
            <w:pPr>
              <w:spacing w:line="500" w:lineRule="exact"/>
              <w:rPr>
                <w:rFonts w:hint="eastAsia" w:ascii="仿宋" w:hAnsi="仿宋" w:eastAsia="仿宋" w:cs="仿宋"/>
                <w:sz w:val="24"/>
                <w:szCs w:val="24"/>
              </w:rPr>
            </w:pPr>
            <w:r>
              <w:rPr>
                <w:rFonts w:hint="eastAsia" w:ascii="仿宋" w:hAnsi="仿宋" w:eastAsia="仿宋" w:cs="仿宋"/>
                <w:sz w:val="24"/>
                <w:szCs w:val="24"/>
              </w:rPr>
              <w:t>地址：</w:t>
            </w:r>
            <w:r>
              <w:rPr>
                <w:rStyle w:val="270"/>
                <w:rFonts w:hint="eastAsia" w:ascii="仿宋" w:hAnsi="仿宋" w:eastAsia="仿宋" w:cs="仿宋"/>
                <w:color w:val="000000"/>
                <w:sz w:val="24"/>
                <w:szCs w:val="24"/>
              </w:rPr>
              <w:t>万盛经开区勤俭路36号</w:t>
            </w:r>
          </w:p>
          <w:p>
            <w:pPr>
              <w:snapToGrid w:val="0"/>
              <w:spacing w:line="560" w:lineRule="exact"/>
              <w:rPr>
                <w:rFonts w:hint="eastAsia" w:ascii="仿宋" w:hAnsi="仿宋" w:eastAsia="仿宋" w:cs="仿宋"/>
                <w:sz w:val="24"/>
                <w:szCs w:val="24"/>
              </w:rPr>
            </w:pPr>
            <w:r>
              <w:rPr>
                <w:rFonts w:hint="eastAsia" w:ascii="仿宋" w:hAnsi="仿宋" w:eastAsia="仿宋" w:cs="仿宋"/>
                <w:sz w:val="24"/>
                <w:szCs w:val="24"/>
              </w:rPr>
              <w:t>联系电话：023-48280496</w:t>
            </w:r>
          </w:p>
          <w:p>
            <w:pPr>
              <w:spacing w:line="500" w:lineRule="exact"/>
              <w:rPr>
                <w:rFonts w:hint="eastAsia" w:ascii="仿宋" w:hAnsi="仿宋" w:eastAsia="仿宋" w:cs="仿宋"/>
                <w:sz w:val="24"/>
                <w:szCs w:val="24"/>
              </w:rPr>
            </w:pPr>
            <w:r>
              <w:rPr>
                <w:rFonts w:hint="eastAsia" w:ascii="仿宋" w:hAnsi="仿宋" w:eastAsia="仿宋" w:cs="仿宋"/>
                <w:sz w:val="24"/>
                <w:szCs w:val="24"/>
              </w:rPr>
              <w:t>授权代表：</w:t>
            </w:r>
          </w:p>
          <w:p>
            <w:pPr>
              <w:spacing w:line="500" w:lineRule="exact"/>
              <w:ind w:firstLine="2640" w:firstLineChars="1100"/>
              <w:rPr>
                <w:rFonts w:hint="eastAsia" w:ascii="仿宋" w:hAnsi="仿宋" w:eastAsia="仿宋" w:cs="仿宋"/>
                <w:sz w:val="24"/>
                <w:szCs w:val="24"/>
              </w:rPr>
            </w:pPr>
          </w:p>
          <w:p>
            <w:pPr>
              <w:spacing w:line="500" w:lineRule="exact"/>
              <w:ind w:firstLine="2880" w:firstLineChars="1200"/>
              <w:rPr>
                <w:rFonts w:hint="eastAsia" w:ascii="仿宋" w:hAnsi="仿宋" w:eastAsia="仿宋" w:cs="仿宋"/>
                <w:sz w:val="24"/>
                <w:szCs w:val="24"/>
              </w:rPr>
            </w:pPr>
          </w:p>
          <w:p>
            <w:pPr>
              <w:spacing w:line="500" w:lineRule="exact"/>
              <w:rPr>
                <w:rFonts w:hint="eastAsia" w:ascii="仿宋" w:hAnsi="仿宋" w:eastAsia="仿宋" w:cs="仿宋"/>
                <w:sz w:val="24"/>
                <w:szCs w:val="24"/>
              </w:rPr>
            </w:pPr>
          </w:p>
        </w:tc>
        <w:tc>
          <w:tcPr>
            <w:tcW w:w="5173" w:type="dxa"/>
            <w:noWrap w:val="0"/>
            <w:vAlign w:val="top"/>
          </w:tcPr>
          <w:p>
            <w:pPr>
              <w:spacing w:line="500" w:lineRule="exact"/>
              <w:rPr>
                <w:rFonts w:hint="eastAsia" w:ascii="仿宋" w:hAnsi="仿宋" w:eastAsia="仿宋" w:cs="仿宋"/>
                <w:sz w:val="24"/>
                <w:szCs w:val="24"/>
              </w:rPr>
            </w:pPr>
            <w:r>
              <w:rPr>
                <w:rFonts w:hint="eastAsia" w:ascii="仿宋" w:hAnsi="仿宋" w:eastAsia="仿宋" w:cs="仿宋"/>
                <w:sz w:val="24"/>
                <w:szCs w:val="24"/>
              </w:rPr>
              <w:t>乙方：XXXXXXXXXXX</w:t>
            </w:r>
          </w:p>
          <w:p>
            <w:pPr>
              <w:spacing w:line="500" w:lineRule="exact"/>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color w:val="000000"/>
                <w:sz w:val="24"/>
                <w:szCs w:val="24"/>
              </w:rPr>
              <w:t>XXXXXXXXXXXX</w:t>
            </w:r>
          </w:p>
          <w:p>
            <w:pPr>
              <w:spacing w:line="500" w:lineRule="exact"/>
              <w:rPr>
                <w:rFonts w:hint="eastAsia" w:ascii="仿宋" w:hAnsi="仿宋" w:eastAsia="仿宋" w:cs="仿宋"/>
                <w:sz w:val="24"/>
                <w:szCs w:val="24"/>
              </w:rPr>
            </w:pPr>
            <w:r>
              <w:rPr>
                <w:rFonts w:hint="eastAsia" w:ascii="仿宋" w:hAnsi="仿宋" w:eastAsia="仿宋" w:cs="仿宋"/>
                <w:sz w:val="24"/>
                <w:szCs w:val="24"/>
              </w:rPr>
              <w:t>电话：XXXXXXX</w:t>
            </w:r>
          </w:p>
          <w:p>
            <w:pPr>
              <w:spacing w:line="500" w:lineRule="exact"/>
              <w:rPr>
                <w:rFonts w:hint="eastAsia" w:ascii="仿宋" w:hAnsi="仿宋" w:eastAsia="仿宋" w:cs="仿宋"/>
                <w:sz w:val="24"/>
                <w:szCs w:val="24"/>
              </w:rPr>
            </w:pPr>
            <w:r>
              <w:rPr>
                <w:rFonts w:hint="eastAsia" w:ascii="仿宋" w:hAnsi="仿宋" w:eastAsia="仿宋" w:cs="仿宋"/>
                <w:sz w:val="24"/>
                <w:szCs w:val="24"/>
              </w:rPr>
              <w:t>传真：XXXXXXXXX</w:t>
            </w:r>
          </w:p>
          <w:p>
            <w:pPr>
              <w:spacing w:line="500" w:lineRule="exact"/>
              <w:rPr>
                <w:rFonts w:hint="eastAsia" w:ascii="仿宋" w:hAnsi="仿宋" w:eastAsia="仿宋" w:cs="仿宋"/>
                <w:sz w:val="24"/>
                <w:szCs w:val="24"/>
              </w:rPr>
            </w:pPr>
            <w:r>
              <w:rPr>
                <w:rFonts w:hint="eastAsia" w:ascii="仿宋" w:hAnsi="仿宋" w:eastAsia="仿宋" w:cs="仿宋"/>
                <w:sz w:val="24"/>
                <w:szCs w:val="24"/>
              </w:rPr>
              <w:t>开户银行：XXXXXXXXXXX</w:t>
            </w:r>
          </w:p>
          <w:p>
            <w:pPr>
              <w:spacing w:line="500" w:lineRule="exact"/>
              <w:rPr>
                <w:rFonts w:hint="eastAsia" w:ascii="仿宋" w:hAnsi="仿宋" w:eastAsia="仿宋" w:cs="仿宋"/>
                <w:sz w:val="24"/>
                <w:szCs w:val="24"/>
              </w:rPr>
            </w:pPr>
            <w:r>
              <w:rPr>
                <w:rFonts w:hint="eastAsia" w:ascii="仿宋" w:hAnsi="仿宋" w:eastAsia="仿宋" w:cs="仿宋"/>
                <w:sz w:val="24"/>
                <w:szCs w:val="24"/>
              </w:rPr>
              <w:t>账号：XXXXXXXXXXXX</w:t>
            </w:r>
          </w:p>
          <w:p>
            <w:pPr>
              <w:spacing w:line="500" w:lineRule="exact"/>
              <w:rPr>
                <w:rFonts w:hint="eastAsia" w:ascii="仿宋" w:hAnsi="仿宋" w:eastAsia="仿宋" w:cs="仿宋"/>
                <w:sz w:val="24"/>
                <w:szCs w:val="24"/>
              </w:rPr>
            </w:pPr>
            <w:r>
              <w:rPr>
                <w:rFonts w:hint="eastAsia" w:ascii="仿宋" w:hAnsi="仿宋" w:eastAsia="仿宋" w:cs="仿宋"/>
                <w:sz w:val="24"/>
                <w:szCs w:val="24"/>
              </w:rPr>
              <w:t>授权代表：</w:t>
            </w:r>
          </w:p>
        </w:tc>
      </w:tr>
    </w:tbl>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签约时间： 2022年    月     日    </w:t>
      </w:r>
    </w:p>
    <w:p>
      <w:pPr>
        <w:spacing w:line="520" w:lineRule="exact"/>
        <w:rPr>
          <w:rFonts w:hint="eastAsia" w:ascii="仿宋" w:hAnsi="仿宋" w:eastAsia="仿宋" w:cs="仿宋"/>
          <w:color w:val="000000"/>
        </w:rPr>
      </w:pPr>
      <w:r>
        <w:rPr>
          <w:rFonts w:hint="eastAsia" w:ascii="仿宋" w:hAnsi="仿宋" w:eastAsia="仿宋" w:cs="仿宋"/>
          <w:color w:val="000000"/>
          <w:sz w:val="24"/>
          <w:szCs w:val="24"/>
        </w:rPr>
        <w:t>签约地点：重庆市万盛经济技术开发区卫生健康局</w:t>
      </w:r>
    </w:p>
    <w:p>
      <w:pPr>
        <w:pStyle w:val="2"/>
        <w:rPr>
          <w:rFonts w:hint="eastAsia" w:ascii="仿宋" w:hAnsi="仿宋" w:eastAsia="仿宋"/>
          <w:bCs/>
          <w:color w:val="000000" w:themeColor="text1"/>
          <w:sz w:val="36"/>
          <w:szCs w:val="30"/>
        </w:rPr>
      </w:pPr>
    </w:p>
    <w:p>
      <w:pPr>
        <w:rPr>
          <w:rFonts w:hint="eastAsia"/>
        </w:rPr>
      </w:pPr>
    </w:p>
    <w:p>
      <w:pPr>
        <w:pStyle w:val="2"/>
        <w:spacing w:before="0" w:after="0" w:line="360" w:lineRule="auto"/>
        <w:jc w:val="center"/>
        <w:rPr>
          <w:rFonts w:ascii="仿宋" w:hAnsi="仿宋" w:eastAsia="仿宋"/>
          <w:bCs/>
          <w:color w:val="000000" w:themeColor="text1"/>
          <w:sz w:val="36"/>
          <w:szCs w:val="30"/>
        </w:rPr>
      </w:pPr>
      <w:bookmarkStart w:id="126" w:name="_Toc16260"/>
      <w:r>
        <w:rPr>
          <w:rFonts w:hint="eastAsia" w:ascii="仿宋" w:hAnsi="仿宋" w:eastAsia="仿宋"/>
          <w:bCs/>
          <w:color w:val="000000" w:themeColor="text1"/>
          <w:sz w:val="36"/>
          <w:szCs w:val="30"/>
        </w:rPr>
        <w:t>第七篇</w:t>
      </w:r>
      <w:r>
        <w:rPr>
          <w:rFonts w:hint="eastAsia" w:ascii="仿宋" w:hAnsi="仿宋" w:eastAsia="仿宋"/>
          <w:bCs/>
          <w:color w:val="000000" w:themeColor="text1"/>
          <w:sz w:val="36"/>
          <w:szCs w:val="30"/>
          <w:lang w:val="en-US" w:eastAsia="zh-CN"/>
        </w:rPr>
        <w:t xml:space="preserve">  </w:t>
      </w:r>
      <w:r>
        <w:rPr>
          <w:rFonts w:hint="eastAsia" w:ascii="仿宋" w:hAnsi="仿宋" w:eastAsia="仿宋"/>
          <w:bCs/>
          <w:color w:val="000000" w:themeColor="text1"/>
          <w:sz w:val="36"/>
          <w:szCs w:val="30"/>
        </w:rPr>
        <w:t>响应文件编制要求</w:t>
      </w:r>
      <w:bookmarkEnd w:id="125"/>
      <w:bookmarkEnd w:id="126"/>
    </w:p>
    <w:p>
      <w:pPr>
        <w:spacing w:line="44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一、经济部分</w:t>
      </w:r>
    </w:p>
    <w:p>
      <w:pPr>
        <w:snapToGrid w:val="0"/>
        <w:spacing w:line="40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（一）网上竞采报价函</w:t>
      </w:r>
    </w:p>
    <w:p>
      <w:pPr>
        <w:snapToGrid w:val="0"/>
        <w:spacing w:line="40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（二）分项报价明细表</w:t>
      </w:r>
    </w:p>
    <w:p>
      <w:pPr>
        <w:spacing w:line="44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二、技术部分</w:t>
      </w:r>
    </w:p>
    <w:p>
      <w:pPr>
        <w:spacing w:line="44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（一）技术响应偏离表</w:t>
      </w:r>
    </w:p>
    <w:p>
      <w:pPr>
        <w:spacing w:line="44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（二）工作方案</w:t>
      </w:r>
    </w:p>
    <w:p>
      <w:pPr>
        <w:spacing w:line="44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三、商务部分</w:t>
      </w:r>
    </w:p>
    <w:p>
      <w:pPr>
        <w:spacing w:line="44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（一）商务响应偏离表</w:t>
      </w:r>
    </w:p>
    <w:p>
      <w:pPr>
        <w:spacing w:line="44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（二）其它优惠服务承诺</w:t>
      </w:r>
    </w:p>
    <w:p>
      <w:pPr>
        <w:spacing w:line="44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四、资格条件及其他</w:t>
      </w:r>
    </w:p>
    <w:p>
      <w:pPr>
        <w:snapToGrid w:val="0"/>
        <w:spacing w:line="40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（一）</w:t>
      </w:r>
      <w:r>
        <w:rPr>
          <w:rFonts w:hint="eastAsia" w:ascii="仿宋" w:hAnsi="仿宋" w:eastAsia="仿宋"/>
          <w:sz w:val="24"/>
          <w:szCs w:val="24"/>
        </w:rPr>
        <w:t>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w:t>
      </w:r>
      <w:r>
        <w:rPr>
          <w:rFonts w:hint="eastAsia" w:ascii="仿宋" w:hAnsi="仿宋" w:eastAsia="仿宋"/>
          <w:color w:val="000000" w:themeColor="text1"/>
          <w:sz w:val="24"/>
          <w:szCs w:val="24"/>
          <w:lang w:eastAsia="zh-CN"/>
        </w:rPr>
        <w:t>二</w:t>
      </w:r>
      <w:r>
        <w:rPr>
          <w:rFonts w:hint="eastAsia" w:ascii="仿宋" w:hAnsi="仿宋" w:eastAsia="仿宋"/>
          <w:color w:val="000000" w:themeColor="text1"/>
          <w:sz w:val="24"/>
          <w:szCs w:val="24"/>
        </w:rPr>
        <w:t>）法定代表人身份证明书（格式）</w:t>
      </w:r>
    </w:p>
    <w:p>
      <w:pPr>
        <w:snapToGrid w:val="0"/>
        <w:spacing w:line="40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w:t>
      </w:r>
      <w:r>
        <w:rPr>
          <w:rFonts w:hint="eastAsia" w:ascii="仿宋" w:hAnsi="仿宋" w:eastAsia="仿宋"/>
          <w:color w:val="000000" w:themeColor="text1"/>
          <w:sz w:val="24"/>
          <w:szCs w:val="24"/>
          <w:lang w:eastAsia="zh-CN"/>
        </w:rPr>
        <w:t>三</w:t>
      </w:r>
      <w:r>
        <w:rPr>
          <w:rFonts w:hint="eastAsia" w:ascii="仿宋" w:hAnsi="仿宋" w:eastAsia="仿宋"/>
          <w:color w:val="000000" w:themeColor="text1"/>
          <w:sz w:val="24"/>
          <w:szCs w:val="24"/>
        </w:rPr>
        <w:t>）法定代表人授权委托书（格式）</w:t>
      </w:r>
    </w:p>
    <w:p>
      <w:pPr>
        <w:snapToGrid w:val="0"/>
        <w:spacing w:line="40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w:t>
      </w:r>
      <w:r>
        <w:rPr>
          <w:rFonts w:hint="eastAsia" w:ascii="仿宋" w:hAnsi="仿宋" w:eastAsia="仿宋"/>
          <w:color w:val="000000" w:themeColor="text1"/>
          <w:sz w:val="24"/>
          <w:szCs w:val="24"/>
          <w:lang w:eastAsia="zh-CN"/>
        </w:rPr>
        <w:t>四</w:t>
      </w:r>
      <w:r>
        <w:rPr>
          <w:rFonts w:hint="eastAsia" w:ascii="仿宋" w:hAnsi="仿宋" w:eastAsia="仿宋"/>
          <w:color w:val="000000" w:themeColor="text1"/>
          <w:sz w:val="24"/>
          <w:szCs w:val="24"/>
        </w:rPr>
        <w:t>）基本资格条件承诺函（格式）</w:t>
      </w:r>
    </w:p>
    <w:p>
      <w:pPr>
        <w:snapToGrid w:val="0"/>
        <w:spacing w:line="400" w:lineRule="exact"/>
        <w:ind w:firstLine="480" w:firstLineChars="200"/>
        <w:rPr>
          <w:rFonts w:hint="eastAsia" w:ascii="仿宋" w:hAnsi="仿宋" w:eastAsia="仿宋"/>
          <w:color w:val="000000" w:themeColor="text1"/>
          <w:sz w:val="24"/>
          <w:szCs w:val="24"/>
          <w:lang w:eastAsia="zh-CN"/>
        </w:rPr>
      </w:pPr>
      <w:r>
        <w:rPr>
          <w:rFonts w:hint="eastAsia" w:ascii="仿宋" w:hAnsi="仿宋" w:eastAsia="仿宋"/>
          <w:color w:val="000000" w:themeColor="text1"/>
          <w:sz w:val="24"/>
          <w:szCs w:val="24"/>
        </w:rPr>
        <w:t>（</w:t>
      </w:r>
      <w:r>
        <w:rPr>
          <w:rFonts w:hint="eastAsia" w:ascii="仿宋" w:hAnsi="仿宋" w:eastAsia="仿宋"/>
          <w:color w:val="000000" w:themeColor="text1"/>
          <w:sz w:val="24"/>
          <w:szCs w:val="24"/>
          <w:lang w:eastAsia="zh-CN"/>
        </w:rPr>
        <w:t>五</w:t>
      </w:r>
      <w:r>
        <w:rPr>
          <w:rFonts w:hint="eastAsia" w:ascii="仿宋" w:hAnsi="仿宋" w:eastAsia="仿宋"/>
          <w:color w:val="000000" w:themeColor="text1"/>
          <w:sz w:val="24"/>
          <w:szCs w:val="24"/>
        </w:rPr>
        <w:t>）特定资格条件证明文件</w:t>
      </w:r>
      <w:r>
        <w:rPr>
          <w:rFonts w:hint="eastAsia" w:ascii="仿宋" w:hAnsi="仿宋" w:eastAsia="仿宋"/>
          <w:color w:val="000000" w:themeColor="text1"/>
          <w:sz w:val="24"/>
          <w:szCs w:val="24"/>
          <w:lang w:eastAsia="zh-CN"/>
        </w:rPr>
        <w:t>（如果有）</w:t>
      </w:r>
    </w:p>
    <w:p>
      <w:pPr>
        <w:spacing w:line="44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五、其他应提供的资料</w:t>
      </w:r>
    </w:p>
    <w:p>
      <w:pPr>
        <w:snapToGrid w:val="0"/>
        <w:spacing w:line="400" w:lineRule="exact"/>
        <w:ind w:firstLine="480" w:firstLineChars="200"/>
        <w:rPr>
          <w:rFonts w:ascii="仿宋" w:hAnsi="仿宋" w:eastAsia="仿宋"/>
          <w:color w:val="000000" w:themeColor="text1"/>
          <w:sz w:val="24"/>
          <w:szCs w:val="24"/>
        </w:rPr>
      </w:pPr>
      <w:bookmarkStart w:id="127" w:name="_Toc342913419"/>
      <w:bookmarkStart w:id="128" w:name="_Toc313008356"/>
      <w:bookmarkStart w:id="129" w:name="_Toc313888360"/>
      <w:bookmarkStart w:id="130" w:name="_Toc12789073"/>
      <w:bookmarkStart w:id="131" w:name="_Toc283382454"/>
      <w:r>
        <w:rPr>
          <w:rFonts w:hint="eastAsia" w:ascii="仿宋" w:hAnsi="仿宋" w:eastAsia="仿宋"/>
          <w:color w:val="000000" w:themeColor="text1"/>
          <w:sz w:val="24"/>
          <w:szCs w:val="24"/>
        </w:rPr>
        <w:t>其他与项目有关的资料（自附）</w:t>
      </w:r>
    </w:p>
    <w:p>
      <w:pPr>
        <w:snapToGrid w:val="0"/>
        <w:spacing w:line="360" w:lineRule="auto"/>
        <w:rPr>
          <w:rFonts w:ascii="仿宋" w:hAnsi="仿宋" w:eastAsia="仿宋"/>
          <w:color w:val="000000" w:themeColor="text1"/>
          <w:sz w:val="24"/>
          <w:szCs w:val="24"/>
          <w:bdr w:val="single" w:color="auto" w:sz="4" w:space="0"/>
        </w:rPr>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仿宋" w:hAnsi="仿宋" w:eastAsia="仿宋"/>
          <w:color w:val="000000" w:themeColor="text1"/>
          <w:sz w:val="24"/>
          <w:szCs w:val="24"/>
        </w:rPr>
      </w:pPr>
      <w:bookmarkStart w:id="132" w:name="_Toc25359"/>
      <w:bookmarkStart w:id="133" w:name="_Toc20920"/>
      <w:r>
        <w:rPr>
          <w:rFonts w:hint="eastAsia" w:ascii="仿宋" w:hAnsi="仿宋" w:eastAsia="仿宋"/>
          <w:color w:val="000000" w:themeColor="text1"/>
          <w:sz w:val="24"/>
          <w:szCs w:val="24"/>
        </w:rPr>
        <w:t>一、经济部分</w:t>
      </w:r>
      <w:bookmarkEnd w:id="127"/>
      <w:bookmarkEnd w:id="128"/>
      <w:bookmarkEnd w:id="129"/>
      <w:bookmarkEnd w:id="132"/>
      <w:bookmarkEnd w:id="133"/>
    </w:p>
    <w:bookmarkEnd w:id="130"/>
    <w:bookmarkEnd w:id="131"/>
    <w:p>
      <w:pPr>
        <w:tabs>
          <w:tab w:val="left" w:pos="6300"/>
        </w:tabs>
        <w:snapToGrid w:val="0"/>
        <w:spacing w:line="312" w:lineRule="auto"/>
        <w:jc w:val="left"/>
        <w:outlineLvl w:val="0"/>
        <w:rPr>
          <w:rFonts w:ascii="仿宋" w:hAnsi="仿宋" w:eastAsia="仿宋"/>
          <w:b/>
          <w:color w:val="000000" w:themeColor="text1"/>
          <w:sz w:val="24"/>
          <w:szCs w:val="24"/>
        </w:rPr>
      </w:pPr>
      <w:r>
        <w:rPr>
          <w:rFonts w:hint="eastAsia" w:ascii="仿宋" w:hAnsi="仿宋" w:eastAsia="仿宋"/>
          <w:b/>
          <w:color w:val="000000" w:themeColor="text1"/>
          <w:sz w:val="24"/>
          <w:szCs w:val="24"/>
        </w:rPr>
        <w:t>（一）网上竞采报价函</w:t>
      </w:r>
    </w:p>
    <w:p>
      <w:pPr>
        <w:tabs>
          <w:tab w:val="left" w:pos="6300"/>
        </w:tabs>
        <w:snapToGrid w:val="0"/>
        <w:spacing w:line="312" w:lineRule="auto"/>
        <w:jc w:val="center"/>
        <w:outlineLvl w:val="0"/>
        <w:rPr>
          <w:rFonts w:ascii="仿宋" w:hAnsi="仿宋" w:eastAsia="仿宋"/>
          <w:bCs/>
          <w:color w:val="000000" w:themeColor="text1"/>
          <w:sz w:val="24"/>
          <w:szCs w:val="24"/>
        </w:rPr>
      </w:pPr>
      <w:r>
        <w:rPr>
          <w:rFonts w:hint="eastAsia" w:ascii="仿宋" w:hAnsi="仿宋" w:eastAsia="仿宋"/>
          <w:bCs/>
          <w:color w:val="000000" w:themeColor="text1"/>
          <w:sz w:val="24"/>
          <w:szCs w:val="24"/>
        </w:rPr>
        <w:t>网上竞采报价函</w:t>
      </w:r>
    </w:p>
    <w:p>
      <w:pPr>
        <w:tabs>
          <w:tab w:val="left" w:pos="6300"/>
        </w:tabs>
        <w:snapToGrid w:val="0"/>
        <w:spacing w:line="312" w:lineRule="auto"/>
        <w:rPr>
          <w:rFonts w:ascii="仿宋" w:hAnsi="仿宋" w:eastAsia="仿宋"/>
          <w:color w:val="000000" w:themeColor="text1"/>
          <w:sz w:val="24"/>
          <w:szCs w:val="24"/>
        </w:rPr>
      </w:pPr>
      <w:r>
        <w:rPr>
          <w:rFonts w:hint="eastAsia" w:ascii="仿宋" w:hAnsi="仿宋" w:eastAsia="仿宋"/>
          <w:color w:val="000000" w:themeColor="text1"/>
          <w:sz w:val="24"/>
          <w:szCs w:val="24"/>
          <w:u w:val="single"/>
        </w:rPr>
        <w:t>（采购代理机构名称）</w:t>
      </w:r>
      <w:r>
        <w:rPr>
          <w:rFonts w:hint="eastAsia" w:ascii="仿宋" w:hAnsi="仿宋" w:eastAsia="仿宋"/>
          <w:color w:val="000000" w:themeColor="text1"/>
          <w:sz w:val="24"/>
          <w:szCs w:val="24"/>
        </w:rPr>
        <w:t>：</w:t>
      </w:r>
    </w:p>
    <w:p>
      <w:pPr>
        <w:tabs>
          <w:tab w:val="left" w:pos="6300"/>
        </w:tabs>
        <w:snapToGrid w:val="0"/>
        <w:spacing w:line="312"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我方收到____________________________（项目名称）的网上竞采文件，经详细研究，决定参加该项目的网上竞采。</w:t>
      </w:r>
    </w:p>
    <w:p>
      <w:pPr>
        <w:tabs>
          <w:tab w:val="left" w:pos="6300"/>
        </w:tabs>
        <w:snapToGrid w:val="0"/>
        <w:spacing w:line="312" w:lineRule="auto"/>
        <w:ind w:firstLine="480" w:firstLineChars="200"/>
        <w:rPr>
          <w:rFonts w:hint="eastAsia" w:ascii="仿宋" w:hAnsi="仿宋" w:eastAsia="仿宋"/>
          <w:color w:val="000000" w:themeColor="text1"/>
          <w:sz w:val="24"/>
          <w:szCs w:val="24"/>
          <w:lang w:eastAsia="zh-CN"/>
        </w:rPr>
      </w:pPr>
      <w:r>
        <w:rPr>
          <w:rFonts w:hint="eastAsia" w:ascii="仿宋" w:hAnsi="仿宋" w:eastAsia="仿宋"/>
          <w:color w:val="000000" w:themeColor="text1"/>
          <w:sz w:val="24"/>
          <w:szCs w:val="24"/>
        </w:rPr>
        <w:t>1.愿意按照网上竞采文件中的一切要求，提供本项目采购内容及相关服务，竞采报价为人民币大写：</w:t>
      </w:r>
      <w:r>
        <w:rPr>
          <w:rFonts w:hint="eastAsia" w:ascii="仿宋" w:hAnsi="仿宋" w:eastAsia="仿宋"/>
          <w:color w:val="000000" w:themeColor="text1"/>
          <w:sz w:val="24"/>
          <w:szCs w:val="24"/>
          <w:u w:val="single"/>
          <w:lang w:val="en-US" w:eastAsia="zh-CN"/>
        </w:rPr>
        <w:t xml:space="preserve">          </w:t>
      </w:r>
      <w:r>
        <w:rPr>
          <w:rFonts w:hint="eastAsia" w:ascii="仿宋" w:hAnsi="仿宋" w:eastAsia="仿宋"/>
          <w:color w:val="000000" w:themeColor="text1"/>
          <w:sz w:val="24"/>
          <w:szCs w:val="24"/>
        </w:rPr>
        <w:t>元整，人民币小写：</w:t>
      </w:r>
      <w:r>
        <w:rPr>
          <w:rFonts w:hint="eastAsia" w:ascii="仿宋" w:hAnsi="仿宋" w:eastAsia="仿宋"/>
          <w:color w:val="000000" w:themeColor="text1"/>
          <w:sz w:val="24"/>
          <w:szCs w:val="24"/>
          <w:u w:val="single"/>
          <w:lang w:val="en-US" w:eastAsia="zh-CN"/>
        </w:rPr>
        <w:t xml:space="preserve">          </w:t>
      </w:r>
      <w:r>
        <w:rPr>
          <w:rFonts w:hint="eastAsia" w:ascii="仿宋" w:hAnsi="仿宋" w:eastAsia="仿宋"/>
          <w:color w:val="000000" w:themeColor="text1"/>
          <w:sz w:val="24"/>
          <w:szCs w:val="24"/>
        </w:rPr>
        <w:t>元整</w:t>
      </w:r>
      <w:r>
        <w:rPr>
          <w:rFonts w:hint="eastAsia" w:ascii="仿宋" w:hAnsi="仿宋" w:eastAsia="仿宋"/>
          <w:color w:val="000000" w:themeColor="text1"/>
          <w:sz w:val="24"/>
          <w:szCs w:val="24"/>
          <w:lang w:eastAsia="zh-CN"/>
        </w:rPr>
        <w:t>。</w:t>
      </w:r>
    </w:p>
    <w:p>
      <w:pPr>
        <w:tabs>
          <w:tab w:val="left" w:pos="6300"/>
        </w:tabs>
        <w:snapToGrid w:val="0"/>
        <w:spacing w:line="312"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2.我方现提交的响应文件为：响应文件正本</w:t>
      </w:r>
      <w:r>
        <w:rPr>
          <w:rFonts w:hint="eastAsia" w:ascii="仿宋" w:hAnsi="仿宋" w:eastAsia="仿宋"/>
          <w:color w:val="000000" w:themeColor="text1"/>
          <w:sz w:val="24"/>
          <w:szCs w:val="24"/>
          <w:u w:val="single"/>
          <w:lang w:val="en-US" w:eastAsia="zh-CN"/>
        </w:rPr>
        <w:t xml:space="preserve">   </w:t>
      </w:r>
      <w:r>
        <w:rPr>
          <w:rFonts w:hint="eastAsia" w:ascii="仿宋" w:hAnsi="仿宋" w:eastAsia="仿宋"/>
          <w:color w:val="000000" w:themeColor="text1"/>
          <w:sz w:val="24"/>
          <w:szCs w:val="24"/>
        </w:rPr>
        <w:t>份，副本</w:t>
      </w:r>
      <w:r>
        <w:rPr>
          <w:rFonts w:hint="eastAsia" w:ascii="仿宋" w:hAnsi="仿宋" w:eastAsia="仿宋"/>
          <w:color w:val="000000" w:themeColor="text1"/>
          <w:sz w:val="24"/>
          <w:szCs w:val="24"/>
          <w:u w:val="single"/>
          <w:lang w:val="en-US" w:eastAsia="zh-CN"/>
        </w:rPr>
        <w:t xml:space="preserve">   </w:t>
      </w:r>
      <w:r>
        <w:rPr>
          <w:rFonts w:hint="eastAsia" w:ascii="仿宋" w:hAnsi="仿宋" w:eastAsia="仿宋"/>
          <w:color w:val="000000" w:themeColor="text1"/>
          <w:sz w:val="24"/>
          <w:szCs w:val="24"/>
        </w:rPr>
        <w:t>份。</w:t>
      </w:r>
    </w:p>
    <w:p>
      <w:pPr>
        <w:tabs>
          <w:tab w:val="left" w:pos="6300"/>
        </w:tabs>
        <w:snapToGrid w:val="0"/>
        <w:spacing w:line="312"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3.我方承诺：本次网上竞采的有效期为90天。</w:t>
      </w:r>
    </w:p>
    <w:p>
      <w:pPr>
        <w:tabs>
          <w:tab w:val="left" w:pos="6300"/>
        </w:tabs>
        <w:snapToGrid w:val="0"/>
        <w:spacing w:line="312"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4.我方完全理解和接受贵方网上竞采文件的一切规定和要求及评审办法。</w:t>
      </w:r>
    </w:p>
    <w:p>
      <w:pPr>
        <w:tabs>
          <w:tab w:val="left" w:pos="6300"/>
        </w:tabs>
        <w:snapToGrid w:val="0"/>
        <w:spacing w:line="312"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5.在整个网上竞采过程中，我方若有违规行为，接受按照《中华人民共和国政府采购法》和《网上竞采文件》之规定给予惩罚。</w:t>
      </w:r>
    </w:p>
    <w:p>
      <w:pPr>
        <w:tabs>
          <w:tab w:val="left" w:pos="6300"/>
        </w:tabs>
        <w:snapToGrid w:val="0"/>
        <w:spacing w:line="312"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6.我方若成为成交供应商，将按照最终网上竞采结果签订合同，并且严格履行合同义务。本承诺函将成为合同不可分割的一部分，与合同具有同等的法律效力。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7.我方同意按网上竞采文件规定。如果我方成为成交供应商，保证在接到成交通知书前，向采购代理机构缴纳网上竞采文件规定的采购代理服务费。</w:t>
      </w:r>
    </w:p>
    <w:p>
      <w:pPr>
        <w:tabs>
          <w:tab w:val="left" w:pos="6300"/>
        </w:tabs>
        <w:snapToGrid w:val="0"/>
        <w:spacing w:line="312"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8.</w:t>
      </w:r>
      <w:r>
        <w:rPr>
          <w:rFonts w:hint="eastAsia" w:ascii="仿宋" w:hAnsi="仿宋" w:eastAsia="仿宋"/>
          <w:color w:val="000000" w:themeColor="text1"/>
          <w:sz w:val="24"/>
          <w:szCs w:val="28"/>
        </w:rPr>
        <w:t>我方未</w:t>
      </w:r>
      <w:r>
        <w:rPr>
          <w:rFonts w:ascii="仿宋" w:hAnsi="仿宋" w:eastAsia="仿宋"/>
          <w:color w:val="000000" w:themeColor="text1"/>
          <w:sz w:val="24"/>
          <w:szCs w:val="24"/>
        </w:rPr>
        <w:t>为采购项目提供整体设计、规范编制或者项目管理、监理、检测等服务。</w:t>
      </w:r>
    </w:p>
    <w:p>
      <w:pPr>
        <w:tabs>
          <w:tab w:val="left" w:pos="6300"/>
        </w:tabs>
        <w:snapToGrid w:val="0"/>
        <w:spacing w:line="312" w:lineRule="auto"/>
        <w:ind w:firstLine="570"/>
        <w:rPr>
          <w:rFonts w:ascii="仿宋" w:hAnsi="仿宋" w:eastAsia="仿宋"/>
          <w:color w:val="000000" w:themeColor="text1"/>
          <w:sz w:val="24"/>
          <w:szCs w:val="24"/>
        </w:rPr>
      </w:pPr>
      <w:r>
        <w:rPr>
          <w:rFonts w:hint="eastAsia" w:ascii="仿宋" w:hAnsi="仿宋" w:eastAsia="仿宋"/>
          <w:color w:val="000000" w:themeColor="text1"/>
          <w:sz w:val="24"/>
          <w:szCs w:val="24"/>
        </w:rPr>
        <w:t>供应商（公章）：</w:t>
      </w:r>
    </w:p>
    <w:p>
      <w:pPr>
        <w:tabs>
          <w:tab w:val="left" w:pos="6300"/>
        </w:tabs>
        <w:snapToGrid w:val="0"/>
        <w:spacing w:line="312" w:lineRule="auto"/>
        <w:ind w:firstLine="570"/>
        <w:rPr>
          <w:rFonts w:ascii="仿宋" w:hAnsi="仿宋" w:eastAsia="仿宋"/>
          <w:color w:val="000000" w:themeColor="text1"/>
          <w:sz w:val="24"/>
          <w:szCs w:val="24"/>
        </w:rPr>
      </w:pPr>
      <w:r>
        <w:rPr>
          <w:rFonts w:hint="eastAsia" w:ascii="仿宋" w:hAnsi="仿宋" w:eastAsia="仿宋"/>
          <w:color w:val="000000" w:themeColor="text1"/>
          <w:sz w:val="24"/>
          <w:szCs w:val="24"/>
        </w:rPr>
        <w:t>地址：</w:t>
      </w:r>
    </w:p>
    <w:p>
      <w:pPr>
        <w:tabs>
          <w:tab w:val="left" w:pos="6300"/>
        </w:tabs>
        <w:snapToGrid w:val="0"/>
        <w:spacing w:line="312" w:lineRule="auto"/>
        <w:ind w:firstLine="570"/>
        <w:rPr>
          <w:rFonts w:ascii="仿宋" w:hAnsi="仿宋" w:eastAsia="仿宋"/>
          <w:color w:val="000000" w:themeColor="text1"/>
          <w:sz w:val="24"/>
          <w:szCs w:val="24"/>
        </w:rPr>
      </w:pPr>
      <w:r>
        <w:rPr>
          <w:rFonts w:hint="eastAsia" w:ascii="仿宋" w:hAnsi="仿宋" w:eastAsia="仿宋"/>
          <w:color w:val="000000" w:themeColor="text1"/>
          <w:sz w:val="24"/>
          <w:szCs w:val="24"/>
        </w:rPr>
        <w:t>电话：</w:t>
      </w:r>
      <w:r>
        <w:rPr>
          <w:rFonts w:hint="eastAsia" w:ascii="仿宋" w:hAnsi="仿宋" w:eastAsia="仿宋"/>
          <w:color w:val="000000" w:themeColor="text1"/>
          <w:sz w:val="24"/>
          <w:szCs w:val="24"/>
          <w:lang w:val="en-US" w:eastAsia="zh-CN"/>
        </w:rPr>
        <w:t xml:space="preserve">                                 </w:t>
      </w:r>
      <w:r>
        <w:rPr>
          <w:rFonts w:hint="eastAsia" w:ascii="仿宋" w:hAnsi="仿宋" w:eastAsia="仿宋"/>
          <w:color w:val="000000" w:themeColor="text1"/>
          <w:sz w:val="24"/>
          <w:szCs w:val="24"/>
        </w:rPr>
        <w:t>传真：</w:t>
      </w:r>
    </w:p>
    <w:p>
      <w:pPr>
        <w:tabs>
          <w:tab w:val="left" w:pos="6300"/>
        </w:tabs>
        <w:snapToGrid w:val="0"/>
        <w:spacing w:line="312" w:lineRule="auto"/>
        <w:ind w:firstLine="570"/>
        <w:rPr>
          <w:rFonts w:ascii="仿宋" w:hAnsi="仿宋" w:eastAsia="仿宋"/>
          <w:color w:val="000000" w:themeColor="text1"/>
          <w:sz w:val="24"/>
          <w:szCs w:val="24"/>
        </w:rPr>
      </w:pPr>
      <w:r>
        <w:rPr>
          <w:rFonts w:hint="eastAsia" w:ascii="仿宋" w:hAnsi="仿宋" w:eastAsia="仿宋"/>
          <w:color w:val="000000" w:themeColor="text1"/>
          <w:sz w:val="24"/>
          <w:szCs w:val="24"/>
        </w:rPr>
        <w:t>网址：</w:t>
      </w:r>
      <w:r>
        <w:rPr>
          <w:rFonts w:hint="eastAsia" w:ascii="仿宋" w:hAnsi="仿宋" w:eastAsia="仿宋"/>
          <w:color w:val="000000" w:themeColor="text1"/>
          <w:sz w:val="24"/>
          <w:szCs w:val="24"/>
          <w:lang w:val="en-US" w:eastAsia="zh-CN"/>
        </w:rPr>
        <w:t xml:space="preserve">                                 </w:t>
      </w:r>
      <w:r>
        <w:rPr>
          <w:rFonts w:hint="eastAsia" w:ascii="仿宋" w:hAnsi="仿宋" w:eastAsia="仿宋"/>
          <w:color w:val="000000" w:themeColor="text1"/>
          <w:sz w:val="24"/>
          <w:szCs w:val="24"/>
        </w:rPr>
        <w:t>邮编：</w:t>
      </w:r>
    </w:p>
    <w:p>
      <w:pPr>
        <w:tabs>
          <w:tab w:val="left" w:pos="6300"/>
        </w:tabs>
        <w:snapToGrid w:val="0"/>
        <w:spacing w:line="312" w:lineRule="auto"/>
        <w:ind w:firstLine="570"/>
        <w:rPr>
          <w:rFonts w:ascii="仿宋" w:hAnsi="仿宋" w:eastAsia="仿宋"/>
          <w:color w:val="000000" w:themeColor="text1"/>
          <w:sz w:val="24"/>
          <w:szCs w:val="24"/>
        </w:rPr>
      </w:pPr>
      <w:r>
        <w:rPr>
          <w:rFonts w:hint="eastAsia" w:ascii="仿宋" w:hAnsi="仿宋" w:eastAsia="仿宋"/>
          <w:color w:val="000000" w:themeColor="text1"/>
          <w:sz w:val="24"/>
          <w:szCs w:val="24"/>
        </w:rPr>
        <w:t>联系人：</w:t>
      </w:r>
    </w:p>
    <w:p>
      <w:pPr>
        <w:snapToGrid w:val="0"/>
        <w:spacing w:line="312" w:lineRule="auto"/>
        <w:ind w:firstLine="5280" w:firstLineChars="2200"/>
        <w:rPr>
          <w:rFonts w:ascii="仿宋" w:hAnsi="仿宋" w:eastAsia="仿宋"/>
          <w:color w:val="000000" w:themeColor="text1"/>
          <w:sz w:val="24"/>
          <w:szCs w:val="24"/>
        </w:rPr>
      </w:pPr>
      <w:r>
        <w:rPr>
          <w:rFonts w:hint="eastAsia" w:ascii="仿宋" w:hAnsi="仿宋" w:eastAsia="仿宋"/>
          <w:color w:val="000000" w:themeColor="text1"/>
          <w:sz w:val="24"/>
          <w:szCs w:val="24"/>
        </w:rPr>
        <w:t>年月日</w:t>
      </w:r>
    </w:p>
    <w:p>
      <w:pPr>
        <w:pStyle w:val="69"/>
        <w:rPr>
          <w:rFonts w:eastAsia="仿宋"/>
          <w:color w:val="000000" w:themeColor="text1"/>
        </w:rPr>
      </w:pPr>
    </w:p>
    <w:p>
      <w:pPr>
        <w:pStyle w:val="69"/>
        <w:rPr>
          <w:rFonts w:eastAsia="仿宋"/>
          <w:color w:val="000000" w:themeColor="text1"/>
        </w:rPr>
      </w:pPr>
    </w:p>
    <w:p>
      <w:pPr>
        <w:pStyle w:val="69"/>
        <w:rPr>
          <w:rFonts w:eastAsia="仿宋"/>
          <w:color w:val="000000" w:themeColor="text1"/>
        </w:rPr>
      </w:pPr>
    </w:p>
    <w:p>
      <w:pPr>
        <w:pStyle w:val="69"/>
        <w:rPr>
          <w:rFonts w:eastAsia="仿宋"/>
          <w:color w:val="000000" w:themeColor="text1"/>
        </w:rPr>
      </w:pPr>
    </w:p>
    <w:p>
      <w:pPr>
        <w:pStyle w:val="69"/>
        <w:rPr>
          <w:rFonts w:eastAsia="仿宋"/>
          <w:color w:val="000000" w:themeColor="text1"/>
        </w:rPr>
      </w:pPr>
    </w:p>
    <w:p>
      <w:pPr>
        <w:pStyle w:val="69"/>
        <w:rPr>
          <w:rFonts w:eastAsia="仿宋"/>
          <w:color w:val="000000" w:themeColor="text1"/>
        </w:rPr>
      </w:pPr>
    </w:p>
    <w:p>
      <w:pPr>
        <w:pStyle w:val="69"/>
        <w:rPr>
          <w:rFonts w:eastAsia="仿宋"/>
          <w:color w:val="000000" w:themeColor="text1"/>
        </w:rPr>
      </w:pPr>
    </w:p>
    <w:p>
      <w:pPr>
        <w:pStyle w:val="69"/>
        <w:rPr>
          <w:rFonts w:eastAsia="仿宋"/>
          <w:color w:val="000000" w:themeColor="text1"/>
        </w:rPr>
      </w:pPr>
    </w:p>
    <w:p>
      <w:pPr>
        <w:pStyle w:val="69"/>
        <w:rPr>
          <w:rFonts w:eastAsia="仿宋"/>
          <w:color w:val="000000" w:themeColor="text1"/>
        </w:rPr>
      </w:pPr>
    </w:p>
    <w:p>
      <w:pPr>
        <w:pStyle w:val="69"/>
        <w:rPr>
          <w:rFonts w:eastAsia="仿宋"/>
          <w:color w:val="000000" w:themeColor="text1"/>
        </w:rPr>
      </w:pPr>
    </w:p>
    <w:p>
      <w:pPr>
        <w:pStyle w:val="69"/>
        <w:rPr>
          <w:rFonts w:eastAsia="仿宋"/>
          <w:color w:val="000000" w:themeColor="text1"/>
        </w:rPr>
      </w:pPr>
    </w:p>
    <w:p>
      <w:pPr>
        <w:pStyle w:val="69"/>
        <w:rPr>
          <w:rFonts w:eastAsia="仿宋"/>
          <w:color w:val="000000" w:themeColor="text1"/>
        </w:rPr>
      </w:pPr>
    </w:p>
    <w:p>
      <w:pPr>
        <w:pStyle w:val="69"/>
        <w:rPr>
          <w:rFonts w:eastAsia="仿宋"/>
          <w:color w:val="000000" w:themeColor="text1"/>
        </w:rPr>
      </w:pPr>
    </w:p>
    <w:p>
      <w:pPr>
        <w:pStyle w:val="69"/>
        <w:rPr>
          <w:rFonts w:eastAsia="仿宋"/>
          <w:color w:val="000000" w:themeColor="text1"/>
        </w:rPr>
      </w:pPr>
    </w:p>
    <w:p>
      <w:pPr>
        <w:pStyle w:val="69"/>
        <w:rPr>
          <w:rFonts w:eastAsia="仿宋"/>
          <w:color w:val="000000" w:themeColor="text1"/>
        </w:rPr>
      </w:pPr>
    </w:p>
    <w:p>
      <w:pPr>
        <w:rPr>
          <w:color w:val="000000" w:themeColor="text1"/>
        </w:rPr>
      </w:pPr>
    </w:p>
    <w:p>
      <w:pPr>
        <w:snapToGrid w:val="0"/>
        <w:spacing w:line="500" w:lineRule="exact"/>
        <w:ind w:firstLine="560"/>
        <w:rPr>
          <w:rFonts w:ascii="仿宋" w:hAnsi="仿宋" w:eastAsia="仿宋"/>
          <w:b/>
          <w:szCs w:val="22"/>
        </w:rPr>
      </w:pPr>
      <w:r>
        <w:rPr>
          <w:rFonts w:hint="eastAsia" w:ascii="仿宋" w:hAnsi="仿宋" w:eastAsia="仿宋"/>
          <w:b/>
        </w:rPr>
        <w:t>（二）分项报价明细表</w:t>
      </w:r>
    </w:p>
    <w:p>
      <w:pPr>
        <w:snapToGrid w:val="0"/>
        <w:spacing w:line="500" w:lineRule="exact"/>
        <w:jc w:val="center"/>
        <w:rPr>
          <w:rFonts w:ascii="仿宋" w:hAnsi="仿宋" w:eastAsia="仿宋"/>
          <w:sz w:val="24"/>
        </w:rPr>
      </w:pPr>
      <w:r>
        <w:rPr>
          <w:rFonts w:hint="eastAsia" w:ascii="仿宋" w:hAnsi="仿宋" w:eastAsia="仿宋"/>
          <w:sz w:val="24"/>
        </w:rPr>
        <w:t>分项报价明细表</w:t>
      </w:r>
    </w:p>
    <w:p>
      <w:pPr>
        <w:snapToGrid w:val="0"/>
        <w:spacing w:line="500" w:lineRule="exact"/>
        <w:rPr>
          <w:rFonts w:ascii="仿宋" w:hAnsi="仿宋" w:eastAsia="仿宋"/>
          <w:sz w:val="24"/>
        </w:rPr>
      </w:pPr>
      <w:r>
        <w:rPr>
          <w:rFonts w:hint="eastAsia" w:ascii="仿宋" w:hAnsi="仿宋" w:eastAsia="仿宋"/>
          <w:sz w:val="24"/>
        </w:rPr>
        <w:t>项目名称：</w:t>
      </w:r>
    </w:p>
    <w:tbl>
      <w:tblPr>
        <w:tblStyle w:val="59"/>
        <w:tblW w:w="9628" w:type="dxa"/>
        <w:jc w:val="center"/>
        <w:tblLayout w:type="fixed"/>
        <w:tblCellMar>
          <w:top w:w="0" w:type="dxa"/>
          <w:left w:w="0" w:type="dxa"/>
          <w:bottom w:w="0" w:type="dxa"/>
          <w:right w:w="0" w:type="dxa"/>
        </w:tblCellMar>
      </w:tblPr>
      <w:tblGrid>
        <w:gridCol w:w="934"/>
        <w:gridCol w:w="934"/>
        <w:gridCol w:w="4958"/>
        <w:gridCol w:w="934"/>
        <w:gridCol w:w="934"/>
        <w:gridCol w:w="934"/>
      </w:tblGrid>
      <w:tr>
        <w:tblPrEx>
          <w:tblCellMar>
            <w:top w:w="0" w:type="dxa"/>
            <w:left w:w="0" w:type="dxa"/>
            <w:bottom w:w="0" w:type="dxa"/>
            <w:right w:w="0" w:type="dxa"/>
          </w:tblCellMar>
        </w:tblPrEx>
        <w:trPr>
          <w:trHeight w:val="535"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r>
              <w:rPr>
                <w:rFonts w:hint="eastAsia" w:ascii="仿宋" w:hAnsi="仿宋" w:eastAsia="仿宋"/>
                <w:bCs/>
                <w:sz w:val="24"/>
                <w:szCs w:val="24"/>
              </w:rPr>
              <w:t>序号</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r>
              <w:rPr>
                <w:rFonts w:hint="eastAsia" w:ascii="仿宋" w:hAnsi="仿宋" w:eastAsia="仿宋"/>
                <w:bCs/>
                <w:sz w:val="24"/>
                <w:szCs w:val="24"/>
              </w:rPr>
              <w:t>名称</w:t>
            </w:r>
          </w:p>
        </w:tc>
        <w:tc>
          <w:tcPr>
            <w:tcW w:w="4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r>
              <w:rPr>
                <w:rFonts w:hint="eastAsia" w:ascii="仿宋" w:hAnsi="仿宋" w:eastAsia="仿宋"/>
                <w:bCs/>
                <w:sz w:val="24"/>
                <w:szCs w:val="24"/>
              </w:rPr>
              <w:t>相关信息</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r>
              <w:rPr>
                <w:rFonts w:hint="eastAsia" w:ascii="仿宋" w:hAnsi="仿宋" w:eastAsia="仿宋"/>
                <w:bCs/>
                <w:sz w:val="24"/>
                <w:szCs w:val="24"/>
              </w:rPr>
              <w:t>数量</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r>
              <w:rPr>
                <w:rFonts w:hint="eastAsia" w:ascii="仿宋" w:hAnsi="仿宋" w:eastAsia="仿宋"/>
                <w:bCs/>
                <w:sz w:val="24"/>
                <w:szCs w:val="24"/>
              </w:rPr>
              <w:t>单价</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r>
              <w:rPr>
                <w:rFonts w:hint="eastAsia" w:ascii="仿宋" w:hAnsi="仿宋" w:eastAsia="仿宋"/>
                <w:bCs/>
                <w:sz w:val="24"/>
                <w:szCs w:val="24"/>
              </w:rPr>
              <w:t>合计</w:t>
            </w:r>
          </w:p>
        </w:tc>
      </w:tr>
      <w:tr>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4"/>
                <w:szCs w:val="24"/>
              </w:rPr>
            </w:pPr>
            <w:r>
              <w:rPr>
                <w:rFonts w:hint="eastAsia" w:ascii="仿宋" w:hAnsi="仿宋" w:eastAsia="仿宋"/>
                <w:bCs/>
                <w:sz w:val="24"/>
                <w:szCs w:val="24"/>
              </w:rPr>
              <w:t>1</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p>
        </w:tc>
        <w:tc>
          <w:tcPr>
            <w:tcW w:w="4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r>
      <w:tr>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4"/>
                <w:szCs w:val="24"/>
              </w:rPr>
            </w:pPr>
            <w:r>
              <w:rPr>
                <w:rFonts w:hint="eastAsia" w:ascii="仿宋" w:hAnsi="仿宋" w:eastAsia="仿宋"/>
                <w:bCs/>
                <w:sz w:val="24"/>
                <w:szCs w:val="24"/>
              </w:rPr>
              <w:t>2</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p>
        </w:tc>
        <w:tc>
          <w:tcPr>
            <w:tcW w:w="4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r>
      <w:tr>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4"/>
                <w:szCs w:val="24"/>
              </w:rPr>
            </w:pPr>
            <w:r>
              <w:rPr>
                <w:rFonts w:hint="eastAsia" w:ascii="仿宋" w:hAnsi="仿宋" w:eastAsia="仿宋"/>
                <w:bCs/>
                <w:sz w:val="24"/>
                <w:szCs w:val="24"/>
              </w:rPr>
              <w:t>3</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p>
        </w:tc>
        <w:tc>
          <w:tcPr>
            <w:tcW w:w="4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r>
      <w:tr>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4"/>
                <w:szCs w:val="24"/>
              </w:rPr>
            </w:pPr>
            <w:r>
              <w:rPr>
                <w:rFonts w:hint="eastAsia" w:ascii="仿宋" w:hAnsi="仿宋" w:eastAsia="仿宋"/>
                <w:bCs/>
                <w:sz w:val="24"/>
                <w:szCs w:val="24"/>
              </w:rPr>
              <w:t>4</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p>
        </w:tc>
        <w:tc>
          <w:tcPr>
            <w:tcW w:w="4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r>
      <w:tr>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4"/>
                <w:szCs w:val="24"/>
              </w:rPr>
            </w:pPr>
            <w:r>
              <w:rPr>
                <w:rFonts w:hint="eastAsia" w:ascii="仿宋" w:hAnsi="仿宋" w:eastAsia="仿宋"/>
                <w:bCs/>
                <w:sz w:val="24"/>
                <w:szCs w:val="24"/>
              </w:rPr>
              <w:t>5</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p>
        </w:tc>
        <w:tc>
          <w:tcPr>
            <w:tcW w:w="4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r>
      <w:tr>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4"/>
                <w:szCs w:val="24"/>
              </w:rPr>
            </w:pPr>
            <w:r>
              <w:rPr>
                <w:rFonts w:hint="eastAsia" w:ascii="仿宋" w:hAnsi="仿宋" w:eastAsia="仿宋"/>
                <w:bCs/>
                <w:sz w:val="24"/>
                <w:szCs w:val="24"/>
              </w:rPr>
              <w:t>6</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p>
        </w:tc>
        <w:tc>
          <w:tcPr>
            <w:tcW w:w="4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r>
      <w:tr>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4"/>
                <w:szCs w:val="24"/>
              </w:rPr>
            </w:pPr>
            <w:r>
              <w:rPr>
                <w:rFonts w:hint="eastAsia" w:ascii="仿宋" w:hAnsi="仿宋" w:eastAsia="仿宋"/>
                <w:bCs/>
                <w:sz w:val="24"/>
                <w:szCs w:val="24"/>
              </w:rPr>
              <w:t>7</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p>
        </w:tc>
        <w:tc>
          <w:tcPr>
            <w:tcW w:w="4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r>
      <w:tr>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4"/>
                <w:szCs w:val="24"/>
              </w:rPr>
            </w:pPr>
            <w:r>
              <w:rPr>
                <w:rFonts w:hint="eastAsia" w:ascii="仿宋" w:hAnsi="仿宋" w:eastAsia="仿宋"/>
                <w:bCs/>
                <w:sz w:val="24"/>
                <w:szCs w:val="24"/>
              </w:rPr>
              <w:t>8</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p>
        </w:tc>
        <w:tc>
          <w:tcPr>
            <w:tcW w:w="4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r>
              <w:rPr>
                <w:rFonts w:hint="eastAsia" w:ascii="仿宋" w:hAnsi="仿宋" w:eastAsia="仿宋"/>
                <w:bCs/>
                <w:sz w:val="24"/>
                <w:szCs w:val="24"/>
              </w:rPr>
              <w:t>/</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r>
      <w:tr>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4"/>
                <w:szCs w:val="24"/>
              </w:rPr>
            </w:pPr>
            <w:r>
              <w:rPr>
                <w:rFonts w:hint="eastAsia" w:ascii="仿宋" w:hAnsi="仿宋" w:eastAsia="仿宋"/>
                <w:bCs/>
                <w:sz w:val="24"/>
                <w:szCs w:val="24"/>
              </w:rPr>
              <w:t>9</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p>
        </w:tc>
        <w:tc>
          <w:tcPr>
            <w:tcW w:w="4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r>
              <w:rPr>
                <w:rFonts w:hint="eastAsia" w:ascii="仿宋" w:hAnsi="仿宋" w:eastAsia="仿宋"/>
                <w:bCs/>
                <w:sz w:val="24"/>
                <w:szCs w:val="24"/>
              </w:rPr>
              <w:t>/</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r>
      <w:tr>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4"/>
                <w:szCs w:val="24"/>
              </w:rPr>
            </w:pPr>
            <w:r>
              <w:rPr>
                <w:rFonts w:hint="eastAsia" w:ascii="仿宋" w:hAnsi="仿宋" w:eastAsia="仿宋"/>
                <w:bCs/>
                <w:sz w:val="24"/>
                <w:szCs w:val="24"/>
              </w:rPr>
              <w:t>10</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p>
        </w:tc>
        <w:tc>
          <w:tcPr>
            <w:tcW w:w="4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r>
              <w:rPr>
                <w:rFonts w:hint="eastAsia" w:ascii="仿宋" w:hAnsi="仿宋" w:eastAsia="仿宋"/>
                <w:bCs/>
                <w:sz w:val="24"/>
                <w:szCs w:val="24"/>
              </w:rPr>
              <w:t>/</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r>
      <w:tr>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4"/>
                <w:szCs w:val="24"/>
              </w:rPr>
            </w:pPr>
            <w:r>
              <w:rPr>
                <w:rFonts w:hint="eastAsia" w:ascii="仿宋" w:hAnsi="仿宋" w:eastAsia="仿宋"/>
                <w:bCs/>
                <w:sz w:val="24"/>
                <w:szCs w:val="24"/>
              </w:rPr>
              <w:t>11</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r>
              <w:rPr>
                <w:rFonts w:hint="eastAsia" w:ascii="仿宋" w:hAnsi="仿宋" w:eastAsia="仿宋"/>
                <w:bCs/>
                <w:sz w:val="24"/>
                <w:szCs w:val="24"/>
              </w:rPr>
              <w:t>……</w:t>
            </w:r>
          </w:p>
        </w:tc>
        <w:tc>
          <w:tcPr>
            <w:tcW w:w="4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r>
              <w:rPr>
                <w:rFonts w:hint="eastAsia" w:ascii="仿宋" w:hAnsi="仿宋" w:eastAsia="仿宋"/>
                <w:bCs/>
                <w:sz w:val="24"/>
                <w:szCs w:val="24"/>
              </w:rPr>
              <w:t>/</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4"/>
                <w:szCs w:val="24"/>
              </w:rPr>
            </w:pPr>
          </w:p>
        </w:tc>
      </w:tr>
      <w:tr>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4"/>
                <w:szCs w:val="24"/>
              </w:rPr>
            </w:pPr>
            <w:r>
              <w:rPr>
                <w:rFonts w:hint="eastAsia" w:ascii="仿宋" w:hAnsi="仿宋" w:eastAsia="仿宋"/>
                <w:bCs/>
                <w:sz w:val="24"/>
                <w:szCs w:val="24"/>
              </w:rPr>
              <w:t>12</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r>
              <w:rPr>
                <w:rFonts w:hint="eastAsia" w:ascii="仿宋" w:hAnsi="仿宋" w:eastAsia="仿宋"/>
                <w:bCs/>
                <w:sz w:val="24"/>
                <w:szCs w:val="24"/>
              </w:rPr>
              <w:t>总计</w:t>
            </w:r>
          </w:p>
        </w:tc>
        <w:tc>
          <w:tcPr>
            <w:tcW w:w="776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rFonts w:ascii="仿宋" w:hAnsi="仿宋" w:eastAsia="仿宋"/>
                <w:bCs/>
                <w:sz w:val="24"/>
                <w:szCs w:val="24"/>
              </w:rPr>
            </w:pPr>
          </w:p>
        </w:tc>
      </w:tr>
    </w:tbl>
    <w:p>
      <w:pPr>
        <w:snapToGrid w:val="0"/>
        <w:spacing w:line="500" w:lineRule="exact"/>
        <w:rPr>
          <w:rFonts w:ascii="仿宋" w:hAnsi="仿宋" w:eastAsia="仿宋"/>
          <w:sz w:val="24"/>
        </w:rPr>
      </w:pPr>
      <w:r>
        <w:rPr>
          <w:rFonts w:hint="eastAsia" w:ascii="仿宋" w:hAnsi="仿宋" w:eastAsia="仿宋"/>
          <w:sz w:val="24"/>
        </w:rPr>
        <w:t>单位：元</w:t>
      </w:r>
    </w:p>
    <w:p>
      <w:pPr>
        <w:snapToGrid w:val="0"/>
        <w:spacing w:line="500" w:lineRule="exact"/>
        <w:ind w:firstLine="480"/>
        <w:rPr>
          <w:rFonts w:ascii="仿宋" w:hAnsi="仿宋" w:eastAsia="仿宋"/>
          <w:sz w:val="24"/>
        </w:rPr>
      </w:pPr>
    </w:p>
    <w:p>
      <w:pPr>
        <w:snapToGrid w:val="0"/>
        <w:spacing w:line="500" w:lineRule="exact"/>
        <w:ind w:firstLine="600"/>
        <w:rPr>
          <w:rFonts w:ascii="仿宋" w:hAnsi="仿宋" w:eastAsia="仿宋"/>
          <w:sz w:val="24"/>
        </w:rPr>
      </w:pPr>
      <w:r>
        <w:rPr>
          <w:rFonts w:hint="eastAsia" w:ascii="仿宋" w:hAnsi="仿宋" w:eastAsia="仿宋"/>
          <w:sz w:val="24"/>
        </w:rPr>
        <w:t>供应商：</w:t>
      </w:r>
      <w:r>
        <w:rPr>
          <w:rFonts w:hint="eastAsia" w:ascii="仿宋" w:hAnsi="仿宋" w:eastAsia="仿宋"/>
          <w:sz w:val="24"/>
          <w:lang w:val="en-US" w:eastAsia="zh-CN"/>
        </w:rPr>
        <w:t xml:space="preserve">                             </w:t>
      </w:r>
      <w:r>
        <w:rPr>
          <w:rFonts w:hint="eastAsia" w:ascii="仿宋" w:hAnsi="仿宋" w:eastAsia="仿宋"/>
          <w:sz w:val="24"/>
        </w:rPr>
        <w:t>法定代表人或法定代表人授权代表：</w:t>
      </w:r>
    </w:p>
    <w:p>
      <w:pPr>
        <w:snapToGrid w:val="0"/>
        <w:spacing w:line="500" w:lineRule="exact"/>
        <w:rPr>
          <w:rFonts w:ascii="仿宋" w:hAnsi="仿宋" w:eastAsia="仿宋"/>
          <w:sz w:val="24"/>
        </w:rPr>
      </w:pPr>
      <w:r>
        <w:rPr>
          <w:rFonts w:hint="eastAsia" w:ascii="仿宋" w:hAnsi="仿宋" w:eastAsia="仿宋"/>
          <w:sz w:val="24"/>
        </w:rPr>
        <w:t>（供应商公章）</w:t>
      </w:r>
      <w:r>
        <w:rPr>
          <w:rFonts w:hint="eastAsia" w:ascii="仿宋" w:hAnsi="仿宋" w:eastAsia="仿宋"/>
          <w:sz w:val="24"/>
          <w:lang w:val="en-US" w:eastAsia="zh-CN"/>
        </w:rPr>
        <w:t xml:space="preserve">                                  </w:t>
      </w:r>
      <w:r>
        <w:rPr>
          <w:rFonts w:hint="eastAsia" w:ascii="仿宋" w:hAnsi="仿宋" w:eastAsia="仿宋"/>
          <w:sz w:val="24"/>
        </w:rPr>
        <w:t>（签字或盖章）</w:t>
      </w:r>
    </w:p>
    <w:p>
      <w:pPr>
        <w:snapToGrid w:val="0"/>
        <w:spacing w:line="500" w:lineRule="exact"/>
        <w:rPr>
          <w:rFonts w:ascii="仿宋" w:hAnsi="仿宋" w:eastAsia="仿宋"/>
          <w:sz w:val="24"/>
        </w:rPr>
      </w:pPr>
    </w:p>
    <w:p>
      <w:pPr>
        <w:snapToGrid w:val="0"/>
        <w:spacing w:line="500" w:lineRule="exact"/>
        <w:rPr>
          <w:rFonts w:ascii="仿宋" w:hAnsi="仿宋" w:eastAsia="仿宋"/>
          <w:sz w:val="24"/>
        </w:rPr>
      </w:pPr>
    </w:p>
    <w:p>
      <w:pPr>
        <w:snapToGrid w:val="0"/>
        <w:spacing w:line="500" w:lineRule="exact"/>
        <w:ind w:firstLine="480"/>
        <w:rPr>
          <w:rFonts w:ascii="仿宋" w:hAnsi="仿宋" w:eastAsia="仿宋"/>
          <w:sz w:val="24"/>
        </w:rPr>
      </w:pPr>
      <w:r>
        <w:rPr>
          <w:rFonts w:hint="eastAsia" w:ascii="仿宋" w:hAnsi="仿宋" w:eastAsia="仿宋"/>
          <w:sz w:val="24"/>
        </w:rPr>
        <w:t>年月日</w:t>
      </w:r>
    </w:p>
    <w:p>
      <w:pPr>
        <w:snapToGrid w:val="0"/>
        <w:spacing w:line="500" w:lineRule="exact"/>
        <w:ind w:firstLine="480"/>
        <w:rPr>
          <w:rFonts w:ascii="仿宋" w:hAnsi="仿宋" w:eastAsia="仿宋"/>
          <w:sz w:val="24"/>
        </w:rPr>
      </w:pPr>
    </w:p>
    <w:p>
      <w:pPr>
        <w:snapToGrid w:val="0"/>
        <w:spacing w:line="360" w:lineRule="auto"/>
        <w:ind w:firstLine="480"/>
        <w:rPr>
          <w:rFonts w:ascii="仿宋" w:hAnsi="仿宋" w:eastAsia="仿宋"/>
          <w:sz w:val="24"/>
        </w:rPr>
      </w:pPr>
      <w:r>
        <w:rPr>
          <w:rFonts w:hint="eastAsia" w:ascii="仿宋" w:hAnsi="仿宋" w:eastAsia="仿宋"/>
          <w:sz w:val="24"/>
        </w:rPr>
        <w:t>注：</w:t>
      </w:r>
    </w:p>
    <w:p>
      <w:pPr>
        <w:snapToGrid w:val="0"/>
        <w:spacing w:line="360" w:lineRule="auto"/>
        <w:ind w:firstLine="480"/>
        <w:rPr>
          <w:rFonts w:ascii="仿宋" w:hAnsi="仿宋" w:eastAsia="仿宋"/>
          <w:sz w:val="24"/>
        </w:rPr>
      </w:pPr>
      <w:r>
        <w:rPr>
          <w:rFonts w:hint="eastAsia" w:ascii="仿宋" w:hAnsi="仿宋" w:eastAsia="仿宋"/>
          <w:sz w:val="24"/>
        </w:rPr>
        <w:t>1.请供应商完整填写本表；</w:t>
      </w:r>
    </w:p>
    <w:p>
      <w:pPr>
        <w:pStyle w:val="69"/>
        <w:spacing w:line="360" w:lineRule="auto"/>
        <w:ind w:firstLine="480" w:firstLineChars="200"/>
        <w:rPr>
          <w:rFonts w:ascii="仿宋" w:hAnsi="仿宋" w:eastAsia="仿宋"/>
          <w:sz w:val="24"/>
        </w:rPr>
      </w:pPr>
      <w:r>
        <w:rPr>
          <w:rFonts w:hint="eastAsia" w:ascii="仿宋" w:hAnsi="仿宋" w:eastAsia="仿宋"/>
          <w:sz w:val="24"/>
        </w:rPr>
        <w:t>2.该表可扩展，并逐页签字或盖章。</w:t>
      </w:r>
    </w:p>
    <w:p>
      <w:pPr>
        <w:tabs>
          <w:tab w:val="center" w:pos="4706"/>
        </w:tabs>
        <w:jc w:val="left"/>
        <w:rPr>
          <w:color w:val="000000" w:themeColor="text1"/>
        </w:rPr>
        <w:sectPr>
          <w:footerReference r:id="rId10" w:type="default"/>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仿宋" w:hAnsi="仿宋" w:eastAsia="仿宋" w:cs="仿宋"/>
          <w:b w:val="0"/>
          <w:bCs/>
          <w:color w:val="000000" w:themeColor="text1"/>
          <w:szCs w:val="28"/>
        </w:rPr>
      </w:pPr>
      <w:bookmarkStart w:id="134" w:name="_Toc342913420"/>
      <w:bookmarkStart w:id="135" w:name="_Toc313008357"/>
      <w:bookmarkStart w:id="136" w:name="_Toc21280"/>
      <w:bookmarkStart w:id="137" w:name="_Toc2912"/>
      <w:bookmarkStart w:id="138" w:name="_Toc313888361"/>
      <w:r>
        <w:rPr>
          <w:rFonts w:hint="eastAsia" w:ascii="仿宋" w:hAnsi="仿宋" w:eastAsia="仿宋"/>
          <w:color w:val="000000" w:themeColor="text1"/>
          <w:sz w:val="24"/>
          <w:szCs w:val="24"/>
        </w:rPr>
        <w:t>二、技术部分</w:t>
      </w:r>
      <w:bookmarkEnd w:id="134"/>
      <w:bookmarkEnd w:id="135"/>
      <w:bookmarkEnd w:id="136"/>
      <w:bookmarkEnd w:id="137"/>
      <w:bookmarkEnd w:id="138"/>
    </w:p>
    <w:p>
      <w:pPr>
        <w:pStyle w:val="69"/>
        <w:rPr>
          <w:rFonts w:ascii="仿宋" w:hAnsi="仿宋" w:eastAsia="仿宋" w:cs="仿宋"/>
          <w:b/>
          <w:bCs/>
          <w:color w:val="000000" w:themeColor="text1"/>
          <w:szCs w:val="28"/>
        </w:rPr>
      </w:pPr>
    </w:p>
    <w:p>
      <w:pPr>
        <w:snapToGrid w:val="0"/>
        <w:spacing w:line="360" w:lineRule="auto"/>
        <w:jc w:val="left"/>
        <w:rPr>
          <w:rFonts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（一）技术响应偏离表</w:t>
      </w:r>
    </w:p>
    <w:p>
      <w:pPr>
        <w:snapToGrid w:val="0"/>
        <w:spacing w:line="360" w:lineRule="auto"/>
        <w:jc w:val="center"/>
        <w:rPr>
          <w:rFonts w:ascii="仿宋" w:hAnsi="仿宋" w:eastAsia="仿宋"/>
          <w:bCs/>
          <w:color w:val="000000" w:themeColor="text1"/>
          <w:sz w:val="24"/>
          <w:szCs w:val="24"/>
        </w:rPr>
      </w:pPr>
      <w:r>
        <w:rPr>
          <w:rFonts w:hint="eastAsia" w:ascii="仿宋" w:hAnsi="仿宋" w:eastAsia="仿宋"/>
          <w:bCs/>
          <w:color w:val="000000" w:themeColor="text1"/>
          <w:sz w:val="24"/>
          <w:szCs w:val="24"/>
        </w:rPr>
        <w:t>技术响应偏离表</w:t>
      </w:r>
    </w:p>
    <w:p>
      <w:pPr>
        <w:snapToGrid w:val="0"/>
        <w:spacing w:line="360" w:lineRule="auto"/>
        <w:ind w:firstLine="465"/>
        <w:rPr>
          <w:rFonts w:ascii="仿宋" w:hAnsi="仿宋" w:eastAsia="仿宋"/>
          <w:color w:val="000000" w:themeColor="text1"/>
          <w:sz w:val="24"/>
          <w:szCs w:val="24"/>
        </w:rPr>
      </w:pPr>
      <w:r>
        <w:rPr>
          <w:rFonts w:hint="eastAsia" w:ascii="仿宋" w:hAnsi="仿宋" w:eastAsia="仿宋"/>
          <w:color w:val="000000" w:themeColor="text1"/>
          <w:sz w:val="24"/>
          <w:szCs w:val="24"/>
        </w:rPr>
        <w:t>对于网上竞采文件的技术要求，如有任何偏离请如实填写下表：</w:t>
      </w:r>
    </w:p>
    <w:tbl>
      <w:tblPr>
        <w:tblStyle w:val="59"/>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r>
              <w:rPr>
                <w:rFonts w:hint="eastAsia" w:ascii="仿宋" w:hAnsi="仿宋" w:eastAsia="仿宋"/>
                <w:color w:val="000000" w:themeColor="text1"/>
                <w:sz w:val="21"/>
                <w:szCs w:val="24"/>
              </w:rPr>
              <w:t>序号</w:t>
            </w:r>
          </w:p>
        </w:tc>
        <w:tc>
          <w:tcPr>
            <w:tcW w:w="3179"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r>
              <w:rPr>
                <w:rFonts w:hint="eastAsia" w:ascii="仿宋" w:hAnsi="仿宋" w:eastAsia="仿宋"/>
                <w:color w:val="000000" w:themeColor="text1"/>
                <w:sz w:val="21"/>
                <w:szCs w:val="24"/>
              </w:rPr>
              <w:t>采购项目需求</w:t>
            </w:r>
          </w:p>
        </w:tc>
        <w:tc>
          <w:tcPr>
            <w:tcW w:w="2434"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r>
              <w:rPr>
                <w:rFonts w:hint="eastAsia" w:ascii="仿宋" w:hAnsi="仿宋" w:eastAsia="仿宋"/>
                <w:color w:val="000000" w:themeColor="text1"/>
                <w:sz w:val="21"/>
                <w:szCs w:val="24"/>
              </w:rPr>
              <w:t>响应情况</w:t>
            </w:r>
          </w:p>
        </w:tc>
        <w:tc>
          <w:tcPr>
            <w:tcW w:w="2355"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r>
              <w:rPr>
                <w:rFonts w:hint="eastAsia" w:ascii="仿宋" w:hAnsi="仿宋" w:eastAsia="仿宋"/>
                <w:color w:val="000000" w:themeColor="text1"/>
                <w:sz w:val="21"/>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r>
    </w:tbl>
    <w:p>
      <w:pPr>
        <w:snapToGrid w:val="0"/>
        <w:spacing w:line="360" w:lineRule="auto"/>
        <w:ind w:firstLine="465"/>
        <w:rPr>
          <w:rFonts w:ascii="仿宋" w:hAnsi="仿宋" w:eastAsia="仿宋"/>
          <w:color w:val="000000" w:themeColor="text1"/>
          <w:sz w:val="24"/>
          <w:szCs w:val="24"/>
        </w:rPr>
      </w:pPr>
    </w:p>
    <w:p>
      <w:pPr>
        <w:spacing w:line="500" w:lineRule="exact"/>
        <w:ind w:firstLine="600" w:firstLineChars="250"/>
        <w:rPr>
          <w:rFonts w:ascii="仿宋" w:hAnsi="仿宋" w:eastAsia="仿宋"/>
          <w:color w:val="000000" w:themeColor="text1"/>
          <w:sz w:val="24"/>
          <w:szCs w:val="28"/>
        </w:rPr>
      </w:pPr>
      <w:r>
        <w:rPr>
          <w:rFonts w:hint="eastAsia" w:ascii="仿宋" w:hAnsi="仿宋" w:eastAsia="仿宋"/>
          <w:color w:val="000000" w:themeColor="text1"/>
          <w:sz w:val="24"/>
          <w:szCs w:val="28"/>
        </w:rPr>
        <w:t>供应商：</w:t>
      </w:r>
      <w:r>
        <w:rPr>
          <w:rFonts w:hint="eastAsia" w:ascii="仿宋" w:hAnsi="仿宋" w:eastAsia="仿宋"/>
          <w:color w:val="000000" w:themeColor="text1"/>
          <w:sz w:val="24"/>
          <w:szCs w:val="28"/>
          <w:lang w:val="en-US" w:eastAsia="zh-CN"/>
        </w:rPr>
        <w:t xml:space="preserve">                                      </w:t>
      </w:r>
      <w:r>
        <w:rPr>
          <w:rFonts w:hint="eastAsia" w:ascii="仿宋" w:hAnsi="仿宋" w:eastAsia="仿宋"/>
          <w:color w:val="000000" w:themeColor="text1"/>
          <w:sz w:val="24"/>
          <w:szCs w:val="28"/>
        </w:rPr>
        <w:t>法定代表人授权代表：</w:t>
      </w:r>
    </w:p>
    <w:p>
      <w:pPr>
        <w:spacing w:line="500" w:lineRule="exact"/>
        <w:rPr>
          <w:rFonts w:ascii="仿宋" w:hAnsi="仿宋" w:eastAsia="仿宋"/>
          <w:color w:val="000000" w:themeColor="text1"/>
          <w:sz w:val="24"/>
          <w:szCs w:val="28"/>
        </w:rPr>
      </w:pPr>
    </w:p>
    <w:p>
      <w:pPr>
        <w:spacing w:line="500" w:lineRule="exact"/>
        <w:ind w:firstLine="360" w:firstLineChars="150"/>
        <w:rPr>
          <w:rFonts w:ascii="仿宋" w:hAnsi="仿宋" w:eastAsia="仿宋"/>
          <w:color w:val="000000" w:themeColor="text1"/>
          <w:sz w:val="24"/>
          <w:szCs w:val="28"/>
        </w:rPr>
      </w:pPr>
      <w:r>
        <w:rPr>
          <w:rFonts w:hint="eastAsia" w:ascii="仿宋" w:hAnsi="仿宋" w:eastAsia="仿宋"/>
          <w:color w:val="000000" w:themeColor="text1"/>
          <w:sz w:val="24"/>
          <w:szCs w:val="28"/>
        </w:rPr>
        <w:t>（供应商公章）</w:t>
      </w:r>
      <w:r>
        <w:rPr>
          <w:rFonts w:hint="eastAsia" w:ascii="仿宋" w:hAnsi="仿宋" w:eastAsia="仿宋"/>
          <w:color w:val="000000" w:themeColor="text1"/>
          <w:sz w:val="24"/>
          <w:szCs w:val="28"/>
          <w:lang w:val="en-US" w:eastAsia="zh-CN"/>
        </w:rPr>
        <w:t xml:space="preserve">                                      </w:t>
      </w:r>
      <w:r>
        <w:rPr>
          <w:rFonts w:hint="eastAsia" w:ascii="仿宋" w:hAnsi="仿宋" w:eastAsia="仿宋"/>
          <w:color w:val="000000" w:themeColor="text1"/>
          <w:sz w:val="24"/>
          <w:szCs w:val="28"/>
        </w:rPr>
        <w:t>（签字或盖章）</w:t>
      </w:r>
    </w:p>
    <w:p>
      <w:pPr>
        <w:tabs>
          <w:tab w:val="left" w:pos="6300"/>
        </w:tabs>
        <w:snapToGrid w:val="0"/>
        <w:spacing w:line="500" w:lineRule="exact"/>
        <w:ind w:firstLine="570"/>
        <w:rPr>
          <w:rFonts w:ascii="仿宋" w:hAnsi="仿宋" w:eastAsia="仿宋"/>
          <w:color w:val="000000" w:themeColor="text1"/>
          <w:sz w:val="24"/>
        </w:rPr>
      </w:pPr>
      <w:r>
        <w:rPr>
          <w:rFonts w:hint="eastAsia" w:ascii="仿宋" w:hAnsi="仿宋" w:eastAsia="仿宋"/>
          <w:color w:val="000000" w:themeColor="text1"/>
          <w:sz w:val="24"/>
          <w:szCs w:val="28"/>
        </w:rPr>
        <w:t>年月日</w:t>
      </w:r>
    </w:p>
    <w:p>
      <w:pPr>
        <w:tabs>
          <w:tab w:val="left" w:pos="6300"/>
        </w:tabs>
        <w:snapToGrid w:val="0"/>
        <w:spacing w:line="5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注：</w:t>
      </w:r>
    </w:p>
    <w:p>
      <w:pPr>
        <w:tabs>
          <w:tab w:val="left" w:pos="6300"/>
        </w:tabs>
        <w:snapToGrid w:val="0"/>
        <w:spacing w:line="500" w:lineRule="exact"/>
        <w:ind w:firstLine="480" w:firstLineChars="200"/>
        <w:rPr>
          <w:rFonts w:ascii="仿宋" w:hAnsi="仿宋" w:eastAsia="仿宋"/>
          <w:color w:val="000000" w:themeColor="text1"/>
          <w:sz w:val="24"/>
          <w:szCs w:val="22"/>
        </w:rPr>
      </w:pPr>
      <w:r>
        <w:rPr>
          <w:rFonts w:hint="eastAsia" w:ascii="仿宋" w:hAnsi="仿宋" w:eastAsia="仿宋"/>
          <w:color w:val="000000" w:themeColor="text1"/>
          <w:sz w:val="24"/>
          <w:szCs w:val="24"/>
        </w:rPr>
        <w:t>1</w:t>
      </w:r>
      <w:r>
        <w:rPr>
          <w:rFonts w:hint="eastAsia" w:ascii="仿宋" w:hAnsi="仿宋" w:eastAsia="仿宋"/>
          <w:color w:val="000000" w:themeColor="text1"/>
          <w:sz w:val="24"/>
        </w:rPr>
        <w:t>、本表即为对本项目“第二篇采购项目技术需求”中所列技术要求进行比较和响应，根据响应情况在“差异说明”项填写正</w:t>
      </w:r>
      <w:r>
        <w:rPr>
          <w:rFonts w:hint="eastAsia" w:ascii="仿宋" w:hAnsi="仿宋" w:eastAsia="仿宋"/>
          <w:color w:val="000000" w:themeColor="text1"/>
          <w:sz w:val="24"/>
          <w:szCs w:val="22"/>
        </w:rPr>
        <w:t>偏离或负偏离及原因，完全符合的填写“无差异”；</w:t>
      </w:r>
    </w:p>
    <w:p>
      <w:pPr>
        <w:tabs>
          <w:tab w:val="left" w:pos="6300"/>
        </w:tabs>
        <w:snapToGrid w:val="0"/>
        <w:spacing w:line="500" w:lineRule="exact"/>
        <w:ind w:firstLine="480" w:firstLineChars="200"/>
        <w:rPr>
          <w:rFonts w:ascii="仿宋" w:hAnsi="仿宋" w:eastAsia="仿宋"/>
          <w:color w:val="000000" w:themeColor="text1"/>
          <w:sz w:val="24"/>
          <w:szCs w:val="22"/>
        </w:rPr>
        <w:sectPr>
          <w:headerReference r:id="rId11"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olor w:val="000000" w:themeColor="text1"/>
          <w:sz w:val="24"/>
          <w:szCs w:val="22"/>
          <w:lang w:val="en-US" w:eastAsia="zh-CN"/>
        </w:rPr>
        <w:t>2</w:t>
      </w:r>
      <w:r>
        <w:rPr>
          <w:rFonts w:hint="eastAsia" w:ascii="仿宋" w:hAnsi="仿宋" w:eastAsia="仿宋"/>
          <w:color w:val="000000" w:themeColor="text1"/>
          <w:sz w:val="24"/>
          <w:szCs w:val="22"/>
        </w:rPr>
        <w:t>、该表可扩展。</w:t>
      </w:r>
    </w:p>
    <w:p>
      <w:pPr>
        <w:snapToGrid w:val="0"/>
        <w:spacing w:line="360" w:lineRule="auto"/>
        <w:jc w:val="left"/>
        <w:rPr>
          <w:rFonts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（二）工作方案（格式自定，建议按照评审标准技术部分内容编写）</w:t>
      </w:r>
    </w:p>
    <w:p>
      <w:pPr>
        <w:pStyle w:val="69"/>
        <w:rPr>
          <w:color w:val="000000" w:themeColor="text1"/>
        </w:rPr>
        <w:sectPr>
          <w:pgSz w:w="11907" w:h="16840"/>
          <w:pgMar w:top="1134" w:right="1191" w:bottom="1134" w:left="1304" w:header="851" w:footer="992" w:gutter="0"/>
          <w:pgNumType w:fmt="numberInDash"/>
          <w:cols w:space="720" w:num="1"/>
          <w:docGrid w:linePitch="380" w:charSpace="-5735"/>
        </w:sectPr>
      </w:pPr>
    </w:p>
    <w:p>
      <w:pPr>
        <w:pStyle w:val="4"/>
        <w:rPr>
          <w:rFonts w:ascii="仿宋" w:hAnsi="仿宋" w:eastAsia="仿宋" w:cs="仿宋"/>
          <w:color w:val="000000" w:themeColor="text1"/>
          <w:sz w:val="24"/>
          <w:szCs w:val="24"/>
        </w:rPr>
      </w:pPr>
      <w:bookmarkStart w:id="139" w:name="_Toc313008358"/>
      <w:bookmarkStart w:id="140" w:name="_Toc26718"/>
      <w:bookmarkStart w:id="141" w:name="_Toc313888362"/>
      <w:bookmarkStart w:id="142" w:name="_Toc28302"/>
      <w:bookmarkStart w:id="143" w:name="_Toc342913421"/>
      <w:r>
        <w:rPr>
          <w:rFonts w:hint="eastAsia" w:ascii="仿宋" w:hAnsi="仿宋" w:eastAsia="仿宋" w:cs="仿宋"/>
          <w:color w:val="000000" w:themeColor="text1"/>
          <w:sz w:val="24"/>
          <w:szCs w:val="24"/>
        </w:rPr>
        <w:t>三、商务部分</w:t>
      </w:r>
      <w:bookmarkEnd w:id="139"/>
      <w:bookmarkEnd w:id="140"/>
      <w:bookmarkEnd w:id="141"/>
      <w:bookmarkEnd w:id="142"/>
      <w:bookmarkEnd w:id="143"/>
    </w:p>
    <w:p>
      <w:pPr>
        <w:spacing w:line="360" w:lineRule="auto"/>
        <w:ind w:firstLine="482" w:firstLineChars="200"/>
        <w:rPr>
          <w:rFonts w:ascii="仿宋" w:hAnsi="仿宋" w:eastAsia="仿宋"/>
          <w:b/>
          <w:bCs/>
          <w:color w:val="000000" w:themeColor="text1"/>
          <w:sz w:val="24"/>
          <w:szCs w:val="24"/>
        </w:rPr>
      </w:pPr>
      <w:bookmarkStart w:id="144" w:name="_Toc283382459"/>
      <w:r>
        <w:rPr>
          <w:rFonts w:hint="eastAsia" w:ascii="仿宋" w:hAnsi="仿宋" w:eastAsia="仿宋"/>
          <w:b/>
          <w:bCs/>
          <w:color w:val="000000" w:themeColor="text1"/>
          <w:sz w:val="24"/>
          <w:szCs w:val="24"/>
        </w:rPr>
        <w:t>（一）商务响应偏离表</w:t>
      </w:r>
    </w:p>
    <w:p>
      <w:pPr>
        <w:snapToGrid w:val="0"/>
        <w:spacing w:line="360" w:lineRule="auto"/>
        <w:jc w:val="center"/>
        <w:rPr>
          <w:rFonts w:ascii="仿宋" w:hAnsi="仿宋" w:eastAsia="仿宋"/>
          <w:bCs/>
          <w:color w:val="000000" w:themeColor="text1"/>
          <w:szCs w:val="28"/>
        </w:rPr>
      </w:pPr>
      <w:r>
        <w:rPr>
          <w:rFonts w:hint="eastAsia" w:ascii="仿宋" w:hAnsi="仿宋" w:eastAsia="仿宋"/>
          <w:bCs/>
          <w:color w:val="000000" w:themeColor="text1"/>
          <w:szCs w:val="28"/>
        </w:rPr>
        <w:t>商务响应偏离表</w:t>
      </w:r>
    </w:p>
    <w:p>
      <w:pPr>
        <w:snapToGrid w:val="0"/>
        <w:spacing w:line="360" w:lineRule="auto"/>
        <w:ind w:firstLine="465"/>
        <w:rPr>
          <w:rFonts w:ascii="仿宋" w:hAnsi="仿宋" w:eastAsia="仿宋"/>
          <w:color w:val="000000" w:themeColor="text1"/>
          <w:sz w:val="24"/>
          <w:szCs w:val="24"/>
        </w:rPr>
      </w:pPr>
      <w:r>
        <w:rPr>
          <w:rFonts w:hint="eastAsia" w:ascii="仿宋" w:hAnsi="仿宋" w:eastAsia="仿宋"/>
          <w:color w:val="000000" w:themeColor="text1"/>
          <w:sz w:val="24"/>
          <w:szCs w:val="24"/>
        </w:rPr>
        <w:t>对于网上竞采文件的商务要求，如有任何偏离请如实填写下表：</w:t>
      </w:r>
    </w:p>
    <w:tbl>
      <w:tblPr>
        <w:tblStyle w:val="59"/>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r>
              <w:rPr>
                <w:rFonts w:hint="eastAsia" w:ascii="仿宋" w:hAnsi="仿宋" w:eastAsia="仿宋"/>
                <w:color w:val="000000" w:themeColor="text1"/>
                <w:sz w:val="21"/>
                <w:szCs w:val="24"/>
              </w:rPr>
              <w:t>序号</w:t>
            </w:r>
          </w:p>
        </w:tc>
        <w:tc>
          <w:tcPr>
            <w:tcW w:w="3179"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r>
              <w:rPr>
                <w:rFonts w:hint="eastAsia" w:ascii="仿宋" w:hAnsi="仿宋" w:eastAsia="仿宋"/>
                <w:color w:val="000000" w:themeColor="text1"/>
                <w:sz w:val="21"/>
                <w:szCs w:val="24"/>
              </w:rPr>
              <w:t>采购项目需求</w:t>
            </w:r>
          </w:p>
        </w:tc>
        <w:tc>
          <w:tcPr>
            <w:tcW w:w="2434"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r>
              <w:rPr>
                <w:rFonts w:hint="eastAsia" w:ascii="仿宋" w:hAnsi="仿宋" w:eastAsia="仿宋"/>
                <w:color w:val="000000" w:themeColor="text1"/>
                <w:sz w:val="21"/>
                <w:szCs w:val="24"/>
              </w:rPr>
              <w:t>响应情况</w:t>
            </w:r>
          </w:p>
        </w:tc>
        <w:tc>
          <w:tcPr>
            <w:tcW w:w="2355"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r>
              <w:rPr>
                <w:rFonts w:hint="eastAsia" w:ascii="仿宋" w:hAnsi="仿宋" w:eastAsia="仿宋"/>
                <w:color w:val="000000" w:themeColor="text1"/>
                <w:sz w:val="21"/>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olor w:val="000000" w:themeColor="text1"/>
                <w:sz w:val="21"/>
                <w:szCs w:val="24"/>
              </w:rPr>
            </w:pPr>
          </w:p>
        </w:tc>
      </w:tr>
    </w:tbl>
    <w:p>
      <w:pPr>
        <w:snapToGrid w:val="0"/>
        <w:spacing w:line="360" w:lineRule="auto"/>
        <w:ind w:firstLine="465"/>
        <w:rPr>
          <w:rFonts w:ascii="仿宋" w:hAnsi="仿宋" w:eastAsia="仿宋"/>
          <w:color w:val="000000" w:themeColor="text1"/>
          <w:sz w:val="24"/>
          <w:szCs w:val="24"/>
        </w:rPr>
      </w:pPr>
    </w:p>
    <w:p>
      <w:pPr>
        <w:spacing w:line="500" w:lineRule="exact"/>
        <w:ind w:firstLine="600" w:firstLineChars="250"/>
        <w:rPr>
          <w:rFonts w:ascii="仿宋" w:hAnsi="仿宋" w:eastAsia="仿宋"/>
          <w:color w:val="000000" w:themeColor="text1"/>
          <w:sz w:val="24"/>
          <w:szCs w:val="28"/>
        </w:rPr>
      </w:pPr>
      <w:r>
        <w:rPr>
          <w:rFonts w:hint="eastAsia" w:ascii="仿宋" w:hAnsi="仿宋" w:eastAsia="仿宋"/>
          <w:color w:val="000000" w:themeColor="text1"/>
          <w:sz w:val="24"/>
          <w:szCs w:val="28"/>
        </w:rPr>
        <w:t>供应商：</w:t>
      </w:r>
      <w:r>
        <w:rPr>
          <w:rFonts w:hint="eastAsia" w:ascii="仿宋" w:hAnsi="仿宋" w:eastAsia="仿宋"/>
          <w:color w:val="000000" w:themeColor="text1"/>
          <w:sz w:val="24"/>
          <w:szCs w:val="28"/>
          <w:lang w:val="en-US" w:eastAsia="zh-CN"/>
        </w:rPr>
        <w:t xml:space="preserve">                               </w:t>
      </w:r>
      <w:r>
        <w:rPr>
          <w:rFonts w:hint="eastAsia" w:ascii="仿宋" w:hAnsi="仿宋" w:eastAsia="仿宋"/>
          <w:color w:val="000000" w:themeColor="text1"/>
          <w:sz w:val="24"/>
          <w:szCs w:val="28"/>
        </w:rPr>
        <w:t>法定代表人授权代表：</w:t>
      </w:r>
    </w:p>
    <w:p>
      <w:pPr>
        <w:spacing w:line="500" w:lineRule="exact"/>
        <w:rPr>
          <w:rFonts w:ascii="仿宋" w:hAnsi="仿宋" w:eastAsia="仿宋"/>
          <w:color w:val="000000" w:themeColor="text1"/>
          <w:sz w:val="24"/>
          <w:szCs w:val="28"/>
        </w:rPr>
      </w:pPr>
    </w:p>
    <w:p>
      <w:pPr>
        <w:spacing w:line="500" w:lineRule="exact"/>
        <w:ind w:firstLine="360" w:firstLineChars="150"/>
        <w:rPr>
          <w:rFonts w:ascii="仿宋" w:hAnsi="仿宋" w:eastAsia="仿宋"/>
          <w:color w:val="000000" w:themeColor="text1"/>
          <w:sz w:val="24"/>
          <w:szCs w:val="28"/>
        </w:rPr>
      </w:pPr>
      <w:r>
        <w:rPr>
          <w:rFonts w:hint="eastAsia" w:ascii="仿宋" w:hAnsi="仿宋" w:eastAsia="仿宋"/>
          <w:color w:val="000000" w:themeColor="text1"/>
          <w:sz w:val="24"/>
          <w:szCs w:val="28"/>
        </w:rPr>
        <w:t>（供应商公章）</w:t>
      </w:r>
      <w:r>
        <w:rPr>
          <w:rFonts w:hint="eastAsia" w:ascii="仿宋" w:hAnsi="仿宋" w:eastAsia="仿宋"/>
          <w:color w:val="000000" w:themeColor="text1"/>
          <w:sz w:val="24"/>
          <w:szCs w:val="28"/>
          <w:lang w:val="en-US" w:eastAsia="zh-CN"/>
        </w:rPr>
        <w:t xml:space="preserve">                            </w:t>
      </w:r>
      <w:r>
        <w:rPr>
          <w:rFonts w:hint="eastAsia" w:ascii="仿宋" w:hAnsi="仿宋" w:eastAsia="仿宋"/>
          <w:color w:val="000000" w:themeColor="text1"/>
          <w:sz w:val="24"/>
          <w:szCs w:val="28"/>
        </w:rPr>
        <w:t>（签字或盖章）</w:t>
      </w:r>
    </w:p>
    <w:p>
      <w:pPr>
        <w:tabs>
          <w:tab w:val="left" w:pos="6300"/>
        </w:tabs>
        <w:snapToGrid w:val="0"/>
        <w:spacing w:line="500" w:lineRule="exact"/>
        <w:ind w:firstLine="570"/>
        <w:rPr>
          <w:rFonts w:ascii="仿宋" w:hAnsi="仿宋" w:eastAsia="仿宋"/>
          <w:color w:val="000000" w:themeColor="text1"/>
          <w:sz w:val="24"/>
        </w:rPr>
      </w:pPr>
      <w:r>
        <w:rPr>
          <w:rFonts w:hint="eastAsia" w:ascii="仿宋" w:hAnsi="仿宋" w:eastAsia="仿宋"/>
          <w:color w:val="000000" w:themeColor="text1"/>
          <w:sz w:val="24"/>
          <w:szCs w:val="28"/>
        </w:rPr>
        <w:t>年月日</w:t>
      </w:r>
    </w:p>
    <w:p>
      <w:pPr>
        <w:tabs>
          <w:tab w:val="left" w:pos="6300"/>
        </w:tabs>
        <w:snapToGrid w:val="0"/>
        <w:spacing w:line="5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注：</w:t>
      </w:r>
    </w:p>
    <w:p>
      <w:pPr>
        <w:tabs>
          <w:tab w:val="left" w:pos="6300"/>
        </w:tabs>
        <w:snapToGrid w:val="0"/>
        <w:spacing w:line="5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szCs w:val="24"/>
        </w:rPr>
        <w:t>1</w:t>
      </w:r>
      <w:r>
        <w:rPr>
          <w:rFonts w:hint="eastAsia" w:ascii="仿宋" w:hAnsi="仿宋" w:eastAsia="仿宋"/>
          <w:color w:val="000000" w:themeColor="text1"/>
          <w:sz w:val="24"/>
        </w:rPr>
        <w:t>、本表即为对本项目“第三篇采购项目商务需求”中所列商务要求进行比较和响应，根据响应情况在“差异说明”项填写正偏离或负偏离及原因，完全符合的填写“无差异”；</w:t>
      </w:r>
    </w:p>
    <w:p>
      <w:pPr>
        <w:tabs>
          <w:tab w:val="left" w:pos="6300"/>
        </w:tabs>
        <w:snapToGrid w:val="0"/>
        <w:spacing w:line="5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lang w:val="en-US" w:eastAsia="zh-CN"/>
        </w:rPr>
        <w:t>2</w:t>
      </w:r>
      <w:r>
        <w:rPr>
          <w:rFonts w:hint="eastAsia" w:ascii="仿宋" w:hAnsi="仿宋" w:eastAsia="仿宋"/>
          <w:color w:val="000000" w:themeColor="text1"/>
          <w:sz w:val="24"/>
        </w:rPr>
        <w:t>、该表可扩展。</w:t>
      </w:r>
    </w:p>
    <w:p>
      <w:pPr>
        <w:spacing w:line="360" w:lineRule="auto"/>
        <w:ind w:firstLine="560" w:firstLineChars="200"/>
        <w:rPr>
          <w:rFonts w:ascii="仿宋" w:hAnsi="仿宋" w:eastAsia="仿宋"/>
          <w:color w:val="000000" w:themeColor="text1"/>
          <w:sz w:val="24"/>
          <w:szCs w:val="24"/>
        </w:rPr>
      </w:pPr>
      <w:r>
        <w:rPr>
          <w:rFonts w:ascii="仿宋" w:hAnsi="仿宋" w:eastAsia="仿宋"/>
          <w:color w:val="000000" w:themeColor="text1"/>
        </w:rPr>
        <w:br w:type="page"/>
      </w:r>
      <w:r>
        <w:rPr>
          <w:rFonts w:hint="eastAsia" w:ascii="仿宋" w:hAnsi="仿宋" w:eastAsia="仿宋"/>
          <w:b/>
          <w:bCs/>
          <w:color w:val="000000" w:themeColor="text1"/>
          <w:sz w:val="24"/>
          <w:szCs w:val="24"/>
        </w:rPr>
        <w:t>（二）其它优惠服务承诺（格式自定）</w:t>
      </w:r>
    </w:p>
    <w:p>
      <w:pPr>
        <w:pStyle w:val="4"/>
        <w:spacing w:before="0" w:after="0" w:line="360" w:lineRule="auto"/>
        <w:rPr>
          <w:rFonts w:ascii="仿宋" w:hAnsi="仿宋" w:eastAsia="仿宋"/>
          <w:color w:val="000000" w:themeColor="text1"/>
          <w:sz w:val="24"/>
          <w:szCs w:val="24"/>
        </w:rPr>
      </w:pPr>
      <w:r>
        <w:rPr>
          <w:rFonts w:ascii="仿宋" w:hAnsi="仿宋" w:eastAsia="仿宋"/>
          <w:color w:val="000000" w:themeColor="text1"/>
          <w:sz w:val="24"/>
          <w:szCs w:val="24"/>
        </w:rPr>
        <w:br w:type="page"/>
      </w:r>
      <w:bookmarkEnd w:id="144"/>
      <w:bookmarkStart w:id="145" w:name="_Toc342913422"/>
      <w:bookmarkStart w:id="146" w:name="_Toc12739"/>
      <w:bookmarkStart w:id="147" w:name="_Toc313888363"/>
      <w:bookmarkStart w:id="148" w:name="_Toc313008359"/>
      <w:bookmarkStart w:id="149" w:name="_Toc1030"/>
      <w:r>
        <w:rPr>
          <w:rFonts w:hint="eastAsia" w:ascii="仿宋" w:hAnsi="仿宋" w:eastAsia="仿宋"/>
          <w:color w:val="000000" w:themeColor="text1"/>
          <w:sz w:val="24"/>
          <w:szCs w:val="24"/>
        </w:rPr>
        <w:t>四、资格条件及其他</w:t>
      </w:r>
      <w:bookmarkEnd w:id="145"/>
      <w:bookmarkEnd w:id="146"/>
      <w:bookmarkEnd w:id="147"/>
      <w:bookmarkEnd w:id="148"/>
      <w:bookmarkEnd w:id="149"/>
    </w:p>
    <w:p>
      <w:pPr>
        <w:tabs>
          <w:tab w:val="left" w:pos="6300"/>
        </w:tabs>
        <w:snapToGrid w:val="0"/>
        <w:spacing w:line="500" w:lineRule="exact"/>
        <w:ind w:firstLine="570"/>
        <w:rPr>
          <w:rFonts w:ascii="仿宋" w:hAnsi="仿宋" w:eastAsia="仿宋"/>
          <w:color w:val="000000" w:themeColor="text1"/>
          <w:sz w:val="24"/>
          <w:szCs w:val="24"/>
        </w:rPr>
      </w:pPr>
      <w:r>
        <w:rPr>
          <w:rFonts w:hint="eastAsia" w:ascii="仿宋" w:hAnsi="仿宋" w:eastAsia="仿宋"/>
          <w:color w:val="000000" w:themeColor="text1"/>
          <w:sz w:val="24"/>
          <w:szCs w:val="24"/>
        </w:rPr>
        <w:t>（一）</w:t>
      </w:r>
      <w:r>
        <w:rPr>
          <w:rFonts w:hint="eastAsia" w:ascii="仿宋" w:hAnsi="仿宋" w:eastAsia="仿宋"/>
          <w:sz w:val="24"/>
          <w:szCs w:val="24"/>
        </w:rPr>
        <w:t>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仿宋" w:hAnsi="仿宋" w:eastAsia="仿宋"/>
          <w:color w:val="000000" w:themeColor="text1"/>
          <w:sz w:val="24"/>
          <w:szCs w:val="24"/>
        </w:rPr>
      </w:pPr>
    </w:p>
    <w:p>
      <w:pPr>
        <w:tabs>
          <w:tab w:val="left" w:pos="6300"/>
        </w:tabs>
        <w:snapToGrid w:val="0"/>
        <w:spacing w:line="500" w:lineRule="exact"/>
        <w:ind w:firstLine="570"/>
        <w:rPr>
          <w:rFonts w:ascii="仿宋" w:hAnsi="仿宋" w:eastAsia="仿宋"/>
          <w:color w:val="000000" w:themeColor="text1"/>
        </w:rPr>
      </w:pPr>
    </w:p>
    <w:p>
      <w:pPr>
        <w:tabs>
          <w:tab w:val="left" w:pos="6300"/>
        </w:tabs>
        <w:snapToGrid w:val="0"/>
        <w:spacing w:line="500" w:lineRule="exact"/>
        <w:ind w:firstLine="570"/>
        <w:rPr>
          <w:rFonts w:ascii="仿宋" w:hAnsi="仿宋" w:eastAsia="仿宋"/>
          <w:color w:val="000000" w:themeColor="text1"/>
        </w:rPr>
      </w:pPr>
    </w:p>
    <w:p>
      <w:pPr>
        <w:widowControl/>
        <w:ind w:firstLine="560" w:firstLineChars="200"/>
        <w:jc w:val="left"/>
        <w:rPr>
          <w:rFonts w:ascii="仿宋" w:hAnsi="仿宋" w:eastAsia="仿宋"/>
        </w:rPr>
      </w:pPr>
      <w:r>
        <w:rPr>
          <w:rFonts w:ascii="仿宋" w:hAnsi="仿宋" w:eastAsia="仿宋"/>
          <w:color w:val="000000" w:themeColor="text1"/>
        </w:rPr>
        <w:br w:type="page"/>
      </w:r>
      <w:r>
        <w:rPr>
          <w:rFonts w:hint="eastAsia" w:ascii="仿宋" w:hAnsi="仿宋" w:eastAsia="仿宋"/>
        </w:rPr>
        <w:t>（二）法定代表人身份证明书（格式）</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项目名称：</w:t>
      </w:r>
      <w:r>
        <w:rPr>
          <w:rFonts w:hint="eastAsia" w:ascii="仿宋" w:hAnsi="仿宋" w:eastAsia="仿宋"/>
          <w:sz w:val="24"/>
          <w:u w:val="single"/>
        </w:rPr>
        <w:t xml:space="preserve">                                                </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pPr>
        <w:tabs>
          <w:tab w:val="left" w:pos="6300"/>
        </w:tabs>
        <w:snapToGrid w:val="0"/>
        <w:spacing w:line="500" w:lineRule="exact"/>
        <w:ind w:firstLine="57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（法定代表人姓名）在</w:t>
      </w:r>
      <w:r>
        <w:rPr>
          <w:rFonts w:hint="eastAsia" w:ascii="仿宋" w:hAnsi="仿宋" w:eastAsia="仿宋"/>
          <w:sz w:val="24"/>
          <w:u w:val="single"/>
        </w:rPr>
        <w:t xml:space="preserve">                       </w:t>
      </w:r>
      <w:r>
        <w:rPr>
          <w:rFonts w:hint="eastAsia" w:ascii="仿宋" w:hAnsi="仿宋" w:eastAsia="仿宋"/>
          <w:sz w:val="24"/>
        </w:rPr>
        <w:t>（供应商名称）任</w:t>
      </w:r>
      <w:r>
        <w:rPr>
          <w:rFonts w:hint="eastAsia" w:ascii="仿宋" w:hAnsi="仿宋" w:eastAsia="仿宋"/>
          <w:sz w:val="24"/>
          <w:u w:val="single"/>
        </w:rPr>
        <w:t xml:space="preserve">    </w:t>
      </w:r>
      <w:r>
        <w:rPr>
          <w:rFonts w:hint="eastAsia" w:ascii="仿宋" w:hAnsi="仿宋" w:eastAsia="仿宋"/>
          <w:sz w:val="24"/>
        </w:rPr>
        <w:t>（职务名称）职务，是（供应商名称）</w:t>
      </w:r>
      <w:r>
        <w:rPr>
          <w:rFonts w:hint="eastAsia" w:ascii="仿宋" w:hAnsi="仿宋" w:eastAsia="仿宋"/>
          <w:sz w:val="24"/>
          <w:u w:val="single"/>
        </w:rPr>
        <w:t xml:space="preserve">              </w:t>
      </w:r>
      <w:r>
        <w:rPr>
          <w:rFonts w:hint="eastAsia" w:ascii="仿宋" w:hAnsi="仿宋" w:eastAsia="仿宋"/>
          <w:sz w:val="24"/>
        </w:rPr>
        <w:t>的法定代表人。</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特此证明。</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（供应商公章）</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年   月   日</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szCs w:val="22"/>
        </w:rPr>
      </w:pPr>
      <w:r>
        <w:rPr>
          <w:rFonts w:hint="eastAsia" w:ascii="仿宋" w:hAnsi="仿宋" w:eastAsia="仿宋"/>
          <w:sz w:val="24"/>
          <w:szCs w:val="22"/>
        </w:rPr>
        <w:t>法定代表人电话：XXXXXXX      电子邮箱：XXXXXX@XXXXX（若授权他人办理并签署响应文件的可不填写）</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（附：法定代表人身份证正反面复印件）</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color w:val="000000" w:themeColor="text1"/>
          <w:sz w:val="24"/>
        </w:rPr>
      </w:pPr>
    </w:p>
    <w:p>
      <w:pPr>
        <w:tabs>
          <w:tab w:val="left" w:pos="6300"/>
        </w:tabs>
        <w:snapToGrid w:val="0"/>
        <w:spacing w:line="500" w:lineRule="exact"/>
        <w:ind w:firstLine="570"/>
        <w:rPr>
          <w:rFonts w:ascii="仿宋" w:hAnsi="仿宋" w:eastAsia="仿宋"/>
          <w:color w:val="000000" w:themeColor="text1"/>
          <w:sz w:val="24"/>
        </w:rPr>
      </w:pPr>
    </w:p>
    <w:p>
      <w:pPr>
        <w:tabs>
          <w:tab w:val="left" w:pos="6300"/>
        </w:tabs>
        <w:snapToGrid w:val="0"/>
        <w:spacing w:line="500" w:lineRule="exact"/>
        <w:ind w:firstLine="570"/>
        <w:rPr>
          <w:rFonts w:ascii="仿宋" w:hAnsi="仿宋" w:eastAsia="仿宋"/>
          <w:color w:val="000000" w:themeColor="text1"/>
          <w:sz w:val="24"/>
        </w:rPr>
      </w:pPr>
    </w:p>
    <w:p>
      <w:pPr>
        <w:tabs>
          <w:tab w:val="left" w:pos="6300"/>
        </w:tabs>
        <w:snapToGrid w:val="0"/>
        <w:spacing w:line="500" w:lineRule="exact"/>
        <w:ind w:firstLine="570"/>
        <w:rPr>
          <w:rFonts w:ascii="仿宋" w:hAnsi="仿宋" w:eastAsia="仿宋"/>
          <w:color w:val="000000" w:themeColor="text1"/>
          <w:sz w:val="24"/>
        </w:rPr>
      </w:pPr>
    </w:p>
    <w:p>
      <w:pPr>
        <w:tabs>
          <w:tab w:val="left" w:pos="6300"/>
        </w:tabs>
        <w:snapToGrid w:val="0"/>
        <w:spacing w:line="500" w:lineRule="exact"/>
        <w:ind w:firstLine="570"/>
        <w:rPr>
          <w:rFonts w:ascii="仿宋" w:hAnsi="仿宋" w:eastAsia="仿宋"/>
          <w:color w:val="000000" w:themeColor="text1"/>
          <w:sz w:val="24"/>
        </w:rPr>
      </w:pPr>
    </w:p>
    <w:p>
      <w:pPr>
        <w:tabs>
          <w:tab w:val="left" w:pos="6300"/>
        </w:tabs>
        <w:snapToGrid w:val="0"/>
        <w:spacing w:line="500" w:lineRule="exact"/>
        <w:ind w:firstLine="570"/>
        <w:rPr>
          <w:rFonts w:ascii="仿宋" w:hAnsi="仿宋" w:eastAsia="仿宋"/>
          <w:color w:val="000000" w:themeColor="text1"/>
          <w:sz w:val="24"/>
        </w:rPr>
      </w:pPr>
    </w:p>
    <w:p>
      <w:pPr>
        <w:tabs>
          <w:tab w:val="left" w:pos="6300"/>
        </w:tabs>
        <w:snapToGrid w:val="0"/>
        <w:spacing w:line="500" w:lineRule="exact"/>
        <w:ind w:firstLine="570"/>
        <w:rPr>
          <w:rFonts w:ascii="仿宋" w:hAnsi="仿宋" w:eastAsia="仿宋"/>
          <w:color w:val="000000" w:themeColor="text1"/>
          <w:sz w:val="24"/>
        </w:rPr>
      </w:pPr>
    </w:p>
    <w:p>
      <w:pPr>
        <w:tabs>
          <w:tab w:val="left" w:pos="6300"/>
        </w:tabs>
        <w:snapToGrid w:val="0"/>
        <w:spacing w:line="500" w:lineRule="exact"/>
        <w:ind w:firstLine="570"/>
        <w:rPr>
          <w:rFonts w:ascii="仿宋" w:hAnsi="仿宋" w:eastAsia="仿宋"/>
        </w:rPr>
      </w:pPr>
      <w:r>
        <w:rPr>
          <w:rFonts w:ascii="仿宋" w:hAnsi="仿宋" w:eastAsia="仿宋"/>
          <w:color w:val="000000" w:themeColor="text1"/>
        </w:rPr>
        <w:br w:type="column"/>
      </w:r>
      <w:r>
        <w:rPr>
          <w:rFonts w:hint="eastAsia" w:ascii="仿宋" w:hAnsi="仿宋" w:eastAsia="仿宋"/>
        </w:rPr>
        <w:t>（三）法定代表人授权委托书（格式）</w:t>
      </w: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szCs w:val="28"/>
        </w:rPr>
        <w:t>项目名称</w:t>
      </w:r>
      <w:r>
        <w:rPr>
          <w:rFonts w:hint="eastAsia" w:ascii="仿宋" w:hAnsi="仿宋" w:eastAsia="仿宋"/>
          <w:sz w:val="24"/>
        </w:rPr>
        <w:t>：</w:t>
      </w:r>
      <w:r>
        <w:rPr>
          <w:rFonts w:hint="eastAsia" w:ascii="仿宋" w:hAnsi="仿宋" w:eastAsia="仿宋"/>
          <w:sz w:val="24"/>
          <w:u w:val="single"/>
        </w:rPr>
        <w:t xml:space="preserve">                                                </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（供应商法定代表人名称）是</w:t>
      </w:r>
      <w:r>
        <w:rPr>
          <w:rFonts w:hint="eastAsia" w:ascii="仿宋" w:hAnsi="仿宋" w:eastAsia="仿宋"/>
          <w:sz w:val="24"/>
          <w:u w:val="single"/>
        </w:rPr>
        <w:t xml:space="preserve">                    </w:t>
      </w:r>
      <w:r>
        <w:rPr>
          <w:rFonts w:hint="eastAsia" w:ascii="仿宋" w:hAnsi="仿宋" w:eastAsia="仿宋"/>
          <w:sz w:val="24"/>
        </w:rPr>
        <w:t>（供应商名称）的法定代表人，特授权</w:t>
      </w:r>
      <w:r>
        <w:rPr>
          <w:rFonts w:hint="eastAsia" w:ascii="仿宋" w:hAnsi="仿宋" w:eastAsia="仿宋"/>
          <w:sz w:val="24"/>
          <w:u w:val="single"/>
        </w:rPr>
        <w:t xml:space="preserve">          </w:t>
      </w:r>
      <w:r>
        <w:rPr>
          <w:rFonts w:hint="eastAsia" w:ascii="仿宋" w:hAnsi="仿宋" w:eastAsia="仿宋"/>
          <w:sz w:val="24"/>
        </w:rPr>
        <w:t>（被授权人姓名及身份证号码）代表我单位全权办理上述项目的磋商、签约等具体工作，并签署全部有关文件、协议及合同。</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我单位对被授权人的签字负全部责任。</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被授权人：                                 供应商法定代表人：</w:t>
      </w:r>
    </w:p>
    <w:p>
      <w:pPr>
        <w:tabs>
          <w:tab w:val="left" w:pos="6300"/>
        </w:tabs>
        <w:snapToGrid w:val="0"/>
        <w:spacing w:line="500" w:lineRule="exact"/>
        <w:ind w:firstLine="570"/>
        <w:rPr>
          <w:rFonts w:ascii="仿宋" w:hAnsi="仿宋" w:eastAsia="仿宋"/>
          <w:sz w:val="24"/>
          <w:szCs w:val="28"/>
        </w:rPr>
      </w:pPr>
      <w:r>
        <w:rPr>
          <w:rFonts w:hint="eastAsia" w:ascii="仿宋" w:hAnsi="仿宋" w:eastAsia="仿宋"/>
          <w:sz w:val="24"/>
          <w:szCs w:val="28"/>
        </w:rPr>
        <w:t>（签字或盖章）                                （签字或盖章）</w:t>
      </w:r>
    </w:p>
    <w:p>
      <w:pPr>
        <w:tabs>
          <w:tab w:val="left" w:pos="6300"/>
        </w:tabs>
        <w:snapToGrid w:val="0"/>
        <w:spacing w:line="500" w:lineRule="exact"/>
        <w:ind w:firstLine="570"/>
        <w:rPr>
          <w:rFonts w:ascii="仿宋" w:hAnsi="仿宋" w:eastAsia="仿宋"/>
          <w:sz w:val="24"/>
          <w:szCs w:val="28"/>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szCs w:val="22"/>
        </w:rPr>
        <w:t>被授权人电话：XXXXXXX     电子邮箱：XXXXXX@XXXXX（若法定代表人办理并签署响应文件的可不填写）</w:t>
      </w: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（附：被授权人身份证正反面复印件）</w:t>
      </w: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right="480" w:firstLine="570"/>
        <w:jc w:val="right"/>
        <w:rPr>
          <w:rFonts w:ascii="仿宋" w:hAnsi="仿宋" w:eastAsia="仿宋"/>
          <w:sz w:val="24"/>
        </w:rPr>
      </w:pPr>
      <w:r>
        <w:rPr>
          <w:rFonts w:hint="eastAsia" w:ascii="仿宋" w:hAnsi="仿宋" w:eastAsia="仿宋"/>
          <w:sz w:val="24"/>
        </w:rPr>
        <w:t>（供应商公章）</w:t>
      </w:r>
    </w:p>
    <w:p>
      <w:pPr>
        <w:tabs>
          <w:tab w:val="left" w:pos="6300"/>
        </w:tabs>
        <w:snapToGrid w:val="0"/>
        <w:spacing w:line="500" w:lineRule="exact"/>
        <w:ind w:right="480" w:firstLine="570"/>
        <w:jc w:val="right"/>
        <w:rPr>
          <w:rFonts w:ascii="仿宋" w:hAnsi="仿宋" w:eastAsia="仿宋"/>
          <w:sz w:val="24"/>
        </w:rPr>
      </w:pPr>
      <w:r>
        <w:rPr>
          <w:rFonts w:hint="eastAsia" w:ascii="仿宋" w:hAnsi="仿宋" w:eastAsia="仿宋"/>
          <w:sz w:val="24"/>
        </w:rPr>
        <w:t>年   月   日</w:t>
      </w:r>
    </w:p>
    <w:p>
      <w:pPr>
        <w:tabs>
          <w:tab w:val="left" w:pos="6300"/>
        </w:tabs>
        <w:snapToGrid w:val="0"/>
        <w:spacing w:line="500" w:lineRule="exact"/>
        <w:ind w:firstLine="570"/>
        <w:rPr>
          <w:rFonts w:ascii="仿宋" w:hAnsi="仿宋" w:eastAsia="仿宋"/>
          <w:sz w:val="24"/>
          <w:szCs w:val="22"/>
        </w:rPr>
      </w:pPr>
      <w:r>
        <w:rPr>
          <w:rFonts w:hint="eastAsia" w:ascii="仿宋" w:hAnsi="仿宋" w:eastAsia="仿宋"/>
          <w:sz w:val="24"/>
          <w:szCs w:val="22"/>
        </w:rPr>
        <w:t>注：若为法定代表人办理并签署响应文件的，不提供此文件。</w:t>
      </w:r>
    </w:p>
    <w:p>
      <w:pPr>
        <w:tabs>
          <w:tab w:val="left" w:pos="6300"/>
        </w:tabs>
        <w:snapToGrid w:val="0"/>
        <w:spacing w:line="500" w:lineRule="exact"/>
        <w:ind w:right="480" w:firstLine="570"/>
        <w:jc w:val="right"/>
        <w:rPr>
          <w:rFonts w:ascii="仿宋" w:hAnsi="仿宋" w:eastAsia="仿宋"/>
          <w:color w:val="000000" w:themeColor="text1"/>
          <w:sz w:val="24"/>
        </w:rPr>
      </w:pPr>
    </w:p>
    <w:p>
      <w:pPr>
        <w:tabs>
          <w:tab w:val="left" w:pos="6300"/>
        </w:tabs>
        <w:snapToGrid w:val="0"/>
        <w:spacing w:line="500" w:lineRule="exact"/>
        <w:rPr>
          <w:rFonts w:ascii="仿宋" w:hAnsi="仿宋" w:eastAsia="仿宋"/>
          <w:color w:val="000000" w:themeColor="text1"/>
          <w:sz w:val="24"/>
          <w:szCs w:val="24"/>
        </w:rPr>
      </w:pPr>
    </w:p>
    <w:p>
      <w:pPr>
        <w:tabs>
          <w:tab w:val="left" w:pos="6300"/>
        </w:tabs>
        <w:snapToGrid w:val="0"/>
        <w:spacing w:line="500" w:lineRule="exact"/>
        <w:rPr>
          <w:rFonts w:ascii="仿宋" w:hAnsi="仿宋" w:eastAsia="仿宋"/>
          <w:color w:val="000000" w:themeColor="text1"/>
          <w:sz w:val="24"/>
        </w:rPr>
      </w:pPr>
      <w:r>
        <w:rPr>
          <w:rFonts w:ascii="仿宋" w:hAnsi="仿宋" w:eastAsia="仿宋"/>
          <w:color w:val="000000" w:themeColor="text1"/>
          <w:sz w:val="24"/>
          <w:szCs w:val="24"/>
        </w:rPr>
        <w:br w:type="page"/>
      </w:r>
      <w:r>
        <w:rPr>
          <w:rFonts w:hint="eastAsia" w:ascii="仿宋" w:hAnsi="仿宋" w:eastAsia="仿宋"/>
          <w:color w:val="000000" w:themeColor="text1"/>
          <w:sz w:val="24"/>
          <w:szCs w:val="24"/>
        </w:rPr>
        <w:t>（</w:t>
      </w:r>
      <w:r>
        <w:rPr>
          <w:rFonts w:hint="eastAsia" w:ascii="仿宋" w:hAnsi="仿宋" w:eastAsia="仿宋"/>
          <w:color w:val="000000" w:themeColor="text1"/>
          <w:sz w:val="24"/>
          <w:szCs w:val="24"/>
          <w:lang w:eastAsia="zh-CN"/>
        </w:rPr>
        <w:t>四</w:t>
      </w:r>
      <w:r>
        <w:rPr>
          <w:rFonts w:hint="eastAsia" w:ascii="仿宋" w:hAnsi="仿宋" w:eastAsia="仿宋"/>
          <w:color w:val="000000" w:themeColor="text1"/>
          <w:sz w:val="24"/>
          <w:szCs w:val="24"/>
        </w:rPr>
        <w:t>）基本资格条件承诺函</w:t>
      </w:r>
    </w:p>
    <w:p>
      <w:pPr>
        <w:tabs>
          <w:tab w:val="left" w:pos="6300"/>
        </w:tabs>
        <w:snapToGrid w:val="0"/>
        <w:spacing w:line="500" w:lineRule="exact"/>
        <w:ind w:firstLine="570"/>
        <w:rPr>
          <w:rFonts w:ascii="仿宋" w:hAnsi="仿宋" w:eastAsia="仿宋"/>
          <w:color w:val="000000" w:themeColor="text1"/>
          <w:sz w:val="24"/>
        </w:rPr>
      </w:pPr>
    </w:p>
    <w:p>
      <w:pPr>
        <w:tabs>
          <w:tab w:val="left" w:pos="6300"/>
        </w:tabs>
        <w:snapToGrid w:val="0"/>
        <w:spacing w:line="530" w:lineRule="exact"/>
        <w:jc w:val="center"/>
        <w:rPr>
          <w:rFonts w:hint="eastAsia" w:ascii="仿宋" w:hAnsi="仿宋" w:eastAsia="仿宋" w:cs="仿宋"/>
          <w:sz w:val="24"/>
          <w:szCs w:val="24"/>
        </w:rPr>
      </w:pPr>
      <w:r>
        <w:rPr>
          <w:rFonts w:hint="eastAsia" w:ascii="仿宋" w:hAnsi="仿宋" w:eastAsia="仿宋" w:cs="仿宋"/>
          <w:sz w:val="24"/>
          <w:szCs w:val="24"/>
        </w:rPr>
        <w:t>基本资格条件承诺函</w:t>
      </w:r>
    </w:p>
    <w:p>
      <w:pPr>
        <w:tabs>
          <w:tab w:val="left" w:pos="6300"/>
        </w:tabs>
        <w:snapToGrid w:val="0"/>
        <w:spacing w:line="530" w:lineRule="exact"/>
        <w:rPr>
          <w:rFonts w:hint="eastAsia" w:ascii="仿宋" w:hAnsi="仿宋" w:eastAsia="仿宋" w:cs="仿宋"/>
          <w:sz w:val="24"/>
          <w:szCs w:val="24"/>
        </w:rPr>
      </w:pPr>
    </w:p>
    <w:p>
      <w:pPr>
        <w:tabs>
          <w:tab w:val="left" w:pos="6300"/>
        </w:tabs>
        <w:snapToGrid w:val="0"/>
        <w:spacing w:line="53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（采购代理机构名称）：</w:t>
      </w:r>
    </w:p>
    <w:p>
      <w:pPr>
        <w:tabs>
          <w:tab w:val="left" w:pos="6300"/>
        </w:tabs>
        <w:snapToGrid w:val="0"/>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eastAsia="zh-CN"/>
        </w:rPr>
        <w:t>供应商</w:t>
      </w:r>
      <w:r>
        <w:rPr>
          <w:rFonts w:hint="eastAsia" w:ascii="仿宋" w:hAnsi="仿宋" w:eastAsia="仿宋" w:cs="仿宋"/>
          <w:sz w:val="24"/>
          <w:szCs w:val="24"/>
        </w:rPr>
        <w:t>名称）郑重承诺：</w:t>
      </w:r>
    </w:p>
    <w:p>
      <w:pPr>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1.我方具有良好的商业信誉和健全的财务会计制度，具有履行合同所必需的设备和专业技术能力，具</w:t>
      </w:r>
      <w:r>
        <w:rPr>
          <w:rFonts w:hint="eastAsia" w:ascii="仿宋" w:hAnsi="仿宋" w:eastAsia="仿宋" w:cs="仿宋"/>
          <w:sz w:val="24"/>
          <w:szCs w:val="24"/>
          <w:lang w:val="zh-CN"/>
        </w:rPr>
        <w:t>有依法缴纳税收和社会保障金的良好记录</w:t>
      </w:r>
      <w:r>
        <w:rPr>
          <w:rFonts w:hint="eastAsia" w:ascii="仿宋" w:hAnsi="仿宋" w:eastAsia="仿宋" w:cs="仿宋"/>
          <w:sz w:val="24"/>
          <w:szCs w:val="24"/>
        </w:rPr>
        <w:t>，参加本项目采购活动前三年内无重大违法活动记录。</w:t>
      </w:r>
    </w:p>
    <w:p>
      <w:pPr>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我方对以上承诺负全部法律责任。</w:t>
      </w:r>
    </w:p>
    <w:p>
      <w:pPr>
        <w:tabs>
          <w:tab w:val="left" w:pos="6300"/>
        </w:tabs>
        <w:snapToGrid w:val="0"/>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tabs>
          <w:tab w:val="left" w:pos="6300"/>
        </w:tabs>
        <w:snapToGrid w:val="0"/>
        <w:spacing w:line="530" w:lineRule="exact"/>
        <w:rPr>
          <w:rFonts w:hint="eastAsia" w:ascii="仿宋" w:hAnsi="仿宋" w:eastAsia="仿宋" w:cs="仿宋"/>
          <w:sz w:val="24"/>
          <w:szCs w:val="24"/>
        </w:rPr>
      </w:pPr>
    </w:p>
    <w:p>
      <w:pPr>
        <w:tabs>
          <w:tab w:val="left" w:pos="6300"/>
        </w:tabs>
        <w:snapToGrid w:val="0"/>
        <w:spacing w:line="530" w:lineRule="exact"/>
        <w:ind w:right="424" w:firstLine="570"/>
        <w:jc w:val="righ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供应商</w:t>
      </w:r>
      <w:r>
        <w:rPr>
          <w:rFonts w:hint="eastAsia" w:ascii="仿宋" w:hAnsi="仿宋" w:eastAsia="仿宋" w:cs="仿宋"/>
          <w:sz w:val="24"/>
          <w:szCs w:val="24"/>
        </w:rPr>
        <w:t>公章）</w:t>
      </w:r>
    </w:p>
    <w:p>
      <w:pPr>
        <w:tabs>
          <w:tab w:val="left" w:pos="6300"/>
        </w:tabs>
        <w:snapToGrid w:val="0"/>
        <w:spacing w:line="500" w:lineRule="exact"/>
        <w:ind w:firstLine="7680" w:firstLineChars="3200"/>
        <w:rPr>
          <w:rFonts w:hint="eastAsia" w:ascii="仿宋" w:hAnsi="仿宋" w:eastAsia="仿宋" w:cs="仿宋"/>
          <w:color w:val="000000" w:themeColor="text1"/>
          <w:sz w:val="24"/>
          <w:szCs w:val="24"/>
        </w:rPr>
      </w:pPr>
      <w:r>
        <w:rPr>
          <w:rFonts w:hint="eastAsia" w:ascii="仿宋" w:hAnsi="仿宋" w:eastAsia="仿宋" w:cs="仿宋"/>
          <w:sz w:val="24"/>
          <w:szCs w:val="24"/>
        </w:rPr>
        <w:t>年   月   日</w:t>
      </w:r>
    </w:p>
    <w:p>
      <w:pPr>
        <w:tabs>
          <w:tab w:val="left" w:pos="6300"/>
        </w:tabs>
        <w:snapToGrid w:val="0"/>
        <w:spacing w:line="500" w:lineRule="exact"/>
        <w:ind w:right="424" w:firstLine="570"/>
        <w:jc w:val="right"/>
        <w:rPr>
          <w:rFonts w:hint="eastAsia" w:ascii="仿宋" w:hAnsi="仿宋" w:eastAsia="仿宋" w:cs="仿宋"/>
          <w:color w:val="000000" w:themeColor="text1"/>
          <w:sz w:val="24"/>
          <w:szCs w:val="24"/>
        </w:rPr>
      </w:pPr>
    </w:p>
    <w:p>
      <w:pPr>
        <w:tabs>
          <w:tab w:val="left" w:pos="6300"/>
        </w:tabs>
        <w:snapToGrid w:val="0"/>
        <w:spacing w:line="500" w:lineRule="exact"/>
        <w:ind w:right="1680"/>
        <w:rPr>
          <w:rFonts w:ascii="仿宋" w:hAnsi="仿宋" w:eastAsia="仿宋"/>
          <w:color w:val="000000" w:themeColor="text1"/>
          <w:sz w:val="24"/>
        </w:rPr>
      </w:pPr>
    </w:p>
    <w:p>
      <w:pPr>
        <w:tabs>
          <w:tab w:val="left" w:pos="6300"/>
        </w:tabs>
        <w:snapToGrid w:val="0"/>
        <w:spacing w:line="360" w:lineRule="auto"/>
        <w:ind w:firstLine="560" w:firstLineChars="200"/>
        <w:rPr>
          <w:rFonts w:ascii="仿宋" w:hAnsi="仿宋" w:eastAsia="仿宋"/>
          <w:color w:val="000000" w:themeColor="text1"/>
          <w:sz w:val="24"/>
          <w:szCs w:val="24"/>
        </w:rPr>
      </w:pPr>
      <w:r>
        <w:rPr>
          <w:rFonts w:ascii="仿宋" w:hAnsi="仿宋" w:eastAsia="仿宋"/>
          <w:color w:val="000000" w:themeColor="text1"/>
        </w:rPr>
        <w:br w:type="page"/>
      </w:r>
    </w:p>
    <w:p>
      <w:pPr>
        <w:rPr>
          <w:rFonts w:hint="eastAsia" w:ascii="仿宋" w:hAnsi="仿宋" w:eastAsia="仿宋"/>
          <w:color w:val="000000" w:themeColor="text1"/>
          <w:sz w:val="24"/>
          <w:szCs w:val="24"/>
          <w:lang w:eastAsia="zh-CN"/>
        </w:rPr>
      </w:pPr>
      <w:bookmarkStart w:id="150" w:name="_Toc14422"/>
      <w:r>
        <w:rPr>
          <w:rFonts w:hint="eastAsia" w:ascii="仿宋" w:hAnsi="仿宋" w:eastAsia="仿宋"/>
          <w:color w:val="000000" w:themeColor="text1"/>
          <w:sz w:val="24"/>
          <w:szCs w:val="24"/>
        </w:rPr>
        <w:t>（</w:t>
      </w:r>
      <w:r>
        <w:rPr>
          <w:rFonts w:hint="eastAsia" w:ascii="仿宋" w:hAnsi="仿宋" w:eastAsia="仿宋"/>
          <w:color w:val="000000" w:themeColor="text1"/>
          <w:sz w:val="24"/>
          <w:szCs w:val="24"/>
          <w:lang w:eastAsia="zh-CN"/>
        </w:rPr>
        <w:t>五</w:t>
      </w:r>
      <w:r>
        <w:rPr>
          <w:rFonts w:hint="eastAsia" w:ascii="仿宋" w:hAnsi="仿宋" w:eastAsia="仿宋"/>
          <w:color w:val="000000" w:themeColor="text1"/>
          <w:sz w:val="24"/>
          <w:szCs w:val="24"/>
        </w:rPr>
        <w:t>）特定资格条件证明文件</w:t>
      </w:r>
      <w:r>
        <w:rPr>
          <w:rFonts w:hint="eastAsia" w:ascii="仿宋" w:hAnsi="仿宋" w:eastAsia="仿宋"/>
          <w:color w:val="000000" w:themeColor="text1"/>
          <w:sz w:val="24"/>
          <w:szCs w:val="24"/>
          <w:lang w:eastAsia="zh-CN"/>
        </w:rPr>
        <w:t>（如果有）</w:t>
      </w:r>
    </w:p>
    <w:p>
      <w:pPr>
        <w:pStyle w:val="4"/>
        <w:spacing w:before="0" w:after="0" w:line="360" w:lineRule="auto"/>
        <w:rPr>
          <w:rFonts w:ascii="仿宋" w:hAnsi="仿宋" w:eastAsia="仿宋"/>
          <w:color w:val="000000" w:themeColor="text1"/>
          <w:sz w:val="24"/>
          <w:szCs w:val="24"/>
        </w:rPr>
      </w:pPr>
      <w:r>
        <w:rPr>
          <w:rFonts w:ascii="仿宋" w:hAnsi="仿宋" w:eastAsia="仿宋"/>
          <w:b w:val="0"/>
          <w:color w:val="000000" w:themeColor="text1"/>
          <w:sz w:val="28"/>
        </w:rPr>
        <w:br w:type="page"/>
      </w:r>
      <w:bookmarkStart w:id="151" w:name="_Toc15318"/>
      <w:bookmarkStart w:id="152" w:name="_Toc2646"/>
      <w:r>
        <w:rPr>
          <w:rFonts w:hint="eastAsia" w:ascii="仿宋" w:hAnsi="仿宋" w:eastAsia="仿宋"/>
          <w:color w:val="000000" w:themeColor="text1"/>
          <w:sz w:val="24"/>
          <w:szCs w:val="24"/>
        </w:rPr>
        <w:t>五、其他应提供的资料</w:t>
      </w:r>
      <w:bookmarkEnd w:id="150"/>
      <w:bookmarkEnd w:id="151"/>
      <w:bookmarkEnd w:id="152"/>
    </w:p>
    <w:p>
      <w:pPr>
        <w:snapToGrid w:val="0"/>
        <w:spacing w:line="40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其他与项目有关的资料（自附）</w:t>
      </w:r>
    </w:p>
    <w:p>
      <w:pPr>
        <w:pStyle w:val="69"/>
        <w:rPr>
          <w:rFonts w:ascii="仿宋" w:hAnsi="仿宋" w:eastAsia="仿宋"/>
          <w:color w:val="000000" w:themeColor="text1"/>
          <w:sz w:val="24"/>
          <w:szCs w:val="24"/>
        </w:rPr>
      </w:pPr>
    </w:p>
    <w:p>
      <w:pPr>
        <w:pStyle w:val="69"/>
        <w:rPr>
          <w:rFonts w:ascii="仿宋" w:hAnsi="仿宋" w:eastAsia="仿宋"/>
          <w:color w:val="000000" w:themeColor="text1"/>
          <w:sz w:val="24"/>
          <w:szCs w:val="24"/>
        </w:rPr>
      </w:pPr>
    </w:p>
    <w:p>
      <w:pPr>
        <w:pStyle w:val="69"/>
        <w:rPr>
          <w:rFonts w:ascii="仿宋" w:hAnsi="仿宋" w:eastAsia="仿宋"/>
          <w:color w:val="000000" w:themeColor="text1"/>
          <w:sz w:val="24"/>
          <w:szCs w:val="24"/>
        </w:rPr>
      </w:pPr>
    </w:p>
    <w:p>
      <w:pPr>
        <w:pStyle w:val="69"/>
        <w:rPr>
          <w:rFonts w:ascii="仿宋" w:hAnsi="仿宋" w:eastAsia="仿宋"/>
          <w:color w:val="000000" w:themeColor="text1"/>
          <w:sz w:val="24"/>
          <w:szCs w:val="24"/>
        </w:rPr>
      </w:pPr>
    </w:p>
    <w:p>
      <w:pPr>
        <w:pStyle w:val="69"/>
        <w:rPr>
          <w:rFonts w:ascii="仿宋" w:hAnsi="仿宋" w:eastAsia="仿宋"/>
          <w:color w:val="000000" w:themeColor="text1"/>
          <w:sz w:val="24"/>
          <w:szCs w:val="24"/>
        </w:rPr>
      </w:pPr>
    </w:p>
    <w:p>
      <w:pPr>
        <w:pStyle w:val="69"/>
        <w:rPr>
          <w:rFonts w:ascii="仿宋" w:hAnsi="仿宋" w:eastAsia="仿宋"/>
          <w:color w:val="000000" w:themeColor="text1"/>
          <w:sz w:val="24"/>
          <w:szCs w:val="24"/>
        </w:rPr>
      </w:pPr>
    </w:p>
    <w:p>
      <w:pPr>
        <w:pStyle w:val="69"/>
        <w:rPr>
          <w:rFonts w:ascii="仿宋" w:hAnsi="仿宋" w:eastAsia="仿宋"/>
          <w:color w:val="000000" w:themeColor="text1"/>
          <w:sz w:val="24"/>
          <w:szCs w:val="24"/>
        </w:rPr>
      </w:pPr>
    </w:p>
    <w:p>
      <w:pPr>
        <w:pStyle w:val="69"/>
        <w:rPr>
          <w:rFonts w:ascii="仿宋" w:hAnsi="仿宋" w:eastAsia="仿宋"/>
          <w:color w:val="000000" w:themeColor="text1"/>
          <w:sz w:val="24"/>
          <w:szCs w:val="24"/>
        </w:rPr>
      </w:pPr>
    </w:p>
    <w:p>
      <w:pPr>
        <w:pStyle w:val="69"/>
        <w:rPr>
          <w:rFonts w:ascii="仿宋" w:hAnsi="仿宋" w:eastAsia="仿宋"/>
          <w:color w:val="000000" w:themeColor="text1"/>
          <w:sz w:val="24"/>
          <w:szCs w:val="24"/>
        </w:rPr>
      </w:pPr>
    </w:p>
    <w:p>
      <w:pPr>
        <w:pStyle w:val="69"/>
        <w:rPr>
          <w:rFonts w:ascii="仿宋" w:hAnsi="仿宋" w:eastAsia="仿宋"/>
          <w:color w:val="000000" w:themeColor="text1"/>
          <w:sz w:val="24"/>
          <w:szCs w:val="24"/>
        </w:rPr>
      </w:pPr>
    </w:p>
    <w:p>
      <w:pPr>
        <w:pStyle w:val="69"/>
        <w:rPr>
          <w:rFonts w:ascii="仿宋" w:hAnsi="仿宋" w:eastAsia="仿宋"/>
          <w:color w:val="000000" w:themeColor="text1"/>
          <w:sz w:val="24"/>
          <w:szCs w:val="24"/>
        </w:rPr>
      </w:pPr>
    </w:p>
    <w:p>
      <w:pPr>
        <w:pStyle w:val="69"/>
        <w:rPr>
          <w:rFonts w:ascii="仿宋" w:hAnsi="仿宋" w:eastAsia="仿宋"/>
          <w:color w:val="000000" w:themeColor="text1"/>
          <w:sz w:val="24"/>
          <w:szCs w:val="24"/>
        </w:rPr>
      </w:pPr>
    </w:p>
    <w:p>
      <w:pPr>
        <w:pStyle w:val="69"/>
        <w:rPr>
          <w:rFonts w:ascii="仿宋" w:hAnsi="仿宋" w:eastAsia="仿宋"/>
          <w:color w:val="000000" w:themeColor="text1"/>
          <w:sz w:val="24"/>
          <w:szCs w:val="24"/>
        </w:rPr>
      </w:pPr>
    </w:p>
    <w:p>
      <w:pPr>
        <w:pStyle w:val="69"/>
        <w:rPr>
          <w:rFonts w:ascii="仿宋" w:hAnsi="仿宋" w:eastAsia="仿宋"/>
          <w:color w:val="000000" w:themeColor="text1"/>
          <w:sz w:val="24"/>
          <w:szCs w:val="24"/>
        </w:rPr>
      </w:pPr>
    </w:p>
    <w:p>
      <w:pPr>
        <w:pStyle w:val="69"/>
        <w:rPr>
          <w:rFonts w:ascii="仿宋" w:hAnsi="仿宋" w:eastAsia="仿宋"/>
          <w:color w:val="000000" w:themeColor="text1"/>
          <w:sz w:val="24"/>
          <w:szCs w:val="24"/>
        </w:rPr>
      </w:pPr>
    </w:p>
    <w:p>
      <w:pPr>
        <w:pStyle w:val="69"/>
        <w:rPr>
          <w:rFonts w:ascii="仿宋" w:hAnsi="仿宋" w:eastAsia="仿宋"/>
          <w:color w:val="000000" w:themeColor="text1"/>
          <w:sz w:val="24"/>
          <w:szCs w:val="24"/>
        </w:rPr>
      </w:pPr>
    </w:p>
    <w:p>
      <w:pPr>
        <w:pStyle w:val="69"/>
        <w:rPr>
          <w:rFonts w:ascii="仿宋" w:hAnsi="仿宋" w:eastAsia="仿宋"/>
          <w:color w:val="000000" w:themeColor="text1"/>
          <w:sz w:val="24"/>
          <w:szCs w:val="24"/>
        </w:rPr>
      </w:pPr>
    </w:p>
    <w:p>
      <w:pPr>
        <w:pStyle w:val="69"/>
        <w:rPr>
          <w:rFonts w:ascii="仿宋" w:hAnsi="仿宋" w:eastAsia="仿宋"/>
          <w:color w:val="000000" w:themeColor="text1"/>
          <w:sz w:val="24"/>
          <w:szCs w:val="24"/>
        </w:rPr>
      </w:pPr>
    </w:p>
    <w:p>
      <w:pPr>
        <w:pStyle w:val="69"/>
        <w:rPr>
          <w:rFonts w:ascii="仿宋" w:hAnsi="仿宋" w:eastAsia="仿宋"/>
          <w:color w:val="000000" w:themeColor="text1"/>
          <w:sz w:val="24"/>
          <w:szCs w:val="24"/>
        </w:rPr>
      </w:pPr>
    </w:p>
    <w:p>
      <w:pPr>
        <w:pStyle w:val="69"/>
        <w:rPr>
          <w:rFonts w:ascii="仿宋" w:hAnsi="仿宋" w:eastAsia="仿宋"/>
          <w:color w:val="000000" w:themeColor="text1"/>
          <w:sz w:val="24"/>
          <w:szCs w:val="24"/>
        </w:rPr>
      </w:pPr>
    </w:p>
    <w:p>
      <w:pPr>
        <w:pStyle w:val="69"/>
        <w:rPr>
          <w:rFonts w:ascii="仿宋" w:hAnsi="仿宋" w:eastAsia="仿宋"/>
          <w:color w:val="000000" w:themeColor="text1"/>
          <w:sz w:val="24"/>
          <w:szCs w:val="24"/>
        </w:rPr>
      </w:pPr>
    </w:p>
    <w:p>
      <w:pPr>
        <w:pStyle w:val="69"/>
        <w:rPr>
          <w:rFonts w:ascii="仿宋" w:hAnsi="仿宋" w:eastAsia="仿宋"/>
          <w:color w:val="000000" w:themeColor="text1"/>
          <w:sz w:val="24"/>
          <w:szCs w:val="24"/>
        </w:rPr>
      </w:pPr>
    </w:p>
    <w:p>
      <w:pPr>
        <w:pStyle w:val="69"/>
        <w:rPr>
          <w:rFonts w:ascii="仿宋" w:hAnsi="仿宋" w:eastAsia="仿宋"/>
          <w:color w:val="000000" w:themeColor="text1"/>
          <w:sz w:val="24"/>
          <w:szCs w:val="24"/>
        </w:rPr>
      </w:pPr>
    </w:p>
    <w:p>
      <w:pPr>
        <w:pStyle w:val="69"/>
        <w:rPr>
          <w:rFonts w:ascii="仿宋" w:hAnsi="仿宋" w:eastAsia="仿宋"/>
          <w:color w:val="000000" w:themeColor="text1"/>
          <w:sz w:val="24"/>
          <w:szCs w:val="24"/>
        </w:rPr>
      </w:pPr>
    </w:p>
    <w:p>
      <w:pPr>
        <w:pStyle w:val="69"/>
        <w:rPr>
          <w:rFonts w:ascii="仿宋" w:hAnsi="仿宋" w:eastAsia="仿宋"/>
          <w:color w:val="000000" w:themeColor="text1"/>
          <w:sz w:val="24"/>
          <w:szCs w:val="24"/>
        </w:rPr>
      </w:pPr>
    </w:p>
    <w:p>
      <w:pPr>
        <w:pStyle w:val="69"/>
        <w:rPr>
          <w:rFonts w:ascii="仿宋" w:hAnsi="仿宋" w:eastAsia="仿宋"/>
          <w:color w:val="000000" w:themeColor="text1"/>
          <w:sz w:val="24"/>
          <w:szCs w:val="24"/>
        </w:rPr>
      </w:pPr>
    </w:p>
    <w:p>
      <w:pPr>
        <w:pStyle w:val="69"/>
        <w:rPr>
          <w:rFonts w:ascii="仿宋" w:hAnsi="仿宋" w:eastAsia="仿宋"/>
          <w:color w:val="000000" w:themeColor="text1"/>
          <w:sz w:val="24"/>
          <w:szCs w:val="24"/>
        </w:rPr>
      </w:pPr>
    </w:p>
    <w:p>
      <w:pPr>
        <w:pStyle w:val="69"/>
        <w:spacing w:line="20" w:lineRule="atLeast"/>
        <w:jc w:val="center"/>
        <w:rPr>
          <w:color w:val="000000" w:themeColor="text1"/>
        </w:rPr>
      </w:pPr>
      <w:r>
        <w:rPr>
          <w:rFonts w:hint="eastAsia" w:ascii="仿宋" w:hAnsi="仿宋" w:eastAsia="仿宋"/>
          <w:color w:val="000000" w:themeColor="text1"/>
          <w:sz w:val="24"/>
          <w:szCs w:val="24"/>
        </w:rPr>
        <w:t>（结束）</w:t>
      </w:r>
    </w:p>
    <w:sectPr>
      <w:head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文鼎粗黑">
    <w:altName w:val="黑体"/>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3"/>
        <w:rFonts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- 3 -</w:t>
    </w:r>
    <w:r>
      <w:rPr>
        <w:rFonts w:ascii="宋体"/>
        <w:sz w:val="21"/>
        <w:szCs w:val="21"/>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r>
      <w:fldChar w:fldCharType="begin"/>
    </w:r>
    <w:r>
      <w:rPr>
        <w:rStyle w:val="63"/>
      </w:rPr>
      <w:instrText xml:space="preserve">PAGE  </w:instrText>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p>
  <w:p>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jc w:val="center"/>
    </w:pPr>
    <w:r>
      <w:fldChar w:fldCharType="begin"/>
    </w:r>
    <w:r>
      <w:rPr>
        <w:rStyle w:val="63"/>
      </w:rPr>
      <w:instrText xml:space="preserve"> PAGE </w:instrText>
    </w:r>
    <w:r>
      <w:fldChar w:fldCharType="separate"/>
    </w:r>
    <w:r>
      <w:rPr>
        <w:rStyle w:val="63"/>
      </w:rPr>
      <w:t>- 25 -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- 39 -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仿宋" w:hAnsi="仿宋" w:eastAsia="仿宋" w:cs="仿宋"/>
        <w:sz w:val="24"/>
        <w:szCs w:val="24"/>
      </w:rPr>
    </w:pPr>
    <w:r>
      <w:rPr>
        <w:rFonts w:hint="eastAsia" w:ascii="方正仿宋_GBK" w:eastAsia="方正仿宋_GBK"/>
        <w:sz w:val="21"/>
        <w:szCs w:val="21"/>
      </w:rPr>
      <w:drawing>
        <wp:inline distT="0" distB="0" distL="114300" distR="114300">
          <wp:extent cx="1196340" cy="194945"/>
          <wp:effectExtent l="0" t="0" r="3810" b="14605"/>
          <wp:docPr id="1" name="图片 1"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642df8db0480d4b1b18e4acae23851"/>
                  <pic:cNvPicPr>
                    <a:picLocks noChangeAspect="1"/>
                  </pic:cNvPicPr>
                </pic:nvPicPr>
                <pic:blipFill>
                  <a:blip r:embed="rId1"/>
                  <a:stretch>
                    <a:fillRect/>
                  </a:stretch>
                </pic:blipFill>
                <pic:spPr>
                  <a:xfrm>
                    <a:off x="0" y="0"/>
                    <a:ext cx="1196340" cy="194945"/>
                  </a:xfrm>
                  <a:prstGeom prst="rect">
                    <a:avLst/>
                  </a:prstGeom>
                  <a:noFill/>
                  <a:ln>
                    <a:noFill/>
                  </a:ln>
                </pic:spPr>
              </pic:pic>
            </a:graphicData>
          </a:graphic>
        </wp:inline>
      </w:drawing>
    </w:r>
    <w:r>
      <w:rPr>
        <w:rFonts w:hint="eastAsia" w:ascii="方正仿宋_GBK" w:eastAsia="方正仿宋_GBK"/>
        <w:sz w:val="21"/>
        <w:szCs w:val="21"/>
        <w:lang w:val="en-US" w:eastAsia="zh-CN"/>
      </w:rPr>
      <w:t xml:space="preserve">                                                      </w:t>
    </w:r>
    <w:r>
      <w:rPr>
        <w:rFonts w:hint="eastAsia" w:ascii="仿宋" w:hAnsi="仿宋" w:eastAsia="仿宋" w:cs="仿宋"/>
        <w:sz w:val="24"/>
        <w:szCs w:val="24"/>
      </w:rPr>
      <w:t>网上竞采文件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仿宋" w:hAnsi="仿宋" w:eastAsia="仿宋" w:cs="仿宋"/>
        <w:sz w:val="24"/>
        <w:szCs w:val="24"/>
      </w:rPr>
    </w:pPr>
    <w:r>
      <w:rPr>
        <w:rFonts w:hint="eastAsia" w:ascii="方正仿宋_GBK" w:eastAsia="方正仿宋_GBK"/>
        <w:sz w:val="21"/>
        <w:szCs w:val="21"/>
      </w:rPr>
      <w:drawing>
        <wp:inline distT="0" distB="0" distL="114300" distR="114300">
          <wp:extent cx="1414780" cy="230505"/>
          <wp:effectExtent l="0" t="0" r="13970" b="17145"/>
          <wp:docPr id="2" name="图片 2"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642df8db0480d4b1b18e4acae23851"/>
                  <pic:cNvPicPr>
                    <a:picLocks noChangeAspect="1"/>
                  </pic:cNvPicPr>
                </pic:nvPicPr>
                <pic:blipFill>
                  <a:blip r:embed="rId1"/>
                  <a:stretch>
                    <a:fillRect/>
                  </a:stretch>
                </pic:blipFill>
                <pic:spPr>
                  <a:xfrm>
                    <a:off x="0" y="0"/>
                    <a:ext cx="1414780" cy="230505"/>
                  </a:xfrm>
                  <a:prstGeom prst="rect">
                    <a:avLst/>
                  </a:prstGeom>
                  <a:noFill/>
                  <a:ln>
                    <a:noFill/>
                  </a:ln>
                </pic:spPr>
              </pic:pic>
            </a:graphicData>
          </a:graphic>
        </wp:inline>
      </w:drawing>
    </w:r>
    <w:r>
      <w:rPr>
        <w:rFonts w:hint="eastAsia" w:ascii="方正仿宋_GBK" w:eastAsia="方正仿宋_GBK"/>
        <w:sz w:val="21"/>
        <w:szCs w:val="21"/>
        <w:lang w:val="en-US" w:eastAsia="zh-CN"/>
      </w:rPr>
      <w:t xml:space="preserve">                                                    </w:t>
    </w:r>
    <w:r>
      <w:rPr>
        <w:rFonts w:hint="eastAsia" w:ascii="仿宋" w:hAnsi="仿宋" w:eastAsia="仿宋" w:cs="仿宋"/>
        <w:sz w:val="24"/>
        <w:szCs w:val="24"/>
      </w:rPr>
      <w:t>网上竞采文件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仿宋" w:hAnsi="仿宋" w:eastAsia="仿宋" w:cs="仿宋"/>
        <w:sz w:val="24"/>
        <w:szCs w:val="24"/>
      </w:rPr>
    </w:pPr>
    <w:r>
      <w:rPr>
        <w:rFonts w:hint="eastAsia" w:ascii="方正仿宋_GBK" w:eastAsia="方正仿宋_GBK"/>
        <w:sz w:val="21"/>
        <w:szCs w:val="21"/>
      </w:rPr>
      <w:drawing>
        <wp:inline distT="0" distB="0" distL="114300" distR="114300">
          <wp:extent cx="1539875" cy="250825"/>
          <wp:effectExtent l="0" t="0" r="3175" b="15875"/>
          <wp:docPr id="3" name="图片 3"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642df8db0480d4b1b18e4acae23851"/>
                  <pic:cNvPicPr>
                    <a:picLocks noChangeAspect="1"/>
                  </pic:cNvPicPr>
                </pic:nvPicPr>
                <pic:blipFill>
                  <a:blip r:embed="rId1"/>
                  <a:stretch>
                    <a:fillRect/>
                  </a:stretch>
                </pic:blipFill>
                <pic:spPr>
                  <a:xfrm>
                    <a:off x="0" y="0"/>
                    <a:ext cx="1539875" cy="250825"/>
                  </a:xfrm>
                  <a:prstGeom prst="rect">
                    <a:avLst/>
                  </a:prstGeom>
                  <a:noFill/>
                  <a:ln>
                    <a:noFill/>
                  </a:ln>
                </pic:spPr>
              </pic:pic>
            </a:graphicData>
          </a:graphic>
        </wp:inline>
      </w:drawing>
    </w:r>
    <w:r>
      <w:rPr>
        <w:rFonts w:hint="eastAsia" w:ascii="方正仿宋_GBK" w:eastAsia="方正仿宋_GBK"/>
        <w:sz w:val="21"/>
        <w:szCs w:val="21"/>
        <w:lang w:val="en-US" w:eastAsia="zh-CN"/>
      </w:rPr>
      <w:t xml:space="preserve">                                              </w:t>
    </w:r>
    <w:r>
      <w:rPr>
        <w:rFonts w:hint="eastAsia" w:ascii="仿宋" w:hAnsi="仿宋" w:eastAsia="仿宋" w:cs="仿宋"/>
        <w:sz w:val="24"/>
        <w:szCs w:val="24"/>
      </w:rPr>
      <w:t>网上竞采文件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仿宋" w:hAnsi="仿宋" w:eastAsia="仿宋" w:cs="仿宋"/>
        <w:sz w:val="24"/>
        <w:szCs w:val="24"/>
      </w:rPr>
    </w:pPr>
    <w:r>
      <w:rPr>
        <w:rFonts w:hint="eastAsia" w:ascii="方正仿宋_GBK" w:eastAsia="方正仿宋_GBK"/>
        <w:sz w:val="21"/>
        <w:szCs w:val="21"/>
      </w:rPr>
      <w:drawing>
        <wp:inline distT="0" distB="0" distL="114300" distR="114300">
          <wp:extent cx="1539875" cy="250825"/>
          <wp:effectExtent l="0" t="0" r="3175" b="15875"/>
          <wp:docPr id="4" name="图片 4"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642df8db0480d4b1b18e4acae23851"/>
                  <pic:cNvPicPr>
                    <a:picLocks noChangeAspect="1"/>
                  </pic:cNvPicPr>
                </pic:nvPicPr>
                <pic:blipFill>
                  <a:blip r:embed="rId1"/>
                  <a:stretch>
                    <a:fillRect/>
                  </a:stretch>
                </pic:blipFill>
                <pic:spPr>
                  <a:xfrm>
                    <a:off x="0" y="0"/>
                    <a:ext cx="1539875" cy="250825"/>
                  </a:xfrm>
                  <a:prstGeom prst="rect">
                    <a:avLst/>
                  </a:prstGeom>
                  <a:noFill/>
                  <a:ln>
                    <a:noFill/>
                  </a:ln>
                </pic:spPr>
              </pic:pic>
            </a:graphicData>
          </a:graphic>
        </wp:inline>
      </w:drawing>
    </w:r>
    <w:r>
      <w:rPr>
        <w:rFonts w:hint="eastAsia" w:ascii="方正仿宋_GBK" w:eastAsia="方正仿宋_GBK"/>
        <w:sz w:val="21"/>
        <w:szCs w:val="21"/>
        <w:lang w:val="en-US" w:eastAsia="zh-CN"/>
      </w:rPr>
      <w:t xml:space="preserve">                                                 </w:t>
    </w:r>
    <w:r>
      <w:rPr>
        <w:rFonts w:hint="eastAsia" w:ascii="仿宋" w:hAnsi="仿宋" w:eastAsia="仿宋" w:cs="仿宋"/>
        <w:sz w:val="24"/>
        <w:szCs w:val="24"/>
      </w:rPr>
      <w:t>网上竞采文件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CC30D"/>
    <w:multiLevelType w:val="singleLevel"/>
    <w:tmpl w:val="B41CC30D"/>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7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6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1"/>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39"/>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4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73"/>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1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2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4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5"/>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9"/>
  </w:num>
  <w:num w:numId="2">
    <w:abstractNumId w:val="10"/>
  </w:num>
  <w:num w:numId="3">
    <w:abstractNumId w:val="11"/>
  </w:num>
  <w:num w:numId="4">
    <w:abstractNumId w:val="5"/>
  </w:num>
  <w:num w:numId="5">
    <w:abstractNumId w:val="2"/>
  </w:num>
  <w:num w:numId="6">
    <w:abstractNumId w:val="6"/>
  </w:num>
  <w:num w:numId="7">
    <w:abstractNumId w:val="1"/>
  </w:num>
  <w:num w:numId="8">
    <w:abstractNumId w:val="3"/>
  </w:num>
  <w:num w:numId="9">
    <w:abstractNumId w:val="13"/>
  </w:num>
  <w:num w:numId="10">
    <w:abstractNumId w:val="7"/>
  </w:num>
  <w:num w:numId="11">
    <w:abstractNumId w:val="8"/>
  </w:num>
  <w:num w:numId="12">
    <w:abstractNumId w:val="4"/>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diYjdhYmUyNjNhZjhhZWUwNGEwN2ZhNDNlYzkxN2UifQ=="/>
  </w:docVars>
  <w:rsids>
    <w:rsidRoot w:val="00172A27"/>
    <w:rsid w:val="00003626"/>
    <w:rsid w:val="00003672"/>
    <w:rsid w:val="000040DE"/>
    <w:rsid w:val="00005F84"/>
    <w:rsid w:val="000074B1"/>
    <w:rsid w:val="000075E8"/>
    <w:rsid w:val="00011B4B"/>
    <w:rsid w:val="00015F27"/>
    <w:rsid w:val="00016273"/>
    <w:rsid w:val="00016B79"/>
    <w:rsid w:val="00016C0C"/>
    <w:rsid w:val="00017816"/>
    <w:rsid w:val="00026521"/>
    <w:rsid w:val="000276C2"/>
    <w:rsid w:val="00027C40"/>
    <w:rsid w:val="0003258D"/>
    <w:rsid w:val="0003632F"/>
    <w:rsid w:val="00036348"/>
    <w:rsid w:val="000372E9"/>
    <w:rsid w:val="0004739C"/>
    <w:rsid w:val="0005298B"/>
    <w:rsid w:val="00052BB5"/>
    <w:rsid w:val="0005398D"/>
    <w:rsid w:val="0005417C"/>
    <w:rsid w:val="00056D3D"/>
    <w:rsid w:val="000576E1"/>
    <w:rsid w:val="00061E4A"/>
    <w:rsid w:val="00063981"/>
    <w:rsid w:val="00066B5A"/>
    <w:rsid w:val="00067704"/>
    <w:rsid w:val="00070F05"/>
    <w:rsid w:val="00072ED6"/>
    <w:rsid w:val="000745D7"/>
    <w:rsid w:val="00075D20"/>
    <w:rsid w:val="00076322"/>
    <w:rsid w:val="000820FF"/>
    <w:rsid w:val="000834C1"/>
    <w:rsid w:val="00083A03"/>
    <w:rsid w:val="00084999"/>
    <w:rsid w:val="00090C5A"/>
    <w:rsid w:val="00091B1C"/>
    <w:rsid w:val="00091D22"/>
    <w:rsid w:val="000A164E"/>
    <w:rsid w:val="000A3057"/>
    <w:rsid w:val="000A7112"/>
    <w:rsid w:val="000B42F4"/>
    <w:rsid w:val="000B6731"/>
    <w:rsid w:val="000B7377"/>
    <w:rsid w:val="000B7F54"/>
    <w:rsid w:val="000C37C8"/>
    <w:rsid w:val="000C6553"/>
    <w:rsid w:val="000C65C8"/>
    <w:rsid w:val="000C6D89"/>
    <w:rsid w:val="000D1A63"/>
    <w:rsid w:val="000D787D"/>
    <w:rsid w:val="000E01C9"/>
    <w:rsid w:val="000E0DD7"/>
    <w:rsid w:val="000E3259"/>
    <w:rsid w:val="000E5799"/>
    <w:rsid w:val="000F1AEC"/>
    <w:rsid w:val="000F7DBF"/>
    <w:rsid w:val="0010014A"/>
    <w:rsid w:val="00100639"/>
    <w:rsid w:val="00105638"/>
    <w:rsid w:val="00107162"/>
    <w:rsid w:val="00111729"/>
    <w:rsid w:val="0011315B"/>
    <w:rsid w:val="00115337"/>
    <w:rsid w:val="00116856"/>
    <w:rsid w:val="00116FBF"/>
    <w:rsid w:val="0011780F"/>
    <w:rsid w:val="00120259"/>
    <w:rsid w:val="00121E78"/>
    <w:rsid w:val="00122009"/>
    <w:rsid w:val="00122F9D"/>
    <w:rsid w:val="00123FE5"/>
    <w:rsid w:val="001266BF"/>
    <w:rsid w:val="0013018A"/>
    <w:rsid w:val="00130513"/>
    <w:rsid w:val="00132A86"/>
    <w:rsid w:val="00132DC3"/>
    <w:rsid w:val="00133D16"/>
    <w:rsid w:val="00133E15"/>
    <w:rsid w:val="00134037"/>
    <w:rsid w:val="00134E3D"/>
    <w:rsid w:val="001351C4"/>
    <w:rsid w:val="00142356"/>
    <w:rsid w:val="00144305"/>
    <w:rsid w:val="00147FB4"/>
    <w:rsid w:val="0015011C"/>
    <w:rsid w:val="00150429"/>
    <w:rsid w:val="00152B00"/>
    <w:rsid w:val="00154A1E"/>
    <w:rsid w:val="00157DBF"/>
    <w:rsid w:val="001673BF"/>
    <w:rsid w:val="00171E05"/>
    <w:rsid w:val="00172A27"/>
    <w:rsid w:val="001738A2"/>
    <w:rsid w:val="001757CE"/>
    <w:rsid w:val="00180ACB"/>
    <w:rsid w:val="00183B60"/>
    <w:rsid w:val="00183F9B"/>
    <w:rsid w:val="00186623"/>
    <w:rsid w:val="001879FD"/>
    <w:rsid w:val="00194CF2"/>
    <w:rsid w:val="001A6DCC"/>
    <w:rsid w:val="001B16EE"/>
    <w:rsid w:val="001B25AF"/>
    <w:rsid w:val="001B3DBD"/>
    <w:rsid w:val="001B4377"/>
    <w:rsid w:val="001B666A"/>
    <w:rsid w:val="001C50F0"/>
    <w:rsid w:val="001C7054"/>
    <w:rsid w:val="001C7351"/>
    <w:rsid w:val="001D2321"/>
    <w:rsid w:val="001D2DCD"/>
    <w:rsid w:val="001D494B"/>
    <w:rsid w:val="001D4F36"/>
    <w:rsid w:val="001D5055"/>
    <w:rsid w:val="001D630C"/>
    <w:rsid w:val="001E1304"/>
    <w:rsid w:val="001E201B"/>
    <w:rsid w:val="001E2873"/>
    <w:rsid w:val="001E5CAC"/>
    <w:rsid w:val="001E6841"/>
    <w:rsid w:val="001E70DC"/>
    <w:rsid w:val="001E725F"/>
    <w:rsid w:val="001F1AF7"/>
    <w:rsid w:val="001F4964"/>
    <w:rsid w:val="001F7063"/>
    <w:rsid w:val="00202B04"/>
    <w:rsid w:val="00204936"/>
    <w:rsid w:val="002051CF"/>
    <w:rsid w:val="00207C32"/>
    <w:rsid w:val="002100EE"/>
    <w:rsid w:val="00210E74"/>
    <w:rsid w:val="0021704D"/>
    <w:rsid w:val="0021749D"/>
    <w:rsid w:val="00222097"/>
    <w:rsid w:val="00224BA8"/>
    <w:rsid w:val="002259EB"/>
    <w:rsid w:val="00227202"/>
    <w:rsid w:val="00227377"/>
    <w:rsid w:val="00227851"/>
    <w:rsid w:val="002348E0"/>
    <w:rsid w:val="00234984"/>
    <w:rsid w:val="002351C5"/>
    <w:rsid w:val="0023753B"/>
    <w:rsid w:val="00240BD3"/>
    <w:rsid w:val="002426DA"/>
    <w:rsid w:val="00242AB7"/>
    <w:rsid w:val="00244225"/>
    <w:rsid w:val="00252F55"/>
    <w:rsid w:val="002537A8"/>
    <w:rsid w:val="00253A6B"/>
    <w:rsid w:val="00253E8A"/>
    <w:rsid w:val="00255F7F"/>
    <w:rsid w:val="002575D8"/>
    <w:rsid w:val="002608DC"/>
    <w:rsid w:val="00261CE4"/>
    <w:rsid w:val="0026418D"/>
    <w:rsid w:val="002643C1"/>
    <w:rsid w:val="00265203"/>
    <w:rsid w:val="0027199E"/>
    <w:rsid w:val="00271D47"/>
    <w:rsid w:val="002721EA"/>
    <w:rsid w:val="0027413A"/>
    <w:rsid w:val="00280E8A"/>
    <w:rsid w:val="00283084"/>
    <w:rsid w:val="00285164"/>
    <w:rsid w:val="00290F05"/>
    <w:rsid w:val="00292821"/>
    <w:rsid w:val="00294BEC"/>
    <w:rsid w:val="00296713"/>
    <w:rsid w:val="00297B53"/>
    <w:rsid w:val="002A25E7"/>
    <w:rsid w:val="002A4956"/>
    <w:rsid w:val="002A6710"/>
    <w:rsid w:val="002B51B5"/>
    <w:rsid w:val="002B578B"/>
    <w:rsid w:val="002B7904"/>
    <w:rsid w:val="002C2507"/>
    <w:rsid w:val="002C2E6E"/>
    <w:rsid w:val="002C3623"/>
    <w:rsid w:val="002C3ACC"/>
    <w:rsid w:val="002C6C41"/>
    <w:rsid w:val="002C75D0"/>
    <w:rsid w:val="002C7927"/>
    <w:rsid w:val="002D269B"/>
    <w:rsid w:val="002D5F4A"/>
    <w:rsid w:val="002D7725"/>
    <w:rsid w:val="002F0071"/>
    <w:rsid w:val="002F0ED3"/>
    <w:rsid w:val="002F303E"/>
    <w:rsid w:val="002F3DE3"/>
    <w:rsid w:val="002F632E"/>
    <w:rsid w:val="002F724C"/>
    <w:rsid w:val="003010D1"/>
    <w:rsid w:val="003021BC"/>
    <w:rsid w:val="0030415A"/>
    <w:rsid w:val="003059F0"/>
    <w:rsid w:val="00305E18"/>
    <w:rsid w:val="00310AF9"/>
    <w:rsid w:val="0031236A"/>
    <w:rsid w:val="00314220"/>
    <w:rsid w:val="0031465E"/>
    <w:rsid w:val="00314C0B"/>
    <w:rsid w:val="00315742"/>
    <w:rsid w:val="00316249"/>
    <w:rsid w:val="003163B3"/>
    <w:rsid w:val="00320734"/>
    <w:rsid w:val="00322362"/>
    <w:rsid w:val="00322A7A"/>
    <w:rsid w:val="00325E62"/>
    <w:rsid w:val="00326C5B"/>
    <w:rsid w:val="00341DEB"/>
    <w:rsid w:val="00346A3D"/>
    <w:rsid w:val="00350C20"/>
    <w:rsid w:val="00351616"/>
    <w:rsid w:val="0035412A"/>
    <w:rsid w:val="003548FA"/>
    <w:rsid w:val="00355A74"/>
    <w:rsid w:val="00361427"/>
    <w:rsid w:val="0036458B"/>
    <w:rsid w:val="0036548C"/>
    <w:rsid w:val="00371D2F"/>
    <w:rsid w:val="00373122"/>
    <w:rsid w:val="003733A4"/>
    <w:rsid w:val="00376FFC"/>
    <w:rsid w:val="0038033A"/>
    <w:rsid w:val="003816ED"/>
    <w:rsid w:val="003828AB"/>
    <w:rsid w:val="003828DA"/>
    <w:rsid w:val="003835DB"/>
    <w:rsid w:val="00384161"/>
    <w:rsid w:val="00386FB1"/>
    <w:rsid w:val="00387610"/>
    <w:rsid w:val="003934A6"/>
    <w:rsid w:val="00395C2F"/>
    <w:rsid w:val="00396304"/>
    <w:rsid w:val="003973D3"/>
    <w:rsid w:val="00397F89"/>
    <w:rsid w:val="003A0892"/>
    <w:rsid w:val="003A449E"/>
    <w:rsid w:val="003A5701"/>
    <w:rsid w:val="003A71F3"/>
    <w:rsid w:val="003A7A91"/>
    <w:rsid w:val="003B19F5"/>
    <w:rsid w:val="003B787B"/>
    <w:rsid w:val="003C0734"/>
    <w:rsid w:val="003D0404"/>
    <w:rsid w:val="003D0E0A"/>
    <w:rsid w:val="003D1C64"/>
    <w:rsid w:val="003D3684"/>
    <w:rsid w:val="003D3B22"/>
    <w:rsid w:val="003D4380"/>
    <w:rsid w:val="003D7B3D"/>
    <w:rsid w:val="003E1D18"/>
    <w:rsid w:val="003E2F53"/>
    <w:rsid w:val="003E30AE"/>
    <w:rsid w:val="003E5DE4"/>
    <w:rsid w:val="003F626F"/>
    <w:rsid w:val="00401C02"/>
    <w:rsid w:val="00402B32"/>
    <w:rsid w:val="004061B4"/>
    <w:rsid w:val="00407B9C"/>
    <w:rsid w:val="00410C93"/>
    <w:rsid w:val="00411B4A"/>
    <w:rsid w:val="004134DD"/>
    <w:rsid w:val="0041477F"/>
    <w:rsid w:val="00415A50"/>
    <w:rsid w:val="00417E99"/>
    <w:rsid w:val="00421AF3"/>
    <w:rsid w:val="004227C5"/>
    <w:rsid w:val="00423088"/>
    <w:rsid w:val="004326E4"/>
    <w:rsid w:val="00432B1D"/>
    <w:rsid w:val="00433249"/>
    <w:rsid w:val="00435C5E"/>
    <w:rsid w:val="00442061"/>
    <w:rsid w:val="00443B7E"/>
    <w:rsid w:val="0044758D"/>
    <w:rsid w:val="00447EBD"/>
    <w:rsid w:val="0045120D"/>
    <w:rsid w:val="00453B8F"/>
    <w:rsid w:val="00460B42"/>
    <w:rsid w:val="004618C1"/>
    <w:rsid w:val="00462878"/>
    <w:rsid w:val="00465B7A"/>
    <w:rsid w:val="00470232"/>
    <w:rsid w:val="00472AA2"/>
    <w:rsid w:val="00473B39"/>
    <w:rsid w:val="00474F9B"/>
    <w:rsid w:val="004774DA"/>
    <w:rsid w:val="004818B5"/>
    <w:rsid w:val="00494491"/>
    <w:rsid w:val="004953EC"/>
    <w:rsid w:val="004A0D29"/>
    <w:rsid w:val="004A0DE1"/>
    <w:rsid w:val="004A2410"/>
    <w:rsid w:val="004A27AC"/>
    <w:rsid w:val="004A3995"/>
    <w:rsid w:val="004A7BA2"/>
    <w:rsid w:val="004B2216"/>
    <w:rsid w:val="004B2C62"/>
    <w:rsid w:val="004B7322"/>
    <w:rsid w:val="004C1DD0"/>
    <w:rsid w:val="004C4D05"/>
    <w:rsid w:val="004C64E4"/>
    <w:rsid w:val="004D1B31"/>
    <w:rsid w:val="004D2334"/>
    <w:rsid w:val="004D3ED5"/>
    <w:rsid w:val="004D43AC"/>
    <w:rsid w:val="004D4C7A"/>
    <w:rsid w:val="004E156F"/>
    <w:rsid w:val="004E55DB"/>
    <w:rsid w:val="004E67C6"/>
    <w:rsid w:val="004F294F"/>
    <w:rsid w:val="004F7C44"/>
    <w:rsid w:val="00501E63"/>
    <w:rsid w:val="00502B2F"/>
    <w:rsid w:val="00507C97"/>
    <w:rsid w:val="00512D00"/>
    <w:rsid w:val="00514179"/>
    <w:rsid w:val="00514B0C"/>
    <w:rsid w:val="00516123"/>
    <w:rsid w:val="00535D37"/>
    <w:rsid w:val="0053630F"/>
    <w:rsid w:val="00536370"/>
    <w:rsid w:val="00540464"/>
    <w:rsid w:val="00544BEA"/>
    <w:rsid w:val="005460D5"/>
    <w:rsid w:val="005503B0"/>
    <w:rsid w:val="00553CF0"/>
    <w:rsid w:val="005624F3"/>
    <w:rsid w:val="00565750"/>
    <w:rsid w:val="00566A85"/>
    <w:rsid w:val="00570AB1"/>
    <w:rsid w:val="005717C2"/>
    <w:rsid w:val="00573AE3"/>
    <w:rsid w:val="00573B55"/>
    <w:rsid w:val="00573EA8"/>
    <w:rsid w:val="0058355F"/>
    <w:rsid w:val="00584701"/>
    <w:rsid w:val="00585F00"/>
    <w:rsid w:val="005902D9"/>
    <w:rsid w:val="00591E34"/>
    <w:rsid w:val="005954E2"/>
    <w:rsid w:val="00596AB7"/>
    <w:rsid w:val="005A16EC"/>
    <w:rsid w:val="005A1D76"/>
    <w:rsid w:val="005A1EA7"/>
    <w:rsid w:val="005A5F58"/>
    <w:rsid w:val="005B0724"/>
    <w:rsid w:val="005B1E46"/>
    <w:rsid w:val="005B7E66"/>
    <w:rsid w:val="005C0587"/>
    <w:rsid w:val="005C3F4B"/>
    <w:rsid w:val="005C42AC"/>
    <w:rsid w:val="005C4F84"/>
    <w:rsid w:val="005D37D0"/>
    <w:rsid w:val="005D636E"/>
    <w:rsid w:val="005D703E"/>
    <w:rsid w:val="005E5525"/>
    <w:rsid w:val="005F1360"/>
    <w:rsid w:val="005F7390"/>
    <w:rsid w:val="0060078B"/>
    <w:rsid w:val="00601DEA"/>
    <w:rsid w:val="00602911"/>
    <w:rsid w:val="006030F6"/>
    <w:rsid w:val="006055C2"/>
    <w:rsid w:val="00611E32"/>
    <w:rsid w:val="0061321C"/>
    <w:rsid w:val="00613410"/>
    <w:rsid w:val="00617986"/>
    <w:rsid w:val="006212A6"/>
    <w:rsid w:val="00621ADA"/>
    <w:rsid w:val="00621C82"/>
    <w:rsid w:val="006238EF"/>
    <w:rsid w:val="00624E6D"/>
    <w:rsid w:val="00627729"/>
    <w:rsid w:val="00627F21"/>
    <w:rsid w:val="0063458A"/>
    <w:rsid w:val="006376A5"/>
    <w:rsid w:val="00637716"/>
    <w:rsid w:val="0064583B"/>
    <w:rsid w:val="00651127"/>
    <w:rsid w:val="0065190C"/>
    <w:rsid w:val="00651BB7"/>
    <w:rsid w:val="00651E63"/>
    <w:rsid w:val="0065370C"/>
    <w:rsid w:val="00653CA1"/>
    <w:rsid w:val="00654A48"/>
    <w:rsid w:val="00654A85"/>
    <w:rsid w:val="0065651B"/>
    <w:rsid w:val="00664607"/>
    <w:rsid w:val="00670089"/>
    <w:rsid w:val="00680AE4"/>
    <w:rsid w:val="00682205"/>
    <w:rsid w:val="00684E51"/>
    <w:rsid w:val="00686DBD"/>
    <w:rsid w:val="0068726B"/>
    <w:rsid w:val="00696C07"/>
    <w:rsid w:val="006A100B"/>
    <w:rsid w:val="006A143A"/>
    <w:rsid w:val="006A3285"/>
    <w:rsid w:val="006B0567"/>
    <w:rsid w:val="006B5FA2"/>
    <w:rsid w:val="006B72DE"/>
    <w:rsid w:val="006B763A"/>
    <w:rsid w:val="006C32C0"/>
    <w:rsid w:val="006C5FC1"/>
    <w:rsid w:val="006C7587"/>
    <w:rsid w:val="006D02A7"/>
    <w:rsid w:val="006D0407"/>
    <w:rsid w:val="006D1572"/>
    <w:rsid w:val="006D26F3"/>
    <w:rsid w:val="006D44E1"/>
    <w:rsid w:val="006D4899"/>
    <w:rsid w:val="006D5D12"/>
    <w:rsid w:val="006E158D"/>
    <w:rsid w:val="006E21FA"/>
    <w:rsid w:val="006E477D"/>
    <w:rsid w:val="006E6D5F"/>
    <w:rsid w:val="006F0FB7"/>
    <w:rsid w:val="006F43A4"/>
    <w:rsid w:val="006F56BC"/>
    <w:rsid w:val="006F5925"/>
    <w:rsid w:val="00701D7F"/>
    <w:rsid w:val="00702166"/>
    <w:rsid w:val="00704569"/>
    <w:rsid w:val="00704E5D"/>
    <w:rsid w:val="00705739"/>
    <w:rsid w:val="00707482"/>
    <w:rsid w:val="00710AE5"/>
    <w:rsid w:val="00714BF1"/>
    <w:rsid w:val="00715BCB"/>
    <w:rsid w:val="00715EFF"/>
    <w:rsid w:val="00715FB5"/>
    <w:rsid w:val="007171A6"/>
    <w:rsid w:val="0071799D"/>
    <w:rsid w:val="00726088"/>
    <w:rsid w:val="00730B6A"/>
    <w:rsid w:val="0073172B"/>
    <w:rsid w:val="00736D88"/>
    <w:rsid w:val="00736DD2"/>
    <w:rsid w:val="00740EC7"/>
    <w:rsid w:val="0074681C"/>
    <w:rsid w:val="00746EC2"/>
    <w:rsid w:val="00757E02"/>
    <w:rsid w:val="0077305F"/>
    <w:rsid w:val="00787FCA"/>
    <w:rsid w:val="00790B21"/>
    <w:rsid w:val="00794382"/>
    <w:rsid w:val="007959AC"/>
    <w:rsid w:val="007A0CDD"/>
    <w:rsid w:val="007A20E0"/>
    <w:rsid w:val="007B2204"/>
    <w:rsid w:val="007B4B60"/>
    <w:rsid w:val="007B6BEB"/>
    <w:rsid w:val="007C17F1"/>
    <w:rsid w:val="007C4014"/>
    <w:rsid w:val="007C62A7"/>
    <w:rsid w:val="007C6B0F"/>
    <w:rsid w:val="007D47A4"/>
    <w:rsid w:val="007D5365"/>
    <w:rsid w:val="007D763D"/>
    <w:rsid w:val="007D7A44"/>
    <w:rsid w:val="007D7E65"/>
    <w:rsid w:val="007E19E0"/>
    <w:rsid w:val="007E2EAF"/>
    <w:rsid w:val="007E78B4"/>
    <w:rsid w:val="007F411F"/>
    <w:rsid w:val="008041D4"/>
    <w:rsid w:val="0081156A"/>
    <w:rsid w:val="00812C9B"/>
    <w:rsid w:val="00813391"/>
    <w:rsid w:val="00825D43"/>
    <w:rsid w:val="00827398"/>
    <w:rsid w:val="00830FAD"/>
    <w:rsid w:val="00834ABA"/>
    <w:rsid w:val="00842974"/>
    <w:rsid w:val="00842BB3"/>
    <w:rsid w:val="00842F87"/>
    <w:rsid w:val="008517D1"/>
    <w:rsid w:val="008521A5"/>
    <w:rsid w:val="0085550A"/>
    <w:rsid w:val="0086008B"/>
    <w:rsid w:val="008616EF"/>
    <w:rsid w:val="00862EF1"/>
    <w:rsid w:val="00863C25"/>
    <w:rsid w:val="00863CCF"/>
    <w:rsid w:val="008641B7"/>
    <w:rsid w:val="0086422A"/>
    <w:rsid w:val="00864DC1"/>
    <w:rsid w:val="00866A28"/>
    <w:rsid w:val="008705BC"/>
    <w:rsid w:val="0087167F"/>
    <w:rsid w:val="00875A42"/>
    <w:rsid w:val="008904A8"/>
    <w:rsid w:val="00891D94"/>
    <w:rsid w:val="00895C23"/>
    <w:rsid w:val="008A19AF"/>
    <w:rsid w:val="008A20FB"/>
    <w:rsid w:val="008A34D7"/>
    <w:rsid w:val="008A77DF"/>
    <w:rsid w:val="008C2CDC"/>
    <w:rsid w:val="008C3A07"/>
    <w:rsid w:val="008C4C84"/>
    <w:rsid w:val="008C510F"/>
    <w:rsid w:val="008C7C27"/>
    <w:rsid w:val="008D067F"/>
    <w:rsid w:val="008D599A"/>
    <w:rsid w:val="008E510A"/>
    <w:rsid w:val="008E66B8"/>
    <w:rsid w:val="008E7F09"/>
    <w:rsid w:val="008F0A2E"/>
    <w:rsid w:val="008F1988"/>
    <w:rsid w:val="008F6252"/>
    <w:rsid w:val="008F7095"/>
    <w:rsid w:val="009023F3"/>
    <w:rsid w:val="0090383C"/>
    <w:rsid w:val="00910AE5"/>
    <w:rsid w:val="00912132"/>
    <w:rsid w:val="00914E7A"/>
    <w:rsid w:val="00921161"/>
    <w:rsid w:val="00922FAD"/>
    <w:rsid w:val="00923FFD"/>
    <w:rsid w:val="00924F0A"/>
    <w:rsid w:val="00926157"/>
    <w:rsid w:val="0092708B"/>
    <w:rsid w:val="0093049D"/>
    <w:rsid w:val="00937713"/>
    <w:rsid w:val="009460FF"/>
    <w:rsid w:val="0094759E"/>
    <w:rsid w:val="00947BE4"/>
    <w:rsid w:val="00950969"/>
    <w:rsid w:val="0095455E"/>
    <w:rsid w:val="0095547F"/>
    <w:rsid w:val="00961363"/>
    <w:rsid w:val="009614A0"/>
    <w:rsid w:val="00962BF1"/>
    <w:rsid w:val="00966820"/>
    <w:rsid w:val="00970E26"/>
    <w:rsid w:val="00971E57"/>
    <w:rsid w:val="009723CF"/>
    <w:rsid w:val="0097652A"/>
    <w:rsid w:val="00980037"/>
    <w:rsid w:val="00983B43"/>
    <w:rsid w:val="0098619D"/>
    <w:rsid w:val="009916B7"/>
    <w:rsid w:val="00991B37"/>
    <w:rsid w:val="00997D03"/>
    <w:rsid w:val="009A000A"/>
    <w:rsid w:val="009A05AD"/>
    <w:rsid w:val="009A140C"/>
    <w:rsid w:val="009A270D"/>
    <w:rsid w:val="009A54D7"/>
    <w:rsid w:val="009A6496"/>
    <w:rsid w:val="009B2DE9"/>
    <w:rsid w:val="009C12CA"/>
    <w:rsid w:val="009C149E"/>
    <w:rsid w:val="009C17F8"/>
    <w:rsid w:val="009C1C14"/>
    <w:rsid w:val="009C3034"/>
    <w:rsid w:val="009C57D3"/>
    <w:rsid w:val="009C7522"/>
    <w:rsid w:val="009D0FDD"/>
    <w:rsid w:val="009D3162"/>
    <w:rsid w:val="009D3181"/>
    <w:rsid w:val="009D586B"/>
    <w:rsid w:val="009D70FB"/>
    <w:rsid w:val="009E1803"/>
    <w:rsid w:val="009E1C44"/>
    <w:rsid w:val="009E4A4C"/>
    <w:rsid w:val="009E5F18"/>
    <w:rsid w:val="009E6D82"/>
    <w:rsid w:val="009E717E"/>
    <w:rsid w:val="009E737D"/>
    <w:rsid w:val="009F0F6A"/>
    <w:rsid w:val="009F5F20"/>
    <w:rsid w:val="009F6F0C"/>
    <w:rsid w:val="00A03977"/>
    <w:rsid w:val="00A10C6A"/>
    <w:rsid w:val="00A12A3A"/>
    <w:rsid w:val="00A13E12"/>
    <w:rsid w:val="00A15281"/>
    <w:rsid w:val="00A22646"/>
    <w:rsid w:val="00A230F5"/>
    <w:rsid w:val="00A26FF7"/>
    <w:rsid w:val="00A30230"/>
    <w:rsid w:val="00A31363"/>
    <w:rsid w:val="00A37A20"/>
    <w:rsid w:val="00A4348E"/>
    <w:rsid w:val="00A445DC"/>
    <w:rsid w:val="00A44BEA"/>
    <w:rsid w:val="00A50CC8"/>
    <w:rsid w:val="00A51253"/>
    <w:rsid w:val="00A52F5E"/>
    <w:rsid w:val="00A55B14"/>
    <w:rsid w:val="00A569E8"/>
    <w:rsid w:val="00A57FAF"/>
    <w:rsid w:val="00A601C4"/>
    <w:rsid w:val="00A62C1D"/>
    <w:rsid w:val="00A711C6"/>
    <w:rsid w:val="00A715DC"/>
    <w:rsid w:val="00A73ED0"/>
    <w:rsid w:val="00A76720"/>
    <w:rsid w:val="00A831ED"/>
    <w:rsid w:val="00A839D5"/>
    <w:rsid w:val="00A84863"/>
    <w:rsid w:val="00A86A72"/>
    <w:rsid w:val="00A9064A"/>
    <w:rsid w:val="00A94259"/>
    <w:rsid w:val="00A95D95"/>
    <w:rsid w:val="00A977EC"/>
    <w:rsid w:val="00AA3FD1"/>
    <w:rsid w:val="00AA52DE"/>
    <w:rsid w:val="00AA61AF"/>
    <w:rsid w:val="00AB11B3"/>
    <w:rsid w:val="00AB5C37"/>
    <w:rsid w:val="00AB5ED3"/>
    <w:rsid w:val="00AB6B0C"/>
    <w:rsid w:val="00AB70CD"/>
    <w:rsid w:val="00AC0153"/>
    <w:rsid w:val="00AC4898"/>
    <w:rsid w:val="00AC48B3"/>
    <w:rsid w:val="00AC7AC9"/>
    <w:rsid w:val="00AD387D"/>
    <w:rsid w:val="00AD7A01"/>
    <w:rsid w:val="00AE1920"/>
    <w:rsid w:val="00AF01B3"/>
    <w:rsid w:val="00AF0F13"/>
    <w:rsid w:val="00AF1E76"/>
    <w:rsid w:val="00AF7992"/>
    <w:rsid w:val="00B00AB3"/>
    <w:rsid w:val="00B100B0"/>
    <w:rsid w:val="00B11266"/>
    <w:rsid w:val="00B12F22"/>
    <w:rsid w:val="00B14C52"/>
    <w:rsid w:val="00B1648A"/>
    <w:rsid w:val="00B200AA"/>
    <w:rsid w:val="00B2010B"/>
    <w:rsid w:val="00B24669"/>
    <w:rsid w:val="00B2488E"/>
    <w:rsid w:val="00B25EB3"/>
    <w:rsid w:val="00B30F32"/>
    <w:rsid w:val="00B310AA"/>
    <w:rsid w:val="00B35AD9"/>
    <w:rsid w:val="00B40B6C"/>
    <w:rsid w:val="00B414F1"/>
    <w:rsid w:val="00B478C3"/>
    <w:rsid w:val="00B504BC"/>
    <w:rsid w:val="00B52715"/>
    <w:rsid w:val="00B55E04"/>
    <w:rsid w:val="00B5720F"/>
    <w:rsid w:val="00B60B09"/>
    <w:rsid w:val="00B60EF6"/>
    <w:rsid w:val="00B61348"/>
    <w:rsid w:val="00B6263F"/>
    <w:rsid w:val="00B67114"/>
    <w:rsid w:val="00B7521D"/>
    <w:rsid w:val="00B75449"/>
    <w:rsid w:val="00B7754B"/>
    <w:rsid w:val="00B81284"/>
    <w:rsid w:val="00B8134B"/>
    <w:rsid w:val="00B81DB1"/>
    <w:rsid w:val="00B878A8"/>
    <w:rsid w:val="00B97CB5"/>
    <w:rsid w:val="00BA29D8"/>
    <w:rsid w:val="00BA527C"/>
    <w:rsid w:val="00BA7F6B"/>
    <w:rsid w:val="00BB17AE"/>
    <w:rsid w:val="00BB6E44"/>
    <w:rsid w:val="00BB7494"/>
    <w:rsid w:val="00BC0206"/>
    <w:rsid w:val="00BC2390"/>
    <w:rsid w:val="00BC775D"/>
    <w:rsid w:val="00BD5A75"/>
    <w:rsid w:val="00BD6780"/>
    <w:rsid w:val="00BE07A9"/>
    <w:rsid w:val="00BE1C12"/>
    <w:rsid w:val="00BE2E36"/>
    <w:rsid w:val="00BE4D8F"/>
    <w:rsid w:val="00BF2141"/>
    <w:rsid w:val="00BF46A7"/>
    <w:rsid w:val="00BF5230"/>
    <w:rsid w:val="00C00289"/>
    <w:rsid w:val="00C1090C"/>
    <w:rsid w:val="00C229E8"/>
    <w:rsid w:val="00C240C8"/>
    <w:rsid w:val="00C26513"/>
    <w:rsid w:val="00C328C9"/>
    <w:rsid w:val="00C3366E"/>
    <w:rsid w:val="00C35BA8"/>
    <w:rsid w:val="00C37F72"/>
    <w:rsid w:val="00C41DFE"/>
    <w:rsid w:val="00C420C1"/>
    <w:rsid w:val="00C43FEE"/>
    <w:rsid w:val="00C45963"/>
    <w:rsid w:val="00C472B8"/>
    <w:rsid w:val="00C529FD"/>
    <w:rsid w:val="00C53124"/>
    <w:rsid w:val="00C53B2E"/>
    <w:rsid w:val="00C56961"/>
    <w:rsid w:val="00C573AA"/>
    <w:rsid w:val="00C57FD0"/>
    <w:rsid w:val="00C6160A"/>
    <w:rsid w:val="00C626B9"/>
    <w:rsid w:val="00C65711"/>
    <w:rsid w:val="00C76ECD"/>
    <w:rsid w:val="00C82883"/>
    <w:rsid w:val="00C82DE1"/>
    <w:rsid w:val="00C84E04"/>
    <w:rsid w:val="00C87582"/>
    <w:rsid w:val="00C87D18"/>
    <w:rsid w:val="00C910BE"/>
    <w:rsid w:val="00C91EB8"/>
    <w:rsid w:val="00C922BE"/>
    <w:rsid w:val="00C93D9D"/>
    <w:rsid w:val="00C97722"/>
    <w:rsid w:val="00CA1C37"/>
    <w:rsid w:val="00CA1E23"/>
    <w:rsid w:val="00CA45E6"/>
    <w:rsid w:val="00CA583F"/>
    <w:rsid w:val="00CA5844"/>
    <w:rsid w:val="00CA7415"/>
    <w:rsid w:val="00CB265C"/>
    <w:rsid w:val="00CB32BC"/>
    <w:rsid w:val="00CB4540"/>
    <w:rsid w:val="00CB6CFA"/>
    <w:rsid w:val="00CB7A07"/>
    <w:rsid w:val="00CC0E5B"/>
    <w:rsid w:val="00CC59BB"/>
    <w:rsid w:val="00CC5A52"/>
    <w:rsid w:val="00CC5CAF"/>
    <w:rsid w:val="00CD01DD"/>
    <w:rsid w:val="00CD3BD4"/>
    <w:rsid w:val="00CD5DFA"/>
    <w:rsid w:val="00CD635D"/>
    <w:rsid w:val="00CD6DEE"/>
    <w:rsid w:val="00CD7CED"/>
    <w:rsid w:val="00CE04C7"/>
    <w:rsid w:val="00CE54A3"/>
    <w:rsid w:val="00CF156B"/>
    <w:rsid w:val="00CF1E02"/>
    <w:rsid w:val="00CF5056"/>
    <w:rsid w:val="00CF597A"/>
    <w:rsid w:val="00D0103F"/>
    <w:rsid w:val="00D05BAA"/>
    <w:rsid w:val="00D06BC8"/>
    <w:rsid w:val="00D07904"/>
    <w:rsid w:val="00D07F26"/>
    <w:rsid w:val="00D10F16"/>
    <w:rsid w:val="00D11A09"/>
    <w:rsid w:val="00D13B7A"/>
    <w:rsid w:val="00D1725B"/>
    <w:rsid w:val="00D226DA"/>
    <w:rsid w:val="00D22C4B"/>
    <w:rsid w:val="00D230C7"/>
    <w:rsid w:val="00D23E7D"/>
    <w:rsid w:val="00D2405F"/>
    <w:rsid w:val="00D25F38"/>
    <w:rsid w:val="00D30C7F"/>
    <w:rsid w:val="00D358A0"/>
    <w:rsid w:val="00D40324"/>
    <w:rsid w:val="00D41BA9"/>
    <w:rsid w:val="00D429B6"/>
    <w:rsid w:val="00D4511A"/>
    <w:rsid w:val="00D46443"/>
    <w:rsid w:val="00D50ED7"/>
    <w:rsid w:val="00D52376"/>
    <w:rsid w:val="00D54487"/>
    <w:rsid w:val="00D55000"/>
    <w:rsid w:val="00D612C2"/>
    <w:rsid w:val="00D61FE1"/>
    <w:rsid w:val="00D62AF2"/>
    <w:rsid w:val="00D66427"/>
    <w:rsid w:val="00D745E0"/>
    <w:rsid w:val="00D7537C"/>
    <w:rsid w:val="00D76AA3"/>
    <w:rsid w:val="00D80136"/>
    <w:rsid w:val="00D80604"/>
    <w:rsid w:val="00D841D8"/>
    <w:rsid w:val="00D86F6B"/>
    <w:rsid w:val="00D870DF"/>
    <w:rsid w:val="00D87346"/>
    <w:rsid w:val="00D901C3"/>
    <w:rsid w:val="00D92475"/>
    <w:rsid w:val="00D9706F"/>
    <w:rsid w:val="00DA0040"/>
    <w:rsid w:val="00DA086B"/>
    <w:rsid w:val="00DA1D7A"/>
    <w:rsid w:val="00DA5DF4"/>
    <w:rsid w:val="00DA6834"/>
    <w:rsid w:val="00DA6CBB"/>
    <w:rsid w:val="00DA7145"/>
    <w:rsid w:val="00DA7E05"/>
    <w:rsid w:val="00DB283F"/>
    <w:rsid w:val="00DB4794"/>
    <w:rsid w:val="00DB5C3E"/>
    <w:rsid w:val="00DB628E"/>
    <w:rsid w:val="00DB6F22"/>
    <w:rsid w:val="00DE1E39"/>
    <w:rsid w:val="00DE20B3"/>
    <w:rsid w:val="00DE79FC"/>
    <w:rsid w:val="00DF3959"/>
    <w:rsid w:val="00DF47D6"/>
    <w:rsid w:val="00DF4D5A"/>
    <w:rsid w:val="00DF5425"/>
    <w:rsid w:val="00DF70A5"/>
    <w:rsid w:val="00DF782C"/>
    <w:rsid w:val="00E030A0"/>
    <w:rsid w:val="00E04F16"/>
    <w:rsid w:val="00E075A1"/>
    <w:rsid w:val="00E124E3"/>
    <w:rsid w:val="00E14812"/>
    <w:rsid w:val="00E15231"/>
    <w:rsid w:val="00E15DDE"/>
    <w:rsid w:val="00E17B01"/>
    <w:rsid w:val="00E2339E"/>
    <w:rsid w:val="00E3245B"/>
    <w:rsid w:val="00E32DCD"/>
    <w:rsid w:val="00E33FF6"/>
    <w:rsid w:val="00E3707B"/>
    <w:rsid w:val="00E373EE"/>
    <w:rsid w:val="00E43307"/>
    <w:rsid w:val="00E43BCD"/>
    <w:rsid w:val="00E46D1B"/>
    <w:rsid w:val="00E50685"/>
    <w:rsid w:val="00E57F6B"/>
    <w:rsid w:val="00E6234F"/>
    <w:rsid w:val="00E62E89"/>
    <w:rsid w:val="00E67AC7"/>
    <w:rsid w:val="00E7076B"/>
    <w:rsid w:val="00E720F4"/>
    <w:rsid w:val="00E7342C"/>
    <w:rsid w:val="00E736F7"/>
    <w:rsid w:val="00E753F9"/>
    <w:rsid w:val="00E75D8A"/>
    <w:rsid w:val="00E76363"/>
    <w:rsid w:val="00E77C78"/>
    <w:rsid w:val="00E84D0F"/>
    <w:rsid w:val="00E90BE3"/>
    <w:rsid w:val="00E90D6F"/>
    <w:rsid w:val="00E91D81"/>
    <w:rsid w:val="00E9272C"/>
    <w:rsid w:val="00E92BC2"/>
    <w:rsid w:val="00E97617"/>
    <w:rsid w:val="00EA010E"/>
    <w:rsid w:val="00EA5B63"/>
    <w:rsid w:val="00EA5E18"/>
    <w:rsid w:val="00EB1E33"/>
    <w:rsid w:val="00EB700A"/>
    <w:rsid w:val="00EC06D9"/>
    <w:rsid w:val="00EC0881"/>
    <w:rsid w:val="00EC1CF8"/>
    <w:rsid w:val="00EE1C19"/>
    <w:rsid w:val="00EE2501"/>
    <w:rsid w:val="00EE6911"/>
    <w:rsid w:val="00EF6D51"/>
    <w:rsid w:val="00F018DF"/>
    <w:rsid w:val="00F0650A"/>
    <w:rsid w:val="00F16313"/>
    <w:rsid w:val="00F20FF1"/>
    <w:rsid w:val="00F27592"/>
    <w:rsid w:val="00F27654"/>
    <w:rsid w:val="00F3217B"/>
    <w:rsid w:val="00F32641"/>
    <w:rsid w:val="00F35457"/>
    <w:rsid w:val="00F3595B"/>
    <w:rsid w:val="00F367F3"/>
    <w:rsid w:val="00F36A26"/>
    <w:rsid w:val="00F41F54"/>
    <w:rsid w:val="00F426A6"/>
    <w:rsid w:val="00F429FD"/>
    <w:rsid w:val="00F4623C"/>
    <w:rsid w:val="00F56399"/>
    <w:rsid w:val="00F614F8"/>
    <w:rsid w:val="00F62561"/>
    <w:rsid w:val="00F73226"/>
    <w:rsid w:val="00F7709C"/>
    <w:rsid w:val="00F7750A"/>
    <w:rsid w:val="00F80006"/>
    <w:rsid w:val="00F80084"/>
    <w:rsid w:val="00F807B0"/>
    <w:rsid w:val="00F811C7"/>
    <w:rsid w:val="00F81700"/>
    <w:rsid w:val="00F905AD"/>
    <w:rsid w:val="00F906FC"/>
    <w:rsid w:val="00F91B07"/>
    <w:rsid w:val="00F92C65"/>
    <w:rsid w:val="00F95676"/>
    <w:rsid w:val="00F96401"/>
    <w:rsid w:val="00FA3F8B"/>
    <w:rsid w:val="00FA5808"/>
    <w:rsid w:val="00FA767D"/>
    <w:rsid w:val="00FB10C5"/>
    <w:rsid w:val="00FB5358"/>
    <w:rsid w:val="00FC3C96"/>
    <w:rsid w:val="00FC4EC2"/>
    <w:rsid w:val="00FC63AB"/>
    <w:rsid w:val="00FC7633"/>
    <w:rsid w:val="00FD05E5"/>
    <w:rsid w:val="00FD2470"/>
    <w:rsid w:val="00FD5823"/>
    <w:rsid w:val="00FD6DD9"/>
    <w:rsid w:val="00FE1C27"/>
    <w:rsid w:val="00FE1CF1"/>
    <w:rsid w:val="00FE34AE"/>
    <w:rsid w:val="00FE5C31"/>
    <w:rsid w:val="00FF1B0E"/>
    <w:rsid w:val="00FF748B"/>
    <w:rsid w:val="00FF77B6"/>
    <w:rsid w:val="01056664"/>
    <w:rsid w:val="011C0103"/>
    <w:rsid w:val="01246812"/>
    <w:rsid w:val="01266B4B"/>
    <w:rsid w:val="012F50E1"/>
    <w:rsid w:val="0132783D"/>
    <w:rsid w:val="01327A82"/>
    <w:rsid w:val="01372DC6"/>
    <w:rsid w:val="013A66DD"/>
    <w:rsid w:val="013A68B9"/>
    <w:rsid w:val="013C06BC"/>
    <w:rsid w:val="013F3A77"/>
    <w:rsid w:val="014B4F7B"/>
    <w:rsid w:val="01514AC5"/>
    <w:rsid w:val="01530B13"/>
    <w:rsid w:val="015D6670"/>
    <w:rsid w:val="016246EC"/>
    <w:rsid w:val="01673A74"/>
    <w:rsid w:val="0168051F"/>
    <w:rsid w:val="016D351E"/>
    <w:rsid w:val="0172227D"/>
    <w:rsid w:val="01747E56"/>
    <w:rsid w:val="017768FF"/>
    <w:rsid w:val="017C6D0A"/>
    <w:rsid w:val="01815229"/>
    <w:rsid w:val="01962FD2"/>
    <w:rsid w:val="01964B22"/>
    <w:rsid w:val="01985A6F"/>
    <w:rsid w:val="019953A2"/>
    <w:rsid w:val="019A5CA0"/>
    <w:rsid w:val="019C7C78"/>
    <w:rsid w:val="01AE557C"/>
    <w:rsid w:val="01C50B57"/>
    <w:rsid w:val="01C94987"/>
    <w:rsid w:val="01CE3A0A"/>
    <w:rsid w:val="01D435A5"/>
    <w:rsid w:val="01D61794"/>
    <w:rsid w:val="01D978C9"/>
    <w:rsid w:val="01DC464C"/>
    <w:rsid w:val="01DE7DB1"/>
    <w:rsid w:val="01EC5C3E"/>
    <w:rsid w:val="01EC6ED3"/>
    <w:rsid w:val="01F16C30"/>
    <w:rsid w:val="01F37D39"/>
    <w:rsid w:val="02064FCA"/>
    <w:rsid w:val="020940A9"/>
    <w:rsid w:val="02111989"/>
    <w:rsid w:val="0213766F"/>
    <w:rsid w:val="02147E04"/>
    <w:rsid w:val="021C2BDE"/>
    <w:rsid w:val="021F0D77"/>
    <w:rsid w:val="02210B4C"/>
    <w:rsid w:val="02337D11"/>
    <w:rsid w:val="02381D9F"/>
    <w:rsid w:val="02393119"/>
    <w:rsid w:val="02395941"/>
    <w:rsid w:val="023D0B8F"/>
    <w:rsid w:val="023D5DE9"/>
    <w:rsid w:val="02401FE2"/>
    <w:rsid w:val="02420477"/>
    <w:rsid w:val="02440CF8"/>
    <w:rsid w:val="024D3FD4"/>
    <w:rsid w:val="02516F48"/>
    <w:rsid w:val="025C1016"/>
    <w:rsid w:val="02637303"/>
    <w:rsid w:val="0265564A"/>
    <w:rsid w:val="026F7C66"/>
    <w:rsid w:val="027431B7"/>
    <w:rsid w:val="027B7EDC"/>
    <w:rsid w:val="027E49FA"/>
    <w:rsid w:val="02821EC7"/>
    <w:rsid w:val="02830AE3"/>
    <w:rsid w:val="0294463C"/>
    <w:rsid w:val="02981BF3"/>
    <w:rsid w:val="02A15075"/>
    <w:rsid w:val="02A20E42"/>
    <w:rsid w:val="02A93D50"/>
    <w:rsid w:val="02AC72EA"/>
    <w:rsid w:val="02B04B7F"/>
    <w:rsid w:val="02B16EA6"/>
    <w:rsid w:val="02B3728F"/>
    <w:rsid w:val="02B726F0"/>
    <w:rsid w:val="02B75B9A"/>
    <w:rsid w:val="02BB20F9"/>
    <w:rsid w:val="02CB04E9"/>
    <w:rsid w:val="02D00C06"/>
    <w:rsid w:val="02D4293B"/>
    <w:rsid w:val="02DA57A9"/>
    <w:rsid w:val="02E0420E"/>
    <w:rsid w:val="02E1151B"/>
    <w:rsid w:val="02E45CCA"/>
    <w:rsid w:val="02F41B9B"/>
    <w:rsid w:val="02FA3649"/>
    <w:rsid w:val="0302061B"/>
    <w:rsid w:val="03021945"/>
    <w:rsid w:val="03041A7E"/>
    <w:rsid w:val="03096539"/>
    <w:rsid w:val="030A0A72"/>
    <w:rsid w:val="031E1B28"/>
    <w:rsid w:val="03224369"/>
    <w:rsid w:val="03232523"/>
    <w:rsid w:val="032A6C66"/>
    <w:rsid w:val="0332621A"/>
    <w:rsid w:val="033705FE"/>
    <w:rsid w:val="03391357"/>
    <w:rsid w:val="033C5E0D"/>
    <w:rsid w:val="034B7137"/>
    <w:rsid w:val="035345EF"/>
    <w:rsid w:val="03545863"/>
    <w:rsid w:val="03574F05"/>
    <w:rsid w:val="035B58BA"/>
    <w:rsid w:val="036B4775"/>
    <w:rsid w:val="038C0E81"/>
    <w:rsid w:val="038F1A25"/>
    <w:rsid w:val="038F2C54"/>
    <w:rsid w:val="03953737"/>
    <w:rsid w:val="039706A5"/>
    <w:rsid w:val="0398181B"/>
    <w:rsid w:val="03984DDF"/>
    <w:rsid w:val="039876CD"/>
    <w:rsid w:val="039B63FA"/>
    <w:rsid w:val="039C7443"/>
    <w:rsid w:val="03AA6D8F"/>
    <w:rsid w:val="03AD2F6B"/>
    <w:rsid w:val="03AD58A1"/>
    <w:rsid w:val="03B4319F"/>
    <w:rsid w:val="03B70147"/>
    <w:rsid w:val="03B8409E"/>
    <w:rsid w:val="03BA26C0"/>
    <w:rsid w:val="03BB5EB1"/>
    <w:rsid w:val="03BF010F"/>
    <w:rsid w:val="03C06164"/>
    <w:rsid w:val="03C63FB3"/>
    <w:rsid w:val="03C920ED"/>
    <w:rsid w:val="03CF3C93"/>
    <w:rsid w:val="03CF4D7B"/>
    <w:rsid w:val="03D35563"/>
    <w:rsid w:val="03DA0D79"/>
    <w:rsid w:val="03DA330E"/>
    <w:rsid w:val="03DD130B"/>
    <w:rsid w:val="03E272F9"/>
    <w:rsid w:val="03E27CBD"/>
    <w:rsid w:val="03E47515"/>
    <w:rsid w:val="03E75E55"/>
    <w:rsid w:val="03EC461B"/>
    <w:rsid w:val="03F17EE3"/>
    <w:rsid w:val="03F30FB2"/>
    <w:rsid w:val="03F4408D"/>
    <w:rsid w:val="03FA54F8"/>
    <w:rsid w:val="03FA6689"/>
    <w:rsid w:val="03FC3B04"/>
    <w:rsid w:val="040160A2"/>
    <w:rsid w:val="040224BB"/>
    <w:rsid w:val="04046FA4"/>
    <w:rsid w:val="04065F03"/>
    <w:rsid w:val="040A2994"/>
    <w:rsid w:val="040B55D0"/>
    <w:rsid w:val="04113FEB"/>
    <w:rsid w:val="0413544B"/>
    <w:rsid w:val="04186EF4"/>
    <w:rsid w:val="041D77FC"/>
    <w:rsid w:val="043826BA"/>
    <w:rsid w:val="04383E6E"/>
    <w:rsid w:val="044131A2"/>
    <w:rsid w:val="044272AF"/>
    <w:rsid w:val="04480C5A"/>
    <w:rsid w:val="044B17BC"/>
    <w:rsid w:val="04581CB1"/>
    <w:rsid w:val="04621119"/>
    <w:rsid w:val="04642403"/>
    <w:rsid w:val="046F18B1"/>
    <w:rsid w:val="047240A1"/>
    <w:rsid w:val="047418B2"/>
    <w:rsid w:val="047832FC"/>
    <w:rsid w:val="04792E06"/>
    <w:rsid w:val="047D1717"/>
    <w:rsid w:val="04894A74"/>
    <w:rsid w:val="048D46C1"/>
    <w:rsid w:val="049115B6"/>
    <w:rsid w:val="04916795"/>
    <w:rsid w:val="049422C9"/>
    <w:rsid w:val="049C61FC"/>
    <w:rsid w:val="04A974FE"/>
    <w:rsid w:val="04AA40EF"/>
    <w:rsid w:val="04AB3B8E"/>
    <w:rsid w:val="04AD368C"/>
    <w:rsid w:val="04AF4C7D"/>
    <w:rsid w:val="04AF678D"/>
    <w:rsid w:val="04B32ED9"/>
    <w:rsid w:val="04BE6918"/>
    <w:rsid w:val="04C44478"/>
    <w:rsid w:val="04C904B8"/>
    <w:rsid w:val="04C92FB5"/>
    <w:rsid w:val="04DA7714"/>
    <w:rsid w:val="04E5490C"/>
    <w:rsid w:val="04EC056D"/>
    <w:rsid w:val="04F60562"/>
    <w:rsid w:val="04F86C6C"/>
    <w:rsid w:val="05055A52"/>
    <w:rsid w:val="05073D2D"/>
    <w:rsid w:val="050C6C36"/>
    <w:rsid w:val="05157BA2"/>
    <w:rsid w:val="051C2E42"/>
    <w:rsid w:val="051D030C"/>
    <w:rsid w:val="05205AFD"/>
    <w:rsid w:val="05261CB8"/>
    <w:rsid w:val="05334DC9"/>
    <w:rsid w:val="05380D96"/>
    <w:rsid w:val="053E0EA6"/>
    <w:rsid w:val="053E4293"/>
    <w:rsid w:val="05401C2D"/>
    <w:rsid w:val="054D6798"/>
    <w:rsid w:val="05515A58"/>
    <w:rsid w:val="055A7C97"/>
    <w:rsid w:val="056E3781"/>
    <w:rsid w:val="057220CC"/>
    <w:rsid w:val="05793650"/>
    <w:rsid w:val="057C6238"/>
    <w:rsid w:val="058B3E67"/>
    <w:rsid w:val="059554DA"/>
    <w:rsid w:val="059850E1"/>
    <w:rsid w:val="059A7E4B"/>
    <w:rsid w:val="059C5893"/>
    <w:rsid w:val="05A253A9"/>
    <w:rsid w:val="05A41DF0"/>
    <w:rsid w:val="05A4669D"/>
    <w:rsid w:val="05A625A8"/>
    <w:rsid w:val="05A946D5"/>
    <w:rsid w:val="05AC4BAC"/>
    <w:rsid w:val="05B03EDB"/>
    <w:rsid w:val="05B61ED4"/>
    <w:rsid w:val="05B86E6A"/>
    <w:rsid w:val="05BC4295"/>
    <w:rsid w:val="05BF1F25"/>
    <w:rsid w:val="05C236AF"/>
    <w:rsid w:val="05C50CB2"/>
    <w:rsid w:val="05C55124"/>
    <w:rsid w:val="05CF5FA2"/>
    <w:rsid w:val="05DF3456"/>
    <w:rsid w:val="05E11883"/>
    <w:rsid w:val="05E65019"/>
    <w:rsid w:val="05E666F6"/>
    <w:rsid w:val="05EB6B22"/>
    <w:rsid w:val="05F2358A"/>
    <w:rsid w:val="05FC6EA6"/>
    <w:rsid w:val="060471D3"/>
    <w:rsid w:val="0608308D"/>
    <w:rsid w:val="060D7B7F"/>
    <w:rsid w:val="061D727E"/>
    <w:rsid w:val="06243E1D"/>
    <w:rsid w:val="062A71AC"/>
    <w:rsid w:val="06325BF4"/>
    <w:rsid w:val="06367DD0"/>
    <w:rsid w:val="063B590B"/>
    <w:rsid w:val="063D2F0C"/>
    <w:rsid w:val="063D47E5"/>
    <w:rsid w:val="06401EF3"/>
    <w:rsid w:val="06415F8F"/>
    <w:rsid w:val="06431377"/>
    <w:rsid w:val="06547798"/>
    <w:rsid w:val="06615EC2"/>
    <w:rsid w:val="06645072"/>
    <w:rsid w:val="067322B0"/>
    <w:rsid w:val="06747E2F"/>
    <w:rsid w:val="06795232"/>
    <w:rsid w:val="067B126A"/>
    <w:rsid w:val="067D21B2"/>
    <w:rsid w:val="06833B6B"/>
    <w:rsid w:val="068511F9"/>
    <w:rsid w:val="06874187"/>
    <w:rsid w:val="068D312B"/>
    <w:rsid w:val="06921C7D"/>
    <w:rsid w:val="069D20B4"/>
    <w:rsid w:val="06A04B10"/>
    <w:rsid w:val="06A36508"/>
    <w:rsid w:val="06AC6D49"/>
    <w:rsid w:val="06AF22F7"/>
    <w:rsid w:val="06CB769A"/>
    <w:rsid w:val="06DB6DFB"/>
    <w:rsid w:val="06E70DC4"/>
    <w:rsid w:val="06E86AEC"/>
    <w:rsid w:val="06E96BF0"/>
    <w:rsid w:val="06EA7A80"/>
    <w:rsid w:val="06FB3C45"/>
    <w:rsid w:val="07030734"/>
    <w:rsid w:val="07076D6F"/>
    <w:rsid w:val="070C4BC3"/>
    <w:rsid w:val="070D040C"/>
    <w:rsid w:val="0719774D"/>
    <w:rsid w:val="071A68C7"/>
    <w:rsid w:val="071C6DD1"/>
    <w:rsid w:val="071D4B6E"/>
    <w:rsid w:val="0723482F"/>
    <w:rsid w:val="072A2D82"/>
    <w:rsid w:val="072E57F1"/>
    <w:rsid w:val="0735351D"/>
    <w:rsid w:val="07381E43"/>
    <w:rsid w:val="07392F8E"/>
    <w:rsid w:val="073C2AFB"/>
    <w:rsid w:val="073C66EB"/>
    <w:rsid w:val="074841EC"/>
    <w:rsid w:val="0749550B"/>
    <w:rsid w:val="07535BC6"/>
    <w:rsid w:val="075823FB"/>
    <w:rsid w:val="076B0951"/>
    <w:rsid w:val="076C5619"/>
    <w:rsid w:val="07777405"/>
    <w:rsid w:val="077C1812"/>
    <w:rsid w:val="077F1302"/>
    <w:rsid w:val="078538A6"/>
    <w:rsid w:val="078D428E"/>
    <w:rsid w:val="078F66BB"/>
    <w:rsid w:val="079469D8"/>
    <w:rsid w:val="07950BB8"/>
    <w:rsid w:val="079B5A9B"/>
    <w:rsid w:val="07A025FC"/>
    <w:rsid w:val="07A30258"/>
    <w:rsid w:val="07A37377"/>
    <w:rsid w:val="07A65996"/>
    <w:rsid w:val="07B0189D"/>
    <w:rsid w:val="07B01B10"/>
    <w:rsid w:val="07B21FEE"/>
    <w:rsid w:val="07C5140B"/>
    <w:rsid w:val="07CB5F71"/>
    <w:rsid w:val="07CC626A"/>
    <w:rsid w:val="07CE6F21"/>
    <w:rsid w:val="07D751EE"/>
    <w:rsid w:val="07D9535D"/>
    <w:rsid w:val="07DB4C44"/>
    <w:rsid w:val="07E273C8"/>
    <w:rsid w:val="07F87BDD"/>
    <w:rsid w:val="07FE638D"/>
    <w:rsid w:val="07FF401F"/>
    <w:rsid w:val="08024FC0"/>
    <w:rsid w:val="080804DF"/>
    <w:rsid w:val="081622D1"/>
    <w:rsid w:val="081C478C"/>
    <w:rsid w:val="081E2A5F"/>
    <w:rsid w:val="082014D9"/>
    <w:rsid w:val="082055F7"/>
    <w:rsid w:val="08274EA1"/>
    <w:rsid w:val="082D10CF"/>
    <w:rsid w:val="083A5BA6"/>
    <w:rsid w:val="084105D1"/>
    <w:rsid w:val="08430A92"/>
    <w:rsid w:val="0844358D"/>
    <w:rsid w:val="084F54D5"/>
    <w:rsid w:val="08520E83"/>
    <w:rsid w:val="085B790A"/>
    <w:rsid w:val="086234FA"/>
    <w:rsid w:val="086B2057"/>
    <w:rsid w:val="086F0BD1"/>
    <w:rsid w:val="087A025D"/>
    <w:rsid w:val="087A061F"/>
    <w:rsid w:val="087A48E9"/>
    <w:rsid w:val="087C41AE"/>
    <w:rsid w:val="087C5E83"/>
    <w:rsid w:val="088613DE"/>
    <w:rsid w:val="08982261"/>
    <w:rsid w:val="089963F4"/>
    <w:rsid w:val="089C5A04"/>
    <w:rsid w:val="08A444E1"/>
    <w:rsid w:val="08B01131"/>
    <w:rsid w:val="08B20F06"/>
    <w:rsid w:val="08BA3379"/>
    <w:rsid w:val="08C84E5F"/>
    <w:rsid w:val="08CF4B03"/>
    <w:rsid w:val="08D15B8E"/>
    <w:rsid w:val="08D16C79"/>
    <w:rsid w:val="08D40888"/>
    <w:rsid w:val="08D91607"/>
    <w:rsid w:val="08DC6402"/>
    <w:rsid w:val="08E13590"/>
    <w:rsid w:val="08E6540E"/>
    <w:rsid w:val="08E82B72"/>
    <w:rsid w:val="08EB57B3"/>
    <w:rsid w:val="08EC4981"/>
    <w:rsid w:val="08F12AD4"/>
    <w:rsid w:val="08F57415"/>
    <w:rsid w:val="08F71A98"/>
    <w:rsid w:val="08FA76FC"/>
    <w:rsid w:val="08FC5DC2"/>
    <w:rsid w:val="08FD01AA"/>
    <w:rsid w:val="08FF77BF"/>
    <w:rsid w:val="0902043D"/>
    <w:rsid w:val="09067A3E"/>
    <w:rsid w:val="090B10A0"/>
    <w:rsid w:val="092343EE"/>
    <w:rsid w:val="0925342B"/>
    <w:rsid w:val="09265C5A"/>
    <w:rsid w:val="09274E52"/>
    <w:rsid w:val="092D053D"/>
    <w:rsid w:val="092E42B3"/>
    <w:rsid w:val="093729E1"/>
    <w:rsid w:val="093802CC"/>
    <w:rsid w:val="093B1C38"/>
    <w:rsid w:val="093B47AB"/>
    <w:rsid w:val="093C1419"/>
    <w:rsid w:val="093C56FD"/>
    <w:rsid w:val="093D6E32"/>
    <w:rsid w:val="09460B2C"/>
    <w:rsid w:val="095078F6"/>
    <w:rsid w:val="09547283"/>
    <w:rsid w:val="0955056D"/>
    <w:rsid w:val="095C1E56"/>
    <w:rsid w:val="09617E80"/>
    <w:rsid w:val="09657494"/>
    <w:rsid w:val="0966722B"/>
    <w:rsid w:val="09741D15"/>
    <w:rsid w:val="0978475E"/>
    <w:rsid w:val="097C06E7"/>
    <w:rsid w:val="09811362"/>
    <w:rsid w:val="099059EB"/>
    <w:rsid w:val="099318F4"/>
    <w:rsid w:val="09945541"/>
    <w:rsid w:val="099948FD"/>
    <w:rsid w:val="099F010E"/>
    <w:rsid w:val="09A02008"/>
    <w:rsid w:val="09A950C0"/>
    <w:rsid w:val="09AA41BB"/>
    <w:rsid w:val="09AE1D08"/>
    <w:rsid w:val="09B03B97"/>
    <w:rsid w:val="09B57309"/>
    <w:rsid w:val="09C003E3"/>
    <w:rsid w:val="09C4222A"/>
    <w:rsid w:val="09C450C5"/>
    <w:rsid w:val="09C9564B"/>
    <w:rsid w:val="09CC24CE"/>
    <w:rsid w:val="09CF41D2"/>
    <w:rsid w:val="09D03ABE"/>
    <w:rsid w:val="09D22C8E"/>
    <w:rsid w:val="09D97A7C"/>
    <w:rsid w:val="09DA7220"/>
    <w:rsid w:val="09E85885"/>
    <w:rsid w:val="0A0244D1"/>
    <w:rsid w:val="0A037FC9"/>
    <w:rsid w:val="0A110978"/>
    <w:rsid w:val="0A1165D8"/>
    <w:rsid w:val="0A1B48E6"/>
    <w:rsid w:val="0A1D023F"/>
    <w:rsid w:val="0A1D319C"/>
    <w:rsid w:val="0A1F5F84"/>
    <w:rsid w:val="0A2A3A0C"/>
    <w:rsid w:val="0A2E4B32"/>
    <w:rsid w:val="0A2F3035"/>
    <w:rsid w:val="0A3012D1"/>
    <w:rsid w:val="0A31311B"/>
    <w:rsid w:val="0A317AB6"/>
    <w:rsid w:val="0A3522FF"/>
    <w:rsid w:val="0A42023E"/>
    <w:rsid w:val="0A477CF0"/>
    <w:rsid w:val="0A4A0770"/>
    <w:rsid w:val="0A4B7454"/>
    <w:rsid w:val="0A4F35AF"/>
    <w:rsid w:val="0A4F467E"/>
    <w:rsid w:val="0A51425D"/>
    <w:rsid w:val="0A5A1ABE"/>
    <w:rsid w:val="0A5D1EFF"/>
    <w:rsid w:val="0A615356"/>
    <w:rsid w:val="0A6305E4"/>
    <w:rsid w:val="0A6B32CB"/>
    <w:rsid w:val="0A716E32"/>
    <w:rsid w:val="0A717628"/>
    <w:rsid w:val="0A743A6D"/>
    <w:rsid w:val="0A74770A"/>
    <w:rsid w:val="0A753A36"/>
    <w:rsid w:val="0A7916DA"/>
    <w:rsid w:val="0A7C7DD3"/>
    <w:rsid w:val="0A7E24E5"/>
    <w:rsid w:val="0A860399"/>
    <w:rsid w:val="0A88564D"/>
    <w:rsid w:val="0A91756E"/>
    <w:rsid w:val="0A984BB5"/>
    <w:rsid w:val="0A985E65"/>
    <w:rsid w:val="0A9C1BFA"/>
    <w:rsid w:val="0AA04520"/>
    <w:rsid w:val="0AA55391"/>
    <w:rsid w:val="0AA55524"/>
    <w:rsid w:val="0AA631A2"/>
    <w:rsid w:val="0AA76525"/>
    <w:rsid w:val="0AAE79D7"/>
    <w:rsid w:val="0AB40540"/>
    <w:rsid w:val="0AB637A5"/>
    <w:rsid w:val="0ABB259F"/>
    <w:rsid w:val="0ABD2A88"/>
    <w:rsid w:val="0ABE12AE"/>
    <w:rsid w:val="0AC5351A"/>
    <w:rsid w:val="0AC85794"/>
    <w:rsid w:val="0ACB6C95"/>
    <w:rsid w:val="0ACE593B"/>
    <w:rsid w:val="0ADF0E97"/>
    <w:rsid w:val="0AE24082"/>
    <w:rsid w:val="0AE47F3E"/>
    <w:rsid w:val="0AE76079"/>
    <w:rsid w:val="0AEA05E4"/>
    <w:rsid w:val="0AF32F38"/>
    <w:rsid w:val="0B024FFB"/>
    <w:rsid w:val="0B034DC8"/>
    <w:rsid w:val="0B062F5C"/>
    <w:rsid w:val="0B0B7F7B"/>
    <w:rsid w:val="0B0C1812"/>
    <w:rsid w:val="0B0C5B9C"/>
    <w:rsid w:val="0B0F74C9"/>
    <w:rsid w:val="0B1535D5"/>
    <w:rsid w:val="0B1773D1"/>
    <w:rsid w:val="0B1C6496"/>
    <w:rsid w:val="0B1E164C"/>
    <w:rsid w:val="0B2A6B52"/>
    <w:rsid w:val="0B2D5E77"/>
    <w:rsid w:val="0B32462C"/>
    <w:rsid w:val="0B3463AF"/>
    <w:rsid w:val="0B383554"/>
    <w:rsid w:val="0B394341"/>
    <w:rsid w:val="0B41349E"/>
    <w:rsid w:val="0B5C547F"/>
    <w:rsid w:val="0B5D0762"/>
    <w:rsid w:val="0B5F0E66"/>
    <w:rsid w:val="0B68270C"/>
    <w:rsid w:val="0B726562"/>
    <w:rsid w:val="0B800A52"/>
    <w:rsid w:val="0B8E5257"/>
    <w:rsid w:val="0B945521"/>
    <w:rsid w:val="0B9B5591"/>
    <w:rsid w:val="0BA12F8A"/>
    <w:rsid w:val="0BA428EE"/>
    <w:rsid w:val="0BA8707A"/>
    <w:rsid w:val="0BAB0918"/>
    <w:rsid w:val="0BAE00DB"/>
    <w:rsid w:val="0BBA5F6F"/>
    <w:rsid w:val="0BBD3C62"/>
    <w:rsid w:val="0BC07C10"/>
    <w:rsid w:val="0BC12B5D"/>
    <w:rsid w:val="0BC7722C"/>
    <w:rsid w:val="0BC82FE5"/>
    <w:rsid w:val="0BCF528E"/>
    <w:rsid w:val="0BD2745A"/>
    <w:rsid w:val="0BD9544A"/>
    <w:rsid w:val="0BDC6238"/>
    <w:rsid w:val="0BDD68A6"/>
    <w:rsid w:val="0BDE524E"/>
    <w:rsid w:val="0BDE599A"/>
    <w:rsid w:val="0BE10258"/>
    <w:rsid w:val="0BE45EF1"/>
    <w:rsid w:val="0BE77517"/>
    <w:rsid w:val="0BE82804"/>
    <w:rsid w:val="0BF15BF3"/>
    <w:rsid w:val="0BF22A95"/>
    <w:rsid w:val="0BF46F3F"/>
    <w:rsid w:val="0BF621FF"/>
    <w:rsid w:val="0BFC5617"/>
    <w:rsid w:val="0C0156B0"/>
    <w:rsid w:val="0C0A58E5"/>
    <w:rsid w:val="0C0A5E74"/>
    <w:rsid w:val="0C120977"/>
    <w:rsid w:val="0C156140"/>
    <w:rsid w:val="0C1B3130"/>
    <w:rsid w:val="0C212829"/>
    <w:rsid w:val="0C244578"/>
    <w:rsid w:val="0C255844"/>
    <w:rsid w:val="0C272694"/>
    <w:rsid w:val="0C2B38F0"/>
    <w:rsid w:val="0C2E7655"/>
    <w:rsid w:val="0C311A54"/>
    <w:rsid w:val="0C316624"/>
    <w:rsid w:val="0C377C06"/>
    <w:rsid w:val="0C43388C"/>
    <w:rsid w:val="0C4C60A6"/>
    <w:rsid w:val="0C4F5B19"/>
    <w:rsid w:val="0C550884"/>
    <w:rsid w:val="0C5D2722"/>
    <w:rsid w:val="0C5E145C"/>
    <w:rsid w:val="0C612659"/>
    <w:rsid w:val="0C612C5C"/>
    <w:rsid w:val="0C6F2BF3"/>
    <w:rsid w:val="0C716AE3"/>
    <w:rsid w:val="0C8068C9"/>
    <w:rsid w:val="0C833FFA"/>
    <w:rsid w:val="0C843673"/>
    <w:rsid w:val="0C865540"/>
    <w:rsid w:val="0C8C699B"/>
    <w:rsid w:val="0C915237"/>
    <w:rsid w:val="0C926606"/>
    <w:rsid w:val="0C927C2D"/>
    <w:rsid w:val="0C995F76"/>
    <w:rsid w:val="0C9D5001"/>
    <w:rsid w:val="0CA13F40"/>
    <w:rsid w:val="0CA5100F"/>
    <w:rsid w:val="0CA5667F"/>
    <w:rsid w:val="0CAC2DE1"/>
    <w:rsid w:val="0CB056F8"/>
    <w:rsid w:val="0CB1198F"/>
    <w:rsid w:val="0CB138A1"/>
    <w:rsid w:val="0CB21F81"/>
    <w:rsid w:val="0CBA5EBF"/>
    <w:rsid w:val="0CC300B9"/>
    <w:rsid w:val="0CC36A50"/>
    <w:rsid w:val="0CD257B7"/>
    <w:rsid w:val="0CD93263"/>
    <w:rsid w:val="0CD970CC"/>
    <w:rsid w:val="0CDA7707"/>
    <w:rsid w:val="0CE865C3"/>
    <w:rsid w:val="0CED11B7"/>
    <w:rsid w:val="0CF2202E"/>
    <w:rsid w:val="0D0425B6"/>
    <w:rsid w:val="0D075E3F"/>
    <w:rsid w:val="0D0A17D8"/>
    <w:rsid w:val="0D0B0CD9"/>
    <w:rsid w:val="0D0E07AB"/>
    <w:rsid w:val="0D0E115E"/>
    <w:rsid w:val="0D100405"/>
    <w:rsid w:val="0D137A8C"/>
    <w:rsid w:val="0D137FC4"/>
    <w:rsid w:val="0D150730"/>
    <w:rsid w:val="0D242BD2"/>
    <w:rsid w:val="0D2619B3"/>
    <w:rsid w:val="0D2A76B4"/>
    <w:rsid w:val="0D2F0EA5"/>
    <w:rsid w:val="0D383ABB"/>
    <w:rsid w:val="0D3A01A5"/>
    <w:rsid w:val="0D3D3220"/>
    <w:rsid w:val="0D424DB8"/>
    <w:rsid w:val="0D4252AC"/>
    <w:rsid w:val="0D4255C5"/>
    <w:rsid w:val="0D4C4C43"/>
    <w:rsid w:val="0D5A7F1A"/>
    <w:rsid w:val="0D646FD0"/>
    <w:rsid w:val="0D6C2A58"/>
    <w:rsid w:val="0D6C4CD9"/>
    <w:rsid w:val="0D6C5846"/>
    <w:rsid w:val="0D6F20D5"/>
    <w:rsid w:val="0D7D357F"/>
    <w:rsid w:val="0D801F16"/>
    <w:rsid w:val="0D820E50"/>
    <w:rsid w:val="0D966267"/>
    <w:rsid w:val="0D9E4AD2"/>
    <w:rsid w:val="0DA0060C"/>
    <w:rsid w:val="0DA01C86"/>
    <w:rsid w:val="0DAA07C7"/>
    <w:rsid w:val="0DB2095D"/>
    <w:rsid w:val="0DCE0DA5"/>
    <w:rsid w:val="0DCE4936"/>
    <w:rsid w:val="0DDD73ED"/>
    <w:rsid w:val="0DE5433B"/>
    <w:rsid w:val="0DE56E50"/>
    <w:rsid w:val="0DE95727"/>
    <w:rsid w:val="0DEA192A"/>
    <w:rsid w:val="0DEA2DB1"/>
    <w:rsid w:val="0DEA5D45"/>
    <w:rsid w:val="0DEB662B"/>
    <w:rsid w:val="0DF01FA3"/>
    <w:rsid w:val="0DF613F1"/>
    <w:rsid w:val="0DF70922"/>
    <w:rsid w:val="0DFC3F7B"/>
    <w:rsid w:val="0DFF4F4B"/>
    <w:rsid w:val="0E0000AB"/>
    <w:rsid w:val="0E093542"/>
    <w:rsid w:val="0E0F69C3"/>
    <w:rsid w:val="0E134EB6"/>
    <w:rsid w:val="0E1D3E75"/>
    <w:rsid w:val="0E1E3299"/>
    <w:rsid w:val="0E22513F"/>
    <w:rsid w:val="0E270784"/>
    <w:rsid w:val="0E29090C"/>
    <w:rsid w:val="0E2A1EE7"/>
    <w:rsid w:val="0E316F1C"/>
    <w:rsid w:val="0E331874"/>
    <w:rsid w:val="0E3441DC"/>
    <w:rsid w:val="0E3B4156"/>
    <w:rsid w:val="0E3C619F"/>
    <w:rsid w:val="0E421FA4"/>
    <w:rsid w:val="0E4968FD"/>
    <w:rsid w:val="0E530A5A"/>
    <w:rsid w:val="0E5A35EF"/>
    <w:rsid w:val="0E5C01E8"/>
    <w:rsid w:val="0E5D1038"/>
    <w:rsid w:val="0E625709"/>
    <w:rsid w:val="0E640E2C"/>
    <w:rsid w:val="0E786D24"/>
    <w:rsid w:val="0E7F1819"/>
    <w:rsid w:val="0E7F235C"/>
    <w:rsid w:val="0E823C27"/>
    <w:rsid w:val="0E843C55"/>
    <w:rsid w:val="0E8631D1"/>
    <w:rsid w:val="0E8E30AE"/>
    <w:rsid w:val="0E8F20EF"/>
    <w:rsid w:val="0E8F4FB9"/>
    <w:rsid w:val="0E9A6F8B"/>
    <w:rsid w:val="0E9C6962"/>
    <w:rsid w:val="0EA00B67"/>
    <w:rsid w:val="0EA04611"/>
    <w:rsid w:val="0EA2615A"/>
    <w:rsid w:val="0EA51EF3"/>
    <w:rsid w:val="0EA65827"/>
    <w:rsid w:val="0EA95DD7"/>
    <w:rsid w:val="0EB41EF8"/>
    <w:rsid w:val="0EB62159"/>
    <w:rsid w:val="0EB66DE3"/>
    <w:rsid w:val="0EC27BE1"/>
    <w:rsid w:val="0EC7294B"/>
    <w:rsid w:val="0EC872A1"/>
    <w:rsid w:val="0ECA57CC"/>
    <w:rsid w:val="0ECB0B43"/>
    <w:rsid w:val="0ED65A7E"/>
    <w:rsid w:val="0EDD4036"/>
    <w:rsid w:val="0EDF2EF7"/>
    <w:rsid w:val="0EE247D9"/>
    <w:rsid w:val="0EE309BA"/>
    <w:rsid w:val="0EE4486D"/>
    <w:rsid w:val="0EEC2D4A"/>
    <w:rsid w:val="0EED7365"/>
    <w:rsid w:val="0EF209AB"/>
    <w:rsid w:val="0EF4268D"/>
    <w:rsid w:val="0EF703A7"/>
    <w:rsid w:val="0F016078"/>
    <w:rsid w:val="0F022360"/>
    <w:rsid w:val="0F04617D"/>
    <w:rsid w:val="0F164AFD"/>
    <w:rsid w:val="0F2B48BF"/>
    <w:rsid w:val="0F2D4960"/>
    <w:rsid w:val="0F375198"/>
    <w:rsid w:val="0F3B3437"/>
    <w:rsid w:val="0F3E1484"/>
    <w:rsid w:val="0F421325"/>
    <w:rsid w:val="0F4366A5"/>
    <w:rsid w:val="0F4437CE"/>
    <w:rsid w:val="0F460CBE"/>
    <w:rsid w:val="0F470958"/>
    <w:rsid w:val="0F474774"/>
    <w:rsid w:val="0F4864ED"/>
    <w:rsid w:val="0F492155"/>
    <w:rsid w:val="0F4C20AF"/>
    <w:rsid w:val="0F5565E1"/>
    <w:rsid w:val="0F6E00F9"/>
    <w:rsid w:val="0F6E5828"/>
    <w:rsid w:val="0F751969"/>
    <w:rsid w:val="0F790EA8"/>
    <w:rsid w:val="0F792383"/>
    <w:rsid w:val="0F794C09"/>
    <w:rsid w:val="0F7979C1"/>
    <w:rsid w:val="0F824B26"/>
    <w:rsid w:val="0F8C15D4"/>
    <w:rsid w:val="0F927F95"/>
    <w:rsid w:val="0F930A6E"/>
    <w:rsid w:val="0F9B283C"/>
    <w:rsid w:val="0FA37174"/>
    <w:rsid w:val="0FAA274B"/>
    <w:rsid w:val="0FAD464E"/>
    <w:rsid w:val="0FB0279A"/>
    <w:rsid w:val="0FB14BA2"/>
    <w:rsid w:val="0FB24F72"/>
    <w:rsid w:val="0FB5389D"/>
    <w:rsid w:val="0FBE3C62"/>
    <w:rsid w:val="0FBF5D4B"/>
    <w:rsid w:val="0FC9397E"/>
    <w:rsid w:val="0FD10748"/>
    <w:rsid w:val="0FD22F83"/>
    <w:rsid w:val="0FD64EF6"/>
    <w:rsid w:val="0FD83CA6"/>
    <w:rsid w:val="0FDD2339"/>
    <w:rsid w:val="0FEF0536"/>
    <w:rsid w:val="10004692"/>
    <w:rsid w:val="100346D6"/>
    <w:rsid w:val="10093E5F"/>
    <w:rsid w:val="101008B4"/>
    <w:rsid w:val="101322D8"/>
    <w:rsid w:val="10170DD1"/>
    <w:rsid w:val="10273A11"/>
    <w:rsid w:val="10283506"/>
    <w:rsid w:val="102A32D9"/>
    <w:rsid w:val="10352179"/>
    <w:rsid w:val="104273E7"/>
    <w:rsid w:val="1043652C"/>
    <w:rsid w:val="10437BBE"/>
    <w:rsid w:val="10465DB3"/>
    <w:rsid w:val="1048276D"/>
    <w:rsid w:val="104B22B9"/>
    <w:rsid w:val="1058227D"/>
    <w:rsid w:val="10644076"/>
    <w:rsid w:val="106C6806"/>
    <w:rsid w:val="106E78E9"/>
    <w:rsid w:val="10735CD5"/>
    <w:rsid w:val="107705D9"/>
    <w:rsid w:val="10824ED5"/>
    <w:rsid w:val="108304E9"/>
    <w:rsid w:val="10857D2C"/>
    <w:rsid w:val="1092436B"/>
    <w:rsid w:val="109602FB"/>
    <w:rsid w:val="10973CDC"/>
    <w:rsid w:val="109C77C7"/>
    <w:rsid w:val="10A0111F"/>
    <w:rsid w:val="10AB340E"/>
    <w:rsid w:val="10AC658C"/>
    <w:rsid w:val="10C92680"/>
    <w:rsid w:val="10CF2C7A"/>
    <w:rsid w:val="10E55D23"/>
    <w:rsid w:val="10EE48C8"/>
    <w:rsid w:val="10F76D7B"/>
    <w:rsid w:val="10FA5350"/>
    <w:rsid w:val="10FD540D"/>
    <w:rsid w:val="10FE0287"/>
    <w:rsid w:val="110033E0"/>
    <w:rsid w:val="110C4B24"/>
    <w:rsid w:val="110E2E47"/>
    <w:rsid w:val="110F7ADC"/>
    <w:rsid w:val="11112A4D"/>
    <w:rsid w:val="112B6C8D"/>
    <w:rsid w:val="112D017C"/>
    <w:rsid w:val="112D4261"/>
    <w:rsid w:val="112D4BA4"/>
    <w:rsid w:val="11365128"/>
    <w:rsid w:val="1139431F"/>
    <w:rsid w:val="113D0264"/>
    <w:rsid w:val="113E16DA"/>
    <w:rsid w:val="114268CC"/>
    <w:rsid w:val="114952B5"/>
    <w:rsid w:val="11496C09"/>
    <w:rsid w:val="114A2981"/>
    <w:rsid w:val="114A7A50"/>
    <w:rsid w:val="114C5709"/>
    <w:rsid w:val="114D4E4D"/>
    <w:rsid w:val="1151565E"/>
    <w:rsid w:val="11567578"/>
    <w:rsid w:val="115A722B"/>
    <w:rsid w:val="1160162E"/>
    <w:rsid w:val="11614235"/>
    <w:rsid w:val="11614619"/>
    <w:rsid w:val="116574D4"/>
    <w:rsid w:val="1179708C"/>
    <w:rsid w:val="117A6C71"/>
    <w:rsid w:val="118D0D7D"/>
    <w:rsid w:val="118E17F0"/>
    <w:rsid w:val="118E434D"/>
    <w:rsid w:val="11915109"/>
    <w:rsid w:val="1195277A"/>
    <w:rsid w:val="11A169D9"/>
    <w:rsid w:val="11A31F0C"/>
    <w:rsid w:val="11AF0BB2"/>
    <w:rsid w:val="11B95A22"/>
    <w:rsid w:val="11BC3F35"/>
    <w:rsid w:val="11C05193"/>
    <w:rsid w:val="11C646FD"/>
    <w:rsid w:val="11C67F8F"/>
    <w:rsid w:val="11CC3396"/>
    <w:rsid w:val="11CD38FF"/>
    <w:rsid w:val="11D40F89"/>
    <w:rsid w:val="11D42709"/>
    <w:rsid w:val="11DD5835"/>
    <w:rsid w:val="11E03E1A"/>
    <w:rsid w:val="11E55115"/>
    <w:rsid w:val="11E76C56"/>
    <w:rsid w:val="11F07011"/>
    <w:rsid w:val="11F65A72"/>
    <w:rsid w:val="11F71A89"/>
    <w:rsid w:val="12015736"/>
    <w:rsid w:val="120B590B"/>
    <w:rsid w:val="120E21E1"/>
    <w:rsid w:val="12105979"/>
    <w:rsid w:val="12107727"/>
    <w:rsid w:val="12107CE1"/>
    <w:rsid w:val="12174DB0"/>
    <w:rsid w:val="122D5386"/>
    <w:rsid w:val="122F1CA3"/>
    <w:rsid w:val="12397936"/>
    <w:rsid w:val="123C771A"/>
    <w:rsid w:val="12477874"/>
    <w:rsid w:val="124803C3"/>
    <w:rsid w:val="124E3344"/>
    <w:rsid w:val="12566372"/>
    <w:rsid w:val="125A2318"/>
    <w:rsid w:val="1265546F"/>
    <w:rsid w:val="126578B2"/>
    <w:rsid w:val="12664FCB"/>
    <w:rsid w:val="1269635D"/>
    <w:rsid w:val="126A1714"/>
    <w:rsid w:val="126A20C1"/>
    <w:rsid w:val="12737CE7"/>
    <w:rsid w:val="127A0009"/>
    <w:rsid w:val="127A6B9D"/>
    <w:rsid w:val="127B54E8"/>
    <w:rsid w:val="127C013F"/>
    <w:rsid w:val="1281224D"/>
    <w:rsid w:val="12815C04"/>
    <w:rsid w:val="12854BF1"/>
    <w:rsid w:val="12863108"/>
    <w:rsid w:val="128939F9"/>
    <w:rsid w:val="1290334C"/>
    <w:rsid w:val="1294268A"/>
    <w:rsid w:val="12A8487B"/>
    <w:rsid w:val="12AA3DB2"/>
    <w:rsid w:val="12AD79D4"/>
    <w:rsid w:val="12AF3B4F"/>
    <w:rsid w:val="12AF6B7D"/>
    <w:rsid w:val="12B00A58"/>
    <w:rsid w:val="12B37C61"/>
    <w:rsid w:val="12B52348"/>
    <w:rsid w:val="12CF1470"/>
    <w:rsid w:val="12CF4663"/>
    <w:rsid w:val="12D16100"/>
    <w:rsid w:val="12E72545"/>
    <w:rsid w:val="12F57F45"/>
    <w:rsid w:val="12FB2185"/>
    <w:rsid w:val="13021F82"/>
    <w:rsid w:val="130510AC"/>
    <w:rsid w:val="130E18A1"/>
    <w:rsid w:val="1315662A"/>
    <w:rsid w:val="13164777"/>
    <w:rsid w:val="132A754F"/>
    <w:rsid w:val="132C0FAA"/>
    <w:rsid w:val="1334293B"/>
    <w:rsid w:val="133435A6"/>
    <w:rsid w:val="134962B6"/>
    <w:rsid w:val="135416ED"/>
    <w:rsid w:val="13584F08"/>
    <w:rsid w:val="135C1D2F"/>
    <w:rsid w:val="135C674D"/>
    <w:rsid w:val="136366C8"/>
    <w:rsid w:val="13651CF4"/>
    <w:rsid w:val="13714B77"/>
    <w:rsid w:val="13725DAC"/>
    <w:rsid w:val="13760965"/>
    <w:rsid w:val="13774D5E"/>
    <w:rsid w:val="1379754E"/>
    <w:rsid w:val="137A3CDA"/>
    <w:rsid w:val="137D2C1A"/>
    <w:rsid w:val="138F4461"/>
    <w:rsid w:val="13A768B9"/>
    <w:rsid w:val="13A92C7E"/>
    <w:rsid w:val="13B17EAB"/>
    <w:rsid w:val="13B30AE3"/>
    <w:rsid w:val="13B52D50"/>
    <w:rsid w:val="13B77589"/>
    <w:rsid w:val="13BD4646"/>
    <w:rsid w:val="13C407D1"/>
    <w:rsid w:val="13C62BBA"/>
    <w:rsid w:val="13C72255"/>
    <w:rsid w:val="13C753D8"/>
    <w:rsid w:val="13CA1D72"/>
    <w:rsid w:val="13CA38C8"/>
    <w:rsid w:val="13CD0AB4"/>
    <w:rsid w:val="13D14BEC"/>
    <w:rsid w:val="13D30549"/>
    <w:rsid w:val="13D30C18"/>
    <w:rsid w:val="13D50C28"/>
    <w:rsid w:val="13D52A03"/>
    <w:rsid w:val="13D815DD"/>
    <w:rsid w:val="13D9101B"/>
    <w:rsid w:val="13DC3EC3"/>
    <w:rsid w:val="13F2541E"/>
    <w:rsid w:val="13F7521A"/>
    <w:rsid w:val="14005867"/>
    <w:rsid w:val="14015067"/>
    <w:rsid w:val="14051B60"/>
    <w:rsid w:val="1405356D"/>
    <w:rsid w:val="1408524F"/>
    <w:rsid w:val="141642BD"/>
    <w:rsid w:val="1418501A"/>
    <w:rsid w:val="14185AFB"/>
    <w:rsid w:val="14191294"/>
    <w:rsid w:val="14193025"/>
    <w:rsid w:val="142A3A14"/>
    <w:rsid w:val="142E590A"/>
    <w:rsid w:val="14327133"/>
    <w:rsid w:val="143369AC"/>
    <w:rsid w:val="14353475"/>
    <w:rsid w:val="1439188B"/>
    <w:rsid w:val="143A631E"/>
    <w:rsid w:val="1441660B"/>
    <w:rsid w:val="1443582D"/>
    <w:rsid w:val="144834E1"/>
    <w:rsid w:val="144A0171"/>
    <w:rsid w:val="144C5802"/>
    <w:rsid w:val="1469766A"/>
    <w:rsid w:val="146E06FC"/>
    <w:rsid w:val="146F3559"/>
    <w:rsid w:val="147238E6"/>
    <w:rsid w:val="14745611"/>
    <w:rsid w:val="1476702E"/>
    <w:rsid w:val="147A5E14"/>
    <w:rsid w:val="14860885"/>
    <w:rsid w:val="1494473E"/>
    <w:rsid w:val="149A307E"/>
    <w:rsid w:val="149F4798"/>
    <w:rsid w:val="14A0526E"/>
    <w:rsid w:val="14A37835"/>
    <w:rsid w:val="14A87052"/>
    <w:rsid w:val="14AB17E2"/>
    <w:rsid w:val="14B103C4"/>
    <w:rsid w:val="14B11E44"/>
    <w:rsid w:val="14B64A7C"/>
    <w:rsid w:val="14B7140E"/>
    <w:rsid w:val="14C2547A"/>
    <w:rsid w:val="14CA0061"/>
    <w:rsid w:val="14CC4BF5"/>
    <w:rsid w:val="14D14E34"/>
    <w:rsid w:val="14D25167"/>
    <w:rsid w:val="14DE5522"/>
    <w:rsid w:val="14E02327"/>
    <w:rsid w:val="14E1184E"/>
    <w:rsid w:val="14E332A0"/>
    <w:rsid w:val="14E54F8B"/>
    <w:rsid w:val="14EC2CF5"/>
    <w:rsid w:val="14ED4D7E"/>
    <w:rsid w:val="14EE0ECB"/>
    <w:rsid w:val="14EE554E"/>
    <w:rsid w:val="14F0022F"/>
    <w:rsid w:val="14F236DC"/>
    <w:rsid w:val="14F5497E"/>
    <w:rsid w:val="14FC0436"/>
    <w:rsid w:val="15035FFD"/>
    <w:rsid w:val="15114340"/>
    <w:rsid w:val="15153C42"/>
    <w:rsid w:val="15191180"/>
    <w:rsid w:val="15284C2D"/>
    <w:rsid w:val="152A6C00"/>
    <w:rsid w:val="1530301B"/>
    <w:rsid w:val="153656F6"/>
    <w:rsid w:val="15376E6C"/>
    <w:rsid w:val="15377344"/>
    <w:rsid w:val="154170A3"/>
    <w:rsid w:val="154C35C8"/>
    <w:rsid w:val="15656C74"/>
    <w:rsid w:val="15686972"/>
    <w:rsid w:val="15695ACC"/>
    <w:rsid w:val="156C7641"/>
    <w:rsid w:val="156F6E5A"/>
    <w:rsid w:val="15724B60"/>
    <w:rsid w:val="157601E9"/>
    <w:rsid w:val="15765873"/>
    <w:rsid w:val="15791C5F"/>
    <w:rsid w:val="15825CA2"/>
    <w:rsid w:val="158444BD"/>
    <w:rsid w:val="15916DD0"/>
    <w:rsid w:val="15971754"/>
    <w:rsid w:val="159C62BF"/>
    <w:rsid w:val="159E7527"/>
    <w:rsid w:val="15B06C7F"/>
    <w:rsid w:val="15B361FD"/>
    <w:rsid w:val="15BA0160"/>
    <w:rsid w:val="15BB5289"/>
    <w:rsid w:val="15BB5BFB"/>
    <w:rsid w:val="15C10055"/>
    <w:rsid w:val="15C253A0"/>
    <w:rsid w:val="15C4283C"/>
    <w:rsid w:val="15CC508D"/>
    <w:rsid w:val="15CE272D"/>
    <w:rsid w:val="15D0025E"/>
    <w:rsid w:val="15D67D97"/>
    <w:rsid w:val="15D77D41"/>
    <w:rsid w:val="15DD0897"/>
    <w:rsid w:val="15DD15EE"/>
    <w:rsid w:val="15E11B06"/>
    <w:rsid w:val="15E13326"/>
    <w:rsid w:val="15E2587E"/>
    <w:rsid w:val="15E432A7"/>
    <w:rsid w:val="15EE2987"/>
    <w:rsid w:val="15F31279"/>
    <w:rsid w:val="1604029D"/>
    <w:rsid w:val="16041608"/>
    <w:rsid w:val="16054DB1"/>
    <w:rsid w:val="16092BF4"/>
    <w:rsid w:val="16135F2A"/>
    <w:rsid w:val="16136BBF"/>
    <w:rsid w:val="16141EBC"/>
    <w:rsid w:val="16194162"/>
    <w:rsid w:val="16213F9E"/>
    <w:rsid w:val="162213D9"/>
    <w:rsid w:val="1628726D"/>
    <w:rsid w:val="162A2370"/>
    <w:rsid w:val="162E300D"/>
    <w:rsid w:val="16360C5B"/>
    <w:rsid w:val="163B5679"/>
    <w:rsid w:val="163E2272"/>
    <w:rsid w:val="163F0EB0"/>
    <w:rsid w:val="16426B42"/>
    <w:rsid w:val="16430B1C"/>
    <w:rsid w:val="16445BF1"/>
    <w:rsid w:val="16476B8A"/>
    <w:rsid w:val="164E73B1"/>
    <w:rsid w:val="165E17E3"/>
    <w:rsid w:val="1666735F"/>
    <w:rsid w:val="16736025"/>
    <w:rsid w:val="16761927"/>
    <w:rsid w:val="167F046A"/>
    <w:rsid w:val="167F4E7B"/>
    <w:rsid w:val="167F59DE"/>
    <w:rsid w:val="16871F10"/>
    <w:rsid w:val="168C2E92"/>
    <w:rsid w:val="168F71CE"/>
    <w:rsid w:val="16997AFA"/>
    <w:rsid w:val="169C52B6"/>
    <w:rsid w:val="169F6627"/>
    <w:rsid w:val="16A20604"/>
    <w:rsid w:val="16A61A50"/>
    <w:rsid w:val="16AC1AAD"/>
    <w:rsid w:val="16B4096E"/>
    <w:rsid w:val="16B427F2"/>
    <w:rsid w:val="16B603BE"/>
    <w:rsid w:val="16CA0087"/>
    <w:rsid w:val="16CB07D4"/>
    <w:rsid w:val="16D10545"/>
    <w:rsid w:val="16D13C7D"/>
    <w:rsid w:val="16DC2CCF"/>
    <w:rsid w:val="16DD5051"/>
    <w:rsid w:val="16DF0089"/>
    <w:rsid w:val="16E473A2"/>
    <w:rsid w:val="16EF4171"/>
    <w:rsid w:val="16EF526D"/>
    <w:rsid w:val="16F155A2"/>
    <w:rsid w:val="16F15DB6"/>
    <w:rsid w:val="16F2010D"/>
    <w:rsid w:val="16F714F0"/>
    <w:rsid w:val="16F72C63"/>
    <w:rsid w:val="16FD4B04"/>
    <w:rsid w:val="17040A34"/>
    <w:rsid w:val="1706485C"/>
    <w:rsid w:val="17076E13"/>
    <w:rsid w:val="170B6CF8"/>
    <w:rsid w:val="170F74BF"/>
    <w:rsid w:val="1714795E"/>
    <w:rsid w:val="171A3209"/>
    <w:rsid w:val="171D4DA9"/>
    <w:rsid w:val="17204550"/>
    <w:rsid w:val="172102EC"/>
    <w:rsid w:val="17262B02"/>
    <w:rsid w:val="172E7B24"/>
    <w:rsid w:val="172F3504"/>
    <w:rsid w:val="17340142"/>
    <w:rsid w:val="17342109"/>
    <w:rsid w:val="1746586F"/>
    <w:rsid w:val="1749410C"/>
    <w:rsid w:val="175023C0"/>
    <w:rsid w:val="1750713D"/>
    <w:rsid w:val="1757379D"/>
    <w:rsid w:val="17576C19"/>
    <w:rsid w:val="175814B7"/>
    <w:rsid w:val="175C0D00"/>
    <w:rsid w:val="175E69A5"/>
    <w:rsid w:val="176302F9"/>
    <w:rsid w:val="177175A5"/>
    <w:rsid w:val="17740D00"/>
    <w:rsid w:val="17751CDB"/>
    <w:rsid w:val="177757F2"/>
    <w:rsid w:val="17831DA7"/>
    <w:rsid w:val="1784519F"/>
    <w:rsid w:val="178A6E8E"/>
    <w:rsid w:val="179502FD"/>
    <w:rsid w:val="179D306E"/>
    <w:rsid w:val="17A16E3B"/>
    <w:rsid w:val="17A43A96"/>
    <w:rsid w:val="17A51A88"/>
    <w:rsid w:val="17B64846"/>
    <w:rsid w:val="17B84AE8"/>
    <w:rsid w:val="17C912AF"/>
    <w:rsid w:val="17C92852"/>
    <w:rsid w:val="17CC7A8D"/>
    <w:rsid w:val="17D21CA8"/>
    <w:rsid w:val="17DE5931"/>
    <w:rsid w:val="17EC3984"/>
    <w:rsid w:val="17EC65EE"/>
    <w:rsid w:val="17F16E39"/>
    <w:rsid w:val="17FA4BA6"/>
    <w:rsid w:val="18073F68"/>
    <w:rsid w:val="180F18CE"/>
    <w:rsid w:val="18107A5B"/>
    <w:rsid w:val="181E077D"/>
    <w:rsid w:val="182201B4"/>
    <w:rsid w:val="182C2055"/>
    <w:rsid w:val="183801FB"/>
    <w:rsid w:val="18425EE3"/>
    <w:rsid w:val="184616E8"/>
    <w:rsid w:val="184749BF"/>
    <w:rsid w:val="18494338"/>
    <w:rsid w:val="185A16FC"/>
    <w:rsid w:val="186708C6"/>
    <w:rsid w:val="186B0157"/>
    <w:rsid w:val="18714C97"/>
    <w:rsid w:val="187219FA"/>
    <w:rsid w:val="18756535"/>
    <w:rsid w:val="18833DE6"/>
    <w:rsid w:val="18835171"/>
    <w:rsid w:val="18882FBE"/>
    <w:rsid w:val="1889049C"/>
    <w:rsid w:val="18924089"/>
    <w:rsid w:val="18997840"/>
    <w:rsid w:val="189C7049"/>
    <w:rsid w:val="18A026D7"/>
    <w:rsid w:val="18A1056B"/>
    <w:rsid w:val="18A34354"/>
    <w:rsid w:val="18A84B5D"/>
    <w:rsid w:val="18AE1AD1"/>
    <w:rsid w:val="18BA27E6"/>
    <w:rsid w:val="18C40CBE"/>
    <w:rsid w:val="18C82B09"/>
    <w:rsid w:val="18CA4CFB"/>
    <w:rsid w:val="18CC6448"/>
    <w:rsid w:val="18CC7FB1"/>
    <w:rsid w:val="18D04370"/>
    <w:rsid w:val="18D1287F"/>
    <w:rsid w:val="18D37A39"/>
    <w:rsid w:val="18DD2147"/>
    <w:rsid w:val="18E60FEB"/>
    <w:rsid w:val="18EA394E"/>
    <w:rsid w:val="18EA52ED"/>
    <w:rsid w:val="18EB4648"/>
    <w:rsid w:val="18EB67F8"/>
    <w:rsid w:val="18ED0739"/>
    <w:rsid w:val="18ED7A84"/>
    <w:rsid w:val="18F111D3"/>
    <w:rsid w:val="18F7741E"/>
    <w:rsid w:val="18F9078F"/>
    <w:rsid w:val="190843A5"/>
    <w:rsid w:val="190C6521"/>
    <w:rsid w:val="19135DC5"/>
    <w:rsid w:val="191A18A1"/>
    <w:rsid w:val="192C36FB"/>
    <w:rsid w:val="192D0833"/>
    <w:rsid w:val="192E171E"/>
    <w:rsid w:val="192E3783"/>
    <w:rsid w:val="193625B1"/>
    <w:rsid w:val="193A1B5C"/>
    <w:rsid w:val="19466FFD"/>
    <w:rsid w:val="194A2F52"/>
    <w:rsid w:val="194D3ADA"/>
    <w:rsid w:val="194D5C4F"/>
    <w:rsid w:val="19566367"/>
    <w:rsid w:val="196579A7"/>
    <w:rsid w:val="196865C4"/>
    <w:rsid w:val="196B2F1B"/>
    <w:rsid w:val="197A43F7"/>
    <w:rsid w:val="197F583D"/>
    <w:rsid w:val="198033E4"/>
    <w:rsid w:val="19866520"/>
    <w:rsid w:val="198A3101"/>
    <w:rsid w:val="198B41A4"/>
    <w:rsid w:val="198C31F5"/>
    <w:rsid w:val="198E54AB"/>
    <w:rsid w:val="199537B8"/>
    <w:rsid w:val="19996E30"/>
    <w:rsid w:val="199F56A5"/>
    <w:rsid w:val="19A306CE"/>
    <w:rsid w:val="19A333F4"/>
    <w:rsid w:val="19A42527"/>
    <w:rsid w:val="19A6461F"/>
    <w:rsid w:val="19AD3D3B"/>
    <w:rsid w:val="19B03BF1"/>
    <w:rsid w:val="19B234CC"/>
    <w:rsid w:val="19B258BE"/>
    <w:rsid w:val="19B5302F"/>
    <w:rsid w:val="19B94B48"/>
    <w:rsid w:val="19BB37DB"/>
    <w:rsid w:val="19BD3B6D"/>
    <w:rsid w:val="19BE74D6"/>
    <w:rsid w:val="19C50E71"/>
    <w:rsid w:val="19C52F54"/>
    <w:rsid w:val="19C67E44"/>
    <w:rsid w:val="19CD05F2"/>
    <w:rsid w:val="19D12372"/>
    <w:rsid w:val="19D167EC"/>
    <w:rsid w:val="19D42705"/>
    <w:rsid w:val="19D8089B"/>
    <w:rsid w:val="19D83795"/>
    <w:rsid w:val="19DF305E"/>
    <w:rsid w:val="19E06AB7"/>
    <w:rsid w:val="19E679C4"/>
    <w:rsid w:val="19F52027"/>
    <w:rsid w:val="19FA13E8"/>
    <w:rsid w:val="19FE6A98"/>
    <w:rsid w:val="1A05647A"/>
    <w:rsid w:val="1A0E4AA5"/>
    <w:rsid w:val="1A106391"/>
    <w:rsid w:val="1A122E3C"/>
    <w:rsid w:val="1A1F0E4F"/>
    <w:rsid w:val="1A2128A4"/>
    <w:rsid w:val="1A3366A8"/>
    <w:rsid w:val="1A371556"/>
    <w:rsid w:val="1A384B78"/>
    <w:rsid w:val="1A3A18BF"/>
    <w:rsid w:val="1A3D0133"/>
    <w:rsid w:val="1A451D07"/>
    <w:rsid w:val="1A5124B6"/>
    <w:rsid w:val="1A532233"/>
    <w:rsid w:val="1A6051EC"/>
    <w:rsid w:val="1A6D25DE"/>
    <w:rsid w:val="1A6E76E0"/>
    <w:rsid w:val="1A705ED5"/>
    <w:rsid w:val="1A727F5D"/>
    <w:rsid w:val="1A7C4584"/>
    <w:rsid w:val="1A8062A0"/>
    <w:rsid w:val="1A830C81"/>
    <w:rsid w:val="1A835C66"/>
    <w:rsid w:val="1A851247"/>
    <w:rsid w:val="1A977C51"/>
    <w:rsid w:val="1A99742B"/>
    <w:rsid w:val="1A9A68CF"/>
    <w:rsid w:val="1A9E33B7"/>
    <w:rsid w:val="1AAC42F6"/>
    <w:rsid w:val="1AAE03C2"/>
    <w:rsid w:val="1AC01CFE"/>
    <w:rsid w:val="1AC34876"/>
    <w:rsid w:val="1ACB42F3"/>
    <w:rsid w:val="1ACB47AA"/>
    <w:rsid w:val="1AD51F68"/>
    <w:rsid w:val="1AD86A5A"/>
    <w:rsid w:val="1ADB142B"/>
    <w:rsid w:val="1ADB4534"/>
    <w:rsid w:val="1ADD0E39"/>
    <w:rsid w:val="1ADE1523"/>
    <w:rsid w:val="1ADE7643"/>
    <w:rsid w:val="1AE215AB"/>
    <w:rsid w:val="1AE359EE"/>
    <w:rsid w:val="1AE87576"/>
    <w:rsid w:val="1AE96D67"/>
    <w:rsid w:val="1AEB0366"/>
    <w:rsid w:val="1AF413E9"/>
    <w:rsid w:val="1AFE26C3"/>
    <w:rsid w:val="1AFF01D9"/>
    <w:rsid w:val="1B00762C"/>
    <w:rsid w:val="1B0E03C5"/>
    <w:rsid w:val="1B1A4FBE"/>
    <w:rsid w:val="1B1D12DD"/>
    <w:rsid w:val="1B1D6885"/>
    <w:rsid w:val="1B1F511F"/>
    <w:rsid w:val="1B2311E9"/>
    <w:rsid w:val="1B243A80"/>
    <w:rsid w:val="1B281F85"/>
    <w:rsid w:val="1B2A4A71"/>
    <w:rsid w:val="1B2B6313"/>
    <w:rsid w:val="1B2C0455"/>
    <w:rsid w:val="1B384549"/>
    <w:rsid w:val="1B3A75C2"/>
    <w:rsid w:val="1B4737F3"/>
    <w:rsid w:val="1B536C39"/>
    <w:rsid w:val="1B5970F0"/>
    <w:rsid w:val="1B5C048D"/>
    <w:rsid w:val="1B5E7973"/>
    <w:rsid w:val="1B664252"/>
    <w:rsid w:val="1B69651C"/>
    <w:rsid w:val="1B761F41"/>
    <w:rsid w:val="1B7730C1"/>
    <w:rsid w:val="1B7A75BD"/>
    <w:rsid w:val="1B7C5C55"/>
    <w:rsid w:val="1B8101AF"/>
    <w:rsid w:val="1B816128"/>
    <w:rsid w:val="1B827945"/>
    <w:rsid w:val="1B852F33"/>
    <w:rsid w:val="1B860889"/>
    <w:rsid w:val="1B8962ED"/>
    <w:rsid w:val="1B8B3596"/>
    <w:rsid w:val="1B923200"/>
    <w:rsid w:val="1B9367A2"/>
    <w:rsid w:val="1B9470D9"/>
    <w:rsid w:val="1B962411"/>
    <w:rsid w:val="1B9C5331"/>
    <w:rsid w:val="1B9F22A0"/>
    <w:rsid w:val="1BA91340"/>
    <w:rsid w:val="1BA93A6A"/>
    <w:rsid w:val="1BAA6F6F"/>
    <w:rsid w:val="1BAC0A71"/>
    <w:rsid w:val="1BB04929"/>
    <w:rsid w:val="1BB37083"/>
    <w:rsid w:val="1BB4725E"/>
    <w:rsid w:val="1BB6084F"/>
    <w:rsid w:val="1BB63102"/>
    <w:rsid w:val="1BBB250F"/>
    <w:rsid w:val="1BBC04E9"/>
    <w:rsid w:val="1BC13A84"/>
    <w:rsid w:val="1BC71F53"/>
    <w:rsid w:val="1BCC5FF2"/>
    <w:rsid w:val="1BCE0B63"/>
    <w:rsid w:val="1BDF0B9D"/>
    <w:rsid w:val="1BE16D9A"/>
    <w:rsid w:val="1BE81E46"/>
    <w:rsid w:val="1BF76D9C"/>
    <w:rsid w:val="1BFF371D"/>
    <w:rsid w:val="1C06386C"/>
    <w:rsid w:val="1C063BCC"/>
    <w:rsid w:val="1C095859"/>
    <w:rsid w:val="1C1549BE"/>
    <w:rsid w:val="1C1C1930"/>
    <w:rsid w:val="1C1C5084"/>
    <w:rsid w:val="1C1C5220"/>
    <w:rsid w:val="1C1D0B7A"/>
    <w:rsid w:val="1C1D1277"/>
    <w:rsid w:val="1C1F5136"/>
    <w:rsid w:val="1C212BC7"/>
    <w:rsid w:val="1C24274C"/>
    <w:rsid w:val="1C24426E"/>
    <w:rsid w:val="1C2C5011"/>
    <w:rsid w:val="1C2E7B10"/>
    <w:rsid w:val="1C3A31AC"/>
    <w:rsid w:val="1C3F126C"/>
    <w:rsid w:val="1C4A3D51"/>
    <w:rsid w:val="1C4E4299"/>
    <w:rsid w:val="1C50081D"/>
    <w:rsid w:val="1C514338"/>
    <w:rsid w:val="1C560A95"/>
    <w:rsid w:val="1C5D09B2"/>
    <w:rsid w:val="1C60640B"/>
    <w:rsid w:val="1C616954"/>
    <w:rsid w:val="1C626FF2"/>
    <w:rsid w:val="1C632268"/>
    <w:rsid w:val="1C6E27D0"/>
    <w:rsid w:val="1C7D48DC"/>
    <w:rsid w:val="1C831EE5"/>
    <w:rsid w:val="1C8A1499"/>
    <w:rsid w:val="1C8A46D1"/>
    <w:rsid w:val="1C8D0CB4"/>
    <w:rsid w:val="1C914929"/>
    <w:rsid w:val="1C9677C5"/>
    <w:rsid w:val="1C99042C"/>
    <w:rsid w:val="1C9A27C7"/>
    <w:rsid w:val="1C9C03E2"/>
    <w:rsid w:val="1C9C519C"/>
    <w:rsid w:val="1CA33281"/>
    <w:rsid w:val="1CA57EED"/>
    <w:rsid w:val="1CAE4FF3"/>
    <w:rsid w:val="1CB153BD"/>
    <w:rsid w:val="1CBB7B00"/>
    <w:rsid w:val="1CBD15AD"/>
    <w:rsid w:val="1CBE58DB"/>
    <w:rsid w:val="1CC60A6A"/>
    <w:rsid w:val="1CCB6E53"/>
    <w:rsid w:val="1CCD7C15"/>
    <w:rsid w:val="1CCE7307"/>
    <w:rsid w:val="1CD22A55"/>
    <w:rsid w:val="1CD614AB"/>
    <w:rsid w:val="1CDB1DBD"/>
    <w:rsid w:val="1CDF00A2"/>
    <w:rsid w:val="1CDF48C5"/>
    <w:rsid w:val="1CDF6673"/>
    <w:rsid w:val="1CE011A0"/>
    <w:rsid w:val="1CE23FA2"/>
    <w:rsid w:val="1CE4528A"/>
    <w:rsid w:val="1CE63109"/>
    <w:rsid w:val="1CE974F2"/>
    <w:rsid w:val="1CEF156C"/>
    <w:rsid w:val="1CF029E0"/>
    <w:rsid w:val="1CF41CE4"/>
    <w:rsid w:val="1CF43EE9"/>
    <w:rsid w:val="1CFD77ED"/>
    <w:rsid w:val="1CFE1560"/>
    <w:rsid w:val="1D057ED5"/>
    <w:rsid w:val="1D073A3F"/>
    <w:rsid w:val="1D08735E"/>
    <w:rsid w:val="1D116AB3"/>
    <w:rsid w:val="1D176430"/>
    <w:rsid w:val="1D1A76AB"/>
    <w:rsid w:val="1D1C71F9"/>
    <w:rsid w:val="1D2015F8"/>
    <w:rsid w:val="1D205498"/>
    <w:rsid w:val="1D300351"/>
    <w:rsid w:val="1D362C59"/>
    <w:rsid w:val="1D392227"/>
    <w:rsid w:val="1D3A318A"/>
    <w:rsid w:val="1D415DAD"/>
    <w:rsid w:val="1D4553E9"/>
    <w:rsid w:val="1D461BF0"/>
    <w:rsid w:val="1D46246F"/>
    <w:rsid w:val="1D507905"/>
    <w:rsid w:val="1D5801D4"/>
    <w:rsid w:val="1D584BAA"/>
    <w:rsid w:val="1D6406CA"/>
    <w:rsid w:val="1D6B3C83"/>
    <w:rsid w:val="1D6E4ADD"/>
    <w:rsid w:val="1D707208"/>
    <w:rsid w:val="1D7C3782"/>
    <w:rsid w:val="1D817FA0"/>
    <w:rsid w:val="1D855523"/>
    <w:rsid w:val="1D8D3219"/>
    <w:rsid w:val="1D9456B0"/>
    <w:rsid w:val="1D9758E0"/>
    <w:rsid w:val="1D9D0264"/>
    <w:rsid w:val="1DA07D8B"/>
    <w:rsid w:val="1DA54FF2"/>
    <w:rsid w:val="1DAB77A3"/>
    <w:rsid w:val="1DB15500"/>
    <w:rsid w:val="1DB16D68"/>
    <w:rsid w:val="1DB2648D"/>
    <w:rsid w:val="1DB37ECD"/>
    <w:rsid w:val="1DB52F6A"/>
    <w:rsid w:val="1DBB7F76"/>
    <w:rsid w:val="1DBC4C07"/>
    <w:rsid w:val="1DC83080"/>
    <w:rsid w:val="1DC945BE"/>
    <w:rsid w:val="1DCC1C5F"/>
    <w:rsid w:val="1DD44E24"/>
    <w:rsid w:val="1DD56B3D"/>
    <w:rsid w:val="1DD731EA"/>
    <w:rsid w:val="1DD96B7E"/>
    <w:rsid w:val="1DDC4B35"/>
    <w:rsid w:val="1DDD69E8"/>
    <w:rsid w:val="1DE627C9"/>
    <w:rsid w:val="1DEA64CB"/>
    <w:rsid w:val="1DF319EF"/>
    <w:rsid w:val="1E013C56"/>
    <w:rsid w:val="1E0C11FD"/>
    <w:rsid w:val="1E143C52"/>
    <w:rsid w:val="1E1B095F"/>
    <w:rsid w:val="1E1D1445"/>
    <w:rsid w:val="1E281582"/>
    <w:rsid w:val="1E2846B0"/>
    <w:rsid w:val="1E2F37B8"/>
    <w:rsid w:val="1E2F4CFA"/>
    <w:rsid w:val="1E3D5D47"/>
    <w:rsid w:val="1E3D6BE6"/>
    <w:rsid w:val="1E413094"/>
    <w:rsid w:val="1E444326"/>
    <w:rsid w:val="1E4A5DFA"/>
    <w:rsid w:val="1E50151E"/>
    <w:rsid w:val="1E603AF0"/>
    <w:rsid w:val="1E6C0801"/>
    <w:rsid w:val="1E6E1460"/>
    <w:rsid w:val="1E723A79"/>
    <w:rsid w:val="1E73014A"/>
    <w:rsid w:val="1E7A16CF"/>
    <w:rsid w:val="1E9240C0"/>
    <w:rsid w:val="1E935AF5"/>
    <w:rsid w:val="1E9B2627"/>
    <w:rsid w:val="1EA142C8"/>
    <w:rsid w:val="1EA263AA"/>
    <w:rsid w:val="1EA26A2B"/>
    <w:rsid w:val="1EA27958"/>
    <w:rsid w:val="1EA3025C"/>
    <w:rsid w:val="1EA336D1"/>
    <w:rsid w:val="1EA65CBE"/>
    <w:rsid w:val="1EAA7408"/>
    <w:rsid w:val="1EAC1B2B"/>
    <w:rsid w:val="1EAC2737"/>
    <w:rsid w:val="1EC6368B"/>
    <w:rsid w:val="1EC87D5D"/>
    <w:rsid w:val="1ECB1DC7"/>
    <w:rsid w:val="1ED22B1C"/>
    <w:rsid w:val="1ED41619"/>
    <w:rsid w:val="1ED536AB"/>
    <w:rsid w:val="1ED90FDB"/>
    <w:rsid w:val="1EDA17A6"/>
    <w:rsid w:val="1EDD0402"/>
    <w:rsid w:val="1EE45408"/>
    <w:rsid w:val="1EE61E60"/>
    <w:rsid w:val="1EF91E69"/>
    <w:rsid w:val="1EFB0950"/>
    <w:rsid w:val="1EFC62F8"/>
    <w:rsid w:val="1F0277FC"/>
    <w:rsid w:val="1F086BF9"/>
    <w:rsid w:val="1F0D218A"/>
    <w:rsid w:val="1F0D396C"/>
    <w:rsid w:val="1F135806"/>
    <w:rsid w:val="1F184345"/>
    <w:rsid w:val="1F194344"/>
    <w:rsid w:val="1F1A4F85"/>
    <w:rsid w:val="1F261ACE"/>
    <w:rsid w:val="1F2A4495"/>
    <w:rsid w:val="1F2E5F13"/>
    <w:rsid w:val="1F3A513B"/>
    <w:rsid w:val="1F403C75"/>
    <w:rsid w:val="1F4209EC"/>
    <w:rsid w:val="1F42285E"/>
    <w:rsid w:val="1F457B7B"/>
    <w:rsid w:val="1F46730B"/>
    <w:rsid w:val="1F4B1294"/>
    <w:rsid w:val="1F4E7AE0"/>
    <w:rsid w:val="1F523513"/>
    <w:rsid w:val="1F556934"/>
    <w:rsid w:val="1F5B3593"/>
    <w:rsid w:val="1F5C3D24"/>
    <w:rsid w:val="1F5F03DA"/>
    <w:rsid w:val="1F660CDA"/>
    <w:rsid w:val="1F68156F"/>
    <w:rsid w:val="1F7054D7"/>
    <w:rsid w:val="1F8019D9"/>
    <w:rsid w:val="1F83461E"/>
    <w:rsid w:val="1F846228"/>
    <w:rsid w:val="1F8523D3"/>
    <w:rsid w:val="1F882FF2"/>
    <w:rsid w:val="1F883E3C"/>
    <w:rsid w:val="1F884BE2"/>
    <w:rsid w:val="1F9502EA"/>
    <w:rsid w:val="1F9806CF"/>
    <w:rsid w:val="1F9D1251"/>
    <w:rsid w:val="1F9F20EA"/>
    <w:rsid w:val="1FA0657D"/>
    <w:rsid w:val="1FA407DF"/>
    <w:rsid w:val="1FA75DB9"/>
    <w:rsid w:val="1FA97F72"/>
    <w:rsid w:val="1FB94B3E"/>
    <w:rsid w:val="1FC01CD7"/>
    <w:rsid w:val="1FC71731"/>
    <w:rsid w:val="1FC73423"/>
    <w:rsid w:val="1FCA22C7"/>
    <w:rsid w:val="1FD12E7C"/>
    <w:rsid w:val="1FD71884"/>
    <w:rsid w:val="1FDE70B6"/>
    <w:rsid w:val="1FE22663"/>
    <w:rsid w:val="1FE30CEB"/>
    <w:rsid w:val="1FE76DCC"/>
    <w:rsid w:val="1FEA030F"/>
    <w:rsid w:val="1FEF2B65"/>
    <w:rsid w:val="1FF24910"/>
    <w:rsid w:val="1FF24C36"/>
    <w:rsid w:val="1FF34D94"/>
    <w:rsid w:val="1FF82A2F"/>
    <w:rsid w:val="1FF90986"/>
    <w:rsid w:val="1FFF2B12"/>
    <w:rsid w:val="1FFF7528"/>
    <w:rsid w:val="20012786"/>
    <w:rsid w:val="20066196"/>
    <w:rsid w:val="20131AA5"/>
    <w:rsid w:val="20137C22"/>
    <w:rsid w:val="20180C4E"/>
    <w:rsid w:val="2018573C"/>
    <w:rsid w:val="201B3732"/>
    <w:rsid w:val="201E0946"/>
    <w:rsid w:val="20225757"/>
    <w:rsid w:val="20242B64"/>
    <w:rsid w:val="20295D55"/>
    <w:rsid w:val="2029725D"/>
    <w:rsid w:val="202A542E"/>
    <w:rsid w:val="202C7AF7"/>
    <w:rsid w:val="203205C3"/>
    <w:rsid w:val="2037509B"/>
    <w:rsid w:val="203B7034"/>
    <w:rsid w:val="203B74C0"/>
    <w:rsid w:val="20562545"/>
    <w:rsid w:val="20580C04"/>
    <w:rsid w:val="20621A95"/>
    <w:rsid w:val="20633E52"/>
    <w:rsid w:val="20697EC2"/>
    <w:rsid w:val="2073587B"/>
    <w:rsid w:val="20785704"/>
    <w:rsid w:val="20790B8D"/>
    <w:rsid w:val="207A35A6"/>
    <w:rsid w:val="207A41B7"/>
    <w:rsid w:val="20841E90"/>
    <w:rsid w:val="208756D8"/>
    <w:rsid w:val="20983709"/>
    <w:rsid w:val="20A61458"/>
    <w:rsid w:val="20B06444"/>
    <w:rsid w:val="20B36A21"/>
    <w:rsid w:val="20C31E08"/>
    <w:rsid w:val="20C441EE"/>
    <w:rsid w:val="20E00AB5"/>
    <w:rsid w:val="20E86C14"/>
    <w:rsid w:val="20E97AC1"/>
    <w:rsid w:val="20EA727E"/>
    <w:rsid w:val="20EA756A"/>
    <w:rsid w:val="20EB7717"/>
    <w:rsid w:val="20F326ED"/>
    <w:rsid w:val="21076C0E"/>
    <w:rsid w:val="21115CE1"/>
    <w:rsid w:val="211309AB"/>
    <w:rsid w:val="211750E9"/>
    <w:rsid w:val="21186AB6"/>
    <w:rsid w:val="211D566B"/>
    <w:rsid w:val="211E221A"/>
    <w:rsid w:val="212A5BB3"/>
    <w:rsid w:val="21315D0D"/>
    <w:rsid w:val="21333304"/>
    <w:rsid w:val="21350F58"/>
    <w:rsid w:val="21435E09"/>
    <w:rsid w:val="214361CB"/>
    <w:rsid w:val="21474687"/>
    <w:rsid w:val="214A0A6B"/>
    <w:rsid w:val="214A116A"/>
    <w:rsid w:val="214B31F1"/>
    <w:rsid w:val="2153731E"/>
    <w:rsid w:val="21553DA3"/>
    <w:rsid w:val="21573F6C"/>
    <w:rsid w:val="215D4269"/>
    <w:rsid w:val="21640F19"/>
    <w:rsid w:val="216C642E"/>
    <w:rsid w:val="216E72AC"/>
    <w:rsid w:val="21742436"/>
    <w:rsid w:val="21761581"/>
    <w:rsid w:val="217854BE"/>
    <w:rsid w:val="217A351F"/>
    <w:rsid w:val="2188761C"/>
    <w:rsid w:val="218D0D4A"/>
    <w:rsid w:val="219A1503"/>
    <w:rsid w:val="219B1A3A"/>
    <w:rsid w:val="21A1317A"/>
    <w:rsid w:val="21A20898"/>
    <w:rsid w:val="21A41A49"/>
    <w:rsid w:val="21A66877"/>
    <w:rsid w:val="21AA26C4"/>
    <w:rsid w:val="21AB6EE7"/>
    <w:rsid w:val="21AC384E"/>
    <w:rsid w:val="21AC5C8C"/>
    <w:rsid w:val="21AE4421"/>
    <w:rsid w:val="21B46321"/>
    <w:rsid w:val="21B944CD"/>
    <w:rsid w:val="21BF3717"/>
    <w:rsid w:val="21C03C59"/>
    <w:rsid w:val="21CD4909"/>
    <w:rsid w:val="21CF76D0"/>
    <w:rsid w:val="21CF78AD"/>
    <w:rsid w:val="21D133B8"/>
    <w:rsid w:val="21D84800"/>
    <w:rsid w:val="21DA40C7"/>
    <w:rsid w:val="21E626CF"/>
    <w:rsid w:val="21EE2E5D"/>
    <w:rsid w:val="21EF7C6B"/>
    <w:rsid w:val="21F36041"/>
    <w:rsid w:val="21F954E1"/>
    <w:rsid w:val="21FC61E7"/>
    <w:rsid w:val="21FE735B"/>
    <w:rsid w:val="220167C1"/>
    <w:rsid w:val="22024AEB"/>
    <w:rsid w:val="220D02F5"/>
    <w:rsid w:val="22130638"/>
    <w:rsid w:val="221A6AEA"/>
    <w:rsid w:val="222A0722"/>
    <w:rsid w:val="222A6A90"/>
    <w:rsid w:val="222D400F"/>
    <w:rsid w:val="22322682"/>
    <w:rsid w:val="223C1E72"/>
    <w:rsid w:val="223E4A1D"/>
    <w:rsid w:val="224D5EF7"/>
    <w:rsid w:val="225226DF"/>
    <w:rsid w:val="22545ADD"/>
    <w:rsid w:val="225D74EB"/>
    <w:rsid w:val="226338A3"/>
    <w:rsid w:val="22645D35"/>
    <w:rsid w:val="226E64E4"/>
    <w:rsid w:val="226F278B"/>
    <w:rsid w:val="2273572C"/>
    <w:rsid w:val="22767EAA"/>
    <w:rsid w:val="227C1FE9"/>
    <w:rsid w:val="22800E97"/>
    <w:rsid w:val="2280592C"/>
    <w:rsid w:val="22806203"/>
    <w:rsid w:val="228D1980"/>
    <w:rsid w:val="22903024"/>
    <w:rsid w:val="22905469"/>
    <w:rsid w:val="229359F1"/>
    <w:rsid w:val="229D24E9"/>
    <w:rsid w:val="22AA6722"/>
    <w:rsid w:val="22AE2B11"/>
    <w:rsid w:val="22B70195"/>
    <w:rsid w:val="22BA2DBA"/>
    <w:rsid w:val="22C0475B"/>
    <w:rsid w:val="22CC733E"/>
    <w:rsid w:val="22D96782"/>
    <w:rsid w:val="22DC6F69"/>
    <w:rsid w:val="22E469A1"/>
    <w:rsid w:val="22E705F3"/>
    <w:rsid w:val="22F4099F"/>
    <w:rsid w:val="22F62969"/>
    <w:rsid w:val="22F81011"/>
    <w:rsid w:val="2306254D"/>
    <w:rsid w:val="23077789"/>
    <w:rsid w:val="230E044D"/>
    <w:rsid w:val="23107950"/>
    <w:rsid w:val="2319615B"/>
    <w:rsid w:val="23257B58"/>
    <w:rsid w:val="233E3C9A"/>
    <w:rsid w:val="23414E65"/>
    <w:rsid w:val="2348017C"/>
    <w:rsid w:val="235377C7"/>
    <w:rsid w:val="235758FC"/>
    <w:rsid w:val="235A5E50"/>
    <w:rsid w:val="235B7383"/>
    <w:rsid w:val="236F3EF7"/>
    <w:rsid w:val="237A5348"/>
    <w:rsid w:val="23824830"/>
    <w:rsid w:val="238D0D16"/>
    <w:rsid w:val="238E3552"/>
    <w:rsid w:val="239E2117"/>
    <w:rsid w:val="23A979DB"/>
    <w:rsid w:val="23AC3027"/>
    <w:rsid w:val="23AD74CB"/>
    <w:rsid w:val="23B2253D"/>
    <w:rsid w:val="23C4147D"/>
    <w:rsid w:val="23C44080"/>
    <w:rsid w:val="23CD12AE"/>
    <w:rsid w:val="23DD35E4"/>
    <w:rsid w:val="23DE002D"/>
    <w:rsid w:val="23F2607F"/>
    <w:rsid w:val="23F776D8"/>
    <w:rsid w:val="23FD1B6C"/>
    <w:rsid w:val="2400155A"/>
    <w:rsid w:val="2402179C"/>
    <w:rsid w:val="240E6F19"/>
    <w:rsid w:val="24103CC4"/>
    <w:rsid w:val="24105FA5"/>
    <w:rsid w:val="24126CC7"/>
    <w:rsid w:val="241F1CB2"/>
    <w:rsid w:val="242071FD"/>
    <w:rsid w:val="242C2E95"/>
    <w:rsid w:val="24333A79"/>
    <w:rsid w:val="24382188"/>
    <w:rsid w:val="243A72F1"/>
    <w:rsid w:val="243C48D8"/>
    <w:rsid w:val="243D7D25"/>
    <w:rsid w:val="24400FCA"/>
    <w:rsid w:val="24463DBE"/>
    <w:rsid w:val="24482D50"/>
    <w:rsid w:val="244E747A"/>
    <w:rsid w:val="244F690B"/>
    <w:rsid w:val="24597766"/>
    <w:rsid w:val="245B63E1"/>
    <w:rsid w:val="245E13E6"/>
    <w:rsid w:val="245E3E0C"/>
    <w:rsid w:val="245E432F"/>
    <w:rsid w:val="2462791D"/>
    <w:rsid w:val="2463402E"/>
    <w:rsid w:val="246C62EA"/>
    <w:rsid w:val="246F50DB"/>
    <w:rsid w:val="2479295A"/>
    <w:rsid w:val="247C2A99"/>
    <w:rsid w:val="247D28A4"/>
    <w:rsid w:val="247D372C"/>
    <w:rsid w:val="248D1408"/>
    <w:rsid w:val="24911416"/>
    <w:rsid w:val="249127AF"/>
    <w:rsid w:val="249227FD"/>
    <w:rsid w:val="249347F1"/>
    <w:rsid w:val="24982B2B"/>
    <w:rsid w:val="249A2692"/>
    <w:rsid w:val="249B24BC"/>
    <w:rsid w:val="249C261E"/>
    <w:rsid w:val="24A02CDA"/>
    <w:rsid w:val="24A3267C"/>
    <w:rsid w:val="24A57C58"/>
    <w:rsid w:val="24AD6BD8"/>
    <w:rsid w:val="24AF2491"/>
    <w:rsid w:val="24BF043E"/>
    <w:rsid w:val="24BF0F25"/>
    <w:rsid w:val="24CB67BB"/>
    <w:rsid w:val="24D65EFB"/>
    <w:rsid w:val="24D81F62"/>
    <w:rsid w:val="24D8608C"/>
    <w:rsid w:val="24E251E7"/>
    <w:rsid w:val="24E25C7A"/>
    <w:rsid w:val="24F12FFD"/>
    <w:rsid w:val="24F3770A"/>
    <w:rsid w:val="24F91A87"/>
    <w:rsid w:val="24FF1FDB"/>
    <w:rsid w:val="24FF3D57"/>
    <w:rsid w:val="250004C1"/>
    <w:rsid w:val="25094870"/>
    <w:rsid w:val="25160DA3"/>
    <w:rsid w:val="251E0AE9"/>
    <w:rsid w:val="251F6ECC"/>
    <w:rsid w:val="25234685"/>
    <w:rsid w:val="252B00EE"/>
    <w:rsid w:val="252E729F"/>
    <w:rsid w:val="25350B0A"/>
    <w:rsid w:val="25384EE8"/>
    <w:rsid w:val="253A2A46"/>
    <w:rsid w:val="253D691F"/>
    <w:rsid w:val="253F05F7"/>
    <w:rsid w:val="25487A7F"/>
    <w:rsid w:val="25504B68"/>
    <w:rsid w:val="25550187"/>
    <w:rsid w:val="25550B8A"/>
    <w:rsid w:val="255C6D00"/>
    <w:rsid w:val="255E3FBB"/>
    <w:rsid w:val="25631BB1"/>
    <w:rsid w:val="2566431A"/>
    <w:rsid w:val="25707530"/>
    <w:rsid w:val="25745A66"/>
    <w:rsid w:val="257A4807"/>
    <w:rsid w:val="25846666"/>
    <w:rsid w:val="258B0CB9"/>
    <w:rsid w:val="25994967"/>
    <w:rsid w:val="259C7404"/>
    <w:rsid w:val="259D70CC"/>
    <w:rsid w:val="25A3263C"/>
    <w:rsid w:val="25AA7315"/>
    <w:rsid w:val="25B368EF"/>
    <w:rsid w:val="25B612CE"/>
    <w:rsid w:val="25C10173"/>
    <w:rsid w:val="25C30168"/>
    <w:rsid w:val="25C35365"/>
    <w:rsid w:val="25CA22E5"/>
    <w:rsid w:val="25CA3BA8"/>
    <w:rsid w:val="25CB1854"/>
    <w:rsid w:val="25CC2942"/>
    <w:rsid w:val="25CC669B"/>
    <w:rsid w:val="25CC6B47"/>
    <w:rsid w:val="25D01DD5"/>
    <w:rsid w:val="25DC1ECC"/>
    <w:rsid w:val="25E12C4F"/>
    <w:rsid w:val="25EB7E37"/>
    <w:rsid w:val="25F1288B"/>
    <w:rsid w:val="25F21EE0"/>
    <w:rsid w:val="26011914"/>
    <w:rsid w:val="260B109B"/>
    <w:rsid w:val="2611159E"/>
    <w:rsid w:val="26115306"/>
    <w:rsid w:val="26167EAA"/>
    <w:rsid w:val="261750D0"/>
    <w:rsid w:val="261F13E2"/>
    <w:rsid w:val="26213683"/>
    <w:rsid w:val="262670C1"/>
    <w:rsid w:val="262B727F"/>
    <w:rsid w:val="263165C2"/>
    <w:rsid w:val="26335038"/>
    <w:rsid w:val="26355721"/>
    <w:rsid w:val="263C6AB8"/>
    <w:rsid w:val="26410011"/>
    <w:rsid w:val="264228FB"/>
    <w:rsid w:val="265076A5"/>
    <w:rsid w:val="26562AC8"/>
    <w:rsid w:val="26570D20"/>
    <w:rsid w:val="26592DEA"/>
    <w:rsid w:val="26653B98"/>
    <w:rsid w:val="26653F9F"/>
    <w:rsid w:val="266F2496"/>
    <w:rsid w:val="26700408"/>
    <w:rsid w:val="26780E4A"/>
    <w:rsid w:val="267A1AA8"/>
    <w:rsid w:val="267A7E20"/>
    <w:rsid w:val="267B7224"/>
    <w:rsid w:val="26872D7E"/>
    <w:rsid w:val="268923EA"/>
    <w:rsid w:val="268A73D3"/>
    <w:rsid w:val="26942953"/>
    <w:rsid w:val="26971D6D"/>
    <w:rsid w:val="269B257E"/>
    <w:rsid w:val="26A14CFB"/>
    <w:rsid w:val="26A733B0"/>
    <w:rsid w:val="26A74146"/>
    <w:rsid w:val="26AC49E0"/>
    <w:rsid w:val="26B2033A"/>
    <w:rsid w:val="26B33B01"/>
    <w:rsid w:val="26B837DA"/>
    <w:rsid w:val="26CE1E76"/>
    <w:rsid w:val="26D60AE7"/>
    <w:rsid w:val="26E3525B"/>
    <w:rsid w:val="26F414BD"/>
    <w:rsid w:val="26F50B23"/>
    <w:rsid w:val="26F61BE2"/>
    <w:rsid w:val="27086959"/>
    <w:rsid w:val="270A47D0"/>
    <w:rsid w:val="270B2296"/>
    <w:rsid w:val="270E035C"/>
    <w:rsid w:val="271C1B0C"/>
    <w:rsid w:val="271C74C3"/>
    <w:rsid w:val="2720303C"/>
    <w:rsid w:val="27203D0E"/>
    <w:rsid w:val="27257379"/>
    <w:rsid w:val="272715AF"/>
    <w:rsid w:val="27277595"/>
    <w:rsid w:val="27296C05"/>
    <w:rsid w:val="272B5434"/>
    <w:rsid w:val="272B7CE1"/>
    <w:rsid w:val="272C6EB9"/>
    <w:rsid w:val="27365549"/>
    <w:rsid w:val="27366DD7"/>
    <w:rsid w:val="274B78B6"/>
    <w:rsid w:val="274C41A6"/>
    <w:rsid w:val="274D592E"/>
    <w:rsid w:val="27504ECF"/>
    <w:rsid w:val="275821A5"/>
    <w:rsid w:val="27630446"/>
    <w:rsid w:val="27640998"/>
    <w:rsid w:val="276A122F"/>
    <w:rsid w:val="27711D3B"/>
    <w:rsid w:val="2776060C"/>
    <w:rsid w:val="277C7404"/>
    <w:rsid w:val="277F2B57"/>
    <w:rsid w:val="278127F2"/>
    <w:rsid w:val="27822A1D"/>
    <w:rsid w:val="27824C5F"/>
    <w:rsid w:val="278359BC"/>
    <w:rsid w:val="27857434"/>
    <w:rsid w:val="27886B4A"/>
    <w:rsid w:val="279474E1"/>
    <w:rsid w:val="27A10C29"/>
    <w:rsid w:val="27A961FC"/>
    <w:rsid w:val="27AC65CB"/>
    <w:rsid w:val="27AC6781"/>
    <w:rsid w:val="27AD7FAB"/>
    <w:rsid w:val="27AE550B"/>
    <w:rsid w:val="27B00DB9"/>
    <w:rsid w:val="27B05962"/>
    <w:rsid w:val="27B257E6"/>
    <w:rsid w:val="27B57501"/>
    <w:rsid w:val="27C065BA"/>
    <w:rsid w:val="27C2427E"/>
    <w:rsid w:val="27C303A3"/>
    <w:rsid w:val="27CE764C"/>
    <w:rsid w:val="27CF5FD4"/>
    <w:rsid w:val="27CF7A19"/>
    <w:rsid w:val="27D16E8D"/>
    <w:rsid w:val="27D52EE1"/>
    <w:rsid w:val="27D93150"/>
    <w:rsid w:val="27E64D5A"/>
    <w:rsid w:val="27FA1427"/>
    <w:rsid w:val="27FD2DA0"/>
    <w:rsid w:val="28026AEF"/>
    <w:rsid w:val="280C4787"/>
    <w:rsid w:val="280C597B"/>
    <w:rsid w:val="280D58F0"/>
    <w:rsid w:val="280D678A"/>
    <w:rsid w:val="28106910"/>
    <w:rsid w:val="281412A8"/>
    <w:rsid w:val="281C2E42"/>
    <w:rsid w:val="281D3672"/>
    <w:rsid w:val="282017F3"/>
    <w:rsid w:val="28224827"/>
    <w:rsid w:val="282B4E5E"/>
    <w:rsid w:val="28377F8D"/>
    <w:rsid w:val="283F0C31"/>
    <w:rsid w:val="2841252C"/>
    <w:rsid w:val="28447B97"/>
    <w:rsid w:val="28456988"/>
    <w:rsid w:val="284C5E1A"/>
    <w:rsid w:val="284E086D"/>
    <w:rsid w:val="28525501"/>
    <w:rsid w:val="2853163C"/>
    <w:rsid w:val="28625930"/>
    <w:rsid w:val="286D657F"/>
    <w:rsid w:val="286F5B1F"/>
    <w:rsid w:val="28766BC1"/>
    <w:rsid w:val="28797626"/>
    <w:rsid w:val="287B127F"/>
    <w:rsid w:val="287F6F5C"/>
    <w:rsid w:val="288014B5"/>
    <w:rsid w:val="28812CD5"/>
    <w:rsid w:val="2881461D"/>
    <w:rsid w:val="28882CBE"/>
    <w:rsid w:val="28892808"/>
    <w:rsid w:val="28920D22"/>
    <w:rsid w:val="289871C2"/>
    <w:rsid w:val="289A5B44"/>
    <w:rsid w:val="28A40E75"/>
    <w:rsid w:val="28A41443"/>
    <w:rsid w:val="28A7177D"/>
    <w:rsid w:val="28AB65DF"/>
    <w:rsid w:val="28AE27F3"/>
    <w:rsid w:val="28C23A01"/>
    <w:rsid w:val="28C74998"/>
    <w:rsid w:val="28C93AC3"/>
    <w:rsid w:val="28E42158"/>
    <w:rsid w:val="28E8116A"/>
    <w:rsid w:val="28E90F64"/>
    <w:rsid w:val="28EC17CE"/>
    <w:rsid w:val="28F1013D"/>
    <w:rsid w:val="28FB1BAC"/>
    <w:rsid w:val="28FB5C22"/>
    <w:rsid w:val="29077701"/>
    <w:rsid w:val="2909341C"/>
    <w:rsid w:val="290D7642"/>
    <w:rsid w:val="29180602"/>
    <w:rsid w:val="29186E85"/>
    <w:rsid w:val="291E5BAE"/>
    <w:rsid w:val="292677B7"/>
    <w:rsid w:val="29317477"/>
    <w:rsid w:val="29331FE7"/>
    <w:rsid w:val="29332D7E"/>
    <w:rsid w:val="293572B2"/>
    <w:rsid w:val="293B6D30"/>
    <w:rsid w:val="29433A05"/>
    <w:rsid w:val="294D2BB7"/>
    <w:rsid w:val="295120AB"/>
    <w:rsid w:val="296622CE"/>
    <w:rsid w:val="296B4BE6"/>
    <w:rsid w:val="29704B40"/>
    <w:rsid w:val="29772DD2"/>
    <w:rsid w:val="29797660"/>
    <w:rsid w:val="297C4047"/>
    <w:rsid w:val="2983149E"/>
    <w:rsid w:val="298E0A8B"/>
    <w:rsid w:val="29903309"/>
    <w:rsid w:val="2991426D"/>
    <w:rsid w:val="299444F6"/>
    <w:rsid w:val="299B791D"/>
    <w:rsid w:val="29A0142B"/>
    <w:rsid w:val="29A45D80"/>
    <w:rsid w:val="29A6119E"/>
    <w:rsid w:val="29A70519"/>
    <w:rsid w:val="29A743F5"/>
    <w:rsid w:val="29AB5CD6"/>
    <w:rsid w:val="29AF561F"/>
    <w:rsid w:val="29B90A5B"/>
    <w:rsid w:val="29BD3616"/>
    <w:rsid w:val="29BF7A57"/>
    <w:rsid w:val="29C311A0"/>
    <w:rsid w:val="29C476DB"/>
    <w:rsid w:val="29CC14CC"/>
    <w:rsid w:val="29CC6864"/>
    <w:rsid w:val="29CF4FC5"/>
    <w:rsid w:val="29CF6B60"/>
    <w:rsid w:val="29D01E9B"/>
    <w:rsid w:val="29DF45F4"/>
    <w:rsid w:val="29EB07FA"/>
    <w:rsid w:val="29F1583B"/>
    <w:rsid w:val="29F179E6"/>
    <w:rsid w:val="29F9234A"/>
    <w:rsid w:val="2A053A79"/>
    <w:rsid w:val="2A075DD3"/>
    <w:rsid w:val="2A0E6314"/>
    <w:rsid w:val="2A0F11ED"/>
    <w:rsid w:val="2A132776"/>
    <w:rsid w:val="2A1A6D6F"/>
    <w:rsid w:val="2A245CB1"/>
    <w:rsid w:val="2A373419"/>
    <w:rsid w:val="2A3A279C"/>
    <w:rsid w:val="2A3C21D5"/>
    <w:rsid w:val="2A3D3C9E"/>
    <w:rsid w:val="2A461AE0"/>
    <w:rsid w:val="2A4620B2"/>
    <w:rsid w:val="2A495A74"/>
    <w:rsid w:val="2A4C40DF"/>
    <w:rsid w:val="2A4D2368"/>
    <w:rsid w:val="2A56221D"/>
    <w:rsid w:val="2A573D00"/>
    <w:rsid w:val="2A5A18C4"/>
    <w:rsid w:val="2A5C4A68"/>
    <w:rsid w:val="2A5E6378"/>
    <w:rsid w:val="2A5F2BA2"/>
    <w:rsid w:val="2A6029FD"/>
    <w:rsid w:val="2A621E43"/>
    <w:rsid w:val="2A6277F0"/>
    <w:rsid w:val="2A653B1B"/>
    <w:rsid w:val="2A691364"/>
    <w:rsid w:val="2A724988"/>
    <w:rsid w:val="2A7861F6"/>
    <w:rsid w:val="2A7D25E2"/>
    <w:rsid w:val="2A7D5A3D"/>
    <w:rsid w:val="2A85460D"/>
    <w:rsid w:val="2A87565C"/>
    <w:rsid w:val="2A8D4A45"/>
    <w:rsid w:val="2A8E62C9"/>
    <w:rsid w:val="2A900A00"/>
    <w:rsid w:val="2AA247BE"/>
    <w:rsid w:val="2AAA07C5"/>
    <w:rsid w:val="2AAF3887"/>
    <w:rsid w:val="2AB32EED"/>
    <w:rsid w:val="2AB93496"/>
    <w:rsid w:val="2ABB0709"/>
    <w:rsid w:val="2ABC35A1"/>
    <w:rsid w:val="2AC210CC"/>
    <w:rsid w:val="2AD34A0A"/>
    <w:rsid w:val="2AD6727E"/>
    <w:rsid w:val="2AE213F6"/>
    <w:rsid w:val="2AE65071"/>
    <w:rsid w:val="2AF6758A"/>
    <w:rsid w:val="2AFC349E"/>
    <w:rsid w:val="2B0025D7"/>
    <w:rsid w:val="2B044780"/>
    <w:rsid w:val="2B08626C"/>
    <w:rsid w:val="2B105922"/>
    <w:rsid w:val="2B120584"/>
    <w:rsid w:val="2B1F5DEE"/>
    <w:rsid w:val="2B290EC9"/>
    <w:rsid w:val="2B2C493D"/>
    <w:rsid w:val="2B362A0F"/>
    <w:rsid w:val="2B3C674C"/>
    <w:rsid w:val="2B403850"/>
    <w:rsid w:val="2B4201F8"/>
    <w:rsid w:val="2B4926CC"/>
    <w:rsid w:val="2B50238A"/>
    <w:rsid w:val="2B5102DE"/>
    <w:rsid w:val="2B51698E"/>
    <w:rsid w:val="2B5A47FC"/>
    <w:rsid w:val="2B626FC3"/>
    <w:rsid w:val="2B710DDE"/>
    <w:rsid w:val="2B7A4A43"/>
    <w:rsid w:val="2B7A51CB"/>
    <w:rsid w:val="2B894C35"/>
    <w:rsid w:val="2B8C45DA"/>
    <w:rsid w:val="2B8F0135"/>
    <w:rsid w:val="2B9274C4"/>
    <w:rsid w:val="2B964E6E"/>
    <w:rsid w:val="2B986BC5"/>
    <w:rsid w:val="2BA64F9D"/>
    <w:rsid w:val="2BA74026"/>
    <w:rsid w:val="2BAD0059"/>
    <w:rsid w:val="2BAF28FF"/>
    <w:rsid w:val="2BB05F93"/>
    <w:rsid w:val="2BB15833"/>
    <w:rsid w:val="2BB208B1"/>
    <w:rsid w:val="2BB222C7"/>
    <w:rsid w:val="2BB9186A"/>
    <w:rsid w:val="2BBA1AB4"/>
    <w:rsid w:val="2BBC2687"/>
    <w:rsid w:val="2BBE3A1E"/>
    <w:rsid w:val="2BCB1289"/>
    <w:rsid w:val="2BCC5CFB"/>
    <w:rsid w:val="2BD2366F"/>
    <w:rsid w:val="2BD74861"/>
    <w:rsid w:val="2BDE3F6E"/>
    <w:rsid w:val="2BEC1234"/>
    <w:rsid w:val="2BEC4B59"/>
    <w:rsid w:val="2BEF6ED6"/>
    <w:rsid w:val="2BF1308B"/>
    <w:rsid w:val="2BF60C1B"/>
    <w:rsid w:val="2C047D98"/>
    <w:rsid w:val="2C091002"/>
    <w:rsid w:val="2C0B756F"/>
    <w:rsid w:val="2C0F03C8"/>
    <w:rsid w:val="2C10416B"/>
    <w:rsid w:val="2C152C2D"/>
    <w:rsid w:val="2C2045B2"/>
    <w:rsid w:val="2C2D15DD"/>
    <w:rsid w:val="2C2D3788"/>
    <w:rsid w:val="2C335C64"/>
    <w:rsid w:val="2C3502BE"/>
    <w:rsid w:val="2C370FFE"/>
    <w:rsid w:val="2C3D7EBB"/>
    <w:rsid w:val="2C4341AC"/>
    <w:rsid w:val="2C4958B7"/>
    <w:rsid w:val="2C4C248F"/>
    <w:rsid w:val="2C4E7569"/>
    <w:rsid w:val="2C512033"/>
    <w:rsid w:val="2C513A99"/>
    <w:rsid w:val="2C576511"/>
    <w:rsid w:val="2C5C6B56"/>
    <w:rsid w:val="2C5C7768"/>
    <w:rsid w:val="2C6D67C4"/>
    <w:rsid w:val="2C755126"/>
    <w:rsid w:val="2C7A54B8"/>
    <w:rsid w:val="2C7B7F24"/>
    <w:rsid w:val="2C7E4100"/>
    <w:rsid w:val="2C8233AC"/>
    <w:rsid w:val="2C8632F5"/>
    <w:rsid w:val="2C8A7455"/>
    <w:rsid w:val="2C8D7E9A"/>
    <w:rsid w:val="2C91679C"/>
    <w:rsid w:val="2C92725E"/>
    <w:rsid w:val="2C9307CA"/>
    <w:rsid w:val="2C941177"/>
    <w:rsid w:val="2C9560B2"/>
    <w:rsid w:val="2C9D71CE"/>
    <w:rsid w:val="2C9F1552"/>
    <w:rsid w:val="2CA361BA"/>
    <w:rsid w:val="2CA5074E"/>
    <w:rsid w:val="2CA723FB"/>
    <w:rsid w:val="2CA73DA8"/>
    <w:rsid w:val="2CAF1E83"/>
    <w:rsid w:val="2CB15DF7"/>
    <w:rsid w:val="2CBD4B00"/>
    <w:rsid w:val="2CBF7DA3"/>
    <w:rsid w:val="2CCD454D"/>
    <w:rsid w:val="2CD753C1"/>
    <w:rsid w:val="2CD8482D"/>
    <w:rsid w:val="2CD85A8C"/>
    <w:rsid w:val="2CDD4252"/>
    <w:rsid w:val="2CE24587"/>
    <w:rsid w:val="2CEB1D6C"/>
    <w:rsid w:val="2CED551D"/>
    <w:rsid w:val="2D052D88"/>
    <w:rsid w:val="2D054D76"/>
    <w:rsid w:val="2D0C0ED6"/>
    <w:rsid w:val="2D113BDA"/>
    <w:rsid w:val="2D150B97"/>
    <w:rsid w:val="2D1E3CB5"/>
    <w:rsid w:val="2D1E5C93"/>
    <w:rsid w:val="2D22026D"/>
    <w:rsid w:val="2D296FEB"/>
    <w:rsid w:val="2D322D52"/>
    <w:rsid w:val="2D3262D5"/>
    <w:rsid w:val="2D431DB3"/>
    <w:rsid w:val="2D443ED8"/>
    <w:rsid w:val="2D4C1B03"/>
    <w:rsid w:val="2D4C5F80"/>
    <w:rsid w:val="2D4C7C52"/>
    <w:rsid w:val="2D5015B6"/>
    <w:rsid w:val="2D520565"/>
    <w:rsid w:val="2D5B38DD"/>
    <w:rsid w:val="2D5C151C"/>
    <w:rsid w:val="2D624A33"/>
    <w:rsid w:val="2D642FCF"/>
    <w:rsid w:val="2D682308"/>
    <w:rsid w:val="2D693ED2"/>
    <w:rsid w:val="2D6A1952"/>
    <w:rsid w:val="2D746E52"/>
    <w:rsid w:val="2D7B5571"/>
    <w:rsid w:val="2D890723"/>
    <w:rsid w:val="2D917516"/>
    <w:rsid w:val="2D956DC9"/>
    <w:rsid w:val="2D96573A"/>
    <w:rsid w:val="2D981C83"/>
    <w:rsid w:val="2D9D5DE8"/>
    <w:rsid w:val="2DA64C11"/>
    <w:rsid w:val="2DC055A0"/>
    <w:rsid w:val="2DC60312"/>
    <w:rsid w:val="2DC60707"/>
    <w:rsid w:val="2DC80A24"/>
    <w:rsid w:val="2DCA0C7A"/>
    <w:rsid w:val="2DD212F1"/>
    <w:rsid w:val="2DDE5CEF"/>
    <w:rsid w:val="2DE20BD4"/>
    <w:rsid w:val="2DEB2C5D"/>
    <w:rsid w:val="2DED2B2D"/>
    <w:rsid w:val="2DF5008C"/>
    <w:rsid w:val="2E103E63"/>
    <w:rsid w:val="2E172FC3"/>
    <w:rsid w:val="2E296E5A"/>
    <w:rsid w:val="2E322D3A"/>
    <w:rsid w:val="2E326001"/>
    <w:rsid w:val="2E341DD7"/>
    <w:rsid w:val="2E34221D"/>
    <w:rsid w:val="2E3809D2"/>
    <w:rsid w:val="2E3B55A5"/>
    <w:rsid w:val="2E421EC8"/>
    <w:rsid w:val="2E4A16A0"/>
    <w:rsid w:val="2E4C6A2A"/>
    <w:rsid w:val="2E554436"/>
    <w:rsid w:val="2E56199B"/>
    <w:rsid w:val="2E592149"/>
    <w:rsid w:val="2E636CD0"/>
    <w:rsid w:val="2E642627"/>
    <w:rsid w:val="2E6D5E7D"/>
    <w:rsid w:val="2E7110F5"/>
    <w:rsid w:val="2E7320CE"/>
    <w:rsid w:val="2E757EFF"/>
    <w:rsid w:val="2E7708FA"/>
    <w:rsid w:val="2E805031"/>
    <w:rsid w:val="2E8378F9"/>
    <w:rsid w:val="2E854F07"/>
    <w:rsid w:val="2E8C23C9"/>
    <w:rsid w:val="2E8C41AB"/>
    <w:rsid w:val="2E933F04"/>
    <w:rsid w:val="2E99421D"/>
    <w:rsid w:val="2E9E21D1"/>
    <w:rsid w:val="2EA41C48"/>
    <w:rsid w:val="2EAB22DC"/>
    <w:rsid w:val="2EAE5FB3"/>
    <w:rsid w:val="2EAF4D7A"/>
    <w:rsid w:val="2EB00596"/>
    <w:rsid w:val="2EB21E3A"/>
    <w:rsid w:val="2EBA587E"/>
    <w:rsid w:val="2EBD3064"/>
    <w:rsid w:val="2EC05FE7"/>
    <w:rsid w:val="2EC26466"/>
    <w:rsid w:val="2ED43BD2"/>
    <w:rsid w:val="2EE9585B"/>
    <w:rsid w:val="2EEB6B28"/>
    <w:rsid w:val="2EEE2378"/>
    <w:rsid w:val="2EF169A6"/>
    <w:rsid w:val="2EF204E5"/>
    <w:rsid w:val="2EFC62E0"/>
    <w:rsid w:val="2F0429CA"/>
    <w:rsid w:val="2F0B46A2"/>
    <w:rsid w:val="2F0E335D"/>
    <w:rsid w:val="2F0E677D"/>
    <w:rsid w:val="2F144012"/>
    <w:rsid w:val="2F1D5D39"/>
    <w:rsid w:val="2F2617A7"/>
    <w:rsid w:val="2F282F9A"/>
    <w:rsid w:val="2F34515A"/>
    <w:rsid w:val="2F3B7C94"/>
    <w:rsid w:val="2F4108DB"/>
    <w:rsid w:val="2F4901B4"/>
    <w:rsid w:val="2F544D2A"/>
    <w:rsid w:val="2F5F0E72"/>
    <w:rsid w:val="2F630CE2"/>
    <w:rsid w:val="2F692E92"/>
    <w:rsid w:val="2F6B6336"/>
    <w:rsid w:val="2F6C3523"/>
    <w:rsid w:val="2F710330"/>
    <w:rsid w:val="2F7B70F8"/>
    <w:rsid w:val="2F811E68"/>
    <w:rsid w:val="2F814135"/>
    <w:rsid w:val="2F83513E"/>
    <w:rsid w:val="2F843D81"/>
    <w:rsid w:val="2F8B4BD7"/>
    <w:rsid w:val="2F8D0F06"/>
    <w:rsid w:val="2F951EFA"/>
    <w:rsid w:val="2F9525CE"/>
    <w:rsid w:val="2FA15554"/>
    <w:rsid w:val="2FAF2E51"/>
    <w:rsid w:val="2FB2109E"/>
    <w:rsid w:val="2FB9600E"/>
    <w:rsid w:val="2FBA3784"/>
    <w:rsid w:val="2FBA5362"/>
    <w:rsid w:val="2FC0182E"/>
    <w:rsid w:val="2FC115B8"/>
    <w:rsid w:val="2FC55434"/>
    <w:rsid w:val="2FCA3920"/>
    <w:rsid w:val="2FCF7B64"/>
    <w:rsid w:val="2FD437A7"/>
    <w:rsid w:val="2FD64A53"/>
    <w:rsid w:val="2FD81D8F"/>
    <w:rsid w:val="2FDB2CCA"/>
    <w:rsid w:val="2FE17C3A"/>
    <w:rsid w:val="2FEE365E"/>
    <w:rsid w:val="2FF12D33"/>
    <w:rsid w:val="2FF2327A"/>
    <w:rsid w:val="2FF320B7"/>
    <w:rsid w:val="2FF8610C"/>
    <w:rsid w:val="300970E3"/>
    <w:rsid w:val="300B0AFF"/>
    <w:rsid w:val="3012545F"/>
    <w:rsid w:val="301723DF"/>
    <w:rsid w:val="301B48DC"/>
    <w:rsid w:val="30236634"/>
    <w:rsid w:val="3028012C"/>
    <w:rsid w:val="302A32D4"/>
    <w:rsid w:val="302E3742"/>
    <w:rsid w:val="303A44D4"/>
    <w:rsid w:val="303D5733"/>
    <w:rsid w:val="30450A8C"/>
    <w:rsid w:val="30451368"/>
    <w:rsid w:val="304567D2"/>
    <w:rsid w:val="30456BFD"/>
    <w:rsid w:val="30463635"/>
    <w:rsid w:val="304F4103"/>
    <w:rsid w:val="30530618"/>
    <w:rsid w:val="305848C0"/>
    <w:rsid w:val="30625E54"/>
    <w:rsid w:val="30680370"/>
    <w:rsid w:val="30742179"/>
    <w:rsid w:val="30753DAD"/>
    <w:rsid w:val="3078676B"/>
    <w:rsid w:val="307F507C"/>
    <w:rsid w:val="3083623A"/>
    <w:rsid w:val="3086412A"/>
    <w:rsid w:val="308D5315"/>
    <w:rsid w:val="308F0018"/>
    <w:rsid w:val="30910409"/>
    <w:rsid w:val="30A212D0"/>
    <w:rsid w:val="30A22559"/>
    <w:rsid w:val="30A73F48"/>
    <w:rsid w:val="30A75B39"/>
    <w:rsid w:val="30A92D0C"/>
    <w:rsid w:val="30B353CD"/>
    <w:rsid w:val="30B8125D"/>
    <w:rsid w:val="30B95E9D"/>
    <w:rsid w:val="30BE2FB2"/>
    <w:rsid w:val="30BF2369"/>
    <w:rsid w:val="30BF2F44"/>
    <w:rsid w:val="30C714A1"/>
    <w:rsid w:val="30C8357A"/>
    <w:rsid w:val="30CC3EF1"/>
    <w:rsid w:val="30CC4D09"/>
    <w:rsid w:val="30CE0A5C"/>
    <w:rsid w:val="30DD67AD"/>
    <w:rsid w:val="30E06F3B"/>
    <w:rsid w:val="30E3452C"/>
    <w:rsid w:val="30E42A74"/>
    <w:rsid w:val="30E56E1D"/>
    <w:rsid w:val="30E658B5"/>
    <w:rsid w:val="30E93E21"/>
    <w:rsid w:val="30EA1395"/>
    <w:rsid w:val="30ED0CB7"/>
    <w:rsid w:val="30F91FD5"/>
    <w:rsid w:val="30FD7CAF"/>
    <w:rsid w:val="30FF2934"/>
    <w:rsid w:val="31003061"/>
    <w:rsid w:val="31031508"/>
    <w:rsid w:val="310418D5"/>
    <w:rsid w:val="3119218F"/>
    <w:rsid w:val="311957CC"/>
    <w:rsid w:val="31235771"/>
    <w:rsid w:val="312B7B76"/>
    <w:rsid w:val="312C01E9"/>
    <w:rsid w:val="31325070"/>
    <w:rsid w:val="31381D7A"/>
    <w:rsid w:val="31393E9B"/>
    <w:rsid w:val="31394140"/>
    <w:rsid w:val="313D2C28"/>
    <w:rsid w:val="31440159"/>
    <w:rsid w:val="314919CF"/>
    <w:rsid w:val="31496535"/>
    <w:rsid w:val="314A2415"/>
    <w:rsid w:val="316173E5"/>
    <w:rsid w:val="316513E5"/>
    <w:rsid w:val="31660DAA"/>
    <w:rsid w:val="31690E97"/>
    <w:rsid w:val="316E2119"/>
    <w:rsid w:val="316E4789"/>
    <w:rsid w:val="316F58FC"/>
    <w:rsid w:val="317225E5"/>
    <w:rsid w:val="31755F02"/>
    <w:rsid w:val="317E0C7F"/>
    <w:rsid w:val="317F5387"/>
    <w:rsid w:val="31867E3F"/>
    <w:rsid w:val="31905D36"/>
    <w:rsid w:val="31915ADF"/>
    <w:rsid w:val="3193495C"/>
    <w:rsid w:val="31995D42"/>
    <w:rsid w:val="31B1700E"/>
    <w:rsid w:val="31C01CFA"/>
    <w:rsid w:val="31C0317C"/>
    <w:rsid w:val="31C346EA"/>
    <w:rsid w:val="31C70DF5"/>
    <w:rsid w:val="31C75A3E"/>
    <w:rsid w:val="31CF0F21"/>
    <w:rsid w:val="31D00075"/>
    <w:rsid w:val="31D27AC8"/>
    <w:rsid w:val="31DF692A"/>
    <w:rsid w:val="31E171EF"/>
    <w:rsid w:val="31F72D85"/>
    <w:rsid w:val="31FD646A"/>
    <w:rsid w:val="320E1EBE"/>
    <w:rsid w:val="320E4D35"/>
    <w:rsid w:val="32106011"/>
    <w:rsid w:val="32110852"/>
    <w:rsid w:val="32193E5B"/>
    <w:rsid w:val="32261DB2"/>
    <w:rsid w:val="323479E4"/>
    <w:rsid w:val="32484FEE"/>
    <w:rsid w:val="324B07BD"/>
    <w:rsid w:val="324F24E5"/>
    <w:rsid w:val="3254274E"/>
    <w:rsid w:val="32544BDF"/>
    <w:rsid w:val="32550C70"/>
    <w:rsid w:val="32560D2E"/>
    <w:rsid w:val="325909FD"/>
    <w:rsid w:val="325E6910"/>
    <w:rsid w:val="32637040"/>
    <w:rsid w:val="32701107"/>
    <w:rsid w:val="3274719C"/>
    <w:rsid w:val="327F6D67"/>
    <w:rsid w:val="32821C93"/>
    <w:rsid w:val="328343EB"/>
    <w:rsid w:val="32854A29"/>
    <w:rsid w:val="3288244A"/>
    <w:rsid w:val="328C40AD"/>
    <w:rsid w:val="328D7C9C"/>
    <w:rsid w:val="329A7EE5"/>
    <w:rsid w:val="32A36A1D"/>
    <w:rsid w:val="32B461E4"/>
    <w:rsid w:val="32BA306B"/>
    <w:rsid w:val="32C716D6"/>
    <w:rsid w:val="32CA3FBC"/>
    <w:rsid w:val="32D1739F"/>
    <w:rsid w:val="32D940C6"/>
    <w:rsid w:val="32D958F4"/>
    <w:rsid w:val="32DB182E"/>
    <w:rsid w:val="32DD366B"/>
    <w:rsid w:val="32EF0A75"/>
    <w:rsid w:val="32FA541E"/>
    <w:rsid w:val="32FD412F"/>
    <w:rsid w:val="32FF3174"/>
    <w:rsid w:val="33084A3B"/>
    <w:rsid w:val="330E4A95"/>
    <w:rsid w:val="331117C0"/>
    <w:rsid w:val="331A7C8F"/>
    <w:rsid w:val="332B0710"/>
    <w:rsid w:val="332B5EB5"/>
    <w:rsid w:val="33371736"/>
    <w:rsid w:val="3338305B"/>
    <w:rsid w:val="334D0A9F"/>
    <w:rsid w:val="336A6CE7"/>
    <w:rsid w:val="336C266E"/>
    <w:rsid w:val="33792FE2"/>
    <w:rsid w:val="338120A0"/>
    <w:rsid w:val="33845ABC"/>
    <w:rsid w:val="338B5A94"/>
    <w:rsid w:val="338E7B48"/>
    <w:rsid w:val="3390450B"/>
    <w:rsid w:val="3396271C"/>
    <w:rsid w:val="33997993"/>
    <w:rsid w:val="339E3411"/>
    <w:rsid w:val="339F6214"/>
    <w:rsid w:val="33A35ED7"/>
    <w:rsid w:val="33AD30C5"/>
    <w:rsid w:val="33B05E45"/>
    <w:rsid w:val="33B31AE9"/>
    <w:rsid w:val="33C841B4"/>
    <w:rsid w:val="33CD110B"/>
    <w:rsid w:val="33D15F2E"/>
    <w:rsid w:val="33D7795C"/>
    <w:rsid w:val="33DD580A"/>
    <w:rsid w:val="33E727C5"/>
    <w:rsid w:val="33ED755A"/>
    <w:rsid w:val="33F16EEC"/>
    <w:rsid w:val="33F40E24"/>
    <w:rsid w:val="33FA2F1A"/>
    <w:rsid w:val="33FC25CA"/>
    <w:rsid w:val="3404036F"/>
    <w:rsid w:val="340B4D34"/>
    <w:rsid w:val="340C4058"/>
    <w:rsid w:val="340C4DD2"/>
    <w:rsid w:val="341E06F7"/>
    <w:rsid w:val="34243721"/>
    <w:rsid w:val="342A4F5F"/>
    <w:rsid w:val="342D23D8"/>
    <w:rsid w:val="343132D5"/>
    <w:rsid w:val="3438573F"/>
    <w:rsid w:val="343C247D"/>
    <w:rsid w:val="34414159"/>
    <w:rsid w:val="344E1DC8"/>
    <w:rsid w:val="3455236F"/>
    <w:rsid w:val="34672BEA"/>
    <w:rsid w:val="34690186"/>
    <w:rsid w:val="347B6A3A"/>
    <w:rsid w:val="34802C6C"/>
    <w:rsid w:val="34816DB7"/>
    <w:rsid w:val="34947504"/>
    <w:rsid w:val="349640AA"/>
    <w:rsid w:val="34A5006C"/>
    <w:rsid w:val="34A8302C"/>
    <w:rsid w:val="34AE0945"/>
    <w:rsid w:val="34B445FB"/>
    <w:rsid w:val="34B455DE"/>
    <w:rsid w:val="34B82070"/>
    <w:rsid w:val="34BC4090"/>
    <w:rsid w:val="34BE672D"/>
    <w:rsid w:val="34BF2DEA"/>
    <w:rsid w:val="34C25AE9"/>
    <w:rsid w:val="34CA55B1"/>
    <w:rsid w:val="34CF3529"/>
    <w:rsid w:val="34D7197A"/>
    <w:rsid w:val="34D94DA0"/>
    <w:rsid w:val="34DA7B4B"/>
    <w:rsid w:val="34DB551B"/>
    <w:rsid w:val="34DE7369"/>
    <w:rsid w:val="34E178F1"/>
    <w:rsid w:val="34E96194"/>
    <w:rsid w:val="34F80347"/>
    <w:rsid w:val="34FA4928"/>
    <w:rsid w:val="34FA62E8"/>
    <w:rsid w:val="350A1E75"/>
    <w:rsid w:val="350D4220"/>
    <w:rsid w:val="35172E58"/>
    <w:rsid w:val="351D6888"/>
    <w:rsid w:val="3522520D"/>
    <w:rsid w:val="35255923"/>
    <w:rsid w:val="353411BC"/>
    <w:rsid w:val="353A4A31"/>
    <w:rsid w:val="353B0D84"/>
    <w:rsid w:val="353F67B8"/>
    <w:rsid w:val="35414D4C"/>
    <w:rsid w:val="35457A02"/>
    <w:rsid w:val="354E3A78"/>
    <w:rsid w:val="354F1D48"/>
    <w:rsid w:val="354F3CE6"/>
    <w:rsid w:val="35505B43"/>
    <w:rsid w:val="35510E30"/>
    <w:rsid w:val="355B2679"/>
    <w:rsid w:val="356E5AE8"/>
    <w:rsid w:val="357912CE"/>
    <w:rsid w:val="357D67E7"/>
    <w:rsid w:val="358019E7"/>
    <w:rsid w:val="35894EFE"/>
    <w:rsid w:val="358E021C"/>
    <w:rsid w:val="3599321D"/>
    <w:rsid w:val="359A44C0"/>
    <w:rsid w:val="359E499A"/>
    <w:rsid w:val="359F150F"/>
    <w:rsid w:val="359F4D79"/>
    <w:rsid w:val="35AF1F78"/>
    <w:rsid w:val="35AF5AAB"/>
    <w:rsid w:val="35B01960"/>
    <w:rsid w:val="35B220D5"/>
    <w:rsid w:val="35B25EB8"/>
    <w:rsid w:val="35B86116"/>
    <w:rsid w:val="35C16399"/>
    <w:rsid w:val="35C34996"/>
    <w:rsid w:val="35C81C5B"/>
    <w:rsid w:val="35CD6421"/>
    <w:rsid w:val="35D51E1D"/>
    <w:rsid w:val="35E03A78"/>
    <w:rsid w:val="35EA0FD5"/>
    <w:rsid w:val="35EA11D2"/>
    <w:rsid w:val="35F60334"/>
    <w:rsid w:val="360044D8"/>
    <w:rsid w:val="360213C9"/>
    <w:rsid w:val="360369A3"/>
    <w:rsid w:val="36051BF9"/>
    <w:rsid w:val="360A07B9"/>
    <w:rsid w:val="360E6900"/>
    <w:rsid w:val="3610546C"/>
    <w:rsid w:val="3615104D"/>
    <w:rsid w:val="36154AF5"/>
    <w:rsid w:val="36177DD9"/>
    <w:rsid w:val="361F5EE3"/>
    <w:rsid w:val="362D3F50"/>
    <w:rsid w:val="362D624A"/>
    <w:rsid w:val="36330C6B"/>
    <w:rsid w:val="3635736B"/>
    <w:rsid w:val="363B0641"/>
    <w:rsid w:val="363F0394"/>
    <w:rsid w:val="36484E32"/>
    <w:rsid w:val="364C5483"/>
    <w:rsid w:val="364D71DB"/>
    <w:rsid w:val="365577FA"/>
    <w:rsid w:val="36590DED"/>
    <w:rsid w:val="365B6913"/>
    <w:rsid w:val="36635E01"/>
    <w:rsid w:val="3666142C"/>
    <w:rsid w:val="36721879"/>
    <w:rsid w:val="367714D5"/>
    <w:rsid w:val="367A071D"/>
    <w:rsid w:val="367F70AF"/>
    <w:rsid w:val="368045CB"/>
    <w:rsid w:val="368712CC"/>
    <w:rsid w:val="368B778C"/>
    <w:rsid w:val="36923452"/>
    <w:rsid w:val="369F24A2"/>
    <w:rsid w:val="36A377DA"/>
    <w:rsid w:val="36A86627"/>
    <w:rsid w:val="36AA05DC"/>
    <w:rsid w:val="36AE247A"/>
    <w:rsid w:val="36B20DD7"/>
    <w:rsid w:val="36B6667B"/>
    <w:rsid w:val="36B72924"/>
    <w:rsid w:val="36B9758D"/>
    <w:rsid w:val="36C13F6C"/>
    <w:rsid w:val="36C6023F"/>
    <w:rsid w:val="36C87B0D"/>
    <w:rsid w:val="36CA2FA3"/>
    <w:rsid w:val="36D10D79"/>
    <w:rsid w:val="36D314FB"/>
    <w:rsid w:val="36D41AC6"/>
    <w:rsid w:val="36DD2B0C"/>
    <w:rsid w:val="36DD5643"/>
    <w:rsid w:val="36E0116F"/>
    <w:rsid w:val="36ED6F0B"/>
    <w:rsid w:val="36F05B5F"/>
    <w:rsid w:val="36F83F7A"/>
    <w:rsid w:val="36FA5EF0"/>
    <w:rsid w:val="36FC701E"/>
    <w:rsid w:val="36FE7495"/>
    <w:rsid w:val="37000D38"/>
    <w:rsid w:val="37047404"/>
    <w:rsid w:val="37057757"/>
    <w:rsid w:val="37112659"/>
    <w:rsid w:val="37122F7B"/>
    <w:rsid w:val="371F705A"/>
    <w:rsid w:val="371F7A20"/>
    <w:rsid w:val="37260052"/>
    <w:rsid w:val="37281070"/>
    <w:rsid w:val="372C02AF"/>
    <w:rsid w:val="372C6E27"/>
    <w:rsid w:val="373F1567"/>
    <w:rsid w:val="37406625"/>
    <w:rsid w:val="37435DED"/>
    <w:rsid w:val="374970B3"/>
    <w:rsid w:val="374D21C0"/>
    <w:rsid w:val="375542A1"/>
    <w:rsid w:val="37573D84"/>
    <w:rsid w:val="37575797"/>
    <w:rsid w:val="375C0B95"/>
    <w:rsid w:val="376527A3"/>
    <w:rsid w:val="376673D6"/>
    <w:rsid w:val="376E6B33"/>
    <w:rsid w:val="3772259C"/>
    <w:rsid w:val="37784F66"/>
    <w:rsid w:val="377B1125"/>
    <w:rsid w:val="377E29AC"/>
    <w:rsid w:val="3785064C"/>
    <w:rsid w:val="3790495E"/>
    <w:rsid w:val="379D11CC"/>
    <w:rsid w:val="379E0288"/>
    <w:rsid w:val="37A2367B"/>
    <w:rsid w:val="37A637EF"/>
    <w:rsid w:val="37AB13AC"/>
    <w:rsid w:val="37AD7642"/>
    <w:rsid w:val="37BE7BCC"/>
    <w:rsid w:val="37C95A4C"/>
    <w:rsid w:val="37D16AE0"/>
    <w:rsid w:val="37E25735"/>
    <w:rsid w:val="37E62E65"/>
    <w:rsid w:val="37ED4E22"/>
    <w:rsid w:val="37F7677D"/>
    <w:rsid w:val="38010B31"/>
    <w:rsid w:val="38052BF0"/>
    <w:rsid w:val="38090653"/>
    <w:rsid w:val="380F6B34"/>
    <w:rsid w:val="38153493"/>
    <w:rsid w:val="38207590"/>
    <w:rsid w:val="38210F92"/>
    <w:rsid w:val="3822044B"/>
    <w:rsid w:val="38272059"/>
    <w:rsid w:val="382C51B9"/>
    <w:rsid w:val="38355A6B"/>
    <w:rsid w:val="383800AD"/>
    <w:rsid w:val="383C4EC4"/>
    <w:rsid w:val="383C6418"/>
    <w:rsid w:val="383F4FF1"/>
    <w:rsid w:val="38413E85"/>
    <w:rsid w:val="3841574F"/>
    <w:rsid w:val="38433B9D"/>
    <w:rsid w:val="384E69DC"/>
    <w:rsid w:val="385432AE"/>
    <w:rsid w:val="385E0E01"/>
    <w:rsid w:val="386606BD"/>
    <w:rsid w:val="38671983"/>
    <w:rsid w:val="38675216"/>
    <w:rsid w:val="386D2443"/>
    <w:rsid w:val="386D52D3"/>
    <w:rsid w:val="386F66A6"/>
    <w:rsid w:val="3870332A"/>
    <w:rsid w:val="3872150C"/>
    <w:rsid w:val="387271FD"/>
    <w:rsid w:val="387B329C"/>
    <w:rsid w:val="387E44BB"/>
    <w:rsid w:val="388151B6"/>
    <w:rsid w:val="388C0764"/>
    <w:rsid w:val="388E5799"/>
    <w:rsid w:val="38950D8F"/>
    <w:rsid w:val="38984884"/>
    <w:rsid w:val="389D1465"/>
    <w:rsid w:val="38A00F55"/>
    <w:rsid w:val="38A11150"/>
    <w:rsid w:val="38A14DA4"/>
    <w:rsid w:val="38AE3672"/>
    <w:rsid w:val="38B52EC0"/>
    <w:rsid w:val="38B65638"/>
    <w:rsid w:val="38B75506"/>
    <w:rsid w:val="38BB2AC2"/>
    <w:rsid w:val="38BC25E2"/>
    <w:rsid w:val="38C17A8E"/>
    <w:rsid w:val="38C36CC3"/>
    <w:rsid w:val="38C4165F"/>
    <w:rsid w:val="38CD4ED7"/>
    <w:rsid w:val="38D315B1"/>
    <w:rsid w:val="38D657A7"/>
    <w:rsid w:val="38D66877"/>
    <w:rsid w:val="38D84957"/>
    <w:rsid w:val="38DC4D15"/>
    <w:rsid w:val="38DF5701"/>
    <w:rsid w:val="38E06774"/>
    <w:rsid w:val="38E2328F"/>
    <w:rsid w:val="38EE0781"/>
    <w:rsid w:val="38F16AA5"/>
    <w:rsid w:val="38F63ABA"/>
    <w:rsid w:val="38FF0B5D"/>
    <w:rsid w:val="38FF71D6"/>
    <w:rsid w:val="39047E23"/>
    <w:rsid w:val="39072F01"/>
    <w:rsid w:val="3909573F"/>
    <w:rsid w:val="390A3A3F"/>
    <w:rsid w:val="39153FA6"/>
    <w:rsid w:val="39174618"/>
    <w:rsid w:val="39182BD9"/>
    <w:rsid w:val="391B67FC"/>
    <w:rsid w:val="391D025D"/>
    <w:rsid w:val="392105C0"/>
    <w:rsid w:val="392A4EC0"/>
    <w:rsid w:val="39446C9D"/>
    <w:rsid w:val="394A2C6F"/>
    <w:rsid w:val="3954623F"/>
    <w:rsid w:val="39562469"/>
    <w:rsid w:val="39577BCA"/>
    <w:rsid w:val="3958538C"/>
    <w:rsid w:val="395914F0"/>
    <w:rsid w:val="395B071D"/>
    <w:rsid w:val="3966100F"/>
    <w:rsid w:val="39697FA0"/>
    <w:rsid w:val="39711B38"/>
    <w:rsid w:val="39712946"/>
    <w:rsid w:val="397202AC"/>
    <w:rsid w:val="39723F2D"/>
    <w:rsid w:val="397965DF"/>
    <w:rsid w:val="397B4977"/>
    <w:rsid w:val="397F45CA"/>
    <w:rsid w:val="398235E0"/>
    <w:rsid w:val="39882D3F"/>
    <w:rsid w:val="39924A41"/>
    <w:rsid w:val="399D59C0"/>
    <w:rsid w:val="39A03571"/>
    <w:rsid w:val="39A171A3"/>
    <w:rsid w:val="39AE7BCB"/>
    <w:rsid w:val="39B32E09"/>
    <w:rsid w:val="39BB5656"/>
    <w:rsid w:val="39C02446"/>
    <w:rsid w:val="39C45A8E"/>
    <w:rsid w:val="39CE5795"/>
    <w:rsid w:val="39D63010"/>
    <w:rsid w:val="39D96F6F"/>
    <w:rsid w:val="39DB2D68"/>
    <w:rsid w:val="39E036E8"/>
    <w:rsid w:val="39E44E27"/>
    <w:rsid w:val="39EB0AAC"/>
    <w:rsid w:val="39EF3A63"/>
    <w:rsid w:val="39F33306"/>
    <w:rsid w:val="39F51F21"/>
    <w:rsid w:val="39F8049F"/>
    <w:rsid w:val="39FA45AC"/>
    <w:rsid w:val="3A0F770C"/>
    <w:rsid w:val="3A1C2DA4"/>
    <w:rsid w:val="3A2033EB"/>
    <w:rsid w:val="3A232A86"/>
    <w:rsid w:val="3A267272"/>
    <w:rsid w:val="3A27373A"/>
    <w:rsid w:val="3A33443A"/>
    <w:rsid w:val="3A340151"/>
    <w:rsid w:val="3A3858F9"/>
    <w:rsid w:val="3A3B2355"/>
    <w:rsid w:val="3A40013B"/>
    <w:rsid w:val="3A421A17"/>
    <w:rsid w:val="3A4224D5"/>
    <w:rsid w:val="3A48295E"/>
    <w:rsid w:val="3A4C73EF"/>
    <w:rsid w:val="3A553058"/>
    <w:rsid w:val="3A626D06"/>
    <w:rsid w:val="3A6669D0"/>
    <w:rsid w:val="3A695377"/>
    <w:rsid w:val="3A6A1993"/>
    <w:rsid w:val="3A6A476F"/>
    <w:rsid w:val="3A6B5560"/>
    <w:rsid w:val="3A6C5593"/>
    <w:rsid w:val="3A7032A6"/>
    <w:rsid w:val="3A712B04"/>
    <w:rsid w:val="3A751D32"/>
    <w:rsid w:val="3A755DC1"/>
    <w:rsid w:val="3A770FF2"/>
    <w:rsid w:val="3A773383"/>
    <w:rsid w:val="3A777D81"/>
    <w:rsid w:val="3A8401B2"/>
    <w:rsid w:val="3A872166"/>
    <w:rsid w:val="3A8A299E"/>
    <w:rsid w:val="3A8D681E"/>
    <w:rsid w:val="3A8E7D63"/>
    <w:rsid w:val="3A90441F"/>
    <w:rsid w:val="3A925E71"/>
    <w:rsid w:val="3A947BFC"/>
    <w:rsid w:val="3A9E7179"/>
    <w:rsid w:val="3AAB33C7"/>
    <w:rsid w:val="3AAE129F"/>
    <w:rsid w:val="3AB5512C"/>
    <w:rsid w:val="3AB71F2C"/>
    <w:rsid w:val="3AB90AF0"/>
    <w:rsid w:val="3ABB0323"/>
    <w:rsid w:val="3ABE1B66"/>
    <w:rsid w:val="3ABE6C61"/>
    <w:rsid w:val="3AC12D54"/>
    <w:rsid w:val="3AC56A30"/>
    <w:rsid w:val="3AD24F08"/>
    <w:rsid w:val="3AD526CE"/>
    <w:rsid w:val="3AD8001F"/>
    <w:rsid w:val="3AEE1D2F"/>
    <w:rsid w:val="3AEF16BC"/>
    <w:rsid w:val="3AEF3ACE"/>
    <w:rsid w:val="3AEF7D13"/>
    <w:rsid w:val="3AF45439"/>
    <w:rsid w:val="3AF4568E"/>
    <w:rsid w:val="3B047F69"/>
    <w:rsid w:val="3B071354"/>
    <w:rsid w:val="3B097256"/>
    <w:rsid w:val="3B0F656C"/>
    <w:rsid w:val="3B13270C"/>
    <w:rsid w:val="3B154103"/>
    <w:rsid w:val="3B170EE1"/>
    <w:rsid w:val="3B1A3241"/>
    <w:rsid w:val="3B265FF2"/>
    <w:rsid w:val="3B285EF7"/>
    <w:rsid w:val="3B3F729E"/>
    <w:rsid w:val="3B421096"/>
    <w:rsid w:val="3B4524D9"/>
    <w:rsid w:val="3B476C55"/>
    <w:rsid w:val="3B567FFE"/>
    <w:rsid w:val="3B64238A"/>
    <w:rsid w:val="3B6746FF"/>
    <w:rsid w:val="3B6A07EB"/>
    <w:rsid w:val="3B6A0EC9"/>
    <w:rsid w:val="3B6C396A"/>
    <w:rsid w:val="3B6D3512"/>
    <w:rsid w:val="3B6F0BFF"/>
    <w:rsid w:val="3B6F7654"/>
    <w:rsid w:val="3B72704A"/>
    <w:rsid w:val="3B7D557D"/>
    <w:rsid w:val="3B7D788E"/>
    <w:rsid w:val="3B8139DF"/>
    <w:rsid w:val="3B844E86"/>
    <w:rsid w:val="3B846452"/>
    <w:rsid w:val="3B8A1951"/>
    <w:rsid w:val="3B96722B"/>
    <w:rsid w:val="3B9A6336"/>
    <w:rsid w:val="3BA3768E"/>
    <w:rsid w:val="3BA4450D"/>
    <w:rsid w:val="3BA66882"/>
    <w:rsid w:val="3BAE1BDB"/>
    <w:rsid w:val="3BAE7642"/>
    <w:rsid w:val="3BB24B3E"/>
    <w:rsid w:val="3BB32E97"/>
    <w:rsid w:val="3BB56AC5"/>
    <w:rsid w:val="3BB65D6F"/>
    <w:rsid w:val="3BB830F6"/>
    <w:rsid w:val="3BBF02F7"/>
    <w:rsid w:val="3BC91515"/>
    <w:rsid w:val="3BC92571"/>
    <w:rsid w:val="3BC97A93"/>
    <w:rsid w:val="3BCF06D3"/>
    <w:rsid w:val="3BD500FA"/>
    <w:rsid w:val="3BD71E31"/>
    <w:rsid w:val="3BDA06A1"/>
    <w:rsid w:val="3BDF72C0"/>
    <w:rsid w:val="3BDF7FE6"/>
    <w:rsid w:val="3BEE0229"/>
    <w:rsid w:val="3BF27D19"/>
    <w:rsid w:val="3BF41A8F"/>
    <w:rsid w:val="3BF7127B"/>
    <w:rsid w:val="3BFE67AA"/>
    <w:rsid w:val="3C044326"/>
    <w:rsid w:val="3C095063"/>
    <w:rsid w:val="3C157424"/>
    <w:rsid w:val="3C1608D8"/>
    <w:rsid w:val="3C161A18"/>
    <w:rsid w:val="3C1C0FD0"/>
    <w:rsid w:val="3C1E3B04"/>
    <w:rsid w:val="3C21075D"/>
    <w:rsid w:val="3C265C15"/>
    <w:rsid w:val="3C281D3A"/>
    <w:rsid w:val="3C2B7CE1"/>
    <w:rsid w:val="3C3550EA"/>
    <w:rsid w:val="3C3750CA"/>
    <w:rsid w:val="3C38759A"/>
    <w:rsid w:val="3C486978"/>
    <w:rsid w:val="3C4D2A7B"/>
    <w:rsid w:val="3C542BE9"/>
    <w:rsid w:val="3C5930DF"/>
    <w:rsid w:val="3C5E5B97"/>
    <w:rsid w:val="3C6027B1"/>
    <w:rsid w:val="3C6A5D2D"/>
    <w:rsid w:val="3C6C104E"/>
    <w:rsid w:val="3C6F5717"/>
    <w:rsid w:val="3C6F5885"/>
    <w:rsid w:val="3C70144A"/>
    <w:rsid w:val="3C7542C9"/>
    <w:rsid w:val="3C760D8C"/>
    <w:rsid w:val="3C7756E2"/>
    <w:rsid w:val="3C7B2E9D"/>
    <w:rsid w:val="3C7C4CCB"/>
    <w:rsid w:val="3C7F794C"/>
    <w:rsid w:val="3C820466"/>
    <w:rsid w:val="3C827D2F"/>
    <w:rsid w:val="3C8E192E"/>
    <w:rsid w:val="3C9106DF"/>
    <w:rsid w:val="3C927310"/>
    <w:rsid w:val="3C98563D"/>
    <w:rsid w:val="3C9D1F08"/>
    <w:rsid w:val="3CA60696"/>
    <w:rsid w:val="3CA86681"/>
    <w:rsid w:val="3CAB7F97"/>
    <w:rsid w:val="3CAD1097"/>
    <w:rsid w:val="3CAD7FB2"/>
    <w:rsid w:val="3CB12168"/>
    <w:rsid w:val="3CC307B2"/>
    <w:rsid w:val="3CC528C8"/>
    <w:rsid w:val="3CC83503"/>
    <w:rsid w:val="3CD92C87"/>
    <w:rsid w:val="3CDC1A5B"/>
    <w:rsid w:val="3CE82D13"/>
    <w:rsid w:val="3CE85446"/>
    <w:rsid w:val="3CEA1BD9"/>
    <w:rsid w:val="3CEA4811"/>
    <w:rsid w:val="3CEE5571"/>
    <w:rsid w:val="3CF62F13"/>
    <w:rsid w:val="3CF7424C"/>
    <w:rsid w:val="3CFE2018"/>
    <w:rsid w:val="3D0022EA"/>
    <w:rsid w:val="3D080646"/>
    <w:rsid w:val="3D08531B"/>
    <w:rsid w:val="3D0A7D01"/>
    <w:rsid w:val="3D0F13CC"/>
    <w:rsid w:val="3D0F7BE3"/>
    <w:rsid w:val="3D117B4D"/>
    <w:rsid w:val="3D140DE7"/>
    <w:rsid w:val="3D143CBF"/>
    <w:rsid w:val="3D154789"/>
    <w:rsid w:val="3D197C01"/>
    <w:rsid w:val="3D1F7AE1"/>
    <w:rsid w:val="3D210E7F"/>
    <w:rsid w:val="3D2248E4"/>
    <w:rsid w:val="3D32550F"/>
    <w:rsid w:val="3D331834"/>
    <w:rsid w:val="3D3B5C9C"/>
    <w:rsid w:val="3D3C603D"/>
    <w:rsid w:val="3D424260"/>
    <w:rsid w:val="3D48471F"/>
    <w:rsid w:val="3D503B25"/>
    <w:rsid w:val="3D5310AC"/>
    <w:rsid w:val="3D56190A"/>
    <w:rsid w:val="3D5C2EDA"/>
    <w:rsid w:val="3D6C4CDF"/>
    <w:rsid w:val="3D70175E"/>
    <w:rsid w:val="3D7059F2"/>
    <w:rsid w:val="3D724E90"/>
    <w:rsid w:val="3D747F71"/>
    <w:rsid w:val="3D7A4454"/>
    <w:rsid w:val="3D81153E"/>
    <w:rsid w:val="3D83204D"/>
    <w:rsid w:val="3D857449"/>
    <w:rsid w:val="3D8E41C3"/>
    <w:rsid w:val="3D9226BD"/>
    <w:rsid w:val="3D9461BD"/>
    <w:rsid w:val="3D9A18CD"/>
    <w:rsid w:val="3D9B15D4"/>
    <w:rsid w:val="3DAC4F54"/>
    <w:rsid w:val="3DAD406F"/>
    <w:rsid w:val="3DB2652F"/>
    <w:rsid w:val="3DC36A45"/>
    <w:rsid w:val="3DCE3012"/>
    <w:rsid w:val="3DD31502"/>
    <w:rsid w:val="3DD447D5"/>
    <w:rsid w:val="3DDC75D4"/>
    <w:rsid w:val="3DDD34B7"/>
    <w:rsid w:val="3DE10282"/>
    <w:rsid w:val="3DE11DF4"/>
    <w:rsid w:val="3DF363D9"/>
    <w:rsid w:val="3DF4407F"/>
    <w:rsid w:val="3DFC769F"/>
    <w:rsid w:val="3DFD4D3B"/>
    <w:rsid w:val="3E013A62"/>
    <w:rsid w:val="3E060923"/>
    <w:rsid w:val="3E077567"/>
    <w:rsid w:val="3E0E6961"/>
    <w:rsid w:val="3E0F4F8A"/>
    <w:rsid w:val="3E0F66FD"/>
    <w:rsid w:val="3E1321C9"/>
    <w:rsid w:val="3E1464F6"/>
    <w:rsid w:val="3E160177"/>
    <w:rsid w:val="3E221DB3"/>
    <w:rsid w:val="3E24348A"/>
    <w:rsid w:val="3E24651C"/>
    <w:rsid w:val="3E2609F7"/>
    <w:rsid w:val="3E2F7120"/>
    <w:rsid w:val="3E384399"/>
    <w:rsid w:val="3E396A91"/>
    <w:rsid w:val="3E3A265F"/>
    <w:rsid w:val="3E3F28BA"/>
    <w:rsid w:val="3E47632C"/>
    <w:rsid w:val="3E483328"/>
    <w:rsid w:val="3E4B0167"/>
    <w:rsid w:val="3E4D7D55"/>
    <w:rsid w:val="3E514939"/>
    <w:rsid w:val="3E58649D"/>
    <w:rsid w:val="3E591AE0"/>
    <w:rsid w:val="3E5B30CB"/>
    <w:rsid w:val="3E5C591E"/>
    <w:rsid w:val="3E5F4971"/>
    <w:rsid w:val="3E62067B"/>
    <w:rsid w:val="3E642EC4"/>
    <w:rsid w:val="3E6A3524"/>
    <w:rsid w:val="3E6D2477"/>
    <w:rsid w:val="3E6F5105"/>
    <w:rsid w:val="3E6F5651"/>
    <w:rsid w:val="3E7427B6"/>
    <w:rsid w:val="3E764A60"/>
    <w:rsid w:val="3E7958F9"/>
    <w:rsid w:val="3E7B1C01"/>
    <w:rsid w:val="3E7E5894"/>
    <w:rsid w:val="3E7E5D72"/>
    <w:rsid w:val="3E7E6837"/>
    <w:rsid w:val="3E8279E0"/>
    <w:rsid w:val="3E847EA3"/>
    <w:rsid w:val="3E897468"/>
    <w:rsid w:val="3E8B2CD3"/>
    <w:rsid w:val="3E8B5F85"/>
    <w:rsid w:val="3E900F2C"/>
    <w:rsid w:val="3E9055C8"/>
    <w:rsid w:val="3E92636A"/>
    <w:rsid w:val="3E944296"/>
    <w:rsid w:val="3E954BCA"/>
    <w:rsid w:val="3E991957"/>
    <w:rsid w:val="3EA13356"/>
    <w:rsid w:val="3EA333E1"/>
    <w:rsid w:val="3EA704CE"/>
    <w:rsid w:val="3EA8181B"/>
    <w:rsid w:val="3EBD0528"/>
    <w:rsid w:val="3EBF1D3B"/>
    <w:rsid w:val="3EC01044"/>
    <w:rsid w:val="3EC259BE"/>
    <w:rsid w:val="3EC32EE9"/>
    <w:rsid w:val="3EC87820"/>
    <w:rsid w:val="3ECC0D7E"/>
    <w:rsid w:val="3ED16454"/>
    <w:rsid w:val="3ED3152B"/>
    <w:rsid w:val="3ED839E3"/>
    <w:rsid w:val="3EE109A2"/>
    <w:rsid w:val="3EE55989"/>
    <w:rsid w:val="3EE77BB4"/>
    <w:rsid w:val="3EEB3C31"/>
    <w:rsid w:val="3EED3002"/>
    <w:rsid w:val="3EF1250A"/>
    <w:rsid w:val="3EF86514"/>
    <w:rsid w:val="3F00011B"/>
    <w:rsid w:val="3F024306"/>
    <w:rsid w:val="3F025978"/>
    <w:rsid w:val="3F0575FD"/>
    <w:rsid w:val="3F057C4F"/>
    <w:rsid w:val="3F0A3495"/>
    <w:rsid w:val="3F0D2D41"/>
    <w:rsid w:val="3F0E415B"/>
    <w:rsid w:val="3F1415AC"/>
    <w:rsid w:val="3F1922E8"/>
    <w:rsid w:val="3F197C8D"/>
    <w:rsid w:val="3F1A5923"/>
    <w:rsid w:val="3F1F53C6"/>
    <w:rsid w:val="3F250DF5"/>
    <w:rsid w:val="3F2B6202"/>
    <w:rsid w:val="3F310C2D"/>
    <w:rsid w:val="3F324920"/>
    <w:rsid w:val="3F374CF1"/>
    <w:rsid w:val="3F376C36"/>
    <w:rsid w:val="3F3A01BA"/>
    <w:rsid w:val="3F416A05"/>
    <w:rsid w:val="3F437930"/>
    <w:rsid w:val="3F48665F"/>
    <w:rsid w:val="3F4B4736"/>
    <w:rsid w:val="3F4E57AE"/>
    <w:rsid w:val="3F5071B2"/>
    <w:rsid w:val="3F5262EB"/>
    <w:rsid w:val="3F53738E"/>
    <w:rsid w:val="3F592257"/>
    <w:rsid w:val="3F5E25F5"/>
    <w:rsid w:val="3F61086A"/>
    <w:rsid w:val="3F635955"/>
    <w:rsid w:val="3F644891"/>
    <w:rsid w:val="3F6A3D11"/>
    <w:rsid w:val="3F6C3096"/>
    <w:rsid w:val="3F7A70AC"/>
    <w:rsid w:val="3F7B0DCB"/>
    <w:rsid w:val="3F7B56C0"/>
    <w:rsid w:val="3F853E20"/>
    <w:rsid w:val="3F87017F"/>
    <w:rsid w:val="3F8A6905"/>
    <w:rsid w:val="3F9437F9"/>
    <w:rsid w:val="3F9726D8"/>
    <w:rsid w:val="3F990508"/>
    <w:rsid w:val="3FA4757D"/>
    <w:rsid w:val="3FAA4467"/>
    <w:rsid w:val="3FB3366E"/>
    <w:rsid w:val="3FB848CA"/>
    <w:rsid w:val="3FB85481"/>
    <w:rsid w:val="3FB90EE9"/>
    <w:rsid w:val="3FBE2074"/>
    <w:rsid w:val="3FBF6DA5"/>
    <w:rsid w:val="3FC032C4"/>
    <w:rsid w:val="3FC15000"/>
    <w:rsid w:val="3FC67B65"/>
    <w:rsid w:val="3FC86522"/>
    <w:rsid w:val="3FC86901"/>
    <w:rsid w:val="3FD634AE"/>
    <w:rsid w:val="3FD77807"/>
    <w:rsid w:val="3FE43782"/>
    <w:rsid w:val="3FE918A5"/>
    <w:rsid w:val="3FEF631E"/>
    <w:rsid w:val="3FF873F1"/>
    <w:rsid w:val="3FFC0F28"/>
    <w:rsid w:val="40066124"/>
    <w:rsid w:val="4007780B"/>
    <w:rsid w:val="40122749"/>
    <w:rsid w:val="4012633B"/>
    <w:rsid w:val="40135FA6"/>
    <w:rsid w:val="40137735"/>
    <w:rsid w:val="40181F72"/>
    <w:rsid w:val="40186C21"/>
    <w:rsid w:val="401A525E"/>
    <w:rsid w:val="401B36F8"/>
    <w:rsid w:val="4020422E"/>
    <w:rsid w:val="4021297B"/>
    <w:rsid w:val="402249E4"/>
    <w:rsid w:val="402469B4"/>
    <w:rsid w:val="4029483F"/>
    <w:rsid w:val="402D3CFC"/>
    <w:rsid w:val="403846D3"/>
    <w:rsid w:val="4039429A"/>
    <w:rsid w:val="403A000E"/>
    <w:rsid w:val="403D31FE"/>
    <w:rsid w:val="403D445E"/>
    <w:rsid w:val="404300F4"/>
    <w:rsid w:val="40443CF9"/>
    <w:rsid w:val="404848DB"/>
    <w:rsid w:val="404959F7"/>
    <w:rsid w:val="404B053D"/>
    <w:rsid w:val="404B1B2E"/>
    <w:rsid w:val="404C105F"/>
    <w:rsid w:val="40574216"/>
    <w:rsid w:val="405A40DF"/>
    <w:rsid w:val="405E6D54"/>
    <w:rsid w:val="40625FCA"/>
    <w:rsid w:val="406A0B8A"/>
    <w:rsid w:val="406A0E43"/>
    <w:rsid w:val="406A1135"/>
    <w:rsid w:val="406C2229"/>
    <w:rsid w:val="406F29D5"/>
    <w:rsid w:val="407603F3"/>
    <w:rsid w:val="40783C0A"/>
    <w:rsid w:val="407E3667"/>
    <w:rsid w:val="4083714A"/>
    <w:rsid w:val="408A7A3C"/>
    <w:rsid w:val="408B4299"/>
    <w:rsid w:val="40996326"/>
    <w:rsid w:val="40A055BA"/>
    <w:rsid w:val="40A267D7"/>
    <w:rsid w:val="40A96292"/>
    <w:rsid w:val="40BA3701"/>
    <w:rsid w:val="40BE500E"/>
    <w:rsid w:val="40D2033D"/>
    <w:rsid w:val="40D272E2"/>
    <w:rsid w:val="40D2748B"/>
    <w:rsid w:val="40D44DD3"/>
    <w:rsid w:val="40EA272D"/>
    <w:rsid w:val="40F233FD"/>
    <w:rsid w:val="40F97CC8"/>
    <w:rsid w:val="410C4224"/>
    <w:rsid w:val="4110479E"/>
    <w:rsid w:val="411104A2"/>
    <w:rsid w:val="41134423"/>
    <w:rsid w:val="41145753"/>
    <w:rsid w:val="411A5FC4"/>
    <w:rsid w:val="411E2FE5"/>
    <w:rsid w:val="41213F52"/>
    <w:rsid w:val="41254497"/>
    <w:rsid w:val="41270465"/>
    <w:rsid w:val="41352357"/>
    <w:rsid w:val="41393B69"/>
    <w:rsid w:val="41407C91"/>
    <w:rsid w:val="414F037B"/>
    <w:rsid w:val="4150378E"/>
    <w:rsid w:val="41594065"/>
    <w:rsid w:val="415A6E4E"/>
    <w:rsid w:val="415B5E34"/>
    <w:rsid w:val="415D0EE1"/>
    <w:rsid w:val="415F127D"/>
    <w:rsid w:val="41657D9D"/>
    <w:rsid w:val="41660088"/>
    <w:rsid w:val="416845DA"/>
    <w:rsid w:val="416923E0"/>
    <w:rsid w:val="416C357C"/>
    <w:rsid w:val="416D28EF"/>
    <w:rsid w:val="41747D87"/>
    <w:rsid w:val="41760089"/>
    <w:rsid w:val="41773868"/>
    <w:rsid w:val="417B6A91"/>
    <w:rsid w:val="417D3053"/>
    <w:rsid w:val="417F7261"/>
    <w:rsid w:val="41884393"/>
    <w:rsid w:val="418A1F9F"/>
    <w:rsid w:val="418C0E65"/>
    <w:rsid w:val="418E3C82"/>
    <w:rsid w:val="419054F5"/>
    <w:rsid w:val="419653FB"/>
    <w:rsid w:val="419851F3"/>
    <w:rsid w:val="41A80D37"/>
    <w:rsid w:val="41AA6B42"/>
    <w:rsid w:val="41B66BD7"/>
    <w:rsid w:val="41B80C14"/>
    <w:rsid w:val="41BD1E1F"/>
    <w:rsid w:val="41BD70DE"/>
    <w:rsid w:val="41BF444A"/>
    <w:rsid w:val="41C72E6A"/>
    <w:rsid w:val="41D47975"/>
    <w:rsid w:val="41E1654B"/>
    <w:rsid w:val="41E35EE7"/>
    <w:rsid w:val="41EB28A6"/>
    <w:rsid w:val="41F331FB"/>
    <w:rsid w:val="41F34603"/>
    <w:rsid w:val="41F77287"/>
    <w:rsid w:val="41F801BE"/>
    <w:rsid w:val="42011AC4"/>
    <w:rsid w:val="4207296E"/>
    <w:rsid w:val="42093990"/>
    <w:rsid w:val="4212581D"/>
    <w:rsid w:val="42145338"/>
    <w:rsid w:val="421B789E"/>
    <w:rsid w:val="421D0F3B"/>
    <w:rsid w:val="423215B5"/>
    <w:rsid w:val="423834B4"/>
    <w:rsid w:val="423861CA"/>
    <w:rsid w:val="424E5AAB"/>
    <w:rsid w:val="42541CFD"/>
    <w:rsid w:val="42546E00"/>
    <w:rsid w:val="4255725B"/>
    <w:rsid w:val="425A03C6"/>
    <w:rsid w:val="425D7EB7"/>
    <w:rsid w:val="42691F68"/>
    <w:rsid w:val="42743533"/>
    <w:rsid w:val="427E424F"/>
    <w:rsid w:val="428E12F9"/>
    <w:rsid w:val="42983814"/>
    <w:rsid w:val="42A85AFC"/>
    <w:rsid w:val="42AA5EA1"/>
    <w:rsid w:val="42BA105B"/>
    <w:rsid w:val="42C5116B"/>
    <w:rsid w:val="42C70A01"/>
    <w:rsid w:val="42C85FA9"/>
    <w:rsid w:val="42CC188F"/>
    <w:rsid w:val="42D8572C"/>
    <w:rsid w:val="42E06908"/>
    <w:rsid w:val="42E21D93"/>
    <w:rsid w:val="42E962ED"/>
    <w:rsid w:val="42E96C4D"/>
    <w:rsid w:val="42F07C3F"/>
    <w:rsid w:val="42FC4704"/>
    <w:rsid w:val="42FF1BEA"/>
    <w:rsid w:val="43107B89"/>
    <w:rsid w:val="4313214F"/>
    <w:rsid w:val="431465BF"/>
    <w:rsid w:val="43160C20"/>
    <w:rsid w:val="43163927"/>
    <w:rsid w:val="43174550"/>
    <w:rsid w:val="431C7377"/>
    <w:rsid w:val="431F0056"/>
    <w:rsid w:val="43283A45"/>
    <w:rsid w:val="432951DF"/>
    <w:rsid w:val="432B648A"/>
    <w:rsid w:val="433A1B6A"/>
    <w:rsid w:val="433B29DE"/>
    <w:rsid w:val="433E6051"/>
    <w:rsid w:val="43436285"/>
    <w:rsid w:val="435050E9"/>
    <w:rsid w:val="43511BD6"/>
    <w:rsid w:val="43531090"/>
    <w:rsid w:val="43582B12"/>
    <w:rsid w:val="4359242C"/>
    <w:rsid w:val="43592ADB"/>
    <w:rsid w:val="435F1420"/>
    <w:rsid w:val="4365447B"/>
    <w:rsid w:val="43692A28"/>
    <w:rsid w:val="437878CE"/>
    <w:rsid w:val="43790D20"/>
    <w:rsid w:val="4379767E"/>
    <w:rsid w:val="437D0536"/>
    <w:rsid w:val="438A5840"/>
    <w:rsid w:val="43900072"/>
    <w:rsid w:val="43994D3A"/>
    <w:rsid w:val="439A525B"/>
    <w:rsid w:val="439C6A6F"/>
    <w:rsid w:val="43A26866"/>
    <w:rsid w:val="43A750B5"/>
    <w:rsid w:val="43B34873"/>
    <w:rsid w:val="43B93A97"/>
    <w:rsid w:val="43C07F99"/>
    <w:rsid w:val="43C10DD6"/>
    <w:rsid w:val="43C25D00"/>
    <w:rsid w:val="43C64077"/>
    <w:rsid w:val="43D60EE5"/>
    <w:rsid w:val="43DE2CBF"/>
    <w:rsid w:val="43E2349D"/>
    <w:rsid w:val="43E308C1"/>
    <w:rsid w:val="43F13A93"/>
    <w:rsid w:val="43F3462F"/>
    <w:rsid w:val="4401576A"/>
    <w:rsid w:val="4403373B"/>
    <w:rsid w:val="440526DB"/>
    <w:rsid w:val="44057AF3"/>
    <w:rsid w:val="44076105"/>
    <w:rsid w:val="441033F6"/>
    <w:rsid w:val="44151BE3"/>
    <w:rsid w:val="44167ABD"/>
    <w:rsid w:val="44174286"/>
    <w:rsid w:val="441D4F1E"/>
    <w:rsid w:val="441E40DF"/>
    <w:rsid w:val="44200BC8"/>
    <w:rsid w:val="44292305"/>
    <w:rsid w:val="442B1604"/>
    <w:rsid w:val="442F580D"/>
    <w:rsid w:val="4437739E"/>
    <w:rsid w:val="444728D8"/>
    <w:rsid w:val="44476496"/>
    <w:rsid w:val="44476729"/>
    <w:rsid w:val="44496945"/>
    <w:rsid w:val="444C1C7E"/>
    <w:rsid w:val="444E4A37"/>
    <w:rsid w:val="444F1769"/>
    <w:rsid w:val="44532C0E"/>
    <w:rsid w:val="44536B0B"/>
    <w:rsid w:val="445E2ECB"/>
    <w:rsid w:val="44660DC1"/>
    <w:rsid w:val="44827449"/>
    <w:rsid w:val="44894051"/>
    <w:rsid w:val="448B40C8"/>
    <w:rsid w:val="448D5671"/>
    <w:rsid w:val="449617CF"/>
    <w:rsid w:val="449C2CF6"/>
    <w:rsid w:val="449F464A"/>
    <w:rsid w:val="44AB052A"/>
    <w:rsid w:val="44AB284E"/>
    <w:rsid w:val="44AC3B6B"/>
    <w:rsid w:val="44BF10AF"/>
    <w:rsid w:val="44C12064"/>
    <w:rsid w:val="44C3143B"/>
    <w:rsid w:val="44C3365F"/>
    <w:rsid w:val="44C7452D"/>
    <w:rsid w:val="44D6350C"/>
    <w:rsid w:val="44D64676"/>
    <w:rsid w:val="44D77066"/>
    <w:rsid w:val="44D84D08"/>
    <w:rsid w:val="44E21AE8"/>
    <w:rsid w:val="44E32F1B"/>
    <w:rsid w:val="44E41861"/>
    <w:rsid w:val="44ED5E56"/>
    <w:rsid w:val="44EF7A37"/>
    <w:rsid w:val="450244F8"/>
    <w:rsid w:val="45034D45"/>
    <w:rsid w:val="45060231"/>
    <w:rsid w:val="450C61F8"/>
    <w:rsid w:val="450D704A"/>
    <w:rsid w:val="450E7C7C"/>
    <w:rsid w:val="45143D6B"/>
    <w:rsid w:val="45157171"/>
    <w:rsid w:val="451D02E5"/>
    <w:rsid w:val="452A4C00"/>
    <w:rsid w:val="452D1CC9"/>
    <w:rsid w:val="45374519"/>
    <w:rsid w:val="453C5C7C"/>
    <w:rsid w:val="454364DB"/>
    <w:rsid w:val="454855B2"/>
    <w:rsid w:val="454A4722"/>
    <w:rsid w:val="454E2A38"/>
    <w:rsid w:val="45577E7A"/>
    <w:rsid w:val="45593E62"/>
    <w:rsid w:val="455F1731"/>
    <w:rsid w:val="45605CF4"/>
    <w:rsid w:val="4569773B"/>
    <w:rsid w:val="456A6AE6"/>
    <w:rsid w:val="456C7DC9"/>
    <w:rsid w:val="4577EE25"/>
    <w:rsid w:val="45820E8D"/>
    <w:rsid w:val="45861105"/>
    <w:rsid w:val="459067EA"/>
    <w:rsid w:val="45933EA0"/>
    <w:rsid w:val="45A8453A"/>
    <w:rsid w:val="45A86EFB"/>
    <w:rsid w:val="45B818EC"/>
    <w:rsid w:val="45B97CA3"/>
    <w:rsid w:val="45C14D4E"/>
    <w:rsid w:val="45CE788C"/>
    <w:rsid w:val="45D64208"/>
    <w:rsid w:val="45DB35CC"/>
    <w:rsid w:val="45ED3300"/>
    <w:rsid w:val="45F450CC"/>
    <w:rsid w:val="45F715AF"/>
    <w:rsid w:val="45F71B3B"/>
    <w:rsid w:val="46081744"/>
    <w:rsid w:val="461476CB"/>
    <w:rsid w:val="46150E98"/>
    <w:rsid w:val="461A1127"/>
    <w:rsid w:val="462346E4"/>
    <w:rsid w:val="462352C8"/>
    <w:rsid w:val="46251554"/>
    <w:rsid w:val="4632261E"/>
    <w:rsid w:val="46332848"/>
    <w:rsid w:val="4638733C"/>
    <w:rsid w:val="463A6B3C"/>
    <w:rsid w:val="463E0106"/>
    <w:rsid w:val="46405B25"/>
    <w:rsid w:val="46433CCF"/>
    <w:rsid w:val="464376B2"/>
    <w:rsid w:val="464C2012"/>
    <w:rsid w:val="464F300E"/>
    <w:rsid w:val="465957BB"/>
    <w:rsid w:val="46614C45"/>
    <w:rsid w:val="466322B9"/>
    <w:rsid w:val="46634905"/>
    <w:rsid w:val="46713370"/>
    <w:rsid w:val="467C0735"/>
    <w:rsid w:val="468204EF"/>
    <w:rsid w:val="46851FED"/>
    <w:rsid w:val="46854215"/>
    <w:rsid w:val="4685496D"/>
    <w:rsid w:val="468A4808"/>
    <w:rsid w:val="468E07DC"/>
    <w:rsid w:val="46970B7E"/>
    <w:rsid w:val="46A307AE"/>
    <w:rsid w:val="46A34A6C"/>
    <w:rsid w:val="46A543A8"/>
    <w:rsid w:val="46AE6BB9"/>
    <w:rsid w:val="46B34848"/>
    <w:rsid w:val="46B63BB4"/>
    <w:rsid w:val="46B66DAB"/>
    <w:rsid w:val="46BA4057"/>
    <w:rsid w:val="46BE3BC1"/>
    <w:rsid w:val="46C46BFB"/>
    <w:rsid w:val="46C8128E"/>
    <w:rsid w:val="46CE0FC1"/>
    <w:rsid w:val="46D80D6C"/>
    <w:rsid w:val="46F87D23"/>
    <w:rsid w:val="46FA102C"/>
    <w:rsid w:val="46FD25C1"/>
    <w:rsid w:val="46FD7665"/>
    <w:rsid w:val="46FE49F2"/>
    <w:rsid w:val="47042CE7"/>
    <w:rsid w:val="4713035E"/>
    <w:rsid w:val="471657A9"/>
    <w:rsid w:val="471D65CB"/>
    <w:rsid w:val="471F1494"/>
    <w:rsid w:val="47236D39"/>
    <w:rsid w:val="472668EF"/>
    <w:rsid w:val="472670F7"/>
    <w:rsid w:val="472A1332"/>
    <w:rsid w:val="47301EDA"/>
    <w:rsid w:val="473242CA"/>
    <w:rsid w:val="473D598E"/>
    <w:rsid w:val="474E43B5"/>
    <w:rsid w:val="475070B3"/>
    <w:rsid w:val="47532228"/>
    <w:rsid w:val="475E1903"/>
    <w:rsid w:val="475E6263"/>
    <w:rsid w:val="476358C8"/>
    <w:rsid w:val="47654703"/>
    <w:rsid w:val="4769407F"/>
    <w:rsid w:val="476A28CE"/>
    <w:rsid w:val="477067B2"/>
    <w:rsid w:val="47723ABC"/>
    <w:rsid w:val="47732CD5"/>
    <w:rsid w:val="47774339"/>
    <w:rsid w:val="47885C49"/>
    <w:rsid w:val="479D6E11"/>
    <w:rsid w:val="47AF5AAA"/>
    <w:rsid w:val="47B15014"/>
    <w:rsid w:val="47B32C82"/>
    <w:rsid w:val="47B71EFB"/>
    <w:rsid w:val="47C923E1"/>
    <w:rsid w:val="47D4481E"/>
    <w:rsid w:val="47DD7F58"/>
    <w:rsid w:val="47E5574E"/>
    <w:rsid w:val="47F16BCC"/>
    <w:rsid w:val="47FA5701"/>
    <w:rsid w:val="47FB39EA"/>
    <w:rsid w:val="47FE691F"/>
    <w:rsid w:val="48036331"/>
    <w:rsid w:val="480A1D14"/>
    <w:rsid w:val="480D00FD"/>
    <w:rsid w:val="4815506E"/>
    <w:rsid w:val="481D7912"/>
    <w:rsid w:val="481F1B20"/>
    <w:rsid w:val="48282B55"/>
    <w:rsid w:val="482C36D6"/>
    <w:rsid w:val="482F4C92"/>
    <w:rsid w:val="48316C4E"/>
    <w:rsid w:val="48330A04"/>
    <w:rsid w:val="48352352"/>
    <w:rsid w:val="483B30B0"/>
    <w:rsid w:val="484511D1"/>
    <w:rsid w:val="48466F0D"/>
    <w:rsid w:val="48486C5A"/>
    <w:rsid w:val="484950EF"/>
    <w:rsid w:val="484B512A"/>
    <w:rsid w:val="48501B75"/>
    <w:rsid w:val="48511725"/>
    <w:rsid w:val="48534FE1"/>
    <w:rsid w:val="485A5C74"/>
    <w:rsid w:val="48666576"/>
    <w:rsid w:val="486C1E67"/>
    <w:rsid w:val="486E697A"/>
    <w:rsid w:val="486F26F2"/>
    <w:rsid w:val="487F449E"/>
    <w:rsid w:val="487F6DE5"/>
    <w:rsid w:val="488024B1"/>
    <w:rsid w:val="48821331"/>
    <w:rsid w:val="488833E9"/>
    <w:rsid w:val="488B296E"/>
    <w:rsid w:val="48964544"/>
    <w:rsid w:val="48985CE2"/>
    <w:rsid w:val="489C5DC7"/>
    <w:rsid w:val="48A0681A"/>
    <w:rsid w:val="48A203D1"/>
    <w:rsid w:val="48B510D3"/>
    <w:rsid w:val="48B5156E"/>
    <w:rsid w:val="48B91D62"/>
    <w:rsid w:val="48BB69FD"/>
    <w:rsid w:val="48CB277A"/>
    <w:rsid w:val="48CD5129"/>
    <w:rsid w:val="48D12487"/>
    <w:rsid w:val="48D525B6"/>
    <w:rsid w:val="48D85B5B"/>
    <w:rsid w:val="48D92EED"/>
    <w:rsid w:val="48E64762"/>
    <w:rsid w:val="48EC6692"/>
    <w:rsid w:val="48ED09E4"/>
    <w:rsid w:val="48F16E9D"/>
    <w:rsid w:val="48F17AFF"/>
    <w:rsid w:val="48F53B50"/>
    <w:rsid w:val="48F76F67"/>
    <w:rsid w:val="48FA62A8"/>
    <w:rsid w:val="49017811"/>
    <w:rsid w:val="490521E9"/>
    <w:rsid w:val="490A2F86"/>
    <w:rsid w:val="4912460D"/>
    <w:rsid w:val="49177241"/>
    <w:rsid w:val="49180694"/>
    <w:rsid w:val="49182D69"/>
    <w:rsid w:val="491A5C36"/>
    <w:rsid w:val="492124A2"/>
    <w:rsid w:val="49250DD6"/>
    <w:rsid w:val="49336F31"/>
    <w:rsid w:val="49344E4A"/>
    <w:rsid w:val="493665C0"/>
    <w:rsid w:val="493C5A7C"/>
    <w:rsid w:val="4940267F"/>
    <w:rsid w:val="49444D7A"/>
    <w:rsid w:val="49450563"/>
    <w:rsid w:val="494C0DF4"/>
    <w:rsid w:val="49504F5F"/>
    <w:rsid w:val="49645788"/>
    <w:rsid w:val="49685F0B"/>
    <w:rsid w:val="49706721"/>
    <w:rsid w:val="498B2241"/>
    <w:rsid w:val="499A1140"/>
    <w:rsid w:val="499A2F46"/>
    <w:rsid w:val="499A70D7"/>
    <w:rsid w:val="49A16698"/>
    <w:rsid w:val="49AD5226"/>
    <w:rsid w:val="49B00E94"/>
    <w:rsid w:val="49C72BFC"/>
    <w:rsid w:val="49D136A3"/>
    <w:rsid w:val="49DA6F3E"/>
    <w:rsid w:val="49E2751A"/>
    <w:rsid w:val="49E4179C"/>
    <w:rsid w:val="49EB6CBC"/>
    <w:rsid w:val="49EF241A"/>
    <w:rsid w:val="49EF3D8A"/>
    <w:rsid w:val="49EF678D"/>
    <w:rsid w:val="49F66C27"/>
    <w:rsid w:val="49FB2C20"/>
    <w:rsid w:val="49FC7EA1"/>
    <w:rsid w:val="4A0330F2"/>
    <w:rsid w:val="4A056C41"/>
    <w:rsid w:val="4A0D2CA4"/>
    <w:rsid w:val="4A0E4BCC"/>
    <w:rsid w:val="4A0F7CE8"/>
    <w:rsid w:val="4A116E69"/>
    <w:rsid w:val="4A16242F"/>
    <w:rsid w:val="4A1C2405"/>
    <w:rsid w:val="4A1E58CD"/>
    <w:rsid w:val="4A1F4D4C"/>
    <w:rsid w:val="4A266D62"/>
    <w:rsid w:val="4A266DE0"/>
    <w:rsid w:val="4A2859D9"/>
    <w:rsid w:val="4A355782"/>
    <w:rsid w:val="4A417661"/>
    <w:rsid w:val="4A456ADD"/>
    <w:rsid w:val="4A4914AD"/>
    <w:rsid w:val="4A4F7C57"/>
    <w:rsid w:val="4A553BB8"/>
    <w:rsid w:val="4A590F64"/>
    <w:rsid w:val="4A5B5B57"/>
    <w:rsid w:val="4A5E2074"/>
    <w:rsid w:val="4A6D468F"/>
    <w:rsid w:val="4A6D4D16"/>
    <w:rsid w:val="4A812957"/>
    <w:rsid w:val="4A8731A2"/>
    <w:rsid w:val="4A8A3F66"/>
    <w:rsid w:val="4A8E1844"/>
    <w:rsid w:val="4A987C21"/>
    <w:rsid w:val="4A9B1546"/>
    <w:rsid w:val="4A9E59B5"/>
    <w:rsid w:val="4AA03E6E"/>
    <w:rsid w:val="4AA06186"/>
    <w:rsid w:val="4AA13213"/>
    <w:rsid w:val="4AA96950"/>
    <w:rsid w:val="4AAE2A70"/>
    <w:rsid w:val="4AB66172"/>
    <w:rsid w:val="4ABC6C05"/>
    <w:rsid w:val="4ABF720E"/>
    <w:rsid w:val="4AC264CA"/>
    <w:rsid w:val="4AC65D63"/>
    <w:rsid w:val="4AD53FD1"/>
    <w:rsid w:val="4AD9307A"/>
    <w:rsid w:val="4ADF2DFE"/>
    <w:rsid w:val="4AE16A23"/>
    <w:rsid w:val="4AE70821"/>
    <w:rsid w:val="4AF52DB7"/>
    <w:rsid w:val="4AFC67E9"/>
    <w:rsid w:val="4AFD002E"/>
    <w:rsid w:val="4B007554"/>
    <w:rsid w:val="4B06274D"/>
    <w:rsid w:val="4B186106"/>
    <w:rsid w:val="4B1C5D18"/>
    <w:rsid w:val="4B2865BE"/>
    <w:rsid w:val="4B291882"/>
    <w:rsid w:val="4B414E4E"/>
    <w:rsid w:val="4B4C1894"/>
    <w:rsid w:val="4B4E717E"/>
    <w:rsid w:val="4B5675CA"/>
    <w:rsid w:val="4B664412"/>
    <w:rsid w:val="4B6E4E16"/>
    <w:rsid w:val="4B700DB1"/>
    <w:rsid w:val="4B717749"/>
    <w:rsid w:val="4B787838"/>
    <w:rsid w:val="4B7934E1"/>
    <w:rsid w:val="4B7A3887"/>
    <w:rsid w:val="4B7D61BD"/>
    <w:rsid w:val="4B865F02"/>
    <w:rsid w:val="4B8C3E7B"/>
    <w:rsid w:val="4B942FBB"/>
    <w:rsid w:val="4B980D82"/>
    <w:rsid w:val="4B9A076E"/>
    <w:rsid w:val="4BA01AC0"/>
    <w:rsid w:val="4BAA33FD"/>
    <w:rsid w:val="4BB53328"/>
    <w:rsid w:val="4BB97283"/>
    <w:rsid w:val="4BC5033F"/>
    <w:rsid w:val="4BC75ED6"/>
    <w:rsid w:val="4BD1438E"/>
    <w:rsid w:val="4BD73A90"/>
    <w:rsid w:val="4BDA73F8"/>
    <w:rsid w:val="4BDC02A6"/>
    <w:rsid w:val="4BDD219B"/>
    <w:rsid w:val="4BDD69C7"/>
    <w:rsid w:val="4BE30200"/>
    <w:rsid w:val="4BE72B2E"/>
    <w:rsid w:val="4BF06D96"/>
    <w:rsid w:val="4BF52630"/>
    <w:rsid w:val="4BF712C5"/>
    <w:rsid w:val="4BFE136E"/>
    <w:rsid w:val="4C003730"/>
    <w:rsid w:val="4C124170"/>
    <w:rsid w:val="4C1476A4"/>
    <w:rsid w:val="4C162619"/>
    <w:rsid w:val="4C216B3E"/>
    <w:rsid w:val="4C24087F"/>
    <w:rsid w:val="4C2835AE"/>
    <w:rsid w:val="4C316D44"/>
    <w:rsid w:val="4C3F2608"/>
    <w:rsid w:val="4C4330AC"/>
    <w:rsid w:val="4C44267F"/>
    <w:rsid w:val="4C45458F"/>
    <w:rsid w:val="4C4548C3"/>
    <w:rsid w:val="4C4951B3"/>
    <w:rsid w:val="4C513763"/>
    <w:rsid w:val="4C5964D0"/>
    <w:rsid w:val="4C5A4A29"/>
    <w:rsid w:val="4C5E29FE"/>
    <w:rsid w:val="4C5E68E4"/>
    <w:rsid w:val="4C612351"/>
    <w:rsid w:val="4C696A6D"/>
    <w:rsid w:val="4C6A6789"/>
    <w:rsid w:val="4C6D7A4F"/>
    <w:rsid w:val="4C6E596B"/>
    <w:rsid w:val="4C700260"/>
    <w:rsid w:val="4C792D67"/>
    <w:rsid w:val="4C7D4F23"/>
    <w:rsid w:val="4C991609"/>
    <w:rsid w:val="4C9A35A9"/>
    <w:rsid w:val="4CA34A95"/>
    <w:rsid w:val="4CAB4548"/>
    <w:rsid w:val="4CB5753A"/>
    <w:rsid w:val="4CB701C3"/>
    <w:rsid w:val="4CB712A9"/>
    <w:rsid w:val="4CC076A7"/>
    <w:rsid w:val="4CC529BE"/>
    <w:rsid w:val="4CC66DC7"/>
    <w:rsid w:val="4CCC08B2"/>
    <w:rsid w:val="4CD34FFD"/>
    <w:rsid w:val="4CDD2165"/>
    <w:rsid w:val="4CDE36D3"/>
    <w:rsid w:val="4CDF3312"/>
    <w:rsid w:val="4CE67DE1"/>
    <w:rsid w:val="4CEE59CC"/>
    <w:rsid w:val="4CEE62DB"/>
    <w:rsid w:val="4CF02461"/>
    <w:rsid w:val="4CF1164A"/>
    <w:rsid w:val="4CFA7AAF"/>
    <w:rsid w:val="4CFA7F3B"/>
    <w:rsid w:val="4CFD651E"/>
    <w:rsid w:val="4D0215F9"/>
    <w:rsid w:val="4D062868"/>
    <w:rsid w:val="4D07721A"/>
    <w:rsid w:val="4D0B7E8F"/>
    <w:rsid w:val="4D0C74FD"/>
    <w:rsid w:val="4D0F6236"/>
    <w:rsid w:val="4D1454B6"/>
    <w:rsid w:val="4D1770D3"/>
    <w:rsid w:val="4D184249"/>
    <w:rsid w:val="4D1A70D0"/>
    <w:rsid w:val="4D217D86"/>
    <w:rsid w:val="4D2B743F"/>
    <w:rsid w:val="4D3160B5"/>
    <w:rsid w:val="4D32074E"/>
    <w:rsid w:val="4D3604CB"/>
    <w:rsid w:val="4D3947F6"/>
    <w:rsid w:val="4D3D494A"/>
    <w:rsid w:val="4D3E5B2F"/>
    <w:rsid w:val="4D410984"/>
    <w:rsid w:val="4D443A5F"/>
    <w:rsid w:val="4D526D7C"/>
    <w:rsid w:val="4D550108"/>
    <w:rsid w:val="4D560E09"/>
    <w:rsid w:val="4D56709A"/>
    <w:rsid w:val="4D585332"/>
    <w:rsid w:val="4D5A4F33"/>
    <w:rsid w:val="4D5C08E8"/>
    <w:rsid w:val="4D617324"/>
    <w:rsid w:val="4D632E8A"/>
    <w:rsid w:val="4D6B3828"/>
    <w:rsid w:val="4D6E4D26"/>
    <w:rsid w:val="4D72317E"/>
    <w:rsid w:val="4D7B4665"/>
    <w:rsid w:val="4D82269A"/>
    <w:rsid w:val="4D8359B7"/>
    <w:rsid w:val="4D9144D6"/>
    <w:rsid w:val="4D945CC4"/>
    <w:rsid w:val="4D9562ED"/>
    <w:rsid w:val="4D961F22"/>
    <w:rsid w:val="4D975C78"/>
    <w:rsid w:val="4D9C1893"/>
    <w:rsid w:val="4D9E1EFE"/>
    <w:rsid w:val="4DA52871"/>
    <w:rsid w:val="4DA804BD"/>
    <w:rsid w:val="4DAF6529"/>
    <w:rsid w:val="4DB57321"/>
    <w:rsid w:val="4DB83C43"/>
    <w:rsid w:val="4DC75E04"/>
    <w:rsid w:val="4DCA2CD0"/>
    <w:rsid w:val="4DCC5732"/>
    <w:rsid w:val="4DCD4C46"/>
    <w:rsid w:val="4DD142AB"/>
    <w:rsid w:val="4DD35C51"/>
    <w:rsid w:val="4DE72219"/>
    <w:rsid w:val="4DF87CD8"/>
    <w:rsid w:val="4DFB4584"/>
    <w:rsid w:val="4DFD5471"/>
    <w:rsid w:val="4E025801"/>
    <w:rsid w:val="4E063D0D"/>
    <w:rsid w:val="4E0B31BD"/>
    <w:rsid w:val="4E0B4C6B"/>
    <w:rsid w:val="4E0E4371"/>
    <w:rsid w:val="4E101FCE"/>
    <w:rsid w:val="4E10623F"/>
    <w:rsid w:val="4E126B2F"/>
    <w:rsid w:val="4E162199"/>
    <w:rsid w:val="4E17642E"/>
    <w:rsid w:val="4E1C0847"/>
    <w:rsid w:val="4E4334AF"/>
    <w:rsid w:val="4E487C41"/>
    <w:rsid w:val="4E4916A1"/>
    <w:rsid w:val="4E500C56"/>
    <w:rsid w:val="4E521385"/>
    <w:rsid w:val="4E526C72"/>
    <w:rsid w:val="4E5657B7"/>
    <w:rsid w:val="4E577EB0"/>
    <w:rsid w:val="4E5A1C36"/>
    <w:rsid w:val="4E5D1B43"/>
    <w:rsid w:val="4E5E194D"/>
    <w:rsid w:val="4E5E2FEC"/>
    <w:rsid w:val="4E5F3278"/>
    <w:rsid w:val="4E5F6EC7"/>
    <w:rsid w:val="4E780CF8"/>
    <w:rsid w:val="4E787399"/>
    <w:rsid w:val="4E850346"/>
    <w:rsid w:val="4E857C56"/>
    <w:rsid w:val="4E866CBE"/>
    <w:rsid w:val="4E942FA5"/>
    <w:rsid w:val="4E970723"/>
    <w:rsid w:val="4E995AAA"/>
    <w:rsid w:val="4EAE3782"/>
    <w:rsid w:val="4EB64C84"/>
    <w:rsid w:val="4EB679CA"/>
    <w:rsid w:val="4EBA23A6"/>
    <w:rsid w:val="4EC106FD"/>
    <w:rsid w:val="4EC217CD"/>
    <w:rsid w:val="4EC72940"/>
    <w:rsid w:val="4ECA6EDE"/>
    <w:rsid w:val="4EDF3796"/>
    <w:rsid w:val="4EE07C6B"/>
    <w:rsid w:val="4EE755A4"/>
    <w:rsid w:val="4EE92C64"/>
    <w:rsid w:val="4EEC048A"/>
    <w:rsid w:val="4EEC4798"/>
    <w:rsid w:val="4EF23735"/>
    <w:rsid w:val="4EF95660"/>
    <w:rsid w:val="4EFB083B"/>
    <w:rsid w:val="4EFF1909"/>
    <w:rsid w:val="4F0107AD"/>
    <w:rsid w:val="4F1175DE"/>
    <w:rsid w:val="4F167271"/>
    <w:rsid w:val="4F173034"/>
    <w:rsid w:val="4F175737"/>
    <w:rsid w:val="4F1A433D"/>
    <w:rsid w:val="4F1D2EA8"/>
    <w:rsid w:val="4F222B4D"/>
    <w:rsid w:val="4F22415D"/>
    <w:rsid w:val="4F2F2E4F"/>
    <w:rsid w:val="4F325948"/>
    <w:rsid w:val="4F350357"/>
    <w:rsid w:val="4F432EAC"/>
    <w:rsid w:val="4F473F09"/>
    <w:rsid w:val="4F4A4DB4"/>
    <w:rsid w:val="4F562E1D"/>
    <w:rsid w:val="4F615112"/>
    <w:rsid w:val="4F623386"/>
    <w:rsid w:val="4F6278F2"/>
    <w:rsid w:val="4F6524A5"/>
    <w:rsid w:val="4F6734CD"/>
    <w:rsid w:val="4F6A638E"/>
    <w:rsid w:val="4F6E78C9"/>
    <w:rsid w:val="4F764D6C"/>
    <w:rsid w:val="4F800F9E"/>
    <w:rsid w:val="4F824BC4"/>
    <w:rsid w:val="4F84220D"/>
    <w:rsid w:val="4F871689"/>
    <w:rsid w:val="4F8F7A0B"/>
    <w:rsid w:val="4F9168C8"/>
    <w:rsid w:val="4F982F4F"/>
    <w:rsid w:val="4F9B56F9"/>
    <w:rsid w:val="4F9E77D3"/>
    <w:rsid w:val="4F9F2E5E"/>
    <w:rsid w:val="4FAA22F8"/>
    <w:rsid w:val="4FAB6890"/>
    <w:rsid w:val="4FAD2F74"/>
    <w:rsid w:val="4FB13FA2"/>
    <w:rsid w:val="4FBF1260"/>
    <w:rsid w:val="4FC3272F"/>
    <w:rsid w:val="4FC616ED"/>
    <w:rsid w:val="4FCB6460"/>
    <w:rsid w:val="4FDA0F6A"/>
    <w:rsid w:val="4FEA34AF"/>
    <w:rsid w:val="4FF365E2"/>
    <w:rsid w:val="4FFE6835"/>
    <w:rsid w:val="4FFF2ADF"/>
    <w:rsid w:val="50055012"/>
    <w:rsid w:val="50062DC4"/>
    <w:rsid w:val="50083867"/>
    <w:rsid w:val="50100EFF"/>
    <w:rsid w:val="50101541"/>
    <w:rsid w:val="50106568"/>
    <w:rsid w:val="50112995"/>
    <w:rsid w:val="501F32AC"/>
    <w:rsid w:val="502035B4"/>
    <w:rsid w:val="50206BD9"/>
    <w:rsid w:val="50210F9C"/>
    <w:rsid w:val="5021159E"/>
    <w:rsid w:val="50272C5C"/>
    <w:rsid w:val="502B51C6"/>
    <w:rsid w:val="502C6E90"/>
    <w:rsid w:val="50313108"/>
    <w:rsid w:val="50326C49"/>
    <w:rsid w:val="503944E8"/>
    <w:rsid w:val="503C1682"/>
    <w:rsid w:val="503C37A9"/>
    <w:rsid w:val="503E14B7"/>
    <w:rsid w:val="50482452"/>
    <w:rsid w:val="504B3690"/>
    <w:rsid w:val="50526EF4"/>
    <w:rsid w:val="505271FA"/>
    <w:rsid w:val="505358A3"/>
    <w:rsid w:val="50544708"/>
    <w:rsid w:val="50566671"/>
    <w:rsid w:val="5057261F"/>
    <w:rsid w:val="505866C6"/>
    <w:rsid w:val="506223F9"/>
    <w:rsid w:val="506D0237"/>
    <w:rsid w:val="506D4B46"/>
    <w:rsid w:val="5076286F"/>
    <w:rsid w:val="5077108F"/>
    <w:rsid w:val="50774BC1"/>
    <w:rsid w:val="507B60D8"/>
    <w:rsid w:val="50834D92"/>
    <w:rsid w:val="50953316"/>
    <w:rsid w:val="509842B1"/>
    <w:rsid w:val="509C733A"/>
    <w:rsid w:val="509F36DF"/>
    <w:rsid w:val="50A02266"/>
    <w:rsid w:val="50AC470D"/>
    <w:rsid w:val="50B813A5"/>
    <w:rsid w:val="50BB7BA2"/>
    <w:rsid w:val="50BE304E"/>
    <w:rsid w:val="50BE7899"/>
    <w:rsid w:val="50BF40C1"/>
    <w:rsid w:val="50C368BE"/>
    <w:rsid w:val="50C865A9"/>
    <w:rsid w:val="50D751D6"/>
    <w:rsid w:val="50DD66D9"/>
    <w:rsid w:val="50DE6B31"/>
    <w:rsid w:val="50DF3F72"/>
    <w:rsid w:val="50F47E1F"/>
    <w:rsid w:val="51025793"/>
    <w:rsid w:val="51063441"/>
    <w:rsid w:val="510950F3"/>
    <w:rsid w:val="510A2349"/>
    <w:rsid w:val="510A66FC"/>
    <w:rsid w:val="510F5171"/>
    <w:rsid w:val="510F6820"/>
    <w:rsid w:val="5111322A"/>
    <w:rsid w:val="5113193A"/>
    <w:rsid w:val="511A1496"/>
    <w:rsid w:val="511E42A9"/>
    <w:rsid w:val="5126123E"/>
    <w:rsid w:val="51272A8A"/>
    <w:rsid w:val="512B622F"/>
    <w:rsid w:val="512F5DDF"/>
    <w:rsid w:val="51320E03"/>
    <w:rsid w:val="513230EE"/>
    <w:rsid w:val="513242BC"/>
    <w:rsid w:val="5137529F"/>
    <w:rsid w:val="513B0D30"/>
    <w:rsid w:val="51416790"/>
    <w:rsid w:val="514B1C22"/>
    <w:rsid w:val="514D1D3B"/>
    <w:rsid w:val="51525B58"/>
    <w:rsid w:val="515E2B16"/>
    <w:rsid w:val="516910E3"/>
    <w:rsid w:val="517150E8"/>
    <w:rsid w:val="51723D5F"/>
    <w:rsid w:val="51781B7F"/>
    <w:rsid w:val="517D025B"/>
    <w:rsid w:val="517D19C3"/>
    <w:rsid w:val="517F1381"/>
    <w:rsid w:val="5182309C"/>
    <w:rsid w:val="51823275"/>
    <w:rsid w:val="51952E2E"/>
    <w:rsid w:val="51963D8E"/>
    <w:rsid w:val="51A712F2"/>
    <w:rsid w:val="51AF1BC6"/>
    <w:rsid w:val="51B1506B"/>
    <w:rsid w:val="51B343AB"/>
    <w:rsid w:val="51B856E0"/>
    <w:rsid w:val="51BB63CA"/>
    <w:rsid w:val="51BC69D1"/>
    <w:rsid w:val="51C21AE4"/>
    <w:rsid w:val="51C67BA7"/>
    <w:rsid w:val="51CB5CF2"/>
    <w:rsid w:val="51CD54BD"/>
    <w:rsid w:val="51D1154C"/>
    <w:rsid w:val="51D264E1"/>
    <w:rsid w:val="51D60F8B"/>
    <w:rsid w:val="51D75216"/>
    <w:rsid w:val="51E06343"/>
    <w:rsid w:val="51E27A91"/>
    <w:rsid w:val="51E3724C"/>
    <w:rsid w:val="51E66AD8"/>
    <w:rsid w:val="51EB607A"/>
    <w:rsid w:val="51F10C04"/>
    <w:rsid w:val="51F249D6"/>
    <w:rsid w:val="51F24E6A"/>
    <w:rsid w:val="51F70E08"/>
    <w:rsid w:val="51F714EE"/>
    <w:rsid w:val="520C29D0"/>
    <w:rsid w:val="520E1591"/>
    <w:rsid w:val="52175A06"/>
    <w:rsid w:val="52224FAA"/>
    <w:rsid w:val="522555D2"/>
    <w:rsid w:val="52290CB4"/>
    <w:rsid w:val="52402881"/>
    <w:rsid w:val="525311D5"/>
    <w:rsid w:val="52631DBC"/>
    <w:rsid w:val="52661320"/>
    <w:rsid w:val="52664F6E"/>
    <w:rsid w:val="5270586C"/>
    <w:rsid w:val="52720E14"/>
    <w:rsid w:val="527340EA"/>
    <w:rsid w:val="527A14DE"/>
    <w:rsid w:val="527B3587"/>
    <w:rsid w:val="527E1EAF"/>
    <w:rsid w:val="527E37EB"/>
    <w:rsid w:val="527F05FD"/>
    <w:rsid w:val="528338D9"/>
    <w:rsid w:val="52843EAB"/>
    <w:rsid w:val="528A2896"/>
    <w:rsid w:val="528B637A"/>
    <w:rsid w:val="528D6710"/>
    <w:rsid w:val="529312CB"/>
    <w:rsid w:val="52933E0D"/>
    <w:rsid w:val="529D37F3"/>
    <w:rsid w:val="529D59C2"/>
    <w:rsid w:val="529F29B3"/>
    <w:rsid w:val="52A62889"/>
    <w:rsid w:val="52A820CC"/>
    <w:rsid w:val="52A874A3"/>
    <w:rsid w:val="52AD3BBF"/>
    <w:rsid w:val="52AE3FA0"/>
    <w:rsid w:val="52B25EF6"/>
    <w:rsid w:val="52B32AF0"/>
    <w:rsid w:val="52B43566"/>
    <w:rsid w:val="52BE760C"/>
    <w:rsid w:val="52C1181F"/>
    <w:rsid w:val="52C45064"/>
    <w:rsid w:val="52C5255A"/>
    <w:rsid w:val="52C71D6D"/>
    <w:rsid w:val="52C81A6D"/>
    <w:rsid w:val="52CA0BA9"/>
    <w:rsid w:val="52CB6FA3"/>
    <w:rsid w:val="52CD6517"/>
    <w:rsid w:val="52CE04A0"/>
    <w:rsid w:val="52D64984"/>
    <w:rsid w:val="52D92ACB"/>
    <w:rsid w:val="52DA13ED"/>
    <w:rsid w:val="52E81580"/>
    <w:rsid w:val="52E85D89"/>
    <w:rsid w:val="52EE0301"/>
    <w:rsid w:val="52EE0307"/>
    <w:rsid w:val="52EF7879"/>
    <w:rsid w:val="52F57E23"/>
    <w:rsid w:val="52FD1026"/>
    <w:rsid w:val="52FE08FA"/>
    <w:rsid w:val="53027C79"/>
    <w:rsid w:val="530347A8"/>
    <w:rsid w:val="53131D0B"/>
    <w:rsid w:val="531819A1"/>
    <w:rsid w:val="531D16E0"/>
    <w:rsid w:val="531E1D87"/>
    <w:rsid w:val="53254B0C"/>
    <w:rsid w:val="532847DC"/>
    <w:rsid w:val="53354B5C"/>
    <w:rsid w:val="53406ACC"/>
    <w:rsid w:val="5343356D"/>
    <w:rsid w:val="534B7602"/>
    <w:rsid w:val="53513120"/>
    <w:rsid w:val="53546E0A"/>
    <w:rsid w:val="53547D59"/>
    <w:rsid w:val="535760F6"/>
    <w:rsid w:val="53674EA9"/>
    <w:rsid w:val="536A058E"/>
    <w:rsid w:val="536A41E2"/>
    <w:rsid w:val="537625F2"/>
    <w:rsid w:val="53786887"/>
    <w:rsid w:val="53791837"/>
    <w:rsid w:val="537B50F6"/>
    <w:rsid w:val="537F7C8D"/>
    <w:rsid w:val="538452A3"/>
    <w:rsid w:val="53852DC9"/>
    <w:rsid w:val="538724AF"/>
    <w:rsid w:val="53982AFD"/>
    <w:rsid w:val="53997B82"/>
    <w:rsid w:val="539D3DD1"/>
    <w:rsid w:val="539D6290"/>
    <w:rsid w:val="53A03969"/>
    <w:rsid w:val="53AE0C0A"/>
    <w:rsid w:val="53B904F8"/>
    <w:rsid w:val="53BD060C"/>
    <w:rsid w:val="53BF3C96"/>
    <w:rsid w:val="53CA50A0"/>
    <w:rsid w:val="53D47BA2"/>
    <w:rsid w:val="53D710AA"/>
    <w:rsid w:val="53D82F21"/>
    <w:rsid w:val="53E84668"/>
    <w:rsid w:val="53ED3AA5"/>
    <w:rsid w:val="53F14963"/>
    <w:rsid w:val="53F36916"/>
    <w:rsid w:val="53FB0385"/>
    <w:rsid w:val="53FB3DF0"/>
    <w:rsid w:val="53FC659A"/>
    <w:rsid w:val="541175DE"/>
    <w:rsid w:val="541A1764"/>
    <w:rsid w:val="541F1122"/>
    <w:rsid w:val="54226686"/>
    <w:rsid w:val="54244390"/>
    <w:rsid w:val="5434170B"/>
    <w:rsid w:val="54383A6E"/>
    <w:rsid w:val="543A407E"/>
    <w:rsid w:val="543D3585"/>
    <w:rsid w:val="543E304D"/>
    <w:rsid w:val="544220A4"/>
    <w:rsid w:val="544A573B"/>
    <w:rsid w:val="544E410C"/>
    <w:rsid w:val="54526581"/>
    <w:rsid w:val="545F6326"/>
    <w:rsid w:val="546314A0"/>
    <w:rsid w:val="547D126C"/>
    <w:rsid w:val="54815AD6"/>
    <w:rsid w:val="54834D11"/>
    <w:rsid w:val="548A3FC9"/>
    <w:rsid w:val="548F3067"/>
    <w:rsid w:val="54967A60"/>
    <w:rsid w:val="549D7114"/>
    <w:rsid w:val="54A035C0"/>
    <w:rsid w:val="54A07777"/>
    <w:rsid w:val="54A11674"/>
    <w:rsid w:val="54A631EB"/>
    <w:rsid w:val="54A654A5"/>
    <w:rsid w:val="54A76832"/>
    <w:rsid w:val="54AD68B4"/>
    <w:rsid w:val="54B02444"/>
    <w:rsid w:val="54B46BE6"/>
    <w:rsid w:val="54B575F6"/>
    <w:rsid w:val="54BC1B13"/>
    <w:rsid w:val="54C42CEC"/>
    <w:rsid w:val="54C70DF9"/>
    <w:rsid w:val="54D1168D"/>
    <w:rsid w:val="54D960F5"/>
    <w:rsid w:val="54E446E2"/>
    <w:rsid w:val="54F1782E"/>
    <w:rsid w:val="54F402ED"/>
    <w:rsid w:val="54F56767"/>
    <w:rsid w:val="54FB0ADE"/>
    <w:rsid w:val="55032B54"/>
    <w:rsid w:val="55083897"/>
    <w:rsid w:val="550A228E"/>
    <w:rsid w:val="55195B27"/>
    <w:rsid w:val="5523289A"/>
    <w:rsid w:val="552A59D6"/>
    <w:rsid w:val="55345504"/>
    <w:rsid w:val="55400497"/>
    <w:rsid w:val="55502DFA"/>
    <w:rsid w:val="55520FBE"/>
    <w:rsid w:val="555262FC"/>
    <w:rsid w:val="555319D1"/>
    <w:rsid w:val="555F09E9"/>
    <w:rsid w:val="55613E55"/>
    <w:rsid w:val="556616C8"/>
    <w:rsid w:val="556B47C8"/>
    <w:rsid w:val="557442EA"/>
    <w:rsid w:val="55762F7B"/>
    <w:rsid w:val="55765516"/>
    <w:rsid w:val="557E7067"/>
    <w:rsid w:val="557F3F6A"/>
    <w:rsid w:val="55833079"/>
    <w:rsid w:val="558570B1"/>
    <w:rsid w:val="558E46D6"/>
    <w:rsid w:val="5594592A"/>
    <w:rsid w:val="5598074E"/>
    <w:rsid w:val="559A7A2A"/>
    <w:rsid w:val="559E0172"/>
    <w:rsid w:val="559E5231"/>
    <w:rsid w:val="55A162D3"/>
    <w:rsid w:val="55AF24DA"/>
    <w:rsid w:val="55C734F5"/>
    <w:rsid w:val="55D16941"/>
    <w:rsid w:val="55D35761"/>
    <w:rsid w:val="55D65B5E"/>
    <w:rsid w:val="55DC50C5"/>
    <w:rsid w:val="55E0078B"/>
    <w:rsid w:val="55E81CD4"/>
    <w:rsid w:val="55E93715"/>
    <w:rsid w:val="55F33FA5"/>
    <w:rsid w:val="560148F8"/>
    <w:rsid w:val="561346BC"/>
    <w:rsid w:val="561616F3"/>
    <w:rsid w:val="56164AD9"/>
    <w:rsid w:val="56185C97"/>
    <w:rsid w:val="561D19DF"/>
    <w:rsid w:val="561F7F94"/>
    <w:rsid w:val="56230716"/>
    <w:rsid w:val="562863CC"/>
    <w:rsid w:val="562A0715"/>
    <w:rsid w:val="562C17E1"/>
    <w:rsid w:val="563457A6"/>
    <w:rsid w:val="56520719"/>
    <w:rsid w:val="56557F7C"/>
    <w:rsid w:val="565A678F"/>
    <w:rsid w:val="565A69FD"/>
    <w:rsid w:val="56627E6C"/>
    <w:rsid w:val="566D18EB"/>
    <w:rsid w:val="566D2477"/>
    <w:rsid w:val="566D2743"/>
    <w:rsid w:val="566E6C4C"/>
    <w:rsid w:val="56754EBA"/>
    <w:rsid w:val="56780ED5"/>
    <w:rsid w:val="56794F6D"/>
    <w:rsid w:val="569F2D23"/>
    <w:rsid w:val="56A746C7"/>
    <w:rsid w:val="56AB014A"/>
    <w:rsid w:val="56AB04D2"/>
    <w:rsid w:val="56AF0889"/>
    <w:rsid w:val="56B440F1"/>
    <w:rsid w:val="56B848F9"/>
    <w:rsid w:val="56C2111B"/>
    <w:rsid w:val="56CE4A87"/>
    <w:rsid w:val="56E03993"/>
    <w:rsid w:val="56E36785"/>
    <w:rsid w:val="56E45187"/>
    <w:rsid w:val="56E514A1"/>
    <w:rsid w:val="56E85B49"/>
    <w:rsid w:val="56E92A63"/>
    <w:rsid w:val="56F112B1"/>
    <w:rsid w:val="56F40860"/>
    <w:rsid w:val="56F74F00"/>
    <w:rsid w:val="56F7571D"/>
    <w:rsid w:val="570120A9"/>
    <w:rsid w:val="57075EAC"/>
    <w:rsid w:val="57076301"/>
    <w:rsid w:val="570A59B7"/>
    <w:rsid w:val="570D53A0"/>
    <w:rsid w:val="57113B7B"/>
    <w:rsid w:val="5712720C"/>
    <w:rsid w:val="57211430"/>
    <w:rsid w:val="57270B3D"/>
    <w:rsid w:val="57272D89"/>
    <w:rsid w:val="572D6376"/>
    <w:rsid w:val="5730608A"/>
    <w:rsid w:val="573077FB"/>
    <w:rsid w:val="57380AFC"/>
    <w:rsid w:val="573910BE"/>
    <w:rsid w:val="573D680E"/>
    <w:rsid w:val="573E4972"/>
    <w:rsid w:val="57411EFE"/>
    <w:rsid w:val="575708CA"/>
    <w:rsid w:val="575D1C67"/>
    <w:rsid w:val="57641ED2"/>
    <w:rsid w:val="576516CC"/>
    <w:rsid w:val="576605F2"/>
    <w:rsid w:val="576A4F03"/>
    <w:rsid w:val="576E0591"/>
    <w:rsid w:val="5773493B"/>
    <w:rsid w:val="57794F6E"/>
    <w:rsid w:val="577E60BE"/>
    <w:rsid w:val="57802C16"/>
    <w:rsid w:val="57815E55"/>
    <w:rsid w:val="578852D2"/>
    <w:rsid w:val="5797131D"/>
    <w:rsid w:val="57A22F47"/>
    <w:rsid w:val="57A26A67"/>
    <w:rsid w:val="57A67968"/>
    <w:rsid w:val="57A94D69"/>
    <w:rsid w:val="57AF2218"/>
    <w:rsid w:val="57B87153"/>
    <w:rsid w:val="57BC0495"/>
    <w:rsid w:val="57C06A26"/>
    <w:rsid w:val="57CA307E"/>
    <w:rsid w:val="57CC7074"/>
    <w:rsid w:val="57DF227D"/>
    <w:rsid w:val="57E76AC9"/>
    <w:rsid w:val="57E84CEC"/>
    <w:rsid w:val="57EB2845"/>
    <w:rsid w:val="57F51B05"/>
    <w:rsid w:val="57F64296"/>
    <w:rsid w:val="57F975D0"/>
    <w:rsid w:val="57FA0E5E"/>
    <w:rsid w:val="57FD35E3"/>
    <w:rsid w:val="58076D29"/>
    <w:rsid w:val="580C4B64"/>
    <w:rsid w:val="580C501E"/>
    <w:rsid w:val="580F5097"/>
    <w:rsid w:val="58100D70"/>
    <w:rsid w:val="581D0E40"/>
    <w:rsid w:val="581D7C2B"/>
    <w:rsid w:val="58233747"/>
    <w:rsid w:val="5834793C"/>
    <w:rsid w:val="58377008"/>
    <w:rsid w:val="58377264"/>
    <w:rsid w:val="583777D1"/>
    <w:rsid w:val="58446718"/>
    <w:rsid w:val="5848705A"/>
    <w:rsid w:val="584B7EF0"/>
    <w:rsid w:val="585B5FB1"/>
    <w:rsid w:val="587830F6"/>
    <w:rsid w:val="587B7D70"/>
    <w:rsid w:val="587D6916"/>
    <w:rsid w:val="58824F05"/>
    <w:rsid w:val="588E4E06"/>
    <w:rsid w:val="58936C09"/>
    <w:rsid w:val="589D2BE1"/>
    <w:rsid w:val="58A6075C"/>
    <w:rsid w:val="58A6088E"/>
    <w:rsid w:val="58B14B2F"/>
    <w:rsid w:val="58B8154B"/>
    <w:rsid w:val="58B84BA8"/>
    <w:rsid w:val="58C4160B"/>
    <w:rsid w:val="58C419FA"/>
    <w:rsid w:val="58CF08A8"/>
    <w:rsid w:val="58D04AE7"/>
    <w:rsid w:val="58D83D70"/>
    <w:rsid w:val="58EB49A4"/>
    <w:rsid w:val="58F35A6F"/>
    <w:rsid w:val="58FA0CC9"/>
    <w:rsid w:val="58FF615D"/>
    <w:rsid w:val="590167CB"/>
    <w:rsid w:val="59032204"/>
    <w:rsid w:val="59082ECE"/>
    <w:rsid w:val="59132528"/>
    <w:rsid w:val="59190E40"/>
    <w:rsid w:val="591C7D2C"/>
    <w:rsid w:val="59271BEF"/>
    <w:rsid w:val="59280B3B"/>
    <w:rsid w:val="592A19E3"/>
    <w:rsid w:val="592E635F"/>
    <w:rsid w:val="59331EA2"/>
    <w:rsid w:val="59336BFC"/>
    <w:rsid w:val="59342DF2"/>
    <w:rsid w:val="593B3D2B"/>
    <w:rsid w:val="593C48DB"/>
    <w:rsid w:val="59433CF0"/>
    <w:rsid w:val="59496B9F"/>
    <w:rsid w:val="594A037D"/>
    <w:rsid w:val="59582258"/>
    <w:rsid w:val="596429D6"/>
    <w:rsid w:val="59651CAE"/>
    <w:rsid w:val="5971064D"/>
    <w:rsid w:val="59752418"/>
    <w:rsid w:val="597C468B"/>
    <w:rsid w:val="597D6C89"/>
    <w:rsid w:val="59976FEB"/>
    <w:rsid w:val="599E4BE5"/>
    <w:rsid w:val="59A00EDC"/>
    <w:rsid w:val="59A02CF1"/>
    <w:rsid w:val="59A47020"/>
    <w:rsid w:val="59A57581"/>
    <w:rsid w:val="59A65435"/>
    <w:rsid w:val="59AB2444"/>
    <w:rsid w:val="59AC701E"/>
    <w:rsid w:val="59AD01A7"/>
    <w:rsid w:val="59AD3B63"/>
    <w:rsid w:val="59B6533D"/>
    <w:rsid w:val="59B941E0"/>
    <w:rsid w:val="59BC13A7"/>
    <w:rsid w:val="59C10F62"/>
    <w:rsid w:val="59C2730A"/>
    <w:rsid w:val="59C462B0"/>
    <w:rsid w:val="59C503C4"/>
    <w:rsid w:val="59C707D0"/>
    <w:rsid w:val="59C817EE"/>
    <w:rsid w:val="59CF317E"/>
    <w:rsid w:val="59DD2F98"/>
    <w:rsid w:val="59E549BE"/>
    <w:rsid w:val="59EE4DD6"/>
    <w:rsid w:val="59F740F1"/>
    <w:rsid w:val="59F902DA"/>
    <w:rsid w:val="59F972F7"/>
    <w:rsid w:val="5A075ABF"/>
    <w:rsid w:val="5A1C3EF8"/>
    <w:rsid w:val="5A226ECE"/>
    <w:rsid w:val="5A2B27D6"/>
    <w:rsid w:val="5A2F594A"/>
    <w:rsid w:val="5A3A337D"/>
    <w:rsid w:val="5A3D43FE"/>
    <w:rsid w:val="5A3E5ABB"/>
    <w:rsid w:val="5A4049FD"/>
    <w:rsid w:val="5A430D8D"/>
    <w:rsid w:val="5A525013"/>
    <w:rsid w:val="5A587D48"/>
    <w:rsid w:val="5A5D73C6"/>
    <w:rsid w:val="5A5F6122"/>
    <w:rsid w:val="5A6C32D3"/>
    <w:rsid w:val="5A702884"/>
    <w:rsid w:val="5A703622"/>
    <w:rsid w:val="5A796801"/>
    <w:rsid w:val="5A7F4A16"/>
    <w:rsid w:val="5A8126F4"/>
    <w:rsid w:val="5A814A82"/>
    <w:rsid w:val="5A9030E7"/>
    <w:rsid w:val="5A9261B6"/>
    <w:rsid w:val="5A9474D4"/>
    <w:rsid w:val="5A977542"/>
    <w:rsid w:val="5A9F3C87"/>
    <w:rsid w:val="5AA3470B"/>
    <w:rsid w:val="5AA53C49"/>
    <w:rsid w:val="5AB21842"/>
    <w:rsid w:val="5AB96EC4"/>
    <w:rsid w:val="5ABA75F5"/>
    <w:rsid w:val="5AC00736"/>
    <w:rsid w:val="5ACC58A9"/>
    <w:rsid w:val="5AD07020"/>
    <w:rsid w:val="5AD50C84"/>
    <w:rsid w:val="5AD87AA0"/>
    <w:rsid w:val="5AE1312B"/>
    <w:rsid w:val="5AE53EED"/>
    <w:rsid w:val="5AE56ED8"/>
    <w:rsid w:val="5AEB179F"/>
    <w:rsid w:val="5AEC28E9"/>
    <w:rsid w:val="5AF873F9"/>
    <w:rsid w:val="5AFD5CA1"/>
    <w:rsid w:val="5B0516D1"/>
    <w:rsid w:val="5B0A144B"/>
    <w:rsid w:val="5B0E2BE7"/>
    <w:rsid w:val="5B194774"/>
    <w:rsid w:val="5B215A6F"/>
    <w:rsid w:val="5B2272B8"/>
    <w:rsid w:val="5B2452CA"/>
    <w:rsid w:val="5B246C93"/>
    <w:rsid w:val="5B293FA4"/>
    <w:rsid w:val="5B3B1E10"/>
    <w:rsid w:val="5B410E19"/>
    <w:rsid w:val="5B4A3418"/>
    <w:rsid w:val="5B4B766A"/>
    <w:rsid w:val="5B511F36"/>
    <w:rsid w:val="5B5B6A56"/>
    <w:rsid w:val="5B5C08B4"/>
    <w:rsid w:val="5B5E5179"/>
    <w:rsid w:val="5B686769"/>
    <w:rsid w:val="5B6F4007"/>
    <w:rsid w:val="5B742E16"/>
    <w:rsid w:val="5B7431E3"/>
    <w:rsid w:val="5B7649F7"/>
    <w:rsid w:val="5B864EEC"/>
    <w:rsid w:val="5B8655DE"/>
    <w:rsid w:val="5B887CBA"/>
    <w:rsid w:val="5B952E72"/>
    <w:rsid w:val="5B9F0154"/>
    <w:rsid w:val="5BA73307"/>
    <w:rsid w:val="5BA84FB7"/>
    <w:rsid w:val="5BAE7E46"/>
    <w:rsid w:val="5BB12742"/>
    <w:rsid w:val="5BB81E3B"/>
    <w:rsid w:val="5BC65BA5"/>
    <w:rsid w:val="5BC80610"/>
    <w:rsid w:val="5BCC3E7B"/>
    <w:rsid w:val="5BCD73CC"/>
    <w:rsid w:val="5BCF7335"/>
    <w:rsid w:val="5BD21052"/>
    <w:rsid w:val="5BE461A6"/>
    <w:rsid w:val="5BE520C5"/>
    <w:rsid w:val="5BF93486"/>
    <w:rsid w:val="5BF96C0C"/>
    <w:rsid w:val="5C050C37"/>
    <w:rsid w:val="5C0B6BEB"/>
    <w:rsid w:val="5C196691"/>
    <w:rsid w:val="5C214C1A"/>
    <w:rsid w:val="5C2D0C32"/>
    <w:rsid w:val="5C2E0656"/>
    <w:rsid w:val="5C2F4ED9"/>
    <w:rsid w:val="5C363AC4"/>
    <w:rsid w:val="5C39587B"/>
    <w:rsid w:val="5C45759A"/>
    <w:rsid w:val="5C487098"/>
    <w:rsid w:val="5C5210C9"/>
    <w:rsid w:val="5C551E2B"/>
    <w:rsid w:val="5C566ADD"/>
    <w:rsid w:val="5C584FCD"/>
    <w:rsid w:val="5C663F65"/>
    <w:rsid w:val="5C685FAD"/>
    <w:rsid w:val="5C6A2A90"/>
    <w:rsid w:val="5C6A5A44"/>
    <w:rsid w:val="5C775CC1"/>
    <w:rsid w:val="5C782B70"/>
    <w:rsid w:val="5C807ED9"/>
    <w:rsid w:val="5C8A31FF"/>
    <w:rsid w:val="5C8C5796"/>
    <w:rsid w:val="5C9028C8"/>
    <w:rsid w:val="5C9039A1"/>
    <w:rsid w:val="5C9365FD"/>
    <w:rsid w:val="5C9400FE"/>
    <w:rsid w:val="5C9802BB"/>
    <w:rsid w:val="5C9E37D6"/>
    <w:rsid w:val="5C9F4BE4"/>
    <w:rsid w:val="5CA1099C"/>
    <w:rsid w:val="5CAE1841"/>
    <w:rsid w:val="5CB009C2"/>
    <w:rsid w:val="5CB30E23"/>
    <w:rsid w:val="5CB63FA4"/>
    <w:rsid w:val="5CC02A56"/>
    <w:rsid w:val="5CC71318"/>
    <w:rsid w:val="5CC839E4"/>
    <w:rsid w:val="5CD557B6"/>
    <w:rsid w:val="5CDB024C"/>
    <w:rsid w:val="5CE2665E"/>
    <w:rsid w:val="5CE9646E"/>
    <w:rsid w:val="5CEB65B4"/>
    <w:rsid w:val="5CF30508"/>
    <w:rsid w:val="5D034955"/>
    <w:rsid w:val="5D037ACA"/>
    <w:rsid w:val="5D086B08"/>
    <w:rsid w:val="5D14283F"/>
    <w:rsid w:val="5D14552E"/>
    <w:rsid w:val="5D1C393A"/>
    <w:rsid w:val="5D234625"/>
    <w:rsid w:val="5D32024B"/>
    <w:rsid w:val="5D3664F7"/>
    <w:rsid w:val="5D3E30FA"/>
    <w:rsid w:val="5D3E7219"/>
    <w:rsid w:val="5D3F253F"/>
    <w:rsid w:val="5D445352"/>
    <w:rsid w:val="5D450682"/>
    <w:rsid w:val="5D465E58"/>
    <w:rsid w:val="5D485594"/>
    <w:rsid w:val="5D5217C8"/>
    <w:rsid w:val="5D5C0CC1"/>
    <w:rsid w:val="5D666FAB"/>
    <w:rsid w:val="5D68574F"/>
    <w:rsid w:val="5D69123B"/>
    <w:rsid w:val="5D6B3030"/>
    <w:rsid w:val="5D777C70"/>
    <w:rsid w:val="5D79399F"/>
    <w:rsid w:val="5D7A5897"/>
    <w:rsid w:val="5D8104A7"/>
    <w:rsid w:val="5D826B92"/>
    <w:rsid w:val="5D897F69"/>
    <w:rsid w:val="5DA82D4A"/>
    <w:rsid w:val="5DAD1625"/>
    <w:rsid w:val="5DB713CE"/>
    <w:rsid w:val="5DBA3C0B"/>
    <w:rsid w:val="5DC3428A"/>
    <w:rsid w:val="5DC603E7"/>
    <w:rsid w:val="5DD15915"/>
    <w:rsid w:val="5DD40BD5"/>
    <w:rsid w:val="5DD47EED"/>
    <w:rsid w:val="5DD638E2"/>
    <w:rsid w:val="5DE036AE"/>
    <w:rsid w:val="5DE768DF"/>
    <w:rsid w:val="5DEB632A"/>
    <w:rsid w:val="5DFB2606"/>
    <w:rsid w:val="5DFC2B94"/>
    <w:rsid w:val="5DFD637E"/>
    <w:rsid w:val="5E044051"/>
    <w:rsid w:val="5E087C39"/>
    <w:rsid w:val="5E13621E"/>
    <w:rsid w:val="5E167DEA"/>
    <w:rsid w:val="5E1753DB"/>
    <w:rsid w:val="5E2733FB"/>
    <w:rsid w:val="5E2C032D"/>
    <w:rsid w:val="5E2D4B36"/>
    <w:rsid w:val="5E34043D"/>
    <w:rsid w:val="5E377142"/>
    <w:rsid w:val="5E3D70F6"/>
    <w:rsid w:val="5E48734A"/>
    <w:rsid w:val="5E4D151E"/>
    <w:rsid w:val="5E5256CF"/>
    <w:rsid w:val="5E525F9E"/>
    <w:rsid w:val="5E53251C"/>
    <w:rsid w:val="5E5B4CE2"/>
    <w:rsid w:val="5E5C42A1"/>
    <w:rsid w:val="5E5E4943"/>
    <w:rsid w:val="5E5F3E1C"/>
    <w:rsid w:val="5E65152B"/>
    <w:rsid w:val="5E7419FA"/>
    <w:rsid w:val="5E78597B"/>
    <w:rsid w:val="5E795E0F"/>
    <w:rsid w:val="5E7A7B1D"/>
    <w:rsid w:val="5E7E6E2D"/>
    <w:rsid w:val="5E821A10"/>
    <w:rsid w:val="5E8D7C39"/>
    <w:rsid w:val="5E917AFD"/>
    <w:rsid w:val="5E93573A"/>
    <w:rsid w:val="5E96232F"/>
    <w:rsid w:val="5E966703"/>
    <w:rsid w:val="5E9E0399"/>
    <w:rsid w:val="5EAC0285"/>
    <w:rsid w:val="5EAD5331"/>
    <w:rsid w:val="5EC0079D"/>
    <w:rsid w:val="5EC609DA"/>
    <w:rsid w:val="5ED40587"/>
    <w:rsid w:val="5ED61D18"/>
    <w:rsid w:val="5EDA5FEF"/>
    <w:rsid w:val="5EDC54EF"/>
    <w:rsid w:val="5EDD4B28"/>
    <w:rsid w:val="5EE85474"/>
    <w:rsid w:val="5EEC0B95"/>
    <w:rsid w:val="5EF00A7A"/>
    <w:rsid w:val="5EF71CFB"/>
    <w:rsid w:val="5EFC37E2"/>
    <w:rsid w:val="5F057E9B"/>
    <w:rsid w:val="5F100A56"/>
    <w:rsid w:val="5F100F52"/>
    <w:rsid w:val="5F125536"/>
    <w:rsid w:val="5F167B45"/>
    <w:rsid w:val="5F182D44"/>
    <w:rsid w:val="5F1833F7"/>
    <w:rsid w:val="5F1C0006"/>
    <w:rsid w:val="5F1D4307"/>
    <w:rsid w:val="5F290D9A"/>
    <w:rsid w:val="5F2913F5"/>
    <w:rsid w:val="5F3131FF"/>
    <w:rsid w:val="5F3561D8"/>
    <w:rsid w:val="5F39291B"/>
    <w:rsid w:val="5F3B13DB"/>
    <w:rsid w:val="5F41161E"/>
    <w:rsid w:val="5F41673E"/>
    <w:rsid w:val="5F5D1EB0"/>
    <w:rsid w:val="5F60136E"/>
    <w:rsid w:val="5F6319B8"/>
    <w:rsid w:val="5F6441DB"/>
    <w:rsid w:val="5F695B2D"/>
    <w:rsid w:val="5F725A62"/>
    <w:rsid w:val="5F74244C"/>
    <w:rsid w:val="5F835B70"/>
    <w:rsid w:val="5F850849"/>
    <w:rsid w:val="5F8E1395"/>
    <w:rsid w:val="5F944AC0"/>
    <w:rsid w:val="5FA12D39"/>
    <w:rsid w:val="5FA56CCD"/>
    <w:rsid w:val="5FA67D65"/>
    <w:rsid w:val="5FAC52BF"/>
    <w:rsid w:val="5FAC5F18"/>
    <w:rsid w:val="5FAC708D"/>
    <w:rsid w:val="5FAD0AD1"/>
    <w:rsid w:val="5FAD5B82"/>
    <w:rsid w:val="5FB14366"/>
    <w:rsid w:val="5FB22DDD"/>
    <w:rsid w:val="5FB447FA"/>
    <w:rsid w:val="5FB919B2"/>
    <w:rsid w:val="5FBB0231"/>
    <w:rsid w:val="5FBB2CE0"/>
    <w:rsid w:val="5FC225BF"/>
    <w:rsid w:val="5FC25A3B"/>
    <w:rsid w:val="5FC80641"/>
    <w:rsid w:val="5FCC5FEB"/>
    <w:rsid w:val="5FD57842"/>
    <w:rsid w:val="5FD74889"/>
    <w:rsid w:val="5FD82DC5"/>
    <w:rsid w:val="5FE7047A"/>
    <w:rsid w:val="5FEB3422"/>
    <w:rsid w:val="5FF00E93"/>
    <w:rsid w:val="5FF05FCA"/>
    <w:rsid w:val="5FF52240"/>
    <w:rsid w:val="5FFE39B6"/>
    <w:rsid w:val="60044E19"/>
    <w:rsid w:val="601259E5"/>
    <w:rsid w:val="60135E1A"/>
    <w:rsid w:val="601C5517"/>
    <w:rsid w:val="602007E7"/>
    <w:rsid w:val="60205663"/>
    <w:rsid w:val="60234096"/>
    <w:rsid w:val="60256FE0"/>
    <w:rsid w:val="60293727"/>
    <w:rsid w:val="603875CB"/>
    <w:rsid w:val="603B13E0"/>
    <w:rsid w:val="603D3A0F"/>
    <w:rsid w:val="604D7370"/>
    <w:rsid w:val="604F72A6"/>
    <w:rsid w:val="605133AD"/>
    <w:rsid w:val="605A15AF"/>
    <w:rsid w:val="605D1356"/>
    <w:rsid w:val="605F4CE9"/>
    <w:rsid w:val="6063510D"/>
    <w:rsid w:val="606876B6"/>
    <w:rsid w:val="606C14FB"/>
    <w:rsid w:val="60723414"/>
    <w:rsid w:val="608749A9"/>
    <w:rsid w:val="6088251F"/>
    <w:rsid w:val="608F3926"/>
    <w:rsid w:val="60901C43"/>
    <w:rsid w:val="609A45DE"/>
    <w:rsid w:val="60B06CDD"/>
    <w:rsid w:val="60BA195F"/>
    <w:rsid w:val="60BB6B1C"/>
    <w:rsid w:val="60C44DAC"/>
    <w:rsid w:val="60CB3E5A"/>
    <w:rsid w:val="60DD2497"/>
    <w:rsid w:val="60E162FE"/>
    <w:rsid w:val="60F75845"/>
    <w:rsid w:val="60FA4DF7"/>
    <w:rsid w:val="60FC0323"/>
    <w:rsid w:val="60FD5F5A"/>
    <w:rsid w:val="60FF47EC"/>
    <w:rsid w:val="6108122D"/>
    <w:rsid w:val="61106CC0"/>
    <w:rsid w:val="61141C9D"/>
    <w:rsid w:val="612105D5"/>
    <w:rsid w:val="612431D1"/>
    <w:rsid w:val="61276859"/>
    <w:rsid w:val="612B0B99"/>
    <w:rsid w:val="613755FF"/>
    <w:rsid w:val="613D06E5"/>
    <w:rsid w:val="61416D81"/>
    <w:rsid w:val="614C3131"/>
    <w:rsid w:val="614E5428"/>
    <w:rsid w:val="615430AE"/>
    <w:rsid w:val="615E1CD0"/>
    <w:rsid w:val="61651A9A"/>
    <w:rsid w:val="6166248C"/>
    <w:rsid w:val="616A05BA"/>
    <w:rsid w:val="61701712"/>
    <w:rsid w:val="61730705"/>
    <w:rsid w:val="6173579B"/>
    <w:rsid w:val="61745BFE"/>
    <w:rsid w:val="618A392D"/>
    <w:rsid w:val="618B6904"/>
    <w:rsid w:val="618B6F18"/>
    <w:rsid w:val="61902BE6"/>
    <w:rsid w:val="61906BE0"/>
    <w:rsid w:val="61917829"/>
    <w:rsid w:val="61A54181"/>
    <w:rsid w:val="61A86E74"/>
    <w:rsid w:val="61AE542A"/>
    <w:rsid w:val="61B13862"/>
    <w:rsid w:val="61C549C2"/>
    <w:rsid w:val="61CC6481"/>
    <w:rsid w:val="61D93C9B"/>
    <w:rsid w:val="61DD38D1"/>
    <w:rsid w:val="61E27522"/>
    <w:rsid w:val="61E31D87"/>
    <w:rsid w:val="61E868FC"/>
    <w:rsid w:val="61EB343F"/>
    <w:rsid w:val="61EE526B"/>
    <w:rsid w:val="61F950AE"/>
    <w:rsid w:val="61FD11D4"/>
    <w:rsid w:val="61FF370F"/>
    <w:rsid w:val="61FF53AA"/>
    <w:rsid w:val="62036D8B"/>
    <w:rsid w:val="620B1AB5"/>
    <w:rsid w:val="6210615D"/>
    <w:rsid w:val="621E0127"/>
    <w:rsid w:val="621F029F"/>
    <w:rsid w:val="6221742E"/>
    <w:rsid w:val="622D4D58"/>
    <w:rsid w:val="623D1FC2"/>
    <w:rsid w:val="62417E90"/>
    <w:rsid w:val="6251451B"/>
    <w:rsid w:val="62593CC6"/>
    <w:rsid w:val="62600241"/>
    <w:rsid w:val="626A664D"/>
    <w:rsid w:val="626B762E"/>
    <w:rsid w:val="626F3D3B"/>
    <w:rsid w:val="62726160"/>
    <w:rsid w:val="62887D39"/>
    <w:rsid w:val="629E5C56"/>
    <w:rsid w:val="629E7844"/>
    <w:rsid w:val="62A30169"/>
    <w:rsid w:val="62AB6771"/>
    <w:rsid w:val="62B0051C"/>
    <w:rsid w:val="62BF796D"/>
    <w:rsid w:val="62C16E74"/>
    <w:rsid w:val="62C66907"/>
    <w:rsid w:val="62CD2097"/>
    <w:rsid w:val="62CE135C"/>
    <w:rsid w:val="62DA4BE4"/>
    <w:rsid w:val="62E61243"/>
    <w:rsid w:val="62E62942"/>
    <w:rsid w:val="62EC3418"/>
    <w:rsid w:val="62FB1F5E"/>
    <w:rsid w:val="62FD61DC"/>
    <w:rsid w:val="6302572B"/>
    <w:rsid w:val="63040F2F"/>
    <w:rsid w:val="630C1C94"/>
    <w:rsid w:val="63121C38"/>
    <w:rsid w:val="631852E2"/>
    <w:rsid w:val="63194117"/>
    <w:rsid w:val="631F18D2"/>
    <w:rsid w:val="63252268"/>
    <w:rsid w:val="632B39DD"/>
    <w:rsid w:val="632B5373"/>
    <w:rsid w:val="63384FFE"/>
    <w:rsid w:val="6338598B"/>
    <w:rsid w:val="633A3CCF"/>
    <w:rsid w:val="633B3150"/>
    <w:rsid w:val="633C6265"/>
    <w:rsid w:val="63410D72"/>
    <w:rsid w:val="634A596F"/>
    <w:rsid w:val="635C1C78"/>
    <w:rsid w:val="636C69A2"/>
    <w:rsid w:val="63747317"/>
    <w:rsid w:val="637A0A5E"/>
    <w:rsid w:val="637C68D1"/>
    <w:rsid w:val="63810153"/>
    <w:rsid w:val="638C213E"/>
    <w:rsid w:val="638C475D"/>
    <w:rsid w:val="638F2034"/>
    <w:rsid w:val="6390720A"/>
    <w:rsid w:val="6393097B"/>
    <w:rsid w:val="639A4526"/>
    <w:rsid w:val="639C058F"/>
    <w:rsid w:val="63A106C4"/>
    <w:rsid w:val="63A40434"/>
    <w:rsid w:val="63A434A0"/>
    <w:rsid w:val="63A502AA"/>
    <w:rsid w:val="63AD3CD6"/>
    <w:rsid w:val="63AD3DFD"/>
    <w:rsid w:val="63B349F8"/>
    <w:rsid w:val="63B71CCE"/>
    <w:rsid w:val="63C20D04"/>
    <w:rsid w:val="63C6720C"/>
    <w:rsid w:val="63CA3DCB"/>
    <w:rsid w:val="63DC4943"/>
    <w:rsid w:val="63DE2E4C"/>
    <w:rsid w:val="63E87188"/>
    <w:rsid w:val="63F4337F"/>
    <w:rsid w:val="63FB151D"/>
    <w:rsid w:val="63FB7BEE"/>
    <w:rsid w:val="64020F30"/>
    <w:rsid w:val="64065DF6"/>
    <w:rsid w:val="6410506D"/>
    <w:rsid w:val="64120074"/>
    <w:rsid w:val="641B4AB3"/>
    <w:rsid w:val="641D5D50"/>
    <w:rsid w:val="641E5A76"/>
    <w:rsid w:val="641F72F5"/>
    <w:rsid w:val="64212490"/>
    <w:rsid w:val="64264920"/>
    <w:rsid w:val="64284D93"/>
    <w:rsid w:val="6429050D"/>
    <w:rsid w:val="642F4896"/>
    <w:rsid w:val="64362523"/>
    <w:rsid w:val="643644B1"/>
    <w:rsid w:val="643C3DFB"/>
    <w:rsid w:val="643D1B46"/>
    <w:rsid w:val="643E2BD3"/>
    <w:rsid w:val="643E534D"/>
    <w:rsid w:val="644B633C"/>
    <w:rsid w:val="6451339A"/>
    <w:rsid w:val="6456068A"/>
    <w:rsid w:val="645C6DD7"/>
    <w:rsid w:val="645D27B1"/>
    <w:rsid w:val="64607667"/>
    <w:rsid w:val="64644998"/>
    <w:rsid w:val="64681A73"/>
    <w:rsid w:val="646924DB"/>
    <w:rsid w:val="64694AC9"/>
    <w:rsid w:val="64745038"/>
    <w:rsid w:val="64781379"/>
    <w:rsid w:val="648B023D"/>
    <w:rsid w:val="648B3FB8"/>
    <w:rsid w:val="648B4345"/>
    <w:rsid w:val="648B779B"/>
    <w:rsid w:val="64903C06"/>
    <w:rsid w:val="649660D2"/>
    <w:rsid w:val="64A07C97"/>
    <w:rsid w:val="64A15589"/>
    <w:rsid w:val="64A6478B"/>
    <w:rsid w:val="64A84463"/>
    <w:rsid w:val="64A867F8"/>
    <w:rsid w:val="64AC0894"/>
    <w:rsid w:val="64B12423"/>
    <w:rsid w:val="64BE61AD"/>
    <w:rsid w:val="64CE35CE"/>
    <w:rsid w:val="64D1157E"/>
    <w:rsid w:val="64D63485"/>
    <w:rsid w:val="64E27658"/>
    <w:rsid w:val="6503657A"/>
    <w:rsid w:val="650B0218"/>
    <w:rsid w:val="650D1CAF"/>
    <w:rsid w:val="65106F33"/>
    <w:rsid w:val="65127C38"/>
    <w:rsid w:val="6517484E"/>
    <w:rsid w:val="651F664A"/>
    <w:rsid w:val="65227A4F"/>
    <w:rsid w:val="652F0A2D"/>
    <w:rsid w:val="652F59CE"/>
    <w:rsid w:val="6534721D"/>
    <w:rsid w:val="653647A3"/>
    <w:rsid w:val="653C5699"/>
    <w:rsid w:val="654D30E7"/>
    <w:rsid w:val="654F25D3"/>
    <w:rsid w:val="655B63EE"/>
    <w:rsid w:val="655C6B63"/>
    <w:rsid w:val="65623116"/>
    <w:rsid w:val="65687859"/>
    <w:rsid w:val="656B0071"/>
    <w:rsid w:val="656C4076"/>
    <w:rsid w:val="656D03A1"/>
    <w:rsid w:val="656D17D2"/>
    <w:rsid w:val="657713CD"/>
    <w:rsid w:val="6577655B"/>
    <w:rsid w:val="657A32D6"/>
    <w:rsid w:val="657C746C"/>
    <w:rsid w:val="6592636B"/>
    <w:rsid w:val="65931280"/>
    <w:rsid w:val="659B722F"/>
    <w:rsid w:val="659D08D8"/>
    <w:rsid w:val="65A15B32"/>
    <w:rsid w:val="65A22A7F"/>
    <w:rsid w:val="65B073B1"/>
    <w:rsid w:val="65B63234"/>
    <w:rsid w:val="65B85B12"/>
    <w:rsid w:val="65B909B4"/>
    <w:rsid w:val="65BF2FB7"/>
    <w:rsid w:val="65C92EDD"/>
    <w:rsid w:val="65CD0FDC"/>
    <w:rsid w:val="65CE09EE"/>
    <w:rsid w:val="65D16742"/>
    <w:rsid w:val="65D7216C"/>
    <w:rsid w:val="65D754D2"/>
    <w:rsid w:val="65DB7E2E"/>
    <w:rsid w:val="65DC3CB9"/>
    <w:rsid w:val="65E21F00"/>
    <w:rsid w:val="65EB028C"/>
    <w:rsid w:val="65EB742A"/>
    <w:rsid w:val="65EF094D"/>
    <w:rsid w:val="65EF6597"/>
    <w:rsid w:val="65FB4F29"/>
    <w:rsid w:val="66022202"/>
    <w:rsid w:val="660309B0"/>
    <w:rsid w:val="66044022"/>
    <w:rsid w:val="660C5876"/>
    <w:rsid w:val="66167018"/>
    <w:rsid w:val="66173D55"/>
    <w:rsid w:val="661C606C"/>
    <w:rsid w:val="661D7B2C"/>
    <w:rsid w:val="662533F5"/>
    <w:rsid w:val="662621EA"/>
    <w:rsid w:val="662C338C"/>
    <w:rsid w:val="662C6105"/>
    <w:rsid w:val="662D3F0C"/>
    <w:rsid w:val="66342DF2"/>
    <w:rsid w:val="66353557"/>
    <w:rsid w:val="66360279"/>
    <w:rsid w:val="66453182"/>
    <w:rsid w:val="665A5CD5"/>
    <w:rsid w:val="665F56FC"/>
    <w:rsid w:val="66605B83"/>
    <w:rsid w:val="66622235"/>
    <w:rsid w:val="66640C7A"/>
    <w:rsid w:val="666646A6"/>
    <w:rsid w:val="66765D82"/>
    <w:rsid w:val="667736A3"/>
    <w:rsid w:val="667C5ED4"/>
    <w:rsid w:val="668A2779"/>
    <w:rsid w:val="668B6205"/>
    <w:rsid w:val="668F27D9"/>
    <w:rsid w:val="6690699C"/>
    <w:rsid w:val="6696580B"/>
    <w:rsid w:val="669730E8"/>
    <w:rsid w:val="669A3DB2"/>
    <w:rsid w:val="669C1200"/>
    <w:rsid w:val="66A51953"/>
    <w:rsid w:val="66A63EE0"/>
    <w:rsid w:val="66A75FD3"/>
    <w:rsid w:val="66A97DBA"/>
    <w:rsid w:val="66AB361E"/>
    <w:rsid w:val="66B12615"/>
    <w:rsid w:val="66B24BAD"/>
    <w:rsid w:val="66B24E7E"/>
    <w:rsid w:val="66B3673A"/>
    <w:rsid w:val="66B4080A"/>
    <w:rsid w:val="66B43C9A"/>
    <w:rsid w:val="66B905D4"/>
    <w:rsid w:val="66B91700"/>
    <w:rsid w:val="66C1412F"/>
    <w:rsid w:val="66D971A4"/>
    <w:rsid w:val="66DB3E9D"/>
    <w:rsid w:val="66F422E8"/>
    <w:rsid w:val="66F42C1D"/>
    <w:rsid w:val="66F60A36"/>
    <w:rsid w:val="67013562"/>
    <w:rsid w:val="6706035F"/>
    <w:rsid w:val="6707199F"/>
    <w:rsid w:val="67072C08"/>
    <w:rsid w:val="67122355"/>
    <w:rsid w:val="67144396"/>
    <w:rsid w:val="671E3E7C"/>
    <w:rsid w:val="67272EEF"/>
    <w:rsid w:val="67317098"/>
    <w:rsid w:val="67331F7A"/>
    <w:rsid w:val="67384868"/>
    <w:rsid w:val="673C4C4D"/>
    <w:rsid w:val="673E0325"/>
    <w:rsid w:val="67411078"/>
    <w:rsid w:val="674F317D"/>
    <w:rsid w:val="6754761A"/>
    <w:rsid w:val="675A11AE"/>
    <w:rsid w:val="67673A79"/>
    <w:rsid w:val="676845DE"/>
    <w:rsid w:val="676D456A"/>
    <w:rsid w:val="676D67E6"/>
    <w:rsid w:val="676E3EF2"/>
    <w:rsid w:val="67786A75"/>
    <w:rsid w:val="67803D0D"/>
    <w:rsid w:val="67880C2D"/>
    <w:rsid w:val="67891FF6"/>
    <w:rsid w:val="67991BFE"/>
    <w:rsid w:val="679C243B"/>
    <w:rsid w:val="67A642D9"/>
    <w:rsid w:val="67A7301C"/>
    <w:rsid w:val="67A95559"/>
    <w:rsid w:val="67AB6AAA"/>
    <w:rsid w:val="67AC7843"/>
    <w:rsid w:val="67AE4BBF"/>
    <w:rsid w:val="67B242B1"/>
    <w:rsid w:val="67BA0EC2"/>
    <w:rsid w:val="67C3769D"/>
    <w:rsid w:val="67C83EA7"/>
    <w:rsid w:val="67C96AF6"/>
    <w:rsid w:val="67DE3823"/>
    <w:rsid w:val="67E16919"/>
    <w:rsid w:val="67EB281D"/>
    <w:rsid w:val="67EF6A95"/>
    <w:rsid w:val="67F2058B"/>
    <w:rsid w:val="67F20F5B"/>
    <w:rsid w:val="67F26828"/>
    <w:rsid w:val="67F55EC6"/>
    <w:rsid w:val="67FA6EFF"/>
    <w:rsid w:val="680C7AE7"/>
    <w:rsid w:val="68144D95"/>
    <w:rsid w:val="681F60D4"/>
    <w:rsid w:val="682C3893"/>
    <w:rsid w:val="683B31A3"/>
    <w:rsid w:val="683D4893"/>
    <w:rsid w:val="683F123A"/>
    <w:rsid w:val="68436057"/>
    <w:rsid w:val="68464288"/>
    <w:rsid w:val="684941A9"/>
    <w:rsid w:val="684A163D"/>
    <w:rsid w:val="684B3682"/>
    <w:rsid w:val="684E4A69"/>
    <w:rsid w:val="685A0891"/>
    <w:rsid w:val="685B324E"/>
    <w:rsid w:val="68680F81"/>
    <w:rsid w:val="686B4A24"/>
    <w:rsid w:val="68717C38"/>
    <w:rsid w:val="68763A15"/>
    <w:rsid w:val="687640CE"/>
    <w:rsid w:val="687E370E"/>
    <w:rsid w:val="689031D4"/>
    <w:rsid w:val="68910A2F"/>
    <w:rsid w:val="68963137"/>
    <w:rsid w:val="6898386B"/>
    <w:rsid w:val="689F2031"/>
    <w:rsid w:val="68A019EB"/>
    <w:rsid w:val="68A172FF"/>
    <w:rsid w:val="68A2613A"/>
    <w:rsid w:val="68A44CC5"/>
    <w:rsid w:val="68B03FED"/>
    <w:rsid w:val="68B40871"/>
    <w:rsid w:val="68B57AD4"/>
    <w:rsid w:val="68B903C5"/>
    <w:rsid w:val="68B92688"/>
    <w:rsid w:val="68C27D64"/>
    <w:rsid w:val="68C502E7"/>
    <w:rsid w:val="68C5421B"/>
    <w:rsid w:val="68CB36D3"/>
    <w:rsid w:val="68CD5AEF"/>
    <w:rsid w:val="68DA219F"/>
    <w:rsid w:val="68DA2E33"/>
    <w:rsid w:val="68E03F04"/>
    <w:rsid w:val="68E10BEE"/>
    <w:rsid w:val="68E114F2"/>
    <w:rsid w:val="68E71E76"/>
    <w:rsid w:val="68FA490F"/>
    <w:rsid w:val="68FB0C3A"/>
    <w:rsid w:val="69035C29"/>
    <w:rsid w:val="690E375A"/>
    <w:rsid w:val="69144C46"/>
    <w:rsid w:val="6917406C"/>
    <w:rsid w:val="691751DE"/>
    <w:rsid w:val="6919739A"/>
    <w:rsid w:val="692769A5"/>
    <w:rsid w:val="69343F33"/>
    <w:rsid w:val="693B054D"/>
    <w:rsid w:val="693E76AF"/>
    <w:rsid w:val="69426968"/>
    <w:rsid w:val="69436F2C"/>
    <w:rsid w:val="69473733"/>
    <w:rsid w:val="694774FF"/>
    <w:rsid w:val="695A4545"/>
    <w:rsid w:val="695F72BA"/>
    <w:rsid w:val="69673F37"/>
    <w:rsid w:val="69676DA1"/>
    <w:rsid w:val="696848C8"/>
    <w:rsid w:val="696C4EA3"/>
    <w:rsid w:val="696F17AC"/>
    <w:rsid w:val="69714FA5"/>
    <w:rsid w:val="69790883"/>
    <w:rsid w:val="697B0051"/>
    <w:rsid w:val="697C7EC1"/>
    <w:rsid w:val="698603DC"/>
    <w:rsid w:val="69894F6A"/>
    <w:rsid w:val="698B2497"/>
    <w:rsid w:val="698E1D27"/>
    <w:rsid w:val="699456BD"/>
    <w:rsid w:val="69987965"/>
    <w:rsid w:val="699A328A"/>
    <w:rsid w:val="699D4130"/>
    <w:rsid w:val="69A00331"/>
    <w:rsid w:val="69AD11FF"/>
    <w:rsid w:val="69BB70ED"/>
    <w:rsid w:val="69BE2697"/>
    <w:rsid w:val="69BF2F7D"/>
    <w:rsid w:val="69C65FD0"/>
    <w:rsid w:val="69CB1370"/>
    <w:rsid w:val="69CC297C"/>
    <w:rsid w:val="69D13B95"/>
    <w:rsid w:val="69D501AF"/>
    <w:rsid w:val="69D67007"/>
    <w:rsid w:val="69D7213B"/>
    <w:rsid w:val="69DB6B23"/>
    <w:rsid w:val="69DC0762"/>
    <w:rsid w:val="69DD7D9E"/>
    <w:rsid w:val="69DE1B61"/>
    <w:rsid w:val="69DF3FC1"/>
    <w:rsid w:val="69E22807"/>
    <w:rsid w:val="69E420D3"/>
    <w:rsid w:val="69EB45E0"/>
    <w:rsid w:val="69F07FAE"/>
    <w:rsid w:val="69F36887"/>
    <w:rsid w:val="69FA1B39"/>
    <w:rsid w:val="69FD0B82"/>
    <w:rsid w:val="6A063BCE"/>
    <w:rsid w:val="6A0C543B"/>
    <w:rsid w:val="6A0D5967"/>
    <w:rsid w:val="6A1202B5"/>
    <w:rsid w:val="6A1322C3"/>
    <w:rsid w:val="6A2417B9"/>
    <w:rsid w:val="6A2B078F"/>
    <w:rsid w:val="6A351BBE"/>
    <w:rsid w:val="6A3811E8"/>
    <w:rsid w:val="6A3A3B0F"/>
    <w:rsid w:val="6A3F7D9A"/>
    <w:rsid w:val="6A4E61B3"/>
    <w:rsid w:val="6A5341AF"/>
    <w:rsid w:val="6A63387F"/>
    <w:rsid w:val="6A6379E6"/>
    <w:rsid w:val="6A6514AF"/>
    <w:rsid w:val="6A672AFE"/>
    <w:rsid w:val="6A791CA8"/>
    <w:rsid w:val="6A7C083A"/>
    <w:rsid w:val="6A8A50D1"/>
    <w:rsid w:val="6A8E369A"/>
    <w:rsid w:val="6A9343B3"/>
    <w:rsid w:val="6AA30955"/>
    <w:rsid w:val="6AA87A37"/>
    <w:rsid w:val="6AAB58DE"/>
    <w:rsid w:val="6AAD06D7"/>
    <w:rsid w:val="6ABD5AC3"/>
    <w:rsid w:val="6AC74C5A"/>
    <w:rsid w:val="6ACD16CA"/>
    <w:rsid w:val="6ACE65A7"/>
    <w:rsid w:val="6AD273F7"/>
    <w:rsid w:val="6AD41A83"/>
    <w:rsid w:val="6AE27277"/>
    <w:rsid w:val="6AE34CA7"/>
    <w:rsid w:val="6AE84659"/>
    <w:rsid w:val="6AED1147"/>
    <w:rsid w:val="6AF428B7"/>
    <w:rsid w:val="6AFB3C45"/>
    <w:rsid w:val="6B056872"/>
    <w:rsid w:val="6B067730"/>
    <w:rsid w:val="6B125236"/>
    <w:rsid w:val="6B1D6B63"/>
    <w:rsid w:val="6B20309C"/>
    <w:rsid w:val="6B210A01"/>
    <w:rsid w:val="6B23725F"/>
    <w:rsid w:val="6B2D5950"/>
    <w:rsid w:val="6B35059A"/>
    <w:rsid w:val="6B357B4C"/>
    <w:rsid w:val="6B38141F"/>
    <w:rsid w:val="6B3E4E9A"/>
    <w:rsid w:val="6B4510F8"/>
    <w:rsid w:val="6B465CCC"/>
    <w:rsid w:val="6B473287"/>
    <w:rsid w:val="6B492FA0"/>
    <w:rsid w:val="6B4D2C64"/>
    <w:rsid w:val="6B532EFE"/>
    <w:rsid w:val="6B5673BA"/>
    <w:rsid w:val="6B666391"/>
    <w:rsid w:val="6B6721B9"/>
    <w:rsid w:val="6B681DAE"/>
    <w:rsid w:val="6B6B308B"/>
    <w:rsid w:val="6B6D0775"/>
    <w:rsid w:val="6B7900F7"/>
    <w:rsid w:val="6B7A4956"/>
    <w:rsid w:val="6B7C357C"/>
    <w:rsid w:val="6B7F0D94"/>
    <w:rsid w:val="6B8206F2"/>
    <w:rsid w:val="6B865812"/>
    <w:rsid w:val="6B933BBB"/>
    <w:rsid w:val="6B954626"/>
    <w:rsid w:val="6B974D2E"/>
    <w:rsid w:val="6B9E2B7D"/>
    <w:rsid w:val="6BAB71D3"/>
    <w:rsid w:val="6BAC1189"/>
    <w:rsid w:val="6BAC43D7"/>
    <w:rsid w:val="6BAC4F3F"/>
    <w:rsid w:val="6BAF4A30"/>
    <w:rsid w:val="6BB1796D"/>
    <w:rsid w:val="6BB822CC"/>
    <w:rsid w:val="6BB822DC"/>
    <w:rsid w:val="6BC0415C"/>
    <w:rsid w:val="6BC76D57"/>
    <w:rsid w:val="6BCF3C1A"/>
    <w:rsid w:val="6BD10A2F"/>
    <w:rsid w:val="6BD8100E"/>
    <w:rsid w:val="6BE25F3B"/>
    <w:rsid w:val="6BEC7739"/>
    <w:rsid w:val="6BEE27E7"/>
    <w:rsid w:val="6BEF4971"/>
    <w:rsid w:val="6BF80129"/>
    <w:rsid w:val="6BFC0004"/>
    <w:rsid w:val="6C000248"/>
    <w:rsid w:val="6C031215"/>
    <w:rsid w:val="6C060AF4"/>
    <w:rsid w:val="6C094140"/>
    <w:rsid w:val="6C1B46BB"/>
    <w:rsid w:val="6C1C7A64"/>
    <w:rsid w:val="6C1E695B"/>
    <w:rsid w:val="6C23218C"/>
    <w:rsid w:val="6C28098A"/>
    <w:rsid w:val="6C2B5936"/>
    <w:rsid w:val="6C2D77A0"/>
    <w:rsid w:val="6C3167A1"/>
    <w:rsid w:val="6C333924"/>
    <w:rsid w:val="6C355BFC"/>
    <w:rsid w:val="6C3E7F33"/>
    <w:rsid w:val="6C41208A"/>
    <w:rsid w:val="6C450881"/>
    <w:rsid w:val="6C4572B8"/>
    <w:rsid w:val="6C563089"/>
    <w:rsid w:val="6C5775A1"/>
    <w:rsid w:val="6C636E09"/>
    <w:rsid w:val="6C6E066F"/>
    <w:rsid w:val="6C7506A3"/>
    <w:rsid w:val="6C7577C2"/>
    <w:rsid w:val="6C7B5EC3"/>
    <w:rsid w:val="6C83293F"/>
    <w:rsid w:val="6C85596C"/>
    <w:rsid w:val="6C8B30CE"/>
    <w:rsid w:val="6C91557B"/>
    <w:rsid w:val="6C9226BF"/>
    <w:rsid w:val="6C982439"/>
    <w:rsid w:val="6C9C2625"/>
    <w:rsid w:val="6CAD5A24"/>
    <w:rsid w:val="6CAF0075"/>
    <w:rsid w:val="6CAF2DAC"/>
    <w:rsid w:val="6CBB5ED0"/>
    <w:rsid w:val="6CBE4020"/>
    <w:rsid w:val="6CCB7CF7"/>
    <w:rsid w:val="6CD7423E"/>
    <w:rsid w:val="6CDC431E"/>
    <w:rsid w:val="6CE26CAA"/>
    <w:rsid w:val="6CE8485E"/>
    <w:rsid w:val="6CF83396"/>
    <w:rsid w:val="6CFA2346"/>
    <w:rsid w:val="6D047403"/>
    <w:rsid w:val="6D090F6A"/>
    <w:rsid w:val="6D0A63C2"/>
    <w:rsid w:val="6D0F39D8"/>
    <w:rsid w:val="6D107750"/>
    <w:rsid w:val="6D1159A2"/>
    <w:rsid w:val="6D121576"/>
    <w:rsid w:val="6D162810"/>
    <w:rsid w:val="6D1845AE"/>
    <w:rsid w:val="6D194506"/>
    <w:rsid w:val="6D212275"/>
    <w:rsid w:val="6D241366"/>
    <w:rsid w:val="6D2E426F"/>
    <w:rsid w:val="6D396CA7"/>
    <w:rsid w:val="6D417909"/>
    <w:rsid w:val="6D466E0C"/>
    <w:rsid w:val="6D476DF6"/>
    <w:rsid w:val="6D4C112F"/>
    <w:rsid w:val="6D4D6B34"/>
    <w:rsid w:val="6D526F61"/>
    <w:rsid w:val="6D544E73"/>
    <w:rsid w:val="6D5477C0"/>
    <w:rsid w:val="6D564056"/>
    <w:rsid w:val="6D6130ED"/>
    <w:rsid w:val="6D7301C9"/>
    <w:rsid w:val="6D75204A"/>
    <w:rsid w:val="6D7D4DE5"/>
    <w:rsid w:val="6D8697AE"/>
    <w:rsid w:val="6D894F96"/>
    <w:rsid w:val="6D8F571C"/>
    <w:rsid w:val="6D9013BD"/>
    <w:rsid w:val="6D91154C"/>
    <w:rsid w:val="6D9E3A5E"/>
    <w:rsid w:val="6D9F07AE"/>
    <w:rsid w:val="6DA950DB"/>
    <w:rsid w:val="6DBB5AAA"/>
    <w:rsid w:val="6DC71B14"/>
    <w:rsid w:val="6DCC0D2D"/>
    <w:rsid w:val="6DD02F19"/>
    <w:rsid w:val="6DD06488"/>
    <w:rsid w:val="6DD24A05"/>
    <w:rsid w:val="6DD7199D"/>
    <w:rsid w:val="6DE02641"/>
    <w:rsid w:val="6DE31640"/>
    <w:rsid w:val="6DE42A39"/>
    <w:rsid w:val="6DEE5118"/>
    <w:rsid w:val="6DEF6212"/>
    <w:rsid w:val="6DF04D63"/>
    <w:rsid w:val="6DF27014"/>
    <w:rsid w:val="6DF30BD1"/>
    <w:rsid w:val="6E054DDB"/>
    <w:rsid w:val="6E0F1884"/>
    <w:rsid w:val="6E185FCD"/>
    <w:rsid w:val="6E1C5E51"/>
    <w:rsid w:val="6E263E98"/>
    <w:rsid w:val="6E376A98"/>
    <w:rsid w:val="6E386F5E"/>
    <w:rsid w:val="6E420972"/>
    <w:rsid w:val="6E485408"/>
    <w:rsid w:val="6E4C415B"/>
    <w:rsid w:val="6E5122CF"/>
    <w:rsid w:val="6E55366C"/>
    <w:rsid w:val="6E570751"/>
    <w:rsid w:val="6E5A500E"/>
    <w:rsid w:val="6E5C4E98"/>
    <w:rsid w:val="6E5E554C"/>
    <w:rsid w:val="6E5F7947"/>
    <w:rsid w:val="6E60658B"/>
    <w:rsid w:val="6E695896"/>
    <w:rsid w:val="6E69656F"/>
    <w:rsid w:val="6E6C01DF"/>
    <w:rsid w:val="6E6D7C27"/>
    <w:rsid w:val="6E6F77A5"/>
    <w:rsid w:val="6E701332"/>
    <w:rsid w:val="6E7B483B"/>
    <w:rsid w:val="6E800B96"/>
    <w:rsid w:val="6E804461"/>
    <w:rsid w:val="6E830D30"/>
    <w:rsid w:val="6E8566BA"/>
    <w:rsid w:val="6E89512C"/>
    <w:rsid w:val="6E8965D6"/>
    <w:rsid w:val="6E8C0511"/>
    <w:rsid w:val="6E927CBC"/>
    <w:rsid w:val="6E931F11"/>
    <w:rsid w:val="6E9E7F0F"/>
    <w:rsid w:val="6EA13C94"/>
    <w:rsid w:val="6EAB7815"/>
    <w:rsid w:val="6EAC5E7F"/>
    <w:rsid w:val="6EB23337"/>
    <w:rsid w:val="6EBD6814"/>
    <w:rsid w:val="6EBF5A1C"/>
    <w:rsid w:val="6EC16F54"/>
    <w:rsid w:val="6EC27080"/>
    <w:rsid w:val="6EC32B7F"/>
    <w:rsid w:val="6EC45E24"/>
    <w:rsid w:val="6EC65B99"/>
    <w:rsid w:val="6EC70CB8"/>
    <w:rsid w:val="6ECB4229"/>
    <w:rsid w:val="6ED17AA0"/>
    <w:rsid w:val="6EE53020"/>
    <w:rsid w:val="6EF52B6E"/>
    <w:rsid w:val="6EF535E4"/>
    <w:rsid w:val="6EF67243"/>
    <w:rsid w:val="6F077D96"/>
    <w:rsid w:val="6F0A790D"/>
    <w:rsid w:val="6F1902C5"/>
    <w:rsid w:val="6F1A312E"/>
    <w:rsid w:val="6F1E116D"/>
    <w:rsid w:val="6F276B55"/>
    <w:rsid w:val="6F301887"/>
    <w:rsid w:val="6F3323F9"/>
    <w:rsid w:val="6F364866"/>
    <w:rsid w:val="6F3D7BA9"/>
    <w:rsid w:val="6F4206A3"/>
    <w:rsid w:val="6F453A40"/>
    <w:rsid w:val="6F4E5FC7"/>
    <w:rsid w:val="6F4F749B"/>
    <w:rsid w:val="6F502A4C"/>
    <w:rsid w:val="6F577232"/>
    <w:rsid w:val="6F58297A"/>
    <w:rsid w:val="6F5D1962"/>
    <w:rsid w:val="6F5E1880"/>
    <w:rsid w:val="6F641BAE"/>
    <w:rsid w:val="6F655B31"/>
    <w:rsid w:val="6F6C292D"/>
    <w:rsid w:val="6F7C2AD5"/>
    <w:rsid w:val="6F7E2AA0"/>
    <w:rsid w:val="6F8C07AA"/>
    <w:rsid w:val="6F8F414B"/>
    <w:rsid w:val="6F9C1661"/>
    <w:rsid w:val="6FA10237"/>
    <w:rsid w:val="6FA37BAD"/>
    <w:rsid w:val="6FA85EF5"/>
    <w:rsid w:val="6FA939CB"/>
    <w:rsid w:val="6FA973ED"/>
    <w:rsid w:val="6FAA1FAA"/>
    <w:rsid w:val="6FAF4A0F"/>
    <w:rsid w:val="6FBA3679"/>
    <w:rsid w:val="6FC15642"/>
    <w:rsid w:val="6FC33788"/>
    <w:rsid w:val="6FC87C51"/>
    <w:rsid w:val="6FD21659"/>
    <w:rsid w:val="6FD34E20"/>
    <w:rsid w:val="6FE969BF"/>
    <w:rsid w:val="6FF75CA4"/>
    <w:rsid w:val="6FF86614"/>
    <w:rsid w:val="6FFF2140"/>
    <w:rsid w:val="70013535"/>
    <w:rsid w:val="700D529C"/>
    <w:rsid w:val="701D465E"/>
    <w:rsid w:val="702748A7"/>
    <w:rsid w:val="703302EF"/>
    <w:rsid w:val="704654AA"/>
    <w:rsid w:val="704A19BF"/>
    <w:rsid w:val="704B7320"/>
    <w:rsid w:val="70513018"/>
    <w:rsid w:val="705328B2"/>
    <w:rsid w:val="705B79C3"/>
    <w:rsid w:val="705C5D84"/>
    <w:rsid w:val="705C716E"/>
    <w:rsid w:val="705D334D"/>
    <w:rsid w:val="70645294"/>
    <w:rsid w:val="70677D76"/>
    <w:rsid w:val="706D047A"/>
    <w:rsid w:val="70714C60"/>
    <w:rsid w:val="70774F92"/>
    <w:rsid w:val="70797815"/>
    <w:rsid w:val="707E2C63"/>
    <w:rsid w:val="70810331"/>
    <w:rsid w:val="708B6483"/>
    <w:rsid w:val="708E0945"/>
    <w:rsid w:val="70950663"/>
    <w:rsid w:val="70A1195B"/>
    <w:rsid w:val="70B02AFF"/>
    <w:rsid w:val="70B2124A"/>
    <w:rsid w:val="70B2620E"/>
    <w:rsid w:val="70B34FC2"/>
    <w:rsid w:val="70BB2883"/>
    <w:rsid w:val="70C25FEB"/>
    <w:rsid w:val="70D25AA9"/>
    <w:rsid w:val="70DA4D9D"/>
    <w:rsid w:val="70E64EC1"/>
    <w:rsid w:val="70E73F46"/>
    <w:rsid w:val="70FA297E"/>
    <w:rsid w:val="70FE03BA"/>
    <w:rsid w:val="70FF1C74"/>
    <w:rsid w:val="71045FFA"/>
    <w:rsid w:val="710F66E1"/>
    <w:rsid w:val="71143B8A"/>
    <w:rsid w:val="711448F7"/>
    <w:rsid w:val="711624A8"/>
    <w:rsid w:val="71184E25"/>
    <w:rsid w:val="71230CDA"/>
    <w:rsid w:val="712612F0"/>
    <w:rsid w:val="7128357B"/>
    <w:rsid w:val="712E2478"/>
    <w:rsid w:val="712E5B76"/>
    <w:rsid w:val="71331318"/>
    <w:rsid w:val="71377B98"/>
    <w:rsid w:val="713A2FED"/>
    <w:rsid w:val="7141589B"/>
    <w:rsid w:val="71494FDF"/>
    <w:rsid w:val="714B3B81"/>
    <w:rsid w:val="714D5BA5"/>
    <w:rsid w:val="71502811"/>
    <w:rsid w:val="71566EC1"/>
    <w:rsid w:val="715E59A7"/>
    <w:rsid w:val="715F3600"/>
    <w:rsid w:val="71633699"/>
    <w:rsid w:val="716C2D64"/>
    <w:rsid w:val="71721DB0"/>
    <w:rsid w:val="71776F63"/>
    <w:rsid w:val="717C3606"/>
    <w:rsid w:val="717D2CFB"/>
    <w:rsid w:val="718740B7"/>
    <w:rsid w:val="71902ECE"/>
    <w:rsid w:val="71916474"/>
    <w:rsid w:val="7193322E"/>
    <w:rsid w:val="71975A88"/>
    <w:rsid w:val="719A0DD7"/>
    <w:rsid w:val="71A21432"/>
    <w:rsid w:val="71A243D5"/>
    <w:rsid w:val="71A33B87"/>
    <w:rsid w:val="71A86FFA"/>
    <w:rsid w:val="71AB3346"/>
    <w:rsid w:val="71B87BFC"/>
    <w:rsid w:val="71BF2E91"/>
    <w:rsid w:val="71CA0007"/>
    <w:rsid w:val="71CA1EC1"/>
    <w:rsid w:val="71D51046"/>
    <w:rsid w:val="71E650F8"/>
    <w:rsid w:val="71E86FC2"/>
    <w:rsid w:val="71F34F09"/>
    <w:rsid w:val="71FC0C50"/>
    <w:rsid w:val="720226F5"/>
    <w:rsid w:val="72055131"/>
    <w:rsid w:val="72072549"/>
    <w:rsid w:val="72181E17"/>
    <w:rsid w:val="72394DEB"/>
    <w:rsid w:val="723A7C99"/>
    <w:rsid w:val="724858A3"/>
    <w:rsid w:val="7256691C"/>
    <w:rsid w:val="725D2801"/>
    <w:rsid w:val="72636F80"/>
    <w:rsid w:val="726805DE"/>
    <w:rsid w:val="727E4734"/>
    <w:rsid w:val="72907968"/>
    <w:rsid w:val="7291124D"/>
    <w:rsid w:val="729C3F60"/>
    <w:rsid w:val="72A52A32"/>
    <w:rsid w:val="72A703A1"/>
    <w:rsid w:val="72AD4ED3"/>
    <w:rsid w:val="72BB1F0C"/>
    <w:rsid w:val="72BC28CE"/>
    <w:rsid w:val="72C45265"/>
    <w:rsid w:val="72D103AA"/>
    <w:rsid w:val="72D73775"/>
    <w:rsid w:val="72DD00D4"/>
    <w:rsid w:val="72E23F94"/>
    <w:rsid w:val="72E32665"/>
    <w:rsid w:val="72E422B0"/>
    <w:rsid w:val="72E727FA"/>
    <w:rsid w:val="72F83CCF"/>
    <w:rsid w:val="730A4900"/>
    <w:rsid w:val="73137151"/>
    <w:rsid w:val="73147D6A"/>
    <w:rsid w:val="731964AC"/>
    <w:rsid w:val="731F06ED"/>
    <w:rsid w:val="73244C47"/>
    <w:rsid w:val="732540EB"/>
    <w:rsid w:val="732579C4"/>
    <w:rsid w:val="732B35B2"/>
    <w:rsid w:val="73314C47"/>
    <w:rsid w:val="733221CE"/>
    <w:rsid w:val="733572B0"/>
    <w:rsid w:val="73393162"/>
    <w:rsid w:val="733C5A7A"/>
    <w:rsid w:val="73421BB1"/>
    <w:rsid w:val="73436002"/>
    <w:rsid w:val="73441E16"/>
    <w:rsid w:val="7348083F"/>
    <w:rsid w:val="734B0AAB"/>
    <w:rsid w:val="73511323"/>
    <w:rsid w:val="735311C9"/>
    <w:rsid w:val="73591E51"/>
    <w:rsid w:val="735A7EFD"/>
    <w:rsid w:val="73640708"/>
    <w:rsid w:val="73651751"/>
    <w:rsid w:val="73681BF5"/>
    <w:rsid w:val="736C6E76"/>
    <w:rsid w:val="736D7A5B"/>
    <w:rsid w:val="7375143E"/>
    <w:rsid w:val="737E37EE"/>
    <w:rsid w:val="738327A1"/>
    <w:rsid w:val="7383602F"/>
    <w:rsid w:val="7387660A"/>
    <w:rsid w:val="73972979"/>
    <w:rsid w:val="739C05EC"/>
    <w:rsid w:val="739E4F47"/>
    <w:rsid w:val="739F4CEB"/>
    <w:rsid w:val="73A36F60"/>
    <w:rsid w:val="73AB55B6"/>
    <w:rsid w:val="73AC20BC"/>
    <w:rsid w:val="73B3752D"/>
    <w:rsid w:val="73BC6FB6"/>
    <w:rsid w:val="73BC7DCF"/>
    <w:rsid w:val="73C549DD"/>
    <w:rsid w:val="73C66D55"/>
    <w:rsid w:val="73C80071"/>
    <w:rsid w:val="73ED11A4"/>
    <w:rsid w:val="73EE68C5"/>
    <w:rsid w:val="73F0094D"/>
    <w:rsid w:val="73F80612"/>
    <w:rsid w:val="73F86087"/>
    <w:rsid w:val="73FD6EE8"/>
    <w:rsid w:val="74061605"/>
    <w:rsid w:val="74083905"/>
    <w:rsid w:val="740B1A0D"/>
    <w:rsid w:val="740B5D45"/>
    <w:rsid w:val="740C0C71"/>
    <w:rsid w:val="74107850"/>
    <w:rsid w:val="74166EE1"/>
    <w:rsid w:val="7417064D"/>
    <w:rsid w:val="74330E81"/>
    <w:rsid w:val="74336611"/>
    <w:rsid w:val="743D22C4"/>
    <w:rsid w:val="743E4BA3"/>
    <w:rsid w:val="743F386D"/>
    <w:rsid w:val="74460566"/>
    <w:rsid w:val="744F5002"/>
    <w:rsid w:val="74515897"/>
    <w:rsid w:val="74525446"/>
    <w:rsid w:val="74591A20"/>
    <w:rsid w:val="74592B70"/>
    <w:rsid w:val="745A402C"/>
    <w:rsid w:val="745D351C"/>
    <w:rsid w:val="746B49A3"/>
    <w:rsid w:val="746D2D49"/>
    <w:rsid w:val="747351CD"/>
    <w:rsid w:val="747533B4"/>
    <w:rsid w:val="74806AF8"/>
    <w:rsid w:val="7483414B"/>
    <w:rsid w:val="749327C3"/>
    <w:rsid w:val="74944F3F"/>
    <w:rsid w:val="7495089F"/>
    <w:rsid w:val="74962C31"/>
    <w:rsid w:val="749709EA"/>
    <w:rsid w:val="74A93097"/>
    <w:rsid w:val="74A968D2"/>
    <w:rsid w:val="74B026BC"/>
    <w:rsid w:val="74B9247B"/>
    <w:rsid w:val="74B93ECA"/>
    <w:rsid w:val="74BB6E1B"/>
    <w:rsid w:val="74BD2567"/>
    <w:rsid w:val="74C4779E"/>
    <w:rsid w:val="74C60570"/>
    <w:rsid w:val="74CD020E"/>
    <w:rsid w:val="74D75775"/>
    <w:rsid w:val="74DB0643"/>
    <w:rsid w:val="74DD43BC"/>
    <w:rsid w:val="74E06734"/>
    <w:rsid w:val="74EE3F2F"/>
    <w:rsid w:val="74F11C15"/>
    <w:rsid w:val="74F920A2"/>
    <w:rsid w:val="74FA74AE"/>
    <w:rsid w:val="74FF0E11"/>
    <w:rsid w:val="750D6346"/>
    <w:rsid w:val="750D66AE"/>
    <w:rsid w:val="7510728E"/>
    <w:rsid w:val="75122A96"/>
    <w:rsid w:val="751B4EE4"/>
    <w:rsid w:val="752D2252"/>
    <w:rsid w:val="75501031"/>
    <w:rsid w:val="755A5D34"/>
    <w:rsid w:val="755E6B2C"/>
    <w:rsid w:val="75612E8C"/>
    <w:rsid w:val="756B645F"/>
    <w:rsid w:val="75727F8C"/>
    <w:rsid w:val="757759BB"/>
    <w:rsid w:val="757840E4"/>
    <w:rsid w:val="757D431E"/>
    <w:rsid w:val="75825F86"/>
    <w:rsid w:val="758C4102"/>
    <w:rsid w:val="75957DB3"/>
    <w:rsid w:val="759C7DD3"/>
    <w:rsid w:val="759D1CBC"/>
    <w:rsid w:val="75A847D4"/>
    <w:rsid w:val="75AF5D58"/>
    <w:rsid w:val="75B2299C"/>
    <w:rsid w:val="75B37393"/>
    <w:rsid w:val="75B85A11"/>
    <w:rsid w:val="75BF7059"/>
    <w:rsid w:val="75C06197"/>
    <w:rsid w:val="75C63889"/>
    <w:rsid w:val="75CA76AB"/>
    <w:rsid w:val="75D0670B"/>
    <w:rsid w:val="75D86337"/>
    <w:rsid w:val="75DE7C24"/>
    <w:rsid w:val="75E43E49"/>
    <w:rsid w:val="75EB6E1B"/>
    <w:rsid w:val="75EF1396"/>
    <w:rsid w:val="75F32D07"/>
    <w:rsid w:val="75F94007"/>
    <w:rsid w:val="75FD61D2"/>
    <w:rsid w:val="760148B4"/>
    <w:rsid w:val="76064A1F"/>
    <w:rsid w:val="76146B01"/>
    <w:rsid w:val="7615066E"/>
    <w:rsid w:val="761B49ED"/>
    <w:rsid w:val="761F7C33"/>
    <w:rsid w:val="761F7C96"/>
    <w:rsid w:val="76202B81"/>
    <w:rsid w:val="762A48C4"/>
    <w:rsid w:val="76311C78"/>
    <w:rsid w:val="76323996"/>
    <w:rsid w:val="76373F94"/>
    <w:rsid w:val="763A2440"/>
    <w:rsid w:val="763A3ABC"/>
    <w:rsid w:val="76411986"/>
    <w:rsid w:val="765242F7"/>
    <w:rsid w:val="76540FD1"/>
    <w:rsid w:val="765B1A3C"/>
    <w:rsid w:val="765C6756"/>
    <w:rsid w:val="76650B0D"/>
    <w:rsid w:val="766A2F89"/>
    <w:rsid w:val="76711323"/>
    <w:rsid w:val="76813313"/>
    <w:rsid w:val="768229A0"/>
    <w:rsid w:val="76836277"/>
    <w:rsid w:val="76841B13"/>
    <w:rsid w:val="768C5F10"/>
    <w:rsid w:val="769777E5"/>
    <w:rsid w:val="769E5F6F"/>
    <w:rsid w:val="76A76C88"/>
    <w:rsid w:val="76AF33B0"/>
    <w:rsid w:val="76BC0FD4"/>
    <w:rsid w:val="76C547D3"/>
    <w:rsid w:val="76C577FD"/>
    <w:rsid w:val="76CA670E"/>
    <w:rsid w:val="76CF197B"/>
    <w:rsid w:val="76D27EFB"/>
    <w:rsid w:val="76D508FD"/>
    <w:rsid w:val="76D50B34"/>
    <w:rsid w:val="76D60E98"/>
    <w:rsid w:val="76D73366"/>
    <w:rsid w:val="76DD5D8F"/>
    <w:rsid w:val="76E13BA4"/>
    <w:rsid w:val="76E22AB3"/>
    <w:rsid w:val="76E557A9"/>
    <w:rsid w:val="76E638E0"/>
    <w:rsid w:val="77004592"/>
    <w:rsid w:val="770251D2"/>
    <w:rsid w:val="77071BC4"/>
    <w:rsid w:val="7708097D"/>
    <w:rsid w:val="770A67AF"/>
    <w:rsid w:val="770E4D00"/>
    <w:rsid w:val="77154CF8"/>
    <w:rsid w:val="77203387"/>
    <w:rsid w:val="772C4170"/>
    <w:rsid w:val="772F2C3B"/>
    <w:rsid w:val="773306AE"/>
    <w:rsid w:val="773D39B5"/>
    <w:rsid w:val="774866E8"/>
    <w:rsid w:val="774B3887"/>
    <w:rsid w:val="77502310"/>
    <w:rsid w:val="775B2785"/>
    <w:rsid w:val="77602FC0"/>
    <w:rsid w:val="77647A3A"/>
    <w:rsid w:val="776D7169"/>
    <w:rsid w:val="777B3509"/>
    <w:rsid w:val="777D2EF5"/>
    <w:rsid w:val="777E0767"/>
    <w:rsid w:val="77854CA6"/>
    <w:rsid w:val="778D63EE"/>
    <w:rsid w:val="779276DF"/>
    <w:rsid w:val="7797127E"/>
    <w:rsid w:val="779F0D4A"/>
    <w:rsid w:val="77A44A88"/>
    <w:rsid w:val="77B20C3C"/>
    <w:rsid w:val="77BA7D2D"/>
    <w:rsid w:val="77BB59E0"/>
    <w:rsid w:val="77BF5FFA"/>
    <w:rsid w:val="77C213E2"/>
    <w:rsid w:val="77C55394"/>
    <w:rsid w:val="77CB4678"/>
    <w:rsid w:val="77CD3E88"/>
    <w:rsid w:val="77D31AA6"/>
    <w:rsid w:val="77D428FD"/>
    <w:rsid w:val="77D5752F"/>
    <w:rsid w:val="77DA0776"/>
    <w:rsid w:val="77DE7D94"/>
    <w:rsid w:val="77E17C21"/>
    <w:rsid w:val="77E30CC3"/>
    <w:rsid w:val="77E634A7"/>
    <w:rsid w:val="77E972D4"/>
    <w:rsid w:val="77EB18C5"/>
    <w:rsid w:val="77FA5285"/>
    <w:rsid w:val="78001AEF"/>
    <w:rsid w:val="78005AC0"/>
    <w:rsid w:val="780463BD"/>
    <w:rsid w:val="78131046"/>
    <w:rsid w:val="78136924"/>
    <w:rsid w:val="78194D5D"/>
    <w:rsid w:val="781A7934"/>
    <w:rsid w:val="781B2C8F"/>
    <w:rsid w:val="782020F4"/>
    <w:rsid w:val="7829706D"/>
    <w:rsid w:val="782A09D9"/>
    <w:rsid w:val="782B2239"/>
    <w:rsid w:val="783103E9"/>
    <w:rsid w:val="783454ED"/>
    <w:rsid w:val="783F5079"/>
    <w:rsid w:val="78530F24"/>
    <w:rsid w:val="78552288"/>
    <w:rsid w:val="785637E9"/>
    <w:rsid w:val="785E550F"/>
    <w:rsid w:val="785F536B"/>
    <w:rsid w:val="785F7754"/>
    <w:rsid w:val="787235E2"/>
    <w:rsid w:val="787258A5"/>
    <w:rsid w:val="78762AE6"/>
    <w:rsid w:val="78767391"/>
    <w:rsid w:val="7877507D"/>
    <w:rsid w:val="78793251"/>
    <w:rsid w:val="787A10D0"/>
    <w:rsid w:val="787C3218"/>
    <w:rsid w:val="78835694"/>
    <w:rsid w:val="788C5745"/>
    <w:rsid w:val="788F055D"/>
    <w:rsid w:val="78974216"/>
    <w:rsid w:val="789901FE"/>
    <w:rsid w:val="78A31478"/>
    <w:rsid w:val="78A43B6E"/>
    <w:rsid w:val="78BA0845"/>
    <w:rsid w:val="78BB077D"/>
    <w:rsid w:val="78BD22F1"/>
    <w:rsid w:val="78BF59CE"/>
    <w:rsid w:val="78C45D02"/>
    <w:rsid w:val="78D22CAC"/>
    <w:rsid w:val="78DE0702"/>
    <w:rsid w:val="78E33283"/>
    <w:rsid w:val="78EE552B"/>
    <w:rsid w:val="78F002A8"/>
    <w:rsid w:val="78FC7964"/>
    <w:rsid w:val="7905396D"/>
    <w:rsid w:val="790A599B"/>
    <w:rsid w:val="79100D13"/>
    <w:rsid w:val="791C4D2D"/>
    <w:rsid w:val="7923282E"/>
    <w:rsid w:val="79276B05"/>
    <w:rsid w:val="79286182"/>
    <w:rsid w:val="792A7832"/>
    <w:rsid w:val="79330A4E"/>
    <w:rsid w:val="793752AC"/>
    <w:rsid w:val="79386064"/>
    <w:rsid w:val="79456A3E"/>
    <w:rsid w:val="7947493B"/>
    <w:rsid w:val="794E5C17"/>
    <w:rsid w:val="794F2472"/>
    <w:rsid w:val="79584247"/>
    <w:rsid w:val="795E412D"/>
    <w:rsid w:val="7968353F"/>
    <w:rsid w:val="796A100E"/>
    <w:rsid w:val="796E10C6"/>
    <w:rsid w:val="79700799"/>
    <w:rsid w:val="79734421"/>
    <w:rsid w:val="7980332C"/>
    <w:rsid w:val="79803C62"/>
    <w:rsid w:val="798B023C"/>
    <w:rsid w:val="799677A5"/>
    <w:rsid w:val="79975AB1"/>
    <w:rsid w:val="799875F6"/>
    <w:rsid w:val="79A057D2"/>
    <w:rsid w:val="79B742FA"/>
    <w:rsid w:val="79B84AC6"/>
    <w:rsid w:val="79BA0DDA"/>
    <w:rsid w:val="79C042EA"/>
    <w:rsid w:val="79C12663"/>
    <w:rsid w:val="79C20E71"/>
    <w:rsid w:val="79C2574F"/>
    <w:rsid w:val="79CA5A16"/>
    <w:rsid w:val="79DA31B1"/>
    <w:rsid w:val="79DC2089"/>
    <w:rsid w:val="79F72F74"/>
    <w:rsid w:val="79F75648"/>
    <w:rsid w:val="7A035C90"/>
    <w:rsid w:val="7A0A6F13"/>
    <w:rsid w:val="7A143182"/>
    <w:rsid w:val="7A1512F4"/>
    <w:rsid w:val="7A1950DB"/>
    <w:rsid w:val="7A1A36E3"/>
    <w:rsid w:val="7A1E34AC"/>
    <w:rsid w:val="7A21704F"/>
    <w:rsid w:val="7A241A53"/>
    <w:rsid w:val="7A2659CF"/>
    <w:rsid w:val="7A2C3979"/>
    <w:rsid w:val="7A37456E"/>
    <w:rsid w:val="7A390514"/>
    <w:rsid w:val="7A465E66"/>
    <w:rsid w:val="7A474DE2"/>
    <w:rsid w:val="7A4D4F83"/>
    <w:rsid w:val="7A5C585F"/>
    <w:rsid w:val="7A5C73F4"/>
    <w:rsid w:val="7A622A96"/>
    <w:rsid w:val="7A672BD8"/>
    <w:rsid w:val="7A68155D"/>
    <w:rsid w:val="7A7010D8"/>
    <w:rsid w:val="7A7A7EDE"/>
    <w:rsid w:val="7A7E7141"/>
    <w:rsid w:val="7A7F42F7"/>
    <w:rsid w:val="7A84302D"/>
    <w:rsid w:val="7A856AE6"/>
    <w:rsid w:val="7A86021F"/>
    <w:rsid w:val="7A875E1C"/>
    <w:rsid w:val="7A883EB7"/>
    <w:rsid w:val="7A8F4124"/>
    <w:rsid w:val="7A995229"/>
    <w:rsid w:val="7AA22941"/>
    <w:rsid w:val="7AA55E20"/>
    <w:rsid w:val="7AAD0AD9"/>
    <w:rsid w:val="7AAD77DB"/>
    <w:rsid w:val="7AB4605F"/>
    <w:rsid w:val="7AB50C2A"/>
    <w:rsid w:val="7AB85E6F"/>
    <w:rsid w:val="7ABB0CFB"/>
    <w:rsid w:val="7AC10BF1"/>
    <w:rsid w:val="7AC35BF4"/>
    <w:rsid w:val="7AC439F8"/>
    <w:rsid w:val="7AC4682F"/>
    <w:rsid w:val="7AC53893"/>
    <w:rsid w:val="7AC878BC"/>
    <w:rsid w:val="7ACB7653"/>
    <w:rsid w:val="7ACC098C"/>
    <w:rsid w:val="7ACC3D02"/>
    <w:rsid w:val="7ACD3B1B"/>
    <w:rsid w:val="7AD402F3"/>
    <w:rsid w:val="7AD920E6"/>
    <w:rsid w:val="7AE95B46"/>
    <w:rsid w:val="7AEA62DF"/>
    <w:rsid w:val="7AF31E92"/>
    <w:rsid w:val="7AF81982"/>
    <w:rsid w:val="7AFE508C"/>
    <w:rsid w:val="7B035EA0"/>
    <w:rsid w:val="7B05641A"/>
    <w:rsid w:val="7B062A7D"/>
    <w:rsid w:val="7B092F7C"/>
    <w:rsid w:val="7B105975"/>
    <w:rsid w:val="7B13647D"/>
    <w:rsid w:val="7B171866"/>
    <w:rsid w:val="7B187EFC"/>
    <w:rsid w:val="7B2252E6"/>
    <w:rsid w:val="7B257605"/>
    <w:rsid w:val="7B27008E"/>
    <w:rsid w:val="7B3C4232"/>
    <w:rsid w:val="7B4303C9"/>
    <w:rsid w:val="7B442DBA"/>
    <w:rsid w:val="7B472B20"/>
    <w:rsid w:val="7B4C7E96"/>
    <w:rsid w:val="7B4E50CF"/>
    <w:rsid w:val="7B510D35"/>
    <w:rsid w:val="7B510DB3"/>
    <w:rsid w:val="7B534D03"/>
    <w:rsid w:val="7B5C1AD7"/>
    <w:rsid w:val="7B5C1B3B"/>
    <w:rsid w:val="7B5D6C33"/>
    <w:rsid w:val="7B5F7760"/>
    <w:rsid w:val="7B7A2D3C"/>
    <w:rsid w:val="7B7B66DC"/>
    <w:rsid w:val="7B805244"/>
    <w:rsid w:val="7B8419F8"/>
    <w:rsid w:val="7B8440BF"/>
    <w:rsid w:val="7B8D0F98"/>
    <w:rsid w:val="7B9302C0"/>
    <w:rsid w:val="7B9427B7"/>
    <w:rsid w:val="7B956E63"/>
    <w:rsid w:val="7B9F2773"/>
    <w:rsid w:val="7BA372CF"/>
    <w:rsid w:val="7BA60B4B"/>
    <w:rsid w:val="7BAB29F0"/>
    <w:rsid w:val="7BB10411"/>
    <w:rsid w:val="7BB400CE"/>
    <w:rsid w:val="7BB61D01"/>
    <w:rsid w:val="7BB66BC0"/>
    <w:rsid w:val="7BBE5349"/>
    <w:rsid w:val="7BC82F0A"/>
    <w:rsid w:val="7BCB4D4F"/>
    <w:rsid w:val="7BCE78E1"/>
    <w:rsid w:val="7BD63036"/>
    <w:rsid w:val="7BDF54FA"/>
    <w:rsid w:val="7BE90669"/>
    <w:rsid w:val="7C001F2C"/>
    <w:rsid w:val="7C021D63"/>
    <w:rsid w:val="7C063131"/>
    <w:rsid w:val="7C0B7A60"/>
    <w:rsid w:val="7C0D38A4"/>
    <w:rsid w:val="7C0E7550"/>
    <w:rsid w:val="7C101F62"/>
    <w:rsid w:val="7C121D87"/>
    <w:rsid w:val="7C132EC2"/>
    <w:rsid w:val="7C191320"/>
    <w:rsid w:val="7C1A1AFF"/>
    <w:rsid w:val="7C1D5D53"/>
    <w:rsid w:val="7C2120BD"/>
    <w:rsid w:val="7C255CFA"/>
    <w:rsid w:val="7C2E19A1"/>
    <w:rsid w:val="7C355C97"/>
    <w:rsid w:val="7C37216E"/>
    <w:rsid w:val="7C3D4040"/>
    <w:rsid w:val="7C40092F"/>
    <w:rsid w:val="7C41420C"/>
    <w:rsid w:val="7C454410"/>
    <w:rsid w:val="7C454889"/>
    <w:rsid w:val="7C46400D"/>
    <w:rsid w:val="7C4648C1"/>
    <w:rsid w:val="7C484810"/>
    <w:rsid w:val="7C485C7D"/>
    <w:rsid w:val="7C4B131F"/>
    <w:rsid w:val="7C507604"/>
    <w:rsid w:val="7C6604EE"/>
    <w:rsid w:val="7C662B35"/>
    <w:rsid w:val="7C697CC2"/>
    <w:rsid w:val="7C782756"/>
    <w:rsid w:val="7C84313F"/>
    <w:rsid w:val="7C8D2B6B"/>
    <w:rsid w:val="7C902833"/>
    <w:rsid w:val="7C9251F7"/>
    <w:rsid w:val="7C933E96"/>
    <w:rsid w:val="7C94071F"/>
    <w:rsid w:val="7C97739E"/>
    <w:rsid w:val="7C9F6428"/>
    <w:rsid w:val="7CB233AA"/>
    <w:rsid w:val="7CB36444"/>
    <w:rsid w:val="7CB60672"/>
    <w:rsid w:val="7CB83DD0"/>
    <w:rsid w:val="7CC53420"/>
    <w:rsid w:val="7CD73E6F"/>
    <w:rsid w:val="7CD8653A"/>
    <w:rsid w:val="7CDF415F"/>
    <w:rsid w:val="7CF053CA"/>
    <w:rsid w:val="7CFA4D1B"/>
    <w:rsid w:val="7CFF74FD"/>
    <w:rsid w:val="7D001F55"/>
    <w:rsid w:val="7D013991"/>
    <w:rsid w:val="7D0658B4"/>
    <w:rsid w:val="7D072B09"/>
    <w:rsid w:val="7D080889"/>
    <w:rsid w:val="7D133473"/>
    <w:rsid w:val="7D192D91"/>
    <w:rsid w:val="7D216A97"/>
    <w:rsid w:val="7D2403F6"/>
    <w:rsid w:val="7D295F33"/>
    <w:rsid w:val="7D336C15"/>
    <w:rsid w:val="7D3A0CD4"/>
    <w:rsid w:val="7D407273"/>
    <w:rsid w:val="7D5A1809"/>
    <w:rsid w:val="7D640779"/>
    <w:rsid w:val="7D6513F2"/>
    <w:rsid w:val="7D6A2914"/>
    <w:rsid w:val="7D795342"/>
    <w:rsid w:val="7D87623B"/>
    <w:rsid w:val="7D925637"/>
    <w:rsid w:val="7D9C3A9E"/>
    <w:rsid w:val="7DAA3AC1"/>
    <w:rsid w:val="7DAB2F22"/>
    <w:rsid w:val="7DAC4660"/>
    <w:rsid w:val="7DB01837"/>
    <w:rsid w:val="7DB96D90"/>
    <w:rsid w:val="7DC317D0"/>
    <w:rsid w:val="7DC557A7"/>
    <w:rsid w:val="7DC948FC"/>
    <w:rsid w:val="7DCB273D"/>
    <w:rsid w:val="7DCF22DF"/>
    <w:rsid w:val="7DCF35C4"/>
    <w:rsid w:val="7DD20D98"/>
    <w:rsid w:val="7DD42076"/>
    <w:rsid w:val="7DD45665"/>
    <w:rsid w:val="7DD81BC4"/>
    <w:rsid w:val="7DDD085F"/>
    <w:rsid w:val="7DE013C3"/>
    <w:rsid w:val="7DE35497"/>
    <w:rsid w:val="7DE63734"/>
    <w:rsid w:val="7DFA6F07"/>
    <w:rsid w:val="7DFD29E7"/>
    <w:rsid w:val="7DFD3DE7"/>
    <w:rsid w:val="7E0340E3"/>
    <w:rsid w:val="7E0C72A7"/>
    <w:rsid w:val="7E0E1504"/>
    <w:rsid w:val="7E1068AD"/>
    <w:rsid w:val="7E1A3354"/>
    <w:rsid w:val="7E1D1412"/>
    <w:rsid w:val="7E262D1A"/>
    <w:rsid w:val="7E3D5D54"/>
    <w:rsid w:val="7E445120"/>
    <w:rsid w:val="7E454A83"/>
    <w:rsid w:val="7E4876AF"/>
    <w:rsid w:val="7E4F5A11"/>
    <w:rsid w:val="7E533DF9"/>
    <w:rsid w:val="7E56175B"/>
    <w:rsid w:val="7E581989"/>
    <w:rsid w:val="7E656261"/>
    <w:rsid w:val="7E6873EC"/>
    <w:rsid w:val="7E69428C"/>
    <w:rsid w:val="7E696CC0"/>
    <w:rsid w:val="7E6E5139"/>
    <w:rsid w:val="7E6E7932"/>
    <w:rsid w:val="7E705088"/>
    <w:rsid w:val="7E761B3B"/>
    <w:rsid w:val="7E81026B"/>
    <w:rsid w:val="7E935007"/>
    <w:rsid w:val="7E9D6604"/>
    <w:rsid w:val="7EA93441"/>
    <w:rsid w:val="7EC1742C"/>
    <w:rsid w:val="7EC4681B"/>
    <w:rsid w:val="7ED73B7E"/>
    <w:rsid w:val="7EDA196C"/>
    <w:rsid w:val="7EF415E7"/>
    <w:rsid w:val="7EF50B7A"/>
    <w:rsid w:val="7EF64E8D"/>
    <w:rsid w:val="7F020DD4"/>
    <w:rsid w:val="7F057A2A"/>
    <w:rsid w:val="7F070033"/>
    <w:rsid w:val="7F072F4B"/>
    <w:rsid w:val="7F084ACC"/>
    <w:rsid w:val="7F0D0BD2"/>
    <w:rsid w:val="7F10114A"/>
    <w:rsid w:val="7F1848C8"/>
    <w:rsid w:val="7F1C0D12"/>
    <w:rsid w:val="7F1C4EB2"/>
    <w:rsid w:val="7F26022B"/>
    <w:rsid w:val="7F2E528F"/>
    <w:rsid w:val="7F300642"/>
    <w:rsid w:val="7F323BCF"/>
    <w:rsid w:val="7F3A01F4"/>
    <w:rsid w:val="7F3F75E5"/>
    <w:rsid w:val="7F415352"/>
    <w:rsid w:val="7F426FA6"/>
    <w:rsid w:val="7F485479"/>
    <w:rsid w:val="7F486BDD"/>
    <w:rsid w:val="7F4C795A"/>
    <w:rsid w:val="7F4E1577"/>
    <w:rsid w:val="7F5349BF"/>
    <w:rsid w:val="7F547198"/>
    <w:rsid w:val="7F58451F"/>
    <w:rsid w:val="7F6536DB"/>
    <w:rsid w:val="7F6D71C0"/>
    <w:rsid w:val="7F70552D"/>
    <w:rsid w:val="7F720800"/>
    <w:rsid w:val="7F754370"/>
    <w:rsid w:val="7F7B22F2"/>
    <w:rsid w:val="7F81726E"/>
    <w:rsid w:val="7F871946"/>
    <w:rsid w:val="7F8C333B"/>
    <w:rsid w:val="7F8D215B"/>
    <w:rsid w:val="7F9363B3"/>
    <w:rsid w:val="7F957325"/>
    <w:rsid w:val="7F997B6B"/>
    <w:rsid w:val="7FA405F3"/>
    <w:rsid w:val="7FA501CC"/>
    <w:rsid w:val="7FA6276F"/>
    <w:rsid w:val="7FA65357"/>
    <w:rsid w:val="7FA80184"/>
    <w:rsid w:val="7FA97CBC"/>
    <w:rsid w:val="7FAA0174"/>
    <w:rsid w:val="7FAE382A"/>
    <w:rsid w:val="7FC578DC"/>
    <w:rsid w:val="7FC66319"/>
    <w:rsid w:val="7FCB1D9E"/>
    <w:rsid w:val="7FCC5153"/>
    <w:rsid w:val="7FD0468B"/>
    <w:rsid w:val="7FD339DD"/>
    <w:rsid w:val="7FD9337D"/>
    <w:rsid w:val="7FDA3561"/>
    <w:rsid w:val="7FE02FB2"/>
    <w:rsid w:val="7FEF6824"/>
    <w:rsid w:val="7FF91DD5"/>
    <w:rsid w:val="7FF9388A"/>
    <w:rsid w:val="7FFB57F7"/>
    <w:rsid w:val="7FFE5211"/>
    <w:rsid w:val="7FFFEA64"/>
    <w:rsid w:val="AF8F9D0E"/>
    <w:rsid w:val="BBB620FB"/>
    <w:rsid w:val="C2D7C197"/>
    <w:rsid w:val="CDEB5747"/>
    <w:rsid w:val="DF6D0F46"/>
    <w:rsid w:val="E6B7A934"/>
    <w:rsid w:val="E6F7B1B7"/>
    <w:rsid w:val="EC85954F"/>
    <w:rsid w:val="FBF349FD"/>
    <w:rsid w:val="FDB7252F"/>
    <w:rsid w:val="FFEFA251"/>
    <w:rsid w:val="FFFA29F8"/>
    <w:rsid w:val="FFFFD5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2">
    <w:name w:val="heading 2"/>
    <w:basedOn w:val="1"/>
    <w:next w:val="1"/>
    <w:link w:val="100"/>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04"/>
    <w:qFormat/>
    <w:uiPriority w:val="0"/>
    <w:pPr>
      <w:keepNext/>
      <w:keepLines/>
      <w:spacing w:before="260" w:after="260" w:line="413" w:lineRule="auto"/>
      <w:outlineLvl w:val="2"/>
    </w:pPr>
    <w:rPr>
      <w:b/>
      <w:sz w:val="32"/>
    </w:rPr>
  </w:style>
  <w:style w:type="paragraph" w:styleId="5">
    <w:name w:val="heading 4"/>
    <w:basedOn w:val="1"/>
    <w:next w:val="1"/>
    <w:qFormat/>
    <w:uiPriority w:val="0"/>
    <w:pPr>
      <w:spacing w:before="280" w:after="290" w:line="372" w:lineRule="auto"/>
      <w:outlineLvl w:val="3"/>
    </w:p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1"/>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next w:val="1"/>
    <w:link w:val="83"/>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09"/>
    <w:qFormat/>
    <w:uiPriority w:val="0"/>
  </w:style>
  <w:style w:type="paragraph" w:styleId="34">
    <w:name w:val="Body Text Indent 2"/>
    <w:basedOn w:val="1"/>
    <w:link w:val="78"/>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116"/>
    <w:qFormat/>
    <w:uiPriority w:val="99"/>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89"/>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HTML Preformatted"/>
    <w:basedOn w:val="1"/>
    <w:qFormat/>
    <w:uiPriority w:val="0"/>
    <w:rPr>
      <w:rFonts w:ascii="Courier New" w:hAnsi="Courier New"/>
      <w:sz w:val="20"/>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19"/>
    <w:next w:val="19"/>
    <w:link w:val="80"/>
    <w:qFormat/>
    <w:uiPriority w:val="0"/>
    <w:pPr>
      <w:adjustRightInd/>
      <w:spacing w:line="240" w:lineRule="auto"/>
      <w:textAlignment w:val="auto"/>
    </w:pPr>
  </w:style>
  <w:style w:type="paragraph" w:styleId="57">
    <w:name w:val="Body Text First Indent"/>
    <w:basedOn w:val="22"/>
    <w:next w:val="58"/>
    <w:qFormat/>
    <w:uiPriority w:val="0"/>
    <w:pPr>
      <w:spacing w:line="360" w:lineRule="auto"/>
      <w:ind w:firstLine="420"/>
    </w:pPr>
    <w:rPr>
      <w:rFonts w:ascii="宋体" w:hAnsi="宋体"/>
      <w:sz w:val="24"/>
    </w:rPr>
  </w:style>
  <w:style w:type="paragraph" w:styleId="58">
    <w:name w:val="Body Text First Indent 2"/>
    <w:basedOn w:val="23"/>
    <w:next w:val="1"/>
    <w:link w:val="107"/>
    <w:qFormat/>
    <w:uiPriority w:val="0"/>
    <w:pPr>
      <w:spacing w:after="120" w:line="240" w:lineRule="auto"/>
      <w:ind w:left="420" w:leftChars="200" w:firstLine="420" w:firstLineChars="200"/>
    </w:pPr>
  </w:style>
  <w:style w:type="table" w:styleId="60">
    <w:name w:val="Table Grid"/>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0"/>
    <w:rPr>
      <w:b/>
    </w:rPr>
  </w:style>
  <w:style w:type="character" w:styleId="63">
    <w:name w:val="page number"/>
    <w:basedOn w:val="61"/>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paragraph" w:customStyle="1" w:styleId="69">
    <w:name w:val="无间隔1"/>
    <w:qFormat/>
    <w:uiPriority w:val="1"/>
    <w:pPr>
      <w:jc w:val="both"/>
    </w:pPr>
    <w:rPr>
      <w:rFonts w:ascii="Calibri" w:hAnsi="Calibri" w:eastAsia="Times New Roman" w:cs="Times New Roman"/>
      <w:lang w:val="en-US" w:eastAsia="zh-CN" w:bidi="ar-SA"/>
    </w:rPr>
  </w:style>
  <w:style w:type="paragraph" w:customStyle="1" w:styleId="70">
    <w:name w:val="标书正文1"/>
    <w:basedOn w:val="1"/>
    <w:qFormat/>
    <w:uiPriority w:val="0"/>
    <w:pPr>
      <w:spacing w:line="520" w:lineRule="exact"/>
      <w:ind w:firstLine="640" w:firstLineChars="200"/>
    </w:pPr>
    <w:rPr>
      <w:rFonts w:ascii="Times New Roman" w:hAnsi="Times New Roman"/>
    </w:rPr>
  </w:style>
  <w:style w:type="paragraph" w:customStyle="1" w:styleId="71">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3">
    <w:name w:val="Char Char7"/>
    <w:qFormat/>
    <w:uiPriority w:val="0"/>
    <w:rPr>
      <w:rFonts w:ascii="宋体" w:hAnsi="宋体" w:eastAsia="宋体"/>
      <w:kern w:val="2"/>
      <w:sz w:val="28"/>
    </w:rPr>
  </w:style>
  <w:style w:type="character" w:customStyle="1" w:styleId="74">
    <w:name w:val="font91"/>
    <w:qFormat/>
    <w:uiPriority w:val="0"/>
    <w:rPr>
      <w:rFonts w:hint="eastAsia" w:ascii="宋体" w:hAnsi="宋体" w:eastAsia="宋体" w:cs="宋体"/>
      <w:color w:val="000000"/>
      <w:sz w:val="20"/>
      <w:szCs w:val="20"/>
      <w:u w:val="none"/>
    </w:rPr>
  </w:style>
  <w:style w:type="character" w:customStyle="1" w:styleId="75">
    <w:name w:val="未命名11"/>
    <w:qFormat/>
    <w:uiPriority w:val="0"/>
    <w:rPr>
      <w:color w:val="77FFFF"/>
      <w:sz w:val="24"/>
    </w:rPr>
  </w:style>
  <w:style w:type="character" w:customStyle="1" w:styleId="76">
    <w:name w:val="font51"/>
    <w:qFormat/>
    <w:uiPriority w:val="0"/>
    <w:rPr>
      <w:rFonts w:hint="eastAsia" w:ascii="宋体" w:hAnsi="宋体" w:eastAsia="宋体" w:cs="宋体"/>
      <w:color w:val="000000"/>
      <w:sz w:val="20"/>
      <w:szCs w:val="20"/>
      <w:u w:val="none"/>
      <w:vertAlign w:val="superscript"/>
    </w:rPr>
  </w:style>
  <w:style w:type="character" w:customStyle="1" w:styleId="77">
    <w:name w:val="content-white1"/>
    <w:qFormat/>
    <w:uiPriority w:val="0"/>
    <w:rPr>
      <w:color w:val="auto"/>
      <w:sz w:val="18"/>
      <w:u w:val="none"/>
    </w:rPr>
  </w:style>
  <w:style w:type="character" w:customStyle="1" w:styleId="78">
    <w:name w:val="正文文本缩进 2 Char"/>
    <w:link w:val="34"/>
    <w:qFormat/>
    <w:uiPriority w:val="0"/>
    <w:rPr>
      <w:kern w:val="2"/>
      <w:sz w:val="28"/>
    </w:rPr>
  </w:style>
  <w:style w:type="character" w:customStyle="1" w:styleId="79">
    <w:name w:val="Char Char11"/>
    <w:qFormat/>
    <w:uiPriority w:val="0"/>
    <w:rPr>
      <w:rFonts w:ascii="宋体"/>
      <w:kern w:val="2"/>
      <w:sz w:val="28"/>
    </w:rPr>
  </w:style>
  <w:style w:type="character" w:customStyle="1" w:styleId="80">
    <w:name w:val="批注主题 Char"/>
    <w:basedOn w:val="81"/>
    <w:link w:val="56"/>
    <w:qFormat/>
    <w:uiPriority w:val="0"/>
    <w:rPr>
      <w:sz w:val="24"/>
    </w:rPr>
  </w:style>
  <w:style w:type="character" w:customStyle="1" w:styleId="81">
    <w:name w:val="批注文字 Char"/>
    <w:link w:val="19"/>
    <w:qFormat/>
    <w:uiPriority w:val="0"/>
    <w:rPr>
      <w:sz w:val="24"/>
    </w:rPr>
  </w:style>
  <w:style w:type="character" w:customStyle="1" w:styleId="82">
    <w:name w:val="font41"/>
    <w:qFormat/>
    <w:uiPriority w:val="0"/>
    <w:rPr>
      <w:rFonts w:hint="eastAsia" w:ascii="宋体" w:hAnsi="宋体" w:eastAsia="宋体" w:cs="宋体"/>
      <w:color w:val="000000"/>
      <w:sz w:val="20"/>
      <w:szCs w:val="20"/>
      <w:u w:val="none"/>
    </w:rPr>
  </w:style>
  <w:style w:type="character" w:customStyle="1" w:styleId="83">
    <w:name w:val="正文文本缩进 Char"/>
    <w:link w:val="23"/>
    <w:qFormat/>
    <w:uiPriority w:val="0"/>
    <w:rPr>
      <w:kern w:val="2"/>
      <w:sz w:val="44"/>
    </w:rPr>
  </w:style>
  <w:style w:type="character" w:customStyle="1" w:styleId="84">
    <w:name w:val="Table Text Char"/>
    <w:link w:val="85"/>
    <w:qFormat/>
    <w:uiPriority w:val="0"/>
    <w:rPr>
      <w:rFonts w:ascii="Arial" w:hAnsi="Arial"/>
      <w:kern w:val="2"/>
      <w:sz w:val="18"/>
      <w:lang w:val="en-US" w:eastAsia="zh-CN" w:bidi="ar-SA"/>
    </w:rPr>
  </w:style>
  <w:style w:type="paragraph" w:customStyle="1" w:styleId="85">
    <w:name w:val="Table Text"/>
    <w:link w:val="84"/>
    <w:qFormat/>
    <w:uiPriority w:val="0"/>
    <w:pPr>
      <w:snapToGrid w:val="0"/>
      <w:spacing w:before="80" w:after="80"/>
    </w:pPr>
    <w:rPr>
      <w:rFonts w:ascii="Arial" w:hAnsi="Arial" w:eastAsia="宋体" w:cs="Times New Roman"/>
      <w:kern w:val="2"/>
      <w:sz w:val="18"/>
      <w:lang w:val="en-US" w:eastAsia="zh-CN" w:bidi="ar-SA"/>
    </w:rPr>
  </w:style>
  <w:style w:type="character" w:customStyle="1" w:styleId="86">
    <w:name w:val="v151"/>
    <w:qFormat/>
    <w:uiPriority w:val="0"/>
    <w:rPr>
      <w:sz w:val="18"/>
    </w:rPr>
  </w:style>
  <w:style w:type="character" w:customStyle="1" w:styleId="87">
    <w:name w:val="样式 宋体"/>
    <w:qFormat/>
    <w:uiPriority w:val="0"/>
    <w:rPr>
      <w:rFonts w:ascii="宋体" w:hAnsi="宋体" w:eastAsia="宋体"/>
      <w:sz w:val="28"/>
    </w:rPr>
  </w:style>
  <w:style w:type="character" w:customStyle="1" w:styleId="88">
    <w:name w:val="title_emph1"/>
    <w:qFormat/>
    <w:uiPriority w:val="0"/>
    <w:rPr>
      <w:rFonts w:hint="default" w:ascii="Arial" w:hAnsi="Arial"/>
      <w:b/>
      <w:sz w:val="20"/>
    </w:rPr>
  </w:style>
  <w:style w:type="character" w:customStyle="1" w:styleId="89">
    <w:name w:val="脚注文本 Char"/>
    <w:link w:val="41"/>
    <w:qFormat/>
    <w:uiPriority w:val="0"/>
    <w:rPr>
      <w:kern w:val="2"/>
      <w:sz w:val="18"/>
    </w:rPr>
  </w:style>
  <w:style w:type="character" w:customStyle="1" w:styleId="90">
    <w:name w:val="Char Char"/>
    <w:qFormat/>
    <w:uiPriority w:val="0"/>
    <w:rPr>
      <w:rFonts w:ascii="宋体" w:hAnsi="宋体" w:eastAsia="宋体"/>
      <w:kern w:val="2"/>
      <w:sz w:val="24"/>
      <w:lang w:val="en-US" w:eastAsia="zh-CN" w:bidi="ar-SA"/>
    </w:rPr>
  </w:style>
  <w:style w:type="character" w:customStyle="1" w:styleId="91">
    <w:name w:val="Table Heading Char Char"/>
    <w:qFormat/>
    <w:uiPriority w:val="0"/>
    <w:rPr>
      <w:rFonts w:ascii="Arial" w:hAnsi="Arial" w:eastAsia="黑体"/>
      <w:kern w:val="2"/>
      <w:sz w:val="18"/>
      <w:lang w:val="en-US" w:eastAsia="zh-CN"/>
    </w:rPr>
  </w:style>
  <w:style w:type="character" w:customStyle="1" w:styleId="92">
    <w:name w:val="正文 + 三号 Char"/>
    <w:qFormat/>
    <w:uiPriority w:val="0"/>
    <w:rPr>
      <w:rFonts w:eastAsia="宋体"/>
      <w:kern w:val="2"/>
      <w:sz w:val="21"/>
      <w:lang w:val="en-US" w:eastAsia="zh-CN"/>
    </w:rPr>
  </w:style>
  <w:style w:type="character" w:customStyle="1" w:styleId="93">
    <w:name w:val="Char Char5"/>
    <w:qFormat/>
    <w:uiPriority w:val="0"/>
    <w:rPr>
      <w:rFonts w:ascii="Arial" w:hAnsi="Arial" w:eastAsia="宋体"/>
      <w:b/>
      <w:smallCaps/>
      <w:kern w:val="28"/>
      <w:sz w:val="36"/>
      <w:lang w:val="en-US" w:eastAsia="en-US"/>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font01"/>
    <w:qFormat/>
    <w:uiPriority w:val="0"/>
    <w:rPr>
      <w:rFonts w:hint="default" w:ascii="Times New Roman" w:hAnsi="Times New Roman" w:cs="Times New Roman"/>
      <w:color w:val="000000"/>
      <w:sz w:val="20"/>
      <w:szCs w:val="20"/>
      <w:u w:val="none"/>
    </w:rPr>
  </w:style>
  <w:style w:type="character" w:customStyle="1" w:styleId="97">
    <w:name w:val="font101"/>
    <w:qFormat/>
    <w:uiPriority w:val="0"/>
    <w:rPr>
      <w:rFonts w:hint="default" w:ascii="Times New Roman" w:hAnsi="Times New Roman" w:cs="Times New Roman"/>
      <w:color w:val="000000"/>
      <w:sz w:val="20"/>
      <w:szCs w:val="20"/>
      <w:u w:val="none"/>
    </w:rPr>
  </w:style>
  <w:style w:type="character" w:customStyle="1" w:styleId="98">
    <w:name w:val="Table Text Char1 Char"/>
    <w:qFormat/>
    <w:uiPriority w:val="0"/>
    <w:rPr>
      <w:rFonts w:ascii="Arial" w:hAnsi="Arial"/>
      <w:kern w:val="2"/>
      <w:sz w:val="18"/>
      <w:lang w:val="en-US" w:eastAsia="zh-CN" w:bidi="ar-SA"/>
    </w:rPr>
  </w:style>
  <w:style w:type="character" w:customStyle="1" w:styleId="99">
    <w:name w:val="Char Char2"/>
    <w:qFormat/>
    <w:uiPriority w:val="0"/>
    <w:rPr>
      <w:rFonts w:eastAsia="宋体"/>
      <w:kern w:val="2"/>
      <w:sz w:val="18"/>
      <w:lang w:val="en-US" w:eastAsia="zh-CN"/>
    </w:rPr>
  </w:style>
  <w:style w:type="character" w:customStyle="1" w:styleId="100">
    <w:name w:val="标题 2 Char"/>
    <w:link w:val="2"/>
    <w:qFormat/>
    <w:uiPriority w:val="0"/>
    <w:rPr>
      <w:rFonts w:ascii="Arial" w:hAnsi="Arial" w:eastAsia="黑体"/>
      <w:b/>
      <w:kern w:val="2"/>
      <w:sz w:val="32"/>
    </w:rPr>
  </w:style>
  <w:style w:type="character" w:customStyle="1" w:styleId="101">
    <w:name w:val="font31"/>
    <w:qFormat/>
    <w:uiPriority w:val="0"/>
    <w:rPr>
      <w:rFonts w:hint="eastAsia" w:ascii="宋体" w:hAnsi="宋体" w:eastAsia="宋体" w:cs="宋体"/>
      <w:b/>
      <w:color w:val="000000"/>
      <w:sz w:val="20"/>
      <w:szCs w:val="20"/>
      <w:u w:val="none"/>
    </w:rPr>
  </w:style>
  <w:style w:type="character" w:customStyle="1" w:styleId="102">
    <w:name w:val="文字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标题 3 Char"/>
    <w:link w:val="4"/>
    <w:qFormat/>
    <w:uiPriority w:val="0"/>
    <w:rPr>
      <w:rFonts w:eastAsia="宋体"/>
      <w:b/>
      <w:kern w:val="2"/>
      <w:sz w:val="32"/>
      <w:lang w:val="en-US" w:eastAsia="zh-CN"/>
    </w:rPr>
  </w:style>
  <w:style w:type="character" w:customStyle="1" w:styleId="105">
    <w:name w:val="Char Char6"/>
    <w:qFormat/>
    <w:uiPriority w:val="0"/>
    <w:rPr>
      <w:rFonts w:ascii="仿宋_GB2312" w:eastAsia="仿宋_GB2312"/>
      <w:kern w:val="2"/>
      <w:sz w:val="32"/>
    </w:rPr>
  </w:style>
  <w:style w:type="character" w:customStyle="1" w:styleId="106">
    <w:name w:val="Char Char3"/>
    <w:qFormat/>
    <w:uiPriority w:val="0"/>
    <w:rPr>
      <w:rFonts w:eastAsia="宋体"/>
      <w:kern w:val="2"/>
      <w:sz w:val="18"/>
      <w:lang w:val="en-US" w:eastAsia="zh-CN"/>
    </w:rPr>
  </w:style>
  <w:style w:type="character" w:customStyle="1" w:styleId="107">
    <w:name w:val="正文首行缩进 2 Char"/>
    <w:basedOn w:val="83"/>
    <w:link w:val="58"/>
    <w:qFormat/>
    <w:uiPriority w:val="0"/>
    <w:rPr>
      <w:kern w:val="2"/>
      <w:sz w:val="44"/>
    </w:rPr>
  </w:style>
  <w:style w:type="character" w:customStyle="1" w:styleId="108">
    <w:name w:val="标书正文:  0.74 厘米 Char1"/>
    <w:qFormat/>
    <w:uiPriority w:val="0"/>
    <w:rPr>
      <w:rFonts w:eastAsia="宋体"/>
      <w:kern w:val="2"/>
      <w:sz w:val="24"/>
      <w:lang w:val="en-US" w:eastAsia="zh-CN"/>
    </w:rPr>
  </w:style>
  <w:style w:type="character" w:customStyle="1" w:styleId="109">
    <w:name w:val="日期 Char"/>
    <w:link w:val="33"/>
    <w:qFormat/>
    <w:uiPriority w:val="0"/>
    <w:rPr>
      <w:kern w:val="2"/>
      <w:sz w:val="28"/>
    </w:rPr>
  </w:style>
  <w:style w:type="character" w:customStyle="1" w:styleId="110">
    <w:name w:val="font1"/>
    <w:qFormat/>
    <w:uiPriority w:val="0"/>
    <w:rPr>
      <w:color w:val="000000"/>
      <w:sz w:val="18"/>
    </w:rPr>
  </w:style>
  <w:style w:type="character" w:customStyle="1" w:styleId="111">
    <w:name w:val="Char Char4"/>
    <w:qFormat/>
    <w:uiPriority w:val="0"/>
    <w:rPr>
      <w:rFonts w:eastAsia="宋体"/>
      <w:b/>
      <w:kern w:val="2"/>
      <w:sz w:val="21"/>
      <w:lang w:val="en-US" w:eastAsia="zh-CN"/>
    </w:rPr>
  </w:style>
  <w:style w:type="character" w:customStyle="1" w:styleId="112">
    <w:name w:val="top-det1"/>
    <w:qFormat/>
    <w:uiPriority w:val="0"/>
    <w:rPr>
      <w:b/>
      <w:color w:val="000000"/>
    </w:rPr>
  </w:style>
  <w:style w:type="character" w:customStyle="1" w:styleId="113">
    <w:name w:val="crowed11"/>
    <w:qFormat/>
    <w:uiPriority w:val="0"/>
    <w:rPr>
      <w:rFonts w:hint="default"/>
      <w:sz w:val="24"/>
    </w:rPr>
  </w:style>
  <w:style w:type="character" w:customStyle="1" w:styleId="114">
    <w:name w:val="H2 Char"/>
    <w:qFormat/>
    <w:uiPriority w:val="0"/>
    <w:rPr>
      <w:rFonts w:ascii="Arial" w:hAnsi="Arial" w:eastAsia="宋体"/>
      <w:kern w:val="2"/>
      <w:sz w:val="28"/>
      <w:lang w:val="en-US" w:eastAsia="zh-CN"/>
    </w:rPr>
  </w:style>
  <w:style w:type="character" w:customStyle="1" w:styleId="115">
    <w:name w:val="小 Char"/>
    <w:qFormat/>
    <w:uiPriority w:val="0"/>
    <w:rPr>
      <w:rFonts w:ascii="宋体" w:hAnsi="Courier New" w:eastAsia="宋体"/>
      <w:kern w:val="2"/>
      <w:sz w:val="21"/>
      <w:lang w:val="en-US" w:eastAsia="zh-CN" w:bidi="ar-SA"/>
    </w:rPr>
  </w:style>
  <w:style w:type="character" w:customStyle="1" w:styleId="116">
    <w:name w:val="页脚 Char"/>
    <w:link w:val="36"/>
    <w:qFormat/>
    <w:uiPriority w:val="99"/>
    <w:rPr>
      <w:kern w:val="2"/>
      <w:sz w:val="18"/>
    </w:rPr>
  </w:style>
  <w:style w:type="character" w:customStyle="1" w:styleId="117">
    <w:name w:val="font11"/>
    <w:qFormat/>
    <w:uiPriority w:val="0"/>
    <w:rPr>
      <w:rFonts w:hint="eastAsia" w:ascii="宋体" w:hAnsi="宋体" w:eastAsia="宋体" w:cs="宋体"/>
      <w:color w:val="000000"/>
      <w:sz w:val="20"/>
      <w:szCs w:val="20"/>
      <w:u w:val="none"/>
      <w:vertAlign w:val="superscript"/>
    </w:rPr>
  </w:style>
  <w:style w:type="paragraph" w:customStyle="1" w:styleId="118">
    <w:name w:val="样式 正文缩进正文（首行缩进两字）表正文正文非缩进特点标题4段1 + 首行缩进:  2 字符"/>
    <w:basedOn w:val="15"/>
    <w:qFormat/>
    <w:uiPriority w:val="0"/>
    <w:pPr>
      <w:ind w:firstLine="480" w:firstLineChars="200"/>
    </w:pPr>
  </w:style>
  <w:style w:type="paragraph" w:customStyle="1" w:styleId="119">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0">
    <w:name w:val="修订1"/>
    <w:qFormat/>
    <w:uiPriority w:val="0"/>
    <w:rPr>
      <w:rFonts w:ascii="Calibri" w:hAnsi="Calibri" w:eastAsia="宋体" w:cs="Times New Roman"/>
      <w:kern w:val="2"/>
      <w:sz w:val="21"/>
      <w:lang w:val="en-US" w:eastAsia="zh-CN" w:bidi="ar-SA"/>
    </w:rPr>
  </w:style>
  <w:style w:type="paragraph" w:customStyle="1" w:styleId="121">
    <w:name w:val="正文（首行不缩进）"/>
    <w:basedOn w:val="1"/>
    <w:qFormat/>
    <w:uiPriority w:val="0"/>
    <w:pPr>
      <w:autoSpaceDE w:val="0"/>
      <w:autoSpaceDN w:val="0"/>
      <w:adjustRightInd w:val="0"/>
      <w:spacing w:line="360" w:lineRule="auto"/>
      <w:jc w:val="left"/>
    </w:pPr>
    <w:rPr>
      <w:kern w:val="0"/>
      <w:sz w:val="21"/>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操作步骤"/>
    <w:basedOn w:val="1"/>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4">
    <w:name w:val="Table Paragraph"/>
    <w:basedOn w:val="1"/>
    <w:qFormat/>
    <w:uiPriority w:val="1"/>
    <w:pPr>
      <w:autoSpaceDE w:val="0"/>
      <w:autoSpaceDN w:val="0"/>
      <w:adjustRightInd w:val="0"/>
    </w:pPr>
    <w:rPr>
      <w:sz w:val="24"/>
    </w:rPr>
  </w:style>
  <w:style w:type="paragraph" w:customStyle="1" w:styleId="12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6">
    <w:name w:val="样式5"/>
    <w:basedOn w:val="127"/>
    <w:next w:val="1"/>
    <w:qFormat/>
    <w:uiPriority w:val="0"/>
  </w:style>
  <w:style w:type="paragraph" w:customStyle="1" w:styleId="127">
    <w:name w:val="编号正文"/>
    <w:basedOn w:val="128"/>
    <w:qFormat/>
    <w:uiPriority w:val="0"/>
    <w:pPr>
      <w:snapToGrid/>
      <w:spacing w:line="360" w:lineRule="auto"/>
      <w:ind w:left="1407" w:hanging="1047"/>
      <w:jc w:val="left"/>
    </w:pPr>
    <w:rPr>
      <w:rFonts w:eastAsia="仿宋_GB2312"/>
    </w:rPr>
  </w:style>
  <w:style w:type="paragraph" w:customStyle="1" w:styleId="12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9">
    <w:name w:val="样式10"/>
    <w:basedOn w:val="1"/>
    <w:next w:val="1"/>
    <w:qFormat/>
    <w:uiPriority w:val="0"/>
    <w:rPr>
      <w:rFonts w:ascii="Times New Roman" w:hAnsi="Times New Roman" w:eastAsia="仿宋"/>
      <w:sz w:val="24"/>
    </w:rPr>
  </w:style>
  <w:style w:type="paragraph" w:customStyle="1" w:styleId="13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1">
    <w:name w:val="Char Char1 Char"/>
    <w:basedOn w:val="1"/>
    <w:qFormat/>
    <w:uiPriority w:val="0"/>
    <w:rPr>
      <w:rFonts w:ascii="Tahoma" w:hAnsi="Tahoma"/>
      <w:sz w:val="24"/>
      <w:szCs w:val="24"/>
    </w:rPr>
  </w:style>
  <w:style w:type="paragraph" w:customStyle="1" w:styleId="132">
    <w:name w:val="样式1xz"/>
    <w:basedOn w:val="1"/>
    <w:qFormat/>
    <w:uiPriority w:val="0"/>
    <w:pPr>
      <w:tabs>
        <w:tab w:val="left" w:pos="1050"/>
        <w:tab w:val="right" w:leader="dot" w:pos="8296"/>
      </w:tabs>
    </w:pPr>
    <w:rPr>
      <w:caps/>
      <w:spacing w:val="20"/>
      <w:sz w:val="24"/>
    </w:rPr>
  </w:style>
  <w:style w:type="paragraph" w:customStyle="1" w:styleId="133">
    <w:name w:val="_Style 19"/>
    <w:basedOn w:val="1"/>
    <w:next w:val="134"/>
    <w:qFormat/>
    <w:uiPriority w:val="0"/>
    <w:pPr>
      <w:ind w:firstLine="420" w:firstLineChars="200"/>
    </w:pPr>
    <w:rPr>
      <w:sz w:val="21"/>
      <w:szCs w:val="22"/>
    </w:rPr>
  </w:style>
  <w:style w:type="paragraph" w:styleId="134">
    <w:name w:val="List Paragraph"/>
    <w:basedOn w:val="1"/>
    <w:qFormat/>
    <w:uiPriority w:val="0"/>
    <w:pPr>
      <w:ind w:firstLine="420" w:firstLineChars="200"/>
    </w:pPr>
  </w:style>
  <w:style w:type="paragraph" w:customStyle="1" w:styleId="135">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3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9">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1">
    <w:name w:val="正文文本 21"/>
    <w:basedOn w:val="1"/>
    <w:qFormat/>
    <w:uiPriority w:val="0"/>
    <w:pPr>
      <w:adjustRightInd w:val="0"/>
      <w:spacing w:before="120" w:line="360" w:lineRule="auto"/>
      <w:ind w:firstLine="480"/>
      <w:textAlignment w:val="baseline"/>
    </w:pPr>
    <w:rPr>
      <w:sz w:val="24"/>
    </w:rPr>
  </w:style>
  <w:style w:type="paragraph" w:customStyle="1" w:styleId="142">
    <w:name w:val="首行缩进"/>
    <w:basedOn w:val="1"/>
    <w:qFormat/>
    <w:uiPriority w:val="0"/>
    <w:pPr>
      <w:numPr>
        <w:ilvl w:val="0"/>
        <w:numId w:val="4"/>
      </w:numPr>
      <w:spacing w:line="360" w:lineRule="auto"/>
    </w:pPr>
    <w:rPr>
      <w:rFonts w:eastAsia="仿宋_GB2312"/>
    </w:rPr>
  </w:style>
  <w:style w:type="paragraph" w:customStyle="1" w:styleId="143">
    <w:name w:val="简单回函地址"/>
    <w:basedOn w:val="1"/>
    <w:qFormat/>
    <w:uiPriority w:val="0"/>
    <w:pPr>
      <w:adjustRightInd w:val="0"/>
      <w:snapToGrid w:val="0"/>
      <w:spacing w:line="360" w:lineRule="auto"/>
    </w:pPr>
    <w:rPr>
      <w:sz w:val="24"/>
    </w:rPr>
  </w:style>
  <w:style w:type="paragraph" w:customStyle="1" w:styleId="144">
    <w:name w:val="二级列表"/>
    <w:basedOn w:val="145"/>
    <w:next w:val="145"/>
    <w:qFormat/>
    <w:uiPriority w:val="0"/>
    <w:pPr>
      <w:tabs>
        <w:tab w:val="left" w:pos="2120"/>
      </w:tabs>
      <w:ind w:firstLine="0" w:firstLineChars="0"/>
    </w:pPr>
    <w:rPr>
      <w:b/>
    </w:rPr>
  </w:style>
  <w:style w:type="paragraph" w:customStyle="1" w:styleId="145">
    <w:name w:val="段落正文"/>
    <w:basedOn w:val="1"/>
    <w:qFormat/>
    <w:uiPriority w:val="0"/>
    <w:pPr>
      <w:spacing w:beforeLines="50" w:line="360" w:lineRule="auto"/>
      <w:ind w:firstLine="200" w:firstLineChars="200"/>
    </w:pPr>
    <w:rPr>
      <w:spacing w:val="2"/>
      <w:sz w:val="24"/>
    </w:rPr>
  </w:style>
  <w:style w:type="paragraph" w:customStyle="1" w:styleId="146">
    <w:name w:val="标题无"/>
    <w:basedOn w:val="1"/>
    <w:qFormat/>
    <w:uiPriority w:val="0"/>
    <w:pPr>
      <w:spacing w:line="360" w:lineRule="auto"/>
    </w:pPr>
    <w:rPr>
      <w:sz w:val="24"/>
    </w:rPr>
  </w:style>
  <w:style w:type="paragraph" w:customStyle="1" w:styleId="147">
    <w:name w:val="没有缩进（为图形使用）"/>
    <w:basedOn w:val="1"/>
    <w:qFormat/>
    <w:uiPriority w:val="0"/>
    <w:pPr>
      <w:spacing w:before="120" w:after="120" w:line="360" w:lineRule="auto"/>
    </w:pPr>
    <w:rPr>
      <w:sz w:val="24"/>
    </w:rPr>
  </w:style>
  <w:style w:type="paragraph" w:customStyle="1" w:styleId="148">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49">
    <w:name w:val="正文表格"/>
    <w:basedOn w:val="1"/>
    <w:qFormat/>
    <w:uiPriority w:val="0"/>
    <w:pPr>
      <w:adjustRightInd w:val="0"/>
      <w:spacing w:before="40" w:after="40"/>
    </w:pPr>
    <w:rPr>
      <w:sz w:val="24"/>
    </w:rPr>
  </w:style>
  <w:style w:type="paragraph" w:customStyle="1" w:styleId="150">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1">
    <w:name w:val="标书正文:  0.74 厘米"/>
    <w:basedOn w:val="1"/>
    <w:qFormat/>
    <w:uiPriority w:val="0"/>
    <w:pPr>
      <w:snapToGrid w:val="0"/>
      <w:spacing w:line="360" w:lineRule="auto"/>
      <w:ind w:firstLine="420"/>
    </w:pPr>
    <w:rPr>
      <w:sz w:val="24"/>
    </w:rPr>
  </w:style>
  <w:style w:type="paragraph" w:customStyle="1" w:styleId="152">
    <w:name w:val="Title - Date"/>
    <w:basedOn w:val="55"/>
    <w:next w:val="1"/>
    <w:qFormat/>
    <w:uiPriority w:val="0"/>
    <w:pPr>
      <w:spacing w:before="240" w:after="720"/>
    </w:pPr>
    <w:rPr>
      <w:sz w:val="28"/>
    </w:rPr>
  </w:style>
  <w:style w:type="paragraph" w:customStyle="1" w:styleId="153">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54">
    <w:name w:val="样式11"/>
    <w:basedOn w:val="1"/>
    <w:next w:val="1"/>
    <w:qFormat/>
    <w:uiPriority w:val="0"/>
    <w:rPr>
      <w:rFonts w:ascii="Times New Roman" w:hAnsi="Times New Roman"/>
    </w:rPr>
  </w:style>
  <w:style w:type="paragraph" w:customStyle="1" w:styleId="155">
    <w:name w:val="Char Char14 Char Char"/>
    <w:basedOn w:val="1"/>
    <w:qFormat/>
    <w:uiPriority w:val="0"/>
    <w:rPr>
      <w:sz w:val="21"/>
      <w:szCs w:val="24"/>
    </w:rPr>
  </w:style>
  <w:style w:type="paragraph" w:customStyle="1" w:styleId="156">
    <w:name w:val="正文1"/>
    <w:basedOn w:val="1"/>
    <w:qFormat/>
    <w:uiPriority w:val="0"/>
    <w:pPr>
      <w:spacing w:line="300" w:lineRule="auto"/>
      <w:ind w:firstLine="200" w:firstLineChars="200"/>
    </w:pPr>
    <w:rPr>
      <w:sz w:val="24"/>
    </w:rPr>
  </w:style>
  <w:style w:type="paragraph" w:customStyle="1" w:styleId="157">
    <w:name w:val="表头文本"/>
    <w:qFormat/>
    <w:uiPriority w:val="0"/>
    <w:pPr>
      <w:jc w:val="center"/>
    </w:pPr>
    <w:rPr>
      <w:rFonts w:ascii="Arial" w:hAnsi="Arial" w:eastAsia="宋体" w:cs="Times New Roman"/>
      <w:b/>
      <w:sz w:val="21"/>
      <w:lang w:val="en-US" w:eastAsia="zh-CN" w:bidi="ar-SA"/>
    </w:rPr>
  </w:style>
  <w:style w:type="paragraph" w:customStyle="1" w:styleId="158">
    <w:name w:val="Char Char Char Char Char Char Char"/>
    <w:basedOn w:val="1"/>
    <w:qFormat/>
    <w:uiPriority w:val="0"/>
    <w:rPr>
      <w:rFonts w:ascii="Tahoma" w:hAnsi="Tahoma"/>
      <w:sz w:val="24"/>
    </w:rPr>
  </w:style>
  <w:style w:type="paragraph" w:customStyle="1" w:styleId="159">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1">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2">
    <w:name w:val="正文文本缩进 21"/>
    <w:basedOn w:val="1"/>
    <w:qFormat/>
    <w:uiPriority w:val="0"/>
    <w:pPr>
      <w:adjustRightInd w:val="0"/>
      <w:spacing w:before="120"/>
      <w:ind w:firstLine="420"/>
      <w:textAlignment w:val="baseline"/>
    </w:pPr>
    <w:rPr>
      <w:sz w:val="24"/>
    </w:rPr>
  </w:style>
  <w:style w:type="paragraph" w:customStyle="1" w:styleId="16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4">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5">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66">
    <w:name w:val="样式 首行缩进:  0.74 厘米"/>
    <w:basedOn w:val="1"/>
    <w:qFormat/>
    <w:uiPriority w:val="0"/>
    <w:pPr>
      <w:spacing w:line="360" w:lineRule="auto"/>
      <w:ind w:firstLine="420"/>
    </w:pPr>
    <w:rPr>
      <w:sz w:val="24"/>
    </w:rPr>
  </w:style>
  <w:style w:type="paragraph" w:customStyle="1" w:styleId="167">
    <w:name w:val="表格文本"/>
    <w:qFormat/>
    <w:uiPriority w:val="0"/>
    <w:pPr>
      <w:tabs>
        <w:tab w:val="decimal" w:pos="0"/>
      </w:tabs>
    </w:pPr>
    <w:rPr>
      <w:rFonts w:ascii="Arial" w:hAnsi="Arial" w:eastAsia="宋体" w:cs="Times New Roman"/>
      <w:sz w:val="21"/>
      <w:lang w:val="en-US" w:eastAsia="zh-CN" w:bidi="ar-SA"/>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0">
    <w:name w:val="Char1"/>
    <w:basedOn w:val="1"/>
    <w:qFormat/>
    <w:uiPriority w:val="0"/>
    <w:rPr>
      <w:sz w:val="21"/>
    </w:rPr>
  </w:style>
  <w:style w:type="paragraph" w:customStyle="1" w:styleId="171">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72">
    <w:name w:val="Char1 Char Char Char"/>
    <w:basedOn w:val="1"/>
    <w:qFormat/>
    <w:uiPriority w:val="0"/>
    <w:rPr>
      <w:rFonts w:ascii="Tahoma" w:hAnsi="Tahoma"/>
      <w:sz w:val="30"/>
    </w:rPr>
  </w:style>
  <w:style w:type="paragraph" w:customStyle="1" w:styleId="173">
    <w:name w:val="Char Char Char Char Char"/>
    <w:basedOn w:val="1"/>
    <w:qFormat/>
    <w:uiPriority w:val="0"/>
    <w:pPr>
      <w:numPr>
        <w:ilvl w:val="0"/>
        <w:numId w:val="6"/>
      </w:numPr>
      <w:tabs>
        <w:tab w:val="left" w:pos="425"/>
        <w:tab w:val="clear" w:pos="1620"/>
      </w:tabs>
    </w:pPr>
    <w:rPr>
      <w:rFonts w:ascii="Tahoma" w:hAnsi="Tahoma"/>
      <w:sz w:val="24"/>
    </w:rPr>
  </w:style>
  <w:style w:type="paragraph" w:customStyle="1" w:styleId="174">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5">
    <w:name w:val="Table Contents"/>
    <w:basedOn w:val="22"/>
    <w:qFormat/>
    <w:uiPriority w:val="0"/>
    <w:pPr>
      <w:suppressAutoHyphens/>
      <w:jc w:val="left"/>
    </w:pPr>
    <w:rPr>
      <w:rFonts w:ascii="Times New Roman" w:eastAsia="Times New Roman"/>
      <w:kern w:val="0"/>
      <w:sz w:val="24"/>
    </w:rPr>
  </w:style>
  <w:style w:type="paragraph" w:customStyle="1" w:styleId="176">
    <w:name w:val="标题2"/>
    <w:basedOn w:val="2"/>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77">
    <w:name w:val="List Paragraph11"/>
    <w:basedOn w:val="1"/>
    <w:qFormat/>
    <w:uiPriority w:val="0"/>
    <w:pPr>
      <w:ind w:firstLine="420" w:firstLineChars="200"/>
    </w:pPr>
    <w:rPr>
      <w:rFonts w:ascii="等线" w:hAnsi="等线" w:eastAsia="等线"/>
      <w:sz w:val="21"/>
      <w:szCs w:val="22"/>
    </w:rPr>
  </w:style>
  <w:style w:type="paragraph" w:customStyle="1" w:styleId="178">
    <w:name w:val="附录3"/>
    <w:basedOn w:val="1"/>
    <w:next w:val="1"/>
    <w:qFormat/>
    <w:uiPriority w:val="0"/>
    <w:pPr>
      <w:tabs>
        <w:tab w:val="left" w:pos="851"/>
      </w:tabs>
      <w:ind w:left="425" w:hanging="425"/>
      <w:outlineLvl w:val="2"/>
    </w:pPr>
    <w:rPr>
      <w:rFonts w:eastAsia="黑体"/>
      <w:b/>
      <w:sz w:val="32"/>
    </w:rPr>
  </w:style>
  <w:style w:type="paragraph" w:customStyle="1" w:styleId="179">
    <w:name w:val="标题3——2"/>
    <w:basedOn w:val="4"/>
    <w:next w:val="57"/>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1">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2">
    <w:name w:val="List Paragraph1"/>
    <w:basedOn w:val="1"/>
    <w:qFormat/>
    <w:uiPriority w:val="0"/>
    <w:pPr>
      <w:ind w:firstLine="420" w:firstLineChars="200"/>
    </w:pPr>
    <w:rPr>
      <w:sz w:val="21"/>
      <w:szCs w:val="22"/>
    </w:rPr>
  </w:style>
  <w:style w:type="paragraph" w:customStyle="1" w:styleId="183">
    <w:name w:val="af"/>
    <w:basedOn w:val="1"/>
    <w:qFormat/>
    <w:uiPriority w:val="0"/>
    <w:pPr>
      <w:widowControl/>
      <w:spacing w:line="300" w:lineRule="atLeast"/>
      <w:jc w:val="left"/>
    </w:pPr>
    <w:rPr>
      <w:rFonts w:ascii="宋体" w:hAnsi="宋体"/>
      <w:kern w:val="0"/>
      <w:sz w:val="18"/>
    </w:rPr>
  </w:style>
  <w:style w:type="paragraph" w:customStyle="1" w:styleId="184">
    <w:name w:val="样式8"/>
    <w:basedOn w:val="1"/>
    <w:next w:val="1"/>
    <w:qFormat/>
    <w:uiPriority w:val="0"/>
    <w:rPr>
      <w:rFonts w:ascii="Times New Roman" w:hAnsi="Times New Roman" w:eastAsia="仿宋"/>
      <w:sz w:val="24"/>
    </w:rPr>
  </w:style>
  <w:style w:type="paragraph" w:customStyle="1" w:styleId="185">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87">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88">
    <w:name w:val="图片文字"/>
    <w:basedOn w:val="1"/>
    <w:qFormat/>
    <w:uiPriority w:val="0"/>
    <w:pPr>
      <w:spacing w:line="240" w:lineRule="atLeast"/>
      <w:jc w:val="center"/>
    </w:pPr>
    <w:rPr>
      <w:sz w:val="21"/>
    </w:rPr>
  </w:style>
  <w:style w:type="paragraph" w:customStyle="1" w:styleId="189">
    <w:name w:val="表格内文字"/>
    <w:basedOn w:val="31"/>
    <w:qFormat/>
    <w:uiPriority w:val="0"/>
    <w:pPr>
      <w:adjustRightInd w:val="0"/>
    </w:pPr>
    <w:rPr>
      <w:color w:val="000000"/>
      <w:lang w:val="en-GB"/>
    </w:rPr>
  </w:style>
  <w:style w:type="paragraph" w:customStyle="1" w:styleId="190">
    <w:name w:val="二级条标题"/>
    <w:basedOn w:val="191"/>
    <w:next w:val="193"/>
    <w:qFormat/>
    <w:uiPriority w:val="0"/>
    <w:pPr>
      <w:ind w:left="840"/>
      <w:outlineLvl w:val="3"/>
    </w:pPr>
  </w:style>
  <w:style w:type="paragraph" w:customStyle="1" w:styleId="191">
    <w:name w:val="一级条标题"/>
    <w:basedOn w:val="192"/>
    <w:next w:val="193"/>
    <w:qFormat/>
    <w:uiPriority w:val="0"/>
    <w:pPr>
      <w:numPr>
        <w:numId w:val="0"/>
      </w:numPr>
      <w:spacing w:beforeLines="0" w:afterLines="0"/>
      <w:ind w:left="525"/>
      <w:outlineLvl w:val="2"/>
    </w:pPr>
    <w:rPr>
      <w:sz w:val="21"/>
    </w:rPr>
  </w:style>
  <w:style w:type="paragraph" w:customStyle="1" w:styleId="192">
    <w:name w:val="章标题"/>
    <w:next w:val="1"/>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3">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5">
    <w:name w:val="标题 5（有编号）（绿盟科技）"/>
    <w:basedOn w:val="1"/>
    <w:next w:val="148"/>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196">
    <w:name w:val="Char2 Char Char Char Char Char Char"/>
    <w:basedOn w:val="1"/>
    <w:qFormat/>
    <w:uiPriority w:val="0"/>
    <w:rPr>
      <w:rFonts w:ascii="仿宋_GB2312"/>
      <w:b/>
      <w:sz w:val="30"/>
    </w:rPr>
  </w:style>
  <w:style w:type="paragraph" w:customStyle="1" w:styleId="197">
    <w:name w:val="表头样式"/>
    <w:basedOn w:val="1"/>
    <w:qFormat/>
    <w:uiPriority w:val="0"/>
    <w:pPr>
      <w:autoSpaceDE w:val="0"/>
      <w:autoSpaceDN w:val="0"/>
      <w:adjustRightInd w:val="0"/>
      <w:spacing w:line="360" w:lineRule="auto"/>
      <w:jc w:val="left"/>
    </w:pPr>
    <w:rPr>
      <w:b/>
      <w:kern w:val="0"/>
      <w:sz w:val="21"/>
    </w:rPr>
  </w:style>
  <w:style w:type="paragraph" w:customStyle="1" w:styleId="198">
    <w:name w:val="文本框样式1"/>
    <w:basedOn w:val="1"/>
    <w:qFormat/>
    <w:uiPriority w:val="0"/>
    <w:pPr>
      <w:adjustRightInd w:val="0"/>
      <w:snapToGrid w:val="0"/>
      <w:spacing w:before="60" w:line="180" w:lineRule="exact"/>
      <w:jc w:val="center"/>
    </w:pPr>
    <w:rPr>
      <w:sz w:val="21"/>
    </w:rPr>
  </w:style>
  <w:style w:type="paragraph" w:customStyle="1" w:styleId="199">
    <w:name w:val="样式6"/>
    <w:basedOn w:val="1"/>
    <w:next w:val="1"/>
    <w:qFormat/>
    <w:uiPriority w:val="0"/>
    <w:rPr>
      <w:rFonts w:ascii="Times New Roman" w:hAnsi="Times New Roman"/>
    </w:rPr>
  </w:style>
  <w:style w:type="paragraph" w:customStyle="1" w:styleId="200">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3">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5">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06">
    <w:name w:val="文本1"/>
    <w:basedOn w:val="1"/>
    <w:qFormat/>
    <w:uiPriority w:val="0"/>
    <w:pPr>
      <w:adjustRightInd w:val="0"/>
      <w:spacing w:line="312" w:lineRule="atLeast"/>
      <w:jc w:val="center"/>
      <w:textAlignment w:val="baseline"/>
    </w:pPr>
    <w:rPr>
      <w:kern w:val="0"/>
      <w:sz w:val="18"/>
    </w:rPr>
  </w:style>
  <w:style w:type="paragraph" w:customStyle="1" w:styleId="207">
    <w:name w:val="IN Feature"/>
    <w:next w:val="208"/>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08">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1">
    <w:name w:val="正文字缩2字"/>
    <w:basedOn w:val="1"/>
    <w:qFormat/>
    <w:uiPriority w:val="0"/>
    <w:pPr>
      <w:spacing w:before="60" w:after="60" w:line="360" w:lineRule="auto"/>
      <w:ind w:left="200" w:leftChars="200" w:firstLine="200" w:firstLineChars="200"/>
    </w:pPr>
    <w:rPr>
      <w:sz w:val="24"/>
    </w:rPr>
  </w:style>
  <w:style w:type="paragraph" w:customStyle="1" w:styleId="21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3">
    <w:name w:val="样式4"/>
    <w:basedOn w:val="5"/>
    <w:qFormat/>
    <w:uiPriority w:val="0"/>
    <w:pPr>
      <w:adjustRightInd w:val="0"/>
      <w:snapToGrid w:val="0"/>
    </w:pPr>
  </w:style>
  <w:style w:type="paragraph" w:customStyle="1" w:styleId="214">
    <w:name w:val="样式 行距: 1.5 倍行距1"/>
    <w:basedOn w:val="1"/>
    <w:qFormat/>
    <w:uiPriority w:val="0"/>
    <w:pPr>
      <w:snapToGrid w:val="0"/>
    </w:pPr>
    <w:rPr>
      <w:sz w:val="21"/>
    </w:rPr>
  </w:style>
  <w:style w:type="paragraph" w:customStyle="1" w:styleId="215">
    <w:name w:val="Char"/>
    <w:basedOn w:val="1"/>
    <w:qFormat/>
    <w:uiPriority w:val="0"/>
    <w:pPr>
      <w:spacing w:line="240" w:lineRule="atLeast"/>
      <w:ind w:left="420" w:firstLine="420"/>
    </w:pPr>
    <w:rPr>
      <w:kern w:val="0"/>
      <w:sz w:val="21"/>
    </w:rPr>
  </w:style>
  <w:style w:type="paragraph" w:customStyle="1" w:styleId="216">
    <w:name w:val="样式1"/>
    <w:basedOn w:val="5"/>
    <w:qFormat/>
    <w:uiPriority w:val="0"/>
    <w:pPr>
      <w:tabs>
        <w:tab w:val="left" w:pos="720"/>
      </w:tabs>
      <w:spacing w:before="500" w:after="260" w:line="560" w:lineRule="atLeast"/>
      <w:ind w:left="420" w:hanging="420"/>
    </w:pPr>
  </w:style>
  <w:style w:type="paragraph" w:customStyle="1" w:styleId="217">
    <w:name w:val="标准正文"/>
    <w:basedOn w:val="23"/>
    <w:qFormat/>
    <w:uiPriority w:val="0"/>
    <w:pPr>
      <w:spacing w:before="60" w:after="60" w:line="360" w:lineRule="auto"/>
      <w:ind w:left="0" w:firstLine="482"/>
    </w:pPr>
    <w:rPr>
      <w:rFonts w:ascii="Arial" w:hAnsi="Arial"/>
      <w:sz w:val="24"/>
    </w:rPr>
  </w:style>
  <w:style w:type="paragraph" w:customStyle="1" w:styleId="21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19">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0">
    <w:name w:val="Figure Description"/>
    <w:next w:val="1"/>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1">
    <w:name w:val="样式7"/>
    <w:basedOn w:val="1"/>
    <w:next w:val="1"/>
    <w:qFormat/>
    <w:uiPriority w:val="0"/>
    <w:rPr>
      <w:rFonts w:ascii="Times New Roman" w:hAnsi="Times New Roman"/>
    </w:rPr>
  </w:style>
  <w:style w:type="paragraph" w:customStyle="1" w:styleId="222">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3">
    <w:name w:val="样式 宋体 五号 行距: 单倍行距"/>
    <w:basedOn w:val="1"/>
    <w:qFormat/>
    <w:uiPriority w:val="0"/>
    <w:pPr>
      <w:adjustRightInd w:val="0"/>
      <w:jc w:val="left"/>
    </w:pPr>
    <w:rPr>
      <w:rFonts w:ascii="宋体" w:hAnsi="宋体"/>
      <w:kern w:val="0"/>
      <w:sz w:val="21"/>
    </w:rPr>
  </w:style>
  <w:style w:type="paragraph" w:customStyle="1" w:styleId="224">
    <w:name w:val="Table Description"/>
    <w:next w:val="1"/>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5">
    <w:name w:val="Char Char 字元 字元 字元 Char Char Char Char"/>
    <w:basedOn w:val="1"/>
    <w:qFormat/>
    <w:uiPriority w:val="0"/>
    <w:pPr>
      <w:adjustRightInd w:val="0"/>
      <w:spacing w:line="360" w:lineRule="auto"/>
    </w:pPr>
    <w:rPr>
      <w:kern w:val="0"/>
      <w:sz w:val="24"/>
    </w:rPr>
  </w:style>
  <w:style w:type="paragraph" w:customStyle="1" w:styleId="226">
    <w:name w:val="内容标题"/>
    <w:basedOn w:val="17"/>
    <w:qFormat/>
    <w:uiPriority w:val="0"/>
    <w:rPr>
      <w:rFonts w:ascii="Tahoma" w:hAnsi="Tahoma"/>
      <w:sz w:val="24"/>
    </w:rPr>
  </w:style>
  <w:style w:type="paragraph" w:customStyle="1" w:styleId="227">
    <w:name w:val="Char Char Char Char Char Char Char Char Char Char Char Char Char Char Char Char"/>
    <w:basedOn w:val="1"/>
    <w:qFormat/>
    <w:uiPriority w:val="0"/>
    <w:pPr>
      <w:tabs>
        <w:tab w:val="left" w:pos="360"/>
      </w:tabs>
    </w:pPr>
    <w:rPr>
      <w:sz w:val="24"/>
    </w:rPr>
  </w:style>
  <w:style w:type="paragraph" w:customStyle="1" w:styleId="228">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2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0">
    <w:name w:val="图例"/>
    <w:basedOn w:val="1"/>
    <w:qFormat/>
    <w:uiPriority w:val="0"/>
    <w:pPr>
      <w:spacing w:before="120" w:after="120" w:line="360" w:lineRule="auto"/>
      <w:jc w:val="center"/>
    </w:pPr>
    <w:rPr>
      <w:rFonts w:eastAsia="仿宋_GB2312"/>
      <w:b/>
      <w:sz w:val="24"/>
    </w:rPr>
  </w:style>
  <w:style w:type="paragraph" w:customStyle="1" w:styleId="231">
    <w:name w:val="00"/>
    <w:basedOn w:val="1"/>
    <w:qFormat/>
    <w:uiPriority w:val="0"/>
    <w:pPr>
      <w:autoSpaceDE w:val="0"/>
      <w:autoSpaceDN w:val="0"/>
      <w:adjustRightInd w:val="0"/>
      <w:jc w:val="left"/>
    </w:pPr>
    <w:rPr>
      <w:rFonts w:ascii="黑体" w:eastAsia="黑体"/>
      <w:b/>
      <w:kern w:val="0"/>
      <w:sz w:val="20"/>
    </w:rPr>
  </w:style>
  <w:style w:type="paragraph" w:customStyle="1" w:styleId="232">
    <w:name w:val="Char1 Char Char Char1"/>
    <w:basedOn w:val="1"/>
    <w:qFormat/>
    <w:uiPriority w:val="0"/>
    <w:rPr>
      <w:rFonts w:ascii="Tahoma" w:hAnsi="Tahoma"/>
      <w:sz w:val="24"/>
    </w:rPr>
  </w:style>
  <w:style w:type="paragraph" w:customStyle="1" w:styleId="233">
    <w:name w:val="表文字"/>
    <w:qFormat/>
    <w:uiPriority w:val="0"/>
    <w:rPr>
      <w:rFonts w:ascii="宋体" w:hAnsi="Calibri" w:eastAsia="宋体" w:cs="Times New Roman"/>
      <w:kern w:val="2"/>
      <w:lang w:val="en-US" w:eastAsia="zh-CN" w:bidi="ar-SA"/>
    </w:rPr>
  </w:style>
  <w:style w:type="paragraph" w:customStyle="1" w:styleId="234">
    <w:name w:val="正文4"/>
    <w:basedOn w:val="1"/>
    <w:qFormat/>
    <w:uiPriority w:val="0"/>
    <w:pPr>
      <w:tabs>
        <w:tab w:val="left" w:pos="1275"/>
      </w:tabs>
      <w:spacing w:before="60" w:after="60" w:line="360" w:lineRule="auto"/>
      <w:ind w:left="820" w:leftChars="400" w:hanging="705"/>
    </w:pPr>
    <w:rPr>
      <w:sz w:val="24"/>
    </w:rPr>
  </w:style>
  <w:style w:type="paragraph" w:customStyle="1" w:styleId="235">
    <w:name w:val="可研正文"/>
    <w:basedOn w:val="22"/>
    <w:qFormat/>
    <w:uiPriority w:val="0"/>
    <w:pPr>
      <w:adjustRightInd w:val="0"/>
      <w:snapToGrid w:val="0"/>
      <w:spacing w:line="440" w:lineRule="exact"/>
      <w:ind w:firstLine="567"/>
    </w:pPr>
    <w:rPr>
      <w:sz w:val="28"/>
    </w:rPr>
  </w:style>
  <w:style w:type="paragraph" w:customStyle="1" w:styleId="23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7">
    <w:name w:val="正文 + 三号"/>
    <w:basedOn w:val="1"/>
    <w:qFormat/>
    <w:uiPriority w:val="0"/>
    <w:rPr>
      <w:sz w:val="21"/>
    </w:rPr>
  </w:style>
  <w:style w:type="paragraph" w:customStyle="1" w:styleId="238">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39">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0">
    <w:name w:val="标题1"/>
    <w:basedOn w:val="1"/>
    <w:next w:val="1"/>
    <w:qFormat/>
    <w:uiPriority w:val="0"/>
    <w:rPr>
      <w:rFonts w:ascii="Times New Roman" w:hAnsi="Times New Roman"/>
    </w:rPr>
  </w:style>
  <w:style w:type="paragraph" w:customStyle="1" w:styleId="241">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2">
    <w:name w:val="关键词"/>
    <w:basedOn w:val="1"/>
    <w:next w:val="1"/>
    <w:qFormat/>
    <w:uiPriority w:val="0"/>
    <w:pPr>
      <w:spacing w:line="360" w:lineRule="auto"/>
    </w:pPr>
    <w:rPr>
      <w:rFonts w:eastAsia="黑体"/>
      <w:sz w:val="20"/>
    </w:rPr>
  </w:style>
  <w:style w:type="paragraph" w:customStyle="1" w:styleId="243">
    <w:name w:val="Char Char Char Char Char Char Char1"/>
    <w:basedOn w:val="17"/>
    <w:qFormat/>
    <w:uiPriority w:val="0"/>
    <w:rPr>
      <w:rFonts w:ascii="宋体" w:hAnsi="Tahoma"/>
    </w:rPr>
  </w:style>
  <w:style w:type="paragraph" w:customStyle="1" w:styleId="244">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6">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47">
    <w:name w:val="Char2"/>
    <w:basedOn w:val="1"/>
    <w:qFormat/>
    <w:uiPriority w:val="0"/>
    <w:pPr>
      <w:spacing w:line="240" w:lineRule="atLeast"/>
      <w:ind w:left="420" w:firstLine="420"/>
    </w:pPr>
    <w:rPr>
      <w:kern w:val="0"/>
      <w:sz w:val="21"/>
    </w:rPr>
  </w:style>
  <w:style w:type="paragraph" w:customStyle="1" w:styleId="248">
    <w:name w:val="样式12"/>
    <w:basedOn w:val="1"/>
    <w:next w:val="1"/>
    <w:qFormat/>
    <w:uiPriority w:val="0"/>
    <w:rPr>
      <w:rFonts w:ascii="Times New Roman" w:hAnsi="Times New Roman" w:eastAsia="仿宋"/>
      <w:sz w:val="24"/>
    </w:rPr>
  </w:style>
  <w:style w:type="paragraph" w:customStyle="1" w:styleId="249">
    <w:name w:val="样式2"/>
    <w:basedOn w:val="5"/>
    <w:qFormat/>
    <w:uiPriority w:val="0"/>
    <w:pPr>
      <w:numPr>
        <w:ilvl w:val="0"/>
        <w:numId w:val="13"/>
      </w:numPr>
      <w:spacing w:before="560" w:line="400" w:lineRule="exact"/>
      <w:jc w:val="center"/>
      <w:outlineLvl w:val="0"/>
    </w:pPr>
    <w:rPr>
      <w:sz w:val="44"/>
    </w:rPr>
  </w:style>
  <w:style w:type="paragraph" w:customStyle="1" w:styleId="25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1">
    <w:name w:val="列出段落1"/>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2">
    <w:name w:val="文章正文"/>
    <w:basedOn w:val="1"/>
    <w:qFormat/>
    <w:uiPriority w:val="0"/>
    <w:pPr>
      <w:ind w:firstLine="560" w:firstLineChars="200"/>
    </w:pPr>
    <w:rPr>
      <w:rFonts w:ascii="仿宋_GB2312" w:hAnsi="宋体" w:eastAsia="仿宋_GB2312"/>
      <w:color w:val="000000"/>
    </w:rPr>
  </w:style>
  <w:style w:type="paragraph" w:customStyle="1" w:styleId="253">
    <w:name w:val="默认段落字体 Para Char Char Char Char Char Char Char Char Char1 Char Char Char Char"/>
    <w:basedOn w:val="1"/>
    <w:qFormat/>
    <w:uiPriority w:val="0"/>
    <w:rPr>
      <w:rFonts w:ascii="Tahoma" w:hAnsi="Tahoma"/>
      <w:sz w:val="24"/>
    </w:rPr>
  </w:style>
  <w:style w:type="paragraph" w:customStyle="1" w:styleId="25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5">
    <w:name w:val="Title - Revision"/>
    <w:basedOn w:val="55"/>
    <w:qFormat/>
    <w:uiPriority w:val="0"/>
    <w:pPr>
      <w:spacing w:before="720"/>
    </w:pPr>
  </w:style>
  <w:style w:type="paragraph" w:customStyle="1" w:styleId="256">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5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58">
    <w:name w:val="Note"/>
    <w:basedOn w:val="1"/>
    <w:qFormat/>
    <w:uiPriority w:val="0"/>
    <w:pPr>
      <w:pBdr>
        <w:top w:val="single" w:color="auto" w:sz="12" w:space="3"/>
        <w:bottom w:val="single" w:color="auto" w:sz="12" w:space="3"/>
      </w:pBdr>
      <w:spacing w:line="360" w:lineRule="auto"/>
    </w:pPr>
    <w:rPr>
      <w:sz w:val="24"/>
    </w:rPr>
  </w:style>
  <w:style w:type="paragraph" w:customStyle="1" w:styleId="25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0">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1">
    <w:name w:val="样式9"/>
    <w:basedOn w:val="1"/>
    <w:next w:val="1"/>
    <w:qFormat/>
    <w:uiPriority w:val="0"/>
    <w:rPr>
      <w:rFonts w:ascii="Times New Roman" w:hAnsi="Times New Roman" w:eastAsia="仿宋"/>
      <w:sz w:val="24"/>
    </w:rPr>
  </w:style>
  <w:style w:type="paragraph" w:customStyle="1" w:styleId="262">
    <w:name w:val="首行缩进 1"/>
    <w:basedOn w:val="1"/>
    <w:qFormat/>
    <w:uiPriority w:val="0"/>
    <w:pPr>
      <w:spacing w:after="120" w:line="360" w:lineRule="auto"/>
      <w:ind w:firstLine="200" w:firstLineChars="200"/>
    </w:pPr>
    <w:rPr>
      <w:sz w:val="24"/>
    </w:rPr>
  </w:style>
  <w:style w:type="paragraph" w:customStyle="1" w:styleId="263">
    <w:name w:val="1"/>
    <w:basedOn w:val="1"/>
    <w:next w:val="31"/>
    <w:qFormat/>
    <w:uiPriority w:val="0"/>
    <w:rPr>
      <w:rFonts w:ascii="宋体" w:hAnsi="Courier New"/>
      <w:sz w:val="21"/>
    </w:rPr>
  </w:style>
  <w:style w:type="paragraph" w:customStyle="1" w:styleId="264">
    <w:name w:val="1.正文"/>
    <w:basedOn w:val="1"/>
    <w:qFormat/>
    <w:uiPriority w:val="0"/>
    <w:pPr>
      <w:spacing w:line="360" w:lineRule="auto"/>
      <w:ind w:left="540" w:leftChars="225" w:firstLine="540" w:firstLineChars="225"/>
    </w:pPr>
    <w:rPr>
      <w:sz w:val="24"/>
    </w:rPr>
  </w:style>
  <w:style w:type="paragraph" w:customStyle="1" w:styleId="265">
    <w:name w:val="Style Heading 3h3Heading 3 - oldLevel 3 HeadH3level_3PIM 3se..."/>
    <w:basedOn w:val="4"/>
    <w:qFormat/>
    <w:uiPriority w:val="0"/>
    <w:pPr>
      <w:tabs>
        <w:tab w:val="left" w:pos="709"/>
        <w:tab w:val="left" w:pos="1620"/>
      </w:tabs>
      <w:ind w:left="1620" w:hanging="360"/>
    </w:pPr>
  </w:style>
  <w:style w:type="paragraph" w:customStyle="1" w:styleId="266">
    <w:name w:val="摘要"/>
    <w:basedOn w:val="1"/>
    <w:next w:val="2"/>
    <w:qFormat/>
    <w:uiPriority w:val="0"/>
    <w:pPr>
      <w:spacing w:line="360" w:lineRule="auto"/>
    </w:pPr>
    <w:rPr>
      <w:rFonts w:eastAsia="黑体"/>
      <w:sz w:val="20"/>
    </w:rPr>
  </w:style>
  <w:style w:type="paragraph" w:customStyle="1" w:styleId="267">
    <w:name w:val="Char Char Char"/>
    <w:basedOn w:val="1"/>
    <w:qFormat/>
    <w:uiPriority w:val="0"/>
    <w:rPr>
      <w:rFonts w:ascii="Tahoma" w:hAnsi="Tahoma"/>
      <w:sz w:val="24"/>
    </w:rPr>
  </w:style>
  <w:style w:type="paragraph" w:styleId="268">
    <w:name w:val="Quote"/>
    <w:basedOn w:val="1"/>
    <w:next w:val="1"/>
    <w:qFormat/>
    <w:uiPriority w:val="29"/>
    <w:rPr>
      <w:i/>
      <w:iCs/>
      <w:color w:val="000000"/>
    </w:rPr>
  </w:style>
  <w:style w:type="paragraph" w:customStyle="1" w:styleId="269">
    <w:name w:val="西研院正文"/>
    <w:basedOn w:val="1"/>
    <w:qFormat/>
    <w:uiPriority w:val="0"/>
    <w:pPr>
      <w:spacing w:line="560" w:lineRule="exact"/>
      <w:ind w:firstLine="643" w:firstLineChars="200"/>
    </w:pPr>
    <w:rPr>
      <w:rFonts w:eastAsia="方正仿宋_GBK"/>
      <w:sz w:val="32"/>
    </w:rPr>
  </w:style>
  <w:style w:type="character" w:customStyle="1" w:styleId="27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43</Pages>
  <Words>19893</Words>
  <Characters>20831</Characters>
  <Lines>137</Lines>
  <Paragraphs>38</Paragraphs>
  <TotalTime>12</TotalTime>
  <ScaleCrop>false</ScaleCrop>
  <LinksUpToDate>false</LinksUpToDate>
  <CharactersWithSpaces>21869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2022-03-18T21:21:00Z</dcterms:created>
  <dc:creator>刘胜仲</dc:creator>
  <cp:lastModifiedBy>Lenovo</cp:lastModifiedBy>
  <cp:lastPrinted>2022-05-25T02:58:00Z</cp:lastPrinted>
  <dcterms:modified xsi:type="dcterms:W3CDTF">2022-09-02T01:39:05Z</dcterms:modified>
  <dc:title>竞争性谈判文件</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KSOSaveFontToCloudKey">
    <vt:lpwstr>7990579_cloud</vt:lpwstr>
  </property>
  <property fmtid="{D5CDD505-2E9C-101B-9397-08002B2CF9AE}" pid="4" name="ICV">
    <vt:lpwstr>56EA914A18B344E080F5A9D8D49D5B79</vt:lpwstr>
  </property>
  <property fmtid="{D5CDD505-2E9C-101B-9397-08002B2CF9AE}" pid="5" name="commondata">
    <vt:lpwstr>eyJoZGlkIjoiZDdiYjdhYmUyNjNhZjhhZWUwNGEwN2ZhNDNlYzkxN2UifQ==</vt:lpwstr>
  </property>
</Properties>
</file>