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1"/>
          <w:numId w:val="0"/>
        </w:numPr>
        <w:spacing w:line="24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技术需求</w:t>
      </w:r>
    </w:p>
    <w:p>
      <w:pPr>
        <w:pStyle w:val="6"/>
        <w:spacing w:line="320" w:lineRule="exact"/>
        <w:ind w:firstLine="0" w:firstLineChars="0"/>
        <w:rPr>
          <w:b/>
          <w:bCs/>
          <w:color w:val="auto"/>
          <w:szCs w:val="24"/>
          <w:highlight w:val="none"/>
        </w:rPr>
      </w:pPr>
      <w:r>
        <w:rPr>
          <w:rFonts w:hint="eastAsia"/>
          <w:b/>
          <w:bCs/>
          <w:color w:val="auto"/>
          <w:szCs w:val="24"/>
          <w:highlight w:val="none"/>
        </w:rPr>
        <w:t>（一）采购的公共外环境病媒生物防制服务</w:t>
      </w:r>
    </w:p>
    <w:p>
      <w:pPr>
        <w:pStyle w:val="6"/>
        <w:spacing w:line="320" w:lineRule="exact"/>
        <w:ind w:firstLine="480"/>
        <w:rPr>
          <w:rFonts w:hint="eastAsia"/>
          <w:color w:val="auto"/>
          <w:szCs w:val="24"/>
          <w:highlight w:val="none"/>
        </w:rPr>
      </w:pPr>
      <w:r>
        <w:rPr>
          <w:rFonts w:hint="eastAsia"/>
          <w:color w:val="auto"/>
          <w:szCs w:val="24"/>
          <w:highlight w:val="none"/>
        </w:rPr>
        <w:t>1、公共外环境病媒生物防制服务：服务面积</w:t>
      </w:r>
      <w:r>
        <w:rPr>
          <w:color w:val="auto"/>
          <w:szCs w:val="24"/>
          <w:highlight w:val="none"/>
        </w:rPr>
        <w:t>74</w:t>
      </w:r>
      <w:r>
        <w:rPr>
          <w:rFonts w:hint="eastAsia"/>
          <w:color w:val="auto"/>
          <w:szCs w:val="24"/>
          <w:highlight w:val="none"/>
        </w:rPr>
        <w:t>平方公里。</w:t>
      </w:r>
    </w:p>
    <w:p>
      <w:pPr>
        <w:pStyle w:val="6"/>
        <w:spacing w:line="320" w:lineRule="exact"/>
        <w:ind w:firstLine="480"/>
        <w:rPr>
          <w:rFonts w:hint="eastAsia"/>
          <w:color w:val="auto"/>
          <w:szCs w:val="24"/>
          <w:highlight w:val="none"/>
        </w:rPr>
      </w:pPr>
      <w:r>
        <w:rPr>
          <w:rFonts w:hint="eastAsia"/>
          <w:color w:val="auto"/>
          <w:szCs w:val="24"/>
          <w:highlight w:val="none"/>
        </w:rPr>
        <w:t xml:space="preserve">2、药品采购： </w:t>
      </w:r>
    </w:p>
    <w:p>
      <w:pPr>
        <w:pStyle w:val="6"/>
        <w:spacing w:line="240" w:lineRule="auto"/>
        <w:ind w:firstLine="676" w:firstLineChars="282"/>
        <w:jc w:val="left"/>
        <w:rPr>
          <w:color w:val="auto"/>
          <w:szCs w:val="24"/>
          <w:highlight w:val="none"/>
        </w:rPr>
      </w:pPr>
      <w:r>
        <w:rPr>
          <w:rFonts w:hint="eastAsia"/>
          <w:color w:val="auto"/>
          <w:szCs w:val="24"/>
          <w:highlight w:val="none"/>
        </w:rPr>
        <w:t>1）灭鼠药：0.01%溴敌隆</w:t>
      </w:r>
    </w:p>
    <w:p>
      <w:pPr>
        <w:pStyle w:val="6"/>
        <w:spacing w:line="240" w:lineRule="auto"/>
        <w:ind w:firstLine="720" w:firstLineChars="300"/>
        <w:jc w:val="left"/>
        <w:rPr>
          <w:color w:val="auto"/>
          <w:szCs w:val="24"/>
          <w:highlight w:val="none"/>
        </w:rPr>
      </w:pPr>
      <w:r>
        <w:rPr>
          <w:rFonts w:hint="eastAsia"/>
          <w:color w:val="auto"/>
          <w:szCs w:val="24"/>
          <w:highlight w:val="none"/>
        </w:rPr>
        <w:t>剂 型：毒饵（袋装，50或100克/袋）</w:t>
      </w:r>
    </w:p>
    <w:p>
      <w:pPr>
        <w:pStyle w:val="6"/>
        <w:spacing w:line="240" w:lineRule="auto"/>
        <w:ind w:firstLine="439" w:firstLineChars="183"/>
        <w:jc w:val="left"/>
        <w:rPr>
          <w:rFonts w:hint="eastAsia"/>
          <w:color w:val="auto"/>
          <w:szCs w:val="24"/>
          <w:highlight w:val="none"/>
        </w:rPr>
      </w:pPr>
      <w:r>
        <w:rPr>
          <w:rFonts w:hint="eastAsia"/>
          <w:color w:val="auto"/>
          <w:szCs w:val="24"/>
          <w:highlight w:val="none"/>
        </w:rPr>
        <w:t>采购数量：</w:t>
      </w:r>
      <w:r>
        <w:rPr>
          <w:rFonts w:hint="eastAsia"/>
          <w:color w:val="auto"/>
          <w:szCs w:val="24"/>
          <w:highlight w:val="none"/>
          <w:lang w:val="en-US" w:eastAsia="zh-CN"/>
        </w:rPr>
        <w:t>4.1</w:t>
      </w:r>
      <w:r>
        <w:rPr>
          <w:rFonts w:hint="eastAsia"/>
          <w:color w:val="auto"/>
          <w:szCs w:val="24"/>
          <w:highlight w:val="none"/>
        </w:rPr>
        <w:t>吨</w:t>
      </w:r>
    </w:p>
    <w:p>
      <w:pPr>
        <w:ind w:firstLine="480" w:firstLineChars="200"/>
        <w:rPr>
          <w:rFonts w:ascii="Arial" w:hAnsi="Arial" w:cs="宋体"/>
          <w:color w:val="auto"/>
          <w:sz w:val="24"/>
          <w:highlight w:val="none"/>
        </w:rPr>
      </w:pPr>
      <w:r>
        <w:rPr>
          <w:rFonts w:hint="eastAsia" w:ascii="Arial" w:hAnsi="Arial" w:cs="宋体"/>
          <w:color w:val="auto"/>
          <w:sz w:val="24"/>
          <w:highlight w:val="none"/>
        </w:rPr>
        <w:t>2）灭蟑药：</w:t>
      </w:r>
      <w:r>
        <w:rPr>
          <w:rFonts w:hint="eastAsia"/>
          <w:color w:val="auto"/>
          <w:sz w:val="24"/>
          <w:highlight w:val="none"/>
        </w:rPr>
        <w:t>8%右旋苯醚氰菊酯片</w:t>
      </w:r>
    </w:p>
    <w:p>
      <w:pPr>
        <w:ind w:firstLine="960" w:firstLineChars="400"/>
        <w:rPr>
          <w:rFonts w:ascii="Arial" w:hAnsi="Arial" w:cs="宋体"/>
          <w:color w:val="auto"/>
          <w:sz w:val="24"/>
          <w:highlight w:val="none"/>
        </w:rPr>
      </w:pPr>
      <w:r>
        <w:rPr>
          <w:rFonts w:hint="eastAsia" w:ascii="Arial" w:hAnsi="Arial" w:cs="宋体"/>
          <w:color w:val="auto"/>
          <w:sz w:val="24"/>
          <w:highlight w:val="none"/>
        </w:rPr>
        <w:t>剂 型：烟熏片（袋装，2片/包）</w:t>
      </w:r>
    </w:p>
    <w:p>
      <w:pPr>
        <w:pStyle w:val="6"/>
        <w:spacing w:line="240" w:lineRule="auto"/>
        <w:ind w:firstLine="439" w:firstLineChars="183"/>
        <w:jc w:val="left"/>
        <w:rPr>
          <w:rFonts w:hint="eastAsia"/>
          <w:color w:val="auto"/>
          <w:szCs w:val="24"/>
          <w:highlight w:val="none"/>
        </w:rPr>
      </w:pPr>
      <w:r>
        <w:rPr>
          <w:rFonts w:hint="eastAsia"/>
          <w:color w:val="auto"/>
          <w:szCs w:val="24"/>
          <w:highlight w:val="none"/>
        </w:rPr>
        <w:t>采购数量：</w:t>
      </w:r>
      <w:r>
        <w:rPr>
          <w:rFonts w:hint="eastAsia"/>
          <w:color w:val="auto"/>
          <w:szCs w:val="24"/>
          <w:highlight w:val="none"/>
          <w:lang w:val="en-US" w:eastAsia="zh-CN"/>
        </w:rPr>
        <w:t>5</w:t>
      </w:r>
      <w:r>
        <w:rPr>
          <w:rFonts w:hint="eastAsia"/>
          <w:color w:val="auto"/>
          <w:szCs w:val="24"/>
          <w:highlight w:val="none"/>
        </w:rPr>
        <w:t>0000包</w:t>
      </w:r>
    </w:p>
    <w:p>
      <w:pPr>
        <w:ind w:firstLine="480" w:firstLineChars="200"/>
        <w:rPr>
          <w:rFonts w:ascii="Arial" w:hAnsi="Arial" w:cs="宋体"/>
          <w:color w:val="auto"/>
          <w:sz w:val="24"/>
          <w:highlight w:val="none"/>
        </w:rPr>
      </w:pPr>
      <w:r>
        <w:rPr>
          <w:rFonts w:hint="eastAsia" w:ascii="Arial" w:hAnsi="Arial" w:cs="宋体"/>
          <w:color w:val="auto"/>
          <w:sz w:val="24"/>
          <w:highlight w:val="none"/>
        </w:rPr>
        <w:t>3）灭蚊蝇蟑药</w:t>
      </w:r>
    </w:p>
    <w:p>
      <w:pPr>
        <w:pStyle w:val="6"/>
        <w:spacing w:line="240" w:lineRule="auto"/>
        <w:ind w:firstLine="914" w:firstLineChars="381"/>
        <w:jc w:val="left"/>
        <w:rPr>
          <w:rFonts w:hint="eastAsia"/>
          <w:color w:val="auto"/>
          <w:szCs w:val="24"/>
          <w:highlight w:val="none"/>
        </w:rPr>
      </w:pPr>
      <w:r>
        <w:rPr>
          <w:rFonts w:hint="eastAsia"/>
          <w:color w:val="auto"/>
          <w:szCs w:val="24"/>
          <w:highlight w:val="none"/>
        </w:rPr>
        <w:t>剂 型：水乳剂（瓶装，500ml/瓶）</w:t>
      </w:r>
    </w:p>
    <w:p>
      <w:pPr>
        <w:pStyle w:val="6"/>
        <w:spacing w:line="240" w:lineRule="auto"/>
        <w:ind w:firstLine="914" w:firstLineChars="381"/>
        <w:jc w:val="left"/>
        <w:rPr>
          <w:rFonts w:hint="eastAsia"/>
          <w:color w:val="auto"/>
          <w:szCs w:val="24"/>
          <w:highlight w:val="none"/>
        </w:rPr>
      </w:pPr>
      <w:r>
        <w:rPr>
          <w:rFonts w:hint="eastAsia"/>
          <w:color w:val="auto"/>
          <w:szCs w:val="24"/>
          <w:highlight w:val="none"/>
        </w:rPr>
        <w:t>采购数量：</w:t>
      </w:r>
      <w:r>
        <w:rPr>
          <w:rFonts w:hint="eastAsia"/>
          <w:color w:val="auto"/>
          <w:szCs w:val="24"/>
          <w:highlight w:val="none"/>
          <w:lang w:val="en-US" w:eastAsia="zh-CN"/>
        </w:rPr>
        <w:t>4</w:t>
      </w:r>
      <w:r>
        <w:rPr>
          <w:rFonts w:hint="eastAsia"/>
          <w:color w:val="auto"/>
          <w:szCs w:val="24"/>
          <w:highlight w:val="none"/>
        </w:rPr>
        <w:t>00瓶</w:t>
      </w:r>
    </w:p>
    <w:p>
      <w:pPr>
        <w:pStyle w:val="6"/>
        <w:spacing w:line="320" w:lineRule="exact"/>
        <w:ind w:firstLine="480"/>
        <w:rPr>
          <w:rFonts w:hint="eastAsia"/>
          <w:color w:val="auto"/>
          <w:szCs w:val="24"/>
          <w:highlight w:val="none"/>
        </w:rPr>
      </w:pPr>
      <w:r>
        <w:rPr>
          <w:rFonts w:hint="eastAsia"/>
          <w:color w:val="auto"/>
          <w:szCs w:val="24"/>
          <w:highlight w:val="none"/>
        </w:rPr>
        <w:t xml:space="preserve"> </w:t>
      </w:r>
    </w:p>
    <w:p>
      <w:pPr>
        <w:pStyle w:val="6"/>
        <w:spacing w:line="320" w:lineRule="exact"/>
        <w:ind w:firstLine="0" w:firstLineChars="0"/>
        <w:rPr>
          <w:rFonts w:hint="eastAsia"/>
          <w:b/>
          <w:bCs/>
          <w:color w:val="auto"/>
          <w:szCs w:val="24"/>
          <w:highlight w:val="none"/>
        </w:rPr>
      </w:pPr>
      <w:r>
        <w:rPr>
          <w:rFonts w:hint="eastAsia"/>
          <w:b/>
          <w:bCs/>
          <w:color w:val="auto"/>
          <w:szCs w:val="24"/>
          <w:highlight w:val="none"/>
        </w:rPr>
        <w:t>（二）公共外环境病媒生物防制服务范围</w:t>
      </w:r>
    </w:p>
    <w:p>
      <w:pPr>
        <w:ind w:firstLine="482" w:firstLineChars="200"/>
        <w:textAlignment w:val="baseline"/>
        <w:rPr>
          <w:rFonts w:hint="eastAsia" w:ascii="Arial" w:hAnsi="Arial" w:cs="宋体"/>
          <w:b/>
          <w:bCs/>
          <w:color w:val="auto"/>
          <w:sz w:val="24"/>
          <w:highlight w:val="none"/>
        </w:rPr>
      </w:pPr>
      <w:r>
        <w:rPr>
          <w:rFonts w:hint="eastAsia" w:ascii="Arial" w:hAnsi="Arial" w:cs="宋体"/>
          <w:b/>
          <w:bCs/>
          <w:color w:val="auto"/>
          <w:sz w:val="24"/>
          <w:highlight w:val="none"/>
        </w:rPr>
        <w:t>服务范围：⑴临川区上顿渡镇、抚北镇、抚北工业园区、孝桥镇建成区（面积约23.37平方公里），</w:t>
      </w:r>
    </w:p>
    <w:p>
      <w:pPr>
        <w:ind w:firstLine="482" w:firstLineChars="200"/>
        <w:textAlignment w:val="baseline"/>
        <w:rPr>
          <w:rFonts w:hint="eastAsia" w:ascii="Arial" w:hAnsi="Arial" w:cs="宋体"/>
          <w:b/>
          <w:bCs/>
          <w:color w:val="auto"/>
          <w:sz w:val="24"/>
          <w:highlight w:val="none"/>
        </w:rPr>
      </w:pPr>
      <w:r>
        <w:rPr>
          <w:rFonts w:hint="eastAsia" w:ascii="Arial" w:hAnsi="Arial" w:cs="宋体"/>
          <w:b/>
          <w:bCs/>
          <w:color w:val="auto"/>
          <w:sz w:val="24"/>
          <w:highlight w:val="none"/>
        </w:rPr>
        <w:t>⑵市主城区青云街办、西大街街办、荆公路街办、六水桥街办和文昌街办（面积约23.48平方公里），</w:t>
      </w:r>
    </w:p>
    <w:p>
      <w:pPr>
        <w:ind w:firstLine="482" w:firstLineChars="200"/>
        <w:textAlignment w:val="baseline"/>
        <w:rPr>
          <w:rFonts w:hint="eastAsia" w:ascii="Arial" w:hAnsi="Arial" w:cs="宋体"/>
          <w:b/>
          <w:bCs/>
          <w:color w:val="auto"/>
          <w:sz w:val="24"/>
          <w:highlight w:val="none"/>
        </w:rPr>
      </w:pPr>
      <w:r>
        <w:rPr>
          <w:rFonts w:hint="eastAsia" w:ascii="Arial" w:hAnsi="Arial" w:cs="宋体"/>
          <w:b/>
          <w:bCs/>
          <w:color w:val="auto"/>
          <w:sz w:val="24"/>
          <w:highlight w:val="none"/>
        </w:rPr>
        <w:t>⑶高新区钟岭街办、城西街办、崇岗镇建成区（面积约27.15平方公里）。</w:t>
      </w:r>
    </w:p>
    <w:p>
      <w:pPr>
        <w:ind w:firstLine="482" w:firstLineChars="200"/>
        <w:textAlignment w:val="baseline"/>
        <w:rPr>
          <w:rFonts w:ascii="Arial" w:hAnsi="Arial" w:cs="宋体"/>
          <w:b/>
          <w:bCs/>
          <w:color w:val="auto"/>
          <w:sz w:val="24"/>
          <w:highlight w:val="none"/>
        </w:rPr>
      </w:pPr>
      <w:r>
        <w:rPr>
          <w:rFonts w:hint="eastAsia" w:ascii="Arial" w:hAnsi="Arial" w:cs="宋体"/>
          <w:b/>
          <w:bCs/>
          <w:color w:val="auto"/>
          <w:sz w:val="24"/>
          <w:highlight w:val="none"/>
        </w:rPr>
        <w:t>服务面积：共计74平方公里。</w:t>
      </w:r>
    </w:p>
    <w:p>
      <w:pPr>
        <w:pStyle w:val="6"/>
        <w:spacing w:line="320" w:lineRule="exact"/>
        <w:ind w:firstLine="0" w:firstLineChars="0"/>
        <w:rPr>
          <w:rFonts w:hint="eastAsia"/>
          <w:b/>
          <w:bCs/>
          <w:color w:val="auto"/>
          <w:szCs w:val="24"/>
          <w:highlight w:val="none"/>
        </w:rPr>
      </w:pPr>
      <w:r>
        <w:rPr>
          <w:rFonts w:hint="eastAsia"/>
          <w:b/>
          <w:bCs/>
          <w:color w:val="auto"/>
          <w:szCs w:val="24"/>
          <w:highlight w:val="none"/>
        </w:rPr>
        <w:t>（三）公共外环境病媒生物防制服务内容</w:t>
      </w:r>
    </w:p>
    <w:p>
      <w:pPr>
        <w:spacing w:line="320" w:lineRule="exact"/>
        <w:rPr>
          <w:rFonts w:ascii="宋体" w:hAnsi="宋体"/>
          <w:color w:val="auto"/>
          <w:sz w:val="24"/>
          <w:highlight w:val="none"/>
        </w:rPr>
      </w:pPr>
      <w:r>
        <w:rPr>
          <w:rFonts w:hint="eastAsia" w:ascii="宋体" w:hAnsi="宋体"/>
          <w:b/>
          <w:bCs/>
          <w:color w:val="auto"/>
          <w:sz w:val="24"/>
          <w:highlight w:val="none"/>
        </w:rPr>
        <w:t xml:space="preserve">    1、</w:t>
      </w:r>
      <w:r>
        <w:rPr>
          <w:rFonts w:hint="eastAsia" w:ascii="宋体" w:hAnsi="宋体"/>
          <w:color w:val="auto"/>
          <w:sz w:val="24"/>
          <w:highlight w:val="none"/>
        </w:rPr>
        <w:t>为科学有效制订病媒生物防制工作计划，切合实际有效展开相关综合防治工作，在开始病媒生物防制服务消杀工作之前必须先开展防制服务范围内病媒生物密度本底和孳生地调查，在消杀过程中自评防治效果，并依据评估情况进行及时纠偏，确保综合防制效果。同时形成创卫病媒生物防制台账资料，收集归档。</w:t>
      </w:r>
    </w:p>
    <w:p>
      <w:pPr>
        <w:pStyle w:val="6"/>
        <w:ind w:firstLine="480"/>
        <w:jc w:val="left"/>
        <w:rPr>
          <w:rFonts w:hint="eastAsia"/>
          <w:color w:val="auto"/>
          <w:szCs w:val="24"/>
          <w:highlight w:val="none"/>
        </w:rPr>
      </w:pPr>
      <w:r>
        <w:rPr>
          <w:rFonts w:hint="eastAsia" w:ascii="宋体" w:hAnsi="宋体"/>
          <w:color w:val="auto"/>
          <w:szCs w:val="24"/>
          <w:highlight w:val="none"/>
        </w:rPr>
        <w:t>2、对防制服务范围内的所有各级道路（含水体堤岸道路）、下水道、垃圾池、垃圾中转站、公园外环境周边、广场外环境周边、公共绿化带、农贸市场外环境周边、人防工程外环境周边、果皮箱、蚊虫孳生水体、苍蝇孳生地、背街小巷、无物业管理居民小区、城中村、城乡结合部等公共外环境开展消杀（灭鼠、蚊、蝇、蟑螂）、投放及更换毒饵盒、鼠药和堵塞鼠洞等，以及对不符合规格、设置不合理的灭鼠毒饵站进行纠偏。</w:t>
      </w:r>
    </w:p>
    <w:p>
      <w:pPr>
        <w:spacing w:line="320" w:lineRule="exact"/>
        <w:rPr>
          <w:rFonts w:ascii="宋体" w:hAnsi="宋体"/>
          <w:color w:val="auto"/>
          <w:sz w:val="24"/>
          <w:highlight w:val="none"/>
        </w:rPr>
      </w:pPr>
      <w:r>
        <w:rPr>
          <w:rFonts w:hint="eastAsia" w:ascii="宋体" w:hAnsi="宋体"/>
          <w:b/>
          <w:color w:val="auto"/>
          <w:sz w:val="24"/>
          <w:highlight w:val="none"/>
        </w:rPr>
        <w:t>（四）公共外环境病媒生物防制期限和作业要求</w:t>
      </w:r>
    </w:p>
    <w:p>
      <w:pPr>
        <w:spacing w:line="320" w:lineRule="exact"/>
        <w:ind w:firstLine="480" w:firstLineChars="200"/>
        <w:rPr>
          <w:rFonts w:hint="eastAsia" w:ascii="宋体" w:hAnsi="宋体"/>
          <w:color w:val="auto"/>
          <w:sz w:val="24"/>
          <w:highlight w:val="none"/>
        </w:rPr>
      </w:pPr>
      <w:r>
        <w:rPr>
          <w:rFonts w:hint="eastAsia" w:ascii="宋体" w:hAnsi="宋体"/>
          <w:color w:val="auto"/>
          <w:sz w:val="24"/>
          <w:highlight w:val="none"/>
        </w:rPr>
        <w:t>1、服务期限为自合同签订之日起1年，除日常防制外每年至少开展3次全覆盖集中防制工作（即：春季灭鼠蚊蝇蟑、夏季灭鼠蚊蝇蟑、秋季灭鼠蟑工作，防制内容、时间安排具体以采购单位通知为准）。日常防制须根据“四害”消长季节规律进行防制工作（4-10月的日常防制工作每月不少于2次，11月至次年3月的日常防制工作每月不少于1次），全年的日常防制工作总次数不少于19次。</w:t>
      </w:r>
    </w:p>
    <w:p>
      <w:pPr>
        <w:spacing w:line="320" w:lineRule="exact"/>
        <w:ind w:firstLine="360" w:firstLineChars="150"/>
        <w:rPr>
          <w:rFonts w:hint="eastAsia" w:ascii="宋体" w:hAnsi="宋体"/>
          <w:color w:val="auto"/>
          <w:sz w:val="24"/>
          <w:highlight w:val="none"/>
        </w:rPr>
      </w:pPr>
      <w:r>
        <w:rPr>
          <w:rFonts w:hint="eastAsia" w:ascii="宋体" w:hAnsi="宋体"/>
          <w:color w:val="auto"/>
          <w:sz w:val="24"/>
          <w:highlight w:val="none"/>
        </w:rPr>
        <w:t>2、切实做好防制服务范围内的公共外环境病媒生物防制工作，确保按计划在各区域进行全方位的灭鼠、灭蚊、灭蝇、灭蟑作业，且必须保证全年的鼠、蚊、蝇、蟑螂密度达到国家病媒生物密度控制水平标准 C 级要求。</w:t>
      </w:r>
    </w:p>
    <w:p>
      <w:pPr>
        <w:spacing w:line="320" w:lineRule="exact"/>
        <w:ind w:firstLine="360" w:firstLineChars="150"/>
        <w:rPr>
          <w:rFonts w:hint="eastAsia" w:ascii="宋体" w:hAnsi="宋体"/>
          <w:color w:val="auto"/>
          <w:sz w:val="24"/>
          <w:highlight w:val="none"/>
        </w:rPr>
      </w:pPr>
      <w:r>
        <w:rPr>
          <w:rFonts w:hint="eastAsia" w:ascii="宋体" w:hAnsi="宋体"/>
          <w:color w:val="auto"/>
          <w:sz w:val="24"/>
          <w:highlight w:val="none"/>
        </w:rPr>
        <w:t>3、坚持“预防为主，综合防治”的消杀方针。在提供药物投放服务时，必须科学、规范投放，确保消杀药物的投放量、到位率、覆盖率符合要求并作好相关文字记录，保留备查。同时，必须作好宣传和技术指导工作，注意安全，废弃药物及死鼠等要妥善处理，预防人畜误食鼠药中毒等事件发生，以及对发生误食中毒事件进行及时处理，并承担因宣传和指导不力造成环境污染和人畜误食中毒所产生的所有后果。</w:t>
      </w:r>
    </w:p>
    <w:p>
      <w:pPr>
        <w:spacing w:line="320" w:lineRule="exact"/>
        <w:ind w:firstLine="360" w:firstLineChars="150"/>
        <w:rPr>
          <w:rFonts w:hint="eastAsia" w:ascii="宋体" w:hAnsi="宋体"/>
          <w:color w:val="auto"/>
          <w:sz w:val="24"/>
          <w:highlight w:val="none"/>
        </w:rPr>
      </w:pPr>
      <w:r>
        <w:rPr>
          <w:rFonts w:hint="eastAsia" w:ascii="宋体" w:hAnsi="宋体"/>
          <w:color w:val="auto"/>
          <w:sz w:val="24"/>
          <w:highlight w:val="none"/>
        </w:rPr>
        <w:t>4、病媒生物防制工作人员须为专业的技术人员，需经培训后持证上岗，按照病媒生物防制工作的法规标准，规范操作。作业时必须统一服装、统一标准，做到安全作业、文明作业。</w:t>
      </w:r>
    </w:p>
    <w:p>
      <w:pPr>
        <w:spacing w:line="320" w:lineRule="exact"/>
        <w:ind w:firstLine="360" w:firstLineChars="150"/>
        <w:rPr>
          <w:rFonts w:hint="eastAsia" w:ascii="宋体" w:hAnsi="宋体"/>
          <w:color w:val="auto"/>
          <w:sz w:val="24"/>
          <w:highlight w:val="none"/>
        </w:rPr>
      </w:pPr>
      <w:r>
        <w:rPr>
          <w:rFonts w:hint="eastAsia" w:ascii="宋体" w:hAnsi="宋体"/>
          <w:color w:val="auto"/>
          <w:sz w:val="24"/>
          <w:highlight w:val="none"/>
        </w:rPr>
        <w:t>5、在开始病媒生物防制服务消杀工作之前必须先对防制区域开展不同类型病媒生物孳生地的全面调查，并将孳生地情况、相关环境问题等详细资料汇总成册报市爱卫办。</w:t>
      </w:r>
    </w:p>
    <w:p>
      <w:pPr>
        <w:spacing w:line="320" w:lineRule="exact"/>
        <w:ind w:firstLine="360" w:firstLineChars="150"/>
        <w:rPr>
          <w:rFonts w:hint="eastAsia" w:ascii="宋体" w:hAnsi="宋体"/>
          <w:color w:val="auto"/>
          <w:sz w:val="24"/>
          <w:highlight w:val="none"/>
        </w:rPr>
      </w:pPr>
      <w:r>
        <w:rPr>
          <w:rFonts w:hint="eastAsia" w:ascii="宋体" w:hAnsi="宋体"/>
          <w:color w:val="auto"/>
          <w:sz w:val="24"/>
          <w:highlight w:val="none"/>
        </w:rPr>
        <w:t>6、在消杀过程中自评防治效果或第三方效果评估，并依据评估情况进行及时纠偏，确保综合防制效果。同时做好每次病媒生物防制工作的记录，登记时间、处理位置、用药量等数据和拍摄现场照片，形成病媒生物防制台账资料，收集归档。</w:t>
      </w:r>
    </w:p>
    <w:p>
      <w:pPr>
        <w:spacing w:line="320" w:lineRule="exact"/>
        <w:ind w:firstLine="360" w:firstLineChars="150"/>
        <w:rPr>
          <w:rFonts w:hint="eastAsia" w:ascii="宋体" w:hAnsi="宋体"/>
          <w:color w:val="auto"/>
          <w:sz w:val="24"/>
          <w:highlight w:val="none"/>
        </w:rPr>
      </w:pPr>
      <w:r>
        <w:rPr>
          <w:rFonts w:hint="eastAsia" w:ascii="宋体" w:hAnsi="宋体"/>
          <w:color w:val="auto"/>
          <w:sz w:val="24"/>
          <w:highlight w:val="none"/>
        </w:rPr>
        <w:t>7、安排专人负责巡查和开展病媒生物防制效果跟踪检查，并根据实际效果调整用药品种、剂量、配方、时间。</w:t>
      </w:r>
    </w:p>
    <w:p>
      <w:pPr>
        <w:spacing w:line="320" w:lineRule="exact"/>
        <w:ind w:firstLine="360" w:firstLineChars="150"/>
        <w:rPr>
          <w:rFonts w:hint="eastAsia" w:ascii="宋体" w:hAnsi="宋体"/>
          <w:color w:val="auto"/>
          <w:sz w:val="24"/>
          <w:highlight w:val="none"/>
        </w:rPr>
      </w:pPr>
      <w:r>
        <w:rPr>
          <w:rFonts w:hint="eastAsia" w:ascii="宋体" w:hAnsi="宋体"/>
          <w:color w:val="auto"/>
          <w:sz w:val="24"/>
          <w:highlight w:val="none"/>
        </w:rPr>
        <w:t>8、在完成首次全方位病媒生物防制工作后，组织对防制服务范围内全面规范安装设置灭鼠毒饵站，对不符合规格、设置不合理的灭鼠毒饵站进行纠偏，并张贴标签（警示）牌，且必须对其进行日常维护，毒饵料必须常年保持新鲜。</w:t>
      </w:r>
    </w:p>
    <w:p>
      <w:pPr>
        <w:spacing w:line="320" w:lineRule="exact"/>
        <w:ind w:firstLine="480" w:firstLineChars="200"/>
        <w:rPr>
          <w:rFonts w:hint="eastAsia" w:ascii="宋体" w:hAnsi="宋体"/>
          <w:color w:val="auto"/>
          <w:sz w:val="24"/>
          <w:highlight w:val="none"/>
        </w:rPr>
      </w:pPr>
      <w:r>
        <w:rPr>
          <w:rFonts w:hint="eastAsia" w:ascii="宋体" w:hAnsi="宋体"/>
          <w:color w:val="auto"/>
          <w:sz w:val="24"/>
          <w:highlight w:val="none"/>
        </w:rPr>
        <w:t>9、合同期间，采购单位可根据工作需求，通知成交供应商进行有针对性的病媒生物防制和突击治理工作。</w:t>
      </w:r>
    </w:p>
    <w:p>
      <w:pPr>
        <w:spacing w:line="320" w:lineRule="exact"/>
        <w:ind w:firstLine="360" w:firstLineChars="150"/>
        <w:rPr>
          <w:rFonts w:hint="eastAsia" w:ascii="宋体" w:hAnsi="宋体"/>
          <w:color w:val="auto"/>
          <w:sz w:val="24"/>
          <w:highlight w:val="none"/>
        </w:rPr>
      </w:pPr>
      <w:r>
        <w:rPr>
          <w:rFonts w:hint="eastAsia" w:ascii="宋体" w:hAnsi="宋体"/>
          <w:color w:val="auto"/>
          <w:sz w:val="24"/>
          <w:highlight w:val="none"/>
        </w:rPr>
        <w:t>10、合同期间应配合采购单位组织的相关技术培训、公益性宣传教育活动等。</w:t>
      </w:r>
    </w:p>
    <w:p>
      <w:pPr>
        <w:spacing w:line="320" w:lineRule="exact"/>
        <w:ind w:firstLine="360" w:firstLineChars="150"/>
        <w:rPr>
          <w:rFonts w:hint="eastAsia" w:ascii="宋体" w:hAnsi="宋体"/>
          <w:color w:val="auto"/>
          <w:sz w:val="24"/>
          <w:highlight w:val="none"/>
        </w:rPr>
      </w:pPr>
      <w:r>
        <w:rPr>
          <w:rFonts w:hint="eastAsia" w:ascii="宋体" w:hAnsi="宋体"/>
          <w:color w:val="auto"/>
          <w:sz w:val="24"/>
          <w:highlight w:val="none"/>
        </w:rPr>
        <w:t>11、需从病媒生物综合防制的角度，从孳生地调查、危害监测、环境治理等方面提供技术性材料，并按照市爱卫办的要求完成档案收集等工作。</w:t>
      </w:r>
    </w:p>
    <w:p>
      <w:pPr>
        <w:spacing w:line="320" w:lineRule="exact"/>
        <w:rPr>
          <w:rFonts w:ascii="宋体" w:hAnsi="宋体"/>
          <w:b/>
          <w:color w:val="auto"/>
          <w:sz w:val="24"/>
          <w:highlight w:val="none"/>
        </w:rPr>
      </w:pPr>
      <w:r>
        <w:rPr>
          <w:rFonts w:ascii="宋体" w:hAnsi="宋体"/>
          <w:b/>
          <w:color w:val="auto"/>
          <w:sz w:val="24"/>
          <w:highlight w:val="none"/>
        </w:rPr>
        <w:t>（五）</w:t>
      </w:r>
      <w:r>
        <w:rPr>
          <w:rFonts w:hint="eastAsia" w:ascii="宋体" w:hAnsi="宋体"/>
          <w:b/>
          <w:color w:val="auto"/>
          <w:sz w:val="24"/>
          <w:highlight w:val="none"/>
        </w:rPr>
        <w:t>公共外环境病媒生物服务内容和要求</w:t>
      </w:r>
    </w:p>
    <w:p>
      <w:pPr>
        <w:spacing w:line="320" w:lineRule="exact"/>
        <w:ind w:firstLine="480" w:firstLineChars="200"/>
        <w:rPr>
          <w:rFonts w:hint="eastAsia" w:ascii="宋体" w:hAnsi="宋体"/>
          <w:color w:val="auto"/>
          <w:sz w:val="24"/>
          <w:highlight w:val="none"/>
        </w:rPr>
      </w:pPr>
      <w:r>
        <w:rPr>
          <w:rFonts w:hint="eastAsia" w:ascii="宋体" w:hAnsi="宋体"/>
          <w:color w:val="auto"/>
          <w:sz w:val="24"/>
          <w:highlight w:val="none"/>
        </w:rPr>
        <w:t>在防制服务范围内全面铺开进行病媒生物防制专项整治，投放灭鼠药饵，开展蚊、蝇、蟑的药物消杀，包括喷洒灭蚊蝇药物，熏杀下水道蟑螂，道路两侧灭蚊、蝇、公共区域积水等水体灭蚊孑孓、垃圾等孳生地灭蝇幼虫，按相关要求规范安装设置灭鼠毒饵站以及对不符合规格、设置不合理的灭鼠毒饵站进行纠偏。</w:t>
      </w:r>
    </w:p>
    <w:p>
      <w:pPr>
        <w:spacing w:line="320" w:lineRule="exact"/>
        <w:rPr>
          <w:rFonts w:hint="eastAsia" w:ascii="宋体" w:hAnsi="宋体"/>
          <w:b/>
          <w:color w:val="auto"/>
          <w:sz w:val="24"/>
          <w:highlight w:val="none"/>
        </w:rPr>
      </w:pPr>
      <w:r>
        <w:rPr>
          <w:rFonts w:hint="eastAsia" w:ascii="宋体" w:hAnsi="宋体"/>
          <w:b/>
          <w:color w:val="auto"/>
          <w:sz w:val="24"/>
          <w:highlight w:val="none"/>
        </w:rPr>
        <w:t>（六）公共外环境病媒生物相关服务标准</w:t>
      </w:r>
    </w:p>
    <w:p>
      <w:pPr>
        <w:spacing w:line="320" w:lineRule="exact"/>
        <w:ind w:firstLine="480" w:firstLineChars="200"/>
        <w:rPr>
          <w:rFonts w:hint="eastAsia"/>
          <w:color w:val="auto"/>
          <w:sz w:val="24"/>
          <w:highlight w:val="none"/>
        </w:rPr>
      </w:pPr>
      <w:r>
        <w:rPr>
          <w:rFonts w:hint="eastAsia"/>
          <w:color w:val="auto"/>
          <w:sz w:val="24"/>
          <w:highlight w:val="none"/>
        </w:rPr>
        <w:t>1、病媒生物防制质量标准</w:t>
      </w:r>
    </w:p>
    <w:p>
      <w:pPr>
        <w:spacing w:line="320" w:lineRule="exact"/>
        <w:ind w:firstLine="480" w:firstLineChars="200"/>
        <w:rPr>
          <w:rFonts w:hint="eastAsia"/>
          <w:color w:val="auto"/>
          <w:sz w:val="24"/>
          <w:highlight w:val="none"/>
        </w:rPr>
      </w:pPr>
      <w:r>
        <w:rPr>
          <w:rFonts w:hint="eastAsia"/>
          <w:color w:val="auto"/>
          <w:sz w:val="24"/>
          <w:highlight w:val="none"/>
        </w:rPr>
        <w:t>监测标准：《中华人民共和国国家标准（GB/T 23796-2009）病媒生物密度监测方法蝇类》、《中华人民共和国国家标准（GB/T 23797-</w:t>
      </w:r>
      <w:r>
        <w:rPr>
          <w:rFonts w:hint="eastAsia"/>
          <w:color w:val="auto"/>
          <w:sz w:val="24"/>
          <w:highlight w:val="none"/>
          <w:lang w:val="en-US" w:eastAsia="zh-CN"/>
        </w:rPr>
        <w:t>2020</w:t>
      </w:r>
      <w:r>
        <w:rPr>
          <w:rFonts w:hint="eastAsia"/>
          <w:color w:val="auto"/>
          <w:sz w:val="24"/>
          <w:highlight w:val="none"/>
        </w:rPr>
        <w:t>）</w:t>
      </w:r>
      <w:r>
        <w:rPr>
          <w:rFonts w:hint="eastAsia" w:ascii="宋体" w:hAnsi="宋体"/>
          <w:color w:val="auto"/>
          <w:sz w:val="24"/>
          <w:highlight w:val="none"/>
        </w:rPr>
        <w:t>病媒生物密度监测方</w:t>
      </w:r>
      <w:r>
        <w:rPr>
          <w:rFonts w:hint="eastAsia"/>
          <w:color w:val="auto"/>
          <w:sz w:val="24"/>
          <w:highlight w:val="none"/>
        </w:rPr>
        <w:t>法蚊虫》、《中华人民共和国国家标准（GB/T 23798-2009）病媒生物密度监测方法鼠类》、《中华人民共和国国家标准（GB/T 23795-2009）病媒生物密度监测方法蜚蠊》。控制水平标准：《中华人民共和国国家标准（GB/T 27773-2011）病媒生物密度控制水平蜚蠊》、《中华人民共和国国家标准（GB/T 27772-2011）病媒生物密度控制水平蝇类》、《中华人民共和国国家标准（GB/T 27771-2011）病媒生物密度控制水平蚊虫》、《中华人民共和国国家标准（GB/T 27770-2011）病媒生物密度控制水平鼠类》。</w:t>
      </w:r>
    </w:p>
    <w:p>
      <w:pPr>
        <w:spacing w:line="320" w:lineRule="exact"/>
        <w:ind w:firstLine="480" w:firstLineChars="200"/>
        <w:rPr>
          <w:rFonts w:hint="eastAsia"/>
          <w:color w:val="auto"/>
          <w:sz w:val="24"/>
          <w:highlight w:val="none"/>
        </w:rPr>
      </w:pPr>
      <w:r>
        <w:rPr>
          <w:rFonts w:hint="eastAsia"/>
          <w:color w:val="auto"/>
          <w:sz w:val="24"/>
          <w:highlight w:val="none"/>
        </w:rPr>
        <w:t>2、在开展杀虫灭鼠活动时应提前通知甲方，并发放投（喷）药宣传单，以便甲方进行安排及配合工作，施药现场应摆放警示牌,在开展杀虫灭鼠活动前必须和相关单位联系，由相关单位安排人员提供协助和监督消杀情况。</w:t>
      </w:r>
    </w:p>
    <w:p>
      <w:pPr>
        <w:spacing w:line="320" w:lineRule="exact"/>
        <w:ind w:firstLine="480" w:firstLineChars="200"/>
        <w:rPr>
          <w:rFonts w:hint="eastAsia"/>
          <w:color w:val="auto"/>
          <w:sz w:val="24"/>
          <w:highlight w:val="none"/>
        </w:rPr>
      </w:pPr>
      <w:r>
        <w:rPr>
          <w:rFonts w:hint="eastAsia"/>
          <w:color w:val="auto"/>
          <w:sz w:val="24"/>
          <w:highlight w:val="none"/>
        </w:rPr>
        <w:t>3、蚊、蝇消杀：孳生地投放灭幼药剂，重点部位及害虫栖息场所进行药物滞留喷洒和空间喷雾；宣传并指导相关居民和村民做好防蚊、防蝇工作，消除孳生地，做到重点区域重点监控，发现问题及时处理的施工原则。</w:t>
      </w:r>
    </w:p>
    <w:p>
      <w:pPr>
        <w:spacing w:line="320" w:lineRule="exact"/>
        <w:ind w:firstLine="480" w:firstLineChars="200"/>
        <w:rPr>
          <w:rFonts w:hint="eastAsia"/>
          <w:color w:val="auto"/>
          <w:sz w:val="24"/>
          <w:highlight w:val="none"/>
        </w:rPr>
      </w:pPr>
      <w:r>
        <w:rPr>
          <w:rFonts w:hint="eastAsia"/>
          <w:color w:val="auto"/>
          <w:sz w:val="24"/>
          <w:highlight w:val="none"/>
        </w:rPr>
        <w:t>4、灭鼠药械统一投放，进行多轮统一投药，即：灭鼠重点区域为各级道路、下水道、农贸市场及周边、公厕、垃圾中转站及周边、无物业管理居民区、广场、公共绿化带、果皮箱、鼠洞、鼠道等，对老鼠活动和容易孳生栖息的地点等作为灭鼠防鼠工作重点，原则上投药必须投入固定鼠穴、灭鼠毒饵站或相对隐蔽的区域和地点，选用药物为第二代抗凝血剂灭鼠毒饵，确保安全高效，严禁使用国家禁止使用的灭鼠药物，并将加大对服务范围内各单位、各居民区人员的宣传介绍，提供药物保障和24小时的技术支撑。在背街小巷、无物业小区的下水道悬吊灭鼠蜡块。</w:t>
      </w:r>
    </w:p>
    <w:p>
      <w:pPr>
        <w:spacing w:line="320" w:lineRule="exact"/>
        <w:ind w:firstLine="480" w:firstLineChars="200"/>
        <w:rPr>
          <w:rFonts w:hint="eastAsia"/>
          <w:color w:val="auto"/>
          <w:sz w:val="24"/>
          <w:highlight w:val="none"/>
        </w:rPr>
      </w:pPr>
      <w:r>
        <w:rPr>
          <w:rFonts w:hint="eastAsia"/>
          <w:color w:val="auto"/>
          <w:sz w:val="24"/>
          <w:highlight w:val="none"/>
        </w:rPr>
        <w:t>5、下水道的灭蟑灭虫：对防制服务范围内下水道进行熏杀灭蟑灭虫。</w:t>
      </w:r>
    </w:p>
    <w:p>
      <w:pPr>
        <w:spacing w:line="320" w:lineRule="exact"/>
        <w:ind w:firstLine="480" w:firstLineChars="200"/>
        <w:rPr>
          <w:rFonts w:hint="eastAsia"/>
          <w:color w:val="auto"/>
          <w:sz w:val="24"/>
          <w:highlight w:val="none"/>
        </w:rPr>
      </w:pPr>
      <w:r>
        <w:rPr>
          <w:rFonts w:hint="eastAsia"/>
          <w:color w:val="auto"/>
          <w:sz w:val="24"/>
          <w:highlight w:val="none"/>
        </w:rPr>
        <w:t>6、按相关要求在防制服务范围内完成布放及更换符合规格的灭鼠毒饵站。灭鼠毒饵站应根据孳生地调查和病媒生物密度监测结果设置在有鼠迹、位置隐蔽、人员稀少、不引人注目的地方沿墙等位置布放，在主次街路、人行道等人员集中的地方布放时应慎重；要求在公共区域的背街小巷、无物业管理老旧小区、老旧居民区、城乡结合部、城中村、公园、广场、垃圾箱（屋、桶）、农贸市场、垃圾中转站、公厕等周边选取适宜位置布放灭鼠毒饵站。</w:t>
      </w:r>
    </w:p>
    <w:p>
      <w:pPr>
        <w:spacing w:line="320" w:lineRule="exact"/>
        <w:rPr>
          <w:rFonts w:hint="eastAsia" w:ascii="宋体" w:hAnsi="宋体" w:cs="仿宋"/>
          <w:b/>
          <w:color w:val="auto"/>
          <w:sz w:val="24"/>
          <w:highlight w:val="none"/>
        </w:rPr>
      </w:pPr>
      <w:r>
        <w:rPr>
          <w:rFonts w:hint="eastAsia" w:ascii="宋体" w:hAnsi="宋体" w:cs="仿宋"/>
          <w:b/>
          <w:color w:val="auto"/>
          <w:sz w:val="24"/>
          <w:highlight w:val="none"/>
        </w:rPr>
        <w:t>（七）、用药标准及要求</w:t>
      </w:r>
    </w:p>
    <w:p>
      <w:pPr>
        <w:spacing w:line="320" w:lineRule="exact"/>
        <w:rPr>
          <w:rFonts w:hint="eastAsia" w:ascii="宋体" w:hAnsi="宋体" w:eastAsia="宋体" w:cs="宋体"/>
          <w:b/>
          <w:bCs/>
          <w:color w:val="auto"/>
          <w:sz w:val="24"/>
          <w:highlight w:val="red"/>
          <w:lang w:eastAsia="zh-CN"/>
        </w:rPr>
      </w:pPr>
      <w:r>
        <w:rPr>
          <w:rFonts w:hint="eastAsia" w:ascii="宋体" w:hAnsi="宋体" w:cs="宋体"/>
          <w:color w:val="auto"/>
          <w:sz w:val="24"/>
          <w:highlight w:val="none"/>
        </w:rPr>
        <w:t>1、采购的药品必须是国内合格厂家的药物，并取得“三证</w:t>
      </w:r>
      <w:r>
        <w:rPr>
          <w:rFonts w:hint="eastAsia" w:ascii="宋体" w:hAnsi="宋体" w:cs="宋体"/>
          <w:b/>
          <w:bCs/>
          <w:color w:val="auto"/>
          <w:sz w:val="24"/>
          <w:highlight w:val="none"/>
        </w:rPr>
        <w:t>（产品农药登记证、生产许可证或农药生产批准证书、企业执行标准证书）”及药品生产厂家针对本项目的质量承诺并加盖公章。</w:t>
      </w:r>
    </w:p>
    <w:p>
      <w:pPr>
        <w:numPr>
          <w:ilvl w:val="0"/>
          <w:numId w:val="2"/>
        </w:numPr>
        <w:spacing w:line="320" w:lineRule="exact"/>
        <w:rPr>
          <w:rFonts w:hint="eastAsia" w:ascii="宋体" w:hAnsi="宋体" w:cs="宋体"/>
          <w:color w:val="auto"/>
          <w:sz w:val="24"/>
          <w:highlight w:val="none"/>
        </w:rPr>
      </w:pPr>
      <w:r>
        <w:rPr>
          <w:rFonts w:hint="eastAsia" w:ascii="宋体" w:hAnsi="宋体" w:cs="宋体"/>
          <w:color w:val="auto"/>
          <w:sz w:val="24"/>
          <w:highlight w:val="none"/>
        </w:rPr>
        <w:t>公共外环境用药必须注重科学合理用药，不得使用假药、国家禁用的药物，并须确保药物来源和质量正当可靠。使用的药物必须符合GB/T27777-2011《杀鼠剂安全使用准则》与GB/T27779-2011《卫生杀虫剂安全使用准则》的要求，达到“安全、高效、环保”并交替使用药物防止产生耐药性的要求。</w:t>
      </w:r>
    </w:p>
    <w:p>
      <w:pPr>
        <w:numPr>
          <w:ilvl w:val="0"/>
          <w:numId w:val="2"/>
        </w:numPr>
        <w:spacing w:line="320" w:lineRule="exact"/>
        <w:rPr>
          <w:rFonts w:hint="eastAsia" w:ascii="宋体" w:hAnsi="宋体" w:cs="宋体"/>
          <w:color w:val="auto"/>
          <w:sz w:val="24"/>
          <w:highlight w:val="none"/>
        </w:rPr>
      </w:pPr>
      <w:r>
        <w:rPr>
          <w:rFonts w:hint="eastAsia" w:ascii="宋体" w:hAnsi="宋体" w:cs="宋体"/>
          <w:color w:val="auto"/>
          <w:sz w:val="24"/>
          <w:highlight w:val="none"/>
        </w:rPr>
        <w:t>为保证用药质量，使用药物必须按照以下标准和要求执行。</w:t>
      </w:r>
    </w:p>
    <w:tbl>
      <w:tblPr>
        <w:tblStyle w:val="4"/>
        <w:tblW w:w="51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1874"/>
        <w:gridCol w:w="2229"/>
        <w:gridCol w:w="157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11"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val="zh-CN" w:bidi="zh-CN"/>
              </w:rPr>
              <w:t>药品名称</w:t>
            </w:r>
          </w:p>
        </w:tc>
        <w:tc>
          <w:tcPr>
            <w:tcW w:w="1062"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val="zh-CN" w:bidi="zh-CN"/>
              </w:rPr>
              <w:t>制造商要求</w:t>
            </w:r>
          </w:p>
        </w:tc>
        <w:tc>
          <w:tcPr>
            <w:tcW w:w="126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药品有效成分</w:t>
            </w:r>
          </w:p>
        </w:tc>
        <w:tc>
          <w:tcPr>
            <w:tcW w:w="893"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val="zh-CN" w:bidi="zh-CN"/>
              </w:rPr>
              <w:t>药品用途</w:t>
            </w:r>
          </w:p>
        </w:tc>
        <w:tc>
          <w:tcPr>
            <w:tcW w:w="671"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val="zh-CN" w:bidi="zh-CN"/>
              </w:rPr>
              <w:t>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11" w:type="pct"/>
            <w:noWrap w:val="0"/>
            <w:vAlign w:val="center"/>
          </w:tcPr>
          <w:p>
            <w:pPr>
              <w:autoSpaceDE w:val="0"/>
              <w:autoSpaceDN w:val="0"/>
              <w:jc w:val="center"/>
              <w:rPr>
                <w:rFonts w:ascii="宋体" w:hAnsi="宋体" w:cs="宋体"/>
                <w:color w:val="auto"/>
                <w:kern w:val="0"/>
                <w:sz w:val="24"/>
                <w:highlight w:val="none"/>
                <w:lang w:val="zh-CN" w:bidi="zh-CN"/>
              </w:rPr>
            </w:pPr>
            <w:r>
              <w:rPr>
                <w:rFonts w:hint="eastAsia" w:ascii="宋体" w:hAnsi="宋体" w:cs="宋体"/>
                <w:color w:val="auto"/>
                <w:kern w:val="0"/>
                <w:sz w:val="24"/>
                <w:highlight w:val="none"/>
                <w:lang w:bidi="zh-CN"/>
              </w:rPr>
              <w:t>溴敌隆</w:t>
            </w:r>
            <w:r>
              <w:rPr>
                <w:rFonts w:hint="eastAsia" w:ascii="宋体" w:hAnsi="宋体" w:cs="宋体"/>
                <w:color w:val="auto"/>
                <w:kern w:val="0"/>
                <w:sz w:val="24"/>
                <w:highlight w:val="none"/>
                <w:lang w:val="zh-CN" w:bidi="zh-CN"/>
              </w:rPr>
              <w:t>饵料</w:t>
            </w:r>
          </w:p>
        </w:tc>
        <w:tc>
          <w:tcPr>
            <w:tcW w:w="1062" w:type="pct"/>
            <w:vMerge w:val="restar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
                <w:bCs w:val="0"/>
                <w:color w:val="auto"/>
                <w:kern w:val="0"/>
                <w:sz w:val="24"/>
                <w:highlight w:val="none"/>
                <w:lang w:val="zh-CN" w:bidi="zh-CN"/>
              </w:rPr>
              <w:t>提供国内合格制造商，具有三证（产品农药登记证、生产许可证或农药生产批准证书、企业执行标准证书原色扫描件加盖制造商公章）</w:t>
            </w:r>
            <w:r>
              <w:rPr>
                <w:rFonts w:hint="eastAsia" w:ascii="宋体" w:hAnsi="宋体" w:cs="宋体"/>
                <w:b/>
                <w:bCs w:val="0"/>
                <w:color w:val="auto"/>
                <w:kern w:val="0"/>
                <w:sz w:val="24"/>
                <w:highlight w:val="none"/>
                <w:lang w:bidi="zh-CN"/>
              </w:rPr>
              <w:t>及药品生产厂家技术参数确认函扫描件并加盖原色公章</w:t>
            </w:r>
          </w:p>
        </w:tc>
        <w:tc>
          <w:tcPr>
            <w:tcW w:w="126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溴敌隆含量大于等于0.01%</w:t>
            </w:r>
          </w:p>
        </w:tc>
        <w:tc>
          <w:tcPr>
            <w:tcW w:w="893"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val="zh-CN" w:bidi="zh-CN"/>
              </w:rPr>
              <w:t>灭鼠</w:t>
            </w:r>
          </w:p>
        </w:tc>
        <w:tc>
          <w:tcPr>
            <w:tcW w:w="671"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val="zh-CN" w:bidi="zh-CN"/>
              </w:rPr>
              <w:t>颗粒</w:t>
            </w:r>
            <w:r>
              <w:rPr>
                <w:rFonts w:hint="eastAsia" w:ascii="宋体" w:hAnsi="宋体" w:cs="宋体"/>
                <w:bCs/>
                <w:color w:val="auto"/>
                <w:kern w:val="0"/>
                <w:sz w:val="24"/>
                <w:highlight w:val="none"/>
                <w:lang w:bidi="zh-CN"/>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11"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val="zh-CN" w:bidi="zh-CN"/>
              </w:rPr>
              <w:t>四氟醚</w:t>
            </w:r>
            <w:r>
              <w:rPr>
                <w:rFonts w:hint="eastAsia" w:ascii="宋体" w:hAnsi="宋体" w:cs="宋体"/>
                <w:bCs/>
                <w:color w:val="auto"/>
                <w:kern w:val="0"/>
                <w:sz w:val="24"/>
                <w:highlight w:val="none"/>
                <w:lang w:bidi="zh-CN"/>
              </w:rPr>
              <w:t>菊酯复配剂</w:t>
            </w:r>
          </w:p>
        </w:tc>
        <w:tc>
          <w:tcPr>
            <w:tcW w:w="1062" w:type="pct"/>
            <w:vMerge w:val="continue"/>
            <w:noWrap w:val="0"/>
            <w:vAlign w:val="center"/>
          </w:tcPr>
          <w:p>
            <w:pPr>
              <w:autoSpaceDE w:val="0"/>
              <w:autoSpaceDN w:val="0"/>
              <w:jc w:val="center"/>
              <w:rPr>
                <w:rFonts w:ascii="宋体" w:hAnsi="宋体" w:cs="宋体"/>
                <w:bCs/>
                <w:color w:val="auto"/>
                <w:kern w:val="0"/>
                <w:sz w:val="24"/>
                <w:highlight w:val="none"/>
                <w:lang w:val="zh-CN" w:bidi="zh-CN"/>
              </w:rPr>
            </w:pPr>
          </w:p>
        </w:tc>
        <w:tc>
          <w:tcPr>
            <w:tcW w:w="126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总含量大于等于2%</w:t>
            </w:r>
          </w:p>
        </w:tc>
        <w:tc>
          <w:tcPr>
            <w:tcW w:w="89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val="zh-CN" w:bidi="zh-CN"/>
              </w:rPr>
              <w:t>灭蚊</w:t>
            </w:r>
            <w:r>
              <w:rPr>
                <w:rFonts w:hint="eastAsia" w:ascii="宋体" w:hAnsi="宋体" w:cs="宋体"/>
                <w:bCs/>
                <w:color w:val="auto"/>
                <w:kern w:val="0"/>
                <w:sz w:val="24"/>
                <w:highlight w:val="none"/>
                <w:lang w:bidi="zh-CN"/>
              </w:rPr>
              <w:t>蝇</w:t>
            </w:r>
          </w:p>
        </w:tc>
        <w:tc>
          <w:tcPr>
            <w:tcW w:w="671"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11"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val="zh-CN" w:bidi="zh-CN"/>
              </w:rPr>
              <w:t>杀虫</w:t>
            </w:r>
            <w:r>
              <w:rPr>
                <w:rFonts w:hint="eastAsia" w:ascii="宋体" w:hAnsi="宋体" w:cs="宋体"/>
                <w:bCs/>
                <w:color w:val="auto"/>
                <w:kern w:val="0"/>
                <w:sz w:val="24"/>
                <w:highlight w:val="none"/>
                <w:lang w:bidi="zh-CN"/>
              </w:rPr>
              <w:t>饵</w:t>
            </w:r>
            <w:r>
              <w:rPr>
                <w:rFonts w:hint="eastAsia" w:ascii="宋体" w:hAnsi="宋体" w:cs="宋体"/>
                <w:bCs/>
                <w:color w:val="auto"/>
                <w:kern w:val="0"/>
                <w:sz w:val="24"/>
                <w:highlight w:val="none"/>
                <w:lang w:val="zh-CN" w:bidi="zh-CN"/>
              </w:rPr>
              <w:t>粒</w:t>
            </w:r>
          </w:p>
        </w:tc>
        <w:tc>
          <w:tcPr>
            <w:tcW w:w="1062" w:type="pct"/>
            <w:vMerge w:val="continue"/>
            <w:noWrap w:val="0"/>
            <w:vAlign w:val="center"/>
          </w:tcPr>
          <w:p>
            <w:pPr>
              <w:autoSpaceDE w:val="0"/>
              <w:autoSpaceDN w:val="0"/>
              <w:jc w:val="center"/>
              <w:rPr>
                <w:rFonts w:ascii="宋体" w:hAnsi="宋体" w:cs="宋体"/>
                <w:bCs/>
                <w:color w:val="auto"/>
                <w:kern w:val="0"/>
                <w:sz w:val="24"/>
                <w:highlight w:val="none"/>
                <w:lang w:val="zh-CN" w:bidi="zh-CN"/>
              </w:rPr>
            </w:pPr>
          </w:p>
        </w:tc>
        <w:tc>
          <w:tcPr>
            <w:tcW w:w="126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氟虫氰含量大于等于0.05%</w:t>
            </w:r>
          </w:p>
        </w:tc>
        <w:tc>
          <w:tcPr>
            <w:tcW w:w="893"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val="zh-CN" w:bidi="zh-CN"/>
              </w:rPr>
              <w:t>灭蟑</w:t>
            </w:r>
          </w:p>
          <w:p>
            <w:pPr>
              <w:autoSpaceDE w:val="0"/>
              <w:autoSpaceDN w:val="0"/>
              <w:jc w:val="center"/>
              <w:rPr>
                <w:rFonts w:ascii="宋体" w:hAnsi="宋体" w:cs="宋体"/>
                <w:bCs/>
                <w:color w:val="auto"/>
                <w:kern w:val="0"/>
                <w:sz w:val="24"/>
                <w:highlight w:val="none"/>
                <w:lang w:val="zh-CN" w:bidi="zh-CN"/>
              </w:rPr>
            </w:pPr>
          </w:p>
        </w:tc>
        <w:tc>
          <w:tcPr>
            <w:tcW w:w="671"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饵粒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11"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bidi="zh-CN"/>
              </w:rPr>
              <w:t>高氯甲基嘧啶磷</w:t>
            </w:r>
          </w:p>
        </w:tc>
        <w:tc>
          <w:tcPr>
            <w:tcW w:w="1062" w:type="pct"/>
            <w:vMerge w:val="continue"/>
            <w:noWrap w:val="0"/>
            <w:vAlign w:val="center"/>
          </w:tcPr>
          <w:p>
            <w:pPr>
              <w:autoSpaceDE w:val="0"/>
              <w:autoSpaceDN w:val="0"/>
              <w:jc w:val="center"/>
              <w:rPr>
                <w:rFonts w:ascii="宋体" w:hAnsi="宋体" w:cs="宋体"/>
                <w:bCs/>
                <w:color w:val="auto"/>
                <w:kern w:val="0"/>
                <w:sz w:val="24"/>
                <w:highlight w:val="none"/>
                <w:lang w:val="zh-CN" w:bidi="zh-CN"/>
              </w:rPr>
            </w:pPr>
          </w:p>
        </w:tc>
        <w:tc>
          <w:tcPr>
            <w:tcW w:w="126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菊酯甲基嘧啶磷含量大于等于7%的复配剂</w:t>
            </w:r>
          </w:p>
        </w:tc>
        <w:tc>
          <w:tcPr>
            <w:tcW w:w="893"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val="zh-CN" w:bidi="zh-CN"/>
              </w:rPr>
              <w:t>灭蚊</w:t>
            </w:r>
            <w:r>
              <w:rPr>
                <w:rFonts w:hint="eastAsia" w:ascii="宋体" w:hAnsi="宋体" w:cs="宋体"/>
                <w:bCs/>
                <w:color w:val="auto"/>
                <w:kern w:val="0"/>
                <w:sz w:val="24"/>
                <w:highlight w:val="none"/>
                <w:lang w:bidi="zh-CN"/>
              </w:rPr>
              <w:t>蝇</w:t>
            </w:r>
          </w:p>
        </w:tc>
        <w:tc>
          <w:tcPr>
            <w:tcW w:w="671"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11"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溴鼠灵饵料</w:t>
            </w:r>
          </w:p>
        </w:tc>
        <w:tc>
          <w:tcPr>
            <w:tcW w:w="1062" w:type="pct"/>
            <w:vMerge w:val="continue"/>
            <w:noWrap w:val="0"/>
            <w:vAlign w:val="center"/>
          </w:tcPr>
          <w:p>
            <w:pPr>
              <w:autoSpaceDE w:val="0"/>
              <w:autoSpaceDN w:val="0"/>
              <w:jc w:val="center"/>
              <w:rPr>
                <w:rFonts w:ascii="宋体" w:hAnsi="宋体" w:cs="宋体"/>
                <w:bCs/>
                <w:color w:val="auto"/>
                <w:kern w:val="0"/>
                <w:sz w:val="24"/>
                <w:highlight w:val="none"/>
                <w:lang w:val="zh-CN" w:bidi="zh-CN"/>
              </w:rPr>
            </w:pPr>
          </w:p>
        </w:tc>
        <w:tc>
          <w:tcPr>
            <w:tcW w:w="126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溴鼠灵含量大于等于0.005%</w:t>
            </w:r>
          </w:p>
        </w:tc>
        <w:tc>
          <w:tcPr>
            <w:tcW w:w="89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灭鼠</w:t>
            </w:r>
          </w:p>
        </w:tc>
        <w:tc>
          <w:tcPr>
            <w:tcW w:w="671" w:type="pct"/>
            <w:noWrap w:val="0"/>
            <w:vAlign w:val="center"/>
          </w:tcPr>
          <w:p>
            <w:pPr>
              <w:autoSpaceDE w:val="0"/>
              <w:autoSpaceDN w:val="0"/>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bidi="zh-CN"/>
              </w:rPr>
              <w:t>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11"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鼠盒</w:t>
            </w:r>
          </w:p>
        </w:tc>
        <w:tc>
          <w:tcPr>
            <w:tcW w:w="1062" w:type="pct"/>
            <w:noWrap w:val="0"/>
            <w:vAlign w:val="center"/>
          </w:tcPr>
          <w:p>
            <w:pPr>
              <w:autoSpaceDE w:val="0"/>
              <w:autoSpaceDN w:val="0"/>
              <w:jc w:val="center"/>
              <w:rPr>
                <w:rFonts w:ascii="宋体" w:hAnsi="宋体" w:cs="宋体"/>
                <w:bCs/>
                <w:color w:val="auto"/>
                <w:kern w:val="0"/>
                <w:sz w:val="24"/>
                <w:highlight w:val="none"/>
                <w:lang w:bidi="zh-CN"/>
              </w:rPr>
            </w:pPr>
          </w:p>
        </w:tc>
        <w:tc>
          <w:tcPr>
            <w:tcW w:w="126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规格30cm*10cm*10cm</w:t>
            </w:r>
          </w:p>
        </w:tc>
        <w:tc>
          <w:tcPr>
            <w:tcW w:w="893"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灭鼠</w:t>
            </w:r>
          </w:p>
        </w:tc>
        <w:tc>
          <w:tcPr>
            <w:tcW w:w="671" w:type="pct"/>
            <w:noWrap w:val="0"/>
            <w:vAlign w:val="center"/>
          </w:tcPr>
          <w:p>
            <w:pPr>
              <w:autoSpaceDE w:val="0"/>
              <w:autoSpaceDN w:val="0"/>
              <w:jc w:val="center"/>
              <w:rPr>
                <w:rFonts w:ascii="宋体" w:hAnsi="宋体" w:cs="宋体"/>
                <w:bCs/>
                <w:color w:val="auto"/>
                <w:kern w:val="0"/>
                <w:sz w:val="24"/>
                <w:highlight w:val="none"/>
                <w:lang w:bidi="zh-CN"/>
              </w:rPr>
            </w:pPr>
            <w:r>
              <w:rPr>
                <w:rFonts w:hint="eastAsia" w:ascii="宋体" w:hAnsi="宋体" w:cs="宋体"/>
                <w:bCs/>
                <w:color w:val="auto"/>
                <w:kern w:val="0"/>
                <w:sz w:val="24"/>
                <w:highlight w:val="none"/>
                <w:lang w:bidi="zh-CN"/>
              </w:rPr>
              <w:t>国标陶瓷鼠盒</w:t>
            </w:r>
          </w:p>
        </w:tc>
      </w:tr>
    </w:tbl>
    <w:p>
      <w:pPr>
        <w:spacing w:line="500" w:lineRule="exact"/>
        <w:rPr>
          <w:rFonts w:hint="eastAsia" w:ascii="宋体" w:hAnsi="宋体" w:cs="仿宋"/>
          <w:b/>
          <w:color w:val="auto"/>
          <w:sz w:val="24"/>
          <w:highlight w:val="none"/>
        </w:rPr>
      </w:pPr>
      <w:r>
        <w:rPr>
          <w:rFonts w:hint="eastAsia" w:ascii="宋体" w:hAnsi="宋体" w:cs="仿宋"/>
          <w:b/>
          <w:color w:val="auto"/>
          <w:sz w:val="24"/>
          <w:highlight w:val="none"/>
        </w:rPr>
        <w:t>（八）、公共外环境病媒生物防制项目人员、设备配置要求</w:t>
      </w:r>
    </w:p>
    <w:p>
      <w:pPr>
        <w:rPr>
          <w:rFonts w:hint="eastAsia" w:ascii="宋体" w:hAnsi="宋体" w:cs="宋体"/>
          <w:color w:val="auto"/>
          <w:sz w:val="24"/>
          <w:highlight w:val="none"/>
        </w:rPr>
      </w:pPr>
      <w:r>
        <w:rPr>
          <w:rFonts w:hint="eastAsia" w:ascii="宋体" w:hAnsi="宋体" w:cs="宋体"/>
          <w:color w:val="auto"/>
          <w:sz w:val="24"/>
          <w:highlight w:val="none"/>
        </w:rPr>
        <w:t>1、为完成本项目的实施，投标人应为本项目组成专业的服务团队，该团队中至少应配备以下人员：本项目人员配置表如下：</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4"/>
        <w:gridCol w:w="2457"/>
        <w:gridCol w:w="1521"/>
        <w:gridCol w:w="4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64" w:type="dxa"/>
            <w:tcBorders>
              <w:bottom w:val="single" w:color="auto" w:sz="4" w:space="0"/>
              <w:right w:val="single" w:color="auto" w:sz="4" w:space="0"/>
            </w:tcBorders>
            <w:shd w:val="clear" w:color="auto" w:fill="F2F2F2"/>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457" w:type="dxa"/>
            <w:tcBorders>
              <w:left w:val="single" w:color="auto" w:sz="4" w:space="0"/>
              <w:right w:val="single" w:color="auto" w:sz="4" w:space="0"/>
            </w:tcBorders>
            <w:shd w:val="clear" w:color="auto" w:fill="F2F2F2"/>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岗位</w:t>
            </w:r>
          </w:p>
        </w:tc>
        <w:tc>
          <w:tcPr>
            <w:tcW w:w="1521" w:type="dxa"/>
            <w:tcBorders>
              <w:left w:val="single" w:color="auto" w:sz="4" w:space="0"/>
              <w:right w:val="single" w:color="auto" w:sz="4" w:space="0"/>
            </w:tcBorders>
            <w:shd w:val="clear" w:color="auto" w:fill="F2F2F2"/>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人数</w:t>
            </w:r>
          </w:p>
        </w:tc>
        <w:tc>
          <w:tcPr>
            <w:tcW w:w="4287" w:type="dxa"/>
            <w:shd w:val="clear" w:color="auto" w:fill="F2F2F2"/>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64" w:type="dxa"/>
            <w:tcBorders>
              <w:top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57"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负责人</w:t>
            </w:r>
          </w:p>
        </w:tc>
        <w:tc>
          <w:tcPr>
            <w:tcW w:w="1521"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1人</w:t>
            </w:r>
          </w:p>
        </w:tc>
        <w:tc>
          <w:tcPr>
            <w:tcW w:w="428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负责全面工作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64" w:type="dxa"/>
            <w:tcBorders>
              <w:top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57"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质检员</w:t>
            </w:r>
          </w:p>
        </w:tc>
        <w:tc>
          <w:tcPr>
            <w:tcW w:w="1521"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1人</w:t>
            </w:r>
          </w:p>
        </w:tc>
        <w:tc>
          <w:tcPr>
            <w:tcW w:w="4287" w:type="dxa"/>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64" w:type="dxa"/>
            <w:tcBorders>
              <w:top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57"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施工员</w:t>
            </w:r>
          </w:p>
        </w:tc>
        <w:tc>
          <w:tcPr>
            <w:tcW w:w="1521"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8人</w:t>
            </w:r>
          </w:p>
        </w:tc>
        <w:tc>
          <w:tcPr>
            <w:tcW w:w="428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负责现场作业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629" w:type="dxa"/>
            <w:gridSpan w:val="4"/>
            <w:tcBorders>
              <w:top w:val="single" w:color="auto" w:sz="4" w:space="0"/>
            </w:tcBorders>
            <w:shd w:val="clear" w:color="auto" w:fill="FFFFFF"/>
            <w:noWrap w:val="0"/>
            <w:vAlign w:val="center"/>
          </w:tcPr>
          <w:p>
            <w:pPr>
              <w:jc w:val="both"/>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合计</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10人</w:t>
            </w:r>
            <w:r>
              <w:rPr>
                <w:rFonts w:hint="eastAsia" w:ascii="宋体" w:hAnsi="宋体" w:cs="宋体"/>
                <w:b/>
                <w:bCs/>
                <w:color w:val="auto"/>
                <w:sz w:val="24"/>
                <w:highlight w:val="none"/>
                <w:lang w:eastAsia="zh-CN"/>
              </w:rPr>
              <w:t>（需提供以上人员名单）</w:t>
            </w:r>
          </w:p>
        </w:tc>
      </w:tr>
    </w:tbl>
    <w:p>
      <w:pPr>
        <w:spacing w:line="240" w:lineRule="auto"/>
        <w:rPr>
          <w:rFonts w:hint="eastAsia" w:ascii="宋体" w:hAnsi="宋体" w:cs="宋体"/>
          <w:b/>
          <w:bCs/>
          <w:color w:val="auto"/>
          <w:sz w:val="24"/>
          <w:highlight w:val="none"/>
        </w:rPr>
      </w:pPr>
      <w:r>
        <w:rPr>
          <w:rFonts w:hint="eastAsia" w:ascii="宋体" w:hAnsi="宋体" w:cs="宋体"/>
          <w:color w:val="auto"/>
          <w:sz w:val="24"/>
          <w:highlight w:val="none"/>
        </w:rPr>
        <w:t>备注：项目负责人须具备人社部颁发的有害生物防制员职业资格高级资质；质检员及施工员须具备人社部颁发的有害生物防制员资格初级或以上资质</w:t>
      </w:r>
      <w:r>
        <w:rPr>
          <w:rFonts w:hint="eastAsia" w:ascii="宋体" w:hAnsi="宋体" w:cs="宋体"/>
          <w:b/>
          <w:bCs/>
          <w:color w:val="auto"/>
          <w:sz w:val="24"/>
          <w:highlight w:val="none"/>
        </w:rPr>
        <w:t>（提供身份证复印件及资质证书原件</w:t>
      </w:r>
      <w:r>
        <w:rPr>
          <w:rFonts w:hint="eastAsia" w:ascii="宋体" w:hAnsi="宋体" w:cs="宋体"/>
          <w:b/>
          <w:bCs/>
          <w:color w:val="auto"/>
          <w:sz w:val="24"/>
          <w:highlight w:val="none"/>
          <w:lang w:eastAsia="zh-CN"/>
        </w:rPr>
        <w:t>扫描件</w:t>
      </w:r>
      <w:r>
        <w:rPr>
          <w:rFonts w:hint="eastAsia" w:ascii="宋体" w:hAnsi="宋体" w:cs="宋体"/>
          <w:b/>
          <w:bCs/>
          <w:color w:val="auto"/>
          <w:sz w:val="24"/>
          <w:highlight w:val="none"/>
        </w:rPr>
        <w:t>佐证）。</w:t>
      </w:r>
    </w:p>
    <w:p>
      <w:pPr>
        <w:numPr>
          <w:ilvl w:val="0"/>
          <w:numId w:val="3"/>
        </w:numPr>
        <w:spacing w:line="540" w:lineRule="exact"/>
        <w:rPr>
          <w:rFonts w:hint="eastAsia" w:ascii="宋体" w:hAnsi="宋体" w:cs="宋体"/>
          <w:color w:val="auto"/>
          <w:sz w:val="24"/>
          <w:highlight w:val="none"/>
        </w:rPr>
      </w:pPr>
      <w:r>
        <w:rPr>
          <w:rFonts w:hint="eastAsia" w:ascii="宋体" w:hAnsi="宋体" w:cs="宋体"/>
          <w:color w:val="auto"/>
          <w:sz w:val="24"/>
          <w:highlight w:val="none"/>
        </w:rPr>
        <w:t>为完成本项目的实施，投标人应为本项目投入</w:t>
      </w:r>
      <w:bookmarkStart w:id="0" w:name="_GoBack"/>
      <w:bookmarkEnd w:id="0"/>
      <w:r>
        <w:rPr>
          <w:rFonts w:hint="eastAsia" w:ascii="宋体" w:hAnsi="宋体" w:cs="宋体"/>
          <w:color w:val="auto"/>
          <w:sz w:val="24"/>
          <w:highlight w:val="none"/>
        </w:rPr>
        <w:t>以下基本的设备：</w:t>
      </w:r>
    </w:p>
    <w:p>
      <w:pPr>
        <w:spacing w:line="540" w:lineRule="exact"/>
        <w:rPr>
          <w:rFonts w:ascii="宋体" w:hAnsi="宋体" w:cs="宋体"/>
          <w:color w:val="auto"/>
          <w:sz w:val="24"/>
          <w:highlight w:val="none"/>
        </w:rPr>
      </w:pPr>
      <w:r>
        <w:rPr>
          <w:rFonts w:hint="eastAsia" w:ascii="宋体" w:hAnsi="宋体" w:cs="宋体"/>
          <w:color w:val="auto"/>
          <w:sz w:val="24"/>
          <w:highlight w:val="none"/>
        </w:rPr>
        <w:t>基本设备要求如下：</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2793"/>
        <w:gridCol w:w="780"/>
        <w:gridCol w:w="848"/>
        <w:gridCol w:w="4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19" w:type="dxa"/>
            <w:tcBorders>
              <w:bottom w:val="single" w:color="auto" w:sz="4" w:space="0"/>
              <w:right w:val="single" w:color="auto" w:sz="4" w:space="0"/>
            </w:tcBorders>
            <w:shd w:val="clear" w:color="auto" w:fill="F2F2F2"/>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793" w:type="dxa"/>
            <w:tcBorders>
              <w:left w:val="single" w:color="auto" w:sz="4" w:space="0"/>
              <w:right w:val="single" w:color="auto" w:sz="4" w:space="0"/>
            </w:tcBorders>
            <w:shd w:val="clear" w:color="auto" w:fill="F2F2F2"/>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机械设备名称</w:t>
            </w:r>
          </w:p>
        </w:tc>
        <w:tc>
          <w:tcPr>
            <w:tcW w:w="780" w:type="dxa"/>
            <w:tcBorders>
              <w:left w:val="single" w:color="auto" w:sz="4" w:space="0"/>
              <w:right w:val="single" w:color="auto" w:sz="4" w:space="0"/>
            </w:tcBorders>
            <w:shd w:val="clear" w:color="auto" w:fill="F2F2F2"/>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单位</w:t>
            </w:r>
          </w:p>
        </w:tc>
        <w:tc>
          <w:tcPr>
            <w:tcW w:w="848" w:type="dxa"/>
            <w:tcBorders>
              <w:right w:val="single" w:color="auto" w:sz="4" w:space="0"/>
            </w:tcBorders>
            <w:shd w:val="clear" w:color="auto" w:fill="F2F2F2"/>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4289" w:type="dxa"/>
            <w:tcBorders>
              <w:left w:val="single" w:color="auto" w:sz="4" w:space="0"/>
            </w:tcBorders>
            <w:shd w:val="clear" w:color="auto" w:fill="F2F2F2"/>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19" w:type="dxa"/>
            <w:tcBorders>
              <w:top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793"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热烟雾机</w:t>
            </w:r>
          </w:p>
        </w:tc>
        <w:tc>
          <w:tcPr>
            <w:tcW w:w="780"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848" w:type="dxa"/>
            <w:tcBorders>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289" w:type="dxa"/>
            <w:vMerge w:val="restart"/>
            <w:tcBorders>
              <w:left w:val="single" w:color="auto" w:sz="4"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须提供机械设备的（包括机械名称、型号）实景照片和发票扫描件或租赁合同</w:t>
            </w:r>
            <w:r>
              <w:rPr>
                <w:rFonts w:hint="eastAsia" w:ascii="宋体" w:hAnsi="宋体" w:cs="宋体"/>
                <w:b/>
                <w:bCs/>
                <w:color w:val="auto"/>
                <w:sz w:val="24"/>
                <w:highlight w:val="none"/>
                <w:lang w:eastAsia="zh-CN"/>
              </w:rPr>
              <w:t>原件</w:t>
            </w:r>
            <w:r>
              <w:rPr>
                <w:rFonts w:hint="eastAsia" w:ascii="宋体" w:hAnsi="宋体" w:cs="宋体"/>
                <w:b/>
                <w:bCs/>
                <w:color w:val="auto"/>
                <w:sz w:val="24"/>
                <w:highlight w:val="none"/>
              </w:rPr>
              <w:t>扫描件加盖公章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19" w:type="dxa"/>
            <w:tcBorders>
              <w:top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793"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超低容量喷雾器</w:t>
            </w:r>
          </w:p>
        </w:tc>
        <w:tc>
          <w:tcPr>
            <w:tcW w:w="780"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848" w:type="dxa"/>
            <w:tcBorders>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289" w:type="dxa"/>
            <w:vMerge w:val="continue"/>
            <w:tcBorders>
              <w:left w:val="single" w:color="auto" w:sz="4" w:space="0"/>
            </w:tcBorders>
            <w:noWrap w:val="0"/>
            <w:vAlign w:val="center"/>
          </w:tcPr>
          <w:p>
            <w:pPr>
              <w:jc w:val="center"/>
              <w:rPr>
                <w:rFonts w:hint="eastAsia" w:ascii="宋体" w:hAnsi="宋体"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19" w:type="dxa"/>
            <w:tcBorders>
              <w:top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793"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车载式超低容量喷雾机</w:t>
            </w:r>
          </w:p>
        </w:tc>
        <w:tc>
          <w:tcPr>
            <w:tcW w:w="780" w:type="dxa"/>
            <w:tcBorders>
              <w:left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848" w:type="dxa"/>
            <w:tcBorders>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289" w:type="dxa"/>
            <w:vMerge w:val="continue"/>
            <w:tcBorders>
              <w:left w:val="single" w:color="auto" w:sz="4" w:space="0"/>
            </w:tcBorders>
            <w:noWrap w:val="0"/>
            <w:vAlign w:val="center"/>
          </w:tcPr>
          <w:p>
            <w:pPr>
              <w:jc w:val="center"/>
              <w:rPr>
                <w:rFonts w:hint="eastAsia" w:ascii="宋体" w:hAnsi="宋体"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19" w:type="dxa"/>
            <w:tcBorders>
              <w:top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793" w:type="dxa"/>
            <w:tcBorders>
              <w:left w:val="single" w:color="auto" w:sz="4" w:space="0"/>
              <w:right w:val="single" w:color="auto" w:sz="4" w:space="0"/>
            </w:tcBorders>
            <w:shd w:val="clear" w:color="auto" w:fill="FFFFFF"/>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病媒生物防制作业汽车</w:t>
            </w:r>
          </w:p>
        </w:tc>
        <w:tc>
          <w:tcPr>
            <w:tcW w:w="780" w:type="dxa"/>
            <w:tcBorders>
              <w:left w:val="single" w:color="auto" w:sz="4" w:space="0"/>
              <w:right w:val="single" w:color="auto" w:sz="4" w:space="0"/>
            </w:tcBorders>
            <w:shd w:val="clear" w:color="auto" w:fill="FFFFFF"/>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辆</w:t>
            </w:r>
          </w:p>
        </w:tc>
        <w:tc>
          <w:tcPr>
            <w:tcW w:w="848" w:type="dxa"/>
            <w:tcBorders>
              <w:right w:val="single" w:color="auto" w:sz="4" w:space="0"/>
            </w:tcBorders>
            <w:shd w:val="clear" w:color="auto" w:fill="FFFFFF"/>
            <w:noWrap w:val="0"/>
            <w:vAlign w:val="center"/>
          </w:tcPr>
          <w:p>
            <w:pPr>
              <w:jc w:val="center"/>
              <w:rPr>
                <w:rFonts w:hint="eastAsia" w:ascii="宋体" w:hAnsi="宋体" w:cs="宋体"/>
                <w:color w:val="auto"/>
                <w:sz w:val="24"/>
                <w:highlight w:val="red"/>
              </w:rPr>
            </w:pPr>
            <w:r>
              <w:rPr>
                <w:rFonts w:hint="eastAsia" w:ascii="宋体" w:hAnsi="宋体" w:cs="宋体"/>
                <w:color w:val="auto"/>
                <w:sz w:val="24"/>
                <w:highlight w:val="none"/>
              </w:rPr>
              <w:t>2</w:t>
            </w:r>
          </w:p>
        </w:tc>
        <w:tc>
          <w:tcPr>
            <w:tcW w:w="4289" w:type="dxa"/>
            <w:tcBorders>
              <w:left w:val="single" w:color="auto" w:sz="4" w:space="0"/>
            </w:tcBorders>
            <w:shd w:val="clear" w:color="auto" w:fill="FFFFFF"/>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有效行驶证或车辆登记证书、实景照片和发票扫描件或租赁合同</w:t>
            </w:r>
            <w:r>
              <w:rPr>
                <w:rFonts w:hint="eastAsia" w:ascii="宋体" w:hAnsi="宋体" w:cs="宋体"/>
                <w:b/>
                <w:bCs/>
                <w:color w:val="auto"/>
                <w:sz w:val="24"/>
                <w:highlight w:val="none"/>
                <w:lang w:eastAsia="zh-CN"/>
              </w:rPr>
              <w:t>原件</w:t>
            </w:r>
            <w:r>
              <w:rPr>
                <w:rFonts w:hint="eastAsia" w:ascii="宋体" w:hAnsi="宋体" w:cs="宋体"/>
                <w:b/>
                <w:bCs/>
                <w:color w:val="auto"/>
                <w:sz w:val="24"/>
                <w:highlight w:val="none"/>
              </w:rPr>
              <w:t>扫描件加盖公章</w:t>
            </w:r>
          </w:p>
        </w:tc>
      </w:tr>
    </w:tbl>
    <w:p>
      <w:pPr>
        <w:spacing w:line="540" w:lineRule="exact"/>
        <w:rPr>
          <w:rFonts w:hint="eastAsia" w:ascii="宋体" w:hAnsi="宋体" w:cs="宋体"/>
          <w:color w:val="auto"/>
          <w:sz w:val="24"/>
          <w:highlight w:val="none"/>
        </w:rPr>
      </w:pPr>
      <w:r>
        <w:rPr>
          <w:rFonts w:hint="eastAsia" w:ascii="宋体" w:hAnsi="宋体" w:cs="宋体"/>
          <w:b/>
          <w:color w:val="auto"/>
          <w:sz w:val="24"/>
          <w:highlight w:val="none"/>
        </w:rPr>
        <w:t>（九）、</w:t>
      </w:r>
      <w:r>
        <w:rPr>
          <w:rFonts w:hint="eastAsia" w:ascii="宋体" w:hAnsi="宋体" w:cs="宋体"/>
          <w:color w:val="auto"/>
          <w:sz w:val="24"/>
          <w:highlight w:val="none"/>
        </w:rPr>
        <w:t>为了科学有效的进行病媒生物防制工作，投标人须针对本地区制订科学合理的病媒生物监测方案（</w:t>
      </w:r>
      <w:r>
        <w:rPr>
          <w:rFonts w:hint="eastAsia" w:ascii="宋体" w:hAnsi="宋体" w:cs="宋体"/>
          <w:b/>
          <w:bCs/>
          <w:color w:val="auto"/>
          <w:sz w:val="24"/>
          <w:highlight w:val="none"/>
        </w:rPr>
        <w:t>在投标文件中须体现出该方案</w:t>
      </w:r>
      <w:r>
        <w:rPr>
          <w:rFonts w:hint="eastAsia" w:ascii="宋体" w:hAnsi="宋体" w:cs="宋体"/>
          <w:color w:val="auto"/>
          <w:sz w:val="24"/>
          <w:highlight w:val="none"/>
        </w:rPr>
        <w:t>），并在防制工作开展前及工作进行中进行病媒生物的密度监测。</w:t>
      </w:r>
    </w:p>
    <w:p>
      <w:pPr>
        <w:spacing w:line="540" w:lineRule="exact"/>
        <w:rPr>
          <w:rFonts w:hint="eastAsia"/>
          <w:color w:val="auto"/>
          <w:lang w:val="en-US" w:eastAsia="zh-CN"/>
        </w:rPr>
      </w:pPr>
      <w:r>
        <w:rPr>
          <w:rFonts w:hint="eastAsia" w:hAnsi="宋体" w:cs="宋体"/>
          <w:b/>
          <w:color w:val="auto"/>
          <w:sz w:val="24"/>
          <w:highlight w:val="none"/>
        </w:rPr>
        <w:t>（十）、</w:t>
      </w:r>
      <w:r>
        <w:rPr>
          <w:rFonts w:hint="eastAsia" w:hAnsi="宋体" w:cs="宋体"/>
          <w:color w:val="auto"/>
          <w:sz w:val="24"/>
          <w:highlight w:val="none"/>
        </w:rPr>
        <w:t>如有媒介相关疾病或疫情发生时，投标人应具备应急防控能力，能协助完成应急防控工作</w:t>
      </w:r>
      <w:r>
        <w:rPr>
          <w:rFonts w:hint="eastAsia" w:hAnsi="宋体" w:cs="宋体"/>
          <w:color w:val="auto"/>
          <w:sz w:val="24"/>
          <w:highlight w:val="none"/>
          <w:lang w:eastAsia="zh-CN"/>
        </w:rPr>
        <w:t>，</w:t>
      </w:r>
      <w:r>
        <w:rPr>
          <w:rFonts w:hint="eastAsia" w:hAnsi="宋体" w:cs="宋体"/>
          <w:color w:val="auto"/>
          <w:sz w:val="24"/>
          <w:highlight w:val="none"/>
        </w:rPr>
        <w:t>所发生费用另行协商解决。</w:t>
      </w:r>
    </w:p>
    <w:p>
      <w:r>
        <w:rPr>
          <w:rFonts w:hint="eastAsia" w:asciiTheme="minorEastAsia" w:hAnsiTheme="minorEastAsia" w:eastAsiaTheme="minorEastAsia" w:cstheme="minorEastAsia"/>
          <w:b/>
          <w:bCs/>
          <w:color w:val="auto"/>
          <w:kern w:val="0"/>
          <w:sz w:val="24"/>
          <w:lang w:eastAsia="zh-CN"/>
        </w:rPr>
        <w:t>注：</w:t>
      </w:r>
      <w:r>
        <w:rPr>
          <w:rFonts w:hint="eastAsia" w:asciiTheme="minorEastAsia" w:hAnsiTheme="minorEastAsia" w:eastAsiaTheme="minorEastAsia" w:cstheme="minorEastAsia"/>
          <w:b/>
          <w:bCs/>
          <w:color w:val="auto"/>
          <w:kern w:val="0"/>
          <w:sz w:val="24"/>
        </w:rPr>
        <w:t>以上技术需求为采购人最低需求，必须全部满足，有一项不满足视为无效投标。投标人也可提供更优的技术需求参与投标。投标人须针对以上需求一一做出响应，否则作无效处理。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16F07"/>
    <w:multiLevelType w:val="singleLevel"/>
    <w:tmpl w:val="B5716F07"/>
    <w:lvl w:ilvl="0" w:tentative="0">
      <w:start w:val="2"/>
      <w:numFmt w:val="decimal"/>
      <w:suff w:val="nothing"/>
      <w:lvlText w:val="%1、"/>
      <w:lvlJc w:val="left"/>
    </w:lvl>
  </w:abstractNum>
  <w:abstractNum w:abstractNumId="1">
    <w:nsid w:val="C093E345"/>
    <w:multiLevelType w:val="singleLevel"/>
    <w:tmpl w:val="C093E345"/>
    <w:lvl w:ilvl="0" w:tentative="0">
      <w:start w:val="1"/>
      <w:numFmt w:val="decimal"/>
      <w:suff w:val="nothing"/>
      <w:lvlText w:val="%1、"/>
      <w:lvlJc w:val="left"/>
    </w:lvl>
  </w:abstractNum>
  <w:abstractNum w:abstractNumId="2">
    <w:nsid w:val="0000000A"/>
    <w:multiLevelType w:val="multilevel"/>
    <w:tmpl w:val="0000000A"/>
    <w:lvl w:ilvl="0" w:tentative="0">
      <w:start w:val="1"/>
      <w:numFmt w:val="chineseCountingThousand"/>
      <w:suff w:val="nothing"/>
      <w:lvlText w:val="%1、"/>
      <w:lvlJc w:val="left"/>
      <w:pPr>
        <w:ind w:left="0" w:firstLine="0"/>
      </w:pPr>
      <w:rPr>
        <w:b/>
        <w:i w:val="0"/>
        <w:sz w:val="24"/>
      </w:rPr>
    </w:lvl>
    <w:lvl w:ilvl="1" w:tentative="0">
      <w:start w:val="1"/>
      <w:numFmt w:val="decimal"/>
      <w:pStyle w:val="3"/>
      <w:suff w:val="nothing"/>
      <w:lvlText w:val="%2. "/>
      <w:lvlJc w:val="left"/>
      <w:pPr>
        <w:ind w:left="142" w:firstLine="0"/>
      </w:pPr>
      <w:rPr>
        <w:rFonts w:ascii="宋体" w:hAnsi="宋体" w:eastAsia="宋体"/>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pStyle w:val="2"/>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DkxMDAyMDdhNmI0OWFhMzgzNjVjNGYwZWIxNTAifQ=="/>
  </w:docVars>
  <w:rsids>
    <w:rsidRoot w:val="08BC66A6"/>
    <w:rsid w:val="08BC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sz w:val="32"/>
    </w:rPr>
  </w:style>
  <w:style w:type="paragraph" w:styleId="2">
    <w:name w:val="heading 7"/>
    <w:basedOn w:val="1"/>
    <w:next w:val="1"/>
    <w:qFormat/>
    <w:uiPriority w:val="0"/>
    <w:pPr>
      <w:keepNext/>
      <w:keepLines/>
      <w:numPr>
        <w:ilvl w:val="6"/>
        <w:numId w:val="1"/>
      </w:numPr>
      <w:spacing w:line="319" w:lineRule="auto"/>
      <w:outlineLvl w:val="6"/>
    </w:pPr>
    <w:rPr>
      <w:b/>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 首行缩进:  0 字符"/>
    <w:basedOn w:val="1"/>
    <w:qFormat/>
    <w:uiPriority w:val="0"/>
    <w:pPr>
      <w:spacing w:line="360" w:lineRule="auto"/>
      <w:ind w:firstLine="200" w:firstLineChars="200"/>
    </w:pPr>
    <w:rPr>
      <w:rFonts w:ascii="Arial" w:hAnsi="Arial" w:eastAsia="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2022-08-22T10:52:00Z</dcterms:created>
  <dc:creator>JXZH工作号</dc:creator>
  <cp:lastModifiedBy>JXZH工作号</cp:lastModifiedBy>
  <dcterms:modified xsi:type="dcterms:W3CDTF">2022-08-22T10:53:18Z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986C661AB01D449A9F3D810F2E1D9812</vt:lpwstr>
  </property>
</Properties>
</file>