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宋体" w:hAnsi="宋体" w:eastAsia="宋体" w:cs="宋体"/>
          <w:color w:val="auto"/>
          <w:sz w:val="32"/>
          <w:szCs w:val="32"/>
          <w:highlight w:val="none"/>
        </w:rPr>
      </w:pPr>
    </w:p>
    <w:p>
      <w:pPr>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政府采购</w:t>
      </w:r>
    </w:p>
    <w:p>
      <w:pPr>
        <w:jc w:val="center"/>
        <w:rPr>
          <w:rFonts w:hint="eastAsia" w:ascii="宋体" w:hAnsi="宋体" w:eastAsia="宋体" w:cs="宋体"/>
          <w:b/>
          <w:bCs/>
          <w:color w:val="auto"/>
          <w:sz w:val="72"/>
          <w:szCs w:val="72"/>
          <w:highlight w:val="none"/>
          <w:lang w:eastAsia="zh-CN"/>
        </w:rPr>
      </w:pPr>
      <w:r>
        <w:rPr>
          <w:rFonts w:hint="eastAsia" w:ascii="宋体" w:hAnsi="宋体" w:eastAsia="宋体" w:cs="宋体"/>
          <w:b/>
          <w:bCs/>
          <w:color w:val="auto"/>
          <w:sz w:val="72"/>
          <w:szCs w:val="72"/>
          <w:highlight w:val="none"/>
          <w:lang w:eastAsia="zh-CN"/>
        </w:rPr>
        <w:t>公开招标文件</w:t>
      </w:r>
    </w:p>
    <w:p>
      <w:pPr>
        <w:spacing w:before="120" w:beforeLines="5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（全一册）</w:t>
      </w:r>
    </w:p>
    <w:p>
      <w:pPr>
        <w:jc w:val="center"/>
        <w:rPr>
          <w:rFonts w:hint="eastAsia" w:ascii="宋体" w:hAnsi="宋体" w:eastAsia="宋体" w:cs="宋体"/>
          <w:b/>
          <w:bCs/>
          <w:color w:val="auto"/>
          <w:sz w:val="100"/>
          <w:highlight w:val="none"/>
        </w:rPr>
      </w:pPr>
    </w:p>
    <w:p>
      <w:pPr>
        <w:jc w:val="center"/>
        <w:rPr>
          <w:rFonts w:hint="eastAsia" w:ascii="宋体" w:hAnsi="宋体" w:eastAsia="宋体" w:cs="宋体"/>
          <w:b/>
          <w:bCs/>
          <w:color w:val="auto"/>
          <w:sz w:val="100"/>
          <w:highlight w:val="none"/>
        </w:rPr>
      </w:pPr>
    </w:p>
    <w:tbl>
      <w:tblPr>
        <w:tblStyle w:val="46"/>
        <w:tblpPr w:leftFromText="180" w:rightFromText="180" w:vertAnchor="text" w:horzAnchor="page" w:tblpX="2173" w:tblpY="8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6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960" w:type="dxa"/>
            <w:noWrap w:val="0"/>
            <w:vAlign w:val="center"/>
          </w:tcPr>
          <w:p>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采购项目：</w:t>
            </w:r>
          </w:p>
        </w:tc>
        <w:tc>
          <w:tcPr>
            <w:tcW w:w="6352" w:type="dxa"/>
            <w:noWrap w:val="0"/>
            <w:vAlign w:val="center"/>
          </w:tcPr>
          <w:p>
            <w:pPr>
              <w:jc w:val="center"/>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eastAsia="zh-CN"/>
              </w:rPr>
              <w:t>宁海县西店镇人民政府除四害消杀</w:t>
            </w:r>
            <w:r>
              <w:rPr>
                <w:rFonts w:hint="eastAsia" w:ascii="宋体" w:hAnsi="宋体" w:eastAsia="宋体" w:cs="宋体"/>
                <w:b/>
                <w:bCs/>
                <w:color w:val="auto"/>
                <w:sz w:val="30"/>
                <w:szCs w:val="30"/>
                <w:highlight w:val="none"/>
                <w:lang w:val="en-US" w:eastAsia="zh-CN"/>
              </w:rPr>
              <w:t>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960" w:type="dxa"/>
            <w:noWrap w:val="0"/>
            <w:vAlign w:val="center"/>
          </w:tcPr>
          <w:p>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项目编号：</w:t>
            </w:r>
          </w:p>
        </w:tc>
        <w:tc>
          <w:tcPr>
            <w:tcW w:w="6352" w:type="dxa"/>
            <w:noWrap w:val="0"/>
            <w:vAlign w:val="center"/>
          </w:tcPr>
          <w:p>
            <w:pPr>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eastAsia="zh-CN"/>
              </w:rPr>
              <w:t>CBZJ-202260</w:t>
            </w:r>
            <w:r>
              <w:rPr>
                <w:rFonts w:hint="eastAsia" w:ascii="宋体" w:hAnsi="宋体" w:eastAsia="宋体" w:cs="宋体"/>
                <w:b/>
                <w:bCs/>
                <w:color w:val="auto"/>
                <w:sz w:val="30"/>
                <w:szCs w:val="30"/>
                <w:highlight w:val="none"/>
                <w:lang w:val="en-US" w:eastAsia="zh-CN"/>
              </w:rPr>
              <w:t>50</w:t>
            </w:r>
            <w:r>
              <w:rPr>
                <w:rFonts w:hint="eastAsia" w:ascii="宋体" w:hAnsi="宋体" w:eastAsia="宋体" w:cs="宋体"/>
                <w:b/>
                <w:bCs/>
                <w:color w:val="auto"/>
                <w:sz w:val="30"/>
                <w:szCs w:val="30"/>
                <w:highlight w:val="none"/>
                <w:lang w:eastAsia="zh-CN"/>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960" w:type="dxa"/>
            <w:noWrap w:val="0"/>
            <w:vAlign w:val="center"/>
          </w:tcPr>
          <w:p>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w:t>
            </w:r>
          </w:p>
        </w:tc>
        <w:tc>
          <w:tcPr>
            <w:tcW w:w="6352" w:type="dxa"/>
            <w:noWrap w:val="0"/>
            <w:vAlign w:val="center"/>
          </w:tcPr>
          <w:p>
            <w:pPr>
              <w:jc w:val="center"/>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宁海县西店镇人民政府</w:t>
            </w:r>
          </w:p>
        </w:tc>
      </w:tr>
    </w:tbl>
    <w:p>
      <w:pPr>
        <w:jc w:val="center"/>
        <w:rPr>
          <w:rFonts w:hint="eastAsia" w:ascii="宋体" w:hAnsi="宋体" w:eastAsia="宋体" w:cs="宋体"/>
          <w:b/>
          <w:bCs/>
          <w:color w:val="auto"/>
          <w:sz w:val="100"/>
          <w:highlight w:val="none"/>
        </w:rPr>
      </w:pPr>
    </w:p>
    <w:p>
      <w:pPr>
        <w:jc w:val="center"/>
        <w:rPr>
          <w:rFonts w:hint="eastAsia" w:ascii="宋体" w:hAnsi="宋体" w:eastAsia="宋体" w:cs="宋体"/>
          <w:b/>
          <w:bCs/>
          <w:color w:val="auto"/>
          <w:sz w:val="100"/>
          <w:highlight w:val="none"/>
        </w:rPr>
      </w:pPr>
    </w:p>
    <w:p>
      <w:pPr>
        <w:jc w:val="center"/>
        <w:rPr>
          <w:rFonts w:hint="eastAsia"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lang w:eastAsia="zh-CN"/>
        </w:rPr>
        <w:t>浙江中基正采管理咨询有限公司</w:t>
      </w:r>
    </w:p>
    <w:p>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二〇二</w:t>
      </w:r>
      <w:r>
        <w:rPr>
          <w:rFonts w:hint="eastAsia" w:ascii="宋体" w:hAnsi="宋体" w:eastAsia="宋体" w:cs="宋体"/>
          <w:b/>
          <w:bCs/>
          <w:color w:val="auto"/>
          <w:sz w:val="44"/>
          <w:szCs w:val="44"/>
          <w:highlight w:val="none"/>
          <w:lang w:val="en-US" w:eastAsia="zh-CN"/>
        </w:rPr>
        <w:t>二</w:t>
      </w:r>
      <w:r>
        <w:rPr>
          <w:rFonts w:hint="eastAsia" w:ascii="宋体" w:hAnsi="宋体" w:eastAsia="宋体" w:cs="宋体"/>
          <w:b/>
          <w:bCs/>
          <w:color w:val="auto"/>
          <w:sz w:val="44"/>
          <w:szCs w:val="44"/>
          <w:highlight w:val="none"/>
        </w:rPr>
        <w:t>年</w:t>
      </w:r>
      <w:r>
        <w:rPr>
          <w:rFonts w:hint="eastAsia" w:ascii="宋体" w:hAnsi="宋体" w:eastAsia="宋体" w:cs="宋体"/>
          <w:b/>
          <w:bCs/>
          <w:color w:val="auto"/>
          <w:sz w:val="44"/>
          <w:szCs w:val="44"/>
          <w:highlight w:val="none"/>
          <w:lang w:val="en-US" w:eastAsia="zh-CN"/>
        </w:rPr>
        <w:t>七</w:t>
      </w:r>
      <w:r>
        <w:rPr>
          <w:rFonts w:hint="eastAsia" w:ascii="宋体" w:hAnsi="宋体" w:eastAsia="宋体" w:cs="宋体"/>
          <w:b/>
          <w:bCs/>
          <w:color w:val="auto"/>
          <w:sz w:val="44"/>
          <w:szCs w:val="44"/>
          <w:highlight w:val="none"/>
        </w:rPr>
        <w:t>月</w:t>
      </w:r>
    </w:p>
    <w:p>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br w:type="page"/>
      </w:r>
    </w:p>
    <w:p>
      <w:pPr>
        <w:pStyle w:val="45"/>
        <w:ind w:firstLine="344"/>
        <w:rPr>
          <w:rFonts w:hint="eastAsia" w:ascii="宋体" w:hAnsi="宋体" w:eastAsia="宋体" w:cs="宋体"/>
          <w:color w:val="auto"/>
          <w:highlight w:val="none"/>
        </w:rPr>
      </w:pPr>
    </w:p>
    <w:p>
      <w:pPr>
        <w:pStyle w:val="45"/>
        <w:ind w:firstLine="344"/>
        <w:rPr>
          <w:rFonts w:hint="eastAsia" w:ascii="宋体" w:hAnsi="宋体" w:eastAsia="宋体" w:cs="宋体"/>
          <w:color w:val="auto"/>
          <w:highlight w:val="none"/>
        </w:rPr>
        <w:sectPr>
          <w:headerReference r:id="rId3" w:type="default"/>
          <w:pgSz w:w="11906" w:h="16838"/>
          <w:pgMar w:top="1474" w:right="1797" w:bottom="1247" w:left="1797" w:header="851" w:footer="851" w:gutter="0"/>
          <w:pgNumType w:start="2"/>
          <w:cols w:space="720" w:num="1"/>
          <w:titlePg/>
          <w:docGrid w:linePitch="312" w:charSpace="0"/>
        </w:sectPr>
      </w:pPr>
    </w:p>
    <w:p>
      <w:pPr>
        <w:snapToGrid w:val="0"/>
        <w:spacing w:line="360" w:lineRule="auto"/>
        <w:jc w:val="center"/>
        <w:rPr>
          <w:rFonts w:hint="eastAsia" w:ascii="宋体" w:hAnsi="宋体" w:eastAsia="宋体" w:cs="宋体"/>
          <w:b/>
          <w:color w:val="auto"/>
          <w:sz w:val="52"/>
          <w:szCs w:val="52"/>
          <w:highlight w:val="none"/>
        </w:rPr>
      </w:pPr>
    </w:p>
    <w:p>
      <w:pPr>
        <w:snapToGrid w:val="0"/>
        <w:spacing w:line="480" w:lineRule="auto"/>
        <w:jc w:val="center"/>
        <w:rPr>
          <w:rFonts w:hint="eastAsia" w:ascii="宋体" w:hAnsi="宋体" w:eastAsia="宋体" w:cs="宋体"/>
          <w:color w:val="auto"/>
          <w:sz w:val="30"/>
          <w:szCs w:val="20"/>
          <w:highlight w:val="none"/>
        </w:rPr>
      </w:pPr>
      <w:r>
        <w:rPr>
          <w:rFonts w:hint="eastAsia" w:ascii="宋体" w:hAnsi="宋体" w:eastAsia="宋体" w:cs="宋体"/>
          <w:b/>
          <w:color w:val="auto"/>
          <w:sz w:val="52"/>
          <w:szCs w:val="52"/>
          <w:highlight w:val="none"/>
        </w:rPr>
        <w:t>目    录</w:t>
      </w:r>
    </w:p>
    <w:p>
      <w:pPr>
        <w:pStyle w:val="33"/>
        <w:tabs>
          <w:tab w:val="right" w:leader="dot" w:pos="8302"/>
        </w:tabs>
        <w:spacing w:line="480" w:lineRule="auto"/>
        <w:rPr>
          <w:rFonts w:hint="eastAsia" w:ascii="宋体" w:hAnsi="宋体" w:eastAsia="宋体" w:cs="宋体"/>
          <w:color w:val="auto"/>
          <w:sz w:val="36"/>
          <w:szCs w:val="36"/>
          <w:highlight w:val="none"/>
        </w:rPr>
      </w:pPr>
    </w:p>
    <w:p>
      <w:pPr>
        <w:pStyle w:val="33"/>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rPr>
          <w:sz w:val="36"/>
          <w:szCs w:val="44"/>
        </w:rPr>
      </w:pPr>
      <w:r>
        <w:rPr>
          <w:rFonts w:hint="eastAsia" w:ascii="宋体" w:hAnsi="宋体" w:eastAsia="宋体" w:cs="宋体"/>
          <w:color w:val="auto"/>
          <w:sz w:val="56"/>
          <w:szCs w:val="56"/>
          <w:highlight w:val="none"/>
        </w:rPr>
        <w:fldChar w:fldCharType="begin"/>
      </w:r>
      <w:r>
        <w:rPr>
          <w:rFonts w:hint="eastAsia" w:ascii="宋体" w:hAnsi="宋体" w:eastAsia="宋体" w:cs="宋体"/>
          <w:color w:val="auto"/>
          <w:sz w:val="56"/>
          <w:szCs w:val="56"/>
          <w:highlight w:val="none"/>
        </w:rPr>
        <w:instrText xml:space="preserve">TOC \o "1-1" \h \u </w:instrText>
      </w:r>
      <w:r>
        <w:rPr>
          <w:rFonts w:hint="eastAsia" w:ascii="宋体" w:hAnsi="宋体" w:eastAsia="宋体" w:cs="宋体"/>
          <w:color w:val="auto"/>
          <w:sz w:val="56"/>
          <w:szCs w:val="56"/>
          <w:highlight w:val="none"/>
        </w:rPr>
        <w:fldChar w:fldCharType="separate"/>
      </w:r>
      <w:r>
        <w:rPr>
          <w:rFonts w:hint="eastAsia" w:ascii="宋体" w:hAnsi="宋体" w:eastAsia="宋体" w:cs="宋体"/>
          <w:color w:val="auto"/>
          <w:sz w:val="36"/>
          <w:szCs w:val="56"/>
          <w:highlight w:val="none"/>
        </w:rPr>
        <w:fldChar w:fldCharType="begin"/>
      </w:r>
      <w:r>
        <w:rPr>
          <w:rFonts w:hint="eastAsia" w:ascii="宋体" w:hAnsi="宋体" w:eastAsia="宋体" w:cs="宋体"/>
          <w:sz w:val="36"/>
          <w:szCs w:val="56"/>
          <w:highlight w:val="none"/>
        </w:rPr>
        <w:instrText xml:space="preserve"> HYPERLINK \l _Toc7691 </w:instrText>
      </w:r>
      <w:r>
        <w:rPr>
          <w:rFonts w:hint="eastAsia" w:ascii="宋体" w:hAnsi="宋体" w:eastAsia="宋体" w:cs="宋体"/>
          <w:sz w:val="36"/>
          <w:szCs w:val="56"/>
          <w:highlight w:val="none"/>
        </w:rPr>
        <w:fldChar w:fldCharType="separate"/>
      </w:r>
      <w:r>
        <w:rPr>
          <w:rFonts w:hint="eastAsia" w:ascii="宋体" w:hAnsi="宋体" w:eastAsia="宋体" w:cs="宋体"/>
          <w:sz w:val="36"/>
          <w:szCs w:val="52"/>
          <w:highlight w:val="none"/>
        </w:rPr>
        <w:t xml:space="preserve">第一章  </w:t>
      </w:r>
      <w:r>
        <w:rPr>
          <w:rFonts w:hint="eastAsia" w:hAnsi="宋体" w:eastAsia="宋体" w:cs="宋体"/>
          <w:sz w:val="36"/>
          <w:szCs w:val="52"/>
          <w:highlight w:val="none"/>
          <w:lang w:eastAsia="zh-CN"/>
        </w:rPr>
        <w:t>公开招标公告</w:t>
      </w:r>
      <w:r>
        <w:rPr>
          <w:sz w:val="36"/>
          <w:szCs w:val="44"/>
        </w:rPr>
        <w:tab/>
      </w:r>
      <w:r>
        <w:rPr>
          <w:sz w:val="36"/>
          <w:szCs w:val="44"/>
        </w:rPr>
        <w:fldChar w:fldCharType="begin"/>
      </w:r>
      <w:r>
        <w:rPr>
          <w:sz w:val="36"/>
          <w:szCs w:val="44"/>
        </w:rPr>
        <w:instrText xml:space="preserve"> PAGEREF _Toc7691 \h </w:instrText>
      </w:r>
      <w:r>
        <w:rPr>
          <w:sz w:val="36"/>
          <w:szCs w:val="44"/>
        </w:rPr>
        <w:fldChar w:fldCharType="separate"/>
      </w:r>
      <w:r>
        <w:rPr>
          <w:sz w:val="36"/>
          <w:szCs w:val="44"/>
        </w:rPr>
        <w:t>1</w:t>
      </w:r>
      <w:r>
        <w:rPr>
          <w:sz w:val="36"/>
          <w:szCs w:val="44"/>
        </w:rPr>
        <w:fldChar w:fldCharType="end"/>
      </w:r>
      <w:r>
        <w:rPr>
          <w:rFonts w:hint="eastAsia" w:ascii="宋体" w:hAnsi="宋体" w:eastAsia="宋体" w:cs="宋体"/>
          <w:color w:val="auto"/>
          <w:sz w:val="36"/>
          <w:szCs w:val="56"/>
          <w:highlight w:val="none"/>
        </w:rPr>
        <w:fldChar w:fldCharType="end"/>
      </w:r>
    </w:p>
    <w:p>
      <w:pPr>
        <w:pStyle w:val="33"/>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rPr>
          <w:sz w:val="36"/>
          <w:szCs w:val="44"/>
        </w:rPr>
      </w:pPr>
      <w:r>
        <w:rPr>
          <w:rFonts w:hint="eastAsia" w:ascii="宋体" w:hAnsi="宋体" w:eastAsia="宋体" w:cs="宋体"/>
          <w:color w:val="auto"/>
          <w:sz w:val="36"/>
          <w:szCs w:val="56"/>
          <w:highlight w:val="none"/>
        </w:rPr>
        <w:fldChar w:fldCharType="begin"/>
      </w:r>
      <w:r>
        <w:rPr>
          <w:rFonts w:hint="eastAsia" w:ascii="宋体" w:hAnsi="宋体" w:eastAsia="宋体" w:cs="宋体"/>
          <w:sz w:val="36"/>
          <w:szCs w:val="56"/>
          <w:highlight w:val="none"/>
        </w:rPr>
        <w:instrText xml:space="preserve"> HYPERLINK \l _Toc21866 </w:instrText>
      </w:r>
      <w:r>
        <w:rPr>
          <w:rFonts w:hint="eastAsia" w:ascii="宋体" w:hAnsi="宋体" w:eastAsia="宋体" w:cs="宋体"/>
          <w:sz w:val="36"/>
          <w:szCs w:val="56"/>
          <w:highlight w:val="none"/>
        </w:rPr>
        <w:fldChar w:fldCharType="separate"/>
      </w:r>
      <w:r>
        <w:rPr>
          <w:rFonts w:hint="eastAsia" w:ascii="宋体" w:hAnsi="宋体" w:eastAsia="宋体" w:cs="宋体"/>
          <w:sz w:val="36"/>
          <w:szCs w:val="52"/>
          <w:highlight w:val="none"/>
        </w:rPr>
        <w:t>第二章  采购需求</w:t>
      </w:r>
      <w:r>
        <w:rPr>
          <w:sz w:val="36"/>
          <w:szCs w:val="44"/>
        </w:rPr>
        <w:tab/>
      </w:r>
      <w:r>
        <w:rPr>
          <w:sz w:val="36"/>
          <w:szCs w:val="44"/>
        </w:rPr>
        <w:fldChar w:fldCharType="begin"/>
      </w:r>
      <w:r>
        <w:rPr>
          <w:sz w:val="36"/>
          <w:szCs w:val="44"/>
        </w:rPr>
        <w:instrText xml:space="preserve"> PAGEREF _Toc21866 \h </w:instrText>
      </w:r>
      <w:r>
        <w:rPr>
          <w:sz w:val="36"/>
          <w:szCs w:val="44"/>
        </w:rPr>
        <w:fldChar w:fldCharType="separate"/>
      </w:r>
      <w:r>
        <w:rPr>
          <w:sz w:val="36"/>
          <w:szCs w:val="44"/>
        </w:rPr>
        <w:t>5</w:t>
      </w:r>
      <w:r>
        <w:rPr>
          <w:sz w:val="36"/>
          <w:szCs w:val="44"/>
        </w:rPr>
        <w:fldChar w:fldCharType="end"/>
      </w:r>
      <w:r>
        <w:rPr>
          <w:rFonts w:hint="eastAsia" w:ascii="宋体" w:hAnsi="宋体" w:eastAsia="宋体" w:cs="宋体"/>
          <w:color w:val="auto"/>
          <w:sz w:val="36"/>
          <w:szCs w:val="56"/>
          <w:highlight w:val="none"/>
        </w:rPr>
        <w:fldChar w:fldCharType="end"/>
      </w:r>
    </w:p>
    <w:p>
      <w:pPr>
        <w:pStyle w:val="33"/>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rPr>
          <w:sz w:val="36"/>
          <w:szCs w:val="44"/>
        </w:rPr>
      </w:pPr>
      <w:r>
        <w:rPr>
          <w:rFonts w:hint="eastAsia" w:ascii="宋体" w:hAnsi="宋体" w:eastAsia="宋体" w:cs="宋体"/>
          <w:color w:val="auto"/>
          <w:sz w:val="36"/>
          <w:szCs w:val="56"/>
          <w:highlight w:val="none"/>
        </w:rPr>
        <w:fldChar w:fldCharType="begin"/>
      </w:r>
      <w:r>
        <w:rPr>
          <w:rFonts w:hint="eastAsia" w:ascii="宋体" w:hAnsi="宋体" w:eastAsia="宋体" w:cs="宋体"/>
          <w:sz w:val="36"/>
          <w:szCs w:val="56"/>
          <w:highlight w:val="none"/>
        </w:rPr>
        <w:instrText xml:space="preserve"> HYPERLINK \l _Toc4265 </w:instrText>
      </w:r>
      <w:r>
        <w:rPr>
          <w:rFonts w:hint="eastAsia" w:ascii="宋体" w:hAnsi="宋体" w:eastAsia="宋体" w:cs="宋体"/>
          <w:sz w:val="36"/>
          <w:szCs w:val="56"/>
          <w:highlight w:val="none"/>
        </w:rPr>
        <w:fldChar w:fldCharType="separate"/>
      </w:r>
      <w:r>
        <w:rPr>
          <w:rFonts w:hint="eastAsia" w:ascii="宋体" w:hAnsi="宋体" w:eastAsia="宋体" w:cs="宋体"/>
          <w:sz w:val="36"/>
          <w:szCs w:val="52"/>
          <w:highlight w:val="none"/>
        </w:rPr>
        <w:t>第三章  供应商须知</w:t>
      </w:r>
      <w:r>
        <w:rPr>
          <w:sz w:val="36"/>
          <w:szCs w:val="44"/>
        </w:rPr>
        <w:tab/>
      </w:r>
      <w:r>
        <w:rPr>
          <w:sz w:val="36"/>
          <w:szCs w:val="44"/>
        </w:rPr>
        <w:fldChar w:fldCharType="begin"/>
      </w:r>
      <w:r>
        <w:rPr>
          <w:sz w:val="36"/>
          <w:szCs w:val="44"/>
        </w:rPr>
        <w:instrText xml:space="preserve"> PAGEREF _Toc4265 \h </w:instrText>
      </w:r>
      <w:r>
        <w:rPr>
          <w:sz w:val="36"/>
          <w:szCs w:val="44"/>
        </w:rPr>
        <w:fldChar w:fldCharType="separate"/>
      </w:r>
      <w:r>
        <w:rPr>
          <w:sz w:val="36"/>
          <w:szCs w:val="44"/>
        </w:rPr>
        <w:t>11</w:t>
      </w:r>
      <w:r>
        <w:rPr>
          <w:sz w:val="36"/>
          <w:szCs w:val="44"/>
        </w:rPr>
        <w:fldChar w:fldCharType="end"/>
      </w:r>
      <w:r>
        <w:rPr>
          <w:rFonts w:hint="eastAsia" w:ascii="宋体" w:hAnsi="宋体" w:eastAsia="宋体" w:cs="宋体"/>
          <w:color w:val="auto"/>
          <w:sz w:val="36"/>
          <w:szCs w:val="56"/>
          <w:highlight w:val="none"/>
        </w:rPr>
        <w:fldChar w:fldCharType="end"/>
      </w:r>
    </w:p>
    <w:p>
      <w:pPr>
        <w:pStyle w:val="33"/>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rPr>
          <w:sz w:val="36"/>
          <w:szCs w:val="44"/>
        </w:rPr>
      </w:pPr>
      <w:r>
        <w:rPr>
          <w:rFonts w:hint="eastAsia" w:ascii="宋体" w:hAnsi="宋体" w:eastAsia="宋体" w:cs="宋体"/>
          <w:color w:val="auto"/>
          <w:sz w:val="36"/>
          <w:szCs w:val="56"/>
          <w:highlight w:val="none"/>
        </w:rPr>
        <w:fldChar w:fldCharType="begin"/>
      </w:r>
      <w:r>
        <w:rPr>
          <w:rFonts w:hint="eastAsia" w:ascii="宋体" w:hAnsi="宋体" w:eastAsia="宋体" w:cs="宋体"/>
          <w:sz w:val="36"/>
          <w:szCs w:val="56"/>
          <w:highlight w:val="none"/>
        </w:rPr>
        <w:instrText xml:space="preserve"> HYPERLINK \l _Toc8968 </w:instrText>
      </w:r>
      <w:r>
        <w:rPr>
          <w:rFonts w:hint="eastAsia" w:ascii="宋体" w:hAnsi="宋体" w:eastAsia="宋体" w:cs="宋体"/>
          <w:sz w:val="36"/>
          <w:szCs w:val="56"/>
          <w:highlight w:val="none"/>
        </w:rPr>
        <w:fldChar w:fldCharType="separate"/>
      </w:r>
      <w:r>
        <w:rPr>
          <w:rFonts w:hint="eastAsia" w:ascii="宋体" w:hAnsi="宋体" w:eastAsia="宋体" w:cs="宋体"/>
          <w:bCs/>
          <w:sz w:val="36"/>
          <w:szCs w:val="52"/>
          <w:highlight w:val="none"/>
        </w:rPr>
        <w:t>第四章  评标办法及评分标准</w:t>
      </w:r>
      <w:r>
        <w:rPr>
          <w:sz w:val="36"/>
          <w:szCs w:val="44"/>
        </w:rPr>
        <w:tab/>
      </w:r>
      <w:r>
        <w:rPr>
          <w:sz w:val="36"/>
          <w:szCs w:val="44"/>
        </w:rPr>
        <w:fldChar w:fldCharType="begin"/>
      </w:r>
      <w:r>
        <w:rPr>
          <w:sz w:val="36"/>
          <w:szCs w:val="44"/>
        </w:rPr>
        <w:instrText xml:space="preserve"> PAGEREF _Toc8968 \h </w:instrText>
      </w:r>
      <w:r>
        <w:rPr>
          <w:sz w:val="36"/>
          <w:szCs w:val="44"/>
        </w:rPr>
        <w:fldChar w:fldCharType="separate"/>
      </w:r>
      <w:r>
        <w:rPr>
          <w:sz w:val="36"/>
          <w:szCs w:val="44"/>
        </w:rPr>
        <w:t>19</w:t>
      </w:r>
      <w:r>
        <w:rPr>
          <w:sz w:val="36"/>
          <w:szCs w:val="44"/>
        </w:rPr>
        <w:fldChar w:fldCharType="end"/>
      </w:r>
      <w:r>
        <w:rPr>
          <w:rFonts w:hint="eastAsia" w:ascii="宋体" w:hAnsi="宋体" w:eastAsia="宋体" w:cs="宋体"/>
          <w:color w:val="auto"/>
          <w:sz w:val="36"/>
          <w:szCs w:val="56"/>
          <w:highlight w:val="none"/>
        </w:rPr>
        <w:fldChar w:fldCharType="end"/>
      </w:r>
    </w:p>
    <w:p>
      <w:pPr>
        <w:pStyle w:val="33"/>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rPr>
          <w:sz w:val="36"/>
          <w:szCs w:val="44"/>
        </w:rPr>
      </w:pPr>
      <w:r>
        <w:rPr>
          <w:rFonts w:hint="eastAsia" w:ascii="宋体" w:hAnsi="宋体" w:eastAsia="宋体" w:cs="宋体"/>
          <w:color w:val="auto"/>
          <w:sz w:val="36"/>
          <w:szCs w:val="56"/>
          <w:highlight w:val="none"/>
        </w:rPr>
        <w:fldChar w:fldCharType="begin"/>
      </w:r>
      <w:r>
        <w:rPr>
          <w:rFonts w:hint="eastAsia" w:ascii="宋体" w:hAnsi="宋体" w:eastAsia="宋体" w:cs="宋体"/>
          <w:sz w:val="36"/>
          <w:szCs w:val="56"/>
          <w:highlight w:val="none"/>
        </w:rPr>
        <w:instrText xml:space="preserve"> HYPERLINK \l _Toc9993 </w:instrText>
      </w:r>
      <w:r>
        <w:rPr>
          <w:rFonts w:hint="eastAsia" w:ascii="宋体" w:hAnsi="宋体" w:eastAsia="宋体" w:cs="宋体"/>
          <w:sz w:val="36"/>
          <w:szCs w:val="56"/>
          <w:highlight w:val="none"/>
        </w:rPr>
        <w:fldChar w:fldCharType="separate"/>
      </w:r>
      <w:r>
        <w:rPr>
          <w:rFonts w:hint="eastAsia" w:ascii="宋体" w:hAnsi="宋体" w:eastAsia="宋体" w:cs="宋体"/>
          <w:sz w:val="36"/>
          <w:szCs w:val="52"/>
          <w:highlight w:val="none"/>
        </w:rPr>
        <w:t>第五章  政府采购合同主要条款</w:t>
      </w:r>
      <w:r>
        <w:rPr>
          <w:sz w:val="36"/>
          <w:szCs w:val="44"/>
        </w:rPr>
        <w:tab/>
      </w:r>
      <w:r>
        <w:rPr>
          <w:sz w:val="36"/>
          <w:szCs w:val="44"/>
        </w:rPr>
        <w:fldChar w:fldCharType="begin"/>
      </w:r>
      <w:r>
        <w:rPr>
          <w:sz w:val="36"/>
          <w:szCs w:val="44"/>
        </w:rPr>
        <w:instrText xml:space="preserve"> PAGEREF _Toc9993 \h </w:instrText>
      </w:r>
      <w:r>
        <w:rPr>
          <w:sz w:val="36"/>
          <w:szCs w:val="44"/>
        </w:rPr>
        <w:fldChar w:fldCharType="separate"/>
      </w:r>
      <w:r>
        <w:rPr>
          <w:sz w:val="36"/>
          <w:szCs w:val="44"/>
        </w:rPr>
        <w:t>27</w:t>
      </w:r>
      <w:r>
        <w:rPr>
          <w:sz w:val="36"/>
          <w:szCs w:val="44"/>
        </w:rPr>
        <w:fldChar w:fldCharType="end"/>
      </w:r>
      <w:r>
        <w:rPr>
          <w:rFonts w:hint="eastAsia" w:ascii="宋体" w:hAnsi="宋体" w:eastAsia="宋体" w:cs="宋体"/>
          <w:color w:val="auto"/>
          <w:sz w:val="36"/>
          <w:szCs w:val="56"/>
          <w:highlight w:val="none"/>
        </w:rPr>
        <w:fldChar w:fldCharType="end"/>
      </w:r>
    </w:p>
    <w:p>
      <w:pPr>
        <w:pStyle w:val="33"/>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rPr>
          <w:sz w:val="36"/>
          <w:szCs w:val="44"/>
        </w:rPr>
      </w:pPr>
      <w:r>
        <w:rPr>
          <w:rFonts w:hint="eastAsia" w:ascii="宋体" w:hAnsi="宋体" w:eastAsia="宋体" w:cs="宋体"/>
          <w:color w:val="auto"/>
          <w:sz w:val="36"/>
          <w:szCs w:val="56"/>
          <w:highlight w:val="none"/>
        </w:rPr>
        <w:fldChar w:fldCharType="begin"/>
      </w:r>
      <w:r>
        <w:rPr>
          <w:rFonts w:hint="eastAsia" w:ascii="宋体" w:hAnsi="宋体" w:eastAsia="宋体" w:cs="宋体"/>
          <w:sz w:val="36"/>
          <w:szCs w:val="56"/>
          <w:highlight w:val="none"/>
        </w:rPr>
        <w:instrText xml:space="preserve"> HYPERLINK \l _Toc4952 </w:instrText>
      </w:r>
      <w:r>
        <w:rPr>
          <w:rFonts w:hint="eastAsia" w:ascii="宋体" w:hAnsi="宋体" w:eastAsia="宋体" w:cs="宋体"/>
          <w:sz w:val="36"/>
          <w:szCs w:val="56"/>
          <w:highlight w:val="none"/>
        </w:rPr>
        <w:fldChar w:fldCharType="separate"/>
      </w:r>
      <w:r>
        <w:rPr>
          <w:rFonts w:hint="eastAsia" w:ascii="宋体" w:hAnsi="宋体" w:eastAsia="宋体" w:cs="宋体"/>
          <w:sz w:val="36"/>
          <w:szCs w:val="52"/>
          <w:highlight w:val="none"/>
        </w:rPr>
        <w:t>第六章　投标文件格式</w:t>
      </w:r>
      <w:r>
        <w:rPr>
          <w:sz w:val="36"/>
          <w:szCs w:val="44"/>
        </w:rPr>
        <w:tab/>
      </w:r>
      <w:r>
        <w:rPr>
          <w:sz w:val="36"/>
          <w:szCs w:val="44"/>
        </w:rPr>
        <w:fldChar w:fldCharType="begin"/>
      </w:r>
      <w:r>
        <w:rPr>
          <w:sz w:val="36"/>
          <w:szCs w:val="44"/>
        </w:rPr>
        <w:instrText xml:space="preserve"> PAGEREF _Toc4952 \h </w:instrText>
      </w:r>
      <w:r>
        <w:rPr>
          <w:sz w:val="36"/>
          <w:szCs w:val="44"/>
        </w:rPr>
        <w:fldChar w:fldCharType="separate"/>
      </w:r>
      <w:r>
        <w:rPr>
          <w:sz w:val="36"/>
          <w:szCs w:val="44"/>
        </w:rPr>
        <w:t>31</w:t>
      </w:r>
      <w:r>
        <w:rPr>
          <w:sz w:val="36"/>
          <w:szCs w:val="44"/>
        </w:rPr>
        <w:fldChar w:fldCharType="end"/>
      </w:r>
      <w:r>
        <w:rPr>
          <w:rFonts w:hint="eastAsia" w:ascii="宋体" w:hAnsi="宋体" w:eastAsia="宋体" w:cs="宋体"/>
          <w:color w:val="auto"/>
          <w:sz w:val="36"/>
          <w:szCs w:val="56"/>
          <w:highlight w:val="none"/>
        </w:rPr>
        <w:fldChar w:fldCharType="end"/>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textAlignment w:val="auto"/>
        <w:rPr>
          <w:rFonts w:hint="eastAsia" w:ascii="宋体" w:hAnsi="宋体" w:eastAsia="宋体" w:cs="宋体"/>
          <w:color w:val="auto"/>
          <w:sz w:val="36"/>
          <w:szCs w:val="36"/>
          <w:highlight w:val="none"/>
        </w:rPr>
      </w:pPr>
      <w:r>
        <w:rPr>
          <w:rFonts w:hint="eastAsia" w:ascii="宋体" w:hAnsi="宋体" w:eastAsia="宋体" w:cs="宋体"/>
          <w:color w:val="auto"/>
          <w:sz w:val="36"/>
          <w:szCs w:val="56"/>
          <w:highlight w:val="none"/>
        </w:rPr>
        <w:fldChar w:fldCharType="end"/>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textAlignment w:val="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pPr>
        <w:pStyle w:val="26"/>
        <w:snapToGrid w:val="0"/>
        <w:spacing w:before="0" w:beforeLines="0" w:after="0" w:afterLines="0" w:line="360" w:lineRule="auto"/>
        <w:rPr>
          <w:rFonts w:hint="eastAsia" w:ascii="宋体" w:hAnsi="宋体" w:eastAsia="宋体" w:cs="宋体"/>
          <w:b/>
          <w:color w:val="auto"/>
          <w:sz w:val="30"/>
          <w:szCs w:val="30"/>
          <w:highlight w:val="none"/>
        </w:rPr>
        <w:sectPr>
          <w:pgSz w:w="11906" w:h="16838"/>
          <w:pgMar w:top="1474" w:right="1797" w:bottom="1247" w:left="1797" w:header="851" w:footer="851" w:gutter="0"/>
          <w:pgNumType w:start="2"/>
          <w:cols w:space="720" w:num="1"/>
          <w:titlePg/>
          <w:docGrid w:linePitch="312" w:charSpace="0"/>
        </w:sectPr>
      </w:pPr>
    </w:p>
    <w:p>
      <w:pPr>
        <w:pStyle w:val="26"/>
        <w:snapToGrid w:val="0"/>
        <w:spacing w:before="0" w:beforeLines="0" w:after="0" w:afterLines="0" w:line="360" w:lineRule="auto"/>
        <w:jc w:val="center"/>
        <w:outlineLvl w:val="0"/>
        <w:rPr>
          <w:rFonts w:hint="eastAsia" w:ascii="宋体" w:hAnsi="宋体" w:eastAsia="宋体" w:cs="宋体"/>
          <w:b/>
          <w:color w:val="auto"/>
          <w:sz w:val="32"/>
          <w:szCs w:val="32"/>
          <w:highlight w:val="none"/>
          <w:lang w:eastAsia="zh-CN"/>
        </w:rPr>
      </w:pPr>
      <w:bookmarkStart w:id="0" w:name="_Toc14924"/>
      <w:bookmarkStart w:id="1" w:name="_Toc7691"/>
      <w:r>
        <w:rPr>
          <w:rFonts w:hint="eastAsia" w:ascii="宋体" w:hAnsi="宋体" w:eastAsia="宋体" w:cs="宋体"/>
          <w:b/>
          <w:color w:val="auto"/>
          <w:sz w:val="32"/>
          <w:szCs w:val="32"/>
          <w:highlight w:val="none"/>
        </w:rPr>
        <w:t xml:space="preserve">第一章  </w:t>
      </w:r>
      <w:bookmarkEnd w:id="0"/>
      <w:r>
        <w:rPr>
          <w:rFonts w:hint="eastAsia" w:hAnsi="宋体" w:eastAsia="宋体" w:cs="宋体"/>
          <w:b/>
          <w:color w:val="auto"/>
          <w:sz w:val="32"/>
          <w:szCs w:val="32"/>
          <w:highlight w:val="none"/>
          <w:lang w:eastAsia="zh-CN"/>
        </w:rPr>
        <w:t>公开招标公告</w:t>
      </w:r>
      <w:bookmarkEnd w:id="1"/>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8" w:type="dxa"/>
            <w:noWrap w:val="0"/>
            <w:vAlign w:val="top"/>
          </w:tcPr>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lang w:eastAsia="zh-CN"/>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sz w:val="21"/>
                <w:szCs w:val="21"/>
                <w:highlight w:val="none"/>
                <w:vertAlign w:val="baseline"/>
              </w:rPr>
            </w:pPr>
            <w:r>
              <w:rPr>
                <w:rFonts w:hint="eastAsia" w:ascii="宋体" w:hAnsi="宋体" w:eastAsia="宋体" w:cs="宋体"/>
                <w:i w:val="0"/>
                <w:iCs w:val="0"/>
                <w:color w:val="auto"/>
                <w:sz w:val="21"/>
                <w:szCs w:val="21"/>
                <w:highlight w:val="none"/>
                <w:u w:val="single"/>
                <w:lang w:eastAsia="zh-CN"/>
              </w:rPr>
              <w:t>宁海县西店镇人民政府除四害消杀服务项目</w:t>
            </w:r>
            <w:r>
              <w:rPr>
                <w:rFonts w:hint="eastAsia" w:ascii="宋体" w:hAnsi="宋体" w:eastAsia="宋体" w:cs="宋体"/>
                <w:i w:val="0"/>
                <w:iCs w:val="0"/>
                <w:color w:val="auto"/>
                <w:sz w:val="21"/>
                <w:szCs w:val="21"/>
                <w:highlight w:val="none"/>
              </w:rPr>
              <w:t>招标项目的潜在投标人应在政府采购云平台（www.zcygov.cn）获取（下载）招标文件，并于</w:t>
            </w:r>
            <w:r>
              <w:rPr>
                <w:rFonts w:hint="eastAsia" w:ascii="宋体" w:hAnsi="宋体" w:eastAsia="宋体" w:cs="宋体"/>
                <w:i w:val="0"/>
                <w:iCs w:val="0"/>
                <w:color w:val="auto"/>
                <w:sz w:val="21"/>
                <w:szCs w:val="21"/>
                <w:highlight w:val="none"/>
                <w:u w:val="single"/>
                <w:lang w:val="en-US" w:eastAsia="zh-CN"/>
              </w:rPr>
              <w:t>2022</w:t>
            </w:r>
            <w:r>
              <w:rPr>
                <w:rFonts w:hint="eastAsia" w:ascii="宋体" w:hAnsi="宋体" w:eastAsia="宋体" w:cs="宋体"/>
                <w:bCs/>
                <w:i w:val="0"/>
                <w:iCs w:val="0"/>
                <w:color w:val="auto"/>
                <w:sz w:val="21"/>
                <w:szCs w:val="21"/>
                <w:highlight w:val="none"/>
                <w:u w:val="single"/>
              </w:rPr>
              <w:t>年</w:t>
            </w:r>
            <w:r>
              <w:rPr>
                <w:rFonts w:hint="eastAsia" w:ascii="宋体" w:hAnsi="宋体" w:eastAsia="宋体" w:cs="宋体"/>
                <w:bCs/>
                <w:i w:val="0"/>
                <w:iCs w:val="0"/>
                <w:color w:val="auto"/>
                <w:sz w:val="21"/>
                <w:szCs w:val="21"/>
                <w:highlight w:val="none"/>
                <w:u w:val="single"/>
                <w:lang w:val="en-US" w:eastAsia="zh-CN"/>
              </w:rPr>
              <w:t xml:space="preserve">  </w:t>
            </w:r>
            <w:r>
              <w:rPr>
                <w:rFonts w:hint="eastAsia" w:ascii="宋体" w:hAnsi="宋体" w:eastAsia="宋体" w:cs="宋体"/>
                <w:bCs/>
                <w:i w:val="0"/>
                <w:iCs w:val="0"/>
                <w:color w:val="auto"/>
                <w:sz w:val="21"/>
                <w:szCs w:val="21"/>
                <w:highlight w:val="none"/>
                <w:u w:val="single"/>
              </w:rPr>
              <w:t>月</w:t>
            </w:r>
            <w:r>
              <w:rPr>
                <w:rFonts w:hint="eastAsia" w:ascii="宋体" w:hAnsi="宋体" w:eastAsia="宋体" w:cs="宋体"/>
                <w:bCs/>
                <w:i w:val="0"/>
                <w:iCs w:val="0"/>
                <w:color w:val="auto"/>
                <w:sz w:val="21"/>
                <w:szCs w:val="21"/>
                <w:highlight w:val="none"/>
                <w:u w:val="single"/>
                <w:lang w:val="en-US" w:eastAsia="zh-CN"/>
              </w:rPr>
              <w:t xml:space="preserve">  </w:t>
            </w:r>
            <w:r>
              <w:rPr>
                <w:rFonts w:hint="eastAsia" w:ascii="宋体" w:hAnsi="宋体" w:eastAsia="宋体" w:cs="宋体"/>
                <w:bCs/>
                <w:i w:val="0"/>
                <w:iCs w:val="0"/>
                <w:color w:val="auto"/>
                <w:sz w:val="21"/>
                <w:szCs w:val="21"/>
                <w:highlight w:val="none"/>
                <w:u w:val="single"/>
              </w:rPr>
              <w:t>日</w:t>
            </w:r>
            <w:r>
              <w:rPr>
                <w:rFonts w:hint="eastAsia" w:ascii="宋体" w:hAnsi="宋体" w:eastAsia="宋体" w:cs="宋体"/>
                <w:bCs/>
                <w:i w:val="0"/>
                <w:iCs w:val="0"/>
                <w:color w:val="auto"/>
                <w:sz w:val="21"/>
                <w:szCs w:val="21"/>
                <w:highlight w:val="none"/>
                <w:u w:val="single"/>
                <w:lang w:val="en-US" w:eastAsia="zh-CN"/>
              </w:rPr>
              <w:t xml:space="preserve">  </w:t>
            </w:r>
            <w:r>
              <w:rPr>
                <w:rFonts w:hint="eastAsia" w:ascii="宋体" w:hAnsi="宋体" w:eastAsia="宋体" w:cs="宋体"/>
                <w:bCs/>
                <w:i w:val="0"/>
                <w:iCs w:val="0"/>
                <w:color w:val="auto"/>
                <w:sz w:val="21"/>
                <w:szCs w:val="21"/>
                <w:highlight w:val="none"/>
                <w:u w:val="single"/>
              </w:rPr>
              <w:t>:</w:t>
            </w:r>
            <w:r>
              <w:rPr>
                <w:rFonts w:hint="eastAsia" w:ascii="宋体" w:hAnsi="宋体" w:eastAsia="宋体" w:cs="宋体"/>
                <w:bCs/>
                <w:i w:val="0"/>
                <w:iCs w:val="0"/>
                <w:color w:val="auto"/>
                <w:sz w:val="21"/>
                <w:szCs w:val="21"/>
                <w:highlight w:val="none"/>
                <w:u w:val="single"/>
                <w:lang w:val="en-US" w:eastAsia="zh-CN"/>
              </w:rPr>
              <w:t xml:space="preserve">  </w:t>
            </w:r>
            <w:r>
              <w:rPr>
                <w:rFonts w:hint="eastAsia" w:ascii="宋体" w:hAnsi="宋体" w:eastAsia="宋体" w:cs="宋体"/>
                <w:bCs/>
                <w:i w:val="0"/>
                <w:iCs w:val="0"/>
                <w:color w:val="auto"/>
                <w:sz w:val="21"/>
                <w:szCs w:val="21"/>
                <w:highlight w:val="none"/>
                <w:u w:val="single"/>
              </w:rPr>
              <w:t>（北京时间）</w:t>
            </w:r>
            <w:r>
              <w:rPr>
                <w:rFonts w:hint="eastAsia" w:ascii="宋体" w:hAnsi="宋体" w:eastAsia="宋体" w:cs="宋体"/>
                <w:bCs/>
                <w:i w:val="0"/>
                <w:iCs w:val="0"/>
                <w:color w:val="auto"/>
                <w:sz w:val="21"/>
                <w:szCs w:val="21"/>
                <w:highlight w:val="none"/>
              </w:rPr>
              <w:t>前递交</w:t>
            </w:r>
            <w:r>
              <w:rPr>
                <w:rFonts w:hint="eastAsia" w:ascii="宋体" w:hAnsi="宋体" w:eastAsia="宋体" w:cs="宋体"/>
                <w:bCs/>
                <w:i w:val="0"/>
                <w:iCs w:val="0"/>
                <w:color w:val="auto"/>
                <w:sz w:val="21"/>
                <w:szCs w:val="21"/>
                <w:highlight w:val="none"/>
                <w:lang w:eastAsia="zh-CN"/>
              </w:rPr>
              <w:t>（上传）</w:t>
            </w:r>
            <w:r>
              <w:rPr>
                <w:rFonts w:hint="eastAsia" w:ascii="宋体" w:hAnsi="宋体" w:eastAsia="宋体" w:cs="宋体"/>
                <w:bCs/>
                <w:i w:val="0"/>
                <w:iCs w:val="0"/>
                <w:color w:val="auto"/>
                <w:sz w:val="21"/>
                <w:szCs w:val="21"/>
                <w:highlight w:val="none"/>
              </w:rPr>
              <w:t>投标文件</w:t>
            </w:r>
            <w:r>
              <w:rPr>
                <w:rFonts w:hint="eastAsia" w:ascii="宋体" w:hAnsi="宋体" w:eastAsia="宋体" w:cs="宋体"/>
                <w:i w:val="0"/>
                <w:iCs w:val="0"/>
                <w:color w:val="auto"/>
                <w:sz w:val="21"/>
                <w:szCs w:val="21"/>
                <w:highlight w:val="none"/>
              </w:rPr>
              <w:t>。</w:t>
            </w:r>
          </w:p>
        </w:tc>
      </w:tr>
    </w:tbl>
    <w:p>
      <w:pPr>
        <w:pStyle w:val="5"/>
        <w:pageBreakBefore w:val="0"/>
        <w:kinsoku/>
        <w:wordWrap/>
        <w:overflowPunct/>
        <w:topLinePunct w:val="0"/>
        <w:autoSpaceDE/>
        <w:autoSpaceDN/>
        <w:bidi w:val="0"/>
        <w:adjustRightInd/>
        <w:snapToGrid/>
        <w:spacing w:before="0" w:beforeLines="0" w:after="0" w:afterLines="0" w:line="348" w:lineRule="auto"/>
        <w:ind w:left="0" w:leftChars="0"/>
        <w:textAlignment w:val="auto"/>
        <w:rPr>
          <w:rFonts w:hint="eastAsia" w:ascii="宋体" w:hAnsi="宋体" w:eastAsia="宋体" w:cs="宋体"/>
          <w:b/>
          <w:bCs w:val="0"/>
          <w:i w:val="0"/>
          <w:iCs w:val="0"/>
          <w:color w:val="auto"/>
          <w:sz w:val="21"/>
          <w:szCs w:val="21"/>
          <w:highlight w:val="none"/>
        </w:rPr>
      </w:pPr>
      <w:bookmarkStart w:id="2" w:name="_Toc35393790"/>
      <w:bookmarkStart w:id="3" w:name="_Toc28359079"/>
      <w:bookmarkStart w:id="4" w:name="_Toc35393621"/>
      <w:bookmarkStart w:id="5" w:name="_Toc28359002"/>
      <w:bookmarkStart w:id="6" w:name="_Hlk24379207"/>
      <w:r>
        <w:rPr>
          <w:rFonts w:hint="eastAsia" w:ascii="宋体" w:hAnsi="宋体" w:eastAsia="宋体" w:cs="宋体"/>
          <w:b/>
          <w:bCs w:val="0"/>
          <w:i w:val="0"/>
          <w:iCs w:val="0"/>
          <w:color w:val="auto"/>
          <w:sz w:val="21"/>
          <w:szCs w:val="21"/>
          <w:highlight w:val="none"/>
        </w:rPr>
        <w:t>一、项目基本情况</w:t>
      </w:r>
      <w:bookmarkEnd w:id="2"/>
      <w:bookmarkEnd w:id="3"/>
      <w:bookmarkEnd w:id="4"/>
      <w:bookmarkEnd w:id="5"/>
    </w:p>
    <w:p>
      <w:pPr>
        <w:pageBreakBefore w:val="0"/>
        <w:kinsoku/>
        <w:wordWrap/>
        <w:overflowPunct/>
        <w:topLinePunct w:val="0"/>
        <w:autoSpaceDE/>
        <w:autoSpaceDN/>
        <w:bidi w:val="0"/>
        <w:adjustRightInd/>
        <w:snapToGrid/>
        <w:spacing w:line="348" w:lineRule="auto"/>
        <w:ind w:left="0" w:leftChars="0" w:firstLine="420" w:firstLineChars="20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项目编号：</w:t>
      </w:r>
      <w:r>
        <w:rPr>
          <w:rFonts w:hint="eastAsia" w:ascii="宋体" w:hAnsi="宋体" w:eastAsia="宋体" w:cs="宋体"/>
          <w:i w:val="0"/>
          <w:iCs w:val="0"/>
          <w:color w:val="auto"/>
          <w:sz w:val="21"/>
          <w:szCs w:val="21"/>
          <w:highlight w:val="none"/>
          <w:lang w:eastAsia="zh-CN"/>
        </w:rPr>
        <w:t>CBZJ-202260</w:t>
      </w:r>
      <w:r>
        <w:rPr>
          <w:rFonts w:hint="eastAsia" w:ascii="宋体" w:hAnsi="宋体" w:eastAsia="宋体" w:cs="宋体"/>
          <w:i w:val="0"/>
          <w:iCs w:val="0"/>
          <w:color w:val="auto"/>
          <w:sz w:val="21"/>
          <w:szCs w:val="21"/>
          <w:highlight w:val="none"/>
          <w:lang w:val="en-US" w:eastAsia="zh-CN"/>
        </w:rPr>
        <w:t>50</w:t>
      </w:r>
      <w:r>
        <w:rPr>
          <w:rFonts w:hint="eastAsia" w:ascii="宋体" w:hAnsi="宋体" w:eastAsia="宋体" w:cs="宋体"/>
          <w:i w:val="0"/>
          <w:iCs w:val="0"/>
          <w:color w:val="auto"/>
          <w:sz w:val="21"/>
          <w:szCs w:val="21"/>
          <w:highlight w:val="none"/>
          <w:lang w:eastAsia="zh-CN"/>
        </w:rPr>
        <w:t>G</w:t>
      </w:r>
    </w:p>
    <w:p>
      <w:pPr>
        <w:pageBreakBefore w:val="0"/>
        <w:kinsoku/>
        <w:wordWrap/>
        <w:overflowPunct/>
        <w:topLinePunct w:val="0"/>
        <w:autoSpaceDE/>
        <w:autoSpaceDN/>
        <w:bidi w:val="0"/>
        <w:adjustRightInd/>
        <w:snapToGrid/>
        <w:spacing w:line="348" w:lineRule="auto"/>
        <w:ind w:left="0" w:leftChars="0"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项目名称：</w:t>
      </w:r>
      <w:r>
        <w:rPr>
          <w:rFonts w:hint="eastAsia" w:ascii="宋体" w:hAnsi="宋体" w:eastAsia="宋体" w:cs="宋体"/>
          <w:i w:val="0"/>
          <w:iCs w:val="0"/>
          <w:color w:val="auto"/>
          <w:sz w:val="21"/>
          <w:szCs w:val="21"/>
          <w:highlight w:val="none"/>
          <w:lang w:eastAsia="zh-CN"/>
        </w:rPr>
        <w:t>宁海县西店镇人民政府除四害消杀服务项目</w:t>
      </w:r>
    </w:p>
    <w:bookmarkEnd w:id="6"/>
    <w:p>
      <w:pPr>
        <w:pageBreakBefore w:val="0"/>
        <w:kinsoku/>
        <w:wordWrap/>
        <w:overflowPunct/>
        <w:topLinePunct w:val="0"/>
        <w:autoSpaceDE/>
        <w:autoSpaceDN/>
        <w:bidi w:val="0"/>
        <w:adjustRightInd/>
        <w:snapToGrid/>
        <w:spacing w:line="348" w:lineRule="auto"/>
        <w:ind w:left="0" w:leftChars="0" w:firstLine="420" w:firstLineChars="200"/>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预算金额（元）：</w:t>
      </w:r>
      <w:r>
        <w:rPr>
          <w:rFonts w:hint="eastAsia" w:ascii="宋体" w:hAnsi="宋体" w:eastAsia="宋体" w:cs="宋体"/>
          <w:i w:val="0"/>
          <w:iCs w:val="0"/>
          <w:color w:val="auto"/>
          <w:sz w:val="21"/>
          <w:szCs w:val="21"/>
          <w:highlight w:val="none"/>
          <w:lang w:val="en-US" w:eastAsia="zh-CN"/>
        </w:rPr>
        <w:t>1410000</w:t>
      </w:r>
    </w:p>
    <w:p>
      <w:pPr>
        <w:pageBreakBefore w:val="0"/>
        <w:kinsoku/>
        <w:wordWrap/>
        <w:overflowPunct/>
        <w:topLinePunct w:val="0"/>
        <w:autoSpaceDE/>
        <w:autoSpaceDN/>
        <w:bidi w:val="0"/>
        <w:adjustRightInd/>
        <w:snapToGrid/>
        <w:spacing w:line="348" w:lineRule="auto"/>
        <w:ind w:left="0" w:leftChars="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最高限价（元）：</w:t>
      </w:r>
      <w:r>
        <w:rPr>
          <w:rFonts w:hint="eastAsia" w:ascii="宋体" w:hAnsi="宋体" w:eastAsia="宋体" w:cs="宋体"/>
          <w:i w:val="0"/>
          <w:iCs w:val="0"/>
          <w:color w:val="auto"/>
          <w:sz w:val="21"/>
          <w:szCs w:val="21"/>
          <w:highlight w:val="none"/>
          <w:lang w:val="en-US" w:eastAsia="zh-CN"/>
        </w:rPr>
        <w:t>1410000</w:t>
      </w:r>
    </w:p>
    <w:p>
      <w:pPr>
        <w:pageBreakBefore w:val="0"/>
        <w:kinsoku/>
        <w:wordWrap/>
        <w:overflowPunct/>
        <w:topLinePunct w:val="0"/>
        <w:autoSpaceDE/>
        <w:autoSpaceDN/>
        <w:bidi w:val="0"/>
        <w:adjustRightInd/>
        <w:snapToGrid/>
        <w:spacing w:line="348" w:lineRule="auto"/>
        <w:ind w:left="0" w:leftChars="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cs="宋体"/>
          <w:i w:val="0"/>
          <w:iCs w:val="0"/>
          <w:color w:val="auto"/>
          <w:sz w:val="21"/>
          <w:szCs w:val="21"/>
          <w:highlight w:val="none"/>
          <w:lang w:val="en-US" w:eastAsia="zh-CN"/>
        </w:rPr>
        <w:t>5.</w:t>
      </w:r>
      <w:r>
        <w:rPr>
          <w:rFonts w:hint="eastAsia" w:ascii="宋体" w:hAnsi="宋体" w:eastAsia="宋体" w:cs="宋体"/>
          <w:i w:val="0"/>
          <w:iCs w:val="0"/>
          <w:color w:val="auto"/>
          <w:sz w:val="21"/>
          <w:szCs w:val="21"/>
          <w:highlight w:val="none"/>
        </w:rPr>
        <w:t>采购需求：</w:t>
      </w:r>
    </w:p>
    <w:p>
      <w:pPr>
        <w:pageBreakBefore w:val="0"/>
        <w:kinsoku/>
        <w:wordWrap/>
        <w:overflowPunct/>
        <w:topLinePunct w:val="0"/>
        <w:autoSpaceDE/>
        <w:autoSpaceDN/>
        <w:bidi w:val="0"/>
        <w:adjustRightInd/>
        <w:snapToGrid/>
        <w:spacing w:line="348" w:lineRule="auto"/>
        <w:ind w:left="0" w:leftChars="0"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标项名称:</w:t>
      </w:r>
      <w:r>
        <w:rPr>
          <w:rFonts w:hint="eastAsia" w:ascii="宋体" w:hAnsi="宋体" w:eastAsia="宋体" w:cs="宋体"/>
          <w:i w:val="0"/>
          <w:iCs w:val="0"/>
          <w:color w:val="auto"/>
          <w:sz w:val="21"/>
          <w:szCs w:val="21"/>
          <w:highlight w:val="none"/>
          <w:lang w:eastAsia="zh-CN"/>
        </w:rPr>
        <w:t>除四害消杀服务</w:t>
      </w:r>
    </w:p>
    <w:p>
      <w:pPr>
        <w:pageBreakBefore w:val="0"/>
        <w:kinsoku/>
        <w:wordWrap/>
        <w:overflowPunct/>
        <w:topLinePunct w:val="0"/>
        <w:autoSpaceDE/>
        <w:autoSpaceDN/>
        <w:bidi w:val="0"/>
        <w:adjustRightInd/>
        <w:snapToGrid/>
        <w:spacing w:line="348" w:lineRule="auto"/>
        <w:ind w:left="0" w:leftChars="0" w:firstLine="420" w:firstLineChars="200"/>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数量:</w:t>
      </w:r>
      <w:r>
        <w:rPr>
          <w:rFonts w:hint="eastAsia" w:ascii="宋体" w:hAnsi="宋体" w:eastAsia="宋体" w:cs="宋体"/>
          <w:i w:val="0"/>
          <w:iCs w:val="0"/>
          <w:color w:val="auto"/>
          <w:sz w:val="21"/>
          <w:szCs w:val="21"/>
          <w:highlight w:val="none"/>
          <w:lang w:val="en-US" w:eastAsia="zh-CN"/>
        </w:rPr>
        <w:t>3年</w:t>
      </w:r>
    </w:p>
    <w:p>
      <w:pPr>
        <w:pageBreakBefore w:val="0"/>
        <w:kinsoku/>
        <w:wordWrap/>
        <w:overflowPunct/>
        <w:topLinePunct w:val="0"/>
        <w:autoSpaceDE/>
        <w:autoSpaceDN/>
        <w:bidi w:val="0"/>
        <w:adjustRightInd/>
        <w:snapToGrid/>
        <w:spacing w:line="348" w:lineRule="auto"/>
        <w:ind w:left="0" w:leftChars="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预算金额（元）:</w:t>
      </w:r>
      <w:r>
        <w:rPr>
          <w:rFonts w:hint="eastAsia" w:ascii="宋体" w:hAnsi="宋体" w:eastAsia="宋体" w:cs="宋体"/>
          <w:i w:val="0"/>
          <w:iCs w:val="0"/>
          <w:color w:val="auto"/>
          <w:sz w:val="21"/>
          <w:szCs w:val="21"/>
          <w:highlight w:val="none"/>
          <w:lang w:val="en-US" w:eastAsia="zh-CN"/>
        </w:rPr>
        <w:t>1410000</w:t>
      </w:r>
    </w:p>
    <w:p>
      <w:pPr>
        <w:pageBreakBefore w:val="0"/>
        <w:kinsoku/>
        <w:wordWrap/>
        <w:overflowPunct/>
        <w:topLinePunct w:val="0"/>
        <w:autoSpaceDE/>
        <w:autoSpaceDN/>
        <w:bidi w:val="0"/>
        <w:adjustRightInd/>
        <w:snapToGrid/>
        <w:spacing w:line="348" w:lineRule="auto"/>
        <w:ind w:left="0" w:leftChars="0" w:firstLine="420" w:firstLineChars="200"/>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简要规格描述或项目基本概况介绍、用途：</w:t>
      </w:r>
      <w:r>
        <w:rPr>
          <w:rFonts w:hint="eastAsia" w:ascii="宋体" w:hAnsi="宋体"/>
          <w:color w:val="auto"/>
          <w:highlight w:val="none"/>
          <w:lang w:eastAsia="zh-CN"/>
        </w:rPr>
        <w:t>除四害消杀，服务范围及考核内容</w:t>
      </w:r>
      <w:r>
        <w:rPr>
          <w:rFonts w:hint="eastAsia" w:ascii="宋体" w:hAnsi="宋体"/>
          <w:color w:val="auto"/>
          <w:highlight w:val="none"/>
        </w:rPr>
        <w:t>详见《第二章  采购需求》。用途：自用。</w:t>
      </w:r>
    </w:p>
    <w:p>
      <w:pPr>
        <w:pageBreakBefore w:val="0"/>
        <w:kinsoku/>
        <w:wordWrap/>
        <w:overflowPunct/>
        <w:topLinePunct w:val="0"/>
        <w:autoSpaceDE/>
        <w:autoSpaceDN/>
        <w:bidi w:val="0"/>
        <w:adjustRightInd/>
        <w:snapToGrid/>
        <w:spacing w:line="348" w:lineRule="auto"/>
        <w:ind w:left="0" w:leftChars="0" w:firstLine="420" w:firstLineChars="200"/>
        <w:textAlignment w:val="auto"/>
        <w:rPr>
          <w:rFonts w:hint="default" w:ascii="宋体" w:hAnsi="宋体" w:eastAsia="宋体" w:cs="宋体"/>
          <w:i w:val="0"/>
          <w:iCs w:val="0"/>
          <w:color w:val="auto"/>
          <w:sz w:val="21"/>
          <w:szCs w:val="21"/>
          <w:highlight w:val="none"/>
          <w:lang w:val="en-US"/>
        </w:rPr>
      </w:pPr>
      <w:r>
        <w:rPr>
          <w:rFonts w:hint="eastAsia" w:ascii="宋体" w:hAnsi="宋体" w:eastAsia="宋体" w:cs="宋体"/>
          <w:i w:val="0"/>
          <w:iCs w:val="0"/>
          <w:color w:val="auto"/>
          <w:sz w:val="21"/>
          <w:szCs w:val="21"/>
          <w:highlight w:val="none"/>
        </w:rPr>
        <w:t>备注：</w:t>
      </w:r>
      <w:r>
        <w:rPr>
          <w:rFonts w:hint="eastAsia" w:ascii="宋体" w:hAnsi="宋体" w:eastAsia="宋体" w:cs="宋体"/>
          <w:i w:val="0"/>
          <w:iCs w:val="0"/>
          <w:color w:val="auto"/>
          <w:sz w:val="21"/>
          <w:szCs w:val="21"/>
          <w:highlight w:val="none"/>
          <w:lang w:val="en-US" w:eastAsia="zh-CN"/>
        </w:rPr>
        <w:t>年度预算（年度最高限价）为470000元/年。</w:t>
      </w:r>
    </w:p>
    <w:p>
      <w:pPr>
        <w:pageBreakBefore w:val="0"/>
        <w:kinsoku/>
        <w:wordWrap/>
        <w:overflowPunct/>
        <w:topLinePunct w:val="0"/>
        <w:autoSpaceDE/>
        <w:autoSpaceDN/>
        <w:bidi w:val="0"/>
        <w:adjustRightInd/>
        <w:snapToGrid/>
        <w:spacing w:line="348" w:lineRule="auto"/>
        <w:ind w:left="0" w:leftChars="0" w:firstLine="420" w:firstLineChars="20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合同履行期</w:t>
      </w:r>
      <w:r>
        <w:rPr>
          <w:rFonts w:hint="eastAsia" w:ascii="宋体" w:hAnsi="宋体" w:eastAsia="宋体" w:cs="宋体"/>
          <w:i w:val="0"/>
          <w:iCs w:val="0"/>
          <w:color w:val="auto"/>
          <w:sz w:val="21"/>
          <w:szCs w:val="21"/>
          <w:highlight w:val="none"/>
          <w:lang w:val="en-US" w:eastAsia="zh-CN"/>
        </w:rPr>
        <w:t>限：服务期限：本服务项目一招暂定三年，合同须一年一签，且合同应符合政府采购预算安排要求，申报政府采购计划，经批准，并经采购人考核合格，双方同意后，方可续订下一年度的合同。</w:t>
      </w:r>
    </w:p>
    <w:p>
      <w:pPr>
        <w:pageBreakBefore w:val="0"/>
        <w:kinsoku/>
        <w:wordWrap/>
        <w:overflowPunct/>
        <w:topLinePunct w:val="0"/>
        <w:autoSpaceDE/>
        <w:autoSpaceDN/>
        <w:bidi w:val="0"/>
        <w:adjustRightInd/>
        <w:snapToGrid/>
        <w:spacing w:line="348" w:lineRule="auto"/>
        <w:ind w:left="0" w:leftChars="0" w:firstLine="420" w:firstLineChars="200"/>
        <w:textAlignment w:val="auto"/>
        <w:rPr>
          <w:rFonts w:hint="default"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lang w:val="en-US" w:eastAsia="zh-CN"/>
        </w:rPr>
        <w:t>7.本项目（</w:t>
      </w:r>
      <w:r>
        <w:rPr>
          <w:rFonts w:hint="eastAsia" w:ascii="宋体" w:hAnsi="宋体" w:cs="宋体"/>
          <w:i w:val="0"/>
          <w:iCs w:val="0"/>
          <w:color w:val="auto"/>
          <w:sz w:val="21"/>
          <w:szCs w:val="21"/>
          <w:highlight w:val="none"/>
          <w:lang w:val="en-US" w:eastAsia="zh-CN"/>
        </w:rPr>
        <w:t>否</w:t>
      </w:r>
      <w:r>
        <w:rPr>
          <w:rFonts w:hint="eastAsia" w:ascii="宋体" w:hAnsi="宋体" w:eastAsia="宋体" w:cs="宋体"/>
          <w:i w:val="0"/>
          <w:iCs w:val="0"/>
          <w:color w:val="auto"/>
          <w:sz w:val="21"/>
          <w:szCs w:val="21"/>
          <w:highlight w:val="none"/>
          <w:lang w:val="en-US" w:eastAsia="zh-CN"/>
        </w:rPr>
        <w:t>）接受联合体投标。</w:t>
      </w:r>
    </w:p>
    <w:p>
      <w:pPr>
        <w:pStyle w:val="5"/>
        <w:pageBreakBefore w:val="0"/>
        <w:kinsoku/>
        <w:wordWrap/>
        <w:overflowPunct/>
        <w:topLinePunct w:val="0"/>
        <w:autoSpaceDE/>
        <w:autoSpaceDN/>
        <w:bidi w:val="0"/>
        <w:adjustRightInd/>
        <w:snapToGrid/>
        <w:spacing w:before="0" w:beforeLines="0" w:after="0" w:afterLines="0" w:line="348" w:lineRule="auto"/>
        <w:ind w:left="0" w:leftChars="0" w:firstLine="422" w:firstLineChars="200"/>
        <w:textAlignment w:val="auto"/>
        <w:rPr>
          <w:rFonts w:hint="eastAsia" w:ascii="宋体" w:hAnsi="宋体" w:eastAsia="宋体" w:cs="宋体"/>
          <w:b/>
          <w:bCs w:val="0"/>
          <w:i w:val="0"/>
          <w:iCs w:val="0"/>
          <w:color w:val="auto"/>
          <w:sz w:val="21"/>
          <w:szCs w:val="21"/>
          <w:highlight w:val="none"/>
        </w:rPr>
      </w:pPr>
      <w:bookmarkStart w:id="7" w:name="_Toc28359003"/>
      <w:bookmarkStart w:id="8" w:name="_Toc35393791"/>
      <w:bookmarkStart w:id="9" w:name="_Toc35393622"/>
      <w:bookmarkStart w:id="10" w:name="_Toc28359080"/>
      <w:r>
        <w:rPr>
          <w:rFonts w:hint="eastAsia" w:ascii="宋体" w:hAnsi="宋体" w:eastAsia="宋体" w:cs="宋体"/>
          <w:b/>
          <w:bCs w:val="0"/>
          <w:i w:val="0"/>
          <w:iCs w:val="0"/>
          <w:color w:val="auto"/>
          <w:sz w:val="21"/>
          <w:szCs w:val="21"/>
          <w:highlight w:val="none"/>
        </w:rPr>
        <w:t>二、申请人的资格要求：</w:t>
      </w:r>
      <w:bookmarkEnd w:id="7"/>
      <w:bookmarkEnd w:id="8"/>
      <w:bookmarkEnd w:id="9"/>
      <w:bookmarkEnd w:id="10"/>
    </w:p>
    <w:p>
      <w:pPr>
        <w:pageBreakBefore w:val="0"/>
        <w:kinsoku/>
        <w:wordWrap/>
        <w:overflowPunct/>
        <w:topLinePunct w:val="0"/>
        <w:autoSpaceDE/>
        <w:autoSpaceDN/>
        <w:bidi w:val="0"/>
        <w:adjustRightInd/>
        <w:snapToGrid/>
        <w:spacing w:line="348" w:lineRule="auto"/>
        <w:ind w:left="0" w:leftChars="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pageBreakBefore w:val="0"/>
        <w:kinsoku/>
        <w:wordWrap/>
        <w:overflowPunct/>
        <w:topLinePunct w:val="0"/>
        <w:autoSpaceDE/>
        <w:autoSpaceDN/>
        <w:bidi w:val="0"/>
        <w:adjustRightInd/>
        <w:snapToGrid/>
        <w:spacing w:line="348" w:lineRule="auto"/>
        <w:ind w:left="0" w:leftChars="0" w:firstLine="420" w:firstLineChars="200"/>
        <w:textAlignment w:val="auto"/>
        <w:rPr>
          <w:rFonts w:hint="eastAsia" w:ascii="宋体" w:hAnsi="宋体" w:eastAsia="宋体" w:cs="宋体"/>
          <w:i w:val="0"/>
          <w:iCs w:val="0"/>
          <w:color w:val="auto"/>
          <w:sz w:val="21"/>
          <w:szCs w:val="21"/>
          <w:highlight w:val="none"/>
          <w:lang w:eastAsia="zh-CN"/>
        </w:rPr>
      </w:pPr>
      <w:bookmarkStart w:id="11" w:name="_Toc28359081"/>
      <w:bookmarkStart w:id="12" w:name="_Toc28359004"/>
      <w:r>
        <w:rPr>
          <w:rFonts w:hint="eastAsia" w:ascii="宋体" w:hAnsi="宋体" w:eastAsia="宋体" w:cs="宋体"/>
          <w:i w:val="0"/>
          <w:iCs w:val="0"/>
          <w:color w:val="auto"/>
          <w:sz w:val="21"/>
          <w:szCs w:val="21"/>
          <w:highlight w:val="none"/>
        </w:rPr>
        <w:t>2.落实政府采购政策需满足的资格要求：</w:t>
      </w:r>
      <w:r>
        <w:rPr>
          <w:rFonts w:hint="eastAsia" w:ascii="宋体" w:hAnsi="宋体" w:cs="宋体"/>
          <w:color w:val="auto"/>
          <w:szCs w:val="21"/>
          <w:highlight w:val="none"/>
          <w:lang w:val="en-US" w:eastAsia="zh-CN"/>
        </w:rPr>
        <w:t>本项目为专门面向中小企业采购项目，供应商须为中型企业或小型企业或微型企业</w:t>
      </w:r>
      <w:bookmarkStart w:id="67" w:name="_GoBack"/>
      <w:bookmarkEnd w:id="67"/>
      <w:r>
        <w:rPr>
          <w:rFonts w:hint="eastAsia" w:ascii="宋体" w:hAnsi="宋体" w:cs="宋体"/>
          <w:i w:val="0"/>
          <w:iCs w:val="0"/>
          <w:color w:val="auto"/>
          <w:sz w:val="21"/>
          <w:szCs w:val="21"/>
          <w:highlight w:val="none"/>
          <w:lang w:eastAsia="zh-CN"/>
        </w:rPr>
        <w:t>。</w:t>
      </w:r>
    </w:p>
    <w:p>
      <w:pPr>
        <w:pageBreakBefore w:val="0"/>
        <w:kinsoku/>
        <w:wordWrap/>
        <w:overflowPunct/>
        <w:topLinePunct w:val="0"/>
        <w:autoSpaceDE/>
        <w:autoSpaceDN/>
        <w:bidi w:val="0"/>
        <w:adjustRightInd/>
        <w:snapToGrid/>
        <w:spacing w:line="348" w:lineRule="auto"/>
        <w:ind w:left="0" w:leftChars="0"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3.本项目的特定资格要求：</w:t>
      </w:r>
      <w:r>
        <w:rPr>
          <w:rFonts w:hint="eastAsia" w:ascii="宋体" w:hAnsi="宋体" w:eastAsia="宋体" w:cs="宋体"/>
          <w:i w:val="0"/>
          <w:iCs w:val="0"/>
          <w:color w:val="auto"/>
          <w:sz w:val="21"/>
          <w:szCs w:val="21"/>
          <w:highlight w:val="none"/>
          <w:lang w:val="en-US" w:eastAsia="zh-CN"/>
        </w:rPr>
        <w:t>3.1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cs="宋体"/>
          <w:color w:val="auto"/>
          <w:szCs w:val="21"/>
          <w:highlight w:val="none"/>
        </w:rPr>
        <w:t>3.2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w:t>
      </w:r>
      <w:r>
        <w:rPr>
          <w:rFonts w:hint="eastAsia" w:ascii="宋体" w:hAnsi="宋体" w:cs="宋体"/>
          <w:color w:val="auto"/>
          <w:szCs w:val="21"/>
          <w:highlight w:val="none"/>
          <w:lang w:val="en-US" w:eastAsia="zh-CN"/>
        </w:rPr>
        <w:t>人</w:t>
      </w:r>
      <w:r>
        <w:rPr>
          <w:rFonts w:hint="eastAsia" w:ascii="宋体" w:hAnsi="宋体" w:cs="宋体"/>
          <w:color w:val="auto"/>
          <w:szCs w:val="21"/>
          <w:highlight w:val="none"/>
        </w:rPr>
        <w:t>将依法取消其中标资格）。</w:t>
      </w:r>
    </w:p>
    <w:p>
      <w:pPr>
        <w:pStyle w:val="5"/>
        <w:pageBreakBefore w:val="0"/>
        <w:kinsoku/>
        <w:wordWrap/>
        <w:overflowPunct/>
        <w:topLinePunct w:val="0"/>
        <w:autoSpaceDE/>
        <w:autoSpaceDN/>
        <w:bidi w:val="0"/>
        <w:adjustRightInd/>
        <w:snapToGrid/>
        <w:spacing w:before="0" w:beforeLines="0" w:after="0" w:afterLines="0" w:line="348" w:lineRule="auto"/>
        <w:ind w:left="0" w:leftChars="0"/>
        <w:textAlignment w:val="auto"/>
        <w:rPr>
          <w:rFonts w:hint="eastAsia" w:ascii="宋体" w:hAnsi="宋体" w:eastAsia="宋体" w:cs="宋体"/>
          <w:b/>
          <w:bCs w:val="0"/>
          <w:i w:val="0"/>
          <w:iCs w:val="0"/>
          <w:color w:val="auto"/>
          <w:sz w:val="21"/>
          <w:szCs w:val="21"/>
          <w:highlight w:val="none"/>
        </w:rPr>
      </w:pPr>
      <w:bookmarkStart w:id="13" w:name="_Toc35393623"/>
      <w:bookmarkStart w:id="14" w:name="_Toc35393792"/>
      <w:r>
        <w:rPr>
          <w:rFonts w:hint="eastAsia" w:ascii="宋体" w:hAnsi="宋体" w:eastAsia="宋体" w:cs="宋体"/>
          <w:b/>
          <w:bCs w:val="0"/>
          <w:i w:val="0"/>
          <w:iCs w:val="0"/>
          <w:color w:val="auto"/>
          <w:sz w:val="21"/>
          <w:szCs w:val="21"/>
          <w:highlight w:val="none"/>
        </w:rPr>
        <w:t>三、获取招标文件</w:t>
      </w:r>
      <w:bookmarkEnd w:id="11"/>
      <w:bookmarkEnd w:id="12"/>
      <w:bookmarkEnd w:id="13"/>
      <w:bookmarkEnd w:id="14"/>
    </w:p>
    <w:p>
      <w:pPr>
        <w:pageBreakBefore w:val="0"/>
        <w:kinsoku/>
        <w:wordWrap/>
        <w:overflowPunct/>
        <w:topLinePunct w:val="0"/>
        <w:autoSpaceDE/>
        <w:autoSpaceDN/>
        <w:bidi w:val="0"/>
        <w:adjustRightInd/>
        <w:snapToGrid/>
        <w:spacing w:line="348" w:lineRule="auto"/>
        <w:ind w:left="0" w:leftChars="0" w:firstLine="54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时间：</w:t>
      </w:r>
      <w:r>
        <w:rPr>
          <w:rFonts w:hint="eastAsia" w:ascii="宋体" w:hAnsi="宋体" w:eastAsia="宋体" w:cs="宋体"/>
          <w:i w:val="0"/>
          <w:iCs w:val="0"/>
          <w:color w:val="auto"/>
          <w:sz w:val="21"/>
          <w:szCs w:val="21"/>
          <w:highlight w:val="none"/>
          <w:u w:val="single"/>
          <w:lang w:val="en-US" w:eastAsia="zh-CN"/>
        </w:rPr>
        <w:t>2022</w:t>
      </w:r>
      <w:r>
        <w:rPr>
          <w:rFonts w:hint="eastAsia" w:ascii="宋体" w:hAnsi="宋体" w:eastAsia="宋体" w:cs="宋体"/>
          <w:i w:val="0"/>
          <w:iCs w:val="0"/>
          <w:color w:val="auto"/>
          <w:sz w:val="21"/>
          <w:szCs w:val="21"/>
          <w:highlight w:val="none"/>
          <w:u w:val="single"/>
        </w:rPr>
        <w:t>年</w:t>
      </w:r>
      <w:r>
        <w:rPr>
          <w:rFonts w:hint="eastAsia" w:ascii="宋体" w:hAnsi="宋体" w:eastAsia="宋体" w:cs="宋体"/>
          <w:i w:val="0"/>
          <w:iCs w:val="0"/>
          <w:color w:val="auto"/>
          <w:sz w:val="21"/>
          <w:szCs w:val="21"/>
          <w:highlight w:val="none"/>
          <w:u w:val="single"/>
          <w:lang w:val="en-US" w:eastAsia="zh-CN"/>
        </w:rPr>
        <w:t xml:space="preserve">  </w:t>
      </w:r>
      <w:r>
        <w:rPr>
          <w:rFonts w:hint="eastAsia" w:ascii="宋体" w:hAnsi="宋体" w:eastAsia="宋体" w:cs="宋体"/>
          <w:i w:val="0"/>
          <w:iCs w:val="0"/>
          <w:color w:val="auto"/>
          <w:sz w:val="21"/>
          <w:szCs w:val="21"/>
          <w:highlight w:val="none"/>
          <w:u w:val="single"/>
        </w:rPr>
        <w:t>月</w:t>
      </w:r>
      <w:r>
        <w:rPr>
          <w:rFonts w:hint="eastAsia" w:ascii="宋体" w:hAnsi="宋体" w:eastAsia="宋体" w:cs="宋体"/>
          <w:i w:val="0"/>
          <w:iCs w:val="0"/>
          <w:color w:val="auto"/>
          <w:sz w:val="21"/>
          <w:szCs w:val="21"/>
          <w:highlight w:val="none"/>
          <w:u w:val="single"/>
          <w:lang w:val="en-US" w:eastAsia="zh-CN"/>
        </w:rPr>
        <w:t xml:space="preserve">  </w:t>
      </w:r>
      <w:r>
        <w:rPr>
          <w:rFonts w:hint="eastAsia" w:ascii="宋体" w:hAnsi="宋体" w:eastAsia="宋体" w:cs="宋体"/>
          <w:i w:val="0"/>
          <w:iCs w:val="0"/>
          <w:color w:val="auto"/>
          <w:sz w:val="21"/>
          <w:szCs w:val="21"/>
          <w:highlight w:val="none"/>
          <w:u w:val="single"/>
        </w:rPr>
        <w:t>日</w:t>
      </w:r>
      <w:r>
        <w:rPr>
          <w:rFonts w:hint="eastAsia" w:ascii="宋体" w:hAnsi="宋体" w:eastAsia="宋体" w:cs="宋体"/>
          <w:i w:val="0"/>
          <w:iCs w:val="0"/>
          <w:color w:val="auto"/>
          <w:sz w:val="21"/>
          <w:szCs w:val="21"/>
          <w:highlight w:val="none"/>
        </w:rPr>
        <w:t>至</w:t>
      </w:r>
      <w:r>
        <w:rPr>
          <w:rFonts w:hint="eastAsia" w:ascii="宋体" w:hAnsi="宋体" w:eastAsia="宋体" w:cs="宋体"/>
          <w:i w:val="0"/>
          <w:iCs w:val="0"/>
          <w:color w:val="auto"/>
          <w:sz w:val="21"/>
          <w:szCs w:val="21"/>
          <w:highlight w:val="none"/>
          <w:u w:val="single"/>
        </w:rPr>
        <w:t>20</w:t>
      </w:r>
      <w:r>
        <w:rPr>
          <w:rFonts w:hint="eastAsia" w:ascii="宋体" w:hAnsi="宋体" w:eastAsia="宋体" w:cs="宋体"/>
          <w:i w:val="0"/>
          <w:iCs w:val="0"/>
          <w:color w:val="auto"/>
          <w:sz w:val="21"/>
          <w:szCs w:val="21"/>
          <w:highlight w:val="none"/>
          <w:u w:val="single"/>
          <w:lang w:val="en-US" w:eastAsia="zh-CN"/>
        </w:rPr>
        <w:t>22</w:t>
      </w:r>
      <w:r>
        <w:rPr>
          <w:rFonts w:hint="eastAsia" w:ascii="宋体" w:hAnsi="宋体" w:eastAsia="宋体" w:cs="宋体"/>
          <w:i w:val="0"/>
          <w:iCs w:val="0"/>
          <w:color w:val="auto"/>
          <w:sz w:val="21"/>
          <w:szCs w:val="21"/>
          <w:highlight w:val="none"/>
          <w:u w:val="single"/>
        </w:rPr>
        <w:t>年</w:t>
      </w:r>
      <w:r>
        <w:rPr>
          <w:rFonts w:hint="eastAsia" w:ascii="宋体" w:hAnsi="宋体" w:eastAsia="宋体" w:cs="宋体"/>
          <w:i w:val="0"/>
          <w:iCs w:val="0"/>
          <w:color w:val="auto"/>
          <w:sz w:val="21"/>
          <w:szCs w:val="21"/>
          <w:highlight w:val="none"/>
          <w:u w:val="single"/>
          <w:lang w:val="en-US" w:eastAsia="zh-CN"/>
        </w:rPr>
        <w:t xml:space="preserve">  </w:t>
      </w:r>
      <w:r>
        <w:rPr>
          <w:rFonts w:hint="eastAsia" w:ascii="宋体" w:hAnsi="宋体" w:eastAsia="宋体" w:cs="宋体"/>
          <w:i w:val="0"/>
          <w:iCs w:val="0"/>
          <w:color w:val="auto"/>
          <w:sz w:val="21"/>
          <w:szCs w:val="21"/>
          <w:highlight w:val="none"/>
          <w:u w:val="single"/>
        </w:rPr>
        <w:t>月</w:t>
      </w:r>
      <w:r>
        <w:rPr>
          <w:rFonts w:hint="eastAsia" w:ascii="宋体" w:hAnsi="宋体" w:eastAsia="宋体" w:cs="宋体"/>
          <w:i w:val="0"/>
          <w:iCs w:val="0"/>
          <w:color w:val="auto"/>
          <w:sz w:val="21"/>
          <w:szCs w:val="21"/>
          <w:highlight w:val="none"/>
          <w:u w:val="single"/>
          <w:lang w:val="en-US" w:eastAsia="zh-CN"/>
        </w:rPr>
        <w:t xml:space="preserve">  </w:t>
      </w:r>
      <w:r>
        <w:rPr>
          <w:rFonts w:hint="eastAsia" w:ascii="宋体" w:hAnsi="宋体" w:eastAsia="宋体" w:cs="宋体"/>
          <w:i w:val="0"/>
          <w:iCs w:val="0"/>
          <w:color w:val="auto"/>
          <w:sz w:val="21"/>
          <w:szCs w:val="21"/>
          <w:highlight w:val="none"/>
          <w:u w:val="single"/>
        </w:rPr>
        <w:t>日</w:t>
      </w:r>
      <w:r>
        <w:rPr>
          <w:rFonts w:hint="eastAsia" w:ascii="宋体" w:hAnsi="宋体" w:eastAsia="宋体" w:cs="宋体"/>
          <w:i w:val="0"/>
          <w:iCs w:val="0"/>
          <w:color w:val="auto"/>
          <w:sz w:val="21"/>
          <w:szCs w:val="21"/>
          <w:highlight w:val="none"/>
        </w:rPr>
        <w:t>，每天上午</w:t>
      </w:r>
      <w:r>
        <w:rPr>
          <w:rFonts w:hint="eastAsia" w:ascii="宋体" w:hAnsi="宋体" w:eastAsia="宋体" w:cs="宋体"/>
          <w:i w:val="0"/>
          <w:iCs w:val="0"/>
          <w:color w:val="auto"/>
          <w:sz w:val="21"/>
          <w:szCs w:val="21"/>
          <w:highlight w:val="none"/>
          <w:u w:val="single"/>
        </w:rPr>
        <w:t>00:00</w:t>
      </w:r>
      <w:r>
        <w:rPr>
          <w:rFonts w:hint="eastAsia" w:ascii="宋体" w:hAnsi="宋体" w:eastAsia="宋体" w:cs="宋体"/>
          <w:i w:val="0"/>
          <w:iCs w:val="0"/>
          <w:color w:val="auto"/>
          <w:sz w:val="21"/>
          <w:szCs w:val="21"/>
          <w:highlight w:val="none"/>
        </w:rPr>
        <w:t>至</w:t>
      </w:r>
      <w:r>
        <w:rPr>
          <w:rFonts w:hint="eastAsia" w:ascii="宋体" w:hAnsi="宋体" w:eastAsia="宋体" w:cs="宋体"/>
          <w:i w:val="0"/>
          <w:iCs w:val="0"/>
          <w:color w:val="auto"/>
          <w:sz w:val="21"/>
          <w:szCs w:val="21"/>
          <w:highlight w:val="none"/>
          <w:u w:val="single"/>
        </w:rPr>
        <w:t>12:00</w:t>
      </w:r>
      <w:r>
        <w:rPr>
          <w:rFonts w:hint="eastAsia" w:ascii="宋体" w:hAnsi="宋体" w:eastAsia="宋体" w:cs="宋体"/>
          <w:i w:val="0"/>
          <w:iCs w:val="0"/>
          <w:color w:val="auto"/>
          <w:sz w:val="21"/>
          <w:szCs w:val="21"/>
          <w:highlight w:val="none"/>
        </w:rPr>
        <w:t>，下午</w:t>
      </w:r>
      <w:r>
        <w:rPr>
          <w:rFonts w:hint="eastAsia" w:ascii="宋体" w:hAnsi="宋体" w:eastAsia="宋体" w:cs="宋体"/>
          <w:i w:val="0"/>
          <w:iCs w:val="0"/>
          <w:color w:val="auto"/>
          <w:sz w:val="21"/>
          <w:szCs w:val="21"/>
          <w:highlight w:val="none"/>
          <w:u w:val="single"/>
        </w:rPr>
        <w:t>12:00</w:t>
      </w:r>
      <w:r>
        <w:rPr>
          <w:rFonts w:hint="eastAsia" w:ascii="宋体" w:hAnsi="宋体" w:eastAsia="宋体" w:cs="宋体"/>
          <w:i w:val="0"/>
          <w:iCs w:val="0"/>
          <w:color w:val="auto"/>
          <w:sz w:val="21"/>
          <w:szCs w:val="21"/>
          <w:highlight w:val="none"/>
          <w:u w:val="none"/>
        </w:rPr>
        <w:t>至</w:t>
      </w:r>
      <w:r>
        <w:rPr>
          <w:rFonts w:hint="eastAsia" w:ascii="宋体" w:hAnsi="宋体" w:eastAsia="宋体" w:cs="宋体"/>
          <w:i w:val="0"/>
          <w:iCs w:val="0"/>
          <w:color w:val="auto"/>
          <w:sz w:val="21"/>
          <w:szCs w:val="21"/>
          <w:highlight w:val="none"/>
          <w:u w:val="single"/>
        </w:rPr>
        <w:t>23:59</w:t>
      </w:r>
      <w:r>
        <w:rPr>
          <w:rFonts w:hint="eastAsia" w:ascii="宋体" w:hAnsi="宋体" w:eastAsia="宋体" w:cs="宋体"/>
          <w:i w:val="0"/>
          <w:iCs w:val="0"/>
          <w:color w:val="auto"/>
          <w:sz w:val="21"/>
          <w:szCs w:val="21"/>
          <w:highlight w:val="none"/>
        </w:rPr>
        <w:t>（北京时间，线上获取法定节假日均可，线下获取文件法定节假日除外）</w:t>
      </w:r>
      <w:r>
        <w:rPr>
          <w:rFonts w:hint="eastAsia" w:ascii="宋体" w:hAnsi="宋体" w:eastAsia="宋体" w:cs="宋体"/>
          <w:i w:val="0"/>
          <w:iCs w:val="0"/>
          <w:color w:val="auto"/>
          <w:sz w:val="21"/>
          <w:szCs w:val="21"/>
          <w:highlight w:val="none"/>
          <w:lang w:eastAsia="zh-CN"/>
        </w:rPr>
        <w:t>。</w:t>
      </w:r>
    </w:p>
    <w:p>
      <w:pPr>
        <w:pageBreakBefore w:val="0"/>
        <w:kinsoku/>
        <w:wordWrap/>
        <w:overflowPunct/>
        <w:topLinePunct w:val="0"/>
        <w:autoSpaceDE/>
        <w:autoSpaceDN/>
        <w:bidi w:val="0"/>
        <w:adjustRightInd/>
        <w:snapToGrid/>
        <w:spacing w:line="348" w:lineRule="auto"/>
        <w:ind w:left="0" w:leftChars="0" w:firstLine="540"/>
        <w:textAlignment w:val="auto"/>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lang w:val="en-US" w:eastAsia="zh-CN"/>
        </w:rPr>
        <w:t>2.地点（网址）</w:t>
      </w:r>
      <w:r>
        <w:rPr>
          <w:rFonts w:hint="eastAsia" w:ascii="宋体" w:hAnsi="宋体" w:eastAsia="宋体" w:cs="宋体"/>
          <w:i w:val="0"/>
          <w:iCs w:val="0"/>
          <w:color w:val="auto"/>
          <w:sz w:val="21"/>
          <w:szCs w:val="21"/>
          <w:highlight w:val="none"/>
        </w:rPr>
        <w:t>：政府采购云平台（www.zcygov.cn）。</w:t>
      </w:r>
    </w:p>
    <w:p>
      <w:pPr>
        <w:pageBreakBefore w:val="0"/>
        <w:kinsoku/>
        <w:wordWrap/>
        <w:overflowPunct/>
        <w:topLinePunct w:val="0"/>
        <w:autoSpaceDE/>
        <w:autoSpaceDN/>
        <w:bidi w:val="0"/>
        <w:adjustRightInd/>
        <w:snapToGrid/>
        <w:spacing w:line="348" w:lineRule="auto"/>
        <w:ind w:left="0" w:leftChars="0" w:firstLine="540"/>
        <w:textAlignment w:val="auto"/>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方式：供应商注册后直接</w:t>
      </w:r>
      <w:r>
        <w:rPr>
          <w:rFonts w:hint="eastAsia" w:ascii="宋体" w:hAnsi="宋体" w:eastAsia="宋体" w:cs="宋体"/>
          <w:i w:val="0"/>
          <w:iCs w:val="0"/>
          <w:color w:val="auto"/>
          <w:sz w:val="21"/>
          <w:szCs w:val="21"/>
          <w:highlight w:val="none"/>
          <w:lang w:eastAsia="zh-CN"/>
        </w:rPr>
        <w:t>登录</w:t>
      </w:r>
      <w:r>
        <w:rPr>
          <w:rFonts w:hint="eastAsia" w:ascii="宋体" w:hAnsi="宋体" w:eastAsia="宋体" w:cs="宋体"/>
          <w:i w:val="0"/>
          <w:iCs w:val="0"/>
          <w:color w:val="auto"/>
          <w:sz w:val="21"/>
          <w:szCs w:val="21"/>
          <w:highlight w:val="none"/>
        </w:rPr>
        <w:t>“政府采购云平台”（www.zcygov.cn）下载电子招标文件。供应商未在规定时间内或未按上述方式获取招标文件的，其投标无效。</w:t>
      </w:r>
    </w:p>
    <w:p>
      <w:pPr>
        <w:pageBreakBefore w:val="0"/>
        <w:kinsoku/>
        <w:wordWrap/>
        <w:overflowPunct/>
        <w:topLinePunct w:val="0"/>
        <w:autoSpaceDE/>
        <w:autoSpaceDN/>
        <w:bidi w:val="0"/>
        <w:adjustRightInd/>
        <w:snapToGrid/>
        <w:spacing w:line="348" w:lineRule="auto"/>
        <w:ind w:left="0" w:leftChars="0" w:firstLine="54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售价</w:t>
      </w:r>
      <w:r>
        <w:rPr>
          <w:rFonts w:hint="eastAsia" w:ascii="宋体" w:hAnsi="宋体" w:eastAsia="宋体" w:cs="宋体"/>
          <w:i w:val="0"/>
          <w:iCs w:val="0"/>
          <w:color w:val="auto"/>
          <w:sz w:val="21"/>
          <w:szCs w:val="21"/>
          <w:highlight w:val="none"/>
          <w:lang w:eastAsia="zh-CN"/>
        </w:rPr>
        <w:t>（元）</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val="en-US" w:eastAsia="zh-CN"/>
        </w:rPr>
        <w:t>0</w:t>
      </w:r>
    </w:p>
    <w:p>
      <w:pPr>
        <w:pStyle w:val="5"/>
        <w:pageBreakBefore w:val="0"/>
        <w:kinsoku/>
        <w:wordWrap/>
        <w:overflowPunct/>
        <w:topLinePunct w:val="0"/>
        <w:autoSpaceDE/>
        <w:autoSpaceDN/>
        <w:bidi w:val="0"/>
        <w:adjustRightInd/>
        <w:snapToGrid/>
        <w:spacing w:before="0" w:beforeLines="0" w:after="0" w:afterLines="0" w:line="348" w:lineRule="auto"/>
        <w:ind w:left="0" w:leftChars="0"/>
        <w:textAlignment w:val="auto"/>
        <w:rPr>
          <w:rFonts w:hint="eastAsia" w:ascii="宋体" w:hAnsi="宋体" w:eastAsia="宋体" w:cs="宋体"/>
          <w:b/>
          <w:bCs w:val="0"/>
          <w:i w:val="0"/>
          <w:iCs w:val="0"/>
          <w:color w:val="auto"/>
          <w:sz w:val="21"/>
          <w:szCs w:val="21"/>
          <w:highlight w:val="none"/>
        </w:rPr>
      </w:pPr>
      <w:bookmarkStart w:id="15" w:name="_Toc28359082"/>
      <w:bookmarkStart w:id="16" w:name="_Toc28359005"/>
      <w:bookmarkStart w:id="17" w:name="_Toc35393793"/>
      <w:bookmarkStart w:id="18" w:name="_Toc35393624"/>
      <w:r>
        <w:rPr>
          <w:rFonts w:hint="eastAsia" w:ascii="宋体" w:hAnsi="宋体" w:eastAsia="宋体" w:cs="宋体"/>
          <w:b/>
          <w:bCs w:val="0"/>
          <w:i w:val="0"/>
          <w:iCs w:val="0"/>
          <w:color w:val="auto"/>
          <w:sz w:val="21"/>
          <w:szCs w:val="21"/>
          <w:highlight w:val="none"/>
        </w:rPr>
        <w:t>四、提交投标文件</w:t>
      </w:r>
      <w:bookmarkEnd w:id="15"/>
      <w:bookmarkEnd w:id="16"/>
      <w:r>
        <w:rPr>
          <w:rFonts w:hint="eastAsia" w:ascii="宋体" w:hAnsi="宋体" w:eastAsia="宋体" w:cs="宋体"/>
          <w:b/>
          <w:bCs w:val="0"/>
          <w:i w:val="0"/>
          <w:iCs w:val="0"/>
          <w:color w:val="auto"/>
          <w:sz w:val="21"/>
          <w:szCs w:val="21"/>
          <w:highlight w:val="none"/>
        </w:rPr>
        <w:t>截止时间、开标时间和地点</w:t>
      </w:r>
      <w:bookmarkEnd w:id="17"/>
      <w:bookmarkEnd w:id="18"/>
    </w:p>
    <w:p>
      <w:pPr>
        <w:pageBreakBefore w:val="0"/>
        <w:kinsoku/>
        <w:wordWrap/>
        <w:overflowPunct/>
        <w:topLinePunct w:val="0"/>
        <w:autoSpaceDE/>
        <w:autoSpaceDN/>
        <w:bidi w:val="0"/>
        <w:adjustRightInd/>
        <w:snapToGrid/>
        <w:spacing w:line="348" w:lineRule="auto"/>
        <w:ind w:left="0" w:leftChars="0" w:firstLine="54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提交投标文件截止时间：20</w:t>
      </w:r>
      <w:r>
        <w:rPr>
          <w:rFonts w:hint="eastAsia" w:ascii="宋体" w:hAnsi="宋体" w:eastAsia="宋体" w:cs="宋体"/>
          <w:i w:val="0"/>
          <w:iCs w:val="0"/>
          <w:color w:val="auto"/>
          <w:sz w:val="21"/>
          <w:szCs w:val="21"/>
          <w:highlight w:val="none"/>
          <w:lang w:val="en-US" w:eastAsia="zh-CN"/>
        </w:rPr>
        <w:t>22</w:t>
      </w:r>
      <w:r>
        <w:rPr>
          <w:rFonts w:hint="eastAsia" w:ascii="宋体" w:hAnsi="宋体" w:eastAsia="宋体" w:cs="宋体"/>
          <w:i w:val="0"/>
          <w:iCs w:val="0"/>
          <w:color w:val="auto"/>
          <w:sz w:val="21"/>
          <w:szCs w:val="21"/>
          <w:highlight w:val="none"/>
        </w:rPr>
        <w:t>年</w:t>
      </w:r>
      <w:r>
        <w:rPr>
          <w:rFonts w:hint="eastAsia" w:ascii="宋体" w:hAnsi="宋体" w:eastAsia="宋体" w:cs="宋体"/>
          <w:i w:val="0"/>
          <w:iCs w:val="0"/>
          <w:color w:val="auto"/>
          <w:sz w:val="21"/>
          <w:szCs w:val="21"/>
          <w:highlight w:val="none"/>
          <w:lang w:val="en-US" w:eastAsia="zh-CN"/>
        </w:rPr>
        <w:t xml:space="preserve">  </w:t>
      </w:r>
      <w:r>
        <w:rPr>
          <w:rFonts w:hint="eastAsia" w:ascii="宋体" w:hAnsi="宋体" w:eastAsia="宋体" w:cs="宋体"/>
          <w:i w:val="0"/>
          <w:iCs w:val="0"/>
          <w:color w:val="auto"/>
          <w:sz w:val="21"/>
          <w:szCs w:val="21"/>
          <w:highlight w:val="none"/>
        </w:rPr>
        <w:t>月</w:t>
      </w:r>
      <w:r>
        <w:rPr>
          <w:rFonts w:hint="eastAsia" w:ascii="宋体" w:hAnsi="宋体" w:eastAsia="宋体" w:cs="宋体"/>
          <w:i w:val="0"/>
          <w:iCs w:val="0"/>
          <w:color w:val="auto"/>
          <w:sz w:val="21"/>
          <w:szCs w:val="21"/>
          <w:highlight w:val="none"/>
          <w:lang w:val="en-US" w:eastAsia="zh-CN"/>
        </w:rPr>
        <w:t xml:space="preserve">  </w:t>
      </w:r>
      <w:r>
        <w:rPr>
          <w:rFonts w:hint="eastAsia" w:ascii="宋体" w:hAnsi="宋体" w:eastAsia="宋体" w:cs="宋体"/>
          <w:i w:val="0"/>
          <w:iCs w:val="0"/>
          <w:color w:val="auto"/>
          <w:sz w:val="21"/>
          <w:szCs w:val="21"/>
          <w:highlight w:val="none"/>
        </w:rPr>
        <w:t>日</w:t>
      </w:r>
      <w:r>
        <w:rPr>
          <w:rFonts w:hint="eastAsia" w:ascii="宋体" w:hAnsi="宋体" w:eastAsia="宋体" w:cs="宋体"/>
          <w:i w:val="0"/>
          <w:iCs w:val="0"/>
          <w:color w:val="auto"/>
          <w:sz w:val="21"/>
          <w:szCs w:val="21"/>
          <w:highlight w:val="none"/>
          <w:lang w:val="en-US" w:eastAsia="zh-CN"/>
        </w:rPr>
        <w:t xml:space="preserve">  </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val="en-US" w:eastAsia="zh-CN"/>
        </w:rPr>
        <w:t xml:space="preserve">  （</w:t>
      </w:r>
      <w:r>
        <w:rPr>
          <w:rFonts w:hint="eastAsia" w:ascii="宋体" w:hAnsi="宋体" w:eastAsia="宋体" w:cs="宋体"/>
          <w:i w:val="0"/>
          <w:iCs w:val="0"/>
          <w:color w:val="auto"/>
          <w:sz w:val="21"/>
          <w:szCs w:val="21"/>
          <w:highlight w:val="none"/>
        </w:rPr>
        <w:t>北京时间）</w:t>
      </w:r>
      <w:r>
        <w:rPr>
          <w:rFonts w:hint="eastAsia" w:ascii="宋体" w:hAnsi="宋体" w:eastAsia="宋体" w:cs="宋体"/>
          <w:i w:val="0"/>
          <w:iCs w:val="0"/>
          <w:color w:val="auto"/>
          <w:sz w:val="21"/>
          <w:szCs w:val="21"/>
          <w:highlight w:val="none"/>
          <w:lang w:eastAsia="zh-CN"/>
        </w:rPr>
        <w:t>。</w:t>
      </w:r>
    </w:p>
    <w:p>
      <w:pPr>
        <w:pageBreakBefore w:val="0"/>
        <w:kinsoku/>
        <w:wordWrap/>
        <w:overflowPunct/>
        <w:topLinePunct w:val="0"/>
        <w:autoSpaceDE/>
        <w:autoSpaceDN/>
        <w:bidi w:val="0"/>
        <w:adjustRightInd/>
        <w:snapToGrid/>
        <w:spacing w:line="348" w:lineRule="auto"/>
        <w:ind w:left="0" w:leftChars="0" w:firstLine="54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2.投标地点（网址）：</w:t>
      </w:r>
      <w:r>
        <w:rPr>
          <w:rFonts w:hint="eastAsia" w:ascii="宋体" w:hAnsi="宋体" w:eastAsia="宋体" w:cs="宋体"/>
          <w:color w:val="auto"/>
          <w:szCs w:val="21"/>
          <w:highlight w:val="none"/>
          <w:u w:val="single"/>
          <w:lang w:eastAsia="zh-CN"/>
        </w:rPr>
        <w:t>政府采购云平台（www.zcygov.cn）</w:t>
      </w:r>
      <w:r>
        <w:rPr>
          <w:rFonts w:hint="eastAsia" w:ascii="宋体" w:hAnsi="宋体" w:eastAsia="宋体" w:cs="宋体"/>
          <w:i w:val="0"/>
          <w:iCs w:val="0"/>
          <w:color w:val="auto"/>
          <w:sz w:val="21"/>
          <w:szCs w:val="21"/>
          <w:highlight w:val="none"/>
          <w:lang w:eastAsia="zh-CN"/>
        </w:rPr>
        <w:t>。</w:t>
      </w:r>
    </w:p>
    <w:p>
      <w:pPr>
        <w:pageBreakBefore w:val="0"/>
        <w:kinsoku/>
        <w:wordWrap/>
        <w:overflowPunct/>
        <w:topLinePunct w:val="0"/>
        <w:autoSpaceDE/>
        <w:autoSpaceDN/>
        <w:bidi w:val="0"/>
        <w:adjustRightInd/>
        <w:snapToGrid/>
        <w:spacing w:line="348" w:lineRule="auto"/>
        <w:ind w:left="0" w:leftChars="0" w:firstLine="540"/>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3.开标时间：</w:t>
      </w:r>
      <w:r>
        <w:rPr>
          <w:rFonts w:hint="eastAsia" w:ascii="宋体" w:hAnsi="宋体" w:eastAsia="宋体" w:cs="宋体"/>
          <w:i w:val="0"/>
          <w:iCs w:val="0"/>
          <w:color w:val="auto"/>
          <w:sz w:val="21"/>
          <w:szCs w:val="21"/>
          <w:highlight w:val="none"/>
        </w:rPr>
        <w:t>202</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年</w:t>
      </w:r>
      <w:r>
        <w:rPr>
          <w:rFonts w:hint="eastAsia" w:ascii="宋体" w:hAnsi="宋体" w:eastAsia="宋体" w:cs="宋体"/>
          <w:i w:val="0"/>
          <w:iCs w:val="0"/>
          <w:color w:val="auto"/>
          <w:sz w:val="21"/>
          <w:szCs w:val="21"/>
          <w:highlight w:val="none"/>
          <w:lang w:val="en-US" w:eastAsia="zh-CN"/>
        </w:rPr>
        <w:t xml:space="preserve">  月  日  :  </w:t>
      </w:r>
    </w:p>
    <w:p>
      <w:pPr>
        <w:pageBreakBefore w:val="0"/>
        <w:kinsoku/>
        <w:wordWrap/>
        <w:overflowPunct/>
        <w:topLinePunct w:val="0"/>
        <w:autoSpaceDE/>
        <w:autoSpaceDN/>
        <w:bidi w:val="0"/>
        <w:adjustRightInd/>
        <w:snapToGrid/>
        <w:spacing w:line="348" w:lineRule="auto"/>
        <w:ind w:left="0" w:leftChars="0" w:firstLine="54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4.开标地点（网址）：</w:t>
      </w:r>
      <w:r>
        <w:rPr>
          <w:rFonts w:hint="eastAsia" w:ascii="宋体" w:hAnsi="宋体" w:eastAsia="宋体" w:cs="宋体"/>
          <w:color w:val="auto"/>
          <w:szCs w:val="21"/>
          <w:highlight w:val="none"/>
          <w:u w:val="single"/>
          <w:lang w:eastAsia="zh-CN"/>
        </w:rPr>
        <w:t>政府采购云平台（www.zcygov.cn）</w:t>
      </w:r>
      <w:r>
        <w:rPr>
          <w:rFonts w:hint="eastAsia" w:ascii="宋体" w:hAnsi="宋体" w:eastAsia="宋体" w:cs="宋体"/>
          <w:i w:val="0"/>
          <w:iCs w:val="0"/>
          <w:color w:val="auto"/>
          <w:sz w:val="21"/>
          <w:szCs w:val="21"/>
          <w:highlight w:val="none"/>
          <w:lang w:eastAsia="zh-CN"/>
        </w:rPr>
        <w:t>。</w:t>
      </w:r>
    </w:p>
    <w:p>
      <w:pPr>
        <w:pStyle w:val="5"/>
        <w:pageBreakBefore w:val="0"/>
        <w:kinsoku/>
        <w:wordWrap/>
        <w:overflowPunct/>
        <w:topLinePunct w:val="0"/>
        <w:autoSpaceDE/>
        <w:autoSpaceDN/>
        <w:bidi w:val="0"/>
        <w:adjustRightInd/>
        <w:snapToGrid/>
        <w:spacing w:before="0" w:beforeLines="0" w:after="0" w:afterLines="0" w:line="348" w:lineRule="auto"/>
        <w:ind w:left="0" w:leftChars="0"/>
        <w:textAlignment w:val="auto"/>
        <w:rPr>
          <w:rFonts w:hint="eastAsia" w:ascii="宋体" w:hAnsi="宋体" w:eastAsia="宋体" w:cs="宋体"/>
          <w:b/>
          <w:bCs w:val="0"/>
          <w:i w:val="0"/>
          <w:iCs w:val="0"/>
          <w:color w:val="auto"/>
          <w:sz w:val="21"/>
          <w:szCs w:val="21"/>
          <w:highlight w:val="none"/>
        </w:rPr>
      </w:pPr>
      <w:bookmarkStart w:id="19" w:name="_Toc28359007"/>
      <w:bookmarkStart w:id="20" w:name="_Toc35393794"/>
      <w:bookmarkStart w:id="21" w:name="_Toc35393625"/>
      <w:bookmarkStart w:id="22" w:name="_Toc28359084"/>
      <w:r>
        <w:rPr>
          <w:rFonts w:hint="eastAsia" w:ascii="宋体" w:hAnsi="宋体" w:eastAsia="宋体" w:cs="宋体"/>
          <w:b/>
          <w:bCs w:val="0"/>
          <w:i w:val="0"/>
          <w:iCs w:val="0"/>
          <w:color w:val="auto"/>
          <w:sz w:val="21"/>
          <w:szCs w:val="21"/>
          <w:highlight w:val="none"/>
        </w:rPr>
        <w:t>五、公告期限</w:t>
      </w:r>
      <w:bookmarkEnd w:id="19"/>
      <w:bookmarkEnd w:id="20"/>
      <w:bookmarkEnd w:id="21"/>
      <w:bookmarkEnd w:id="22"/>
    </w:p>
    <w:p>
      <w:pPr>
        <w:pageBreakBefore w:val="0"/>
        <w:kinsoku/>
        <w:wordWrap/>
        <w:overflowPunct/>
        <w:topLinePunct w:val="0"/>
        <w:autoSpaceDE/>
        <w:autoSpaceDN/>
        <w:bidi w:val="0"/>
        <w:adjustRightInd/>
        <w:snapToGrid/>
        <w:spacing w:line="348" w:lineRule="auto"/>
        <w:ind w:left="0" w:leftChars="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自本公告发布之日起5个工作日。</w:t>
      </w:r>
    </w:p>
    <w:p>
      <w:pPr>
        <w:pStyle w:val="5"/>
        <w:pageBreakBefore w:val="0"/>
        <w:kinsoku/>
        <w:wordWrap/>
        <w:overflowPunct/>
        <w:topLinePunct w:val="0"/>
        <w:autoSpaceDE/>
        <w:autoSpaceDN/>
        <w:bidi w:val="0"/>
        <w:adjustRightInd/>
        <w:snapToGrid/>
        <w:spacing w:before="0" w:beforeLines="0" w:after="0" w:afterLines="0" w:line="348" w:lineRule="auto"/>
        <w:ind w:left="0" w:leftChars="0"/>
        <w:textAlignment w:val="auto"/>
        <w:rPr>
          <w:rFonts w:hint="eastAsia" w:ascii="宋体" w:hAnsi="宋体" w:eastAsia="宋体" w:cs="宋体"/>
          <w:b/>
          <w:bCs w:val="0"/>
          <w:i w:val="0"/>
          <w:iCs w:val="0"/>
          <w:color w:val="auto"/>
          <w:sz w:val="21"/>
          <w:szCs w:val="21"/>
          <w:highlight w:val="none"/>
          <w:lang w:eastAsia="zh-CN"/>
        </w:rPr>
      </w:pPr>
      <w:bookmarkStart w:id="23" w:name="_Toc35393795"/>
      <w:bookmarkStart w:id="24" w:name="_Toc35393626"/>
      <w:r>
        <w:rPr>
          <w:rFonts w:hint="eastAsia" w:ascii="宋体" w:hAnsi="宋体" w:eastAsia="宋体" w:cs="宋体"/>
          <w:b/>
          <w:bCs w:val="0"/>
          <w:i w:val="0"/>
          <w:iCs w:val="0"/>
          <w:color w:val="auto"/>
          <w:sz w:val="21"/>
          <w:szCs w:val="21"/>
          <w:highlight w:val="none"/>
        </w:rPr>
        <w:t>六、其他补充事宜</w:t>
      </w:r>
      <w:bookmarkEnd w:id="23"/>
      <w:bookmarkEnd w:id="24"/>
    </w:p>
    <w:p>
      <w:pPr>
        <w:keepNext w:val="0"/>
        <w:keepLines w:val="0"/>
        <w:pageBreakBefore w:val="0"/>
        <w:widowControl/>
        <w:kinsoku/>
        <w:wordWrap/>
        <w:overflowPunct/>
        <w:topLinePunct w:val="0"/>
        <w:autoSpaceDE/>
        <w:autoSpaceDN/>
        <w:bidi w:val="0"/>
        <w:adjustRightInd/>
        <w:snapToGrid/>
        <w:spacing w:line="348"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kinsoku/>
        <w:wordWrap/>
        <w:overflowPunct/>
        <w:topLinePunct w:val="0"/>
        <w:autoSpaceDE/>
        <w:autoSpaceDN/>
        <w:bidi w:val="0"/>
        <w:adjustRightInd/>
        <w:snapToGrid/>
        <w:spacing w:line="348" w:lineRule="auto"/>
        <w:ind w:left="0" w:leftChars="0" w:firstLine="420" w:firstLineChars="200"/>
        <w:textAlignment w:val="auto"/>
        <w:rPr>
          <w:rFonts w:hint="eastAsia" w:ascii="宋体" w:hAnsi="宋体" w:eastAsia="宋体" w:cs="宋体"/>
          <w:i w:val="0"/>
          <w:iCs w:val="0"/>
          <w:color w:val="auto"/>
          <w:kern w:val="0"/>
          <w:sz w:val="21"/>
          <w:szCs w:val="21"/>
          <w:highlight w:val="none"/>
          <w:lang w:eastAsia="zh-CN"/>
        </w:rPr>
      </w:pPr>
      <w:r>
        <w:rPr>
          <w:rFonts w:hint="eastAsia" w:ascii="宋体" w:hAnsi="宋体" w:eastAsia="宋体" w:cs="宋体"/>
          <w:i w:val="0"/>
          <w:iCs w:val="0"/>
          <w:color w:val="auto"/>
          <w:kern w:val="0"/>
          <w:sz w:val="21"/>
          <w:szCs w:val="21"/>
          <w:highlight w:val="none"/>
          <w:lang w:eastAsia="zh-CN"/>
        </w:rPr>
        <w:t>2.其他事项：</w:t>
      </w:r>
    </w:p>
    <w:p>
      <w:pPr>
        <w:keepNext w:val="0"/>
        <w:keepLines w:val="0"/>
        <w:pageBreakBefore w:val="0"/>
        <w:widowControl/>
        <w:kinsoku/>
        <w:wordWrap/>
        <w:overflowPunct/>
        <w:topLinePunct w:val="0"/>
        <w:autoSpaceDE/>
        <w:autoSpaceDN/>
        <w:bidi w:val="0"/>
        <w:adjustRightInd/>
        <w:snapToGrid/>
        <w:spacing w:line="348" w:lineRule="auto"/>
        <w:ind w:left="0" w:leftChars="0" w:firstLine="420" w:firstLineChars="200"/>
        <w:textAlignment w:val="auto"/>
        <w:rPr>
          <w:rFonts w:hint="eastAsia" w:ascii="宋体" w:hAnsi="宋体" w:eastAsia="宋体" w:cs="宋体"/>
          <w:i w:val="0"/>
          <w:iCs w:val="0"/>
          <w:color w:val="auto"/>
          <w:kern w:val="0"/>
          <w:sz w:val="21"/>
          <w:szCs w:val="21"/>
          <w:highlight w:val="none"/>
          <w:lang w:eastAsia="zh-CN"/>
        </w:rPr>
      </w:pPr>
      <w:r>
        <w:rPr>
          <w:rFonts w:hint="eastAsia" w:ascii="宋体" w:hAnsi="宋体" w:eastAsia="宋体" w:cs="宋体"/>
          <w:i w:val="0"/>
          <w:iCs w:val="0"/>
          <w:color w:val="auto"/>
          <w:kern w:val="0"/>
          <w:sz w:val="21"/>
          <w:szCs w:val="21"/>
          <w:highlight w:val="none"/>
          <w:lang w:val="en-US" w:eastAsia="zh-CN"/>
        </w:rPr>
        <w:t>2.1</w:t>
      </w:r>
      <w:r>
        <w:rPr>
          <w:rFonts w:hint="eastAsia" w:ascii="宋体" w:hAnsi="宋体" w:eastAsia="宋体" w:cs="宋体"/>
          <w:i w:val="0"/>
          <w:iCs w:val="0"/>
          <w:color w:val="auto"/>
          <w:kern w:val="0"/>
          <w:sz w:val="21"/>
          <w:szCs w:val="21"/>
          <w:highlight w:val="none"/>
          <w:lang w:eastAsia="zh-CN"/>
        </w:rPr>
        <w:t>落实的政策：</w:t>
      </w:r>
    </w:p>
    <w:p>
      <w:pPr>
        <w:keepNext w:val="0"/>
        <w:keepLines w:val="0"/>
        <w:pageBreakBefore w:val="0"/>
        <w:widowControl/>
        <w:kinsoku/>
        <w:wordWrap/>
        <w:overflowPunct/>
        <w:topLinePunct w:val="0"/>
        <w:autoSpaceDE/>
        <w:autoSpaceDN/>
        <w:bidi w:val="0"/>
        <w:adjustRightInd/>
        <w:snapToGrid/>
        <w:spacing w:line="348"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2.1.1对小微企业的产品给予价格优惠（监狱企业、残疾人福利性单位视同小微企业；残疾人福利性单位属于小型、微型企业的，不重复享受政策）；</w:t>
      </w:r>
    </w:p>
    <w:p>
      <w:pPr>
        <w:keepNext w:val="0"/>
        <w:keepLines w:val="0"/>
        <w:pageBreakBefore w:val="0"/>
        <w:widowControl/>
        <w:kinsoku/>
        <w:wordWrap/>
        <w:overflowPunct/>
        <w:topLinePunct w:val="0"/>
        <w:autoSpaceDE/>
        <w:autoSpaceDN/>
        <w:bidi w:val="0"/>
        <w:adjustRightInd/>
        <w:snapToGrid/>
        <w:spacing w:line="348"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cs="宋体"/>
          <w:i w:val="0"/>
          <w:iCs w:val="0"/>
          <w:color w:val="auto"/>
          <w:kern w:val="0"/>
          <w:sz w:val="21"/>
          <w:szCs w:val="21"/>
          <w:highlight w:val="none"/>
          <w:lang w:val="en-US" w:eastAsia="zh-CN"/>
        </w:rPr>
        <w:t>2.1.2</w:t>
      </w:r>
      <w:r>
        <w:rPr>
          <w:rFonts w:hint="eastAsia" w:ascii="宋体" w:hAnsi="宋体" w:eastAsia="宋体" w:cs="宋体"/>
          <w:i w:val="0"/>
          <w:iCs w:val="0"/>
          <w:color w:val="auto"/>
          <w:kern w:val="0"/>
          <w:sz w:val="21"/>
          <w:szCs w:val="21"/>
          <w:highlight w:val="none"/>
          <w:lang w:val="en-US" w:eastAsia="zh-CN"/>
        </w:rPr>
        <w:t>扶持不发达地区和少数民族地区；</w:t>
      </w:r>
    </w:p>
    <w:p>
      <w:pPr>
        <w:keepNext w:val="0"/>
        <w:keepLines w:val="0"/>
        <w:pageBreakBefore w:val="0"/>
        <w:widowControl/>
        <w:kinsoku/>
        <w:wordWrap/>
        <w:overflowPunct/>
        <w:topLinePunct w:val="0"/>
        <w:autoSpaceDE/>
        <w:autoSpaceDN/>
        <w:bidi w:val="0"/>
        <w:adjustRightInd/>
        <w:snapToGrid/>
        <w:spacing w:line="348" w:lineRule="auto"/>
        <w:ind w:left="0" w:leftChars="0" w:firstLine="420" w:firstLineChars="200"/>
        <w:textAlignment w:val="auto"/>
        <w:rPr>
          <w:rFonts w:hint="eastAsia" w:ascii="宋体" w:hAnsi="宋体" w:eastAsia="宋体" w:cs="宋体"/>
          <w:i w:val="0"/>
          <w:iCs w:val="0"/>
          <w:color w:val="auto"/>
          <w:kern w:val="0"/>
          <w:sz w:val="21"/>
          <w:szCs w:val="21"/>
          <w:highlight w:val="none"/>
          <w:lang w:eastAsia="zh-CN"/>
        </w:rPr>
      </w:pPr>
      <w:r>
        <w:rPr>
          <w:rFonts w:hint="eastAsia" w:ascii="宋体" w:hAnsi="宋体" w:eastAsia="宋体" w:cs="宋体"/>
          <w:i w:val="0"/>
          <w:iCs w:val="0"/>
          <w:color w:val="auto"/>
          <w:kern w:val="0"/>
          <w:sz w:val="21"/>
          <w:szCs w:val="21"/>
          <w:highlight w:val="none"/>
          <w:lang w:val="en-US" w:eastAsia="zh-CN"/>
        </w:rPr>
        <w:t>2.2</w:t>
      </w:r>
      <w:r>
        <w:rPr>
          <w:rFonts w:hint="eastAsia" w:ascii="宋体" w:hAnsi="宋体" w:eastAsia="宋体" w:cs="宋体"/>
          <w:i w:val="0"/>
          <w:iCs w:val="0"/>
          <w:color w:val="auto"/>
          <w:kern w:val="0"/>
          <w:sz w:val="21"/>
          <w:szCs w:val="21"/>
          <w:highlight w:val="none"/>
          <w:lang w:eastAsia="zh-CN"/>
        </w:rPr>
        <w:t>投标与开标注意事项</w:t>
      </w:r>
    </w:p>
    <w:p>
      <w:pPr>
        <w:keepNext w:val="0"/>
        <w:keepLines w:val="0"/>
        <w:pageBreakBefore w:val="0"/>
        <w:widowControl/>
        <w:kinsoku/>
        <w:wordWrap/>
        <w:overflowPunct/>
        <w:topLinePunct w:val="0"/>
        <w:autoSpaceDE/>
        <w:autoSpaceDN/>
        <w:bidi w:val="0"/>
        <w:adjustRightInd/>
        <w:snapToGrid/>
        <w:spacing w:line="348" w:lineRule="auto"/>
        <w:ind w:left="0" w:leftChars="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lang w:val="en-US" w:eastAsia="zh-CN"/>
        </w:rPr>
        <w:t>2.2.1</w:t>
      </w:r>
      <w:r>
        <w:rPr>
          <w:rFonts w:hint="eastAsia" w:ascii="宋体" w:hAnsi="宋体" w:eastAsia="宋体" w:cs="宋体"/>
          <w:i w:val="0"/>
          <w:iCs w:val="0"/>
          <w:color w:val="auto"/>
          <w:kern w:val="0"/>
          <w:sz w:val="21"/>
          <w:szCs w:val="21"/>
          <w:highlight w:val="none"/>
        </w:rPr>
        <w:t>本项目实行网上投标，采用电子投标文件。若供应商参与投标，自行承担投标一切费用。</w:t>
      </w:r>
    </w:p>
    <w:p>
      <w:pPr>
        <w:keepNext w:val="0"/>
        <w:keepLines w:val="0"/>
        <w:pageBreakBefore w:val="0"/>
        <w:widowControl/>
        <w:kinsoku/>
        <w:wordWrap/>
        <w:overflowPunct/>
        <w:topLinePunct w:val="0"/>
        <w:autoSpaceDE/>
        <w:autoSpaceDN/>
        <w:bidi w:val="0"/>
        <w:adjustRightInd/>
        <w:snapToGrid/>
        <w:spacing w:line="348" w:lineRule="auto"/>
        <w:ind w:left="0" w:leftChars="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lang w:val="en-US" w:eastAsia="zh-CN"/>
        </w:rPr>
        <w:t>2.2.2</w:t>
      </w:r>
      <w:r>
        <w:rPr>
          <w:rFonts w:hint="eastAsia" w:ascii="宋体" w:hAnsi="宋体" w:eastAsia="宋体" w:cs="宋体"/>
          <w:i w:val="0"/>
          <w:iCs w:val="0"/>
          <w:color w:val="auto"/>
          <w:kern w:val="0"/>
          <w:sz w:val="21"/>
          <w:szCs w:val="21"/>
          <w:highlight w:val="none"/>
        </w:rPr>
        <w:t>标前准备：因未办理CA数字证书等原因造成无法投标或投标失败等后果由供应商自行承担。</w:t>
      </w:r>
    </w:p>
    <w:p>
      <w:pPr>
        <w:keepNext w:val="0"/>
        <w:keepLines w:val="0"/>
        <w:pageBreakBefore w:val="0"/>
        <w:widowControl/>
        <w:kinsoku/>
        <w:wordWrap/>
        <w:overflowPunct/>
        <w:topLinePunct w:val="0"/>
        <w:autoSpaceDE/>
        <w:autoSpaceDN/>
        <w:bidi w:val="0"/>
        <w:adjustRightInd/>
        <w:snapToGrid/>
        <w:spacing w:line="348" w:lineRule="auto"/>
        <w:ind w:left="0" w:leftChars="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lang w:val="en-US" w:eastAsia="zh-CN"/>
        </w:rPr>
        <w:t>2.2.3</w:t>
      </w:r>
      <w:r>
        <w:rPr>
          <w:rFonts w:hint="eastAsia" w:ascii="宋体" w:hAnsi="宋体" w:eastAsia="宋体" w:cs="宋体"/>
          <w:i w:val="0"/>
          <w:iCs w:val="0"/>
          <w:color w:val="auto"/>
          <w:kern w:val="0"/>
          <w:sz w:val="21"/>
          <w:szCs w:val="21"/>
          <w:highlight w:val="none"/>
        </w:rPr>
        <w:t>投标文件制作：</w:t>
      </w:r>
    </w:p>
    <w:p>
      <w:pPr>
        <w:keepNext w:val="0"/>
        <w:keepLines w:val="0"/>
        <w:pageBreakBefore w:val="0"/>
        <w:widowControl/>
        <w:kinsoku/>
        <w:wordWrap/>
        <w:overflowPunct/>
        <w:topLinePunct w:val="0"/>
        <w:autoSpaceDE/>
        <w:autoSpaceDN/>
        <w:bidi w:val="0"/>
        <w:adjustRightInd/>
        <w:snapToGrid/>
        <w:spacing w:line="348" w:lineRule="auto"/>
        <w:ind w:left="0" w:leftChars="0" w:firstLine="420" w:firstLineChars="200"/>
        <w:textAlignment w:val="auto"/>
        <w:rPr>
          <w:rFonts w:hint="eastAsia" w:ascii="宋体" w:hAnsi="宋体" w:eastAsia="宋体" w:cs="宋体"/>
          <w:b w:val="0"/>
          <w:bCs w:val="0"/>
          <w:i w:val="0"/>
          <w:iCs w:val="0"/>
          <w:color w:val="auto"/>
          <w:kern w:val="0"/>
          <w:sz w:val="21"/>
          <w:szCs w:val="21"/>
          <w:highlight w:val="none"/>
        </w:rPr>
      </w:pPr>
      <w:r>
        <w:rPr>
          <w:rFonts w:hint="eastAsia" w:ascii="宋体" w:hAnsi="宋体" w:cs="宋体"/>
          <w:b w:val="0"/>
          <w:bCs w:val="0"/>
          <w:i w:val="0"/>
          <w:iCs w:val="0"/>
          <w:color w:val="auto"/>
          <w:kern w:val="0"/>
          <w:sz w:val="21"/>
          <w:szCs w:val="21"/>
          <w:highlight w:val="none"/>
          <w:lang w:val="en-US" w:eastAsia="zh-CN"/>
        </w:rPr>
        <w:t>2.2.3.1</w:t>
      </w:r>
      <w:r>
        <w:rPr>
          <w:rFonts w:hint="eastAsia" w:ascii="宋体" w:hAnsi="宋体" w:eastAsia="宋体" w:cs="宋体"/>
          <w:b w:val="0"/>
          <w:bCs w:val="0"/>
          <w:i w:val="0"/>
          <w:iCs w:val="0"/>
          <w:color w:val="auto"/>
          <w:kern w:val="0"/>
          <w:sz w:val="21"/>
          <w:szCs w:val="21"/>
          <w:highlight w:val="none"/>
        </w:rPr>
        <w:t>应按照本项目招标文件和政府采购云平台的要求编制、加密并递交投标文件。供应商在使用系统进行投标的过程中遇到涉及平台使用的任何问题，可致电政府采购云平台技术支持热线咨询，联系方式：400</w:t>
      </w:r>
      <w:r>
        <w:rPr>
          <w:rFonts w:hint="eastAsia" w:ascii="宋体" w:hAnsi="宋体" w:eastAsia="宋体" w:cs="宋体"/>
          <w:b w:val="0"/>
          <w:bCs w:val="0"/>
          <w:i w:val="0"/>
          <w:iCs w:val="0"/>
          <w:color w:val="auto"/>
          <w:kern w:val="0"/>
          <w:sz w:val="21"/>
          <w:szCs w:val="21"/>
          <w:highlight w:val="none"/>
          <w:lang w:val="en-US" w:eastAsia="zh-CN"/>
        </w:rPr>
        <w:t>-</w:t>
      </w:r>
      <w:r>
        <w:rPr>
          <w:rFonts w:hint="eastAsia" w:ascii="宋体" w:hAnsi="宋体" w:eastAsia="宋体" w:cs="宋体"/>
          <w:b w:val="0"/>
          <w:bCs w:val="0"/>
          <w:i w:val="0"/>
          <w:iCs w:val="0"/>
          <w:color w:val="auto"/>
          <w:kern w:val="0"/>
          <w:sz w:val="21"/>
          <w:szCs w:val="21"/>
          <w:highlight w:val="none"/>
        </w:rPr>
        <w:t>8817190。</w:t>
      </w:r>
    </w:p>
    <w:p>
      <w:pPr>
        <w:keepNext w:val="0"/>
        <w:keepLines w:val="0"/>
        <w:pageBreakBefore w:val="0"/>
        <w:widowControl/>
        <w:kinsoku/>
        <w:wordWrap/>
        <w:overflowPunct/>
        <w:topLinePunct w:val="0"/>
        <w:autoSpaceDE/>
        <w:autoSpaceDN/>
        <w:bidi w:val="0"/>
        <w:adjustRightInd/>
        <w:snapToGrid/>
        <w:spacing w:line="348" w:lineRule="auto"/>
        <w:ind w:left="0" w:leftChars="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cs="宋体"/>
          <w:i w:val="0"/>
          <w:iCs w:val="0"/>
          <w:color w:val="auto"/>
          <w:kern w:val="0"/>
          <w:sz w:val="21"/>
          <w:szCs w:val="21"/>
          <w:highlight w:val="none"/>
          <w:lang w:val="en-US" w:eastAsia="zh-CN"/>
        </w:rPr>
        <w:t>2.2.3.2</w:t>
      </w:r>
      <w:r>
        <w:rPr>
          <w:rFonts w:hint="eastAsia" w:ascii="宋体" w:hAnsi="宋体" w:eastAsia="宋体" w:cs="宋体"/>
          <w:i w:val="0"/>
          <w:iCs w:val="0"/>
          <w:color w:val="auto"/>
          <w:kern w:val="0"/>
          <w:sz w:val="21"/>
          <w:szCs w:val="21"/>
          <w:highlight w:val="none"/>
        </w:rPr>
        <w:t>供应商通过政府采购云平台电子投标工具制作投标文件，电子投标工具请供应商自行前往浙江政府采购网下载并安装，投标文件制作具体流程详见政府采购云平台。</w:t>
      </w:r>
    </w:p>
    <w:p>
      <w:pPr>
        <w:keepNext w:val="0"/>
        <w:keepLines w:val="0"/>
        <w:pageBreakBefore w:val="0"/>
        <w:widowControl/>
        <w:kinsoku/>
        <w:wordWrap/>
        <w:overflowPunct/>
        <w:topLinePunct w:val="0"/>
        <w:autoSpaceDE/>
        <w:autoSpaceDN/>
        <w:bidi w:val="0"/>
        <w:adjustRightInd/>
        <w:snapToGrid/>
        <w:spacing w:line="348" w:lineRule="auto"/>
        <w:ind w:left="0" w:leftChars="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cs="宋体"/>
          <w:i w:val="0"/>
          <w:iCs w:val="0"/>
          <w:color w:val="auto"/>
          <w:kern w:val="0"/>
          <w:sz w:val="21"/>
          <w:szCs w:val="21"/>
          <w:highlight w:val="none"/>
          <w:lang w:val="en-US" w:eastAsia="zh-CN"/>
        </w:rPr>
        <w:t>2.2.3.3</w:t>
      </w:r>
      <w:r>
        <w:rPr>
          <w:rFonts w:hint="eastAsia" w:ascii="宋体" w:hAnsi="宋体" w:eastAsia="宋体" w:cs="宋体"/>
          <w:i w:val="0"/>
          <w:iCs w:val="0"/>
          <w:color w:val="auto"/>
          <w:kern w:val="0"/>
          <w:sz w:val="21"/>
          <w:szCs w:val="21"/>
          <w:highlight w:val="none"/>
        </w:rPr>
        <w:t>以U盘存储的电子备份投标文件1份，按政府采购云平台</w:t>
      </w:r>
      <w:r>
        <w:rPr>
          <w:rFonts w:hint="eastAsia" w:ascii="宋体" w:hAnsi="宋体" w:eastAsia="宋体" w:cs="宋体"/>
          <w:i w:val="0"/>
          <w:iCs w:val="0"/>
          <w:color w:val="auto"/>
          <w:kern w:val="0"/>
          <w:sz w:val="21"/>
          <w:szCs w:val="21"/>
          <w:highlight w:val="none"/>
          <w:lang w:val="en-US" w:eastAsia="zh-CN"/>
        </w:rPr>
        <w:t>要求</w:t>
      </w:r>
      <w:r>
        <w:rPr>
          <w:rFonts w:hint="eastAsia" w:ascii="宋体" w:hAnsi="宋体" w:eastAsia="宋体" w:cs="宋体"/>
          <w:i w:val="0"/>
          <w:iCs w:val="0"/>
          <w:color w:val="auto"/>
          <w:sz w:val="21"/>
          <w:szCs w:val="21"/>
          <w:highlight w:val="none"/>
        </w:rPr>
        <w:t>制作的电子备份文件</w:t>
      </w:r>
      <w:r>
        <w:rPr>
          <w:rFonts w:hint="eastAsia" w:ascii="宋体" w:hAnsi="宋体" w:eastAsia="宋体" w:cs="宋体"/>
          <w:i w:val="0"/>
          <w:iCs w:val="0"/>
          <w:color w:val="auto"/>
          <w:kern w:val="0"/>
          <w:sz w:val="21"/>
          <w:szCs w:val="21"/>
          <w:highlight w:val="none"/>
        </w:rPr>
        <w:t>，以用于异常情况处理。</w:t>
      </w:r>
    </w:p>
    <w:p>
      <w:pPr>
        <w:pageBreakBefore w:val="0"/>
        <w:kinsoku/>
        <w:wordWrap/>
        <w:overflowPunct/>
        <w:topLinePunct w:val="0"/>
        <w:autoSpaceDE/>
        <w:autoSpaceDN/>
        <w:bidi w:val="0"/>
        <w:adjustRightInd/>
        <w:snapToGrid/>
        <w:spacing w:line="348" w:lineRule="auto"/>
        <w:ind w:left="0" w:leftChars="0" w:firstLine="420"/>
        <w:textAlignment w:val="auto"/>
        <w:rPr>
          <w:rFonts w:hint="eastAsia" w:ascii="宋体" w:hAnsi="宋体" w:cs="宋体"/>
          <w:bCs/>
          <w:color w:val="auto"/>
          <w:szCs w:val="21"/>
          <w:highlight w:val="none"/>
        </w:rPr>
      </w:pPr>
      <w:r>
        <w:rPr>
          <w:rFonts w:hint="eastAsia" w:ascii="宋体" w:hAnsi="宋体" w:eastAsia="宋体" w:cs="宋体"/>
          <w:i w:val="0"/>
          <w:iCs w:val="0"/>
          <w:color w:val="auto"/>
          <w:kern w:val="0"/>
          <w:sz w:val="21"/>
          <w:szCs w:val="21"/>
          <w:highlight w:val="none"/>
          <w:lang w:val="en-US" w:eastAsia="zh-CN"/>
        </w:rPr>
        <w:t>2.3本招标公告附件中的招标文件仅供阅览使用，供应商应在规定的招标文件获取期限内在政采云平台登录供应商注册的账号后获取招标文件，未按上述方式获取招标文件的，不得对招标文件提起质疑投诉。</w:t>
      </w:r>
    </w:p>
    <w:p>
      <w:pPr>
        <w:keepNext w:val="0"/>
        <w:keepLines w:val="0"/>
        <w:pageBreakBefore w:val="0"/>
        <w:widowControl/>
        <w:kinsoku/>
        <w:wordWrap/>
        <w:overflowPunct/>
        <w:topLinePunct w:val="0"/>
        <w:autoSpaceDE/>
        <w:autoSpaceDN/>
        <w:bidi w:val="0"/>
        <w:adjustRightInd/>
        <w:snapToGrid/>
        <w:spacing w:line="348"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2.4供应商应于投标截止时间前将电子投标文件上传到政府采购云平台www.zcygov.cn，未上传电子投标文件，视为供应商放弃投标。</w:t>
      </w:r>
    </w:p>
    <w:p>
      <w:pPr>
        <w:keepNext w:val="0"/>
        <w:keepLines w:val="0"/>
        <w:pageBreakBefore w:val="0"/>
        <w:widowControl/>
        <w:kinsoku/>
        <w:wordWrap/>
        <w:overflowPunct/>
        <w:topLinePunct w:val="0"/>
        <w:autoSpaceDE/>
        <w:autoSpaceDN/>
        <w:bidi w:val="0"/>
        <w:adjustRightInd/>
        <w:snapToGrid/>
        <w:spacing w:line="348"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2.5供应商如提供备份投标文件的，应于提交投标文件截止时间前，将以U盘存储的电子备份投标文件密封，递交至</w:t>
      </w:r>
      <w:r>
        <w:rPr>
          <w:rFonts w:hint="eastAsia" w:ascii="宋体" w:hAnsi="宋体" w:eastAsia="宋体" w:cs="宋体"/>
          <w:color w:val="auto"/>
          <w:szCs w:val="21"/>
          <w:highlight w:val="none"/>
          <w:u w:val="single"/>
          <w:lang w:eastAsia="zh-CN"/>
        </w:rPr>
        <w:t>宁海县公共资源交易中心（宁海县桃源街道金水东路5号五楼，详见五楼大厅公告）</w:t>
      </w:r>
      <w:r>
        <w:rPr>
          <w:rFonts w:hint="eastAsia" w:ascii="宋体" w:hAnsi="宋体" w:eastAsia="宋体" w:cs="宋体"/>
          <w:i w:val="0"/>
          <w:iCs w:val="0"/>
          <w:color w:val="auto"/>
          <w:kern w:val="0"/>
          <w:sz w:val="21"/>
          <w:szCs w:val="21"/>
          <w:highlight w:val="none"/>
          <w:lang w:val="en-US" w:eastAsia="zh-CN"/>
        </w:rPr>
        <w:t>，逾期送达或未密封将予以拒收。供应商仅提供以U盘存储的电子备份投标文件的，投标无效。</w:t>
      </w:r>
    </w:p>
    <w:p>
      <w:pPr>
        <w:keepNext w:val="0"/>
        <w:keepLines w:val="0"/>
        <w:pageBreakBefore w:val="0"/>
        <w:widowControl/>
        <w:kinsoku/>
        <w:wordWrap/>
        <w:overflowPunct/>
        <w:topLinePunct w:val="0"/>
        <w:autoSpaceDE/>
        <w:autoSpaceDN/>
        <w:bidi w:val="0"/>
        <w:adjustRightInd/>
        <w:snapToGrid/>
        <w:spacing w:line="348"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2.6采购代理机构将在招标文件规定的开标时间通过政府采购云平台组织开标、开启投标文件，所有供应商均应准时在线参加。开标时间后30分钟内供应商可以登录政府采购云平台www.zcygov.cn，用“项目采购-开标评标”功能进行解密投标文件。</w:t>
      </w:r>
    </w:p>
    <w:p>
      <w:pPr>
        <w:keepNext w:val="0"/>
        <w:keepLines w:val="0"/>
        <w:pageBreakBefore w:val="0"/>
        <w:widowControl/>
        <w:kinsoku/>
        <w:wordWrap/>
        <w:overflowPunct/>
        <w:topLinePunct w:val="0"/>
        <w:autoSpaceDE/>
        <w:autoSpaceDN/>
        <w:bidi w:val="0"/>
        <w:adjustRightInd/>
        <w:snapToGrid/>
        <w:spacing w:line="348"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2.7供应商可采用邮寄（含快递）方式或现场方式递交备份投标文件。</w:t>
      </w:r>
    </w:p>
    <w:p>
      <w:pPr>
        <w:keepNext w:val="0"/>
        <w:keepLines w:val="0"/>
        <w:pageBreakBefore w:val="0"/>
        <w:widowControl/>
        <w:kinsoku/>
        <w:wordWrap/>
        <w:overflowPunct/>
        <w:topLinePunct w:val="0"/>
        <w:autoSpaceDE/>
        <w:autoSpaceDN/>
        <w:bidi w:val="0"/>
        <w:adjustRightInd/>
        <w:snapToGrid/>
        <w:spacing w:line="348"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2.7.1采用邮寄方式递交备份投标文件，需按以下要求递交：</w:t>
      </w:r>
    </w:p>
    <w:p>
      <w:pPr>
        <w:keepNext w:val="0"/>
        <w:keepLines w:val="0"/>
        <w:pageBreakBefore w:val="0"/>
        <w:widowControl/>
        <w:kinsoku/>
        <w:wordWrap/>
        <w:overflowPunct/>
        <w:topLinePunct w:val="0"/>
        <w:autoSpaceDE/>
        <w:autoSpaceDN/>
        <w:bidi w:val="0"/>
        <w:adjustRightInd/>
        <w:snapToGrid/>
        <w:spacing w:line="348"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各供应商在投标截止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pPr>
        <w:keepNext w:val="0"/>
        <w:keepLines w:val="0"/>
        <w:pageBreakBefore w:val="0"/>
        <w:widowControl/>
        <w:kinsoku/>
        <w:wordWrap/>
        <w:overflowPunct/>
        <w:topLinePunct w:val="0"/>
        <w:autoSpaceDE/>
        <w:autoSpaceDN/>
        <w:bidi w:val="0"/>
        <w:adjustRightInd/>
        <w:snapToGrid/>
        <w:spacing w:line="348"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拟在2022年  月  日16:00（含）前到件的邮寄地址为：宁波市鄞州区天童南路666号中基大厦19楼业务六部；</w:t>
      </w:r>
    </w:p>
    <w:p>
      <w:pPr>
        <w:keepNext w:val="0"/>
        <w:keepLines w:val="0"/>
        <w:pageBreakBefore w:val="0"/>
        <w:widowControl/>
        <w:tabs>
          <w:tab w:val="left" w:pos="5153"/>
        </w:tabs>
        <w:kinsoku/>
        <w:wordWrap/>
        <w:overflowPunct/>
        <w:topLinePunct w:val="0"/>
        <w:autoSpaceDE/>
        <w:autoSpaceDN/>
        <w:bidi w:val="0"/>
        <w:adjustRightInd/>
        <w:snapToGrid/>
        <w:spacing w:line="348" w:lineRule="auto"/>
        <w:ind w:left="0" w:leftChars="0" w:firstLine="420" w:firstLineChars="200"/>
        <w:textAlignment w:val="auto"/>
        <w:rPr>
          <w:rFonts w:hint="default"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收件人：周工   联系方式：0574-87426203</w:t>
      </w:r>
    </w:p>
    <w:p>
      <w:pPr>
        <w:keepNext w:val="0"/>
        <w:keepLines w:val="0"/>
        <w:pageBreakBefore w:val="0"/>
        <w:widowControl/>
        <w:kinsoku/>
        <w:wordWrap/>
        <w:overflowPunct/>
        <w:topLinePunct w:val="0"/>
        <w:autoSpaceDE/>
        <w:autoSpaceDN/>
        <w:bidi w:val="0"/>
        <w:adjustRightInd/>
        <w:snapToGrid/>
        <w:spacing w:line="348"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请各供应商确保密封包装在邮寄过程密封包装完好，因邮寄过程的密封破损造成不符合开标要求的，本采购代理及采购人概不负责。</w:t>
      </w:r>
    </w:p>
    <w:p>
      <w:pPr>
        <w:keepNext w:val="0"/>
        <w:keepLines w:val="0"/>
        <w:pageBreakBefore w:val="0"/>
        <w:widowControl/>
        <w:kinsoku/>
        <w:wordWrap/>
        <w:overflowPunct/>
        <w:topLinePunct w:val="0"/>
        <w:autoSpaceDE/>
        <w:autoSpaceDN/>
        <w:bidi w:val="0"/>
        <w:adjustRightInd/>
        <w:snapToGrid/>
        <w:spacing w:line="348"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2.7.2采用现场方式送达备份投标文件，需按以下要求递交：</w:t>
      </w:r>
    </w:p>
    <w:p>
      <w:pPr>
        <w:keepNext w:val="0"/>
        <w:keepLines w:val="0"/>
        <w:pageBreakBefore w:val="0"/>
        <w:widowControl/>
        <w:kinsoku/>
        <w:wordWrap/>
        <w:overflowPunct/>
        <w:topLinePunct w:val="0"/>
        <w:autoSpaceDE/>
        <w:autoSpaceDN/>
        <w:bidi w:val="0"/>
        <w:adjustRightInd/>
        <w:snapToGrid/>
        <w:spacing w:line="348"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所有供应商安排“</w:t>
      </w:r>
      <w:r>
        <w:rPr>
          <w:rFonts w:hint="eastAsia" w:ascii="宋体" w:hAnsi="宋体" w:cs="宋体"/>
          <w:i w:val="0"/>
          <w:iCs w:val="0"/>
          <w:color w:val="auto"/>
          <w:kern w:val="0"/>
          <w:sz w:val="21"/>
          <w:szCs w:val="21"/>
          <w:highlight w:val="none"/>
          <w:lang w:val="en-US" w:eastAsia="zh-CN"/>
        </w:rPr>
        <w:t>健康码</w:t>
      </w:r>
      <w:r>
        <w:rPr>
          <w:rFonts w:hint="eastAsia" w:ascii="宋体" w:hAnsi="宋体" w:eastAsia="宋体" w:cs="宋体"/>
          <w:i w:val="0"/>
          <w:iCs w:val="0"/>
          <w:color w:val="auto"/>
          <w:kern w:val="0"/>
          <w:sz w:val="21"/>
          <w:szCs w:val="21"/>
          <w:highlight w:val="none"/>
          <w:lang w:val="en-US" w:eastAsia="zh-CN"/>
        </w:rPr>
        <w:t>”为绿色的相关人员（原则上不超过一名）在投标截止时间前将备份投标文件送至：</w:t>
      </w:r>
      <w:r>
        <w:rPr>
          <w:rFonts w:hint="eastAsia" w:ascii="宋体" w:hAnsi="宋体" w:eastAsia="宋体" w:cs="宋体"/>
          <w:color w:val="auto"/>
          <w:szCs w:val="21"/>
          <w:highlight w:val="none"/>
          <w:u w:val="single"/>
          <w:lang w:eastAsia="zh-CN"/>
        </w:rPr>
        <w:t>宁海县公共资源交易中心（宁海县桃源街道金水东路5号五楼，详见五楼大厅公告）</w:t>
      </w:r>
      <w:r>
        <w:rPr>
          <w:rFonts w:hint="eastAsia" w:ascii="宋体" w:hAnsi="宋体" w:eastAsia="宋体" w:cs="宋体"/>
          <w:i w:val="0"/>
          <w:iCs w:val="0"/>
          <w:color w:val="auto"/>
          <w:kern w:val="0"/>
          <w:sz w:val="21"/>
          <w:szCs w:val="21"/>
          <w:highlight w:val="none"/>
          <w:lang w:val="en-US" w:eastAsia="zh-CN"/>
        </w:rPr>
        <w:t>。投标文件递交时需同时递交供应商的法定代表人（或其委托代理人）联系方式，并保证开标期间联系方式的畅通。</w:t>
      </w:r>
    </w:p>
    <w:p>
      <w:pPr>
        <w:keepNext w:val="0"/>
        <w:keepLines w:val="0"/>
        <w:pageBreakBefore w:val="0"/>
        <w:widowControl/>
        <w:kinsoku/>
        <w:wordWrap/>
        <w:overflowPunct/>
        <w:topLinePunct w:val="0"/>
        <w:autoSpaceDE/>
        <w:autoSpaceDN/>
        <w:bidi w:val="0"/>
        <w:adjustRightInd/>
        <w:snapToGrid/>
        <w:spacing w:line="348"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2.8开标过程全程视频监控记录。</w:t>
      </w:r>
    </w:p>
    <w:p>
      <w:pPr>
        <w:keepNext w:val="0"/>
        <w:keepLines w:val="0"/>
        <w:pageBreakBefore w:val="0"/>
        <w:widowControl/>
        <w:kinsoku/>
        <w:wordWrap/>
        <w:overflowPunct/>
        <w:topLinePunct w:val="0"/>
        <w:autoSpaceDE/>
        <w:autoSpaceDN/>
        <w:bidi w:val="0"/>
        <w:adjustRightInd/>
        <w:snapToGrid/>
        <w:spacing w:line="348"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cs="宋体"/>
          <w:i w:val="0"/>
          <w:iCs w:val="0"/>
          <w:color w:val="auto"/>
          <w:kern w:val="0"/>
          <w:sz w:val="21"/>
          <w:szCs w:val="21"/>
          <w:highlight w:val="none"/>
          <w:lang w:val="en-US" w:eastAsia="zh-CN"/>
        </w:rPr>
        <w:t>2.9</w:t>
      </w:r>
      <w:r>
        <w:rPr>
          <w:rFonts w:hint="eastAsia" w:ascii="宋体" w:hAnsi="宋体" w:eastAsia="宋体" w:cs="宋体"/>
          <w:i w:val="0"/>
          <w:iCs w:val="0"/>
          <w:color w:val="auto"/>
          <w:kern w:val="0"/>
          <w:sz w:val="21"/>
          <w:szCs w:val="21"/>
          <w:highlight w:val="none"/>
          <w:lang w:val="en-US" w:eastAsia="zh-CN"/>
        </w:rPr>
        <w:t>投标人员须做好佩戴口罩、手套等防护措施，自觉接受体温检测、接受防疫询问，并如实报告相关情况。</w:t>
      </w:r>
    </w:p>
    <w:p>
      <w:pPr>
        <w:keepNext w:val="0"/>
        <w:keepLines w:val="0"/>
        <w:pageBreakBefore w:val="0"/>
        <w:widowControl/>
        <w:kinsoku/>
        <w:wordWrap/>
        <w:overflowPunct/>
        <w:topLinePunct w:val="0"/>
        <w:autoSpaceDE/>
        <w:autoSpaceDN/>
        <w:bidi w:val="0"/>
        <w:adjustRightInd/>
        <w:snapToGrid/>
        <w:spacing w:line="348" w:lineRule="auto"/>
        <w:ind w:left="0" w:leftChars="0" w:firstLine="420"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cs="宋体"/>
          <w:i w:val="0"/>
          <w:iCs w:val="0"/>
          <w:color w:val="auto"/>
          <w:kern w:val="0"/>
          <w:sz w:val="21"/>
          <w:szCs w:val="21"/>
          <w:highlight w:val="none"/>
          <w:lang w:val="en-US" w:eastAsia="zh-CN"/>
        </w:rPr>
        <w:t>2.10</w:t>
      </w:r>
      <w:r>
        <w:rPr>
          <w:rFonts w:hint="eastAsia" w:ascii="宋体" w:hAnsi="宋体" w:eastAsia="宋体" w:cs="宋体"/>
          <w:i w:val="0"/>
          <w:iCs w:val="0"/>
          <w:color w:val="auto"/>
          <w:kern w:val="0"/>
          <w:sz w:val="21"/>
          <w:szCs w:val="21"/>
          <w:highlight w:val="none"/>
          <w:lang w:val="en-US" w:eastAsia="zh-CN"/>
        </w:rPr>
        <w:t>投标人员还需配合做好疫情防控“五个一律”：一律全面消毒、一律体温检测、一律承诺登记、一律按序办事、一律服从管理。</w:t>
      </w:r>
    </w:p>
    <w:p>
      <w:pPr>
        <w:pageBreakBefore w:val="0"/>
        <w:kinsoku/>
        <w:wordWrap/>
        <w:overflowPunct/>
        <w:topLinePunct w:val="0"/>
        <w:autoSpaceDE/>
        <w:autoSpaceDN/>
        <w:bidi w:val="0"/>
        <w:adjustRightInd/>
        <w:snapToGrid/>
        <w:spacing w:line="348" w:lineRule="auto"/>
        <w:ind w:left="0" w:leftChars="0" w:firstLine="420"/>
        <w:textAlignment w:val="auto"/>
        <w:rPr>
          <w:rFonts w:ascii="宋体" w:hAnsi="宋体" w:cs="宋体"/>
          <w:bCs/>
          <w:color w:val="auto"/>
          <w:szCs w:val="21"/>
          <w:highlight w:val="none"/>
        </w:rPr>
      </w:pPr>
      <w:r>
        <w:rPr>
          <w:rFonts w:hint="eastAsia" w:ascii="宋体" w:hAnsi="宋体" w:cs="宋体"/>
          <w:bCs/>
          <w:color w:val="auto"/>
          <w:szCs w:val="21"/>
          <w:highlight w:val="none"/>
          <w:lang w:val="en-US" w:eastAsia="zh-CN"/>
        </w:rPr>
        <w:t>2.11</w:t>
      </w:r>
      <w:r>
        <w:rPr>
          <w:rFonts w:hint="eastAsia" w:ascii="宋体" w:hAnsi="宋体" w:cs="宋体"/>
          <w:bCs/>
          <w:color w:val="auto"/>
          <w:szCs w:val="21"/>
          <w:highlight w:val="none"/>
        </w:rPr>
        <w:t>如投标截止时间前疫情解除，上述第</w:t>
      </w:r>
      <w:r>
        <w:rPr>
          <w:rFonts w:hint="eastAsia" w:ascii="宋体" w:hAnsi="宋体" w:cs="宋体"/>
          <w:bCs/>
          <w:color w:val="auto"/>
          <w:szCs w:val="21"/>
          <w:highlight w:val="none"/>
          <w:lang w:val="en-US" w:eastAsia="zh-CN"/>
        </w:rPr>
        <w:t>2.7-2.9</w:t>
      </w:r>
      <w:r>
        <w:rPr>
          <w:rFonts w:hint="eastAsia" w:ascii="宋体" w:hAnsi="宋体" w:cs="宋体"/>
          <w:bCs/>
          <w:color w:val="auto"/>
          <w:szCs w:val="21"/>
          <w:highlight w:val="none"/>
        </w:rPr>
        <w:t>条内容废止。</w:t>
      </w:r>
    </w:p>
    <w:p>
      <w:pPr>
        <w:keepNext w:val="0"/>
        <w:keepLines w:val="0"/>
        <w:pageBreakBefore w:val="0"/>
        <w:widowControl/>
        <w:kinsoku/>
        <w:wordWrap/>
        <w:overflowPunct/>
        <w:topLinePunct w:val="0"/>
        <w:autoSpaceDE/>
        <w:autoSpaceDN/>
        <w:bidi w:val="0"/>
        <w:adjustRightInd/>
        <w:snapToGrid/>
        <w:spacing w:line="348" w:lineRule="auto"/>
        <w:ind w:left="0" w:leftChars="0" w:firstLine="420" w:firstLineChars="200"/>
        <w:textAlignment w:val="auto"/>
        <w:rPr>
          <w:rFonts w:hint="eastAsia" w:ascii="宋体" w:hAnsi="宋体" w:eastAsia="宋体" w:cs="宋体"/>
          <w:i w:val="0"/>
          <w:iCs w:val="0"/>
          <w:color w:val="auto"/>
          <w:kern w:val="0"/>
          <w:sz w:val="21"/>
          <w:szCs w:val="21"/>
          <w:highlight w:val="none"/>
          <w:lang w:eastAsia="zh-CN"/>
        </w:rPr>
      </w:pPr>
      <w:r>
        <w:rPr>
          <w:rFonts w:hint="eastAsia" w:ascii="宋体" w:hAnsi="宋体" w:cs="宋体"/>
          <w:bCs/>
          <w:color w:val="auto"/>
          <w:szCs w:val="21"/>
          <w:highlight w:val="none"/>
          <w:lang w:val="en-US" w:eastAsia="zh-CN"/>
        </w:rPr>
        <w:t>2.12</w:t>
      </w:r>
      <w:r>
        <w:rPr>
          <w:rFonts w:hint="eastAsia" w:ascii="宋体" w:hAnsi="宋体" w:cs="宋体"/>
          <w:bCs/>
          <w:color w:val="auto"/>
          <w:szCs w:val="21"/>
          <w:highlight w:val="none"/>
        </w:rPr>
        <w:t>肺炎防疫期间，请各供应商遵守</w:t>
      </w:r>
      <w:r>
        <w:rPr>
          <w:rFonts w:hint="eastAsia" w:ascii="宋体" w:hAnsi="宋体" w:eastAsia="宋体" w:cs="宋体"/>
          <w:i w:val="0"/>
          <w:iCs w:val="0"/>
          <w:color w:val="auto"/>
          <w:kern w:val="0"/>
          <w:sz w:val="21"/>
          <w:szCs w:val="21"/>
          <w:highlight w:val="none"/>
          <w:lang w:val="en-US" w:eastAsia="zh-CN"/>
        </w:rPr>
        <w:t>宁波市宁海县公共资源交易中心</w:t>
      </w:r>
      <w:r>
        <w:rPr>
          <w:rFonts w:hint="eastAsia" w:ascii="宋体" w:hAnsi="宋体" w:cs="宋体"/>
          <w:bCs/>
          <w:color w:val="auto"/>
          <w:szCs w:val="21"/>
          <w:highlight w:val="none"/>
        </w:rPr>
        <w:t>各项防疫措施规定。</w:t>
      </w:r>
    </w:p>
    <w:p>
      <w:pPr>
        <w:pStyle w:val="5"/>
        <w:pageBreakBefore w:val="0"/>
        <w:kinsoku/>
        <w:wordWrap/>
        <w:overflowPunct/>
        <w:topLinePunct w:val="0"/>
        <w:autoSpaceDE/>
        <w:autoSpaceDN/>
        <w:bidi w:val="0"/>
        <w:adjustRightInd/>
        <w:snapToGrid/>
        <w:spacing w:before="0" w:beforeLines="0" w:after="0" w:afterLines="0" w:line="348" w:lineRule="auto"/>
        <w:ind w:left="0" w:leftChars="0"/>
        <w:textAlignment w:val="auto"/>
        <w:rPr>
          <w:rFonts w:hint="eastAsia" w:ascii="宋体" w:hAnsi="宋体" w:eastAsia="宋体" w:cs="宋体"/>
          <w:b/>
          <w:bCs w:val="0"/>
          <w:i w:val="0"/>
          <w:iCs w:val="0"/>
          <w:color w:val="auto"/>
          <w:sz w:val="21"/>
          <w:szCs w:val="21"/>
          <w:highlight w:val="none"/>
        </w:rPr>
      </w:pPr>
      <w:bookmarkStart w:id="25" w:name="_Toc35393627"/>
      <w:bookmarkStart w:id="26" w:name="_Toc35393796"/>
      <w:bookmarkStart w:id="27" w:name="_Toc28359008"/>
      <w:bookmarkStart w:id="28" w:name="_Toc28359085"/>
      <w:r>
        <w:rPr>
          <w:rFonts w:hint="eastAsia" w:ascii="宋体" w:hAnsi="宋体" w:eastAsia="宋体" w:cs="宋体"/>
          <w:b/>
          <w:bCs w:val="0"/>
          <w:i w:val="0"/>
          <w:iCs w:val="0"/>
          <w:color w:val="auto"/>
          <w:sz w:val="21"/>
          <w:szCs w:val="21"/>
          <w:highlight w:val="none"/>
        </w:rPr>
        <w:t>七、对本次</w:t>
      </w:r>
      <w:r>
        <w:rPr>
          <w:rFonts w:hint="eastAsia" w:ascii="宋体" w:hAnsi="宋体" w:eastAsia="宋体" w:cs="宋体"/>
          <w:b/>
          <w:bCs w:val="0"/>
          <w:i w:val="0"/>
          <w:iCs w:val="0"/>
          <w:color w:val="auto"/>
          <w:sz w:val="21"/>
          <w:szCs w:val="21"/>
          <w:highlight w:val="none"/>
          <w:lang w:eastAsia="zh-CN"/>
        </w:rPr>
        <w:t>采购</w:t>
      </w:r>
      <w:r>
        <w:rPr>
          <w:rFonts w:hint="eastAsia" w:ascii="宋体" w:hAnsi="宋体" w:eastAsia="宋体" w:cs="宋体"/>
          <w:b/>
          <w:bCs w:val="0"/>
          <w:i w:val="0"/>
          <w:iCs w:val="0"/>
          <w:color w:val="auto"/>
          <w:sz w:val="21"/>
          <w:szCs w:val="21"/>
          <w:highlight w:val="none"/>
        </w:rPr>
        <w:t>提出询问</w:t>
      </w:r>
      <w:r>
        <w:rPr>
          <w:rFonts w:hint="eastAsia" w:ascii="宋体" w:hAnsi="宋体" w:eastAsia="宋体" w:cs="宋体"/>
          <w:b/>
          <w:bCs w:val="0"/>
          <w:i w:val="0"/>
          <w:iCs w:val="0"/>
          <w:color w:val="auto"/>
          <w:sz w:val="21"/>
          <w:szCs w:val="21"/>
          <w:highlight w:val="none"/>
          <w:lang w:eastAsia="zh-CN"/>
        </w:rPr>
        <w:t>、质疑、投诉</w:t>
      </w:r>
      <w:r>
        <w:rPr>
          <w:rFonts w:hint="eastAsia" w:ascii="宋体" w:hAnsi="宋体" w:eastAsia="宋体" w:cs="宋体"/>
          <w:b/>
          <w:bCs w:val="0"/>
          <w:i w:val="0"/>
          <w:iCs w:val="0"/>
          <w:color w:val="auto"/>
          <w:sz w:val="21"/>
          <w:szCs w:val="21"/>
          <w:highlight w:val="none"/>
        </w:rPr>
        <w:t>，请按以下方式联系。</w:t>
      </w:r>
      <w:bookmarkEnd w:id="25"/>
      <w:bookmarkEnd w:id="26"/>
      <w:bookmarkEnd w:id="27"/>
      <w:bookmarkEnd w:id="28"/>
    </w:p>
    <w:p>
      <w:pPr>
        <w:pStyle w:val="43"/>
        <w:pageBreakBefore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pPr>
        <w:pStyle w:val="43"/>
        <w:pageBreakBefore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名称：宁海县</w:t>
      </w:r>
      <w:r>
        <w:rPr>
          <w:rFonts w:hint="eastAsia" w:ascii="宋体" w:hAnsi="宋体" w:eastAsia="宋体" w:cs="宋体"/>
          <w:color w:val="auto"/>
          <w:sz w:val="21"/>
          <w:szCs w:val="21"/>
          <w:highlight w:val="none"/>
          <w:lang w:eastAsia="zh-CN"/>
        </w:rPr>
        <w:t>西店镇</w:t>
      </w:r>
      <w:r>
        <w:rPr>
          <w:rFonts w:hint="eastAsia" w:ascii="宋体" w:hAnsi="宋体" w:eastAsia="宋体" w:cs="宋体"/>
          <w:color w:val="auto"/>
          <w:sz w:val="21"/>
          <w:szCs w:val="21"/>
          <w:highlight w:val="none"/>
        </w:rPr>
        <w:t>人民政府</w:t>
      </w:r>
    </w:p>
    <w:p>
      <w:pPr>
        <w:pStyle w:val="43"/>
        <w:pageBreakBefore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val="en-US" w:eastAsia="zh-CN"/>
        </w:rPr>
        <w:t>宁海县</w:t>
      </w:r>
      <w:r>
        <w:rPr>
          <w:rFonts w:hint="eastAsia" w:ascii="宋体" w:hAnsi="宋体" w:eastAsia="宋体" w:cs="宋体"/>
          <w:color w:val="auto"/>
          <w:sz w:val="21"/>
          <w:szCs w:val="21"/>
          <w:highlight w:val="none"/>
          <w:lang w:eastAsia="zh-CN"/>
        </w:rPr>
        <w:t>振兴南路</w:t>
      </w:r>
      <w:r>
        <w:rPr>
          <w:rFonts w:hint="eastAsia" w:ascii="宋体" w:hAnsi="宋体" w:eastAsia="宋体" w:cs="宋体"/>
          <w:color w:val="auto"/>
          <w:sz w:val="21"/>
          <w:szCs w:val="21"/>
          <w:highlight w:val="none"/>
          <w:lang w:val="en-US" w:eastAsia="zh-CN"/>
        </w:rPr>
        <w:t>158号</w:t>
      </w:r>
    </w:p>
    <w:p>
      <w:pPr>
        <w:pStyle w:val="43"/>
        <w:pageBreakBefore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pPr>
        <w:pStyle w:val="43"/>
        <w:pageBreakBefore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项目联系人（询问）：</w:t>
      </w:r>
      <w:r>
        <w:rPr>
          <w:rFonts w:hint="eastAsia" w:ascii="宋体" w:hAnsi="宋体" w:eastAsia="宋体" w:cs="宋体"/>
          <w:color w:val="auto"/>
          <w:sz w:val="21"/>
          <w:szCs w:val="21"/>
          <w:highlight w:val="none"/>
          <w:lang w:val="en-US" w:eastAsia="zh-CN"/>
        </w:rPr>
        <w:t>徐老师</w:t>
      </w:r>
    </w:p>
    <w:p>
      <w:pPr>
        <w:pStyle w:val="43"/>
        <w:pageBreakBefore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项目联系方式（询问）：</w:t>
      </w:r>
      <w:r>
        <w:rPr>
          <w:rFonts w:hint="eastAsia" w:ascii="宋体" w:hAnsi="宋体" w:eastAsia="宋体" w:cs="宋体"/>
          <w:color w:val="auto"/>
          <w:sz w:val="21"/>
          <w:szCs w:val="21"/>
          <w:highlight w:val="none"/>
          <w:lang w:val="en-US" w:eastAsia="zh-CN"/>
        </w:rPr>
        <w:t>0574-83525070</w:t>
      </w:r>
    </w:p>
    <w:p>
      <w:pPr>
        <w:pStyle w:val="43"/>
        <w:pageBreakBefore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w:t>
      </w:r>
      <w:r>
        <w:rPr>
          <w:rFonts w:hint="eastAsia" w:ascii="宋体" w:hAnsi="宋体" w:eastAsia="宋体" w:cs="宋体"/>
          <w:color w:val="auto"/>
          <w:sz w:val="21"/>
          <w:szCs w:val="21"/>
          <w:highlight w:val="none"/>
          <w:lang w:val="en-US" w:eastAsia="zh-CN"/>
        </w:rPr>
        <w:t>徐老师</w:t>
      </w:r>
    </w:p>
    <w:p>
      <w:pPr>
        <w:pStyle w:val="43"/>
        <w:pageBreakBefore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w:t>
      </w:r>
      <w:r>
        <w:rPr>
          <w:rFonts w:hint="eastAsia" w:ascii="宋体" w:hAnsi="宋体" w:eastAsia="宋体" w:cs="宋体"/>
          <w:color w:val="auto"/>
          <w:sz w:val="21"/>
          <w:szCs w:val="21"/>
          <w:highlight w:val="none"/>
          <w:lang w:val="en-US" w:eastAsia="zh-CN"/>
        </w:rPr>
        <w:t>0574-83525070</w:t>
      </w:r>
    </w:p>
    <w:p>
      <w:pPr>
        <w:pStyle w:val="43"/>
        <w:pageBreakBefore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pPr>
        <w:pStyle w:val="43"/>
        <w:pageBreakBefore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名称：浙江中基正采管理咨询有限公司</w:t>
      </w:r>
    </w:p>
    <w:p>
      <w:pPr>
        <w:pStyle w:val="43"/>
        <w:pageBreakBefore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地址：宁波市鄞州区天童南路666号中基大厦19楼</w:t>
      </w:r>
    </w:p>
    <w:p>
      <w:pPr>
        <w:pStyle w:val="43"/>
        <w:pageBreakBefore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传真：0574-87425373</w:t>
      </w:r>
    </w:p>
    <w:p>
      <w:pPr>
        <w:pStyle w:val="43"/>
        <w:pageBreakBefore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项目联系人（询问）：王近娜、朱贤东</w:t>
      </w:r>
    </w:p>
    <w:p>
      <w:pPr>
        <w:pStyle w:val="43"/>
        <w:pageBreakBefore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项目联系方式（询问）：0574-87426203</w:t>
      </w:r>
    </w:p>
    <w:p>
      <w:pPr>
        <w:pStyle w:val="43"/>
        <w:pageBreakBefore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质疑联系人：王燕</w:t>
      </w:r>
    </w:p>
    <w:p>
      <w:pPr>
        <w:pStyle w:val="43"/>
        <w:pageBreakBefore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质疑联系方式：0574-87425583</w:t>
      </w:r>
    </w:p>
    <w:p>
      <w:pPr>
        <w:pStyle w:val="43"/>
        <w:pageBreakBefore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3.同级政府采购监督管理部门</w:t>
      </w:r>
    </w:p>
    <w:p>
      <w:pPr>
        <w:pStyle w:val="43"/>
        <w:pageBreakBefore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名称：宁海县政府采购管理办公室</w:t>
      </w:r>
    </w:p>
    <w:p>
      <w:pPr>
        <w:pStyle w:val="43"/>
        <w:pageBreakBefore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地址：宁海县跃龙街道桃源中路218号 </w:t>
      </w:r>
    </w:p>
    <w:p>
      <w:pPr>
        <w:pStyle w:val="43"/>
        <w:pageBreakBefore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传真：0574-65265612</w:t>
      </w:r>
    </w:p>
    <w:p>
      <w:pPr>
        <w:pStyle w:val="43"/>
        <w:pageBreakBefore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联系人：王老师</w:t>
      </w:r>
    </w:p>
    <w:p>
      <w:pPr>
        <w:pageBreakBefore w:val="0"/>
        <w:kinsoku/>
        <w:wordWrap/>
        <w:overflowPunct/>
        <w:topLinePunct w:val="0"/>
        <w:autoSpaceDE/>
        <w:autoSpaceDN/>
        <w:bidi w:val="0"/>
        <w:adjustRightInd/>
        <w:snapToGrid/>
        <w:spacing w:line="348" w:lineRule="auto"/>
        <w:ind w:left="0" w:leftChars="0" w:firstLine="420" w:firstLineChars="0"/>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color w:val="auto"/>
          <w:sz w:val="21"/>
          <w:szCs w:val="21"/>
          <w:highlight w:val="none"/>
        </w:rPr>
        <w:t>监督投诉电话：0574-65265668</w:t>
      </w:r>
      <w:r>
        <w:rPr>
          <w:rFonts w:hint="eastAsia" w:ascii="宋体" w:hAnsi="宋体" w:eastAsia="宋体" w:cs="宋体"/>
          <w:i w:val="0"/>
          <w:iCs w:val="0"/>
          <w:color w:val="auto"/>
          <w:sz w:val="21"/>
          <w:szCs w:val="21"/>
          <w:highlight w:val="none"/>
          <w:u w:val="none"/>
          <w:lang w:val="en-US" w:eastAsia="zh-CN"/>
        </w:rPr>
        <w:t xml:space="preserve"> </w:t>
      </w:r>
    </w:p>
    <w:p>
      <w:pPr>
        <w:pageBreakBefore w:val="0"/>
        <w:kinsoku/>
        <w:wordWrap/>
        <w:overflowPunct/>
        <w:topLinePunct w:val="0"/>
        <w:autoSpaceDE/>
        <w:autoSpaceDN/>
        <w:bidi w:val="0"/>
        <w:adjustRightInd/>
        <w:snapToGrid/>
        <w:spacing w:line="348" w:lineRule="auto"/>
        <w:ind w:left="0" w:leftChars="0"/>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若对项目采购电子交易系统操作有疑问，可登录政采云（https://www.zcygov.cn/），点击右侧咨询小采，获取采小蜜智能服务管家帮助，或拨打政采云服务热线400-881-7190获取热线服务帮助。</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textAlignment w:val="auto"/>
        <w:rPr>
          <w:rFonts w:hint="eastAsia" w:ascii="宋体" w:hAnsi="宋体" w:cs="宋体"/>
          <w:b/>
          <w:bCs/>
          <w:color w:val="auto"/>
          <w:sz w:val="28"/>
          <w:szCs w:val="28"/>
          <w:highlight w:val="none"/>
        </w:rPr>
      </w:pPr>
      <w:r>
        <w:rPr>
          <w:rFonts w:hint="eastAsia" w:ascii="宋体" w:hAnsi="宋体" w:eastAsia="宋体" w:cs="宋体"/>
          <w:color w:val="auto"/>
          <w:highlight w:val="none"/>
        </w:rPr>
        <w:t>CA问题联系电话（人工）：汇信CA 400-888-4636；天谷CA 400-087-8198。</w:t>
      </w:r>
    </w:p>
    <w:p>
      <w:pPr>
        <w:keepNext w:val="0"/>
        <w:keepLines w:val="0"/>
        <w:pageBreakBefore w:val="0"/>
        <w:kinsoku/>
        <w:wordWrap/>
        <w:overflowPunct/>
        <w:topLinePunct w:val="0"/>
        <w:autoSpaceDE/>
        <w:autoSpaceDN/>
        <w:bidi w:val="0"/>
        <w:adjustRightInd/>
        <w:snapToGrid/>
        <w:spacing w:line="360" w:lineRule="auto"/>
        <w:ind w:leftChars="0" w:firstLine="420" w:firstLineChars="200"/>
        <w:jc w:val="right"/>
        <w:textAlignment w:val="auto"/>
        <w:rPr>
          <w:rFonts w:hint="eastAsia" w:ascii="宋体" w:hAnsi="宋体" w:eastAsia="宋体" w:cs="宋体"/>
          <w:color w:val="auto"/>
          <w:szCs w:val="21"/>
          <w:highlight w:val="none"/>
        </w:rPr>
      </w:pPr>
    </w:p>
    <w:p>
      <w:pPr>
        <w:pStyle w:val="26"/>
        <w:snapToGrid w:val="0"/>
        <w:spacing w:before="0" w:beforeLines="0" w:after="0" w:afterLines="0" w:line="360" w:lineRule="auto"/>
        <w:jc w:val="center"/>
        <w:outlineLvl w:val="0"/>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br w:type="page"/>
      </w:r>
      <w:bookmarkStart w:id="29" w:name="_Toc21866"/>
      <w:r>
        <w:rPr>
          <w:rFonts w:hint="eastAsia" w:ascii="宋体" w:hAnsi="宋体" w:eastAsia="宋体" w:cs="宋体"/>
          <w:b/>
          <w:color w:val="auto"/>
          <w:sz w:val="32"/>
          <w:szCs w:val="32"/>
          <w:highlight w:val="none"/>
        </w:rPr>
        <w:t>第二章  采购需求</w:t>
      </w:r>
      <w:bookmarkEnd w:id="29"/>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前附表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400"/>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w:t>
            </w:r>
          </w:p>
        </w:tc>
        <w:tc>
          <w:tcPr>
            <w:tcW w:w="52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采购需求内容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采购内容</w:t>
            </w:r>
          </w:p>
        </w:tc>
        <w:tc>
          <w:tcPr>
            <w:tcW w:w="52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详见</w:t>
            </w:r>
            <w:r>
              <w:rPr>
                <w:rFonts w:hint="eastAsia" w:ascii="宋体" w:hAnsi="宋体" w:eastAsia="宋体" w:cs="宋体"/>
                <w:color w:val="auto"/>
                <w:szCs w:val="21"/>
                <w:highlight w:val="none"/>
              </w:rPr>
              <w:t>第一章  《公开招标采购公告》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单位及数量</w:t>
            </w:r>
          </w:p>
        </w:tc>
        <w:tc>
          <w:tcPr>
            <w:tcW w:w="52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详见</w:t>
            </w:r>
            <w:r>
              <w:rPr>
                <w:rFonts w:hint="eastAsia" w:ascii="宋体" w:hAnsi="宋体" w:eastAsia="宋体" w:cs="宋体"/>
                <w:color w:val="auto"/>
                <w:szCs w:val="21"/>
                <w:highlight w:val="none"/>
              </w:rPr>
              <w:t>第一章  《公开招标采购公告》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交付或者实施的时间和地点</w:t>
            </w:r>
          </w:p>
        </w:tc>
        <w:tc>
          <w:tcPr>
            <w:tcW w:w="5253" w:type="dxa"/>
            <w:noWrap w:val="0"/>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服务期限：详见本章内容</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jc w:val="left"/>
              <w:rPr>
                <w:rFonts w:hint="eastAsia" w:ascii="宋体" w:hAnsi="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实施地点：采购人指定地点。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需实现的功能或者目标</w:t>
            </w:r>
          </w:p>
        </w:tc>
        <w:tc>
          <w:tcPr>
            <w:tcW w:w="52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执行的国家相关标准、行业标准、地方标准或者其它标准、规范</w:t>
            </w:r>
          </w:p>
        </w:tc>
        <w:tc>
          <w:tcPr>
            <w:tcW w:w="52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执行的国家相关标准、行业标准、地方标准或者其它标准、规范（如有）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技术规格要求</w:t>
            </w:r>
          </w:p>
        </w:tc>
        <w:tc>
          <w:tcPr>
            <w:tcW w:w="52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highlight w:val="none"/>
                <w:lang w:eastAsia="zh-CN"/>
              </w:rPr>
            </w:pPr>
            <w:r>
              <w:rPr>
                <w:rFonts w:hint="eastAsia" w:ascii="宋体" w:hAnsi="宋体" w:eastAsia="宋体" w:cs="宋体"/>
                <w:color w:val="auto"/>
                <w:szCs w:val="21"/>
                <w:highlight w:val="none"/>
                <w:lang w:eastAsia="zh-CN"/>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物理特性要求</w:t>
            </w:r>
          </w:p>
        </w:tc>
        <w:tc>
          <w:tcPr>
            <w:tcW w:w="52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质量、安全要求</w:t>
            </w:r>
          </w:p>
        </w:tc>
        <w:tc>
          <w:tcPr>
            <w:tcW w:w="52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服务标准、期限、效率(培训等）</w:t>
            </w:r>
          </w:p>
        </w:tc>
        <w:tc>
          <w:tcPr>
            <w:tcW w:w="52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highlight w:val="none"/>
              </w:rPr>
            </w:pPr>
            <w:r>
              <w:rPr>
                <w:rFonts w:hint="eastAsia" w:ascii="宋体" w:hAnsi="宋体" w:eastAsia="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验收标准</w:t>
            </w:r>
          </w:p>
        </w:tc>
        <w:tc>
          <w:tcPr>
            <w:tcW w:w="52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符合国家、浙江省、宁波市验收规范（从高）一次性验收合格标准及相关部门验收合格。</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按照</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文件和中标人提供的投标文件及中标人和采购人签订的政府采购合同为标准进行验收。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现场踏勘</w:t>
            </w:r>
          </w:p>
        </w:tc>
        <w:tc>
          <w:tcPr>
            <w:tcW w:w="52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演示时间及地点</w:t>
            </w:r>
          </w:p>
        </w:tc>
        <w:tc>
          <w:tcPr>
            <w:tcW w:w="52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样品要求</w:t>
            </w:r>
          </w:p>
        </w:tc>
        <w:tc>
          <w:tcPr>
            <w:tcW w:w="52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本项目的核心产品</w:t>
            </w:r>
          </w:p>
        </w:tc>
        <w:tc>
          <w:tcPr>
            <w:tcW w:w="52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bl>
    <w:p>
      <w:pPr>
        <w:spacing w:line="360" w:lineRule="auto"/>
        <w:rPr>
          <w:rFonts w:hint="eastAsia" w:ascii="宋体" w:hAnsi="宋体" w:eastAsia="宋体" w:cs="宋体"/>
          <w:b/>
          <w:color w:val="auto"/>
          <w:szCs w:val="21"/>
          <w:highlight w:val="none"/>
          <w:lang w:eastAsia="zh-CN" w:bidi="ar"/>
        </w:rPr>
      </w:pPr>
      <w:r>
        <w:rPr>
          <w:rFonts w:hint="eastAsia" w:ascii="宋体" w:hAnsi="宋体" w:eastAsia="宋体" w:cs="宋体"/>
          <w:b/>
          <w:color w:val="auto"/>
          <w:szCs w:val="21"/>
          <w:highlight w:val="none"/>
        </w:rPr>
        <w:br w:type="page"/>
      </w:r>
      <w:r>
        <w:rPr>
          <w:rFonts w:hint="eastAsia" w:ascii="宋体" w:hAnsi="宋体" w:cs="宋体"/>
          <w:color w:val="auto"/>
          <w:szCs w:val="21"/>
          <w:highlight w:val="none"/>
        </w:rPr>
        <w:t>★</w:t>
      </w:r>
      <w:r>
        <w:rPr>
          <w:rFonts w:hint="eastAsia" w:ascii="宋体" w:hAnsi="宋体" w:eastAsia="宋体" w:cs="宋体"/>
          <w:b/>
          <w:color w:val="auto"/>
          <w:szCs w:val="21"/>
          <w:highlight w:val="none"/>
        </w:rPr>
        <w:t>一、</w:t>
      </w:r>
      <w:r>
        <w:rPr>
          <w:rFonts w:hint="eastAsia" w:ascii="宋体" w:hAnsi="宋体" w:eastAsia="宋体" w:cs="宋体"/>
          <w:b/>
          <w:color w:val="auto"/>
          <w:szCs w:val="21"/>
          <w:highlight w:val="none"/>
          <w:lang w:eastAsia="zh-CN"/>
        </w:rPr>
        <w:t>重要商务要求一览表</w:t>
      </w: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70"/>
        <w:gridCol w:w="65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1"/>
                <w:szCs w:val="21"/>
                <w:highlight w:val="none"/>
              </w:rPr>
            </w:pPr>
            <w:bookmarkStart w:id="30" w:name="_Toc513103337"/>
            <w:r>
              <w:rPr>
                <w:rFonts w:hint="eastAsia" w:ascii="宋体" w:hAnsi="宋体" w:eastAsia="宋体" w:cs="宋体"/>
                <w:b/>
                <w:bCs/>
                <w:color w:val="auto"/>
                <w:sz w:val="21"/>
                <w:szCs w:val="21"/>
                <w:highlight w:val="none"/>
              </w:rPr>
              <w:t>项目</w:t>
            </w:r>
          </w:p>
        </w:tc>
        <w:tc>
          <w:tcPr>
            <w:tcW w:w="6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要 求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1、服务期限</w:t>
            </w:r>
          </w:p>
        </w:tc>
        <w:tc>
          <w:tcPr>
            <w:tcW w:w="6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详见《第一章  公开招标采购公告》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2、付款方式</w:t>
            </w:r>
          </w:p>
        </w:tc>
        <w:tc>
          <w:tcPr>
            <w:tcW w:w="6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1、合同签订之日起后7日内支付年度合同总价30%的预付款；</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2、服务半年后，经采购人检查考核通过后，支付至年度合同总价的50%；</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3、在年度合同服务期限满后，经采购人验收合格后一次性付清余款。</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付款前中标人必须确保消杀质量达到验收标准，并通过各级爱卫办的除四害督查、县疾控中心的季度检查、市第三方监测评估、国家卫生县城复审和病媒生物控制水平评估等有关要求。如不能通过上述考核检查要求的，终止合同并没收全部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3、履约保证金</w:t>
            </w:r>
          </w:p>
        </w:tc>
        <w:tc>
          <w:tcPr>
            <w:tcW w:w="6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1、履约保证金金额：年度合同价的1%；</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2、履约保证金形式：银行汇票（电汇）、支票（仅限于使用宁波大市区范围内的银行开具的支票）、保险保单和银行保函等非现金形式。</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3、履约保证金提交时间：合同签订前交至采购人。</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4、履约保证金的退取：履约保证金在中标人完成合同履约后无息退还（如中标人未能履行合同规定的任何义务，采购人有权扣除相应履约保证金）。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4、合同终止</w:t>
            </w:r>
          </w:p>
        </w:tc>
        <w:tc>
          <w:tcPr>
            <w:tcW w:w="6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中标人在合同有效期内，不得以任何理由终止合同，确有特殊情况的，须提前两个月向采购人提出书面申请，经采购人同意后，方可终止合同。因中标人发生重大差错事故的，采购人可有权终止协议，中标人承担全部责任。</w:t>
            </w:r>
          </w:p>
          <w:p>
            <w:pPr>
              <w:keepNext w:val="0"/>
              <w:keepLines w:val="0"/>
              <w:pageBreakBefore w:val="0"/>
              <w:widowControl w:val="0"/>
              <w:kinsoku/>
              <w:wordWrap/>
              <w:overflowPunct/>
              <w:topLinePunct w:val="0"/>
              <w:autoSpaceDE/>
              <w:autoSpaceDN/>
              <w:bidi w:val="0"/>
              <w:adjustRightInd/>
              <w:snapToGrid/>
              <w:spacing w:line="360" w:lineRule="auto"/>
              <w:jc w:val="left"/>
              <w:rPr>
                <w:rFonts w:hint="eastAsia"/>
                <w:color w:val="auto"/>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）中标人若被发现使用国家禁用的药物，采购人有权立即终止合同。</w:t>
            </w:r>
          </w:p>
        </w:tc>
      </w:tr>
      <w:bookmarkEnd w:id="30"/>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rPr>
        <w:t>二、</w:t>
      </w:r>
      <w:r>
        <w:rPr>
          <w:rFonts w:hint="eastAsia" w:ascii="宋体" w:hAnsi="宋体" w:eastAsia="宋体" w:cs="宋体"/>
          <w:b/>
          <w:color w:val="auto"/>
          <w:szCs w:val="21"/>
          <w:highlight w:val="none"/>
          <w:lang w:eastAsia="zh-CN"/>
        </w:rPr>
        <w:t>除四害服务范围及质量要求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（一）</w:t>
      </w:r>
      <w:r>
        <w:rPr>
          <w:rFonts w:hint="eastAsia" w:ascii="宋体" w:hAnsi="宋体" w:eastAsia="宋体" w:cs="宋体"/>
          <w:b/>
          <w:bCs/>
          <w:color w:val="auto"/>
          <w:szCs w:val="21"/>
          <w:highlight w:val="none"/>
          <w:lang w:eastAsia="zh-CN"/>
        </w:rPr>
        <w:t>服务范围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西店</w:t>
      </w:r>
      <w:r>
        <w:rPr>
          <w:rFonts w:hint="eastAsia" w:ascii="宋体" w:hAnsi="宋体" w:cs="宋体"/>
          <w:color w:val="auto"/>
          <w:szCs w:val="21"/>
          <w:highlight w:val="none"/>
          <w:lang w:eastAsia="zh-CN"/>
        </w:rPr>
        <w:t>镇</w:t>
      </w:r>
      <w:r>
        <w:rPr>
          <w:rFonts w:hint="eastAsia" w:ascii="宋体" w:hAnsi="宋体" w:eastAsia="宋体" w:cs="宋体"/>
          <w:color w:val="auto"/>
          <w:szCs w:val="21"/>
          <w:highlight w:val="none"/>
          <w:lang w:eastAsia="zh-CN"/>
        </w:rPr>
        <w:t>核心区（高速出口至团堧牌楼竹林路口，西店南路至竹林路，三角形区域）及建成区八个行政村（滨海村，樟树村，西店村，王家村，石孔村，尤家村，团堧村，崔家村）下的直属单位、外环境、特殊场所及辖区“五小”单位和重点服务单位。“五小”单位和重点服务单位（公共“外环境”指主要道路、公共绿地、河流、下水道、窨井、阴沟、户外垃圾桶、公共厕所（3座）、企事业单位外围、公共地下停车库、防空洞、居民区楼道公共区域、城中村居民户围墙外、没有围墙包括门外空地的公共区域等及划定区域外 300 米至 500 米范围的除“四害”防护带），“五小”单位指 200 平方米以下的小副食店、小餐饮、小美容美发、小旅社、小浴室等。重点服务单位指：洗车业、修车铺、蔬菜行、废品回收站、果蔬行等及镇政府临时指定场所。</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Times New Roman"/>
          <w:b/>
          <w:bCs/>
          <w:color w:val="auto"/>
          <w:sz w:val="21"/>
          <w:szCs w:val="21"/>
          <w:highlight w:val="none"/>
        </w:rPr>
        <w:t>消杀质量要求（验收标准）</w:t>
      </w:r>
    </w:p>
    <w:p>
      <w:pPr>
        <w:keepNext w:val="0"/>
        <w:keepLines w:val="0"/>
        <w:pageBreakBefore w:val="0"/>
        <w:kinsoku/>
        <w:wordWrap/>
        <w:overflowPunct/>
        <w:topLinePunct w:val="0"/>
        <w:autoSpaceDE/>
        <w:autoSpaceDN/>
        <w:bidi w:val="0"/>
        <w:adjustRightInd/>
        <w:snapToGrid/>
        <w:spacing w:line="360" w:lineRule="auto"/>
        <w:ind w:firstLine="422" w:firstLineChars="200"/>
        <w:jc w:val="left"/>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服务范围内的鼠、蚊、蝇、蟑螂等四害杀灭服务。达到国卫城市关于病媒生物的控制水平要求（按执行标准为准）。</w:t>
      </w: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(1)灭鼠标准（鼠密度控制水平）：</w:t>
      </w:r>
    </w:p>
    <w:p>
      <w:pPr>
        <w:pStyle w:val="19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1）防鼠设施：防鼠设施合格率大于或等于93%；房间数10间以下的单位防鼠设施完全合格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10间以上的单位防鼠设施不合格房间数不超过1间。</w:t>
      </w:r>
    </w:p>
    <w:p>
      <w:pPr>
        <w:pStyle w:val="19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2）室内鼠密度控制水平：鼠迹阳性率小于或等于5%；房间数20间以下的单位阳性房间数为0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间以上的单位阳性房间数不超过1间。</w:t>
      </w:r>
    </w:p>
    <w:p>
      <w:pPr>
        <w:pStyle w:val="19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3）外环境鼠密度控制水平：路径指数小于或等于5；不得有鼠洞、死鼠、活鼠等鼠迹。</w:t>
      </w: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(2)灭蚊标准（蚊虫密度控制水平）：</w:t>
      </w:r>
    </w:p>
    <w:p>
      <w:pPr>
        <w:pStyle w:val="19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1）小型积水蚊虫密度控制水平：路径指数小于或等于0.8</w:t>
      </w:r>
      <w:r>
        <w:rPr>
          <w:rFonts w:hint="eastAsia" w:ascii="宋体" w:hAnsi="宋体" w:eastAsia="宋体" w:cs="宋体"/>
          <w:color w:val="auto"/>
          <w:sz w:val="21"/>
          <w:szCs w:val="21"/>
          <w:highlight w:val="none"/>
          <w:lang w:eastAsia="zh-CN"/>
        </w:rPr>
        <w:t>。</w:t>
      </w:r>
    </w:p>
    <w:p>
      <w:pPr>
        <w:pStyle w:val="19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2）大中型水体蚊虫密度控制水平：采样勺指数小于或等于5%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平均每阳性勺少于8只蚊虫幼虫和蛹</w:t>
      </w:r>
      <w:r>
        <w:rPr>
          <w:rFonts w:hint="eastAsia" w:ascii="宋体" w:hAnsi="宋体" w:eastAsia="宋体" w:cs="宋体"/>
          <w:color w:val="auto"/>
          <w:sz w:val="21"/>
          <w:szCs w:val="21"/>
          <w:highlight w:val="none"/>
          <w:lang w:eastAsia="zh-CN"/>
        </w:rPr>
        <w:t>。</w:t>
      </w:r>
    </w:p>
    <w:p>
      <w:pPr>
        <w:pStyle w:val="19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3）外环境蚊虫密度控制水平：停落指数小于或等于1.5</w:t>
      </w:r>
      <w:r>
        <w:rPr>
          <w:rFonts w:hint="eastAsia" w:ascii="宋体" w:hAnsi="宋体" w:eastAsia="宋体" w:cs="宋体"/>
          <w:color w:val="auto"/>
          <w:sz w:val="21"/>
          <w:szCs w:val="21"/>
          <w:highlight w:val="none"/>
          <w:lang w:eastAsia="zh-CN"/>
        </w:rPr>
        <w:t>。</w:t>
      </w:r>
    </w:p>
    <w:p>
      <w:pPr>
        <w:pStyle w:val="19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baseline"/>
        <w:rPr>
          <w:rFonts w:hint="eastAsia" w:hAnsi="宋体" w:eastAsia="宋体" w:cs="宋体"/>
          <w:color w:val="auto"/>
          <w:sz w:val="21"/>
          <w:szCs w:val="21"/>
          <w:highlight w:val="none"/>
        </w:rPr>
      </w:pPr>
      <w:r>
        <w:rPr>
          <w:rFonts w:hint="eastAsia" w:hAnsi="宋体" w:eastAsia="宋体" w:cs="宋体"/>
          <w:color w:val="auto"/>
          <w:sz w:val="21"/>
          <w:szCs w:val="21"/>
          <w:highlight w:val="none"/>
        </w:rPr>
        <w:t>4）对一个单独的单位进行蚊虫密度控制水平评价时</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rPr>
        <w:t>要求不得有阳性的各类积水容器和各类坑洼积水。</w:t>
      </w: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(3)灭蝇标准（蝇类控制水平）：</w:t>
      </w:r>
    </w:p>
    <w:p>
      <w:pPr>
        <w:pStyle w:val="19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baseline"/>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rPr>
        <w:t>1）生产销售直接入口食品的场所不得有蝇</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rPr>
        <w:t>室内不得存在蝇类孳生地</w:t>
      </w:r>
      <w:r>
        <w:rPr>
          <w:rFonts w:hint="eastAsia" w:hAnsi="宋体" w:eastAsia="宋体" w:cs="宋体"/>
          <w:color w:val="auto"/>
          <w:sz w:val="21"/>
          <w:szCs w:val="21"/>
          <w:highlight w:val="none"/>
          <w:lang w:eastAsia="zh-CN"/>
        </w:rPr>
        <w:t>。</w:t>
      </w:r>
    </w:p>
    <w:p>
      <w:pPr>
        <w:pStyle w:val="19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baseline"/>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rPr>
        <w:t>2）室内成蝇密度控制水平：有蝇房间阳性率小于或等于9%</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rPr>
        <w:t>阳性间蝇密度小于或等于3只/间；房间数10间以下的单位有蝇房间数为0</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rPr>
        <w:t>11间~30间的单位有蝇房间数不超过1间</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rPr>
        <w:t>31间~60间的单位有蝇房间数不超过3间</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rPr>
        <w:t>61间~100间单位有蝇房间数不超过6间。阳性间蝇密度小于或等于3只/间</w:t>
      </w:r>
      <w:r>
        <w:rPr>
          <w:rFonts w:hint="eastAsia" w:hAnsi="宋体" w:eastAsia="宋体" w:cs="宋体"/>
          <w:color w:val="auto"/>
          <w:sz w:val="21"/>
          <w:szCs w:val="21"/>
          <w:highlight w:val="none"/>
          <w:lang w:eastAsia="zh-CN"/>
        </w:rPr>
        <w:t>。</w:t>
      </w:r>
    </w:p>
    <w:p>
      <w:pPr>
        <w:pStyle w:val="19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baseline"/>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rPr>
        <w:t>3）室外蝇类孳生地密度控制水平：蝇类孳生地阳性率小于或等于5%；室内外不得有蝇类孳生地</w:t>
      </w:r>
      <w:r>
        <w:rPr>
          <w:rFonts w:hint="eastAsia" w:hAnsi="宋体" w:eastAsia="宋体" w:cs="宋体"/>
          <w:color w:val="auto"/>
          <w:sz w:val="21"/>
          <w:szCs w:val="21"/>
          <w:highlight w:val="none"/>
          <w:lang w:eastAsia="zh-CN"/>
        </w:rPr>
        <w:t>。</w:t>
      </w:r>
    </w:p>
    <w:p>
      <w:pPr>
        <w:pStyle w:val="19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baseline"/>
        <w:rPr>
          <w:rFonts w:hint="eastAsia" w:hAnsi="宋体" w:eastAsia="宋体" w:cs="宋体"/>
          <w:color w:val="auto"/>
          <w:sz w:val="21"/>
          <w:szCs w:val="21"/>
          <w:highlight w:val="none"/>
        </w:rPr>
      </w:pPr>
      <w:r>
        <w:rPr>
          <w:rFonts w:hint="eastAsia" w:hAnsi="宋体" w:eastAsia="宋体" w:cs="宋体"/>
          <w:color w:val="auto"/>
          <w:sz w:val="21"/>
          <w:szCs w:val="21"/>
          <w:highlight w:val="none"/>
        </w:rPr>
        <w:t>4）防蝇设施：防蝇设施合格率大于或等于90%；防蝇设施全部合格。</w:t>
      </w: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(4)灭蟑（蜚蠊）标准（蜚蠊密度控制水平）：</w:t>
      </w:r>
    </w:p>
    <w:p>
      <w:pPr>
        <w:pStyle w:val="19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baseline"/>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rPr>
        <w:t>1）成若虫侵害率：蜚蠊成若虫侵害率小于或等于5%</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rPr>
        <w:t>平均每阳性间(处)成若虫数小蠊小于或等于10只</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rPr>
        <w:t>大蠊小于或等于5只。房间数60间以下的单位侵害房间不超过2间</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rPr>
        <w:t>60间以上的单位侵害房间不超过3间</w:t>
      </w:r>
      <w:r>
        <w:rPr>
          <w:rFonts w:hint="eastAsia" w:hAnsi="宋体" w:eastAsia="宋体" w:cs="宋体"/>
          <w:color w:val="auto"/>
          <w:sz w:val="21"/>
          <w:szCs w:val="21"/>
          <w:highlight w:val="none"/>
          <w:lang w:eastAsia="zh-CN"/>
        </w:rPr>
        <w:t>。</w:t>
      </w:r>
    </w:p>
    <w:p>
      <w:pPr>
        <w:pStyle w:val="19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baseline"/>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rPr>
        <w:t>2）卵鞘查获率：蜚蠊卵鞘查获率小于或等于3%</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rPr>
        <w:t>平均每阳性间(处)卵鞘数小于或等于8只。房间数60间以下的单位卵鞘查获房间不超过2间</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rPr>
        <w:t>60间以上的单位卵鞘查获房间不超过3间</w:t>
      </w:r>
      <w:r>
        <w:rPr>
          <w:rFonts w:hint="eastAsia" w:hAnsi="宋体" w:eastAsia="宋体" w:cs="宋体"/>
          <w:color w:val="auto"/>
          <w:sz w:val="21"/>
          <w:szCs w:val="21"/>
          <w:highlight w:val="none"/>
          <w:lang w:eastAsia="zh-CN"/>
        </w:rPr>
        <w:t>。</w:t>
      </w:r>
    </w:p>
    <w:p>
      <w:pPr>
        <w:pStyle w:val="19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baseline"/>
        <w:rPr>
          <w:rFonts w:hint="eastAsia" w:hAnsi="宋体" w:eastAsia="宋体" w:cs="宋体"/>
          <w:color w:val="auto"/>
          <w:sz w:val="21"/>
          <w:szCs w:val="21"/>
          <w:highlight w:val="none"/>
        </w:rPr>
      </w:pPr>
      <w:r>
        <w:rPr>
          <w:rFonts w:hint="eastAsia" w:hAnsi="宋体" w:eastAsia="宋体" w:cs="宋体"/>
          <w:color w:val="auto"/>
          <w:sz w:val="21"/>
          <w:szCs w:val="21"/>
          <w:highlight w:val="none"/>
        </w:rPr>
        <w:t>3）蟑迹查获率：蟑迹查获率小于或等于7%。房间数60间以下的单位蟑迹查获房间不超过3间</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rPr>
        <w:t>60间以上的单位蟑迹查获房间不超过5间。</w:t>
      </w: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(5)重点区域的四害消杀要求达到国家卫生城市病媒生物控制标准的水平要求。</w:t>
      </w: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(6)群众满意率达90%及以上。</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Times New Roman"/>
          <w:b/>
          <w:bCs/>
          <w:color w:val="auto"/>
          <w:kern w:val="2"/>
          <w:sz w:val="21"/>
          <w:szCs w:val="21"/>
          <w:highlight w:val="none"/>
          <w:lang w:val="en-US" w:eastAsia="zh-CN" w:bidi="ar-SA"/>
        </w:rPr>
      </w:pPr>
      <w:r>
        <w:rPr>
          <w:rFonts w:hint="eastAsia" w:ascii="宋体" w:hAnsi="宋体" w:eastAsia="宋体" w:cs="Times New Roman"/>
          <w:b/>
          <w:bCs/>
          <w:color w:val="auto"/>
          <w:kern w:val="2"/>
          <w:sz w:val="21"/>
          <w:szCs w:val="21"/>
          <w:highlight w:val="none"/>
          <w:lang w:val="en-US" w:eastAsia="zh-CN" w:bidi="ar-SA"/>
        </w:rPr>
        <w:t>（三）</w:t>
      </w:r>
      <w:r>
        <w:rPr>
          <w:rFonts w:hint="eastAsia" w:ascii="宋体" w:hAnsi="宋体" w:eastAsia="宋体" w:cs="Times New Roman"/>
          <w:b/>
          <w:bCs/>
          <w:color w:val="auto"/>
          <w:sz w:val="21"/>
          <w:szCs w:val="21"/>
          <w:highlight w:val="none"/>
          <w:lang w:val="en-US" w:eastAsia="zh-CN"/>
        </w:rPr>
        <w:t>需要</w:t>
      </w:r>
      <w:r>
        <w:rPr>
          <w:rFonts w:hint="eastAsia" w:ascii="宋体" w:hAnsi="宋体" w:eastAsia="宋体" w:cs="Times New Roman"/>
          <w:b/>
          <w:bCs/>
          <w:color w:val="auto"/>
          <w:kern w:val="2"/>
          <w:sz w:val="21"/>
          <w:szCs w:val="21"/>
          <w:highlight w:val="none"/>
          <w:lang w:val="en-US" w:eastAsia="zh-CN" w:bidi="ar-SA"/>
        </w:rPr>
        <w:t>提供的服务承诺</w:t>
      </w:r>
    </w:p>
    <w:p>
      <w:pPr>
        <w:pStyle w:val="19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（1）供应商需承诺确保本项目服务保质保量。其四害密度达到国卫城市关于病媒生物的控制水平要求（具体以执行标准为准）；承诺群众满意率90%以上（每季一次）。</w:t>
      </w:r>
    </w:p>
    <w:p>
      <w:pPr>
        <w:pStyle w:val="19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（2）供应商需承诺中标签约后15天内上报以下资料：</w:t>
      </w:r>
    </w:p>
    <w:p>
      <w:pPr>
        <w:pStyle w:val="198"/>
        <w:keepNext w:val="0"/>
        <w:keepLines w:val="0"/>
        <w:pageBreakBefore w:val="0"/>
        <w:widowControl w:val="0"/>
        <w:kinsoku/>
        <w:wordWrap/>
        <w:overflowPunct/>
        <w:topLinePunct w:val="0"/>
        <w:autoSpaceDE/>
        <w:autoSpaceDN/>
        <w:bidi w:val="0"/>
        <w:adjustRightInd/>
        <w:snapToGrid/>
        <w:spacing w:line="360" w:lineRule="auto"/>
        <w:ind w:left="0" w:leftChars="0" w:firstLine="840" w:firstLineChars="4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1）驻地消杀人员和负责人具体名单、联系电话。</w:t>
      </w:r>
    </w:p>
    <w:p>
      <w:pPr>
        <w:pStyle w:val="198"/>
        <w:keepNext w:val="0"/>
        <w:keepLines w:val="0"/>
        <w:pageBreakBefore w:val="0"/>
        <w:widowControl w:val="0"/>
        <w:kinsoku/>
        <w:wordWrap/>
        <w:overflowPunct/>
        <w:topLinePunct w:val="0"/>
        <w:autoSpaceDE/>
        <w:autoSpaceDN/>
        <w:bidi w:val="0"/>
        <w:adjustRightInd/>
        <w:snapToGrid/>
        <w:spacing w:line="360" w:lineRule="auto"/>
        <w:ind w:left="0" w:leftChars="0" w:firstLine="840" w:firstLineChars="4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2）招标区域内技术方案。包括病媒生物孳生地分布、数量、特征的调查结果。</w:t>
      </w:r>
    </w:p>
    <w:p>
      <w:pPr>
        <w:pStyle w:val="198"/>
        <w:keepNext w:val="0"/>
        <w:keepLines w:val="0"/>
        <w:pageBreakBefore w:val="0"/>
        <w:widowControl w:val="0"/>
        <w:kinsoku/>
        <w:wordWrap/>
        <w:overflowPunct/>
        <w:topLinePunct w:val="0"/>
        <w:autoSpaceDE/>
        <w:autoSpaceDN/>
        <w:bidi w:val="0"/>
        <w:adjustRightInd/>
        <w:snapToGrid/>
        <w:spacing w:line="360" w:lineRule="auto"/>
        <w:ind w:left="0" w:leftChars="0" w:firstLine="840" w:firstLineChars="4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3）制定本区域详细的年度消杀工作方案。</w:t>
      </w:r>
    </w:p>
    <w:p>
      <w:pPr>
        <w:pStyle w:val="19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（3）及时上报消杀服务记录表、月工作报表及消杀药械消耗记录表。</w:t>
      </w:r>
    </w:p>
    <w:p>
      <w:pPr>
        <w:pStyle w:val="19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（4）承诺不使用国家禁用的药物，将使用药物记录备案备查。</w:t>
      </w:r>
    </w:p>
    <w:p>
      <w:pPr>
        <w:pStyle w:val="19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（5）承诺义务向服务单位提供指导宣传除四害工作。</w:t>
      </w:r>
    </w:p>
    <w:p>
      <w:pPr>
        <w:pStyle w:val="19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（6）承诺协助服务单位消杀后及时清理四害尸体。</w:t>
      </w:r>
    </w:p>
    <w:p>
      <w:pPr>
        <w:pStyle w:val="19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（7）承诺开展服务区块“四害”密度监测,并实施科学消杀。</w:t>
      </w:r>
    </w:p>
    <w:p>
      <w:pPr>
        <w:pStyle w:val="19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（8）承诺同意招标文件规定的付款方式。</w:t>
      </w:r>
    </w:p>
    <w:p>
      <w:pPr>
        <w:pStyle w:val="19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（9）保证履行招标文件中规定的各项协议条款。</w:t>
      </w:r>
    </w:p>
    <w:p>
      <w:pPr>
        <w:pStyle w:val="19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（10）承诺接受各级爱卫办的监督、监测、指导。</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（四）人员工作要求</w:t>
      </w:r>
    </w:p>
    <w:p>
      <w:pPr>
        <w:pStyle w:val="19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针对本项目投入人员需按照规定统一着装，服装上公司标识明显，上装须有安全反光标志，佩戴工作帽；严格遵守除四害技术操作规程，文明作业，并填写除四害服务记录卡作为每次服务的凭证。（由中标人根据情况拟定除四害服务记录卡）</w:t>
      </w:r>
    </w:p>
    <w:p>
      <w:pPr>
        <w:pStyle w:val="19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baseline"/>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中标人每月定期向甲方上报每月消杀进度记录、消杀药械消耗记录、下月消杀方案和除四害器械设置地点平面图等资料；及时向采购人上报年度消杀方案及季度、半年度、年度小结；及时向采购人上报高峰期及突发性四害消杀方案和小结。</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bCs/>
          <w:color w:val="auto"/>
          <w:highlight w:val="none"/>
          <w:lang w:val="en-US" w:eastAsia="zh-CN"/>
        </w:rPr>
      </w:pPr>
      <w:r>
        <w:rPr>
          <w:rFonts w:hint="eastAsia"/>
          <w:b/>
          <w:bCs/>
          <w:color w:val="auto"/>
          <w:highlight w:val="none"/>
          <w:lang w:val="en-US" w:eastAsia="zh-CN"/>
        </w:rPr>
        <w:t>三、投标要求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b/>
          <w:bCs/>
          <w:color w:val="auto"/>
          <w:highlight w:val="none"/>
          <w:lang w:eastAsia="zh-CN"/>
        </w:rPr>
      </w:pPr>
      <w:r>
        <w:rPr>
          <w:rFonts w:hint="default"/>
          <w:b w:val="0"/>
          <w:bCs w:val="0"/>
          <w:color w:val="auto"/>
          <w:highlight w:val="none"/>
          <w:lang w:val="en-US" w:eastAsia="zh-CN"/>
        </w:rPr>
        <w:t>根据招标文件的</w:t>
      </w:r>
      <w:r>
        <w:rPr>
          <w:rFonts w:hint="eastAsia"/>
          <w:b w:val="0"/>
          <w:bCs w:val="0"/>
          <w:color w:val="auto"/>
          <w:highlight w:val="none"/>
          <w:lang w:val="en-US" w:eastAsia="zh-CN"/>
        </w:rPr>
        <w:t>项目</w:t>
      </w:r>
      <w:r>
        <w:rPr>
          <w:rFonts w:hint="default"/>
          <w:b w:val="0"/>
          <w:bCs w:val="0"/>
          <w:color w:val="auto"/>
          <w:highlight w:val="none"/>
          <w:lang w:val="en-US" w:eastAsia="zh-CN"/>
        </w:rPr>
        <w:t>要求，请各供应商</w:t>
      </w:r>
      <w:r>
        <w:rPr>
          <w:rFonts w:hint="eastAsia"/>
          <w:b w:val="0"/>
          <w:bCs w:val="0"/>
          <w:color w:val="auto"/>
          <w:highlight w:val="none"/>
          <w:lang w:val="en-US" w:eastAsia="zh-CN"/>
        </w:rPr>
        <w:t>根据项目特点</w:t>
      </w:r>
      <w:r>
        <w:rPr>
          <w:rFonts w:hint="default"/>
          <w:b w:val="0"/>
          <w:bCs w:val="0"/>
          <w:color w:val="auto"/>
          <w:highlight w:val="none"/>
          <w:lang w:val="en-US" w:eastAsia="zh-CN"/>
        </w:rPr>
        <w:t>自行提供相应的</w:t>
      </w:r>
      <w:r>
        <w:rPr>
          <w:rFonts w:hint="eastAsia"/>
          <w:b w:val="0"/>
          <w:bCs w:val="0"/>
          <w:color w:val="auto"/>
          <w:highlight w:val="none"/>
          <w:lang w:val="en-US" w:eastAsia="zh-CN"/>
        </w:rPr>
        <w:t>项目</w:t>
      </w:r>
      <w:r>
        <w:rPr>
          <w:rFonts w:hint="eastAsia" w:ascii="宋体" w:hAnsi="宋体" w:eastAsia="宋体" w:cs="宋体"/>
          <w:color w:val="auto"/>
          <w:kern w:val="2"/>
          <w:sz w:val="21"/>
          <w:szCs w:val="21"/>
          <w:highlight w:val="none"/>
        </w:rPr>
        <w:t>实施方案</w:t>
      </w:r>
      <w:r>
        <w:rPr>
          <w:rFonts w:hint="default"/>
          <w:b w:val="0"/>
          <w:bCs w:val="0"/>
          <w:color w:val="auto"/>
          <w:highlight w:val="none"/>
          <w:lang w:val="en-US" w:eastAsia="zh-CN"/>
        </w:rPr>
        <w:t>、</w:t>
      </w:r>
      <w:r>
        <w:rPr>
          <w:rFonts w:hint="eastAsia"/>
          <w:b w:val="0"/>
          <w:bCs w:val="0"/>
          <w:color w:val="auto"/>
          <w:highlight w:val="none"/>
          <w:lang w:val="en-US" w:eastAsia="zh-CN"/>
        </w:rPr>
        <w:t>对本项目</w:t>
      </w:r>
      <w:r>
        <w:rPr>
          <w:rFonts w:hint="eastAsia" w:ascii="宋体" w:hAnsi="宋体" w:eastAsia="宋体" w:cs="宋体"/>
          <w:color w:val="auto"/>
          <w:kern w:val="2"/>
          <w:sz w:val="21"/>
          <w:szCs w:val="21"/>
          <w:highlight w:val="none"/>
          <w:lang w:val="en-US" w:eastAsia="zh-CN"/>
        </w:rPr>
        <w:t>现状进行分析、列明拟投入的</w:t>
      </w:r>
      <w:r>
        <w:rPr>
          <w:rFonts w:hint="default"/>
          <w:b w:val="0"/>
          <w:bCs w:val="0"/>
          <w:color w:val="auto"/>
          <w:highlight w:val="none"/>
          <w:lang w:val="en-US" w:eastAsia="zh-CN"/>
        </w:rPr>
        <w:t>消杀人员配备</w:t>
      </w:r>
      <w:r>
        <w:rPr>
          <w:rFonts w:hint="eastAsia"/>
          <w:b w:val="0"/>
          <w:bCs w:val="0"/>
          <w:color w:val="auto"/>
          <w:highlight w:val="none"/>
          <w:lang w:val="en-US" w:eastAsia="zh-CN"/>
        </w:rPr>
        <w:t>情况、明确拟投入</w:t>
      </w:r>
      <w:r>
        <w:rPr>
          <w:rFonts w:hint="eastAsia" w:ascii="宋体" w:hAnsi="宋体" w:eastAsia="宋体" w:cs="宋体"/>
          <w:color w:val="auto"/>
          <w:kern w:val="2"/>
          <w:sz w:val="21"/>
          <w:szCs w:val="21"/>
          <w:highlight w:val="none"/>
        </w:rPr>
        <w:t>设备配置</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制定完善的应急预案、制定科学合理的</w:t>
      </w:r>
      <w:r>
        <w:rPr>
          <w:rFonts w:hint="eastAsia" w:ascii="宋体" w:hAnsi="宋体" w:eastAsia="宋体" w:cs="宋体"/>
          <w:color w:val="auto"/>
          <w:kern w:val="2"/>
          <w:sz w:val="21"/>
          <w:szCs w:val="21"/>
          <w:highlight w:val="none"/>
        </w:rPr>
        <w:t>药物中毒预防及处理方案</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提供</w:t>
      </w:r>
      <w:r>
        <w:rPr>
          <w:rFonts w:hint="eastAsia" w:ascii="宋体" w:hAnsi="宋体" w:eastAsia="宋体" w:cs="宋体"/>
          <w:color w:val="auto"/>
          <w:kern w:val="2"/>
          <w:sz w:val="21"/>
          <w:szCs w:val="21"/>
          <w:highlight w:val="none"/>
        </w:rPr>
        <w:t>除“四害”宣传计划</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合理化建议</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编制体现针对本项目</w:t>
      </w:r>
      <w:r>
        <w:rPr>
          <w:rFonts w:hint="eastAsia" w:ascii="宋体" w:hAnsi="宋体" w:eastAsia="宋体" w:cs="宋体"/>
          <w:color w:val="auto"/>
          <w:kern w:val="2"/>
          <w:sz w:val="21"/>
          <w:szCs w:val="21"/>
          <w:highlight w:val="none"/>
        </w:rPr>
        <w:t>服务能力</w:t>
      </w:r>
      <w:r>
        <w:rPr>
          <w:rFonts w:hint="eastAsia" w:ascii="宋体" w:hAnsi="宋体" w:eastAsia="宋体" w:cs="宋体"/>
          <w:color w:val="auto"/>
          <w:kern w:val="2"/>
          <w:sz w:val="21"/>
          <w:szCs w:val="21"/>
          <w:highlight w:val="none"/>
          <w:lang w:eastAsia="zh-CN"/>
        </w:rPr>
        <w:t>的</w:t>
      </w:r>
      <w:r>
        <w:rPr>
          <w:rFonts w:hint="eastAsia" w:ascii="宋体" w:hAnsi="宋体" w:eastAsia="宋体" w:cs="宋体"/>
          <w:color w:val="auto"/>
          <w:kern w:val="2"/>
          <w:sz w:val="21"/>
          <w:szCs w:val="21"/>
          <w:highlight w:val="none"/>
          <w:lang w:val="en-US" w:eastAsia="zh-CN"/>
        </w:rPr>
        <w:t>说明、提供服务便捷性的相关方案；提供履约能力、业绩、政策加分的相关证明材料。</w:t>
      </w:r>
    </w:p>
    <w:p>
      <w:pPr>
        <w:pageBreakBefore w:val="0"/>
        <w:kinsoku/>
        <w:overflowPunct/>
        <w:topLinePunct w:val="0"/>
        <w:autoSpaceDE/>
        <w:bidi w:val="0"/>
        <w:jc w:val="left"/>
        <w:textAlignment w:val="auto"/>
        <w:outlineLvl w:val="9"/>
        <w:rPr>
          <w:rFonts w:hint="eastAsia" w:ascii="宋体" w:hAnsi="宋体" w:eastAsia="宋体" w:cs="Times New Roman"/>
          <w:b/>
          <w:color w:val="auto"/>
          <w:sz w:val="30"/>
          <w:szCs w:val="30"/>
          <w:highlight w:val="none"/>
        </w:rPr>
      </w:pPr>
      <w:r>
        <w:rPr>
          <w:rFonts w:hint="eastAsia" w:ascii="Times New Roman" w:hAnsi="Times New Roman" w:eastAsia="宋体" w:cs="Times New Roman"/>
          <w:b/>
          <w:bCs/>
          <w:color w:val="auto"/>
          <w:sz w:val="30"/>
          <w:szCs w:val="30"/>
          <w:highlight w:val="none"/>
          <w:lang w:eastAsia="zh-CN"/>
        </w:rPr>
        <w:br w:type="page"/>
      </w:r>
      <w:r>
        <w:rPr>
          <w:rFonts w:hint="eastAsia" w:ascii="Times New Roman" w:hAnsi="Times New Roman" w:eastAsia="宋体" w:cs="Times New Roman"/>
          <w:b/>
          <w:bCs/>
          <w:color w:val="auto"/>
          <w:sz w:val="30"/>
          <w:szCs w:val="30"/>
          <w:highlight w:val="none"/>
          <w:lang w:eastAsia="zh-CN"/>
        </w:rPr>
        <w:t>附件：考核细则</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kern w:val="0"/>
          <w:sz w:val="30"/>
          <w:szCs w:val="30"/>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宁海县西店镇</w:t>
      </w:r>
      <w:r>
        <w:rPr>
          <w:rFonts w:hint="eastAsia" w:ascii="宋体" w:hAnsi="宋体" w:eastAsia="宋体" w:cs="宋体"/>
          <w:b/>
          <w:bCs/>
          <w:color w:val="auto"/>
          <w:kern w:val="0"/>
          <w:sz w:val="30"/>
          <w:szCs w:val="30"/>
          <w:highlight w:val="none"/>
          <w:lang w:eastAsia="zh-CN"/>
        </w:rPr>
        <w:t>区域</w:t>
      </w:r>
      <w:r>
        <w:rPr>
          <w:rFonts w:hint="eastAsia" w:ascii="宋体" w:hAnsi="宋体" w:eastAsia="宋体" w:cs="宋体"/>
          <w:b/>
          <w:bCs/>
          <w:color w:val="auto"/>
          <w:kern w:val="0"/>
          <w:sz w:val="30"/>
          <w:szCs w:val="30"/>
          <w:highlight w:val="none"/>
        </w:rPr>
        <w:t>病媒生物防制考核细则</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为不断加宁海县西店镇病媒生物防制工作,进一步落实日常考核指导机制,根据合同有关要求，特制定</w:t>
      </w:r>
      <w:r>
        <w:rPr>
          <w:rFonts w:hint="eastAsia" w:ascii="宋体" w:hAnsi="宋体" w:eastAsia="宋体" w:cs="Times New Roman"/>
          <w:color w:val="auto"/>
          <w:sz w:val="24"/>
          <w:szCs w:val="24"/>
          <w:highlight w:val="none"/>
          <w:lang w:eastAsia="zh-CN"/>
        </w:rPr>
        <w:t>宁海县西店镇区域</w:t>
      </w:r>
      <w:r>
        <w:rPr>
          <w:rFonts w:hint="eastAsia" w:ascii="宋体" w:hAnsi="宋体" w:eastAsia="宋体" w:cs="Times New Roman"/>
          <w:color w:val="auto"/>
          <w:sz w:val="24"/>
          <w:szCs w:val="24"/>
          <w:highlight w:val="none"/>
        </w:rPr>
        <w:t>病媒防制考核细则。</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1、日常考核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每个承包年度考核核算一次。考核总分设置为100分，95分</w:t>
      </w:r>
      <w:r>
        <w:rPr>
          <w:rFonts w:hint="eastAsia" w:ascii="宋体" w:hAnsi="宋体" w:eastAsia="宋体" w:cs="Times New Roman"/>
          <w:color w:val="auto"/>
          <w:sz w:val="24"/>
          <w:szCs w:val="24"/>
          <w:highlight w:val="none"/>
          <w:lang w:eastAsia="zh-CN"/>
        </w:rPr>
        <w:t>（含）</w:t>
      </w:r>
      <w:r>
        <w:rPr>
          <w:rFonts w:hint="eastAsia" w:ascii="宋体" w:hAnsi="宋体" w:eastAsia="宋体" w:cs="Times New Roman"/>
          <w:color w:val="auto"/>
          <w:sz w:val="24"/>
          <w:szCs w:val="24"/>
          <w:highlight w:val="none"/>
        </w:rPr>
        <w:t>以上为合格，不扣款，95</w:t>
      </w:r>
      <w:r>
        <w:rPr>
          <w:rFonts w:hint="eastAsia" w:ascii="宋体" w:hAnsi="宋体" w:cs="Times New Roman"/>
          <w:color w:val="auto"/>
          <w:sz w:val="24"/>
          <w:szCs w:val="24"/>
          <w:highlight w:val="none"/>
          <w:lang w:eastAsia="zh-CN"/>
        </w:rPr>
        <w:t>分</w:t>
      </w:r>
      <w:r>
        <w:rPr>
          <w:rFonts w:hint="eastAsia" w:ascii="宋体" w:hAnsi="宋体" w:eastAsia="宋体" w:cs="Times New Roman"/>
          <w:color w:val="auto"/>
          <w:sz w:val="24"/>
          <w:szCs w:val="24"/>
          <w:highlight w:val="none"/>
        </w:rPr>
        <w:t>以下每分扣200元，90分</w:t>
      </w:r>
      <w:r>
        <w:rPr>
          <w:rFonts w:hint="eastAsia" w:ascii="宋体" w:hAnsi="宋体" w:eastAsia="宋体" w:cs="Times New Roman"/>
          <w:color w:val="auto"/>
          <w:sz w:val="24"/>
          <w:szCs w:val="24"/>
          <w:highlight w:val="none"/>
          <w:lang w:eastAsia="zh-CN"/>
        </w:rPr>
        <w:t>（不含）</w:t>
      </w:r>
      <w:r>
        <w:rPr>
          <w:rFonts w:hint="eastAsia" w:ascii="宋体" w:hAnsi="宋体" w:eastAsia="宋体" w:cs="Times New Roman"/>
          <w:color w:val="auto"/>
          <w:sz w:val="24"/>
          <w:szCs w:val="24"/>
          <w:highlight w:val="none"/>
        </w:rPr>
        <w:t>以下每分扣除300元，85分</w:t>
      </w:r>
      <w:r>
        <w:rPr>
          <w:rFonts w:hint="eastAsia" w:ascii="宋体" w:hAnsi="宋体" w:eastAsia="宋体" w:cs="Times New Roman"/>
          <w:color w:val="auto"/>
          <w:sz w:val="24"/>
          <w:szCs w:val="24"/>
          <w:highlight w:val="none"/>
          <w:lang w:eastAsia="zh-CN"/>
        </w:rPr>
        <w:t>（不含）</w:t>
      </w:r>
      <w:r>
        <w:rPr>
          <w:rFonts w:hint="eastAsia" w:ascii="宋体" w:hAnsi="宋体" w:eastAsia="宋体" w:cs="Times New Roman"/>
          <w:color w:val="auto"/>
          <w:sz w:val="24"/>
          <w:szCs w:val="24"/>
          <w:highlight w:val="none"/>
        </w:rPr>
        <w:t>以下每分扣除500元，80分</w:t>
      </w:r>
      <w:r>
        <w:rPr>
          <w:rFonts w:hint="eastAsia" w:ascii="宋体" w:hAnsi="宋体" w:eastAsia="宋体" w:cs="Times New Roman"/>
          <w:color w:val="auto"/>
          <w:sz w:val="24"/>
          <w:szCs w:val="24"/>
          <w:highlight w:val="none"/>
          <w:lang w:eastAsia="zh-CN"/>
        </w:rPr>
        <w:t>（不含）</w:t>
      </w:r>
      <w:r>
        <w:rPr>
          <w:rFonts w:hint="eastAsia" w:ascii="宋体" w:hAnsi="宋体" w:eastAsia="宋体" w:cs="Times New Roman"/>
          <w:color w:val="auto"/>
          <w:sz w:val="24"/>
          <w:szCs w:val="24"/>
          <w:highlight w:val="none"/>
        </w:rPr>
        <w:t>以下每分扣除1000元，扣款不分段，按得分最低标准扣除。</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outlineLvl w:val="9"/>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（1）依据技术标内容对日常消杀工作进行积累考核，消杀回执由</w:t>
      </w:r>
      <w:r>
        <w:rPr>
          <w:rFonts w:hint="eastAsia" w:ascii="宋体" w:hAnsi="宋体" w:eastAsia="宋体" w:cs="Times New Roman"/>
          <w:color w:val="auto"/>
          <w:sz w:val="24"/>
          <w:szCs w:val="24"/>
          <w:highlight w:val="none"/>
          <w:lang w:eastAsia="zh-CN"/>
        </w:rPr>
        <w:t>西店镇</w:t>
      </w:r>
      <w:r>
        <w:rPr>
          <w:rFonts w:hint="eastAsia" w:ascii="宋体" w:hAnsi="宋体" w:eastAsia="宋体" w:cs="Times New Roman"/>
          <w:color w:val="auto"/>
          <w:sz w:val="24"/>
          <w:szCs w:val="24"/>
          <w:highlight w:val="none"/>
        </w:rPr>
        <w:t>进行定点、定人，消杀公司对相关区域进行消杀之前与相关人员进行衔接，并在消杀结束确认后当场签字，未按规定执行的每次每地扣1分；</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outlineLvl w:val="9"/>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eastAsia="zh-CN"/>
        </w:rPr>
        <w:t>西店镇</w:t>
      </w:r>
      <w:r>
        <w:rPr>
          <w:rFonts w:hint="eastAsia" w:ascii="宋体" w:hAnsi="宋体" w:eastAsia="宋体" w:cs="Times New Roman"/>
          <w:color w:val="auto"/>
          <w:sz w:val="24"/>
          <w:szCs w:val="24"/>
          <w:highlight w:val="none"/>
        </w:rPr>
        <w:t>每月对区域内消杀情况进行检查，检查出存在问题的按照每个社区（村）每次每地扣1分，未按要求整改的按照每个社区（村）每次每地扣2分；</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outlineLvl w:val="9"/>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lang w:eastAsia="zh-CN"/>
        </w:rPr>
        <w:t>西店镇</w:t>
      </w:r>
      <w:r>
        <w:rPr>
          <w:rFonts w:hint="eastAsia" w:ascii="宋体" w:hAnsi="宋体" w:eastAsia="宋体" w:cs="Times New Roman"/>
          <w:color w:val="auto"/>
          <w:sz w:val="24"/>
          <w:szCs w:val="24"/>
          <w:highlight w:val="none"/>
        </w:rPr>
        <w:t>每年对消杀公司服务情况进行居民调查，满意度未达到</w:t>
      </w:r>
      <w:r>
        <w:rPr>
          <w:rFonts w:hint="eastAsia" w:ascii="宋体" w:hAnsi="宋体" w:eastAsia="宋体" w:cs="Times New Roman"/>
          <w:color w:val="auto"/>
          <w:sz w:val="24"/>
          <w:szCs w:val="24"/>
          <w:highlight w:val="none"/>
          <w:lang w:val="en-US" w:eastAsia="zh-CN"/>
        </w:rPr>
        <w:t>90</w:t>
      </w:r>
      <w:r>
        <w:rPr>
          <w:rFonts w:hint="eastAsia" w:ascii="宋体" w:hAnsi="宋体" w:eastAsia="宋体" w:cs="Times New Roman"/>
          <w:color w:val="auto"/>
          <w:sz w:val="24"/>
          <w:szCs w:val="24"/>
          <w:highlight w:val="none"/>
        </w:rPr>
        <w:t>%的扣10分。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2、专项考核</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outlineLvl w:val="9"/>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市、</w:t>
      </w:r>
      <w:r>
        <w:rPr>
          <w:rFonts w:hint="eastAsia" w:ascii="宋体" w:hAnsi="宋体" w:eastAsia="宋体" w:cs="Times New Roman"/>
          <w:color w:val="auto"/>
          <w:sz w:val="24"/>
          <w:szCs w:val="24"/>
          <w:highlight w:val="none"/>
          <w:lang w:eastAsia="zh-CN"/>
        </w:rPr>
        <w:t>县</w:t>
      </w:r>
      <w:r>
        <w:rPr>
          <w:rFonts w:hint="eastAsia" w:ascii="宋体" w:hAnsi="宋体" w:eastAsia="宋体" w:cs="Times New Roman"/>
          <w:color w:val="auto"/>
          <w:sz w:val="24"/>
          <w:szCs w:val="24"/>
          <w:highlight w:val="none"/>
        </w:rPr>
        <w:t>每年春季、夏季和秋季按照文件要求开展专项检查，针对卫生城市、卫生</w:t>
      </w:r>
      <w:r>
        <w:rPr>
          <w:rFonts w:hint="eastAsia" w:ascii="宋体" w:hAnsi="宋体" w:cs="Times New Roman"/>
          <w:color w:val="auto"/>
          <w:sz w:val="24"/>
          <w:szCs w:val="24"/>
          <w:highlight w:val="none"/>
          <w:lang w:eastAsia="zh-CN"/>
        </w:rPr>
        <w:t>镇</w:t>
      </w:r>
      <w:r>
        <w:rPr>
          <w:rFonts w:hint="eastAsia" w:ascii="宋体" w:hAnsi="宋体" w:eastAsia="宋体" w:cs="Times New Roman"/>
          <w:color w:val="auto"/>
          <w:sz w:val="24"/>
          <w:szCs w:val="24"/>
          <w:highlight w:val="none"/>
        </w:rPr>
        <w:t>和四害达标复评过程中，除四害工作的开展时间、要求按相应要求开展，并进行针对性检查时，被市、</w:t>
      </w:r>
      <w:r>
        <w:rPr>
          <w:rFonts w:hint="eastAsia" w:ascii="宋体" w:hAnsi="宋体" w:eastAsia="宋体" w:cs="Times New Roman"/>
          <w:color w:val="auto"/>
          <w:sz w:val="24"/>
          <w:szCs w:val="24"/>
          <w:highlight w:val="none"/>
          <w:lang w:eastAsia="zh-CN"/>
        </w:rPr>
        <w:t>县</w:t>
      </w:r>
      <w:r>
        <w:rPr>
          <w:rFonts w:hint="eastAsia" w:ascii="宋体" w:hAnsi="宋体" w:eastAsia="宋体" w:cs="Times New Roman"/>
          <w:color w:val="auto"/>
          <w:sz w:val="24"/>
          <w:szCs w:val="24"/>
          <w:highlight w:val="none"/>
        </w:rPr>
        <w:t>检查存在的问题，</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outlineLvl w:val="9"/>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）被</w:t>
      </w:r>
      <w:r>
        <w:rPr>
          <w:rFonts w:hint="eastAsia" w:ascii="宋体" w:hAnsi="宋体" w:eastAsia="宋体" w:cs="Times New Roman"/>
          <w:color w:val="auto"/>
          <w:sz w:val="24"/>
          <w:szCs w:val="24"/>
          <w:highlight w:val="none"/>
          <w:lang w:eastAsia="zh-CN"/>
        </w:rPr>
        <w:t>县</w:t>
      </w:r>
      <w:r>
        <w:rPr>
          <w:rFonts w:hint="eastAsia" w:ascii="宋体" w:hAnsi="宋体" w:eastAsia="宋体" w:cs="Times New Roman"/>
          <w:color w:val="auto"/>
          <w:sz w:val="24"/>
          <w:szCs w:val="24"/>
          <w:highlight w:val="none"/>
        </w:rPr>
        <w:t>级有关部门检查出问题，第一次被下发整改通知书，西店镇立即要求限期整改，</w:t>
      </w:r>
      <w:r>
        <w:rPr>
          <w:rFonts w:hint="eastAsia" w:ascii="宋体" w:hAnsi="宋体" w:cs="Times New Roman"/>
          <w:color w:val="auto"/>
          <w:sz w:val="24"/>
          <w:szCs w:val="24"/>
          <w:highlight w:val="none"/>
          <w:lang w:eastAsia="zh-CN"/>
        </w:rPr>
        <w:t>单次处以违约金</w:t>
      </w:r>
      <w:r>
        <w:rPr>
          <w:rFonts w:hint="eastAsia" w:ascii="宋体" w:hAnsi="宋体" w:cs="Times New Roman"/>
          <w:color w:val="auto"/>
          <w:sz w:val="24"/>
          <w:szCs w:val="24"/>
          <w:highlight w:val="none"/>
          <w:lang w:val="en-US" w:eastAsia="zh-CN"/>
        </w:rPr>
        <w:t>5000元</w:t>
      </w:r>
      <w:r>
        <w:rPr>
          <w:rFonts w:hint="eastAsia" w:ascii="宋体" w:hAnsi="宋体" w:eastAsia="宋体" w:cs="Times New Roman"/>
          <w:color w:val="auto"/>
          <w:sz w:val="24"/>
          <w:szCs w:val="24"/>
          <w:highlight w:val="none"/>
        </w:rPr>
        <w:t>；同一家消杀公司在同一区域第二次被下发整改通知书时，限期整改后，没收</w:t>
      </w:r>
      <w:r>
        <w:rPr>
          <w:rFonts w:hint="eastAsia" w:ascii="宋体" w:hAnsi="宋体" w:eastAsia="宋体" w:cs="Times New Roman"/>
          <w:color w:val="auto"/>
          <w:sz w:val="24"/>
          <w:szCs w:val="24"/>
          <w:highlight w:val="none"/>
          <w:lang w:eastAsia="zh-CN"/>
        </w:rPr>
        <w:t>履约</w:t>
      </w:r>
      <w:r>
        <w:rPr>
          <w:rFonts w:hint="eastAsia" w:ascii="宋体" w:hAnsi="宋体" w:eastAsia="宋体" w:cs="Times New Roman"/>
          <w:color w:val="auto"/>
          <w:sz w:val="24"/>
          <w:szCs w:val="24"/>
          <w:highlight w:val="none"/>
        </w:rPr>
        <w:t>保证金，并终止合同。</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3、考核标准的直接扣款项</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outlineLvl w:val="9"/>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县</w:t>
      </w:r>
      <w:r>
        <w:rPr>
          <w:rFonts w:hint="eastAsia" w:ascii="宋体" w:hAnsi="宋体" w:eastAsia="宋体" w:cs="Times New Roman"/>
          <w:color w:val="auto"/>
          <w:sz w:val="24"/>
          <w:szCs w:val="24"/>
          <w:highlight w:val="none"/>
          <w:lang w:val="en-US" w:eastAsia="zh-CN"/>
        </w:rPr>
        <w:t>级渠道通报（含</w:t>
      </w:r>
      <w:r>
        <w:rPr>
          <w:rFonts w:hint="eastAsia" w:ascii="宋体" w:hAnsi="宋体" w:cs="Times New Roman"/>
          <w:color w:val="auto"/>
          <w:sz w:val="24"/>
          <w:szCs w:val="24"/>
          <w:highlight w:val="none"/>
          <w:lang w:val="en-US" w:eastAsia="zh-CN"/>
        </w:rPr>
        <w:t>县</w:t>
      </w:r>
      <w:r>
        <w:rPr>
          <w:rFonts w:hint="eastAsia" w:ascii="宋体" w:hAnsi="宋体" w:eastAsia="宋体" w:cs="Times New Roman"/>
          <w:color w:val="auto"/>
          <w:sz w:val="24"/>
          <w:szCs w:val="24"/>
          <w:highlight w:val="none"/>
          <w:lang w:val="en-US" w:eastAsia="zh-CN"/>
        </w:rPr>
        <w:t>委、县领导督办件、县长信箱等）以及群众举报或媒体曝光问题</w:t>
      </w:r>
      <w:r>
        <w:rPr>
          <w:rFonts w:hint="eastAsia" w:ascii="宋体" w:hAnsi="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上级通报、督办件</w:t>
      </w:r>
      <w:r>
        <w:rPr>
          <w:rFonts w:hint="eastAsia" w:ascii="宋体" w:hAnsi="宋体" w:cs="Times New Roman"/>
          <w:color w:val="auto"/>
          <w:sz w:val="24"/>
          <w:szCs w:val="24"/>
          <w:highlight w:val="none"/>
          <w:lang w:val="en-US" w:eastAsia="zh-CN"/>
        </w:rPr>
        <w:t>等</w:t>
      </w:r>
      <w:r>
        <w:rPr>
          <w:rFonts w:hint="eastAsia" w:ascii="宋体" w:hAnsi="宋体" w:eastAsia="宋体" w:cs="Times New Roman"/>
          <w:color w:val="auto"/>
          <w:sz w:val="24"/>
          <w:szCs w:val="24"/>
          <w:highlight w:val="none"/>
          <w:lang w:val="en-US" w:eastAsia="zh-CN"/>
        </w:rPr>
        <w:t>问题督办不力，或因主观原因催办迟迟未响应</w:t>
      </w:r>
      <w:r>
        <w:rPr>
          <w:rFonts w:hint="eastAsia" w:ascii="宋体" w:hAnsi="宋体" w:cs="Times New Roman"/>
          <w:color w:val="auto"/>
          <w:sz w:val="24"/>
          <w:szCs w:val="24"/>
          <w:highlight w:val="none"/>
          <w:lang w:val="en-US" w:eastAsia="zh-CN"/>
        </w:rPr>
        <w:t>。经确认，确由中标人原因所导致的，每发生一次扣3000元。</w:t>
      </w:r>
    </w:p>
    <w:p>
      <w:pPr>
        <w:pageBreakBefore w:val="0"/>
        <w:kinsoku/>
        <w:overflowPunct/>
        <w:topLinePunct w:val="0"/>
        <w:autoSpaceDE/>
        <w:bidi w:val="0"/>
        <w:textAlignment w:val="auto"/>
        <w:outlineLvl w:val="9"/>
        <w:rPr>
          <w:rFonts w:hint="eastAsia" w:ascii="Times New Roman" w:hAnsi="Times New Roman" w:eastAsia="宋体" w:cs="Times New Roman"/>
          <w:color w:val="auto"/>
          <w:highlight w:val="none"/>
        </w:rPr>
      </w:pPr>
    </w:p>
    <w:p>
      <w:pPr>
        <w:pageBreakBefore w:val="0"/>
        <w:kinsoku/>
        <w:overflowPunct/>
        <w:topLinePunct w:val="0"/>
        <w:autoSpaceDE/>
        <w:bidi w:val="0"/>
        <w:textAlignment w:val="auto"/>
        <w:outlineLvl w:val="9"/>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br w:type="page"/>
      </w:r>
    </w:p>
    <w:tbl>
      <w:tblPr>
        <w:tblStyle w:val="46"/>
        <w:tblW w:w="0" w:type="auto"/>
        <w:tblInd w:w="93" w:type="dxa"/>
        <w:tblLayout w:type="fixed"/>
        <w:tblCellMar>
          <w:top w:w="0" w:type="dxa"/>
          <w:left w:w="108" w:type="dxa"/>
          <w:bottom w:w="0" w:type="dxa"/>
          <w:right w:w="108" w:type="dxa"/>
        </w:tblCellMar>
      </w:tblPr>
      <w:tblGrid>
        <w:gridCol w:w="1537"/>
        <w:gridCol w:w="1178"/>
        <w:gridCol w:w="1119"/>
        <w:gridCol w:w="2503"/>
        <w:gridCol w:w="1238"/>
        <w:gridCol w:w="1087"/>
      </w:tblGrid>
      <w:tr>
        <w:tblPrEx>
          <w:tblCellMar>
            <w:top w:w="0" w:type="dxa"/>
            <w:left w:w="108" w:type="dxa"/>
            <w:bottom w:w="0" w:type="dxa"/>
            <w:right w:w="108" w:type="dxa"/>
          </w:tblCellMar>
        </w:tblPrEx>
        <w:trPr>
          <w:trHeight w:val="435" w:hRule="atLeast"/>
        </w:trPr>
        <w:tc>
          <w:tcPr>
            <w:tcW w:w="8662" w:type="dxa"/>
            <w:gridSpan w:val="6"/>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宁海县西店镇</w:t>
            </w:r>
            <w:r>
              <w:rPr>
                <w:rFonts w:hint="eastAsia" w:ascii="宋体" w:hAnsi="宋体" w:eastAsia="宋体" w:cs="宋体"/>
                <w:b/>
                <w:bCs/>
                <w:color w:val="auto"/>
                <w:kern w:val="0"/>
                <w:sz w:val="30"/>
                <w:szCs w:val="30"/>
                <w:highlight w:val="none"/>
                <w:lang w:eastAsia="zh-CN"/>
              </w:rPr>
              <w:t>区域</w:t>
            </w:r>
            <w:r>
              <w:rPr>
                <w:rFonts w:hint="eastAsia" w:ascii="宋体" w:hAnsi="宋体" w:eastAsia="宋体" w:cs="宋体"/>
                <w:b/>
                <w:bCs/>
                <w:color w:val="auto"/>
                <w:kern w:val="0"/>
                <w:sz w:val="30"/>
                <w:szCs w:val="30"/>
                <w:highlight w:val="none"/>
              </w:rPr>
              <w:t>病媒生物防制考核评分表</w:t>
            </w:r>
          </w:p>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hint="eastAsia" w:ascii="宋体" w:hAnsi="宋体" w:eastAsia="宋体" w:cs="宋体"/>
                <w:color w:val="auto"/>
                <w:kern w:val="0"/>
                <w:sz w:val="20"/>
                <w:szCs w:val="20"/>
                <w:highlight w:val="none"/>
              </w:rPr>
            </w:pPr>
          </w:p>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hint="eastAsia" w:ascii="宋体" w:hAnsi="宋体" w:eastAsia="宋体" w:cs="宋体"/>
                <w:b/>
                <w:bCs/>
                <w:color w:val="auto"/>
                <w:kern w:val="0"/>
                <w:sz w:val="24"/>
                <w:highlight w:val="none"/>
              </w:rPr>
            </w:pPr>
            <w:r>
              <w:rPr>
                <w:rFonts w:hint="eastAsia" w:ascii="宋体" w:hAnsi="宋体" w:eastAsia="宋体" w:cs="宋体"/>
                <w:color w:val="auto"/>
                <w:kern w:val="0"/>
                <w:sz w:val="20"/>
                <w:szCs w:val="20"/>
                <w:highlight w:val="none"/>
              </w:rPr>
              <w:t xml:space="preserve">                                      </w:t>
            </w:r>
            <w:r>
              <w:rPr>
                <w:rFonts w:hint="eastAsia" w:ascii="宋体" w:hAnsi="宋体" w:eastAsia="宋体" w:cs="宋体"/>
                <w:b/>
                <w:color w:val="auto"/>
                <w:kern w:val="0"/>
                <w:sz w:val="20"/>
                <w:szCs w:val="20"/>
                <w:highlight w:val="none"/>
              </w:rPr>
              <w:t>考核日期：         年        月</w:t>
            </w:r>
            <w:r>
              <w:rPr>
                <w:rFonts w:hint="eastAsia" w:ascii="宋体" w:hAnsi="宋体" w:eastAsia="宋体" w:cs="宋体"/>
                <w:b/>
                <w:bCs/>
                <w:color w:val="auto"/>
                <w:kern w:val="0"/>
                <w:sz w:val="24"/>
                <w:highlight w:val="none"/>
              </w:rPr>
              <w:t xml:space="preserve">     日                   </w:t>
            </w:r>
          </w:p>
        </w:tc>
      </w:tr>
      <w:tr>
        <w:tblPrEx>
          <w:tblCellMar>
            <w:top w:w="0" w:type="dxa"/>
            <w:left w:w="108" w:type="dxa"/>
            <w:bottom w:w="0" w:type="dxa"/>
            <w:right w:w="108" w:type="dxa"/>
          </w:tblCellMar>
        </w:tblPrEx>
        <w:trPr>
          <w:trHeight w:val="405" w:hRule="atLeast"/>
        </w:trPr>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考核规模</w:t>
            </w:r>
          </w:p>
        </w:tc>
        <w:tc>
          <w:tcPr>
            <w:tcW w:w="117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考核类别</w:t>
            </w:r>
          </w:p>
        </w:tc>
        <w:tc>
          <w:tcPr>
            <w:tcW w:w="11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考核地点</w:t>
            </w:r>
          </w:p>
        </w:tc>
        <w:tc>
          <w:tcPr>
            <w:tcW w:w="25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考核内容</w:t>
            </w:r>
          </w:p>
        </w:tc>
        <w:tc>
          <w:tcPr>
            <w:tcW w:w="12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考核结果（是/否）</w:t>
            </w:r>
          </w:p>
        </w:tc>
        <w:tc>
          <w:tcPr>
            <w:tcW w:w="108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扣分</w:t>
            </w:r>
          </w:p>
        </w:tc>
      </w:tr>
      <w:tr>
        <w:tblPrEx>
          <w:tblCellMar>
            <w:top w:w="0" w:type="dxa"/>
            <w:left w:w="108" w:type="dxa"/>
            <w:bottom w:w="0" w:type="dxa"/>
            <w:right w:w="108" w:type="dxa"/>
          </w:tblCellMar>
        </w:tblPrEx>
        <w:trPr>
          <w:trHeight w:val="390" w:hRule="atLeast"/>
        </w:trPr>
        <w:tc>
          <w:tcPr>
            <w:tcW w:w="1537"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ind w:firstLine="600" w:firstLineChars="300"/>
              <w:textAlignment w:val="auto"/>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日</w:t>
            </w:r>
          </w:p>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常</w:t>
            </w:r>
          </w:p>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考</w:t>
            </w:r>
          </w:p>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核</w:t>
            </w:r>
          </w:p>
        </w:tc>
        <w:tc>
          <w:tcPr>
            <w:tcW w:w="1178"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五小</w:t>
            </w:r>
          </w:p>
        </w:tc>
        <w:tc>
          <w:tcPr>
            <w:tcW w:w="1119"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5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是否放灭鼠药</w:t>
            </w:r>
          </w:p>
        </w:tc>
        <w:tc>
          <w:tcPr>
            <w:tcW w:w="12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tblPrEx>
          <w:tblCellMar>
            <w:top w:w="0" w:type="dxa"/>
            <w:left w:w="108" w:type="dxa"/>
            <w:bottom w:w="0" w:type="dxa"/>
            <w:right w:w="108" w:type="dxa"/>
          </w:tblCellMar>
        </w:tblPrEx>
        <w:trPr>
          <w:trHeight w:val="390" w:hRule="atLeast"/>
        </w:trPr>
        <w:tc>
          <w:tcPr>
            <w:tcW w:w="153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117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111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25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是否放灭蟑药</w:t>
            </w:r>
          </w:p>
        </w:tc>
        <w:tc>
          <w:tcPr>
            <w:tcW w:w="12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tblPrEx>
          <w:tblCellMar>
            <w:top w:w="0" w:type="dxa"/>
            <w:left w:w="108" w:type="dxa"/>
            <w:bottom w:w="0" w:type="dxa"/>
            <w:right w:w="108" w:type="dxa"/>
          </w:tblCellMar>
        </w:tblPrEx>
        <w:trPr>
          <w:trHeight w:val="390" w:hRule="atLeast"/>
        </w:trPr>
        <w:tc>
          <w:tcPr>
            <w:tcW w:w="153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117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111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25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店主是否满意</w:t>
            </w:r>
          </w:p>
        </w:tc>
        <w:tc>
          <w:tcPr>
            <w:tcW w:w="12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tblPrEx>
          <w:tblCellMar>
            <w:top w:w="0" w:type="dxa"/>
            <w:left w:w="108" w:type="dxa"/>
            <w:bottom w:w="0" w:type="dxa"/>
            <w:right w:w="108" w:type="dxa"/>
          </w:tblCellMar>
        </w:tblPrEx>
        <w:trPr>
          <w:trHeight w:val="390" w:hRule="atLeast"/>
        </w:trPr>
        <w:tc>
          <w:tcPr>
            <w:tcW w:w="153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117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1119"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5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是否放灭鼠药</w:t>
            </w:r>
          </w:p>
        </w:tc>
        <w:tc>
          <w:tcPr>
            <w:tcW w:w="12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tblPrEx>
          <w:tblCellMar>
            <w:top w:w="0" w:type="dxa"/>
            <w:left w:w="108" w:type="dxa"/>
            <w:bottom w:w="0" w:type="dxa"/>
            <w:right w:w="108" w:type="dxa"/>
          </w:tblCellMar>
        </w:tblPrEx>
        <w:trPr>
          <w:trHeight w:val="390" w:hRule="atLeast"/>
        </w:trPr>
        <w:tc>
          <w:tcPr>
            <w:tcW w:w="153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117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111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25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是否放灭蟑药</w:t>
            </w:r>
          </w:p>
        </w:tc>
        <w:tc>
          <w:tcPr>
            <w:tcW w:w="12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tblPrEx>
          <w:tblCellMar>
            <w:top w:w="0" w:type="dxa"/>
            <w:left w:w="108" w:type="dxa"/>
            <w:bottom w:w="0" w:type="dxa"/>
            <w:right w:w="108" w:type="dxa"/>
          </w:tblCellMar>
        </w:tblPrEx>
        <w:trPr>
          <w:trHeight w:val="390" w:hRule="atLeast"/>
        </w:trPr>
        <w:tc>
          <w:tcPr>
            <w:tcW w:w="153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117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111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25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店主是否满意</w:t>
            </w:r>
          </w:p>
        </w:tc>
        <w:tc>
          <w:tcPr>
            <w:tcW w:w="12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tblPrEx>
          <w:tblCellMar>
            <w:top w:w="0" w:type="dxa"/>
            <w:left w:w="108" w:type="dxa"/>
            <w:bottom w:w="0" w:type="dxa"/>
            <w:right w:w="108" w:type="dxa"/>
          </w:tblCellMar>
        </w:tblPrEx>
        <w:trPr>
          <w:trHeight w:val="390" w:hRule="atLeast"/>
        </w:trPr>
        <w:tc>
          <w:tcPr>
            <w:tcW w:w="153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117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1119"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5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是否放灭鼠药</w:t>
            </w:r>
          </w:p>
        </w:tc>
        <w:tc>
          <w:tcPr>
            <w:tcW w:w="12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tblPrEx>
          <w:tblCellMar>
            <w:top w:w="0" w:type="dxa"/>
            <w:left w:w="108" w:type="dxa"/>
            <w:bottom w:w="0" w:type="dxa"/>
            <w:right w:w="108" w:type="dxa"/>
          </w:tblCellMar>
        </w:tblPrEx>
        <w:trPr>
          <w:trHeight w:val="390" w:hRule="atLeast"/>
        </w:trPr>
        <w:tc>
          <w:tcPr>
            <w:tcW w:w="153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117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111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25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是否放灭蟑药</w:t>
            </w:r>
          </w:p>
        </w:tc>
        <w:tc>
          <w:tcPr>
            <w:tcW w:w="12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tblPrEx>
          <w:tblCellMar>
            <w:top w:w="0" w:type="dxa"/>
            <w:left w:w="108" w:type="dxa"/>
            <w:bottom w:w="0" w:type="dxa"/>
            <w:right w:w="108" w:type="dxa"/>
          </w:tblCellMar>
        </w:tblPrEx>
        <w:trPr>
          <w:trHeight w:val="390" w:hRule="atLeast"/>
        </w:trPr>
        <w:tc>
          <w:tcPr>
            <w:tcW w:w="153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117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111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25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店主是否满意</w:t>
            </w:r>
          </w:p>
        </w:tc>
        <w:tc>
          <w:tcPr>
            <w:tcW w:w="12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tblPrEx>
          <w:tblCellMar>
            <w:top w:w="0" w:type="dxa"/>
            <w:left w:w="108" w:type="dxa"/>
            <w:bottom w:w="0" w:type="dxa"/>
            <w:right w:w="108" w:type="dxa"/>
          </w:tblCellMar>
        </w:tblPrEx>
        <w:trPr>
          <w:trHeight w:val="390" w:hRule="atLeast"/>
        </w:trPr>
        <w:tc>
          <w:tcPr>
            <w:tcW w:w="153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117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1119"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5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是否放灭鼠药</w:t>
            </w:r>
          </w:p>
        </w:tc>
        <w:tc>
          <w:tcPr>
            <w:tcW w:w="12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tblPrEx>
          <w:tblCellMar>
            <w:top w:w="0" w:type="dxa"/>
            <w:left w:w="108" w:type="dxa"/>
            <w:bottom w:w="0" w:type="dxa"/>
            <w:right w:w="108" w:type="dxa"/>
          </w:tblCellMar>
        </w:tblPrEx>
        <w:trPr>
          <w:trHeight w:val="390" w:hRule="atLeast"/>
        </w:trPr>
        <w:tc>
          <w:tcPr>
            <w:tcW w:w="153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117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111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25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是否放灭蟑药</w:t>
            </w:r>
          </w:p>
        </w:tc>
        <w:tc>
          <w:tcPr>
            <w:tcW w:w="12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tblPrEx>
          <w:tblCellMar>
            <w:top w:w="0" w:type="dxa"/>
            <w:left w:w="108" w:type="dxa"/>
            <w:bottom w:w="0" w:type="dxa"/>
            <w:right w:w="108" w:type="dxa"/>
          </w:tblCellMar>
        </w:tblPrEx>
        <w:trPr>
          <w:trHeight w:val="390" w:hRule="atLeast"/>
        </w:trPr>
        <w:tc>
          <w:tcPr>
            <w:tcW w:w="153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117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111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25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店主是否满意</w:t>
            </w:r>
          </w:p>
        </w:tc>
        <w:tc>
          <w:tcPr>
            <w:tcW w:w="12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tblPrEx>
          <w:tblCellMar>
            <w:top w:w="0" w:type="dxa"/>
            <w:left w:w="108" w:type="dxa"/>
            <w:bottom w:w="0" w:type="dxa"/>
            <w:right w:w="108" w:type="dxa"/>
          </w:tblCellMar>
        </w:tblPrEx>
        <w:trPr>
          <w:trHeight w:val="390" w:hRule="atLeast"/>
        </w:trPr>
        <w:tc>
          <w:tcPr>
            <w:tcW w:w="153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117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1119"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5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是否放灭鼠药</w:t>
            </w:r>
          </w:p>
        </w:tc>
        <w:tc>
          <w:tcPr>
            <w:tcW w:w="12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tblPrEx>
          <w:tblCellMar>
            <w:top w:w="0" w:type="dxa"/>
            <w:left w:w="108" w:type="dxa"/>
            <w:bottom w:w="0" w:type="dxa"/>
            <w:right w:w="108" w:type="dxa"/>
          </w:tblCellMar>
        </w:tblPrEx>
        <w:trPr>
          <w:trHeight w:val="390" w:hRule="atLeast"/>
        </w:trPr>
        <w:tc>
          <w:tcPr>
            <w:tcW w:w="153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117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111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25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是否放灭蟑药</w:t>
            </w:r>
          </w:p>
        </w:tc>
        <w:tc>
          <w:tcPr>
            <w:tcW w:w="12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tblPrEx>
          <w:tblCellMar>
            <w:top w:w="0" w:type="dxa"/>
            <w:left w:w="108" w:type="dxa"/>
            <w:bottom w:w="0" w:type="dxa"/>
            <w:right w:w="108" w:type="dxa"/>
          </w:tblCellMar>
        </w:tblPrEx>
        <w:trPr>
          <w:trHeight w:val="390" w:hRule="atLeast"/>
        </w:trPr>
        <w:tc>
          <w:tcPr>
            <w:tcW w:w="153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117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111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25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店主是否满意</w:t>
            </w:r>
          </w:p>
        </w:tc>
        <w:tc>
          <w:tcPr>
            <w:tcW w:w="12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tblPrEx>
          <w:tblCellMar>
            <w:top w:w="0" w:type="dxa"/>
            <w:left w:w="108" w:type="dxa"/>
            <w:bottom w:w="0" w:type="dxa"/>
            <w:right w:w="108" w:type="dxa"/>
          </w:tblCellMar>
        </w:tblPrEx>
        <w:trPr>
          <w:trHeight w:val="390" w:hRule="atLeast"/>
        </w:trPr>
        <w:tc>
          <w:tcPr>
            <w:tcW w:w="153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1178"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rPr>
              <w:t>行政</w:t>
            </w:r>
            <w:r>
              <w:rPr>
                <w:rFonts w:hint="eastAsia" w:ascii="宋体" w:hAnsi="宋体" w:eastAsia="宋体" w:cs="宋体"/>
                <w:color w:val="auto"/>
                <w:kern w:val="0"/>
                <w:sz w:val="20"/>
                <w:szCs w:val="20"/>
                <w:highlight w:val="none"/>
              </w:rPr>
              <w:t>村/</w:t>
            </w:r>
          </w:p>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菜场</w:t>
            </w:r>
          </w:p>
        </w:tc>
        <w:tc>
          <w:tcPr>
            <w:tcW w:w="1119"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5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是否放毒鼠屋</w:t>
            </w:r>
          </w:p>
        </w:tc>
        <w:tc>
          <w:tcPr>
            <w:tcW w:w="12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tblPrEx>
          <w:tblCellMar>
            <w:top w:w="0" w:type="dxa"/>
            <w:left w:w="108" w:type="dxa"/>
            <w:bottom w:w="0" w:type="dxa"/>
            <w:right w:w="108" w:type="dxa"/>
          </w:tblCellMar>
        </w:tblPrEx>
        <w:trPr>
          <w:trHeight w:val="390" w:hRule="atLeast"/>
        </w:trPr>
        <w:tc>
          <w:tcPr>
            <w:tcW w:w="153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117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111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25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密度是否够15米左右一只</w:t>
            </w:r>
          </w:p>
        </w:tc>
        <w:tc>
          <w:tcPr>
            <w:tcW w:w="12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8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tblPrEx>
          <w:tblCellMar>
            <w:top w:w="0" w:type="dxa"/>
            <w:left w:w="108" w:type="dxa"/>
            <w:bottom w:w="0" w:type="dxa"/>
            <w:right w:w="108" w:type="dxa"/>
          </w:tblCellMar>
        </w:tblPrEx>
        <w:trPr>
          <w:trHeight w:val="390" w:hRule="atLeast"/>
        </w:trPr>
        <w:tc>
          <w:tcPr>
            <w:tcW w:w="153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117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111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2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毒鼠屋内是否有药</w:t>
            </w:r>
          </w:p>
        </w:tc>
        <w:tc>
          <w:tcPr>
            <w:tcW w:w="12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8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tblPrEx>
          <w:tblCellMar>
            <w:top w:w="0" w:type="dxa"/>
            <w:left w:w="108" w:type="dxa"/>
            <w:bottom w:w="0" w:type="dxa"/>
            <w:right w:w="108" w:type="dxa"/>
          </w:tblCellMar>
        </w:tblPrEx>
        <w:trPr>
          <w:trHeight w:val="315" w:hRule="atLeast"/>
        </w:trPr>
        <w:tc>
          <w:tcPr>
            <w:tcW w:w="153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117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111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2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下水道是否布放蜡块</w:t>
            </w:r>
          </w:p>
        </w:tc>
        <w:tc>
          <w:tcPr>
            <w:tcW w:w="12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hint="eastAsia" w:ascii="宋体" w:hAnsi="宋体" w:eastAsia="宋体" w:cs="宋体"/>
                <w:color w:val="auto"/>
                <w:kern w:val="0"/>
                <w:sz w:val="20"/>
                <w:szCs w:val="20"/>
                <w:highlight w:val="none"/>
              </w:rPr>
            </w:pPr>
          </w:p>
        </w:tc>
        <w:tc>
          <w:tcPr>
            <w:tcW w:w="108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tblPrEx>
          <w:tblCellMar>
            <w:top w:w="0" w:type="dxa"/>
            <w:left w:w="108" w:type="dxa"/>
            <w:bottom w:w="0" w:type="dxa"/>
            <w:right w:w="108" w:type="dxa"/>
          </w:tblCellMar>
        </w:tblPrEx>
        <w:trPr>
          <w:trHeight w:val="315" w:hRule="atLeast"/>
        </w:trPr>
        <w:tc>
          <w:tcPr>
            <w:tcW w:w="153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117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111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2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是否喷药</w:t>
            </w:r>
            <w:r>
              <w:rPr>
                <w:rFonts w:hint="eastAsia" w:ascii="宋体" w:hAnsi="宋体" w:cs="宋体"/>
                <w:color w:val="auto"/>
                <w:kern w:val="0"/>
                <w:sz w:val="20"/>
                <w:szCs w:val="20"/>
                <w:highlight w:val="none"/>
                <w:lang w:eastAsia="zh-CN"/>
              </w:rPr>
              <w:t>（鼠药</w:t>
            </w:r>
            <w:r>
              <w:rPr>
                <w:rFonts w:hint="eastAsia" w:ascii="宋体" w:hAnsi="宋体" w:cs="宋体"/>
                <w:color w:val="auto"/>
                <w:kern w:val="0"/>
                <w:sz w:val="20"/>
                <w:szCs w:val="20"/>
                <w:highlight w:val="none"/>
                <w:lang w:val="en-US" w:eastAsia="zh-CN"/>
              </w:rPr>
              <w:t>/蟑药</w:t>
            </w:r>
            <w:r>
              <w:rPr>
                <w:rFonts w:hint="eastAsia" w:ascii="宋体" w:hAnsi="宋体" w:cs="宋体"/>
                <w:color w:val="auto"/>
                <w:kern w:val="0"/>
                <w:sz w:val="20"/>
                <w:szCs w:val="20"/>
                <w:highlight w:val="none"/>
                <w:lang w:eastAsia="zh-CN"/>
              </w:rPr>
              <w:t>）</w:t>
            </w:r>
          </w:p>
        </w:tc>
        <w:tc>
          <w:tcPr>
            <w:tcW w:w="12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hint="eastAsia" w:ascii="宋体" w:hAnsi="宋体" w:eastAsia="宋体" w:cs="宋体"/>
                <w:color w:val="auto"/>
                <w:kern w:val="0"/>
                <w:sz w:val="20"/>
                <w:szCs w:val="20"/>
                <w:highlight w:val="none"/>
              </w:rPr>
            </w:pPr>
          </w:p>
        </w:tc>
        <w:tc>
          <w:tcPr>
            <w:tcW w:w="108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hint="eastAsia" w:ascii="宋体" w:hAnsi="宋体" w:eastAsia="宋体" w:cs="宋体"/>
                <w:color w:val="auto"/>
                <w:kern w:val="0"/>
                <w:sz w:val="20"/>
                <w:szCs w:val="20"/>
                <w:highlight w:val="none"/>
              </w:rPr>
            </w:pPr>
          </w:p>
        </w:tc>
      </w:tr>
      <w:tr>
        <w:tblPrEx>
          <w:tblCellMar>
            <w:top w:w="0" w:type="dxa"/>
            <w:left w:w="108" w:type="dxa"/>
            <w:bottom w:w="0" w:type="dxa"/>
            <w:right w:w="108" w:type="dxa"/>
          </w:tblCellMar>
        </w:tblPrEx>
        <w:trPr>
          <w:trHeight w:val="390" w:hRule="atLeast"/>
        </w:trPr>
        <w:tc>
          <w:tcPr>
            <w:tcW w:w="153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117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1119" w:type="dxa"/>
            <w:vMerge w:val="continue"/>
            <w:tcBorders>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c>
          <w:tcPr>
            <w:tcW w:w="2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居民是否满意</w:t>
            </w:r>
          </w:p>
        </w:tc>
        <w:tc>
          <w:tcPr>
            <w:tcW w:w="12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8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tblPrEx>
          <w:tblCellMar>
            <w:top w:w="0" w:type="dxa"/>
            <w:left w:w="108" w:type="dxa"/>
            <w:bottom w:w="0" w:type="dxa"/>
            <w:right w:w="108" w:type="dxa"/>
          </w:tblCellMar>
        </w:tblPrEx>
        <w:trPr>
          <w:trHeight w:val="390" w:hRule="atLeast"/>
        </w:trPr>
        <w:tc>
          <w:tcPr>
            <w:tcW w:w="153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outlineLvl w:val="9"/>
              <w:rPr>
                <w:rFonts w:hint="eastAsia" w:ascii="宋体" w:hAnsi="宋体" w:eastAsia="宋体" w:cs="宋体"/>
                <w:color w:val="auto"/>
                <w:kern w:val="0"/>
                <w:sz w:val="20"/>
                <w:szCs w:val="20"/>
                <w:highlight w:val="none"/>
              </w:rPr>
            </w:pPr>
          </w:p>
          <w:p>
            <w:pPr>
              <w:keepNext w:val="0"/>
              <w:keepLines w:val="0"/>
              <w:pageBreakBefore w:val="0"/>
              <w:widowControl/>
              <w:kinsoku/>
              <w:wordWrap/>
              <w:overflowPunct/>
              <w:topLinePunct w:val="0"/>
              <w:autoSpaceDE/>
              <w:autoSpaceDN/>
              <w:bidi w:val="0"/>
              <w:adjustRightInd/>
              <w:snapToGrid/>
              <w:spacing w:line="288" w:lineRule="auto"/>
              <w:ind w:firstLine="200" w:firstLineChars="100"/>
              <w:textAlignment w:val="auto"/>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专项考核</w:t>
            </w:r>
          </w:p>
          <w:p>
            <w:pPr>
              <w:keepNext w:val="0"/>
              <w:keepLines w:val="0"/>
              <w:pageBreakBefore w:val="0"/>
              <w:widowControl/>
              <w:kinsoku/>
              <w:wordWrap/>
              <w:overflowPunct/>
              <w:topLinePunct w:val="0"/>
              <w:autoSpaceDE/>
              <w:autoSpaceDN/>
              <w:bidi w:val="0"/>
              <w:adjustRightInd/>
              <w:snapToGrid/>
              <w:spacing w:line="288" w:lineRule="auto"/>
              <w:jc w:val="both"/>
              <w:textAlignment w:val="auto"/>
              <w:outlineLvl w:val="9"/>
              <w:rPr>
                <w:rFonts w:ascii="宋体" w:hAnsi="宋体" w:eastAsia="宋体" w:cs="宋体"/>
                <w:color w:val="auto"/>
                <w:kern w:val="0"/>
                <w:sz w:val="20"/>
                <w:szCs w:val="20"/>
                <w:highlight w:val="none"/>
              </w:rPr>
            </w:pPr>
          </w:p>
        </w:tc>
        <w:tc>
          <w:tcPr>
            <w:tcW w:w="11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1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5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2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08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r>
      <w:tr>
        <w:tblPrEx>
          <w:tblCellMar>
            <w:top w:w="0" w:type="dxa"/>
            <w:left w:w="108" w:type="dxa"/>
            <w:bottom w:w="0" w:type="dxa"/>
            <w:right w:w="108" w:type="dxa"/>
          </w:tblCellMar>
        </w:tblPrEx>
        <w:trPr>
          <w:trHeight w:val="390" w:hRule="atLeast"/>
        </w:trPr>
        <w:tc>
          <w:tcPr>
            <w:tcW w:w="1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总扣分合计</w:t>
            </w:r>
          </w:p>
        </w:tc>
        <w:tc>
          <w:tcPr>
            <w:tcW w:w="7125"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hint="eastAsia" w:ascii="宋体" w:hAnsi="宋体" w:eastAsia="宋体" w:cs="宋体"/>
                <w:color w:val="auto"/>
                <w:kern w:val="0"/>
                <w:sz w:val="20"/>
                <w:szCs w:val="20"/>
                <w:highlight w:val="none"/>
              </w:rPr>
            </w:pPr>
          </w:p>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ascii="宋体" w:hAnsi="宋体" w:eastAsia="宋体" w:cs="宋体"/>
                <w:color w:val="auto"/>
                <w:kern w:val="0"/>
                <w:sz w:val="20"/>
                <w:szCs w:val="20"/>
                <w:highlight w:val="none"/>
              </w:rPr>
            </w:pPr>
          </w:p>
        </w:tc>
      </w:tr>
      <w:tr>
        <w:tblPrEx>
          <w:tblCellMar>
            <w:top w:w="0" w:type="dxa"/>
            <w:left w:w="108" w:type="dxa"/>
            <w:bottom w:w="0" w:type="dxa"/>
            <w:right w:w="108" w:type="dxa"/>
          </w:tblCellMar>
        </w:tblPrEx>
        <w:trPr>
          <w:trHeight w:val="1273" w:hRule="atLeast"/>
        </w:trPr>
        <w:tc>
          <w:tcPr>
            <w:tcW w:w="8662" w:type="dxa"/>
            <w:gridSpan w:val="6"/>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考核指导人员： </w:t>
            </w:r>
          </w:p>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hint="eastAsia" w:ascii="宋体" w:hAnsi="宋体" w:eastAsia="宋体" w:cs="宋体"/>
                <w:color w:val="auto"/>
                <w:kern w:val="0"/>
                <w:sz w:val="20"/>
                <w:szCs w:val="20"/>
                <w:highlight w:val="none"/>
              </w:rPr>
            </w:pPr>
          </w:p>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hint="eastAsia" w:ascii="宋体" w:hAnsi="宋体" w:eastAsia="宋体" w:cs="宋体"/>
                <w:color w:val="auto"/>
                <w:kern w:val="0"/>
                <w:sz w:val="20"/>
                <w:szCs w:val="20"/>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15" w:firstLineChars="197"/>
        <w:jc w:val="center"/>
        <w:textAlignment w:val="auto"/>
        <w:outlineLvl w:val="0"/>
        <w:rPr>
          <w:rFonts w:hint="eastAsia" w:ascii="宋体" w:hAnsi="宋体" w:eastAsia="宋体" w:cs="宋体"/>
          <w:b/>
          <w:bCs/>
          <w:color w:val="auto"/>
          <w:sz w:val="32"/>
          <w:szCs w:val="32"/>
          <w:highlight w:val="none"/>
        </w:rPr>
      </w:pPr>
      <w:r>
        <w:rPr>
          <w:rFonts w:hint="eastAsia"/>
          <w:b/>
          <w:bCs/>
          <w:color w:val="auto"/>
          <w:highlight w:val="none"/>
          <w:lang w:eastAsia="zh-CN"/>
        </w:rPr>
        <w:br w:type="page"/>
      </w:r>
      <w:bookmarkStart w:id="31" w:name="_Toc4265"/>
      <w:r>
        <w:rPr>
          <w:rFonts w:hint="eastAsia" w:ascii="宋体" w:hAnsi="宋体" w:eastAsia="宋体" w:cs="宋体"/>
          <w:b/>
          <w:color w:val="auto"/>
          <w:sz w:val="32"/>
          <w:szCs w:val="32"/>
          <w:highlight w:val="none"/>
        </w:rPr>
        <w:t>第三章  供应商须知</w:t>
      </w:r>
      <w:bookmarkEnd w:id="31"/>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auto"/>
          <w:sz w:val="44"/>
          <w:szCs w:val="32"/>
          <w:highlight w:val="none"/>
        </w:rPr>
      </w:pPr>
      <w:bookmarkStart w:id="32" w:name="_Toc1665"/>
      <w:r>
        <w:rPr>
          <w:rFonts w:hint="eastAsia" w:ascii="宋体" w:hAnsi="宋体" w:eastAsia="宋体" w:cs="宋体"/>
          <w:b/>
          <w:color w:val="auto"/>
          <w:sz w:val="28"/>
          <w:szCs w:val="28"/>
          <w:highlight w:val="none"/>
        </w:rPr>
        <w:t>前 附 表</w:t>
      </w:r>
      <w:bookmarkEnd w:id="32"/>
    </w:p>
    <w:tbl>
      <w:tblPr>
        <w:tblStyle w:val="4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5"/>
        <w:gridCol w:w="75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264"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264"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264"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264"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投标报价及费用：</w:t>
            </w:r>
          </w:p>
          <w:p>
            <w:pPr>
              <w:keepNext w:val="0"/>
              <w:keepLines w:val="0"/>
              <w:pageBreakBefore w:val="0"/>
              <w:widowControl w:val="0"/>
              <w:kinsoku/>
              <w:wordWrap/>
              <w:overflowPunct/>
              <w:topLinePunct w:val="0"/>
              <w:bidi w:val="0"/>
              <w:adjustRightInd/>
              <w:snapToGrid/>
              <w:spacing w:line="264"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1）本项目投标应以人民币报价；</w:t>
            </w:r>
          </w:p>
          <w:p>
            <w:pPr>
              <w:keepNext w:val="0"/>
              <w:keepLines w:val="0"/>
              <w:pageBreakBefore w:val="0"/>
              <w:widowControl w:val="0"/>
              <w:kinsoku/>
              <w:wordWrap/>
              <w:overflowPunct/>
              <w:topLinePunct w:val="0"/>
              <w:bidi w:val="0"/>
              <w:adjustRightInd/>
              <w:snapToGrid/>
              <w:spacing w:line="264"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2）本项目采购预算（最高限价）：详见《第一章</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公开招标公告</w:t>
            </w:r>
            <w:r>
              <w:rPr>
                <w:rFonts w:hint="eastAsia" w:ascii="宋体" w:hAnsi="宋体" w:eastAsia="宋体" w:cs="宋体"/>
                <w:color w:val="auto"/>
                <w:szCs w:val="21"/>
                <w:highlight w:val="none"/>
              </w:rPr>
              <w:t>》；投标总价超过</w:t>
            </w:r>
            <w:r>
              <w:rPr>
                <w:rFonts w:hint="eastAsia" w:ascii="宋体" w:hAnsi="宋体" w:eastAsia="宋体" w:cs="宋体"/>
                <w:color w:val="auto"/>
                <w:szCs w:val="21"/>
                <w:highlight w:val="none"/>
                <w:lang w:eastAsia="zh-CN"/>
              </w:rPr>
              <w:t>相应</w:t>
            </w:r>
            <w:r>
              <w:rPr>
                <w:rFonts w:hint="eastAsia" w:ascii="宋体" w:hAnsi="宋体" w:eastAsia="宋体" w:cs="宋体"/>
                <w:color w:val="auto"/>
                <w:szCs w:val="21"/>
                <w:highlight w:val="none"/>
                <w:lang w:val="en-US" w:eastAsia="zh-CN"/>
              </w:rPr>
              <w:t>预算金额</w:t>
            </w:r>
            <w:r>
              <w:rPr>
                <w:rFonts w:hint="eastAsia" w:ascii="宋体" w:hAnsi="宋体" w:eastAsia="宋体" w:cs="宋体"/>
                <w:color w:val="auto"/>
                <w:szCs w:val="21"/>
                <w:highlight w:val="none"/>
              </w:rPr>
              <w:t>（最高限价）的，作无效标处理。</w:t>
            </w:r>
          </w:p>
          <w:p>
            <w:pPr>
              <w:pStyle w:val="19"/>
              <w:keepNext w:val="0"/>
              <w:keepLines w:val="0"/>
              <w:pageBreakBefore w:val="0"/>
              <w:widowControl w:val="0"/>
              <w:kinsoku/>
              <w:wordWrap/>
              <w:overflowPunct/>
              <w:topLinePunct w:val="0"/>
              <w:bidi w:val="0"/>
              <w:adjustRightInd/>
              <w:snapToGrid/>
              <w:spacing w:line="264"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本次投标报价应包括但不限于完成本项目的全部内容：应包括提供除四害服务、药物配备、药械、试剂费、包含器材维修费用、相应的消耗品、宣传（警示标签破损更换等）、服务响应、人员工资、考核奖金、利润、税金等一切与本次采购有关的所有费用。</w:t>
            </w:r>
          </w:p>
          <w:p>
            <w:pPr>
              <w:pStyle w:val="19"/>
              <w:keepNext w:val="0"/>
              <w:keepLines w:val="0"/>
              <w:pageBreakBefore w:val="0"/>
              <w:widowControl w:val="0"/>
              <w:kinsoku/>
              <w:wordWrap/>
              <w:overflowPunct/>
              <w:topLinePunct w:val="0"/>
              <w:bidi w:val="0"/>
              <w:adjustRightInd/>
              <w:snapToGrid/>
              <w:spacing w:line="264"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4）不论投标结果如何，供应商均应自行承担所有与投标有关的全部费用。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264"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4"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投标文件组成与份数：</w:t>
            </w:r>
          </w:p>
          <w:p>
            <w:pPr>
              <w:keepNext w:val="0"/>
              <w:keepLines w:val="0"/>
              <w:pageBreakBefore w:val="0"/>
              <w:widowControl w:val="0"/>
              <w:numPr>
                <w:ilvl w:val="0"/>
                <w:numId w:val="7"/>
              </w:numPr>
              <w:kinsoku/>
              <w:wordWrap/>
              <w:overflowPunct/>
              <w:topLinePunct w:val="0"/>
              <w:autoSpaceDE w:val="0"/>
              <w:autoSpaceDN w:val="0"/>
              <w:bidi w:val="0"/>
              <w:adjustRightInd/>
              <w:snapToGrid/>
              <w:spacing w:line="264"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上传到政府采购云平台的电子投标文件（含资格文件、商务技术文件、报价文件）1份。</w:t>
            </w:r>
          </w:p>
          <w:p>
            <w:pPr>
              <w:keepNext w:val="0"/>
              <w:keepLines w:val="0"/>
              <w:pageBreakBefore w:val="0"/>
              <w:widowControl w:val="0"/>
              <w:numPr>
                <w:ilvl w:val="0"/>
                <w:numId w:val="7"/>
              </w:numPr>
              <w:kinsoku/>
              <w:wordWrap/>
              <w:overflowPunct/>
              <w:topLinePunct w:val="0"/>
              <w:autoSpaceDE w:val="0"/>
              <w:autoSpaceDN w:val="0"/>
              <w:bidi w:val="0"/>
              <w:adjustRightInd/>
              <w:snapToGrid/>
              <w:spacing w:line="264"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以U盘存储的电子备份投标文件（含资格文件、商务技术文件、报价文件）1份。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264"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4"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评标结果公示：评标结束后，评标结果公示于浙江政府采购网、宁波市政府采购网、宁波市公共资源交易网宁海县分网、浙江中基正采管理咨询有限公司网（http://www.cbbidding.com/）等网站。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264"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4"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签订合同时间：中标通知书发出后</w:t>
            </w:r>
            <w:r>
              <w:rPr>
                <w:rFonts w:hint="eastAsia" w:ascii="宋体" w:hAnsi="宋体" w:eastAsia="宋体" w:cs="宋体"/>
                <w:color w:val="auto"/>
                <w:szCs w:val="21"/>
                <w:highlight w:val="none"/>
                <w:u w:val="single"/>
              </w:rPr>
              <w:t>30</w:t>
            </w:r>
            <w:r>
              <w:rPr>
                <w:rFonts w:hint="eastAsia" w:ascii="宋体" w:hAnsi="宋体" w:eastAsia="宋体" w:cs="宋体"/>
                <w:color w:val="auto"/>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264"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4"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采购资金来源：财政资金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264"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264"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4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4" w:lineRule="auto"/>
              <w:jc w:val="left"/>
              <w:textAlignment w:val="bottom"/>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解释：本采购文件的解释权属于招标采购单位。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423" w:type="dxa"/>
            <w:gridSpan w:val="2"/>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bidi w:val="0"/>
              <w:adjustRightInd/>
              <w:snapToGrid/>
              <w:spacing w:line="264"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招标代理服务费的收取标准：采购代理机构按下表中服务招标的标准,根据三年预算金额向中标人收取招标代理服务费。</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730"/>
              <w:gridCol w:w="1449"/>
              <w:gridCol w:w="1449"/>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730" w:type="dxa"/>
                  <w:tcBorders>
                    <w:tl2br w:val="single" w:color="auto" w:sz="4" w:space="0"/>
                  </w:tcBorders>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right"/>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类型</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预算金额（万元）</w:t>
                  </w:r>
                </w:p>
              </w:tc>
              <w:tc>
                <w:tcPr>
                  <w:tcW w:w="1449"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货物招标</w:t>
                  </w:r>
                </w:p>
              </w:tc>
              <w:tc>
                <w:tcPr>
                  <w:tcW w:w="1449"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服务招标</w:t>
                  </w:r>
                </w:p>
              </w:tc>
              <w:tc>
                <w:tcPr>
                  <w:tcW w:w="1451"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730"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1449"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449"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451"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730"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1449"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449"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1451"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730"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1449"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1449"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c>
                <w:tcPr>
                  <w:tcW w:w="1451"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730"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1449"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c>
                <w:tcPr>
                  <w:tcW w:w="1449"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1451"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730"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1449"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1449"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c>
                <w:tcPr>
                  <w:tcW w:w="1451"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730"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1亿～5亿</w:t>
                  </w:r>
                </w:p>
              </w:tc>
              <w:tc>
                <w:tcPr>
                  <w:tcW w:w="1449"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449"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451"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bl>
          <w:p>
            <w:pPr>
              <w:keepNext w:val="0"/>
              <w:keepLines w:val="0"/>
              <w:pageBreakBefore w:val="0"/>
              <w:widowControl w:val="0"/>
              <w:kinsoku/>
              <w:wordWrap/>
              <w:overflowPunct/>
              <w:topLinePunct w:val="0"/>
              <w:bidi w:val="0"/>
              <w:adjustRightInd/>
              <w:snapToGrid/>
              <w:spacing w:line="264" w:lineRule="auto"/>
              <w:rPr>
                <w:rFonts w:hint="eastAsia" w:ascii="宋体" w:hAnsi="宋体" w:eastAsia="宋体" w:cs="宋体"/>
                <w:color w:val="auto"/>
                <w:szCs w:val="21"/>
                <w:highlight w:val="none"/>
              </w:rPr>
            </w:pPr>
            <w:r>
              <w:rPr>
                <w:rFonts w:hint="eastAsia" w:ascii="宋体" w:hAnsi="宋体" w:eastAsia="宋体" w:cs="宋体"/>
                <w:snapToGrid w:val="0"/>
                <w:color w:val="auto"/>
                <w:szCs w:val="21"/>
                <w:highlight w:val="none"/>
              </w:rPr>
              <w:t>备注：（1）招标代理服务费按差额定率累进法计算；（2）招标代理服务费只收现金、银行票汇款、电汇款。（3）中标人接到本公司通知后5个工作日内向本采购代理机构领取中标通知书（根据中标人需求可采用邮寄或到采购代理机构现场领取）。（4）</w:t>
            </w:r>
            <w:r>
              <w:rPr>
                <w:rFonts w:hint="eastAsia" w:ascii="宋体" w:hAnsi="宋体" w:eastAsia="宋体" w:cs="宋体"/>
                <w:color w:val="auto"/>
                <w:szCs w:val="21"/>
                <w:highlight w:val="none"/>
              </w:rPr>
              <w:t>采购代理机构财务信息：</w:t>
            </w:r>
          </w:p>
          <w:p>
            <w:pPr>
              <w:keepNext w:val="0"/>
              <w:keepLines w:val="0"/>
              <w:pageBreakBefore w:val="0"/>
              <w:widowControl w:val="0"/>
              <w:kinsoku/>
              <w:wordWrap/>
              <w:overflowPunct/>
              <w:topLinePunct w:val="0"/>
              <w:bidi w:val="0"/>
              <w:adjustRightInd/>
              <w:snapToGrid/>
              <w:spacing w:line="264"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开户银行：宁波银行股份有限公司鄞州中心区支行</w:t>
            </w:r>
          </w:p>
          <w:p>
            <w:pPr>
              <w:keepNext w:val="0"/>
              <w:keepLines w:val="0"/>
              <w:pageBreakBefore w:val="0"/>
              <w:widowControl w:val="0"/>
              <w:kinsoku/>
              <w:wordWrap/>
              <w:overflowPunct/>
              <w:topLinePunct w:val="0"/>
              <w:bidi w:val="0"/>
              <w:adjustRightInd/>
              <w:snapToGrid/>
              <w:spacing w:line="264"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帐    号：30010122001229488</w:t>
            </w:r>
          </w:p>
          <w:p>
            <w:pPr>
              <w:keepNext w:val="0"/>
              <w:keepLines w:val="0"/>
              <w:pageBreakBefore w:val="0"/>
              <w:widowControl w:val="0"/>
              <w:kinsoku/>
              <w:wordWrap/>
              <w:overflowPunct/>
              <w:topLinePunct w:val="0"/>
              <w:bidi w:val="0"/>
              <w:adjustRightInd/>
              <w:snapToGrid/>
              <w:spacing w:line="264"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户    名：浙江中基正采管理咨询有限公司</w:t>
            </w:r>
          </w:p>
        </w:tc>
      </w:tr>
    </w:tbl>
    <w:p>
      <w:pPr>
        <w:pStyle w:val="26"/>
        <w:snapToGrid w:val="0"/>
        <w:spacing w:before="0" w:beforeLines="0" w:after="0" w:afterLines="0" w:line="240" w:lineRule="auto"/>
        <w:rPr>
          <w:rFonts w:hint="eastAsia" w:ascii="宋体" w:hAnsi="宋体" w:eastAsia="宋体" w:cs="宋体"/>
          <w:color w:val="auto"/>
          <w:highlight w:val="none"/>
        </w:rPr>
      </w:pPr>
    </w:p>
    <w:p>
      <w:pPr>
        <w:pStyle w:val="26"/>
        <w:keepNext w:val="0"/>
        <w:keepLines w:val="0"/>
        <w:pageBreakBefore w:val="0"/>
        <w:kinsoku/>
        <w:wordWrap/>
        <w:overflowPunct/>
        <w:topLinePunct w:val="0"/>
        <w:autoSpaceDE/>
        <w:autoSpaceDN/>
        <w:bidi w:val="0"/>
        <w:adjustRightInd/>
        <w:snapToGrid w:val="0"/>
        <w:spacing w:before="0" w:beforeLines="0" w:after="0" w:afterLines="0" w:line="360" w:lineRule="auto"/>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br w:type="page"/>
      </w:r>
      <w:r>
        <w:rPr>
          <w:rFonts w:hint="eastAsia" w:ascii="宋体" w:hAnsi="宋体" w:eastAsia="宋体" w:cs="宋体"/>
          <w:b/>
          <w:color w:val="auto"/>
          <w:highlight w:val="none"/>
        </w:rPr>
        <w:t>一   总  则</w:t>
      </w:r>
    </w:p>
    <w:p>
      <w:pPr>
        <w:keepNext w:val="0"/>
        <w:keepLines w:val="0"/>
        <w:pageBreakBefore w:val="0"/>
        <w:kinsoku/>
        <w:wordWrap/>
        <w:overflowPunct/>
        <w:topLinePunct w:val="0"/>
        <w:autoSpaceDE/>
        <w:autoSpaceDN/>
        <w:bidi w:val="0"/>
        <w:adjustRightInd/>
        <w:snapToGrid w:val="0"/>
        <w:spacing w:line="360" w:lineRule="auto"/>
        <w:ind w:firstLine="413" w:firstLineChars="196"/>
        <w:jc w:val="left"/>
        <w:textAlignment w:val="auto"/>
        <w:rPr>
          <w:rFonts w:hint="eastAsia" w:ascii="宋体" w:hAnsi="宋体" w:eastAsia="宋体" w:cs="宋体"/>
          <w:b/>
          <w:color w:val="auto"/>
          <w:szCs w:val="21"/>
          <w:highlight w:val="none"/>
        </w:rPr>
      </w:pPr>
      <w:bookmarkStart w:id="33" w:name="_Toc1476"/>
      <w:r>
        <w:rPr>
          <w:rFonts w:hint="eastAsia" w:ascii="宋体" w:hAnsi="宋体" w:eastAsia="宋体" w:cs="宋体"/>
          <w:b/>
          <w:color w:val="auto"/>
          <w:szCs w:val="21"/>
          <w:highlight w:val="none"/>
        </w:rPr>
        <w:t>（一） 适用范围</w:t>
      </w:r>
      <w:bookmarkEnd w:id="33"/>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适用于本项目的招标、投标、评标、定标、验收、合同履约、付款等行为（法律、法规另有规定的，从其规定）。</w:t>
      </w:r>
    </w:p>
    <w:p>
      <w:pPr>
        <w:keepNext w:val="0"/>
        <w:keepLines w:val="0"/>
        <w:pageBreakBefore w:val="0"/>
        <w:kinsoku/>
        <w:wordWrap/>
        <w:overflowPunct/>
        <w:topLinePunct w:val="0"/>
        <w:autoSpaceDE/>
        <w:autoSpaceDN/>
        <w:bidi w:val="0"/>
        <w:adjustRightInd/>
        <w:snapToGrid w:val="0"/>
        <w:spacing w:line="360" w:lineRule="auto"/>
        <w:ind w:firstLine="310" w:firstLineChars="147"/>
        <w:jc w:val="left"/>
        <w:textAlignment w:val="auto"/>
        <w:rPr>
          <w:rFonts w:hint="eastAsia" w:ascii="宋体" w:hAnsi="宋体" w:eastAsia="宋体" w:cs="宋体"/>
          <w:b/>
          <w:color w:val="auto"/>
          <w:szCs w:val="21"/>
          <w:highlight w:val="none"/>
        </w:rPr>
      </w:pPr>
      <w:bookmarkStart w:id="34" w:name="_Toc7571"/>
      <w:r>
        <w:rPr>
          <w:rFonts w:hint="eastAsia" w:ascii="宋体" w:hAnsi="宋体" w:eastAsia="宋体" w:cs="宋体"/>
          <w:b/>
          <w:color w:val="auto"/>
          <w:szCs w:val="21"/>
          <w:highlight w:val="none"/>
        </w:rPr>
        <w:t>（二）定义</w:t>
      </w:r>
      <w:bookmarkEnd w:id="34"/>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“招标采购单位”系指组织本次招标的采购代理机构和采购人。</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“供应商”系指向采购人提交投标文件的单位或个人。</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“产品”系指供应商按</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规定，须向采购人提供的一切设备、保险、税金、备品备件、工具、手册及其它有关技术资料和材料。</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“服务”系指</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规定供应商须承担的安装、调试、技术协助、校准、培训、技术指导以及其他类似的义务。</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“项目”系指供应商按</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规定向采购人提供的产品和服务。</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“书面形式”包括信函、传真、</w:t>
      </w:r>
      <w:r>
        <w:rPr>
          <w:rFonts w:hint="eastAsia" w:ascii="宋体" w:hAnsi="宋体" w:eastAsia="宋体" w:cs="宋体"/>
          <w:color w:val="auto"/>
          <w:szCs w:val="21"/>
          <w:highlight w:val="none"/>
          <w:lang w:eastAsia="zh-CN"/>
        </w:rPr>
        <w:t>电函</w:t>
      </w:r>
      <w:r>
        <w:rPr>
          <w:rFonts w:hint="eastAsia" w:ascii="宋体" w:hAnsi="宋体" w:eastAsia="宋体" w:cs="宋体"/>
          <w:color w:val="auto"/>
          <w:szCs w:val="21"/>
          <w:highlight w:val="none"/>
        </w:rPr>
        <w:t>等。</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“★”系指实质性要求条款，供应商的投标对任何带“★”号的重要商务和技术条款的偏离和未作实质性响应都将直接导致</w:t>
      </w:r>
      <w:r>
        <w:rPr>
          <w:rFonts w:hint="eastAsia" w:ascii="宋体" w:hAnsi="宋体" w:eastAsia="宋体" w:cs="宋体"/>
          <w:color w:val="auto"/>
          <w:szCs w:val="21"/>
          <w:highlight w:val="none"/>
          <w:lang w:val="en-US" w:eastAsia="zh-CN"/>
        </w:rPr>
        <w:t>投标无效</w:t>
      </w:r>
      <w:r>
        <w:rPr>
          <w:rFonts w:hint="eastAsia" w:ascii="宋体" w:hAnsi="宋体" w:eastAsia="宋体" w:cs="宋体"/>
          <w:color w:val="auto"/>
          <w:szCs w:val="21"/>
          <w:highlight w:val="none"/>
        </w:rPr>
        <w:t>。</w:t>
      </w:r>
    </w:p>
    <w:p>
      <w:pPr>
        <w:keepNext w:val="0"/>
        <w:keepLines w:val="0"/>
        <w:pageBreakBefore w:val="0"/>
        <w:kinsoku/>
        <w:wordWrap/>
        <w:overflowPunct/>
        <w:topLinePunct w:val="0"/>
        <w:autoSpaceDE/>
        <w:autoSpaceDN/>
        <w:bidi w:val="0"/>
        <w:adjustRightInd/>
        <w:snapToGrid w:val="0"/>
        <w:spacing w:line="360" w:lineRule="auto"/>
        <w:ind w:firstLine="413" w:firstLineChars="196"/>
        <w:jc w:val="left"/>
        <w:textAlignment w:val="auto"/>
        <w:rPr>
          <w:rFonts w:hint="eastAsia" w:ascii="宋体" w:hAnsi="宋体" w:eastAsia="宋体" w:cs="宋体"/>
          <w:b/>
          <w:color w:val="auto"/>
          <w:szCs w:val="21"/>
          <w:highlight w:val="none"/>
        </w:rPr>
      </w:pPr>
      <w:bookmarkStart w:id="35" w:name="_Toc20685"/>
      <w:r>
        <w:rPr>
          <w:rFonts w:hint="eastAsia" w:ascii="宋体" w:hAnsi="宋体" w:eastAsia="宋体" w:cs="宋体"/>
          <w:b/>
          <w:color w:val="auto"/>
          <w:szCs w:val="21"/>
          <w:highlight w:val="none"/>
        </w:rPr>
        <w:t>（三）招标方式</w:t>
      </w:r>
      <w:bookmarkEnd w:id="35"/>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本次招标采用公开招标方式进行。</w:t>
      </w:r>
    </w:p>
    <w:p>
      <w:pPr>
        <w:keepNext w:val="0"/>
        <w:keepLines w:val="0"/>
        <w:pageBreakBefore w:val="0"/>
        <w:kinsoku/>
        <w:wordWrap/>
        <w:overflowPunct/>
        <w:topLinePunct w:val="0"/>
        <w:autoSpaceDE/>
        <w:autoSpaceDN/>
        <w:bidi w:val="0"/>
        <w:adjustRightInd/>
        <w:snapToGrid w:val="0"/>
        <w:spacing w:line="360" w:lineRule="auto"/>
        <w:ind w:firstLine="413" w:firstLineChars="196"/>
        <w:jc w:val="left"/>
        <w:textAlignment w:val="auto"/>
        <w:rPr>
          <w:rFonts w:hint="eastAsia" w:ascii="宋体" w:hAnsi="宋体" w:eastAsia="宋体" w:cs="宋体"/>
          <w:b/>
          <w:color w:val="auto"/>
          <w:szCs w:val="21"/>
          <w:highlight w:val="none"/>
        </w:rPr>
      </w:pPr>
      <w:bookmarkStart w:id="36" w:name="_Toc21721"/>
      <w:r>
        <w:rPr>
          <w:rFonts w:hint="eastAsia" w:ascii="宋体" w:hAnsi="宋体" w:eastAsia="宋体" w:cs="宋体"/>
          <w:b/>
          <w:color w:val="auto"/>
          <w:szCs w:val="21"/>
          <w:highlight w:val="none"/>
        </w:rPr>
        <w:t>（四）投标委托</w:t>
      </w:r>
      <w:bookmarkEnd w:id="36"/>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派授权代表出席开标会议</w:t>
      </w:r>
      <w:r>
        <w:rPr>
          <w:rFonts w:hint="eastAsia" w:ascii="宋体" w:hAnsi="宋体" w:eastAsia="宋体" w:cs="宋体"/>
          <w:color w:val="auto"/>
          <w:szCs w:val="21"/>
          <w:highlight w:val="none"/>
          <w:lang w:eastAsia="zh-CN"/>
        </w:rPr>
        <w:t>，授权代表</w:t>
      </w:r>
      <w:r>
        <w:rPr>
          <w:rFonts w:hint="eastAsia" w:ascii="宋体" w:hAnsi="宋体" w:eastAsia="宋体" w:cs="宋体"/>
          <w:color w:val="auto"/>
          <w:szCs w:val="21"/>
          <w:highlight w:val="none"/>
        </w:rPr>
        <w:t>须携带有效身份证件。如供应商代表不是法定代表人，须有法定代表人出具的授权委托书（正本用原件，副本用复印件，格式见第六章）。</w:t>
      </w:r>
    </w:p>
    <w:p>
      <w:pPr>
        <w:keepNext w:val="0"/>
        <w:keepLines w:val="0"/>
        <w:pageBreakBefore w:val="0"/>
        <w:kinsoku/>
        <w:wordWrap/>
        <w:overflowPunct/>
        <w:topLinePunct w:val="0"/>
        <w:autoSpaceDE/>
        <w:autoSpaceDN/>
        <w:bidi w:val="0"/>
        <w:adjustRightInd/>
        <w:snapToGrid w:val="0"/>
        <w:spacing w:line="360" w:lineRule="auto"/>
        <w:ind w:firstLine="413" w:firstLineChars="196"/>
        <w:jc w:val="left"/>
        <w:textAlignment w:val="auto"/>
        <w:rPr>
          <w:rFonts w:hint="eastAsia" w:ascii="宋体" w:hAnsi="宋体" w:eastAsia="宋体" w:cs="宋体"/>
          <w:b/>
          <w:color w:val="auto"/>
          <w:szCs w:val="21"/>
          <w:highlight w:val="none"/>
        </w:rPr>
      </w:pPr>
      <w:bookmarkStart w:id="37" w:name="_Toc1659"/>
      <w:r>
        <w:rPr>
          <w:rFonts w:hint="eastAsia" w:ascii="宋体" w:hAnsi="宋体" w:eastAsia="宋体" w:cs="宋体"/>
          <w:b/>
          <w:color w:val="auto"/>
          <w:szCs w:val="21"/>
          <w:highlight w:val="none"/>
        </w:rPr>
        <w:t>（五）投标费用</w:t>
      </w:r>
      <w:bookmarkEnd w:id="37"/>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不论投标结果如何，供应商均应自行承担所有与投标有关的全部费用（</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有其他规定除外）。</w:t>
      </w:r>
    </w:p>
    <w:p>
      <w:pPr>
        <w:keepNext w:val="0"/>
        <w:keepLines w:val="0"/>
        <w:pageBreakBefore w:val="0"/>
        <w:kinsoku/>
        <w:wordWrap/>
        <w:overflowPunct/>
        <w:topLinePunct w:val="0"/>
        <w:autoSpaceDE/>
        <w:autoSpaceDN/>
        <w:bidi w:val="0"/>
        <w:adjustRightInd/>
        <w:snapToGrid w:val="0"/>
        <w:spacing w:line="360" w:lineRule="auto"/>
        <w:ind w:firstLine="413" w:firstLineChars="196"/>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（六）联合体投标</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cs="宋体"/>
          <w:color w:val="auto"/>
          <w:szCs w:val="21"/>
          <w:highlight w:val="none"/>
          <w:lang w:val="en-US" w:eastAsia="zh-CN"/>
        </w:rPr>
        <w:t>不</w:t>
      </w:r>
      <w:r>
        <w:rPr>
          <w:rFonts w:hint="eastAsia" w:ascii="宋体" w:hAnsi="宋体" w:eastAsia="宋体" w:cs="宋体"/>
          <w:color w:val="auto"/>
          <w:szCs w:val="21"/>
          <w:highlight w:val="none"/>
        </w:rPr>
        <w:t>允许联合体投标。</w:t>
      </w:r>
    </w:p>
    <w:p>
      <w:pPr>
        <w:keepNext w:val="0"/>
        <w:keepLines w:val="0"/>
        <w:pageBreakBefore w:val="0"/>
        <w:kinsoku/>
        <w:wordWrap/>
        <w:overflowPunct/>
        <w:topLinePunct w:val="0"/>
        <w:autoSpaceDE/>
        <w:autoSpaceDN/>
        <w:bidi w:val="0"/>
        <w:adjustRightInd/>
        <w:snapToGrid w:val="0"/>
        <w:spacing w:line="360" w:lineRule="auto"/>
        <w:ind w:firstLine="413" w:firstLineChars="196"/>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rPr>
        <w:t>（七）</w:t>
      </w:r>
      <w:r>
        <w:rPr>
          <w:rFonts w:hint="eastAsia" w:ascii="宋体" w:hAnsi="宋体" w:eastAsia="宋体" w:cs="宋体"/>
          <w:b/>
          <w:color w:val="auto"/>
          <w:kern w:val="0"/>
          <w:szCs w:val="21"/>
          <w:highlight w:val="none"/>
        </w:rPr>
        <w:t>转包与分包</w:t>
      </w:r>
    </w:p>
    <w:p>
      <w:pPr>
        <w:keepNext w:val="0"/>
        <w:keepLines w:val="0"/>
        <w:pageBreakBefore w:val="0"/>
        <w:kinsoku/>
        <w:wordWrap/>
        <w:overflowPunct/>
        <w:topLinePunct w:val="0"/>
        <w:autoSpaceDE/>
        <w:autoSpaceDN/>
        <w:bidi w:val="0"/>
        <w:adjustRightInd/>
        <w:snapToGrid w:val="0"/>
        <w:spacing w:line="360" w:lineRule="auto"/>
        <w:ind w:firstLine="411" w:firstLineChars="196"/>
        <w:textAlignment w:val="auto"/>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本项目不允许转包</w:t>
      </w:r>
      <w:r>
        <w:rPr>
          <w:rFonts w:hint="eastAsia" w:ascii="宋体" w:hAnsi="宋体" w:eastAsia="宋体" w:cs="宋体"/>
          <w:color w:val="auto"/>
          <w:kern w:val="0"/>
          <w:szCs w:val="21"/>
          <w:highlight w:val="none"/>
          <w:lang w:eastAsia="zh-CN"/>
        </w:rPr>
        <w:t>；未经采购人同意不得分包</w:t>
      </w:r>
      <w:r>
        <w:rPr>
          <w:rFonts w:hint="eastAsia" w:ascii="宋体" w:hAnsi="宋体" w:eastAsia="宋体" w:cs="宋体"/>
          <w:color w:val="auto"/>
          <w:kern w:val="0"/>
          <w:szCs w:val="21"/>
          <w:highlight w:val="none"/>
        </w:rPr>
        <w:t>。</w:t>
      </w:r>
    </w:p>
    <w:p>
      <w:pPr>
        <w:keepNext w:val="0"/>
        <w:keepLines w:val="0"/>
        <w:pageBreakBefore w:val="0"/>
        <w:kinsoku/>
        <w:wordWrap/>
        <w:overflowPunct/>
        <w:topLinePunct w:val="0"/>
        <w:autoSpaceDE/>
        <w:autoSpaceDN/>
        <w:bidi w:val="0"/>
        <w:adjustRightInd/>
        <w:snapToGrid w:val="0"/>
        <w:spacing w:line="360" w:lineRule="auto"/>
        <w:ind w:firstLine="413" w:firstLineChars="196"/>
        <w:jc w:val="left"/>
        <w:textAlignment w:val="auto"/>
        <w:rPr>
          <w:rFonts w:hint="eastAsia" w:ascii="宋体" w:hAnsi="宋体" w:eastAsia="宋体" w:cs="宋体"/>
          <w:b/>
          <w:color w:val="auto"/>
          <w:szCs w:val="21"/>
          <w:highlight w:val="none"/>
        </w:rPr>
      </w:pPr>
      <w:bookmarkStart w:id="38" w:name="_Toc13174"/>
      <w:r>
        <w:rPr>
          <w:rFonts w:hint="eastAsia" w:ascii="宋体" w:hAnsi="宋体" w:eastAsia="宋体" w:cs="宋体"/>
          <w:b/>
          <w:color w:val="auto"/>
          <w:szCs w:val="21"/>
          <w:highlight w:val="none"/>
        </w:rPr>
        <w:t>（八）特别说明：</w:t>
      </w:r>
      <w:bookmarkEnd w:id="38"/>
    </w:p>
    <w:p>
      <w:pPr>
        <w:pStyle w:val="26"/>
        <w:keepNext w:val="0"/>
        <w:keepLines w:val="0"/>
        <w:pageBreakBefore w:val="0"/>
        <w:kinsoku/>
        <w:wordWrap/>
        <w:overflowPunct/>
        <w:topLinePunct w:val="0"/>
        <w:autoSpaceDE/>
        <w:autoSpaceDN/>
        <w:bidi w:val="0"/>
        <w:adjustRightInd/>
        <w:snapToGrid w:val="0"/>
        <w:spacing w:before="0" w:beforeLines="0" w:after="0" w:afterLines="0" w:line="360" w:lineRule="auto"/>
        <w:ind w:left="2" w:leftChars="1"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1、提供相同品牌产品且通过资格审查、符合性审查的不同供应商参加同一合同项下投标的，按一家供应商计算。(如适用)</w:t>
      </w:r>
    </w:p>
    <w:p>
      <w:pPr>
        <w:pStyle w:val="26"/>
        <w:keepNext w:val="0"/>
        <w:keepLines w:val="0"/>
        <w:pageBreakBefore w:val="0"/>
        <w:kinsoku/>
        <w:wordWrap/>
        <w:overflowPunct/>
        <w:topLinePunct w:val="0"/>
        <w:autoSpaceDE/>
        <w:autoSpaceDN/>
        <w:bidi w:val="0"/>
        <w:adjustRightInd/>
        <w:snapToGrid w:val="0"/>
        <w:spacing w:before="0" w:beforeLines="0" w:after="0" w:afterLines="0" w:line="360" w:lineRule="auto"/>
        <w:ind w:left="2" w:leftChars="1"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若采用综合评分法进行评审的，评审后得分最高的同品牌供应商获得中标人推荐资格；评审得分相同的，由评标委员会按照</w:t>
      </w:r>
      <w:r>
        <w:rPr>
          <w:rFonts w:hint="eastAsia" w:hAnsi="宋体" w:eastAsia="宋体" w:cs="宋体"/>
          <w:bCs/>
          <w:color w:val="auto"/>
          <w:highlight w:val="none"/>
          <w:lang w:eastAsia="zh-CN"/>
        </w:rPr>
        <w:t>招标文件</w:t>
      </w:r>
      <w:r>
        <w:rPr>
          <w:rFonts w:hint="eastAsia" w:ascii="宋体" w:hAnsi="宋体" w:eastAsia="宋体" w:cs="宋体"/>
          <w:bCs/>
          <w:color w:val="auto"/>
          <w:highlight w:val="none"/>
        </w:rPr>
        <w:t>规定的方式确定一个供应商获得中标人的推荐资格，</w:t>
      </w:r>
      <w:r>
        <w:rPr>
          <w:rFonts w:hint="eastAsia" w:hAnsi="宋体" w:eastAsia="宋体" w:cs="宋体"/>
          <w:bCs/>
          <w:color w:val="auto"/>
          <w:highlight w:val="none"/>
          <w:lang w:eastAsia="zh-CN"/>
        </w:rPr>
        <w:t>招标文件</w:t>
      </w:r>
      <w:r>
        <w:rPr>
          <w:rFonts w:hint="eastAsia" w:ascii="宋体" w:hAnsi="宋体" w:eastAsia="宋体" w:cs="宋体"/>
          <w:bCs/>
          <w:color w:val="auto"/>
          <w:highlight w:val="none"/>
        </w:rPr>
        <w:t>未规定的采取随机抽取的方式确定，其他同品牌供应商不作为中标候选人。</w:t>
      </w:r>
    </w:p>
    <w:p>
      <w:pPr>
        <w:pStyle w:val="26"/>
        <w:keepNext w:val="0"/>
        <w:keepLines w:val="0"/>
        <w:pageBreakBefore w:val="0"/>
        <w:kinsoku/>
        <w:wordWrap/>
        <w:overflowPunct/>
        <w:topLinePunct w:val="0"/>
        <w:autoSpaceDE/>
        <w:autoSpaceDN/>
        <w:bidi w:val="0"/>
        <w:adjustRightInd/>
        <w:snapToGrid w:val="0"/>
        <w:spacing w:before="0" w:beforeLines="0" w:after="0" w:afterLines="0" w:line="360" w:lineRule="auto"/>
        <w:ind w:left="2" w:leftChars="1"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若采用最低评标价法进行评审的，以报价最低的供应商参加评审，报价相同的，由评标委员会按照</w:t>
      </w:r>
      <w:r>
        <w:rPr>
          <w:rFonts w:hint="eastAsia" w:hAnsi="宋体" w:eastAsia="宋体" w:cs="宋体"/>
          <w:bCs/>
          <w:color w:val="auto"/>
          <w:highlight w:val="none"/>
          <w:lang w:eastAsia="zh-CN"/>
        </w:rPr>
        <w:t>招标文件</w:t>
      </w:r>
      <w:r>
        <w:rPr>
          <w:rFonts w:hint="eastAsia" w:ascii="宋体" w:hAnsi="宋体" w:eastAsia="宋体" w:cs="宋体"/>
          <w:bCs/>
          <w:color w:val="auto"/>
          <w:highlight w:val="none"/>
        </w:rPr>
        <w:t>规定的方式确定一个供应商获得中标人的推荐资格，</w:t>
      </w:r>
      <w:r>
        <w:rPr>
          <w:rFonts w:hint="eastAsia" w:hAnsi="宋体" w:eastAsia="宋体" w:cs="宋体"/>
          <w:bCs/>
          <w:color w:val="auto"/>
          <w:highlight w:val="none"/>
          <w:lang w:eastAsia="zh-CN"/>
        </w:rPr>
        <w:t>招标文件</w:t>
      </w:r>
      <w:r>
        <w:rPr>
          <w:rFonts w:hint="eastAsia" w:ascii="宋体" w:hAnsi="宋体" w:eastAsia="宋体" w:cs="宋体"/>
          <w:bCs/>
          <w:color w:val="auto"/>
          <w:highlight w:val="none"/>
        </w:rPr>
        <w:t>未规定的采取随机抽取的方式确定，其他投标无效。</w:t>
      </w:r>
    </w:p>
    <w:p>
      <w:pPr>
        <w:pStyle w:val="26"/>
        <w:keepNext w:val="0"/>
        <w:keepLines w:val="0"/>
        <w:pageBreakBefore w:val="0"/>
        <w:kinsoku/>
        <w:wordWrap/>
        <w:overflowPunct/>
        <w:topLinePunct w:val="0"/>
        <w:autoSpaceDE/>
        <w:autoSpaceDN/>
        <w:bidi w:val="0"/>
        <w:adjustRightInd/>
        <w:snapToGrid w:val="0"/>
        <w:spacing w:before="0" w:beforeLines="0" w:after="0" w:afterLines="0" w:line="360" w:lineRule="auto"/>
        <w:ind w:left="2" w:leftChars="1"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 xml:space="preserve"> 非单一产品采购项目，供应商使用相同制造产品（相同制造产品是指</w:t>
      </w:r>
      <w:r>
        <w:rPr>
          <w:rFonts w:hint="eastAsia" w:hAnsi="宋体" w:eastAsia="宋体" w:cs="宋体"/>
          <w:bCs/>
          <w:color w:val="auto"/>
          <w:highlight w:val="none"/>
          <w:lang w:eastAsia="zh-CN"/>
        </w:rPr>
        <w:t>招标文件</w:t>
      </w:r>
      <w:r>
        <w:rPr>
          <w:rFonts w:hint="eastAsia" w:ascii="宋体" w:hAnsi="宋体" w:eastAsia="宋体" w:cs="宋体"/>
          <w:bCs/>
          <w:color w:val="auto"/>
          <w:highlight w:val="none"/>
        </w:rPr>
        <w:t>中指定的“核心产品”）作为其项目的一部分，按一家供应商认定。</w:t>
      </w:r>
    </w:p>
    <w:p>
      <w:pPr>
        <w:pStyle w:val="26"/>
        <w:keepNext w:val="0"/>
        <w:keepLines w:val="0"/>
        <w:pageBreakBefore w:val="0"/>
        <w:kinsoku/>
        <w:wordWrap/>
        <w:overflowPunct/>
        <w:topLinePunct w:val="0"/>
        <w:autoSpaceDE/>
        <w:autoSpaceDN/>
        <w:bidi w:val="0"/>
        <w:adjustRightInd/>
        <w:snapToGrid w:val="0"/>
        <w:spacing w:before="0" w:beforeLines="0" w:after="0" w:afterLines="0" w:line="360" w:lineRule="auto"/>
        <w:ind w:left="2" w:leftChars="1"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2、供应商在投标活动中提供任何虚假材料,其投标无效，并报监管部门查处；中标后发现的,中标人须依照相关规定赔偿采购人，且民事赔偿并不免除违法供应商的行政与刑事责任。</w:t>
      </w:r>
    </w:p>
    <w:p>
      <w:pPr>
        <w:pStyle w:val="26"/>
        <w:keepNext w:val="0"/>
        <w:keepLines w:val="0"/>
        <w:pageBreakBefore w:val="0"/>
        <w:kinsoku/>
        <w:wordWrap/>
        <w:overflowPunct/>
        <w:topLinePunct w:val="0"/>
        <w:autoSpaceDE/>
        <w:autoSpaceDN/>
        <w:bidi w:val="0"/>
        <w:adjustRightInd/>
        <w:snapToGrid w:val="0"/>
        <w:spacing w:before="0" w:beforeLines="0" w:after="0" w:afterLines="0" w:line="360" w:lineRule="auto"/>
        <w:ind w:left="2" w:leftChars="1"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3、</w:t>
      </w:r>
      <w:r>
        <w:rPr>
          <w:rFonts w:hint="eastAsia" w:hAnsi="宋体" w:eastAsia="宋体" w:cs="宋体"/>
          <w:bCs/>
          <w:color w:val="auto"/>
          <w:highlight w:val="none"/>
          <w:lang w:eastAsia="zh-CN"/>
        </w:rPr>
        <w:t>招标文件</w:t>
      </w:r>
      <w:r>
        <w:rPr>
          <w:rFonts w:hint="eastAsia" w:ascii="宋体" w:hAnsi="宋体" w:eastAsia="宋体" w:cs="宋体"/>
          <w:bCs/>
          <w:color w:val="auto"/>
          <w:highlight w:val="none"/>
        </w:rPr>
        <w:t xml:space="preserve">的澄清与修改 </w:t>
      </w:r>
    </w:p>
    <w:p>
      <w:pPr>
        <w:pStyle w:val="26"/>
        <w:keepNext w:val="0"/>
        <w:keepLines w:val="0"/>
        <w:pageBreakBefore w:val="0"/>
        <w:kinsoku/>
        <w:wordWrap/>
        <w:overflowPunct/>
        <w:topLinePunct w:val="0"/>
        <w:autoSpaceDE/>
        <w:autoSpaceDN/>
        <w:bidi w:val="0"/>
        <w:adjustRightInd/>
        <w:snapToGrid w:val="0"/>
        <w:spacing w:before="0" w:beforeLines="0" w:after="0" w:afterLines="0" w:line="360" w:lineRule="auto"/>
        <w:ind w:left="2" w:leftChars="1"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（1）采购人或者采购代理机构对</w:t>
      </w:r>
      <w:r>
        <w:rPr>
          <w:rFonts w:hint="eastAsia" w:hAnsi="宋体" w:eastAsia="宋体" w:cs="宋体"/>
          <w:bCs/>
          <w:color w:val="auto"/>
          <w:highlight w:val="none"/>
          <w:lang w:eastAsia="zh-CN"/>
        </w:rPr>
        <w:t>招标文件</w:t>
      </w:r>
      <w:r>
        <w:rPr>
          <w:rFonts w:hint="eastAsia" w:ascii="宋体" w:hAnsi="宋体" w:eastAsia="宋体" w:cs="宋体"/>
          <w:bCs/>
          <w:color w:val="auto"/>
          <w:highlight w:val="none"/>
        </w:rPr>
        <w:t>进行必要的澄清或者修改的，澄清或者修改在原公告发布媒体上发布澄清公告。澄清或者修改的内容可能影响投标文件编制的，澄清公告</w:t>
      </w:r>
      <w:r>
        <w:rPr>
          <w:rFonts w:hint="eastAsia" w:ascii="宋体" w:hAnsi="宋体" w:eastAsia="宋体" w:cs="宋体"/>
          <w:color w:val="auto"/>
          <w:kern w:val="1"/>
          <w:highlight w:val="none"/>
        </w:rPr>
        <w:t>在投标截止时间至少15日前发出；</w:t>
      </w:r>
      <w:r>
        <w:rPr>
          <w:rFonts w:hint="eastAsia" w:ascii="宋体" w:hAnsi="宋体" w:eastAsia="宋体" w:cs="宋体"/>
          <w:bCs/>
          <w:color w:val="auto"/>
          <w:highlight w:val="none"/>
        </w:rPr>
        <w:t>不足15日的，顺延提交投标文件的截止时间。</w:t>
      </w:r>
    </w:p>
    <w:p>
      <w:pPr>
        <w:pStyle w:val="26"/>
        <w:keepNext w:val="0"/>
        <w:keepLines w:val="0"/>
        <w:pageBreakBefore w:val="0"/>
        <w:kinsoku/>
        <w:wordWrap/>
        <w:overflowPunct/>
        <w:topLinePunct w:val="0"/>
        <w:autoSpaceDE/>
        <w:autoSpaceDN/>
        <w:bidi w:val="0"/>
        <w:adjustRightInd/>
        <w:snapToGrid w:val="0"/>
        <w:spacing w:before="0" w:beforeLines="0" w:after="0" w:afterLines="0" w:line="360" w:lineRule="auto"/>
        <w:ind w:left="2" w:leftChars="1"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2</w:t>
      </w:r>
      <w:r>
        <w:rPr>
          <w:rFonts w:hint="eastAsia" w:ascii="宋体" w:hAnsi="宋体" w:eastAsia="宋体" w:cs="宋体"/>
          <w:bCs/>
          <w:color w:val="auto"/>
          <w:highlight w:val="none"/>
        </w:rPr>
        <w:t>）澄清公告为</w:t>
      </w:r>
      <w:r>
        <w:rPr>
          <w:rFonts w:hint="eastAsia" w:hAnsi="宋体" w:eastAsia="宋体" w:cs="宋体"/>
          <w:bCs/>
          <w:color w:val="auto"/>
          <w:highlight w:val="none"/>
          <w:lang w:eastAsia="zh-CN"/>
        </w:rPr>
        <w:t>招标文件</w:t>
      </w:r>
      <w:r>
        <w:rPr>
          <w:rFonts w:hint="eastAsia" w:ascii="宋体" w:hAnsi="宋体" w:eastAsia="宋体" w:cs="宋体"/>
          <w:bCs/>
          <w:color w:val="auto"/>
          <w:highlight w:val="none"/>
        </w:rPr>
        <w:t>的组成部分，一经在网站发布，视同已通知所有</w:t>
      </w:r>
      <w:r>
        <w:rPr>
          <w:rFonts w:hint="eastAsia" w:hAnsi="宋体" w:eastAsia="宋体" w:cs="宋体"/>
          <w:bCs/>
          <w:color w:val="auto"/>
          <w:highlight w:val="none"/>
          <w:lang w:eastAsia="zh-CN"/>
        </w:rPr>
        <w:t>招标文件</w:t>
      </w:r>
      <w:r>
        <w:rPr>
          <w:rFonts w:hint="eastAsia" w:ascii="宋体" w:hAnsi="宋体" w:eastAsia="宋体" w:cs="宋体"/>
          <w:bCs/>
          <w:color w:val="auto"/>
          <w:highlight w:val="none"/>
        </w:rPr>
        <w:t>的收受人，不再采用其它方式传达相关信息, 若因未能及时了解到上述网站上发布的相关信息而导致的一切后果自行承担。</w:t>
      </w:r>
    </w:p>
    <w:p>
      <w:pPr>
        <w:pStyle w:val="26"/>
        <w:keepNext w:val="0"/>
        <w:keepLines w:val="0"/>
        <w:pageBreakBefore w:val="0"/>
        <w:kinsoku/>
        <w:wordWrap/>
        <w:overflowPunct/>
        <w:topLinePunct w:val="0"/>
        <w:autoSpaceDE/>
        <w:autoSpaceDN/>
        <w:bidi w:val="0"/>
        <w:adjustRightInd/>
        <w:snapToGrid w:val="0"/>
        <w:spacing w:before="0" w:beforeLines="0" w:after="0" w:afterLines="0" w:line="360" w:lineRule="auto"/>
        <w:ind w:left="2" w:leftChars="1"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w:t>
      </w:r>
      <w:r>
        <w:rPr>
          <w:rFonts w:hint="eastAsia" w:hAnsi="宋体" w:eastAsia="宋体" w:cs="宋体"/>
          <w:bCs/>
          <w:color w:val="auto"/>
          <w:highlight w:val="none"/>
          <w:lang w:eastAsia="zh-CN"/>
        </w:rPr>
        <w:t>招标文件</w:t>
      </w:r>
      <w:r>
        <w:rPr>
          <w:rFonts w:hint="eastAsia" w:ascii="宋体" w:hAnsi="宋体" w:eastAsia="宋体" w:cs="宋体"/>
          <w:bCs/>
          <w:color w:val="auto"/>
          <w:highlight w:val="none"/>
        </w:rPr>
        <w:t>澄清、答复、修改、补充的内容为</w:t>
      </w:r>
      <w:r>
        <w:rPr>
          <w:rFonts w:hint="eastAsia" w:hAnsi="宋体" w:eastAsia="宋体" w:cs="宋体"/>
          <w:bCs/>
          <w:color w:val="auto"/>
          <w:highlight w:val="none"/>
          <w:lang w:eastAsia="zh-CN"/>
        </w:rPr>
        <w:t>招标文件</w:t>
      </w:r>
      <w:r>
        <w:rPr>
          <w:rFonts w:hint="eastAsia" w:ascii="宋体" w:hAnsi="宋体" w:eastAsia="宋体" w:cs="宋体"/>
          <w:bCs/>
          <w:color w:val="auto"/>
          <w:highlight w:val="none"/>
        </w:rPr>
        <w:t>的组成部分。当</w:t>
      </w:r>
      <w:r>
        <w:rPr>
          <w:rFonts w:hint="eastAsia" w:hAnsi="宋体" w:eastAsia="宋体" w:cs="宋体"/>
          <w:bCs/>
          <w:color w:val="auto"/>
          <w:highlight w:val="none"/>
          <w:lang w:eastAsia="zh-CN"/>
        </w:rPr>
        <w:t>招标文件</w:t>
      </w:r>
      <w:r>
        <w:rPr>
          <w:rFonts w:hint="eastAsia" w:ascii="宋体" w:hAnsi="宋体" w:eastAsia="宋体" w:cs="宋体"/>
          <w:bCs/>
          <w:color w:val="auto"/>
          <w:highlight w:val="none"/>
        </w:rPr>
        <w:t>与</w:t>
      </w:r>
      <w:r>
        <w:rPr>
          <w:rFonts w:hint="eastAsia" w:hAnsi="宋体" w:eastAsia="宋体" w:cs="宋体"/>
          <w:bCs/>
          <w:color w:val="auto"/>
          <w:highlight w:val="none"/>
          <w:lang w:eastAsia="zh-CN"/>
        </w:rPr>
        <w:t>招标文件</w:t>
      </w:r>
      <w:r>
        <w:rPr>
          <w:rFonts w:hint="eastAsia" w:ascii="宋体" w:hAnsi="宋体" w:eastAsia="宋体" w:cs="宋体"/>
          <w:bCs/>
          <w:color w:val="auto"/>
          <w:highlight w:val="none"/>
        </w:rPr>
        <w:t>的答复、澄清、修改、补充通知就同一内容的表述不一致时，以最后发出的澄清公告为准。</w:t>
      </w:r>
    </w:p>
    <w:p>
      <w:pPr>
        <w:pStyle w:val="26"/>
        <w:keepNext w:val="0"/>
        <w:keepLines w:val="0"/>
        <w:pageBreakBefore w:val="0"/>
        <w:kinsoku/>
        <w:wordWrap/>
        <w:overflowPunct/>
        <w:topLinePunct w:val="0"/>
        <w:autoSpaceDE/>
        <w:autoSpaceDN/>
        <w:bidi w:val="0"/>
        <w:adjustRightInd/>
        <w:snapToGrid w:val="0"/>
        <w:spacing w:before="0" w:beforeLines="0" w:after="0" w:afterLines="0" w:line="360" w:lineRule="auto"/>
        <w:ind w:left="2" w:leftChars="1"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4</w:t>
      </w:r>
      <w:r>
        <w:rPr>
          <w:rFonts w:hint="eastAsia" w:ascii="宋体" w:hAnsi="宋体" w:eastAsia="宋体" w:cs="宋体"/>
          <w:bCs/>
          <w:color w:val="auto"/>
          <w:highlight w:val="none"/>
        </w:rPr>
        <w:t>）</w:t>
      </w:r>
      <w:r>
        <w:rPr>
          <w:rFonts w:hint="eastAsia" w:hAnsi="宋体" w:eastAsia="宋体" w:cs="宋体"/>
          <w:bCs/>
          <w:color w:val="auto"/>
          <w:highlight w:val="none"/>
          <w:lang w:eastAsia="zh-CN"/>
        </w:rPr>
        <w:t>招标文件</w:t>
      </w:r>
      <w:r>
        <w:rPr>
          <w:rFonts w:hint="eastAsia" w:ascii="宋体" w:hAnsi="宋体" w:eastAsia="宋体" w:cs="宋体"/>
          <w:bCs/>
          <w:color w:val="auto"/>
          <w:highlight w:val="none"/>
        </w:rPr>
        <w:t>的澄清、答复、修改或补充都应该通过本代理机构以法定形式发布，采购人非通过本机构，不得擅自澄清、答复、修改或补充</w:t>
      </w:r>
      <w:r>
        <w:rPr>
          <w:rFonts w:hint="eastAsia" w:hAnsi="宋体" w:eastAsia="宋体" w:cs="宋体"/>
          <w:bCs/>
          <w:color w:val="auto"/>
          <w:highlight w:val="none"/>
          <w:lang w:eastAsia="zh-CN"/>
        </w:rPr>
        <w:t>招标文件</w:t>
      </w:r>
      <w:r>
        <w:rPr>
          <w:rFonts w:hint="eastAsia" w:ascii="宋体" w:hAnsi="宋体" w:eastAsia="宋体" w:cs="宋体"/>
          <w:bCs/>
          <w:color w:val="auto"/>
          <w:highlight w:val="none"/>
        </w:rPr>
        <w:t>。</w:t>
      </w:r>
    </w:p>
    <w:p>
      <w:pPr>
        <w:pStyle w:val="26"/>
        <w:keepNext w:val="0"/>
        <w:keepLines w:val="0"/>
        <w:pageBreakBefore w:val="0"/>
        <w:kinsoku/>
        <w:wordWrap/>
        <w:overflowPunct/>
        <w:topLinePunct w:val="0"/>
        <w:autoSpaceDE/>
        <w:autoSpaceDN/>
        <w:bidi w:val="0"/>
        <w:adjustRightInd/>
        <w:snapToGrid w:val="0"/>
        <w:spacing w:before="0" w:beforeLines="0" w:after="0" w:afterLines="0" w:line="360" w:lineRule="auto"/>
        <w:ind w:left="2" w:leftChars="1"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4、关于分公司投标</w:t>
      </w:r>
    </w:p>
    <w:p>
      <w:pPr>
        <w:pStyle w:val="26"/>
        <w:keepNext w:val="0"/>
        <w:keepLines w:val="0"/>
        <w:pageBreakBefore w:val="0"/>
        <w:kinsoku/>
        <w:wordWrap/>
        <w:overflowPunct/>
        <w:topLinePunct w:val="0"/>
        <w:autoSpaceDE/>
        <w:autoSpaceDN/>
        <w:bidi w:val="0"/>
        <w:adjustRightInd/>
        <w:snapToGrid w:val="0"/>
        <w:spacing w:before="0" w:beforeLines="0" w:after="0" w:afterLines="0" w:line="360" w:lineRule="auto"/>
        <w:ind w:left="2" w:leftChars="1"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p>
      <w:pPr>
        <w:pStyle w:val="26"/>
        <w:keepNext w:val="0"/>
        <w:keepLines w:val="0"/>
        <w:pageBreakBefore w:val="0"/>
        <w:kinsoku/>
        <w:wordWrap/>
        <w:overflowPunct/>
        <w:topLinePunct w:val="0"/>
        <w:autoSpaceDE/>
        <w:autoSpaceDN/>
        <w:bidi w:val="0"/>
        <w:adjustRightInd/>
        <w:snapToGrid w:val="0"/>
        <w:spacing w:before="0" w:beforeLines="0" w:after="0" w:afterLines="0" w:line="360" w:lineRule="auto"/>
        <w:ind w:left="2" w:leftChars="1"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5、关于知识产权</w:t>
      </w:r>
    </w:p>
    <w:p>
      <w:pPr>
        <w:pStyle w:val="26"/>
        <w:keepNext w:val="0"/>
        <w:keepLines w:val="0"/>
        <w:pageBreakBefore w:val="0"/>
        <w:kinsoku/>
        <w:wordWrap/>
        <w:overflowPunct/>
        <w:topLinePunct w:val="0"/>
        <w:autoSpaceDE/>
        <w:autoSpaceDN/>
        <w:bidi w:val="0"/>
        <w:adjustRightInd/>
        <w:snapToGrid w:val="0"/>
        <w:spacing w:before="0" w:beforeLines="0" w:after="0" w:afterLines="0" w:line="360" w:lineRule="auto"/>
        <w:ind w:left="2" w:leftChars="1"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1）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pStyle w:val="26"/>
        <w:keepNext w:val="0"/>
        <w:keepLines w:val="0"/>
        <w:pageBreakBefore w:val="0"/>
        <w:kinsoku/>
        <w:wordWrap/>
        <w:overflowPunct/>
        <w:topLinePunct w:val="0"/>
        <w:autoSpaceDE/>
        <w:autoSpaceDN/>
        <w:bidi w:val="0"/>
        <w:adjustRightInd/>
        <w:snapToGrid w:val="0"/>
        <w:spacing w:before="0" w:beforeLines="0" w:after="0" w:afterLines="0" w:line="360" w:lineRule="auto"/>
        <w:ind w:left="2" w:leftChars="1"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（2）投标报价应包含所有应向所有权人支付的专利权、商标权或其它知识产权的一切相关费用。</w:t>
      </w:r>
    </w:p>
    <w:p>
      <w:pPr>
        <w:pStyle w:val="26"/>
        <w:keepNext w:val="0"/>
        <w:keepLines w:val="0"/>
        <w:pageBreakBefore w:val="0"/>
        <w:kinsoku/>
        <w:wordWrap/>
        <w:overflowPunct/>
        <w:topLinePunct w:val="0"/>
        <w:autoSpaceDE/>
        <w:autoSpaceDN/>
        <w:bidi w:val="0"/>
        <w:adjustRightInd/>
        <w:snapToGrid w:val="0"/>
        <w:spacing w:before="0" w:beforeLines="0" w:after="0" w:afterLines="0" w:line="360" w:lineRule="auto"/>
        <w:ind w:left="2" w:leftChars="1"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（3）系统软件、通用软件必须是具有在中国境内的合法使用权或版权的正版软件，涉及到第三方提出侵权或知识产权的起诉及支付版税等费用由供应商承担所有责任及费用。</w:t>
      </w:r>
    </w:p>
    <w:p>
      <w:pPr>
        <w:pStyle w:val="26"/>
        <w:keepNext w:val="0"/>
        <w:keepLines w:val="0"/>
        <w:pageBreakBefore w:val="0"/>
        <w:kinsoku/>
        <w:wordWrap/>
        <w:overflowPunct/>
        <w:topLinePunct w:val="0"/>
        <w:autoSpaceDE/>
        <w:autoSpaceDN/>
        <w:bidi w:val="0"/>
        <w:adjustRightInd/>
        <w:snapToGrid w:val="0"/>
        <w:spacing w:before="0" w:beforeLines="0" w:after="0" w:afterLines="0" w:line="360" w:lineRule="auto"/>
        <w:ind w:left="2" w:leftChars="1"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6、供应商的风险</w:t>
      </w:r>
    </w:p>
    <w:p>
      <w:pPr>
        <w:pStyle w:val="26"/>
        <w:keepNext w:val="0"/>
        <w:keepLines w:val="0"/>
        <w:pageBreakBefore w:val="0"/>
        <w:kinsoku/>
        <w:wordWrap/>
        <w:overflowPunct/>
        <w:topLinePunct w:val="0"/>
        <w:autoSpaceDE/>
        <w:autoSpaceDN/>
        <w:bidi w:val="0"/>
        <w:adjustRightInd/>
        <w:snapToGrid w:val="0"/>
        <w:spacing w:before="0" w:beforeLines="0" w:after="0" w:afterLines="0" w:line="360" w:lineRule="auto"/>
        <w:ind w:left="2" w:leftChars="1"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（1）供应商应详细阅读</w:t>
      </w:r>
      <w:r>
        <w:rPr>
          <w:rFonts w:hint="eastAsia" w:hAnsi="宋体" w:eastAsia="宋体" w:cs="宋体"/>
          <w:bCs/>
          <w:color w:val="auto"/>
          <w:highlight w:val="none"/>
          <w:lang w:eastAsia="zh-CN"/>
        </w:rPr>
        <w:t>招标文件</w:t>
      </w:r>
      <w:r>
        <w:rPr>
          <w:rFonts w:hint="eastAsia" w:ascii="宋体" w:hAnsi="宋体" w:eastAsia="宋体" w:cs="宋体"/>
          <w:bCs/>
          <w:color w:val="auto"/>
          <w:highlight w:val="none"/>
        </w:rPr>
        <w:t>中的全部内容和要求，按照</w:t>
      </w:r>
      <w:r>
        <w:rPr>
          <w:rFonts w:hint="eastAsia" w:hAnsi="宋体" w:eastAsia="宋体" w:cs="宋体"/>
          <w:bCs/>
          <w:color w:val="auto"/>
          <w:highlight w:val="none"/>
          <w:lang w:eastAsia="zh-CN"/>
        </w:rPr>
        <w:t>招标文件</w:t>
      </w:r>
      <w:r>
        <w:rPr>
          <w:rFonts w:hint="eastAsia" w:ascii="宋体" w:hAnsi="宋体" w:eastAsia="宋体" w:cs="宋体"/>
          <w:bCs/>
          <w:color w:val="auto"/>
          <w:highlight w:val="none"/>
        </w:rPr>
        <w:t>的要求提交投标文件，没有按照</w:t>
      </w:r>
      <w:r>
        <w:rPr>
          <w:rFonts w:hint="eastAsia" w:hAnsi="宋体" w:eastAsia="宋体" w:cs="宋体"/>
          <w:bCs/>
          <w:color w:val="auto"/>
          <w:highlight w:val="none"/>
          <w:lang w:eastAsia="zh-CN"/>
        </w:rPr>
        <w:t>招标文件</w:t>
      </w:r>
      <w:r>
        <w:rPr>
          <w:rFonts w:hint="eastAsia" w:ascii="宋体" w:hAnsi="宋体" w:eastAsia="宋体" w:cs="宋体"/>
          <w:bCs/>
          <w:color w:val="auto"/>
          <w:highlight w:val="none"/>
        </w:rPr>
        <w:t>要求提供投标文件和资料导致的风险由供应商承担,并对所提供的全部资料的真实性承担法律责任。</w:t>
      </w:r>
    </w:p>
    <w:p>
      <w:pPr>
        <w:pStyle w:val="26"/>
        <w:keepNext w:val="0"/>
        <w:keepLines w:val="0"/>
        <w:pageBreakBefore w:val="0"/>
        <w:kinsoku/>
        <w:wordWrap/>
        <w:overflowPunct/>
        <w:topLinePunct w:val="0"/>
        <w:autoSpaceDE/>
        <w:autoSpaceDN/>
        <w:bidi w:val="0"/>
        <w:adjustRightInd/>
        <w:snapToGrid w:val="0"/>
        <w:spacing w:before="0" w:beforeLines="0" w:after="0" w:afterLines="0" w:line="360" w:lineRule="auto"/>
        <w:ind w:left="2" w:leftChars="1"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（2）无论因何种原因导致本次采购活动终止致供应商损失的，相关责任人均不承担任何责任。</w:t>
      </w:r>
    </w:p>
    <w:p>
      <w:pPr>
        <w:pStyle w:val="26"/>
        <w:keepNext w:val="0"/>
        <w:keepLines w:val="0"/>
        <w:pageBreakBefore w:val="0"/>
        <w:kinsoku/>
        <w:wordWrap/>
        <w:overflowPunct/>
        <w:topLinePunct w:val="0"/>
        <w:autoSpaceDE/>
        <w:autoSpaceDN/>
        <w:bidi w:val="0"/>
        <w:adjustRightInd/>
        <w:snapToGrid w:val="0"/>
        <w:spacing w:before="0" w:beforeLines="0" w:after="0" w:afterLines="0" w:line="360" w:lineRule="auto"/>
        <w:ind w:left="2" w:leftChars="1" w:firstLine="420" w:firstLineChars="200"/>
        <w:textAlignment w:val="auto"/>
        <w:rPr>
          <w:rFonts w:hint="eastAsia" w:ascii="宋体" w:hAnsi="宋体" w:eastAsia="宋体" w:cs="宋体"/>
          <w:b/>
          <w:color w:val="auto"/>
          <w:highlight w:val="none"/>
        </w:rPr>
      </w:pPr>
      <w:r>
        <w:rPr>
          <w:rFonts w:hint="eastAsia" w:ascii="宋体" w:hAnsi="宋体" w:eastAsia="宋体" w:cs="宋体"/>
          <w:bCs/>
          <w:color w:val="auto"/>
          <w:highlight w:val="none"/>
        </w:rPr>
        <w:t>7、解释：本</w:t>
      </w:r>
      <w:r>
        <w:rPr>
          <w:rFonts w:hint="eastAsia" w:hAnsi="宋体" w:eastAsia="宋体" w:cs="宋体"/>
          <w:bCs/>
          <w:color w:val="auto"/>
          <w:highlight w:val="none"/>
          <w:lang w:eastAsia="zh-CN"/>
        </w:rPr>
        <w:t>招标文件</w:t>
      </w:r>
      <w:r>
        <w:rPr>
          <w:rFonts w:hint="eastAsia" w:ascii="宋体" w:hAnsi="宋体" w:eastAsia="宋体" w:cs="宋体"/>
          <w:bCs/>
          <w:color w:val="auto"/>
          <w:highlight w:val="none"/>
        </w:rPr>
        <w:t>的解释权属于采购人。</w:t>
      </w:r>
    </w:p>
    <w:p>
      <w:pPr>
        <w:pStyle w:val="26"/>
        <w:keepNext w:val="0"/>
        <w:keepLines w:val="0"/>
        <w:pageBreakBefore w:val="0"/>
        <w:kinsoku/>
        <w:wordWrap/>
        <w:overflowPunct/>
        <w:topLinePunct w:val="0"/>
        <w:autoSpaceDE/>
        <w:autoSpaceDN/>
        <w:bidi w:val="0"/>
        <w:adjustRightInd/>
        <w:snapToGrid w:val="0"/>
        <w:spacing w:before="0" w:beforeLines="0" w:after="0" w:afterLines="0" w:line="360" w:lineRule="auto"/>
        <w:ind w:firstLine="413" w:firstLineChars="196"/>
        <w:textAlignment w:val="auto"/>
        <w:rPr>
          <w:rFonts w:hint="eastAsia" w:ascii="宋体" w:hAnsi="宋体" w:eastAsia="宋体" w:cs="宋体"/>
          <w:b/>
          <w:bCs/>
          <w:color w:val="auto"/>
          <w:highlight w:val="none"/>
        </w:rPr>
      </w:pPr>
      <w:bookmarkStart w:id="39" w:name="_Toc13650"/>
      <w:r>
        <w:rPr>
          <w:rFonts w:hint="eastAsia" w:ascii="宋体" w:hAnsi="宋体" w:eastAsia="宋体" w:cs="宋体"/>
          <w:b/>
          <w:bCs/>
          <w:color w:val="auto"/>
          <w:highlight w:val="none"/>
        </w:rPr>
        <w:t>（九）质疑和投诉</w:t>
      </w:r>
      <w:bookmarkEnd w:id="39"/>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rPr>
      </w:pPr>
      <w:bookmarkStart w:id="40" w:name="_Toc27142"/>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供应商认为</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提出质疑的供应商应当是参与所质疑项目采购活动的供应商。未依法获取</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的，不得就</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提出质疑；未提交投标文件的供应商，视为与采购结果没有利害关系，不得就采购响应截止时间后的采购过程、采购结果提出质疑。</w:t>
      </w:r>
    </w:p>
    <w:p>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供应商提出质疑应当提交质疑函和必要的证明材料，质疑函应当面以书面形式提出，质疑函格式和内容须符合财政部《质疑函范本》要求，供应商可到</w:t>
      </w:r>
      <w:r>
        <w:rPr>
          <w:rFonts w:hint="eastAsia" w:ascii="宋体" w:hAnsi="宋体"/>
          <w:color w:val="auto"/>
          <w:kern w:val="0"/>
          <w:highlight w:val="none"/>
        </w:rPr>
        <w:t>浙江政府采购网下载专区下载。</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第一章有关联系方式。</w:t>
      </w:r>
    </w:p>
    <w:p>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供应商对采购人或采购代理机构的质疑答复不满意或者采购人或采购代理机构未在规定时间内作出答复的，可以在答复期满后十五个工作日内向同级采购监管部门投诉。</w:t>
      </w:r>
      <w:r>
        <w:rPr>
          <w:rFonts w:hint="eastAsia" w:ascii="宋体" w:hAnsi="宋体"/>
          <w:color w:val="auto"/>
          <w:kern w:val="0"/>
          <w:highlight w:val="none"/>
        </w:rPr>
        <w:t>投诉书范本请到浙江政府采购网下载专区下载。</w:t>
      </w:r>
    </w:p>
    <w:p>
      <w:pPr>
        <w:pStyle w:val="26"/>
        <w:keepNext w:val="0"/>
        <w:keepLines w:val="0"/>
        <w:pageBreakBefore w:val="0"/>
        <w:kinsoku/>
        <w:wordWrap/>
        <w:overflowPunct/>
        <w:topLinePunct w:val="0"/>
        <w:autoSpaceDE/>
        <w:autoSpaceDN/>
        <w:bidi w:val="0"/>
        <w:adjustRightInd/>
        <w:snapToGrid w:val="0"/>
        <w:spacing w:before="0" w:beforeLines="0" w:after="0" w:afterLines="0" w:line="360" w:lineRule="auto"/>
        <w:ind w:firstLine="413" w:firstLineChars="196"/>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rPr>
        <w:t xml:space="preserve">二  </w:t>
      </w:r>
      <w:bookmarkEnd w:id="40"/>
      <w:r>
        <w:rPr>
          <w:rFonts w:hint="eastAsia" w:hAnsi="宋体" w:eastAsia="宋体" w:cs="宋体"/>
          <w:b/>
          <w:color w:val="auto"/>
          <w:highlight w:val="none"/>
          <w:lang w:eastAsia="zh-CN"/>
        </w:rPr>
        <w:t>招标文件</w:t>
      </w:r>
    </w:p>
    <w:p>
      <w:pPr>
        <w:keepNext w:val="0"/>
        <w:keepLines w:val="0"/>
        <w:pageBreakBefore w:val="0"/>
        <w:kinsoku/>
        <w:wordWrap/>
        <w:overflowPunct/>
        <w:topLinePunct w:val="0"/>
        <w:autoSpaceDE/>
        <w:autoSpaceDN/>
        <w:bidi w:val="0"/>
        <w:adjustRightInd/>
        <w:snapToGrid w:val="0"/>
        <w:spacing w:line="360" w:lineRule="auto"/>
        <w:ind w:firstLine="413" w:firstLineChars="196"/>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w:t>
      </w:r>
      <w:r>
        <w:rPr>
          <w:rFonts w:hint="eastAsia" w:ascii="宋体" w:hAnsi="宋体" w:eastAsia="宋体" w:cs="宋体"/>
          <w:b/>
          <w:color w:val="auto"/>
          <w:szCs w:val="21"/>
          <w:highlight w:val="none"/>
          <w:lang w:eastAsia="zh-CN"/>
        </w:rPr>
        <w:t>招标文件</w:t>
      </w:r>
      <w:r>
        <w:rPr>
          <w:rFonts w:hint="eastAsia" w:ascii="宋体" w:hAnsi="宋体" w:eastAsia="宋体" w:cs="宋体"/>
          <w:b/>
          <w:color w:val="auto"/>
          <w:szCs w:val="21"/>
          <w:highlight w:val="none"/>
        </w:rPr>
        <w:t>的构成。本</w:t>
      </w:r>
      <w:r>
        <w:rPr>
          <w:rFonts w:hint="eastAsia" w:ascii="宋体" w:hAnsi="宋体" w:eastAsia="宋体" w:cs="宋体"/>
          <w:b/>
          <w:color w:val="auto"/>
          <w:szCs w:val="21"/>
          <w:highlight w:val="none"/>
          <w:lang w:eastAsia="zh-CN"/>
        </w:rPr>
        <w:t>招标文件</w:t>
      </w:r>
      <w:r>
        <w:rPr>
          <w:rFonts w:hint="eastAsia" w:ascii="宋体" w:hAnsi="宋体" w:eastAsia="宋体" w:cs="宋体"/>
          <w:b/>
          <w:color w:val="auto"/>
          <w:szCs w:val="21"/>
          <w:highlight w:val="none"/>
        </w:rPr>
        <w:t>由以下</w:t>
      </w:r>
      <w:r>
        <w:rPr>
          <w:rFonts w:hint="eastAsia" w:ascii="宋体" w:hAnsi="宋体" w:eastAsia="宋体" w:cs="宋体"/>
          <w:b/>
          <w:color w:val="auto"/>
          <w:szCs w:val="21"/>
          <w:highlight w:val="none"/>
          <w:lang w:val="en-US" w:eastAsia="zh-CN"/>
        </w:rPr>
        <w:t>部分</w:t>
      </w:r>
      <w:r>
        <w:rPr>
          <w:rFonts w:hint="eastAsia" w:ascii="宋体" w:hAnsi="宋体" w:eastAsia="宋体" w:cs="宋体"/>
          <w:b/>
          <w:color w:val="auto"/>
          <w:szCs w:val="21"/>
          <w:highlight w:val="none"/>
        </w:rPr>
        <w:t>组成：</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、公开招标公告</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采购需求</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供应商须知</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评标办法及评分标准</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政府采购合同主要条款</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投标文件格式</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本项目</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的澄清、答复、修改、补充的内容</w:t>
      </w:r>
    </w:p>
    <w:p>
      <w:pPr>
        <w:keepNext w:val="0"/>
        <w:keepLines w:val="0"/>
        <w:pageBreakBefore w:val="0"/>
        <w:kinsoku/>
        <w:wordWrap/>
        <w:overflowPunct/>
        <w:topLinePunct w:val="0"/>
        <w:autoSpaceDE/>
        <w:autoSpaceDN/>
        <w:bidi w:val="0"/>
        <w:adjustRightInd/>
        <w:snapToGrid w:val="0"/>
        <w:spacing w:line="360" w:lineRule="auto"/>
        <w:ind w:firstLine="413" w:firstLineChars="196"/>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（二）供应商的风险</w:t>
      </w:r>
    </w:p>
    <w:p>
      <w:pPr>
        <w:pStyle w:val="38"/>
        <w:keepNext w:val="0"/>
        <w:keepLines w:val="0"/>
        <w:pageBreakBefore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供应商没有按照</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要求提供全部资料，或者供应商没有对</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在各方面作出实质性响应是供应商的风险，并可能导致其投标被拒绝。</w:t>
      </w:r>
    </w:p>
    <w:p>
      <w:pPr>
        <w:pStyle w:val="26"/>
        <w:keepNext w:val="0"/>
        <w:keepLines w:val="0"/>
        <w:pageBreakBefore w:val="0"/>
        <w:kinsoku/>
        <w:wordWrap/>
        <w:overflowPunct/>
        <w:topLinePunct w:val="0"/>
        <w:autoSpaceDE/>
        <w:autoSpaceDN/>
        <w:bidi w:val="0"/>
        <w:adjustRightInd/>
        <w:snapToGrid w:val="0"/>
        <w:spacing w:before="0" w:beforeLines="0" w:after="0" w:afterLines="0" w:line="360" w:lineRule="auto"/>
        <w:ind w:firstLine="413" w:firstLineChars="196"/>
        <w:textAlignment w:val="auto"/>
        <w:rPr>
          <w:rFonts w:hint="eastAsia" w:ascii="宋体" w:hAnsi="宋体" w:eastAsia="宋体" w:cs="宋体"/>
          <w:b/>
          <w:color w:val="auto"/>
          <w:highlight w:val="none"/>
        </w:rPr>
      </w:pPr>
      <w:bookmarkStart w:id="41" w:name="_Toc24324"/>
      <w:r>
        <w:rPr>
          <w:rFonts w:hint="eastAsia" w:ascii="宋体" w:hAnsi="宋体" w:eastAsia="宋体" w:cs="宋体"/>
          <w:b/>
          <w:color w:val="auto"/>
          <w:highlight w:val="none"/>
        </w:rPr>
        <w:t>三、投标文件的编制</w:t>
      </w:r>
      <w:bookmarkEnd w:id="41"/>
    </w:p>
    <w:p>
      <w:pPr>
        <w:keepNext w:val="0"/>
        <w:keepLines w:val="0"/>
        <w:pageBreakBefore w:val="0"/>
        <w:kinsoku/>
        <w:wordWrap/>
        <w:overflowPunct/>
        <w:topLinePunct w:val="0"/>
        <w:autoSpaceDE/>
        <w:autoSpaceDN/>
        <w:bidi w:val="0"/>
        <w:adjustRightInd/>
        <w:snapToGrid w:val="0"/>
        <w:spacing w:line="360" w:lineRule="auto"/>
        <w:ind w:firstLine="413" w:firstLineChars="196"/>
        <w:jc w:val="left"/>
        <w:textAlignment w:val="auto"/>
        <w:rPr>
          <w:rFonts w:hint="eastAsia" w:ascii="宋体" w:hAnsi="宋体" w:eastAsia="宋体" w:cs="宋体"/>
          <w:b/>
          <w:color w:val="auto"/>
          <w:szCs w:val="21"/>
          <w:highlight w:val="none"/>
        </w:rPr>
      </w:pPr>
      <w:bookmarkStart w:id="42" w:name="_Toc16622"/>
      <w:r>
        <w:rPr>
          <w:rFonts w:hint="eastAsia" w:ascii="宋体" w:hAnsi="宋体" w:eastAsia="宋体" w:cs="宋体"/>
          <w:b/>
          <w:color w:val="auto"/>
          <w:szCs w:val="21"/>
          <w:highlight w:val="none"/>
        </w:rPr>
        <w:t>（一）投标文件的组成</w:t>
      </w:r>
      <w:bookmarkEnd w:id="42"/>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投标文件由</w:t>
      </w:r>
      <w:r>
        <w:rPr>
          <w:rFonts w:hint="eastAsia" w:ascii="宋体" w:hAnsi="宋体" w:eastAsia="宋体" w:cs="宋体"/>
          <w:color w:val="auto"/>
          <w:highlight w:val="none"/>
          <w:lang w:eastAsia="zh-CN"/>
        </w:rPr>
        <w:t>资格文件</w:t>
      </w:r>
      <w:r>
        <w:rPr>
          <w:rFonts w:hint="eastAsia" w:ascii="宋体" w:hAnsi="宋体" w:eastAsia="宋体" w:cs="宋体"/>
          <w:color w:val="auto"/>
          <w:highlight w:val="none"/>
        </w:rPr>
        <w:t>、商务技术文件和报价文件三部分组成。</w:t>
      </w:r>
    </w:p>
    <w:p>
      <w:pPr>
        <w:keepNext w:val="0"/>
        <w:keepLines w:val="0"/>
        <w:pageBreakBefore w:val="0"/>
        <w:numPr>
          <w:ilvl w:val="0"/>
          <w:numId w:val="8"/>
        </w:numPr>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资格文件</w:t>
      </w:r>
      <w:r>
        <w:rPr>
          <w:rFonts w:hint="eastAsia" w:ascii="宋体" w:hAnsi="宋体" w:eastAsia="宋体" w:cs="宋体"/>
          <w:b/>
          <w:bCs/>
          <w:color w:val="auto"/>
          <w:highlight w:val="none"/>
        </w:rPr>
        <w:t>：</w:t>
      </w:r>
    </w:p>
    <w:p>
      <w:pPr>
        <w:keepNext w:val="0"/>
        <w:keepLines w:val="0"/>
        <w:pageBreakBefore w:val="0"/>
        <w:numPr>
          <w:ilvl w:val="0"/>
          <w:numId w:val="9"/>
        </w:numPr>
        <w:kinsoku/>
        <w:wordWrap/>
        <w:overflowPunct/>
        <w:topLinePunct w:val="0"/>
        <w:autoSpaceDE/>
        <w:autoSpaceDN/>
        <w:bidi w:val="0"/>
        <w:adjustRightInd/>
        <w:snapToGrid w:val="0"/>
        <w:spacing w:line="360" w:lineRule="auto"/>
        <w:ind w:left="210" w:leftChars="1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供应商资格声明函（格式见附件）；</w:t>
      </w:r>
    </w:p>
    <w:p>
      <w:pPr>
        <w:keepNext w:val="0"/>
        <w:keepLines w:val="0"/>
        <w:pageBreakBefore w:val="0"/>
        <w:numPr>
          <w:ilvl w:val="0"/>
          <w:numId w:val="9"/>
        </w:numPr>
        <w:kinsoku/>
        <w:wordWrap/>
        <w:overflowPunct/>
        <w:topLinePunct w:val="0"/>
        <w:autoSpaceDE/>
        <w:autoSpaceDN/>
        <w:bidi w:val="0"/>
        <w:adjustRightInd/>
        <w:snapToGrid w:val="0"/>
        <w:spacing w:line="360" w:lineRule="auto"/>
        <w:ind w:left="210" w:leftChars="1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有效的企业法人营业执照（或事业法人登记证）、其他组织（个体工商户）的营业执照或者民办非企业单位登记证书复印件</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eastAsia="宋体" w:cs="宋体"/>
          <w:color w:val="auto"/>
          <w:highlight w:val="none"/>
        </w:rPr>
        <w:t>；</w:t>
      </w:r>
    </w:p>
    <w:p>
      <w:pPr>
        <w:keepNext w:val="0"/>
        <w:keepLines w:val="0"/>
        <w:pageBreakBefore w:val="0"/>
        <w:numPr>
          <w:ilvl w:val="0"/>
          <w:numId w:val="9"/>
        </w:numPr>
        <w:kinsoku/>
        <w:wordWrap/>
        <w:overflowPunct/>
        <w:topLinePunct w:val="0"/>
        <w:autoSpaceDE/>
        <w:autoSpaceDN/>
        <w:bidi w:val="0"/>
        <w:adjustRightInd/>
        <w:snapToGrid w:val="0"/>
        <w:spacing w:line="360" w:lineRule="auto"/>
        <w:ind w:left="210" w:leftChars="1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供应商特定资格条件的证明文件：</w:t>
      </w:r>
      <w:r>
        <w:rPr>
          <w:rFonts w:hint="eastAsia" w:ascii="宋体" w:hAnsi="宋体" w:eastAsia="宋体" w:cs="宋体"/>
          <w:color w:val="auto"/>
          <w:highlight w:val="none"/>
          <w:lang w:eastAsia="zh-CN"/>
        </w:rPr>
        <w:t xml:space="preserve">详见“第一章  公开招标公告  </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申请人的资格要求3.本项目的</w:t>
      </w:r>
      <w:r>
        <w:rPr>
          <w:rFonts w:hint="eastAsia" w:ascii="宋体" w:hAnsi="宋体" w:eastAsia="宋体" w:cs="宋体"/>
          <w:color w:val="auto"/>
          <w:highlight w:val="none"/>
          <w:lang w:eastAsia="zh-CN"/>
        </w:rPr>
        <w:t>特定资格</w:t>
      </w:r>
      <w:r>
        <w:rPr>
          <w:rFonts w:hint="eastAsia" w:ascii="宋体" w:hAnsi="宋体" w:eastAsia="宋体" w:cs="宋体"/>
          <w:color w:val="auto"/>
          <w:highlight w:val="none"/>
          <w:lang w:val="en-US" w:eastAsia="zh-CN"/>
        </w:rPr>
        <w:t>要求</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keepNext w:val="0"/>
        <w:keepLines w:val="0"/>
        <w:pageBreakBefore w:val="0"/>
        <w:widowControl/>
        <w:numPr>
          <w:ilvl w:val="0"/>
          <w:numId w:val="9"/>
        </w:numPr>
        <w:kinsoku/>
        <w:wordWrap/>
        <w:overflowPunct/>
        <w:topLinePunct w:val="0"/>
        <w:autoSpaceDE/>
        <w:autoSpaceDN/>
        <w:bidi w:val="0"/>
        <w:adjustRightInd/>
        <w:snapToGrid w:val="0"/>
        <w:spacing w:line="360" w:lineRule="auto"/>
        <w:ind w:left="210" w:leftChars="100"/>
        <w:jc w:val="left"/>
        <w:textAlignment w:val="auto"/>
        <w:rPr>
          <w:rFonts w:hint="eastAsia" w:ascii="宋体" w:hAnsi="宋体" w:eastAsia="宋体" w:cs="宋体"/>
          <w:color w:val="auto"/>
          <w:highlight w:val="none"/>
        </w:rPr>
      </w:pPr>
      <w:r>
        <w:rPr>
          <w:rFonts w:hint="eastAsia" w:ascii="宋体" w:hAnsi="宋体" w:eastAsia="宋体" w:cs="宋体"/>
          <w:color w:val="auto"/>
          <w:kern w:val="0"/>
          <w:szCs w:val="20"/>
          <w:highlight w:val="none"/>
        </w:rPr>
        <w:t>中小企业声明函</w:t>
      </w:r>
      <w:r>
        <w:rPr>
          <w:rFonts w:hint="eastAsia" w:ascii="宋体" w:hAnsi="宋体" w:eastAsia="宋体" w:cs="宋体"/>
          <w:color w:val="auto"/>
          <w:kern w:val="0"/>
          <w:szCs w:val="20"/>
          <w:highlight w:val="none"/>
          <w:lang w:val="en-US" w:eastAsia="zh-CN"/>
        </w:rPr>
        <w:t>[提供中小企业声明函或残疾人福利性单位声明函（非残疾人福利性单位无需提供本函)，格式见附件或提供由省级以上监狱管理局、戒毒管理局（含新疆生产建设兵团）出具的属于监狱企业的证明文件]</w:t>
      </w:r>
      <w:r>
        <w:rPr>
          <w:rFonts w:hint="eastAsia" w:ascii="宋体" w:hAnsi="宋体" w:eastAsia="宋体" w:cs="宋体"/>
          <w:color w:val="auto"/>
          <w:kern w:val="0"/>
          <w:szCs w:val="20"/>
          <w:highlight w:val="none"/>
        </w:rPr>
        <w:t>；</w:t>
      </w:r>
    </w:p>
    <w:p>
      <w:pPr>
        <w:keepNext w:val="0"/>
        <w:keepLines w:val="0"/>
        <w:pageBreakBefore w:val="0"/>
        <w:numPr>
          <w:ilvl w:val="0"/>
          <w:numId w:val="9"/>
        </w:numPr>
        <w:kinsoku/>
        <w:wordWrap/>
        <w:overflowPunct/>
        <w:topLinePunct w:val="0"/>
        <w:autoSpaceDE/>
        <w:autoSpaceDN/>
        <w:bidi w:val="0"/>
        <w:adjustRightInd/>
        <w:snapToGrid w:val="0"/>
        <w:spacing w:line="360" w:lineRule="auto"/>
        <w:ind w:left="210" w:leftChars="1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要求的其他资格条件证明材料（如有）；</w:t>
      </w:r>
    </w:p>
    <w:p>
      <w:pPr>
        <w:keepNext w:val="0"/>
        <w:keepLines w:val="0"/>
        <w:pageBreakBefore w:val="0"/>
        <w:numPr>
          <w:ilvl w:val="0"/>
          <w:numId w:val="8"/>
        </w:numPr>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商务技术文件内容包括：</w:t>
      </w:r>
    </w:p>
    <w:p>
      <w:pPr>
        <w:keepNext w:val="0"/>
        <w:keepLines w:val="0"/>
        <w:pageBreakBefore w:val="0"/>
        <w:numPr>
          <w:ilvl w:val="0"/>
          <w:numId w:val="10"/>
        </w:numPr>
        <w:kinsoku/>
        <w:wordWrap/>
        <w:overflowPunct/>
        <w:topLinePunct w:val="0"/>
        <w:autoSpaceDE/>
        <w:autoSpaceDN/>
        <w:bidi w:val="0"/>
        <w:adjustRightInd/>
        <w:snapToGrid w:val="0"/>
        <w:spacing w:line="360" w:lineRule="auto"/>
        <w:ind w:left="210" w:leftChars="1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符合性自查表（格式见附件）；</w:t>
      </w:r>
    </w:p>
    <w:p>
      <w:pPr>
        <w:keepNext w:val="0"/>
        <w:keepLines w:val="0"/>
        <w:pageBreakBefore w:val="0"/>
        <w:numPr>
          <w:ilvl w:val="0"/>
          <w:numId w:val="10"/>
        </w:numPr>
        <w:kinsoku/>
        <w:wordWrap/>
        <w:overflowPunct/>
        <w:topLinePunct w:val="0"/>
        <w:autoSpaceDE/>
        <w:autoSpaceDN/>
        <w:bidi w:val="0"/>
        <w:adjustRightInd/>
        <w:snapToGrid w:val="0"/>
        <w:spacing w:line="360" w:lineRule="auto"/>
        <w:ind w:left="210" w:leftChars="1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供应商响应表（格式见附件）；</w:t>
      </w:r>
    </w:p>
    <w:p>
      <w:pPr>
        <w:keepNext w:val="0"/>
        <w:keepLines w:val="0"/>
        <w:pageBreakBefore w:val="0"/>
        <w:numPr>
          <w:ilvl w:val="0"/>
          <w:numId w:val="10"/>
        </w:numPr>
        <w:kinsoku/>
        <w:wordWrap/>
        <w:overflowPunct/>
        <w:topLinePunct w:val="0"/>
        <w:autoSpaceDE/>
        <w:autoSpaceDN/>
        <w:bidi w:val="0"/>
        <w:adjustRightInd/>
        <w:snapToGrid w:val="0"/>
        <w:spacing w:line="360" w:lineRule="auto"/>
        <w:ind w:left="210" w:leftChars="1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商务条款偏离表（格式见附件）；</w:t>
      </w:r>
    </w:p>
    <w:p>
      <w:pPr>
        <w:keepNext w:val="0"/>
        <w:keepLines w:val="0"/>
        <w:pageBreakBefore w:val="0"/>
        <w:numPr>
          <w:ilvl w:val="0"/>
          <w:numId w:val="10"/>
        </w:numPr>
        <w:kinsoku/>
        <w:wordWrap/>
        <w:overflowPunct/>
        <w:topLinePunct w:val="0"/>
        <w:autoSpaceDE/>
        <w:autoSpaceDN/>
        <w:bidi w:val="0"/>
        <w:adjustRightInd/>
        <w:snapToGrid w:val="0"/>
        <w:spacing w:line="360" w:lineRule="auto"/>
        <w:ind w:left="210" w:leftChars="1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投标函（格式见附件）；</w:t>
      </w:r>
    </w:p>
    <w:p>
      <w:pPr>
        <w:keepNext w:val="0"/>
        <w:keepLines w:val="0"/>
        <w:pageBreakBefore w:val="0"/>
        <w:numPr>
          <w:ilvl w:val="0"/>
          <w:numId w:val="10"/>
        </w:numPr>
        <w:kinsoku/>
        <w:wordWrap/>
        <w:overflowPunct/>
        <w:topLinePunct w:val="0"/>
        <w:autoSpaceDE/>
        <w:autoSpaceDN/>
        <w:bidi w:val="0"/>
        <w:adjustRightInd/>
        <w:snapToGrid w:val="0"/>
        <w:spacing w:line="360" w:lineRule="auto"/>
        <w:ind w:left="210" w:leftChars="1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法定代表人身份证明或法定代表人授权委托书（格式见附件）；</w:t>
      </w:r>
    </w:p>
    <w:p>
      <w:pPr>
        <w:keepNext w:val="0"/>
        <w:keepLines w:val="0"/>
        <w:pageBreakBefore w:val="0"/>
        <w:numPr>
          <w:ilvl w:val="0"/>
          <w:numId w:val="10"/>
        </w:numPr>
        <w:kinsoku/>
        <w:wordWrap/>
        <w:overflowPunct/>
        <w:topLinePunct w:val="0"/>
        <w:autoSpaceDE/>
        <w:autoSpaceDN/>
        <w:bidi w:val="0"/>
        <w:adjustRightInd/>
        <w:snapToGrid w:val="0"/>
        <w:spacing w:line="360" w:lineRule="auto"/>
        <w:ind w:left="210" w:leftChars="1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技术（服务）条款偏离表（格式见附件）；</w:t>
      </w:r>
    </w:p>
    <w:p>
      <w:pPr>
        <w:keepNext w:val="0"/>
        <w:keepLines w:val="0"/>
        <w:pageBreakBefore w:val="0"/>
        <w:numPr>
          <w:ilvl w:val="0"/>
          <w:numId w:val="10"/>
        </w:numPr>
        <w:kinsoku/>
        <w:wordWrap/>
        <w:overflowPunct/>
        <w:topLinePunct w:val="0"/>
        <w:autoSpaceDE/>
        <w:autoSpaceDN/>
        <w:bidi w:val="0"/>
        <w:adjustRightInd/>
        <w:snapToGrid w:val="0"/>
        <w:spacing w:line="360" w:lineRule="auto"/>
        <w:ind w:left="210" w:leftChars="1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供应商基本情况表（格式见附件）；</w:t>
      </w:r>
    </w:p>
    <w:p>
      <w:pPr>
        <w:keepNext w:val="0"/>
        <w:keepLines w:val="0"/>
        <w:pageBreakBefore w:val="0"/>
        <w:numPr>
          <w:ilvl w:val="0"/>
          <w:numId w:val="10"/>
        </w:numPr>
        <w:kinsoku/>
        <w:wordWrap/>
        <w:overflowPunct/>
        <w:topLinePunct w:val="0"/>
        <w:autoSpaceDE/>
        <w:autoSpaceDN/>
        <w:bidi w:val="0"/>
        <w:adjustRightInd/>
        <w:snapToGrid w:val="0"/>
        <w:spacing w:line="360" w:lineRule="auto"/>
        <w:ind w:left="210" w:leftChars="1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本项目负责人简历表（格式见附件）</w:t>
      </w:r>
    </w:p>
    <w:p>
      <w:pPr>
        <w:keepNext w:val="0"/>
        <w:keepLines w:val="0"/>
        <w:pageBreakBefore w:val="0"/>
        <w:numPr>
          <w:ilvl w:val="0"/>
          <w:numId w:val="10"/>
        </w:numPr>
        <w:kinsoku/>
        <w:wordWrap/>
        <w:overflowPunct/>
        <w:topLinePunct w:val="0"/>
        <w:autoSpaceDE/>
        <w:autoSpaceDN/>
        <w:bidi w:val="0"/>
        <w:adjustRightInd/>
        <w:snapToGrid w:val="0"/>
        <w:spacing w:line="360" w:lineRule="auto"/>
        <w:ind w:left="210" w:leftChars="1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本项目组人员配备情况表（格式见附件）</w:t>
      </w:r>
    </w:p>
    <w:p>
      <w:pPr>
        <w:keepNext w:val="0"/>
        <w:keepLines w:val="0"/>
        <w:pageBreakBefore w:val="0"/>
        <w:numPr>
          <w:ilvl w:val="0"/>
          <w:numId w:val="10"/>
        </w:numPr>
        <w:kinsoku/>
        <w:wordWrap/>
        <w:overflowPunct/>
        <w:topLinePunct w:val="0"/>
        <w:autoSpaceDE/>
        <w:autoSpaceDN/>
        <w:bidi w:val="0"/>
        <w:adjustRightInd/>
        <w:snapToGrid w:val="0"/>
        <w:spacing w:line="360" w:lineRule="auto"/>
        <w:ind w:left="210" w:leftChars="1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同类业绩情况一览表（格式见附件）；</w:t>
      </w:r>
    </w:p>
    <w:p>
      <w:pPr>
        <w:keepNext w:val="0"/>
        <w:keepLines w:val="0"/>
        <w:pageBreakBefore w:val="0"/>
        <w:numPr>
          <w:ilvl w:val="0"/>
          <w:numId w:val="10"/>
        </w:numPr>
        <w:kinsoku/>
        <w:wordWrap/>
        <w:overflowPunct/>
        <w:topLinePunct w:val="0"/>
        <w:autoSpaceDE/>
        <w:autoSpaceDN/>
        <w:bidi w:val="0"/>
        <w:adjustRightInd/>
        <w:snapToGrid w:val="0"/>
        <w:spacing w:line="360" w:lineRule="auto"/>
        <w:ind w:left="210" w:leftChars="1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技术部分：针对本项目第二章采购需求和第四章评分标准中的条款拟定完整方案，格式自拟；</w:t>
      </w:r>
    </w:p>
    <w:p>
      <w:pPr>
        <w:keepNext w:val="0"/>
        <w:keepLines w:val="0"/>
        <w:pageBreakBefore w:val="0"/>
        <w:numPr>
          <w:ilvl w:val="0"/>
          <w:numId w:val="10"/>
        </w:numPr>
        <w:kinsoku/>
        <w:wordWrap/>
        <w:overflowPunct/>
        <w:topLinePunct w:val="0"/>
        <w:autoSpaceDE/>
        <w:autoSpaceDN/>
        <w:bidi w:val="0"/>
        <w:adjustRightInd/>
        <w:snapToGrid w:val="0"/>
        <w:spacing w:line="360" w:lineRule="auto"/>
        <w:ind w:left="210" w:leftChars="1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第四章评标办法及评分标准中需提供的其他相关证书及合同复印件等并加盖公章；</w:t>
      </w:r>
    </w:p>
    <w:p>
      <w:pPr>
        <w:keepNext w:val="0"/>
        <w:keepLines w:val="0"/>
        <w:pageBreakBefore w:val="0"/>
        <w:numPr>
          <w:ilvl w:val="0"/>
          <w:numId w:val="10"/>
        </w:numPr>
        <w:kinsoku/>
        <w:wordWrap/>
        <w:overflowPunct/>
        <w:topLinePunct w:val="0"/>
        <w:autoSpaceDE/>
        <w:autoSpaceDN/>
        <w:bidi w:val="0"/>
        <w:adjustRightInd/>
        <w:snapToGrid w:val="0"/>
        <w:spacing w:line="360" w:lineRule="auto"/>
        <w:ind w:left="210" w:leftChars="1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供应商认为有需要提供的其它有关证明资料。</w:t>
      </w:r>
    </w:p>
    <w:p>
      <w:pPr>
        <w:keepNext w:val="0"/>
        <w:keepLines w:val="0"/>
        <w:pageBreakBefore w:val="0"/>
        <w:numPr>
          <w:ilvl w:val="0"/>
          <w:numId w:val="8"/>
        </w:numPr>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报价文件内容包括：</w:t>
      </w:r>
    </w:p>
    <w:p>
      <w:pPr>
        <w:keepNext w:val="0"/>
        <w:keepLines w:val="0"/>
        <w:pageBreakBefore w:val="0"/>
        <w:numPr>
          <w:ilvl w:val="0"/>
          <w:numId w:val="11"/>
        </w:numPr>
        <w:kinsoku/>
        <w:wordWrap/>
        <w:overflowPunct/>
        <w:topLinePunct w:val="0"/>
        <w:autoSpaceDE/>
        <w:autoSpaceDN/>
        <w:bidi w:val="0"/>
        <w:adjustRightInd/>
        <w:snapToGrid w:val="0"/>
        <w:spacing w:line="360" w:lineRule="auto"/>
        <w:ind w:left="210" w:leftChars="1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开标一览表（格式见附件）；</w:t>
      </w:r>
    </w:p>
    <w:p>
      <w:pPr>
        <w:keepNext w:val="0"/>
        <w:keepLines w:val="0"/>
        <w:pageBreakBefore w:val="0"/>
        <w:numPr>
          <w:ilvl w:val="0"/>
          <w:numId w:val="11"/>
        </w:numPr>
        <w:kinsoku/>
        <w:wordWrap/>
        <w:overflowPunct/>
        <w:topLinePunct w:val="0"/>
        <w:autoSpaceDE/>
        <w:autoSpaceDN/>
        <w:bidi w:val="0"/>
        <w:adjustRightInd/>
        <w:snapToGrid w:val="0"/>
        <w:spacing w:line="360" w:lineRule="auto"/>
        <w:ind w:left="210" w:leftChars="1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投标报价明细表（格式见附件）；</w:t>
      </w:r>
    </w:p>
    <w:p>
      <w:pPr>
        <w:keepNext w:val="0"/>
        <w:keepLines w:val="0"/>
        <w:pageBreakBefore w:val="0"/>
        <w:numPr>
          <w:ilvl w:val="0"/>
          <w:numId w:val="11"/>
        </w:numPr>
        <w:kinsoku/>
        <w:wordWrap/>
        <w:overflowPunct/>
        <w:topLinePunct w:val="0"/>
        <w:autoSpaceDE/>
        <w:autoSpaceDN/>
        <w:bidi w:val="0"/>
        <w:adjustRightInd/>
        <w:snapToGrid w:val="0"/>
        <w:spacing w:line="360" w:lineRule="auto"/>
        <w:ind w:left="210" w:leftChars="1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供应商针对报价需要说明的其他文件和说明（格式自拟）；</w:t>
      </w:r>
    </w:p>
    <w:p>
      <w:pPr>
        <w:keepNext w:val="0"/>
        <w:keepLines w:val="0"/>
        <w:pageBreakBefore w:val="0"/>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注：法定代表人授权委托书必须由法定代表人</w:t>
      </w:r>
      <w:r>
        <w:rPr>
          <w:rFonts w:hint="eastAsia" w:ascii="宋体" w:hAnsi="宋体" w:eastAsia="宋体" w:cs="宋体"/>
          <w:b/>
          <w:color w:val="auto"/>
          <w:szCs w:val="21"/>
          <w:highlight w:val="none"/>
          <w:lang w:val="en-US" w:eastAsia="zh-CN"/>
        </w:rPr>
        <w:t>签署（签名或印章）</w:t>
      </w:r>
      <w:r>
        <w:rPr>
          <w:rFonts w:hint="eastAsia" w:ascii="宋体" w:hAnsi="宋体" w:eastAsia="宋体" w:cs="宋体"/>
          <w:b/>
          <w:color w:val="auto"/>
          <w:szCs w:val="21"/>
          <w:highlight w:val="none"/>
        </w:rPr>
        <w:t>并加盖单位公章；供应商资格声明函、投标函、开标一览表必须由法定代表人或授权代表</w:t>
      </w:r>
      <w:r>
        <w:rPr>
          <w:rFonts w:hint="eastAsia" w:ascii="宋体" w:hAnsi="宋体" w:eastAsia="宋体" w:cs="宋体"/>
          <w:b/>
          <w:color w:val="auto"/>
          <w:szCs w:val="21"/>
          <w:highlight w:val="none"/>
          <w:lang w:val="en-US" w:eastAsia="zh-CN"/>
        </w:rPr>
        <w:t>签署（签名或印章）</w:t>
      </w:r>
      <w:r>
        <w:rPr>
          <w:rFonts w:hint="eastAsia" w:ascii="宋体" w:hAnsi="宋体" w:eastAsia="宋体" w:cs="宋体"/>
          <w:b/>
          <w:color w:val="auto"/>
          <w:szCs w:val="21"/>
          <w:highlight w:val="none"/>
        </w:rPr>
        <w:t>并加盖单位公章。</w:t>
      </w:r>
    </w:p>
    <w:p>
      <w:pPr>
        <w:keepNext w:val="0"/>
        <w:keepLines w:val="0"/>
        <w:pageBreakBefore w:val="0"/>
        <w:kinsoku/>
        <w:wordWrap/>
        <w:overflowPunct/>
        <w:topLinePunct w:val="0"/>
        <w:autoSpaceDE/>
        <w:autoSpaceDN/>
        <w:bidi w:val="0"/>
        <w:adjustRightInd/>
        <w:snapToGrid w:val="0"/>
        <w:spacing w:line="360" w:lineRule="auto"/>
        <w:ind w:firstLine="413" w:firstLineChars="196"/>
        <w:jc w:val="left"/>
        <w:textAlignment w:val="auto"/>
        <w:rPr>
          <w:rFonts w:hint="eastAsia" w:ascii="宋体" w:hAnsi="宋体" w:eastAsia="宋体" w:cs="宋体"/>
          <w:b/>
          <w:color w:val="auto"/>
          <w:szCs w:val="21"/>
          <w:highlight w:val="none"/>
        </w:rPr>
      </w:pPr>
      <w:bookmarkStart w:id="43" w:name="_Toc10734"/>
      <w:r>
        <w:rPr>
          <w:rFonts w:hint="eastAsia" w:ascii="宋体" w:hAnsi="宋体" w:eastAsia="宋体" w:cs="宋体"/>
          <w:b/>
          <w:color w:val="auto"/>
          <w:szCs w:val="21"/>
          <w:highlight w:val="none"/>
        </w:rPr>
        <w:t>★（二）投标文件的语言及计量</w:t>
      </w:r>
      <w:bookmarkEnd w:id="43"/>
    </w:p>
    <w:p>
      <w:pPr>
        <w:keepNext w:val="0"/>
        <w:keepLines w:val="0"/>
        <w:pageBreakBefore w:val="0"/>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投标文件以及供应商与采购人就有关投标事宜的所有来往函电，均应以中文汉语书写。除签名、盖章、专用名称等特殊情形外，以中文汉语以外的文字表述的投标文件视同未提供。</w:t>
      </w:r>
    </w:p>
    <w:p>
      <w:pPr>
        <w:keepNext w:val="0"/>
        <w:keepLines w:val="0"/>
        <w:pageBreakBefore w:val="0"/>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2</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投标计量单位，</w:t>
      </w:r>
      <w:r>
        <w:rPr>
          <w:rFonts w:hint="eastAsia" w:ascii="宋体" w:hAnsi="宋体" w:eastAsia="宋体" w:cs="宋体"/>
          <w:b/>
          <w:color w:val="auto"/>
          <w:szCs w:val="21"/>
          <w:highlight w:val="none"/>
          <w:lang w:eastAsia="zh-CN"/>
        </w:rPr>
        <w:t>招标文件</w:t>
      </w:r>
      <w:r>
        <w:rPr>
          <w:rFonts w:hint="eastAsia" w:ascii="宋体" w:hAnsi="宋体" w:eastAsia="宋体" w:cs="宋体"/>
          <w:b/>
          <w:color w:val="auto"/>
          <w:szCs w:val="21"/>
          <w:highlight w:val="none"/>
        </w:rPr>
        <w:t>已有明确规定的，使用</w:t>
      </w:r>
      <w:r>
        <w:rPr>
          <w:rFonts w:hint="eastAsia" w:ascii="宋体" w:hAnsi="宋体" w:eastAsia="宋体" w:cs="宋体"/>
          <w:b/>
          <w:color w:val="auto"/>
          <w:szCs w:val="21"/>
          <w:highlight w:val="none"/>
          <w:lang w:eastAsia="zh-CN"/>
        </w:rPr>
        <w:t>招标文件</w:t>
      </w:r>
      <w:r>
        <w:rPr>
          <w:rFonts w:hint="eastAsia" w:ascii="宋体" w:hAnsi="宋体" w:eastAsia="宋体" w:cs="宋体"/>
          <w:b/>
          <w:color w:val="auto"/>
          <w:szCs w:val="21"/>
          <w:highlight w:val="none"/>
        </w:rPr>
        <w:t>规定的计量单位；</w:t>
      </w:r>
      <w:r>
        <w:rPr>
          <w:rFonts w:hint="eastAsia" w:ascii="宋体" w:hAnsi="宋体" w:eastAsia="宋体" w:cs="宋体"/>
          <w:b/>
          <w:color w:val="auto"/>
          <w:szCs w:val="21"/>
          <w:highlight w:val="none"/>
          <w:lang w:eastAsia="zh-CN"/>
        </w:rPr>
        <w:t>招标文件</w:t>
      </w:r>
      <w:r>
        <w:rPr>
          <w:rFonts w:hint="eastAsia" w:ascii="宋体" w:hAnsi="宋体" w:eastAsia="宋体" w:cs="宋体"/>
          <w:b/>
          <w:color w:val="auto"/>
          <w:szCs w:val="21"/>
          <w:highlight w:val="none"/>
        </w:rPr>
        <w:t>没有规定的，应采用中华人民共和国法定计量单位（货币单位：人民币元），否则视同未响应。</w:t>
      </w:r>
    </w:p>
    <w:p>
      <w:pPr>
        <w:keepNext w:val="0"/>
        <w:keepLines w:val="0"/>
        <w:pageBreakBefore w:val="0"/>
        <w:kinsoku/>
        <w:wordWrap/>
        <w:overflowPunct/>
        <w:topLinePunct w:val="0"/>
        <w:autoSpaceDE/>
        <w:autoSpaceDN/>
        <w:bidi w:val="0"/>
        <w:adjustRightInd/>
        <w:snapToGrid w:val="0"/>
        <w:spacing w:line="360" w:lineRule="auto"/>
        <w:ind w:firstLine="413" w:firstLineChars="196"/>
        <w:jc w:val="left"/>
        <w:textAlignment w:val="auto"/>
        <w:rPr>
          <w:rFonts w:hint="eastAsia" w:ascii="宋体" w:hAnsi="宋体" w:eastAsia="宋体" w:cs="宋体"/>
          <w:b/>
          <w:color w:val="auto"/>
          <w:szCs w:val="21"/>
          <w:highlight w:val="none"/>
        </w:rPr>
      </w:pPr>
      <w:bookmarkStart w:id="44" w:name="_Toc3681"/>
      <w:r>
        <w:rPr>
          <w:rFonts w:hint="eastAsia" w:ascii="宋体" w:hAnsi="宋体" w:eastAsia="宋体" w:cs="宋体"/>
          <w:b/>
          <w:color w:val="auto"/>
          <w:szCs w:val="21"/>
          <w:highlight w:val="none"/>
        </w:rPr>
        <w:t>（三）投标报价</w:t>
      </w:r>
      <w:bookmarkEnd w:id="44"/>
    </w:p>
    <w:p>
      <w:pPr>
        <w:pStyle w:val="26"/>
        <w:keepNext w:val="0"/>
        <w:keepLines w:val="0"/>
        <w:pageBreakBefore w:val="0"/>
        <w:kinsoku/>
        <w:wordWrap/>
        <w:overflowPunct/>
        <w:topLinePunct w:val="0"/>
        <w:autoSpaceDE/>
        <w:autoSpaceDN/>
        <w:bidi w:val="0"/>
        <w:adjustRightInd/>
        <w:snapToGrid w:val="0"/>
        <w:spacing w:before="0" w:beforeLines="0" w:after="0" w:afterLines="0"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投标报价应按</w:t>
      </w:r>
      <w:r>
        <w:rPr>
          <w:rFonts w:hint="eastAsia" w:hAnsi="宋体" w:eastAsia="宋体" w:cs="宋体"/>
          <w:color w:val="auto"/>
          <w:highlight w:val="none"/>
          <w:lang w:eastAsia="zh-CN"/>
        </w:rPr>
        <w:t>招标文件</w:t>
      </w:r>
      <w:r>
        <w:rPr>
          <w:rFonts w:hint="eastAsia" w:ascii="宋体" w:hAnsi="宋体" w:eastAsia="宋体" w:cs="宋体"/>
          <w:color w:val="auto"/>
          <w:highlight w:val="none"/>
        </w:rPr>
        <w:t>中相关附表格式填写。</w:t>
      </w:r>
    </w:p>
    <w:p>
      <w:pPr>
        <w:pStyle w:val="26"/>
        <w:keepNext w:val="0"/>
        <w:keepLines w:val="0"/>
        <w:pageBreakBefore w:val="0"/>
        <w:kinsoku/>
        <w:wordWrap/>
        <w:overflowPunct/>
        <w:topLinePunct w:val="0"/>
        <w:autoSpaceDE/>
        <w:autoSpaceDN/>
        <w:bidi w:val="0"/>
        <w:adjustRightInd/>
        <w:snapToGrid w:val="0"/>
        <w:spacing w:before="0" w:beforeLines="0" w:after="0" w:afterLines="0" w:line="360" w:lineRule="auto"/>
        <w:ind w:firstLine="420" w:firstLineChars="200"/>
        <w:jc w:val="left"/>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★2</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 xml:space="preserve">投标报价是履行合同的最终价格，具体详见第三章《供应商须知》。 </w:t>
      </w:r>
    </w:p>
    <w:p>
      <w:pPr>
        <w:pStyle w:val="26"/>
        <w:keepNext w:val="0"/>
        <w:keepLines w:val="0"/>
        <w:pageBreakBefore w:val="0"/>
        <w:kinsoku/>
        <w:wordWrap/>
        <w:overflowPunct/>
        <w:topLinePunct w:val="0"/>
        <w:autoSpaceDE/>
        <w:autoSpaceDN/>
        <w:bidi w:val="0"/>
        <w:adjustRightInd/>
        <w:snapToGrid w:val="0"/>
        <w:spacing w:before="0" w:beforeLines="0" w:after="0" w:afterLines="0"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投标文件只允许有一个报价，有选择的或有条件的报价将不予接受。</w:t>
      </w:r>
    </w:p>
    <w:p>
      <w:pPr>
        <w:pStyle w:val="16"/>
        <w:keepNext w:val="0"/>
        <w:keepLines w:val="0"/>
        <w:pageBreakBefore w:val="0"/>
        <w:widowControl w:val="0"/>
        <w:tabs>
          <w:tab w:val="clear" w:pos="454"/>
        </w:tabs>
        <w:kinsoku/>
        <w:wordWrap/>
        <w:overflowPunct/>
        <w:topLinePunct w:val="0"/>
        <w:autoSpaceDE/>
        <w:autoSpaceDN/>
        <w:bidi w:val="0"/>
        <w:adjustRightInd/>
        <w:snapToGrid w:val="0"/>
        <w:spacing w:after="0" w:afterLines="0" w:line="360" w:lineRule="auto"/>
        <w:ind w:left="0" w:firstLine="413" w:firstLineChars="196"/>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（四）投标文件的有效期</w:t>
      </w:r>
    </w:p>
    <w:p>
      <w:pPr>
        <w:pStyle w:val="16"/>
        <w:keepNext w:val="0"/>
        <w:keepLines w:val="0"/>
        <w:pageBreakBefore w:val="0"/>
        <w:widowControl w:val="0"/>
        <w:tabs>
          <w:tab w:val="clear" w:pos="454"/>
        </w:tabs>
        <w:kinsoku/>
        <w:wordWrap/>
        <w:overflowPunct/>
        <w:topLinePunct w:val="0"/>
        <w:autoSpaceDE/>
        <w:autoSpaceDN/>
        <w:bidi w:val="0"/>
        <w:adjustRightInd/>
        <w:snapToGrid w:val="0"/>
        <w:spacing w:after="0" w:afterLines="0" w:line="360" w:lineRule="auto"/>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自投标截止日起</w:t>
      </w:r>
      <w:r>
        <w:rPr>
          <w:rFonts w:hint="eastAsia" w:ascii="宋体" w:hAnsi="宋体" w:eastAsia="宋体" w:cs="宋体"/>
          <w:b/>
          <w:color w:val="auto"/>
          <w:sz w:val="21"/>
          <w:szCs w:val="21"/>
          <w:highlight w:val="none"/>
          <w:u w:val="single"/>
        </w:rPr>
        <w:t>90</w:t>
      </w:r>
      <w:r>
        <w:rPr>
          <w:rFonts w:hint="eastAsia" w:ascii="宋体" w:hAnsi="宋体" w:eastAsia="宋体" w:cs="宋体"/>
          <w:b/>
          <w:color w:val="auto"/>
          <w:sz w:val="21"/>
          <w:szCs w:val="21"/>
          <w:highlight w:val="none"/>
        </w:rPr>
        <w:t>天投标文件应保持有效。</w:t>
      </w:r>
    </w:p>
    <w:p>
      <w:pPr>
        <w:pStyle w:val="16"/>
        <w:keepNext w:val="0"/>
        <w:keepLines w:val="0"/>
        <w:pageBreakBefore w:val="0"/>
        <w:widowControl w:val="0"/>
        <w:tabs>
          <w:tab w:val="clear" w:pos="454"/>
        </w:tabs>
        <w:kinsoku/>
        <w:wordWrap/>
        <w:overflowPunct/>
        <w:topLinePunct w:val="0"/>
        <w:autoSpaceDE/>
        <w:autoSpaceDN/>
        <w:bidi w:val="0"/>
        <w:adjustRightInd/>
        <w:snapToGrid w:val="0"/>
        <w:spacing w:after="0" w:afterLines="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在特殊情况下，采购人可与供应商协商延长投标书的有效期，这种要求和答复均以书面形式进行。</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color w:val="auto"/>
          <w:szCs w:val="21"/>
          <w:highlight w:val="none"/>
        </w:rPr>
      </w:pPr>
      <w:bookmarkStart w:id="45" w:name="_Toc24481"/>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同意延长有效期的供应商不能修改投标文件。</w:t>
      </w:r>
      <w:bookmarkEnd w:id="45"/>
      <w:r>
        <w:rPr>
          <w:rFonts w:hint="eastAsia" w:ascii="宋体" w:hAnsi="宋体" w:eastAsia="宋体" w:cs="宋体"/>
          <w:b/>
          <w:color w:val="auto"/>
          <w:szCs w:val="21"/>
          <w:highlight w:val="none"/>
        </w:rPr>
        <w:t xml:space="preserve"> </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
          <w:color w:val="auto"/>
          <w:szCs w:val="21"/>
          <w:highlight w:val="none"/>
        </w:rPr>
      </w:pPr>
      <w:bookmarkStart w:id="46" w:name="_Toc6471"/>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的投标文件自开标之日起至合同履行完毕止均应保持有效。</w:t>
      </w:r>
      <w:bookmarkEnd w:id="46"/>
    </w:p>
    <w:p>
      <w:pPr>
        <w:keepNext w:val="0"/>
        <w:keepLines w:val="0"/>
        <w:pageBreakBefore w:val="0"/>
        <w:kinsoku/>
        <w:wordWrap/>
        <w:overflowPunct/>
        <w:topLinePunct w:val="0"/>
        <w:autoSpaceDE/>
        <w:autoSpaceDN/>
        <w:bidi w:val="0"/>
        <w:adjustRightInd/>
        <w:snapToGrid w:val="0"/>
        <w:spacing w:line="360" w:lineRule="auto"/>
        <w:ind w:firstLine="413" w:firstLineChars="196"/>
        <w:jc w:val="left"/>
        <w:textAlignment w:val="auto"/>
        <w:rPr>
          <w:rFonts w:hint="eastAsia" w:ascii="宋体" w:hAnsi="宋体" w:eastAsia="宋体" w:cs="宋体"/>
          <w:b/>
          <w:color w:val="auto"/>
          <w:szCs w:val="21"/>
          <w:highlight w:val="none"/>
        </w:rPr>
      </w:pPr>
      <w:bookmarkStart w:id="47" w:name="_Toc14508"/>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五</w:t>
      </w:r>
      <w:r>
        <w:rPr>
          <w:rFonts w:hint="eastAsia" w:ascii="宋体" w:hAnsi="宋体" w:eastAsia="宋体" w:cs="宋体"/>
          <w:b/>
          <w:color w:val="auto"/>
          <w:szCs w:val="21"/>
          <w:highlight w:val="none"/>
        </w:rPr>
        <w:t>）投标文件的签署和份数</w:t>
      </w:r>
      <w:bookmarkEnd w:id="47"/>
    </w:p>
    <w:p>
      <w:pPr>
        <w:keepNext w:val="0"/>
        <w:keepLines w:val="0"/>
        <w:pageBreakBefore w:val="0"/>
        <w:kinsoku/>
        <w:wordWrap/>
        <w:overflowPunct/>
        <w:topLinePunct w:val="0"/>
        <w:autoSpaceDE/>
        <w:autoSpaceDN/>
        <w:bidi w:val="0"/>
        <w:adjustRightInd/>
        <w:spacing w:line="360" w:lineRule="auto"/>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供应商应按本</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规定的格式和顺序编制、装订投标文件</w:t>
      </w:r>
      <w:r>
        <w:rPr>
          <w:rFonts w:hint="eastAsia" w:ascii="宋体" w:hAnsi="宋体" w:eastAsia="宋体" w:cs="宋体"/>
          <w:color w:val="auto"/>
          <w:szCs w:val="21"/>
          <w:highlight w:val="none"/>
        </w:rPr>
        <w:t>，投标文件要求有目录并标注页码</w:t>
      </w:r>
      <w:r>
        <w:rPr>
          <w:rFonts w:hint="eastAsia" w:ascii="宋体" w:hAnsi="宋体" w:eastAsia="宋体" w:cs="宋体"/>
          <w:color w:val="auto"/>
          <w:highlight w:val="none"/>
        </w:rPr>
        <w:t>，投标文件内容不完整、编排混乱导致投标文件被误读、漏读或者查找不到相关内容的，是供应商的责任。</w:t>
      </w:r>
    </w:p>
    <w:p>
      <w:pPr>
        <w:keepNext w:val="0"/>
        <w:keepLines w:val="0"/>
        <w:pageBreakBefore w:val="0"/>
        <w:kinsoku/>
        <w:wordWrap/>
        <w:overflowPunct/>
        <w:topLinePunct w:val="0"/>
        <w:autoSpaceDE/>
        <w:autoSpaceDN/>
        <w:bidi w:val="0"/>
        <w:adjustRightInd/>
        <w:spacing w:line="360" w:lineRule="auto"/>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投标文件的份数：</w:t>
      </w:r>
    </w:p>
    <w:p>
      <w:pPr>
        <w:keepNext w:val="0"/>
        <w:keepLines w:val="0"/>
        <w:pageBreakBefore w:val="0"/>
        <w:kinsoku/>
        <w:wordWrap/>
        <w:overflowPunct/>
        <w:topLinePunct w:val="0"/>
        <w:autoSpaceDE/>
        <w:autoSpaceDN/>
        <w:bidi w:val="0"/>
        <w:adjustRightInd/>
        <w:spacing w:line="360" w:lineRule="auto"/>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本项目实行网上投标，供应商应准备以下投标文件：</w:t>
      </w:r>
    </w:p>
    <w:p>
      <w:pPr>
        <w:keepNext w:val="0"/>
        <w:keepLines w:val="0"/>
        <w:pageBreakBefore w:val="0"/>
        <w:kinsoku/>
        <w:wordWrap/>
        <w:overflowPunct/>
        <w:topLinePunct w:val="0"/>
        <w:autoSpaceDE/>
        <w:autoSpaceDN/>
        <w:bidi w:val="0"/>
        <w:adjustRightInd/>
        <w:spacing w:line="360" w:lineRule="auto"/>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（1）上传到政府采购云平台的电子投标文件（含资格文件、商务技术文件、报价文件）1份。</w:t>
      </w:r>
    </w:p>
    <w:p>
      <w:pPr>
        <w:keepNext w:val="0"/>
        <w:keepLines w:val="0"/>
        <w:pageBreakBefore w:val="0"/>
        <w:kinsoku/>
        <w:wordWrap/>
        <w:overflowPunct/>
        <w:topLinePunct w:val="0"/>
        <w:autoSpaceDE/>
        <w:autoSpaceDN/>
        <w:bidi w:val="0"/>
        <w:adjustRightInd/>
        <w:spacing w:line="360" w:lineRule="auto"/>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（2）以U盘存储的电子备份投标文件（含资格文件、商务技术文件、报价文件）1份。</w:t>
      </w:r>
    </w:p>
    <w:p>
      <w:pPr>
        <w:keepNext w:val="0"/>
        <w:keepLines w:val="0"/>
        <w:pageBreakBefore w:val="0"/>
        <w:kinsoku/>
        <w:wordWrap/>
        <w:overflowPunct/>
        <w:topLinePunct w:val="0"/>
        <w:autoSpaceDE/>
        <w:autoSpaceDN/>
        <w:bidi w:val="0"/>
        <w:adjustRightInd/>
        <w:spacing w:line="360" w:lineRule="auto"/>
        <w:ind w:firstLine="525" w:firstLineChars="25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3、电子投标文件：</w:t>
      </w:r>
    </w:p>
    <w:p>
      <w:pPr>
        <w:keepNext w:val="0"/>
        <w:keepLines w:val="0"/>
        <w:pageBreakBefore w:val="0"/>
        <w:kinsoku/>
        <w:wordWrap/>
        <w:overflowPunct/>
        <w:topLinePunct w:val="0"/>
        <w:autoSpaceDE/>
        <w:autoSpaceDN/>
        <w:bidi w:val="0"/>
        <w:adjustRightInd/>
        <w:spacing w:line="360" w:lineRule="auto"/>
        <w:ind w:firstLine="525" w:firstLineChars="25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3.1供应商应根据</w:t>
      </w:r>
      <w:r>
        <w:rPr>
          <w:rFonts w:hint="eastAsia" w:ascii="宋体" w:hAnsi="宋体" w:eastAsia="宋体" w:cs="宋体"/>
          <w:color w:val="auto"/>
          <w:kern w:val="0"/>
          <w:szCs w:val="21"/>
          <w:highlight w:val="none"/>
        </w:rPr>
        <w:t>政府采购云平台的要求</w:t>
      </w:r>
      <w:r>
        <w:rPr>
          <w:rFonts w:hint="eastAsia" w:ascii="宋体" w:hAnsi="宋体" w:eastAsia="宋体" w:cs="宋体"/>
          <w:color w:val="auto"/>
          <w:highlight w:val="none"/>
          <w:lang w:val="en-US" w:eastAsia="zh-CN"/>
        </w:rPr>
        <w:t>及本招标文件规定的格式和顺序编制电子投标文件并进行关联定位。</w:t>
      </w:r>
    </w:p>
    <w:p>
      <w:pPr>
        <w:keepNext w:val="0"/>
        <w:keepLines w:val="0"/>
        <w:pageBreakBefore w:val="0"/>
        <w:kinsoku/>
        <w:wordWrap/>
        <w:overflowPunct/>
        <w:topLinePunct w:val="0"/>
        <w:autoSpaceDE/>
        <w:autoSpaceDN/>
        <w:bidi w:val="0"/>
        <w:adjustRightInd/>
        <w:spacing w:line="360" w:lineRule="auto"/>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投标文件不得涂改，若有修改错漏处，须加盖单位公章或者法定代表人或授权委托人签名或盖章。投标文件因字迹潦草或表达不清所引起的后果由供应商负责。</w:t>
      </w:r>
    </w:p>
    <w:p>
      <w:pPr>
        <w:keepNext w:val="0"/>
        <w:keepLines w:val="0"/>
        <w:pageBreakBefore w:val="0"/>
        <w:kinsoku/>
        <w:wordWrap/>
        <w:overflowPunct/>
        <w:topLinePunct w:val="0"/>
        <w:autoSpaceDE/>
        <w:autoSpaceDN/>
        <w:bidi w:val="0"/>
        <w:adjustRightInd/>
        <w:spacing w:line="360" w:lineRule="auto"/>
        <w:ind w:firstLine="525" w:firstLineChars="25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投标文件须由供应商在规定位置盖章并由法定代表人或法定代表人的授权委托人签署，供应商应写全称。</w:t>
      </w:r>
    </w:p>
    <w:p>
      <w:pPr>
        <w:keepNext w:val="0"/>
        <w:keepLines w:val="0"/>
        <w:pageBreakBefore w:val="0"/>
        <w:kinsoku/>
        <w:wordWrap/>
        <w:overflowPunct/>
        <w:topLinePunct w:val="0"/>
        <w:autoSpaceDE/>
        <w:autoSpaceDN/>
        <w:bidi w:val="0"/>
        <w:adjustRightInd/>
        <w:snapToGrid w:val="0"/>
        <w:spacing w:line="360" w:lineRule="auto"/>
        <w:ind w:firstLine="310" w:firstLineChars="147"/>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六</w:t>
      </w:r>
      <w:r>
        <w:rPr>
          <w:rFonts w:hint="eastAsia" w:ascii="宋体" w:hAnsi="宋体" w:eastAsia="宋体" w:cs="宋体"/>
          <w:b/>
          <w:color w:val="auto"/>
          <w:szCs w:val="21"/>
          <w:highlight w:val="none"/>
        </w:rPr>
        <w:t>）投标文件的包装、递交、修改和撤回</w:t>
      </w:r>
    </w:p>
    <w:p>
      <w:pPr>
        <w:keepNext w:val="0"/>
        <w:keepLines w:val="0"/>
        <w:pageBreakBefore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kern w:val="0"/>
          <w:szCs w:val="21"/>
          <w:highlight w:val="none"/>
        </w:rPr>
        <w:t>以U盘存储的电子备份投标文件</w:t>
      </w:r>
      <w:r>
        <w:rPr>
          <w:rFonts w:hint="eastAsia" w:ascii="宋体" w:hAnsi="宋体" w:eastAsia="宋体" w:cs="宋体"/>
          <w:color w:val="auto"/>
          <w:szCs w:val="21"/>
          <w:highlight w:val="none"/>
        </w:rPr>
        <w:t>用封袋密封后递交。</w:t>
      </w:r>
    </w:p>
    <w:p>
      <w:pPr>
        <w:keepNext w:val="0"/>
        <w:keepLines w:val="0"/>
        <w:pageBreakBefore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kern w:val="0"/>
          <w:szCs w:val="21"/>
          <w:highlight w:val="none"/>
        </w:rPr>
        <w:t>电子备份投标文件</w:t>
      </w:r>
      <w:r>
        <w:rPr>
          <w:rFonts w:hint="eastAsia" w:ascii="宋体" w:hAnsi="宋体" w:eastAsia="宋体" w:cs="宋体"/>
          <w:color w:val="auto"/>
          <w:szCs w:val="21"/>
          <w:highlight w:val="none"/>
        </w:rPr>
        <w:t>的包装封面上应注明供应商名称、供应商地址、投标文件名称(电子备份投标文件)、投标项目名称、项目编号、标项号，并加盖供应商公章。</w:t>
      </w:r>
    </w:p>
    <w:p>
      <w:pPr>
        <w:keepNext w:val="0"/>
        <w:keepLines w:val="0"/>
        <w:pageBreakBefore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未按规定密封或标记的</w:t>
      </w:r>
      <w:r>
        <w:rPr>
          <w:rFonts w:hint="eastAsia" w:ascii="宋体" w:hAnsi="宋体" w:eastAsia="宋体" w:cs="宋体"/>
          <w:color w:val="auto"/>
          <w:kern w:val="0"/>
          <w:szCs w:val="21"/>
          <w:highlight w:val="none"/>
        </w:rPr>
        <w:t>电子备份投标文件</w:t>
      </w:r>
      <w:r>
        <w:rPr>
          <w:rFonts w:hint="eastAsia" w:ascii="宋体" w:hAnsi="宋体" w:eastAsia="宋体" w:cs="宋体"/>
          <w:color w:val="auto"/>
          <w:szCs w:val="21"/>
          <w:highlight w:val="none"/>
        </w:rPr>
        <w:t>将被拒绝，由此造成</w:t>
      </w:r>
      <w:r>
        <w:rPr>
          <w:rFonts w:hint="eastAsia" w:ascii="宋体" w:hAnsi="宋体" w:eastAsia="宋体" w:cs="宋体"/>
          <w:color w:val="auto"/>
          <w:kern w:val="0"/>
          <w:szCs w:val="21"/>
          <w:highlight w:val="none"/>
        </w:rPr>
        <w:t>电子备份投标文件</w:t>
      </w:r>
      <w:r>
        <w:rPr>
          <w:rFonts w:hint="eastAsia" w:ascii="宋体" w:hAnsi="宋体" w:eastAsia="宋体" w:cs="宋体"/>
          <w:color w:val="auto"/>
          <w:szCs w:val="21"/>
          <w:highlight w:val="none"/>
        </w:rPr>
        <w:t>被提前拆封的风险由供应商承担。</w:t>
      </w:r>
    </w:p>
    <w:p>
      <w:pPr>
        <w:keepNext w:val="0"/>
        <w:keepLines w:val="0"/>
        <w:pageBreakBefore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供应商在投标截止时间之前，可以对已提交的</w:t>
      </w:r>
      <w:r>
        <w:rPr>
          <w:rFonts w:hint="eastAsia" w:ascii="宋体" w:hAnsi="宋体" w:eastAsia="宋体" w:cs="宋体"/>
          <w:color w:val="auto"/>
          <w:kern w:val="0"/>
          <w:szCs w:val="21"/>
          <w:highlight w:val="none"/>
        </w:rPr>
        <w:t>电子备份投标文件</w:t>
      </w:r>
      <w:r>
        <w:rPr>
          <w:rFonts w:hint="eastAsia" w:ascii="宋体" w:hAnsi="宋体" w:eastAsia="宋体" w:cs="宋体"/>
          <w:color w:val="auto"/>
          <w:szCs w:val="21"/>
          <w:highlight w:val="none"/>
        </w:rPr>
        <w:t>进行修改或撤回，并书面通知招标采购单位；投标截止时间后，供应商不得撤回、修改</w:t>
      </w:r>
      <w:r>
        <w:rPr>
          <w:rFonts w:hint="eastAsia" w:ascii="宋体" w:hAnsi="宋体" w:eastAsia="宋体" w:cs="宋体"/>
          <w:color w:val="auto"/>
          <w:kern w:val="0"/>
          <w:szCs w:val="21"/>
          <w:highlight w:val="none"/>
        </w:rPr>
        <w:t>电子备份投标文件</w:t>
      </w:r>
      <w:r>
        <w:rPr>
          <w:rFonts w:hint="eastAsia" w:ascii="宋体" w:hAnsi="宋体" w:eastAsia="宋体" w:cs="宋体"/>
          <w:color w:val="auto"/>
          <w:szCs w:val="21"/>
          <w:highlight w:val="none"/>
        </w:rPr>
        <w:t>。修改后重新递交的</w:t>
      </w:r>
      <w:r>
        <w:rPr>
          <w:rFonts w:hint="eastAsia" w:ascii="宋体" w:hAnsi="宋体" w:eastAsia="宋体" w:cs="宋体"/>
          <w:color w:val="auto"/>
          <w:kern w:val="0"/>
          <w:szCs w:val="21"/>
          <w:highlight w:val="none"/>
        </w:rPr>
        <w:t>电子备份投标文件</w:t>
      </w:r>
      <w:r>
        <w:rPr>
          <w:rFonts w:hint="eastAsia" w:ascii="宋体" w:hAnsi="宋体" w:eastAsia="宋体" w:cs="宋体"/>
          <w:color w:val="auto"/>
          <w:szCs w:val="21"/>
          <w:highlight w:val="none"/>
        </w:rPr>
        <w:t>应当按本</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的要求签署、盖章和密封。</w:t>
      </w:r>
    </w:p>
    <w:p>
      <w:pPr>
        <w:keepNext w:val="0"/>
        <w:keepLines w:val="0"/>
        <w:pageBreakBefore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pStyle w:val="26"/>
        <w:keepNext w:val="0"/>
        <w:keepLines w:val="0"/>
        <w:pageBreakBefore w:val="0"/>
        <w:kinsoku/>
        <w:wordWrap/>
        <w:overflowPunct/>
        <w:topLinePunct w:val="0"/>
        <w:autoSpaceDE/>
        <w:autoSpaceDN/>
        <w:bidi w:val="0"/>
        <w:adjustRightInd/>
        <w:snapToGrid w:val="0"/>
        <w:spacing w:before="0" w:beforeLines="0" w:after="0" w:afterLines="0" w:line="360" w:lineRule="auto"/>
        <w:ind w:left="772" w:leftChars="267" w:hanging="211" w:hangingChars="100"/>
        <w:textAlignment w:val="auto"/>
        <w:rPr>
          <w:rFonts w:hint="eastAsia" w:ascii="宋体" w:hAnsi="宋体" w:eastAsia="宋体" w:cs="宋体"/>
          <w:b/>
          <w:color w:val="auto"/>
          <w:highlight w:val="none"/>
          <w:lang w:val="en-US" w:eastAsia="zh-CN"/>
        </w:rPr>
      </w:pPr>
      <w:bookmarkStart w:id="48" w:name="_Toc2054"/>
      <w:r>
        <w:rPr>
          <w:rFonts w:hint="eastAsia" w:ascii="宋体" w:hAnsi="宋体" w:eastAsia="宋体" w:cs="宋体"/>
          <w:b/>
          <w:color w:val="auto"/>
          <w:highlight w:val="none"/>
          <w:lang w:val="en-US" w:eastAsia="zh-CN"/>
        </w:rPr>
        <w:t>（七）投标文件的形式和效力</w:t>
      </w:r>
    </w:p>
    <w:p>
      <w:pPr>
        <w:keepNext w:val="0"/>
        <w:keepLines w:val="0"/>
        <w:pageBreakBefore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1、投标文件分为：“电子投标文件”和“电子备份投标文件”。</w:t>
      </w:r>
    </w:p>
    <w:p>
      <w:pPr>
        <w:keepNext w:val="0"/>
        <w:keepLines w:val="0"/>
        <w:pageBreakBefore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2、“电子投标文件”是指通过“政采云电子交易客户端”完成投标文件编制后生成并加密的数据电文形式的投标文件（文件后缀为：jmbs）。</w:t>
      </w:r>
    </w:p>
    <w:p>
      <w:pPr>
        <w:keepNext w:val="0"/>
        <w:keepLines w:val="0"/>
        <w:pageBreakBefore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3、“电子备份投标文件”是指与“电子投标文件”同时生成的数据电文形式的电子文件文件后缀为：bfbs（备份标书），其他方式编制的备份投标文件视为无效备份投标文件。</w:t>
      </w:r>
    </w:p>
    <w:p>
      <w:pPr>
        <w:keepNext w:val="0"/>
        <w:keepLines w:val="0"/>
        <w:pageBreakBefore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投标文件的效力：投标文件的启用，按先后顺位分别为“电子投标文件”、“电子备份投标文件”。在“电子备份投标文件”启用时，“电子投标文件”自动失效。“电子投标文件”在规定解密时间内无法解密时，供应商若在投标截止时间之前递交了“电子备份投标文件”的，由采购代理机构上传“电子备份投标文件”进行异常处理，并对“电子备份投标文件”进行解密，未在投标截止时间之前递交“电子备份投标文件”的视为放弃投标。其余供应商通过“政府采购云平台”上传递交的已按时解密的“电子投标文件”继续有效，其“电子备份投标文件”自动失效。</w:t>
      </w:r>
    </w:p>
    <w:p>
      <w:pPr>
        <w:pStyle w:val="26"/>
        <w:keepNext w:val="0"/>
        <w:keepLines w:val="0"/>
        <w:pageBreakBefore w:val="0"/>
        <w:kinsoku/>
        <w:wordWrap/>
        <w:overflowPunct/>
        <w:topLinePunct w:val="0"/>
        <w:autoSpaceDE/>
        <w:autoSpaceDN/>
        <w:bidi w:val="0"/>
        <w:adjustRightInd/>
        <w:snapToGrid w:val="0"/>
        <w:spacing w:before="0" w:beforeLines="0" w:after="0" w:afterLines="0" w:line="360" w:lineRule="auto"/>
        <w:ind w:left="772" w:leftChars="267" w:hanging="211" w:hangingChars="100"/>
        <w:textAlignment w:val="auto"/>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四</w:t>
      </w:r>
      <w:r>
        <w:rPr>
          <w:rFonts w:hint="eastAsia" w:ascii="宋体" w:hAnsi="宋体" w:eastAsia="宋体" w:cs="宋体"/>
          <w:b/>
          <w:color w:val="auto"/>
          <w:highlight w:val="none"/>
        </w:rPr>
        <w:t>、特别说明</w:t>
      </w:r>
      <w:bookmarkEnd w:id="48"/>
    </w:p>
    <w:p>
      <w:pPr>
        <w:keepNext w:val="0"/>
        <w:keepLines w:val="0"/>
        <w:pageBreakBefore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1、本项目</w:t>
      </w:r>
      <w:r>
        <w:rPr>
          <w:rFonts w:hint="eastAsia" w:ascii="宋体" w:hAnsi="宋体" w:eastAsia="宋体" w:cs="宋体"/>
          <w:color w:val="auto"/>
          <w:szCs w:val="21"/>
          <w:highlight w:val="none"/>
          <w:u w:val="single"/>
          <w:lang w:val="zh-CN"/>
        </w:rPr>
        <w:t xml:space="preserve"> 是</w:t>
      </w:r>
      <w:r>
        <w:rPr>
          <w:rFonts w:hint="eastAsia"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zh-CN"/>
        </w:rPr>
        <w:t>专门面向中小企业采购。</w:t>
      </w:r>
    </w:p>
    <w:p>
      <w:pPr>
        <w:keepNext w:val="0"/>
        <w:keepLines w:val="0"/>
        <w:pageBreakBefore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color w:val="auto"/>
          <w:szCs w:val="21"/>
          <w:highlight w:val="none"/>
          <w:lang w:val="zh-CN"/>
        </w:rPr>
      </w:pPr>
      <w:r>
        <w:rPr>
          <w:rFonts w:hint="eastAsia" w:ascii="宋体" w:hAnsi="宋体" w:eastAsia="宋体" w:cs="宋体"/>
          <w:b/>
          <w:bCs/>
          <w:color w:val="auto"/>
          <w:kern w:val="2"/>
          <w:sz w:val="21"/>
          <w:szCs w:val="21"/>
          <w:highlight w:val="none"/>
          <w:vertAlign w:val="baseline"/>
          <w:lang w:val="en-US" w:eastAsia="zh-CN" w:bidi="ar-SA"/>
        </w:rPr>
        <w:t>★所有参与本项目的供应商均需提供《中小企业声明函》，否则予以无效标处理。</w:t>
      </w:r>
    </w:p>
    <w:p>
      <w:pPr>
        <w:keepNext w:val="0"/>
        <w:keepLines w:val="0"/>
        <w:pageBreakBefore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2、本项目对应的中小企业划分标准所属行业：</w:t>
      </w:r>
      <w:r>
        <w:rPr>
          <w:rFonts w:hint="eastAsia" w:hAnsi="宋体" w:eastAsia="宋体" w:cs="宋体"/>
          <w:color w:val="auto"/>
          <w:szCs w:val="21"/>
          <w:highlight w:val="none"/>
          <w:u w:val="single"/>
          <w:lang w:val="en-US" w:eastAsia="zh-CN"/>
        </w:rPr>
        <w:t xml:space="preserve"> 其他未列明行业 </w:t>
      </w:r>
      <w:r>
        <w:rPr>
          <w:rFonts w:hint="eastAsia" w:ascii="宋体" w:hAnsi="宋体" w:eastAsia="宋体" w:cs="宋体"/>
          <w:color w:val="auto"/>
          <w:szCs w:val="21"/>
          <w:highlight w:val="none"/>
          <w:lang w:val="zh-CN"/>
        </w:rPr>
        <w:t xml:space="preserve">。 </w:t>
      </w:r>
    </w:p>
    <w:p>
      <w:pPr>
        <w:keepNext w:val="0"/>
        <w:keepLines w:val="0"/>
        <w:pageBreakBefore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3、小微企业是指中华人民共和国境内依法设立，依据国务院批准的中小企业划分标准确定的小型企业和微型企业，但与大企业的负责人为同一人，或者与大企业存在直接控股、管理关系的除外。</w:t>
      </w:r>
    </w:p>
    <w:p>
      <w:pPr>
        <w:keepNext w:val="0"/>
        <w:keepLines w:val="0"/>
        <w:pageBreakBefore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符合中小企业划分标准的个体工商户，在政府采购活动中视同中小企业。</w:t>
      </w:r>
    </w:p>
    <w:p>
      <w:pPr>
        <w:keepNext w:val="0"/>
        <w:keepLines w:val="0"/>
        <w:pageBreakBefore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国务院批准的中小企业划分标准：具体见工信部联企业[2011]300号。</w:t>
      </w:r>
    </w:p>
    <w:p>
      <w:pPr>
        <w:keepNext w:val="0"/>
        <w:keepLines w:val="0"/>
        <w:pageBreakBefore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color w:val="auto"/>
          <w:szCs w:val="21"/>
          <w:highlight w:val="none"/>
          <w:lang w:val="zh-CN"/>
        </w:rPr>
      </w:pPr>
      <w:r>
        <w:rPr>
          <w:rFonts w:hint="eastAsia" w:ascii="宋体" w:hAnsi="宋体" w:eastAsia="宋体" w:cs="宋体"/>
          <w:b/>
          <w:bCs/>
          <w:color w:val="auto"/>
          <w:sz w:val="21"/>
          <w:szCs w:val="21"/>
          <w:highlight w:val="none"/>
          <w:lang w:val="en-US" w:eastAsia="zh-CN"/>
        </w:rPr>
        <w:t>（不适用）</w:t>
      </w:r>
      <w:r>
        <w:rPr>
          <w:rFonts w:hint="eastAsia" w:ascii="宋体" w:hAnsi="宋体" w:eastAsia="宋体" w:cs="宋体"/>
          <w:color w:val="auto"/>
          <w:szCs w:val="21"/>
          <w:highlight w:val="none"/>
          <w:lang w:val="zh-CN"/>
        </w:rPr>
        <w:t>4、在政府采购活动中，供应商提供的货物、工程或者服务符合下列情形的，可享受小型、微型企业（以下简称小微企业）的价格扣除：</w:t>
      </w:r>
    </w:p>
    <w:p>
      <w:pPr>
        <w:keepNext w:val="0"/>
        <w:keepLines w:val="0"/>
        <w:pageBreakBefore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（1）在货物采购项目中，货物由小微企业制造，即货物由小微企业生产且使用该小微企业商号或者注册商标；</w:t>
      </w:r>
    </w:p>
    <w:p>
      <w:pPr>
        <w:keepNext w:val="0"/>
        <w:keepLines w:val="0"/>
        <w:pageBreakBefore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（2）在工程采购项目中，工程由小微企业承建，即工程施工单位为小微企业；</w:t>
      </w:r>
    </w:p>
    <w:p>
      <w:pPr>
        <w:keepNext w:val="0"/>
        <w:keepLines w:val="0"/>
        <w:pageBreakBefore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（3）在服务采购项目中，服务由小微企业承接，即提供服务的人员为小微企业依照《中华人民共和国劳动合同法》订立劳动合同的从业人员。</w:t>
      </w:r>
    </w:p>
    <w:p>
      <w:pPr>
        <w:keepNext w:val="0"/>
        <w:keepLines w:val="0"/>
        <w:pageBreakBefore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以联合体形式参加政府采购活动，联合体各方均为小微企业的，联合体视同小微企业。</w:t>
      </w:r>
    </w:p>
    <w:p>
      <w:pPr>
        <w:keepNext w:val="0"/>
        <w:keepLines w:val="0"/>
        <w:pageBreakBefore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5、在货物采购项目中，供应商提供的货物既有中小企业制造货物，也有大型企业制造货物的，不享受的小微企业价格扣除。</w:t>
      </w:r>
    </w:p>
    <w:p>
      <w:pPr>
        <w:keepNext w:val="0"/>
        <w:keepLines w:val="0"/>
        <w:pageBreakBefore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b w:val="0"/>
          <w:bCs w:val="0"/>
          <w:color w:val="auto"/>
          <w:szCs w:val="21"/>
          <w:highlight w:val="none"/>
          <w:lang w:val="zh-CN"/>
        </w:rPr>
      </w:pPr>
      <w:r>
        <w:rPr>
          <w:rFonts w:hint="eastAsia" w:ascii="宋体" w:hAnsi="宋体" w:eastAsia="宋体" w:cs="宋体"/>
          <w:b/>
          <w:bCs/>
          <w:color w:val="auto"/>
          <w:sz w:val="21"/>
          <w:szCs w:val="21"/>
          <w:highlight w:val="none"/>
          <w:lang w:val="en-US" w:eastAsia="zh-CN"/>
        </w:rPr>
        <w:t>（不适用）</w:t>
      </w:r>
      <w:r>
        <w:rPr>
          <w:rFonts w:hint="eastAsia" w:ascii="宋体" w:hAnsi="宋体" w:eastAsia="宋体" w:cs="宋体"/>
          <w:color w:val="auto"/>
          <w:szCs w:val="21"/>
          <w:highlight w:val="none"/>
          <w:lang w:val="zh-CN"/>
        </w:rPr>
        <w:t>6、本项目对符合《政府采购促进中小企业发展管理办法》（财库﹝2020﹞46号）规定的小微企</w:t>
      </w:r>
      <w:r>
        <w:rPr>
          <w:rFonts w:hint="eastAsia" w:ascii="宋体" w:hAnsi="宋体" w:eastAsia="宋体" w:cs="宋体"/>
          <w:b w:val="0"/>
          <w:bCs w:val="0"/>
          <w:color w:val="auto"/>
          <w:szCs w:val="21"/>
          <w:highlight w:val="none"/>
          <w:lang w:val="zh-CN"/>
        </w:rPr>
        <w:t>业报价给予</w:t>
      </w:r>
      <w:r>
        <w:rPr>
          <w:rFonts w:hint="eastAsia" w:ascii="宋体" w:hAnsi="宋体" w:eastAsia="宋体" w:cs="宋体"/>
          <w:b w:val="0"/>
          <w:bCs w:val="0"/>
          <w:color w:val="auto"/>
          <w:szCs w:val="21"/>
          <w:highlight w:val="none"/>
          <w:lang w:val="en-US" w:eastAsia="zh-CN"/>
        </w:rPr>
        <w:t>20</w:t>
      </w:r>
      <w:r>
        <w:rPr>
          <w:rFonts w:hint="eastAsia" w:ascii="宋体" w:hAnsi="宋体" w:eastAsia="宋体" w:cs="宋体"/>
          <w:b w:val="0"/>
          <w:bCs w:val="0"/>
          <w:color w:val="auto"/>
          <w:szCs w:val="21"/>
          <w:highlight w:val="none"/>
          <w:lang w:val="zh-CN"/>
        </w:rPr>
        <w:t>%（工程项目为</w:t>
      </w:r>
      <w:r>
        <w:rPr>
          <w:rFonts w:hint="eastAsia" w:ascii="宋体" w:hAnsi="宋体" w:eastAsia="宋体" w:cs="宋体"/>
          <w:b w:val="0"/>
          <w:bCs w:val="0"/>
          <w:color w:val="auto"/>
          <w:szCs w:val="21"/>
          <w:highlight w:val="none"/>
          <w:lang w:val="en-US" w:eastAsia="zh-CN"/>
        </w:rPr>
        <w:t>5</w:t>
      </w:r>
      <w:r>
        <w:rPr>
          <w:rFonts w:hint="eastAsia" w:ascii="宋体" w:hAnsi="宋体" w:eastAsia="宋体" w:cs="宋体"/>
          <w:b w:val="0"/>
          <w:bCs w:val="0"/>
          <w:color w:val="auto"/>
          <w:szCs w:val="21"/>
          <w:highlight w:val="none"/>
          <w:lang w:val="zh-CN"/>
        </w:rPr>
        <w:t>%）的扣除，用扣除后的价格参加评审。</w:t>
      </w:r>
    </w:p>
    <w:p>
      <w:pPr>
        <w:keepNext w:val="0"/>
        <w:keepLines w:val="0"/>
        <w:pageBreakBefore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color w:val="auto"/>
          <w:szCs w:val="21"/>
          <w:highlight w:val="none"/>
          <w:lang w:val="zh-CN"/>
        </w:rPr>
      </w:pPr>
      <w:r>
        <w:rPr>
          <w:rFonts w:hint="eastAsia" w:ascii="宋体" w:hAnsi="宋体" w:eastAsia="宋体" w:cs="宋体"/>
          <w:b w:val="0"/>
          <w:bCs w:val="0"/>
          <w:color w:val="auto"/>
          <w:szCs w:val="21"/>
          <w:highlight w:val="none"/>
          <w:lang w:val="zh-CN"/>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eastAsia="宋体" w:cs="宋体"/>
          <w:b w:val="0"/>
          <w:bCs w:val="0"/>
          <w:color w:val="auto"/>
          <w:szCs w:val="21"/>
          <w:highlight w:val="none"/>
          <w:lang w:val="en-US" w:eastAsia="zh-CN"/>
        </w:rPr>
        <w:t>6</w:t>
      </w:r>
      <w:r>
        <w:rPr>
          <w:rFonts w:hint="eastAsia" w:ascii="宋体" w:hAnsi="宋体" w:eastAsia="宋体" w:cs="宋体"/>
          <w:b w:val="0"/>
          <w:bCs w:val="0"/>
          <w:color w:val="auto"/>
          <w:szCs w:val="21"/>
          <w:highlight w:val="none"/>
          <w:lang w:val="zh-CN"/>
        </w:rPr>
        <w:t xml:space="preserve">%（工程项目为 </w:t>
      </w:r>
      <w:r>
        <w:rPr>
          <w:rFonts w:hint="eastAsia" w:ascii="宋体" w:hAnsi="宋体" w:eastAsia="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lang w:val="zh-CN"/>
        </w:rPr>
        <w:t>%）的扣除</w:t>
      </w:r>
      <w:r>
        <w:rPr>
          <w:rFonts w:hint="eastAsia" w:ascii="宋体" w:hAnsi="宋体" w:eastAsia="宋体" w:cs="宋体"/>
          <w:color w:val="auto"/>
          <w:szCs w:val="21"/>
          <w:highlight w:val="none"/>
          <w:lang w:val="zh-CN"/>
        </w:rPr>
        <w:t>，用扣除后的价格参加评审。组成联合体或者接受分包的小微企业与联合体内其他企业、分包企业之间存在直接控股、管理关系的，不享受价格扣除优惠政策。</w:t>
      </w:r>
    </w:p>
    <w:p>
      <w:pPr>
        <w:keepNext w:val="0"/>
        <w:keepLines w:val="0"/>
        <w:pageBreakBefore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7、小微企业应按照招标文件格式要求提供《中小企业声明函》。</w:t>
      </w:r>
    </w:p>
    <w:p>
      <w:pPr>
        <w:keepNext w:val="0"/>
        <w:keepLines w:val="0"/>
        <w:pageBreakBefore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keepNext w:val="0"/>
        <w:keepLines w:val="0"/>
        <w:pageBreakBefore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根据《关于促进残疾人就业政府采购政策的通知》（财库[2017]141号）规定，在政府采购活动中，残疾人福利性单位视同小型、微型企业。残疾人福利性单位参加政府采购活动时，提供《残疾人福利性单位声明函》。</w:t>
      </w:r>
    </w:p>
    <w:p>
      <w:pPr>
        <w:keepNext w:val="0"/>
        <w:keepLines w:val="0"/>
        <w:pageBreakBefore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10、按规定享受扶持政策获得政府采购合同的，小微企业不得将合同分包给大中型企业，中型企业不得将合同分包给大型企业。</w:t>
      </w:r>
    </w:p>
    <w:p>
      <w:pPr>
        <w:keepNext w:val="0"/>
        <w:keepLines w:val="0"/>
        <w:pageBreakBefore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b/>
          <w:bCs/>
          <w:color w:val="auto"/>
          <w:sz w:val="32"/>
          <w:szCs w:val="32"/>
          <w:highlight w:val="none"/>
        </w:rPr>
      </w:pPr>
      <w:r>
        <w:rPr>
          <w:rFonts w:hint="eastAsia" w:ascii="宋体" w:hAnsi="宋体" w:eastAsia="宋体" w:cs="宋体"/>
          <w:color w:val="auto"/>
          <w:szCs w:val="21"/>
          <w:highlight w:val="none"/>
          <w:lang w:val="zh-CN"/>
        </w:rPr>
        <w:t>11、供应商按照《政府采购促进中小企业发展管理办法》（财库﹝2020﹞46号）规定提供声明函内容不实的，属于提供虚假材料谋取中标、成交，依照《中华人民共和国政府采购法》等国家有关规定追究相应责任。</w:t>
      </w:r>
    </w:p>
    <w:p>
      <w:pPr>
        <w:pStyle w:val="2"/>
        <w:rPr>
          <w:rFonts w:hint="eastAsia"/>
          <w:color w:val="auto"/>
          <w:highlight w:val="none"/>
        </w:rPr>
      </w:pPr>
    </w:p>
    <w:p>
      <w:pPr>
        <w:pStyle w:val="2"/>
        <w:rPr>
          <w:rFonts w:hint="eastAsia"/>
          <w:color w:val="auto"/>
          <w:highlight w:val="none"/>
        </w:rPr>
        <w:sectPr>
          <w:headerReference r:id="rId4" w:type="default"/>
          <w:footerReference r:id="rId5" w:type="default"/>
          <w:pgSz w:w="11906" w:h="16838"/>
          <w:pgMar w:top="1474" w:right="1797" w:bottom="1247" w:left="1797" w:header="851" w:footer="851" w:gutter="0"/>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0"/>
        <w:rPr>
          <w:rFonts w:hint="eastAsia" w:ascii="宋体" w:hAnsi="宋体" w:eastAsia="宋体" w:cs="宋体"/>
          <w:color w:val="auto"/>
          <w:highlight w:val="none"/>
        </w:rPr>
      </w:pPr>
      <w:bookmarkStart w:id="49" w:name="_Toc8968"/>
      <w:r>
        <w:rPr>
          <w:rFonts w:hint="eastAsia" w:ascii="宋体" w:hAnsi="宋体" w:eastAsia="宋体" w:cs="宋体"/>
          <w:b/>
          <w:bCs/>
          <w:color w:val="auto"/>
          <w:sz w:val="32"/>
          <w:szCs w:val="32"/>
          <w:highlight w:val="none"/>
        </w:rPr>
        <w:t>第四章  评标办法及评分标准</w:t>
      </w:r>
      <w:bookmarkEnd w:id="49"/>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本办法严格遵照《中华人民共和国政府采购法》、《政府采购货物和服务招标投标管理办法》，结合项目所在地政府有关政府采购规定和项目的实际情况制定。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一、开标准备</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采购代理机构将在政府采购云平台进行开标，供应商的法定代表人或其授权代表</w:t>
      </w:r>
      <w:r>
        <w:rPr>
          <w:rFonts w:hint="eastAsia" w:ascii="宋体" w:hAnsi="宋体" w:eastAsia="宋体" w:cs="宋体"/>
          <w:color w:val="auto"/>
          <w:szCs w:val="21"/>
          <w:highlight w:val="none"/>
          <w:lang w:val="en-US" w:eastAsia="zh-CN"/>
        </w:rPr>
        <w:t>可在线</w:t>
      </w:r>
      <w:r>
        <w:rPr>
          <w:rFonts w:hint="eastAsia" w:ascii="宋体" w:hAnsi="宋体" w:eastAsia="宋体" w:cs="宋体"/>
          <w:color w:val="auto"/>
          <w:szCs w:val="21"/>
          <w:highlight w:val="none"/>
        </w:rPr>
        <w:t>参加开标会。供应商的法定代表人或其授权代表未</w:t>
      </w:r>
      <w:r>
        <w:rPr>
          <w:rFonts w:hint="eastAsia" w:ascii="宋体" w:hAnsi="宋体" w:eastAsia="宋体" w:cs="宋体"/>
          <w:color w:val="auto"/>
          <w:szCs w:val="21"/>
          <w:highlight w:val="none"/>
          <w:lang w:val="en-US" w:eastAsia="zh-CN"/>
        </w:rPr>
        <w:t>参加</w:t>
      </w:r>
      <w:r>
        <w:rPr>
          <w:rFonts w:hint="eastAsia" w:ascii="宋体" w:hAnsi="宋体" w:eastAsia="宋体" w:cs="宋体"/>
          <w:color w:val="auto"/>
          <w:szCs w:val="21"/>
          <w:highlight w:val="none"/>
        </w:rPr>
        <w:t>开标会</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，视同放弃开标监督权利、认可开标结果。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二、开标程序：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Cs w:val="21"/>
          <w:highlight w:val="none"/>
          <w:lang w:eastAsia="zh-CN" w:bidi="ar"/>
        </w:rPr>
      </w:pPr>
      <w:r>
        <w:rPr>
          <w:rFonts w:hint="eastAsia" w:ascii="宋体" w:hAnsi="宋体" w:eastAsia="宋体" w:cs="宋体"/>
          <w:bCs/>
          <w:color w:val="auto"/>
          <w:szCs w:val="21"/>
          <w:highlight w:val="none"/>
          <w:lang w:val="en-US" w:eastAsia="zh-CN" w:bidi="ar"/>
        </w:rPr>
        <w:t>1、</w:t>
      </w:r>
      <w:r>
        <w:rPr>
          <w:rFonts w:hint="eastAsia" w:ascii="宋体" w:hAnsi="宋体" w:eastAsia="宋体" w:cs="宋体"/>
          <w:bCs/>
          <w:color w:val="auto"/>
          <w:szCs w:val="21"/>
          <w:highlight w:val="none"/>
          <w:lang w:bidi="ar"/>
        </w:rPr>
        <w:t>电子招投标开标</w:t>
      </w:r>
      <w:r>
        <w:rPr>
          <w:rFonts w:hint="eastAsia" w:ascii="宋体" w:hAnsi="宋体" w:eastAsia="宋体" w:cs="宋体"/>
          <w:bCs/>
          <w:color w:val="auto"/>
          <w:szCs w:val="21"/>
          <w:highlight w:val="none"/>
          <w:lang w:val="en-US" w:eastAsia="zh-CN" w:bidi="ar"/>
        </w:rPr>
        <w:t>程序</w:t>
      </w:r>
      <w:r>
        <w:rPr>
          <w:rFonts w:hint="eastAsia" w:ascii="宋体" w:hAnsi="宋体" w:eastAsia="宋体" w:cs="宋体"/>
          <w:bCs/>
          <w:color w:val="auto"/>
          <w:szCs w:val="21"/>
          <w:highlight w:val="none"/>
          <w:lang w:eastAsia="zh-CN" w:bidi="ar"/>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第一阶段</w:t>
      </w:r>
      <w:r>
        <w:rPr>
          <w:rFonts w:hint="eastAsia" w:ascii="宋体" w:hAnsi="宋体" w:eastAsia="宋体" w:cs="宋体"/>
          <w:color w:val="auto"/>
          <w:szCs w:val="21"/>
          <w:highlight w:val="none"/>
          <w:lang w:eastAsia="zh-CN"/>
        </w:rPr>
        <w:t>：</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投标截止时间后，供应商登录政府采购云平台，用“项目采购-开标评标”功能对电子投标文件进行在线解密，在线解密电子投标文件时间为开标时间</w:t>
      </w:r>
      <w:r>
        <w:rPr>
          <w:rFonts w:hint="eastAsia" w:ascii="宋体" w:hAnsi="宋体" w:eastAsia="宋体" w:cs="宋体"/>
          <w:color w:val="auto"/>
          <w:szCs w:val="21"/>
          <w:highlight w:val="none"/>
          <w:lang w:val="en-US" w:eastAsia="zh-CN"/>
        </w:rPr>
        <w:t>后30分钟</w:t>
      </w:r>
      <w:r>
        <w:rPr>
          <w:rFonts w:hint="eastAsia" w:ascii="宋体" w:hAnsi="宋体" w:eastAsia="宋体" w:cs="宋体"/>
          <w:color w:val="auto"/>
          <w:szCs w:val="21"/>
          <w:highlight w:val="none"/>
        </w:rPr>
        <w:t>内。</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在政府采购云平台开启</w:t>
      </w:r>
      <w:r>
        <w:rPr>
          <w:rFonts w:hint="eastAsia" w:ascii="宋体" w:hAnsi="宋体" w:eastAsia="宋体" w:cs="宋体"/>
          <w:color w:val="auto"/>
          <w:szCs w:val="21"/>
          <w:highlight w:val="none"/>
          <w:lang w:val="en-US" w:eastAsia="zh-CN"/>
        </w:rPr>
        <w:t>已解密</w:t>
      </w:r>
      <w:r>
        <w:rPr>
          <w:rFonts w:hint="eastAsia" w:ascii="宋体" w:hAnsi="宋体" w:eastAsia="宋体" w:cs="宋体"/>
          <w:color w:val="auto"/>
          <w:szCs w:val="21"/>
          <w:highlight w:val="none"/>
        </w:rPr>
        <w:t>供应商的“资格文件、商务技术文件”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并做开标记录；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第二阶段</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w:t>
      </w:r>
      <w:r>
        <w:rPr>
          <w:rFonts w:hint="eastAsia" w:ascii="宋体" w:hAnsi="宋体" w:eastAsia="宋体" w:cs="宋体"/>
          <w:color w:val="auto"/>
          <w:kern w:val="0"/>
          <w:szCs w:val="21"/>
          <w:highlight w:val="none"/>
        </w:rPr>
        <w:t>政府采购云平台</w:t>
      </w:r>
      <w:r>
        <w:rPr>
          <w:rFonts w:hint="eastAsia" w:ascii="宋体" w:hAnsi="宋体" w:eastAsia="宋体" w:cs="宋体"/>
          <w:color w:val="auto"/>
          <w:szCs w:val="21"/>
          <w:highlight w:val="none"/>
        </w:rPr>
        <w:t>宣告第一阶段评审无效供应商名单及理由；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（2）公布经第一阶段评审符合</w:t>
      </w:r>
      <w:r>
        <w:rPr>
          <w:rFonts w:hint="eastAsia" w:ascii="宋体" w:hAnsi="宋体" w:eastAsia="宋体" w:cs="宋体"/>
          <w:color w:val="auto"/>
          <w:szCs w:val="21"/>
          <w:highlight w:val="none"/>
          <w:lang w:val="en-US" w:eastAsia="zh-CN"/>
        </w:rPr>
        <w:t>招标文件</w:t>
      </w:r>
      <w:r>
        <w:rPr>
          <w:rFonts w:hint="eastAsia" w:ascii="宋体" w:hAnsi="宋体" w:eastAsia="宋体" w:cs="宋体"/>
          <w:color w:val="auto"/>
          <w:szCs w:val="21"/>
          <w:highlight w:val="none"/>
        </w:rPr>
        <w:t>要求的供应商的商务技术得分情况；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w:t>
      </w:r>
      <w:r>
        <w:rPr>
          <w:rFonts w:hint="eastAsia" w:ascii="宋体" w:hAnsi="宋体" w:eastAsia="宋体" w:cs="宋体"/>
          <w:color w:val="auto"/>
          <w:kern w:val="0"/>
          <w:szCs w:val="21"/>
          <w:highlight w:val="none"/>
        </w:rPr>
        <w:t>政府采购云平台</w:t>
      </w:r>
      <w:r>
        <w:rPr>
          <w:rFonts w:hint="eastAsia" w:ascii="宋体" w:hAnsi="宋体" w:eastAsia="宋体" w:cs="宋体"/>
          <w:color w:val="auto"/>
          <w:szCs w:val="21"/>
          <w:highlight w:val="none"/>
        </w:rPr>
        <w:t>开启除第一阶段无效标外的供应商的“报价文件”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并做开标记录；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（4）在</w:t>
      </w:r>
      <w:r>
        <w:rPr>
          <w:rFonts w:hint="eastAsia" w:ascii="宋体" w:hAnsi="宋体" w:eastAsia="宋体" w:cs="宋体"/>
          <w:color w:val="auto"/>
          <w:kern w:val="0"/>
          <w:szCs w:val="21"/>
          <w:highlight w:val="none"/>
        </w:rPr>
        <w:t>政府采购云平台</w:t>
      </w:r>
      <w:r>
        <w:rPr>
          <w:rFonts w:hint="eastAsia" w:ascii="宋体" w:hAnsi="宋体" w:eastAsia="宋体" w:cs="宋体"/>
          <w:color w:val="auto"/>
          <w:szCs w:val="21"/>
          <w:highlight w:val="none"/>
        </w:rPr>
        <w:t>公布</w:t>
      </w:r>
      <w:r>
        <w:rPr>
          <w:rFonts w:hint="eastAsia" w:ascii="宋体" w:hAnsi="宋体" w:eastAsia="宋体" w:cs="宋体"/>
          <w:color w:val="auto"/>
          <w:szCs w:val="21"/>
          <w:highlight w:val="none"/>
          <w:lang w:val="en-US" w:eastAsia="zh-CN"/>
        </w:rPr>
        <w:t>评审结果</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开标会议结束。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、特别说明：</w:t>
      </w:r>
      <w:r>
        <w:rPr>
          <w:rFonts w:hint="eastAsia" w:ascii="宋体" w:hAnsi="宋体" w:eastAsia="宋体" w:cs="宋体"/>
          <w:color w:val="auto"/>
          <w:kern w:val="0"/>
          <w:szCs w:val="21"/>
          <w:highlight w:val="none"/>
        </w:rPr>
        <w:t>政府采购云平台</w:t>
      </w:r>
      <w:r>
        <w:rPr>
          <w:rFonts w:hint="eastAsia" w:ascii="宋体" w:hAnsi="宋体" w:eastAsia="宋体" w:cs="宋体"/>
          <w:color w:val="auto"/>
          <w:szCs w:val="21"/>
          <w:highlight w:val="none"/>
        </w:rPr>
        <w:t>如对电子化开标及评审程序有调整的，按调整后的程序操作。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本项目原则上采用政采云</w:t>
      </w:r>
      <w:r>
        <w:rPr>
          <w:rFonts w:hint="eastAsia" w:ascii="宋体" w:hAnsi="宋体" w:eastAsia="宋体" w:cs="宋体"/>
          <w:bCs/>
          <w:color w:val="auto"/>
          <w:szCs w:val="21"/>
          <w:highlight w:val="none"/>
          <w:lang w:bidi="ar"/>
        </w:rPr>
        <w:t>电子招投标开标</w:t>
      </w:r>
      <w:r>
        <w:rPr>
          <w:rFonts w:hint="eastAsia" w:ascii="宋体" w:hAnsi="宋体" w:eastAsia="宋体" w:cs="宋体"/>
          <w:bCs/>
          <w:color w:val="auto"/>
          <w:szCs w:val="21"/>
          <w:highlight w:val="none"/>
          <w:lang w:val="en-US" w:eastAsia="zh-CN" w:bidi="ar"/>
        </w:rPr>
        <w:t>程序</w:t>
      </w:r>
      <w:r>
        <w:rPr>
          <w:rFonts w:hint="eastAsia" w:ascii="宋体" w:hAnsi="宋体" w:eastAsia="宋体" w:cs="宋体"/>
          <w:color w:val="auto"/>
          <w:szCs w:val="21"/>
          <w:highlight w:val="none"/>
        </w:rPr>
        <w:t>，但有</w:t>
      </w:r>
      <w:r>
        <w:rPr>
          <w:rFonts w:hint="eastAsia" w:ascii="宋体" w:hAnsi="宋体" w:eastAsia="宋体" w:cs="宋体"/>
          <w:color w:val="auto"/>
          <w:szCs w:val="21"/>
          <w:highlight w:val="none"/>
          <w:lang w:eastAsia="zh-CN"/>
        </w:rPr>
        <w:t>以</w:t>
      </w:r>
      <w:r>
        <w:rPr>
          <w:rFonts w:hint="eastAsia" w:ascii="宋体" w:hAnsi="宋体" w:eastAsia="宋体" w:cs="宋体"/>
          <w:color w:val="auto"/>
          <w:szCs w:val="21"/>
          <w:highlight w:val="none"/>
        </w:rPr>
        <w:t>下情形之一的，按以下情况处理：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（1）若</w:t>
      </w:r>
      <w:r>
        <w:rPr>
          <w:rFonts w:hint="eastAsia" w:ascii="宋体" w:hAnsi="宋体" w:eastAsia="宋体" w:cs="宋体"/>
          <w:color w:val="auto"/>
          <w:szCs w:val="21"/>
          <w:highlight w:val="none"/>
          <w:lang w:eastAsia="zh-CN"/>
        </w:rPr>
        <w:t>有</w:t>
      </w:r>
      <w:r>
        <w:rPr>
          <w:rFonts w:hint="eastAsia" w:ascii="宋体" w:hAnsi="宋体" w:eastAsia="宋体" w:cs="宋体"/>
          <w:color w:val="auto"/>
          <w:szCs w:val="21"/>
          <w:highlight w:val="none"/>
        </w:rPr>
        <w:t>供应商在规定时间内无法解密或解密失败，代理机构将开启</w:t>
      </w:r>
      <w:r>
        <w:rPr>
          <w:rFonts w:hint="eastAsia" w:ascii="宋体" w:hAnsi="宋体" w:eastAsia="宋体" w:cs="宋体"/>
          <w:color w:val="auto"/>
          <w:szCs w:val="21"/>
          <w:highlight w:val="none"/>
          <w:lang w:eastAsia="zh-CN"/>
        </w:rPr>
        <w:t>该</w:t>
      </w:r>
      <w:r>
        <w:rPr>
          <w:rFonts w:hint="eastAsia" w:ascii="宋体" w:hAnsi="宋体" w:eastAsia="宋体" w:cs="宋体"/>
          <w:color w:val="auto"/>
          <w:szCs w:val="21"/>
          <w:highlight w:val="none"/>
        </w:rPr>
        <w:t>供应商递交的</w:t>
      </w:r>
      <w:r>
        <w:rPr>
          <w:rFonts w:hint="eastAsia" w:ascii="宋体" w:hAnsi="宋体" w:eastAsia="宋体" w:cs="宋体"/>
          <w:color w:val="auto"/>
          <w:kern w:val="0"/>
          <w:szCs w:val="21"/>
          <w:highlight w:val="none"/>
        </w:rPr>
        <w:t>以U盘存储的电子备份投标文件</w:t>
      </w:r>
      <w:r>
        <w:rPr>
          <w:rFonts w:hint="eastAsia" w:ascii="宋体" w:hAnsi="宋体" w:eastAsia="宋体" w:cs="宋体"/>
          <w:color w:val="auto"/>
          <w:szCs w:val="21"/>
          <w:highlight w:val="none"/>
        </w:rPr>
        <w:t>，上传至政采云平台项目采购模块，以完成开标，电子投标文件自动失效。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）采购过程中出现以下情形，导致电子交易平台无法正常运行，或者无法保证电子交易的公平、公正和安全时，采购人（或代理机构）可中止电子交易活动：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 xml:space="preserve">电子交易平台发生故障而无法登录访问的；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2.2</w:t>
      </w:r>
      <w:r>
        <w:rPr>
          <w:rFonts w:hint="eastAsia" w:ascii="宋体" w:hAnsi="宋体" w:eastAsia="宋体" w:cs="宋体"/>
          <w:color w:val="auto"/>
          <w:szCs w:val="21"/>
          <w:highlight w:val="none"/>
        </w:rPr>
        <w:t>电子交易平台应用或数据库出现错误，不能进行正常操作的；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2.3</w:t>
      </w:r>
      <w:r>
        <w:rPr>
          <w:rFonts w:hint="eastAsia" w:ascii="宋体" w:hAnsi="宋体" w:eastAsia="宋体" w:cs="宋体"/>
          <w:color w:val="auto"/>
          <w:szCs w:val="21"/>
          <w:highlight w:val="none"/>
        </w:rPr>
        <w:t>电子交易平台发现严重安全漏洞，有潜在泄密危险的；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rPr>
        <w:t xml:space="preserve">病毒发作导致不能进行正常操作的；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rPr>
        <w:t>其他无法保证电子交易的公平、公正和安全的情况。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出现前款规定情形，不影响采购公平、公正性的，采购人（或代理机构）可以待上述情形消除后继续组织电子交易活动。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三、评标委员会</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（一）本次招标依法组建评标委员会。</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（二）评标原则。评标委员会必须遵循公平、公正、客观、科学的原则和规定的程序进行评标；评标的依据为</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（三）评审专家有下列情形之一的，受到邀请应主动提出回避，采购当事人也可以要求该评审专家回避：</w:t>
      </w:r>
    </w:p>
    <w:p>
      <w:pPr>
        <w:pStyle w:val="29"/>
        <w:keepNext w:val="0"/>
        <w:keepLines w:val="0"/>
        <w:pageBreakBefore w:val="0"/>
        <w:kinsoku/>
        <w:wordWrap/>
        <w:overflowPunct/>
        <w:topLinePunct w:val="0"/>
        <w:autoSpaceDN/>
        <w:bidi w:val="0"/>
        <w:adjustRightInd/>
        <w:snapToGrid/>
        <w:spacing w:after="0" w:line="360" w:lineRule="auto"/>
        <w:ind w:left="0" w:leftChars="0" w:firstLine="417" w:firstLineChars="199"/>
        <w:textAlignment w:val="auto"/>
        <w:rPr>
          <w:rFonts w:hint="eastAsia" w:ascii="宋体" w:hAnsi="宋体" w:cs="宋体"/>
          <w:color w:val="auto"/>
          <w:szCs w:val="21"/>
          <w:highlight w:val="none"/>
        </w:rPr>
      </w:pPr>
      <w:r>
        <w:rPr>
          <w:rFonts w:hint="eastAsia" w:ascii="宋体" w:hAnsi="宋体" w:cs="宋体"/>
          <w:color w:val="auto"/>
          <w:szCs w:val="21"/>
          <w:highlight w:val="none"/>
        </w:rPr>
        <w:t>1、参加采购活动前三年内，与供应商存在劳动关系，或者担任过供应商的董事、监事，或者是供应商的控股股东或实际控制人；</w:t>
      </w:r>
    </w:p>
    <w:p>
      <w:pPr>
        <w:pStyle w:val="29"/>
        <w:keepNext w:val="0"/>
        <w:keepLines w:val="0"/>
        <w:pageBreakBefore w:val="0"/>
        <w:kinsoku/>
        <w:wordWrap/>
        <w:overflowPunct/>
        <w:topLinePunct w:val="0"/>
        <w:autoSpaceDN/>
        <w:bidi w:val="0"/>
        <w:adjustRightInd/>
        <w:snapToGrid/>
        <w:spacing w:after="0" w:line="360" w:lineRule="auto"/>
        <w:ind w:left="0" w:leftChars="0" w:firstLine="417" w:firstLineChars="199"/>
        <w:textAlignment w:val="auto"/>
        <w:rPr>
          <w:rFonts w:hint="eastAsia" w:ascii="宋体" w:hAnsi="宋体" w:cs="宋体"/>
          <w:color w:val="auto"/>
          <w:szCs w:val="21"/>
          <w:highlight w:val="none"/>
        </w:rPr>
      </w:pPr>
      <w:r>
        <w:rPr>
          <w:rFonts w:hint="eastAsia" w:ascii="宋体" w:hAnsi="宋体" w:cs="宋体"/>
          <w:color w:val="auto"/>
          <w:szCs w:val="21"/>
          <w:highlight w:val="none"/>
        </w:rPr>
        <w:t>2、与供应商的法定代表人或者负责人有夫妻、直系血亲、三代以内旁系血亲或者近姻亲关系；</w:t>
      </w:r>
    </w:p>
    <w:p>
      <w:pPr>
        <w:pStyle w:val="29"/>
        <w:keepNext w:val="0"/>
        <w:keepLines w:val="0"/>
        <w:pageBreakBefore w:val="0"/>
        <w:kinsoku/>
        <w:wordWrap/>
        <w:overflowPunct/>
        <w:topLinePunct w:val="0"/>
        <w:autoSpaceDN/>
        <w:bidi w:val="0"/>
        <w:adjustRightInd/>
        <w:snapToGrid/>
        <w:spacing w:after="0" w:line="360" w:lineRule="auto"/>
        <w:ind w:left="0" w:leftChars="0" w:firstLine="417" w:firstLineChars="199"/>
        <w:textAlignment w:val="auto"/>
        <w:rPr>
          <w:rFonts w:hint="eastAsia" w:ascii="宋体" w:hAnsi="宋体" w:cs="宋体"/>
          <w:color w:val="auto"/>
          <w:szCs w:val="21"/>
          <w:highlight w:val="none"/>
        </w:rPr>
      </w:pPr>
      <w:r>
        <w:rPr>
          <w:rFonts w:hint="eastAsia" w:ascii="宋体" w:hAnsi="宋体" w:cs="宋体"/>
          <w:color w:val="auto"/>
          <w:szCs w:val="21"/>
          <w:highlight w:val="none"/>
        </w:rPr>
        <w:t>3、与供应商有其他可能影响政府采购活动公平、公正进行的关系；</w:t>
      </w:r>
    </w:p>
    <w:p>
      <w:pPr>
        <w:pStyle w:val="29"/>
        <w:keepNext w:val="0"/>
        <w:keepLines w:val="0"/>
        <w:pageBreakBefore w:val="0"/>
        <w:kinsoku/>
        <w:wordWrap/>
        <w:overflowPunct/>
        <w:topLinePunct w:val="0"/>
        <w:autoSpaceDN/>
        <w:bidi w:val="0"/>
        <w:adjustRightInd/>
        <w:snapToGrid/>
        <w:spacing w:after="0" w:line="360" w:lineRule="auto"/>
        <w:ind w:left="0" w:leftChars="0" w:firstLine="417" w:firstLineChars="199"/>
        <w:textAlignment w:val="auto"/>
        <w:rPr>
          <w:rFonts w:hint="eastAsia" w:ascii="宋体" w:hAnsi="宋体" w:cs="宋体"/>
          <w:color w:val="auto"/>
          <w:szCs w:val="21"/>
          <w:highlight w:val="none"/>
        </w:rPr>
      </w:pPr>
      <w:r>
        <w:rPr>
          <w:rFonts w:hint="eastAsia" w:ascii="宋体" w:hAnsi="宋体" w:cs="宋体"/>
          <w:color w:val="auto"/>
          <w:szCs w:val="21"/>
          <w:highlight w:val="none"/>
        </w:rPr>
        <w:t>4、参与过采购项目进口产品论证的专家应当回避；</w:t>
      </w:r>
    </w:p>
    <w:p>
      <w:pPr>
        <w:pStyle w:val="29"/>
        <w:keepNext w:val="0"/>
        <w:keepLines w:val="0"/>
        <w:pageBreakBefore w:val="0"/>
        <w:kinsoku/>
        <w:wordWrap/>
        <w:overflowPunct/>
        <w:topLinePunct w:val="0"/>
        <w:autoSpaceDN/>
        <w:bidi w:val="0"/>
        <w:adjustRightInd/>
        <w:snapToGrid/>
        <w:spacing w:after="0" w:line="360" w:lineRule="auto"/>
        <w:ind w:left="0" w:leftChars="0" w:firstLine="417" w:firstLineChars="199"/>
        <w:textAlignment w:val="auto"/>
        <w:rPr>
          <w:rFonts w:hint="eastAsia" w:ascii="宋体" w:hAnsi="宋体" w:cs="宋体"/>
          <w:color w:val="auto"/>
          <w:szCs w:val="21"/>
          <w:highlight w:val="none"/>
        </w:rPr>
      </w:pPr>
      <w:r>
        <w:rPr>
          <w:rFonts w:hint="eastAsia" w:ascii="宋体" w:hAnsi="宋体" w:cs="宋体"/>
          <w:color w:val="auto"/>
          <w:szCs w:val="21"/>
          <w:highlight w:val="none"/>
        </w:rPr>
        <w:t>5、通过随机抽到本单位的评审专家，采购人已经指定了采购人代表，该评审专家应当回避，采购人自行选定相应专业领域评审专家情形除外；</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cs="宋体"/>
          <w:color w:val="auto"/>
          <w:szCs w:val="21"/>
          <w:highlight w:val="none"/>
        </w:rPr>
        <w:t>6、法律、法规、规章规定应当回避以及其他可能影响公正评审的。</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（四）评标委员会判断投标文件的有效性、合格性和响应情况，仅依据供应商所递交一切文件的真实表述，不受与本项目无直接关联的外部信息、传言而影响自身的专业判断。</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（五）评委依法独立评审，并对评审意见承担个人责任。对明显畸高、畸低的评分（</w:t>
      </w:r>
      <w:r>
        <w:rPr>
          <w:rFonts w:hint="eastAsia" w:ascii="宋体" w:hAnsi="宋体" w:cs="宋体"/>
          <w:color w:val="auto"/>
          <w:szCs w:val="21"/>
          <w:highlight w:val="none"/>
        </w:rPr>
        <w:t>评审小组成员个人主观总评分偏离所有评审小组成员主观总评分平均值30%以上</w:t>
      </w:r>
      <w:r>
        <w:rPr>
          <w:rFonts w:hint="eastAsia" w:ascii="宋体" w:hAnsi="宋体" w:eastAsia="宋体" w:cs="宋体"/>
          <w:color w:val="auto"/>
          <w:szCs w:val="21"/>
          <w:highlight w:val="none"/>
        </w:rPr>
        <w:t>），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四、评标方法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（一）本次采购项目的评标方法为：综合评分法。</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w:t>
      </w:r>
      <w:r>
        <w:rPr>
          <w:rFonts w:hint="eastAsia" w:ascii="宋体" w:hAnsi="宋体" w:eastAsia="宋体" w:cs="宋体"/>
          <w:bCs/>
          <w:color w:val="auto"/>
          <w:highlight w:val="none"/>
        </w:rPr>
        <w:t>推荐3名及以上</w:t>
      </w:r>
      <w:r>
        <w:rPr>
          <w:rFonts w:hint="eastAsia" w:ascii="宋体" w:hAnsi="宋体" w:eastAsia="宋体" w:cs="宋体"/>
          <w:color w:val="auto"/>
          <w:szCs w:val="21"/>
          <w:highlight w:val="none"/>
        </w:rPr>
        <w:t>中标</w:t>
      </w:r>
      <w:r>
        <w:rPr>
          <w:rFonts w:hint="eastAsia" w:ascii="宋体" w:hAnsi="宋体" w:eastAsia="宋体" w:cs="宋体"/>
          <w:bCs/>
          <w:color w:val="auto"/>
          <w:highlight w:val="none"/>
        </w:rPr>
        <w:t>候选人</w:t>
      </w:r>
      <w:r>
        <w:rPr>
          <w:rFonts w:hint="eastAsia" w:ascii="宋体" w:hAnsi="宋体" w:eastAsia="宋体" w:cs="宋体"/>
          <w:color w:val="auto"/>
          <w:szCs w:val="21"/>
          <w:highlight w:val="none"/>
        </w:rPr>
        <w:t>。得分相同的，按投标报价由低到高顺序排列。得分且投标报价相同的并列，则抽签决定。</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cs="宋体"/>
          <w:color w:val="auto"/>
          <w:szCs w:val="21"/>
          <w:highlight w:val="none"/>
        </w:rPr>
        <w:t>若出现参与的供应商或者对招标文件作出实质性响应的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不足3家的情况，本</w:t>
      </w:r>
      <w:r>
        <w:rPr>
          <w:rFonts w:hint="eastAsia" w:ascii="宋体" w:hAnsi="宋体" w:cs="宋体"/>
          <w:color w:val="auto"/>
          <w:szCs w:val="21"/>
          <w:highlight w:val="none"/>
          <w:lang w:eastAsia="zh-CN"/>
        </w:rPr>
        <w:t>项目作废标处理</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（三）投标文件的澄清</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1、对于投标文件中含义不明确、同类问题表述不一致或者有明显文字和计算错误的内容，评标委员会应当以书面形式要求供应商作出必要的澄清、说明或者补正。</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2、供应商的澄清、说明或者补正应当采用书面形式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或扫描件上传政采云平台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，并加盖公章，或者由法定代表人或其授权的代表</w:t>
      </w:r>
      <w:r>
        <w:rPr>
          <w:rFonts w:hint="eastAsia" w:ascii="宋体" w:hAnsi="宋体" w:eastAsia="宋体" w:cs="宋体"/>
          <w:color w:val="auto"/>
          <w:szCs w:val="21"/>
          <w:highlight w:val="none"/>
          <w:lang w:eastAsia="zh-CN"/>
        </w:rPr>
        <w:t>签名或盖章</w:t>
      </w:r>
      <w:r>
        <w:rPr>
          <w:rFonts w:hint="eastAsia" w:ascii="宋体" w:hAnsi="宋体" w:eastAsia="宋体" w:cs="宋体"/>
          <w:color w:val="auto"/>
          <w:szCs w:val="21"/>
          <w:highlight w:val="none"/>
        </w:rPr>
        <w:t>。供应商的澄清、说明或者补正不得超出投标文件的范围或者改变投标文件的实质性内容。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（四）投标文件错误修正原则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投标文件如果出现计算或表达上的错误，修正错误的原则如下：</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1、投标文件中开标一览表（报价表）内容与投标文件中相应内容不一致的，以开标一览表（报价表）为准；</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3、单价金额小数点或者百分比有明显错位的，以开标一览表的总价为准，并修改单价；</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pPr>
        <w:keepNext w:val="0"/>
        <w:keepLines w:val="0"/>
        <w:pageBreakBefore w:val="0"/>
        <w:widowControl/>
        <w:numPr>
          <w:ilvl w:val="0"/>
          <w:numId w:val="13"/>
        </w:numPr>
        <w:kinsoku/>
        <w:wordWrap/>
        <w:overflowPunct/>
        <w:topLinePunct w:val="0"/>
        <w:autoSpaceDE w:val="0"/>
        <w:autoSpaceDN/>
        <w:bidi w:val="0"/>
        <w:adjustRightInd/>
        <w:snapToGrid/>
        <w:spacing w:line="360" w:lineRule="auto"/>
        <w:ind w:firstLine="415" w:firstLineChars="198"/>
        <w:textAlignment w:val="auto"/>
        <w:rPr>
          <w:rFonts w:hint="eastAsia" w:ascii="宋体" w:hAnsi="宋体" w:cs="宋体"/>
          <w:color w:val="auto"/>
          <w:szCs w:val="21"/>
          <w:highlight w:val="none"/>
        </w:rPr>
      </w:pPr>
      <w:r>
        <w:rPr>
          <w:rFonts w:hint="eastAsia" w:ascii="宋体" w:hAnsi="宋体" w:cs="宋体"/>
          <w:color w:val="auto"/>
          <w:szCs w:val="21"/>
          <w:highlight w:val="none"/>
          <w:lang w:bidi="ar"/>
        </w:rPr>
        <w:t>政采云平台填报的开标一览表中的价格与上传的报价文件中开标一览表的报价不一致的，以上传的报价文件为准。</w:t>
      </w:r>
    </w:p>
    <w:p>
      <w:pPr>
        <w:pStyle w:val="29"/>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同时出现两种以上不一致的，按照前款规定的顺序修正。修正后的报价按照投标文件澄清第二款的规定经供应商确认后产生约束力，供应商不确认的，其投标无效。</w:t>
      </w:r>
    </w:p>
    <w:p>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Cs w:val="21"/>
          <w:highlight w:val="none"/>
        </w:rPr>
      </w:pP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rPr>
      </w:pPr>
      <w:bookmarkStart w:id="50" w:name="_Toc481567077"/>
      <w:bookmarkStart w:id="51" w:name="_Toc493058318"/>
      <w:r>
        <w:rPr>
          <w:rFonts w:hint="eastAsia" w:ascii="宋体" w:hAnsi="宋体" w:eastAsia="宋体" w:cs="宋体"/>
          <w:b/>
          <w:bCs/>
          <w:color w:val="auto"/>
          <w:szCs w:val="21"/>
          <w:highlight w:val="none"/>
        </w:rPr>
        <w:t>评标</w:t>
      </w:r>
      <w:bookmarkEnd w:id="50"/>
      <w:r>
        <w:rPr>
          <w:rFonts w:hint="eastAsia" w:ascii="宋体" w:hAnsi="宋体" w:eastAsia="宋体" w:cs="宋体"/>
          <w:b/>
          <w:bCs/>
          <w:color w:val="auto"/>
          <w:szCs w:val="21"/>
          <w:highlight w:val="none"/>
        </w:rPr>
        <w:t>程序</w:t>
      </w:r>
      <w:bookmarkEnd w:id="51"/>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（一）资格条件审查</w:t>
      </w:r>
    </w:p>
    <w:p>
      <w:pPr>
        <w:keepNext w:val="0"/>
        <w:keepLines w:val="0"/>
        <w:pageBreakBefore w:val="0"/>
        <w:widowControl w:val="0"/>
        <w:kinsoku/>
        <w:wordWrap/>
        <w:overflowPunct/>
        <w:topLinePunct w:val="0"/>
        <w:autoSpaceDE/>
        <w:autoSpaceDN/>
        <w:bidi w:val="0"/>
        <w:adjustRightInd/>
        <w:snapToGrid/>
        <w:spacing w:line="360" w:lineRule="auto"/>
        <w:ind w:firstLine="522" w:firstLineChars="24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由采购人或采购代理机构对供应商的资格进行审查。</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审查类别</w:t>
            </w:r>
          </w:p>
        </w:tc>
        <w:tc>
          <w:tcPr>
            <w:tcW w:w="6794" w:type="dxa"/>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资格条件审查</w:t>
            </w:r>
          </w:p>
        </w:tc>
        <w:tc>
          <w:tcPr>
            <w:tcW w:w="6794" w:type="dxa"/>
            <w:noWrap w:val="0"/>
            <w:vAlign w:val="top"/>
          </w:tcPr>
          <w:p>
            <w:pPr>
              <w:keepNext w:val="0"/>
              <w:keepLines w:val="0"/>
              <w:pageBreakBefore w:val="0"/>
              <w:widowControl w:val="0"/>
              <w:numPr>
                <w:ilvl w:val="0"/>
                <w:numId w:val="15"/>
              </w:numPr>
              <w:kinsoku/>
              <w:wordWrap/>
              <w:overflowPunct/>
              <w:topLinePunct w:val="0"/>
              <w:autoSpaceDE/>
              <w:autoSpaceDN/>
              <w:bidi w:val="0"/>
              <w:adjustRightInd/>
              <w:snapToGrid/>
              <w:spacing w:line="336" w:lineRule="auto"/>
              <w:textAlignment w:val="auto"/>
              <w:rPr>
                <w:rFonts w:hint="eastAsia" w:ascii="宋体" w:hAnsi="宋体" w:eastAsia="宋体" w:cs="宋体"/>
                <w:color w:val="auto"/>
                <w:highlight w:val="none"/>
              </w:rPr>
            </w:pPr>
            <w:r>
              <w:rPr>
                <w:rFonts w:hint="eastAsia" w:ascii="宋体" w:hAnsi="宋体" w:eastAsia="宋体" w:cs="宋体"/>
                <w:i w:val="0"/>
                <w:iCs w:val="0"/>
                <w:color w:val="auto"/>
                <w:sz w:val="21"/>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Cs w:val="21"/>
                <w:highlight w:val="none"/>
              </w:rPr>
            </w:pPr>
          </w:p>
        </w:tc>
        <w:tc>
          <w:tcPr>
            <w:tcW w:w="6794" w:type="dxa"/>
            <w:noWrap w:val="0"/>
            <w:vAlign w:val="top"/>
          </w:tcPr>
          <w:p>
            <w:pPr>
              <w:keepNext w:val="0"/>
              <w:keepLines w:val="0"/>
              <w:pageBreakBefore w:val="0"/>
              <w:widowControl w:val="0"/>
              <w:numPr>
                <w:ilvl w:val="0"/>
                <w:numId w:val="15"/>
              </w:numPr>
              <w:kinsoku/>
              <w:wordWrap/>
              <w:overflowPunct/>
              <w:topLinePunct w:val="0"/>
              <w:autoSpaceDE/>
              <w:autoSpaceDN/>
              <w:bidi w:val="0"/>
              <w:adjustRightInd/>
              <w:snapToGrid/>
              <w:spacing w:line="336"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落实政府采购政策需满足的资格要求：本项目为专门面向中小企业采购项目，供应商须为中小企业。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Cs w:val="21"/>
                <w:highlight w:val="none"/>
              </w:rPr>
            </w:pPr>
          </w:p>
        </w:tc>
        <w:tc>
          <w:tcPr>
            <w:tcW w:w="6794" w:type="dxa"/>
            <w:noWrap w:val="0"/>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）特定资格条件：</w:t>
            </w:r>
            <w:r>
              <w:rPr>
                <w:rFonts w:hint="eastAsia" w:ascii="宋体" w:hAnsi="宋体" w:eastAsia="宋体" w:cs="宋体"/>
                <w:color w:val="auto"/>
                <w:highlight w:val="none"/>
                <w:lang w:eastAsia="zh-CN"/>
              </w:rPr>
              <w:t>详见“第一章  公开招标公告 二、申请人的资格要求：3.本项目的特定资格要求”</w:t>
            </w: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Cs w:val="21"/>
                <w:highlight w:val="none"/>
              </w:rPr>
            </w:pPr>
          </w:p>
        </w:tc>
        <w:tc>
          <w:tcPr>
            <w:tcW w:w="6794" w:type="dxa"/>
            <w:noWrap w:val="0"/>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w:t>
            </w:r>
            <w:r>
              <w:rPr>
                <w:rFonts w:hint="eastAsia" w:ascii="宋体" w:hAnsi="宋体" w:eastAsia="宋体" w:cs="宋体"/>
                <w:color w:val="auto"/>
                <w:highlight w:val="none"/>
              </w:rPr>
              <w:t>本项目</w:t>
            </w:r>
            <w:r>
              <w:rPr>
                <w:rFonts w:hint="eastAsia" w:ascii="宋体" w:hAnsi="宋体" w:cs="宋体"/>
                <w:color w:val="auto"/>
                <w:highlight w:val="none"/>
                <w:lang w:val="en-US" w:eastAsia="zh-CN"/>
              </w:rPr>
              <w:t>不</w:t>
            </w:r>
            <w:r>
              <w:rPr>
                <w:rFonts w:hint="eastAsia" w:ascii="宋体" w:hAnsi="宋体" w:eastAsia="宋体" w:cs="宋体"/>
                <w:color w:val="auto"/>
                <w:highlight w:val="none"/>
              </w:rPr>
              <w:t>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Cs w:val="21"/>
                <w:highlight w:val="none"/>
              </w:rPr>
            </w:pPr>
          </w:p>
        </w:tc>
        <w:tc>
          <w:tcPr>
            <w:tcW w:w="6794" w:type="dxa"/>
            <w:noWrap w:val="0"/>
            <w:vAlign w:val="top"/>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要求的其他资格条件（如有）。</w:t>
            </w:r>
          </w:p>
        </w:tc>
      </w:tr>
    </w:tbl>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（二）符合性审查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评标委员会应当对符合资格的供应商的投标文件进行符合性审查，以确定其是否满足</w:t>
      </w:r>
      <w:r>
        <w:rPr>
          <w:rFonts w:hint="eastAsia" w:ascii="宋体" w:hAnsi="宋体" w:eastAsia="宋体" w:cs="宋体"/>
          <w:color w:val="auto"/>
          <w:kern w:val="0"/>
          <w:szCs w:val="21"/>
          <w:highlight w:val="none"/>
          <w:lang w:eastAsia="zh-CN"/>
        </w:rPr>
        <w:t>招标文件</w:t>
      </w:r>
      <w:r>
        <w:rPr>
          <w:rFonts w:hint="eastAsia" w:ascii="宋体" w:hAnsi="宋体" w:eastAsia="宋体" w:cs="宋体"/>
          <w:color w:val="auto"/>
          <w:kern w:val="0"/>
          <w:szCs w:val="21"/>
          <w:highlight w:val="none"/>
        </w:rPr>
        <w:t>的实质性要求。</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审查类别</w:t>
            </w:r>
          </w:p>
        </w:tc>
        <w:tc>
          <w:tcPr>
            <w:tcW w:w="6525" w:type="dxa"/>
            <w:noWrap w:val="0"/>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符合性审查</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商务技术文件</w:t>
            </w:r>
            <w:r>
              <w:rPr>
                <w:rFonts w:hint="eastAsia" w:ascii="宋体" w:hAnsi="宋体" w:eastAsia="宋体" w:cs="宋体"/>
                <w:color w:val="auto"/>
                <w:sz w:val="21"/>
                <w:szCs w:val="21"/>
                <w:highlight w:val="none"/>
                <w:lang w:eastAsia="zh-CN"/>
              </w:rPr>
              <w:t>）</w:t>
            </w: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）投标函已提交并符合</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）按照</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法定代表人签署本人姓名（或印盖本人姓名章）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或签署人提供有效的法定代表人授权委托书</w:t>
            </w:r>
            <w:r>
              <w:rPr>
                <w:rFonts w:hint="eastAsia" w:ascii="宋体" w:hAnsi="宋体" w:eastAsia="宋体" w:cs="宋体"/>
                <w:color w:val="auto"/>
                <w:sz w:val="21"/>
                <w:szCs w:val="21"/>
                <w:highlight w:val="none"/>
                <w:lang w:val="en-US" w:eastAsia="zh-CN"/>
              </w:rPr>
              <w:t>且</w:t>
            </w:r>
            <w:r>
              <w:rPr>
                <w:rFonts w:hint="eastAsia" w:ascii="宋体" w:hAnsi="宋体" w:eastAsia="宋体" w:cs="宋体"/>
                <w:color w:val="auto"/>
                <w:sz w:val="21"/>
                <w:szCs w:val="21"/>
                <w:highlight w:val="none"/>
              </w:rPr>
              <w:t>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）投标文件标明的响应或偏离与事实</w:t>
            </w:r>
            <w:r>
              <w:rPr>
                <w:rFonts w:hint="eastAsia" w:ascii="宋体" w:hAnsi="宋体" w:eastAsia="宋体" w:cs="宋体"/>
                <w:color w:val="auto"/>
                <w:sz w:val="21"/>
                <w:szCs w:val="21"/>
                <w:highlight w:val="none"/>
                <w:lang w:val="en-US" w:eastAsia="zh-CN"/>
              </w:rPr>
              <w:t>相符且无</w:t>
            </w:r>
            <w:r>
              <w:rPr>
                <w:rFonts w:hint="eastAsia" w:ascii="宋体" w:hAnsi="宋体" w:eastAsia="宋体" w:cs="宋体"/>
                <w:color w:val="auto"/>
                <w:sz w:val="21"/>
                <w:szCs w:val="21"/>
                <w:highlight w:val="none"/>
              </w:rPr>
              <w:t>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）投标文件的实质性内容使用中文表述</w:t>
            </w:r>
            <w:r>
              <w:rPr>
                <w:rFonts w:hint="eastAsia" w:ascii="宋体" w:hAnsi="宋体" w:eastAsia="宋体" w:cs="宋体"/>
                <w:color w:val="auto"/>
                <w:sz w:val="21"/>
                <w:szCs w:val="21"/>
                <w:highlight w:val="none"/>
                <w:lang w:val="en-US" w:eastAsia="zh-CN"/>
              </w:rPr>
              <w:t>且</w:t>
            </w:r>
            <w:r>
              <w:rPr>
                <w:rFonts w:hint="eastAsia" w:ascii="宋体" w:hAnsi="宋体" w:eastAsia="宋体" w:cs="宋体"/>
                <w:color w:val="auto"/>
                <w:sz w:val="21"/>
                <w:szCs w:val="21"/>
                <w:highlight w:val="none"/>
              </w:rPr>
              <w:t>意思表述明确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前后</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矛盾</w:t>
            </w:r>
            <w:r>
              <w:rPr>
                <w:rFonts w:hint="eastAsia" w:ascii="宋体" w:hAnsi="宋体" w:eastAsia="宋体" w:cs="宋体"/>
                <w:color w:val="auto"/>
                <w:sz w:val="21"/>
                <w:szCs w:val="21"/>
                <w:highlight w:val="none"/>
                <w:lang w:val="en-US" w:eastAsia="zh-CN"/>
              </w:rPr>
              <w:t>且</w:t>
            </w:r>
            <w:r>
              <w:rPr>
                <w:rFonts w:hint="eastAsia" w:ascii="宋体" w:hAnsi="宋体" w:eastAsia="宋体" w:cs="宋体"/>
                <w:color w:val="auto"/>
                <w:sz w:val="21"/>
                <w:szCs w:val="21"/>
                <w:highlight w:val="none"/>
              </w:rPr>
              <w:t>使用计量单位符合</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）带“★”的条款满足</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已</w:t>
            </w:r>
            <w:r>
              <w:rPr>
                <w:rFonts w:hint="eastAsia" w:ascii="宋体" w:hAnsi="宋体" w:eastAsia="宋体" w:cs="宋体"/>
                <w:color w:val="auto"/>
                <w:sz w:val="21"/>
                <w:szCs w:val="21"/>
                <w:highlight w:val="none"/>
              </w:rPr>
              <w:t>实质性响应</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且</w:t>
            </w: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rPr>
              <w:t>）投标技术方案明确，</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九</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商务</w:t>
            </w:r>
            <w:r>
              <w:rPr>
                <w:rFonts w:hint="eastAsia" w:ascii="宋体" w:hAnsi="宋体" w:eastAsia="宋体" w:cs="宋体"/>
                <w:color w:val="auto"/>
                <w:sz w:val="21"/>
                <w:szCs w:val="21"/>
                <w:highlight w:val="none"/>
              </w:rPr>
              <w:t>技术文件中</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rPr>
              <w:t>出现报价或单价的</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十</w:t>
            </w:r>
            <w:r>
              <w:rPr>
                <w:rFonts w:hint="eastAsia" w:ascii="宋体" w:hAnsi="宋体" w:eastAsia="宋体" w:cs="宋体"/>
                <w:color w:val="auto"/>
                <w:sz w:val="21"/>
                <w:szCs w:val="21"/>
                <w:highlight w:val="none"/>
              </w:rPr>
              <w:t>）不存在法律、法规和</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规定的其他无效情形</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p>
        </w:tc>
        <w:tc>
          <w:tcPr>
            <w:tcW w:w="6525"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十一</w:t>
            </w:r>
            <w:r>
              <w:rPr>
                <w:rFonts w:hint="eastAsia" w:ascii="宋体" w:hAnsi="宋体" w:eastAsia="宋体" w:cs="宋体"/>
                <w:color w:val="auto"/>
                <w:sz w:val="21"/>
                <w:szCs w:val="21"/>
                <w:highlight w:val="none"/>
              </w:rPr>
              <w:t>）不存在投标文件的有效期不满足</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要求情形</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符合性审查</w:t>
            </w:r>
          </w:p>
          <w:p>
            <w:pPr>
              <w:keepNext w:val="0"/>
              <w:keepLines w:val="0"/>
              <w:pageBreakBefore w:val="0"/>
              <w:widowControl w:val="0"/>
              <w:kinsoku/>
              <w:wordWrap/>
              <w:overflowPunct/>
              <w:topLinePunct w:val="0"/>
              <w:autoSpaceDE/>
              <w:autoSpaceDN/>
              <w:bidi w:val="0"/>
              <w:adjustRightInd/>
              <w:snapToGrid/>
              <w:spacing w:line="336" w:lineRule="auto"/>
              <w:ind w:firstLine="210" w:firstLineChars="1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报价文件</w:t>
            </w:r>
            <w:r>
              <w:rPr>
                <w:rFonts w:hint="eastAsia" w:ascii="宋体" w:hAnsi="宋体" w:eastAsia="宋体" w:cs="宋体"/>
                <w:color w:val="auto"/>
                <w:sz w:val="21"/>
                <w:szCs w:val="21"/>
                <w:highlight w:val="none"/>
                <w:lang w:eastAsia="zh-CN"/>
              </w:rPr>
              <w:t>）</w:t>
            </w: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）按照</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color w:val="auto"/>
                <w:sz w:val="21"/>
                <w:szCs w:val="21"/>
                <w:highlight w:val="none"/>
                <w:lang w:eastAsia="zh-CN"/>
              </w:rPr>
            </w:pP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color w:val="auto"/>
                <w:sz w:val="21"/>
                <w:szCs w:val="21"/>
                <w:highlight w:val="none"/>
                <w:lang w:eastAsia="zh-CN"/>
              </w:rPr>
            </w:pP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）采用人民币报价或者按照</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color w:val="auto"/>
                <w:sz w:val="21"/>
                <w:szCs w:val="21"/>
                <w:highlight w:val="none"/>
                <w:lang w:eastAsia="zh-CN"/>
              </w:rPr>
            </w:pP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不存在</w:t>
            </w:r>
            <w:r>
              <w:rPr>
                <w:rFonts w:hint="eastAsia" w:ascii="宋体" w:hAnsi="宋体" w:eastAsia="宋体" w:cs="宋体"/>
                <w:color w:val="auto"/>
                <w:sz w:val="21"/>
                <w:szCs w:val="21"/>
                <w:highlight w:val="none"/>
              </w:rPr>
              <w:t>报价超出最高限价，或者超出采购预算金额，采购人不能支付的</w:t>
            </w:r>
            <w:r>
              <w:rPr>
                <w:rFonts w:hint="eastAsia" w:ascii="宋体" w:hAnsi="宋体" w:eastAsia="宋体" w:cs="宋体"/>
                <w:color w:val="auto"/>
                <w:sz w:val="21"/>
                <w:szCs w:val="21"/>
                <w:highlight w:val="none"/>
                <w:lang w:val="en-US" w:eastAsia="zh-CN"/>
              </w:rPr>
              <w:t>情形</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color w:val="auto"/>
                <w:sz w:val="21"/>
                <w:szCs w:val="21"/>
                <w:highlight w:val="none"/>
                <w:lang w:eastAsia="zh-CN"/>
              </w:rPr>
            </w:pP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不存在</w:t>
            </w:r>
            <w:r>
              <w:rPr>
                <w:rFonts w:hint="eastAsia" w:ascii="宋体" w:hAnsi="宋体" w:eastAsia="宋体" w:cs="宋体"/>
                <w:color w:val="auto"/>
                <w:sz w:val="21"/>
                <w:szCs w:val="21"/>
                <w:highlight w:val="none"/>
              </w:rPr>
              <w:t>投标报价具有选择性的</w:t>
            </w:r>
            <w:r>
              <w:rPr>
                <w:rFonts w:hint="eastAsia" w:ascii="宋体" w:hAnsi="宋体" w:eastAsia="宋体" w:cs="宋体"/>
                <w:color w:val="auto"/>
                <w:sz w:val="21"/>
                <w:szCs w:val="21"/>
                <w:highlight w:val="none"/>
                <w:lang w:val="en-US" w:eastAsia="zh-CN"/>
              </w:rPr>
              <w:t>情形</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color w:val="auto"/>
                <w:sz w:val="21"/>
                <w:szCs w:val="21"/>
                <w:highlight w:val="none"/>
                <w:lang w:eastAsia="zh-CN"/>
              </w:rPr>
            </w:pP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）投标报价中</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rPr>
              <w:t>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color w:val="auto"/>
                <w:sz w:val="21"/>
                <w:szCs w:val="21"/>
                <w:highlight w:val="none"/>
                <w:lang w:eastAsia="zh-CN"/>
              </w:rPr>
            </w:pP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不存在</w:t>
            </w:r>
            <w:r>
              <w:rPr>
                <w:rFonts w:hint="eastAsia" w:ascii="宋体" w:hAnsi="宋体" w:eastAsia="宋体" w:cs="宋体"/>
                <w:color w:val="auto"/>
                <w:sz w:val="21"/>
                <w:szCs w:val="21"/>
                <w:highlight w:val="none"/>
              </w:rPr>
              <w:t>评标委员会认为供应商的报价明显低于其他通过符合性审查供应商的报价，有可能影响产品质量或者不能诚信履约的且不能在评标现场合理时间内提供相关证明材料说明其报价的合理性的</w:t>
            </w:r>
            <w:r>
              <w:rPr>
                <w:rFonts w:hint="eastAsia" w:ascii="宋体" w:hAnsi="宋体" w:eastAsia="宋体" w:cs="宋体"/>
                <w:color w:val="auto"/>
                <w:sz w:val="21"/>
                <w:szCs w:val="21"/>
                <w:highlight w:val="none"/>
                <w:lang w:val="en-US" w:eastAsia="zh-CN"/>
              </w:rPr>
              <w:t>情形</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color w:val="auto"/>
                <w:sz w:val="21"/>
                <w:szCs w:val="21"/>
                <w:highlight w:val="none"/>
                <w:lang w:eastAsia="zh-CN"/>
              </w:rPr>
            </w:pP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rPr>
              <w:t>）投标文件（报价文件）内容与投标文件（商务技术文件）内容</w:t>
            </w:r>
            <w:r>
              <w:rPr>
                <w:rFonts w:hint="eastAsia" w:ascii="宋体" w:hAnsi="宋体" w:eastAsia="宋体" w:cs="宋体"/>
                <w:color w:val="auto"/>
                <w:sz w:val="21"/>
                <w:szCs w:val="21"/>
                <w:highlight w:val="none"/>
                <w:lang w:val="en-US" w:eastAsia="zh-CN"/>
              </w:rPr>
              <w:t>不存在</w:t>
            </w:r>
            <w:r>
              <w:rPr>
                <w:rFonts w:hint="eastAsia" w:ascii="宋体" w:hAnsi="宋体" w:eastAsia="宋体" w:cs="宋体"/>
                <w:color w:val="auto"/>
                <w:sz w:val="21"/>
                <w:szCs w:val="21"/>
                <w:highlight w:val="none"/>
              </w:rPr>
              <w:t>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ascii="宋体" w:hAnsi="宋体" w:eastAsia="宋体" w:cs="宋体"/>
                <w:color w:val="auto"/>
                <w:sz w:val="21"/>
                <w:szCs w:val="21"/>
                <w:highlight w:val="none"/>
                <w:lang w:eastAsia="zh-CN"/>
              </w:rPr>
            </w:pP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九</w:t>
            </w:r>
            <w:r>
              <w:rPr>
                <w:rFonts w:hint="eastAsia" w:ascii="宋体" w:hAnsi="宋体" w:eastAsia="宋体" w:cs="宋体"/>
                <w:color w:val="auto"/>
                <w:sz w:val="21"/>
                <w:szCs w:val="21"/>
                <w:highlight w:val="none"/>
              </w:rPr>
              <w:t>）不存在法律、法规和</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规定的其他无效情形</w:t>
            </w:r>
            <w:r>
              <w:rPr>
                <w:rFonts w:hint="eastAsia" w:ascii="宋体" w:hAnsi="宋体" w:eastAsia="宋体" w:cs="宋体"/>
                <w:color w:val="auto"/>
                <w:sz w:val="21"/>
                <w:szCs w:val="21"/>
                <w:highlight w:val="none"/>
                <w:lang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highlight w:val="none"/>
        </w:rPr>
      </w:pPr>
      <w:bookmarkStart w:id="52" w:name="_Toc249866767"/>
      <w:bookmarkStart w:id="53" w:name="_Toc259108323"/>
      <w:r>
        <w:rPr>
          <w:rFonts w:hint="eastAsia" w:ascii="宋体" w:hAnsi="宋体" w:eastAsia="宋体" w:cs="宋体"/>
          <w:b/>
          <w:color w:val="auto"/>
          <w:highlight w:val="none"/>
        </w:rPr>
        <w:t>（三）投标无效的情形</w:t>
      </w:r>
      <w:bookmarkEnd w:id="52"/>
      <w:bookmarkEnd w:id="5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没有响应</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实质性要求的投标将被视为无效投标。供应商不得通过修正或撤消不合要求的偏离或保留从而使其投标成为实质上响应的投标，但经评标委员会认定属于供应商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要求的，应认定其投标无效。供应商修改、补正投标文件后，不影响评标委员会对其投标文件所作的评价和评分结果。</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color w:val="auto"/>
          <w:highlight w:val="none"/>
        </w:rPr>
      </w:pPr>
      <w:r>
        <w:rPr>
          <w:rFonts w:hint="eastAsia" w:ascii="宋体" w:hAnsi="宋体" w:cs="宋体"/>
          <w:b/>
          <w:bCs/>
          <w:color w:val="auto"/>
          <w:szCs w:val="21"/>
          <w:highlight w:val="none"/>
        </w:rPr>
        <w:t>★上传投标文件同一网卡地址、同一IP地址的为无效标。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A、</w:t>
      </w:r>
      <w:r>
        <w:rPr>
          <w:rFonts w:hint="eastAsia" w:ascii="宋体" w:hAnsi="宋体" w:eastAsia="宋体" w:cs="宋体"/>
          <w:b/>
          <w:bCs/>
          <w:color w:val="auto"/>
          <w:szCs w:val="21"/>
          <w:highlight w:val="none"/>
        </w:rPr>
        <w:t>在资格审查时，如发现下列情形之一的，将被视为无效投标文件：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1、资格证明文件不全的或者不符合</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标明的资格要求的；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2、供应商资格声明函无法定代表人或授权代表签名</w:t>
      </w:r>
      <w:r>
        <w:rPr>
          <w:rFonts w:hint="eastAsia" w:ascii="宋体" w:hAnsi="宋体" w:eastAsia="宋体" w:cs="宋体"/>
          <w:color w:val="auto"/>
          <w:szCs w:val="21"/>
          <w:highlight w:val="none"/>
          <w:lang w:eastAsia="zh-CN"/>
        </w:rPr>
        <w:t>或盖章</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B、在符合性审查</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商务技术文件</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时，如发现下列情形之一的，将被视为无效投标文件：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未</w:t>
      </w:r>
      <w:r>
        <w:rPr>
          <w:rFonts w:hint="eastAsia" w:ascii="宋体" w:hAnsi="宋体" w:eastAsia="宋体" w:cs="宋体"/>
          <w:color w:val="auto"/>
          <w:highlight w:val="none"/>
        </w:rPr>
        <w:t>提交投标函</w:t>
      </w:r>
      <w:r>
        <w:rPr>
          <w:rFonts w:hint="eastAsia" w:ascii="宋体" w:hAnsi="宋体" w:eastAsia="宋体" w:cs="宋体"/>
          <w:color w:val="auto"/>
          <w:highlight w:val="none"/>
          <w:lang w:val="en-US" w:eastAsia="zh-CN"/>
        </w:rPr>
        <w:t>或投标函内容不</w:t>
      </w:r>
      <w:r>
        <w:rPr>
          <w:rFonts w:hint="eastAsia" w:ascii="宋体" w:hAnsi="宋体" w:eastAsia="宋体" w:cs="宋体"/>
          <w:color w:val="auto"/>
          <w:highlight w:val="none"/>
        </w:rPr>
        <w:t>符合</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2、未按照招标文件规定要求签署或盖章；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3、投标文件无法定代表人签署本人姓名（或印盖本人姓名章），或签署人</w:t>
      </w:r>
      <w:r>
        <w:rPr>
          <w:rFonts w:hint="eastAsia" w:ascii="宋体" w:hAnsi="宋体" w:eastAsia="宋体" w:cs="宋体"/>
          <w:color w:val="auto"/>
          <w:szCs w:val="21"/>
          <w:highlight w:val="none"/>
        </w:rPr>
        <w:t>未提供</w:t>
      </w:r>
      <w:r>
        <w:rPr>
          <w:rFonts w:hint="eastAsia" w:ascii="宋体" w:hAnsi="宋体" w:eastAsia="宋体" w:cs="宋体"/>
          <w:color w:val="auto"/>
          <w:szCs w:val="21"/>
          <w:highlight w:val="none"/>
          <w:lang w:val="en-US" w:eastAsia="zh-CN"/>
        </w:rPr>
        <w:t>有效的</w:t>
      </w:r>
      <w:r>
        <w:rPr>
          <w:rFonts w:hint="eastAsia" w:ascii="宋体" w:hAnsi="宋体" w:eastAsia="宋体" w:cs="宋体"/>
          <w:color w:val="auto"/>
          <w:szCs w:val="21"/>
          <w:highlight w:val="none"/>
        </w:rPr>
        <w:t>法定代表人授权委托书</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 xml:space="preserve">授权委托书填写项目不齐全的；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、投标文件项目不齐全</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投标文件标明的响应或偏离与事实不符或虚假投标的；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、投标文件的实质性内容未使用中文表述、意思表述不明确、前后矛盾或者使用计量单位不符合</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要求的（经评标委员会认定并允许其当场更正的笔误除外）；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、带“★”的条款不能满足</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要求、未实质性响应</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要求或者投标文件有采购</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不能接受的附加条件的</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、投标技术方案不明确，存在一个或一个以上备选（替代）投标方案的；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kern w:val="1"/>
          <w:sz w:val="21"/>
          <w:szCs w:val="21"/>
          <w:highlight w:val="none"/>
          <w:lang w:val="en-US" w:eastAsia="zh-CN"/>
        </w:rPr>
        <w:t>9</w:t>
      </w:r>
      <w:r>
        <w:rPr>
          <w:rFonts w:hint="eastAsia" w:ascii="宋体" w:hAnsi="宋体" w:eastAsia="宋体" w:cs="宋体"/>
          <w:color w:val="auto"/>
          <w:kern w:val="1"/>
          <w:sz w:val="21"/>
          <w:szCs w:val="21"/>
          <w:highlight w:val="none"/>
        </w:rPr>
        <w:t>、商务技术文件中出现报价或单价的</w:t>
      </w:r>
      <w:r>
        <w:rPr>
          <w:rFonts w:hint="eastAsia" w:ascii="宋体" w:hAnsi="宋体" w:eastAsia="宋体" w:cs="宋体"/>
          <w:color w:val="auto"/>
          <w:kern w:val="1"/>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kern w:val="1"/>
          <w:sz w:val="21"/>
          <w:szCs w:val="21"/>
          <w:highlight w:val="none"/>
          <w:lang w:val="en-US" w:eastAsia="zh-CN"/>
        </w:rPr>
        <w:t>10、</w:t>
      </w:r>
      <w:r>
        <w:rPr>
          <w:rFonts w:hint="eastAsia" w:ascii="宋体" w:hAnsi="宋体" w:eastAsia="宋体" w:cs="宋体"/>
          <w:color w:val="auto"/>
          <w:kern w:val="1"/>
          <w:sz w:val="21"/>
          <w:szCs w:val="21"/>
          <w:highlight w:val="none"/>
        </w:rPr>
        <w:t>法律、法规和</w:t>
      </w:r>
      <w:r>
        <w:rPr>
          <w:rFonts w:hint="eastAsia" w:ascii="宋体" w:hAnsi="宋体" w:eastAsia="宋体" w:cs="宋体"/>
          <w:color w:val="auto"/>
          <w:kern w:val="1"/>
          <w:sz w:val="21"/>
          <w:szCs w:val="21"/>
          <w:highlight w:val="none"/>
          <w:lang w:eastAsia="zh-CN"/>
        </w:rPr>
        <w:t>招标文件</w:t>
      </w:r>
      <w:r>
        <w:rPr>
          <w:rFonts w:hint="eastAsia" w:ascii="宋体" w:hAnsi="宋体" w:eastAsia="宋体" w:cs="宋体"/>
          <w:color w:val="auto"/>
          <w:kern w:val="1"/>
          <w:sz w:val="21"/>
          <w:szCs w:val="21"/>
          <w:highlight w:val="none"/>
        </w:rPr>
        <w:t>规定的其他无效情形</w:t>
      </w:r>
      <w:r>
        <w:rPr>
          <w:rFonts w:hint="eastAsia" w:ascii="宋体" w:hAnsi="宋体" w:eastAsia="宋体" w:cs="宋体"/>
          <w:color w:val="auto"/>
          <w:kern w:val="1"/>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11、投标文件的有效期不满足招标文件要求；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C</w:t>
      </w:r>
      <w:r>
        <w:rPr>
          <w:rFonts w:hint="eastAsia" w:ascii="宋体" w:hAnsi="宋体" w:eastAsia="宋体" w:cs="宋体"/>
          <w:b/>
          <w:bCs/>
          <w:color w:val="auto"/>
          <w:szCs w:val="21"/>
          <w:highlight w:val="none"/>
        </w:rPr>
        <w:t>、在符合性审查</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报价文件</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时，如发现下列情形之一的，将被视为无效投标文件：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1、未按照</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规定要求签署或盖章；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、投标文件项目不齐全</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未采用人民币报价或者未按照</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标明的币种报价的；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、报价超出最高限价，或者超出采购预算金额，采购人不能支付的；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、投标报价具有选择性的；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、投标报价中出现重大缺项、漏项；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、评标委员会认为供应商的报价明显低于其他通过符合性审查供应商的报价，有可能影响产品质量或者不能诚信履约的，且不能在评标现场合理时间内提供相关证明材料说明其报价的合理性的</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投标文件（报价文件）内容与投标文件（商务技术文件）内容有重大差异的</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、法律、法规和</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规定的其他无效情形</w:t>
      </w:r>
      <w:r>
        <w:rPr>
          <w:rFonts w:hint="eastAsia" w:ascii="宋体" w:hAnsi="宋体" w:eastAsia="宋体" w:cs="宋体"/>
          <w:color w:val="auto"/>
          <w:szCs w:val="21"/>
          <w:highlight w:val="none"/>
          <w:lang w:eastAsia="zh-CN"/>
        </w:rPr>
        <w:t>；</w:t>
      </w:r>
    </w:p>
    <w:p>
      <w:pPr>
        <w:numPr>
          <w:ilvl w:val="0"/>
          <w:numId w:val="16"/>
        </w:num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rPr>
        <w:t>评分标准（兼评委打分表）</w:t>
      </w:r>
    </w:p>
    <w:tbl>
      <w:tblPr>
        <w:tblStyle w:val="46"/>
        <w:tblW w:w="9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320"/>
        <w:gridCol w:w="5723"/>
        <w:gridCol w:w="660"/>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08" w:type="dxa"/>
            <w:gridSpan w:val="3"/>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contextualSpacing/>
              <w:jc w:val="center"/>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rPr>
              <w:t>评分内容和标准</w:t>
            </w:r>
          </w:p>
        </w:tc>
        <w:tc>
          <w:tcPr>
            <w:tcW w:w="660"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contextualSpacing/>
              <w:jc w:val="center"/>
              <w:textAlignment w:val="auto"/>
              <w:rPr>
                <w:rFonts w:hint="eastAsia" w:ascii="宋体" w:hAnsi="宋体" w:eastAsia="宋体" w:cs="宋体"/>
                <w:b/>
                <w:bCs w:val="0"/>
                <w:color w:val="auto"/>
                <w:kern w:val="2"/>
                <w:sz w:val="21"/>
                <w:szCs w:val="21"/>
                <w:highlight w:val="none"/>
                <w:lang w:eastAsia="zh-CN"/>
              </w:rPr>
            </w:pPr>
            <w:r>
              <w:rPr>
                <w:rFonts w:hint="eastAsia" w:ascii="宋体" w:hAnsi="宋体" w:eastAsia="宋体" w:cs="宋体"/>
                <w:b/>
                <w:bCs w:val="0"/>
                <w:color w:val="auto"/>
                <w:kern w:val="2"/>
                <w:sz w:val="21"/>
                <w:szCs w:val="21"/>
                <w:highlight w:val="none"/>
                <w:lang w:eastAsia="zh-CN"/>
              </w:rPr>
              <w:t>分值</w:t>
            </w:r>
          </w:p>
        </w:tc>
        <w:tc>
          <w:tcPr>
            <w:tcW w:w="723"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contextualSpacing/>
              <w:jc w:val="center"/>
              <w:textAlignment w:val="auto"/>
              <w:rPr>
                <w:rFonts w:hint="eastAsia" w:ascii="宋体" w:hAnsi="宋体" w:eastAsia="宋体" w:cs="宋体"/>
                <w:b/>
                <w:bCs w:val="0"/>
                <w:color w:val="auto"/>
                <w:kern w:val="2"/>
                <w:sz w:val="21"/>
                <w:szCs w:val="21"/>
                <w:highlight w:val="none"/>
                <w:lang w:eastAsia="zh-CN"/>
              </w:rPr>
            </w:pPr>
            <w:r>
              <w:rPr>
                <w:rFonts w:hint="eastAsia" w:ascii="宋体" w:hAnsi="宋体" w:eastAsia="宋体" w:cs="宋体"/>
                <w:b/>
                <w:bCs w:val="0"/>
                <w:color w:val="auto"/>
                <w:kern w:val="2"/>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5" w:type="dxa"/>
            <w:vMerge w:val="restart"/>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contextualSpacing/>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技术商务分</w:t>
            </w:r>
          </w:p>
          <w:p>
            <w:pPr>
              <w:keepNext w:val="0"/>
              <w:keepLines w:val="0"/>
              <w:pageBreakBefore w:val="0"/>
              <w:widowControl w:val="0"/>
              <w:kinsoku/>
              <w:wordWrap/>
              <w:overflowPunct/>
              <w:topLinePunct w:val="0"/>
              <w:autoSpaceDE w:val="0"/>
              <w:autoSpaceDN w:val="0"/>
              <w:bidi w:val="0"/>
              <w:adjustRightInd w:val="0"/>
              <w:spacing w:line="240" w:lineRule="auto"/>
              <w:contextualSpacing/>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rPr>
              <w:t>80</w:t>
            </w:r>
            <w:r>
              <w:rPr>
                <w:rFonts w:hint="eastAsia" w:ascii="宋体" w:hAnsi="宋体" w:eastAsia="宋体" w:cs="宋体"/>
                <w:bCs/>
                <w:color w:val="auto"/>
                <w:kern w:val="2"/>
                <w:sz w:val="21"/>
                <w:szCs w:val="21"/>
                <w:highlight w:val="none"/>
              </w:rPr>
              <w:t>分</w:t>
            </w:r>
          </w:p>
        </w:tc>
        <w:tc>
          <w:tcPr>
            <w:tcW w:w="1320" w:type="dxa"/>
            <w:vMerge w:val="restart"/>
            <w:noWrap w:val="0"/>
            <w:vAlign w:val="center"/>
          </w:tcPr>
          <w:p>
            <w:pPr>
              <w:keepNext w:val="0"/>
              <w:keepLines w:val="0"/>
              <w:pageBreakBefore w:val="0"/>
              <w:widowControl w:val="0"/>
              <w:kinsoku/>
              <w:wordWrap/>
              <w:overflowPunct/>
              <w:topLinePunct w:val="0"/>
              <w:bidi w:val="0"/>
              <w:spacing w:line="240" w:lineRule="auto"/>
              <w:contextualSpacing/>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1、实施方案（</w:t>
            </w:r>
            <w:r>
              <w:rPr>
                <w:rFonts w:hint="eastAsia" w:ascii="宋体" w:hAnsi="宋体" w:eastAsia="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rPr>
              <w:t>分）</w:t>
            </w:r>
          </w:p>
        </w:tc>
        <w:tc>
          <w:tcPr>
            <w:tcW w:w="5723"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left"/>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根据</w:t>
            </w:r>
            <w:r>
              <w:rPr>
                <w:rFonts w:hint="eastAsia" w:ascii="宋体" w:hAnsi="宋体" w:eastAsia="宋体" w:cs="宋体"/>
                <w:color w:val="auto"/>
                <w:kern w:val="2"/>
                <w:sz w:val="21"/>
                <w:szCs w:val="21"/>
                <w:highlight w:val="none"/>
                <w:lang w:eastAsia="zh-CN"/>
              </w:rPr>
              <w:t>供应商</w:t>
            </w:r>
            <w:r>
              <w:rPr>
                <w:rFonts w:hint="eastAsia" w:ascii="宋体" w:hAnsi="宋体" w:eastAsia="宋体" w:cs="宋体"/>
                <w:color w:val="auto"/>
                <w:kern w:val="2"/>
                <w:sz w:val="21"/>
                <w:szCs w:val="21"/>
                <w:highlight w:val="none"/>
              </w:rPr>
              <w:t>针对本项目制定的各项服务作业计划</w:t>
            </w:r>
            <w:r>
              <w:rPr>
                <w:rFonts w:hint="eastAsia" w:ascii="宋体" w:hAnsi="宋体" w:eastAsia="宋体" w:cs="宋体"/>
                <w:color w:val="auto"/>
                <w:kern w:val="2"/>
                <w:sz w:val="21"/>
                <w:szCs w:val="21"/>
                <w:highlight w:val="none"/>
                <w:lang w:val="en-US" w:eastAsia="zh-CN"/>
              </w:rPr>
              <w:t>详尽全面性</w:t>
            </w:r>
            <w:r>
              <w:rPr>
                <w:rFonts w:hint="eastAsia" w:ascii="宋体" w:hAnsi="宋体" w:eastAsia="宋体" w:cs="宋体"/>
                <w:color w:val="auto"/>
                <w:kern w:val="2"/>
                <w:sz w:val="21"/>
                <w:szCs w:val="21"/>
                <w:highlight w:val="none"/>
              </w:rPr>
              <w:t>和作业流程（程序）</w:t>
            </w:r>
            <w:r>
              <w:rPr>
                <w:rFonts w:hint="eastAsia" w:ascii="宋体" w:hAnsi="宋体" w:eastAsia="宋体" w:cs="宋体"/>
                <w:color w:val="auto"/>
                <w:kern w:val="2"/>
                <w:sz w:val="21"/>
                <w:szCs w:val="21"/>
                <w:highlight w:val="none"/>
                <w:lang w:val="en-US" w:eastAsia="zh-CN"/>
              </w:rPr>
              <w:t>符合规范要求的情况</w:t>
            </w:r>
            <w:r>
              <w:rPr>
                <w:rFonts w:hint="eastAsia" w:ascii="宋体" w:hAnsi="宋体" w:eastAsia="宋体" w:cs="宋体"/>
                <w:color w:val="auto"/>
                <w:kern w:val="2"/>
                <w:sz w:val="21"/>
                <w:szCs w:val="21"/>
                <w:highlight w:val="none"/>
              </w:rPr>
              <w:t>进行评议</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内容欠合理的每项扣0.5分，内容不合理的每项扣1分，无相应内容的不得分，扣完为止，本项最高得3分。</w:t>
            </w:r>
          </w:p>
        </w:tc>
        <w:tc>
          <w:tcPr>
            <w:tcW w:w="660"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w:t>
            </w:r>
          </w:p>
        </w:tc>
        <w:tc>
          <w:tcPr>
            <w:tcW w:w="723"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5"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contextualSpacing/>
              <w:jc w:val="center"/>
              <w:textAlignment w:val="auto"/>
              <w:rPr>
                <w:rFonts w:hint="eastAsia" w:ascii="宋体" w:hAnsi="宋体" w:eastAsia="宋体" w:cs="宋体"/>
                <w:bCs/>
                <w:color w:val="auto"/>
                <w:kern w:val="2"/>
                <w:sz w:val="21"/>
                <w:szCs w:val="21"/>
                <w:highlight w:val="none"/>
              </w:rPr>
            </w:pPr>
          </w:p>
        </w:tc>
        <w:tc>
          <w:tcPr>
            <w:tcW w:w="1320" w:type="dxa"/>
            <w:vMerge w:val="continue"/>
            <w:noWrap w:val="0"/>
            <w:vAlign w:val="center"/>
          </w:tcPr>
          <w:p>
            <w:pPr>
              <w:keepNext w:val="0"/>
              <w:keepLines w:val="0"/>
              <w:pageBreakBefore w:val="0"/>
              <w:widowControl w:val="0"/>
              <w:kinsoku/>
              <w:wordWrap/>
              <w:overflowPunct/>
              <w:topLinePunct w:val="0"/>
              <w:bidi w:val="0"/>
              <w:spacing w:line="240" w:lineRule="auto"/>
              <w:contextualSpacing/>
              <w:jc w:val="left"/>
              <w:textAlignment w:val="auto"/>
              <w:rPr>
                <w:rFonts w:hint="eastAsia" w:ascii="宋体" w:hAnsi="宋体" w:eastAsia="宋体" w:cs="宋体"/>
                <w:color w:val="auto"/>
                <w:kern w:val="2"/>
                <w:sz w:val="21"/>
                <w:szCs w:val="21"/>
                <w:highlight w:val="none"/>
              </w:rPr>
            </w:pPr>
          </w:p>
        </w:tc>
        <w:tc>
          <w:tcPr>
            <w:tcW w:w="5723"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根据</w:t>
            </w:r>
            <w:r>
              <w:rPr>
                <w:rFonts w:hint="eastAsia" w:ascii="宋体" w:hAnsi="宋体" w:eastAsia="宋体" w:cs="宋体"/>
                <w:color w:val="auto"/>
                <w:kern w:val="2"/>
                <w:sz w:val="21"/>
                <w:szCs w:val="21"/>
                <w:highlight w:val="none"/>
                <w:lang w:eastAsia="zh-CN"/>
              </w:rPr>
              <w:t>供应商</w:t>
            </w:r>
            <w:r>
              <w:rPr>
                <w:rFonts w:hint="eastAsia" w:ascii="宋体" w:hAnsi="宋体" w:eastAsia="宋体" w:cs="宋体"/>
                <w:color w:val="auto"/>
                <w:kern w:val="2"/>
                <w:sz w:val="21"/>
                <w:szCs w:val="21"/>
                <w:highlight w:val="none"/>
              </w:rPr>
              <w:t>拟投入的药品方案</w:t>
            </w:r>
            <w:r>
              <w:rPr>
                <w:rFonts w:hint="eastAsia" w:ascii="宋体" w:hAnsi="宋体" w:eastAsia="宋体" w:cs="宋体"/>
                <w:color w:val="auto"/>
                <w:kern w:val="2"/>
                <w:sz w:val="21"/>
                <w:szCs w:val="21"/>
                <w:highlight w:val="none"/>
                <w:lang w:val="en-US" w:eastAsia="zh-CN"/>
              </w:rPr>
              <w:t>安全合理性</w:t>
            </w:r>
            <w:r>
              <w:rPr>
                <w:rFonts w:hint="eastAsia" w:ascii="宋体" w:hAnsi="宋体" w:eastAsia="宋体" w:cs="宋体"/>
                <w:color w:val="auto"/>
                <w:kern w:val="2"/>
                <w:sz w:val="21"/>
                <w:szCs w:val="21"/>
                <w:highlight w:val="none"/>
              </w:rPr>
              <w:t>及具体实施方法和技术措施等与本项目服务需求的匹配程度进行评议</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内容欠合理的每项扣0.5分，内容不合理的每项扣1分，无相应内容的不得分，扣完为止，本项最高得3分。</w:t>
            </w:r>
          </w:p>
        </w:tc>
        <w:tc>
          <w:tcPr>
            <w:tcW w:w="660"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w:t>
            </w:r>
          </w:p>
        </w:tc>
        <w:tc>
          <w:tcPr>
            <w:tcW w:w="723"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5"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contextualSpacing/>
              <w:jc w:val="center"/>
              <w:textAlignment w:val="auto"/>
              <w:rPr>
                <w:rFonts w:hint="eastAsia" w:ascii="宋体" w:hAnsi="宋体" w:eastAsia="宋体" w:cs="宋体"/>
                <w:bCs/>
                <w:color w:val="auto"/>
                <w:kern w:val="2"/>
                <w:sz w:val="21"/>
                <w:szCs w:val="21"/>
                <w:highlight w:val="none"/>
              </w:rPr>
            </w:pPr>
          </w:p>
        </w:tc>
        <w:tc>
          <w:tcPr>
            <w:tcW w:w="1320" w:type="dxa"/>
            <w:vMerge w:val="continue"/>
            <w:noWrap w:val="0"/>
            <w:vAlign w:val="center"/>
          </w:tcPr>
          <w:p>
            <w:pPr>
              <w:keepNext w:val="0"/>
              <w:keepLines w:val="0"/>
              <w:pageBreakBefore w:val="0"/>
              <w:widowControl w:val="0"/>
              <w:kinsoku/>
              <w:wordWrap/>
              <w:overflowPunct/>
              <w:topLinePunct w:val="0"/>
              <w:bidi w:val="0"/>
              <w:spacing w:line="240" w:lineRule="auto"/>
              <w:contextualSpacing/>
              <w:jc w:val="left"/>
              <w:textAlignment w:val="auto"/>
              <w:rPr>
                <w:rFonts w:hint="eastAsia" w:ascii="宋体" w:hAnsi="宋体" w:eastAsia="宋体" w:cs="宋体"/>
                <w:color w:val="auto"/>
                <w:kern w:val="2"/>
                <w:sz w:val="21"/>
                <w:szCs w:val="21"/>
                <w:highlight w:val="none"/>
              </w:rPr>
            </w:pPr>
          </w:p>
        </w:tc>
        <w:tc>
          <w:tcPr>
            <w:tcW w:w="5723"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根据</w:t>
            </w:r>
            <w:r>
              <w:rPr>
                <w:rFonts w:hint="eastAsia" w:ascii="宋体" w:hAnsi="宋体" w:eastAsia="宋体" w:cs="宋体"/>
                <w:color w:val="auto"/>
                <w:kern w:val="2"/>
                <w:sz w:val="21"/>
                <w:szCs w:val="21"/>
                <w:highlight w:val="none"/>
                <w:lang w:eastAsia="zh-CN"/>
              </w:rPr>
              <w:t>供应商</w:t>
            </w:r>
            <w:r>
              <w:rPr>
                <w:rFonts w:hint="eastAsia" w:ascii="宋体" w:hAnsi="宋体" w:eastAsia="宋体" w:cs="宋体"/>
                <w:color w:val="auto"/>
                <w:kern w:val="2"/>
                <w:sz w:val="21"/>
                <w:szCs w:val="21"/>
                <w:highlight w:val="none"/>
              </w:rPr>
              <w:t>团队组织管理制度</w:t>
            </w:r>
            <w:r>
              <w:rPr>
                <w:rFonts w:hint="eastAsia" w:ascii="宋体" w:hAnsi="宋体" w:eastAsia="宋体" w:cs="宋体"/>
                <w:color w:val="auto"/>
                <w:kern w:val="2"/>
                <w:sz w:val="21"/>
                <w:szCs w:val="21"/>
                <w:highlight w:val="none"/>
                <w:lang w:val="en-US" w:eastAsia="zh-CN"/>
              </w:rPr>
              <w:t>规范合理性</w:t>
            </w:r>
            <w:r>
              <w:rPr>
                <w:rFonts w:hint="eastAsia" w:ascii="宋体" w:hAnsi="宋体" w:eastAsia="宋体" w:cs="宋体"/>
                <w:color w:val="auto"/>
                <w:kern w:val="2"/>
                <w:sz w:val="21"/>
                <w:szCs w:val="21"/>
                <w:highlight w:val="none"/>
              </w:rPr>
              <w:t>（包含工作考勤、监督管理机制、员工奖罚管理等）进行评议</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内容</w:t>
            </w:r>
            <w:r>
              <w:rPr>
                <w:rFonts w:hint="eastAsia" w:ascii="宋体" w:hAnsi="宋体" w:eastAsia="宋体" w:cs="宋体"/>
                <w:color w:val="auto"/>
                <w:kern w:val="2"/>
                <w:sz w:val="21"/>
                <w:szCs w:val="21"/>
                <w:highlight w:val="none"/>
                <w:lang w:eastAsia="zh-CN"/>
              </w:rPr>
              <w:t>欠合理的每项扣</w:t>
            </w:r>
            <w:r>
              <w:rPr>
                <w:rFonts w:hint="eastAsia" w:ascii="宋体" w:hAnsi="宋体" w:eastAsia="宋体" w:cs="宋体"/>
                <w:color w:val="auto"/>
                <w:kern w:val="2"/>
                <w:sz w:val="21"/>
                <w:szCs w:val="21"/>
                <w:highlight w:val="none"/>
                <w:lang w:val="en-US" w:eastAsia="zh-CN"/>
              </w:rPr>
              <w:t>0.5</w:t>
            </w:r>
            <w:r>
              <w:rPr>
                <w:rFonts w:hint="eastAsia" w:ascii="宋体" w:hAnsi="宋体" w:eastAsia="宋体" w:cs="宋体"/>
                <w:color w:val="auto"/>
                <w:kern w:val="2"/>
                <w:sz w:val="21"/>
                <w:szCs w:val="21"/>
                <w:highlight w:val="none"/>
                <w:lang w:eastAsia="zh-CN"/>
              </w:rPr>
              <w:t>分，</w:t>
            </w:r>
            <w:r>
              <w:rPr>
                <w:rFonts w:hint="eastAsia" w:ascii="宋体" w:hAnsi="宋体" w:eastAsia="宋体" w:cs="宋体"/>
                <w:color w:val="auto"/>
                <w:kern w:val="2"/>
                <w:sz w:val="21"/>
                <w:szCs w:val="21"/>
                <w:highlight w:val="none"/>
                <w:lang w:val="en-US" w:eastAsia="zh-CN"/>
              </w:rPr>
              <w:t>内容</w:t>
            </w:r>
            <w:r>
              <w:rPr>
                <w:rFonts w:hint="eastAsia" w:ascii="宋体" w:hAnsi="宋体" w:eastAsia="宋体" w:cs="宋体"/>
                <w:color w:val="auto"/>
                <w:kern w:val="2"/>
                <w:sz w:val="21"/>
                <w:szCs w:val="21"/>
                <w:highlight w:val="none"/>
                <w:lang w:eastAsia="zh-CN"/>
              </w:rPr>
              <w:t>不合理的每项扣</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分，</w:t>
            </w:r>
            <w:r>
              <w:rPr>
                <w:rFonts w:hint="eastAsia" w:ascii="宋体" w:hAnsi="宋体" w:eastAsia="宋体" w:cs="宋体"/>
                <w:color w:val="auto"/>
                <w:kern w:val="2"/>
                <w:sz w:val="21"/>
                <w:szCs w:val="21"/>
                <w:highlight w:val="none"/>
                <w:lang w:val="en-US" w:eastAsia="zh-CN"/>
              </w:rPr>
              <w:t>无相应内容的不得分，</w:t>
            </w:r>
            <w:r>
              <w:rPr>
                <w:rFonts w:hint="eastAsia" w:ascii="宋体" w:hAnsi="宋体" w:eastAsia="宋体" w:cs="宋体"/>
                <w:color w:val="auto"/>
                <w:kern w:val="2"/>
                <w:sz w:val="21"/>
                <w:szCs w:val="21"/>
                <w:highlight w:val="none"/>
                <w:lang w:eastAsia="zh-CN"/>
              </w:rPr>
              <w:t>扣完为止，本项最高得</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eastAsia="zh-CN"/>
              </w:rPr>
              <w:t>分。</w:t>
            </w:r>
          </w:p>
        </w:tc>
        <w:tc>
          <w:tcPr>
            <w:tcW w:w="660"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w:t>
            </w:r>
          </w:p>
        </w:tc>
        <w:tc>
          <w:tcPr>
            <w:tcW w:w="723"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5"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contextualSpacing/>
              <w:jc w:val="center"/>
              <w:textAlignment w:val="auto"/>
              <w:rPr>
                <w:rFonts w:hint="eastAsia" w:ascii="宋体" w:hAnsi="宋体" w:eastAsia="宋体" w:cs="宋体"/>
                <w:bCs/>
                <w:color w:val="auto"/>
                <w:kern w:val="2"/>
                <w:sz w:val="21"/>
                <w:szCs w:val="21"/>
                <w:highlight w:val="none"/>
              </w:rPr>
            </w:pPr>
          </w:p>
        </w:tc>
        <w:tc>
          <w:tcPr>
            <w:tcW w:w="1320" w:type="dxa"/>
            <w:vMerge w:val="continue"/>
            <w:noWrap w:val="0"/>
            <w:vAlign w:val="center"/>
          </w:tcPr>
          <w:p>
            <w:pPr>
              <w:keepNext w:val="0"/>
              <w:keepLines w:val="0"/>
              <w:pageBreakBefore w:val="0"/>
              <w:widowControl w:val="0"/>
              <w:kinsoku/>
              <w:wordWrap/>
              <w:overflowPunct/>
              <w:topLinePunct w:val="0"/>
              <w:bidi w:val="0"/>
              <w:spacing w:line="240" w:lineRule="auto"/>
              <w:contextualSpacing/>
              <w:jc w:val="left"/>
              <w:textAlignment w:val="auto"/>
              <w:rPr>
                <w:rFonts w:hint="eastAsia" w:ascii="宋体" w:hAnsi="宋体" w:eastAsia="宋体" w:cs="宋体"/>
                <w:color w:val="auto"/>
                <w:kern w:val="2"/>
                <w:sz w:val="21"/>
                <w:szCs w:val="21"/>
                <w:highlight w:val="none"/>
              </w:rPr>
            </w:pPr>
          </w:p>
        </w:tc>
        <w:tc>
          <w:tcPr>
            <w:tcW w:w="5723"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left"/>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eastAsia="zh-CN"/>
              </w:rPr>
              <w:t>）根据供应商服务工作目标及保障承诺的</w:t>
            </w:r>
            <w:r>
              <w:rPr>
                <w:rFonts w:hint="eastAsia" w:ascii="宋体" w:hAnsi="宋体" w:eastAsia="宋体" w:cs="宋体"/>
                <w:color w:val="auto"/>
                <w:kern w:val="2"/>
                <w:sz w:val="21"/>
                <w:szCs w:val="21"/>
                <w:highlight w:val="none"/>
                <w:lang w:val="en-US" w:eastAsia="zh-CN"/>
              </w:rPr>
              <w:t>可行合理性</w:t>
            </w:r>
            <w:r>
              <w:rPr>
                <w:rFonts w:hint="eastAsia" w:ascii="宋体" w:hAnsi="宋体" w:eastAsia="宋体" w:cs="宋体"/>
                <w:color w:val="auto"/>
                <w:kern w:val="2"/>
                <w:sz w:val="21"/>
                <w:szCs w:val="21"/>
                <w:highlight w:val="none"/>
                <w:lang w:eastAsia="zh-CN"/>
              </w:rPr>
              <w:t>进行评议，</w:t>
            </w:r>
            <w:r>
              <w:rPr>
                <w:rFonts w:hint="eastAsia" w:ascii="宋体" w:hAnsi="宋体" w:eastAsia="宋体" w:cs="宋体"/>
                <w:color w:val="auto"/>
                <w:kern w:val="2"/>
                <w:sz w:val="21"/>
                <w:szCs w:val="21"/>
                <w:highlight w:val="none"/>
                <w:lang w:val="en-US" w:eastAsia="zh-CN"/>
              </w:rPr>
              <w:t>内容欠合理的每项扣0.5分，内容不合理的每项扣1分，无相应内容的不得分，扣完为止，本项最高得3分。</w:t>
            </w:r>
          </w:p>
        </w:tc>
        <w:tc>
          <w:tcPr>
            <w:tcW w:w="660"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w:t>
            </w:r>
          </w:p>
        </w:tc>
        <w:tc>
          <w:tcPr>
            <w:tcW w:w="723"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5"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contextualSpacing/>
              <w:jc w:val="center"/>
              <w:textAlignment w:val="auto"/>
              <w:rPr>
                <w:rFonts w:hint="eastAsia" w:ascii="宋体" w:hAnsi="宋体" w:eastAsia="宋体" w:cs="宋体"/>
                <w:bCs/>
                <w:color w:val="auto"/>
                <w:kern w:val="2"/>
                <w:sz w:val="21"/>
                <w:szCs w:val="21"/>
                <w:highlight w:val="none"/>
              </w:rPr>
            </w:pPr>
          </w:p>
        </w:tc>
        <w:tc>
          <w:tcPr>
            <w:tcW w:w="1320" w:type="dxa"/>
            <w:vMerge w:val="continue"/>
            <w:noWrap w:val="0"/>
            <w:vAlign w:val="center"/>
          </w:tcPr>
          <w:p>
            <w:pPr>
              <w:keepNext w:val="0"/>
              <w:keepLines w:val="0"/>
              <w:pageBreakBefore w:val="0"/>
              <w:widowControl w:val="0"/>
              <w:kinsoku/>
              <w:wordWrap/>
              <w:overflowPunct/>
              <w:topLinePunct w:val="0"/>
              <w:bidi w:val="0"/>
              <w:spacing w:line="240" w:lineRule="auto"/>
              <w:contextualSpacing/>
              <w:jc w:val="left"/>
              <w:textAlignment w:val="auto"/>
              <w:rPr>
                <w:rFonts w:hint="eastAsia" w:ascii="宋体" w:hAnsi="宋体" w:eastAsia="宋体" w:cs="宋体"/>
                <w:color w:val="auto"/>
                <w:kern w:val="2"/>
                <w:sz w:val="21"/>
                <w:szCs w:val="21"/>
                <w:highlight w:val="none"/>
              </w:rPr>
            </w:pPr>
          </w:p>
        </w:tc>
        <w:tc>
          <w:tcPr>
            <w:tcW w:w="5723"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根据</w:t>
            </w:r>
            <w:r>
              <w:rPr>
                <w:rFonts w:hint="eastAsia" w:ascii="宋体" w:hAnsi="宋体" w:eastAsia="宋体" w:cs="宋体"/>
                <w:color w:val="auto"/>
                <w:kern w:val="2"/>
                <w:sz w:val="21"/>
                <w:szCs w:val="21"/>
                <w:highlight w:val="none"/>
                <w:lang w:eastAsia="zh-CN"/>
              </w:rPr>
              <w:t>供应商</w:t>
            </w:r>
            <w:r>
              <w:rPr>
                <w:rFonts w:hint="eastAsia" w:ascii="宋体" w:hAnsi="宋体" w:eastAsia="宋体" w:cs="宋体"/>
                <w:color w:val="auto"/>
                <w:kern w:val="2"/>
                <w:sz w:val="21"/>
                <w:szCs w:val="21"/>
                <w:highlight w:val="none"/>
              </w:rPr>
              <w:t>针对本项目服务过程中的重点、难点分析及解决措施</w:t>
            </w:r>
            <w:r>
              <w:rPr>
                <w:rFonts w:hint="eastAsia" w:ascii="宋体" w:hAnsi="宋体" w:eastAsia="宋体" w:cs="宋体"/>
                <w:color w:val="auto"/>
                <w:kern w:val="2"/>
                <w:sz w:val="21"/>
                <w:szCs w:val="21"/>
                <w:highlight w:val="none"/>
                <w:lang w:eastAsia="zh-CN"/>
              </w:rPr>
              <w:t>的</w:t>
            </w:r>
            <w:r>
              <w:rPr>
                <w:rFonts w:hint="eastAsia" w:ascii="宋体" w:hAnsi="宋体" w:eastAsia="宋体" w:cs="宋体"/>
                <w:color w:val="auto"/>
                <w:kern w:val="2"/>
                <w:sz w:val="21"/>
                <w:szCs w:val="21"/>
                <w:highlight w:val="none"/>
                <w:lang w:val="en-US" w:eastAsia="zh-CN"/>
              </w:rPr>
              <w:t>可行合理性</w:t>
            </w:r>
            <w:r>
              <w:rPr>
                <w:rFonts w:hint="eastAsia" w:ascii="宋体" w:hAnsi="宋体" w:eastAsia="宋体" w:cs="宋体"/>
                <w:color w:val="auto"/>
                <w:kern w:val="2"/>
                <w:sz w:val="21"/>
                <w:szCs w:val="21"/>
                <w:highlight w:val="none"/>
              </w:rPr>
              <w:t>进行评议</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内容</w:t>
            </w:r>
            <w:r>
              <w:rPr>
                <w:rFonts w:hint="eastAsia" w:ascii="宋体" w:hAnsi="宋体" w:eastAsia="宋体" w:cs="宋体"/>
                <w:color w:val="auto"/>
                <w:kern w:val="2"/>
                <w:sz w:val="21"/>
                <w:szCs w:val="21"/>
                <w:highlight w:val="none"/>
                <w:lang w:eastAsia="zh-CN"/>
              </w:rPr>
              <w:t>欠合理的每项扣</w:t>
            </w:r>
            <w:r>
              <w:rPr>
                <w:rFonts w:hint="eastAsia" w:ascii="宋体" w:hAnsi="宋体" w:eastAsia="宋体" w:cs="宋体"/>
                <w:color w:val="auto"/>
                <w:kern w:val="2"/>
                <w:sz w:val="21"/>
                <w:szCs w:val="21"/>
                <w:highlight w:val="none"/>
                <w:lang w:val="en-US" w:eastAsia="zh-CN"/>
              </w:rPr>
              <w:t>0.5</w:t>
            </w:r>
            <w:r>
              <w:rPr>
                <w:rFonts w:hint="eastAsia" w:ascii="宋体" w:hAnsi="宋体" w:eastAsia="宋体" w:cs="宋体"/>
                <w:color w:val="auto"/>
                <w:kern w:val="2"/>
                <w:sz w:val="21"/>
                <w:szCs w:val="21"/>
                <w:highlight w:val="none"/>
                <w:lang w:eastAsia="zh-CN"/>
              </w:rPr>
              <w:t>分，</w:t>
            </w:r>
            <w:r>
              <w:rPr>
                <w:rFonts w:hint="eastAsia" w:ascii="宋体" w:hAnsi="宋体" w:eastAsia="宋体" w:cs="宋体"/>
                <w:color w:val="auto"/>
                <w:kern w:val="2"/>
                <w:sz w:val="21"/>
                <w:szCs w:val="21"/>
                <w:highlight w:val="none"/>
                <w:lang w:val="en-US" w:eastAsia="zh-CN"/>
              </w:rPr>
              <w:t>内容</w:t>
            </w:r>
            <w:r>
              <w:rPr>
                <w:rFonts w:hint="eastAsia" w:ascii="宋体" w:hAnsi="宋体" w:eastAsia="宋体" w:cs="宋体"/>
                <w:color w:val="auto"/>
                <w:kern w:val="2"/>
                <w:sz w:val="21"/>
                <w:szCs w:val="21"/>
                <w:highlight w:val="none"/>
                <w:lang w:eastAsia="zh-CN"/>
              </w:rPr>
              <w:t>不合理的每项扣</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分，</w:t>
            </w:r>
            <w:r>
              <w:rPr>
                <w:rFonts w:hint="eastAsia" w:ascii="宋体" w:hAnsi="宋体" w:eastAsia="宋体" w:cs="宋体"/>
                <w:color w:val="auto"/>
                <w:kern w:val="2"/>
                <w:sz w:val="21"/>
                <w:szCs w:val="21"/>
                <w:highlight w:val="none"/>
                <w:lang w:val="en-US" w:eastAsia="zh-CN"/>
              </w:rPr>
              <w:t>无相应内容的不得分，</w:t>
            </w:r>
            <w:r>
              <w:rPr>
                <w:rFonts w:hint="eastAsia" w:ascii="宋体" w:hAnsi="宋体" w:eastAsia="宋体" w:cs="宋体"/>
                <w:color w:val="auto"/>
                <w:kern w:val="2"/>
                <w:sz w:val="21"/>
                <w:szCs w:val="21"/>
                <w:highlight w:val="none"/>
                <w:lang w:eastAsia="zh-CN"/>
              </w:rPr>
              <w:t>扣完为止，本项最高得</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eastAsia="zh-CN"/>
              </w:rPr>
              <w:t>分。</w:t>
            </w:r>
          </w:p>
        </w:tc>
        <w:tc>
          <w:tcPr>
            <w:tcW w:w="660"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w:t>
            </w:r>
          </w:p>
        </w:tc>
        <w:tc>
          <w:tcPr>
            <w:tcW w:w="723"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5"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contextualSpacing/>
              <w:jc w:val="center"/>
              <w:textAlignment w:val="auto"/>
              <w:rPr>
                <w:rFonts w:hint="eastAsia" w:ascii="宋体" w:hAnsi="宋体" w:eastAsia="宋体" w:cs="宋体"/>
                <w:bCs/>
                <w:color w:val="auto"/>
                <w:kern w:val="2"/>
                <w:sz w:val="21"/>
                <w:szCs w:val="21"/>
                <w:highlight w:val="none"/>
              </w:rPr>
            </w:pPr>
          </w:p>
        </w:tc>
        <w:tc>
          <w:tcPr>
            <w:tcW w:w="1320" w:type="dxa"/>
            <w:noWrap w:val="0"/>
            <w:vAlign w:val="center"/>
          </w:tcPr>
          <w:p>
            <w:pPr>
              <w:keepNext w:val="0"/>
              <w:keepLines w:val="0"/>
              <w:pageBreakBefore w:val="0"/>
              <w:widowControl w:val="0"/>
              <w:kinsoku/>
              <w:wordWrap/>
              <w:overflowPunct/>
              <w:topLinePunct w:val="0"/>
              <w:bidi w:val="0"/>
              <w:spacing w:line="240" w:lineRule="auto"/>
              <w:contextualSpacing/>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2、现状分析（5分）</w:t>
            </w:r>
          </w:p>
        </w:tc>
        <w:tc>
          <w:tcPr>
            <w:tcW w:w="5723"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left"/>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根据供应商针对本项目服务范围实地考察</w:t>
            </w:r>
            <w:r>
              <w:rPr>
                <w:rFonts w:hint="eastAsia" w:ascii="宋体" w:hAnsi="宋体" w:eastAsia="宋体" w:cs="宋体"/>
                <w:color w:val="auto"/>
                <w:kern w:val="2"/>
                <w:sz w:val="21"/>
                <w:szCs w:val="21"/>
                <w:highlight w:val="none"/>
                <w:lang w:val="en-US" w:eastAsia="zh-CN"/>
              </w:rPr>
              <w:t>内容详尽全面</w:t>
            </w:r>
            <w:r>
              <w:rPr>
                <w:rFonts w:hint="eastAsia" w:ascii="宋体" w:hAnsi="宋体" w:eastAsia="宋体" w:cs="宋体"/>
                <w:color w:val="auto"/>
                <w:kern w:val="2"/>
                <w:sz w:val="21"/>
                <w:szCs w:val="21"/>
                <w:highlight w:val="none"/>
                <w:lang w:eastAsia="zh-CN"/>
              </w:rPr>
              <w:t>、调研后的现状描述分析</w:t>
            </w:r>
            <w:r>
              <w:rPr>
                <w:rFonts w:hint="eastAsia" w:ascii="宋体" w:hAnsi="宋体" w:eastAsia="宋体" w:cs="宋体"/>
                <w:color w:val="auto"/>
                <w:kern w:val="2"/>
                <w:sz w:val="21"/>
                <w:szCs w:val="21"/>
                <w:highlight w:val="none"/>
                <w:lang w:val="en-US" w:eastAsia="zh-CN"/>
              </w:rPr>
              <w:t>合理符合项目情况等内容</w:t>
            </w:r>
            <w:r>
              <w:rPr>
                <w:rFonts w:hint="eastAsia" w:ascii="宋体" w:hAnsi="宋体" w:eastAsia="宋体" w:cs="宋体"/>
                <w:color w:val="auto"/>
                <w:kern w:val="2"/>
                <w:sz w:val="21"/>
                <w:szCs w:val="21"/>
                <w:highlight w:val="none"/>
                <w:lang w:eastAsia="zh-CN"/>
              </w:rPr>
              <w:t>进行评议，</w:t>
            </w:r>
            <w:r>
              <w:rPr>
                <w:rFonts w:hint="eastAsia" w:ascii="宋体" w:hAnsi="宋体" w:eastAsia="宋体" w:cs="宋体"/>
                <w:color w:val="auto"/>
                <w:kern w:val="2"/>
                <w:sz w:val="21"/>
                <w:szCs w:val="21"/>
                <w:highlight w:val="none"/>
                <w:lang w:val="en-US" w:eastAsia="zh-CN"/>
              </w:rPr>
              <w:t>内容欠合理的每项扣0.5分，内容不合理的每项扣1分，无相应内容的不得分，扣完为止，本项最高得5分。</w:t>
            </w:r>
          </w:p>
        </w:tc>
        <w:tc>
          <w:tcPr>
            <w:tcW w:w="660"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w:t>
            </w:r>
          </w:p>
        </w:tc>
        <w:tc>
          <w:tcPr>
            <w:tcW w:w="723"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5"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contextualSpacing/>
              <w:jc w:val="center"/>
              <w:textAlignment w:val="auto"/>
              <w:rPr>
                <w:rFonts w:hint="eastAsia" w:ascii="宋体" w:hAnsi="宋体" w:eastAsia="宋体" w:cs="宋体"/>
                <w:bCs/>
                <w:color w:val="auto"/>
                <w:kern w:val="2"/>
                <w:sz w:val="21"/>
                <w:szCs w:val="21"/>
                <w:highlight w:val="none"/>
              </w:rPr>
            </w:pPr>
          </w:p>
        </w:tc>
        <w:tc>
          <w:tcPr>
            <w:tcW w:w="1320" w:type="dxa"/>
            <w:noWrap w:val="0"/>
            <w:vAlign w:val="center"/>
          </w:tcPr>
          <w:p>
            <w:pPr>
              <w:keepNext w:val="0"/>
              <w:keepLines w:val="0"/>
              <w:pageBreakBefore w:val="0"/>
              <w:widowControl w:val="0"/>
              <w:kinsoku/>
              <w:wordWrap/>
              <w:overflowPunct/>
              <w:topLinePunct w:val="0"/>
              <w:bidi w:val="0"/>
              <w:spacing w:line="240" w:lineRule="auto"/>
              <w:contextualSpacing/>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、人员配备（</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tc>
        <w:tc>
          <w:tcPr>
            <w:tcW w:w="5723"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根据</w:t>
            </w:r>
            <w:r>
              <w:rPr>
                <w:rFonts w:hint="eastAsia" w:ascii="宋体" w:hAnsi="宋体" w:eastAsia="宋体" w:cs="宋体"/>
                <w:color w:val="auto"/>
                <w:kern w:val="2"/>
                <w:sz w:val="21"/>
                <w:szCs w:val="21"/>
                <w:highlight w:val="none"/>
                <w:lang w:eastAsia="zh-CN"/>
              </w:rPr>
              <w:t>供应商</w:t>
            </w:r>
            <w:r>
              <w:rPr>
                <w:rFonts w:hint="eastAsia" w:ascii="宋体" w:hAnsi="宋体" w:eastAsia="宋体" w:cs="宋体"/>
                <w:color w:val="auto"/>
                <w:kern w:val="2"/>
                <w:sz w:val="21"/>
                <w:szCs w:val="21"/>
                <w:highlight w:val="none"/>
              </w:rPr>
              <w:t>拟投入本项目的人员数量</w:t>
            </w:r>
            <w:r>
              <w:rPr>
                <w:rFonts w:hint="eastAsia" w:ascii="宋体" w:hAnsi="宋体" w:eastAsia="宋体" w:cs="宋体"/>
                <w:color w:val="auto"/>
                <w:kern w:val="2"/>
                <w:sz w:val="21"/>
                <w:szCs w:val="21"/>
                <w:highlight w:val="none"/>
                <w:lang w:val="en-US" w:eastAsia="zh-CN"/>
              </w:rPr>
              <w:t>配备充足</w:t>
            </w:r>
            <w:r>
              <w:rPr>
                <w:rFonts w:hint="eastAsia" w:ascii="宋体" w:hAnsi="宋体" w:eastAsia="宋体" w:cs="宋体"/>
                <w:color w:val="auto"/>
                <w:kern w:val="2"/>
                <w:sz w:val="21"/>
                <w:szCs w:val="21"/>
                <w:highlight w:val="none"/>
              </w:rPr>
              <w:t>、专业结构与项目需求的匹配度</w:t>
            </w:r>
            <w:r>
              <w:rPr>
                <w:rFonts w:hint="eastAsia" w:ascii="宋体" w:hAnsi="宋体" w:eastAsia="宋体" w:cs="宋体"/>
                <w:color w:val="auto"/>
                <w:kern w:val="2"/>
                <w:sz w:val="21"/>
                <w:szCs w:val="21"/>
                <w:highlight w:val="none"/>
                <w:lang w:val="en-US" w:eastAsia="zh-CN"/>
              </w:rPr>
              <w:t>高</w:t>
            </w:r>
            <w:r>
              <w:rPr>
                <w:rFonts w:hint="eastAsia" w:ascii="宋体" w:hAnsi="宋体" w:eastAsia="宋体" w:cs="宋体"/>
                <w:color w:val="auto"/>
                <w:kern w:val="2"/>
                <w:sz w:val="21"/>
                <w:szCs w:val="21"/>
                <w:highlight w:val="none"/>
              </w:rPr>
              <w:t>及相关人员的综合能力</w:t>
            </w:r>
            <w:r>
              <w:rPr>
                <w:rFonts w:hint="eastAsia" w:ascii="宋体" w:hAnsi="宋体" w:eastAsia="宋体" w:cs="宋体"/>
                <w:color w:val="auto"/>
                <w:kern w:val="2"/>
                <w:sz w:val="21"/>
                <w:szCs w:val="21"/>
                <w:highlight w:val="none"/>
                <w:lang w:val="en-US" w:eastAsia="zh-CN"/>
              </w:rPr>
              <w:t>专业性</w:t>
            </w:r>
            <w:r>
              <w:rPr>
                <w:rFonts w:hint="eastAsia" w:ascii="宋体" w:hAnsi="宋体" w:eastAsia="宋体" w:cs="宋体"/>
                <w:color w:val="auto"/>
                <w:kern w:val="2"/>
                <w:sz w:val="21"/>
                <w:szCs w:val="21"/>
                <w:highlight w:val="none"/>
              </w:rPr>
              <w:t>（包括</w:t>
            </w:r>
            <w:r>
              <w:rPr>
                <w:rFonts w:hint="eastAsia" w:ascii="宋体" w:hAnsi="宋体" w:eastAsia="宋体" w:cs="宋体"/>
                <w:color w:val="auto"/>
                <w:kern w:val="2"/>
                <w:sz w:val="21"/>
                <w:szCs w:val="21"/>
                <w:highlight w:val="none"/>
                <w:lang w:val="en-US" w:eastAsia="zh-CN"/>
              </w:rPr>
              <w:t>工作</w:t>
            </w:r>
            <w:r>
              <w:rPr>
                <w:rFonts w:hint="eastAsia" w:ascii="宋体" w:hAnsi="宋体" w:eastAsia="宋体" w:cs="宋体"/>
                <w:color w:val="auto"/>
                <w:kern w:val="2"/>
                <w:sz w:val="21"/>
                <w:szCs w:val="21"/>
                <w:highlight w:val="none"/>
              </w:rPr>
              <w:t>经验、</w:t>
            </w:r>
            <w:r>
              <w:rPr>
                <w:rFonts w:hint="eastAsia" w:ascii="宋体" w:hAnsi="宋体" w:eastAsia="宋体" w:cs="宋体"/>
                <w:color w:val="auto"/>
                <w:kern w:val="2"/>
                <w:sz w:val="21"/>
                <w:szCs w:val="21"/>
                <w:highlight w:val="none"/>
                <w:lang w:val="en-US" w:eastAsia="zh-CN"/>
              </w:rPr>
              <w:t>资质能力、</w:t>
            </w:r>
            <w:r>
              <w:rPr>
                <w:rFonts w:hint="eastAsia" w:ascii="宋体" w:hAnsi="宋体" w:eastAsia="宋体" w:cs="宋体"/>
                <w:color w:val="auto"/>
                <w:kern w:val="2"/>
                <w:sz w:val="21"/>
                <w:szCs w:val="21"/>
                <w:highlight w:val="none"/>
              </w:rPr>
              <w:t>专业技能水平等）进行评议</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内容</w:t>
            </w:r>
            <w:r>
              <w:rPr>
                <w:rFonts w:hint="eastAsia" w:ascii="宋体" w:hAnsi="宋体" w:eastAsia="宋体" w:cs="宋体"/>
                <w:color w:val="auto"/>
                <w:kern w:val="2"/>
                <w:sz w:val="21"/>
                <w:szCs w:val="21"/>
                <w:highlight w:val="none"/>
                <w:lang w:eastAsia="zh-CN"/>
              </w:rPr>
              <w:t>欠合理的每项扣</w:t>
            </w:r>
            <w:r>
              <w:rPr>
                <w:rFonts w:hint="eastAsia" w:ascii="宋体" w:hAnsi="宋体" w:eastAsia="宋体" w:cs="宋体"/>
                <w:color w:val="auto"/>
                <w:kern w:val="2"/>
                <w:sz w:val="21"/>
                <w:szCs w:val="21"/>
                <w:highlight w:val="none"/>
                <w:lang w:val="en-US" w:eastAsia="zh-CN"/>
              </w:rPr>
              <w:t>0.5</w:t>
            </w:r>
            <w:r>
              <w:rPr>
                <w:rFonts w:hint="eastAsia" w:ascii="宋体" w:hAnsi="宋体" w:eastAsia="宋体" w:cs="宋体"/>
                <w:color w:val="auto"/>
                <w:kern w:val="2"/>
                <w:sz w:val="21"/>
                <w:szCs w:val="21"/>
                <w:highlight w:val="none"/>
                <w:lang w:eastAsia="zh-CN"/>
              </w:rPr>
              <w:t>分，</w:t>
            </w:r>
            <w:r>
              <w:rPr>
                <w:rFonts w:hint="eastAsia" w:ascii="宋体" w:hAnsi="宋体" w:eastAsia="宋体" w:cs="宋体"/>
                <w:color w:val="auto"/>
                <w:kern w:val="2"/>
                <w:sz w:val="21"/>
                <w:szCs w:val="21"/>
                <w:highlight w:val="none"/>
                <w:lang w:val="en-US" w:eastAsia="zh-CN"/>
              </w:rPr>
              <w:t>内容</w:t>
            </w:r>
            <w:r>
              <w:rPr>
                <w:rFonts w:hint="eastAsia" w:ascii="宋体" w:hAnsi="宋体" w:eastAsia="宋体" w:cs="宋体"/>
                <w:color w:val="auto"/>
                <w:kern w:val="2"/>
                <w:sz w:val="21"/>
                <w:szCs w:val="21"/>
                <w:highlight w:val="none"/>
                <w:lang w:eastAsia="zh-CN"/>
              </w:rPr>
              <w:t>不合理的每项扣</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分，</w:t>
            </w:r>
            <w:r>
              <w:rPr>
                <w:rFonts w:hint="eastAsia" w:ascii="宋体" w:hAnsi="宋体" w:eastAsia="宋体" w:cs="宋体"/>
                <w:color w:val="auto"/>
                <w:kern w:val="2"/>
                <w:sz w:val="21"/>
                <w:szCs w:val="21"/>
                <w:highlight w:val="none"/>
                <w:lang w:val="en-US" w:eastAsia="zh-CN"/>
              </w:rPr>
              <w:t>无相应内容的不得分，</w:t>
            </w:r>
            <w:r>
              <w:rPr>
                <w:rFonts w:hint="eastAsia" w:ascii="宋体" w:hAnsi="宋体" w:eastAsia="宋体" w:cs="宋体"/>
                <w:color w:val="auto"/>
                <w:kern w:val="2"/>
                <w:sz w:val="21"/>
                <w:szCs w:val="21"/>
                <w:highlight w:val="none"/>
                <w:lang w:eastAsia="zh-CN"/>
              </w:rPr>
              <w:t>扣完为止，本项最高得</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lang w:eastAsia="zh-CN"/>
              </w:rPr>
              <w:t>分。</w:t>
            </w:r>
          </w:p>
        </w:tc>
        <w:tc>
          <w:tcPr>
            <w:tcW w:w="660"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10</w:t>
            </w:r>
          </w:p>
        </w:tc>
        <w:tc>
          <w:tcPr>
            <w:tcW w:w="723"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5"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contextualSpacing/>
              <w:jc w:val="center"/>
              <w:textAlignment w:val="auto"/>
              <w:rPr>
                <w:rFonts w:hint="eastAsia" w:ascii="宋体" w:hAnsi="宋体" w:eastAsia="宋体" w:cs="宋体"/>
                <w:bCs/>
                <w:color w:val="auto"/>
                <w:kern w:val="2"/>
                <w:sz w:val="21"/>
                <w:szCs w:val="21"/>
                <w:highlight w:val="none"/>
              </w:rPr>
            </w:pPr>
          </w:p>
        </w:tc>
        <w:tc>
          <w:tcPr>
            <w:tcW w:w="1320" w:type="dxa"/>
            <w:vMerge w:val="restart"/>
            <w:noWrap w:val="0"/>
            <w:vAlign w:val="center"/>
          </w:tcPr>
          <w:p>
            <w:pPr>
              <w:keepNext w:val="0"/>
              <w:keepLines w:val="0"/>
              <w:pageBreakBefore w:val="0"/>
              <w:widowControl w:val="0"/>
              <w:kinsoku/>
              <w:wordWrap/>
              <w:overflowPunct/>
              <w:topLinePunct w:val="0"/>
              <w:bidi w:val="0"/>
              <w:spacing w:line="240" w:lineRule="auto"/>
              <w:contextualSpacing/>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、设备配置（10分）</w:t>
            </w:r>
          </w:p>
        </w:tc>
        <w:tc>
          <w:tcPr>
            <w:tcW w:w="5723"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根据</w:t>
            </w:r>
            <w:r>
              <w:rPr>
                <w:rFonts w:hint="eastAsia" w:ascii="宋体" w:hAnsi="宋体" w:eastAsia="宋体" w:cs="宋体"/>
                <w:color w:val="auto"/>
                <w:kern w:val="2"/>
                <w:sz w:val="21"/>
                <w:szCs w:val="21"/>
                <w:highlight w:val="none"/>
                <w:lang w:eastAsia="zh-CN"/>
              </w:rPr>
              <w:t>供应商</w:t>
            </w:r>
            <w:r>
              <w:rPr>
                <w:rFonts w:hint="eastAsia" w:ascii="宋体" w:hAnsi="宋体" w:eastAsia="宋体" w:cs="宋体"/>
                <w:color w:val="auto"/>
                <w:kern w:val="2"/>
                <w:sz w:val="21"/>
                <w:szCs w:val="21"/>
                <w:highlight w:val="none"/>
              </w:rPr>
              <w:t>针对本项目拟配置的药械、设施设备等的配置情况以及与项目需求的匹配度</w:t>
            </w:r>
            <w:r>
              <w:rPr>
                <w:rFonts w:hint="eastAsia" w:ascii="宋体" w:hAnsi="宋体" w:eastAsia="宋体" w:cs="宋体"/>
                <w:color w:val="auto"/>
                <w:kern w:val="2"/>
                <w:sz w:val="21"/>
                <w:szCs w:val="21"/>
                <w:highlight w:val="none"/>
                <w:lang w:val="en-US" w:eastAsia="zh-CN"/>
              </w:rPr>
              <w:t>且方案合理可行的情况</w:t>
            </w:r>
            <w:r>
              <w:rPr>
                <w:rFonts w:hint="eastAsia" w:ascii="宋体" w:hAnsi="宋体" w:eastAsia="宋体" w:cs="宋体"/>
                <w:color w:val="auto"/>
                <w:kern w:val="2"/>
                <w:sz w:val="21"/>
                <w:szCs w:val="21"/>
                <w:highlight w:val="none"/>
              </w:rPr>
              <w:t>进行评议</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内容欠合理的每项扣0.5分，内容不合理的每项扣1分，无相应内容的不得分，扣完为止，本项最高得5分。</w:t>
            </w:r>
          </w:p>
        </w:tc>
        <w:tc>
          <w:tcPr>
            <w:tcW w:w="660"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w:t>
            </w:r>
          </w:p>
        </w:tc>
        <w:tc>
          <w:tcPr>
            <w:tcW w:w="723"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5"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contextualSpacing/>
              <w:jc w:val="center"/>
              <w:textAlignment w:val="auto"/>
              <w:rPr>
                <w:rFonts w:hint="eastAsia" w:ascii="宋体" w:hAnsi="宋体" w:eastAsia="宋体" w:cs="宋体"/>
                <w:bCs/>
                <w:color w:val="auto"/>
                <w:kern w:val="2"/>
                <w:sz w:val="21"/>
                <w:szCs w:val="21"/>
                <w:highlight w:val="none"/>
              </w:rPr>
            </w:pPr>
          </w:p>
        </w:tc>
        <w:tc>
          <w:tcPr>
            <w:tcW w:w="1320" w:type="dxa"/>
            <w:vMerge w:val="continue"/>
            <w:noWrap w:val="0"/>
            <w:vAlign w:val="center"/>
          </w:tcPr>
          <w:p>
            <w:pPr>
              <w:keepNext w:val="0"/>
              <w:keepLines w:val="0"/>
              <w:pageBreakBefore w:val="0"/>
              <w:widowControl w:val="0"/>
              <w:kinsoku/>
              <w:wordWrap/>
              <w:overflowPunct/>
              <w:topLinePunct w:val="0"/>
              <w:bidi w:val="0"/>
              <w:spacing w:line="240" w:lineRule="auto"/>
              <w:contextualSpacing/>
              <w:jc w:val="left"/>
              <w:textAlignment w:val="auto"/>
              <w:rPr>
                <w:rFonts w:hint="eastAsia" w:ascii="宋体" w:hAnsi="宋体" w:eastAsia="宋体" w:cs="宋体"/>
                <w:color w:val="auto"/>
                <w:kern w:val="2"/>
                <w:sz w:val="21"/>
                <w:szCs w:val="21"/>
                <w:highlight w:val="none"/>
              </w:rPr>
            </w:pPr>
          </w:p>
        </w:tc>
        <w:tc>
          <w:tcPr>
            <w:tcW w:w="5723"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）根据供应商拟投入药物的是否符合规范，以及药物的使用效果</w:t>
            </w:r>
            <w:r>
              <w:rPr>
                <w:rFonts w:hint="eastAsia" w:ascii="宋体" w:hAnsi="宋体" w:eastAsia="宋体" w:cs="宋体"/>
                <w:color w:val="auto"/>
                <w:kern w:val="2"/>
                <w:sz w:val="21"/>
                <w:szCs w:val="21"/>
                <w:highlight w:val="none"/>
                <w:lang w:val="en-US" w:eastAsia="zh-CN"/>
              </w:rPr>
              <w:t>是否良好的情况</w:t>
            </w:r>
            <w:r>
              <w:rPr>
                <w:rFonts w:hint="eastAsia" w:ascii="宋体" w:hAnsi="宋体" w:eastAsia="宋体" w:cs="宋体"/>
                <w:color w:val="auto"/>
                <w:kern w:val="2"/>
                <w:sz w:val="21"/>
                <w:szCs w:val="21"/>
                <w:highlight w:val="none"/>
                <w:lang w:eastAsia="zh-CN"/>
              </w:rPr>
              <w:t>进行评议，</w:t>
            </w:r>
            <w:r>
              <w:rPr>
                <w:rFonts w:hint="eastAsia" w:ascii="宋体" w:hAnsi="宋体" w:eastAsia="宋体" w:cs="宋体"/>
                <w:color w:val="auto"/>
                <w:kern w:val="2"/>
                <w:sz w:val="21"/>
                <w:szCs w:val="21"/>
                <w:highlight w:val="none"/>
                <w:lang w:val="en-US" w:eastAsia="zh-CN"/>
              </w:rPr>
              <w:t>内容欠合理的每项扣0.5分，内容不合理的每项扣1分，无相应内容的不得分，扣完为止，本项最高得5分。</w:t>
            </w:r>
          </w:p>
        </w:tc>
        <w:tc>
          <w:tcPr>
            <w:tcW w:w="660"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w:t>
            </w:r>
          </w:p>
        </w:tc>
        <w:tc>
          <w:tcPr>
            <w:tcW w:w="723"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5"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contextualSpacing/>
              <w:jc w:val="center"/>
              <w:textAlignment w:val="auto"/>
              <w:rPr>
                <w:rFonts w:hint="eastAsia" w:ascii="宋体" w:hAnsi="宋体" w:eastAsia="宋体" w:cs="宋体"/>
                <w:bCs/>
                <w:color w:val="auto"/>
                <w:kern w:val="2"/>
                <w:sz w:val="21"/>
                <w:szCs w:val="21"/>
                <w:highlight w:val="none"/>
              </w:rPr>
            </w:pPr>
          </w:p>
        </w:tc>
        <w:tc>
          <w:tcPr>
            <w:tcW w:w="1320" w:type="dxa"/>
            <w:vMerge w:val="restart"/>
            <w:noWrap w:val="0"/>
            <w:vAlign w:val="center"/>
          </w:tcPr>
          <w:p>
            <w:pPr>
              <w:keepNext w:val="0"/>
              <w:keepLines w:val="0"/>
              <w:pageBreakBefore w:val="0"/>
              <w:widowControl w:val="0"/>
              <w:kinsoku/>
              <w:wordWrap/>
              <w:overflowPunct/>
              <w:topLinePunct w:val="0"/>
              <w:bidi w:val="0"/>
              <w:spacing w:line="240" w:lineRule="auto"/>
              <w:contextualSpacing/>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、应急预案（10分）</w:t>
            </w:r>
          </w:p>
        </w:tc>
        <w:tc>
          <w:tcPr>
            <w:tcW w:w="5723"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根据</w:t>
            </w:r>
            <w:r>
              <w:rPr>
                <w:rFonts w:hint="eastAsia" w:ascii="宋体" w:hAnsi="宋体" w:eastAsia="宋体" w:cs="宋体"/>
                <w:color w:val="auto"/>
                <w:kern w:val="2"/>
                <w:sz w:val="21"/>
                <w:szCs w:val="21"/>
                <w:highlight w:val="none"/>
                <w:lang w:eastAsia="zh-CN"/>
              </w:rPr>
              <w:t>供应商</w:t>
            </w:r>
            <w:r>
              <w:rPr>
                <w:rFonts w:hint="eastAsia" w:ascii="宋体" w:hAnsi="宋体" w:eastAsia="宋体" w:cs="宋体"/>
                <w:color w:val="auto"/>
                <w:kern w:val="2"/>
                <w:sz w:val="21"/>
                <w:szCs w:val="21"/>
                <w:highlight w:val="none"/>
              </w:rPr>
              <w:t>针对本项目实施过程中可能发生的紧急情况及采取的应急预案</w:t>
            </w:r>
            <w:r>
              <w:rPr>
                <w:rFonts w:hint="eastAsia" w:ascii="宋体" w:hAnsi="宋体" w:eastAsia="宋体" w:cs="宋体"/>
                <w:color w:val="auto"/>
                <w:kern w:val="2"/>
                <w:sz w:val="21"/>
                <w:szCs w:val="21"/>
                <w:highlight w:val="none"/>
                <w:lang w:eastAsia="zh-CN"/>
              </w:rPr>
              <w:t>措施</w:t>
            </w:r>
            <w:r>
              <w:rPr>
                <w:rFonts w:hint="eastAsia" w:ascii="宋体" w:hAnsi="宋体" w:eastAsia="宋体" w:cs="宋体"/>
                <w:color w:val="auto"/>
                <w:kern w:val="2"/>
                <w:sz w:val="21"/>
                <w:szCs w:val="21"/>
                <w:highlight w:val="none"/>
                <w:lang w:val="en-US" w:eastAsia="zh-CN"/>
              </w:rPr>
              <w:t>是否符合项目情况且具备可行的情况</w:t>
            </w:r>
            <w:r>
              <w:rPr>
                <w:rFonts w:hint="eastAsia" w:ascii="宋体" w:hAnsi="宋体" w:eastAsia="宋体" w:cs="宋体"/>
                <w:color w:val="auto"/>
                <w:kern w:val="2"/>
                <w:sz w:val="21"/>
                <w:szCs w:val="21"/>
                <w:highlight w:val="none"/>
              </w:rPr>
              <w:t>进行评议</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内容欠合理的每项扣0.5分，内容不合理的每项扣1分，无相应内容的不得分，扣完为止，本项最高得5分。</w:t>
            </w:r>
          </w:p>
        </w:tc>
        <w:tc>
          <w:tcPr>
            <w:tcW w:w="660"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w:t>
            </w:r>
          </w:p>
        </w:tc>
        <w:tc>
          <w:tcPr>
            <w:tcW w:w="723"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5"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contextualSpacing/>
              <w:jc w:val="center"/>
              <w:textAlignment w:val="auto"/>
              <w:rPr>
                <w:rFonts w:hint="eastAsia" w:ascii="宋体" w:hAnsi="宋体" w:eastAsia="宋体" w:cs="宋体"/>
                <w:bCs/>
                <w:color w:val="auto"/>
                <w:kern w:val="2"/>
                <w:sz w:val="21"/>
                <w:szCs w:val="21"/>
                <w:highlight w:val="none"/>
              </w:rPr>
            </w:pPr>
          </w:p>
        </w:tc>
        <w:tc>
          <w:tcPr>
            <w:tcW w:w="1320" w:type="dxa"/>
            <w:vMerge w:val="continue"/>
            <w:noWrap w:val="0"/>
            <w:vAlign w:val="center"/>
          </w:tcPr>
          <w:p>
            <w:pPr>
              <w:keepNext w:val="0"/>
              <w:keepLines w:val="0"/>
              <w:pageBreakBefore w:val="0"/>
              <w:widowControl w:val="0"/>
              <w:kinsoku/>
              <w:wordWrap/>
              <w:overflowPunct/>
              <w:topLinePunct w:val="0"/>
              <w:bidi w:val="0"/>
              <w:spacing w:line="240" w:lineRule="auto"/>
              <w:contextualSpacing/>
              <w:jc w:val="left"/>
              <w:textAlignment w:val="auto"/>
              <w:rPr>
                <w:rFonts w:hint="eastAsia" w:ascii="宋体" w:hAnsi="宋体" w:eastAsia="宋体" w:cs="宋体"/>
                <w:color w:val="auto"/>
                <w:kern w:val="2"/>
                <w:sz w:val="21"/>
                <w:szCs w:val="21"/>
                <w:highlight w:val="none"/>
              </w:rPr>
            </w:pPr>
          </w:p>
        </w:tc>
        <w:tc>
          <w:tcPr>
            <w:tcW w:w="5723"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根据供应商针对迎检工作预案及采取的措施</w:t>
            </w:r>
            <w:r>
              <w:rPr>
                <w:rFonts w:hint="eastAsia" w:ascii="宋体" w:hAnsi="宋体" w:eastAsia="宋体" w:cs="宋体"/>
                <w:color w:val="auto"/>
                <w:kern w:val="2"/>
                <w:sz w:val="21"/>
                <w:szCs w:val="21"/>
                <w:highlight w:val="none"/>
                <w:lang w:val="en-US" w:eastAsia="zh-CN"/>
              </w:rPr>
              <w:t>是否详尽可行等情况</w:t>
            </w:r>
            <w:r>
              <w:rPr>
                <w:rFonts w:hint="eastAsia" w:ascii="宋体" w:hAnsi="宋体" w:eastAsia="宋体" w:cs="宋体"/>
                <w:color w:val="auto"/>
                <w:kern w:val="2"/>
                <w:sz w:val="21"/>
                <w:szCs w:val="21"/>
                <w:highlight w:val="none"/>
                <w:lang w:eastAsia="zh-CN"/>
              </w:rPr>
              <w:t>进行评议，</w:t>
            </w:r>
            <w:r>
              <w:rPr>
                <w:rFonts w:hint="eastAsia" w:ascii="宋体" w:hAnsi="宋体" w:eastAsia="宋体" w:cs="宋体"/>
                <w:color w:val="auto"/>
                <w:kern w:val="2"/>
                <w:sz w:val="21"/>
                <w:szCs w:val="21"/>
                <w:highlight w:val="none"/>
                <w:lang w:val="en-US" w:eastAsia="zh-CN"/>
              </w:rPr>
              <w:t>内容欠合理的每项扣0.5分，内容不合理的每项扣1分，无相应内容的不得分，扣完为止，本项最高得5分。</w:t>
            </w:r>
          </w:p>
        </w:tc>
        <w:tc>
          <w:tcPr>
            <w:tcW w:w="660"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w:t>
            </w:r>
          </w:p>
        </w:tc>
        <w:tc>
          <w:tcPr>
            <w:tcW w:w="723"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5" w:type="dxa"/>
            <w:vMerge w:val="continue"/>
            <w:noWrap w:val="0"/>
            <w:textDirection w:val="tbRlV"/>
            <w:vAlign w:val="center"/>
          </w:tcPr>
          <w:p>
            <w:pPr>
              <w:keepNext w:val="0"/>
              <w:keepLines w:val="0"/>
              <w:pageBreakBefore w:val="0"/>
              <w:widowControl w:val="0"/>
              <w:kinsoku/>
              <w:wordWrap/>
              <w:overflowPunct/>
              <w:topLinePunct w:val="0"/>
              <w:autoSpaceDE w:val="0"/>
              <w:autoSpaceDN w:val="0"/>
              <w:bidi w:val="0"/>
              <w:adjustRightInd w:val="0"/>
              <w:spacing w:line="240" w:lineRule="auto"/>
              <w:contextualSpacing/>
              <w:jc w:val="center"/>
              <w:textAlignment w:val="auto"/>
              <w:rPr>
                <w:rFonts w:hint="eastAsia" w:ascii="宋体" w:hAnsi="宋体" w:eastAsia="宋体" w:cs="宋体"/>
                <w:bCs/>
                <w:color w:val="auto"/>
                <w:kern w:val="2"/>
                <w:sz w:val="21"/>
                <w:szCs w:val="21"/>
                <w:highlight w:val="none"/>
              </w:rPr>
            </w:pPr>
          </w:p>
        </w:tc>
        <w:tc>
          <w:tcPr>
            <w:tcW w:w="1320"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、药物中毒预防及处理方案（</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w:t>
            </w:r>
          </w:p>
        </w:tc>
        <w:tc>
          <w:tcPr>
            <w:tcW w:w="5723"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根据</w:t>
            </w:r>
            <w:r>
              <w:rPr>
                <w:rFonts w:hint="eastAsia" w:ascii="宋体" w:hAnsi="宋体" w:eastAsia="宋体" w:cs="宋体"/>
                <w:color w:val="auto"/>
                <w:kern w:val="2"/>
                <w:sz w:val="21"/>
                <w:szCs w:val="21"/>
                <w:highlight w:val="none"/>
                <w:lang w:eastAsia="zh-CN"/>
              </w:rPr>
              <w:t>供应商</w:t>
            </w:r>
            <w:r>
              <w:rPr>
                <w:rFonts w:hint="eastAsia" w:ascii="宋体" w:hAnsi="宋体" w:eastAsia="宋体" w:cs="宋体"/>
                <w:color w:val="auto"/>
                <w:kern w:val="2"/>
                <w:sz w:val="21"/>
                <w:szCs w:val="21"/>
                <w:highlight w:val="none"/>
              </w:rPr>
              <w:t>在药物中毒预防方面及人畜意外药物中毒时，针对中毒患者救治和事件后续处理的方案</w:t>
            </w:r>
            <w:r>
              <w:rPr>
                <w:rFonts w:hint="eastAsia" w:ascii="宋体" w:hAnsi="宋体" w:eastAsia="宋体" w:cs="宋体"/>
                <w:color w:val="auto"/>
                <w:kern w:val="2"/>
                <w:sz w:val="21"/>
                <w:szCs w:val="21"/>
                <w:highlight w:val="none"/>
                <w:lang w:val="en-US" w:eastAsia="zh-CN"/>
              </w:rPr>
              <w:t>是否及时有效等情况</w:t>
            </w:r>
            <w:r>
              <w:rPr>
                <w:rFonts w:hint="eastAsia" w:ascii="宋体" w:hAnsi="宋体" w:eastAsia="宋体" w:cs="宋体"/>
                <w:color w:val="auto"/>
                <w:kern w:val="2"/>
                <w:sz w:val="21"/>
                <w:szCs w:val="21"/>
                <w:highlight w:val="none"/>
              </w:rPr>
              <w:t>进行评议</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内容</w:t>
            </w:r>
            <w:r>
              <w:rPr>
                <w:rFonts w:hint="eastAsia" w:ascii="宋体" w:hAnsi="宋体" w:eastAsia="宋体" w:cs="宋体"/>
                <w:color w:val="auto"/>
                <w:kern w:val="2"/>
                <w:sz w:val="21"/>
                <w:szCs w:val="21"/>
                <w:highlight w:val="none"/>
                <w:lang w:eastAsia="zh-CN"/>
              </w:rPr>
              <w:t>欠合理的每项扣</w:t>
            </w:r>
            <w:r>
              <w:rPr>
                <w:rFonts w:hint="eastAsia" w:ascii="宋体" w:hAnsi="宋体" w:eastAsia="宋体" w:cs="宋体"/>
                <w:color w:val="auto"/>
                <w:kern w:val="2"/>
                <w:sz w:val="21"/>
                <w:szCs w:val="21"/>
                <w:highlight w:val="none"/>
                <w:lang w:val="en-US" w:eastAsia="zh-CN"/>
              </w:rPr>
              <w:t>0.5</w:t>
            </w:r>
            <w:r>
              <w:rPr>
                <w:rFonts w:hint="eastAsia" w:ascii="宋体" w:hAnsi="宋体" w:eastAsia="宋体" w:cs="宋体"/>
                <w:color w:val="auto"/>
                <w:kern w:val="2"/>
                <w:sz w:val="21"/>
                <w:szCs w:val="21"/>
                <w:highlight w:val="none"/>
                <w:lang w:eastAsia="zh-CN"/>
              </w:rPr>
              <w:t>分，</w:t>
            </w:r>
            <w:r>
              <w:rPr>
                <w:rFonts w:hint="eastAsia" w:ascii="宋体" w:hAnsi="宋体" w:eastAsia="宋体" w:cs="宋体"/>
                <w:color w:val="auto"/>
                <w:kern w:val="2"/>
                <w:sz w:val="21"/>
                <w:szCs w:val="21"/>
                <w:highlight w:val="none"/>
                <w:lang w:val="en-US" w:eastAsia="zh-CN"/>
              </w:rPr>
              <w:t>内容</w:t>
            </w:r>
            <w:r>
              <w:rPr>
                <w:rFonts w:hint="eastAsia" w:ascii="宋体" w:hAnsi="宋体" w:eastAsia="宋体" w:cs="宋体"/>
                <w:color w:val="auto"/>
                <w:kern w:val="2"/>
                <w:sz w:val="21"/>
                <w:szCs w:val="21"/>
                <w:highlight w:val="none"/>
                <w:lang w:eastAsia="zh-CN"/>
              </w:rPr>
              <w:t>不合理的每项扣</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分，</w:t>
            </w:r>
            <w:r>
              <w:rPr>
                <w:rFonts w:hint="eastAsia" w:ascii="宋体" w:hAnsi="宋体" w:eastAsia="宋体" w:cs="宋体"/>
                <w:color w:val="auto"/>
                <w:kern w:val="2"/>
                <w:sz w:val="21"/>
                <w:szCs w:val="21"/>
                <w:highlight w:val="none"/>
                <w:lang w:val="en-US" w:eastAsia="zh-CN"/>
              </w:rPr>
              <w:t>无相应内容的不得分，</w:t>
            </w:r>
            <w:r>
              <w:rPr>
                <w:rFonts w:hint="eastAsia" w:ascii="宋体" w:hAnsi="宋体" w:eastAsia="宋体" w:cs="宋体"/>
                <w:color w:val="auto"/>
                <w:kern w:val="2"/>
                <w:sz w:val="21"/>
                <w:szCs w:val="21"/>
                <w:highlight w:val="none"/>
                <w:lang w:eastAsia="zh-CN"/>
              </w:rPr>
              <w:t>扣完为止，本项最高得</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eastAsia="zh-CN"/>
              </w:rPr>
              <w:t>分。</w:t>
            </w:r>
          </w:p>
        </w:tc>
        <w:tc>
          <w:tcPr>
            <w:tcW w:w="660"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w:t>
            </w:r>
          </w:p>
        </w:tc>
        <w:tc>
          <w:tcPr>
            <w:tcW w:w="723"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5" w:type="dxa"/>
            <w:vMerge w:val="continue"/>
            <w:noWrap w:val="0"/>
            <w:textDirection w:val="tbRlV"/>
            <w:vAlign w:val="center"/>
          </w:tcPr>
          <w:p>
            <w:pPr>
              <w:keepNext w:val="0"/>
              <w:keepLines w:val="0"/>
              <w:pageBreakBefore w:val="0"/>
              <w:widowControl w:val="0"/>
              <w:kinsoku/>
              <w:wordWrap/>
              <w:overflowPunct/>
              <w:topLinePunct w:val="0"/>
              <w:autoSpaceDE w:val="0"/>
              <w:autoSpaceDN w:val="0"/>
              <w:bidi w:val="0"/>
              <w:adjustRightInd w:val="0"/>
              <w:spacing w:line="240" w:lineRule="auto"/>
              <w:contextualSpacing/>
              <w:jc w:val="center"/>
              <w:textAlignment w:val="auto"/>
              <w:rPr>
                <w:rFonts w:hint="eastAsia" w:ascii="宋体" w:hAnsi="宋体" w:eastAsia="宋体" w:cs="宋体"/>
                <w:bCs/>
                <w:color w:val="auto"/>
                <w:kern w:val="2"/>
                <w:sz w:val="21"/>
                <w:szCs w:val="21"/>
                <w:highlight w:val="none"/>
              </w:rPr>
            </w:pPr>
          </w:p>
        </w:tc>
        <w:tc>
          <w:tcPr>
            <w:tcW w:w="1320"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rPr>
              <w:t>、除“四害”宣传计划（</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w:t>
            </w:r>
          </w:p>
        </w:tc>
        <w:tc>
          <w:tcPr>
            <w:tcW w:w="5723"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评标委员会根据</w:t>
            </w:r>
            <w:r>
              <w:rPr>
                <w:rFonts w:hint="eastAsia" w:ascii="宋体" w:hAnsi="宋体" w:eastAsia="宋体" w:cs="宋体"/>
                <w:color w:val="auto"/>
                <w:kern w:val="2"/>
                <w:sz w:val="21"/>
                <w:szCs w:val="21"/>
                <w:highlight w:val="none"/>
                <w:lang w:eastAsia="zh-CN"/>
              </w:rPr>
              <w:t>供应商</w:t>
            </w:r>
            <w:r>
              <w:rPr>
                <w:rFonts w:hint="eastAsia" w:ascii="宋体" w:hAnsi="宋体" w:eastAsia="宋体" w:cs="宋体"/>
                <w:color w:val="auto"/>
                <w:kern w:val="2"/>
                <w:sz w:val="21"/>
                <w:szCs w:val="21"/>
                <w:highlight w:val="none"/>
              </w:rPr>
              <w:t>的除“四害”宣传计划</w:t>
            </w:r>
            <w:r>
              <w:rPr>
                <w:rFonts w:hint="eastAsia" w:ascii="宋体" w:hAnsi="宋体" w:eastAsia="宋体" w:cs="宋体"/>
                <w:color w:val="auto"/>
                <w:kern w:val="2"/>
                <w:sz w:val="21"/>
                <w:szCs w:val="21"/>
                <w:highlight w:val="none"/>
                <w:lang w:val="en-US" w:eastAsia="zh-CN"/>
              </w:rPr>
              <w:t>内容</w:t>
            </w:r>
            <w:r>
              <w:rPr>
                <w:rFonts w:hint="eastAsia" w:ascii="宋体" w:hAnsi="宋体" w:eastAsia="宋体" w:cs="宋体"/>
                <w:color w:val="auto"/>
                <w:kern w:val="2"/>
                <w:sz w:val="21"/>
                <w:szCs w:val="21"/>
                <w:highlight w:val="none"/>
              </w:rPr>
              <w:t>（含宣传方式、宣传时间等）</w:t>
            </w:r>
            <w:r>
              <w:rPr>
                <w:rFonts w:hint="eastAsia" w:ascii="宋体" w:hAnsi="宋体" w:eastAsia="宋体" w:cs="宋体"/>
                <w:color w:val="auto"/>
                <w:kern w:val="2"/>
                <w:sz w:val="21"/>
                <w:szCs w:val="21"/>
                <w:highlight w:val="none"/>
                <w:lang w:val="en-US" w:eastAsia="zh-CN"/>
              </w:rPr>
              <w:t>是否详尽且可行的情况</w:t>
            </w:r>
            <w:r>
              <w:rPr>
                <w:rFonts w:hint="eastAsia" w:ascii="宋体" w:hAnsi="宋体" w:eastAsia="宋体" w:cs="宋体"/>
                <w:color w:val="auto"/>
                <w:kern w:val="2"/>
                <w:sz w:val="21"/>
                <w:szCs w:val="21"/>
                <w:highlight w:val="none"/>
              </w:rPr>
              <w:t>进行评议</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内容</w:t>
            </w:r>
            <w:r>
              <w:rPr>
                <w:rFonts w:hint="eastAsia" w:ascii="宋体" w:hAnsi="宋体" w:eastAsia="宋体" w:cs="宋体"/>
                <w:color w:val="auto"/>
                <w:kern w:val="2"/>
                <w:sz w:val="21"/>
                <w:szCs w:val="21"/>
                <w:highlight w:val="none"/>
                <w:lang w:eastAsia="zh-CN"/>
              </w:rPr>
              <w:t>欠合理的每项扣</w:t>
            </w:r>
            <w:r>
              <w:rPr>
                <w:rFonts w:hint="eastAsia" w:ascii="宋体" w:hAnsi="宋体" w:eastAsia="宋体" w:cs="宋体"/>
                <w:color w:val="auto"/>
                <w:kern w:val="2"/>
                <w:sz w:val="21"/>
                <w:szCs w:val="21"/>
                <w:highlight w:val="none"/>
                <w:lang w:val="en-US" w:eastAsia="zh-CN"/>
              </w:rPr>
              <w:t>0.5</w:t>
            </w:r>
            <w:r>
              <w:rPr>
                <w:rFonts w:hint="eastAsia" w:ascii="宋体" w:hAnsi="宋体" w:eastAsia="宋体" w:cs="宋体"/>
                <w:color w:val="auto"/>
                <w:kern w:val="2"/>
                <w:sz w:val="21"/>
                <w:szCs w:val="21"/>
                <w:highlight w:val="none"/>
                <w:lang w:eastAsia="zh-CN"/>
              </w:rPr>
              <w:t>分，</w:t>
            </w:r>
            <w:r>
              <w:rPr>
                <w:rFonts w:hint="eastAsia" w:ascii="宋体" w:hAnsi="宋体" w:eastAsia="宋体" w:cs="宋体"/>
                <w:color w:val="auto"/>
                <w:kern w:val="2"/>
                <w:sz w:val="21"/>
                <w:szCs w:val="21"/>
                <w:highlight w:val="none"/>
                <w:lang w:val="en-US" w:eastAsia="zh-CN"/>
              </w:rPr>
              <w:t>内容</w:t>
            </w:r>
            <w:r>
              <w:rPr>
                <w:rFonts w:hint="eastAsia" w:ascii="宋体" w:hAnsi="宋体" w:eastAsia="宋体" w:cs="宋体"/>
                <w:color w:val="auto"/>
                <w:kern w:val="2"/>
                <w:sz w:val="21"/>
                <w:szCs w:val="21"/>
                <w:highlight w:val="none"/>
                <w:lang w:eastAsia="zh-CN"/>
              </w:rPr>
              <w:t>不合理的每项扣</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分，</w:t>
            </w:r>
            <w:r>
              <w:rPr>
                <w:rFonts w:hint="eastAsia" w:ascii="宋体" w:hAnsi="宋体" w:eastAsia="宋体" w:cs="宋体"/>
                <w:color w:val="auto"/>
                <w:kern w:val="2"/>
                <w:sz w:val="21"/>
                <w:szCs w:val="21"/>
                <w:highlight w:val="none"/>
                <w:lang w:val="en-US" w:eastAsia="zh-CN"/>
              </w:rPr>
              <w:t>无相应内容的不得分，</w:t>
            </w:r>
            <w:r>
              <w:rPr>
                <w:rFonts w:hint="eastAsia" w:ascii="宋体" w:hAnsi="宋体" w:eastAsia="宋体" w:cs="宋体"/>
                <w:color w:val="auto"/>
                <w:kern w:val="2"/>
                <w:sz w:val="21"/>
                <w:szCs w:val="21"/>
                <w:highlight w:val="none"/>
                <w:lang w:eastAsia="zh-CN"/>
              </w:rPr>
              <w:t>扣完为止，本项最高得</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eastAsia="zh-CN"/>
              </w:rPr>
              <w:t>分。</w:t>
            </w:r>
          </w:p>
        </w:tc>
        <w:tc>
          <w:tcPr>
            <w:tcW w:w="660"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w:t>
            </w:r>
          </w:p>
        </w:tc>
        <w:tc>
          <w:tcPr>
            <w:tcW w:w="723"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5"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contextualSpacing/>
              <w:jc w:val="center"/>
              <w:textAlignment w:val="auto"/>
              <w:rPr>
                <w:rFonts w:hint="eastAsia" w:ascii="宋体" w:hAnsi="宋体" w:eastAsia="宋体" w:cs="宋体"/>
                <w:bCs/>
                <w:color w:val="auto"/>
                <w:kern w:val="2"/>
                <w:sz w:val="21"/>
                <w:szCs w:val="21"/>
                <w:highlight w:val="none"/>
              </w:rPr>
            </w:pPr>
          </w:p>
        </w:tc>
        <w:tc>
          <w:tcPr>
            <w:tcW w:w="1320"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rPr>
              <w:t>、合理化建议（</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w:t>
            </w:r>
          </w:p>
        </w:tc>
        <w:tc>
          <w:tcPr>
            <w:tcW w:w="5723"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评标委员会根据</w:t>
            </w:r>
            <w:r>
              <w:rPr>
                <w:rFonts w:hint="eastAsia" w:ascii="宋体" w:hAnsi="宋体" w:eastAsia="宋体" w:cs="宋体"/>
                <w:color w:val="auto"/>
                <w:kern w:val="2"/>
                <w:sz w:val="21"/>
                <w:szCs w:val="21"/>
                <w:highlight w:val="none"/>
                <w:lang w:eastAsia="zh-CN"/>
              </w:rPr>
              <w:t>供应商</w:t>
            </w:r>
            <w:r>
              <w:rPr>
                <w:rFonts w:hint="eastAsia" w:ascii="宋体" w:hAnsi="宋体" w:eastAsia="宋体" w:cs="宋体"/>
                <w:color w:val="auto"/>
                <w:kern w:val="2"/>
                <w:sz w:val="21"/>
                <w:szCs w:val="21"/>
                <w:highlight w:val="none"/>
              </w:rPr>
              <w:t>针对本项目的合理化建议</w:t>
            </w:r>
            <w:r>
              <w:rPr>
                <w:rFonts w:hint="eastAsia" w:ascii="宋体" w:hAnsi="宋体" w:eastAsia="宋体" w:cs="宋体"/>
                <w:color w:val="auto"/>
                <w:kern w:val="2"/>
                <w:sz w:val="21"/>
                <w:szCs w:val="21"/>
                <w:highlight w:val="none"/>
                <w:lang w:val="en-US" w:eastAsia="zh-CN"/>
              </w:rPr>
              <w:t>是否详尽且可行的情况</w:t>
            </w:r>
            <w:r>
              <w:rPr>
                <w:rFonts w:hint="eastAsia" w:ascii="宋体" w:hAnsi="宋体" w:eastAsia="宋体" w:cs="宋体"/>
                <w:color w:val="auto"/>
                <w:kern w:val="2"/>
                <w:sz w:val="21"/>
                <w:szCs w:val="21"/>
                <w:highlight w:val="none"/>
              </w:rPr>
              <w:t>进行评议</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内容欠合理的每项扣0.5分，内容不合理的每项扣1分，无相应内容的不得分，扣完为止，本项最高得5分。</w:t>
            </w:r>
          </w:p>
        </w:tc>
        <w:tc>
          <w:tcPr>
            <w:tcW w:w="660"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w:t>
            </w:r>
          </w:p>
        </w:tc>
        <w:tc>
          <w:tcPr>
            <w:tcW w:w="723"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5"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contextualSpacing/>
              <w:jc w:val="center"/>
              <w:textAlignment w:val="auto"/>
              <w:rPr>
                <w:rFonts w:hint="eastAsia" w:ascii="宋体" w:hAnsi="宋体" w:eastAsia="宋体" w:cs="宋体"/>
                <w:bCs/>
                <w:color w:val="auto"/>
                <w:kern w:val="2"/>
                <w:sz w:val="21"/>
                <w:szCs w:val="21"/>
                <w:highlight w:val="none"/>
              </w:rPr>
            </w:pPr>
          </w:p>
        </w:tc>
        <w:tc>
          <w:tcPr>
            <w:tcW w:w="1320" w:type="dxa"/>
            <w:noWrap w:val="0"/>
            <w:vAlign w:val="center"/>
          </w:tcPr>
          <w:p>
            <w:pPr>
              <w:keepNext w:val="0"/>
              <w:keepLines w:val="0"/>
              <w:pageBreakBefore w:val="0"/>
              <w:widowControl w:val="0"/>
              <w:kinsoku/>
              <w:wordWrap/>
              <w:overflowPunct/>
              <w:topLinePunct w:val="0"/>
              <w:bidi w:val="0"/>
              <w:snapToGrid w:val="0"/>
              <w:spacing w:line="240" w:lineRule="auto"/>
              <w:jc w:val="left"/>
              <w:textAlignment w:val="auto"/>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rPr>
              <w:t>、服务能力（</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分）</w:t>
            </w:r>
          </w:p>
        </w:tc>
        <w:tc>
          <w:tcPr>
            <w:tcW w:w="5723" w:type="dxa"/>
            <w:noWrap w:val="0"/>
            <w:vAlign w:val="center"/>
          </w:tcPr>
          <w:p>
            <w:pPr>
              <w:keepNext w:val="0"/>
              <w:keepLines w:val="0"/>
              <w:pageBreakBefore w:val="0"/>
              <w:widowControl w:val="0"/>
              <w:kinsoku/>
              <w:wordWrap/>
              <w:overflowPunct/>
              <w:topLinePunct w:val="0"/>
              <w:bidi w:val="0"/>
              <w:snapToGrid w:val="0"/>
              <w:spacing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根据供应商针对本项目服务要求进行评议，包括所具有的</w:t>
            </w:r>
            <w:r>
              <w:rPr>
                <w:rFonts w:hint="eastAsia" w:ascii="宋体" w:hAnsi="宋体" w:eastAsia="宋体" w:cs="宋体"/>
                <w:color w:val="auto"/>
                <w:kern w:val="2"/>
                <w:sz w:val="21"/>
                <w:szCs w:val="21"/>
                <w:highlight w:val="none"/>
                <w:lang w:val="en-US" w:eastAsia="zh-CN"/>
              </w:rPr>
              <w:t>资质能力、熟知行业标准、能提升本项目服务质量、履行本项目相关服务的专业程度</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内容</w:t>
            </w:r>
            <w:r>
              <w:rPr>
                <w:rFonts w:hint="eastAsia" w:ascii="宋体" w:hAnsi="宋体" w:eastAsia="宋体" w:cs="宋体"/>
                <w:color w:val="auto"/>
                <w:kern w:val="2"/>
                <w:sz w:val="21"/>
                <w:szCs w:val="21"/>
                <w:highlight w:val="none"/>
                <w:lang w:eastAsia="zh-CN"/>
              </w:rPr>
              <w:t>欠合理的每项扣0.5分，</w:t>
            </w:r>
            <w:r>
              <w:rPr>
                <w:rFonts w:hint="eastAsia" w:ascii="宋体" w:hAnsi="宋体" w:eastAsia="宋体" w:cs="宋体"/>
                <w:color w:val="auto"/>
                <w:kern w:val="2"/>
                <w:sz w:val="21"/>
                <w:szCs w:val="21"/>
                <w:highlight w:val="none"/>
                <w:lang w:val="en-US" w:eastAsia="zh-CN"/>
              </w:rPr>
              <w:t>内容</w:t>
            </w:r>
            <w:r>
              <w:rPr>
                <w:rFonts w:hint="eastAsia" w:ascii="宋体" w:hAnsi="宋体" w:eastAsia="宋体" w:cs="宋体"/>
                <w:color w:val="auto"/>
                <w:kern w:val="2"/>
                <w:sz w:val="21"/>
                <w:szCs w:val="21"/>
                <w:highlight w:val="none"/>
                <w:lang w:eastAsia="zh-CN"/>
              </w:rPr>
              <w:t>不合理的每项扣1分，扣完为止，本项最高得</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eastAsia="zh-CN"/>
              </w:rPr>
              <w:t>分。</w:t>
            </w:r>
          </w:p>
        </w:tc>
        <w:tc>
          <w:tcPr>
            <w:tcW w:w="660"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w:t>
            </w:r>
          </w:p>
        </w:tc>
        <w:tc>
          <w:tcPr>
            <w:tcW w:w="723"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5"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contextualSpacing/>
              <w:jc w:val="center"/>
              <w:textAlignment w:val="auto"/>
              <w:rPr>
                <w:rFonts w:hint="eastAsia" w:ascii="宋体" w:hAnsi="宋体" w:eastAsia="宋体" w:cs="宋体"/>
                <w:bCs/>
                <w:color w:val="auto"/>
                <w:kern w:val="2"/>
                <w:sz w:val="21"/>
                <w:szCs w:val="21"/>
                <w:highlight w:val="none"/>
              </w:rPr>
            </w:pPr>
          </w:p>
        </w:tc>
        <w:tc>
          <w:tcPr>
            <w:tcW w:w="1320" w:type="dxa"/>
            <w:noWrap w:val="0"/>
            <w:vAlign w:val="center"/>
          </w:tcPr>
          <w:p>
            <w:pPr>
              <w:keepNext w:val="0"/>
              <w:keepLines w:val="0"/>
              <w:pageBreakBefore w:val="0"/>
              <w:widowControl w:val="0"/>
              <w:kinsoku/>
              <w:wordWrap/>
              <w:overflowPunct/>
              <w:topLinePunct w:val="0"/>
              <w:bidi w:val="0"/>
              <w:snapToGrid w:val="0"/>
              <w:spacing w:line="240" w:lineRule="auto"/>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10、服务便捷性（5分）</w:t>
            </w:r>
          </w:p>
        </w:tc>
        <w:tc>
          <w:tcPr>
            <w:tcW w:w="5723" w:type="dxa"/>
            <w:noWrap w:val="0"/>
            <w:vAlign w:val="center"/>
          </w:tcPr>
          <w:p>
            <w:pPr>
              <w:keepNext w:val="0"/>
              <w:keepLines w:val="0"/>
              <w:pageBreakBefore w:val="0"/>
              <w:widowControl w:val="0"/>
              <w:kinsoku/>
              <w:wordWrap/>
              <w:overflowPunct/>
              <w:topLinePunct w:val="0"/>
              <w:bidi w:val="0"/>
              <w:snapToGrid w:val="0"/>
              <w:spacing w:line="240" w:lineRule="auto"/>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根据供应商针对本项目的服务便捷性优势方面的描述进行评议，包括服务机构基本情况、项目实施期间配合服务的便捷程度等，</w:t>
            </w:r>
            <w:r>
              <w:rPr>
                <w:rFonts w:hint="eastAsia" w:ascii="宋体" w:hAnsi="宋体" w:eastAsia="宋体" w:cs="宋体"/>
                <w:color w:val="auto"/>
                <w:kern w:val="2"/>
                <w:sz w:val="21"/>
                <w:szCs w:val="21"/>
                <w:highlight w:val="none"/>
                <w:lang w:val="en-US" w:eastAsia="zh-CN"/>
              </w:rPr>
              <w:t>内容欠合理的每项扣0.5分，内容不合理的每项扣1分，无相应内容的不得分，扣完为止，本项最高得5分。</w:t>
            </w:r>
          </w:p>
        </w:tc>
        <w:tc>
          <w:tcPr>
            <w:tcW w:w="660"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w:t>
            </w:r>
          </w:p>
        </w:tc>
        <w:tc>
          <w:tcPr>
            <w:tcW w:w="723"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5"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contextualSpacing/>
              <w:jc w:val="center"/>
              <w:textAlignment w:val="auto"/>
              <w:rPr>
                <w:rFonts w:hint="eastAsia" w:ascii="宋体" w:hAnsi="宋体" w:eastAsia="宋体" w:cs="宋体"/>
                <w:bCs/>
                <w:color w:val="auto"/>
                <w:kern w:val="2"/>
                <w:sz w:val="21"/>
                <w:szCs w:val="21"/>
                <w:highlight w:val="none"/>
              </w:rPr>
            </w:pPr>
          </w:p>
        </w:tc>
        <w:tc>
          <w:tcPr>
            <w:tcW w:w="1320" w:type="dxa"/>
            <w:vMerge w:val="restart"/>
            <w:noWrap w:val="0"/>
            <w:vAlign w:val="center"/>
          </w:tcPr>
          <w:p>
            <w:pPr>
              <w:keepNext w:val="0"/>
              <w:keepLines w:val="0"/>
              <w:pageBreakBefore w:val="0"/>
              <w:widowControl w:val="0"/>
              <w:kinsoku/>
              <w:wordWrap/>
              <w:overflowPunct/>
              <w:topLinePunct w:val="0"/>
              <w:bidi w:val="0"/>
              <w:snapToGrid w:val="0"/>
              <w:spacing w:line="240" w:lineRule="auto"/>
              <w:jc w:val="left"/>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11、履约能力（3分）</w:t>
            </w:r>
          </w:p>
        </w:tc>
        <w:tc>
          <w:tcPr>
            <w:tcW w:w="57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（1）供应商具有有效期内质量管理体系认证证书的得1分。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bCs/>
                <w:color w:val="auto"/>
                <w:kern w:val="0"/>
                <w:sz w:val="21"/>
                <w:szCs w:val="21"/>
                <w:highlight w:val="none"/>
                <w:lang w:val="en-US" w:eastAsia="zh-CN"/>
              </w:rPr>
              <w:t>注：投标文件中须提供证书复印件加盖公章，未提供不得分。</w:t>
            </w:r>
          </w:p>
        </w:tc>
        <w:tc>
          <w:tcPr>
            <w:tcW w:w="660"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w:t>
            </w:r>
          </w:p>
        </w:tc>
        <w:tc>
          <w:tcPr>
            <w:tcW w:w="723"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5"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contextualSpacing/>
              <w:jc w:val="center"/>
              <w:textAlignment w:val="auto"/>
              <w:rPr>
                <w:rFonts w:hint="eastAsia" w:ascii="宋体" w:hAnsi="宋体" w:eastAsia="宋体" w:cs="宋体"/>
                <w:bCs/>
                <w:color w:val="auto"/>
                <w:kern w:val="2"/>
                <w:sz w:val="21"/>
                <w:szCs w:val="21"/>
                <w:highlight w:val="none"/>
              </w:rPr>
            </w:pPr>
          </w:p>
        </w:tc>
        <w:tc>
          <w:tcPr>
            <w:tcW w:w="1320" w:type="dxa"/>
            <w:vMerge w:val="continue"/>
            <w:noWrap w:val="0"/>
            <w:vAlign w:val="center"/>
          </w:tcPr>
          <w:p>
            <w:pPr>
              <w:keepNext w:val="0"/>
              <w:keepLines w:val="0"/>
              <w:pageBreakBefore w:val="0"/>
              <w:widowControl w:val="0"/>
              <w:kinsoku/>
              <w:wordWrap/>
              <w:overflowPunct/>
              <w:topLinePunct w:val="0"/>
              <w:bidi w:val="0"/>
              <w:snapToGrid w:val="0"/>
              <w:spacing w:line="240" w:lineRule="auto"/>
              <w:jc w:val="left"/>
              <w:textAlignment w:val="auto"/>
              <w:rPr>
                <w:rFonts w:hint="eastAsia" w:ascii="宋体" w:hAnsi="宋体" w:eastAsia="宋体" w:cs="宋体"/>
                <w:color w:val="auto"/>
                <w:kern w:val="2"/>
                <w:sz w:val="21"/>
                <w:szCs w:val="21"/>
                <w:highlight w:val="none"/>
                <w:lang w:val="en-US" w:eastAsia="zh-CN"/>
              </w:rPr>
            </w:pPr>
          </w:p>
        </w:tc>
        <w:tc>
          <w:tcPr>
            <w:tcW w:w="57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（2）供应商具有有效期内职业健康体系认证证书的得1分。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bCs/>
                <w:color w:val="auto"/>
                <w:kern w:val="0"/>
                <w:sz w:val="21"/>
                <w:szCs w:val="21"/>
                <w:highlight w:val="none"/>
                <w:lang w:val="en-US" w:eastAsia="zh-CN"/>
              </w:rPr>
              <w:t>注：投标文件中须提供证书复印件加盖公章，未提供不得分。</w:t>
            </w:r>
          </w:p>
        </w:tc>
        <w:tc>
          <w:tcPr>
            <w:tcW w:w="660"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w:t>
            </w:r>
          </w:p>
        </w:tc>
        <w:tc>
          <w:tcPr>
            <w:tcW w:w="723"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5"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contextualSpacing/>
              <w:jc w:val="center"/>
              <w:textAlignment w:val="auto"/>
              <w:rPr>
                <w:rFonts w:hint="eastAsia" w:ascii="宋体" w:hAnsi="宋体" w:eastAsia="宋体" w:cs="宋体"/>
                <w:bCs/>
                <w:color w:val="auto"/>
                <w:kern w:val="2"/>
                <w:sz w:val="21"/>
                <w:szCs w:val="21"/>
                <w:highlight w:val="none"/>
              </w:rPr>
            </w:pPr>
          </w:p>
        </w:tc>
        <w:tc>
          <w:tcPr>
            <w:tcW w:w="1320" w:type="dxa"/>
            <w:vMerge w:val="continue"/>
            <w:noWrap w:val="0"/>
            <w:vAlign w:val="center"/>
          </w:tcPr>
          <w:p>
            <w:pPr>
              <w:keepNext w:val="0"/>
              <w:keepLines w:val="0"/>
              <w:pageBreakBefore w:val="0"/>
              <w:widowControl w:val="0"/>
              <w:kinsoku/>
              <w:wordWrap/>
              <w:overflowPunct/>
              <w:topLinePunct w:val="0"/>
              <w:bidi w:val="0"/>
              <w:snapToGrid w:val="0"/>
              <w:spacing w:line="240" w:lineRule="auto"/>
              <w:jc w:val="left"/>
              <w:textAlignment w:val="auto"/>
              <w:rPr>
                <w:rFonts w:hint="eastAsia" w:ascii="宋体" w:hAnsi="宋体" w:eastAsia="宋体" w:cs="宋体"/>
                <w:color w:val="auto"/>
                <w:kern w:val="2"/>
                <w:sz w:val="21"/>
                <w:szCs w:val="21"/>
                <w:highlight w:val="none"/>
                <w:lang w:val="en-US" w:eastAsia="zh-CN"/>
              </w:rPr>
            </w:pPr>
          </w:p>
        </w:tc>
        <w:tc>
          <w:tcPr>
            <w:tcW w:w="57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（3）供应商具有有效期内环境管理体系认证证书的得1分。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bCs/>
                <w:color w:val="auto"/>
                <w:kern w:val="0"/>
                <w:sz w:val="21"/>
                <w:szCs w:val="21"/>
                <w:highlight w:val="none"/>
                <w:lang w:val="en-US" w:eastAsia="zh-CN"/>
              </w:rPr>
              <w:t>注：投标文件中须提供证书复印件加盖公章，未提供不得分。</w:t>
            </w:r>
          </w:p>
        </w:tc>
        <w:tc>
          <w:tcPr>
            <w:tcW w:w="660"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w:t>
            </w:r>
          </w:p>
        </w:tc>
        <w:tc>
          <w:tcPr>
            <w:tcW w:w="723"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5"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contextualSpacing/>
              <w:jc w:val="center"/>
              <w:textAlignment w:val="auto"/>
              <w:rPr>
                <w:rFonts w:hint="eastAsia" w:ascii="宋体" w:hAnsi="宋体" w:eastAsia="宋体" w:cs="宋体"/>
                <w:bCs/>
                <w:color w:val="auto"/>
                <w:kern w:val="2"/>
                <w:sz w:val="21"/>
                <w:szCs w:val="21"/>
                <w:highlight w:val="none"/>
              </w:rPr>
            </w:pPr>
          </w:p>
        </w:tc>
        <w:tc>
          <w:tcPr>
            <w:tcW w:w="1320" w:type="dxa"/>
            <w:noWrap w:val="0"/>
            <w:vAlign w:val="center"/>
          </w:tcPr>
          <w:p>
            <w:pPr>
              <w:keepNext w:val="0"/>
              <w:keepLines w:val="0"/>
              <w:pageBreakBefore w:val="0"/>
              <w:widowControl w:val="0"/>
              <w:kinsoku/>
              <w:wordWrap/>
              <w:overflowPunct/>
              <w:topLinePunct w:val="0"/>
              <w:bidi w:val="0"/>
              <w:snapToGrid w:val="0"/>
              <w:spacing w:line="240" w:lineRule="auto"/>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12</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业绩</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分）</w:t>
            </w:r>
          </w:p>
        </w:tc>
        <w:tc>
          <w:tcPr>
            <w:tcW w:w="57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供应商自2019年01月01日（时间合同签订日期为准）以来，具有除四害消杀服务业绩的每提供一个得0.5分，最高得2分。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kern w:val="0"/>
                <w:sz w:val="21"/>
                <w:szCs w:val="21"/>
                <w:highlight w:val="none"/>
                <w:lang w:val="en-US" w:eastAsia="zh-CN"/>
              </w:rPr>
              <w:t>注：投标文件中须提供合同复印件加盖公章，未提供不得分。</w:t>
            </w:r>
          </w:p>
        </w:tc>
        <w:tc>
          <w:tcPr>
            <w:tcW w:w="660"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w:t>
            </w:r>
          </w:p>
        </w:tc>
        <w:tc>
          <w:tcPr>
            <w:tcW w:w="723"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5"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contextualSpacing/>
              <w:jc w:val="center"/>
              <w:textAlignment w:val="auto"/>
              <w:rPr>
                <w:rFonts w:hint="eastAsia" w:ascii="宋体" w:hAnsi="宋体" w:eastAsia="宋体" w:cs="宋体"/>
                <w:bCs/>
                <w:color w:val="auto"/>
                <w:kern w:val="2"/>
                <w:sz w:val="21"/>
                <w:szCs w:val="21"/>
                <w:highlight w:val="none"/>
              </w:rPr>
            </w:pPr>
          </w:p>
        </w:tc>
        <w:tc>
          <w:tcPr>
            <w:tcW w:w="1320"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contextualSpacing/>
              <w:jc w:val="lef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rPr>
              <w:t>13</w:t>
            </w:r>
            <w:r>
              <w:rPr>
                <w:rFonts w:hint="eastAsia" w:ascii="宋体" w:hAnsi="宋体" w:eastAsia="宋体" w:cs="宋体"/>
                <w:bCs/>
                <w:color w:val="auto"/>
                <w:kern w:val="2"/>
                <w:sz w:val="21"/>
                <w:szCs w:val="21"/>
                <w:highlight w:val="none"/>
              </w:rPr>
              <w:t>、政策分（1分）</w:t>
            </w:r>
          </w:p>
        </w:tc>
        <w:tc>
          <w:tcPr>
            <w:tcW w:w="57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供应商注册在不发达地区的，得0.5分；供应商注册在少数民族地区的，得0.5分。本项共1分。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kern w:val="0"/>
                <w:sz w:val="21"/>
                <w:szCs w:val="21"/>
                <w:highlight w:val="none"/>
                <w:lang w:val="en-US" w:eastAsia="zh-CN"/>
              </w:rPr>
              <w:t>注：投标文件中须提供相关证明材料。</w:t>
            </w:r>
          </w:p>
        </w:tc>
        <w:tc>
          <w:tcPr>
            <w:tcW w:w="660"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contextualSpacing/>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w:t>
            </w:r>
          </w:p>
        </w:tc>
        <w:tc>
          <w:tcPr>
            <w:tcW w:w="723"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contextualSpacing/>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5" w:type="dxa"/>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contextualSpacing/>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价格分</w:t>
            </w:r>
          </w:p>
          <w:p>
            <w:pPr>
              <w:keepNext w:val="0"/>
              <w:keepLines w:val="0"/>
              <w:pageBreakBefore w:val="0"/>
              <w:widowControl w:val="0"/>
              <w:kinsoku/>
              <w:wordWrap/>
              <w:overflowPunct/>
              <w:topLinePunct w:val="0"/>
              <w:autoSpaceDE w:val="0"/>
              <w:autoSpaceDN w:val="0"/>
              <w:bidi w:val="0"/>
              <w:adjustRightInd w:val="0"/>
              <w:spacing w:line="240" w:lineRule="auto"/>
              <w:contextualSpacing/>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rPr>
              <w:t>20</w:t>
            </w:r>
            <w:r>
              <w:rPr>
                <w:rFonts w:hint="eastAsia" w:ascii="宋体" w:hAnsi="宋体" w:eastAsia="宋体" w:cs="宋体"/>
                <w:bCs/>
                <w:color w:val="auto"/>
                <w:kern w:val="2"/>
                <w:sz w:val="21"/>
                <w:szCs w:val="21"/>
                <w:highlight w:val="none"/>
              </w:rPr>
              <w:t>分</w:t>
            </w:r>
          </w:p>
        </w:tc>
        <w:tc>
          <w:tcPr>
            <w:tcW w:w="7043" w:type="dxa"/>
            <w:gridSpan w:val="2"/>
            <w:noWrap w:val="0"/>
            <w:vAlign w:val="center"/>
          </w:tcPr>
          <w:p>
            <w:pPr>
              <w:keepNext w:val="0"/>
              <w:keepLines w:val="0"/>
              <w:pageBreakBefore w:val="0"/>
              <w:widowControl w:val="0"/>
              <w:kinsoku/>
              <w:wordWrap/>
              <w:overflowPunct/>
              <w:topLinePunct w:val="0"/>
              <w:bidi w:val="0"/>
              <w:spacing w:line="240" w:lineRule="auto"/>
              <w:contextualSpacing/>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参与评审的价格=</w:t>
            </w:r>
            <w:r>
              <w:rPr>
                <w:rFonts w:hint="eastAsia" w:ascii="宋体" w:hAnsi="宋体" w:eastAsia="宋体" w:cs="宋体"/>
                <w:color w:val="auto"/>
                <w:kern w:val="2"/>
                <w:sz w:val="21"/>
                <w:szCs w:val="21"/>
                <w:highlight w:val="none"/>
                <w:lang w:val="en-US" w:eastAsia="zh-CN"/>
              </w:rPr>
              <w:t>投标报价</w:t>
            </w:r>
          </w:p>
          <w:p>
            <w:pPr>
              <w:keepNext w:val="0"/>
              <w:keepLines w:val="0"/>
              <w:pageBreakBefore w:val="0"/>
              <w:widowControl w:val="0"/>
              <w:kinsoku/>
              <w:wordWrap/>
              <w:overflowPunct/>
              <w:topLinePunct w:val="0"/>
              <w:bidi w:val="0"/>
              <w:spacing w:line="240" w:lineRule="auto"/>
              <w:contextualSpacing/>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基准价=满足</w:t>
            </w:r>
            <w:r>
              <w:rPr>
                <w:rFonts w:hint="eastAsia" w:ascii="宋体" w:hAnsi="宋体" w:eastAsia="宋体" w:cs="宋体"/>
                <w:color w:val="auto"/>
                <w:kern w:val="2"/>
                <w:sz w:val="21"/>
                <w:szCs w:val="21"/>
                <w:highlight w:val="none"/>
                <w:lang w:eastAsia="zh-CN"/>
              </w:rPr>
              <w:t>招标文件</w:t>
            </w:r>
            <w:r>
              <w:rPr>
                <w:rFonts w:hint="eastAsia" w:ascii="宋体" w:hAnsi="宋体" w:eastAsia="宋体" w:cs="宋体"/>
                <w:color w:val="auto"/>
                <w:kern w:val="2"/>
                <w:sz w:val="21"/>
                <w:szCs w:val="21"/>
                <w:highlight w:val="none"/>
              </w:rPr>
              <w:t>要求且最低的参与评审的价格，基准价</w:t>
            </w:r>
            <w:r>
              <w:rPr>
                <w:rFonts w:hint="eastAsia" w:ascii="宋体" w:hAnsi="宋体" w:eastAsia="宋体" w:cs="宋体"/>
                <w:color w:val="auto"/>
                <w:kern w:val="2"/>
                <w:sz w:val="21"/>
                <w:szCs w:val="21"/>
                <w:highlight w:val="none"/>
                <w:lang w:val="en-US" w:eastAsia="zh-CN"/>
              </w:rPr>
              <w:t>20</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bidi w:val="0"/>
              <w:spacing w:line="240" w:lineRule="auto"/>
              <w:contextualSpacing/>
              <w:jc w:val="both"/>
              <w:textAlignment w:val="auto"/>
              <w:rPr>
                <w:rFonts w:hint="default" w:ascii="宋体" w:hAnsi="宋体" w:eastAsia="宋体" w:cs="宋体"/>
                <w:bCs/>
                <w:color w:val="auto"/>
                <w:kern w:val="2"/>
                <w:sz w:val="21"/>
                <w:szCs w:val="21"/>
                <w:highlight w:val="none"/>
                <w:lang w:val="en-US"/>
              </w:rPr>
            </w:pPr>
            <w:r>
              <w:rPr>
                <w:rFonts w:hint="eastAsia" w:ascii="宋体" w:hAnsi="宋体" w:eastAsia="宋体" w:cs="宋体"/>
                <w:color w:val="auto"/>
                <w:kern w:val="2"/>
                <w:sz w:val="21"/>
                <w:szCs w:val="21"/>
                <w:highlight w:val="none"/>
              </w:rPr>
              <w:t>其余供应商得分为：报价得分=（基准价/参与评审的价格）×</w:t>
            </w:r>
            <w:r>
              <w:rPr>
                <w:rFonts w:hint="eastAsia" w:ascii="宋体" w:hAnsi="宋体" w:eastAsia="宋体" w:cs="宋体"/>
                <w:color w:val="auto"/>
                <w:kern w:val="2"/>
                <w:sz w:val="21"/>
                <w:szCs w:val="21"/>
                <w:highlight w:val="none"/>
                <w:lang w:val="en-US" w:eastAsia="zh-CN"/>
              </w:rPr>
              <w:t>20</w:t>
            </w:r>
          </w:p>
        </w:tc>
        <w:tc>
          <w:tcPr>
            <w:tcW w:w="660" w:type="dxa"/>
            <w:noWrap w:val="0"/>
            <w:vAlign w:val="center"/>
          </w:tcPr>
          <w:p>
            <w:pPr>
              <w:keepNext w:val="0"/>
              <w:keepLines w:val="0"/>
              <w:pageBreakBefore w:val="0"/>
              <w:widowControl w:val="0"/>
              <w:kinsoku/>
              <w:wordWrap/>
              <w:overflowPunct/>
              <w:topLinePunct w:val="0"/>
              <w:bidi w:val="0"/>
              <w:spacing w:line="240" w:lineRule="auto"/>
              <w:contextualSpacing/>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20</w:t>
            </w:r>
          </w:p>
        </w:tc>
        <w:tc>
          <w:tcPr>
            <w:tcW w:w="723" w:type="dxa"/>
            <w:noWrap w:val="0"/>
            <w:vAlign w:val="center"/>
          </w:tcPr>
          <w:p>
            <w:pPr>
              <w:keepNext w:val="0"/>
              <w:keepLines w:val="0"/>
              <w:pageBreakBefore w:val="0"/>
              <w:widowControl w:val="0"/>
              <w:kinsoku/>
              <w:wordWrap/>
              <w:overflowPunct/>
              <w:topLinePunct w:val="0"/>
              <w:bidi w:val="0"/>
              <w:spacing w:line="240" w:lineRule="auto"/>
              <w:contextualSpacing/>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客观评审</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注：1、小数点后保留一位数。2、各评标委员会成员自行按以上参考分值评分。3、重大事件由评标委员会集体讨论，应当按照少数服从多数的原则作出结论。</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color w:val="auto"/>
          <w:highlight w:val="none"/>
        </w:rPr>
      </w:pPr>
      <w:bookmarkStart w:id="54" w:name="_Toc9029"/>
      <w:bookmarkStart w:id="55" w:name="_Toc14242"/>
      <w:r>
        <w:rPr>
          <w:rFonts w:hint="eastAsia" w:ascii="宋体" w:hAnsi="宋体" w:eastAsia="宋体" w:cs="宋体"/>
          <w:b/>
          <w:color w:val="auto"/>
          <w:highlight w:val="none"/>
        </w:rPr>
        <w:t>六、定标</w:t>
      </w:r>
      <w:bookmarkEnd w:id="54"/>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13" w:firstLineChars="196"/>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（一）确定中标</w:t>
      </w:r>
      <w:r>
        <w:rPr>
          <w:rFonts w:hint="eastAsia" w:hAnsi="宋体" w:eastAsia="宋体" w:cs="宋体"/>
          <w:b/>
          <w:bCs/>
          <w:color w:val="auto"/>
          <w:highlight w:val="none"/>
          <w:lang w:val="en-US" w:eastAsia="zh-CN"/>
        </w:rPr>
        <w:t>人</w:t>
      </w:r>
      <w:r>
        <w:rPr>
          <w:rFonts w:hint="eastAsia" w:ascii="宋体" w:hAnsi="宋体" w:eastAsia="宋体" w:cs="宋体"/>
          <w:b/>
          <w:bCs/>
          <w:color w:val="auto"/>
          <w:highlight w:val="none"/>
        </w:rPr>
        <w:t>。本项目由采购人（或采购人事先授权评标委员会）确定中标</w:t>
      </w:r>
      <w:r>
        <w:rPr>
          <w:rFonts w:hint="eastAsia" w:hAnsi="宋体" w:eastAsia="宋体" w:cs="宋体"/>
          <w:b/>
          <w:bCs/>
          <w:color w:val="auto"/>
          <w:highlight w:val="none"/>
          <w:lang w:val="en-US" w:eastAsia="zh-CN"/>
        </w:rPr>
        <w:t>人</w:t>
      </w:r>
      <w:r>
        <w:rPr>
          <w:rFonts w:hint="eastAsia" w:ascii="宋体" w:hAnsi="宋体" w:eastAsia="宋体" w:cs="宋体"/>
          <w:b/>
          <w:bCs/>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1.采购代理机构在评标结束后将评标报告交采购人确认。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2.供应商对评标结果无异议的，采购人应在收到评标报告后5个工作日内对评标结果进行确认（</w:t>
      </w:r>
      <w:r>
        <w:rPr>
          <w:rFonts w:hint="eastAsia" w:ascii="宋体" w:hAnsi="宋体" w:eastAsia="宋体" w:cs="宋体"/>
          <w:color w:val="auto"/>
          <w:szCs w:val="21"/>
          <w:highlight w:val="none"/>
          <w:lang w:bidi="ar"/>
        </w:rPr>
        <w:t>确定排名</w:t>
      </w:r>
      <w:r>
        <w:rPr>
          <w:rFonts w:hint="eastAsia" w:ascii="宋体" w:hAnsi="宋体" w:eastAsia="宋体" w:cs="宋体"/>
          <w:color w:val="auto"/>
          <w:szCs w:val="21"/>
          <w:highlight w:val="none"/>
          <w:lang w:val="en-US" w:eastAsia="zh-CN" w:bidi="ar"/>
        </w:rPr>
        <w:t>第一</w:t>
      </w:r>
      <w:r>
        <w:rPr>
          <w:rFonts w:hint="eastAsia" w:ascii="宋体" w:hAnsi="宋体" w:eastAsia="宋体" w:cs="宋体"/>
          <w:color w:val="auto"/>
          <w:szCs w:val="21"/>
          <w:highlight w:val="none"/>
          <w:lang w:bidi="ar"/>
        </w:rPr>
        <w:t>的中标候选人为中标人</w:t>
      </w:r>
      <w:r>
        <w:rPr>
          <w:rFonts w:hint="eastAsia" w:ascii="宋体" w:hAnsi="宋体" w:eastAsia="宋体" w:cs="宋体"/>
          <w:color w:val="auto"/>
          <w:szCs w:val="21"/>
          <w:highlight w:val="none"/>
        </w:rPr>
        <w:t>）。如有供应商对评标结果提出质疑的，采购人可在质疑处理完毕后确定中标供应商。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3.采购人依法确定中标供应商后2个工作日内，采购代理机构以书面形式发出《中标通知书》,并同时在相关网站上发布中标公告。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bidi="ar"/>
        </w:rPr>
        <w:t>若中标供应商放弃中标，或因不可抗力提出不能履行合同，或不按采购文件规定提交履约担保，或其它原因被依法撤销中标资格，则采购人可确定排名第二的中标候选人为中标人或重新组织招标。</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七、评标过程的监控与保密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1、本项目评标过程实行全程录音、录像监控，供应商在评标过程中所进行的试图影响评标结果的不公正活动，可能导致其投标被拒绝。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2、开标后到中标通知书发出之前，所有涉及评标委员会名单以及对投标文件的澄清、评价、比较等情况，评标委员会成员、采购人和采购代理机构的有关人员均不得向供应商或其他无关人员透露。</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bCs/>
          <w:color w:val="auto"/>
          <w:szCs w:val="21"/>
          <w:highlight w:val="none"/>
        </w:rPr>
      </w:pPr>
      <w:bookmarkStart w:id="56" w:name="_Toc17747"/>
      <w:r>
        <w:rPr>
          <w:rFonts w:hint="eastAsia" w:ascii="宋体" w:hAnsi="宋体" w:eastAsia="宋体" w:cs="宋体"/>
          <w:b/>
          <w:color w:val="auto"/>
          <w:szCs w:val="21"/>
          <w:highlight w:val="none"/>
        </w:rPr>
        <w:t>八、</w:t>
      </w:r>
      <w:r>
        <w:rPr>
          <w:rFonts w:hint="eastAsia" w:ascii="宋体" w:hAnsi="宋体" w:eastAsia="宋体" w:cs="宋体"/>
          <w:b/>
          <w:bCs/>
          <w:color w:val="auto"/>
          <w:szCs w:val="21"/>
          <w:highlight w:val="none"/>
          <w:lang w:bidi="ar"/>
        </w:rPr>
        <w:t>合同</w:t>
      </w:r>
      <w:r>
        <w:rPr>
          <w:rFonts w:hint="eastAsia" w:ascii="宋体" w:hAnsi="宋体" w:eastAsia="宋体" w:cs="宋体"/>
          <w:b/>
          <w:color w:val="auto"/>
          <w:szCs w:val="21"/>
          <w:highlight w:val="none"/>
        </w:rPr>
        <w:t>授予</w:t>
      </w:r>
      <w:bookmarkEnd w:id="56"/>
      <w:r>
        <w:rPr>
          <w:rFonts w:hint="eastAsia" w:ascii="宋体" w:hAnsi="宋体" w:eastAsia="宋体" w:cs="宋体"/>
          <w:b/>
          <w:color w:val="auto"/>
          <w:szCs w:val="21"/>
          <w:highlight w:val="none"/>
        </w:rPr>
        <w:t>：</w:t>
      </w:r>
      <w:r>
        <w:rPr>
          <w:rFonts w:hint="eastAsia" w:ascii="宋体" w:hAnsi="宋体" w:eastAsia="宋体" w:cs="宋体"/>
          <w:b/>
          <w:bCs/>
          <w:color w:val="auto"/>
          <w:szCs w:val="21"/>
          <w:highlight w:val="none"/>
        </w:rPr>
        <w:t>签订合同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kern w:val="0"/>
          <w:szCs w:val="21"/>
          <w:highlight w:val="none"/>
        </w:rPr>
        <w:t>采购人应当自中标通知书发出之日起30日内，按照</w:t>
      </w:r>
      <w:r>
        <w:rPr>
          <w:rFonts w:hint="eastAsia" w:ascii="宋体" w:hAnsi="宋体" w:eastAsia="宋体" w:cs="宋体"/>
          <w:color w:val="auto"/>
          <w:kern w:val="0"/>
          <w:szCs w:val="21"/>
          <w:highlight w:val="none"/>
          <w:lang w:eastAsia="zh-CN"/>
        </w:rPr>
        <w:t>招标文件</w:t>
      </w:r>
      <w:r>
        <w:rPr>
          <w:rFonts w:hint="eastAsia" w:ascii="宋体" w:hAnsi="宋体" w:eastAsia="宋体" w:cs="宋体"/>
          <w:color w:val="auto"/>
          <w:kern w:val="0"/>
          <w:szCs w:val="21"/>
          <w:highlight w:val="none"/>
        </w:rPr>
        <w:t>和中标人投标文件的规定，与中标人签订书面合同。所签订的合同不得对</w:t>
      </w:r>
      <w:r>
        <w:rPr>
          <w:rFonts w:hint="eastAsia" w:ascii="宋体" w:hAnsi="宋体" w:eastAsia="宋体" w:cs="宋体"/>
          <w:color w:val="auto"/>
          <w:kern w:val="0"/>
          <w:szCs w:val="21"/>
          <w:highlight w:val="none"/>
          <w:lang w:eastAsia="zh-CN"/>
        </w:rPr>
        <w:t>招标文件</w:t>
      </w:r>
      <w:r>
        <w:rPr>
          <w:rFonts w:hint="eastAsia" w:ascii="宋体" w:hAnsi="宋体" w:eastAsia="宋体" w:cs="宋体"/>
          <w:color w:val="auto"/>
          <w:kern w:val="0"/>
          <w:szCs w:val="21"/>
          <w:highlight w:val="none"/>
        </w:rPr>
        <w:t>确定的事项和中标人投标文件作实质性修改。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采购人不得向中标人提出任何不合理的要求作为签订合同的条件。</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11" w:firstLineChars="196"/>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2</w:t>
      </w:r>
      <w:r>
        <w:rPr>
          <w:rFonts w:hint="eastAsia" w:ascii="宋体" w:hAnsi="宋体" w:eastAsia="宋体" w:cs="宋体"/>
          <w:color w:val="auto"/>
          <w:highlight w:val="none"/>
        </w:rPr>
        <w:t>.</w:t>
      </w:r>
      <w:r>
        <w:rPr>
          <w:rFonts w:hint="eastAsia" w:ascii="宋体" w:hAnsi="宋体" w:eastAsia="宋体" w:cs="宋体"/>
          <w:bCs/>
          <w:color w:val="auto"/>
          <w:highlight w:val="none"/>
        </w:rPr>
        <w:t>采购人在签订合同时，在合同金额变更范围内，如需审批的办理相关审批手续。有权变更采购项目的数量和服务内容，但不能对单价或其他条款和条件作任何改变。</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11" w:firstLineChars="196"/>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3</w:t>
      </w:r>
      <w:r>
        <w:rPr>
          <w:rFonts w:hint="eastAsia" w:ascii="宋体" w:hAnsi="宋体" w:eastAsia="宋体" w:cs="宋体"/>
          <w:color w:val="auto"/>
          <w:highlight w:val="none"/>
        </w:rPr>
        <w:t>.</w:t>
      </w:r>
      <w:r>
        <w:rPr>
          <w:rFonts w:hint="eastAsia" w:hAnsi="宋体" w:eastAsia="宋体" w:cs="宋体"/>
          <w:bCs/>
          <w:color w:val="auto"/>
          <w:highlight w:val="none"/>
          <w:lang w:eastAsia="zh-CN"/>
        </w:rPr>
        <w:t>招标文件</w:t>
      </w:r>
      <w:r>
        <w:rPr>
          <w:rFonts w:hint="eastAsia" w:ascii="宋体" w:hAnsi="宋体" w:eastAsia="宋体" w:cs="宋体"/>
          <w:bCs/>
          <w:color w:val="auto"/>
          <w:highlight w:val="none"/>
        </w:rPr>
        <w:t>、</w:t>
      </w:r>
      <w:r>
        <w:rPr>
          <w:rFonts w:hint="eastAsia" w:ascii="宋体" w:hAnsi="宋体" w:eastAsia="宋体" w:cs="宋体"/>
          <w:color w:val="auto"/>
          <w:szCs w:val="21"/>
          <w:highlight w:val="none"/>
        </w:rPr>
        <w:t>中标人</w:t>
      </w:r>
      <w:r>
        <w:rPr>
          <w:rFonts w:hint="eastAsia" w:ascii="宋体" w:hAnsi="宋体" w:eastAsia="宋体" w:cs="宋体"/>
          <w:bCs/>
          <w:color w:val="auto"/>
          <w:highlight w:val="none"/>
        </w:rPr>
        <w:t>的投标文件及评标过程中有关的澄清文件均应作为合同签订的附件。</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11" w:firstLineChars="196"/>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4.中标或者成交供应商拒绝与采购人签订合同的，采购人应重新招标。</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11" w:firstLineChars="196"/>
        <w:textAlignment w:val="auto"/>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中标人如不遵守</w:t>
      </w:r>
      <w:r>
        <w:rPr>
          <w:rFonts w:hint="eastAsia" w:hAnsi="宋体" w:eastAsia="宋体" w:cs="宋体"/>
          <w:bCs/>
          <w:color w:val="auto"/>
          <w:highlight w:val="none"/>
          <w:lang w:val="en-US" w:eastAsia="zh-CN"/>
        </w:rPr>
        <w:t>招标文件</w:t>
      </w:r>
      <w:r>
        <w:rPr>
          <w:rFonts w:hint="eastAsia" w:ascii="宋体" w:hAnsi="宋体" w:eastAsia="宋体" w:cs="宋体"/>
          <w:bCs/>
          <w:color w:val="auto"/>
          <w:highlight w:val="none"/>
        </w:rPr>
        <w:t>或投标文件各项条款的邀约与要约，或在接到中标通知书后借故拖延，拒签合同的，采购人将按《浙江省政府采购供应商注册及诚信管理暂行办法》的规定上报诚信状况。给采购人造成的损失的还应当予以赔偿。</w:t>
      </w:r>
    </w:p>
    <w:p>
      <w:pPr>
        <w:pStyle w:val="26"/>
        <w:keepNext w:val="0"/>
        <w:keepLines w:val="0"/>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w:t>
      </w:r>
      <w:r>
        <w:rPr>
          <w:rFonts w:hint="eastAsia" w:ascii="宋体" w:hAnsi="宋体" w:eastAsia="宋体" w:cs="宋体"/>
          <w:b/>
          <w:bCs/>
          <w:color w:val="auto"/>
          <w:szCs w:val="21"/>
          <w:highlight w:val="none"/>
          <w:lang w:bidi="ar"/>
        </w:rPr>
        <w:t>履约</w:t>
      </w:r>
      <w:r>
        <w:rPr>
          <w:rFonts w:hint="eastAsia" w:ascii="宋体" w:hAnsi="宋体" w:eastAsia="宋体" w:cs="宋体"/>
          <w:b/>
          <w:color w:val="auto"/>
          <w:szCs w:val="21"/>
          <w:highlight w:val="none"/>
        </w:rPr>
        <w:t>验收：</w:t>
      </w:r>
    </w:p>
    <w:p>
      <w:pPr>
        <w:keepNext w:val="0"/>
        <w:keepLines w:val="0"/>
        <w:pageBreakBefore w:val="0"/>
        <w:widowControl w:val="0"/>
        <w:kinsoku/>
        <w:wordWrap/>
        <w:overflowPunct/>
        <w:topLinePunct w:val="0"/>
        <w:autoSpaceDE/>
        <w:autoSpaceDN/>
        <w:bidi w:val="0"/>
        <w:adjustRightInd/>
        <w:snapToGrid/>
        <w:spacing w:line="360" w:lineRule="auto"/>
        <w:ind w:firstLine="411" w:firstLineChars="196"/>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采购人负责对中标供应商的履约行为进行验收。政府向社会公众提供的公共服务项目，验收时应当邀请服务对象参与并出具意见，验收结果应当向社会公告。</w:t>
      </w:r>
    </w:p>
    <w:p>
      <w:pPr>
        <w:pStyle w:val="153"/>
        <w:spacing w:line="700" w:lineRule="exact"/>
        <w:ind w:firstLine="0" w:firstLineChars="0"/>
        <w:jc w:val="center"/>
        <w:outlineLvl w:val="0"/>
        <w:rPr>
          <w:rFonts w:hint="eastAsia" w:ascii="宋体" w:hAnsi="宋体" w:eastAsia="宋体" w:cs="宋体"/>
          <w:b/>
          <w:bCs/>
          <w:color w:val="auto"/>
          <w:sz w:val="32"/>
          <w:szCs w:val="32"/>
          <w:highlight w:val="none"/>
        </w:rPr>
      </w:pPr>
      <w:r>
        <w:rPr>
          <w:rFonts w:hint="eastAsia" w:ascii="宋体" w:hAnsi="宋体" w:eastAsia="宋体" w:cs="宋体"/>
          <w:bCs/>
          <w:color w:val="auto"/>
          <w:highlight w:val="none"/>
        </w:rPr>
        <w:br w:type="page"/>
      </w:r>
      <w:bookmarkStart w:id="57" w:name="_Toc9993"/>
      <w:r>
        <w:rPr>
          <w:rFonts w:hint="eastAsia" w:ascii="宋体" w:hAnsi="宋体" w:eastAsia="宋体" w:cs="宋体"/>
          <w:b/>
          <w:color w:val="auto"/>
          <w:sz w:val="32"/>
          <w:szCs w:val="32"/>
          <w:highlight w:val="none"/>
        </w:rPr>
        <w:t>第五章  政府采购合同主要条款</w:t>
      </w:r>
      <w:bookmarkEnd w:id="55"/>
      <w:bookmarkEnd w:id="57"/>
    </w:p>
    <w:p>
      <w:pPr>
        <w:snapToGrid w:val="0"/>
        <w:spacing w:before="120" w:beforeLines="50" w:after="120" w:afterLines="50"/>
        <w:jc w:val="center"/>
        <w:rPr>
          <w:rFonts w:hint="eastAsia" w:ascii="宋体" w:hAnsi="宋体" w:eastAsia="宋体" w:cs="宋体"/>
          <w:b/>
          <w:bCs/>
          <w:color w:val="auto"/>
          <w:sz w:val="30"/>
          <w:szCs w:val="32"/>
          <w:highlight w:val="none"/>
        </w:rPr>
      </w:pPr>
      <w:r>
        <w:rPr>
          <w:rFonts w:hint="eastAsia" w:ascii="宋体" w:hAnsi="宋体" w:eastAsia="宋体" w:cs="宋体"/>
          <w:b/>
          <w:color w:val="auto"/>
          <w:sz w:val="30"/>
          <w:szCs w:val="32"/>
          <w:highlight w:val="none"/>
        </w:rPr>
        <w:t>采购合同（供参考）</w:t>
      </w:r>
    </w:p>
    <w:p>
      <w:pPr>
        <w:pStyle w:val="26"/>
        <w:keepNext w:val="0"/>
        <w:keepLines w:val="0"/>
        <w:pageBreakBefore w:val="0"/>
        <w:kinsoku/>
        <w:wordWrap/>
        <w:overflowPunct/>
        <w:topLinePunct w:val="0"/>
        <w:autoSpaceDN/>
        <w:bidi w:val="0"/>
        <w:adjustRightInd/>
        <w:snapToGrid/>
        <w:spacing w:before="0" w:beforeLines="0" w:beforeAutospacing="0" w:after="0" w:afterLines="0" w:afterAutospacing="0" w:line="360" w:lineRule="auto"/>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项目名称：                                     项目编号：</w:t>
      </w:r>
    </w:p>
    <w:p>
      <w:pPr>
        <w:keepNext w:val="0"/>
        <w:keepLines w:val="0"/>
        <w:pageBreakBefore w:val="0"/>
        <w:kinsoku/>
        <w:wordWrap/>
        <w:overflowPunct/>
        <w:topLinePunct w:val="0"/>
        <w:autoSpaceDN/>
        <w:bidi w:val="0"/>
        <w:adjustRightInd/>
        <w:snapToGrid/>
        <w:spacing w:beforeAutospacing="0" w:afterAutospacing="0" w:line="360" w:lineRule="auto"/>
        <w:ind w:lef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（以下简称甲方）</w:t>
      </w:r>
    </w:p>
    <w:p>
      <w:pPr>
        <w:keepNext w:val="0"/>
        <w:keepLines w:val="0"/>
        <w:pageBreakBefore w:val="0"/>
        <w:kinsoku/>
        <w:wordWrap/>
        <w:overflowPunct/>
        <w:topLinePunct w:val="0"/>
        <w:autoSpaceDN/>
        <w:bidi w:val="0"/>
        <w:adjustRightInd/>
        <w:snapToGrid/>
        <w:spacing w:beforeAutospacing="0" w:afterAutospacing="0" w:line="360" w:lineRule="auto"/>
        <w:ind w:lef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（以下简称乙方）</w:t>
      </w:r>
    </w:p>
    <w:p>
      <w:pPr>
        <w:keepNext w:val="0"/>
        <w:keepLines w:val="0"/>
        <w:pageBreakBefore w:val="0"/>
        <w:kinsoku/>
        <w:wordWrap/>
        <w:overflowPunct/>
        <w:topLinePunct w:val="0"/>
        <w:autoSpaceDN/>
        <w:bidi w:val="0"/>
        <w:adjustRightInd/>
        <w:snapToGrid/>
        <w:spacing w:beforeAutospacing="0" w:afterAutospacing="0"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根据《中华人民共和国政府采购法》、《中华人民共和国政府采购法实施条例》、《政府采购货物和服务招标投标管理办法》等法律法规，</w:t>
      </w:r>
      <w:r>
        <w:rPr>
          <w:rFonts w:hint="eastAsia" w:ascii="宋体" w:hAnsi="宋体" w:eastAsia="宋体" w:cs="宋体"/>
          <w:color w:val="auto"/>
          <w:szCs w:val="21"/>
          <w:highlight w:val="none"/>
          <w:u w:val="single"/>
        </w:rPr>
        <w:t>项目名称（项目编号：）</w:t>
      </w:r>
      <w:r>
        <w:rPr>
          <w:rFonts w:hint="eastAsia" w:ascii="宋体" w:hAnsi="宋体" w:eastAsia="宋体" w:cs="宋体"/>
          <w:color w:val="auto"/>
          <w:szCs w:val="21"/>
          <w:highlight w:val="none"/>
        </w:rPr>
        <w:t>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日，在宁波市宁海县公共资源交易中心进行公开招标，经结果公告确定由乙方中标。按照《中华人民共和国民法典》的有关规定，在自愿、平等、公平、诚信的基础上，经双方协商一致，签订本合同。</w:t>
      </w:r>
    </w:p>
    <w:p>
      <w:pPr>
        <w:pStyle w:val="26"/>
        <w:keepNext w:val="0"/>
        <w:keepLines w:val="0"/>
        <w:pageBreakBefore w:val="0"/>
        <w:kinsoku/>
        <w:wordWrap/>
        <w:overflowPunct/>
        <w:topLinePunct w:val="0"/>
        <w:autoSpaceDN/>
        <w:bidi w:val="0"/>
        <w:adjustRightInd/>
        <w:snapToGrid/>
        <w:spacing w:before="0" w:beforeLines="0" w:beforeAutospacing="0" w:after="0" w:afterLines="0" w:afterAutospacing="0" w:line="360" w:lineRule="auto"/>
        <w:ind w:lef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下述文件作为附件，是合同的一部分，并与本合同一起阅读和解释：</w:t>
      </w:r>
    </w:p>
    <w:p>
      <w:pPr>
        <w:pStyle w:val="26"/>
        <w:keepNext w:val="0"/>
        <w:keepLines w:val="0"/>
        <w:pageBreakBefore w:val="0"/>
        <w:kinsoku/>
        <w:wordWrap/>
        <w:overflowPunct/>
        <w:topLinePunct w:val="0"/>
        <w:autoSpaceDN/>
        <w:bidi w:val="0"/>
        <w:adjustRightInd/>
        <w:snapToGrid/>
        <w:spacing w:before="0" w:beforeLines="0" w:beforeAutospacing="0" w:after="0" w:afterLines="0" w:afterAutospacing="0" w:line="360" w:lineRule="auto"/>
        <w:ind w:lef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a.采购文件；</w:t>
      </w:r>
    </w:p>
    <w:p>
      <w:pPr>
        <w:pStyle w:val="26"/>
        <w:keepNext w:val="0"/>
        <w:keepLines w:val="0"/>
        <w:pageBreakBefore w:val="0"/>
        <w:kinsoku/>
        <w:wordWrap/>
        <w:overflowPunct/>
        <w:topLinePunct w:val="0"/>
        <w:autoSpaceDN/>
        <w:bidi w:val="0"/>
        <w:adjustRightInd/>
        <w:snapToGrid/>
        <w:spacing w:before="0" w:beforeLines="0" w:beforeAutospacing="0" w:after="0" w:afterLines="0" w:afterAutospacing="0" w:line="360" w:lineRule="auto"/>
        <w:ind w:lef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b.投标文件及澄清文件；</w:t>
      </w:r>
    </w:p>
    <w:p>
      <w:pPr>
        <w:pStyle w:val="26"/>
        <w:keepNext w:val="0"/>
        <w:keepLines w:val="0"/>
        <w:pageBreakBefore w:val="0"/>
        <w:kinsoku/>
        <w:wordWrap/>
        <w:overflowPunct/>
        <w:topLinePunct w:val="0"/>
        <w:autoSpaceDN/>
        <w:bidi w:val="0"/>
        <w:adjustRightInd/>
        <w:snapToGrid/>
        <w:spacing w:before="0" w:beforeLines="0" w:beforeAutospacing="0" w:after="0" w:afterLines="0" w:afterAutospacing="0" w:line="360" w:lineRule="auto"/>
        <w:ind w:lef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c.中标通知书；</w:t>
      </w:r>
    </w:p>
    <w:p>
      <w:pPr>
        <w:pStyle w:val="26"/>
        <w:keepNext w:val="0"/>
        <w:keepLines w:val="0"/>
        <w:pageBreakBefore w:val="0"/>
        <w:kinsoku/>
        <w:wordWrap/>
        <w:overflowPunct/>
        <w:topLinePunct w:val="0"/>
        <w:autoSpaceDN/>
        <w:bidi w:val="0"/>
        <w:adjustRightInd/>
        <w:snapToGrid/>
        <w:spacing w:before="0" w:beforeLines="0" w:beforeAutospacing="0" w:after="0" w:afterLines="0" w:afterAutospacing="0" w:line="360" w:lineRule="auto"/>
        <w:ind w:lef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上述文件与合同若有不一致之处，优先次序第一应为合同、第二应为附件(附件的优先次序为 c,b,a)。</w:t>
      </w:r>
    </w:p>
    <w:p>
      <w:pPr>
        <w:keepNext w:val="0"/>
        <w:keepLines w:val="0"/>
        <w:pageBreakBefore w:val="0"/>
        <w:widowControl w:val="0"/>
        <w:kinsoku/>
        <w:wordWrap/>
        <w:overflowPunct/>
        <w:topLinePunct w:val="0"/>
        <w:autoSpaceDN/>
        <w:bidi w:val="0"/>
        <w:adjustRightInd/>
        <w:snapToGrid/>
        <w:spacing w:beforeAutospacing="0" w:afterAutospacing="0" w:line="360" w:lineRule="auto"/>
        <w:ind w:left="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一、项目名称、服务期限、服务内容</w:t>
      </w:r>
    </w:p>
    <w:p>
      <w:pPr>
        <w:keepNext w:val="0"/>
        <w:keepLines w:val="0"/>
        <w:pageBreakBefore w:val="0"/>
        <w:widowControl w:val="0"/>
        <w:kinsoku/>
        <w:wordWrap/>
        <w:overflowPunct/>
        <w:topLinePunct w:val="0"/>
        <w:autoSpaceDN/>
        <w:bidi w:val="0"/>
        <w:adjustRightInd/>
        <w:snapToGrid/>
        <w:spacing w:beforeAutospacing="0" w:afterAutospacing="0" w:line="360" w:lineRule="auto"/>
        <w:ind w:left="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1.1项目名称：</w:t>
      </w:r>
    </w:p>
    <w:p>
      <w:pPr>
        <w:keepNext w:val="0"/>
        <w:keepLines w:val="0"/>
        <w:pageBreakBefore w:val="0"/>
        <w:widowControl w:val="0"/>
        <w:kinsoku/>
        <w:wordWrap/>
        <w:overflowPunct/>
        <w:topLinePunct w:val="0"/>
        <w:autoSpaceDN/>
        <w:bidi w:val="0"/>
        <w:adjustRightInd/>
        <w:snapToGrid/>
        <w:spacing w:beforeAutospacing="0" w:afterAutospacing="0" w:line="360" w:lineRule="auto"/>
        <w:ind w:left="0"/>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1.2服务期限：</w:t>
      </w:r>
    </w:p>
    <w:p>
      <w:pPr>
        <w:keepNext w:val="0"/>
        <w:keepLines w:val="0"/>
        <w:pageBreakBefore w:val="0"/>
        <w:widowControl w:val="0"/>
        <w:kinsoku/>
        <w:wordWrap/>
        <w:overflowPunct/>
        <w:topLinePunct w:val="0"/>
        <w:autoSpaceDN/>
        <w:bidi w:val="0"/>
        <w:adjustRightInd/>
        <w:snapToGrid/>
        <w:spacing w:beforeAutospacing="0" w:afterAutospacing="0" w:line="360" w:lineRule="auto"/>
        <w:ind w:lef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1.3服务内容：</w:t>
      </w:r>
    </w:p>
    <w:p>
      <w:pPr>
        <w:keepNext w:val="0"/>
        <w:keepLines w:val="0"/>
        <w:pageBreakBefore w:val="0"/>
        <w:widowControl w:val="0"/>
        <w:kinsoku/>
        <w:wordWrap/>
        <w:overflowPunct/>
        <w:topLinePunct w:val="0"/>
        <w:autoSpaceDN/>
        <w:bidi w:val="0"/>
        <w:adjustRightInd/>
        <w:snapToGrid/>
        <w:spacing w:beforeAutospacing="0" w:afterAutospacing="0" w:line="360" w:lineRule="auto"/>
        <w:ind w:left="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二、合同金额</w:t>
      </w:r>
    </w:p>
    <w:p>
      <w:pPr>
        <w:keepNext w:val="0"/>
        <w:keepLines w:val="0"/>
        <w:pageBreakBefore w:val="0"/>
        <w:widowControl w:val="0"/>
        <w:kinsoku/>
        <w:wordWrap/>
        <w:overflowPunct/>
        <w:topLinePunct w:val="0"/>
        <w:autoSpaceDN/>
        <w:bidi w:val="0"/>
        <w:adjustRightInd/>
        <w:snapToGrid/>
        <w:spacing w:beforeAutospacing="0" w:afterAutospacing="0" w:line="360" w:lineRule="auto"/>
        <w:ind w:left="0" w:hanging="359" w:hangingChars="171"/>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2.1本合同金额为（大写）：</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元</w:t>
      </w:r>
      <w:r>
        <w:rPr>
          <w:rFonts w:hint="eastAsia" w:ascii="宋体" w:hAnsi="宋体" w:eastAsia="宋体" w:cs="宋体"/>
          <w:color w:val="auto"/>
          <w:kern w:val="2"/>
          <w:sz w:val="21"/>
          <w:szCs w:val="21"/>
          <w:highlight w:val="none"/>
          <w:u w:val="single"/>
          <w:lang w:val="en-US" w:eastAsia="zh-CN" w:bidi="ar-SA"/>
        </w:rPr>
        <w:t>（￥                元）</w:t>
      </w:r>
      <w:r>
        <w:rPr>
          <w:rFonts w:hint="eastAsia" w:ascii="宋体" w:hAnsi="宋体" w:eastAsia="宋体" w:cs="宋体"/>
          <w:color w:val="auto"/>
          <w:kern w:val="2"/>
          <w:sz w:val="21"/>
          <w:szCs w:val="21"/>
          <w:highlight w:val="none"/>
          <w:lang w:val="en-US" w:eastAsia="zh-CN" w:bidi="ar-SA"/>
        </w:rPr>
        <w:t>人民币。</w:t>
      </w:r>
    </w:p>
    <w:p>
      <w:pPr>
        <w:keepNext w:val="0"/>
        <w:keepLines w:val="0"/>
        <w:pageBreakBefore w:val="0"/>
        <w:widowControl w:val="0"/>
        <w:kinsoku/>
        <w:wordWrap/>
        <w:overflowPunct/>
        <w:topLinePunct w:val="0"/>
        <w:autoSpaceDN/>
        <w:bidi w:val="0"/>
        <w:adjustRightInd/>
        <w:snapToGrid/>
        <w:spacing w:beforeAutospacing="0" w:afterAutospacing="0" w:line="360" w:lineRule="auto"/>
        <w:ind w:left="0" w:hanging="358" w:hangingChars="17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三、履约保证金</w:t>
      </w:r>
    </w:p>
    <w:p>
      <w:pPr>
        <w:keepNext w:val="0"/>
        <w:keepLines w:val="0"/>
        <w:pageBreakBefore w:val="0"/>
        <w:kinsoku/>
        <w:wordWrap/>
        <w:overflowPunct/>
        <w:topLinePunct w:val="0"/>
        <w:autoSpaceDN/>
        <w:bidi w:val="0"/>
        <w:adjustRightInd/>
        <w:snapToGrid/>
        <w:spacing w:beforeAutospacing="0" w:afterAutospacing="0" w:line="360" w:lineRule="auto"/>
        <w:ind w:left="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3.1</w:t>
      </w:r>
      <w:r>
        <w:rPr>
          <w:rFonts w:hint="eastAsia" w:ascii="宋体" w:hAnsi="宋体" w:eastAsia="宋体" w:cs="宋体"/>
          <w:color w:val="auto"/>
          <w:highlight w:val="none"/>
        </w:rPr>
        <w:t>履约保证金金额：年度合同价的1%；</w:t>
      </w:r>
    </w:p>
    <w:p>
      <w:pPr>
        <w:keepNext w:val="0"/>
        <w:keepLines w:val="0"/>
        <w:pageBreakBefore w:val="0"/>
        <w:kinsoku/>
        <w:wordWrap/>
        <w:overflowPunct/>
        <w:topLinePunct w:val="0"/>
        <w:autoSpaceDN/>
        <w:bidi w:val="0"/>
        <w:adjustRightInd/>
        <w:snapToGrid/>
        <w:spacing w:beforeAutospacing="0" w:afterAutospacing="0" w:line="360" w:lineRule="auto"/>
        <w:ind w:left="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3.2</w:t>
      </w:r>
      <w:r>
        <w:rPr>
          <w:rFonts w:hint="eastAsia" w:ascii="宋体" w:hAnsi="宋体" w:eastAsia="宋体" w:cs="宋体"/>
          <w:color w:val="auto"/>
          <w:highlight w:val="none"/>
        </w:rPr>
        <w:t>履约保证金形式：银行汇票（电汇）、支票（仅限于使用宁波大市区范围内的银行开具的支票）、保险保单和银行保函等非现金形式。</w:t>
      </w:r>
    </w:p>
    <w:p>
      <w:pPr>
        <w:keepNext w:val="0"/>
        <w:keepLines w:val="0"/>
        <w:pageBreakBefore w:val="0"/>
        <w:kinsoku/>
        <w:wordWrap/>
        <w:overflowPunct/>
        <w:topLinePunct w:val="0"/>
        <w:autoSpaceDN/>
        <w:bidi w:val="0"/>
        <w:adjustRightInd/>
        <w:snapToGrid/>
        <w:spacing w:beforeAutospacing="0" w:afterAutospacing="0" w:line="360" w:lineRule="auto"/>
        <w:ind w:left="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3.3</w:t>
      </w:r>
      <w:r>
        <w:rPr>
          <w:rFonts w:hint="eastAsia" w:ascii="宋体" w:hAnsi="宋体" w:eastAsia="宋体" w:cs="宋体"/>
          <w:color w:val="auto"/>
          <w:highlight w:val="none"/>
        </w:rPr>
        <w:t>履约保证金提交时间：合同签订前交至</w:t>
      </w:r>
      <w:r>
        <w:rPr>
          <w:rFonts w:hint="eastAsia" w:ascii="宋体" w:hAnsi="宋体" w:cs="宋体"/>
          <w:color w:val="auto"/>
          <w:highlight w:val="none"/>
          <w:lang w:val="en-US" w:eastAsia="zh-CN"/>
        </w:rPr>
        <w:t>甲方</w:t>
      </w:r>
      <w:r>
        <w:rPr>
          <w:rFonts w:hint="eastAsia" w:ascii="宋体" w:hAnsi="宋体" w:eastAsia="宋体" w:cs="宋体"/>
          <w:color w:val="auto"/>
          <w:highlight w:val="none"/>
        </w:rPr>
        <w:t>。</w:t>
      </w:r>
    </w:p>
    <w:p>
      <w:pPr>
        <w:keepNext w:val="0"/>
        <w:keepLines w:val="0"/>
        <w:pageBreakBefore w:val="0"/>
        <w:kinsoku/>
        <w:wordWrap/>
        <w:overflowPunct/>
        <w:topLinePunct w:val="0"/>
        <w:autoSpaceDN/>
        <w:bidi w:val="0"/>
        <w:adjustRightInd/>
        <w:snapToGrid/>
        <w:spacing w:beforeAutospacing="0" w:afterAutospacing="0" w:line="360" w:lineRule="auto"/>
        <w:ind w:left="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3.4</w:t>
      </w:r>
      <w:r>
        <w:rPr>
          <w:rFonts w:hint="eastAsia" w:ascii="宋体" w:hAnsi="宋体" w:eastAsia="宋体" w:cs="宋体"/>
          <w:color w:val="auto"/>
          <w:highlight w:val="none"/>
        </w:rPr>
        <w:t>履约保证金的退取：履约保证金在</w:t>
      </w:r>
      <w:r>
        <w:rPr>
          <w:rFonts w:hint="eastAsia" w:ascii="宋体" w:hAnsi="宋体" w:cs="宋体"/>
          <w:color w:val="auto"/>
          <w:highlight w:val="none"/>
          <w:lang w:val="en-US" w:eastAsia="zh-CN"/>
        </w:rPr>
        <w:t>乙方</w:t>
      </w:r>
      <w:r>
        <w:rPr>
          <w:rFonts w:hint="eastAsia" w:ascii="宋体" w:hAnsi="宋体" w:eastAsia="宋体" w:cs="宋体"/>
          <w:color w:val="auto"/>
          <w:highlight w:val="none"/>
        </w:rPr>
        <w:t>完成合同履约后无息退还（如</w:t>
      </w:r>
      <w:r>
        <w:rPr>
          <w:rFonts w:hint="eastAsia" w:ascii="宋体" w:hAnsi="宋体" w:cs="宋体"/>
          <w:color w:val="auto"/>
          <w:highlight w:val="none"/>
          <w:lang w:val="en-US" w:eastAsia="zh-CN"/>
        </w:rPr>
        <w:t>乙方</w:t>
      </w:r>
      <w:r>
        <w:rPr>
          <w:rFonts w:hint="eastAsia" w:ascii="宋体" w:hAnsi="宋体" w:eastAsia="宋体" w:cs="宋体"/>
          <w:color w:val="auto"/>
          <w:highlight w:val="none"/>
        </w:rPr>
        <w:t>未能履行合同规定的任何义务，</w:t>
      </w:r>
      <w:r>
        <w:rPr>
          <w:rFonts w:hint="eastAsia" w:ascii="宋体" w:hAnsi="宋体" w:cs="宋体"/>
          <w:color w:val="auto"/>
          <w:highlight w:val="none"/>
          <w:lang w:val="en-US" w:eastAsia="zh-CN"/>
        </w:rPr>
        <w:t>甲方</w:t>
      </w:r>
      <w:r>
        <w:rPr>
          <w:rFonts w:hint="eastAsia" w:ascii="宋体" w:hAnsi="宋体" w:eastAsia="宋体" w:cs="宋体"/>
          <w:color w:val="auto"/>
          <w:highlight w:val="none"/>
        </w:rPr>
        <w:t>有权扣除相应履约保证金）。</w:t>
      </w:r>
    </w:p>
    <w:p>
      <w:pPr>
        <w:keepNext w:val="0"/>
        <w:keepLines w:val="0"/>
        <w:pageBreakBefore w:val="0"/>
        <w:kinsoku/>
        <w:wordWrap/>
        <w:overflowPunct/>
        <w:topLinePunct w:val="0"/>
        <w:autoSpaceDN/>
        <w:bidi w:val="0"/>
        <w:adjustRightInd/>
        <w:snapToGrid/>
        <w:spacing w:beforeAutospacing="0" w:afterAutospacing="0" w:line="360" w:lineRule="auto"/>
        <w:ind w:left="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四、转包或分包</w:t>
      </w:r>
    </w:p>
    <w:p>
      <w:pPr>
        <w:keepNext w:val="0"/>
        <w:keepLines w:val="0"/>
        <w:pageBreakBefore w:val="0"/>
        <w:kinsoku/>
        <w:wordWrap/>
        <w:overflowPunct/>
        <w:topLinePunct w:val="0"/>
        <w:autoSpaceDN/>
        <w:bidi w:val="0"/>
        <w:adjustRightInd/>
        <w:snapToGrid/>
        <w:spacing w:beforeAutospacing="0" w:afterAutospacing="0" w:line="360" w:lineRule="auto"/>
        <w:ind w:lef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4.1本合同范围的服务，应由乙方直接提供，不得转让他人；</w:t>
      </w:r>
    </w:p>
    <w:p>
      <w:pPr>
        <w:keepNext w:val="0"/>
        <w:keepLines w:val="0"/>
        <w:pageBreakBefore w:val="0"/>
        <w:kinsoku/>
        <w:wordWrap/>
        <w:overflowPunct/>
        <w:topLinePunct w:val="0"/>
        <w:autoSpaceDN/>
        <w:bidi w:val="0"/>
        <w:adjustRightInd/>
        <w:snapToGrid/>
        <w:spacing w:beforeAutospacing="0" w:afterAutospacing="0" w:line="360" w:lineRule="auto"/>
        <w:ind w:lef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 除非得到甲方的书面同意，乙方不得部分分包给他人。甲方有绝对权力阻止分包。</w:t>
      </w:r>
    </w:p>
    <w:p>
      <w:pPr>
        <w:keepNext w:val="0"/>
        <w:keepLines w:val="0"/>
        <w:pageBreakBefore w:val="0"/>
        <w:kinsoku/>
        <w:wordWrap/>
        <w:overflowPunct/>
        <w:topLinePunct w:val="0"/>
        <w:autoSpaceDN/>
        <w:bidi w:val="0"/>
        <w:adjustRightInd/>
        <w:snapToGrid/>
        <w:spacing w:beforeAutospacing="0" w:afterAutospacing="0" w:line="360" w:lineRule="auto"/>
        <w:ind w:lef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4.3如有转让和未经甲方同意的分包行为，甲方有权给予终止合同。</w:t>
      </w:r>
    </w:p>
    <w:p>
      <w:pPr>
        <w:keepNext w:val="0"/>
        <w:keepLines w:val="0"/>
        <w:pageBreakBefore w:val="0"/>
        <w:widowControl w:val="0"/>
        <w:kinsoku/>
        <w:wordWrap/>
        <w:overflowPunct/>
        <w:topLinePunct w:val="0"/>
        <w:autoSpaceDN/>
        <w:bidi w:val="0"/>
        <w:adjustRightInd/>
        <w:snapToGrid/>
        <w:spacing w:beforeAutospacing="0" w:afterAutospacing="0" w:line="360" w:lineRule="auto"/>
        <w:ind w:left="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五、合同付款方法</w:t>
      </w:r>
    </w:p>
    <w:p>
      <w:pPr>
        <w:keepNext w:val="0"/>
        <w:keepLines w:val="0"/>
        <w:pageBreakBefore w:val="0"/>
        <w:kinsoku/>
        <w:wordWrap/>
        <w:overflowPunct/>
        <w:topLinePunct w:val="0"/>
        <w:autoSpaceDN/>
        <w:bidi w:val="0"/>
        <w:adjustRightInd/>
        <w:snapToGrid/>
        <w:spacing w:beforeAutospacing="0" w:afterAutospacing="0" w:line="360" w:lineRule="auto"/>
        <w:ind w:left="0"/>
        <w:textAlignment w:val="auto"/>
        <w:rPr>
          <w:rFonts w:hint="eastAsia" w:ascii="宋体" w:hAnsi="宋体" w:eastAsia="宋体" w:cs="宋体"/>
          <w:b w:val="0"/>
          <w:bCs/>
          <w:color w:val="auto"/>
          <w:szCs w:val="21"/>
          <w:highlight w:val="none"/>
        </w:rPr>
      </w:pPr>
      <w:r>
        <w:rPr>
          <w:rFonts w:hint="eastAsia" w:ascii="宋体" w:hAnsi="宋体" w:cs="宋体"/>
          <w:b w:val="0"/>
          <w:bCs/>
          <w:color w:val="auto"/>
          <w:szCs w:val="21"/>
          <w:highlight w:val="none"/>
          <w:lang w:val="en-US" w:eastAsia="zh-CN"/>
        </w:rPr>
        <w:t>5.1</w:t>
      </w:r>
      <w:r>
        <w:rPr>
          <w:rFonts w:hint="eastAsia" w:ascii="宋体" w:hAnsi="宋体" w:eastAsia="宋体" w:cs="宋体"/>
          <w:b w:val="0"/>
          <w:bCs/>
          <w:color w:val="auto"/>
          <w:szCs w:val="21"/>
          <w:highlight w:val="none"/>
        </w:rPr>
        <w:t>合同签订之日起后7日内支付年度合同总价30%的预付款；</w:t>
      </w:r>
    </w:p>
    <w:p>
      <w:pPr>
        <w:keepNext w:val="0"/>
        <w:keepLines w:val="0"/>
        <w:pageBreakBefore w:val="0"/>
        <w:kinsoku/>
        <w:wordWrap/>
        <w:overflowPunct/>
        <w:topLinePunct w:val="0"/>
        <w:autoSpaceDN/>
        <w:bidi w:val="0"/>
        <w:adjustRightInd/>
        <w:snapToGrid/>
        <w:spacing w:beforeAutospacing="0" w:afterAutospacing="0" w:line="360" w:lineRule="auto"/>
        <w:ind w:left="0"/>
        <w:textAlignment w:val="auto"/>
        <w:rPr>
          <w:rFonts w:hint="eastAsia" w:ascii="宋体" w:hAnsi="宋体" w:eastAsia="宋体" w:cs="宋体"/>
          <w:b w:val="0"/>
          <w:bCs/>
          <w:color w:val="auto"/>
          <w:szCs w:val="21"/>
          <w:highlight w:val="none"/>
        </w:rPr>
      </w:pPr>
      <w:r>
        <w:rPr>
          <w:rFonts w:hint="eastAsia" w:ascii="宋体" w:hAnsi="宋体" w:cs="宋体"/>
          <w:b w:val="0"/>
          <w:bCs/>
          <w:color w:val="auto"/>
          <w:szCs w:val="21"/>
          <w:highlight w:val="none"/>
          <w:lang w:val="en-US" w:eastAsia="zh-CN"/>
        </w:rPr>
        <w:t>5.2</w:t>
      </w:r>
      <w:r>
        <w:rPr>
          <w:rFonts w:hint="eastAsia" w:ascii="宋体" w:hAnsi="宋体" w:eastAsia="宋体" w:cs="宋体"/>
          <w:b w:val="0"/>
          <w:bCs/>
          <w:color w:val="auto"/>
          <w:szCs w:val="21"/>
          <w:highlight w:val="none"/>
        </w:rPr>
        <w:t>服务半年后，经</w:t>
      </w:r>
      <w:r>
        <w:rPr>
          <w:rFonts w:hint="eastAsia" w:ascii="宋体" w:hAnsi="宋体" w:cs="宋体"/>
          <w:b w:val="0"/>
          <w:bCs/>
          <w:color w:val="auto"/>
          <w:szCs w:val="21"/>
          <w:highlight w:val="none"/>
          <w:lang w:val="en-US" w:eastAsia="zh-CN"/>
        </w:rPr>
        <w:t>甲方</w:t>
      </w:r>
      <w:r>
        <w:rPr>
          <w:rFonts w:hint="eastAsia" w:ascii="宋体" w:hAnsi="宋体" w:eastAsia="宋体" w:cs="宋体"/>
          <w:b w:val="0"/>
          <w:bCs/>
          <w:color w:val="auto"/>
          <w:szCs w:val="21"/>
          <w:highlight w:val="none"/>
        </w:rPr>
        <w:t>检查考核通过后，支付至年度合同总价的50%；</w:t>
      </w:r>
    </w:p>
    <w:p>
      <w:pPr>
        <w:keepNext w:val="0"/>
        <w:keepLines w:val="0"/>
        <w:pageBreakBefore w:val="0"/>
        <w:kinsoku/>
        <w:wordWrap/>
        <w:overflowPunct/>
        <w:topLinePunct w:val="0"/>
        <w:autoSpaceDN/>
        <w:bidi w:val="0"/>
        <w:adjustRightInd/>
        <w:snapToGrid/>
        <w:spacing w:beforeAutospacing="0" w:afterAutospacing="0" w:line="360" w:lineRule="auto"/>
        <w:ind w:left="0"/>
        <w:textAlignment w:val="auto"/>
        <w:rPr>
          <w:rFonts w:hint="eastAsia" w:ascii="宋体" w:hAnsi="宋体" w:eastAsia="宋体" w:cs="宋体"/>
          <w:b w:val="0"/>
          <w:bCs/>
          <w:color w:val="auto"/>
          <w:szCs w:val="21"/>
          <w:highlight w:val="none"/>
        </w:rPr>
      </w:pPr>
      <w:r>
        <w:rPr>
          <w:rFonts w:hint="eastAsia" w:ascii="宋体" w:hAnsi="宋体" w:cs="宋体"/>
          <w:b w:val="0"/>
          <w:bCs/>
          <w:color w:val="auto"/>
          <w:szCs w:val="21"/>
          <w:highlight w:val="none"/>
          <w:lang w:val="en-US" w:eastAsia="zh-CN"/>
        </w:rPr>
        <w:t>5.3</w:t>
      </w:r>
      <w:r>
        <w:rPr>
          <w:rFonts w:hint="eastAsia" w:ascii="宋体" w:hAnsi="宋体" w:eastAsia="宋体" w:cs="宋体"/>
          <w:b w:val="0"/>
          <w:bCs/>
          <w:color w:val="auto"/>
          <w:szCs w:val="21"/>
          <w:highlight w:val="none"/>
        </w:rPr>
        <w:t>在年度合同服务期限满后，经</w:t>
      </w:r>
      <w:r>
        <w:rPr>
          <w:rFonts w:hint="eastAsia" w:ascii="宋体" w:hAnsi="宋体" w:cs="宋体"/>
          <w:b w:val="0"/>
          <w:bCs/>
          <w:color w:val="auto"/>
          <w:szCs w:val="21"/>
          <w:highlight w:val="none"/>
          <w:lang w:val="en-US" w:eastAsia="zh-CN"/>
        </w:rPr>
        <w:t>甲方</w:t>
      </w:r>
      <w:r>
        <w:rPr>
          <w:rFonts w:hint="eastAsia" w:ascii="宋体" w:hAnsi="宋体" w:eastAsia="宋体" w:cs="宋体"/>
          <w:b w:val="0"/>
          <w:bCs/>
          <w:color w:val="auto"/>
          <w:szCs w:val="21"/>
          <w:highlight w:val="none"/>
        </w:rPr>
        <w:t>验收合格后一次性付清余款。</w:t>
      </w:r>
    </w:p>
    <w:p>
      <w:pPr>
        <w:keepNext w:val="0"/>
        <w:keepLines w:val="0"/>
        <w:pageBreakBefore w:val="0"/>
        <w:kinsoku/>
        <w:wordWrap/>
        <w:overflowPunct/>
        <w:topLinePunct w:val="0"/>
        <w:autoSpaceDN/>
        <w:bidi w:val="0"/>
        <w:adjustRightInd/>
        <w:snapToGrid/>
        <w:spacing w:beforeAutospacing="0" w:afterAutospacing="0" w:line="360" w:lineRule="auto"/>
        <w:ind w:left="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注：付款前</w:t>
      </w:r>
      <w:r>
        <w:rPr>
          <w:rFonts w:hint="eastAsia" w:ascii="宋体" w:hAnsi="宋体" w:cs="宋体"/>
          <w:b w:val="0"/>
          <w:bCs/>
          <w:color w:val="auto"/>
          <w:szCs w:val="21"/>
          <w:highlight w:val="none"/>
          <w:lang w:val="en-US" w:eastAsia="zh-CN"/>
        </w:rPr>
        <w:t>乙方</w:t>
      </w:r>
      <w:r>
        <w:rPr>
          <w:rFonts w:hint="eastAsia" w:ascii="宋体" w:hAnsi="宋体" w:eastAsia="宋体" w:cs="宋体"/>
          <w:b w:val="0"/>
          <w:bCs/>
          <w:color w:val="auto"/>
          <w:szCs w:val="21"/>
          <w:highlight w:val="none"/>
        </w:rPr>
        <w:t>必须确保消杀质量达到验收标准，并通过各级爱卫办的除四害督查、县疾控中心的季度检查、市第三方监测评估、国家卫生县城复审和病媒生物控制水平评估等有关要求。如不能通过上述考核检查要求的，终止合同并没收全部履约保证金。</w:t>
      </w:r>
    </w:p>
    <w:p>
      <w:pPr>
        <w:keepNext w:val="0"/>
        <w:keepLines w:val="0"/>
        <w:pageBreakBefore w:val="0"/>
        <w:kinsoku/>
        <w:wordWrap/>
        <w:overflowPunct/>
        <w:topLinePunct w:val="0"/>
        <w:autoSpaceDN/>
        <w:bidi w:val="0"/>
        <w:adjustRightInd/>
        <w:snapToGrid/>
        <w:spacing w:beforeAutospacing="0" w:afterAutospacing="0" w:line="360" w:lineRule="auto"/>
        <w:ind w:left="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六、税</w:t>
      </w:r>
    </w:p>
    <w:p>
      <w:pPr>
        <w:keepNext w:val="0"/>
        <w:keepLines w:val="0"/>
        <w:pageBreakBefore w:val="0"/>
        <w:kinsoku/>
        <w:wordWrap/>
        <w:overflowPunct/>
        <w:topLinePunct w:val="0"/>
        <w:autoSpaceDN/>
        <w:bidi w:val="0"/>
        <w:adjustRightInd/>
        <w:snapToGrid/>
        <w:spacing w:beforeAutospacing="0" w:afterAutospacing="0" w:line="360" w:lineRule="auto"/>
        <w:ind w:lef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6.1本合同执行中相关的一切税费均由乙方负担。</w:t>
      </w:r>
    </w:p>
    <w:p>
      <w:pPr>
        <w:keepNext w:val="0"/>
        <w:keepLines w:val="0"/>
        <w:pageBreakBefore w:val="0"/>
        <w:widowControl w:val="0"/>
        <w:kinsoku/>
        <w:wordWrap/>
        <w:overflowPunct/>
        <w:topLinePunct w:val="0"/>
        <w:autoSpaceDN/>
        <w:bidi w:val="0"/>
        <w:adjustRightInd/>
        <w:snapToGrid/>
        <w:spacing w:beforeAutospacing="0" w:afterAutospacing="0" w:line="360" w:lineRule="auto"/>
        <w:ind w:left="0" w:hanging="361" w:hangingChars="171"/>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七、完成质量要求</w:t>
      </w:r>
    </w:p>
    <w:p>
      <w:pPr>
        <w:keepNext w:val="0"/>
        <w:keepLines w:val="0"/>
        <w:pageBreakBefore w:val="0"/>
        <w:widowControl w:val="0"/>
        <w:kinsoku/>
        <w:wordWrap/>
        <w:overflowPunct/>
        <w:topLinePunct w:val="0"/>
        <w:autoSpaceDN/>
        <w:bidi w:val="0"/>
        <w:adjustRightInd/>
        <w:snapToGrid/>
        <w:spacing w:beforeAutospacing="0" w:afterAutospacing="0" w:line="360" w:lineRule="auto"/>
        <w:ind w:lef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7.1 服务期间乙方不得随意更换项目负责人，如有特殊情况需要更换，须经甲方同意确认。</w:t>
      </w:r>
    </w:p>
    <w:p>
      <w:pPr>
        <w:keepNext w:val="0"/>
        <w:keepLines w:val="0"/>
        <w:pageBreakBefore w:val="0"/>
        <w:widowControl w:val="0"/>
        <w:kinsoku/>
        <w:wordWrap/>
        <w:overflowPunct/>
        <w:topLinePunct w:val="0"/>
        <w:autoSpaceDN/>
        <w:bidi w:val="0"/>
        <w:adjustRightInd/>
        <w:snapToGrid/>
        <w:spacing w:beforeAutospacing="0" w:afterAutospacing="0" w:line="360" w:lineRule="auto"/>
        <w:ind w:lef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7.2服务期间，乙方须配备足够的人员和设备。</w:t>
      </w:r>
    </w:p>
    <w:p>
      <w:pPr>
        <w:keepNext w:val="0"/>
        <w:keepLines w:val="0"/>
        <w:pageBreakBefore w:val="0"/>
        <w:kinsoku/>
        <w:wordWrap/>
        <w:overflowPunct/>
        <w:topLinePunct w:val="0"/>
        <w:autoSpaceDN/>
        <w:bidi w:val="0"/>
        <w:adjustRightInd/>
        <w:snapToGrid/>
        <w:spacing w:beforeAutospacing="0" w:afterAutospacing="0" w:line="360" w:lineRule="auto"/>
        <w:ind w:lef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7.3合同执行过程中，乙方如有弄虚作假行为，甲方有权单方面解除合同，由此引起的所以损失由乙方承担。</w:t>
      </w:r>
    </w:p>
    <w:p>
      <w:pPr>
        <w:keepNext w:val="0"/>
        <w:keepLines w:val="0"/>
        <w:pageBreakBefore w:val="0"/>
        <w:widowControl w:val="0"/>
        <w:kinsoku/>
        <w:wordWrap/>
        <w:overflowPunct/>
        <w:topLinePunct w:val="0"/>
        <w:autoSpaceDN/>
        <w:bidi w:val="0"/>
        <w:adjustRightInd/>
        <w:snapToGrid/>
        <w:spacing w:beforeAutospacing="0" w:afterAutospacing="0" w:line="360" w:lineRule="auto"/>
        <w:ind w:left="0" w:hanging="361" w:hangingChars="171"/>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kern w:val="2"/>
          <w:sz w:val="21"/>
          <w:szCs w:val="21"/>
          <w:highlight w:val="none"/>
          <w:lang w:val="en-US" w:eastAsia="zh-CN" w:bidi="ar-SA"/>
        </w:rPr>
        <w:t>八、</w:t>
      </w:r>
      <w:r>
        <w:rPr>
          <w:rFonts w:hint="eastAsia" w:ascii="宋体" w:hAnsi="宋体" w:eastAsia="宋体" w:cs="宋体"/>
          <w:b/>
          <w:color w:val="auto"/>
          <w:kern w:val="2"/>
          <w:sz w:val="21"/>
          <w:szCs w:val="21"/>
          <w:highlight w:val="none"/>
          <w:lang w:val="en-US" w:eastAsia="zh-CN" w:bidi="ar-SA"/>
        </w:rPr>
        <w:t>违约责任</w:t>
      </w:r>
    </w:p>
    <w:p>
      <w:pPr>
        <w:pStyle w:val="2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0"/>
        <w:textAlignment w:val="auto"/>
        <w:rPr>
          <w:rFonts w:hint="eastAsia" w:ascii="宋体" w:hAnsi="宋体" w:eastAsia="宋体" w:cs="宋体"/>
          <w:color w:val="auto"/>
          <w:szCs w:val="21"/>
          <w:highlight w:val="none"/>
        </w:rPr>
      </w:pPr>
      <w:r>
        <w:rPr>
          <w:rFonts w:hint="eastAsia" w:hAnsi="宋体" w:cs="宋体"/>
          <w:color w:val="auto"/>
          <w:szCs w:val="21"/>
          <w:highlight w:val="none"/>
          <w:lang w:val="en-US" w:eastAsia="zh-CN"/>
        </w:rPr>
        <w:t>8.1</w:t>
      </w:r>
      <w:r>
        <w:rPr>
          <w:rFonts w:hint="eastAsia" w:ascii="宋体" w:hAnsi="宋体" w:eastAsia="宋体" w:cs="宋体"/>
          <w:color w:val="auto"/>
          <w:szCs w:val="21"/>
          <w:highlight w:val="none"/>
        </w:rPr>
        <w:t>甲方如未能履行本合同规定的义务，致使乙方无法正常开展服务工作，乙方有权及时书面通知甲方。</w:t>
      </w:r>
    </w:p>
    <w:p>
      <w:pPr>
        <w:pStyle w:val="2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0"/>
        <w:textAlignment w:val="auto"/>
        <w:rPr>
          <w:rFonts w:hint="eastAsia" w:ascii="宋体" w:hAnsi="宋体" w:eastAsia="宋体" w:cs="宋体"/>
          <w:color w:val="auto"/>
          <w:szCs w:val="21"/>
          <w:highlight w:val="none"/>
        </w:rPr>
      </w:pPr>
      <w:r>
        <w:rPr>
          <w:rFonts w:hint="eastAsia" w:hAnsi="宋体" w:cs="宋体"/>
          <w:color w:val="auto"/>
          <w:szCs w:val="21"/>
          <w:highlight w:val="none"/>
          <w:lang w:val="en-US" w:eastAsia="zh-CN"/>
        </w:rPr>
        <w:t>8.2</w:t>
      </w:r>
      <w:r>
        <w:rPr>
          <w:rFonts w:hint="eastAsia" w:ascii="宋体" w:hAnsi="宋体" w:eastAsia="宋体" w:cs="宋体"/>
          <w:color w:val="auto"/>
          <w:szCs w:val="21"/>
          <w:highlight w:val="none"/>
        </w:rPr>
        <w:t>乙方如未能按期完成合同要求的，甲方有权及时书面通知乙方。</w:t>
      </w:r>
    </w:p>
    <w:p>
      <w:pPr>
        <w:pStyle w:val="2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0"/>
        <w:textAlignment w:val="auto"/>
        <w:rPr>
          <w:rFonts w:hint="eastAsia" w:ascii="宋体" w:hAnsi="宋体" w:eastAsia="宋体" w:cs="宋体"/>
          <w:color w:val="auto"/>
          <w:szCs w:val="21"/>
          <w:highlight w:val="none"/>
        </w:rPr>
      </w:pPr>
      <w:r>
        <w:rPr>
          <w:rFonts w:hint="eastAsia" w:hAnsi="宋体" w:cs="宋体"/>
          <w:color w:val="auto"/>
          <w:szCs w:val="21"/>
          <w:highlight w:val="none"/>
          <w:lang w:val="en-US" w:eastAsia="zh-CN"/>
        </w:rPr>
        <w:t>8.3</w:t>
      </w:r>
      <w:r>
        <w:rPr>
          <w:rFonts w:hint="eastAsia" w:ascii="宋体" w:hAnsi="宋体" w:eastAsia="宋体" w:cs="宋体"/>
          <w:color w:val="auto"/>
          <w:szCs w:val="21"/>
          <w:highlight w:val="none"/>
        </w:rPr>
        <w:t>在委托服务期内，乙方未按中标方案开展杀灭活动的、或未能通过县爱卫办检查考核及上级爱卫会的除四害督查、县疾控中心的季度检查、市第三方监测评估、国家卫生县城复审和病媒生物控制水平评估等有关考核检查的，视作违约，相关责任由乙方承担，甲方有权终止合同。</w:t>
      </w:r>
    </w:p>
    <w:p>
      <w:pPr>
        <w:pStyle w:val="2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0"/>
        <w:textAlignment w:val="auto"/>
        <w:rPr>
          <w:rFonts w:hint="eastAsia" w:ascii="宋体" w:hAnsi="宋体" w:eastAsia="宋体" w:cs="宋体"/>
          <w:color w:val="auto"/>
          <w:szCs w:val="21"/>
          <w:highlight w:val="none"/>
        </w:rPr>
      </w:pPr>
      <w:r>
        <w:rPr>
          <w:rFonts w:hint="eastAsia" w:hAnsi="宋体" w:cs="宋体"/>
          <w:color w:val="auto"/>
          <w:szCs w:val="21"/>
          <w:highlight w:val="none"/>
          <w:lang w:val="en-US" w:eastAsia="zh-CN"/>
        </w:rPr>
        <w:t>8.4</w:t>
      </w:r>
      <w:r>
        <w:rPr>
          <w:rFonts w:hint="eastAsia" w:ascii="宋体" w:hAnsi="宋体" w:eastAsia="宋体" w:cs="宋体"/>
          <w:color w:val="auto"/>
          <w:szCs w:val="21"/>
          <w:highlight w:val="none"/>
        </w:rPr>
        <w:t>甲方可对乙方下列违约行为作出处理：违反</w:t>
      </w:r>
      <w:r>
        <w:rPr>
          <w:rFonts w:hint="eastAsia" w:hAnsi="宋体" w:cs="宋体"/>
          <w:color w:val="auto"/>
          <w:szCs w:val="21"/>
          <w:highlight w:val="none"/>
          <w:lang w:eastAsia="zh-CN"/>
        </w:rPr>
        <w:t>本合同</w:t>
      </w:r>
      <w:r>
        <w:rPr>
          <w:rFonts w:hint="eastAsia" w:ascii="宋体" w:hAnsi="宋体" w:eastAsia="宋体" w:cs="宋体"/>
          <w:color w:val="auto"/>
          <w:szCs w:val="21"/>
          <w:highlight w:val="none"/>
        </w:rPr>
        <w:t>第</w:t>
      </w:r>
      <w:r>
        <w:rPr>
          <w:rFonts w:hint="eastAsia" w:hAnsi="宋体" w:cs="宋体"/>
          <w:color w:val="auto"/>
          <w:szCs w:val="21"/>
          <w:highlight w:val="none"/>
          <w:lang w:val="en-US" w:eastAsia="zh-CN"/>
        </w:rPr>
        <w:t>十</w:t>
      </w:r>
      <w:r>
        <w:rPr>
          <w:rFonts w:hint="eastAsia" w:ascii="宋体" w:hAnsi="宋体" w:eastAsia="宋体" w:cs="宋体"/>
          <w:color w:val="auto"/>
          <w:szCs w:val="21"/>
          <w:highlight w:val="none"/>
        </w:rPr>
        <w:t>条</w:t>
      </w:r>
      <w:r>
        <w:rPr>
          <w:rFonts w:hint="eastAsia" w:hAnsi="宋体" w:cs="宋体"/>
          <w:color w:val="auto"/>
          <w:szCs w:val="21"/>
          <w:highlight w:val="none"/>
          <w:lang w:eastAsia="zh-CN"/>
        </w:rPr>
        <w:t>“乙方的权利和义务”</w:t>
      </w:r>
      <w:r>
        <w:rPr>
          <w:rFonts w:hint="eastAsia" w:ascii="宋体" w:hAnsi="宋体" w:eastAsia="宋体" w:cs="宋体"/>
          <w:color w:val="auto"/>
          <w:szCs w:val="21"/>
          <w:highlight w:val="none"/>
        </w:rPr>
        <w:t>第3款的，每发现一次扣3000元，并开具整改通知书；违反</w:t>
      </w:r>
      <w:r>
        <w:rPr>
          <w:rFonts w:hint="eastAsia" w:hAnsi="宋体" w:cs="宋体"/>
          <w:color w:val="auto"/>
          <w:szCs w:val="21"/>
          <w:highlight w:val="none"/>
          <w:lang w:eastAsia="zh-CN"/>
        </w:rPr>
        <w:t>本合同第</w:t>
      </w:r>
      <w:r>
        <w:rPr>
          <w:rFonts w:hint="eastAsia" w:hAnsi="宋体" w:cs="宋体"/>
          <w:color w:val="auto"/>
          <w:szCs w:val="21"/>
          <w:highlight w:val="none"/>
          <w:lang w:val="en-US" w:eastAsia="zh-CN"/>
        </w:rPr>
        <w:t>十</w:t>
      </w:r>
      <w:r>
        <w:rPr>
          <w:rFonts w:hint="eastAsia" w:hAnsi="宋体" w:cs="宋体"/>
          <w:color w:val="auto"/>
          <w:szCs w:val="21"/>
          <w:highlight w:val="none"/>
          <w:lang w:eastAsia="zh-CN"/>
        </w:rPr>
        <w:t>条“乙方的权利和义务”</w:t>
      </w:r>
      <w:r>
        <w:rPr>
          <w:rFonts w:hint="eastAsia" w:ascii="宋体" w:hAnsi="宋体" w:eastAsia="宋体" w:cs="宋体"/>
          <w:color w:val="auto"/>
          <w:szCs w:val="21"/>
          <w:highlight w:val="none"/>
        </w:rPr>
        <w:t>第4款每少报一项资料扣3000元，并开具整改通知书；违反</w:t>
      </w:r>
      <w:r>
        <w:rPr>
          <w:rFonts w:hint="eastAsia" w:hAnsi="宋体" w:cs="宋体"/>
          <w:color w:val="auto"/>
          <w:szCs w:val="21"/>
          <w:highlight w:val="none"/>
          <w:lang w:eastAsia="zh-CN"/>
        </w:rPr>
        <w:t>本合同第</w:t>
      </w:r>
      <w:r>
        <w:rPr>
          <w:rFonts w:hint="eastAsia" w:hAnsi="宋体" w:cs="宋体"/>
          <w:color w:val="auto"/>
          <w:szCs w:val="21"/>
          <w:highlight w:val="none"/>
          <w:lang w:val="en-US" w:eastAsia="zh-CN"/>
        </w:rPr>
        <w:t>十</w:t>
      </w:r>
      <w:r>
        <w:rPr>
          <w:rFonts w:hint="eastAsia" w:hAnsi="宋体" w:cs="宋体"/>
          <w:color w:val="auto"/>
          <w:szCs w:val="21"/>
          <w:highlight w:val="none"/>
          <w:lang w:eastAsia="zh-CN"/>
        </w:rPr>
        <w:t>条“乙方的权利和义务”</w:t>
      </w:r>
      <w:r>
        <w:rPr>
          <w:rFonts w:hint="eastAsia" w:ascii="宋体" w:hAnsi="宋体" w:eastAsia="宋体" w:cs="宋体"/>
          <w:color w:val="auto"/>
          <w:szCs w:val="21"/>
          <w:highlight w:val="none"/>
        </w:rPr>
        <w:t>第5款未指导做好消杀服务和帮助“五小”单位清理四害尸体的，每发现一次扣3000元，并开具整改通知书；违反</w:t>
      </w:r>
      <w:r>
        <w:rPr>
          <w:rFonts w:hint="eastAsia" w:hAnsi="宋体" w:cs="宋体"/>
          <w:color w:val="auto"/>
          <w:szCs w:val="21"/>
          <w:highlight w:val="none"/>
          <w:lang w:eastAsia="zh-CN"/>
        </w:rPr>
        <w:t>本合同第</w:t>
      </w:r>
      <w:r>
        <w:rPr>
          <w:rFonts w:hint="eastAsia" w:hAnsi="宋体" w:cs="宋体"/>
          <w:color w:val="auto"/>
          <w:szCs w:val="21"/>
          <w:highlight w:val="none"/>
          <w:lang w:val="en-US" w:eastAsia="zh-CN"/>
        </w:rPr>
        <w:t>十</w:t>
      </w:r>
      <w:r>
        <w:rPr>
          <w:rFonts w:hint="eastAsia" w:hAnsi="宋体" w:cs="宋体"/>
          <w:color w:val="auto"/>
          <w:szCs w:val="21"/>
          <w:highlight w:val="none"/>
          <w:lang w:eastAsia="zh-CN"/>
        </w:rPr>
        <w:t>条“乙方的权利和义务”</w:t>
      </w:r>
      <w:r>
        <w:rPr>
          <w:rFonts w:hint="eastAsia" w:ascii="宋体" w:hAnsi="宋体" w:eastAsia="宋体" w:cs="宋体"/>
          <w:color w:val="auto"/>
          <w:szCs w:val="21"/>
          <w:highlight w:val="none"/>
        </w:rPr>
        <w:t>第6款未开展四害密度监测或监测不规范的，扣5万元，并开具整改通知书，责令重新开展监测；监测资料不全的，扣3000元，并开具整改通知书；违反</w:t>
      </w:r>
      <w:r>
        <w:rPr>
          <w:rFonts w:hint="eastAsia" w:hAnsi="宋体" w:cs="宋体"/>
          <w:color w:val="auto"/>
          <w:szCs w:val="21"/>
          <w:highlight w:val="none"/>
          <w:lang w:eastAsia="zh-CN"/>
        </w:rPr>
        <w:t>本合同第</w:t>
      </w:r>
      <w:r>
        <w:rPr>
          <w:rFonts w:hint="eastAsia" w:hAnsi="宋体" w:cs="宋体"/>
          <w:color w:val="auto"/>
          <w:szCs w:val="21"/>
          <w:highlight w:val="none"/>
          <w:lang w:val="en-US" w:eastAsia="zh-CN"/>
        </w:rPr>
        <w:t>十</w:t>
      </w:r>
      <w:r>
        <w:rPr>
          <w:rFonts w:hint="eastAsia" w:hAnsi="宋体" w:cs="宋体"/>
          <w:color w:val="auto"/>
          <w:szCs w:val="21"/>
          <w:highlight w:val="none"/>
          <w:lang w:eastAsia="zh-CN"/>
        </w:rPr>
        <w:t>条“乙方的权利和义务”</w:t>
      </w:r>
      <w:r>
        <w:rPr>
          <w:rFonts w:hint="eastAsia" w:ascii="宋体" w:hAnsi="宋体" w:eastAsia="宋体" w:cs="宋体"/>
          <w:color w:val="auto"/>
          <w:szCs w:val="21"/>
          <w:highlight w:val="none"/>
        </w:rPr>
        <w:t>第7款发现使用国家禁用的药物招标人有权立即终止合同。以上条款在项目实施过程中累计违反3次，合计收到3张整改通知书则甲方有权提前终止合同，并列入不良供应商名单，建议有关部门一至三年内禁止其参加本地政府采购活动；以上整改活动产生的费用由乙方承担。</w:t>
      </w:r>
    </w:p>
    <w:p>
      <w:pPr>
        <w:keepNext w:val="0"/>
        <w:keepLines w:val="0"/>
        <w:pageBreakBefore w:val="0"/>
        <w:widowControl w:val="0"/>
        <w:kinsoku/>
        <w:wordWrap/>
        <w:overflowPunct/>
        <w:topLinePunct w:val="0"/>
        <w:autoSpaceDN/>
        <w:bidi w:val="0"/>
        <w:adjustRightInd/>
        <w:snapToGrid/>
        <w:spacing w:beforeAutospacing="0" w:afterAutospacing="0" w:line="360" w:lineRule="auto"/>
        <w:ind w:left="0" w:hanging="361" w:hangingChars="171"/>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九、甲方的权利和义务</w:t>
      </w:r>
    </w:p>
    <w:p>
      <w:pPr>
        <w:keepNext w:val="0"/>
        <w:keepLines w:val="0"/>
        <w:pageBreakBefore w:val="0"/>
        <w:widowControl w:val="0"/>
        <w:kinsoku/>
        <w:wordWrap/>
        <w:overflowPunct/>
        <w:topLinePunct w:val="0"/>
        <w:autoSpaceDN/>
        <w:bidi w:val="0"/>
        <w:adjustRightInd/>
        <w:snapToGrid/>
        <w:spacing w:beforeAutospacing="0" w:afterAutospacing="0" w:line="360" w:lineRule="auto"/>
        <w:ind w:lef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9.1 在合同期内配合乙方开展服务工作，提供工作便利。</w:t>
      </w:r>
    </w:p>
    <w:p>
      <w:pPr>
        <w:keepNext w:val="0"/>
        <w:keepLines w:val="0"/>
        <w:pageBreakBefore w:val="0"/>
        <w:widowControl w:val="0"/>
        <w:kinsoku/>
        <w:wordWrap/>
        <w:overflowPunct/>
        <w:topLinePunct w:val="0"/>
        <w:autoSpaceDN/>
        <w:bidi w:val="0"/>
        <w:adjustRightInd/>
        <w:snapToGrid/>
        <w:spacing w:beforeAutospacing="0" w:afterAutospacing="0" w:line="360" w:lineRule="auto"/>
        <w:ind w:lef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9.2 有权对乙方的服务质量进行监督，并对服务不符合合同要求的，提出整改意见，作出相应违约处理，及至终止合同。</w:t>
      </w:r>
    </w:p>
    <w:p>
      <w:pPr>
        <w:pStyle w:val="2"/>
        <w:keepNext w:val="0"/>
        <w:keepLines w:val="0"/>
        <w:pageBreakBefore w:val="0"/>
        <w:kinsoku/>
        <w:wordWrap/>
        <w:overflowPunct/>
        <w:topLinePunct w:val="0"/>
        <w:autoSpaceDN/>
        <w:bidi w:val="0"/>
        <w:adjustRightInd/>
        <w:snapToGrid/>
        <w:spacing w:beforeAutospacing="0" w:after="0" w:afterLines="0" w:afterAutospacing="0" w:line="360" w:lineRule="auto"/>
        <w:ind w:left="0"/>
        <w:textAlignment w:val="auto"/>
        <w:rPr>
          <w:rFonts w:hint="default"/>
          <w:highlight w:val="none"/>
          <w:lang w:val="en-US" w:eastAsia="zh-CN"/>
        </w:rPr>
      </w:pPr>
      <w:r>
        <w:rPr>
          <w:rFonts w:hint="eastAsia" w:ascii="宋体" w:hAnsi="宋体" w:eastAsia="宋体" w:cs="宋体"/>
          <w:color w:val="auto"/>
          <w:kern w:val="2"/>
          <w:sz w:val="21"/>
          <w:szCs w:val="21"/>
          <w:highlight w:val="none"/>
          <w:lang w:val="en-US" w:eastAsia="zh-CN" w:bidi="ar-SA"/>
        </w:rPr>
        <w:t>9.3 服务完成后，甲方应在乙方除四害服务记录卡上签字认可，并按合同规定支付服务费。</w:t>
      </w:r>
    </w:p>
    <w:p>
      <w:pPr>
        <w:keepNext w:val="0"/>
        <w:keepLines w:val="0"/>
        <w:pageBreakBefore w:val="0"/>
        <w:widowControl w:val="0"/>
        <w:kinsoku/>
        <w:wordWrap/>
        <w:overflowPunct/>
        <w:topLinePunct w:val="0"/>
        <w:autoSpaceDN/>
        <w:bidi w:val="0"/>
        <w:adjustRightInd/>
        <w:snapToGrid/>
        <w:spacing w:beforeAutospacing="0" w:afterAutospacing="0" w:line="360" w:lineRule="auto"/>
        <w:ind w:left="0" w:hanging="361" w:hangingChars="171"/>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十、乙方的权利和义务</w:t>
      </w:r>
      <w:r>
        <w:rPr>
          <w:rFonts w:hint="eastAsia" w:ascii="宋体" w:hAnsi="宋体" w:cs="宋体"/>
          <w:b/>
          <w:color w:val="auto"/>
          <w:kern w:val="2"/>
          <w:sz w:val="21"/>
          <w:szCs w:val="21"/>
          <w:highlight w:val="none"/>
          <w:lang w:val="en-US" w:eastAsia="zh-CN" w:bidi="ar-SA"/>
        </w:rPr>
        <w:t>（乙方须对工作人员进行岗前培训，熟悉设备设施使用；专业技术人员须持证上岗；乙方依法与工作人员签订劳动合同，劳动纠纷、人身安全均由乙方负责）</w:t>
      </w:r>
    </w:p>
    <w:p>
      <w:pPr>
        <w:keepNext w:val="0"/>
        <w:keepLines w:val="0"/>
        <w:pageBreakBefore w:val="0"/>
        <w:widowControl w:val="0"/>
        <w:kinsoku/>
        <w:wordWrap/>
        <w:overflowPunct/>
        <w:topLinePunct w:val="0"/>
        <w:autoSpaceDN/>
        <w:bidi w:val="0"/>
        <w:adjustRightInd/>
        <w:snapToGrid/>
        <w:spacing w:beforeAutospacing="0" w:afterAutospacing="0" w:line="360" w:lineRule="auto"/>
        <w:ind w:lef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10.1</w:t>
      </w:r>
      <w:r>
        <w:rPr>
          <w:rFonts w:hint="eastAsia" w:ascii="宋体" w:hAnsi="宋体" w:eastAsia="宋体" w:cs="宋体"/>
          <w:color w:val="auto"/>
          <w:kern w:val="2"/>
          <w:sz w:val="21"/>
          <w:szCs w:val="21"/>
          <w:highlight w:val="none"/>
          <w:lang w:val="en-US" w:eastAsia="zh-CN" w:bidi="ar-SA"/>
        </w:rPr>
        <w:t>乙方按要求完成服务后，有权及时获得甲方的服务费用。</w:t>
      </w:r>
    </w:p>
    <w:p>
      <w:pPr>
        <w:keepNext w:val="0"/>
        <w:keepLines w:val="0"/>
        <w:pageBreakBefore w:val="0"/>
        <w:widowControl w:val="0"/>
        <w:kinsoku/>
        <w:wordWrap/>
        <w:overflowPunct/>
        <w:topLinePunct w:val="0"/>
        <w:autoSpaceDN/>
        <w:bidi w:val="0"/>
        <w:adjustRightInd/>
        <w:snapToGrid/>
        <w:spacing w:beforeAutospacing="0" w:afterAutospacing="0" w:line="360" w:lineRule="auto"/>
        <w:ind w:lef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10.2</w:t>
      </w:r>
      <w:r>
        <w:rPr>
          <w:rFonts w:hint="eastAsia" w:ascii="宋体" w:hAnsi="宋体" w:eastAsia="宋体" w:cs="宋体"/>
          <w:color w:val="auto"/>
          <w:kern w:val="2"/>
          <w:sz w:val="21"/>
          <w:szCs w:val="21"/>
          <w:highlight w:val="none"/>
          <w:lang w:val="en-US" w:eastAsia="zh-CN" w:bidi="ar-SA"/>
        </w:rPr>
        <w:t>乙方须根据甲方的需要，按中标方案及时提供服务，并遵守甲方有关规章制度，确保在服务期内的灭鼠杀虫质量控制在甲方要求范围内。</w:t>
      </w:r>
    </w:p>
    <w:p>
      <w:pPr>
        <w:keepNext w:val="0"/>
        <w:keepLines w:val="0"/>
        <w:pageBreakBefore w:val="0"/>
        <w:widowControl w:val="0"/>
        <w:kinsoku/>
        <w:wordWrap/>
        <w:overflowPunct/>
        <w:topLinePunct w:val="0"/>
        <w:autoSpaceDN/>
        <w:bidi w:val="0"/>
        <w:adjustRightInd/>
        <w:snapToGrid/>
        <w:spacing w:beforeAutospacing="0" w:afterAutospacing="0" w:line="360" w:lineRule="auto"/>
        <w:ind w:lef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10.3</w:t>
      </w:r>
      <w:r>
        <w:rPr>
          <w:rFonts w:hint="eastAsia" w:ascii="宋体" w:hAnsi="宋体" w:eastAsia="宋体" w:cs="宋体"/>
          <w:color w:val="auto"/>
          <w:kern w:val="2"/>
          <w:sz w:val="21"/>
          <w:szCs w:val="21"/>
          <w:highlight w:val="none"/>
          <w:lang w:val="en-US" w:eastAsia="zh-CN" w:bidi="ar-SA"/>
        </w:rPr>
        <w:t>乙方服务人员必须按照规定统一着装，服装上公司标识明显，上装须有安全反光标志，佩戴工作帽；严格遵守除四害技术操作规程，文明作业，并填写除四害服务记录卡作为每次服务的凭证。</w:t>
      </w:r>
    </w:p>
    <w:p>
      <w:pPr>
        <w:keepNext w:val="0"/>
        <w:keepLines w:val="0"/>
        <w:pageBreakBefore w:val="0"/>
        <w:widowControl w:val="0"/>
        <w:kinsoku/>
        <w:wordWrap/>
        <w:overflowPunct/>
        <w:topLinePunct w:val="0"/>
        <w:autoSpaceDN/>
        <w:bidi w:val="0"/>
        <w:adjustRightInd/>
        <w:snapToGrid/>
        <w:spacing w:beforeAutospacing="0" w:afterAutospacing="0" w:line="360" w:lineRule="auto"/>
        <w:ind w:lef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10.4</w:t>
      </w:r>
      <w:r>
        <w:rPr>
          <w:rFonts w:hint="eastAsia" w:ascii="宋体" w:hAnsi="宋体" w:eastAsia="宋体" w:cs="宋体"/>
          <w:color w:val="auto"/>
          <w:kern w:val="2"/>
          <w:sz w:val="21"/>
          <w:szCs w:val="21"/>
          <w:highlight w:val="none"/>
          <w:lang w:val="en-US" w:eastAsia="zh-CN" w:bidi="ar-SA"/>
        </w:rPr>
        <w:t>乙方每月定期向甲方上报每月消杀进度记录、消杀药械消耗记录、下月消杀方案和除四害器械设置地点平面图等资料；及时向甲方上报年度消杀方案及季度、半年度、年度小结；及时向甲方上报高峰期及突发性四害消杀方案和小结。</w:t>
      </w:r>
    </w:p>
    <w:p>
      <w:pPr>
        <w:keepNext w:val="0"/>
        <w:keepLines w:val="0"/>
        <w:pageBreakBefore w:val="0"/>
        <w:widowControl w:val="0"/>
        <w:kinsoku/>
        <w:wordWrap/>
        <w:overflowPunct/>
        <w:topLinePunct w:val="0"/>
        <w:autoSpaceDN/>
        <w:bidi w:val="0"/>
        <w:adjustRightInd/>
        <w:snapToGrid/>
        <w:spacing w:beforeAutospacing="0" w:afterAutospacing="0" w:line="360" w:lineRule="auto"/>
        <w:ind w:lef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10.5</w:t>
      </w:r>
      <w:r>
        <w:rPr>
          <w:rFonts w:hint="eastAsia" w:ascii="宋体" w:hAnsi="宋体" w:eastAsia="宋体" w:cs="宋体"/>
          <w:color w:val="auto"/>
          <w:kern w:val="2"/>
          <w:sz w:val="21"/>
          <w:szCs w:val="21"/>
          <w:highlight w:val="none"/>
          <w:lang w:val="en-US" w:eastAsia="zh-CN" w:bidi="ar-SA"/>
        </w:rPr>
        <w:t>协助</w:t>
      </w:r>
      <w:r>
        <w:rPr>
          <w:rFonts w:hint="eastAsia" w:ascii="宋体" w:hAnsi="宋体" w:cs="宋体"/>
          <w:color w:val="auto"/>
          <w:kern w:val="2"/>
          <w:sz w:val="21"/>
          <w:szCs w:val="21"/>
          <w:highlight w:val="none"/>
          <w:lang w:val="en-US" w:eastAsia="zh-CN" w:bidi="ar-SA"/>
        </w:rPr>
        <w:t>甲方</w:t>
      </w:r>
      <w:r>
        <w:rPr>
          <w:rFonts w:hint="eastAsia" w:ascii="宋体" w:hAnsi="宋体" w:eastAsia="宋体" w:cs="宋体"/>
          <w:color w:val="auto"/>
          <w:kern w:val="2"/>
          <w:sz w:val="21"/>
          <w:szCs w:val="21"/>
          <w:highlight w:val="none"/>
          <w:lang w:val="en-US" w:eastAsia="zh-CN" w:bidi="ar-SA"/>
        </w:rPr>
        <w:t>开展</w:t>
      </w:r>
      <w:r>
        <w:rPr>
          <w:rFonts w:hint="eastAsia" w:ascii="宋体" w:hAnsi="宋体" w:cs="宋体"/>
          <w:color w:val="auto"/>
          <w:kern w:val="2"/>
          <w:sz w:val="21"/>
          <w:szCs w:val="21"/>
          <w:highlight w:val="none"/>
          <w:lang w:val="en-US" w:eastAsia="zh-CN" w:bidi="ar-SA"/>
        </w:rPr>
        <w:t>对</w:t>
      </w:r>
      <w:r>
        <w:rPr>
          <w:rFonts w:hint="eastAsia" w:ascii="宋体" w:hAnsi="宋体" w:eastAsia="宋体" w:cs="宋体"/>
          <w:color w:val="auto"/>
          <w:kern w:val="2"/>
          <w:sz w:val="21"/>
          <w:szCs w:val="21"/>
          <w:highlight w:val="none"/>
          <w:lang w:val="en-US" w:eastAsia="zh-CN" w:bidi="ar-SA"/>
        </w:rPr>
        <w:t>除四害消杀服务指导，做好技术支持，整理、完善除四害资料；帮助“五小”单位消杀后及时清理四害尸体；帮助服务单位健全“四害”防制设施，提出改进意见。</w:t>
      </w:r>
    </w:p>
    <w:p>
      <w:pPr>
        <w:keepNext w:val="0"/>
        <w:keepLines w:val="0"/>
        <w:pageBreakBefore w:val="0"/>
        <w:widowControl w:val="0"/>
        <w:kinsoku/>
        <w:wordWrap/>
        <w:overflowPunct/>
        <w:topLinePunct w:val="0"/>
        <w:autoSpaceDN/>
        <w:bidi w:val="0"/>
        <w:adjustRightInd/>
        <w:snapToGrid/>
        <w:spacing w:beforeAutospacing="0" w:afterAutospacing="0" w:line="360" w:lineRule="auto"/>
        <w:ind w:lef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10.6</w:t>
      </w:r>
      <w:r>
        <w:rPr>
          <w:rFonts w:hint="eastAsia" w:ascii="宋体" w:hAnsi="宋体" w:eastAsia="宋体" w:cs="宋体"/>
          <w:color w:val="auto"/>
          <w:kern w:val="2"/>
          <w:sz w:val="21"/>
          <w:szCs w:val="21"/>
          <w:highlight w:val="none"/>
          <w:lang w:val="en-US" w:eastAsia="zh-CN" w:bidi="ar-SA"/>
        </w:rPr>
        <w:t>开展杀灭前后四害密度监测，完善密度监测资料。</w:t>
      </w:r>
    </w:p>
    <w:p>
      <w:pPr>
        <w:keepNext w:val="0"/>
        <w:keepLines w:val="0"/>
        <w:pageBreakBefore w:val="0"/>
        <w:widowControl w:val="0"/>
        <w:kinsoku/>
        <w:wordWrap/>
        <w:overflowPunct/>
        <w:topLinePunct w:val="0"/>
        <w:autoSpaceDN/>
        <w:bidi w:val="0"/>
        <w:adjustRightInd/>
        <w:snapToGrid/>
        <w:spacing w:beforeAutospacing="0" w:afterAutospacing="0" w:line="360" w:lineRule="auto"/>
        <w:ind w:lef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10.7</w:t>
      </w:r>
      <w:r>
        <w:rPr>
          <w:rFonts w:hint="eastAsia" w:ascii="宋体" w:hAnsi="宋体" w:eastAsia="宋体" w:cs="宋体"/>
          <w:color w:val="auto"/>
          <w:kern w:val="2"/>
          <w:sz w:val="21"/>
          <w:szCs w:val="21"/>
          <w:highlight w:val="none"/>
          <w:lang w:val="en-US" w:eastAsia="zh-CN" w:bidi="ar-SA"/>
        </w:rPr>
        <w:t>所使用的灭鼠杀虫药物按国家规定或全国爱卫会专家委员会推荐和认定的药物，严禁使用急性灭鼠药或其他明文禁用药物。</w:t>
      </w:r>
    </w:p>
    <w:p>
      <w:pPr>
        <w:keepNext w:val="0"/>
        <w:keepLines w:val="0"/>
        <w:pageBreakBefore w:val="0"/>
        <w:widowControl w:val="0"/>
        <w:kinsoku/>
        <w:wordWrap/>
        <w:overflowPunct/>
        <w:topLinePunct w:val="0"/>
        <w:autoSpaceDN/>
        <w:bidi w:val="0"/>
        <w:adjustRightInd/>
        <w:snapToGrid/>
        <w:spacing w:beforeAutospacing="0" w:afterAutospacing="0" w:line="360" w:lineRule="auto"/>
        <w:ind w:left="0"/>
        <w:jc w:val="both"/>
        <w:textAlignment w:val="auto"/>
        <w:rPr>
          <w:rFonts w:hint="eastAsia"/>
          <w:highlight w:val="none"/>
          <w:lang w:val="en-US" w:eastAsia="zh-CN"/>
        </w:rPr>
      </w:pPr>
      <w:r>
        <w:rPr>
          <w:rFonts w:hint="eastAsia" w:ascii="宋体" w:hAnsi="宋体" w:cs="宋体"/>
          <w:color w:val="auto"/>
          <w:kern w:val="2"/>
          <w:sz w:val="21"/>
          <w:szCs w:val="21"/>
          <w:highlight w:val="none"/>
          <w:lang w:val="en-US" w:eastAsia="zh-CN" w:bidi="ar-SA"/>
        </w:rPr>
        <w:t>10.8</w:t>
      </w:r>
      <w:r>
        <w:rPr>
          <w:rFonts w:hint="eastAsia" w:ascii="宋体" w:hAnsi="宋体" w:eastAsia="宋体" w:cs="宋体"/>
          <w:color w:val="auto"/>
          <w:kern w:val="2"/>
          <w:sz w:val="21"/>
          <w:szCs w:val="21"/>
          <w:highlight w:val="none"/>
          <w:lang w:val="en-US" w:eastAsia="zh-CN" w:bidi="ar-SA"/>
        </w:rPr>
        <w:t>做到安全作业。在易发生人畜误食的场所，应设中文警示标识；在公共环境作业时应规范设置作业隔离区，警示标识明显；服务期间发生人畜药物中毒事故或其它人身财产损害的由乙方自行负责。</w:t>
      </w:r>
    </w:p>
    <w:p>
      <w:pPr>
        <w:keepNext w:val="0"/>
        <w:keepLines w:val="0"/>
        <w:pageBreakBefore w:val="0"/>
        <w:widowControl w:val="0"/>
        <w:kinsoku/>
        <w:wordWrap/>
        <w:overflowPunct/>
        <w:topLinePunct w:val="0"/>
        <w:autoSpaceDN/>
        <w:bidi w:val="0"/>
        <w:adjustRightInd/>
        <w:snapToGrid/>
        <w:spacing w:beforeAutospacing="0" w:afterAutospacing="0" w:line="360" w:lineRule="auto"/>
        <w:ind w:left="0" w:hanging="361" w:hangingChars="171"/>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十一、不可抗力事件处理</w:t>
      </w:r>
    </w:p>
    <w:p>
      <w:pPr>
        <w:keepNext w:val="0"/>
        <w:keepLines w:val="0"/>
        <w:pageBreakBefore w:val="0"/>
        <w:widowControl w:val="0"/>
        <w:kinsoku/>
        <w:wordWrap/>
        <w:overflowPunct/>
        <w:topLinePunct w:val="0"/>
        <w:autoSpaceDN/>
        <w:bidi w:val="0"/>
        <w:adjustRightInd/>
        <w:snapToGrid/>
        <w:spacing w:beforeAutospacing="0" w:afterAutospacing="0" w:line="360" w:lineRule="auto"/>
        <w:ind w:lef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11.1 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N/>
        <w:bidi w:val="0"/>
        <w:adjustRightInd/>
        <w:snapToGrid/>
        <w:spacing w:beforeAutospacing="0" w:afterAutospacing="0" w:line="360" w:lineRule="auto"/>
        <w:ind w:lef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11.2 不可抗力事件发生后，应立即通知对方，并寄送有关权威机构出具的证明。</w:t>
      </w:r>
    </w:p>
    <w:p>
      <w:pPr>
        <w:keepNext w:val="0"/>
        <w:keepLines w:val="0"/>
        <w:pageBreakBefore w:val="0"/>
        <w:widowControl w:val="0"/>
        <w:kinsoku/>
        <w:wordWrap/>
        <w:overflowPunct/>
        <w:topLinePunct w:val="0"/>
        <w:autoSpaceDN/>
        <w:bidi w:val="0"/>
        <w:adjustRightInd/>
        <w:snapToGrid/>
        <w:spacing w:beforeAutospacing="0" w:afterAutospacing="0" w:line="360" w:lineRule="auto"/>
        <w:ind w:lef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11.3 不可抗力事件延续120天以上，双方应通过友好协商，确定是否继续履行合同。</w:t>
      </w:r>
    </w:p>
    <w:p>
      <w:pPr>
        <w:keepNext w:val="0"/>
        <w:keepLines w:val="0"/>
        <w:pageBreakBefore w:val="0"/>
        <w:widowControl w:val="0"/>
        <w:kinsoku/>
        <w:wordWrap/>
        <w:overflowPunct/>
        <w:topLinePunct w:val="0"/>
        <w:autoSpaceDN/>
        <w:bidi w:val="0"/>
        <w:adjustRightInd/>
        <w:snapToGrid/>
        <w:spacing w:beforeAutospacing="0" w:afterAutospacing="0" w:line="360" w:lineRule="auto"/>
        <w:ind w:left="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十二、诉讼</w:t>
      </w:r>
    </w:p>
    <w:p>
      <w:pPr>
        <w:keepNext w:val="0"/>
        <w:keepLines w:val="0"/>
        <w:pageBreakBefore w:val="0"/>
        <w:widowControl w:val="0"/>
        <w:kinsoku/>
        <w:wordWrap/>
        <w:overflowPunct/>
        <w:topLinePunct w:val="0"/>
        <w:autoSpaceDN/>
        <w:bidi w:val="0"/>
        <w:adjustRightInd/>
        <w:snapToGrid/>
        <w:spacing w:beforeAutospacing="0" w:afterAutospacing="0" w:line="360" w:lineRule="auto"/>
        <w:ind w:lef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12.1 双方在执行合同中所发生的一切争议，应通过协商解决。如协商不成，可向合同签订地法院起诉。</w:t>
      </w:r>
    </w:p>
    <w:p>
      <w:pPr>
        <w:keepNext w:val="0"/>
        <w:keepLines w:val="0"/>
        <w:pageBreakBefore w:val="0"/>
        <w:widowControl w:val="0"/>
        <w:kinsoku/>
        <w:wordWrap/>
        <w:overflowPunct/>
        <w:topLinePunct w:val="0"/>
        <w:autoSpaceDN/>
        <w:bidi w:val="0"/>
        <w:adjustRightInd/>
        <w:snapToGrid/>
        <w:spacing w:beforeAutospacing="0" w:afterAutospacing="0" w:line="360" w:lineRule="auto"/>
        <w:ind w:left="0"/>
        <w:jc w:val="both"/>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十三、合同生效及其它</w:t>
      </w:r>
    </w:p>
    <w:p>
      <w:pPr>
        <w:keepNext w:val="0"/>
        <w:keepLines w:val="0"/>
        <w:pageBreakBefore w:val="0"/>
        <w:widowControl w:val="0"/>
        <w:kinsoku/>
        <w:wordWrap/>
        <w:overflowPunct/>
        <w:topLinePunct w:val="0"/>
        <w:autoSpaceDN/>
        <w:bidi w:val="0"/>
        <w:adjustRightInd/>
        <w:snapToGrid/>
        <w:spacing w:beforeAutospacing="0" w:afterAutospacing="0" w:line="360" w:lineRule="auto"/>
        <w:ind w:lef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13.1 合同经双方法定代表人或授权委托代理人签字并加盖单位公章后生效。</w:t>
      </w:r>
    </w:p>
    <w:p>
      <w:pPr>
        <w:keepNext w:val="0"/>
        <w:keepLines w:val="0"/>
        <w:pageBreakBefore w:val="0"/>
        <w:widowControl w:val="0"/>
        <w:kinsoku/>
        <w:wordWrap/>
        <w:overflowPunct/>
        <w:topLinePunct w:val="0"/>
        <w:autoSpaceDN/>
        <w:bidi w:val="0"/>
        <w:adjustRightInd/>
        <w:snapToGrid/>
        <w:spacing w:beforeAutospacing="0" w:afterAutospacing="0" w:line="360" w:lineRule="auto"/>
        <w:ind w:lef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13.2合同执行中涉及采购资金和采购内容修改或补充的，须经财政部门审批，并签书面补充协议报政府采购监督管理部门备案，方可作为主合同不可分割的一部分。</w:t>
      </w:r>
    </w:p>
    <w:p>
      <w:pPr>
        <w:keepNext w:val="0"/>
        <w:keepLines w:val="0"/>
        <w:pageBreakBefore w:val="0"/>
        <w:widowControl w:val="0"/>
        <w:kinsoku/>
        <w:wordWrap/>
        <w:overflowPunct/>
        <w:topLinePunct w:val="0"/>
        <w:autoSpaceDN/>
        <w:bidi w:val="0"/>
        <w:adjustRightInd/>
        <w:snapToGrid/>
        <w:spacing w:beforeAutospacing="0" w:afterAutospacing="0" w:line="360" w:lineRule="auto"/>
        <w:ind w:lef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13.3本合同未尽事宜，遵照《中华人民共和国民法典》有关条文、补充协议、投标承诺、投标文件、采购文件及补充执行。</w:t>
      </w:r>
    </w:p>
    <w:p>
      <w:pPr>
        <w:keepNext w:val="0"/>
        <w:keepLines w:val="0"/>
        <w:pageBreakBefore w:val="0"/>
        <w:widowControl w:val="0"/>
        <w:kinsoku/>
        <w:wordWrap/>
        <w:overflowPunct/>
        <w:topLinePunct w:val="0"/>
        <w:autoSpaceDN/>
        <w:bidi w:val="0"/>
        <w:adjustRightInd/>
        <w:snapToGrid/>
        <w:spacing w:beforeAutospacing="0" w:afterAutospacing="0" w:line="360" w:lineRule="auto"/>
        <w:ind w:lef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13.4本合同正本一式   份，甲乙双方各执  份；副本  份，甲乙双方各执  份。合同正副本具有同等法律效力。</w:t>
      </w:r>
    </w:p>
    <w:p>
      <w:pPr>
        <w:keepNext w:val="0"/>
        <w:keepLines w:val="0"/>
        <w:pageBreakBefore w:val="0"/>
        <w:kinsoku/>
        <w:wordWrap/>
        <w:overflowPunct/>
        <w:topLinePunct w:val="0"/>
        <w:autoSpaceDN/>
        <w:bidi w:val="0"/>
        <w:adjustRightInd/>
        <w:snapToGrid/>
        <w:spacing w:beforeAutospacing="0" w:afterAutospacing="0" w:line="360" w:lineRule="auto"/>
        <w:ind w:left="0"/>
        <w:textAlignment w:val="auto"/>
        <w:rPr>
          <w:rFonts w:hint="eastAsia" w:ascii="宋体" w:hAnsi="宋体" w:eastAsia="宋体" w:cs="宋体"/>
          <w:color w:val="auto"/>
          <w:highlight w:val="none"/>
        </w:rPr>
      </w:pPr>
    </w:p>
    <w:p>
      <w:pPr>
        <w:pStyle w:val="43"/>
        <w:keepNext w:val="0"/>
        <w:keepLines w:val="0"/>
        <w:pageBreakBefore w:val="0"/>
        <w:widowControl w:val="0"/>
        <w:kinsoku/>
        <w:wordWrap/>
        <w:overflowPunct/>
        <w:topLinePunct w:val="0"/>
        <w:autoSpaceDE w:val="0"/>
        <w:autoSpaceDN/>
        <w:bidi w:val="0"/>
        <w:adjustRightInd/>
        <w:snapToGrid/>
        <w:spacing w:before="0" w:beforeLines="0" w:beforeAutospacing="0" w:after="0" w:afterLines="0" w:afterAutospacing="0" w:line="360" w:lineRule="auto"/>
        <w:ind w:left="0"/>
        <w:textAlignment w:val="auto"/>
        <w:rPr>
          <w:rFonts w:hint="eastAsia" w:ascii="宋体" w:hAnsi="宋体" w:eastAsia="宋体" w:cs="宋体"/>
          <w:color w:val="auto"/>
          <w:sz w:val="21"/>
          <w:szCs w:val="21"/>
          <w:highlight w:val="none"/>
          <w:lang w:bidi="ar"/>
        </w:rPr>
      </w:pPr>
    </w:p>
    <w:p>
      <w:pPr>
        <w:pStyle w:val="43"/>
        <w:keepNext w:val="0"/>
        <w:keepLines w:val="0"/>
        <w:pageBreakBefore w:val="0"/>
        <w:widowControl w:val="0"/>
        <w:kinsoku/>
        <w:wordWrap/>
        <w:overflowPunct/>
        <w:topLinePunct w:val="0"/>
        <w:autoSpaceDE w:val="0"/>
        <w:autoSpaceDN/>
        <w:bidi w:val="0"/>
        <w:adjustRightInd/>
        <w:snapToGrid/>
        <w:spacing w:before="0" w:beforeLines="0" w:beforeAutospacing="0" w:after="0" w:afterLines="0" w:afterAutospacing="0" w:line="360" w:lineRule="auto"/>
        <w:ind w:left="0"/>
        <w:textAlignment w:val="auto"/>
        <w:rPr>
          <w:rFonts w:hint="eastAsia" w:ascii="宋体" w:hAnsi="宋体" w:eastAsia="宋体" w:cs="宋体"/>
          <w:color w:val="auto"/>
          <w:sz w:val="21"/>
          <w:szCs w:val="21"/>
          <w:highlight w:val="none"/>
          <w:lang w:bidi="ar"/>
        </w:rPr>
      </w:pPr>
    </w:p>
    <w:p>
      <w:pPr>
        <w:pStyle w:val="43"/>
        <w:keepNext w:val="0"/>
        <w:keepLines w:val="0"/>
        <w:pageBreakBefore w:val="0"/>
        <w:widowControl w:val="0"/>
        <w:kinsoku/>
        <w:wordWrap/>
        <w:overflowPunct/>
        <w:topLinePunct w:val="0"/>
        <w:autoSpaceDE w:val="0"/>
        <w:autoSpaceDN/>
        <w:bidi w:val="0"/>
        <w:adjustRightInd/>
        <w:snapToGrid/>
        <w:spacing w:before="0" w:beforeLines="0" w:beforeAutospacing="0" w:after="0" w:afterLines="0" w:afterAutospacing="0" w:line="360" w:lineRule="auto"/>
        <w:ind w:left="0"/>
        <w:textAlignment w:val="auto"/>
        <w:rPr>
          <w:rFonts w:hint="eastAsia" w:ascii="宋体" w:hAnsi="宋体" w:eastAsia="宋体" w:cs="宋体"/>
          <w:color w:val="auto"/>
          <w:sz w:val="21"/>
          <w:szCs w:val="21"/>
          <w:highlight w:val="none"/>
          <w:lang w:bidi="ar"/>
        </w:rPr>
      </w:pPr>
    </w:p>
    <w:p>
      <w:pPr>
        <w:pStyle w:val="43"/>
        <w:keepNext w:val="0"/>
        <w:keepLines w:val="0"/>
        <w:pageBreakBefore w:val="0"/>
        <w:widowControl w:val="0"/>
        <w:kinsoku/>
        <w:wordWrap/>
        <w:overflowPunct/>
        <w:topLinePunct w:val="0"/>
        <w:autoSpaceDE w:val="0"/>
        <w:autoSpaceDN/>
        <w:bidi w:val="0"/>
        <w:adjustRightInd/>
        <w:snapToGrid/>
        <w:spacing w:before="0" w:beforeLines="0" w:beforeAutospacing="0" w:after="0" w:afterLines="0" w:afterAutospacing="0" w:line="360" w:lineRule="auto"/>
        <w:ind w:left="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甲方：(公章)                               乙方：(公章)</w:t>
      </w:r>
    </w:p>
    <w:p>
      <w:pPr>
        <w:pStyle w:val="43"/>
        <w:keepNext w:val="0"/>
        <w:keepLines w:val="0"/>
        <w:pageBreakBefore w:val="0"/>
        <w:widowControl w:val="0"/>
        <w:kinsoku/>
        <w:wordWrap/>
        <w:overflowPunct/>
        <w:topLinePunct w:val="0"/>
        <w:autoSpaceDE w:val="0"/>
        <w:autoSpaceDN/>
        <w:bidi w:val="0"/>
        <w:adjustRightInd/>
        <w:snapToGrid/>
        <w:spacing w:before="0" w:beforeLines="0" w:beforeAutospacing="0" w:after="0" w:afterLines="0" w:afterAutospacing="0" w:line="360" w:lineRule="auto"/>
        <w:ind w:left="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地址：                                     地址：</w:t>
      </w:r>
    </w:p>
    <w:p>
      <w:pPr>
        <w:pStyle w:val="43"/>
        <w:keepNext w:val="0"/>
        <w:keepLines w:val="0"/>
        <w:pageBreakBefore w:val="0"/>
        <w:widowControl w:val="0"/>
        <w:kinsoku/>
        <w:wordWrap/>
        <w:overflowPunct/>
        <w:topLinePunct w:val="0"/>
        <w:autoSpaceDE w:val="0"/>
        <w:autoSpaceDN/>
        <w:bidi w:val="0"/>
        <w:adjustRightInd/>
        <w:snapToGrid/>
        <w:spacing w:before="0" w:beforeLines="0" w:beforeAutospacing="0" w:after="0" w:afterLines="0" w:afterAutospacing="0" w:line="360" w:lineRule="auto"/>
        <w:ind w:left="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法定代表人：(签字)                         法定代表人：(签字)</w:t>
      </w:r>
    </w:p>
    <w:p>
      <w:pPr>
        <w:pStyle w:val="43"/>
        <w:keepNext w:val="0"/>
        <w:keepLines w:val="0"/>
        <w:pageBreakBefore w:val="0"/>
        <w:widowControl w:val="0"/>
        <w:kinsoku/>
        <w:wordWrap/>
        <w:overflowPunct/>
        <w:topLinePunct w:val="0"/>
        <w:autoSpaceDE w:val="0"/>
        <w:autoSpaceDN/>
        <w:bidi w:val="0"/>
        <w:adjustRightInd/>
        <w:snapToGrid/>
        <w:spacing w:before="0" w:beforeLines="0" w:beforeAutospacing="0" w:after="0" w:afterLines="0" w:afterAutospacing="0" w:line="360" w:lineRule="auto"/>
        <w:ind w:left="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委托代理人：(签字)                         委托代理人：(签字)</w:t>
      </w:r>
    </w:p>
    <w:p>
      <w:pPr>
        <w:pStyle w:val="43"/>
        <w:keepNext w:val="0"/>
        <w:keepLines w:val="0"/>
        <w:pageBreakBefore w:val="0"/>
        <w:widowControl w:val="0"/>
        <w:kinsoku/>
        <w:wordWrap/>
        <w:overflowPunct/>
        <w:topLinePunct w:val="0"/>
        <w:autoSpaceDE w:val="0"/>
        <w:autoSpaceDN/>
        <w:bidi w:val="0"/>
        <w:adjustRightInd/>
        <w:snapToGrid/>
        <w:spacing w:before="0" w:beforeLines="0" w:beforeAutospacing="0" w:after="0" w:afterLines="0" w:afterAutospacing="0" w:line="360" w:lineRule="auto"/>
        <w:ind w:left="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电话：                                     电话：</w:t>
      </w:r>
    </w:p>
    <w:p>
      <w:pPr>
        <w:pStyle w:val="43"/>
        <w:keepNext w:val="0"/>
        <w:keepLines w:val="0"/>
        <w:pageBreakBefore w:val="0"/>
        <w:widowControl w:val="0"/>
        <w:kinsoku/>
        <w:wordWrap/>
        <w:overflowPunct/>
        <w:topLinePunct w:val="0"/>
        <w:autoSpaceDE w:val="0"/>
        <w:autoSpaceDN/>
        <w:bidi w:val="0"/>
        <w:adjustRightInd/>
        <w:snapToGrid/>
        <w:spacing w:before="0" w:beforeLines="0" w:beforeAutospacing="0" w:after="0" w:afterLines="0" w:afterAutospacing="0" w:line="360" w:lineRule="auto"/>
        <w:ind w:left="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传真：                                     传真：</w:t>
      </w:r>
    </w:p>
    <w:p>
      <w:pPr>
        <w:pStyle w:val="43"/>
        <w:keepNext w:val="0"/>
        <w:keepLines w:val="0"/>
        <w:pageBreakBefore w:val="0"/>
        <w:widowControl w:val="0"/>
        <w:kinsoku/>
        <w:wordWrap/>
        <w:overflowPunct/>
        <w:topLinePunct w:val="0"/>
        <w:autoSpaceDE w:val="0"/>
        <w:autoSpaceDN/>
        <w:bidi w:val="0"/>
        <w:adjustRightInd/>
        <w:snapToGrid/>
        <w:spacing w:before="0" w:beforeLines="0" w:beforeAutospacing="0" w:after="0" w:afterLines="0" w:afterAutospacing="0" w:line="360" w:lineRule="auto"/>
        <w:ind w:left="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开户银行：                                 开户银行：</w:t>
      </w:r>
    </w:p>
    <w:p>
      <w:pPr>
        <w:pStyle w:val="43"/>
        <w:keepNext w:val="0"/>
        <w:keepLines w:val="0"/>
        <w:pageBreakBefore w:val="0"/>
        <w:widowControl w:val="0"/>
        <w:kinsoku/>
        <w:wordWrap/>
        <w:overflowPunct/>
        <w:topLinePunct w:val="0"/>
        <w:autoSpaceDE w:val="0"/>
        <w:autoSpaceDN/>
        <w:bidi w:val="0"/>
        <w:adjustRightInd/>
        <w:snapToGrid/>
        <w:spacing w:before="0" w:beforeLines="0" w:beforeAutospacing="0" w:after="0" w:afterLines="0" w:afterAutospacing="0" w:line="360" w:lineRule="auto"/>
        <w:ind w:left="0"/>
        <w:textAlignment w:val="auto"/>
        <w:rPr>
          <w:rFonts w:hint="eastAsia" w:ascii="宋体" w:hAnsi="宋体" w:eastAsia="宋体" w:cs="宋体"/>
          <w:color w:val="auto"/>
          <w:sz w:val="21"/>
          <w:szCs w:val="21"/>
          <w:highlight w:val="none"/>
          <w:lang w:bidi="ar"/>
        </w:rPr>
      </w:pPr>
      <w:r>
        <w:rPr>
          <w:rFonts w:hint="eastAsia" w:ascii="宋体" w:hAnsi="宋体" w:cs="宋体"/>
          <w:color w:val="auto"/>
          <w:sz w:val="21"/>
          <w:szCs w:val="21"/>
          <w:highlight w:val="none"/>
          <w:lang w:eastAsia="zh-CN" w:bidi="ar"/>
        </w:rPr>
        <w:t>账号</w:t>
      </w:r>
      <w:r>
        <w:rPr>
          <w:rFonts w:hint="eastAsia" w:ascii="宋体" w:hAnsi="宋体" w:eastAsia="宋体" w:cs="宋体"/>
          <w:color w:val="auto"/>
          <w:sz w:val="21"/>
          <w:szCs w:val="21"/>
          <w:highlight w:val="none"/>
          <w:lang w:bidi="ar"/>
        </w:rPr>
        <w:t xml:space="preserve">：                                     </w:t>
      </w:r>
      <w:r>
        <w:rPr>
          <w:rFonts w:hint="eastAsia" w:ascii="宋体" w:hAnsi="宋体" w:cs="宋体"/>
          <w:color w:val="auto"/>
          <w:sz w:val="21"/>
          <w:szCs w:val="21"/>
          <w:highlight w:val="none"/>
          <w:lang w:eastAsia="zh-CN" w:bidi="ar"/>
        </w:rPr>
        <w:t>账号</w:t>
      </w:r>
      <w:r>
        <w:rPr>
          <w:rFonts w:hint="eastAsia" w:ascii="宋体" w:hAnsi="宋体" w:eastAsia="宋体" w:cs="宋体"/>
          <w:color w:val="auto"/>
          <w:sz w:val="21"/>
          <w:szCs w:val="21"/>
          <w:highlight w:val="none"/>
          <w:lang w:bidi="ar"/>
        </w:rPr>
        <w:t>：</w:t>
      </w:r>
    </w:p>
    <w:p>
      <w:pPr>
        <w:pStyle w:val="43"/>
        <w:keepNext w:val="0"/>
        <w:keepLines w:val="0"/>
        <w:pageBreakBefore w:val="0"/>
        <w:widowControl w:val="0"/>
        <w:kinsoku/>
        <w:wordWrap/>
        <w:overflowPunct/>
        <w:topLinePunct w:val="0"/>
        <w:autoSpaceDE w:val="0"/>
        <w:autoSpaceDN/>
        <w:bidi w:val="0"/>
        <w:adjustRightInd/>
        <w:snapToGrid/>
        <w:spacing w:before="0" w:beforeLines="0" w:beforeAutospacing="0" w:after="0" w:afterLines="0" w:afterAutospacing="0" w:line="360" w:lineRule="auto"/>
        <w:ind w:left="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邮政编码：                                 邮政编码：</w:t>
      </w:r>
    </w:p>
    <w:p>
      <w:pPr>
        <w:keepNext w:val="0"/>
        <w:keepLines w:val="0"/>
        <w:pageBreakBefore w:val="0"/>
        <w:widowControl/>
        <w:kinsoku/>
        <w:wordWrap/>
        <w:overflowPunct/>
        <w:topLinePunct w:val="0"/>
        <w:autoSpaceDE w:val="0"/>
        <w:autoSpaceDN/>
        <w:bidi w:val="0"/>
        <w:adjustRightInd/>
        <w:snapToGrid/>
        <w:spacing w:beforeAutospacing="0" w:afterAutospacing="0" w:line="360" w:lineRule="auto"/>
        <w:ind w:left="0"/>
        <w:jc w:val="left"/>
        <w:textAlignment w:val="auto"/>
        <w:rPr>
          <w:rFonts w:hint="eastAsia" w:ascii="宋体" w:hAnsi="宋体" w:eastAsia="宋体" w:cs="宋体"/>
          <w:color w:val="auto"/>
          <w:highlight w:val="none"/>
        </w:rPr>
      </w:pPr>
    </w:p>
    <w:p>
      <w:pPr>
        <w:keepNext w:val="0"/>
        <w:keepLines w:val="0"/>
        <w:pageBreakBefore w:val="0"/>
        <w:widowControl/>
        <w:kinsoku/>
        <w:wordWrap/>
        <w:overflowPunct/>
        <w:topLinePunct w:val="0"/>
        <w:autoSpaceDE w:val="0"/>
        <w:autoSpaceDN/>
        <w:bidi w:val="0"/>
        <w:adjustRightInd/>
        <w:snapToGrid/>
        <w:spacing w:beforeAutospacing="0" w:afterAutospacing="0" w:line="360" w:lineRule="auto"/>
        <w:ind w:left="0"/>
        <w:jc w:val="left"/>
        <w:textAlignment w:val="auto"/>
        <w:rPr>
          <w:rFonts w:hint="eastAsia" w:ascii="宋体" w:hAnsi="宋体" w:eastAsia="宋体" w:cs="宋体"/>
          <w:color w:val="auto"/>
          <w:highlight w:val="none"/>
        </w:rPr>
      </w:pPr>
    </w:p>
    <w:p>
      <w:pPr>
        <w:keepNext w:val="0"/>
        <w:keepLines w:val="0"/>
        <w:pageBreakBefore w:val="0"/>
        <w:widowControl/>
        <w:kinsoku/>
        <w:wordWrap/>
        <w:overflowPunct/>
        <w:topLinePunct w:val="0"/>
        <w:autoSpaceDE w:val="0"/>
        <w:autoSpaceDN/>
        <w:bidi w:val="0"/>
        <w:adjustRightInd/>
        <w:snapToGrid/>
        <w:spacing w:beforeAutospacing="0" w:afterAutospacing="0" w:line="360" w:lineRule="auto"/>
        <w:ind w:left="0"/>
        <w:jc w:val="left"/>
        <w:textAlignment w:val="auto"/>
        <w:rPr>
          <w:rFonts w:hint="eastAsia" w:ascii="宋体" w:hAnsi="宋体" w:eastAsia="宋体" w:cs="宋体"/>
          <w:color w:val="auto"/>
          <w:highlight w:val="none"/>
        </w:rPr>
      </w:pPr>
    </w:p>
    <w:p>
      <w:pPr>
        <w:keepNext w:val="0"/>
        <w:keepLines w:val="0"/>
        <w:pageBreakBefore w:val="0"/>
        <w:kinsoku/>
        <w:wordWrap/>
        <w:overflowPunct/>
        <w:topLinePunct w:val="0"/>
        <w:autoSpaceDE w:val="0"/>
        <w:autoSpaceDN/>
        <w:bidi w:val="0"/>
        <w:adjustRightInd/>
        <w:snapToGrid/>
        <w:spacing w:beforeAutospacing="0" w:afterAutospacing="0" w:line="360" w:lineRule="auto"/>
        <w:contextualSpacing/>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bidi="ar"/>
        </w:rPr>
        <w:t>合同见证方：浙江中基正采管理咨询有限公司</w:t>
      </w:r>
    </w:p>
    <w:p>
      <w:pPr>
        <w:keepNext w:val="0"/>
        <w:keepLines w:val="0"/>
        <w:pageBreakBefore w:val="0"/>
        <w:widowControl/>
        <w:kinsoku/>
        <w:wordWrap/>
        <w:overflowPunct/>
        <w:topLinePunct w:val="0"/>
        <w:autoSpaceDN/>
        <w:bidi w:val="0"/>
        <w:adjustRightInd/>
        <w:snapToGrid/>
        <w:spacing w:beforeAutospacing="0" w:afterAutospacing="0"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bidi="ar"/>
        </w:rPr>
        <w:t>见证日期：</w:t>
      </w:r>
    </w:p>
    <w:p>
      <w:pPr>
        <w:pStyle w:val="26"/>
        <w:spacing w:before="0" w:beforeLines="0" w:after="0" w:afterLines="0"/>
        <w:jc w:val="center"/>
        <w:outlineLvl w:val="0"/>
        <w:rPr>
          <w:color w:val="auto"/>
          <w:highlight w:val="none"/>
        </w:rPr>
      </w:pPr>
    </w:p>
    <w:p>
      <w:pPr>
        <w:pStyle w:val="26"/>
        <w:spacing w:before="0" w:beforeLines="0" w:after="0" w:afterLines="0"/>
        <w:jc w:val="center"/>
        <w:outlineLvl w:val="0"/>
        <w:rPr>
          <w:color w:val="auto"/>
          <w:highlight w:val="none"/>
        </w:rPr>
      </w:pPr>
    </w:p>
    <w:p>
      <w:pPr>
        <w:pStyle w:val="26"/>
        <w:spacing w:before="0" w:beforeLines="0" w:after="0" w:afterLines="0"/>
        <w:jc w:val="center"/>
        <w:outlineLvl w:val="0"/>
        <w:rPr>
          <w:rFonts w:hint="eastAsia" w:ascii="宋体" w:hAnsi="宋体" w:eastAsia="宋体" w:cs="宋体"/>
          <w:b/>
          <w:color w:val="auto"/>
          <w:highlight w:val="none"/>
        </w:rPr>
      </w:pPr>
      <w:r>
        <w:rPr>
          <w:color w:val="auto"/>
          <w:highlight w:val="none"/>
        </w:rPr>
        <w:br w:type="page"/>
      </w:r>
      <w:bookmarkStart w:id="58" w:name="_Toc4952"/>
      <w:bookmarkStart w:id="59" w:name="_Toc32283"/>
      <w:r>
        <w:rPr>
          <w:rFonts w:hint="eastAsia" w:ascii="宋体" w:hAnsi="宋体" w:eastAsia="宋体" w:cs="宋体"/>
          <w:b/>
          <w:color w:val="auto"/>
          <w:sz w:val="32"/>
          <w:szCs w:val="32"/>
          <w:highlight w:val="none"/>
        </w:rPr>
        <w:t>第六章　投标文件格式</w:t>
      </w:r>
      <w:bookmarkEnd w:id="58"/>
      <w:bookmarkEnd w:id="59"/>
    </w:p>
    <w:p>
      <w:pPr>
        <w:snapToGrid w:val="0"/>
        <w:spacing w:line="360" w:lineRule="auto"/>
        <w:jc w:val="center"/>
        <w:rPr>
          <w:rFonts w:hint="eastAsia" w:ascii="宋体" w:hAnsi="宋体" w:eastAsia="宋体" w:cs="宋体"/>
          <w:b/>
          <w:bCs/>
          <w:color w:val="auto"/>
          <w:sz w:val="28"/>
          <w:szCs w:val="28"/>
          <w:highlight w:val="none"/>
        </w:rPr>
      </w:pPr>
    </w:p>
    <w:p>
      <w:pPr>
        <w:snapToGrid w:val="0"/>
        <w:spacing w:line="360" w:lineRule="auto"/>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一、资格文件、商务技术文件格式</w:t>
      </w:r>
    </w:p>
    <w:p>
      <w:pPr>
        <w:snapToGrid w:val="0"/>
        <w:spacing w:line="360" w:lineRule="auto"/>
        <w:jc w:val="left"/>
        <w:rPr>
          <w:rFonts w:hint="eastAsia" w:ascii="宋体" w:hAnsi="宋体" w:eastAsia="宋体" w:cs="宋体"/>
          <w:bCs/>
          <w:color w:val="auto"/>
          <w:sz w:val="28"/>
          <w:szCs w:val="28"/>
          <w:highlight w:val="none"/>
          <w:lang w:bidi="ar"/>
        </w:rPr>
      </w:pPr>
      <w:r>
        <w:rPr>
          <w:rFonts w:hint="eastAsia" w:ascii="宋体" w:hAnsi="宋体" w:eastAsia="宋体" w:cs="宋体"/>
          <w:color w:val="auto"/>
          <w:highlight w:val="none"/>
          <w:lang w:val="en-US" w:eastAsia="zh-CN"/>
        </w:rPr>
        <w:t>1、</w:t>
      </w:r>
      <w:r>
        <w:rPr>
          <w:rFonts w:hint="eastAsia" w:ascii="宋体" w:hAnsi="宋体" w:eastAsia="宋体" w:cs="宋体"/>
          <w:color w:val="auto"/>
          <w:szCs w:val="21"/>
          <w:highlight w:val="none"/>
        </w:rPr>
        <w:t>资格、商务技术文件</w:t>
      </w:r>
      <w:r>
        <w:rPr>
          <w:rFonts w:hint="eastAsia" w:ascii="宋体" w:hAnsi="宋体" w:eastAsia="宋体" w:cs="宋体"/>
          <w:color w:val="auto"/>
          <w:highlight w:val="none"/>
        </w:rPr>
        <w:t>封面格式：</w:t>
      </w:r>
    </w:p>
    <w:p>
      <w:pPr>
        <w:snapToGrid w:val="0"/>
        <w:spacing w:line="360" w:lineRule="auto"/>
        <w:ind w:firstLine="275" w:firstLineChars="98"/>
        <w:rPr>
          <w:rFonts w:hint="eastAsia" w:ascii="宋体" w:hAnsi="宋体" w:eastAsia="宋体" w:cs="宋体"/>
          <w:b/>
          <w:color w:val="auto"/>
          <w:sz w:val="28"/>
          <w:szCs w:val="28"/>
          <w:highlight w:val="none"/>
          <w:lang w:bidi="ar"/>
        </w:rPr>
      </w:pPr>
    </w:p>
    <w:p>
      <w:pPr>
        <w:snapToGrid w:val="0"/>
        <w:spacing w:line="360" w:lineRule="auto"/>
        <w:ind w:firstLine="275" w:firstLineChars="98"/>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封面格式：</w:t>
      </w:r>
    </w:p>
    <w:p>
      <w:pPr>
        <w:snapToGrid w:val="0"/>
        <w:spacing w:line="360" w:lineRule="auto"/>
        <w:jc w:val="center"/>
        <w:rPr>
          <w:rFonts w:hint="eastAsia" w:ascii="宋体" w:hAnsi="宋体" w:eastAsia="宋体" w:cs="宋体"/>
          <w:bCs/>
          <w:color w:val="auto"/>
          <w:sz w:val="28"/>
          <w:szCs w:val="28"/>
          <w:highlight w:val="none"/>
        </w:rPr>
      </w:pPr>
    </w:p>
    <w:p>
      <w:pPr>
        <w:snapToGrid w:val="0"/>
        <w:spacing w:line="360" w:lineRule="auto"/>
        <w:jc w:val="center"/>
        <w:rPr>
          <w:rFonts w:hint="eastAsia" w:ascii="宋体" w:hAnsi="宋体" w:eastAsia="宋体" w:cs="宋体"/>
          <w:bCs/>
          <w:color w:val="auto"/>
          <w:sz w:val="24"/>
          <w:highlight w:val="none"/>
          <w:lang w:eastAsia="zh-CN"/>
        </w:rPr>
      </w:pPr>
      <w:r>
        <w:rPr>
          <w:rFonts w:hint="eastAsia" w:ascii="宋体" w:hAnsi="宋体" w:eastAsia="宋体" w:cs="宋体"/>
          <w:bCs/>
          <w:color w:val="auto"/>
          <w:sz w:val="40"/>
          <w:szCs w:val="40"/>
          <w:highlight w:val="none"/>
          <w:lang w:eastAsia="zh-CN"/>
        </w:rPr>
        <w:t>资格、商务技术文件</w:t>
      </w:r>
    </w:p>
    <w:p>
      <w:pPr>
        <w:snapToGrid w:val="0"/>
        <w:spacing w:line="360" w:lineRule="auto"/>
        <w:ind w:firstLine="6919" w:firstLineChars="2883"/>
        <w:rPr>
          <w:rFonts w:hint="eastAsia" w:ascii="宋体" w:hAnsi="宋体" w:eastAsia="宋体" w:cs="宋体"/>
          <w:bCs/>
          <w:color w:val="auto"/>
          <w:sz w:val="24"/>
          <w:highlight w:val="none"/>
        </w:rPr>
      </w:pPr>
    </w:p>
    <w:p>
      <w:pPr>
        <w:snapToGrid w:val="0"/>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项目名称：</w:t>
      </w:r>
    </w:p>
    <w:p>
      <w:pPr>
        <w:snapToGrid w:val="0"/>
        <w:spacing w:line="360" w:lineRule="auto"/>
        <w:ind w:firstLine="1080" w:firstLineChars="45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项目编号：</w:t>
      </w:r>
    </w:p>
    <w:p>
      <w:pPr>
        <w:snapToGrid w:val="0"/>
        <w:spacing w:line="360" w:lineRule="auto"/>
        <w:ind w:firstLine="1080" w:firstLineChars="45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eastAsia="zh-CN" w:bidi="ar"/>
        </w:rPr>
        <w:t>标项</w:t>
      </w:r>
      <w:r>
        <w:rPr>
          <w:rFonts w:hint="eastAsia" w:ascii="宋体" w:hAnsi="宋体" w:eastAsia="宋体" w:cs="宋体"/>
          <w:bCs/>
          <w:color w:val="auto"/>
          <w:sz w:val="24"/>
          <w:highlight w:val="none"/>
          <w:lang w:bidi="ar"/>
        </w:rPr>
        <w:t>号：</w:t>
      </w:r>
    </w:p>
    <w:p>
      <w:pPr>
        <w:snapToGrid w:val="0"/>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供应商名称（加盖公章）：</w:t>
      </w:r>
    </w:p>
    <w:p>
      <w:pPr>
        <w:snapToGrid w:val="0"/>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供应商地址：</w:t>
      </w:r>
    </w:p>
    <w:p>
      <w:pPr>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bCs/>
          <w:color w:val="auto"/>
          <w:sz w:val="24"/>
          <w:highlight w:val="none"/>
          <w:lang w:bidi="ar"/>
        </w:rPr>
        <w:t xml:space="preserve">                                      </w:t>
      </w:r>
      <w:bookmarkStart w:id="60" w:name="_Toc9414"/>
      <w:r>
        <w:rPr>
          <w:rFonts w:hint="eastAsia" w:ascii="宋体" w:hAnsi="宋体" w:eastAsia="宋体" w:cs="宋体"/>
          <w:bCs/>
          <w:color w:val="auto"/>
          <w:sz w:val="24"/>
          <w:highlight w:val="none"/>
          <w:lang w:bidi="ar"/>
        </w:rPr>
        <w:t>年  月  日</w:t>
      </w:r>
      <w:bookmarkEnd w:id="60"/>
    </w:p>
    <w:p>
      <w:pPr>
        <w:snapToGrid w:val="0"/>
        <w:spacing w:line="360" w:lineRule="auto"/>
        <w:rPr>
          <w:rFonts w:hint="eastAsia" w:ascii="宋体" w:hAnsi="宋体" w:cs="Arial"/>
          <w:b/>
          <w:bCs/>
          <w:color w:val="auto"/>
          <w:sz w:val="24"/>
          <w:szCs w:val="22"/>
          <w:highlight w:val="none"/>
        </w:rPr>
      </w:pPr>
    </w:p>
    <w:p>
      <w:pPr>
        <w:pStyle w:val="26"/>
        <w:snapToGrid w:val="0"/>
        <w:spacing w:before="0" w:beforeLines="0" w:after="0" w:afterLines="0" w:line="240" w:lineRule="auto"/>
        <w:rPr>
          <w:rFonts w:hint="eastAsia" w:ascii="宋体" w:hAnsi="宋体" w:eastAsia="宋体" w:cs="宋体"/>
          <w:color w:val="auto"/>
          <w:highlight w:val="none"/>
        </w:rPr>
      </w:pPr>
    </w:p>
    <w:p>
      <w:pPr>
        <w:snapToGrid w:val="0"/>
        <w:spacing w:line="360" w:lineRule="auto"/>
        <w:jc w:val="left"/>
        <w:rPr>
          <w:rFonts w:hint="eastAsia" w:ascii="宋体" w:hAnsi="宋体" w:eastAsia="宋体" w:cs="宋体"/>
          <w:b/>
          <w:bCs/>
          <w:color w:val="auto"/>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rPr>
        <w:t>（三）</w:t>
      </w:r>
      <w:r>
        <w:rPr>
          <w:rFonts w:hint="eastAsia" w:ascii="宋体" w:hAnsi="宋体" w:eastAsia="宋体" w:cs="宋体"/>
          <w:b/>
          <w:bCs/>
          <w:color w:val="auto"/>
          <w:highlight w:val="none"/>
          <w:lang w:eastAsia="zh-CN"/>
        </w:rPr>
        <w:t>资格文件</w:t>
      </w:r>
      <w:r>
        <w:rPr>
          <w:rFonts w:hint="eastAsia" w:ascii="宋体" w:hAnsi="宋体" w:eastAsia="宋体" w:cs="宋体"/>
          <w:b/>
          <w:bCs/>
          <w:color w:val="auto"/>
          <w:highlight w:val="none"/>
        </w:rPr>
        <w:t>：</w:t>
      </w:r>
    </w:p>
    <w:p>
      <w:pPr>
        <w:numPr>
          <w:ilvl w:val="0"/>
          <w:numId w:val="17"/>
        </w:numPr>
        <w:snapToGrid w:val="0"/>
        <w:spacing w:line="360" w:lineRule="auto"/>
        <w:ind w:left="210" w:leftChars="100"/>
        <w:jc w:val="left"/>
        <w:rPr>
          <w:rFonts w:hint="eastAsia" w:ascii="宋体" w:hAnsi="宋体" w:eastAsia="宋体" w:cs="宋体"/>
          <w:color w:val="auto"/>
          <w:highlight w:val="none"/>
        </w:rPr>
      </w:pPr>
      <w:r>
        <w:rPr>
          <w:rFonts w:hint="eastAsia" w:ascii="宋体" w:hAnsi="宋体" w:eastAsia="宋体" w:cs="宋体"/>
          <w:color w:val="auto"/>
          <w:highlight w:val="none"/>
        </w:rPr>
        <w:t>供应商资格声明函（格式见附件）；</w:t>
      </w:r>
    </w:p>
    <w:p>
      <w:pPr>
        <w:numPr>
          <w:ilvl w:val="0"/>
          <w:numId w:val="17"/>
        </w:numPr>
        <w:snapToGrid w:val="0"/>
        <w:spacing w:line="360" w:lineRule="auto"/>
        <w:ind w:left="210" w:leftChars="100"/>
        <w:jc w:val="left"/>
        <w:rPr>
          <w:rFonts w:hint="eastAsia" w:ascii="宋体" w:hAnsi="宋体" w:eastAsia="宋体" w:cs="宋体"/>
          <w:color w:val="auto"/>
          <w:highlight w:val="none"/>
        </w:rPr>
      </w:pPr>
      <w:r>
        <w:rPr>
          <w:rFonts w:hint="eastAsia" w:ascii="宋体" w:hAnsi="宋体" w:eastAsia="宋体" w:cs="宋体"/>
          <w:color w:val="auto"/>
          <w:highlight w:val="none"/>
        </w:rPr>
        <w:t>有效的企业法人营业执照（或事业法人登记证）、其他组织（个体工商户）的营业执照或者民办非企业单位登记证书复印件</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eastAsia="宋体" w:cs="宋体"/>
          <w:color w:val="auto"/>
          <w:highlight w:val="none"/>
        </w:rPr>
        <w:t>；</w:t>
      </w:r>
    </w:p>
    <w:p>
      <w:pPr>
        <w:numPr>
          <w:ilvl w:val="0"/>
          <w:numId w:val="17"/>
        </w:numPr>
        <w:snapToGrid w:val="0"/>
        <w:spacing w:line="360" w:lineRule="auto"/>
        <w:ind w:left="210" w:leftChars="100"/>
        <w:jc w:val="left"/>
        <w:rPr>
          <w:rFonts w:hint="eastAsia" w:ascii="宋体" w:hAnsi="宋体" w:eastAsia="宋体" w:cs="宋体"/>
          <w:color w:val="auto"/>
          <w:highlight w:val="none"/>
        </w:rPr>
      </w:pPr>
      <w:r>
        <w:rPr>
          <w:rFonts w:hint="eastAsia" w:ascii="宋体" w:hAnsi="宋体" w:eastAsia="宋体" w:cs="宋体"/>
          <w:color w:val="auto"/>
          <w:highlight w:val="none"/>
        </w:rPr>
        <w:t>供应商特定资格条件的证明文件：</w:t>
      </w:r>
      <w:r>
        <w:rPr>
          <w:rFonts w:hint="eastAsia" w:ascii="宋体" w:hAnsi="宋体" w:eastAsia="宋体" w:cs="宋体"/>
          <w:color w:val="auto"/>
          <w:highlight w:val="none"/>
          <w:lang w:eastAsia="zh-CN"/>
        </w:rPr>
        <w:t>详见“第一章  公开招标公告 二、申请人的资格要求：3.本项目的特定资格要求”</w:t>
      </w:r>
      <w:r>
        <w:rPr>
          <w:rFonts w:hint="eastAsia" w:ascii="宋体" w:hAnsi="宋体" w:eastAsia="宋体" w:cs="宋体"/>
          <w:color w:val="auto"/>
          <w:highlight w:val="none"/>
        </w:rPr>
        <w:t>；</w:t>
      </w:r>
    </w:p>
    <w:p>
      <w:pPr>
        <w:numPr>
          <w:ilvl w:val="0"/>
          <w:numId w:val="17"/>
        </w:numPr>
        <w:snapToGrid w:val="0"/>
        <w:spacing w:line="360" w:lineRule="auto"/>
        <w:ind w:left="210" w:leftChars="100"/>
        <w:jc w:val="left"/>
        <w:rPr>
          <w:rFonts w:hint="eastAsia" w:eastAsia="宋体"/>
          <w:color w:val="auto"/>
          <w:highlight w:val="none"/>
          <w:lang w:eastAsia="zh-CN"/>
        </w:rPr>
      </w:pPr>
      <w:r>
        <w:rPr>
          <w:rFonts w:hint="eastAsia" w:ascii="宋体" w:hAnsi="宋体" w:eastAsia="宋体" w:cs="宋体"/>
          <w:color w:val="auto"/>
          <w:highlight w:val="none"/>
        </w:rPr>
        <w:t>中小企业声明函</w:t>
      </w:r>
      <w:r>
        <w:rPr>
          <w:rFonts w:hint="eastAsia" w:ascii="宋体" w:hAnsi="宋体" w:eastAsia="宋体" w:cs="宋体"/>
          <w:color w:val="auto"/>
          <w:highlight w:val="none"/>
          <w:lang w:val="en-US" w:eastAsia="zh-CN"/>
        </w:rPr>
        <w:t>[提供中小企业声明函或残疾人福利性单位声明函（非残疾人福利性单位无需提供本函)，格式见附件或提供由省级以上监狱管理局、戒毒管理局（含新疆生产建设兵团）出具的属于监狱企业的证明文件]</w:t>
      </w:r>
      <w:r>
        <w:rPr>
          <w:rFonts w:hint="eastAsia" w:ascii="宋体" w:hAnsi="宋体" w:eastAsia="宋体" w:cs="宋体"/>
          <w:color w:val="auto"/>
          <w:highlight w:val="none"/>
        </w:rPr>
        <w:t>；</w:t>
      </w:r>
    </w:p>
    <w:p>
      <w:pPr>
        <w:numPr>
          <w:ilvl w:val="0"/>
          <w:numId w:val="17"/>
        </w:numPr>
        <w:snapToGrid w:val="0"/>
        <w:spacing w:line="360" w:lineRule="auto"/>
        <w:ind w:left="210" w:leftChars="1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招标文件要求的其他资格条件证明材料（如有）；</w:t>
      </w:r>
    </w:p>
    <w:p>
      <w:pPr>
        <w:numPr>
          <w:ilvl w:val="0"/>
          <w:numId w:val="0"/>
        </w:numPr>
        <w:snapToGrid w:val="0"/>
        <w:spacing w:line="360" w:lineRule="auto"/>
        <w:jc w:val="left"/>
        <w:rPr>
          <w:rFonts w:hint="eastAsia" w:ascii="宋体" w:hAnsi="宋体" w:eastAsia="宋体" w:cs="宋体"/>
          <w:b/>
          <w:bCs/>
          <w:color w:val="auto"/>
          <w:highlight w:val="none"/>
        </w:rPr>
      </w:pPr>
      <w:r>
        <w:rPr>
          <w:rFonts w:hint="eastAsia" w:ascii="宋体" w:hAnsi="宋体" w:eastAsia="宋体" w:cs="宋体"/>
          <w:b w:val="0"/>
          <w:bCs w:val="0"/>
          <w:color w:val="auto"/>
          <w:highlight w:val="none"/>
          <w:lang w:eastAsia="zh-CN"/>
        </w:rPr>
        <w:br w:type="page"/>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供应商资格声明函格式；</w:t>
      </w: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供应商资格声明函</w:t>
      </w:r>
    </w:p>
    <w:p>
      <w:pPr>
        <w:snapToGrid w:val="0"/>
        <w:rPr>
          <w:rFonts w:hint="eastAsia" w:ascii="宋体" w:hAnsi="宋体" w:eastAsia="宋体" w:cs="宋体"/>
          <w:b/>
          <w:color w:val="auto"/>
          <w:szCs w:val="21"/>
          <w:highlight w:val="none"/>
        </w:rPr>
      </w:pPr>
    </w:p>
    <w:p>
      <w:pPr>
        <w:spacing w:line="360" w:lineRule="auto"/>
        <w:ind w:right="420" w:firstLine="3150" w:firstLineChars="15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lang w:eastAsia="zh-CN"/>
        </w:rPr>
        <w:t>浙江中基正采管理咨询有限公司</w:t>
      </w:r>
      <w:r>
        <w:rPr>
          <w:rFonts w:hint="eastAsia" w:ascii="宋体" w:hAnsi="宋体" w:eastAsia="宋体" w:cs="宋体"/>
          <w:b/>
          <w:color w:val="auto"/>
          <w:highlight w:val="none"/>
        </w:rPr>
        <w:t>：</w:t>
      </w:r>
    </w:p>
    <w:p>
      <w:pPr>
        <w:snapToGrid w:val="0"/>
        <w:spacing w:before="120" w:beforeLines="50"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关于贵司</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日发布</w:t>
      </w:r>
      <w:r>
        <w:rPr>
          <w:rFonts w:hint="eastAsia" w:ascii="宋体" w:hAnsi="宋体" w:eastAsia="宋体" w:cs="宋体"/>
          <w:color w:val="auto"/>
          <w:highlight w:val="none"/>
          <w:u w:val="single"/>
        </w:rPr>
        <w:t xml:space="preserve">  </w:t>
      </w:r>
      <w:r>
        <w:rPr>
          <w:rFonts w:hint="eastAsia" w:ascii="宋体" w:hAnsi="宋体" w:eastAsia="宋体" w:cs="宋体"/>
          <w:color w:val="auto"/>
          <w:kern w:val="28"/>
          <w:highlight w:val="none"/>
          <w:u w:val="single"/>
        </w:rPr>
        <w:t>XXXXXXXXXXXXXXXXXXXXXXXXXXXX</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　　　）的</w:t>
      </w:r>
      <w:r>
        <w:rPr>
          <w:rFonts w:hint="eastAsia" w:ascii="宋体" w:hAnsi="宋体" w:eastAsia="宋体" w:cs="宋体"/>
          <w:color w:val="auto"/>
          <w:highlight w:val="none"/>
          <w:lang w:val="en-US" w:eastAsia="zh-CN"/>
        </w:rPr>
        <w:t>公开招标</w:t>
      </w:r>
      <w:r>
        <w:rPr>
          <w:rFonts w:hint="eastAsia" w:ascii="宋体" w:hAnsi="宋体" w:eastAsia="宋体" w:cs="宋体"/>
          <w:color w:val="auto"/>
          <w:highlight w:val="none"/>
        </w:rPr>
        <w:t>公告，本公司（企业）愿意参加投标，并声明：</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1、本公司（企业）具备《中华人民共和国政府采购法》第二十二条资格条件：</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1.1、具有独立承担民事责任的能力；</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1.2、具有良好的商业信誉和健全的财务会计制度；</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1.3、具有履行合同所必需的设备和专业技术能力；</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1.4、有依法缴纳税收和社会保障资金的良好记录；</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1.5、参加政府采购活动前三年内，在经营活动中没有重大违法记录；</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1.6、法律、行政法规规定的其他条件。</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本公司（企业）的法定代表人或单位负责人与所参投的本采购项目的其他供应商的法定代表人或单位负责人不为同一人且与其他供应商之间不存在直接控股、管理关系。</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szCs w:val="21"/>
          <w:highlight w:val="none"/>
        </w:rPr>
        <w:t>根据《中华人民共和国政府采购法</w:t>
      </w:r>
      <w:r>
        <w:rPr>
          <w:rFonts w:hint="eastAsia" w:ascii="宋体" w:hAnsi="宋体" w:eastAsia="宋体" w:cs="宋体"/>
          <w:color w:val="auto"/>
          <w:highlight w:val="none"/>
        </w:rPr>
        <w:t>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26" w:firstLineChars="202"/>
        <w:rPr>
          <w:rFonts w:hint="eastAsia" w:ascii="宋体" w:hAnsi="宋体" w:eastAsia="宋体" w:cs="宋体"/>
          <w:b/>
          <w:bCs/>
          <w:color w:val="auto"/>
          <w:highlight w:val="none"/>
        </w:rPr>
      </w:pPr>
      <w:r>
        <w:rPr>
          <w:rFonts w:hint="eastAsia" w:ascii="宋体" w:hAnsi="宋体" w:eastAsia="宋体" w:cs="宋体"/>
          <w:b/>
          <w:bCs/>
          <w:color w:val="auto"/>
          <w:highlight w:val="none"/>
        </w:rPr>
        <w:t>本公司（企业）</w:t>
      </w:r>
      <w:r>
        <w:rPr>
          <w:rFonts w:hint="eastAsia" w:ascii="宋体" w:hAnsi="宋体" w:eastAsia="宋体" w:cs="宋体"/>
          <w:b/>
          <w:bCs/>
          <w:color w:val="auto"/>
          <w:szCs w:val="21"/>
          <w:highlight w:val="none"/>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未在中国裁判文书网有行贿犯罪相关记录。</w:t>
      </w:r>
      <w:r>
        <w:rPr>
          <w:rFonts w:hint="eastAsia" w:ascii="宋体" w:hAnsi="宋体" w:eastAsia="宋体" w:cs="宋体"/>
          <w:b/>
          <w:bCs/>
          <w:color w:val="auto"/>
          <w:highlight w:val="none"/>
        </w:rPr>
        <w:t>否则，由此所造成的损失、不良后果及法律责任，一律由我公司（企业）承担。</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cs="宋体"/>
          <w:color w:val="auto"/>
          <w:highlight w:val="none"/>
        </w:rPr>
        <w:t>我公司已清楚招标文件的要求及有关文件规定。</w:t>
      </w:r>
      <w:r>
        <w:rPr>
          <w:rFonts w:hint="eastAsia" w:ascii="宋体" w:hAnsi="宋体" w:eastAsia="宋体" w:cs="宋体"/>
          <w:color w:val="auto"/>
          <w:highlight w:val="none"/>
        </w:rPr>
        <w:t>本次招标采购活动中，如有违法、违规、弄虚作假行为，所造成的损失、不良后果及法律责任，一律由我公司（企业）承担。</w:t>
      </w:r>
    </w:p>
    <w:p>
      <w:pPr>
        <w:spacing w:line="360" w:lineRule="auto"/>
        <w:ind w:firstLine="420"/>
        <w:rPr>
          <w:rFonts w:hint="eastAsia" w:ascii="宋体" w:hAnsi="宋体" w:eastAsia="宋体" w:cs="宋体"/>
          <w:b/>
          <w:color w:val="auto"/>
          <w:highlight w:val="none"/>
        </w:rPr>
      </w:pPr>
      <w:r>
        <w:rPr>
          <w:rFonts w:hint="eastAsia" w:ascii="宋体" w:hAnsi="宋体" w:eastAsia="宋体" w:cs="宋体"/>
          <w:b/>
          <w:color w:val="auto"/>
          <w:highlight w:val="none"/>
        </w:rPr>
        <w:t>特此声明！</w:t>
      </w:r>
    </w:p>
    <w:p>
      <w:pPr>
        <w:adjustRightInd w:val="0"/>
        <w:snapToGrid w:val="0"/>
        <w:spacing w:line="360" w:lineRule="auto"/>
        <w:ind w:left="425"/>
        <w:rPr>
          <w:rFonts w:hint="eastAsia" w:ascii="宋体" w:hAnsi="宋体" w:eastAsia="宋体" w:cs="宋体"/>
          <w:color w:val="auto"/>
          <w:spacing w:val="4"/>
          <w:highlight w:val="none"/>
        </w:rPr>
      </w:pPr>
    </w:p>
    <w:p>
      <w:pPr>
        <w:spacing w:line="360" w:lineRule="auto"/>
        <w:ind w:right="420" w:firstLine="3150" w:firstLineChars="1500"/>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法定代表人或授权代表（签名或印章）：</w:t>
      </w:r>
    </w:p>
    <w:p>
      <w:pPr>
        <w:spacing w:line="360" w:lineRule="auto"/>
        <w:ind w:right="420" w:firstLine="3150" w:firstLineChars="1500"/>
        <w:rPr>
          <w:rFonts w:hint="eastAsia" w:ascii="宋体" w:hAnsi="宋体" w:eastAsia="宋体" w:cs="宋体"/>
          <w:color w:val="auto"/>
          <w:highlight w:val="none"/>
        </w:rPr>
      </w:pPr>
      <w:r>
        <w:rPr>
          <w:rFonts w:hint="eastAsia" w:ascii="宋体" w:hAnsi="宋体" w:eastAsia="宋体" w:cs="宋体"/>
          <w:color w:val="auto"/>
          <w:highlight w:val="none"/>
        </w:rPr>
        <w:t>供应商公章：</w:t>
      </w:r>
    </w:p>
    <w:p>
      <w:pPr>
        <w:spacing w:line="360" w:lineRule="auto"/>
        <w:ind w:right="420" w:firstLine="3150" w:firstLineChars="1500"/>
        <w:rPr>
          <w:rFonts w:hint="eastAsia" w:ascii="宋体" w:hAnsi="宋体" w:eastAsia="宋体" w:cs="宋体"/>
          <w:color w:val="auto"/>
          <w:highlight w:val="none"/>
        </w:rPr>
      </w:pPr>
      <w:r>
        <w:rPr>
          <w:rFonts w:hint="eastAsia" w:ascii="宋体" w:hAnsi="宋体" w:eastAsia="宋体" w:cs="宋体"/>
          <w:color w:val="auto"/>
          <w:highlight w:val="none"/>
        </w:rPr>
        <w:t>年    月    日</w:t>
      </w:r>
    </w:p>
    <w:p>
      <w:pPr>
        <w:snapToGrid w:val="0"/>
        <w:rPr>
          <w:rFonts w:hint="eastAsia" w:ascii="宋体" w:hAnsi="宋体" w:eastAsia="宋体" w:cs="宋体"/>
          <w:color w:val="auto"/>
          <w:szCs w:val="21"/>
          <w:highlight w:val="none"/>
        </w:rPr>
      </w:pPr>
      <w:r>
        <w:rPr>
          <w:rFonts w:hint="eastAsia" w:ascii="宋体" w:hAnsi="宋体" w:eastAsia="宋体" w:cs="宋体"/>
          <w:color w:val="auto"/>
          <w:highlight w:val="none"/>
        </w:rPr>
        <w:br w:type="page"/>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lang w:eastAsia="zh-CN"/>
        </w:rPr>
        <w:t>）</w:t>
      </w:r>
      <w:r>
        <w:rPr>
          <w:rFonts w:hint="eastAsia" w:ascii="宋体" w:hAnsi="宋体" w:eastAsia="宋体" w:cs="宋体"/>
          <w:color w:val="auto"/>
          <w:highlight w:val="none"/>
        </w:rPr>
        <w:t>有效的企业法人营业执照（或事业法人登记证）、其他组织（个体工商户）的营业执照或者民办非企业单位登记证书复印件</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eastAsia="宋体" w:cs="宋体"/>
          <w:color w:val="auto"/>
          <w:highlight w:val="none"/>
        </w:rPr>
        <w:t>；</w:t>
      </w:r>
    </w:p>
    <w:p>
      <w:pPr>
        <w:snapToGrid w:val="0"/>
        <w:rPr>
          <w:rFonts w:hint="eastAsia" w:ascii="宋体" w:hAnsi="宋体" w:eastAsia="宋体" w:cs="宋体"/>
          <w:color w:val="auto"/>
          <w:szCs w:val="21"/>
          <w:highlight w:val="none"/>
        </w:rPr>
      </w:pPr>
    </w:p>
    <w:p>
      <w:pPr>
        <w:snapToGrid w:val="0"/>
        <w:rPr>
          <w:rFonts w:hint="eastAsia" w:ascii="宋体" w:hAnsi="宋体" w:eastAsia="宋体" w:cs="宋体"/>
          <w:color w:val="auto"/>
          <w:szCs w:val="21"/>
          <w:highlight w:val="none"/>
        </w:rPr>
      </w:pPr>
    </w:p>
    <w:p>
      <w:pPr>
        <w:snapToGrid w:val="0"/>
        <w:rPr>
          <w:rFonts w:hint="eastAsia" w:ascii="宋体" w:hAnsi="宋体" w:eastAsia="宋体" w:cs="宋体"/>
          <w:color w:val="auto"/>
          <w:szCs w:val="21"/>
          <w:highlight w:val="none"/>
        </w:rPr>
      </w:pPr>
    </w:p>
    <w:p>
      <w:pPr>
        <w:snapToGrid w:val="0"/>
        <w:rPr>
          <w:rFonts w:hint="eastAsia" w:ascii="宋体" w:hAnsi="宋体" w:eastAsia="宋体" w:cs="宋体"/>
          <w:color w:val="auto"/>
          <w:szCs w:val="21"/>
          <w:highlight w:val="none"/>
        </w:rPr>
      </w:pP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lang w:eastAsia="zh-CN"/>
        </w:rPr>
        <w:t>）</w:t>
      </w:r>
      <w:r>
        <w:rPr>
          <w:rFonts w:hint="eastAsia" w:ascii="宋体" w:hAnsi="宋体" w:eastAsia="宋体" w:cs="宋体"/>
          <w:color w:val="auto"/>
          <w:szCs w:val="21"/>
          <w:highlight w:val="none"/>
        </w:rPr>
        <w:t>供应商特定资格条件的证明文件（如有）：</w:t>
      </w:r>
      <w:r>
        <w:rPr>
          <w:rFonts w:hint="eastAsia" w:ascii="宋体" w:hAnsi="宋体" w:eastAsia="宋体" w:cs="宋体"/>
          <w:color w:val="auto"/>
          <w:highlight w:val="none"/>
          <w:lang w:eastAsia="zh-CN"/>
        </w:rPr>
        <w:t>详见“第一章  公开招标公告 二、申请人的资格要求：3.本项目的特定资格要求”</w:t>
      </w:r>
      <w:r>
        <w:rPr>
          <w:rFonts w:hint="eastAsia" w:ascii="宋体" w:hAnsi="宋体" w:eastAsia="宋体" w:cs="宋体"/>
          <w:color w:val="auto"/>
          <w:szCs w:val="21"/>
          <w:highlight w:val="none"/>
        </w:rPr>
        <w:t>；</w:t>
      </w:r>
    </w:p>
    <w:p>
      <w:pPr>
        <w:snapToGrid w:val="0"/>
        <w:rPr>
          <w:rFonts w:hint="eastAsia" w:ascii="宋体" w:hAnsi="宋体" w:eastAsia="宋体" w:cs="宋体"/>
          <w:color w:val="auto"/>
          <w:szCs w:val="21"/>
          <w:highlight w:val="none"/>
        </w:rPr>
      </w:pPr>
    </w:p>
    <w:p>
      <w:pPr>
        <w:widowControl w:val="0"/>
        <w:adjustRightInd/>
        <w:spacing w:line="360" w:lineRule="auto"/>
        <w:jc w:val="both"/>
        <w:textAlignment w:val="auto"/>
        <w:rPr>
          <w:rFonts w:hint="eastAsia" w:ascii="宋体" w:hAnsi="宋体" w:eastAsia="宋体" w:cs="宋体"/>
          <w:b/>
          <w:bCs/>
          <w:i w:val="0"/>
          <w:iCs w:val="0"/>
          <w:color w:val="auto"/>
          <w:szCs w:val="21"/>
          <w:highlight w:val="none"/>
          <w:lang w:bidi="ar"/>
        </w:rPr>
      </w:pPr>
      <w:r>
        <w:rPr>
          <w:rFonts w:hint="eastAsia" w:ascii="宋体" w:hAnsi="宋体" w:eastAsia="宋体" w:cs="宋体"/>
          <w:b/>
          <w:bCs/>
          <w:color w:val="auto"/>
          <w:kern w:val="2"/>
          <w:szCs w:val="24"/>
          <w:highlight w:val="none"/>
          <w:lang w:eastAsia="zh-CN"/>
        </w:rPr>
        <w:br w:type="page"/>
      </w:r>
      <w:r>
        <w:rPr>
          <w:rFonts w:hint="eastAsia" w:ascii="宋体" w:hAnsi="宋体" w:eastAsia="宋体" w:cs="宋体"/>
          <w:b/>
          <w:bCs/>
          <w:color w:val="auto"/>
          <w:kern w:val="2"/>
          <w:szCs w:val="24"/>
          <w:highlight w:val="none"/>
          <w:lang w:eastAsia="zh-CN"/>
        </w:rPr>
        <w:t>（</w:t>
      </w:r>
      <w:r>
        <w:rPr>
          <w:rFonts w:hint="eastAsia" w:ascii="宋体" w:hAnsi="宋体" w:eastAsia="宋体" w:cs="宋体"/>
          <w:b/>
          <w:bCs/>
          <w:color w:val="auto"/>
          <w:kern w:val="2"/>
          <w:szCs w:val="24"/>
          <w:highlight w:val="none"/>
          <w:lang w:val="en-US" w:eastAsia="zh-CN"/>
        </w:rPr>
        <w:t>4</w:t>
      </w:r>
      <w:r>
        <w:rPr>
          <w:rFonts w:hint="eastAsia" w:ascii="宋体" w:hAnsi="宋体" w:eastAsia="宋体" w:cs="宋体"/>
          <w:b/>
          <w:bCs/>
          <w:color w:val="auto"/>
          <w:kern w:val="2"/>
          <w:szCs w:val="24"/>
          <w:highlight w:val="none"/>
          <w:lang w:eastAsia="zh-CN"/>
        </w:rPr>
        <w:t>）</w:t>
      </w:r>
      <w:r>
        <w:rPr>
          <w:rFonts w:hint="eastAsia" w:ascii="宋体" w:hAnsi="宋体" w:eastAsia="宋体" w:cs="宋体"/>
          <w:b/>
          <w:bCs/>
          <w:i w:val="0"/>
          <w:iCs w:val="0"/>
          <w:color w:val="auto"/>
          <w:highlight w:val="none"/>
          <w:lang w:bidi="ar"/>
        </w:rPr>
        <w:t>中小企业声明函</w:t>
      </w:r>
    </w:p>
    <w:p>
      <w:pPr>
        <w:spacing w:line="360" w:lineRule="auto"/>
        <w:jc w:val="center"/>
        <w:rPr>
          <w:rFonts w:hint="eastAsia" w:ascii="宋体" w:hAnsi="宋体" w:eastAsia="宋体" w:cs="宋体"/>
          <w:b/>
          <w:i w:val="0"/>
          <w:iCs w:val="0"/>
          <w:color w:val="auto"/>
          <w:sz w:val="28"/>
          <w:szCs w:val="28"/>
          <w:highlight w:val="none"/>
          <w:lang w:eastAsia="zh-CN"/>
        </w:rPr>
      </w:pPr>
      <w:r>
        <w:rPr>
          <w:rFonts w:hint="eastAsia" w:ascii="宋体" w:hAnsi="宋体" w:eastAsia="宋体" w:cs="宋体"/>
          <w:b/>
          <w:i w:val="0"/>
          <w:iCs w:val="0"/>
          <w:color w:val="auto"/>
          <w:sz w:val="32"/>
          <w:szCs w:val="32"/>
          <w:highlight w:val="none"/>
          <w:lang w:bidi="ar"/>
        </w:rPr>
        <w:t>中小企业声明函</w:t>
      </w:r>
      <w:r>
        <w:rPr>
          <w:rFonts w:hint="eastAsia" w:ascii="宋体" w:hAnsi="宋体" w:eastAsia="宋体" w:cs="宋体"/>
          <w:b/>
          <w:i w:val="0"/>
          <w:iCs w:val="0"/>
          <w:color w:val="auto"/>
          <w:sz w:val="32"/>
          <w:szCs w:val="32"/>
          <w:highlight w:val="none"/>
          <w:lang w:eastAsia="zh-CN" w:bidi="ar"/>
        </w:rPr>
        <w:t>（服务）</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本公司（联合体）郑重声明，根据《政府采购促进中小企业发展管理办法》（财库﹝2020﹞46 号）的规定，本公司（联合体）参加</w:t>
      </w:r>
      <w:r>
        <w:rPr>
          <w:rFonts w:hint="eastAsia" w:ascii="宋体" w:hAnsi="宋体" w:eastAsia="宋体" w:cs="宋体"/>
          <w:color w:val="auto"/>
          <w:szCs w:val="21"/>
          <w:highlight w:val="none"/>
          <w:u w:val="single"/>
        </w:rPr>
        <w:t>（单位名称）</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rPr>
        <w:t>采购活动，服务全部由符合政策要求的中小企业承接。相关企业（含联合体中的中小企业、签订分包意向协议的中小企业）的具体情况如下：</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i/>
          <w:color w:val="auto"/>
          <w:szCs w:val="21"/>
          <w:highlight w:val="none"/>
          <w:u w:val="single"/>
        </w:rPr>
        <w:t xml:space="preserve"> （标的名称） </w:t>
      </w:r>
      <w:r>
        <w:rPr>
          <w:rFonts w:hint="eastAsia" w:ascii="宋体" w:hAnsi="宋体" w:eastAsia="宋体" w:cs="宋体"/>
          <w:color w:val="auto"/>
          <w:szCs w:val="21"/>
          <w:highlight w:val="none"/>
        </w:rPr>
        <w:t>，属于</w:t>
      </w:r>
      <w:r>
        <w:rPr>
          <w:rFonts w:hint="eastAsia" w:ascii="宋体" w:hAnsi="宋体" w:eastAsia="宋体" w:cs="宋体"/>
          <w:i/>
          <w:color w:val="auto"/>
          <w:szCs w:val="21"/>
          <w:highlight w:val="none"/>
          <w:u w:val="single"/>
        </w:rPr>
        <w:t>（其他未列明行业）</w:t>
      </w:r>
      <w:r>
        <w:rPr>
          <w:rFonts w:hint="eastAsia" w:ascii="宋体" w:hAnsi="宋体" w:eastAsia="宋体" w:cs="宋体"/>
          <w:color w:val="auto"/>
          <w:szCs w:val="21"/>
          <w:highlight w:val="none"/>
        </w:rPr>
        <w:t>；承接企业为</w:t>
      </w:r>
      <w:r>
        <w:rPr>
          <w:rFonts w:hint="eastAsia" w:ascii="宋体" w:hAnsi="宋体" w:eastAsia="宋体" w:cs="宋体"/>
          <w:i/>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万元，属于</w:t>
      </w:r>
      <w:r>
        <w:rPr>
          <w:rFonts w:hint="eastAsia" w:ascii="宋体" w:hAnsi="宋体" w:eastAsia="宋体" w:cs="宋体"/>
          <w:i/>
          <w:color w:val="auto"/>
          <w:szCs w:val="21"/>
          <w:highlight w:val="none"/>
          <w:u w:val="single"/>
        </w:rPr>
        <w:t>（中型企业、小型企业、微型企业）</w:t>
      </w:r>
      <w:r>
        <w:rPr>
          <w:rFonts w:hint="eastAsia" w:ascii="宋体" w:hAnsi="宋体" w:eastAsia="宋体" w:cs="宋体"/>
          <w:color w:val="auto"/>
          <w:szCs w:val="21"/>
          <w:highlight w:val="none"/>
        </w:rPr>
        <w:t>；</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i/>
          <w:color w:val="auto"/>
          <w:szCs w:val="21"/>
          <w:highlight w:val="none"/>
          <w:u w:val="single"/>
        </w:rPr>
        <w:t xml:space="preserve"> （标的名称） </w:t>
      </w:r>
      <w:r>
        <w:rPr>
          <w:rFonts w:hint="eastAsia" w:ascii="宋体" w:hAnsi="宋体" w:eastAsia="宋体" w:cs="宋体"/>
          <w:color w:val="auto"/>
          <w:szCs w:val="21"/>
          <w:highlight w:val="none"/>
        </w:rPr>
        <w:t>，属于</w:t>
      </w:r>
      <w:r>
        <w:rPr>
          <w:rFonts w:hint="eastAsia" w:ascii="宋体" w:hAnsi="宋体" w:eastAsia="宋体" w:cs="宋体"/>
          <w:i/>
          <w:color w:val="auto"/>
          <w:szCs w:val="21"/>
          <w:highlight w:val="none"/>
          <w:u w:val="single"/>
        </w:rPr>
        <w:t>（其他未列明行业）</w:t>
      </w:r>
      <w:r>
        <w:rPr>
          <w:rFonts w:hint="eastAsia" w:ascii="宋体" w:hAnsi="宋体" w:eastAsia="宋体" w:cs="宋体"/>
          <w:color w:val="auto"/>
          <w:szCs w:val="21"/>
          <w:highlight w:val="none"/>
        </w:rPr>
        <w:t>；承接企业为</w:t>
      </w:r>
      <w:r>
        <w:rPr>
          <w:rFonts w:hint="eastAsia" w:ascii="宋体" w:hAnsi="宋体" w:eastAsia="宋体" w:cs="宋体"/>
          <w:i/>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万元，属于</w:t>
      </w:r>
      <w:r>
        <w:rPr>
          <w:rFonts w:hint="eastAsia" w:ascii="宋体" w:hAnsi="宋体" w:eastAsia="宋体" w:cs="宋体"/>
          <w:i/>
          <w:color w:val="auto"/>
          <w:szCs w:val="21"/>
          <w:highlight w:val="none"/>
          <w:u w:val="single"/>
        </w:rPr>
        <w:t>（中型企业、小型企业、微型企业）</w:t>
      </w:r>
      <w:r>
        <w:rPr>
          <w:rFonts w:hint="eastAsia" w:ascii="宋体" w:hAnsi="宋体" w:eastAsia="宋体" w:cs="宋体"/>
          <w:color w:val="auto"/>
          <w:szCs w:val="21"/>
          <w:highlight w:val="none"/>
        </w:rPr>
        <w:t>；</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以上企业，不属于大企业的分支机构，不存在控股股东为大企业的情形，也不存在与大企业的负责人为同一人的情形。</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本企业对上述声明内容的真实性负责。如有虚假，将依法承担相应责任。</w:t>
      </w:r>
    </w:p>
    <w:p>
      <w:pPr>
        <w:spacing w:line="500" w:lineRule="exac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                        企业名称（盖章）：</w:t>
      </w:r>
    </w:p>
    <w:p>
      <w:pPr>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                        日期：</w:t>
      </w:r>
    </w:p>
    <w:p>
      <w:pPr>
        <w:spacing w:line="36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说明：</w:t>
      </w:r>
    </w:p>
    <w:p>
      <w:pPr>
        <w:spacing w:line="36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1、从业人员、营业收入、资产总额填报上一年度数据，无上一年度数据的新成立企业可不填报。</w:t>
      </w:r>
    </w:p>
    <w:p>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auto"/>
          <w:szCs w:val="21"/>
          <w:highlight w:val="none"/>
        </w:rPr>
        <w:t>2、根据工信部联企业[2011]300号规定。</w:t>
      </w:r>
      <w:r>
        <w:rPr>
          <w:rFonts w:hint="eastAsia" w:ascii="宋体" w:hAnsi="宋体" w:eastAsia="宋体" w:cs="宋体"/>
          <w:color w:val="auto"/>
          <w:szCs w:val="21"/>
          <w:highlight w:val="none"/>
          <w:lang w:val="en-US" w:eastAsia="zh-CN"/>
        </w:rPr>
        <w:t>其他未列明行业：从业人员300人以下的为中小微型企业。其中，从业人员100人及以上的为中型企业；从业人员10人及以上的为小型企业；从业人员10人以下的为微型企业。</w:t>
      </w:r>
    </w:p>
    <w:p>
      <w:pPr>
        <w:pStyle w:val="45"/>
        <w:ind w:left="0" w:leftChars="0" w:firstLine="0" w:firstLineChars="0"/>
        <w:rPr>
          <w:rFonts w:hint="eastAsia" w:ascii="宋体" w:hAnsi="宋体" w:eastAsia="宋体" w:cs="宋体"/>
          <w:color w:val="auto"/>
          <w:szCs w:val="21"/>
          <w:highlight w:val="none"/>
        </w:rPr>
      </w:pPr>
    </w:p>
    <w:p>
      <w:pPr>
        <w:spacing w:line="500" w:lineRule="exact"/>
        <w:rPr>
          <w:rFonts w:hint="eastAsia" w:ascii="宋体" w:hAnsi="宋体" w:eastAsia="宋体" w:cs="宋体"/>
          <w:color w:val="auto"/>
          <w:szCs w:val="21"/>
          <w:highlight w:val="none"/>
          <w:lang w:val="en-US" w:eastAsia="zh-CN"/>
        </w:rPr>
      </w:pPr>
    </w:p>
    <w:p>
      <w:pPr>
        <w:spacing w:line="500" w:lineRule="exact"/>
        <w:rPr>
          <w:rFonts w:hint="eastAsia" w:ascii="宋体" w:hAnsi="宋体" w:eastAsia="宋体" w:cs="宋体"/>
          <w:color w:val="auto"/>
          <w:szCs w:val="21"/>
          <w:highlight w:val="none"/>
          <w:lang w:val="en-US" w:eastAsia="zh-CN"/>
        </w:rPr>
      </w:pPr>
    </w:p>
    <w:p>
      <w:pPr>
        <w:spacing w:line="5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br w:type="page"/>
      </w:r>
      <w:r>
        <w:rPr>
          <w:rFonts w:hint="eastAsia" w:ascii="宋体" w:hAnsi="宋体" w:eastAsia="宋体" w:cs="宋体"/>
          <w:b/>
          <w:bCs/>
          <w:color w:val="auto"/>
          <w:szCs w:val="21"/>
          <w:highlight w:val="none"/>
          <w:lang w:val="en-US" w:eastAsia="zh-CN"/>
        </w:rPr>
        <w:t xml:space="preserve"> </w:t>
      </w:r>
      <w:r>
        <w:rPr>
          <w:rFonts w:hint="eastAsia" w:ascii="宋体" w:hAnsi="宋体" w:eastAsia="宋体" w:cs="宋体"/>
          <w:b/>
          <w:bCs/>
          <w:color w:val="auto"/>
          <w:szCs w:val="21"/>
          <w:highlight w:val="none"/>
        </w:rPr>
        <w:t>残疾人福利性单位声明函（非残疾人福利性单位无需提供本函)</w:t>
      </w:r>
    </w:p>
    <w:p>
      <w:pPr>
        <w:spacing w:line="500" w:lineRule="exact"/>
        <w:rPr>
          <w:rFonts w:hint="eastAsia" w:ascii="宋体" w:hAnsi="宋体" w:eastAsia="宋体" w:cs="宋体"/>
          <w:color w:val="auto"/>
          <w:szCs w:val="21"/>
          <w:highlight w:val="none"/>
        </w:rPr>
      </w:pPr>
    </w:p>
    <w:p>
      <w:pPr>
        <w:widowControl w:val="0"/>
        <w:spacing w:line="360" w:lineRule="auto"/>
        <w:jc w:val="center"/>
        <w:rPr>
          <w:rFonts w:hint="eastAsia" w:ascii="宋体" w:hAnsi="宋体" w:eastAsia="宋体" w:cs="宋体"/>
          <w:b/>
          <w:color w:val="auto"/>
          <w:spacing w:val="6"/>
          <w:kern w:val="2"/>
          <w:szCs w:val="21"/>
          <w:highlight w:val="none"/>
        </w:rPr>
      </w:pPr>
      <w:r>
        <w:rPr>
          <w:rFonts w:hint="eastAsia" w:ascii="宋体" w:hAnsi="宋体" w:eastAsia="宋体" w:cs="宋体"/>
          <w:b/>
          <w:color w:val="auto"/>
          <w:spacing w:val="6"/>
          <w:kern w:val="2"/>
          <w:szCs w:val="21"/>
          <w:highlight w:val="none"/>
        </w:rPr>
        <w:t>残疾人福利性单位声明函</w:t>
      </w:r>
    </w:p>
    <w:p>
      <w:pPr>
        <w:spacing w:line="500" w:lineRule="exact"/>
        <w:rPr>
          <w:rFonts w:hint="eastAsia" w:ascii="宋体" w:hAnsi="宋体" w:eastAsia="宋体" w:cs="宋体"/>
          <w:color w:val="auto"/>
          <w:szCs w:val="21"/>
          <w:highlight w:val="none"/>
        </w:rPr>
      </w:pPr>
    </w:p>
    <w:p>
      <w:pPr>
        <w:widowControl w:val="0"/>
        <w:spacing w:line="360" w:lineRule="auto"/>
        <w:ind w:firstLine="444" w:firstLineChars="200"/>
        <w:jc w:val="both"/>
        <w:rPr>
          <w:rFonts w:hint="eastAsia" w:ascii="宋体" w:hAnsi="宋体" w:eastAsia="宋体" w:cs="宋体"/>
          <w:color w:val="auto"/>
          <w:spacing w:val="6"/>
          <w:kern w:val="2"/>
          <w:szCs w:val="21"/>
          <w:highlight w:val="none"/>
        </w:rPr>
      </w:pPr>
      <w:r>
        <w:rPr>
          <w:rFonts w:hint="eastAsia" w:ascii="宋体" w:hAnsi="宋体" w:eastAsia="宋体" w:cs="宋体"/>
          <w:color w:val="auto"/>
          <w:spacing w:val="6"/>
          <w:kern w:val="2"/>
          <w:szCs w:val="21"/>
          <w:highlight w:val="none"/>
        </w:rPr>
        <w:t>本单位郑重声明，根据《财政部 民政部 中国残疾人联合会关于促进残疾人就业政府采购政策的通知》（财库</w:t>
      </w:r>
      <w:r>
        <w:rPr>
          <w:rFonts w:hint="eastAsia" w:ascii="宋体" w:hAnsi="宋体" w:eastAsia="宋体" w:cs="宋体"/>
          <w:color w:val="auto"/>
          <w:kern w:val="2"/>
          <w:szCs w:val="21"/>
          <w:highlight w:val="none"/>
        </w:rPr>
        <w:t>〔2017〕 141</w:t>
      </w:r>
      <w:r>
        <w:rPr>
          <w:rFonts w:hint="eastAsia" w:ascii="宋体" w:hAnsi="宋体" w:eastAsia="宋体" w:cs="宋体"/>
          <w:color w:val="auto"/>
          <w:spacing w:val="6"/>
          <w:kern w:val="2"/>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val="0"/>
        <w:spacing w:line="360" w:lineRule="auto"/>
        <w:ind w:firstLine="444" w:firstLineChars="200"/>
        <w:jc w:val="both"/>
        <w:rPr>
          <w:rFonts w:hint="eastAsia" w:ascii="宋体" w:hAnsi="宋体" w:eastAsia="宋体" w:cs="宋体"/>
          <w:color w:val="auto"/>
          <w:spacing w:val="6"/>
          <w:kern w:val="2"/>
          <w:szCs w:val="21"/>
          <w:highlight w:val="none"/>
        </w:rPr>
      </w:pPr>
      <w:r>
        <w:rPr>
          <w:rFonts w:hint="eastAsia" w:ascii="宋体" w:hAnsi="宋体" w:eastAsia="宋体" w:cs="宋体"/>
          <w:color w:val="auto"/>
          <w:spacing w:val="6"/>
          <w:kern w:val="2"/>
          <w:szCs w:val="21"/>
          <w:highlight w:val="none"/>
        </w:rPr>
        <w:t>本单位对上述声明的真实性负责。如有虚假，将依法承担相应责任。</w:t>
      </w:r>
    </w:p>
    <w:p>
      <w:pPr>
        <w:widowControl w:val="0"/>
        <w:spacing w:line="360" w:lineRule="auto"/>
        <w:ind w:firstLine="444" w:firstLineChars="200"/>
        <w:jc w:val="both"/>
        <w:rPr>
          <w:rFonts w:hint="eastAsia" w:ascii="宋体" w:hAnsi="宋体" w:eastAsia="宋体" w:cs="宋体"/>
          <w:color w:val="auto"/>
          <w:spacing w:val="6"/>
          <w:kern w:val="2"/>
          <w:szCs w:val="21"/>
          <w:highlight w:val="none"/>
        </w:rPr>
      </w:pPr>
    </w:p>
    <w:p>
      <w:pPr>
        <w:widowControl w:val="0"/>
        <w:tabs>
          <w:tab w:val="left" w:pos="4860"/>
        </w:tabs>
        <w:spacing w:line="360" w:lineRule="auto"/>
        <w:ind w:firstLine="444" w:firstLineChars="200"/>
        <w:jc w:val="center"/>
        <w:rPr>
          <w:rFonts w:hint="eastAsia" w:ascii="宋体" w:hAnsi="宋体" w:eastAsia="宋体" w:cs="宋体"/>
          <w:color w:val="auto"/>
          <w:spacing w:val="6"/>
          <w:kern w:val="2"/>
          <w:szCs w:val="21"/>
          <w:highlight w:val="none"/>
        </w:rPr>
      </w:pPr>
      <w:r>
        <w:rPr>
          <w:rFonts w:hint="eastAsia" w:ascii="宋体" w:hAnsi="宋体" w:eastAsia="宋体" w:cs="宋体"/>
          <w:color w:val="auto"/>
          <w:spacing w:val="6"/>
          <w:kern w:val="2"/>
          <w:szCs w:val="21"/>
          <w:highlight w:val="none"/>
        </w:rPr>
        <w:t xml:space="preserve">               单位名称（盖章）：</w:t>
      </w:r>
    </w:p>
    <w:p>
      <w:pPr>
        <w:widowControl w:val="0"/>
        <w:tabs>
          <w:tab w:val="left" w:pos="4860"/>
        </w:tabs>
        <w:spacing w:line="360" w:lineRule="auto"/>
        <w:ind w:firstLine="444" w:firstLineChars="200"/>
        <w:jc w:val="center"/>
        <w:rPr>
          <w:rFonts w:hint="eastAsia" w:ascii="宋体" w:hAnsi="宋体" w:eastAsia="宋体" w:cs="宋体"/>
          <w:color w:val="auto"/>
          <w:kern w:val="2"/>
          <w:szCs w:val="24"/>
          <w:highlight w:val="none"/>
        </w:rPr>
      </w:pPr>
      <w:r>
        <w:rPr>
          <w:rFonts w:hint="eastAsia" w:ascii="宋体" w:hAnsi="宋体" w:eastAsia="宋体" w:cs="宋体"/>
          <w:color w:val="auto"/>
          <w:spacing w:val="6"/>
          <w:kern w:val="2"/>
          <w:szCs w:val="21"/>
          <w:highlight w:val="none"/>
        </w:rPr>
        <w:t xml:space="preserve">       日  期：</w:t>
      </w:r>
    </w:p>
    <w:p>
      <w:pPr>
        <w:widowControl w:val="0"/>
        <w:tabs>
          <w:tab w:val="left" w:pos="4860"/>
        </w:tabs>
        <w:spacing w:line="360" w:lineRule="auto"/>
        <w:ind w:firstLine="420" w:firstLineChars="200"/>
        <w:jc w:val="center"/>
        <w:rPr>
          <w:rFonts w:hint="eastAsia" w:ascii="宋体" w:hAnsi="宋体" w:eastAsia="宋体" w:cs="宋体"/>
          <w:color w:val="auto"/>
          <w:kern w:val="2"/>
          <w:szCs w:val="24"/>
          <w:highlight w:val="none"/>
        </w:rPr>
      </w:pPr>
    </w:p>
    <w:p>
      <w:pPr>
        <w:widowControl w:val="0"/>
        <w:tabs>
          <w:tab w:val="left" w:pos="4860"/>
        </w:tabs>
        <w:spacing w:line="360" w:lineRule="auto"/>
        <w:jc w:val="both"/>
        <w:rPr>
          <w:rFonts w:hint="eastAsia" w:ascii="宋体" w:hAnsi="宋体" w:eastAsia="宋体" w:cs="宋体"/>
          <w:color w:val="auto"/>
          <w:spacing w:val="6"/>
          <w:kern w:val="2"/>
          <w:szCs w:val="21"/>
          <w:highlight w:val="none"/>
        </w:rPr>
      </w:pPr>
      <w:r>
        <w:rPr>
          <w:rFonts w:hint="eastAsia" w:ascii="宋体" w:hAnsi="宋体" w:eastAsia="宋体" w:cs="宋体"/>
          <w:color w:val="auto"/>
          <w:spacing w:val="6"/>
          <w:kern w:val="2"/>
          <w:szCs w:val="21"/>
          <w:highlight w:val="none"/>
        </w:rPr>
        <w:t>注：1、如供应商为非残疾人福利性单位的可不提供本声明函。</w:t>
      </w:r>
    </w:p>
    <w:p>
      <w:pPr>
        <w:widowControl w:val="0"/>
        <w:tabs>
          <w:tab w:val="left" w:pos="4860"/>
        </w:tabs>
        <w:spacing w:line="360" w:lineRule="auto"/>
        <w:ind w:firstLine="444" w:firstLineChars="200"/>
        <w:jc w:val="both"/>
        <w:rPr>
          <w:rFonts w:hint="eastAsia" w:ascii="宋体" w:hAnsi="宋体" w:eastAsia="宋体" w:cs="宋体"/>
          <w:color w:val="auto"/>
          <w:spacing w:val="6"/>
          <w:kern w:val="2"/>
          <w:szCs w:val="21"/>
          <w:highlight w:val="none"/>
        </w:rPr>
      </w:pPr>
      <w:r>
        <w:rPr>
          <w:rFonts w:hint="eastAsia" w:ascii="宋体" w:hAnsi="宋体" w:eastAsia="宋体" w:cs="宋体"/>
          <w:color w:val="auto"/>
          <w:spacing w:val="6"/>
          <w:kern w:val="2"/>
          <w:szCs w:val="21"/>
          <w:highlight w:val="none"/>
        </w:rPr>
        <w:t>2、享受政府采购支持政策的残疾人福利性单位应当同时满足以下条件：</w:t>
      </w:r>
    </w:p>
    <w:p>
      <w:pPr>
        <w:widowControl w:val="0"/>
        <w:tabs>
          <w:tab w:val="left" w:pos="4860"/>
        </w:tabs>
        <w:spacing w:line="360" w:lineRule="auto"/>
        <w:ind w:firstLine="444" w:firstLineChars="200"/>
        <w:jc w:val="both"/>
        <w:rPr>
          <w:rFonts w:hint="eastAsia" w:ascii="宋体" w:hAnsi="宋体" w:eastAsia="宋体" w:cs="宋体"/>
          <w:color w:val="auto"/>
          <w:spacing w:val="6"/>
          <w:kern w:val="2"/>
          <w:szCs w:val="21"/>
          <w:highlight w:val="none"/>
        </w:rPr>
      </w:pPr>
      <w:r>
        <w:rPr>
          <w:rFonts w:hint="eastAsia" w:ascii="宋体" w:hAnsi="宋体" w:eastAsia="宋体" w:cs="宋体"/>
          <w:color w:val="auto"/>
          <w:spacing w:val="6"/>
          <w:kern w:val="2"/>
          <w:szCs w:val="21"/>
          <w:highlight w:val="none"/>
        </w:rPr>
        <w:t>（1）安置的残疾人占本单位在职职工人数的比例不低于25%（含25%），并且安置的残疾人人数不少于10人（含10人）；</w:t>
      </w:r>
    </w:p>
    <w:p>
      <w:pPr>
        <w:widowControl w:val="0"/>
        <w:tabs>
          <w:tab w:val="left" w:pos="4860"/>
        </w:tabs>
        <w:spacing w:line="360" w:lineRule="auto"/>
        <w:ind w:firstLine="444" w:firstLineChars="200"/>
        <w:jc w:val="both"/>
        <w:rPr>
          <w:rFonts w:hint="eastAsia" w:ascii="宋体" w:hAnsi="宋体" w:eastAsia="宋体" w:cs="宋体"/>
          <w:color w:val="auto"/>
          <w:spacing w:val="6"/>
          <w:kern w:val="2"/>
          <w:szCs w:val="21"/>
          <w:highlight w:val="none"/>
        </w:rPr>
      </w:pPr>
      <w:r>
        <w:rPr>
          <w:rFonts w:hint="eastAsia" w:ascii="宋体" w:hAnsi="宋体" w:eastAsia="宋体" w:cs="宋体"/>
          <w:color w:val="auto"/>
          <w:spacing w:val="6"/>
          <w:kern w:val="2"/>
          <w:szCs w:val="21"/>
          <w:highlight w:val="none"/>
        </w:rPr>
        <w:t>（2）依法与安置的每位残疾人签订了一年以上（含一年）的劳动合同或服务协议；</w:t>
      </w:r>
    </w:p>
    <w:p>
      <w:pPr>
        <w:widowControl w:val="0"/>
        <w:tabs>
          <w:tab w:val="left" w:pos="4860"/>
        </w:tabs>
        <w:spacing w:line="360" w:lineRule="auto"/>
        <w:ind w:firstLine="444" w:firstLineChars="200"/>
        <w:jc w:val="both"/>
        <w:rPr>
          <w:rFonts w:hint="eastAsia" w:ascii="宋体" w:hAnsi="宋体" w:eastAsia="宋体" w:cs="宋体"/>
          <w:color w:val="auto"/>
          <w:spacing w:val="6"/>
          <w:kern w:val="2"/>
          <w:szCs w:val="21"/>
          <w:highlight w:val="none"/>
        </w:rPr>
      </w:pPr>
      <w:r>
        <w:rPr>
          <w:rFonts w:hint="eastAsia" w:ascii="宋体" w:hAnsi="宋体" w:eastAsia="宋体" w:cs="宋体"/>
          <w:color w:val="auto"/>
          <w:spacing w:val="6"/>
          <w:kern w:val="2"/>
          <w:szCs w:val="21"/>
          <w:highlight w:val="none"/>
        </w:rPr>
        <w:t>（3）为安置的每位残疾人按月足额缴纳了基本养老保险、基本医疗保险、失业保险、工伤保险和生育保险等社会保险费；</w:t>
      </w:r>
    </w:p>
    <w:p>
      <w:pPr>
        <w:widowControl w:val="0"/>
        <w:tabs>
          <w:tab w:val="left" w:pos="4860"/>
        </w:tabs>
        <w:spacing w:line="360" w:lineRule="auto"/>
        <w:ind w:firstLine="444" w:firstLineChars="200"/>
        <w:jc w:val="both"/>
        <w:rPr>
          <w:rFonts w:hint="eastAsia" w:ascii="宋体" w:hAnsi="宋体" w:eastAsia="宋体" w:cs="宋体"/>
          <w:color w:val="auto"/>
          <w:spacing w:val="6"/>
          <w:kern w:val="2"/>
          <w:szCs w:val="21"/>
          <w:highlight w:val="none"/>
        </w:rPr>
      </w:pPr>
      <w:r>
        <w:rPr>
          <w:rFonts w:hint="eastAsia" w:ascii="宋体" w:hAnsi="宋体" w:eastAsia="宋体" w:cs="宋体"/>
          <w:color w:val="auto"/>
          <w:spacing w:val="6"/>
          <w:kern w:val="2"/>
          <w:szCs w:val="21"/>
          <w:highlight w:val="none"/>
        </w:rPr>
        <w:t>（4）通过银行等金融机构向安置的每位残疾人，按月支付了不低于单位所在区县适用的经省级人民政府批准的月最低工资标准的工资；</w:t>
      </w:r>
    </w:p>
    <w:p>
      <w:pPr>
        <w:widowControl w:val="0"/>
        <w:tabs>
          <w:tab w:val="left" w:pos="4860"/>
        </w:tabs>
        <w:spacing w:line="360" w:lineRule="auto"/>
        <w:ind w:firstLine="444" w:firstLineChars="200"/>
        <w:jc w:val="both"/>
        <w:rPr>
          <w:rFonts w:hint="eastAsia" w:ascii="宋体" w:hAnsi="宋体" w:eastAsia="宋体" w:cs="宋体"/>
          <w:color w:val="auto"/>
          <w:spacing w:val="6"/>
          <w:kern w:val="2"/>
          <w:szCs w:val="21"/>
          <w:highlight w:val="none"/>
        </w:rPr>
      </w:pPr>
      <w:r>
        <w:rPr>
          <w:rFonts w:hint="eastAsia" w:ascii="宋体" w:hAnsi="宋体" w:eastAsia="宋体" w:cs="宋体"/>
          <w:color w:val="auto"/>
          <w:spacing w:val="6"/>
          <w:kern w:val="2"/>
          <w:szCs w:val="21"/>
          <w:highlight w:val="none"/>
        </w:rPr>
        <w:t>（5）提供本单位制造的货物、承担的工程或者服务（以下简称产品），或者提供其他残疾人福利性单位制造的货物（不包括使用非残疾人福利性单位注册商标的货物）。</w:t>
      </w:r>
    </w:p>
    <w:p>
      <w:pPr>
        <w:spacing w:line="500" w:lineRule="exac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pacing w:val="6"/>
          <w:kern w:val="2"/>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napToGrid w:val="0"/>
        <w:rPr>
          <w:rFonts w:hint="eastAsia" w:ascii="宋体" w:hAnsi="宋体" w:eastAsia="宋体" w:cs="宋体"/>
          <w:color w:val="auto"/>
          <w:szCs w:val="21"/>
          <w:highlight w:val="none"/>
        </w:rPr>
      </w:pPr>
    </w:p>
    <w:p>
      <w:pPr>
        <w:snapToGrid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6</w:t>
      </w:r>
      <w:r>
        <w:rPr>
          <w:rFonts w:hint="eastAsia" w:ascii="宋体" w:hAnsi="宋体" w:eastAsia="宋体" w:cs="宋体"/>
          <w:b/>
          <w:bCs/>
          <w:color w:val="auto"/>
          <w:highlight w:val="none"/>
          <w:lang w:eastAsia="zh-CN"/>
        </w:rPr>
        <w:t>）</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要求的其他资格条件证明材料（如有）</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highlight w:val="none"/>
          <w:lang w:bidi="ar"/>
        </w:rPr>
      </w:pPr>
      <w:r>
        <w:rPr>
          <w:rFonts w:hint="eastAsia" w:ascii="宋体" w:hAnsi="宋体" w:eastAsia="宋体" w:cs="宋体"/>
          <w:b/>
          <w:bCs/>
          <w:color w:val="auto"/>
          <w:highlight w:val="none"/>
          <w:lang w:eastAsia="zh-CN"/>
        </w:rPr>
        <w:br w:type="page"/>
      </w: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商务技术文件内容包括</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符合性自查表（格式见附件）；</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供应商响应表（格式见附件）；</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商务条款偏离表（格式见附件）；</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投标函（格式见附件）；</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法定代表人身份证明或法定代表人授权委托书（格式见附件）；</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技术（服务）条款偏离表（格式见附件）；</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供应商基本情况表（格式见附件）；</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本项目负责人简历表（格式见附件）</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本项目组人员配备情况表（格式见附件）</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同类业绩情况一览表（格式见附件）；</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技术部分：针对本项目第二章采购需求和第四章评分标准中的条款拟定完整方案，格式自拟；</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第四章评标办法及评分标准中需提供的其他相关证书及合同复印件等并加盖公章；</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供应商认为有需要提供的其它有关证明资料。</w:t>
      </w:r>
    </w:p>
    <w:p>
      <w:pPr>
        <w:snapToGrid w:val="0"/>
        <w:rPr>
          <w:rFonts w:hint="eastAsia" w:ascii="宋体" w:hAnsi="宋体" w:eastAsia="宋体" w:cs="宋体"/>
          <w:bCs/>
          <w:color w:val="auto"/>
          <w:sz w:val="24"/>
          <w:highlight w:val="none"/>
          <w:lang w:bidi="ar"/>
        </w:rPr>
      </w:pPr>
    </w:p>
    <w:p>
      <w:pPr>
        <w:snapToGrid w:val="0"/>
        <w:rPr>
          <w:rFonts w:hint="eastAsia" w:ascii="宋体" w:hAnsi="宋体" w:eastAsia="宋体" w:cs="宋体"/>
          <w:bCs/>
          <w:color w:val="auto"/>
          <w:sz w:val="24"/>
          <w:highlight w:val="none"/>
          <w:lang w:bidi="ar"/>
        </w:rPr>
      </w:pPr>
    </w:p>
    <w:p>
      <w:pPr>
        <w:numPr>
          <w:ilvl w:val="0"/>
          <w:numId w:val="19"/>
        </w:numPr>
        <w:snapToGrid w:val="0"/>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br w:type="page"/>
      </w:r>
      <w:r>
        <w:rPr>
          <w:rFonts w:hint="eastAsia" w:ascii="宋体" w:hAnsi="宋体" w:eastAsia="宋体" w:cs="宋体"/>
          <w:b/>
          <w:color w:val="auto"/>
          <w:szCs w:val="21"/>
          <w:highlight w:val="none"/>
          <w:lang w:bidi="ar"/>
        </w:rPr>
        <w:t>符合性自查表格式</w:t>
      </w: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符合性自查表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149"/>
        <w:gridCol w:w="3499"/>
        <w:gridCol w:w="124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评审内容</w:t>
            </w:r>
          </w:p>
        </w:tc>
        <w:tc>
          <w:tcPr>
            <w:tcW w:w="34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要求</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自查结论</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符合性审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查</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商务技术文件</w:t>
            </w:r>
            <w:r>
              <w:rPr>
                <w:rFonts w:hint="eastAsia" w:ascii="宋体" w:hAnsi="宋体" w:eastAsia="宋体" w:cs="宋体"/>
                <w:color w:val="auto"/>
                <w:highlight w:val="none"/>
                <w:lang w:eastAsia="zh-CN"/>
              </w:rPr>
              <w:t>）</w:t>
            </w: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w:t>
            </w:r>
            <w:r>
              <w:rPr>
                <w:rFonts w:hint="eastAsia" w:ascii="宋体" w:hAnsi="宋体" w:eastAsia="宋体" w:cs="宋体"/>
                <w:color w:val="auto"/>
                <w:highlight w:val="none"/>
              </w:rPr>
              <w:t>投标函已提交并符合</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要求；</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w:t>
            </w:r>
            <w:r>
              <w:rPr>
                <w:rFonts w:hint="eastAsia" w:ascii="宋体" w:hAnsi="宋体" w:eastAsia="宋体" w:cs="宋体"/>
                <w:color w:val="auto"/>
                <w:highlight w:val="none"/>
              </w:rPr>
              <w:t>按照</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规定要求签署或盖章；</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w:t>
            </w:r>
            <w:r>
              <w:rPr>
                <w:rFonts w:hint="eastAsia" w:ascii="宋体" w:hAnsi="宋体" w:eastAsia="宋体" w:cs="宋体"/>
                <w:color w:val="auto"/>
                <w:highlight w:val="none"/>
              </w:rPr>
              <w:t>投标文件</w:t>
            </w:r>
            <w:r>
              <w:rPr>
                <w:rFonts w:hint="eastAsia" w:ascii="宋体" w:hAnsi="宋体" w:eastAsia="宋体" w:cs="宋体"/>
                <w:color w:val="auto"/>
                <w:highlight w:val="none"/>
                <w:lang w:val="en-US" w:eastAsia="zh-CN"/>
              </w:rPr>
              <w:t>有</w:t>
            </w:r>
            <w:r>
              <w:rPr>
                <w:rFonts w:hint="eastAsia" w:ascii="宋体" w:hAnsi="宋体" w:eastAsia="宋体" w:cs="宋体"/>
                <w:color w:val="auto"/>
                <w:highlight w:val="none"/>
              </w:rPr>
              <w:t>法定代表人签署本人姓名（或印盖本人姓名章）</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或签署人提供有效的法定代表人授权委托书</w:t>
            </w:r>
            <w:r>
              <w:rPr>
                <w:rFonts w:hint="eastAsia" w:ascii="宋体" w:hAnsi="宋体" w:eastAsia="宋体" w:cs="宋体"/>
                <w:color w:val="auto"/>
                <w:highlight w:val="none"/>
                <w:lang w:val="en-US" w:eastAsia="zh-CN"/>
              </w:rPr>
              <w:t>且</w:t>
            </w:r>
            <w:r>
              <w:rPr>
                <w:rFonts w:hint="eastAsia" w:ascii="宋体" w:hAnsi="宋体" w:eastAsia="宋体" w:cs="宋体"/>
                <w:color w:val="auto"/>
                <w:highlight w:val="none"/>
              </w:rPr>
              <w:t>授权委托书填写项目齐全的；</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w:t>
            </w:r>
            <w:r>
              <w:rPr>
                <w:rFonts w:hint="eastAsia" w:ascii="宋体" w:hAnsi="宋体" w:eastAsia="宋体" w:cs="宋体"/>
                <w:color w:val="auto"/>
                <w:highlight w:val="none"/>
              </w:rPr>
              <w:t>投标文件项目齐全；</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w:t>
            </w:r>
            <w:r>
              <w:rPr>
                <w:rFonts w:hint="eastAsia" w:ascii="宋体" w:hAnsi="宋体" w:eastAsia="宋体" w:cs="宋体"/>
                <w:color w:val="auto"/>
                <w:highlight w:val="none"/>
              </w:rPr>
              <w:t>投标文件标明的响应或偏离与事实</w:t>
            </w:r>
            <w:r>
              <w:rPr>
                <w:rFonts w:hint="eastAsia" w:ascii="宋体" w:hAnsi="宋体" w:eastAsia="宋体" w:cs="宋体"/>
                <w:color w:val="auto"/>
                <w:highlight w:val="none"/>
                <w:lang w:val="en-US" w:eastAsia="zh-CN"/>
              </w:rPr>
              <w:t>相符且无</w:t>
            </w:r>
            <w:r>
              <w:rPr>
                <w:rFonts w:hint="eastAsia" w:ascii="宋体" w:hAnsi="宋体" w:eastAsia="宋体" w:cs="宋体"/>
                <w:color w:val="auto"/>
                <w:highlight w:val="none"/>
              </w:rPr>
              <w:t>虚假投标的；</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w:t>
            </w:r>
            <w:r>
              <w:rPr>
                <w:rFonts w:hint="eastAsia" w:ascii="宋体" w:hAnsi="宋体" w:eastAsia="宋体" w:cs="宋体"/>
                <w:color w:val="auto"/>
                <w:highlight w:val="none"/>
              </w:rPr>
              <w:t>投标文件的实质性内容使用中文表述</w:t>
            </w:r>
            <w:r>
              <w:rPr>
                <w:rFonts w:hint="eastAsia" w:ascii="宋体" w:hAnsi="宋体" w:eastAsia="宋体" w:cs="宋体"/>
                <w:color w:val="auto"/>
                <w:highlight w:val="none"/>
                <w:lang w:val="en-US" w:eastAsia="zh-CN"/>
              </w:rPr>
              <w:t>且</w:t>
            </w:r>
            <w:r>
              <w:rPr>
                <w:rFonts w:hint="eastAsia" w:ascii="宋体" w:hAnsi="宋体" w:eastAsia="宋体" w:cs="宋体"/>
                <w:color w:val="auto"/>
                <w:highlight w:val="none"/>
              </w:rPr>
              <w:t>意思表述明确</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前后</w:t>
            </w:r>
            <w:r>
              <w:rPr>
                <w:rFonts w:hint="eastAsia" w:ascii="宋体" w:hAnsi="宋体" w:eastAsia="宋体" w:cs="宋体"/>
                <w:color w:val="auto"/>
                <w:highlight w:val="none"/>
                <w:lang w:val="en-US" w:eastAsia="zh-CN"/>
              </w:rPr>
              <w:t>无</w:t>
            </w:r>
            <w:r>
              <w:rPr>
                <w:rFonts w:hint="eastAsia" w:ascii="宋体" w:hAnsi="宋体" w:eastAsia="宋体" w:cs="宋体"/>
                <w:color w:val="auto"/>
                <w:highlight w:val="none"/>
              </w:rPr>
              <w:t>矛盾</w:t>
            </w:r>
            <w:r>
              <w:rPr>
                <w:rFonts w:hint="eastAsia" w:ascii="宋体" w:hAnsi="宋体" w:eastAsia="宋体" w:cs="宋体"/>
                <w:color w:val="auto"/>
                <w:highlight w:val="none"/>
                <w:lang w:val="en-US" w:eastAsia="zh-CN"/>
              </w:rPr>
              <w:t>且</w:t>
            </w:r>
            <w:r>
              <w:rPr>
                <w:rFonts w:hint="eastAsia" w:ascii="宋体" w:hAnsi="宋体" w:eastAsia="宋体" w:cs="宋体"/>
                <w:color w:val="auto"/>
                <w:highlight w:val="none"/>
              </w:rPr>
              <w:t>使用计量单位符合</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要求的；</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w:t>
            </w:r>
            <w:r>
              <w:rPr>
                <w:rFonts w:hint="eastAsia" w:ascii="宋体" w:hAnsi="宋体" w:eastAsia="宋体" w:cs="宋体"/>
                <w:color w:val="auto"/>
                <w:highlight w:val="none"/>
              </w:rPr>
              <w:t>带“★”的条款满足</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要求、</w:t>
            </w:r>
            <w:r>
              <w:rPr>
                <w:rFonts w:hint="eastAsia" w:ascii="宋体" w:hAnsi="宋体" w:eastAsia="宋体" w:cs="宋体"/>
                <w:color w:val="auto"/>
                <w:highlight w:val="none"/>
                <w:lang w:val="en-US" w:eastAsia="zh-CN"/>
              </w:rPr>
              <w:t>已</w:t>
            </w:r>
            <w:r>
              <w:rPr>
                <w:rFonts w:hint="eastAsia" w:ascii="宋体" w:hAnsi="宋体" w:eastAsia="宋体" w:cs="宋体"/>
                <w:color w:val="auto"/>
                <w:highlight w:val="none"/>
              </w:rPr>
              <w:t>实质性响应</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要求</w:t>
            </w:r>
            <w:r>
              <w:rPr>
                <w:rFonts w:hint="eastAsia" w:ascii="宋体" w:hAnsi="宋体" w:eastAsia="宋体" w:cs="宋体"/>
                <w:color w:val="auto"/>
                <w:highlight w:val="none"/>
                <w:lang w:val="en-US" w:eastAsia="zh-CN"/>
              </w:rPr>
              <w:t>且</w:t>
            </w:r>
            <w:r>
              <w:rPr>
                <w:rFonts w:hint="eastAsia" w:ascii="宋体" w:hAnsi="宋体" w:eastAsia="宋体" w:cs="宋体"/>
                <w:color w:val="auto"/>
                <w:highlight w:val="none"/>
              </w:rPr>
              <w:t>投标文件</w:t>
            </w:r>
            <w:r>
              <w:rPr>
                <w:rFonts w:hint="eastAsia" w:ascii="宋体" w:hAnsi="宋体" w:eastAsia="宋体" w:cs="宋体"/>
                <w:color w:val="auto"/>
                <w:highlight w:val="none"/>
                <w:lang w:val="en-US" w:eastAsia="zh-CN"/>
              </w:rPr>
              <w:t>无</w:t>
            </w:r>
            <w:r>
              <w:rPr>
                <w:rFonts w:hint="eastAsia" w:ascii="宋体" w:hAnsi="宋体" w:eastAsia="宋体" w:cs="宋体"/>
                <w:color w:val="auto"/>
                <w:highlight w:val="none"/>
              </w:rPr>
              <w:t>采购人不能接受的附加条件的；</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w:t>
            </w:r>
            <w:r>
              <w:rPr>
                <w:rFonts w:hint="eastAsia" w:ascii="宋体" w:hAnsi="宋体" w:eastAsia="宋体" w:cs="宋体"/>
                <w:color w:val="auto"/>
                <w:highlight w:val="none"/>
              </w:rPr>
              <w:t>投标技术方案明确，</w:t>
            </w:r>
            <w:r>
              <w:rPr>
                <w:rFonts w:hint="eastAsia" w:ascii="宋体" w:hAnsi="宋体" w:eastAsia="宋体" w:cs="宋体"/>
                <w:color w:val="auto"/>
                <w:highlight w:val="none"/>
                <w:lang w:val="en-US" w:eastAsia="zh-CN"/>
              </w:rPr>
              <w:t>不</w:t>
            </w:r>
            <w:r>
              <w:rPr>
                <w:rFonts w:hint="eastAsia" w:ascii="宋体" w:hAnsi="宋体" w:eastAsia="宋体" w:cs="宋体"/>
                <w:color w:val="auto"/>
                <w:highlight w:val="none"/>
              </w:rPr>
              <w:t>存在一个或一个以上备选（替代）投标方案的；</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九</w:t>
            </w:r>
            <w:r>
              <w:rPr>
                <w:rFonts w:hint="eastAsia" w:ascii="宋体" w:hAnsi="宋体" w:eastAsia="宋体" w:cs="宋体"/>
                <w:color w:val="auto"/>
                <w:szCs w:val="21"/>
                <w:highlight w:val="none"/>
              </w:rPr>
              <w:t>）</w:t>
            </w:r>
            <w:r>
              <w:rPr>
                <w:rFonts w:hint="eastAsia" w:ascii="宋体" w:hAnsi="宋体" w:eastAsia="宋体" w:cs="宋体"/>
                <w:color w:val="auto"/>
                <w:highlight w:val="none"/>
                <w:lang w:val="en-US" w:eastAsia="zh-CN"/>
              </w:rPr>
              <w:t>商务</w:t>
            </w:r>
            <w:r>
              <w:rPr>
                <w:rFonts w:hint="eastAsia" w:ascii="宋体" w:hAnsi="宋体" w:eastAsia="宋体" w:cs="宋体"/>
                <w:color w:val="auto"/>
                <w:highlight w:val="none"/>
              </w:rPr>
              <w:t>技术文件中</w:t>
            </w:r>
            <w:r>
              <w:rPr>
                <w:rFonts w:hint="eastAsia" w:ascii="宋体" w:hAnsi="宋体" w:eastAsia="宋体" w:cs="宋体"/>
                <w:color w:val="auto"/>
                <w:highlight w:val="none"/>
                <w:lang w:val="en-US" w:eastAsia="zh-CN"/>
              </w:rPr>
              <w:t>未</w:t>
            </w:r>
            <w:r>
              <w:rPr>
                <w:rFonts w:hint="eastAsia" w:ascii="宋体" w:hAnsi="宋体" w:eastAsia="宋体" w:cs="宋体"/>
                <w:color w:val="auto"/>
                <w:highlight w:val="none"/>
              </w:rPr>
              <w:t>出现报价或单价的</w:t>
            </w:r>
            <w:r>
              <w:rPr>
                <w:rFonts w:hint="eastAsia" w:ascii="宋体" w:hAnsi="宋体" w:eastAsia="宋体" w:cs="宋体"/>
                <w:color w:val="auto"/>
                <w:highlight w:val="none"/>
                <w:lang w:eastAsia="zh-CN"/>
              </w:rPr>
              <w:t>；</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十</w:t>
            </w:r>
            <w:r>
              <w:rPr>
                <w:rFonts w:hint="eastAsia" w:ascii="宋体" w:hAnsi="宋体" w:eastAsia="宋体" w:cs="宋体"/>
                <w:color w:val="auto"/>
                <w:szCs w:val="21"/>
                <w:highlight w:val="none"/>
              </w:rPr>
              <w:t>）</w:t>
            </w:r>
            <w:r>
              <w:rPr>
                <w:rFonts w:hint="eastAsia" w:ascii="宋体" w:hAnsi="宋体" w:eastAsia="宋体" w:cs="宋体"/>
                <w:color w:val="auto"/>
                <w:highlight w:val="none"/>
              </w:rPr>
              <w:t>不存在法律、法规和</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规定的其他无效情形</w:t>
            </w:r>
            <w:r>
              <w:rPr>
                <w:rFonts w:hint="eastAsia" w:ascii="宋体" w:hAnsi="宋体" w:eastAsia="宋体" w:cs="宋体"/>
                <w:color w:val="auto"/>
                <w:highlight w:val="none"/>
                <w:lang w:eastAsia="zh-CN"/>
              </w:rPr>
              <w:t>；</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p>
        </w:tc>
        <w:tc>
          <w:tcPr>
            <w:tcW w:w="3499" w:type="dxa"/>
            <w:noWrap w:val="0"/>
            <w:vAlign w:val="center"/>
          </w:tcPr>
          <w:p>
            <w:pPr>
              <w:keepNext w:val="0"/>
              <w:keepLines w:val="0"/>
              <w:pageBreakBefore w:val="0"/>
              <w:widowControl w:val="0"/>
              <w:tabs>
                <w:tab w:val="left" w:pos="612"/>
              </w:tabs>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十一</w:t>
            </w:r>
            <w:r>
              <w:rPr>
                <w:rFonts w:hint="eastAsia" w:ascii="宋体" w:hAnsi="宋体" w:eastAsia="宋体" w:cs="宋体"/>
                <w:color w:val="auto"/>
                <w:szCs w:val="21"/>
                <w:highlight w:val="none"/>
              </w:rPr>
              <w:t>）</w:t>
            </w:r>
            <w:r>
              <w:rPr>
                <w:rFonts w:hint="eastAsia" w:ascii="宋体" w:hAnsi="宋体" w:eastAsia="宋体" w:cs="宋体"/>
                <w:color w:val="auto"/>
                <w:highlight w:val="none"/>
              </w:rPr>
              <w:t>不存在投标文件的有效期不满足</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要求情形</w:t>
            </w:r>
            <w:r>
              <w:rPr>
                <w:rFonts w:hint="eastAsia" w:ascii="宋体" w:hAnsi="宋体" w:eastAsia="宋体" w:cs="宋体"/>
                <w:color w:val="auto"/>
                <w:highlight w:val="none"/>
                <w:lang w:eastAsia="zh-CN"/>
              </w:rPr>
              <w:t>；</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□通过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□不通过</w:t>
            </w:r>
          </w:p>
        </w:tc>
        <w:tc>
          <w:tcPr>
            <w:tcW w:w="2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第（ ）页</w:t>
            </w:r>
          </w:p>
        </w:tc>
      </w:tr>
    </w:tbl>
    <w:p>
      <w:pPr>
        <w:snapToGrid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备注：符合性自查表将作为供应商有效性审查的重要内容之一，供应商必须严格按照其内容及序列要求在投标文件中对应如实提供，对证明文件的任何缺漏和不符合项将会直接导致投标无效！ </w:t>
      </w:r>
    </w:p>
    <w:p>
      <w:pPr>
        <w:snapToGrid w:val="0"/>
        <w:rPr>
          <w:rFonts w:hint="eastAsia" w:ascii="宋体" w:hAnsi="宋体" w:eastAsia="宋体" w:cs="宋体"/>
          <w:b/>
          <w:color w:val="auto"/>
          <w:szCs w:val="21"/>
          <w:highlight w:val="none"/>
        </w:rPr>
      </w:pPr>
    </w:p>
    <w:p>
      <w:pPr>
        <w:snapToGrid w:val="0"/>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lang w:val="en-US" w:eastAsia="zh-CN" w:bidi="ar"/>
        </w:rPr>
        <w:t>2</w:t>
      </w:r>
      <w:r>
        <w:rPr>
          <w:rFonts w:hint="eastAsia" w:ascii="宋体" w:hAnsi="宋体" w:eastAsia="宋体" w:cs="宋体"/>
          <w:b/>
          <w:color w:val="auto"/>
          <w:szCs w:val="21"/>
          <w:highlight w:val="none"/>
          <w:lang w:bidi="ar"/>
        </w:rPr>
        <w:t>）供应商响应表格式</w:t>
      </w: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供应商响应表</w:t>
      </w: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t>采购项目：</w:t>
      </w:r>
    </w:p>
    <w:p>
      <w:pPr>
        <w:rPr>
          <w:rFonts w:hint="eastAsia" w:ascii="宋体" w:hAnsi="宋体" w:eastAsia="宋体" w:cs="宋体"/>
          <w:color w:val="auto"/>
          <w:highlight w:val="none"/>
        </w:rPr>
      </w:pPr>
      <w:r>
        <w:rPr>
          <w:rFonts w:hint="eastAsia" w:ascii="宋体" w:hAnsi="宋体" w:eastAsia="宋体" w:cs="宋体"/>
          <w:color w:val="auto"/>
          <w:highlight w:val="none"/>
        </w:rPr>
        <w:t>项目编号：</w:t>
      </w:r>
    </w:p>
    <w:p>
      <w:pPr>
        <w:rPr>
          <w:rFonts w:hint="eastAsia" w:ascii="宋体" w:hAnsi="宋体" w:eastAsia="宋体" w:cs="宋体"/>
          <w:color w:val="auto"/>
          <w:highlight w:val="none"/>
        </w:rPr>
      </w:pPr>
      <w:r>
        <w:rPr>
          <w:rFonts w:hint="eastAsia" w:ascii="宋体" w:hAnsi="宋体" w:eastAsia="宋体" w:cs="宋体"/>
          <w:color w:val="auto"/>
          <w:highlight w:val="none"/>
          <w:lang w:eastAsia="zh-CN"/>
        </w:rPr>
        <w:t>标项</w:t>
      </w:r>
      <w:r>
        <w:rPr>
          <w:rFonts w:hint="eastAsia" w:ascii="宋体" w:hAnsi="宋体" w:eastAsia="宋体" w:cs="宋体"/>
          <w:color w:val="auto"/>
          <w:highlight w:val="none"/>
        </w:rPr>
        <w:t>号：</w:t>
      </w:r>
    </w:p>
    <w:tbl>
      <w:tblPr>
        <w:tblStyle w:val="46"/>
        <w:tblW w:w="0" w:type="auto"/>
        <w:tblInd w:w="93" w:type="dxa"/>
        <w:tblLayout w:type="fixed"/>
        <w:tblCellMar>
          <w:top w:w="0" w:type="dxa"/>
          <w:left w:w="108" w:type="dxa"/>
          <w:bottom w:w="0" w:type="dxa"/>
          <w:right w:w="108" w:type="dxa"/>
        </w:tblCellMar>
      </w:tblPr>
      <w:tblGrid>
        <w:gridCol w:w="574"/>
        <w:gridCol w:w="4942"/>
        <w:gridCol w:w="1460"/>
        <w:gridCol w:w="1460"/>
      </w:tblGrid>
      <w:tr>
        <w:tblPrEx>
          <w:tblCellMar>
            <w:top w:w="0" w:type="dxa"/>
            <w:left w:w="108" w:type="dxa"/>
            <w:bottom w:w="0" w:type="dxa"/>
            <w:right w:w="108" w:type="dxa"/>
          </w:tblCellMar>
        </w:tblPrEx>
        <w:trPr>
          <w:trHeight w:val="596"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49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评审内容</w:t>
            </w: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自评分</w:t>
            </w: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证明文件</w:t>
            </w:r>
          </w:p>
        </w:tc>
      </w:tr>
      <w:tr>
        <w:tblPrEx>
          <w:tblCellMar>
            <w:top w:w="0" w:type="dxa"/>
            <w:left w:w="108" w:type="dxa"/>
            <w:bottom w:w="0" w:type="dxa"/>
            <w:right w:w="108" w:type="dxa"/>
          </w:tblCellMar>
        </w:tblPrEx>
        <w:trPr>
          <w:trHeight w:val="593" w:hRule="atLeast"/>
        </w:trPr>
        <w:tc>
          <w:tcPr>
            <w:tcW w:w="574"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613" w:hRule="atLeast"/>
        </w:trPr>
        <w:tc>
          <w:tcPr>
            <w:tcW w:w="574"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520" w:hRule="atLeast"/>
        </w:trPr>
        <w:tc>
          <w:tcPr>
            <w:tcW w:w="574"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531" w:hRule="atLeast"/>
        </w:trPr>
        <w:tc>
          <w:tcPr>
            <w:tcW w:w="574"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607"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608"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750"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bl>
    <w:p>
      <w:pPr>
        <w:rPr>
          <w:rFonts w:hint="eastAsia" w:ascii="宋体" w:hAnsi="宋体" w:eastAsia="宋体" w:cs="宋体"/>
          <w:b/>
          <w:color w:val="auto"/>
          <w:highlight w:val="none"/>
        </w:rPr>
      </w:pPr>
      <w:r>
        <w:rPr>
          <w:rFonts w:hint="eastAsia" w:ascii="宋体" w:hAnsi="宋体" w:eastAsia="宋体" w:cs="宋体"/>
          <w:b/>
          <w:color w:val="auto"/>
          <w:highlight w:val="none"/>
        </w:rPr>
        <w:t>注：根据评分标准内容逐条填写并自行评分</w:t>
      </w:r>
      <w:r>
        <w:rPr>
          <w:rFonts w:hint="eastAsia" w:ascii="宋体" w:hAnsi="宋体" w:eastAsia="宋体" w:cs="宋体"/>
          <w:b/>
          <w:color w:val="auto"/>
          <w:szCs w:val="21"/>
          <w:highlight w:val="none"/>
          <w:lang w:bidi="ar"/>
        </w:rPr>
        <w:t>（价格分除外）</w:t>
      </w:r>
      <w:r>
        <w:rPr>
          <w:rFonts w:hint="eastAsia" w:ascii="宋体" w:hAnsi="宋体" w:eastAsia="宋体" w:cs="宋体"/>
          <w:b/>
          <w:color w:val="auto"/>
          <w:highlight w:val="none"/>
        </w:rPr>
        <w:t>。</w:t>
      </w:r>
    </w:p>
    <w:p>
      <w:pPr>
        <w:rPr>
          <w:rFonts w:hint="eastAsia" w:ascii="宋体" w:hAnsi="宋体" w:eastAsia="宋体" w:cs="宋体"/>
          <w:color w:val="auto"/>
          <w:highlight w:val="none"/>
        </w:rPr>
      </w:pPr>
    </w:p>
    <w:p>
      <w:pPr>
        <w:ind w:firstLine="6090" w:firstLineChars="2900"/>
        <w:rPr>
          <w:rFonts w:hint="eastAsia" w:ascii="宋体" w:hAnsi="宋体" w:eastAsia="宋体" w:cs="宋体"/>
          <w:color w:val="auto"/>
          <w:highlight w:val="none"/>
        </w:rPr>
      </w:pPr>
      <w:r>
        <w:rPr>
          <w:rFonts w:hint="eastAsia" w:ascii="宋体" w:hAnsi="宋体" w:eastAsia="宋体" w:cs="宋体"/>
          <w:color w:val="auto"/>
          <w:highlight w:val="none"/>
        </w:rPr>
        <w:t>供应商名称：</w:t>
      </w:r>
    </w:p>
    <w:p>
      <w:pPr>
        <w:rPr>
          <w:rFonts w:hint="eastAsia" w:ascii="宋体" w:hAnsi="宋体" w:eastAsia="宋体" w:cs="宋体"/>
          <w:color w:val="auto"/>
          <w:highlight w:val="none"/>
        </w:rPr>
      </w:pPr>
    </w:p>
    <w:p>
      <w:pPr>
        <w:ind w:firstLine="6090" w:firstLineChars="2900"/>
        <w:rPr>
          <w:rFonts w:hint="eastAsia" w:ascii="宋体" w:hAnsi="宋体" w:eastAsia="宋体" w:cs="宋体"/>
          <w:color w:val="auto"/>
          <w:highlight w:val="none"/>
        </w:rPr>
      </w:pPr>
      <w:r>
        <w:rPr>
          <w:rFonts w:hint="eastAsia" w:ascii="宋体" w:hAnsi="宋体" w:eastAsia="宋体" w:cs="宋体"/>
          <w:color w:val="auto"/>
          <w:highlight w:val="none"/>
        </w:rPr>
        <w:t>年  月  日</w:t>
      </w:r>
    </w:p>
    <w:p>
      <w:pPr>
        <w:snapToGrid w:val="0"/>
        <w:rPr>
          <w:rFonts w:hint="eastAsia" w:ascii="宋体" w:hAnsi="宋体" w:eastAsia="宋体" w:cs="宋体"/>
          <w:b/>
          <w:color w:val="auto"/>
          <w:szCs w:val="21"/>
          <w:highlight w:val="none"/>
        </w:rPr>
      </w:pPr>
    </w:p>
    <w:p>
      <w:pPr>
        <w:snapToGrid w:val="0"/>
        <w:rPr>
          <w:rFonts w:hint="eastAsia" w:ascii="宋体" w:hAnsi="宋体" w:eastAsia="宋体" w:cs="宋体"/>
          <w:b/>
          <w:color w:val="auto"/>
          <w:szCs w:val="21"/>
          <w:highlight w:val="none"/>
        </w:rPr>
      </w:pPr>
    </w:p>
    <w:p>
      <w:pPr>
        <w:snapToGrid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lang w:val="en-US" w:eastAsia="zh-CN" w:bidi="ar"/>
        </w:rPr>
        <w:t>3</w:t>
      </w: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rPr>
        <w:t>商务条款偏离表格式</w:t>
      </w:r>
    </w:p>
    <w:p>
      <w:pPr>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商务条款偏离表</w:t>
      </w:r>
    </w:p>
    <w:p>
      <w:pPr>
        <w:rPr>
          <w:rFonts w:hint="eastAsia" w:ascii="宋体" w:hAnsi="宋体" w:eastAsia="宋体" w:cs="宋体"/>
          <w:color w:val="auto"/>
          <w:highlight w:val="none"/>
        </w:rPr>
      </w:pPr>
      <w:r>
        <w:rPr>
          <w:rFonts w:hint="eastAsia" w:ascii="宋体" w:hAnsi="宋体" w:eastAsia="宋体" w:cs="宋体"/>
          <w:color w:val="auto"/>
          <w:highlight w:val="none"/>
        </w:rPr>
        <w:t>采购项目：</w:t>
      </w:r>
    </w:p>
    <w:p>
      <w:pPr>
        <w:rPr>
          <w:rFonts w:hint="eastAsia" w:ascii="宋体" w:hAnsi="宋体" w:eastAsia="宋体" w:cs="宋体"/>
          <w:color w:val="auto"/>
          <w:highlight w:val="none"/>
        </w:rPr>
      </w:pPr>
      <w:r>
        <w:rPr>
          <w:rFonts w:hint="eastAsia" w:ascii="宋体" w:hAnsi="宋体" w:eastAsia="宋体" w:cs="宋体"/>
          <w:color w:val="auto"/>
          <w:highlight w:val="none"/>
        </w:rPr>
        <w:t>项目编号：</w:t>
      </w:r>
    </w:p>
    <w:p>
      <w:pPr>
        <w:rPr>
          <w:rFonts w:hint="eastAsia" w:ascii="宋体" w:hAnsi="宋体" w:eastAsia="宋体" w:cs="宋体"/>
          <w:color w:val="auto"/>
          <w:highlight w:val="none"/>
        </w:rPr>
      </w:pPr>
      <w:r>
        <w:rPr>
          <w:rFonts w:hint="eastAsia" w:ascii="宋体" w:hAnsi="宋体" w:eastAsia="宋体" w:cs="宋体"/>
          <w:color w:val="auto"/>
          <w:highlight w:val="none"/>
          <w:lang w:eastAsia="zh-CN"/>
        </w:rPr>
        <w:t>标项</w:t>
      </w:r>
      <w:r>
        <w:rPr>
          <w:rFonts w:hint="eastAsia" w:ascii="宋体" w:hAnsi="宋体" w:eastAsia="宋体" w:cs="宋体"/>
          <w:color w:val="auto"/>
          <w:highlight w:val="none"/>
        </w:rPr>
        <w:t>号：</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条款号</w:t>
            </w:r>
          </w:p>
        </w:tc>
        <w:tc>
          <w:tcPr>
            <w:tcW w:w="4647"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的商务条款</w:t>
            </w:r>
          </w:p>
        </w:tc>
        <w:tc>
          <w:tcPr>
            <w:tcW w:w="1575"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投标文件的</w:t>
            </w:r>
          </w:p>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响应情况</w:t>
            </w:r>
          </w:p>
        </w:tc>
        <w:tc>
          <w:tcPr>
            <w:tcW w:w="1185"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b/>
                <w:bCs/>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b/>
                <w:bCs/>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b/>
                <w:bCs/>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b/>
                <w:bCs/>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bl>
    <w:p>
      <w:pPr>
        <w:rPr>
          <w:rFonts w:hint="eastAsia" w:ascii="宋体" w:hAnsi="宋体" w:eastAsia="宋体" w:cs="宋体"/>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lang w:val="en-US" w:eastAsia="zh-CN"/>
        </w:rPr>
        <w:t>须</w:t>
      </w:r>
      <w:r>
        <w:rPr>
          <w:rFonts w:hint="eastAsia" w:ascii="宋体" w:hAnsi="宋体" w:eastAsia="宋体" w:cs="宋体"/>
          <w:color w:val="auto"/>
          <w:highlight w:val="none"/>
        </w:rPr>
        <w:t>按第二章《采购需求》</w:t>
      </w:r>
      <w:r>
        <w:rPr>
          <w:rFonts w:hint="eastAsia" w:ascii="宋体" w:hAnsi="宋体" w:eastAsia="宋体" w:cs="宋体"/>
          <w:color w:val="auto"/>
          <w:szCs w:val="21"/>
          <w:highlight w:val="none"/>
        </w:rPr>
        <w:t>“</w:t>
      </w:r>
      <w:r>
        <w:rPr>
          <w:rFonts w:hint="eastAsia" w:ascii="宋体" w:hAnsi="宋体" w:eastAsia="宋体" w:cs="宋体"/>
          <w:color w:val="auto"/>
          <w:highlight w:val="none"/>
        </w:rPr>
        <w:t>一、</w:t>
      </w:r>
      <w:r>
        <w:rPr>
          <w:rFonts w:hint="eastAsia" w:ascii="宋体" w:hAnsi="宋体" w:eastAsia="宋体" w:cs="宋体"/>
          <w:color w:val="auto"/>
          <w:highlight w:val="none"/>
          <w:lang w:eastAsia="zh-CN"/>
        </w:rPr>
        <w:t>重要商务要求一览表</w:t>
      </w:r>
      <w:r>
        <w:rPr>
          <w:rFonts w:hint="eastAsia" w:ascii="宋体" w:hAnsi="宋体" w:eastAsia="宋体" w:cs="宋体"/>
          <w:color w:val="auto"/>
          <w:highlight w:val="none"/>
        </w:rPr>
        <w:t>”逐项填写，</w:t>
      </w:r>
      <w:r>
        <w:rPr>
          <w:rFonts w:hint="eastAsia" w:ascii="宋体" w:hAnsi="宋体" w:eastAsia="宋体" w:cs="宋体"/>
          <w:color w:val="auto"/>
          <w:highlight w:val="none"/>
          <w:lang w:val="en-US" w:eastAsia="zh-CN"/>
        </w:rPr>
        <w:t>并根据“第五章 政府采购合同主要条款”内容</w:t>
      </w:r>
      <w:r>
        <w:rPr>
          <w:rFonts w:hint="eastAsia" w:ascii="宋体" w:hAnsi="宋体" w:eastAsia="宋体" w:cs="宋体"/>
          <w:color w:val="auto"/>
          <w:highlight w:val="none"/>
        </w:rPr>
        <w:t>自行补充。</w:t>
      </w:r>
    </w:p>
    <w:p>
      <w:pPr>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ind w:firstLine="4095" w:firstLineChars="1950"/>
        <w:rPr>
          <w:rFonts w:hint="eastAsia" w:ascii="宋体" w:hAnsi="宋体" w:eastAsia="宋体" w:cs="宋体"/>
          <w:color w:val="auto"/>
          <w:highlight w:val="none"/>
        </w:rPr>
      </w:pPr>
      <w:r>
        <w:rPr>
          <w:rFonts w:hint="eastAsia" w:ascii="宋体" w:hAnsi="宋体" w:eastAsia="宋体" w:cs="宋体"/>
          <w:color w:val="auto"/>
          <w:highlight w:val="none"/>
        </w:rPr>
        <w:t xml:space="preserve">法定代表人或授权代表（签名或印章）：        </w:t>
      </w:r>
    </w:p>
    <w:p>
      <w:pPr>
        <w:spacing w:line="360" w:lineRule="auto"/>
        <w:ind w:firstLine="5460" w:firstLineChars="2600"/>
        <w:rPr>
          <w:rFonts w:hint="eastAsia" w:ascii="宋体" w:hAnsi="宋体" w:eastAsia="宋体" w:cs="宋体"/>
          <w:color w:val="auto"/>
          <w:highlight w:val="none"/>
        </w:rPr>
      </w:pPr>
      <w:r>
        <w:rPr>
          <w:rFonts w:hint="eastAsia" w:ascii="宋体" w:hAnsi="宋体" w:eastAsia="宋体" w:cs="宋体"/>
          <w:color w:val="auto"/>
          <w:highlight w:val="none"/>
        </w:rPr>
        <w:t xml:space="preserve">供应商盖章：         </w:t>
      </w:r>
    </w:p>
    <w:p>
      <w:pPr>
        <w:spacing w:line="360" w:lineRule="auto"/>
        <w:ind w:firstLine="5460" w:firstLineChars="2600"/>
        <w:rPr>
          <w:rFonts w:hint="eastAsia" w:ascii="宋体" w:hAnsi="宋体" w:eastAsia="宋体" w:cs="宋体"/>
          <w:color w:val="auto"/>
          <w:highlight w:val="none"/>
        </w:rPr>
      </w:pPr>
      <w:r>
        <w:rPr>
          <w:rFonts w:hint="eastAsia" w:ascii="宋体" w:hAnsi="宋体" w:eastAsia="宋体" w:cs="宋体"/>
          <w:color w:val="auto"/>
          <w:highlight w:val="none"/>
        </w:rPr>
        <w:t xml:space="preserve">日  期：        </w:t>
      </w:r>
    </w:p>
    <w:p>
      <w:pPr>
        <w:snapToGrid w:val="0"/>
        <w:spacing w:before="120" w:beforeLines="50" w:after="5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lang w:val="en-US" w:eastAsia="zh-CN" w:bidi="ar"/>
        </w:rPr>
        <w:t>4</w:t>
      </w:r>
      <w:r>
        <w:rPr>
          <w:rFonts w:hint="eastAsia" w:ascii="宋体" w:hAnsi="宋体" w:eastAsia="宋体" w:cs="宋体"/>
          <w:b/>
          <w:color w:val="auto"/>
          <w:szCs w:val="21"/>
          <w:highlight w:val="none"/>
          <w:lang w:bidi="ar"/>
        </w:rPr>
        <w:t>）</w:t>
      </w:r>
      <w:r>
        <w:rPr>
          <w:rFonts w:hint="eastAsia" w:ascii="宋体" w:hAnsi="宋体" w:eastAsia="宋体" w:cs="宋体"/>
          <w:b/>
          <w:bCs/>
          <w:color w:val="auto"/>
          <w:szCs w:val="21"/>
          <w:highlight w:val="none"/>
        </w:rPr>
        <w:t>投标函格式</w:t>
      </w: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 标 函</w:t>
      </w:r>
    </w:p>
    <w:p>
      <w:pPr>
        <w:snapToGrid w:val="0"/>
        <w:spacing w:before="120" w:beforeLines="50" w:after="50"/>
        <w:jc w:val="center"/>
        <w:rPr>
          <w:rFonts w:hint="eastAsia" w:ascii="宋体" w:hAnsi="宋体" w:eastAsia="宋体" w:cs="宋体"/>
          <w:b/>
          <w:color w:val="auto"/>
          <w:szCs w:val="21"/>
          <w:highlight w:val="none"/>
        </w:rPr>
      </w:pP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（招标采购单位名称）：</w:t>
      </w:r>
    </w:p>
    <w:p>
      <w:pPr>
        <w:snapToGrid w:val="0"/>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根据贵方为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项目的</w:t>
      </w:r>
      <w:r>
        <w:rPr>
          <w:rFonts w:hint="eastAsia" w:ascii="宋体" w:hAnsi="宋体" w:eastAsia="宋体" w:cs="宋体"/>
          <w:color w:val="auto"/>
          <w:szCs w:val="21"/>
          <w:highlight w:val="none"/>
          <w:lang w:val="en-US" w:eastAsia="zh-CN"/>
        </w:rPr>
        <w:t>公开招标</w:t>
      </w:r>
      <w:r>
        <w:rPr>
          <w:rFonts w:hint="eastAsia" w:ascii="宋体" w:hAnsi="宋体" w:eastAsia="宋体" w:cs="宋体"/>
          <w:color w:val="auto"/>
          <w:szCs w:val="21"/>
          <w:highlight w:val="none"/>
        </w:rPr>
        <w:t>公告/投标邀请书（项目编号：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（全名）经正式授权并代表供应商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（供应商名称）提交</w:t>
      </w:r>
      <w:r>
        <w:rPr>
          <w:rFonts w:hint="eastAsia" w:ascii="宋体" w:hAnsi="宋体" w:eastAsia="宋体" w:cs="宋体"/>
          <w:color w:val="auto"/>
          <w:szCs w:val="21"/>
          <w:highlight w:val="none"/>
          <w:lang w:val="en-US" w:eastAsia="zh-CN"/>
        </w:rPr>
        <w:t>投标文件</w:t>
      </w:r>
      <w:r>
        <w:rPr>
          <w:rFonts w:hint="eastAsia" w:ascii="宋体" w:hAnsi="宋体" w:eastAsia="宋体" w:cs="宋体"/>
          <w:color w:val="auto"/>
          <w:szCs w:val="21"/>
          <w:highlight w:val="none"/>
        </w:rPr>
        <w:t>。</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据此函，签字代表宣布同意如下：</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1.供应商已详细审查全部“</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”，包括修改文件（如有的话）以及全部参考资料和有关附件，已经了解我方对于</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、采购过程、采购结果有依法进行询问、质疑、投诉的权利及相关渠道和要求。</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2.供应商在投标之前已经与贵方进行了充分的沟通，完全理解并接受</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的各项规定和要求，对</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的合理性、合法性不再有异议。</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3.本投标有效期自开标日起90个日历日。</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4.如中标，本投标文件至本项目合同履行完毕止均保持有效，本供应商将按“</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”及政府采购法律、法规的规定履行合同责任和义务。</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5.供应商同意按照贵方要求提供与投标有关的一切数据或资料。</w:t>
      </w:r>
    </w:p>
    <w:p>
      <w:pPr>
        <w:snapToGri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我们郑重声明：本投标文件提供的情况和文件完全是真实的。</w:t>
      </w:r>
    </w:p>
    <w:p>
      <w:pPr>
        <w:snapToGri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按照</w:t>
      </w:r>
      <w:r>
        <w:rPr>
          <w:rFonts w:hint="eastAsia" w:ascii="宋体" w:hAnsi="宋体" w:eastAsia="宋体" w:cs="宋体"/>
          <w:color w:val="auto"/>
          <w:szCs w:val="21"/>
          <w:highlight w:val="none"/>
          <w:lang w:val="en-US" w:eastAsia="zh-CN"/>
        </w:rPr>
        <w:t>招标文件</w:t>
      </w:r>
      <w:r>
        <w:rPr>
          <w:rFonts w:hint="eastAsia" w:ascii="宋体" w:hAnsi="宋体" w:eastAsia="宋体" w:cs="宋体"/>
          <w:color w:val="auto"/>
          <w:szCs w:val="21"/>
          <w:highlight w:val="none"/>
          <w:lang w:val="zh-CN"/>
        </w:rPr>
        <w:t>的规定，在中标后向</w:t>
      </w:r>
      <w:r>
        <w:rPr>
          <w:rFonts w:hint="eastAsia" w:ascii="宋体" w:hAnsi="宋体" w:eastAsia="宋体" w:cs="宋体"/>
          <w:color w:val="auto"/>
          <w:szCs w:val="21"/>
          <w:highlight w:val="none"/>
          <w:lang w:val="en-US" w:eastAsia="zh-CN"/>
        </w:rPr>
        <w:t>采购代理机构</w:t>
      </w:r>
      <w:r>
        <w:rPr>
          <w:rFonts w:hint="eastAsia" w:ascii="宋体" w:hAnsi="宋体" w:eastAsia="宋体" w:cs="宋体"/>
          <w:color w:val="auto"/>
          <w:szCs w:val="21"/>
          <w:highlight w:val="none"/>
          <w:lang w:val="zh-CN"/>
        </w:rPr>
        <w:t>一次性支付招标代理费。</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与本投标有关的一切正式往来信函请寄：</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邮编：__________   电话：______________</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传真：______________供应商代表姓名 ___________  职务：______</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_______</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供应商名称(公章):___________________</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银行</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napToGrid w:val="0"/>
        <w:spacing w:before="50" w:after="120" w:afterLine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w:t>
      </w:r>
      <w:r>
        <w:rPr>
          <w:rFonts w:hint="eastAsia" w:ascii="宋体" w:hAnsi="宋体" w:eastAsia="宋体" w:cs="宋体"/>
          <w:color w:val="auto"/>
          <w:highlight w:val="none"/>
        </w:rPr>
        <w:t>（签名或印章）</w:t>
      </w:r>
      <w:r>
        <w:rPr>
          <w:rFonts w:hint="eastAsia" w:ascii="宋体" w:hAnsi="宋体" w:eastAsia="宋体" w:cs="宋体"/>
          <w:color w:val="auto"/>
          <w:szCs w:val="21"/>
          <w:highlight w:val="none"/>
        </w:rPr>
        <w:t>:___________       日期:_____年___月___日</w:t>
      </w:r>
    </w:p>
    <w:p>
      <w:pPr>
        <w:snapToGrid w:val="0"/>
        <w:rPr>
          <w:rFonts w:hint="eastAsia" w:ascii="宋体" w:hAnsi="宋体" w:eastAsia="宋体" w:cs="宋体"/>
          <w:color w:val="auto"/>
          <w:szCs w:val="21"/>
          <w:highlight w:val="none"/>
        </w:rPr>
      </w:pPr>
    </w:p>
    <w:p>
      <w:pPr>
        <w:snapToGrid w:val="0"/>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lang w:val="en-US" w:eastAsia="zh-CN" w:bidi="ar"/>
        </w:rPr>
        <w:t>5</w:t>
      </w: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rPr>
        <w:t>法定代表人身份证明或法定代表人授权委托书格式</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法定代表人身份证明</w:t>
      </w:r>
    </w:p>
    <w:p>
      <w:pPr>
        <w:spacing w:line="480" w:lineRule="auto"/>
        <w:ind w:firstLine="420" w:firstLineChars="200"/>
        <w:rPr>
          <w:rFonts w:hint="eastAsia" w:ascii="宋体" w:hAnsi="宋体" w:eastAsia="宋体" w:cs="宋体"/>
          <w:color w:val="auto"/>
          <w:szCs w:val="21"/>
          <w:highlight w:val="none"/>
        </w:rPr>
      </w:pP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w:t>
      </w:r>
      <w:r>
        <w:rPr>
          <w:rFonts w:hint="eastAsia" w:ascii="宋体" w:hAnsi="宋体" w:eastAsia="宋体" w:cs="宋体"/>
          <w:color w:val="auto"/>
          <w:szCs w:val="21"/>
          <w:highlight w:val="none"/>
          <w:u w:val="single"/>
        </w:rPr>
        <w:t xml:space="preserve">                                      </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hint="eastAsia" w:ascii="宋体" w:hAnsi="宋体" w:eastAsia="宋体" w:cs="宋体"/>
          <w:color w:val="auto"/>
          <w:szCs w:val="21"/>
          <w:highlight w:val="none"/>
          <w:u w:val="single"/>
        </w:rPr>
        <w:t xml:space="preserve">    周岁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_</w:t>
      </w:r>
    </w:p>
    <w:p>
      <w:pPr>
        <w:spacing w:line="48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（供应商名称）的法定代表人。</w:t>
      </w:r>
    </w:p>
    <w:p>
      <w:pPr>
        <w:spacing w:line="48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p>
    <w:p>
      <w:pPr>
        <w:wordWrap w:val="0"/>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（盖单位公章）</w:t>
      </w:r>
    </w:p>
    <w:p>
      <w:pPr>
        <w:spacing w:line="360" w:lineRule="auto"/>
        <w:ind w:firstLine="4515" w:firstLineChars="2150"/>
        <w:rPr>
          <w:rFonts w:hint="eastAsia" w:ascii="宋体" w:hAnsi="宋体" w:eastAsia="宋体" w:cs="宋体"/>
          <w:color w:val="auto"/>
          <w:szCs w:val="21"/>
          <w:highlight w:val="none"/>
          <w:u w:val="single"/>
        </w:rPr>
      </w:pPr>
    </w:p>
    <w:p>
      <w:pPr>
        <w:spacing w:line="360" w:lineRule="auto"/>
        <w:ind w:firstLine="3675" w:firstLineChars="175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b/>
          <w:color w:val="auto"/>
          <w:szCs w:val="21"/>
          <w:highlight w:val="none"/>
        </w:rPr>
      </w:pPr>
    </w:p>
    <w:p>
      <w:pPr>
        <w:spacing w:line="360" w:lineRule="auto"/>
        <w:rPr>
          <w:rFonts w:hint="eastAsia" w:ascii="宋体" w:hAnsi="宋体" w:eastAsia="宋体" w:cs="宋体"/>
          <w:b/>
          <w:color w:val="auto"/>
          <w:szCs w:val="21"/>
          <w:highlight w:val="none"/>
        </w:rPr>
      </w:pPr>
    </w:p>
    <w:p>
      <w:pPr>
        <w:snapToGrid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附法定代表人身份证复印件（正反面）：</w:t>
      </w:r>
    </w:p>
    <w:p>
      <w:pPr>
        <w:pStyle w:val="2"/>
        <w:rPr>
          <w:rFonts w:hint="eastAsia" w:ascii="宋体" w:hAnsi="宋体" w:eastAsia="宋体" w:cs="宋体"/>
          <w:b/>
          <w:color w:val="auto"/>
          <w:szCs w:val="21"/>
          <w:highlight w:val="none"/>
        </w:rPr>
      </w:pP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 w:val="32"/>
          <w:szCs w:val="32"/>
          <w:highlight w:val="none"/>
        </w:rPr>
        <w:t>法定代表人授权委托书</w:t>
      </w:r>
    </w:p>
    <w:p>
      <w:pPr>
        <w:jc w:val="center"/>
        <w:rPr>
          <w:rFonts w:hint="eastAsia" w:ascii="宋体" w:hAnsi="宋体" w:eastAsia="宋体" w:cs="宋体"/>
          <w:b/>
          <w:color w:val="auto"/>
          <w:sz w:val="32"/>
          <w:szCs w:val="32"/>
          <w:highlight w:val="none"/>
        </w:rPr>
      </w:pPr>
      <w:r>
        <w:rPr>
          <w:rFonts w:hint="eastAsia" w:ascii="宋体" w:hAnsi="宋体" w:eastAsia="宋体" w:cs="宋体"/>
          <w:bCs/>
          <w:color w:val="auto"/>
          <w:sz w:val="24"/>
          <w:highlight w:val="none"/>
        </w:rPr>
        <w:t>（法定代表人来投标的，此表不用）</w:t>
      </w:r>
    </w:p>
    <w:p>
      <w:pPr>
        <w:snapToGrid w:val="0"/>
        <w:spacing w:line="360" w:lineRule="auto"/>
        <w:rPr>
          <w:rFonts w:hint="eastAsia" w:ascii="宋体" w:hAnsi="宋体" w:eastAsia="宋体" w:cs="宋体"/>
          <w:bCs/>
          <w:color w:val="auto"/>
          <w:sz w:val="24"/>
          <w:highlight w:val="none"/>
        </w:rPr>
      </w:pP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（采购人名称）</w:t>
      </w:r>
      <w:r>
        <w:rPr>
          <w:rFonts w:hint="eastAsia" w:ascii="宋体" w:hAnsi="宋体" w:eastAsia="宋体" w:cs="宋体"/>
          <w:b/>
          <w:bCs/>
          <w:color w:val="auto"/>
          <w:szCs w:val="21"/>
          <w:highlight w:val="none"/>
        </w:rPr>
        <w:t xml:space="preserve"> </w:t>
      </w:r>
      <w:r>
        <w:rPr>
          <w:rFonts w:hint="eastAsia" w:ascii="宋体" w:hAnsi="宋体" w:eastAsia="宋体" w:cs="宋体"/>
          <w:color w:val="auto"/>
          <w:szCs w:val="21"/>
          <w:highlight w:val="none"/>
        </w:rPr>
        <w:t>：</w:t>
      </w:r>
    </w:p>
    <w:p>
      <w:pPr>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（供应商名称）的法定代表人，现授权委托本单位在职职工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（姓名）以我方的名义参加</w:t>
      </w:r>
      <w:r>
        <w:rPr>
          <w:rFonts w:hint="eastAsia" w:ascii="宋体" w:hAnsi="宋体" w:eastAsia="宋体" w:cs="宋体"/>
          <w:color w:val="auto"/>
          <w:szCs w:val="21"/>
          <w:highlight w:val="none"/>
          <w:u w:val="single"/>
        </w:rPr>
        <w:t xml:space="preserve">                       政府采购 </w:t>
      </w:r>
      <w:r>
        <w:rPr>
          <w:rFonts w:hint="eastAsia" w:ascii="宋体" w:hAnsi="宋体" w:eastAsia="宋体" w:cs="宋体"/>
          <w:color w:val="auto"/>
          <w:szCs w:val="21"/>
          <w:highlight w:val="none"/>
        </w:rPr>
        <w:t>项目的投标活动，并代表我方全权办理针对上述项目的投标、开标、评标、签约等具体事务和签署相关文件。</w:t>
      </w:r>
    </w:p>
    <w:p>
      <w:pPr>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我方对授权代表的签名事项负全部责任。</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在撤销授权的书面通知以前，本授权书一直有效。授权代表在授权书有效期内签署的所有文件不因授权的撤销而失效。</w:t>
      </w:r>
    </w:p>
    <w:p>
      <w:pPr>
        <w:snapToGrid w:val="0"/>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授权代表无转委托权，特此委托。</w:t>
      </w:r>
    </w:p>
    <w:p>
      <w:pPr>
        <w:snapToGrid w:val="0"/>
        <w:spacing w:line="360" w:lineRule="auto"/>
        <w:rPr>
          <w:rFonts w:hint="eastAsia" w:ascii="宋体" w:hAnsi="宋体" w:eastAsia="宋体" w:cs="宋体"/>
          <w:color w:val="auto"/>
          <w:szCs w:val="21"/>
          <w:highlight w:val="none"/>
        </w:rPr>
      </w:pPr>
    </w:p>
    <w:p>
      <w:pPr>
        <w:snapToGrid w:val="0"/>
        <w:spacing w:line="360" w:lineRule="auto"/>
        <w:rPr>
          <w:rFonts w:hint="eastAsia" w:ascii="宋体" w:hAnsi="宋体" w:eastAsia="宋体" w:cs="宋体"/>
          <w:color w:val="auto"/>
          <w:szCs w:val="21"/>
          <w:highlight w:val="none"/>
        </w:rPr>
      </w:pPr>
    </w:p>
    <w:p>
      <w:pPr>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授权代表</w:t>
      </w:r>
      <w:r>
        <w:rPr>
          <w:rFonts w:hint="eastAsia" w:ascii="宋体" w:hAnsi="宋体" w:eastAsia="宋体" w:cs="宋体"/>
          <w:color w:val="auto"/>
          <w:highlight w:val="none"/>
        </w:rPr>
        <w:t>（签名或印章）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法定代表人</w:t>
      </w:r>
      <w:r>
        <w:rPr>
          <w:rFonts w:hint="eastAsia" w:ascii="宋体" w:hAnsi="宋体" w:eastAsia="宋体" w:cs="宋体"/>
          <w:color w:val="auto"/>
          <w:highlight w:val="none"/>
        </w:rPr>
        <w:t>（签名或印章）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pPr>
        <w:snapToGrid w:val="0"/>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职务：</w:t>
      </w:r>
      <w:r>
        <w:rPr>
          <w:rFonts w:hint="eastAsia" w:ascii="宋体" w:hAnsi="宋体" w:eastAsia="宋体" w:cs="宋体"/>
          <w:color w:val="auto"/>
          <w:szCs w:val="21"/>
          <w:highlight w:val="none"/>
          <w:u w:val="single"/>
        </w:rPr>
        <w:t xml:space="preserve">           </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snapToGrid w:val="0"/>
        <w:spacing w:line="360" w:lineRule="auto"/>
        <w:rPr>
          <w:rFonts w:hint="eastAsia" w:ascii="宋体" w:hAnsi="宋体" w:eastAsia="宋体" w:cs="宋体"/>
          <w:color w:val="auto"/>
          <w:szCs w:val="21"/>
          <w:highlight w:val="none"/>
        </w:rPr>
      </w:pPr>
    </w:p>
    <w:p>
      <w:pPr>
        <w:snapToGrid w:val="0"/>
        <w:spacing w:line="360" w:lineRule="auto"/>
        <w:ind w:firstLine="4830" w:firstLineChars="2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供应商公章：</w:t>
      </w:r>
    </w:p>
    <w:p>
      <w:pPr>
        <w:snapToGrid w:val="0"/>
        <w:spacing w:line="360" w:lineRule="auto"/>
        <w:ind w:firstLine="4830" w:firstLineChars="2300"/>
        <w:rPr>
          <w:rFonts w:hint="eastAsia" w:ascii="宋体" w:hAnsi="宋体" w:eastAsia="宋体" w:cs="宋体"/>
          <w:color w:val="auto"/>
          <w:szCs w:val="21"/>
          <w:highlight w:val="none"/>
        </w:rPr>
      </w:pPr>
    </w:p>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p>
      <w:pPr>
        <w:spacing w:line="360" w:lineRule="auto"/>
        <w:rPr>
          <w:rFonts w:hint="eastAsia" w:ascii="宋体" w:hAnsi="宋体" w:eastAsia="宋体" w:cs="宋体"/>
          <w:b/>
          <w:color w:val="auto"/>
          <w:szCs w:val="21"/>
          <w:highlight w:val="none"/>
        </w:rPr>
      </w:pPr>
    </w:p>
    <w:p>
      <w:pPr>
        <w:spacing w:line="360" w:lineRule="auto"/>
        <w:rPr>
          <w:rFonts w:hint="eastAsia" w:ascii="宋体" w:hAnsi="宋体" w:eastAsia="宋体" w:cs="宋体"/>
          <w:b/>
          <w:color w:val="auto"/>
          <w:szCs w:val="21"/>
          <w:highlight w:val="none"/>
        </w:rPr>
      </w:pPr>
    </w:p>
    <w:p>
      <w:pPr>
        <w:snapToGrid w:val="0"/>
        <w:spacing w:before="50" w:after="5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附：授权代表身份证复印件（正反面）及开标日前近三个月内当地相关部门出具的社保证明。</w:t>
      </w:r>
    </w:p>
    <w:p>
      <w:pPr>
        <w:spacing w:line="360" w:lineRule="auto"/>
        <w:rPr>
          <w:rFonts w:hint="eastAsia" w:ascii="宋体" w:hAnsi="宋体" w:eastAsia="宋体" w:cs="宋体"/>
          <w:b/>
          <w:color w:val="auto"/>
          <w:szCs w:val="21"/>
          <w:highlight w:val="none"/>
        </w:rPr>
      </w:pPr>
    </w:p>
    <w:p>
      <w:pPr>
        <w:snapToGrid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lang w:val="en-US" w:eastAsia="zh-CN" w:bidi="ar"/>
        </w:rPr>
        <w:t>6</w:t>
      </w:r>
      <w:r>
        <w:rPr>
          <w:rFonts w:hint="eastAsia" w:ascii="宋体" w:hAnsi="宋体" w:eastAsia="宋体" w:cs="宋体"/>
          <w:b/>
          <w:color w:val="auto"/>
          <w:szCs w:val="21"/>
          <w:highlight w:val="none"/>
          <w:lang w:bidi="ar"/>
        </w:rPr>
        <w:t>）技术（服务）条款偏离表</w:t>
      </w:r>
      <w:r>
        <w:rPr>
          <w:rFonts w:hint="eastAsia" w:ascii="宋体" w:hAnsi="宋体" w:eastAsia="宋体" w:cs="宋体"/>
          <w:b/>
          <w:color w:val="auto"/>
          <w:szCs w:val="21"/>
          <w:highlight w:val="none"/>
        </w:rPr>
        <w:t>格式</w:t>
      </w:r>
    </w:p>
    <w:p>
      <w:pPr>
        <w:rPr>
          <w:rFonts w:hint="eastAsia" w:ascii="宋体" w:hAnsi="宋体" w:eastAsia="宋体" w:cs="宋体"/>
          <w:color w:val="auto"/>
          <w:highlight w:val="none"/>
        </w:rPr>
      </w:pP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技术（服务）条款偏离表</w:t>
      </w:r>
    </w:p>
    <w:p>
      <w:pPr>
        <w:snapToGrid w:val="0"/>
        <w:spacing w:before="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采购编号：                   项目名称：                       </w:t>
      </w:r>
      <w:r>
        <w:rPr>
          <w:rFonts w:hint="eastAsia" w:ascii="宋体" w:hAnsi="宋体" w:eastAsia="宋体" w:cs="宋体"/>
          <w:color w:val="auto"/>
          <w:szCs w:val="21"/>
          <w:highlight w:val="none"/>
          <w:lang w:eastAsia="zh-CN"/>
        </w:rPr>
        <w:t>标项</w:t>
      </w:r>
      <w:r>
        <w:rPr>
          <w:rFonts w:hint="eastAsia" w:ascii="宋体" w:hAnsi="宋体" w:eastAsia="宋体" w:cs="宋体"/>
          <w:color w:val="auto"/>
          <w:szCs w:val="21"/>
          <w:highlight w:val="none"/>
        </w:rPr>
        <w:t>号：</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条款号</w:t>
            </w:r>
          </w:p>
        </w:tc>
        <w:tc>
          <w:tcPr>
            <w:tcW w:w="4647"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的技术（服务）条款</w:t>
            </w:r>
          </w:p>
        </w:tc>
        <w:tc>
          <w:tcPr>
            <w:tcW w:w="1575"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投标文件的</w:t>
            </w:r>
          </w:p>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响应情况</w:t>
            </w:r>
          </w:p>
        </w:tc>
        <w:tc>
          <w:tcPr>
            <w:tcW w:w="1185"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b/>
                <w:bCs/>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b/>
                <w:bCs/>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b/>
                <w:bCs/>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b/>
                <w:bCs/>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bl>
    <w:p>
      <w:pPr>
        <w:snapToGrid w:val="0"/>
        <w:spacing w:before="50"/>
        <w:rPr>
          <w:rFonts w:hint="eastAsia" w:ascii="宋体" w:hAnsi="宋体" w:eastAsia="宋体" w:cs="宋体"/>
          <w:color w:val="auto"/>
          <w:szCs w:val="21"/>
          <w:highlight w:val="none"/>
        </w:rPr>
      </w:pPr>
    </w:p>
    <w:p>
      <w:pPr>
        <w:spacing w:line="360" w:lineRule="auto"/>
        <w:ind w:firstLine="3675" w:firstLineChars="1750"/>
        <w:rPr>
          <w:rFonts w:hint="eastAsia" w:ascii="宋体" w:hAnsi="宋体" w:eastAsia="宋体" w:cs="宋体"/>
          <w:color w:val="auto"/>
          <w:highlight w:val="none"/>
        </w:rPr>
      </w:pPr>
      <w:r>
        <w:rPr>
          <w:rFonts w:hint="eastAsia" w:ascii="宋体" w:hAnsi="宋体" w:eastAsia="宋体" w:cs="宋体"/>
          <w:color w:val="auto"/>
          <w:highlight w:val="none"/>
        </w:rPr>
        <w:t>供应商（盖章）</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法定代表人或授权代表（签名或印章）：</w:t>
      </w:r>
    </w:p>
    <w:p>
      <w:pPr>
        <w:snapToGrid w:val="0"/>
        <w:rPr>
          <w:rFonts w:hint="eastAsia" w:ascii="宋体" w:hAnsi="宋体" w:eastAsia="宋体" w:cs="宋体"/>
          <w:b/>
          <w:color w:val="auto"/>
          <w:szCs w:val="21"/>
          <w:highlight w:val="none"/>
        </w:rPr>
      </w:pPr>
      <w:r>
        <w:rPr>
          <w:rFonts w:hint="eastAsia" w:ascii="宋体" w:hAnsi="宋体" w:eastAsia="宋体" w:cs="宋体"/>
          <w:color w:val="auto"/>
          <w:highlight w:val="none"/>
        </w:rPr>
        <w:t xml:space="preserve">                                    日    期：</w:t>
      </w:r>
    </w:p>
    <w:p>
      <w:pPr>
        <w:snapToGrid w:val="0"/>
        <w:rPr>
          <w:rFonts w:hint="eastAsia" w:ascii="宋体" w:hAnsi="宋体" w:eastAsia="宋体" w:cs="宋体"/>
          <w:b/>
          <w:color w:val="auto"/>
          <w:szCs w:val="21"/>
          <w:highlight w:val="none"/>
        </w:rPr>
      </w:pPr>
    </w:p>
    <w:p>
      <w:pPr>
        <w:snapToGrid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lang w:val="en-US" w:eastAsia="zh-CN" w:bidi="ar"/>
        </w:rPr>
        <w:t>7</w:t>
      </w: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rPr>
        <w:t>供应商基本情况表格式</w:t>
      </w:r>
    </w:p>
    <w:p>
      <w:pPr>
        <w:jc w:val="center"/>
        <w:rPr>
          <w:rFonts w:hint="eastAsia" w:ascii="宋体" w:hAnsi="宋体" w:eastAsia="宋体" w:cs="宋体"/>
          <w:b/>
          <w:color w:val="auto"/>
          <w:sz w:val="32"/>
          <w:szCs w:val="32"/>
          <w:highlight w:val="none"/>
        </w:rPr>
      </w:pPr>
      <w:bookmarkStart w:id="61" w:name="_Toc488936100"/>
      <w:bookmarkStart w:id="62" w:name="_Toc479927873"/>
      <w:bookmarkStart w:id="63" w:name="_Toc225223761"/>
      <w:bookmarkStart w:id="64" w:name="_Toc483379796"/>
      <w:bookmarkStart w:id="65" w:name="_Toc110393361"/>
      <w:bookmarkStart w:id="66" w:name="_Toc14746861"/>
      <w:r>
        <w:rPr>
          <w:rFonts w:hint="eastAsia" w:ascii="宋体" w:hAnsi="宋体" w:eastAsia="宋体" w:cs="宋体"/>
          <w:b/>
          <w:color w:val="auto"/>
          <w:sz w:val="32"/>
          <w:szCs w:val="32"/>
          <w:highlight w:val="none"/>
        </w:rPr>
        <w:t>供应商基本情况</w:t>
      </w:r>
      <w:bookmarkEnd w:id="61"/>
      <w:bookmarkEnd w:id="62"/>
      <w:bookmarkEnd w:id="63"/>
      <w:bookmarkEnd w:id="64"/>
      <w:bookmarkEnd w:id="65"/>
      <w:bookmarkEnd w:id="66"/>
      <w:r>
        <w:rPr>
          <w:rFonts w:hint="eastAsia" w:ascii="宋体" w:hAnsi="宋体" w:eastAsia="宋体" w:cs="宋体"/>
          <w:b/>
          <w:color w:val="auto"/>
          <w:sz w:val="32"/>
          <w:szCs w:val="32"/>
          <w:highlight w:val="none"/>
        </w:rPr>
        <w:t>表</w:t>
      </w:r>
    </w:p>
    <w:tbl>
      <w:tblPr>
        <w:tblStyle w:val="46"/>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835"/>
        <w:gridCol w:w="969"/>
        <w:gridCol w:w="695"/>
        <w:gridCol w:w="214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w:t>
            </w:r>
          </w:p>
        </w:tc>
        <w:tc>
          <w:tcPr>
            <w:tcW w:w="2499" w:type="dxa"/>
            <w:gridSpan w:val="3"/>
            <w:noWrap w:val="0"/>
            <w:vAlign w:val="center"/>
          </w:tcPr>
          <w:p>
            <w:pPr>
              <w:spacing w:line="360" w:lineRule="auto"/>
              <w:jc w:val="center"/>
              <w:rPr>
                <w:rFonts w:hint="eastAsia" w:ascii="宋体" w:hAnsi="宋体" w:eastAsia="宋体" w:cs="宋体"/>
                <w:color w:val="auto"/>
                <w:szCs w:val="21"/>
                <w:highlight w:val="none"/>
              </w:rPr>
            </w:pPr>
          </w:p>
        </w:tc>
        <w:tc>
          <w:tcPr>
            <w:tcW w:w="214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组织机构代码</w:t>
            </w:r>
          </w:p>
        </w:tc>
        <w:tc>
          <w:tcPr>
            <w:tcW w:w="2100" w:type="dxa"/>
            <w:noWrap w:val="0"/>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注册地址</w:t>
            </w:r>
          </w:p>
        </w:tc>
        <w:tc>
          <w:tcPr>
            <w:tcW w:w="2499" w:type="dxa"/>
            <w:gridSpan w:val="3"/>
            <w:noWrap w:val="0"/>
            <w:vAlign w:val="center"/>
          </w:tcPr>
          <w:p>
            <w:pPr>
              <w:spacing w:line="360" w:lineRule="auto"/>
              <w:jc w:val="center"/>
              <w:rPr>
                <w:rFonts w:hint="eastAsia" w:ascii="宋体" w:hAnsi="宋体" w:eastAsia="宋体" w:cs="宋体"/>
                <w:color w:val="auto"/>
                <w:szCs w:val="21"/>
                <w:highlight w:val="none"/>
              </w:rPr>
            </w:pPr>
          </w:p>
        </w:tc>
        <w:tc>
          <w:tcPr>
            <w:tcW w:w="214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注册登记号</w:t>
            </w:r>
          </w:p>
        </w:tc>
        <w:tc>
          <w:tcPr>
            <w:tcW w:w="2100" w:type="dxa"/>
            <w:noWrap w:val="0"/>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经营地址</w:t>
            </w:r>
          </w:p>
        </w:tc>
        <w:tc>
          <w:tcPr>
            <w:tcW w:w="2499" w:type="dxa"/>
            <w:gridSpan w:val="3"/>
            <w:noWrap w:val="0"/>
            <w:vAlign w:val="center"/>
          </w:tcPr>
          <w:p>
            <w:pPr>
              <w:spacing w:line="360" w:lineRule="auto"/>
              <w:jc w:val="center"/>
              <w:rPr>
                <w:rFonts w:hint="eastAsia" w:ascii="宋体" w:hAnsi="宋体" w:eastAsia="宋体" w:cs="宋体"/>
                <w:color w:val="auto"/>
                <w:szCs w:val="21"/>
                <w:highlight w:val="none"/>
              </w:rPr>
            </w:pPr>
          </w:p>
        </w:tc>
        <w:tc>
          <w:tcPr>
            <w:tcW w:w="2141" w:type="dxa"/>
            <w:noWrap w:val="0"/>
            <w:vAlign w:val="center"/>
          </w:tcPr>
          <w:p>
            <w:pPr>
              <w:spacing w:line="360" w:lineRule="auto"/>
              <w:jc w:val="center"/>
              <w:rPr>
                <w:rFonts w:hint="eastAsia" w:ascii="宋体" w:hAnsi="宋体" w:eastAsia="宋体" w:cs="宋体"/>
                <w:color w:val="auto"/>
                <w:spacing w:val="30"/>
                <w:szCs w:val="21"/>
                <w:highlight w:val="none"/>
              </w:rPr>
            </w:pPr>
            <w:r>
              <w:rPr>
                <w:rFonts w:hint="eastAsia" w:ascii="宋体" w:hAnsi="宋体" w:eastAsia="宋体" w:cs="宋体"/>
                <w:color w:val="auto"/>
                <w:szCs w:val="21"/>
                <w:highlight w:val="none"/>
              </w:rPr>
              <w:t>税务登记证号</w:t>
            </w:r>
          </w:p>
        </w:tc>
        <w:tc>
          <w:tcPr>
            <w:tcW w:w="2100" w:type="dxa"/>
            <w:noWrap w:val="0"/>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p>
        </w:tc>
        <w:tc>
          <w:tcPr>
            <w:tcW w:w="2499" w:type="dxa"/>
            <w:gridSpan w:val="3"/>
            <w:noWrap w:val="0"/>
            <w:vAlign w:val="center"/>
          </w:tcPr>
          <w:p>
            <w:pPr>
              <w:pStyle w:val="154"/>
              <w:widowControl w:val="0"/>
              <w:spacing w:before="0" w:beforeAutospacing="0" w:after="0" w:afterAutospacing="0" w:line="360" w:lineRule="auto"/>
              <w:ind w:left="2160" w:hanging="480"/>
              <w:rPr>
                <w:rFonts w:hint="eastAsia" w:ascii="宋体" w:hAnsi="宋体" w:eastAsia="宋体" w:cs="宋体"/>
                <w:color w:val="auto"/>
                <w:kern w:val="2"/>
                <w:sz w:val="21"/>
                <w:szCs w:val="21"/>
                <w:highlight w:val="none"/>
              </w:rPr>
            </w:pPr>
          </w:p>
        </w:tc>
        <w:tc>
          <w:tcPr>
            <w:tcW w:w="2141" w:type="dxa"/>
            <w:noWrap w:val="0"/>
            <w:vAlign w:val="center"/>
          </w:tcPr>
          <w:p>
            <w:pPr>
              <w:spacing w:line="360" w:lineRule="auto"/>
              <w:jc w:val="center"/>
              <w:rPr>
                <w:rFonts w:hint="eastAsia" w:ascii="宋体" w:hAnsi="宋体" w:eastAsia="宋体" w:cs="宋体"/>
                <w:color w:val="auto"/>
                <w:spacing w:val="34"/>
                <w:szCs w:val="21"/>
                <w:highlight w:val="none"/>
              </w:rPr>
            </w:pPr>
            <w:r>
              <w:rPr>
                <w:rFonts w:hint="eastAsia" w:ascii="宋体" w:hAnsi="宋体" w:eastAsia="宋体" w:cs="宋体"/>
                <w:color w:val="auto"/>
                <w:spacing w:val="34"/>
                <w:szCs w:val="21"/>
                <w:highlight w:val="none"/>
              </w:rPr>
              <w:t>注册资本</w:t>
            </w:r>
          </w:p>
        </w:tc>
        <w:tc>
          <w:tcPr>
            <w:tcW w:w="2100" w:type="dxa"/>
            <w:noWrap w:val="0"/>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经营范围</w:t>
            </w:r>
          </w:p>
        </w:tc>
        <w:tc>
          <w:tcPr>
            <w:tcW w:w="2499" w:type="dxa"/>
            <w:gridSpan w:val="3"/>
            <w:noWrap w:val="0"/>
            <w:vAlign w:val="center"/>
          </w:tcPr>
          <w:p>
            <w:pPr>
              <w:spacing w:line="360" w:lineRule="auto"/>
              <w:jc w:val="center"/>
              <w:rPr>
                <w:rFonts w:hint="eastAsia" w:ascii="宋体" w:hAnsi="宋体" w:eastAsia="宋体" w:cs="宋体"/>
                <w:color w:val="auto"/>
                <w:szCs w:val="21"/>
                <w:highlight w:val="none"/>
              </w:rPr>
            </w:pPr>
          </w:p>
        </w:tc>
        <w:tc>
          <w:tcPr>
            <w:tcW w:w="214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营业期限</w:t>
            </w:r>
          </w:p>
        </w:tc>
        <w:tc>
          <w:tcPr>
            <w:tcW w:w="210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资质情况</w:t>
            </w:r>
          </w:p>
        </w:tc>
        <w:tc>
          <w:tcPr>
            <w:tcW w:w="6740" w:type="dxa"/>
            <w:gridSpan w:val="5"/>
            <w:noWrap w:val="0"/>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员工数量</w:t>
            </w:r>
          </w:p>
        </w:tc>
        <w:tc>
          <w:tcPr>
            <w:tcW w:w="6740" w:type="dxa"/>
            <w:gridSpan w:val="5"/>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人，其中，高级职称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人，中级职称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2499" w:type="dxa"/>
            <w:gridSpan w:val="3"/>
            <w:noWrap w:val="0"/>
            <w:vAlign w:val="center"/>
          </w:tcPr>
          <w:p>
            <w:pPr>
              <w:spacing w:line="360" w:lineRule="auto"/>
              <w:jc w:val="center"/>
              <w:rPr>
                <w:rFonts w:hint="eastAsia" w:ascii="宋体" w:hAnsi="宋体" w:eastAsia="宋体" w:cs="宋体"/>
                <w:color w:val="auto"/>
                <w:szCs w:val="21"/>
                <w:highlight w:val="none"/>
              </w:rPr>
            </w:pPr>
          </w:p>
        </w:tc>
        <w:tc>
          <w:tcPr>
            <w:tcW w:w="214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tc>
        <w:tc>
          <w:tcPr>
            <w:tcW w:w="2100" w:type="dxa"/>
            <w:noWrap w:val="0"/>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主要业绩</w:t>
            </w:r>
          </w:p>
        </w:tc>
        <w:tc>
          <w:tcPr>
            <w:tcW w:w="6740" w:type="dxa"/>
            <w:gridSpan w:val="5"/>
            <w:noWrap w:val="0"/>
            <w:vAlign w:val="center"/>
          </w:tcPr>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0" w:type="dxa"/>
            <w:gridSpan w:val="6"/>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 定 代 表 人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2499" w:type="dxa"/>
            <w:gridSpan w:val="3"/>
            <w:noWrap w:val="0"/>
            <w:vAlign w:val="center"/>
          </w:tcPr>
          <w:p>
            <w:pPr>
              <w:spacing w:line="360" w:lineRule="auto"/>
              <w:jc w:val="center"/>
              <w:rPr>
                <w:rFonts w:hint="eastAsia" w:ascii="宋体" w:hAnsi="宋体" w:eastAsia="宋体" w:cs="宋体"/>
                <w:color w:val="auto"/>
                <w:szCs w:val="21"/>
                <w:highlight w:val="none"/>
              </w:rPr>
            </w:pPr>
          </w:p>
        </w:tc>
        <w:tc>
          <w:tcPr>
            <w:tcW w:w="214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p>
        </w:tc>
        <w:tc>
          <w:tcPr>
            <w:tcW w:w="2100" w:type="dxa"/>
            <w:noWrap w:val="0"/>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p>
        </w:tc>
        <w:tc>
          <w:tcPr>
            <w:tcW w:w="835" w:type="dxa"/>
            <w:noWrap w:val="0"/>
            <w:vAlign w:val="center"/>
          </w:tcPr>
          <w:p>
            <w:pPr>
              <w:spacing w:line="360" w:lineRule="auto"/>
              <w:jc w:val="center"/>
              <w:rPr>
                <w:rFonts w:hint="eastAsia" w:ascii="宋体" w:hAnsi="宋体" w:eastAsia="宋体" w:cs="宋体"/>
                <w:color w:val="auto"/>
                <w:szCs w:val="21"/>
                <w:highlight w:val="none"/>
              </w:rPr>
            </w:pPr>
          </w:p>
        </w:tc>
        <w:tc>
          <w:tcPr>
            <w:tcW w:w="969"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695" w:type="dxa"/>
            <w:noWrap w:val="0"/>
            <w:vAlign w:val="center"/>
          </w:tcPr>
          <w:p>
            <w:pPr>
              <w:spacing w:line="360" w:lineRule="auto"/>
              <w:jc w:val="center"/>
              <w:rPr>
                <w:rFonts w:hint="eastAsia" w:ascii="宋体" w:hAnsi="宋体" w:eastAsia="宋体" w:cs="宋体"/>
                <w:color w:val="auto"/>
                <w:szCs w:val="21"/>
                <w:highlight w:val="none"/>
              </w:rPr>
            </w:pPr>
          </w:p>
        </w:tc>
        <w:tc>
          <w:tcPr>
            <w:tcW w:w="214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    历</w:t>
            </w:r>
          </w:p>
        </w:tc>
        <w:tc>
          <w:tcPr>
            <w:tcW w:w="2100" w:type="dxa"/>
            <w:noWrap w:val="0"/>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210" w:type="dxa"/>
            <w:gridSpan w:val="6"/>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bl>
    <w:p>
      <w:pPr>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兹证明上述声明是真实、正确的，并提供了全部能提供的资料和数据，我们同意遵照贵方要求出示有关证明文件。</w:t>
      </w:r>
    </w:p>
    <w:p>
      <w:pPr>
        <w:spacing w:line="360" w:lineRule="auto"/>
        <w:rPr>
          <w:rFonts w:hint="eastAsia" w:ascii="宋体" w:hAnsi="宋体" w:eastAsia="宋体" w:cs="宋体"/>
          <w:b/>
          <w:color w:val="auto"/>
          <w:highlight w:val="none"/>
        </w:rPr>
      </w:pPr>
    </w:p>
    <w:p>
      <w:pPr>
        <w:rPr>
          <w:rFonts w:hint="eastAsia" w:ascii="宋体" w:hAnsi="宋体" w:eastAsia="宋体" w:cs="宋体"/>
          <w:color w:val="auto"/>
          <w:highlight w:val="none"/>
        </w:rPr>
      </w:pPr>
    </w:p>
    <w:p>
      <w:pPr>
        <w:spacing w:line="360" w:lineRule="auto"/>
        <w:ind w:firstLine="3675" w:firstLineChars="1750"/>
        <w:rPr>
          <w:rFonts w:hint="eastAsia" w:ascii="宋体" w:hAnsi="宋体" w:eastAsia="宋体" w:cs="宋体"/>
          <w:color w:val="auto"/>
          <w:highlight w:val="none"/>
        </w:rPr>
      </w:pPr>
      <w:r>
        <w:rPr>
          <w:rFonts w:hint="eastAsia" w:ascii="宋体" w:hAnsi="宋体" w:eastAsia="宋体" w:cs="宋体"/>
          <w:color w:val="auto"/>
          <w:highlight w:val="none"/>
        </w:rPr>
        <w:t>供应商（盖章）</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法定代表人或授权代表（签名或印章）：</w:t>
      </w:r>
    </w:p>
    <w:p>
      <w:pPr>
        <w:snapToGrid w:val="0"/>
        <w:rPr>
          <w:rFonts w:hint="eastAsia" w:ascii="宋体" w:hAnsi="宋体" w:eastAsia="宋体" w:cs="宋体"/>
          <w:b/>
          <w:color w:val="auto"/>
          <w:szCs w:val="21"/>
          <w:highlight w:val="none"/>
        </w:rPr>
      </w:pPr>
      <w:r>
        <w:rPr>
          <w:rFonts w:hint="eastAsia" w:ascii="宋体" w:hAnsi="宋体" w:eastAsia="宋体" w:cs="宋体"/>
          <w:color w:val="auto"/>
          <w:highlight w:val="none"/>
        </w:rPr>
        <w:t xml:space="preserve">                                    日    期：</w:t>
      </w:r>
    </w:p>
    <w:p>
      <w:pPr>
        <w:snapToGrid w:val="0"/>
        <w:rPr>
          <w:rFonts w:hint="eastAsia" w:ascii="宋体" w:hAnsi="宋体" w:eastAsia="宋体" w:cs="宋体"/>
          <w:b/>
          <w:color w:val="auto"/>
          <w:szCs w:val="21"/>
          <w:highlight w:val="none"/>
        </w:rPr>
      </w:pPr>
    </w:p>
    <w:p>
      <w:pPr>
        <w:snapToGrid w:val="0"/>
        <w:rPr>
          <w:rFonts w:hint="eastAsia" w:ascii="宋体" w:hAnsi="宋体" w:eastAsia="宋体" w:cs="宋体"/>
          <w:b/>
          <w:color w:val="auto"/>
          <w:szCs w:val="21"/>
          <w:highlight w:val="none"/>
        </w:rPr>
      </w:pPr>
    </w:p>
    <w:p>
      <w:pPr>
        <w:snapToGrid w:val="0"/>
        <w:rPr>
          <w:rFonts w:hint="eastAsia" w:ascii="宋体" w:hAnsi="宋体" w:eastAsia="宋体" w:cs="宋体"/>
          <w:color w:val="auto"/>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lang w:val="en-US" w:eastAsia="zh-CN" w:bidi="ar"/>
        </w:rPr>
        <w:t>8</w:t>
      </w:r>
      <w:r>
        <w:rPr>
          <w:rFonts w:hint="eastAsia" w:ascii="宋体" w:hAnsi="宋体" w:eastAsia="宋体" w:cs="宋体"/>
          <w:b/>
          <w:color w:val="auto"/>
          <w:szCs w:val="21"/>
          <w:highlight w:val="none"/>
          <w:lang w:bidi="ar"/>
        </w:rPr>
        <w:t>)本项目负责人简历表格式</w:t>
      </w:r>
    </w:p>
    <w:p>
      <w:pPr>
        <w:spacing w:line="360" w:lineRule="auto"/>
        <w:ind w:right="25" w:rightChars="12"/>
        <w:jc w:val="center"/>
        <w:rPr>
          <w:rFonts w:hint="eastAsia" w:ascii="宋体" w:hAnsi="宋体" w:eastAsia="宋体" w:cs="宋体"/>
          <w:b/>
          <w:color w:val="auto"/>
          <w:sz w:val="28"/>
          <w:szCs w:val="28"/>
          <w:highlight w:val="none"/>
          <w:lang w:bidi="ar"/>
        </w:rPr>
      </w:pPr>
      <w:r>
        <w:rPr>
          <w:rFonts w:hint="eastAsia" w:ascii="宋体" w:hAnsi="宋体" w:eastAsia="宋体" w:cs="宋体"/>
          <w:b/>
          <w:color w:val="auto"/>
          <w:sz w:val="28"/>
          <w:szCs w:val="28"/>
          <w:highlight w:val="none"/>
          <w:lang w:bidi="ar"/>
        </w:rPr>
        <w:t>本项目负责人简历表</w:t>
      </w:r>
    </w:p>
    <w:p>
      <w:pPr>
        <w:rPr>
          <w:rFonts w:hint="eastAsia" w:ascii="宋体" w:hAnsi="宋体" w:eastAsia="宋体" w:cs="宋体"/>
          <w:color w:val="auto"/>
          <w:highlight w:val="none"/>
        </w:rPr>
      </w:pPr>
      <w:r>
        <w:rPr>
          <w:rFonts w:hint="eastAsia" w:ascii="宋体" w:hAnsi="宋体" w:eastAsia="宋体" w:cs="宋体"/>
          <w:color w:val="auto"/>
          <w:highlight w:val="none"/>
        </w:rPr>
        <w:t>采购项目：</w:t>
      </w:r>
    </w:p>
    <w:p>
      <w:pPr>
        <w:rPr>
          <w:rFonts w:hint="eastAsia" w:ascii="宋体" w:hAnsi="宋体" w:eastAsia="宋体" w:cs="宋体"/>
          <w:color w:val="auto"/>
          <w:highlight w:val="none"/>
        </w:rPr>
      </w:pPr>
      <w:r>
        <w:rPr>
          <w:rFonts w:hint="eastAsia" w:ascii="宋体" w:hAnsi="宋体" w:eastAsia="宋体" w:cs="宋体"/>
          <w:color w:val="auto"/>
          <w:highlight w:val="none"/>
        </w:rPr>
        <w:t>项目编号：</w:t>
      </w:r>
    </w:p>
    <w:p>
      <w:pPr>
        <w:autoSpaceDN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标项</w:t>
      </w:r>
      <w:r>
        <w:rPr>
          <w:rFonts w:hint="eastAsia" w:ascii="宋体" w:hAnsi="宋体" w:eastAsia="宋体" w:cs="宋体"/>
          <w:color w:val="auto"/>
          <w:highlight w:val="none"/>
        </w:rPr>
        <w:t>号：</w:t>
      </w:r>
      <w:r>
        <w:rPr>
          <w:rFonts w:hint="eastAsia" w:ascii="宋体" w:hAnsi="宋体" w:eastAsia="宋体" w:cs="宋体"/>
          <w:bCs/>
          <w:color w:val="auto"/>
          <w:szCs w:val="21"/>
          <w:highlight w:val="none"/>
          <w:lang w:bidi="ar"/>
        </w:rPr>
        <w:t xml:space="preserve"> </w:t>
      </w:r>
      <w:r>
        <w:rPr>
          <w:rFonts w:hint="eastAsia" w:ascii="宋体" w:hAnsi="宋体" w:eastAsia="宋体" w:cs="宋体"/>
          <w:bCs/>
          <w:color w:val="auto"/>
          <w:szCs w:val="21"/>
          <w:highlight w:val="none"/>
          <w:lang w:val="zh-CN" w:bidi="ar"/>
        </w:rPr>
        <w:t xml:space="preserve">  </w:t>
      </w:r>
    </w:p>
    <w:tbl>
      <w:tblPr>
        <w:tblStyle w:val="46"/>
        <w:tblW w:w="8925" w:type="dxa"/>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
      <w:tblGrid>
        <w:gridCol w:w="1785"/>
        <w:gridCol w:w="1575"/>
        <w:gridCol w:w="630"/>
        <w:gridCol w:w="1184"/>
        <w:gridCol w:w="1021"/>
        <w:gridCol w:w="522"/>
        <w:gridCol w:w="2208"/>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46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姓    名</w:t>
            </w: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性    别</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46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资质等级</w:t>
            </w: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职    称</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46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学    历</w:t>
            </w: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年    龄</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46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参加工作时间</w:t>
            </w: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从事项目经理年限</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460" w:hRule="atLeast"/>
          <w:jc w:val="center"/>
        </w:trPr>
        <w:tc>
          <w:tcPr>
            <w:tcW w:w="8925"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已完成及正在实施类似项目情况</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业主单位</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项目名称</w:t>
            </w: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合同金额（万元）</w:t>
            </w:r>
          </w:p>
        </w:tc>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bidi="ar"/>
              </w:rPr>
              <w:t>合同履行期限</w:t>
            </w:r>
          </w:p>
        </w:tc>
        <w:tc>
          <w:tcPr>
            <w:tcW w:w="220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承接项目质量</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20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20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20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20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20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20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20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20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1215" w:hRule="atLeast"/>
          <w:jc w:val="center"/>
        </w:trPr>
        <w:tc>
          <w:tcPr>
            <w:tcW w:w="1785" w:type="dxa"/>
            <w:tcBorders>
              <w:top w:val="single" w:color="000000" w:sz="4" w:space="0"/>
              <w:left w:val="single" w:color="000000" w:sz="4" w:space="0"/>
              <w:bottom w:val="single" w:color="000000" w:sz="4" w:space="0"/>
              <w:right w:val="nil"/>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备注</w:t>
            </w:r>
          </w:p>
        </w:tc>
        <w:tc>
          <w:tcPr>
            <w:tcW w:w="7140"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bl>
    <w:p>
      <w:pPr>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供应商（盖章）</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法定代表人或授权代表（签名或印章）：</w:t>
      </w:r>
    </w:p>
    <w:p>
      <w:pPr>
        <w:snapToGrid w:val="0"/>
        <w:rPr>
          <w:rFonts w:hint="eastAsia" w:ascii="宋体" w:hAnsi="宋体" w:eastAsia="宋体" w:cs="宋体"/>
          <w:color w:val="auto"/>
          <w:highlight w:val="none"/>
        </w:rPr>
      </w:pPr>
      <w:r>
        <w:rPr>
          <w:rFonts w:hint="eastAsia" w:ascii="宋体" w:hAnsi="宋体" w:eastAsia="宋体" w:cs="宋体"/>
          <w:color w:val="auto"/>
          <w:highlight w:val="none"/>
        </w:rPr>
        <w:t>日    期：</w:t>
      </w:r>
    </w:p>
    <w:p>
      <w:pPr>
        <w:snapToGrid w:val="0"/>
        <w:rPr>
          <w:rFonts w:hint="eastAsia" w:ascii="宋体" w:hAnsi="宋体" w:eastAsia="宋体" w:cs="宋体"/>
          <w:color w:val="auto"/>
          <w:highlight w:val="none"/>
        </w:rPr>
      </w:pPr>
    </w:p>
    <w:p>
      <w:pPr>
        <w:snapToGrid w:val="0"/>
        <w:rPr>
          <w:rFonts w:hint="eastAsia" w:ascii="宋体" w:hAnsi="宋体" w:eastAsia="宋体" w:cs="宋体"/>
          <w:color w:val="auto"/>
          <w:highlight w:val="none"/>
        </w:rPr>
      </w:pPr>
    </w:p>
    <w:p>
      <w:pPr>
        <w:snapToGrid w:val="0"/>
        <w:rPr>
          <w:rFonts w:hint="eastAsia" w:ascii="宋体" w:hAnsi="宋体" w:eastAsia="宋体" w:cs="宋体"/>
          <w:b/>
          <w:color w:val="auto"/>
          <w:szCs w:val="21"/>
          <w:highlight w:val="none"/>
          <w:lang w:bidi="ar"/>
        </w:rPr>
      </w:pPr>
      <w:r>
        <w:rPr>
          <w:rFonts w:hint="eastAsia" w:ascii="宋体" w:hAnsi="宋体" w:eastAsia="宋体" w:cs="宋体"/>
          <w:color w:val="auto"/>
          <w:highlight w:val="none"/>
        </w:rPr>
        <w:br w:type="page"/>
      </w:r>
      <w:r>
        <w:rPr>
          <w:rFonts w:hint="eastAsia" w:ascii="宋体" w:hAnsi="宋体" w:eastAsia="宋体" w:cs="宋体"/>
          <w:b/>
          <w:color w:val="auto"/>
          <w:szCs w:val="21"/>
          <w:highlight w:val="none"/>
          <w:lang w:bidi="ar"/>
        </w:rPr>
        <w:t xml:space="preserve"> (</w:t>
      </w:r>
      <w:r>
        <w:rPr>
          <w:rFonts w:hint="eastAsia" w:ascii="宋体" w:hAnsi="宋体" w:eastAsia="宋体" w:cs="宋体"/>
          <w:b/>
          <w:color w:val="auto"/>
          <w:szCs w:val="21"/>
          <w:highlight w:val="none"/>
          <w:lang w:val="en-US" w:eastAsia="zh-CN" w:bidi="ar"/>
        </w:rPr>
        <w:t>9</w:t>
      </w:r>
      <w:r>
        <w:rPr>
          <w:rFonts w:hint="eastAsia" w:ascii="宋体" w:hAnsi="宋体" w:eastAsia="宋体" w:cs="宋体"/>
          <w:b/>
          <w:color w:val="auto"/>
          <w:szCs w:val="21"/>
          <w:highlight w:val="none"/>
          <w:lang w:bidi="ar"/>
        </w:rPr>
        <w:t>)本项目组人员配备情况表格式</w:t>
      </w:r>
    </w:p>
    <w:p>
      <w:pPr>
        <w:spacing w:line="360" w:lineRule="auto"/>
        <w:ind w:right="25" w:rightChars="12"/>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本项目组人员配备情况表</w:t>
      </w:r>
    </w:p>
    <w:p>
      <w:pPr>
        <w:rPr>
          <w:rFonts w:hint="eastAsia" w:ascii="宋体" w:hAnsi="宋体" w:eastAsia="宋体" w:cs="宋体"/>
          <w:color w:val="auto"/>
          <w:highlight w:val="none"/>
        </w:rPr>
      </w:pPr>
      <w:r>
        <w:rPr>
          <w:rFonts w:hint="eastAsia" w:ascii="宋体" w:hAnsi="宋体" w:eastAsia="宋体" w:cs="宋体"/>
          <w:color w:val="auto"/>
          <w:highlight w:val="none"/>
        </w:rPr>
        <w:t>采购项目：</w:t>
      </w:r>
    </w:p>
    <w:p>
      <w:pPr>
        <w:rPr>
          <w:rFonts w:hint="eastAsia" w:ascii="宋体" w:hAnsi="宋体" w:eastAsia="宋体" w:cs="宋体"/>
          <w:color w:val="auto"/>
          <w:highlight w:val="none"/>
        </w:rPr>
      </w:pPr>
      <w:r>
        <w:rPr>
          <w:rFonts w:hint="eastAsia" w:ascii="宋体" w:hAnsi="宋体" w:eastAsia="宋体" w:cs="宋体"/>
          <w:color w:val="auto"/>
          <w:highlight w:val="none"/>
        </w:rPr>
        <w:t>项目编号：</w:t>
      </w:r>
    </w:p>
    <w:p>
      <w:pPr>
        <w:rPr>
          <w:rFonts w:hint="eastAsia" w:ascii="宋体" w:hAnsi="宋体" w:eastAsia="宋体" w:cs="宋体"/>
          <w:color w:val="auto"/>
          <w:highlight w:val="none"/>
        </w:rPr>
      </w:pPr>
      <w:r>
        <w:rPr>
          <w:rFonts w:hint="eastAsia" w:ascii="宋体" w:hAnsi="宋体" w:eastAsia="宋体" w:cs="宋体"/>
          <w:color w:val="auto"/>
          <w:highlight w:val="none"/>
          <w:lang w:eastAsia="zh-CN"/>
        </w:rPr>
        <w:t>标项</w:t>
      </w:r>
      <w:r>
        <w:rPr>
          <w:rFonts w:hint="eastAsia" w:ascii="宋体" w:hAnsi="宋体" w:eastAsia="宋体" w:cs="宋体"/>
          <w:color w:val="auto"/>
          <w:highlight w:val="none"/>
        </w:rPr>
        <w:t>号：</w:t>
      </w:r>
      <w:r>
        <w:rPr>
          <w:rFonts w:hint="eastAsia" w:ascii="宋体" w:hAnsi="宋体" w:eastAsia="宋体" w:cs="宋体"/>
          <w:bCs/>
          <w:color w:val="auto"/>
          <w:szCs w:val="21"/>
          <w:highlight w:val="none"/>
          <w:lang w:bidi="ar"/>
        </w:rPr>
        <w:t xml:space="preserve"> </w:t>
      </w:r>
      <w:r>
        <w:rPr>
          <w:rFonts w:hint="eastAsia" w:ascii="宋体" w:hAnsi="宋体" w:eastAsia="宋体" w:cs="宋体"/>
          <w:bCs/>
          <w:color w:val="auto"/>
          <w:szCs w:val="21"/>
          <w:highlight w:val="none"/>
          <w:lang w:val="zh-CN" w:bidi="ar"/>
        </w:rPr>
        <w:t xml:space="preserve">                      </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134"/>
        <w:gridCol w:w="1134"/>
        <w:gridCol w:w="1966"/>
        <w:gridCol w:w="2226"/>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姓名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性别</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出生年月</w:t>
            </w:r>
          </w:p>
        </w:tc>
        <w:tc>
          <w:tcPr>
            <w:tcW w:w="22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bidi="ar"/>
              </w:rPr>
              <w:t>参加本单位工作时间</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222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222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222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222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222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222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222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222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222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222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222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222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222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222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Cs w:val="21"/>
                <w:highlight w:val="none"/>
              </w:rPr>
            </w:pPr>
          </w:p>
        </w:tc>
      </w:tr>
    </w:tbl>
    <w:p>
      <w:pPr>
        <w:spacing w:line="360" w:lineRule="auto"/>
        <w:ind w:right="25" w:rightChars="12"/>
        <w:rPr>
          <w:rFonts w:hint="eastAsia" w:ascii="宋体" w:hAnsi="宋体" w:eastAsia="宋体" w:cs="宋体"/>
          <w:color w:val="auto"/>
          <w:szCs w:val="21"/>
          <w:highlight w:val="none"/>
        </w:rPr>
      </w:pP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供应商（盖章）</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法定代表人或授权代表（签名或印章）：</w:t>
      </w:r>
    </w:p>
    <w:p>
      <w:pPr>
        <w:snapToGrid w:val="0"/>
        <w:rPr>
          <w:rFonts w:hint="eastAsia" w:ascii="宋体" w:hAnsi="宋体" w:eastAsia="宋体" w:cs="宋体"/>
          <w:color w:val="auto"/>
          <w:highlight w:val="none"/>
        </w:rPr>
      </w:pPr>
      <w:r>
        <w:rPr>
          <w:rFonts w:hint="eastAsia" w:ascii="宋体" w:hAnsi="宋体" w:eastAsia="宋体" w:cs="宋体"/>
          <w:color w:val="auto"/>
          <w:highlight w:val="none"/>
        </w:rPr>
        <w:t>日    期：</w:t>
      </w:r>
    </w:p>
    <w:p>
      <w:pPr>
        <w:snapToGrid w:val="0"/>
        <w:rPr>
          <w:rFonts w:hint="eastAsia" w:ascii="宋体" w:hAnsi="宋体" w:eastAsia="宋体" w:cs="宋体"/>
          <w:b/>
          <w:color w:val="auto"/>
          <w:szCs w:val="21"/>
          <w:highlight w:val="none"/>
        </w:rPr>
      </w:pPr>
    </w:p>
    <w:p>
      <w:pPr>
        <w:snapToGrid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lang w:bidi="ar"/>
        </w:rPr>
        <w:t>（1</w:t>
      </w:r>
      <w:r>
        <w:rPr>
          <w:rFonts w:hint="eastAsia" w:ascii="宋体" w:hAnsi="宋体" w:eastAsia="宋体" w:cs="宋体"/>
          <w:b/>
          <w:color w:val="auto"/>
          <w:szCs w:val="21"/>
          <w:highlight w:val="none"/>
          <w:lang w:val="en-US" w:eastAsia="zh-CN" w:bidi="ar"/>
        </w:rPr>
        <w:t>0</w:t>
      </w: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rPr>
        <w:t>同类业绩情况一览表格式</w:t>
      </w:r>
    </w:p>
    <w:p>
      <w:pPr>
        <w:jc w:val="center"/>
        <w:rPr>
          <w:rFonts w:hint="eastAsia" w:ascii="宋体" w:hAnsi="宋体" w:eastAsia="宋体" w:cs="宋体"/>
          <w:b/>
          <w:color w:val="auto"/>
          <w:szCs w:val="21"/>
          <w:highlight w:val="none"/>
        </w:rPr>
      </w:pPr>
    </w:p>
    <w:p>
      <w:pPr>
        <w:spacing w:line="360" w:lineRule="auto"/>
        <w:ind w:right="25" w:rightChars="12"/>
        <w:jc w:val="center"/>
        <w:rPr>
          <w:rFonts w:hint="eastAsia" w:ascii="宋体" w:hAnsi="宋体" w:eastAsia="宋体" w:cs="宋体"/>
          <w:b/>
          <w:color w:val="auto"/>
          <w:sz w:val="28"/>
          <w:szCs w:val="28"/>
          <w:highlight w:val="none"/>
          <w:lang w:val="zh-CN" w:bidi="ar"/>
        </w:rPr>
      </w:pPr>
      <w:r>
        <w:rPr>
          <w:rFonts w:hint="eastAsia" w:ascii="宋体" w:hAnsi="宋体" w:eastAsia="宋体" w:cs="宋体"/>
          <w:b/>
          <w:color w:val="auto"/>
          <w:sz w:val="28"/>
          <w:szCs w:val="28"/>
          <w:highlight w:val="none"/>
          <w:lang w:bidi="ar"/>
        </w:rPr>
        <w:t>同类业绩情况一览表</w:t>
      </w:r>
    </w:p>
    <w:p>
      <w:pPr>
        <w:ind w:right="25" w:rightChars="12"/>
        <w:rPr>
          <w:rFonts w:hint="eastAsia" w:ascii="宋体" w:hAnsi="宋体" w:eastAsia="宋体" w:cs="宋体"/>
          <w:color w:val="auto"/>
          <w:highlight w:val="none"/>
        </w:rPr>
      </w:pPr>
      <w:r>
        <w:rPr>
          <w:rFonts w:hint="eastAsia" w:ascii="宋体" w:hAnsi="宋体" w:eastAsia="宋体" w:cs="宋体"/>
          <w:color w:val="auto"/>
          <w:highlight w:val="none"/>
          <w:lang w:val="zh-CN"/>
        </w:rPr>
        <w:t>采购项目：</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 xml:space="preserve"> 项目编号</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 xml:space="preserve"> </w:t>
      </w:r>
      <w:r>
        <w:rPr>
          <w:rFonts w:hint="eastAsia" w:ascii="宋体" w:hAnsi="宋体" w:eastAsia="宋体" w:cs="宋体"/>
          <w:color w:val="auto"/>
          <w:spacing w:val="-4"/>
          <w:highlight w:val="none"/>
          <w:lang w:eastAsia="zh-CN"/>
        </w:rPr>
        <w:t>标项</w:t>
      </w:r>
      <w:r>
        <w:rPr>
          <w:rFonts w:hint="eastAsia" w:ascii="宋体" w:hAnsi="宋体" w:eastAsia="宋体" w:cs="宋体"/>
          <w:color w:val="auto"/>
          <w:spacing w:val="-4"/>
          <w:highlight w:val="none"/>
        </w:rPr>
        <w:t>号：</w:t>
      </w:r>
      <w:r>
        <w:rPr>
          <w:rFonts w:hint="eastAsia" w:ascii="宋体" w:hAnsi="宋体" w:eastAsia="宋体" w:cs="宋体"/>
          <w:color w:val="auto"/>
          <w:spacing w:val="-4"/>
          <w:highlight w:val="none"/>
          <w:u w:val="single"/>
        </w:rPr>
        <w:t xml:space="preserve">            </w:t>
      </w:r>
      <w:r>
        <w:rPr>
          <w:rFonts w:hint="eastAsia" w:ascii="宋体" w:hAnsi="宋体" w:eastAsia="宋体" w:cs="宋体"/>
          <w:bCs/>
          <w:color w:val="auto"/>
          <w:highlight w:val="none"/>
          <w:u w:val="single"/>
        </w:rPr>
        <w:t xml:space="preserve">   </w:t>
      </w:r>
    </w:p>
    <w:tbl>
      <w:tblPr>
        <w:tblStyle w:val="46"/>
        <w:tblW w:w="0" w:type="auto"/>
        <w:tblInd w:w="9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46"/>
        <w:gridCol w:w="1607"/>
        <w:gridCol w:w="1291"/>
        <w:gridCol w:w="1216"/>
        <w:gridCol w:w="1216"/>
        <w:gridCol w:w="16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787" w:type="dxa"/>
            <w:noWrap w:val="0"/>
            <w:vAlign w:val="center"/>
          </w:tcPr>
          <w:p>
            <w:pPr>
              <w:spacing w:line="400" w:lineRule="exact"/>
              <w:ind w:right="23" w:rightChars="11"/>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46" w:type="dxa"/>
            <w:noWrap w:val="0"/>
            <w:vAlign w:val="center"/>
          </w:tcPr>
          <w:p>
            <w:pPr>
              <w:spacing w:line="400" w:lineRule="exact"/>
              <w:ind w:right="23" w:rightChars="11"/>
              <w:jc w:val="center"/>
              <w:rPr>
                <w:rFonts w:hint="eastAsia" w:ascii="宋体" w:hAnsi="宋体" w:eastAsia="宋体" w:cs="宋体"/>
                <w:color w:val="auto"/>
                <w:highlight w:val="none"/>
              </w:rPr>
            </w:pPr>
            <w:r>
              <w:rPr>
                <w:rFonts w:hint="eastAsia" w:ascii="宋体" w:hAnsi="宋体" w:eastAsia="宋体" w:cs="宋体"/>
                <w:color w:val="auto"/>
                <w:highlight w:val="none"/>
              </w:rPr>
              <w:t>业主单位</w:t>
            </w:r>
          </w:p>
        </w:tc>
        <w:tc>
          <w:tcPr>
            <w:tcW w:w="1607" w:type="dxa"/>
            <w:noWrap w:val="0"/>
            <w:vAlign w:val="center"/>
          </w:tcPr>
          <w:p>
            <w:pPr>
              <w:spacing w:line="400" w:lineRule="exact"/>
              <w:ind w:right="23" w:rightChars="11"/>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291" w:type="dxa"/>
            <w:noWrap w:val="0"/>
            <w:vAlign w:val="center"/>
          </w:tcPr>
          <w:p>
            <w:pPr>
              <w:spacing w:line="400" w:lineRule="exact"/>
              <w:ind w:right="23" w:rightChars="11"/>
              <w:jc w:val="center"/>
              <w:rPr>
                <w:rFonts w:hint="eastAsia" w:ascii="宋体" w:hAnsi="宋体" w:eastAsia="宋体" w:cs="宋体"/>
                <w:color w:val="auto"/>
                <w:highlight w:val="none"/>
              </w:rPr>
            </w:pPr>
            <w:r>
              <w:rPr>
                <w:rFonts w:hint="eastAsia" w:ascii="宋体" w:hAnsi="宋体" w:eastAsia="宋体" w:cs="宋体"/>
                <w:color w:val="auto"/>
                <w:highlight w:val="none"/>
              </w:rPr>
              <w:t>服务地点</w:t>
            </w:r>
          </w:p>
        </w:tc>
        <w:tc>
          <w:tcPr>
            <w:tcW w:w="1216" w:type="dxa"/>
            <w:noWrap w:val="0"/>
            <w:vAlign w:val="center"/>
          </w:tcPr>
          <w:p>
            <w:pPr>
              <w:spacing w:line="400" w:lineRule="exact"/>
              <w:ind w:right="23" w:rightChars="11"/>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合同履行期限</w:t>
            </w:r>
          </w:p>
        </w:tc>
        <w:tc>
          <w:tcPr>
            <w:tcW w:w="1216" w:type="dxa"/>
            <w:noWrap w:val="0"/>
            <w:vAlign w:val="center"/>
          </w:tcPr>
          <w:p>
            <w:pPr>
              <w:spacing w:line="400" w:lineRule="exact"/>
              <w:ind w:right="23" w:rightChars="11"/>
              <w:jc w:val="center"/>
              <w:rPr>
                <w:rFonts w:hint="eastAsia" w:ascii="宋体" w:hAnsi="宋体" w:eastAsia="宋体" w:cs="宋体"/>
                <w:color w:val="auto"/>
                <w:highlight w:val="none"/>
              </w:rPr>
            </w:pPr>
            <w:r>
              <w:rPr>
                <w:rFonts w:hint="eastAsia" w:ascii="宋体" w:hAnsi="宋体" w:eastAsia="宋体" w:cs="宋体"/>
                <w:color w:val="auto"/>
                <w:highlight w:val="none"/>
              </w:rPr>
              <w:t>合同价格（元）</w:t>
            </w:r>
          </w:p>
        </w:tc>
        <w:tc>
          <w:tcPr>
            <w:tcW w:w="1697" w:type="dxa"/>
            <w:noWrap w:val="0"/>
            <w:vAlign w:val="center"/>
          </w:tcPr>
          <w:p>
            <w:pPr>
              <w:spacing w:line="400" w:lineRule="exact"/>
              <w:ind w:right="23" w:rightChars="11"/>
              <w:jc w:val="center"/>
              <w:rPr>
                <w:rFonts w:hint="eastAsia" w:ascii="宋体" w:hAnsi="宋体" w:eastAsia="宋体" w:cs="宋体"/>
                <w:color w:val="auto"/>
                <w:highlight w:val="none"/>
              </w:rPr>
            </w:pPr>
            <w:r>
              <w:rPr>
                <w:rFonts w:hint="eastAsia" w:ascii="宋体" w:hAnsi="宋体" w:eastAsia="宋体" w:cs="宋体"/>
                <w:color w:val="auto"/>
                <w:highlight w:val="none"/>
              </w:rPr>
              <w:t>业主单位联系人/电话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noWrap w:val="0"/>
            <w:vAlign w:val="center"/>
          </w:tcPr>
          <w:p>
            <w:pPr>
              <w:spacing w:line="400" w:lineRule="exact"/>
              <w:ind w:right="25" w:rightChars="12"/>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24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07"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91"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97" w:type="dxa"/>
            <w:noWrap w:val="0"/>
            <w:vAlign w:val="top"/>
          </w:tcPr>
          <w:p>
            <w:pPr>
              <w:spacing w:line="400" w:lineRule="exact"/>
              <w:ind w:right="25" w:rightChars="12"/>
              <w:jc w:val="center"/>
              <w:rPr>
                <w:rFonts w:hint="eastAsia" w:ascii="宋体" w:hAnsi="宋体" w:eastAsia="宋体" w:cs="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noWrap w:val="0"/>
            <w:vAlign w:val="center"/>
          </w:tcPr>
          <w:p>
            <w:pPr>
              <w:spacing w:line="400" w:lineRule="exact"/>
              <w:ind w:right="25" w:rightChars="12"/>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24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07"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91"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97" w:type="dxa"/>
            <w:noWrap w:val="0"/>
            <w:vAlign w:val="top"/>
          </w:tcPr>
          <w:p>
            <w:pPr>
              <w:spacing w:line="400" w:lineRule="exact"/>
              <w:ind w:right="25" w:rightChars="12"/>
              <w:jc w:val="center"/>
              <w:rPr>
                <w:rFonts w:hint="eastAsia" w:ascii="宋体" w:hAnsi="宋体" w:eastAsia="宋体" w:cs="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noWrap w:val="0"/>
            <w:vAlign w:val="center"/>
          </w:tcPr>
          <w:p>
            <w:pPr>
              <w:spacing w:line="400" w:lineRule="exact"/>
              <w:ind w:right="25" w:rightChars="12"/>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24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07"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91"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97" w:type="dxa"/>
            <w:noWrap w:val="0"/>
            <w:vAlign w:val="top"/>
          </w:tcPr>
          <w:p>
            <w:pPr>
              <w:spacing w:line="400" w:lineRule="exact"/>
              <w:ind w:right="25" w:rightChars="12"/>
              <w:jc w:val="center"/>
              <w:rPr>
                <w:rFonts w:hint="eastAsia" w:ascii="宋体" w:hAnsi="宋体" w:eastAsia="宋体" w:cs="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noWrap w:val="0"/>
            <w:vAlign w:val="center"/>
          </w:tcPr>
          <w:p>
            <w:pPr>
              <w:spacing w:line="400" w:lineRule="exact"/>
              <w:ind w:right="25" w:rightChars="12"/>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24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07"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91"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97" w:type="dxa"/>
            <w:noWrap w:val="0"/>
            <w:vAlign w:val="top"/>
          </w:tcPr>
          <w:p>
            <w:pPr>
              <w:spacing w:line="400" w:lineRule="exact"/>
              <w:ind w:right="25" w:rightChars="12"/>
              <w:jc w:val="center"/>
              <w:rPr>
                <w:rFonts w:hint="eastAsia" w:ascii="宋体" w:hAnsi="宋体" w:eastAsia="宋体" w:cs="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noWrap w:val="0"/>
            <w:vAlign w:val="center"/>
          </w:tcPr>
          <w:p>
            <w:pPr>
              <w:spacing w:line="400" w:lineRule="exact"/>
              <w:ind w:right="25" w:rightChars="12"/>
              <w:jc w:val="center"/>
              <w:rPr>
                <w:rFonts w:hint="eastAsia" w:ascii="宋体" w:hAnsi="宋体" w:eastAsia="宋体" w:cs="宋体"/>
                <w:color w:val="auto"/>
                <w:highlight w:val="none"/>
              </w:rPr>
            </w:pPr>
          </w:p>
        </w:tc>
        <w:tc>
          <w:tcPr>
            <w:tcW w:w="124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07"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91"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97" w:type="dxa"/>
            <w:noWrap w:val="0"/>
            <w:vAlign w:val="top"/>
          </w:tcPr>
          <w:p>
            <w:pPr>
              <w:spacing w:line="400" w:lineRule="exact"/>
              <w:ind w:right="25" w:rightChars="12"/>
              <w:jc w:val="center"/>
              <w:rPr>
                <w:rFonts w:hint="eastAsia" w:ascii="宋体" w:hAnsi="宋体" w:eastAsia="宋体" w:cs="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87" w:type="dxa"/>
            <w:noWrap w:val="0"/>
            <w:vAlign w:val="center"/>
          </w:tcPr>
          <w:p>
            <w:pPr>
              <w:spacing w:line="400" w:lineRule="exact"/>
              <w:ind w:right="25" w:rightChars="12"/>
              <w:jc w:val="center"/>
              <w:rPr>
                <w:rFonts w:hint="eastAsia" w:ascii="宋体" w:hAnsi="宋体" w:eastAsia="宋体" w:cs="宋体"/>
                <w:color w:val="auto"/>
                <w:highlight w:val="none"/>
              </w:rPr>
            </w:pPr>
          </w:p>
        </w:tc>
        <w:tc>
          <w:tcPr>
            <w:tcW w:w="124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07"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91"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97" w:type="dxa"/>
            <w:noWrap w:val="0"/>
            <w:vAlign w:val="top"/>
          </w:tcPr>
          <w:p>
            <w:pPr>
              <w:spacing w:line="400" w:lineRule="exact"/>
              <w:ind w:right="25" w:rightChars="12"/>
              <w:jc w:val="center"/>
              <w:rPr>
                <w:rFonts w:hint="eastAsia" w:ascii="宋体" w:hAnsi="宋体" w:eastAsia="宋体" w:cs="宋体"/>
                <w:b/>
                <w:color w:val="auto"/>
                <w:highlight w:val="none"/>
              </w:rPr>
            </w:pPr>
          </w:p>
        </w:tc>
      </w:tr>
    </w:tbl>
    <w:p>
      <w:pPr>
        <w:snapToGrid w:val="0"/>
        <w:spacing w:line="360" w:lineRule="auto"/>
        <w:jc w:val="left"/>
        <w:rPr>
          <w:rFonts w:hint="eastAsia" w:ascii="宋体" w:hAnsi="宋体" w:eastAsia="宋体" w:cs="宋体"/>
          <w:color w:val="auto"/>
          <w:highlight w:val="none"/>
        </w:rPr>
      </w:pPr>
    </w:p>
    <w:p>
      <w:pPr>
        <w:snapToGrid w:val="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技术部分：针对本项目第二章采购需求和第四章评分标准中的条款拟定完整方案，格式自拟；</w:t>
      </w:r>
    </w:p>
    <w:p>
      <w:pPr>
        <w:snapToGrid w:val="0"/>
        <w:rPr>
          <w:rFonts w:hint="eastAsia" w:ascii="宋体" w:hAnsi="宋体" w:eastAsia="宋体" w:cs="宋体"/>
          <w:color w:val="auto"/>
          <w:highlight w:val="none"/>
        </w:rPr>
      </w:pPr>
    </w:p>
    <w:p>
      <w:pPr>
        <w:snapToGrid w:val="0"/>
        <w:rPr>
          <w:rFonts w:hint="eastAsia" w:ascii="宋体" w:hAnsi="宋体" w:eastAsia="宋体" w:cs="宋体"/>
          <w:color w:val="auto"/>
          <w:highlight w:val="none"/>
        </w:rPr>
      </w:pPr>
    </w:p>
    <w:p>
      <w:pPr>
        <w:pStyle w:val="198"/>
        <w:rPr>
          <w:rFonts w:hint="eastAsia"/>
          <w:color w:val="auto"/>
          <w:highlight w:val="none"/>
        </w:rPr>
      </w:pPr>
    </w:p>
    <w:p>
      <w:pPr>
        <w:snapToGrid w:val="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第四章评标办法及评分标准中需提供的其他相关证书及合同复印件等并加盖公章；</w:t>
      </w:r>
    </w:p>
    <w:p>
      <w:pPr>
        <w:snapToGrid w:val="0"/>
        <w:spacing w:line="360" w:lineRule="auto"/>
        <w:jc w:val="left"/>
        <w:rPr>
          <w:rFonts w:hint="eastAsia" w:ascii="宋体" w:hAnsi="宋体" w:eastAsia="宋体" w:cs="宋体"/>
          <w:color w:val="auto"/>
          <w:highlight w:val="none"/>
        </w:rPr>
      </w:pPr>
    </w:p>
    <w:p>
      <w:pPr>
        <w:jc w:val="both"/>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rPr>
          <w:rFonts w:hint="eastAsia" w:ascii="宋体" w:hAnsi="宋体" w:eastAsia="宋体" w:cs="宋体"/>
          <w:color w:val="auto"/>
          <w:highlight w:val="none"/>
          <w:lang w:eastAsia="zh-CN"/>
        </w:rPr>
      </w:pPr>
    </w:p>
    <w:p>
      <w:pPr>
        <w:rPr>
          <w:rFonts w:hint="eastAsia"/>
          <w:color w:val="auto"/>
          <w:highlight w:val="none"/>
        </w:rPr>
      </w:pPr>
    </w:p>
    <w:p>
      <w:pPr>
        <w:numPr>
          <w:ilvl w:val="0"/>
          <w:numId w:val="0"/>
        </w:num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供应商认为有需要提供的其它有关证明资料。</w:t>
      </w:r>
    </w:p>
    <w:p>
      <w:pPr>
        <w:snapToGrid w:val="0"/>
        <w:spacing w:line="360" w:lineRule="auto"/>
        <w:jc w:val="left"/>
        <w:rPr>
          <w:rFonts w:hint="eastAsia" w:ascii="宋体" w:hAnsi="宋体" w:eastAsia="宋体" w:cs="宋体"/>
          <w:color w:val="auto"/>
          <w:highlight w:val="none"/>
        </w:rPr>
      </w:pPr>
    </w:p>
    <w:p>
      <w:pPr>
        <w:spacing w:line="360" w:lineRule="auto"/>
        <w:rPr>
          <w:rFonts w:hint="eastAsia" w:ascii="宋体" w:hAnsi="宋体" w:eastAsia="宋体" w:cs="宋体"/>
          <w:b/>
          <w:bCs/>
          <w:color w:val="auto"/>
          <w:sz w:val="28"/>
          <w:szCs w:val="28"/>
          <w:highlight w:val="none"/>
        </w:rPr>
        <w:sectPr>
          <w:pgSz w:w="11906" w:h="16838"/>
          <w:pgMar w:top="1474" w:right="1797" w:bottom="1247" w:left="1797" w:header="851" w:footer="851" w:gutter="0"/>
          <w:pgNumType w:fmt="decimal"/>
          <w:cols w:space="720" w:num="1"/>
          <w:docGrid w:linePitch="312" w:charSpace="0"/>
        </w:sectPr>
      </w:pPr>
    </w:p>
    <w:p>
      <w:pPr>
        <w:snapToGrid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rPr>
        <w:t>、报价文件</w:t>
      </w:r>
    </w:p>
    <w:p>
      <w:pPr>
        <w:snapToGrid w:val="0"/>
        <w:spacing w:line="360" w:lineRule="auto"/>
        <w:jc w:val="left"/>
        <w:rPr>
          <w:rFonts w:hint="eastAsia" w:ascii="宋体" w:hAnsi="宋体" w:eastAsia="宋体" w:cs="宋体"/>
          <w:bCs/>
          <w:color w:val="auto"/>
          <w:sz w:val="28"/>
          <w:szCs w:val="28"/>
          <w:highlight w:val="none"/>
          <w:lang w:bidi="ar"/>
        </w:rPr>
      </w:pPr>
      <w:r>
        <w:rPr>
          <w:rFonts w:hint="eastAsia" w:ascii="宋体" w:hAnsi="宋体" w:eastAsia="宋体" w:cs="宋体"/>
          <w:color w:val="auto"/>
          <w:highlight w:val="none"/>
          <w:lang w:val="en-US" w:eastAsia="zh-CN"/>
        </w:rPr>
        <w:t>1、</w:t>
      </w:r>
      <w:r>
        <w:rPr>
          <w:rFonts w:hint="eastAsia" w:ascii="宋体" w:hAnsi="宋体" w:eastAsia="宋体" w:cs="宋体"/>
          <w:color w:val="auto"/>
          <w:szCs w:val="21"/>
          <w:highlight w:val="none"/>
        </w:rPr>
        <w:t>报价文件</w:t>
      </w:r>
      <w:r>
        <w:rPr>
          <w:rFonts w:hint="eastAsia" w:ascii="宋体" w:hAnsi="宋体" w:eastAsia="宋体" w:cs="宋体"/>
          <w:color w:val="auto"/>
          <w:highlight w:val="none"/>
        </w:rPr>
        <w:t>封面格式：</w:t>
      </w:r>
    </w:p>
    <w:p>
      <w:pPr>
        <w:snapToGrid w:val="0"/>
        <w:spacing w:line="360" w:lineRule="auto"/>
        <w:ind w:firstLine="275" w:firstLineChars="98"/>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封面格式：</w:t>
      </w:r>
    </w:p>
    <w:p>
      <w:pPr>
        <w:snapToGrid w:val="0"/>
        <w:spacing w:line="360" w:lineRule="auto"/>
        <w:jc w:val="center"/>
        <w:rPr>
          <w:rFonts w:hint="eastAsia" w:ascii="宋体" w:hAnsi="宋体" w:eastAsia="宋体" w:cs="宋体"/>
          <w:bCs/>
          <w:color w:val="auto"/>
          <w:sz w:val="28"/>
          <w:szCs w:val="28"/>
          <w:highlight w:val="none"/>
        </w:rPr>
      </w:pPr>
      <w:r>
        <w:rPr>
          <w:rFonts w:hint="eastAsia" w:ascii="宋体" w:hAnsi="宋体" w:eastAsia="宋体" w:cs="宋体"/>
          <w:b/>
          <w:color w:val="auto"/>
          <w:sz w:val="28"/>
          <w:szCs w:val="28"/>
          <w:highlight w:val="none"/>
          <w:lang w:bidi="ar"/>
        </w:rPr>
        <w:t xml:space="preserve">                                            正本</w:t>
      </w:r>
    </w:p>
    <w:p>
      <w:pPr>
        <w:snapToGrid w:val="0"/>
        <w:spacing w:line="360" w:lineRule="auto"/>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报价文件</w:t>
      </w:r>
    </w:p>
    <w:p>
      <w:pPr>
        <w:snapToGrid w:val="0"/>
        <w:spacing w:line="360" w:lineRule="auto"/>
        <w:ind w:firstLine="6919" w:firstLineChars="2883"/>
        <w:rPr>
          <w:rFonts w:hint="eastAsia" w:ascii="宋体" w:hAnsi="宋体" w:eastAsia="宋体" w:cs="宋体"/>
          <w:bCs/>
          <w:color w:val="auto"/>
          <w:sz w:val="24"/>
          <w:highlight w:val="none"/>
        </w:rPr>
      </w:pPr>
    </w:p>
    <w:p>
      <w:pPr>
        <w:snapToGrid w:val="0"/>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项目名称：</w:t>
      </w:r>
    </w:p>
    <w:p>
      <w:pPr>
        <w:snapToGrid w:val="0"/>
        <w:spacing w:line="360" w:lineRule="auto"/>
        <w:ind w:firstLine="1080" w:firstLineChars="45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项目编号：</w:t>
      </w:r>
    </w:p>
    <w:p>
      <w:pPr>
        <w:snapToGrid w:val="0"/>
        <w:spacing w:line="360" w:lineRule="auto"/>
        <w:ind w:firstLine="1080" w:firstLineChars="45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eastAsia="zh-CN" w:bidi="ar"/>
        </w:rPr>
        <w:t>标项</w:t>
      </w:r>
      <w:r>
        <w:rPr>
          <w:rFonts w:hint="eastAsia" w:ascii="宋体" w:hAnsi="宋体" w:eastAsia="宋体" w:cs="宋体"/>
          <w:bCs/>
          <w:color w:val="auto"/>
          <w:sz w:val="24"/>
          <w:highlight w:val="none"/>
          <w:lang w:bidi="ar"/>
        </w:rPr>
        <w:t>号：</w:t>
      </w:r>
    </w:p>
    <w:p>
      <w:pPr>
        <w:snapToGrid w:val="0"/>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供应商名称（加盖公章）：</w:t>
      </w:r>
    </w:p>
    <w:p>
      <w:pPr>
        <w:snapToGrid w:val="0"/>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供应商地址：</w:t>
      </w:r>
    </w:p>
    <w:p>
      <w:pPr>
        <w:snapToGrid w:val="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 xml:space="preserve">                                      年  月  日</w:t>
      </w:r>
    </w:p>
    <w:p>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br w:type="page"/>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报价文件内容包括：</w:t>
      </w:r>
    </w:p>
    <w:p>
      <w:pPr>
        <w:keepNext w:val="0"/>
        <w:keepLines w:val="0"/>
        <w:pageBreakBefore w:val="0"/>
        <w:widowControl w:val="0"/>
        <w:numPr>
          <w:ilvl w:val="0"/>
          <w:numId w:val="20"/>
        </w:numPr>
        <w:kinsoku/>
        <w:wordWrap/>
        <w:overflowPunct/>
        <w:topLinePunct w:val="0"/>
        <w:autoSpaceDE/>
        <w:autoSpaceDN/>
        <w:bidi w:val="0"/>
        <w:adjustRightInd/>
        <w:snapToGrid w:val="0"/>
        <w:spacing w:line="360" w:lineRule="auto"/>
        <w:ind w:left="0" w:left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开标一览表（格式见附件）；</w:t>
      </w:r>
    </w:p>
    <w:p>
      <w:pPr>
        <w:keepNext w:val="0"/>
        <w:keepLines w:val="0"/>
        <w:pageBreakBefore w:val="0"/>
        <w:widowControl w:val="0"/>
        <w:numPr>
          <w:ilvl w:val="0"/>
          <w:numId w:val="20"/>
        </w:numPr>
        <w:kinsoku/>
        <w:wordWrap/>
        <w:overflowPunct/>
        <w:topLinePunct w:val="0"/>
        <w:autoSpaceDE/>
        <w:autoSpaceDN/>
        <w:bidi w:val="0"/>
        <w:adjustRightInd/>
        <w:snapToGrid w:val="0"/>
        <w:spacing w:line="360" w:lineRule="auto"/>
        <w:ind w:left="0" w:left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投标报价明细表（格式见附件）；</w:t>
      </w:r>
    </w:p>
    <w:p>
      <w:pPr>
        <w:keepNext w:val="0"/>
        <w:keepLines w:val="0"/>
        <w:pageBreakBefore w:val="0"/>
        <w:widowControl w:val="0"/>
        <w:numPr>
          <w:ilvl w:val="0"/>
          <w:numId w:val="20"/>
        </w:numPr>
        <w:kinsoku/>
        <w:wordWrap/>
        <w:overflowPunct/>
        <w:topLinePunct w:val="0"/>
        <w:autoSpaceDE/>
        <w:autoSpaceDN/>
        <w:bidi w:val="0"/>
        <w:adjustRightInd/>
        <w:snapToGrid w:val="0"/>
        <w:spacing w:line="360" w:lineRule="auto"/>
        <w:ind w:left="0" w:left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供应商针对报价需要说明的其他文件和说明（格式自拟）；</w:t>
      </w:r>
    </w:p>
    <w:p>
      <w:pPr>
        <w:snapToGrid w:val="0"/>
        <w:spacing w:line="360" w:lineRule="auto"/>
        <w:jc w:val="left"/>
        <w:rPr>
          <w:rFonts w:hint="eastAsia" w:ascii="宋体" w:hAnsi="宋体" w:eastAsia="宋体" w:cs="宋体"/>
          <w:color w:val="auto"/>
          <w:highlight w:val="none"/>
        </w:rPr>
      </w:pPr>
    </w:p>
    <w:p>
      <w:pPr>
        <w:snapToGrid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Cs w:val="21"/>
          <w:highlight w:val="none"/>
        </w:rPr>
        <w:t>（1）开标一览表格式</w:t>
      </w:r>
    </w:p>
    <w:p>
      <w:pPr>
        <w:pStyle w:val="43"/>
        <w:widowControl w:val="0"/>
        <w:tabs>
          <w:tab w:val="left" w:pos="4841"/>
        </w:tabs>
        <w:spacing w:before="0" w:beforeAutospacing="0" w:after="0" w:afterAutospacing="0" w:line="360" w:lineRule="auto"/>
        <w:ind w:firstLine="301"/>
        <w:jc w:val="center"/>
        <w:rPr>
          <w:rFonts w:hint="eastAsia" w:ascii="宋体" w:hAnsi="宋体" w:eastAsia="宋体" w:cs="宋体"/>
          <w:b/>
          <w:color w:val="auto"/>
          <w:szCs w:val="20"/>
          <w:highlight w:val="none"/>
        </w:rPr>
      </w:pPr>
      <w:r>
        <w:rPr>
          <w:rFonts w:hint="eastAsia" w:ascii="宋体" w:hAnsi="宋体" w:eastAsia="宋体" w:cs="宋体"/>
          <w:b/>
          <w:color w:val="auto"/>
          <w:spacing w:val="-4"/>
          <w:kern w:val="2"/>
          <w:szCs w:val="20"/>
          <w:highlight w:val="none"/>
          <w:lang w:bidi="ar"/>
        </w:rPr>
        <w:t>开标一览表</w:t>
      </w:r>
    </w:p>
    <w:p>
      <w:pPr>
        <w:pStyle w:val="43"/>
        <w:widowControl w:val="0"/>
        <w:snapToGrid w:val="0"/>
        <w:spacing w:before="0" w:beforeAutospacing="0" w:after="0" w:afterAutospacing="0" w:line="360" w:lineRule="auto"/>
        <w:rPr>
          <w:rFonts w:hint="eastAsia" w:ascii="宋体" w:hAnsi="宋体" w:eastAsia="宋体" w:cs="宋体"/>
          <w:color w:val="auto"/>
          <w:spacing w:val="-4"/>
          <w:kern w:val="2"/>
          <w:sz w:val="21"/>
          <w:szCs w:val="21"/>
          <w:highlight w:val="none"/>
          <w:lang w:bidi="ar"/>
        </w:rPr>
      </w:pPr>
      <w:r>
        <w:rPr>
          <w:rFonts w:hint="eastAsia" w:ascii="宋体" w:hAnsi="宋体" w:eastAsia="宋体" w:cs="宋体"/>
          <w:color w:val="auto"/>
          <w:spacing w:val="-4"/>
          <w:kern w:val="2"/>
          <w:sz w:val="21"/>
          <w:szCs w:val="21"/>
          <w:highlight w:val="none"/>
          <w:lang w:bidi="ar"/>
        </w:rPr>
        <w:t>采购项目：                                               项目编号：</w:t>
      </w:r>
    </w:p>
    <w:p>
      <w:pPr>
        <w:pStyle w:val="43"/>
        <w:widowControl w:val="0"/>
        <w:snapToGrid w:val="0"/>
        <w:spacing w:before="0" w:beforeAutospacing="0" w:after="0" w:afterAutospacing="0" w:line="360" w:lineRule="auto"/>
        <w:jc w:val="right"/>
        <w:rPr>
          <w:rFonts w:hint="eastAsia" w:ascii="宋体" w:hAnsi="宋体" w:eastAsia="宋体" w:cs="宋体"/>
          <w:color w:val="auto"/>
          <w:spacing w:val="-4"/>
          <w:kern w:val="2"/>
          <w:sz w:val="21"/>
          <w:szCs w:val="21"/>
          <w:highlight w:val="none"/>
          <w:lang w:bidi="ar"/>
        </w:rPr>
      </w:pPr>
      <w:r>
        <w:rPr>
          <w:rFonts w:hint="eastAsia" w:ascii="宋体" w:hAnsi="宋体" w:eastAsia="宋体" w:cs="宋体"/>
          <w:color w:val="auto"/>
          <w:spacing w:val="-4"/>
          <w:kern w:val="2"/>
          <w:sz w:val="21"/>
          <w:szCs w:val="21"/>
          <w:highlight w:val="none"/>
          <w:lang w:bidi="ar"/>
        </w:rPr>
        <w:t>单位：人民币元</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3097"/>
        <w:gridCol w:w="1718"/>
        <w:gridCol w:w="3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64" w:type="dxa"/>
            <w:noWrap w:val="0"/>
            <w:vAlign w:val="center"/>
          </w:tcPr>
          <w:p>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标项</w:t>
            </w:r>
            <w:r>
              <w:rPr>
                <w:rFonts w:hint="eastAsia" w:ascii="宋体" w:hAnsi="宋体" w:eastAsia="宋体" w:cs="宋体"/>
                <w:b/>
                <w:bCs/>
                <w:color w:val="auto"/>
                <w:szCs w:val="21"/>
                <w:highlight w:val="none"/>
              </w:rPr>
              <w:t>号</w:t>
            </w:r>
          </w:p>
        </w:tc>
        <w:tc>
          <w:tcPr>
            <w:tcW w:w="3097" w:type="dxa"/>
            <w:noWrap w:val="0"/>
            <w:vAlign w:val="center"/>
          </w:tcPr>
          <w:p>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采购内容</w:t>
            </w:r>
          </w:p>
        </w:tc>
        <w:tc>
          <w:tcPr>
            <w:tcW w:w="1718" w:type="dxa"/>
            <w:noWrap w:val="0"/>
            <w:vAlign w:val="center"/>
          </w:tcPr>
          <w:p>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3382" w:type="dxa"/>
            <w:noWrap w:val="0"/>
            <w:vAlign w:val="center"/>
          </w:tcPr>
          <w:p>
            <w:pPr>
              <w:snapToGrid w:val="0"/>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eastAsia="zh-CN"/>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064" w:type="dxa"/>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097" w:type="dxa"/>
            <w:noWrap w:val="0"/>
            <w:vAlign w:val="center"/>
          </w:tcPr>
          <w:p>
            <w:pPr>
              <w:snapToGrid w:val="0"/>
              <w:spacing w:line="360" w:lineRule="auto"/>
              <w:jc w:val="center"/>
              <w:rPr>
                <w:rFonts w:hint="eastAsia" w:ascii="宋体" w:hAnsi="宋体" w:eastAsia="宋体" w:cs="宋体"/>
                <w:color w:val="auto"/>
                <w:szCs w:val="21"/>
                <w:highlight w:val="none"/>
              </w:rPr>
            </w:pPr>
          </w:p>
        </w:tc>
        <w:tc>
          <w:tcPr>
            <w:tcW w:w="1718" w:type="dxa"/>
            <w:noWrap w:val="0"/>
            <w:vAlign w:val="center"/>
          </w:tcPr>
          <w:p>
            <w:pPr>
              <w:snapToGrid w:val="0"/>
              <w:spacing w:line="360" w:lineRule="auto"/>
              <w:rPr>
                <w:rFonts w:hint="eastAsia" w:ascii="宋体" w:hAnsi="宋体" w:eastAsia="宋体" w:cs="宋体"/>
                <w:color w:val="auto"/>
                <w:szCs w:val="21"/>
                <w:highlight w:val="none"/>
              </w:rPr>
            </w:pPr>
          </w:p>
        </w:tc>
        <w:tc>
          <w:tcPr>
            <w:tcW w:w="3382" w:type="dxa"/>
            <w:noWrap w:val="0"/>
            <w:vAlign w:val="center"/>
          </w:tcPr>
          <w:p>
            <w:pPr>
              <w:snapToGrid w:val="0"/>
              <w:spacing w:line="360" w:lineRule="auto"/>
              <w:jc w:val="center"/>
              <w:rPr>
                <w:rFonts w:hint="eastAsia" w:ascii="宋体" w:hAnsi="宋体" w:eastAsia="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4161" w:type="dxa"/>
            <w:gridSpan w:val="2"/>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单年</w:t>
            </w:r>
            <w:r>
              <w:rPr>
                <w:rFonts w:hint="eastAsia" w:ascii="宋体" w:hAnsi="宋体" w:eastAsia="宋体" w:cs="宋体"/>
                <w:color w:val="auto"/>
                <w:szCs w:val="21"/>
                <w:highlight w:val="none"/>
              </w:rPr>
              <w:t>投标价</w:t>
            </w:r>
          </w:p>
        </w:tc>
        <w:tc>
          <w:tcPr>
            <w:tcW w:w="5100" w:type="dxa"/>
            <w:gridSpan w:val="2"/>
            <w:noWrap w:val="0"/>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p>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4161" w:type="dxa"/>
            <w:gridSpan w:val="2"/>
            <w:noWrap w:val="0"/>
            <w:vAlign w:val="center"/>
          </w:tcPr>
          <w:p>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三年投标总价</w:t>
            </w:r>
          </w:p>
        </w:tc>
        <w:tc>
          <w:tcPr>
            <w:tcW w:w="5100" w:type="dxa"/>
            <w:gridSpan w:val="2"/>
            <w:noWrap w:val="0"/>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p>
            <w:pPr>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1064" w:type="dxa"/>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投标声明</w:t>
            </w:r>
          </w:p>
        </w:tc>
        <w:tc>
          <w:tcPr>
            <w:tcW w:w="8197" w:type="dxa"/>
            <w:gridSpan w:val="3"/>
            <w:noWrap w:val="0"/>
            <w:vAlign w:val="center"/>
          </w:tcPr>
          <w:p>
            <w:pPr>
              <w:snapToGrid w:val="0"/>
              <w:spacing w:line="360" w:lineRule="auto"/>
              <w:jc w:val="center"/>
              <w:rPr>
                <w:rFonts w:hint="eastAsia" w:ascii="宋体" w:hAnsi="宋体" w:eastAsia="宋体" w:cs="宋体"/>
                <w:color w:val="auto"/>
                <w:szCs w:val="21"/>
                <w:highlight w:val="none"/>
              </w:rPr>
            </w:pPr>
          </w:p>
        </w:tc>
      </w:tr>
    </w:tbl>
    <w:p>
      <w:pPr>
        <w:pStyle w:val="43"/>
        <w:widowControl w:val="0"/>
        <w:spacing w:before="0" w:beforeAutospacing="0" w:after="0" w:afterAutospacing="0" w:line="360" w:lineRule="auto"/>
        <w:jc w:val="both"/>
        <w:rPr>
          <w:rFonts w:hint="eastAsia" w:ascii="宋体" w:hAnsi="宋体" w:eastAsia="宋体" w:cs="宋体"/>
          <w:color w:val="auto"/>
          <w:spacing w:val="-4"/>
          <w:kern w:val="2"/>
          <w:sz w:val="21"/>
          <w:szCs w:val="21"/>
          <w:highlight w:val="none"/>
          <w:lang w:bidi="ar"/>
        </w:rPr>
      </w:pPr>
      <w:r>
        <w:rPr>
          <w:rFonts w:hint="eastAsia" w:ascii="宋体" w:hAnsi="宋体" w:eastAsia="宋体" w:cs="宋体"/>
          <w:color w:val="auto"/>
          <w:spacing w:val="-4"/>
          <w:kern w:val="2"/>
          <w:sz w:val="21"/>
          <w:szCs w:val="21"/>
          <w:highlight w:val="none"/>
          <w:lang w:bidi="ar"/>
        </w:rPr>
        <w:t>注：1、若供应商尚有其它内容需明列的，请按此表格式扩展。</w:t>
      </w:r>
    </w:p>
    <w:p>
      <w:pPr>
        <w:pStyle w:val="43"/>
        <w:widowControl w:val="0"/>
        <w:numPr>
          <w:ilvl w:val="0"/>
          <w:numId w:val="0"/>
        </w:numPr>
        <w:spacing w:before="0" w:beforeAutospacing="0" w:after="0" w:afterAutospacing="0" w:line="360" w:lineRule="auto"/>
        <w:ind w:left="403" w:leftChars="0"/>
        <w:jc w:val="both"/>
        <w:rPr>
          <w:rFonts w:hint="eastAsia" w:ascii="宋体" w:hAnsi="宋体" w:eastAsia="宋体" w:cs="宋体"/>
          <w:color w:val="auto"/>
          <w:spacing w:val="-4"/>
          <w:kern w:val="2"/>
          <w:sz w:val="21"/>
          <w:szCs w:val="21"/>
          <w:highlight w:val="none"/>
          <w:lang w:bidi="ar"/>
        </w:rPr>
      </w:pPr>
      <w:r>
        <w:rPr>
          <w:rFonts w:hint="eastAsia" w:ascii="宋体" w:hAnsi="宋体" w:eastAsia="宋体" w:cs="宋体"/>
          <w:color w:val="auto"/>
          <w:spacing w:val="-4"/>
          <w:kern w:val="2"/>
          <w:sz w:val="21"/>
          <w:szCs w:val="21"/>
          <w:highlight w:val="none"/>
          <w:lang w:val="en-US" w:eastAsia="zh-CN" w:bidi="ar"/>
        </w:rPr>
        <w:t>2、</w:t>
      </w:r>
      <w:r>
        <w:rPr>
          <w:rFonts w:hint="eastAsia" w:ascii="宋体" w:hAnsi="宋体" w:eastAsia="宋体" w:cs="宋体"/>
          <w:color w:val="auto"/>
          <w:spacing w:val="-4"/>
          <w:kern w:val="2"/>
          <w:sz w:val="21"/>
          <w:szCs w:val="21"/>
          <w:highlight w:val="none"/>
          <w:lang w:bidi="ar"/>
        </w:rPr>
        <w:t>以上</w:t>
      </w:r>
      <w:r>
        <w:rPr>
          <w:rFonts w:hint="eastAsia" w:ascii="宋体" w:hAnsi="宋体" w:eastAsia="宋体" w:cs="宋体"/>
          <w:color w:val="auto"/>
          <w:spacing w:val="-4"/>
          <w:kern w:val="2"/>
          <w:sz w:val="21"/>
          <w:szCs w:val="21"/>
          <w:highlight w:val="none"/>
          <w:lang w:eastAsia="zh-CN" w:bidi="ar"/>
        </w:rPr>
        <w:t>“</w:t>
      </w:r>
      <w:r>
        <w:rPr>
          <w:rFonts w:hint="eastAsia" w:ascii="宋体" w:hAnsi="宋体" w:eastAsia="宋体" w:cs="宋体"/>
          <w:color w:val="auto"/>
          <w:spacing w:val="-4"/>
          <w:kern w:val="2"/>
          <w:sz w:val="21"/>
          <w:szCs w:val="21"/>
          <w:highlight w:val="none"/>
          <w:lang w:bidi="ar"/>
        </w:rPr>
        <w:t>单年投标价</w:t>
      </w:r>
      <w:r>
        <w:rPr>
          <w:rFonts w:hint="eastAsia" w:ascii="宋体" w:hAnsi="宋体" w:eastAsia="宋体" w:cs="宋体"/>
          <w:color w:val="auto"/>
          <w:spacing w:val="-4"/>
          <w:kern w:val="2"/>
          <w:sz w:val="21"/>
          <w:szCs w:val="21"/>
          <w:highlight w:val="none"/>
          <w:lang w:eastAsia="zh-CN" w:bidi="ar"/>
        </w:rPr>
        <w:t>”、“三年投标总价”</w:t>
      </w:r>
      <w:r>
        <w:rPr>
          <w:rFonts w:hint="eastAsia" w:ascii="宋体" w:hAnsi="宋体" w:eastAsia="宋体" w:cs="宋体"/>
          <w:color w:val="auto"/>
          <w:spacing w:val="-4"/>
          <w:kern w:val="2"/>
          <w:sz w:val="21"/>
          <w:szCs w:val="21"/>
          <w:highlight w:val="none"/>
          <w:lang w:bidi="ar"/>
        </w:rPr>
        <w:t>应与“投标报价明细表”中的“单年投标价”</w:t>
      </w:r>
      <w:r>
        <w:rPr>
          <w:rFonts w:hint="eastAsia" w:ascii="宋体" w:hAnsi="宋体" w:eastAsia="宋体" w:cs="宋体"/>
          <w:color w:val="auto"/>
          <w:spacing w:val="-4"/>
          <w:kern w:val="2"/>
          <w:sz w:val="21"/>
          <w:szCs w:val="21"/>
          <w:highlight w:val="none"/>
          <w:lang w:eastAsia="zh-CN" w:bidi="ar"/>
        </w:rPr>
        <w:t>、“三年投标总价”</w:t>
      </w:r>
      <w:r>
        <w:rPr>
          <w:rFonts w:hint="eastAsia" w:ascii="宋体" w:hAnsi="宋体" w:eastAsia="宋体" w:cs="宋体"/>
          <w:color w:val="auto"/>
          <w:spacing w:val="-4"/>
          <w:kern w:val="2"/>
          <w:sz w:val="21"/>
          <w:szCs w:val="21"/>
          <w:highlight w:val="none"/>
          <w:lang w:bidi="ar"/>
        </w:rPr>
        <w:t>相一致。</w:t>
      </w:r>
    </w:p>
    <w:p>
      <w:pPr>
        <w:pStyle w:val="43"/>
        <w:widowControl w:val="0"/>
        <w:snapToGrid w:val="0"/>
        <w:spacing w:before="0" w:beforeAutospacing="0" w:after="0" w:afterAutospacing="0" w:line="360" w:lineRule="auto"/>
        <w:ind w:left="-178" w:leftChars="-85" w:firstLine="301"/>
        <w:jc w:val="both"/>
        <w:rPr>
          <w:rFonts w:hint="eastAsia" w:ascii="宋体" w:hAnsi="宋体" w:eastAsia="宋体" w:cs="宋体"/>
          <w:color w:val="auto"/>
          <w:spacing w:val="-4"/>
          <w:kern w:val="2"/>
          <w:sz w:val="21"/>
          <w:szCs w:val="21"/>
          <w:highlight w:val="none"/>
          <w:lang w:bidi="ar"/>
        </w:rPr>
      </w:pPr>
    </w:p>
    <w:p>
      <w:pPr>
        <w:pStyle w:val="43"/>
        <w:widowControl w:val="0"/>
        <w:snapToGrid w:val="0"/>
        <w:spacing w:before="0" w:beforeAutospacing="0" w:after="0" w:afterAutospacing="0" w:line="360" w:lineRule="auto"/>
        <w:ind w:left="-178" w:leftChars="-85" w:firstLine="301"/>
        <w:jc w:val="both"/>
        <w:rPr>
          <w:rFonts w:hint="eastAsia" w:ascii="宋体" w:hAnsi="宋体" w:eastAsia="宋体" w:cs="宋体"/>
          <w:color w:val="auto"/>
          <w:sz w:val="21"/>
          <w:szCs w:val="21"/>
          <w:highlight w:val="none"/>
        </w:rPr>
      </w:pPr>
      <w:r>
        <w:rPr>
          <w:rFonts w:hint="eastAsia" w:ascii="宋体" w:hAnsi="宋体" w:eastAsia="宋体" w:cs="宋体"/>
          <w:color w:val="auto"/>
          <w:spacing w:val="-4"/>
          <w:kern w:val="2"/>
          <w:sz w:val="21"/>
          <w:szCs w:val="21"/>
          <w:highlight w:val="none"/>
          <w:lang w:bidi="ar"/>
        </w:rPr>
        <w:t>供 应 商 （盖章）：</w:t>
      </w:r>
    </w:p>
    <w:p>
      <w:pPr>
        <w:pStyle w:val="43"/>
        <w:widowControl w:val="0"/>
        <w:snapToGrid w:val="0"/>
        <w:spacing w:before="0" w:beforeAutospacing="0" w:after="0" w:afterAutospacing="0" w:line="360" w:lineRule="auto"/>
        <w:ind w:left="-178" w:leftChars="-85" w:firstLine="301"/>
        <w:jc w:val="both"/>
        <w:rPr>
          <w:rFonts w:hint="eastAsia" w:ascii="宋体" w:hAnsi="宋体" w:eastAsia="宋体" w:cs="宋体"/>
          <w:color w:val="auto"/>
          <w:spacing w:val="-4"/>
          <w:kern w:val="2"/>
          <w:sz w:val="21"/>
          <w:szCs w:val="21"/>
          <w:highlight w:val="none"/>
          <w:lang w:bidi="ar"/>
        </w:rPr>
      </w:pPr>
      <w:r>
        <w:rPr>
          <w:rFonts w:hint="eastAsia" w:ascii="宋体" w:hAnsi="宋体" w:eastAsia="宋体" w:cs="宋体"/>
          <w:color w:val="auto"/>
          <w:spacing w:val="-4"/>
          <w:kern w:val="2"/>
          <w:sz w:val="21"/>
          <w:szCs w:val="21"/>
          <w:highlight w:val="none"/>
          <w:lang w:bidi="ar"/>
        </w:rPr>
        <w:t>法定代表人或授权代表（签名或印章）：</w:t>
      </w:r>
    </w:p>
    <w:p>
      <w:pPr>
        <w:pStyle w:val="43"/>
        <w:widowControl w:val="0"/>
        <w:snapToGrid w:val="0"/>
        <w:spacing w:before="0" w:beforeAutospacing="0" w:after="0" w:afterAutospacing="0" w:line="360" w:lineRule="auto"/>
        <w:ind w:left="-178" w:leftChars="-85" w:firstLine="301"/>
        <w:jc w:val="both"/>
        <w:rPr>
          <w:rFonts w:hint="eastAsia" w:ascii="宋体" w:hAnsi="宋体" w:eastAsia="宋体" w:cs="宋体"/>
          <w:color w:val="auto"/>
          <w:spacing w:val="-4"/>
          <w:kern w:val="2"/>
          <w:sz w:val="21"/>
          <w:szCs w:val="21"/>
          <w:highlight w:val="none"/>
          <w:lang w:bidi="ar"/>
        </w:rPr>
      </w:pPr>
      <w:r>
        <w:rPr>
          <w:rFonts w:hint="eastAsia" w:ascii="宋体" w:hAnsi="宋体" w:eastAsia="宋体" w:cs="宋体"/>
          <w:color w:val="auto"/>
          <w:spacing w:val="-4"/>
          <w:kern w:val="2"/>
          <w:sz w:val="21"/>
          <w:szCs w:val="21"/>
          <w:highlight w:val="none"/>
          <w:lang w:bidi="ar"/>
        </w:rPr>
        <w:t>日     期：</w:t>
      </w:r>
    </w:p>
    <w:p>
      <w:pPr>
        <w:snapToGrid w:val="0"/>
        <w:rPr>
          <w:rFonts w:hint="eastAsia" w:ascii="宋体" w:hAnsi="宋体" w:eastAsia="宋体" w:cs="宋体"/>
          <w:b/>
          <w:bCs/>
          <w:color w:val="auto"/>
          <w:szCs w:val="21"/>
          <w:highlight w:val="none"/>
        </w:rPr>
      </w:pPr>
    </w:p>
    <w:p>
      <w:pPr>
        <w:pStyle w:val="54"/>
        <w:rPr>
          <w:rFonts w:hint="eastAsia" w:ascii="宋体" w:hAnsi="宋体" w:eastAsia="宋体" w:cs="宋体"/>
          <w:b/>
          <w:bCs/>
          <w:color w:val="auto"/>
          <w:szCs w:val="21"/>
          <w:highlight w:val="none"/>
        </w:rPr>
      </w:pPr>
    </w:p>
    <w:p>
      <w:pPr>
        <w:snapToGrid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r>
        <w:rPr>
          <w:rFonts w:hint="eastAsia" w:ascii="宋体" w:hAnsi="宋体" w:eastAsia="宋体" w:cs="宋体"/>
          <w:b/>
          <w:bCs/>
          <w:color w:val="auto"/>
          <w:szCs w:val="21"/>
          <w:highlight w:val="none"/>
        </w:rPr>
        <w:t>（2）投标报价明细表格式</w:t>
      </w: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投标报价明细表</w:t>
      </w:r>
    </w:p>
    <w:p>
      <w:pPr>
        <w:rPr>
          <w:rFonts w:hint="eastAsia" w:ascii="宋体" w:hAnsi="宋体" w:eastAsia="宋体" w:cs="宋体"/>
          <w:color w:val="auto"/>
          <w:spacing w:val="-4"/>
          <w:szCs w:val="21"/>
          <w:highlight w:val="none"/>
          <w:lang w:bidi="ar"/>
        </w:rPr>
      </w:pPr>
      <w:r>
        <w:rPr>
          <w:rFonts w:hint="eastAsia" w:ascii="宋体" w:hAnsi="宋体" w:eastAsia="宋体" w:cs="宋体"/>
          <w:color w:val="auto"/>
          <w:spacing w:val="-4"/>
          <w:szCs w:val="21"/>
          <w:highlight w:val="none"/>
          <w:lang w:bidi="ar"/>
        </w:rPr>
        <w:t>采购项目：</w:t>
      </w:r>
    </w:p>
    <w:p>
      <w:pPr>
        <w:rPr>
          <w:rFonts w:hint="eastAsia" w:ascii="宋体" w:hAnsi="宋体" w:eastAsia="宋体" w:cs="宋体"/>
          <w:color w:val="auto"/>
          <w:spacing w:val="-4"/>
          <w:szCs w:val="21"/>
          <w:highlight w:val="none"/>
          <w:lang w:bidi="ar"/>
        </w:rPr>
      </w:pPr>
      <w:r>
        <w:rPr>
          <w:rFonts w:hint="eastAsia" w:ascii="宋体" w:hAnsi="宋体" w:eastAsia="宋体" w:cs="宋体"/>
          <w:color w:val="auto"/>
          <w:spacing w:val="-4"/>
          <w:szCs w:val="21"/>
          <w:highlight w:val="none"/>
          <w:lang w:bidi="ar"/>
        </w:rPr>
        <w:t>项目编号：</w:t>
      </w:r>
    </w:p>
    <w:tbl>
      <w:tblPr>
        <w:tblStyle w:val="46"/>
        <w:tblW w:w="8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3164"/>
        <w:gridCol w:w="1770"/>
        <w:gridCol w:w="1550"/>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序号</w:t>
            </w:r>
          </w:p>
        </w:tc>
        <w:tc>
          <w:tcPr>
            <w:tcW w:w="316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内容</w:t>
            </w:r>
          </w:p>
        </w:tc>
        <w:tc>
          <w:tcPr>
            <w:tcW w:w="177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数量</w:t>
            </w:r>
          </w:p>
        </w:tc>
        <w:tc>
          <w:tcPr>
            <w:tcW w:w="15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单价</w:t>
            </w:r>
          </w:p>
        </w:tc>
        <w:tc>
          <w:tcPr>
            <w:tcW w:w="112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0" w:type="dxa"/>
            <w:noWrap w:val="0"/>
            <w:vAlign w:val="top"/>
          </w:tcPr>
          <w:p>
            <w:pPr>
              <w:pStyle w:val="33"/>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3164" w:type="dxa"/>
            <w:noWrap w:val="0"/>
            <w:vAlign w:val="center"/>
          </w:tcPr>
          <w:p>
            <w:pPr>
              <w:pStyle w:val="33"/>
              <w:jc w:val="center"/>
              <w:rPr>
                <w:rFonts w:hint="eastAsia" w:ascii="宋体" w:hAnsi="宋体" w:eastAsia="宋体" w:cs="宋体"/>
                <w:color w:val="auto"/>
                <w:highlight w:val="none"/>
              </w:rPr>
            </w:pPr>
          </w:p>
        </w:tc>
        <w:tc>
          <w:tcPr>
            <w:tcW w:w="1770" w:type="dxa"/>
            <w:noWrap w:val="0"/>
            <w:vAlign w:val="center"/>
          </w:tcPr>
          <w:p>
            <w:pPr>
              <w:pStyle w:val="33"/>
              <w:jc w:val="center"/>
              <w:rPr>
                <w:rFonts w:hint="eastAsia" w:ascii="宋体" w:hAnsi="宋体" w:eastAsia="宋体" w:cs="宋体"/>
                <w:color w:val="auto"/>
                <w:highlight w:val="none"/>
              </w:rPr>
            </w:pPr>
          </w:p>
        </w:tc>
        <w:tc>
          <w:tcPr>
            <w:tcW w:w="1550" w:type="dxa"/>
            <w:noWrap w:val="0"/>
            <w:vAlign w:val="center"/>
          </w:tcPr>
          <w:p>
            <w:pPr>
              <w:pStyle w:val="33"/>
              <w:jc w:val="center"/>
              <w:rPr>
                <w:rFonts w:hint="eastAsia" w:ascii="宋体" w:hAnsi="宋体" w:eastAsia="宋体" w:cs="宋体"/>
                <w:color w:val="auto"/>
                <w:highlight w:val="none"/>
              </w:rPr>
            </w:pPr>
          </w:p>
        </w:tc>
        <w:tc>
          <w:tcPr>
            <w:tcW w:w="1123" w:type="dxa"/>
            <w:noWrap w:val="0"/>
            <w:vAlign w:val="top"/>
          </w:tcPr>
          <w:p>
            <w:pPr>
              <w:pStyle w:val="33"/>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0" w:type="dxa"/>
            <w:noWrap w:val="0"/>
            <w:vAlign w:val="top"/>
          </w:tcPr>
          <w:p>
            <w:pPr>
              <w:pStyle w:val="33"/>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3164" w:type="dxa"/>
            <w:noWrap w:val="0"/>
            <w:vAlign w:val="center"/>
          </w:tcPr>
          <w:p>
            <w:pPr>
              <w:pStyle w:val="33"/>
              <w:jc w:val="center"/>
              <w:rPr>
                <w:rFonts w:hint="eastAsia" w:ascii="宋体" w:hAnsi="宋体" w:eastAsia="宋体" w:cs="宋体"/>
                <w:color w:val="auto"/>
                <w:highlight w:val="none"/>
              </w:rPr>
            </w:pPr>
          </w:p>
        </w:tc>
        <w:tc>
          <w:tcPr>
            <w:tcW w:w="1770" w:type="dxa"/>
            <w:noWrap w:val="0"/>
            <w:vAlign w:val="center"/>
          </w:tcPr>
          <w:p>
            <w:pPr>
              <w:pStyle w:val="33"/>
              <w:jc w:val="center"/>
              <w:rPr>
                <w:rFonts w:hint="eastAsia" w:ascii="宋体" w:hAnsi="宋体" w:eastAsia="宋体" w:cs="宋体"/>
                <w:color w:val="auto"/>
                <w:highlight w:val="none"/>
              </w:rPr>
            </w:pPr>
          </w:p>
        </w:tc>
        <w:tc>
          <w:tcPr>
            <w:tcW w:w="1550" w:type="dxa"/>
            <w:noWrap w:val="0"/>
            <w:vAlign w:val="center"/>
          </w:tcPr>
          <w:p>
            <w:pPr>
              <w:pStyle w:val="33"/>
              <w:jc w:val="center"/>
              <w:rPr>
                <w:rFonts w:hint="eastAsia" w:ascii="宋体" w:hAnsi="宋体" w:eastAsia="宋体" w:cs="宋体"/>
                <w:color w:val="auto"/>
                <w:highlight w:val="none"/>
              </w:rPr>
            </w:pPr>
          </w:p>
        </w:tc>
        <w:tc>
          <w:tcPr>
            <w:tcW w:w="1123" w:type="dxa"/>
            <w:noWrap w:val="0"/>
            <w:vAlign w:val="top"/>
          </w:tcPr>
          <w:p>
            <w:pPr>
              <w:pStyle w:val="33"/>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0" w:type="dxa"/>
            <w:noWrap w:val="0"/>
            <w:vAlign w:val="top"/>
          </w:tcPr>
          <w:p>
            <w:pPr>
              <w:pStyle w:val="33"/>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3164" w:type="dxa"/>
            <w:noWrap w:val="0"/>
            <w:vAlign w:val="center"/>
          </w:tcPr>
          <w:p>
            <w:pPr>
              <w:pStyle w:val="33"/>
              <w:jc w:val="center"/>
              <w:rPr>
                <w:rFonts w:hint="eastAsia" w:ascii="宋体" w:hAnsi="宋体" w:eastAsia="宋体" w:cs="宋体"/>
                <w:color w:val="auto"/>
                <w:highlight w:val="none"/>
              </w:rPr>
            </w:pPr>
          </w:p>
        </w:tc>
        <w:tc>
          <w:tcPr>
            <w:tcW w:w="1770" w:type="dxa"/>
            <w:noWrap w:val="0"/>
            <w:vAlign w:val="center"/>
          </w:tcPr>
          <w:p>
            <w:pPr>
              <w:pStyle w:val="33"/>
              <w:jc w:val="center"/>
              <w:rPr>
                <w:rFonts w:hint="eastAsia" w:ascii="宋体" w:hAnsi="宋体" w:eastAsia="宋体" w:cs="宋体"/>
                <w:color w:val="auto"/>
                <w:highlight w:val="none"/>
              </w:rPr>
            </w:pPr>
          </w:p>
        </w:tc>
        <w:tc>
          <w:tcPr>
            <w:tcW w:w="1550" w:type="dxa"/>
            <w:noWrap w:val="0"/>
            <w:vAlign w:val="center"/>
          </w:tcPr>
          <w:p>
            <w:pPr>
              <w:pStyle w:val="33"/>
              <w:jc w:val="center"/>
              <w:rPr>
                <w:rFonts w:hint="eastAsia" w:ascii="宋体" w:hAnsi="宋体" w:eastAsia="宋体" w:cs="宋体"/>
                <w:color w:val="auto"/>
                <w:highlight w:val="none"/>
              </w:rPr>
            </w:pPr>
          </w:p>
        </w:tc>
        <w:tc>
          <w:tcPr>
            <w:tcW w:w="1123" w:type="dxa"/>
            <w:noWrap w:val="0"/>
            <w:vAlign w:val="top"/>
          </w:tcPr>
          <w:p>
            <w:pPr>
              <w:pStyle w:val="33"/>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0" w:type="dxa"/>
            <w:noWrap w:val="0"/>
            <w:vAlign w:val="top"/>
          </w:tcPr>
          <w:p>
            <w:pPr>
              <w:pStyle w:val="33"/>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3164" w:type="dxa"/>
            <w:noWrap w:val="0"/>
            <w:vAlign w:val="center"/>
          </w:tcPr>
          <w:p>
            <w:pPr>
              <w:pStyle w:val="33"/>
              <w:jc w:val="center"/>
              <w:rPr>
                <w:rFonts w:hint="eastAsia" w:ascii="宋体" w:hAnsi="宋体" w:eastAsia="宋体" w:cs="宋体"/>
                <w:color w:val="auto"/>
                <w:highlight w:val="none"/>
              </w:rPr>
            </w:pPr>
          </w:p>
        </w:tc>
        <w:tc>
          <w:tcPr>
            <w:tcW w:w="1770" w:type="dxa"/>
            <w:noWrap w:val="0"/>
            <w:vAlign w:val="center"/>
          </w:tcPr>
          <w:p>
            <w:pPr>
              <w:pStyle w:val="33"/>
              <w:jc w:val="center"/>
              <w:rPr>
                <w:rFonts w:hint="eastAsia" w:ascii="宋体" w:hAnsi="宋体" w:eastAsia="宋体" w:cs="宋体"/>
                <w:color w:val="auto"/>
                <w:highlight w:val="none"/>
              </w:rPr>
            </w:pPr>
          </w:p>
        </w:tc>
        <w:tc>
          <w:tcPr>
            <w:tcW w:w="1550" w:type="dxa"/>
            <w:noWrap w:val="0"/>
            <w:vAlign w:val="center"/>
          </w:tcPr>
          <w:p>
            <w:pPr>
              <w:pStyle w:val="33"/>
              <w:jc w:val="center"/>
              <w:rPr>
                <w:rFonts w:hint="eastAsia" w:ascii="宋体" w:hAnsi="宋体" w:eastAsia="宋体" w:cs="宋体"/>
                <w:color w:val="auto"/>
                <w:highlight w:val="none"/>
              </w:rPr>
            </w:pPr>
          </w:p>
        </w:tc>
        <w:tc>
          <w:tcPr>
            <w:tcW w:w="1123" w:type="dxa"/>
            <w:noWrap w:val="0"/>
            <w:vAlign w:val="top"/>
          </w:tcPr>
          <w:p>
            <w:pPr>
              <w:pStyle w:val="33"/>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0" w:type="dxa"/>
            <w:noWrap w:val="0"/>
            <w:vAlign w:val="top"/>
          </w:tcPr>
          <w:p>
            <w:pPr>
              <w:pStyle w:val="33"/>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3164" w:type="dxa"/>
            <w:noWrap w:val="0"/>
            <w:vAlign w:val="center"/>
          </w:tcPr>
          <w:p>
            <w:pPr>
              <w:pStyle w:val="33"/>
              <w:jc w:val="center"/>
              <w:rPr>
                <w:rFonts w:hint="eastAsia" w:ascii="宋体" w:hAnsi="宋体" w:eastAsia="宋体" w:cs="宋体"/>
                <w:color w:val="auto"/>
                <w:highlight w:val="none"/>
              </w:rPr>
            </w:pPr>
          </w:p>
        </w:tc>
        <w:tc>
          <w:tcPr>
            <w:tcW w:w="1770" w:type="dxa"/>
            <w:noWrap w:val="0"/>
            <w:vAlign w:val="center"/>
          </w:tcPr>
          <w:p>
            <w:pPr>
              <w:pStyle w:val="33"/>
              <w:jc w:val="center"/>
              <w:rPr>
                <w:rFonts w:hint="eastAsia" w:ascii="宋体" w:hAnsi="宋体" w:eastAsia="宋体" w:cs="宋体"/>
                <w:color w:val="auto"/>
                <w:highlight w:val="none"/>
              </w:rPr>
            </w:pPr>
          </w:p>
        </w:tc>
        <w:tc>
          <w:tcPr>
            <w:tcW w:w="1550" w:type="dxa"/>
            <w:noWrap w:val="0"/>
            <w:vAlign w:val="center"/>
          </w:tcPr>
          <w:p>
            <w:pPr>
              <w:pStyle w:val="33"/>
              <w:jc w:val="center"/>
              <w:rPr>
                <w:rFonts w:hint="eastAsia" w:ascii="宋体" w:hAnsi="宋体" w:eastAsia="宋体" w:cs="宋体"/>
                <w:color w:val="auto"/>
                <w:highlight w:val="none"/>
              </w:rPr>
            </w:pPr>
          </w:p>
        </w:tc>
        <w:tc>
          <w:tcPr>
            <w:tcW w:w="1123" w:type="dxa"/>
            <w:noWrap w:val="0"/>
            <w:vAlign w:val="top"/>
          </w:tcPr>
          <w:p>
            <w:pPr>
              <w:pStyle w:val="33"/>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0" w:type="dxa"/>
            <w:noWrap w:val="0"/>
            <w:vAlign w:val="top"/>
          </w:tcPr>
          <w:p>
            <w:pPr>
              <w:pStyle w:val="33"/>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3164" w:type="dxa"/>
            <w:noWrap w:val="0"/>
            <w:vAlign w:val="center"/>
          </w:tcPr>
          <w:p>
            <w:pPr>
              <w:pStyle w:val="33"/>
              <w:jc w:val="center"/>
              <w:rPr>
                <w:rFonts w:hint="eastAsia" w:ascii="宋体" w:hAnsi="宋体" w:eastAsia="宋体" w:cs="宋体"/>
                <w:color w:val="auto"/>
                <w:highlight w:val="none"/>
              </w:rPr>
            </w:pPr>
          </w:p>
        </w:tc>
        <w:tc>
          <w:tcPr>
            <w:tcW w:w="1770" w:type="dxa"/>
            <w:noWrap w:val="0"/>
            <w:vAlign w:val="center"/>
          </w:tcPr>
          <w:p>
            <w:pPr>
              <w:pStyle w:val="33"/>
              <w:jc w:val="center"/>
              <w:rPr>
                <w:rFonts w:hint="eastAsia" w:ascii="宋体" w:hAnsi="宋体" w:eastAsia="宋体" w:cs="宋体"/>
                <w:color w:val="auto"/>
                <w:highlight w:val="none"/>
              </w:rPr>
            </w:pPr>
          </w:p>
        </w:tc>
        <w:tc>
          <w:tcPr>
            <w:tcW w:w="1550" w:type="dxa"/>
            <w:noWrap w:val="0"/>
            <w:vAlign w:val="center"/>
          </w:tcPr>
          <w:p>
            <w:pPr>
              <w:pStyle w:val="33"/>
              <w:jc w:val="center"/>
              <w:rPr>
                <w:rFonts w:hint="eastAsia" w:ascii="宋体" w:hAnsi="宋体" w:eastAsia="宋体" w:cs="宋体"/>
                <w:color w:val="auto"/>
                <w:highlight w:val="none"/>
              </w:rPr>
            </w:pPr>
          </w:p>
        </w:tc>
        <w:tc>
          <w:tcPr>
            <w:tcW w:w="1123" w:type="dxa"/>
            <w:noWrap w:val="0"/>
            <w:vAlign w:val="top"/>
          </w:tcPr>
          <w:p>
            <w:pPr>
              <w:pStyle w:val="33"/>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90" w:type="dxa"/>
            <w:noWrap w:val="0"/>
            <w:vAlign w:val="top"/>
          </w:tcPr>
          <w:p>
            <w:pPr>
              <w:pStyle w:val="33"/>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3164" w:type="dxa"/>
            <w:noWrap w:val="0"/>
            <w:vAlign w:val="center"/>
          </w:tcPr>
          <w:p>
            <w:pPr>
              <w:pStyle w:val="33"/>
              <w:jc w:val="center"/>
              <w:rPr>
                <w:rFonts w:hint="eastAsia" w:ascii="宋体" w:hAnsi="宋体" w:eastAsia="宋体" w:cs="宋体"/>
                <w:color w:val="auto"/>
                <w:highlight w:val="none"/>
              </w:rPr>
            </w:pPr>
          </w:p>
        </w:tc>
        <w:tc>
          <w:tcPr>
            <w:tcW w:w="1770" w:type="dxa"/>
            <w:noWrap w:val="0"/>
            <w:vAlign w:val="center"/>
          </w:tcPr>
          <w:p>
            <w:pPr>
              <w:pStyle w:val="33"/>
              <w:jc w:val="center"/>
              <w:rPr>
                <w:rFonts w:hint="eastAsia" w:ascii="宋体" w:hAnsi="宋体" w:eastAsia="宋体" w:cs="宋体"/>
                <w:color w:val="auto"/>
                <w:highlight w:val="none"/>
              </w:rPr>
            </w:pPr>
          </w:p>
        </w:tc>
        <w:tc>
          <w:tcPr>
            <w:tcW w:w="1550" w:type="dxa"/>
            <w:noWrap w:val="0"/>
            <w:vAlign w:val="center"/>
          </w:tcPr>
          <w:p>
            <w:pPr>
              <w:pStyle w:val="33"/>
              <w:jc w:val="center"/>
              <w:rPr>
                <w:rFonts w:hint="eastAsia" w:ascii="宋体" w:hAnsi="宋体" w:eastAsia="宋体" w:cs="宋体"/>
                <w:color w:val="auto"/>
                <w:highlight w:val="none"/>
              </w:rPr>
            </w:pPr>
          </w:p>
        </w:tc>
        <w:tc>
          <w:tcPr>
            <w:tcW w:w="1123" w:type="dxa"/>
            <w:noWrap w:val="0"/>
            <w:vAlign w:val="top"/>
          </w:tcPr>
          <w:p>
            <w:pPr>
              <w:pStyle w:val="33"/>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274" w:type="dxa"/>
            <w:gridSpan w:val="4"/>
            <w:noWrap w:val="0"/>
            <w:vAlign w:val="center"/>
          </w:tcPr>
          <w:p>
            <w:pPr>
              <w:pStyle w:val="33"/>
              <w:jc w:val="center"/>
              <w:rPr>
                <w:rFonts w:hint="eastAsia" w:eastAsia="宋体"/>
                <w:color w:val="auto"/>
                <w:highlight w:val="none"/>
                <w:lang w:eastAsia="zh-CN"/>
              </w:rPr>
            </w:pPr>
            <w:r>
              <w:rPr>
                <w:rFonts w:hint="eastAsia"/>
                <w:color w:val="auto"/>
                <w:highlight w:val="none"/>
                <w:lang w:eastAsia="zh-CN"/>
              </w:rPr>
              <w:t>单年投标价</w:t>
            </w:r>
          </w:p>
        </w:tc>
        <w:tc>
          <w:tcPr>
            <w:tcW w:w="1123" w:type="dxa"/>
            <w:noWrap w:val="0"/>
            <w:vAlign w:val="top"/>
          </w:tcPr>
          <w:p>
            <w:pPr>
              <w:pStyle w:val="33"/>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274" w:type="dxa"/>
            <w:gridSpan w:val="4"/>
            <w:noWrap w:val="0"/>
            <w:vAlign w:val="center"/>
          </w:tcPr>
          <w:p>
            <w:pPr>
              <w:pStyle w:val="33"/>
              <w:jc w:val="center"/>
              <w:rPr>
                <w:rFonts w:hint="eastAsia"/>
                <w:color w:val="auto"/>
                <w:highlight w:val="none"/>
                <w:lang w:eastAsia="zh-CN"/>
              </w:rPr>
            </w:pPr>
            <w:r>
              <w:rPr>
                <w:rFonts w:hint="eastAsia"/>
                <w:color w:val="auto"/>
                <w:highlight w:val="none"/>
                <w:lang w:eastAsia="zh-CN"/>
              </w:rPr>
              <w:t>三年投标总价</w:t>
            </w:r>
          </w:p>
        </w:tc>
        <w:tc>
          <w:tcPr>
            <w:tcW w:w="1123" w:type="dxa"/>
            <w:noWrap w:val="0"/>
            <w:vAlign w:val="top"/>
          </w:tcPr>
          <w:p>
            <w:pPr>
              <w:pStyle w:val="33"/>
              <w:rPr>
                <w:rFonts w:hint="eastAsia"/>
                <w:color w:val="auto"/>
                <w:highlight w:val="none"/>
              </w:rPr>
            </w:pPr>
          </w:p>
        </w:tc>
      </w:tr>
    </w:tbl>
    <w:p>
      <w:pPr>
        <w:rPr>
          <w:rFonts w:hint="eastAsia" w:ascii="宋体" w:hAnsi="宋体" w:eastAsia="宋体" w:cs="宋体"/>
          <w:color w:val="auto"/>
          <w:highlight w:val="none"/>
          <w:lang w:val="en-US" w:eastAsia="zh-CN"/>
        </w:rPr>
      </w:pPr>
      <w:r>
        <w:rPr>
          <w:rFonts w:hint="eastAsia" w:ascii="宋体" w:hAnsi="宋体" w:eastAsia="宋体" w:cs="宋体"/>
          <w:b w:val="0"/>
          <w:bCs/>
          <w:color w:val="auto"/>
          <w:szCs w:val="21"/>
          <w:highlight w:val="none"/>
        </w:rPr>
        <w:t>注：</w:t>
      </w: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rPr>
        <w:t>投标单位可根据实际情况自行调整表格</w:t>
      </w:r>
      <w:r>
        <w:rPr>
          <w:rFonts w:hint="eastAsia" w:ascii="宋体" w:hAnsi="宋体" w:eastAsia="宋体" w:cs="宋体"/>
          <w:b w:val="0"/>
          <w:bCs/>
          <w:color w:val="auto"/>
          <w:szCs w:val="21"/>
          <w:highlight w:val="none"/>
          <w:lang w:val="en-US" w:eastAsia="zh-CN"/>
        </w:rPr>
        <w:t>。</w:t>
      </w:r>
    </w:p>
    <w:p>
      <w:pPr>
        <w:spacing w:line="360" w:lineRule="auto"/>
        <w:ind w:firstLine="4095" w:firstLineChars="1950"/>
        <w:rPr>
          <w:rFonts w:hint="eastAsia" w:ascii="宋体" w:hAnsi="宋体" w:eastAsia="宋体" w:cs="宋体"/>
          <w:color w:val="auto"/>
          <w:highlight w:val="none"/>
        </w:rPr>
      </w:pPr>
    </w:p>
    <w:p>
      <w:pPr>
        <w:spacing w:line="360" w:lineRule="auto"/>
        <w:ind w:firstLine="4095" w:firstLineChars="1950"/>
        <w:rPr>
          <w:rFonts w:hint="eastAsia" w:ascii="宋体" w:hAnsi="宋体" w:eastAsia="宋体" w:cs="宋体"/>
          <w:color w:val="auto"/>
          <w:highlight w:val="none"/>
        </w:rPr>
      </w:pPr>
    </w:p>
    <w:p>
      <w:pPr>
        <w:spacing w:line="360" w:lineRule="auto"/>
        <w:ind w:firstLine="4095" w:firstLineChars="1950"/>
        <w:rPr>
          <w:rFonts w:hint="eastAsia" w:ascii="宋体" w:hAnsi="宋体" w:eastAsia="宋体" w:cs="宋体"/>
          <w:color w:val="auto"/>
          <w:highlight w:val="none"/>
        </w:rPr>
      </w:pPr>
      <w:r>
        <w:rPr>
          <w:rFonts w:hint="eastAsia" w:ascii="宋体" w:hAnsi="宋体" w:eastAsia="宋体" w:cs="宋体"/>
          <w:color w:val="auto"/>
          <w:highlight w:val="none"/>
        </w:rPr>
        <w:t xml:space="preserve">法定代表人或授权代表（签名或印章）：        </w:t>
      </w:r>
    </w:p>
    <w:p>
      <w:pPr>
        <w:spacing w:line="360" w:lineRule="auto"/>
        <w:ind w:firstLine="5460" w:firstLineChars="2600"/>
        <w:rPr>
          <w:rFonts w:hint="eastAsia" w:ascii="宋体" w:hAnsi="宋体" w:eastAsia="宋体" w:cs="宋体"/>
          <w:color w:val="auto"/>
          <w:highlight w:val="none"/>
        </w:rPr>
      </w:pPr>
      <w:r>
        <w:rPr>
          <w:rFonts w:hint="eastAsia" w:ascii="宋体" w:hAnsi="宋体" w:eastAsia="宋体" w:cs="宋体"/>
          <w:color w:val="auto"/>
          <w:highlight w:val="none"/>
        </w:rPr>
        <w:t xml:space="preserve">供应商盖章：         </w:t>
      </w:r>
    </w:p>
    <w:p>
      <w:pPr>
        <w:snapToGrid w:val="0"/>
        <w:ind w:right="840" w:firstLine="5880" w:firstLineChars="2800"/>
        <w:rPr>
          <w:rFonts w:hint="eastAsia" w:ascii="宋体" w:hAnsi="宋体" w:eastAsia="宋体" w:cs="宋体"/>
          <w:color w:val="auto"/>
          <w:highlight w:val="none"/>
        </w:rPr>
      </w:pPr>
      <w:r>
        <w:rPr>
          <w:rFonts w:hint="eastAsia" w:ascii="宋体" w:hAnsi="宋体" w:eastAsia="宋体" w:cs="宋体"/>
          <w:color w:val="auto"/>
          <w:highlight w:val="none"/>
        </w:rPr>
        <w:t xml:space="preserve">日  期：   </w:t>
      </w:r>
    </w:p>
    <w:p>
      <w:pPr>
        <w:pStyle w:val="2"/>
        <w:rPr>
          <w:rFonts w:hint="eastAsia" w:ascii="宋体" w:hAnsi="宋体" w:eastAsia="宋体" w:cs="宋体"/>
          <w:b/>
          <w:bCs/>
          <w:color w:val="auto"/>
          <w:highlight w:val="none"/>
          <w:lang w:bidi="ar"/>
        </w:rPr>
      </w:pPr>
    </w:p>
    <w:p>
      <w:pPr>
        <w:spacing w:line="360" w:lineRule="auto"/>
        <w:rPr>
          <w:rFonts w:hint="eastAsia"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w:t>
      </w:r>
      <w:r>
        <w:rPr>
          <w:rFonts w:hint="eastAsia" w:ascii="宋体" w:hAnsi="宋体" w:eastAsia="宋体" w:cs="宋体"/>
          <w:b/>
          <w:bCs/>
          <w:color w:val="auto"/>
          <w:szCs w:val="21"/>
          <w:highlight w:val="none"/>
          <w:lang w:val="en-US" w:eastAsia="zh-CN" w:bidi="ar"/>
        </w:rPr>
        <w:t>3</w:t>
      </w:r>
      <w:r>
        <w:rPr>
          <w:rFonts w:hint="eastAsia" w:ascii="宋体" w:hAnsi="宋体" w:eastAsia="宋体" w:cs="宋体"/>
          <w:b/>
          <w:bCs/>
          <w:color w:val="auto"/>
          <w:szCs w:val="21"/>
          <w:highlight w:val="none"/>
          <w:lang w:bidi="ar"/>
        </w:rPr>
        <w:t>）供应商针对报价需要说明的其他文件和说明（格式自拟）。</w:t>
      </w:r>
    </w:p>
    <w:p>
      <w:pPr>
        <w:snapToGrid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Cs w:val="21"/>
          <w:highlight w:val="none"/>
          <w:lang w:bidi="ar"/>
        </w:rPr>
        <w:br w:type="page"/>
      </w:r>
      <w:r>
        <w:rPr>
          <w:rFonts w:hint="eastAsia" w:ascii="宋体" w:hAnsi="宋体" w:eastAsia="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rPr>
        <w:t>、电子备份投标文件</w:t>
      </w:r>
    </w:p>
    <w:p>
      <w:pPr>
        <w:snapToGrid w:val="0"/>
        <w:spacing w:line="360" w:lineRule="auto"/>
        <w:rPr>
          <w:rFonts w:hint="eastAsia" w:ascii="宋体" w:hAnsi="宋体" w:eastAsia="宋体" w:cs="宋体"/>
          <w:b/>
          <w:color w:val="auto"/>
          <w:sz w:val="28"/>
          <w:szCs w:val="28"/>
          <w:highlight w:val="none"/>
          <w:lang w:bidi="ar"/>
        </w:rPr>
      </w:pPr>
      <w:r>
        <w:rPr>
          <w:rFonts w:hint="eastAsia" w:ascii="宋体" w:hAnsi="宋体" w:eastAsia="宋体" w:cs="宋体"/>
          <w:color w:val="auto"/>
          <w:highlight w:val="none"/>
          <w:lang w:val="en-US" w:eastAsia="zh-CN"/>
        </w:rPr>
        <w:t>1、</w:t>
      </w:r>
      <w:r>
        <w:rPr>
          <w:rFonts w:hint="eastAsia" w:ascii="宋体" w:hAnsi="宋体" w:eastAsia="宋体" w:cs="宋体"/>
          <w:color w:val="auto"/>
          <w:szCs w:val="21"/>
          <w:highlight w:val="none"/>
        </w:rPr>
        <w:t>电子备份投标文件</w:t>
      </w:r>
      <w:r>
        <w:rPr>
          <w:rFonts w:hint="eastAsia" w:ascii="宋体" w:hAnsi="宋体" w:eastAsia="宋体" w:cs="宋体"/>
          <w:color w:val="auto"/>
          <w:highlight w:val="none"/>
        </w:rPr>
        <w:t>的外包装封面格式：</w:t>
      </w:r>
    </w:p>
    <w:p>
      <w:pPr>
        <w:snapToGrid w:val="0"/>
        <w:spacing w:line="360" w:lineRule="auto"/>
        <w:ind w:firstLine="275" w:firstLineChars="98"/>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外包装格式：</w:t>
      </w:r>
    </w:p>
    <w:p>
      <w:pPr>
        <w:snapToGrid w:val="0"/>
        <w:spacing w:line="360" w:lineRule="auto"/>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电子备份投标文件</w:t>
      </w:r>
    </w:p>
    <w:p>
      <w:pPr>
        <w:snapToGrid w:val="0"/>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 xml:space="preserve">项目名称： </w:t>
      </w:r>
    </w:p>
    <w:p>
      <w:pPr>
        <w:snapToGrid w:val="0"/>
        <w:spacing w:line="360" w:lineRule="auto"/>
        <w:ind w:firstLine="1080" w:firstLineChars="45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项目编号：</w:t>
      </w:r>
    </w:p>
    <w:p>
      <w:pPr>
        <w:snapToGrid w:val="0"/>
        <w:spacing w:line="360" w:lineRule="auto"/>
        <w:ind w:firstLine="1080" w:firstLineChars="45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eastAsia="zh-CN" w:bidi="ar"/>
        </w:rPr>
        <w:t>标项</w:t>
      </w:r>
      <w:r>
        <w:rPr>
          <w:rFonts w:hint="eastAsia" w:ascii="宋体" w:hAnsi="宋体" w:eastAsia="宋体" w:cs="宋体"/>
          <w:bCs/>
          <w:color w:val="auto"/>
          <w:sz w:val="24"/>
          <w:highlight w:val="none"/>
          <w:lang w:bidi="ar"/>
        </w:rPr>
        <w:t>号：</w:t>
      </w:r>
    </w:p>
    <w:p>
      <w:pPr>
        <w:snapToGrid w:val="0"/>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供应商名称（加盖公章）：</w:t>
      </w:r>
    </w:p>
    <w:p>
      <w:pPr>
        <w:snapToGrid w:val="0"/>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供应商地址：</w:t>
      </w:r>
    </w:p>
    <w:p>
      <w:pPr>
        <w:spacing w:line="360" w:lineRule="auto"/>
        <w:rPr>
          <w:rFonts w:hint="eastAsia" w:ascii="宋体" w:hAnsi="宋体" w:eastAsia="宋体" w:cs="宋体"/>
          <w:color w:val="auto"/>
          <w:highlight w:val="none"/>
        </w:rPr>
      </w:pPr>
      <w:r>
        <w:rPr>
          <w:rFonts w:hint="eastAsia" w:ascii="宋体" w:hAnsi="宋体" w:eastAsia="宋体" w:cs="宋体"/>
          <w:bCs/>
          <w:color w:val="auto"/>
          <w:sz w:val="24"/>
          <w:highlight w:val="none"/>
          <w:lang w:bidi="ar"/>
        </w:rPr>
        <w:t xml:space="preserve">                        年  月  日</w:t>
      </w:r>
    </w:p>
    <w:p>
      <w:pPr>
        <w:pStyle w:val="187"/>
        <w:widowControl w:val="0"/>
        <w:snapToGrid w:val="0"/>
        <w:spacing w:line="500" w:lineRule="exact"/>
        <w:jc w:val="both"/>
        <w:rPr>
          <w:rFonts w:hint="eastAsia" w:ascii="宋体" w:hAnsi="宋体" w:eastAsia="宋体" w:cs="宋体"/>
          <w:b/>
          <w:bCs/>
          <w:color w:val="auto"/>
          <w:highlight w:val="none"/>
          <w:lang w:val="en-US" w:eastAsia="zh-CN"/>
        </w:rPr>
        <w:sectPr>
          <w:pgSz w:w="11906" w:h="16838"/>
          <w:pgMar w:top="1474" w:right="1797" w:bottom="1247" w:left="1797" w:header="851" w:footer="851" w:gutter="0"/>
          <w:pgNumType w:fmt="decimal"/>
          <w:cols w:space="720" w:num="1"/>
          <w:docGrid w:linePitch="312" w:charSpace="0"/>
        </w:sectPr>
      </w:pPr>
    </w:p>
    <w:p>
      <w:pPr>
        <w:pStyle w:val="187"/>
        <w:widowControl w:val="0"/>
        <w:snapToGrid w:val="0"/>
        <w:spacing w:line="500" w:lineRule="exact"/>
        <w:jc w:val="both"/>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附件：</w:t>
      </w:r>
      <w:r>
        <w:rPr>
          <w:rFonts w:hint="eastAsia" w:ascii="宋体" w:hAnsi="宋体" w:eastAsia="宋体" w:cs="宋体"/>
          <w:b/>
          <w:bCs/>
          <w:color w:val="auto"/>
          <w:szCs w:val="21"/>
          <w:highlight w:val="none"/>
        </w:rPr>
        <w:t>请各位</w:t>
      </w:r>
      <w:r>
        <w:rPr>
          <w:rFonts w:hint="eastAsia" w:ascii="宋体" w:hAnsi="宋体" w:eastAsia="宋体" w:cs="宋体"/>
          <w:b/>
          <w:bCs/>
          <w:color w:val="auto"/>
          <w:szCs w:val="21"/>
          <w:highlight w:val="none"/>
          <w:lang w:val="en-US" w:eastAsia="zh-CN"/>
        </w:rPr>
        <w:t>供应商</w:t>
      </w:r>
      <w:r>
        <w:rPr>
          <w:rFonts w:hint="eastAsia" w:ascii="宋体" w:hAnsi="宋体" w:eastAsia="宋体" w:cs="宋体"/>
          <w:b/>
          <w:bCs/>
          <w:color w:val="auto"/>
          <w:szCs w:val="21"/>
          <w:highlight w:val="none"/>
        </w:rPr>
        <w:t>认真填写</w:t>
      </w:r>
      <w:r>
        <w:rPr>
          <w:rFonts w:hint="eastAsia" w:ascii="宋体" w:hAnsi="宋体" w:eastAsia="宋体" w:cs="宋体"/>
          <w:b/>
          <w:bCs/>
          <w:color w:val="auto"/>
          <w:szCs w:val="21"/>
          <w:highlight w:val="none"/>
          <w:lang w:val="en-US" w:eastAsia="zh-CN"/>
        </w:rPr>
        <w:t>下表，于投标截止时间后按采购代理公司规定要求单独递交</w:t>
      </w:r>
      <w:r>
        <w:rPr>
          <w:rFonts w:hint="eastAsia" w:ascii="宋体" w:hAnsi="宋体" w:eastAsia="宋体" w:cs="宋体"/>
          <w:b/>
          <w:bCs/>
          <w:color w:val="auto"/>
          <w:szCs w:val="21"/>
          <w:highlight w:val="none"/>
        </w:rPr>
        <w:t>。</w:t>
      </w:r>
    </w:p>
    <w:p>
      <w:pPr>
        <w:pStyle w:val="187"/>
        <w:widowControl w:val="0"/>
        <w:snapToGrid w:val="0"/>
        <w:spacing w:line="50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政府采购活动现场确认声明书</w:t>
      </w:r>
    </w:p>
    <w:p>
      <w:pPr>
        <w:pStyle w:val="187"/>
        <w:widowControl w:val="0"/>
        <w:snapToGrid w:val="0"/>
        <w:spacing w:line="440" w:lineRule="exact"/>
        <w:jc w:val="both"/>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hAnsi="宋体" w:cs="宋体"/>
          <w:color w:val="auto"/>
          <w:kern w:val="0"/>
          <w:sz w:val="24"/>
          <w:szCs w:val="24"/>
          <w:highlight w:val="none"/>
          <w:lang w:eastAsia="zh-CN"/>
        </w:rPr>
        <w:t>浙江中基正采管理咨询有限公司</w:t>
      </w:r>
      <w:r>
        <w:rPr>
          <w:rFonts w:hint="eastAsia" w:ascii="宋体" w:hAnsi="宋体" w:eastAsia="宋体" w:cs="宋体"/>
          <w:color w:val="auto"/>
          <w:kern w:val="0"/>
          <w:sz w:val="24"/>
          <w:szCs w:val="24"/>
          <w:highlight w:val="none"/>
        </w:rPr>
        <w:t>：</w:t>
      </w:r>
    </w:p>
    <w:p>
      <w:pPr>
        <w:pStyle w:val="187"/>
        <w:widowControl w:val="0"/>
        <w:snapToGrid w:val="0"/>
        <w:spacing w:line="440" w:lineRule="exact"/>
        <w:ind w:firstLine="504"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（授权代表姓名），经由</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（单位）</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（法定代表人姓名）合法授权参加</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（编号：</w:t>
      </w:r>
      <w:r>
        <w:rPr>
          <w:rFonts w:hint="eastAsia" w:ascii="宋体" w:hAnsi="宋体" w:eastAsia="宋体" w:cs="宋体"/>
          <w:color w:val="auto"/>
          <w:sz w:val="24"/>
          <w:szCs w:val="24"/>
          <w:highlight w:val="none"/>
          <w:u w:val="single"/>
        </w:rPr>
        <w:t>CB</w:t>
      </w:r>
      <w:r>
        <w:rPr>
          <w:rFonts w:hint="eastAsia" w:hAnsi="宋体" w:cs="宋体"/>
          <w:color w:val="auto"/>
          <w:sz w:val="24"/>
          <w:szCs w:val="24"/>
          <w:highlight w:val="none"/>
          <w:u w:val="single"/>
          <w:lang w:val="en-US" w:eastAsia="zh-CN"/>
        </w:rPr>
        <w:t>ZJ</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6"/>
          <w:sz w:val="24"/>
          <w:szCs w:val="24"/>
          <w:highlight w:val="none"/>
          <w:u w:val="single"/>
        </w:rPr>
        <w:t>）</w:t>
      </w:r>
      <w:r>
        <w:rPr>
          <w:rFonts w:hint="eastAsia" w:ascii="宋体" w:hAnsi="宋体" w:eastAsia="宋体" w:cs="宋体"/>
          <w:color w:val="auto"/>
          <w:spacing w:val="6"/>
          <w:sz w:val="24"/>
          <w:szCs w:val="24"/>
          <w:highlight w:val="none"/>
        </w:rPr>
        <w:t xml:space="preserve">政府采购活动，经与本单位法人代表（负责人）联系确认，现就有关公平竞争事项郑重声明如下： </w:t>
      </w:r>
    </w:p>
    <w:p>
      <w:pPr>
        <w:pStyle w:val="150"/>
        <w:widowControl/>
        <w:numPr>
          <w:ilvl w:val="0"/>
          <w:numId w:val="21"/>
        </w:numPr>
        <w:snapToGrid w:val="0"/>
        <w:spacing w:line="440" w:lineRule="exact"/>
        <w:ind w:firstLine="453" w:firstLineChars="18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本单位与采购人之间 □不存在利害关系 □存在下列利害关系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pStyle w:val="150"/>
        <w:widowControl/>
        <w:snapToGrid w:val="0"/>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A.投资关系    B.行政隶属关系    C.业务指导关系</w:t>
      </w:r>
    </w:p>
    <w:p>
      <w:pPr>
        <w:pStyle w:val="150"/>
        <w:widowControl/>
        <w:snapToGrid w:val="0"/>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D.其他可能</w:t>
      </w:r>
      <w:r>
        <w:rPr>
          <w:rFonts w:hint="eastAsia" w:ascii="宋体" w:hAnsi="宋体" w:eastAsia="宋体" w:cs="宋体"/>
          <w:color w:val="auto"/>
          <w:sz w:val="24"/>
          <w:szCs w:val="24"/>
          <w:highlight w:val="none"/>
        </w:rPr>
        <w:t>影响采购公正的</w:t>
      </w:r>
      <w:r>
        <w:rPr>
          <w:rFonts w:hint="eastAsia" w:ascii="宋体" w:hAnsi="宋体" w:eastAsia="宋体" w:cs="宋体"/>
          <w:color w:val="auto"/>
          <w:kern w:val="0"/>
          <w:sz w:val="24"/>
          <w:szCs w:val="24"/>
          <w:highlight w:val="none"/>
        </w:rPr>
        <w:t xml:space="preserve">利害关系（如有，请如实说明）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pStyle w:val="150"/>
        <w:widowControl/>
        <w:numPr>
          <w:ilvl w:val="0"/>
          <w:numId w:val="21"/>
        </w:numPr>
        <w:snapToGrid w:val="0"/>
        <w:spacing w:line="440" w:lineRule="exact"/>
        <w:ind w:firstLine="453" w:firstLineChars="18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现已清楚知道参加本项目采购活动的其他所有供应商名称，本单位 □与其他所有供应商之间均不存在利害关系 □与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（供应商名称）之间存在下列利害关系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pStyle w:val="187"/>
        <w:widowControl w:val="0"/>
        <w:snapToGrid w:val="0"/>
        <w:spacing w:line="440" w:lineRule="exact"/>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A.法定代表人或负责人或实际控制人是同一人</w:t>
      </w:r>
    </w:p>
    <w:p>
      <w:pPr>
        <w:pStyle w:val="187"/>
        <w:widowControl w:val="0"/>
        <w:snapToGrid w:val="0"/>
        <w:spacing w:line="440" w:lineRule="exact"/>
        <w:jc w:val="both"/>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B.法定代表人或负责人或实际控制人是夫妻关系</w:t>
      </w:r>
    </w:p>
    <w:p>
      <w:pPr>
        <w:pStyle w:val="187"/>
        <w:widowControl w:val="0"/>
        <w:snapToGrid w:val="0"/>
        <w:spacing w:line="440" w:lineRule="exact"/>
        <w:jc w:val="both"/>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C.法定代表人或负责人或实际控制人是直系血亲关系</w:t>
      </w:r>
    </w:p>
    <w:p>
      <w:pPr>
        <w:pStyle w:val="187"/>
        <w:widowControl w:val="0"/>
        <w:snapToGrid w:val="0"/>
        <w:spacing w:line="440" w:lineRule="exact"/>
        <w:jc w:val="both"/>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D.法定代表人或负责人或实际控制人存在三代以内旁系血亲关系</w:t>
      </w:r>
    </w:p>
    <w:p>
      <w:pPr>
        <w:pStyle w:val="187"/>
        <w:widowControl w:val="0"/>
        <w:snapToGrid w:val="0"/>
        <w:spacing w:line="440" w:lineRule="exact"/>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E.法定代表人或负责人或实际控制人存在近姻亲关系</w:t>
      </w:r>
    </w:p>
    <w:p>
      <w:pPr>
        <w:pStyle w:val="187"/>
        <w:widowControl w:val="0"/>
        <w:snapToGrid w:val="0"/>
        <w:spacing w:line="440" w:lineRule="exact"/>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F.法定代表人或负责人或实际控制人存在股份控制或实际控制关系</w:t>
      </w:r>
    </w:p>
    <w:p>
      <w:pPr>
        <w:pStyle w:val="187"/>
        <w:widowControl w:val="0"/>
        <w:snapToGrid w:val="0"/>
        <w:spacing w:line="440" w:lineRule="exact"/>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G.存在共同直接或间接投资设立子公司、联营企业和合营企业情况</w:t>
      </w:r>
    </w:p>
    <w:p>
      <w:pPr>
        <w:pStyle w:val="187"/>
        <w:widowControl w:val="0"/>
        <w:snapToGrid w:val="0"/>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H.存在分级代理或代销关系、同一生产制造商关系、</w:t>
      </w:r>
      <w:r>
        <w:rPr>
          <w:rFonts w:hint="eastAsia" w:ascii="宋体" w:hAnsi="宋体" w:eastAsia="宋体" w:cs="宋体"/>
          <w:color w:val="auto"/>
          <w:sz w:val="24"/>
          <w:szCs w:val="24"/>
          <w:highlight w:val="none"/>
        </w:rPr>
        <w:t>管理关系、重要业务（占主营业务收入50%以上）或重要财务往来关系（如融资）等其他实质性控制关系</w:t>
      </w:r>
    </w:p>
    <w:p>
      <w:pPr>
        <w:pStyle w:val="187"/>
        <w:widowControl w:val="0"/>
        <w:snapToGrid w:val="0"/>
        <w:spacing w:line="440" w:lineRule="exact"/>
        <w:jc w:val="both"/>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 xml:space="preserve">  I</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其他利害关系情况</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pPr>
        <w:pStyle w:val="150"/>
        <w:widowControl/>
        <w:numPr>
          <w:ilvl w:val="0"/>
          <w:numId w:val="22"/>
        </w:numPr>
        <w:snapToGrid w:val="0"/>
        <w:spacing w:line="440" w:lineRule="exact"/>
        <w:ind w:firstLine="453" w:firstLineChars="18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现已清楚知道并</w:t>
      </w:r>
      <w:r>
        <w:rPr>
          <w:rFonts w:hint="eastAsia" w:ascii="宋体" w:hAnsi="宋体" w:eastAsia="宋体" w:cs="宋体"/>
          <w:color w:val="auto"/>
          <w:kern w:val="0"/>
          <w:sz w:val="24"/>
          <w:szCs w:val="24"/>
          <w:highlight w:val="none"/>
        </w:rPr>
        <w:t>严格遵守政府采购法律法规和现场纪律。</w:t>
      </w:r>
    </w:p>
    <w:p>
      <w:pPr>
        <w:pStyle w:val="150"/>
        <w:widowControl/>
        <w:numPr>
          <w:ilvl w:val="0"/>
          <w:numId w:val="22"/>
        </w:numPr>
        <w:snapToGrid w:val="0"/>
        <w:spacing w:line="440" w:lineRule="exact"/>
        <w:ind w:firstLine="453" w:firstLineChars="18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我发现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供应商之间存在或可能存在上述第二条第</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项利害关系。</w:t>
      </w:r>
    </w:p>
    <w:p>
      <w:pPr>
        <w:pStyle w:val="150"/>
        <w:widowControl/>
        <w:numPr>
          <w:ilvl w:val="0"/>
          <w:numId w:val="22"/>
        </w:numPr>
        <w:snapToGrid w:val="0"/>
        <w:spacing w:line="440" w:lineRule="exact"/>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经检查确认所有投标人投标文件 □ 不存在密封包装问题□存在密封包装问题（具体指出）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pStyle w:val="187"/>
        <w:widowControl w:val="0"/>
        <w:snapToGrid w:val="0"/>
        <w:spacing w:line="44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（供应商代表签名）：</w:t>
      </w:r>
    </w:p>
    <w:p>
      <w:pPr>
        <w:pStyle w:val="187"/>
        <w:widowControl w:val="0"/>
        <w:snapToGrid w:val="0"/>
        <w:spacing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20</w:t>
      </w:r>
      <w:r>
        <w:rPr>
          <w:rFonts w:hint="eastAsia" w:ascii="宋体" w:hAnsi="宋体" w:eastAsia="宋体" w:cs="宋体"/>
          <w:color w:val="auto"/>
          <w:sz w:val="24"/>
          <w:szCs w:val="24"/>
          <w:highlight w:val="none"/>
          <w:lang w:val="en-US" w:eastAsia="zh-CN"/>
        </w:rPr>
        <w:t>2</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spacing w:line="360" w:lineRule="auto"/>
        <w:rPr>
          <w:rFonts w:hint="eastAsia" w:ascii="宋体" w:hAnsi="宋体" w:eastAsia="宋体" w:cs="宋体"/>
          <w:color w:val="auto"/>
          <w:highlight w:val="none"/>
        </w:rPr>
      </w:pPr>
    </w:p>
    <w:sectPr>
      <w:footerReference r:id="rId6" w:type="default"/>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华文细黑">
    <w:panose1 w:val="02010600040101010101"/>
    <w:charset w:val="86"/>
    <w:family w:val="auto"/>
    <w:pitch w:val="default"/>
    <w:sig w:usb0="00000287" w:usb1="080F0000" w:usb2="00000000" w:usb3="00000000" w:csb0="0004009F" w:csb1="DFD70000"/>
  </w:font>
  <w:font w:name="Helvetica">
    <w:panose1 w:val="020B0604020202020204"/>
    <w:charset w:val="00"/>
    <w:family w:val="swiss"/>
    <w:pitch w:val="default"/>
    <w:sig w:usb0="00000000" w:usb1="00000000" w:usb2="00000000" w:usb3="00000000" w:csb0="00000000" w:csb1="00000000"/>
  </w:font>
  <w:font w:name="Thorndale">
    <w:altName w:val="Times New Roman"/>
    <w:panose1 w:val="00000000000000000000"/>
    <w:charset w:val="00"/>
    <w:family w:val="roman"/>
    <w:pitch w:val="default"/>
    <w:sig w:usb0="00000000" w:usb1="00000000" w:usb2="00000000" w:usb3="00000000" w:csb0="00040001" w:csb1="00000000"/>
  </w:font>
  <w:font w:name="HG Mincho Light J">
    <w:altName w:val="Times New Roman"/>
    <w:panose1 w:val="00000000000000000000"/>
    <w:charset w:val="00"/>
    <w:family w:val="auto"/>
    <w:pitch w:val="default"/>
    <w:sig w:usb0="00000000" w:usb1="00000000" w:usb2="00000000" w:usb3="00000000" w:csb0="0004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长城仿宋">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8ep1A5gEA&#10;AMgDAAAOAAAAAAAAAAEAIAAAACIBAABkcnMvZTJvRG9jLnhtbFBLBQYAAAAABgAGAFkBAAB6BQAA&#10;AAA=&#10;">
              <v:fill on="f" focussize="0,0"/>
              <v:stroke on="f" weight="1.2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80</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aR8W45gEA&#10;AMgDAAAOAAAAAAAAAAEAIAAAACIBAABkcnMvZTJvRG9jLnhtbFBLBQYAAAAABgAGAFkBAAB6BQAA&#10;AAA=&#10;">
              <v:fill on="f" focussize="0,0"/>
              <v:stroke on="f" weight="1.2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281E8"/>
    <w:multiLevelType w:val="singleLevel"/>
    <w:tmpl w:val="81A281E8"/>
    <w:lvl w:ilvl="0" w:tentative="0">
      <w:start w:val="1"/>
      <w:numFmt w:val="decimal"/>
      <w:suff w:val="nothing"/>
      <w:lvlText w:val="（%1）"/>
      <w:lvlJc w:val="left"/>
    </w:lvl>
  </w:abstractNum>
  <w:abstractNum w:abstractNumId="1">
    <w:nsid w:val="C1BB2992"/>
    <w:multiLevelType w:val="multilevel"/>
    <w:tmpl w:val="C1BB2992"/>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FAEDB828"/>
    <w:multiLevelType w:val="singleLevel"/>
    <w:tmpl w:val="FAEDB828"/>
    <w:lvl w:ilvl="0" w:tentative="0">
      <w:start w:val="1"/>
      <w:numFmt w:val="decimal"/>
      <w:suff w:val="nothing"/>
      <w:lvlText w:val="（%1）"/>
      <w:lvlJc w:val="left"/>
    </w:lvl>
  </w:abstractNum>
  <w:abstractNum w:abstractNumId="3">
    <w:nsid w:val="00000008"/>
    <w:multiLevelType w:val="multilevel"/>
    <w:tmpl w:val="00000008"/>
    <w:lvl w:ilvl="0" w:tentative="0">
      <w:start w:val="1"/>
      <w:numFmt w:val="japaneseCounting"/>
      <w:lvlText w:val="第%1章"/>
      <w:lvlJc w:val="left"/>
      <w:pPr>
        <w:tabs>
          <w:tab w:val="left" w:pos="1200"/>
        </w:tabs>
        <w:ind w:left="1200" w:hanging="1200"/>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67"/>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1"/>
    <w:multiLevelType w:val="multilevel"/>
    <w:tmpl w:val="00000011"/>
    <w:lvl w:ilvl="0" w:tentative="0">
      <w:start w:val="1"/>
      <w:numFmt w:val="decimal"/>
      <w:pStyle w:val="159"/>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14"/>
    <w:multiLevelType w:val="singleLevel"/>
    <w:tmpl w:val="00000014"/>
    <w:lvl w:ilvl="0" w:tentative="0">
      <w:start w:val="5"/>
      <w:numFmt w:val="chineseCounting"/>
      <w:suff w:val="nothing"/>
      <w:lvlText w:val="%1、"/>
      <w:lvlJc w:val="left"/>
    </w:lvl>
  </w:abstractNum>
  <w:abstractNum w:abstractNumId="6">
    <w:nsid w:val="00000017"/>
    <w:multiLevelType w:val="multilevel"/>
    <w:tmpl w:val="00000017"/>
    <w:lvl w:ilvl="0" w:tentative="0">
      <w:start w:val="1"/>
      <w:numFmt w:val="decimal"/>
      <w:lvlText w:val="(%1)"/>
      <w:lvlJc w:val="left"/>
      <w:pPr>
        <w:tabs>
          <w:tab w:val="left" w:pos="660"/>
        </w:tabs>
        <w:ind w:left="660" w:hanging="480"/>
      </w:pPr>
      <w:rPr>
        <w:rFonts w:cs="Times New Roman"/>
      </w:rPr>
    </w:lvl>
    <w:lvl w:ilvl="1" w:tentative="0">
      <w:start w:val="1"/>
      <w:numFmt w:val="decimal"/>
      <w:pStyle w:val="147"/>
      <w:lvlText w:val="%2、"/>
      <w:lvlJc w:val="left"/>
      <w:pPr>
        <w:tabs>
          <w:tab w:val="left" w:pos="1080"/>
        </w:tabs>
        <w:ind w:left="1080" w:hanging="360"/>
      </w:pPr>
      <w:rPr>
        <w:rFonts w:cs="Times New Roman"/>
      </w:rPr>
    </w:lvl>
    <w:lvl w:ilvl="2" w:tentative="0">
      <w:start w:val="3"/>
      <w:numFmt w:val="japaneseCounting"/>
      <w:lvlText w:val="（%3）"/>
      <w:lvlJc w:val="left"/>
      <w:pPr>
        <w:tabs>
          <w:tab w:val="left" w:pos="1800"/>
        </w:tabs>
        <w:ind w:left="1800" w:hanging="720"/>
      </w:pPr>
      <w:rPr>
        <w:rFonts w:cs="Times New Roman"/>
        <w:color w:val="FF0000"/>
      </w:rPr>
    </w:lvl>
    <w:lvl w:ilvl="3" w:tentative="0">
      <w:start w:val="1"/>
      <w:numFmt w:val="decimal"/>
      <w:lvlText w:val="%4."/>
      <w:lvlJc w:val="left"/>
      <w:pPr>
        <w:tabs>
          <w:tab w:val="left" w:pos="1920"/>
        </w:tabs>
        <w:ind w:left="1920" w:hanging="420"/>
      </w:pPr>
      <w:rPr>
        <w:rFonts w:cs="Times New Roman"/>
      </w:rPr>
    </w:lvl>
    <w:lvl w:ilvl="4" w:tentative="0">
      <w:start w:val="1"/>
      <w:numFmt w:val="lowerLetter"/>
      <w:lvlText w:val="%5)"/>
      <w:lvlJc w:val="left"/>
      <w:pPr>
        <w:tabs>
          <w:tab w:val="left" w:pos="2340"/>
        </w:tabs>
        <w:ind w:left="2340" w:hanging="420"/>
      </w:pPr>
      <w:rPr>
        <w:rFonts w:cs="Times New Roman"/>
      </w:rPr>
    </w:lvl>
    <w:lvl w:ilvl="5" w:tentative="0">
      <w:start w:val="1"/>
      <w:numFmt w:val="lowerRoman"/>
      <w:lvlText w:val="%6."/>
      <w:lvlJc w:val="right"/>
      <w:pPr>
        <w:tabs>
          <w:tab w:val="left" w:pos="2760"/>
        </w:tabs>
        <w:ind w:left="2760" w:hanging="420"/>
      </w:pPr>
      <w:rPr>
        <w:rFonts w:cs="Times New Roman"/>
      </w:rPr>
    </w:lvl>
    <w:lvl w:ilvl="6" w:tentative="0">
      <w:start w:val="1"/>
      <w:numFmt w:val="decimal"/>
      <w:lvlText w:val="%7."/>
      <w:lvlJc w:val="left"/>
      <w:pPr>
        <w:tabs>
          <w:tab w:val="left" w:pos="3180"/>
        </w:tabs>
        <w:ind w:left="3180" w:hanging="420"/>
      </w:pPr>
      <w:rPr>
        <w:rFonts w:cs="Times New Roman"/>
      </w:rPr>
    </w:lvl>
    <w:lvl w:ilvl="7" w:tentative="0">
      <w:start w:val="1"/>
      <w:numFmt w:val="lowerLetter"/>
      <w:lvlText w:val="%8)"/>
      <w:lvlJc w:val="left"/>
      <w:pPr>
        <w:tabs>
          <w:tab w:val="left" w:pos="3600"/>
        </w:tabs>
        <w:ind w:left="3600" w:hanging="420"/>
      </w:pPr>
      <w:rPr>
        <w:rFonts w:cs="Times New Roman"/>
      </w:rPr>
    </w:lvl>
    <w:lvl w:ilvl="8" w:tentative="0">
      <w:start w:val="1"/>
      <w:numFmt w:val="lowerRoman"/>
      <w:lvlText w:val="%9."/>
      <w:lvlJc w:val="right"/>
      <w:pPr>
        <w:tabs>
          <w:tab w:val="left" w:pos="4020"/>
        </w:tabs>
        <w:ind w:left="4020" w:hanging="420"/>
      </w:pPr>
      <w:rPr>
        <w:rFonts w:cs="Times New Roman"/>
      </w:rPr>
    </w:lvl>
  </w:abstractNum>
  <w:abstractNum w:abstractNumId="7">
    <w:nsid w:val="00000020"/>
    <w:multiLevelType w:val="singleLevel"/>
    <w:tmpl w:val="00000020"/>
    <w:lvl w:ilvl="0" w:tentative="0">
      <w:start w:val="1"/>
      <w:numFmt w:val="chineseCounting"/>
      <w:suff w:val="nothing"/>
      <w:lvlText w:val="（%1）"/>
      <w:lvlJc w:val="left"/>
    </w:lvl>
  </w:abstractNum>
  <w:abstractNum w:abstractNumId="8">
    <w:nsid w:val="00000022"/>
    <w:multiLevelType w:val="multilevel"/>
    <w:tmpl w:val="00000022"/>
    <w:lvl w:ilvl="0" w:tentative="0">
      <w:start w:val="1"/>
      <w:numFmt w:val="decimal"/>
      <w:pStyle w:val="22"/>
      <w:lvlText w:val="%1."/>
      <w:lvlJc w:val="left"/>
      <w:pPr>
        <w:tabs>
          <w:tab w:val="left" w:pos="1200"/>
        </w:tabs>
        <w:ind w:left="1200" w:hanging="360"/>
      </w:p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9">
    <w:nsid w:val="00000023"/>
    <w:multiLevelType w:val="singleLevel"/>
    <w:tmpl w:val="00000023"/>
    <w:lvl w:ilvl="0" w:tentative="0">
      <w:start w:val="1"/>
      <w:numFmt w:val="decimal"/>
      <w:lvlText w:val="%1."/>
      <w:lvlJc w:val="left"/>
      <w:pPr>
        <w:tabs>
          <w:tab w:val="left" w:pos="312"/>
        </w:tabs>
      </w:pPr>
    </w:lvl>
  </w:abstractNum>
  <w:abstractNum w:abstractNumId="10">
    <w:nsid w:val="00000024"/>
    <w:multiLevelType w:val="multilevel"/>
    <w:tmpl w:val="00000024"/>
    <w:lvl w:ilvl="0" w:tentative="0">
      <w:start w:val="1"/>
      <w:numFmt w:val="decimal"/>
      <w:pStyle w:val="183"/>
      <w:suff w:val="nothing"/>
      <w:lvlText w:val="%1　"/>
      <w:lvlJc w:val="left"/>
      <w:pPr>
        <w:tabs>
          <w:tab w:val="left" w:pos="0"/>
        </w:tabs>
        <w:ind w:left="105" w:firstLine="0"/>
      </w:pPr>
      <w:rPr>
        <w:rFonts w:ascii="Times New Roman" w:hAnsi="Times New Roman" w:cs="Times New Roman"/>
        <w:b w:val="0"/>
        <w:bCs w:val="0"/>
        <w:iCs w:val="0"/>
        <w:caps w:val="0"/>
        <w:strike w:val="0"/>
        <w:dstrike w:val="0"/>
        <w:outline w:val="0"/>
        <w:vanish w:val="0"/>
        <w:color w:val="000000"/>
        <w:spacing w:val="0"/>
        <w:w w:val="0"/>
        <w:kern w:val="0"/>
        <w:position w:val="0"/>
        <w:szCs w:val="0"/>
        <w:u w:val="none"/>
      </w:rPr>
    </w:lvl>
    <w:lvl w:ilvl="1" w:tentative="0">
      <w:start w:val="1"/>
      <w:numFmt w:val="decimal"/>
      <w:suff w:val="nothing"/>
      <w:lvlText w:val="%1.%2　"/>
      <w:lvlJc w:val="left"/>
      <w:pPr>
        <w:tabs>
          <w:tab w:val="left" w:pos="0"/>
        </w:tabs>
        <w:ind w:left="0" w:firstLine="0"/>
      </w:pPr>
      <w:rPr>
        <w:rFonts w:ascii="Times New Roman" w:hAnsi="Times New Roman" w:cs="Times New Roman"/>
        <w:b w:val="0"/>
        <w:bCs w:val="0"/>
        <w:iCs w:val="0"/>
        <w:caps w:val="0"/>
        <w:strike w:val="0"/>
        <w:dstrike w:val="0"/>
        <w:outline w:val="0"/>
        <w:vanish w:val="0"/>
        <w:color w:val="000000"/>
        <w:spacing w:val="0"/>
        <w:w w:val="0"/>
        <w:kern w:val="0"/>
        <w:position w:val="0"/>
        <w:szCs w:val="0"/>
        <w:u w:val="none"/>
      </w:rPr>
    </w:lvl>
    <w:lvl w:ilvl="2" w:tentative="0">
      <w:start w:val="1"/>
      <w:numFmt w:val="decimal"/>
      <w:suff w:val="nothing"/>
      <w:lvlText w:val="%1.%2.%3　"/>
      <w:lvlJc w:val="left"/>
      <w:pPr>
        <w:tabs>
          <w:tab w:val="left" w:pos="0"/>
        </w:tabs>
        <w:ind w:left="1985" w:hanging="1985"/>
      </w:pPr>
      <w:rPr>
        <w:rFonts w:hint="eastAsia" w:ascii="黑体" w:hAnsi="Times New Roman" w:eastAsia="黑体" w:cs="黑体"/>
        <w:b w:val="0"/>
        <w:sz w:val="21"/>
      </w:rPr>
    </w:lvl>
    <w:lvl w:ilvl="3" w:tentative="0">
      <w:start w:val="1"/>
      <w:numFmt w:val="decimal"/>
      <w:suff w:val="nothing"/>
      <w:lvlText w:val="%1.%2.%3.%4　"/>
      <w:lvlJc w:val="left"/>
      <w:pPr>
        <w:tabs>
          <w:tab w:val="left" w:pos="0"/>
        </w:tabs>
        <w:ind w:left="0" w:firstLine="0"/>
      </w:pPr>
      <w:rPr>
        <w:rFonts w:hint="eastAsia" w:ascii="黑体" w:hAnsi="Times New Roman" w:eastAsia="黑体" w:cs="黑体"/>
        <w:b w:val="0"/>
        <w:sz w:val="21"/>
      </w:rPr>
    </w:lvl>
    <w:lvl w:ilvl="4" w:tentative="0">
      <w:start w:val="1"/>
      <w:numFmt w:val="decimal"/>
      <w:suff w:val="nothing"/>
      <w:lvlText w:val="%1.%2.%3.%4.%5　"/>
      <w:lvlJc w:val="left"/>
      <w:pPr>
        <w:tabs>
          <w:tab w:val="left" w:pos="0"/>
        </w:tabs>
        <w:ind w:left="0" w:firstLine="0"/>
      </w:pPr>
      <w:rPr>
        <w:rFonts w:hint="eastAsia" w:ascii="黑体" w:hAnsi="Times New Roman" w:eastAsia="黑体" w:cs="黑体"/>
        <w:b w:val="0"/>
        <w:sz w:val="21"/>
      </w:rPr>
    </w:lvl>
    <w:lvl w:ilvl="5" w:tentative="0">
      <w:start w:val="1"/>
      <w:numFmt w:val="decimal"/>
      <w:suff w:val="nothing"/>
      <w:lvlText w:val="%1.%2.%3.%4.%5.%6　"/>
      <w:lvlJc w:val="left"/>
      <w:pPr>
        <w:tabs>
          <w:tab w:val="left" w:pos="0"/>
        </w:tabs>
        <w:ind w:left="0" w:firstLine="0"/>
      </w:pPr>
      <w:rPr>
        <w:rFonts w:hint="eastAsia" w:ascii="黑体" w:hAnsi="Times New Roman" w:eastAsia="黑体" w:cs="黑体"/>
        <w:b w:val="0"/>
        <w:sz w:val="21"/>
      </w:rPr>
    </w:lvl>
    <w:lvl w:ilvl="6" w:tentative="0">
      <w:start w:val="1"/>
      <w:numFmt w:val="decimal"/>
      <w:suff w:val="nothing"/>
      <w:lvlText w:val="%1%2.%3.%4.%5.%6.%7　"/>
      <w:lvlJc w:val="left"/>
      <w:pPr>
        <w:tabs>
          <w:tab w:val="left" w:pos="0"/>
        </w:tabs>
        <w:ind w:left="0" w:firstLine="0"/>
      </w:pPr>
      <w:rPr>
        <w:rFonts w:hint="eastAsia" w:ascii="黑体" w:hAnsi="Times New Roman" w:eastAsia="黑体" w:cs="黑体"/>
        <w:b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11">
    <w:nsid w:val="00000025"/>
    <w:multiLevelType w:val="singleLevel"/>
    <w:tmpl w:val="00000025"/>
    <w:lvl w:ilvl="0" w:tentative="0">
      <w:start w:val="1"/>
      <w:numFmt w:val="decimal"/>
      <w:suff w:val="nothing"/>
      <w:lvlText w:val="（%1）"/>
      <w:lvlJc w:val="left"/>
    </w:lvl>
  </w:abstractNum>
  <w:abstractNum w:abstractNumId="12">
    <w:nsid w:val="15AE74FA"/>
    <w:multiLevelType w:val="singleLevel"/>
    <w:tmpl w:val="15AE74FA"/>
    <w:lvl w:ilvl="0" w:tentative="0">
      <w:start w:val="1"/>
      <w:numFmt w:val="decimal"/>
      <w:suff w:val="nothing"/>
      <w:lvlText w:val="（%1）"/>
      <w:lvlJc w:val="left"/>
      <w:rPr>
        <w:rFonts w:hint="default"/>
        <w:b w:val="0"/>
        <w:bCs w:val="0"/>
      </w:rPr>
    </w:lvl>
  </w:abstractNum>
  <w:abstractNum w:abstractNumId="13">
    <w:nsid w:val="27B78F41"/>
    <w:multiLevelType w:val="multilevel"/>
    <w:tmpl w:val="27B78F41"/>
    <w:lvl w:ilvl="0" w:tentative="0">
      <w:start w:val="5"/>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29D120CC"/>
    <w:multiLevelType w:val="singleLevel"/>
    <w:tmpl w:val="29D120CC"/>
    <w:lvl w:ilvl="0" w:tentative="0">
      <w:start w:val="1"/>
      <w:numFmt w:val="decimal"/>
      <w:suff w:val="nothing"/>
      <w:lvlText w:val="（%1）"/>
      <w:lvlJc w:val="left"/>
    </w:lvl>
  </w:abstractNum>
  <w:abstractNum w:abstractNumId="15">
    <w:nsid w:val="3CD8BFBE"/>
    <w:multiLevelType w:val="singleLevel"/>
    <w:tmpl w:val="3CD8BFBE"/>
    <w:lvl w:ilvl="0" w:tentative="0">
      <w:start w:val="1"/>
      <w:numFmt w:val="decimal"/>
      <w:suff w:val="nothing"/>
      <w:lvlText w:val="（%1）"/>
      <w:lvlJc w:val="left"/>
    </w:lvl>
  </w:abstractNum>
  <w:abstractNum w:abstractNumId="16">
    <w:nsid w:val="54F403B5"/>
    <w:multiLevelType w:val="singleLevel"/>
    <w:tmpl w:val="54F403B5"/>
    <w:lvl w:ilvl="0" w:tentative="0">
      <w:start w:val="1"/>
      <w:numFmt w:val="chineseCounting"/>
      <w:suff w:val="nothing"/>
      <w:lvlText w:val="%1、"/>
      <w:lvlJc w:val="left"/>
    </w:lvl>
  </w:abstractNum>
  <w:abstractNum w:abstractNumId="17">
    <w:nsid w:val="557FD3DA"/>
    <w:multiLevelType w:val="singleLevel"/>
    <w:tmpl w:val="557FD3DA"/>
    <w:lvl w:ilvl="0" w:tentative="0">
      <w:start w:val="3"/>
      <w:numFmt w:val="chineseCounting"/>
      <w:suff w:val="nothing"/>
      <w:lvlText w:val="%1、"/>
      <w:lvlJc w:val="left"/>
    </w:lvl>
  </w:abstractNum>
  <w:abstractNum w:abstractNumId="18">
    <w:nsid w:val="589A2FD8"/>
    <w:multiLevelType w:val="singleLevel"/>
    <w:tmpl w:val="589A2FD8"/>
    <w:lvl w:ilvl="0" w:tentative="0">
      <w:start w:val="1"/>
      <w:numFmt w:val="decimal"/>
      <w:suff w:val="nothing"/>
      <w:lvlText w:val="（%1）"/>
      <w:lvlJc w:val="left"/>
    </w:lvl>
  </w:abstractNum>
  <w:abstractNum w:abstractNumId="19">
    <w:nsid w:val="59F1C7B7"/>
    <w:multiLevelType w:val="singleLevel"/>
    <w:tmpl w:val="59F1C7B7"/>
    <w:lvl w:ilvl="0" w:tentative="0">
      <w:start w:val="4"/>
      <w:numFmt w:val="chineseCounting"/>
      <w:suff w:val="nothing"/>
      <w:lvlText w:val="（%1）"/>
      <w:lvlJc w:val="left"/>
    </w:lvl>
  </w:abstractNum>
  <w:abstractNum w:abstractNumId="20">
    <w:nsid w:val="59F56D91"/>
    <w:multiLevelType w:val="singleLevel"/>
    <w:tmpl w:val="59F56D91"/>
    <w:lvl w:ilvl="0" w:tentative="0">
      <w:start w:val="1"/>
      <w:numFmt w:val="decimal"/>
      <w:suff w:val="nothing"/>
      <w:lvlText w:val="（%1）"/>
      <w:lvlJc w:val="left"/>
    </w:lvl>
  </w:abstractNum>
  <w:abstractNum w:abstractNumId="21">
    <w:nsid w:val="59FEDFBD"/>
    <w:multiLevelType w:val="multilevel"/>
    <w:tmpl w:val="59FEDFBD"/>
    <w:lvl w:ilvl="0" w:tentative="0">
      <w:start w:val="1"/>
      <w:numFmt w:val="decimal"/>
      <w:suff w:val="nothing"/>
      <w:lvlText w:val="（%1）"/>
      <w:lvlJc w:val="left"/>
      <w:pPr>
        <w:ind w:left="0" w:firstLine="0"/>
      </w:pPr>
      <w:rPr>
        <w:rFonts w:hint="default" w:ascii="Times New Roman"/>
        <w:u w:val="none" w:color="auto"/>
      </w:rPr>
    </w:lvl>
    <w:lvl w:ilvl="1" w:tentative="0">
      <w:start w:val="1"/>
      <w:numFmt w:val="decimal"/>
      <w:lvlText w:val="%2."/>
      <w:lvlJc w:val="left"/>
      <w:pPr>
        <w:tabs>
          <w:tab w:val="left" w:pos="1440"/>
        </w:tabs>
        <w:ind w:left="1440" w:hanging="360"/>
      </w:pPr>
      <w:rPr>
        <w:rFonts w:hint="default" w:ascii="Times New Roman"/>
        <w:u w:val="none" w:color="auto"/>
      </w:rPr>
    </w:lvl>
    <w:lvl w:ilvl="2" w:tentative="0">
      <w:start w:val="1"/>
      <w:numFmt w:val="decimal"/>
      <w:lvlText w:val="%3."/>
      <w:lvlJc w:val="left"/>
      <w:pPr>
        <w:tabs>
          <w:tab w:val="left" w:pos="2160"/>
        </w:tabs>
        <w:ind w:left="2160" w:hanging="360"/>
      </w:pPr>
      <w:rPr>
        <w:rFonts w:hint="default" w:ascii="Times New Roman"/>
        <w:u w:val="none" w:color="auto"/>
      </w:rPr>
    </w:lvl>
    <w:lvl w:ilvl="3" w:tentative="0">
      <w:start w:val="1"/>
      <w:numFmt w:val="decimal"/>
      <w:lvlText w:val="%4."/>
      <w:lvlJc w:val="left"/>
      <w:pPr>
        <w:tabs>
          <w:tab w:val="left" w:pos="2880"/>
        </w:tabs>
        <w:ind w:left="2880" w:hanging="360"/>
      </w:pPr>
      <w:rPr>
        <w:rFonts w:hint="default" w:ascii="Times New Roman"/>
        <w:u w:val="none" w:color="auto"/>
      </w:rPr>
    </w:lvl>
    <w:lvl w:ilvl="4" w:tentative="0">
      <w:start w:val="1"/>
      <w:numFmt w:val="decimal"/>
      <w:lvlText w:val="%5."/>
      <w:lvlJc w:val="left"/>
      <w:pPr>
        <w:tabs>
          <w:tab w:val="left" w:pos="3600"/>
        </w:tabs>
        <w:ind w:left="3600" w:hanging="360"/>
      </w:pPr>
      <w:rPr>
        <w:rFonts w:hint="default" w:ascii="Times New Roman"/>
        <w:u w:val="none" w:color="auto"/>
      </w:rPr>
    </w:lvl>
    <w:lvl w:ilvl="5" w:tentative="0">
      <w:start w:val="1"/>
      <w:numFmt w:val="decimal"/>
      <w:lvlText w:val="%6."/>
      <w:lvlJc w:val="left"/>
      <w:pPr>
        <w:tabs>
          <w:tab w:val="left" w:pos="4320"/>
        </w:tabs>
        <w:ind w:left="4320" w:hanging="360"/>
      </w:pPr>
      <w:rPr>
        <w:rFonts w:hint="default" w:ascii="Times New Roman"/>
        <w:u w:val="none" w:color="auto"/>
      </w:rPr>
    </w:lvl>
    <w:lvl w:ilvl="6" w:tentative="0">
      <w:start w:val="1"/>
      <w:numFmt w:val="decimal"/>
      <w:lvlText w:val="%7."/>
      <w:lvlJc w:val="left"/>
      <w:pPr>
        <w:tabs>
          <w:tab w:val="left" w:pos="5040"/>
        </w:tabs>
        <w:ind w:left="5040" w:hanging="360"/>
      </w:pPr>
      <w:rPr>
        <w:rFonts w:hint="default" w:ascii="Times New Roman"/>
        <w:u w:val="none" w:color="auto"/>
      </w:rPr>
    </w:lvl>
    <w:lvl w:ilvl="7" w:tentative="0">
      <w:start w:val="1"/>
      <w:numFmt w:val="decimal"/>
      <w:lvlText w:val="%8."/>
      <w:lvlJc w:val="left"/>
      <w:pPr>
        <w:tabs>
          <w:tab w:val="left" w:pos="5760"/>
        </w:tabs>
        <w:ind w:left="5760" w:hanging="360"/>
      </w:pPr>
      <w:rPr>
        <w:rFonts w:hint="default" w:ascii="Times New Roman"/>
        <w:u w:val="none" w:color="auto"/>
      </w:rPr>
    </w:lvl>
    <w:lvl w:ilvl="8" w:tentative="0">
      <w:start w:val="1"/>
      <w:numFmt w:val="decimal"/>
      <w:lvlText w:val="%9."/>
      <w:lvlJc w:val="left"/>
      <w:pPr>
        <w:tabs>
          <w:tab w:val="left" w:pos="6480"/>
        </w:tabs>
        <w:ind w:left="6480" w:hanging="360"/>
      </w:pPr>
      <w:rPr>
        <w:rFonts w:hint="default" w:ascii="Times New Roman"/>
        <w:u w:val="none" w:color="auto"/>
      </w:rPr>
    </w:lvl>
  </w:abstractNum>
  <w:num w:numId="1">
    <w:abstractNumId w:val="8"/>
  </w:num>
  <w:num w:numId="2">
    <w:abstractNumId w:val="6"/>
  </w:num>
  <w:num w:numId="3">
    <w:abstractNumId w:val="4"/>
  </w:num>
  <w:num w:numId="4">
    <w:abstractNumId w:val="3"/>
  </w:num>
  <w:num w:numId="5">
    <w:abstractNumId w:val="10"/>
  </w:num>
  <w:num w:numId="6">
    <w:abstractNumId w:val="11"/>
  </w:num>
  <w:num w:numId="7">
    <w:abstractNumId w:val="18"/>
  </w:num>
  <w:num w:numId="8">
    <w:abstractNumId w:val="9"/>
  </w:num>
  <w:num w:numId="9">
    <w:abstractNumId w:val="20"/>
  </w:num>
  <w:num w:numId="10">
    <w:abstractNumId w:val="2"/>
  </w:num>
  <w:num w:numId="11">
    <w:abstractNumId w:val="15"/>
  </w:num>
  <w:num w:numId="12">
    <w:abstractNumId w:val="14"/>
  </w:num>
  <w:num w:numId="13">
    <w:abstractNumId w:val="13"/>
  </w:num>
  <w:num w:numId="14">
    <w:abstractNumId w:val="5"/>
  </w:num>
  <w:num w:numId="15">
    <w:abstractNumId w:val="7"/>
  </w:num>
  <w:num w:numId="16">
    <w:abstractNumId w:val="19"/>
  </w:num>
  <w:num w:numId="17">
    <w:abstractNumId w:val="12"/>
  </w:num>
  <w:num w:numId="18">
    <w:abstractNumId w:val="1"/>
  </w:num>
  <w:num w:numId="19">
    <w:abstractNumId w:val="0"/>
  </w:num>
  <w:num w:numId="20">
    <w:abstractNumId w:val="21"/>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year1_2;filetype1_2"/>
    <w:docVar w:name="commondata" w:val="eyJoZGlkIjoiOTAzMWZiOWRlMTk0MzBjYTg0NWY0YjkzOWFjNDAyNmQifQ=="/>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172A27"/>
    <w:rsid w:val="00001819"/>
    <w:rsid w:val="00003736"/>
    <w:rsid w:val="00043C49"/>
    <w:rsid w:val="00043E46"/>
    <w:rsid w:val="00046D02"/>
    <w:rsid w:val="0007724A"/>
    <w:rsid w:val="0008353B"/>
    <w:rsid w:val="000B4944"/>
    <w:rsid w:val="000C44A5"/>
    <w:rsid w:val="000E10E7"/>
    <w:rsid w:val="000E34C5"/>
    <w:rsid w:val="000E6B30"/>
    <w:rsid w:val="000E7E2D"/>
    <w:rsid w:val="00103884"/>
    <w:rsid w:val="00106F98"/>
    <w:rsid w:val="00112ECA"/>
    <w:rsid w:val="00122DA1"/>
    <w:rsid w:val="001355D8"/>
    <w:rsid w:val="001356C6"/>
    <w:rsid w:val="001437E8"/>
    <w:rsid w:val="00143E60"/>
    <w:rsid w:val="001512F0"/>
    <w:rsid w:val="001541A3"/>
    <w:rsid w:val="00173C4C"/>
    <w:rsid w:val="00173CBF"/>
    <w:rsid w:val="001758AD"/>
    <w:rsid w:val="001905D8"/>
    <w:rsid w:val="001A0375"/>
    <w:rsid w:val="001A5C76"/>
    <w:rsid w:val="001B2E7F"/>
    <w:rsid w:val="001B521D"/>
    <w:rsid w:val="001C11AA"/>
    <w:rsid w:val="001C6605"/>
    <w:rsid w:val="001C70B5"/>
    <w:rsid w:val="001E3E44"/>
    <w:rsid w:val="00210449"/>
    <w:rsid w:val="00215A54"/>
    <w:rsid w:val="00223AFA"/>
    <w:rsid w:val="00243730"/>
    <w:rsid w:val="00245817"/>
    <w:rsid w:val="00255A5F"/>
    <w:rsid w:val="0025694B"/>
    <w:rsid w:val="00274BF9"/>
    <w:rsid w:val="00280CAB"/>
    <w:rsid w:val="002839CD"/>
    <w:rsid w:val="002925B0"/>
    <w:rsid w:val="002C755B"/>
    <w:rsid w:val="002F3B87"/>
    <w:rsid w:val="00314C94"/>
    <w:rsid w:val="0033238B"/>
    <w:rsid w:val="00342694"/>
    <w:rsid w:val="00347105"/>
    <w:rsid w:val="00366FCF"/>
    <w:rsid w:val="00382EE0"/>
    <w:rsid w:val="0038578D"/>
    <w:rsid w:val="003B39BC"/>
    <w:rsid w:val="003C0AF4"/>
    <w:rsid w:val="003C1CF4"/>
    <w:rsid w:val="003C63AB"/>
    <w:rsid w:val="003C7FA7"/>
    <w:rsid w:val="003D3F33"/>
    <w:rsid w:val="00400F93"/>
    <w:rsid w:val="004105DA"/>
    <w:rsid w:val="004200E3"/>
    <w:rsid w:val="0042033A"/>
    <w:rsid w:val="00445EAF"/>
    <w:rsid w:val="00485360"/>
    <w:rsid w:val="00487A88"/>
    <w:rsid w:val="00493874"/>
    <w:rsid w:val="004A3785"/>
    <w:rsid w:val="004A45A9"/>
    <w:rsid w:val="004C1A6A"/>
    <w:rsid w:val="004C1FEF"/>
    <w:rsid w:val="004D2BAC"/>
    <w:rsid w:val="004E1C49"/>
    <w:rsid w:val="004E4692"/>
    <w:rsid w:val="00541A53"/>
    <w:rsid w:val="00544F38"/>
    <w:rsid w:val="00574888"/>
    <w:rsid w:val="005801B8"/>
    <w:rsid w:val="005B1DCD"/>
    <w:rsid w:val="005B4C1A"/>
    <w:rsid w:val="005B578C"/>
    <w:rsid w:val="005C18F9"/>
    <w:rsid w:val="005C5E32"/>
    <w:rsid w:val="005F5FF4"/>
    <w:rsid w:val="0060060A"/>
    <w:rsid w:val="00620B78"/>
    <w:rsid w:val="00640E10"/>
    <w:rsid w:val="00645646"/>
    <w:rsid w:val="006521F0"/>
    <w:rsid w:val="00665A31"/>
    <w:rsid w:val="00674F90"/>
    <w:rsid w:val="00683347"/>
    <w:rsid w:val="00691BB2"/>
    <w:rsid w:val="006D12DA"/>
    <w:rsid w:val="006D2B52"/>
    <w:rsid w:val="006E3201"/>
    <w:rsid w:val="0070033A"/>
    <w:rsid w:val="00706ED8"/>
    <w:rsid w:val="00712DDA"/>
    <w:rsid w:val="0071693A"/>
    <w:rsid w:val="00716A2F"/>
    <w:rsid w:val="00726C60"/>
    <w:rsid w:val="007501E1"/>
    <w:rsid w:val="007546C9"/>
    <w:rsid w:val="007852CF"/>
    <w:rsid w:val="007A2F69"/>
    <w:rsid w:val="007A3668"/>
    <w:rsid w:val="007B26AA"/>
    <w:rsid w:val="007B5E19"/>
    <w:rsid w:val="007C5698"/>
    <w:rsid w:val="007E46F3"/>
    <w:rsid w:val="007E7997"/>
    <w:rsid w:val="008013B2"/>
    <w:rsid w:val="00801C61"/>
    <w:rsid w:val="00805004"/>
    <w:rsid w:val="0083101D"/>
    <w:rsid w:val="008315A1"/>
    <w:rsid w:val="00863D5D"/>
    <w:rsid w:val="008676E9"/>
    <w:rsid w:val="00873860"/>
    <w:rsid w:val="00875E0B"/>
    <w:rsid w:val="008939BB"/>
    <w:rsid w:val="00895E29"/>
    <w:rsid w:val="008A17C8"/>
    <w:rsid w:val="008B5158"/>
    <w:rsid w:val="008D04C4"/>
    <w:rsid w:val="008D7C97"/>
    <w:rsid w:val="008E3289"/>
    <w:rsid w:val="008E6F9C"/>
    <w:rsid w:val="00903054"/>
    <w:rsid w:val="00913682"/>
    <w:rsid w:val="00923892"/>
    <w:rsid w:val="00927078"/>
    <w:rsid w:val="00942C1A"/>
    <w:rsid w:val="009467E3"/>
    <w:rsid w:val="009625B4"/>
    <w:rsid w:val="00966B99"/>
    <w:rsid w:val="00986118"/>
    <w:rsid w:val="009901B5"/>
    <w:rsid w:val="009A73BE"/>
    <w:rsid w:val="009C7F34"/>
    <w:rsid w:val="009D6C21"/>
    <w:rsid w:val="009E39FD"/>
    <w:rsid w:val="009F4379"/>
    <w:rsid w:val="00A20E0A"/>
    <w:rsid w:val="00A4023F"/>
    <w:rsid w:val="00A735DA"/>
    <w:rsid w:val="00A758AE"/>
    <w:rsid w:val="00A870B5"/>
    <w:rsid w:val="00A87D04"/>
    <w:rsid w:val="00AA375A"/>
    <w:rsid w:val="00AB06EA"/>
    <w:rsid w:val="00AE3382"/>
    <w:rsid w:val="00B20AE6"/>
    <w:rsid w:val="00B34B71"/>
    <w:rsid w:val="00B41730"/>
    <w:rsid w:val="00B562C2"/>
    <w:rsid w:val="00B60CEA"/>
    <w:rsid w:val="00B6106B"/>
    <w:rsid w:val="00B76AA1"/>
    <w:rsid w:val="00BC08EC"/>
    <w:rsid w:val="00BD4120"/>
    <w:rsid w:val="00BF7353"/>
    <w:rsid w:val="00C10A97"/>
    <w:rsid w:val="00C14EFF"/>
    <w:rsid w:val="00C31180"/>
    <w:rsid w:val="00C31C52"/>
    <w:rsid w:val="00C51A3A"/>
    <w:rsid w:val="00C52CF8"/>
    <w:rsid w:val="00C55D6C"/>
    <w:rsid w:val="00C6715C"/>
    <w:rsid w:val="00C675CF"/>
    <w:rsid w:val="00C9038E"/>
    <w:rsid w:val="00CA13A3"/>
    <w:rsid w:val="00CB2CDC"/>
    <w:rsid w:val="00CE1180"/>
    <w:rsid w:val="00CE5C1A"/>
    <w:rsid w:val="00CF4173"/>
    <w:rsid w:val="00D34207"/>
    <w:rsid w:val="00D57DCD"/>
    <w:rsid w:val="00D62FA5"/>
    <w:rsid w:val="00D866B8"/>
    <w:rsid w:val="00D944CE"/>
    <w:rsid w:val="00D96667"/>
    <w:rsid w:val="00DE4F4F"/>
    <w:rsid w:val="00DF509C"/>
    <w:rsid w:val="00E022F1"/>
    <w:rsid w:val="00E1120F"/>
    <w:rsid w:val="00E56199"/>
    <w:rsid w:val="00E61B6D"/>
    <w:rsid w:val="00E709C6"/>
    <w:rsid w:val="00E87AF1"/>
    <w:rsid w:val="00E90FD0"/>
    <w:rsid w:val="00EA463E"/>
    <w:rsid w:val="00EB35E1"/>
    <w:rsid w:val="00EB6490"/>
    <w:rsid w:val="00EB678F"/>
    <w:rsid w:val="00EE4998"/>
    <w:rsid w:val="00EF2DF5"/>
    <w:rsid w:val="00F02EAE"/>
    <w:rsid w:val="00F04145"/>
    <w:rsid w:val="00F07786"/>
    <w:rsid w:val="00F27203"/>
    <w:rsid w:val="00F416F4"/>
    <w:rsid w:val="00F47FE2"/>
    <w:rsid w:val="00F51466"/>
    <w:rsid w:val="00F71A3E"/>
    <w:rsid w:val="00FE35DC"/>
    <w:rsid w:val="00FF1B26"/>
    <w:rsid w:val="01541287"/>
    <w:rsid w:val="016E6A64"/>
    <w:rsid w:val="018F52CB"/>
    <w:rsid w:val="01FF2CC4"/>
    <w:rsid w:val="022B55EB"/>
    <w:rsid w:val="023A2572"/>
    <w:rsid w:val="02610A25"/>
    <w:rsid w:val="026704F1"/>
    <w:rsid w:val="02982FFD"/>
    <w:rsid w:val="031646D2"/>
    <w:rsid w:val="033414DB"/>
    <w:rsid w:val="034C6E41"/>
    <w:rsid w:val="03886A90"/>
    <w:rsid w:val="038F11A2"/>
    <w:rsid w:val="03CB6EA3"/>
    <w:rsid w:val="03D22C7B"/>
    <w:rsid w:val="03DA33C0"/>
    <w:rsid w:val="042A13CF"/>
    <w:rsid w:val="0468480B"/>
    <w:rsid w:val="047820EA"/>
    <w:rsid w:val="05187999"/>
    <w:rsid w:val="05387ECA"/>
    <w:rsid w:val="054D2E98"/>
    <w:rsid w:val="058202DC"/>
    <w:rsid w:val="059C26CF"/>
    <w:rsid w:val="05C51E73"/>
    <w:rsid w:val="05DC5310"/>
    <w:rsid w:val="0612610E"/>
    <w:rsid w:val="06354B90"/>
    <w:rsid w:val="063F4B76"/>
    <w:rsid w:val="06AE1539"/>
    <w:rsid w:val="06CC5019"/>
    <w:rsid w:val="06F41689"/>
    <w:rsid w:val="07140325"/>
    <w:rsid w:val="074E6B5D"/>
    <w:rsid w:val="077B07BA"/>
    <w:rsid w:val="079A6957"/>
    <w:rsid w:val="07A70040"/>
    <w:rsid w:val="07F47C8D"/>
    <w:rsid w:val="07FC2759"/>
    <w:rsid w:val="08006815"/>
    <w:rsid w:val="080A3E1C"/>
    <w:rsid w:val="084607C4"/>
    <w:rsid w:val="089D63E7"/>
    <w:rsid w:val="08BB6C88"/>
    <w:rsid w:val="08D244A8"/>
    <w:rsid w:val="090B21AC"/>
    <w:rsid w:val="091F0867"/>
    <w:rsid w:val="093C424D"/>
    <w:rsid w:val="094309AF"/>
    <w:rsid w:val="097E6871"/>
    <w:rsid w:val="09920DB0"/>
    <w:rsid w:val="09A5445D"/>
    <w:rsid w:val="09EA2B0B"/>
    <w:rsid w:val="0A107AFC"/>
    <w:rsid w:val="0A341D54"/>
    <w:rsid w:val="0A3B36F5"/>
    <w:rsid w:val="0A8E73F1"/>
    <w:rsid w:val="0AB2571D"/>
    <w:rsid w:val="0AB652DA"/>
    <w:rsid w:val="0ABA3A59"/>
    <w:rsid w:val="0AC14DAE"/>
    <w:rsid w:val="0AE8785D"/>
    <w:rsid w:val="0B1D27B6"/>
    <w:rsid w:val="0B3A50E9"/>
    <w:rsid w:val="0B43606F"/>
    <w:rsid w:val="0B5663B4"/>
    <w:rsid w:val="0B6F5DB2"/>
    <w:rsid w:val="0B7863DB"/>
    <w:rsid w:val="0B8F3A0C"/>
    <w:rsid w:val="0B9D355B"/>
    <w:rsid w:val="0BCE7DAA"/>
    <w:rsid w:val="0BD3243A"/>
    <w:rsid w:val="0C142450"/>
    <w:rsid w:val="0C3B6EE3"/>
    <w:rsid w:val="0C4D0EBB"/>
    <w:rsid w:val="0C527C99"/>
    <w:rsid w:val="0C570C5F"/>
    <w:rsid w:val="0C747B49"/>
    <w:rsid w:val="0C752BE0"/>
    <w:rsid w:val="0C9C4B44"/>
    <w:rsid w:val="0CC12870"/>
    <w:rsid w:val="0CDD2D53"/>
    <w:rsid w:val="0D245CFE"/>
    <w:rsid w:val="0D25762A"/>
    <w:rsid w:val="0D650680"/>
    <w:rsid w:val="0D953BA0"/>
    <w:rsid w:val="0E1B195D"/>
    <w:rsid w:val="0E400E48"/>
    <w:rsid w:val="0ED434F5"/>
    <w:rsid w:val="0EE53B0D"/>
    <w:rsid w:val="0F045303"/>
    <w:rsid w:val="0F16295D"/>
    <w:rsid w:val="0F2575D3"/>
    <w:rsid w:val="0F5060DA"/>
    <w:rsid w:val="0F707EAE"/>
    <w:rsid w:val="0F95263D"/>
    <w:rsid w:val="0F956269"/>
    <w:rsid w:val="0F9A2890"/>
    <w:rsid w:val="0FC42AB2"/>
    <w:rsid w:val="0FCA16C2"/>
    <w:rsid w:val="104957CA"/>
    <w:rsid w:val="10980827"/>
    <w:rsid w:val="10A60D90"/>
    <w:rsid w:val="10D54448"/>
    <w:rsid w:val="10DD1069"/>
    <w:rsid w:val="110C3A1E"/>
    <w:rsid w:val="11366CE3"/>
    <w:rsid w:val="113D4D5F"/>
    <w:rsid w:val="11521E15"/>
    <w:rsid w:val="11564743"/>
    <w:rsid w:val="117A4938"/>
    <w:rsid w:val="118076A0"/>
    <w:rsid w:val="11AA51F6"/>
    <w:rsid w:val="11D1448A"/>
    <w:rsid w:val="121A72C4"/>
    <w:rsid w:val="12224E20"/>
    <w:rsid w:val="12793292"/>
    <w:rsid w:val="12B332CD"/>
    <w:rsid w:val="12B43EAF"/>
    <w:rsid w:val="12C82534"/>
    <w:rsid w:val="12F71501"/>
    <w:rsid w:val="13104DF0"/>
    <w:rsid w:val="131778C3"/>
    <w:rsid w:val="131E0669"/>
    <w:rsid w:val="133203CD"/>
    <w:rsid w:val="13737382"/>
    <w:rsid w:val="13A30114"/>
    <w:rsid w:val="13A9115B"/>
    <w:rsid w:val="13AF3B46"/>
    <w:rsid w:val="13E25B79"/>
    <w:rsid w:val="14197EEC"/>
    <w:rsid w:val="141D3733"/>
    <w:rsid w:val="144569B0"/>
    <w:rsid w:val="1449233B"/>
    <w:rsid w:val="148256C6"/>
    <w:rsid w:val="148B578A"/>
    <w:rsid w:val="14931E55"/>
    <w:rsid w:val="14AE7E8C"/>
    <w:rsid w:val="14B05FC8"/>
    <w:rsid w:val="14CB4227"/>
    <w:rsid w:val="14D22406"/>
    <w:rsid w:val="150A1D36"/>
    <w:rsid w:val="152902FA"/>
    <w:rsid w:val="156D1AE3"/>
    <w:rsid w:val="15722C66"/>
    <w:rsid w:val="15AC15B0"/>
    <w:rsid w:val="15B94777"/>
    <w:rsid w:val="160D099B"/>
    <w:rsid w:val="165E4538"/>
    <w:rsid w:val="1669478E"/>
    <w:rsid w:val="16877C69"/>
    <w:rsid w:val="16BC1BA9"/>
    <w:rsid w:val="16EE0B33"/>
    <w:rsid w:val="17BC638F"/>
    <w:rsid w:val="17F46A26"/>
    <w:rsid w:val="1802514D"/>
    <w:rsid w:val="180513A4"/>
    <w:rsid w:val="180E23E5"/>
    <w:rsid w:val="181C3669"/>
    <w:rsid w:val="183259DB"/>
    <w:rsid w:val="18351DF5"/>
    <w:rsid w:val="185C54ED"/>
    <w:rsid w:val="18900A1F"/>
    <w:rsid w:val="189A1D2D"/>
    <w:rsid w:val="18B004D2"/>
    <w:rsid w:val="18D146C8"/>
    <w:rsid w:val="18D77B2C"/>
    <w:rsid w:val="19197A55"/>
    <w:rsid w:val="191C7B6F"/>
    <w:rsid w:val="193627CE"/>
    <w:rsid w:val="193D2486"/>
    <w:rsid w:val="197313FD"/>
    <w:rsid w:val="19A44CF9"/>
    <w:rsid w:val="19B62055"/>
    <w:rsid w:val="19B7412D"/>
    <w:rsid w:val="19BA38BC"/>
    <w:rsid w:val="1A145DAD"/>
    <w:rsid w:val="1A427151"/>
    <w:rsid w:val="1A63253D"/>
    <w:rsid w:val="1A947AA6"/>
    <w:rsid w:val="1A9E5F0A"/>
    <w:rsid w:val="1AB15758"/>
    <w:rsid w:val="1AC530EA"/>
    <w:rsid w:val="1AF554C1"/>
    <w:rsid w:val="1B100797"/>
    <w:rsid w:val="1B9204B8"/>
    <w:rsid w:val="1B9B6681"/>
    <w:rsid w:val="1BAD70CA"/>
    <w:rsid w:val="1C287B68"/>
    <w:rsid w:val="1C4F0EFC"/>
    <w:rsid w:val="1CC5072A"/>
    <w:rsid w:val="1CC86CD8"/>
    <w:rsid w:val="1CD06C3F"/>
    <w:rsid w:val="1CFC62AA"/>
    <w:rsid w:val="1DE0746C"/>
    <w:rsid w:val="1E0A6632"/>
    <w:rsid w:val="1E2C0141"/>
    <w:rsid w:val="1EDA202C"/>
    <w:rsid w:val="1F370175"/>
    <w:rsid w:val="1F692DA0"/>
    <w:rsid w:val="1F8938D2"/>
    <w:rsid w:val="1F9B139D"/>
    <w:rsid w:val="1FB8449B"/>
    <w:rsid w:val="1FED3477"/>
    <w:rsid w:val="1FEF54D4"/>
    <w:rsid w:val="1FF041B3"/>
    <w:rsid w:val="201C60D1"/>
    <w:rsid w:val="20215BEB"/>
    <w:rsid w:val="202D792D"/>
    <w:rsid w:val="2050604D"/>
    <w:rsid w:val="20765EAF"/>
    <w:rsid w:val="2086408C"/>
    <w:rsid w:val="20CB60E5"/>
    <w:rsid w:val="20F5147B"/>
    <w:rsid w:val="21443153"/>
    <w:rsid w:val="21A1511C"/>
    <w:rsid w:val="21B01C18"/>
    <w:rsid w:val="21D17878"/>
    <w:rsid w:val="21EA0D88"/>
    <w:rsid w:val="220B7C3B"/>
    <w:rsid w:val="22284AC5"/>
    <w:rsid w:val="22D30267"/>
    <w:rsid w:val="22D563FC"/>
    <w:rsid w:val="22D766C4"/>
    <w:rsid w:val="22E920A8"/>
    <w:rsid w:val="230147BE"/>
    <w:rsid w:val="232715C3"/>
    <w:rsid w:val="234C2C81"/>
    <w:rsid w:val="237D2E0D"/>
    <w:rsid w:val="238A7D90"/>
    <w:rsid w:val="23AC7DBD"/>
    <w:rsid w:val="23B62477"/>
    <w:rsid w:val="23BB5845"/>
    <w:rsid w:val="246C5CB2"/>
    <w:rsid w:val="24A26FCB"/>
    <w:rsid w:val="24C62E27"/>
    <w:rsid w:val="24DF49D0"/>
    <w:rsid w:val="24E41260"/>
    <w:rsid w:val="24EF2796"/>
    <w:rsid w:val="25205424"/>
    <w:rsid w:val="25250BB9"/>
    <w:rsid w:val="252A598D"/>
    <w:rsid w:val="257274B9"/>
    <w:rsid w:val="25964253"/>
    <w:rsid w:val="2613381C"/>
    <w:rsid w:val="26537743"/>
    <w:rsid w:val="266D6D5E"/>
    <w:rsid w:val="26A404A9"/>
    <w:rsid w:val="26A86679"/>
    <w:rsid w:val="26B33768"/>
    <w:rsid w:val="26CE10F9"/>
    <w:rsid w:val="276A69F2"/>
    <w:rsid w:val="27B61629"/>
    <w:rsid w:val="27E240BC"/>
    <w:rsid w:val="27EB1479"/>
    <w:rsid w:val="28375B92"/>
    <w:rsid w:val="28841280"/>
    <w:rsid w:val="28C8622D"/>
    <w:rsid w:val="28E22D99"/>
    <w:rsid w:val="28E57CFA"/>
    <w:rsid w:val="292024ED"/>
    <w:rsid w:val="292F7B3E"/>
    <w:rsid w:val="294E7C83"/>
    <w:rsid w:val="297835DF"/>
    <w:rsid w:val="298D75B2"/>
    <w:rsid w:val="29A11B13"/>
    <w:rsid w:val="29C27F89"/>
    <w:rsid w:val="29E52F20"/>
    <w:rsid w:val="29F35C36"/>
    <w:rsid w:val="29FE48A2"/>
    <w:rsid w:val="2A0F28DC"/>
    <w:rsid w:val="2A193C1E"/>
    <w:rsid w:val="2A3322EC"/>
    <w:rsid w:val="2A4E2046"/>
    <w:rsid w:val="2AFE4B19"/>
    <w:rsid w:val="2B09446C"/>
    <w:rsid w:val="2B542CFD"/>
    <w:rsid w:val="2B597049"/>
    <w:rsid w:val="2B6F0B2B"/>
    <w:rsid w:val="2BA151BE"/>
    <w:rsid w:val="2BBE150F"/>
    <w:rsid w:val="2C813351"/>
    <w:rsid w:val="2C8213ED"/>
    <w:rsid w:val="2CC87CCD"/>
    <w:rsid w:val="2CD44ED2"/>
    <w:rsid w:val="2CD51E85"/>
    <w:rsid w:val="2D0216DB"/>
    <w:rsid w:val="2D045E31"/>
    <w:rsid w:val="2D117637"/>
    <w:rsid w:val="2D7E2021"/>
    <w:rsid w:val="2E6F3616"/>
    <w:rsid w:val="2E7D0744"/>
    <w:rsid w:val="2E97180F"/>
    <w:rsid w:val="2EBB773D"/>
    <w:rsid w:val="2EF47A18"/>
    <w:rsid w:val="2F272596"/>
    <w:rsid w:val="2F3702EC"/>
    <w:rsid w:val="2F517FE7"/>
    <w:rsid w:val="2F7312C8"/>
    <w:rsid w:val="2FA40A66"/>
    <w:rsid w:val="2FAD5A6E"/>
    <w:rsid w:val="2FD03A0D"/>
    <w:rsid w:val="2FF327C8"/>
    <w:rsid w:val="300706DE"/>
    <w:rsid w:val="30265BBA"/>
    <w:rsid w:val="30286772"/>
    <w:rsid w:val="309A3846"/>
    <w:rsid w:val="30A42884"/>
    <w:rsid w:val="30AB16C4"/>
    <w:rsid w:val="30B314C5"/>
    <w:rsid w:val="30CB65F5"/>
    <w:rsid w:val="30CD1ECF"/>
    <w:rsid w:val="30E93409"/>
    <w:rsid w:val="30FB7239"/>
    <w:rsid w:val="30FC62D2"/>
    <w:rsid w:val="31454E99"/>
    <w:rsid w:val="31BE6BB0"/>
    <w:rsid w:val="323205BB"/>
    <w:rsid w:val="32BD226C"/>
    <w:rsid w:val="338776A9"/>
    <w:rsid w:val="33B82530"/>
    <w:rsid w:val="33C97AB2"/>
    <w:rsid w:val="34086582"/>
    <w:rsid w:val="34534DD2"/>
    <w:rsid w:val="34624E78"/>
    <w:rsid w:val="347A6CDA"/>
    <w:rsid w:val="349E4D59"/>
    <w:rsid w:val="34AC40BF"/>
    <w:rsid w:val="34BE1741"/>
    <w:rsid w:val="34F74ED3"/>
    <w:rsid w:val="35125B54"/>
    <w:rsid w:val="352617E5"/>
    <w:rsid w:val="35483A7C"/>
    <w:rsid w:val="355338AE"/>
    <w:rsid w:val="358D569A"/>
    <w:rsid w:val="35D012EB"/>
    <w:rsid w:val="35D13F79"/>
    <w:rsid w:val="35D31CC0"/>
    <w:rsid w:val="35D93DE0"/>
    <w:rsid w:val="35E70196"/>
    <w:rsid w:val="35FF0B45"/>
    <w:rsid w:val="3621534E"/>
    <w:rsid w:val="363C0A89"/>
    <w:rsid w:val="36402AD5"/>
    <w:rsid w:val="369040B0"/>
    <w:rsid w:val="36927FE6"/>
    <w:rsid w:val="375249C3"/>
    <w:rsid w:val="37780128"/>
    <w:rsid w:val="379339EA"/>
    <w:rsid w:val="379B6AD7"/>
    <w:rsid w:val="37A548EB"/>
    <w:rsid w:val="3816529E"/>
    <w:rsid w:val="3818493A"/>
    <w:rsid w:val="384C71EC"/>
    <w:rsid w:val="3862474B"/>
    <w:rsid w:val="388A72CA"/>
    <w:rsid w:val="389D17EE"/>
    <w:rsid w:val="38E873DF"/>
    <w:rsid w:val="38F97885"/>
    <w:rsid w:val="392C1B16"/>
    <w:rsid w:val="394A1CC0"/>
    <w:rsid w:val="398712D6"/>
    <w:rsid w:val="398F5CF6"/>
    <w:rsid w:val="39AE3C5B"/>
    <w:rsid w:val="39BF1D2F"/>
    <w:rsid w:val="39C553D5"/>
    <w:rsid w:val="39F3271A"/>
    <w:rsid w:val="3A106AEE"/>
    <w:rsid w:val="3A1367E2"/>
    <w:rsid w:val="3A324916"/>
    <w:rsid w:val="3A4234A1"/>
    <w:rsid w:val="3A506919"/>
    <w:rsid w:val="3ADF6E91"/>
    <w:rsid w:val="3B046B07"/>
    <w:rsid w:val="3B066C27"/>
    <w:rsid w:val="3B142F73"/>
    <w:rsid w:val="3B882AAB"/>
    <w:rsid w:val="3BE043A8"/>
    <w:rsid w:val="3BEA42EB"/>
    <w:rsid w:val="3C530F3F"/>
    <w:rsid w:val="3C637290"/>
    <w:rsid w:val="3CB35362"/>
    <w:rsid w:val="3CBC5414"/>
    <w:rsid w:val="3CEE4AE1"/>
    <w:rsid w:val="3CFD1A66"/>
    <w:rsid w:val="3D012FF0"/>
    <w:rsid w:val="3D171DBE"/>
    <w:rsid w:val="3D566B14"/>
    <w:rsid w:val="3D7755B8"/>
    <w:rsid w:val="3D975D88"/>
    <w:rsid w:val="3D98307D"/>
    <w:rsid w:val="3D986515"/>
    <w:rsid w:val="3DBB36F6"/>
    <w:rsid w:val="3E0D4C9B"/>
    <w:rsid w:val="3E387996"/>
    <w:rsid w:val="3E3C56F0"/>
    <w:rsid w:val="3E5C3E39"/>
    <w:rsid w:val="3E6163B0"/>
    <w:rsid w:val="3E9E5C6A"/>
    <w:rsid w:val="3EB83882"/>
    <w:rsid w:val="3F464F95"/>
    <w:rsid w:val="3F4A170B"/>
    <w:rsid w:val="3F7C7853"/>
    <w:rsid w:val="3FAE4079"/>
    <w:rsid w:val="401D0250"/>
    <w:rsid w:val="40256142"/>
    <w:rsid w:val="406A4E0B"/>
    <w:rsid w:val="40A650D2"/>
    <w:rsid w:val="40E86291"/>
    <w:rsid w:val="4117092B"/>
    <w:rsid w:val="41A07E33"/>
    <w:rsid w:val="41E40E7E"/>
    <w:rsid w:val="423A128D"/>
    <w:rsid w:val="42960365"/>
    <w:rsid w:val="42A556B5"/>
    <w:rsid w:val="435D1F13"/>
    <w:rsid w:val="4379421C"/>
    <w:rsid w:val="43794748"/>
    <w:rsid w:val="437A12E7"/>
    <w:rsid w:val="43B83C86"/>
    <w:rsid w:val="43C94BCC"/>
    <w:rsid w:val="43DE10AA"/>
    <w:rsid w:val="43F12E37"/>
    <w:rsid w:val="43F55901"/>
    <w:rsid w:val="43FB5128"/>
    <w:rsid w:val="445115AC"/>
    <w:rsid w:val="448919A2"/>
    <w:rsid w:val="449F1827"/>
    <w:rsid w:val="44AA7966"/>
    <w:rsid w:val="44C6031F"/>
    <w:rsid w:val="457263CD"/>
    <w:rsid w:val="45BA36BD"/>
    <w:rsid w:val="45BB3EB8"/>
    <w:rsid w:val="45C061D6"/>
    <w:rsid w:val="45E269D3"/>
    <w:rsid w:val="45FD78C7"/>
    <w:rsid w:val="46143715"/>
    <w:rsid w:val="4628541D"/>
    <w:rsid w:val="466F0832"/>
    <w:rsid w:val="467A042C"/>
    <w:rsid w:val="467F35E0"/>
    <w:rsid w:val="46B96EEC"/>
    <w:rsid w:val="46CA39F9"/>
    <w:rsid w:val="46CA405E"/>
    <w:rsid w:val="46E61B61"/>
    <w:rsid w:val="47097F61"/>
    <w:rsid w:val="47402699"/>
    <w:rsid w:val="475C7297"/>
    <w:rsid w:val="476F1912"/>
    <w:rsid w:val="48727FD3"/>
    <w:rsid w:val="487A113F"/>
    <w:rsid w:val="4884401E"/>
    <w:rsid w:val="48851A5F"/>
    <w:rsid w:val="499003F2"/>
    <w:rsid w:val="4A1407A3"/>
    <w:rsid w:val="4A397FEC"/>
    <w:rsid w:val="4A7A495F"/>
    <w:rsid w:val="4AA37D17"/>
    <w:rsid w:val="4AD1133C"/>
    <w:rsid w:val="4AED0613"/>
    <w:rsid w:val="4AF01CAB"/>
    <w:rsid w:val="4B0B3AC9"/>
    <w:rsid w:val="4B630C74"/>
    <w:rsid w:val="4B9B041C"/>
    <w:rsid w:val="4BCA480D"/>
    <w:rsid w:val="4BE818FA"/>
    <w:rsid w:val="4BF00690"/>
    <w:rsid w:val="4C0940B0"/>
    <w:rsid w:val="4C11719B"/>
    <w:rsid w:val="4C431ECB"/>
    <w:rsid w:val="4C9E1C5B"/>
    <w:rsid w:val="4CA42B81"/>
    <w:rsid w:val="4CBB2CCE"/>
    <w:rsid w:val="4CFF27E8"/>
    <w:rsid w:val="4D211BBF"/>
    <w:rsid w:val="4DC41B49"/>
    <w:rsid w:val="4DDD58E5"/>
    <w:rsid w:val="4E42531F"/>
    <w:rsid w:val="4E5C3DB1"/>
    <w:rsid w:val="4E6E0585"/>
    <w:rsid w:val="4E8C4BD2"/>
    <w:rsid w:val="4EA327D7"/>
    <w:rsid w:val="4EF82B8F"/>
    <w:rsid w:val="4EFA4807"/>
    <w:rsid w:val="4F0F747D"/>
    <w:rsid w:val="4F120D1E"/>
    <w:rsid w:val="4F2C7A9E"/>
    <w:rsid w:val="4F6F655D"/>
    <w:rsid w:val="4FCD0D2A"/>
    <w:rsid w:val="501F5E35"/>
    <w:rsid w:val="50203D29"/>
    <w:rsid w:val="5060514F"/>
    <w:rsid w:val="508563EE"/>
    <w:rsid w:val="508C0078"/>
    <w:rsid w:val="50C14567"/>
    <w:rsid w:val="50D22F32"/>
    <w:rsid w:val="50E9416C"/>
    <w:rsid w:val="50F422EF"/>
    <w:rsid w:val="50FE043E"/>
    <w:rsid w:val="510650EB"/>
    <w:rsid w:val="512A5714"/>
    <w:rsid w:val="515176A2"/>
    <w:rsid w:val="516809B2"/>
    <w:rsid w:val="516904FA"/>
    <w:rsid w:val="51736A67"/>
    <w:rsid w:val="51BD354A"/>
    <w:rsid w:val="520843D2"/>
    <w:rsid w:val="5224304F"/>
    <w:rsid w:val="52316BEF"/>
    <w:rsid w:val="52325304"/>
    <w:rsid w:val="52413CDF"/>
    <w:rsid w:val="526C06C3"/>
    <w:rsid w:val="529C1D3A"/>
    <w:rsid w:val="53023764"/>
    <w:rsid w:val="53081882"/>
    <w:rsid w:val="53510C30"/>
    <w:rsid w:val="537070D7"/>
    <w:rsid w:val="5374606B"/>
    <w:rsid w:val="5381416F"/>
    <w:rsid w:val="53C307BF"/>
    <w:rsid w:val="53FC1CAE"/>
    <w:rsid w:val="54476672"/>
    <w:rsid w:val="545158E4"/>
    <w:rsid w:val="54B809E6"/>
    <w:rsid w:val="54F755AB"/>
    <w:rsid w:val="550117B4"/>
    <w:rsid w:val="553D4D85"/>
    <w:rsid w:val="55772F7D"/>
    <w:rsid w:val="55961D0E"/>
    <w:rsid w:val="55EE37A5"/>
    <w:rsid w:val="55EF5157"/>
    <w:rsid w:val="561E31FB"/>
    <w:rsid w:val="56381EF6"/>
    <w:rsid w:val="565577F9"/>
    <w:rsid w:val="567F12A4"/>
    <w:rsid w:val="569420D9"/>
    <w:rsid w:val="56A53918"/>
    <w:rsid w:val="56B84917"/>
    <w:rsid w:val="56C740B3"/>
    <w:rsid w:val="57650FD3"/>
    <w:rsid w:val="57AC7B7D"/>
    <w:rsid w:val="580C4CCC"/>
    <w:rsid w:val="58640F04"/>
    <w:rsid w:val="586B4C46"/>
    <w:rsid w:val="58810EAC"/>
    <w:rsid w:val="588E6B54"/>
    <w:rsid w:val="58A052FD"/>
    <w:rsid w:val="58B764A3"/>
    <w:rsid w:val="58D74F4A"/>
    <w:rsid w:val="58DC65F8"/>
    <w:rsid w:val="58E07CBB"/>
    <w:rsid w:val="58FC0F80"/>
    <w:rsid w:val="591257CE"/>
    <w:rsid w:val="593340F4"/>
    <w:rsid w:val="597B17CE"/>
    <w:rsid w:val="598D1217"/>
    <w:rsid w:val="59B231EB"/>
    <w:rsid w:val="59B501F6"/>
    <w:rsid w:val="59B63F00"/>
    <w:rsid w:val="5A313EC1"/>
    <w:rsid w:val="5AD23DF5"/>
    <w:rsid w:val="5ADA403E"/>
    <w:rsid w:val="5B121E9B"/>
    <w:rsid w:val="5B357636"/>
    <w:rsid w:val="5B581335"/>
    <w:rsid w:val="5B7A10F7"/>
    <w:rsid w:val="5BD021AA"/>
    <w:rsid w:val="5C0461B5"/>
    <w:rsid w:val="5C151F37"/>
    <w:rsid w:val="5C1904FE"/>
    <w:rsid w:val="5C3754AC"/>
    <w:rsid w:val="5C3E446F"/>
    <w:rsid w:val="5C805673"/>
    <w:rsid w:val="5C8F5ED1"/>
    <w:rsid w:val="5CAC5490"/>
    <w:rsid w:val="5CAC7315"/>
    <w:rsid w:val="5CD17C2A"/>
    <w:rsid w:val="5CD61347"/>
    <w:rsid w:val="5CF35D6F"/>
    <w:rsid w:val="5CF52F29"/>
    <w:rsid w:val="5D2C16C1"/>
    <w:rsid w:val="5D39096A"/>
    <w:rsid w:val="5D487BDE"/>
    <w:rsid w:val="5DC639A9"/>
    <w:rsid w:val="5E191EEB"/>
    <w:rsid w:val="5EA47D93"/>
    <w:rsid w:val="5ED05CBE"/>
    <w:rsid w:val="5EE8244A"/>
    <w:rsid w:val="5EF51D7B"/>
    <w:rsid w:val="5F093FB7"/>
    <w:rsid w:val="5F0D344E"/>
    <w:rsid w:val="5F2C6A42"/>
    <w:rsid w:val="5F565D68"/>
    <w:rsid w:val="5F6C607A"/>
    <w:rsid w:val="600955EA"/>
    <w:rsid w:val="60626BC9"/>
    <w:rsid w:val="608E3BBA"/>
    <w:rsid w:val="60D86A6F"/>
    <w:rsid w:val="60EA1779"/>
    <w:rsid w:val="61071F00"/>
    <w:rsid w:val="61A15ED8"/>
    <w:rsid w:val="61B3437C"/>
    <w:rsid w:val="61EB0D3C"/>
    <w:rsid w:val="61EC2074"/>
    <w:rsid w:val="61FF043B"/>
    <w:rsid w:val="624E6215"/>
    <w:rsid w:val="62765C01"/>
    <w:rsid w:val="62911C3C"/>
    <w:rsid w:val="62DD5279"/>
    <w:rsid w:val="62F16E70"/>
    <w:rsid w:val="63823D73"/>
    <w:rsid w:val="63974B7F"/>
    <w:rsid w:val="63E84A68"/>
    <w:rsid w:val="641B49B5"/>
    <w:rsid w:val="641C629E"/>
    <w:rsid w:val="643A5B47"/>
    <w:rsid w:val="64412F35"/>
    <w:rsid w:val="645A1DBD"/>
    <w:rsid w:val="647B5BE7"/>
    <w:rsid w:val="64907893"/>
    <w:rsid w:val="649753A1"/>
    <w:rsid w:val="64CE3444"/>
    <w:rsid w:val="650D25AF"/>
    <w:rsid w:val="65101E77"/>
    <w:rsid w:val="653E74DF"/>
    <w:rsid w:val="658F1276"/>
    <w:rsid w:val="65AD4413"/>
    <w:rsid w:val="662415A7"/>
    <w:rsid w:val="66F9110A"/>
    <w:rsid w:val="670F2E8A"/>
    <w:rsid w:val="6715798F"/>
    <w:rsid w:val="679715AA"/>
    <w:rsid w:val="67B90A33"/>
    <w:rsid w:val="67D07B05"/>
    <w:rsid w:val="68151FD4"/>
    <w:rsid w:val="681F120D"/>
    <w:rsid w:val="68442DC9"/>
    <w:rsid w:val="684575DA"/>
    <w:rsid w:val="684E499C"/>
    <w:rsid w:val="688C49F5"/>
    <w:rsid w:val="68926C88"/>
    <w:rsid w:val="68C1079B"/>
    <w:rsid w:val="68C305E7"/>
    <w:rsid w:val="68C6338F"/>
    <w:rsid w:val="68DB5239"/>
    <w:rsid w:val="68DE4F78"/>
    <w:rsid w:val="69326872"/>
    <w:rsid w:val="693A35B5"/>
    <w:rsid w:val="69681038"/>
    <w:rsid w:val="69C7285E"/>
    <w:rsid w:val="69F71FB6"/>
    <w:rsid w:val="6A7C60C8"/>
    <w:rsid w:val="6A905B6D"/>
    <w:rsid w:val="6AC26886"/>
    <w:rsid w:val="6AC9206A"/>
    <w:rsid w:val="6ACE16D9"/>
    <w:rsid w:val="6B010C46"/>
    <w:rsid w:val="6B310760"/>
    <w:rsid w:val="6B3A366A"/>
    <w:rsid w:val="6B707BEC"/>
    <w:rsid w:val="6B7A0050"/>
    <w:rsid w:val="6BE23C30"/>
    <w:rsid w:val="6C134034"/>
    <w:rsid w:val="6C317D5C"/>
    <w:rsid w:val="6C50079B"/>
    <w:rsid w:val="6C5A4141"/>
    <w:rsid w:val="6C8E74F7"/>
    <w:rsid w:val="6C8F30E6"/>
    <w:rsid w:val="6C906900"/>
    <w:rsid w:val="6CF65067"/>
    <w:rsid w:val="6D004DA8"/>
    <w:rsid w:val="6D543DB3"/>
    <w:rsid w:val="6D750FCF"/>
    <w:rsid w:val="6D773FDC"/>
    <w:rsid w:val="6D9B22AA"/>
    <w:rsid w:val="6DB22F00"/>
    <w:rsid w:val="6DBB648A"/>
    <w:rsid w:val="6DDF18E4"/>
    <w:rsid w:val="6E232AB3"/>
    <w:rsid w:val="6E3F132C"/>
    <w:rsid w:val="6E517746"/>
    <w:rsid w:val="6E7A1325"/>
    <w:rsid w:val="6E861F5A"/>
    <w:rsid w:val="6E8B41A2"/>
    <w:rsid w:val="6EA40EAF"/>
    <w:rsid w:val="6EB40612"/>
    <w:rsid w:val="6EBF2C8C"/>
    <w:rsid w:val="6EFD1C95"/>
    <w:rsid w:val="6F072C6F"/>
    <w:rsid w:val="6F15167B"/>
    <w:rsid w:val="6F29143C"/>
    <w:rsid w:val="6F35557E"/>
    <w:rsid w:val="6F8729A5"/>
    <w:rsid w:val="70177912"/>
    <w:rsid w:val="702B63B0"/>
    <w:rsid w:val="70545562"/>
    <w:rsid w:val="707C28AD"/>
    <w:rsid w:val="70C8609C"/>
    <w:rsid w:val="70EE2DD8"/>
    <w:rsid w:val="70FA0EAB"/>
    <w:rsid w:val="71084815"/>
    <w:rsid w:val="71437115"/>
    <w:rsid w:val="715536FE"/>
    <w:rsid w:val="716B5672"/>
    <w:rsid w:val="71B5209B"/>
    <w:rsid w:val="720C4851"/>
    <w:rsid w:val="721359A5"/>
    <w:rsid w:val="72142897"/>
    <w:rsid w:val="72192C6A"/>
    <w:rsid w:val="722567BC"/>
    <w:rsid w:val="723D1589"/>
    <w:rsid w:val="724A7D53"/>
    <w:rsid w:val="729826AA"/>
    <w:rsid w:val="73484595"/>
    <w:rsid w:val="73735360"/>
    <w:rsid w:val="738D0387"/>
    <w:rsid w:val="73C30D59"/>
    <w:rsid w:val="74163DC7"/>
    <w:rsid w:val="74376210"/>
    <w:rsid w:val="74401536"/>
    <w:rsid w:val="747108A9"/>
    <w:rsid w:val="74760969"/>
    <w:rsid w:val="74996D3A"/>
    <w:rsid w:val="74AE01CF"/>
    <w:rsid w:val="74BD5147"/>
    <w:rsid w:val="74EE6478"/>
    <w:rsid w:val="74F323B1"/>
    <w:rsid w:val="755C4C21"/>
    <w:rsid w:val="75837EEC"/>
    <w:rsid w:val="75AE1DB9"/>
    <w:rsid w:val="75DD4A2B"/>
    <w:rsid w:val="75E77528"/>
    <w:rsid w:val="75E97311"/>
    <w:rsid w:val="75EF230F"/>
    <w:rsid w:val="76330AED"/>
    <w:rsid w:val="764823F4"/>
    <w:rsid w:val="76622B76"/>
    <w:rsid w:val="76914175"/>
    <w:rsid w:val="76A0423C"/>
    <w:rsid w:val="76CE73F1"/>
    <w:rsid w:val="76D72275"/>
    <w:rsid w:val="77034827"/>
    <w:rsid w:val="77492CFF"/>
    <w:rsid w:val="778441C8"/>
    <w:rsid w:val="778766B4"/>
    <w:rsid w:val="778959D9"/>
    <w:rsid w:val="77914171"/>
    <w:rsid w:val="78203E5B"/>
    <w:rsid w:val="7844210E"/>
    <w:rsid w:val="78505A0B"/>
    <w:rsid w:val="786F2DE6"/>
    <w:rsid w:val="78711CE2"/>
    <w:rsid w:val="78837D58"/>
    <w:rsid w:val="78A3250E"/>
    <w:rsid w:val="78EC5C27"/>
    <w:rsid w:val="7A01262D"/>
    <w:rsid w:val="7A330A57"/>
    <w:rsid w:val="7A463B8C"/>
    <w:rsid w:val="7AA1053C"/>
    <w:rsid w:val="7AA811C5"/>
    <w:rsid w:val="7B3A1BDD"/>
    <w:rsid w:val="7BB11A35"/>
    <w:rsid w:val="7BEF658C"/>
    <w:rsid w:val="7C061168"/>
    <w:rsid w:val="7C0F0089"/>
    <w:rsid w:val="7C1C2408"/>
    <w:rsid w:val="7C1E15DB"/>
    <w:rsid w:val="7C2E4B32"/>
    <w:rsid w:val="7C914545"/>
    <w:rsid w:val="7C9E6C19"/>
    <w:rsid w:val="7CE17A14"/>
    <w:rsid w:val="7CFC412C"/>
    <w:rsid w:val="7D227A85"/>
    <w:rsid w:val="7DEF16E8"/>
    <w:rsid w:val="7DF94455"/>
    <w:rsid w:val="7DF95DF2"/>
    <w:rsid w:val="7E66153C"/>
    <w:rsid w:val="7EAB2A81"/>
    <w:rsid w:val="7EB53AC4"/>
    <w:rsid w:val="7EE0537C"/>
    <w:rsid w:val="7EE75E9D"/>
    <w:rsid w:val="7EFD57D3"/>
    <w:rsid w:val="7F187E12"/>
    <w:rsid w:val="7F5D4515"/>
    <w:rsid w:val="7F93124C"/>
    <w:rsid w:val="7F994B60"/>
    <w:rsid w:val="7FAD016B"/>
    <w:rsid w:val="7FB614A0"/>
    <w:rsid w:val="7FC957A4"/>
    <w:rsid w:val="7FD43287"/>
    <w:rsid w:val="7FD970F1"/>
    <w:rsid w:val="7FDD34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6"/>
    <w:qFormat/>
    <w:uiPriority w:val="0"/>
    <w:pPr>
      <w:keepNext/>
      <w:keepLines/>
      <w:spacing w:before="340" w:beforeLines="0" w:after="330" w:afterLines="0" w:line="576" w:lineRule="auto"/>
      <w:outlineLvl w:val="0"/>
    </w:pPr>
    <w:rPr>
      <w:rFonts w:ascii="Tahoma" w:hAnsi="Tahoma"/>
      <w:b/>
      <w:kern w:val="44"/>
      <w:sz w:val="44"/>
      <w:szCs w:val="44"/>
    </w:rPr>
  </w:style>
  <w:style w:type="paragraph" w:styleId="5">
    <w:name w:val="heading 2"/>
    <w:basedOn w:val="1"/>
    <w:next w:val="1"/>
    <w:link w:val="57"/>
    <w:qFormat/>
    <w:uiPriority w:val="0"/>
    <w:pPr>
      <w:keepNext/>
      <w:keepLines/>
      <w:spacing w:before="260" w:beforeLines="0" w:after="260" w:afterLines="0" w:line="413" w:lineRule="auto"/>
      <w:outlineLvl w:val="1"/>
    </w:pPr>
    <w:rPr>
      <w:rFonts w:ascii="Arial" w:hAnsi="Arial" w:eastAsia="黑体"/>
      <w:b/>
      <w:sz w:val="32"/>
      <w:szCs w:val="32"/>
    </w:rPr>
  </w:style>
  <w:style w:type="paragraph" w:styleId="6">
    <w:name w:val="heading 3"/>
    <w:basedOn w:val="1"/>
    <w:next w:val="1"/>
    <w:link w:val="58"/>
    <w:qFormat/>
    <w:uiPriority w:val="0"/>
    <w:pPr>
      <w:keepNext/>
      <w:keepLines/>
      <w:spacing w:before="260" w:beforeLines="0" w:after="260" w:afterLines="0" w:line="416" w:lineRule="auto"/>
      <w:outlineLvl w:val="2"/>
    </w:pPr>
    <w:rPr>
      <w:b/>
      <w:sz w:val="32"/>
      <w:szCs w:val="20"/>
    </w:rPr>
  </w:style>
  <w:style w:type="paragraph" w:styleId="7">
    <w:name w:val="heading 4"/>
    <w:basedOn w:val="1"/>
    <w:next w:val="1"/>
    <w:link w:val="59"/>
    <w:qFormat/>
    <w:uiPriority w:val="0"/>
    <w:pPr>
      <w:keepNext/>
      <w:keepLines/>
      <w:spacing w:before="280" w:beforeLines="0" w:after="290" w:afterLines="0" w:line="372" w:lineRule="auto"/>
      <w:outlineLvl w:val="3"/>
    </w:pPr>
    <w:rPr>
      <w:rFonts w:ascii="Cambria" w:hAnsi="Cambria" w:eastAsia="Cambria"/>
      <w:b/>
      <w:sz w:val="28"/>
      <w:szCs w:val="28"/>
    </w:rPr>
  </w:style>
  <w:style w:type="paragraph" w:styleId="8">
    <w:name w:val="heading 5"/>
    <w:basedOn w:val="9"/>
    <w:next w:val="10"/>
    <w:link w:val="61"/>
    <w:qFormat/>
    <w:uiPriority w:val="0"/>
    <w:pPr>
      <w:keepNext/>
      <w:keepLines/>
      <w:spacing w:before="280" w:beforeLines="0" w:beforeAutospacing="0" w:after="290" w:afterLines="0" w:afterAutospacing="0" w:line="372" w:lineRule="auto"/>
      <w:outlineLvl w:val="4"/>
    </w:pPr>
    <w:rPr>
      <w:rFonts w:ascii="Tahoma" w:hAnsi="Tahoma" w:eastAsia="宋体"/>
      <w:sz w:val="28"/>
      <w:szCs w:val="20"/>
    </w:rPr>
  </w:style>
  <w:style w:type="paragraph" w:styleId="11">
    <w:name w:val="heading 6"/>
    <w:basedOn w:val="1"/>
    <w:next w:val="10"/>
    <w:link w:val="63"/>
    <w:qFormat/>
    <w:uiPriority w:val="0"/>
    <w:pPr>
      <w:keepNext/>
      <w:keepLines/>
      <w:spacing w:before="240" w:beforeLines="0" w:beforeAutospacing="0" w:after="64" w:afterLines="0" w:afterAutospacing="0" w:line="317" w:lineRule="auto"/>
      <w:outlineLvl w:val="5"/>
    </w:pPr>
    <w:rPr>
      <w:rFonts w:ascii="Arial" w:hAnsi="Arial" w:eastAsia="黑体"/>
      <w:b/>
      <w:sz w:val="24"/>
      <w:szCs w:val="20"/>
    </w:rPr>
  </w:style>
  <w:style w:type="paragraph" w:styleId="12">
    <w:name w:val="heading 7"/>
    <w:basedOn w:val="1"/>
    <w:next w:val="1"/>
    <w:link w:val="64"/>
    <w:qFormat/>
    <w:uiPriority w:val="0"/>
    <w:pPr>
      <w:keepNext/>
      <w:keepLines/>
      <w:spacing w:before="240" w:beforeLines="0" w:beforeAutospacing="0" w:after="64" w:afterLines="0" w:afterAutospacing="0" w:line="317" w:lineRule="auto"/>
      <w:outlineLvl w:val="6"/>
    </w:pPr>
    <w:rPr>
      <w:rFonts w:ascii="Tahoma" w:hAnsi="Tahoma"/>
      <w:b/>
      <w:sz w:val="24"/>
      <w:szCs w:val="20"/>
    </w:rPr>
  </w:style>
  <w:style w:type="paragraph" w:styleId="13">
    <w:name w:val="heading 8"/>
    <w:basedOn w:val="1"/>
    <w:next w:val="1"/>
    <w:link w:val="65"/>
    <w:qFormat/>
    <w:uiPriority w:val="0"/>
    <w:pPr>
      <w:keepNext/>
      <w:keepLines/>
      <w:spacing w:before="240" w:beforeLines="0" w:beforeAutospacing="0" w:after="64" w:afterLines="0" w:afterAutospacing="0" w:line="317" w:lineRule="auto"/>
      <w:outlineLvl w:val="7"/>
    </w:pPr>
    <w:rPr>
      <w:rFonts w:ascii="Arial" w:hAnsi="Arial" w:eastAsia="黑体"/>
    </w:rPr>
  </w:style>
  <w:style w:type="paragraph" w:styleId="14">
    <w:name w:val="heading 9"/>
    <w:basedOn w:val="1"/>
    <w:next w:val="1"/>
    <w:link w:val="66"/>
    <w:qFormat/>
    <w:uiPriority w:val="0"/>
    <w:pPr>
      <w:keepNext/>
      <w:keepLines/>
      <w:spacing w:before="240" w:beforeLines="0" w:beforeAutospacing="0" w:after="64" w:afterLines="0" w:afterAutospacing="0" w:line="317" w:lineRule="auto"/>
      <w:outlineLvl w:val="8"/>
    </w:pPr>
    <w:rPr>
      <w:rFonts w:ascii="Arial" w:hAnsi="Arial" w:eastAsia="黑体"/>
      <w:szCs w:val="20"/>
    </w:rPr>
  </w:style>
  <w:style w:type="character" w:default="1" w:styleId="48">
    <w:name w:val="Default Paragraph Font"/>
    <w:qFormat/>
    <w:uiPriority w:val="0"/>
    <w:rPr>
      <w:rFonts w:ascii="Tahoma" w:hAnsi="Tahoma"/>
      <w:sz w:val="24"/>
      <w:szCs w:val="20"/>
    </w:rPr>
  </w:style>
  <w:style w:type="table" w:default="1" w:styleId="46">
    <w:name w:val="Normal Table"/>
    <w:semiHidden/>
    <w:qFormat/>
    <w:uiPriority w:val="0"/>
    <w:tblPr>
      <w:tblCellMar>
        <w:top w:w="0" w:type="dxa"/>
        <w:left w:w="108" w:type="dxa"/>
        <w:bottom w:w="0" w:type="dxa"/>
        <w:right w:w="108" w:type="dxa"/>
      </w:tblCellMar>
    </w:tblPr>
  </w:style>
  <w:style w:type="paragraph" w:styleId="2">
    <w:name w:val="Body Text"/>
    <w:basedOn w:val="1"/>
    <w:next w:val="3"/>
    <w:link w:val="55"/>
    <w:qFormat/>
    <w:uiPriority w:val="0"/>
    <w:pPr>
      <w:spacing w:after="120" w:afterLines="0"/>
    </w:pPr>
    <w:rPr>
      <w:rFonts w:ascii="Tahoma" w:hAnsi="Tahoma"/>
      <w:sz w:val="28"/>
    </w:rPr>
  </w:style>
  <w:style w:type="paragraph" w:styleId="3">
    <w:name w:val="Body Text First Indent"/>
    <w:basedOn w:val="2"/>
    <w:link w:val="81"/>
    <w:qFormat/>
    <w:uiPriority w:val="0"/>
    <w:pPr>
      <w:ind w:firstLine="420" w:firstLineChars="100"/>
    </w:pPr>
  </w:style>
  <w:style w:type="paragraph" w:styleId="9">
    <w:name w:val="Title"/>
    <w:basedOn w:val="1"/>
    <w:link w:val="60"/>
    <w:qFormat/>
    <w:uiPriority w:val="0"/>
    <w:pPr>
      <w:spacing w:before="240" w:beforeLines="0" w:beforeAutospacing="0" w:after="60" w:afterLines="0" w:afterAutospacing="0"/>
      <w:jc w:val="center"/>
      <w:outlineLvl w:val="0"/>
    </w:pPr>
    <w:rPr>
      <w:rFonts w:ascii="Cambria" w:hAnsi="Cambria" w:eastAsia="Cambria"/>
      <w:b/>
      <w:sz w:val="32"/>
      <w:szCs w:val="32"/>
    </w:rPr>
  </w:style>
  <w:style w:type="paragraph" w:styleId="10">
    <w:name w:val="Normal Indent"/>
    <w:basedOn w:val="1"/>
    <w:link w:val="62"/>
    <w:qFormat/>
    <w:uiPriority w:val="0"/>
    <w:pPr>
      <w:ind w:firstLine="420"/>
    </w:pPr>
    <w:rPr>
      <w:rFonts w:ascii="Tahoma" w:hAnsi="Tahoma" w:eastAsia="Tahoma"/>
      <w:b/>
    </w:rPr>
  </w:style>
  <w:style w:type="paragraph" w:styleId="15">
    <w:name w:val="toc 7"/>
    <w:basedOn w:val="1"/>
    <w:next w:val="1"/>
    <w:qFormat/>
    <w:uiPriority w:val="0"/>
    <w:pPr>
      <w:ind w:left="2520" w:leftChars="1200"/>
    </w:pPr>
  </w:style>
  <w:style w:type="paragraph" w:styleId="16">
    <w:name w:val="List Number"/>
    <w:basedOn w:val="1"/>
    <w:qFormat/>
    <w:uiPriority w:val="0"/>
    <w:pPr>
      <w:widowControl/>
      <w:tabs>
        <w:tab w:val="left" w:pos="454"/>
        <w:tab w:val="left" w:pos="720"/>
      </w:tabs>
      <w:spacing w:after="156" w:afterLines="50"/>
      <w:ind w:left="454" w:hanging="284"/>
      <w:jc w:val="left"/>
    </w:pPr>
    <w:rPr>
      <w:kern w:val="0"/>
      <w:sz w:val="24"/>
      <w:szCs w:val="20"/>
    </w:rPr>
  </w:style>
  <w:style w:type="paragraph" w:styleId="17">
    <w:name w:val="caption"/>
    <w:basedOn w:val="1"/>
    <w:next w:val="1"/>
    <w:qFormat/>
    <w:uiPriority w:val="0"/>
    <w:pPr>
      <w:spacing w:before="152" w:beforeLines="0" w:after="160" w:afterLines="0"/>
    </w:pPr>
    <w:rPr>
      <w:rFonts w:ascii="Arial" w:hAnsi="Arial" w:eastAsia="黑体" w:cs="Arial"/>
      <w:sz w:val="20"/>
      <w:szCs w:val="20"/>
    </w:rPr>
  </w:style>
  <w:style w:type="paragraph" w:styleId="18">
    <w:name w:val="Document Map"/>
    <w:basedOn w:val="1"/>
    <w:link w:val="67"/>
    <w:qFormat/>
    <w:uiPriority w:val="0"/>
    <w:pPr>
      <w:shd w:val="clear" w:color="auto" w:fill="000080"/>
    </w:pPr>
    <w:rPr>
      <w:rFonts w:hint="eastAsia" w:ascii="宋体" w:hAnsi="宋体"/>
      <w:sz w:val="18"/>
      <w:szCs w:val="18"/>
    </w:rPr>
  </w:style>
  <w:style w:type="paragraph" w:styleId="19">
    <w:name w:val="annotation text"/>
    <w:basedOn w:val="1"/>
    <w:link w:val="68"/>
    <w:qFormat/>
    <w:uiPriority w:val="0"/>
    <w:pPr>
      <w:keepNext w:val="0"/>
      <w:keepLines w:val="0"/>
      <w:widowControl w:val="0"/>
      <w:suppressLineNumbers w:val="0"/>
      <w:spacing w:before="0" w:beforeLines="0" w:beforeAutospacing="0" w:after="0" w:afterLines="0" w:afterAutospacing="0"/>
      <w:ind w:left="0" w:right="0"/>
      <w:jc w:val="left"/>
    </w:pPr>
    <w:rPr>
      <w:rFonts w:ascii="Tahoma" w:hAnsi="Tahoma"/>
    </w:rPr>
  </w:style>
  <w:style w:type="paragraph" w:styleId="20">
    <w:name w:val="Body Text 3"/>
    <w:basedOn w:val="1"/>
    <w:link w:val="69"/>
    <w:qFormat/>
    <w:uiPriority w:val="0"/>
    <w:pPr>
      <w:snapToGrid w:val="0"/>
      <w:spacing w:before="50" w:beforeLines="0" w:after="50" w:afterLines="0"/>
    </w:pPr>
    <w:rPr>
      <w:rFonts w:ascii="Tahoma" w:hAnsi="Tahoma"/>
      <w:sz w:val="16"/>
      <w:szCs w:val="16"/>
    </w:rPr>
  </w:style>
  <w:style w:type="paragraph" w:styleId="21">
    <w:name w:val="Body Text Indent"/>
    <w:basedOn w:val="1"/>
    <w:next w:val="1"/>
    <w:link w:val="70"/>
    <w:qFormat/>
    <w:uiPriority w:val="0"/>
    <w:pPr>
      <w:spacing w:line="200" w:lineRule="exact"/>
      <w:ind w:firstLine="301"/>
    </w:pPr>
    <w:rPr>
      <w:rFonts w:hint="eastAsia" w:ascii="宋体" w:hAnsi="Courier New"/>
      <w:spacing w:val="-4"/>
      <w:sz w:val="18"/>
      <w:szCs w:val="20"/>
    </w:rPr>
  </w:style>
  <w:style w:type="paragraph" w:styleId="22">
    <w:name w:val="List Number 3"/>
    <w:basedOn w:val="1"/>
    <w:qFormat/>
    <w:uiPriority w:val="0"/>
    <w:pPr>
      <w:numPr>
        <w:ilvl w:val="0"/>
        <w:numId w:val="1"/>
      </w:numPr>
    </w:pPr>
  </w:style>
  <w:style w:type="paragraph" w:styleId="23">
    <w:name w:val="List 2"/>
    <w:basedOn w:val="1"/>
    <w:qFormat/>
    <w:uiPriority w:val="0"/>
    <w:pPr>
      <w:ind w:left="100" w:leftChars="200" w:hanging="200" w:hangingChars="200"/>
    </w:pPr>
    <w:rPr>
      <w:sz w:val="28"/>
    </w:rPr>
  </w:style>
  <w:style w:type="paragraph" w:styleId="24">
    <w:name w:val="toc 5"/>
    <w:basedOn w:val="1"/>
    <w:next w:val="1"/>
    <w:qFormat/>
    <w:uiPriority w:val="0"/>
    <w:pPr>
      <w:ind w:left="1680" w:leftChars="800"/>
    </w:pPr>
  </w:style>
  <w:style w:type="paragraph" w:styleId="25">
    <w:name w:val="toc 3"/>
    <w:basedOn w:val="1"/>
    <w:next w:val="1"/>
    <w:qFormat/>
    <w:uiPriority w:val="0"/>
    <w:pPr>
      <w:ind w:left="840" w:leftChars="400"/>
    </w:pPr>
  </w:style>
  <w:style w:type="paragraph" w:styleId="26">
    <w:name w:val="Plain Text"/>
    <w:basedOn w:val="1"/>
    <w:link w:val="71"/>
    <w:qFormat/>
    <w:uiPriority w:val="0"/>
    <w:pPr>
      <w:spacing w:before="156" w:beforeLines="50" w:after="156" w:afterLines="50" w:line="400" w:lineRule="exact"/>
    </w:pPr>
    <w:rPr>
      <w:rFonts w:hint="eastAsia" w:ascii="宋体" w:hAnsi="Courier New"/>
      <w:szCs w:val="21"/>
    </w:rPr>
  </w:style>
  <w:style w:type="paragraph" w:styleId="27">
    <w:name w:val="toc 8"/>
    <w:basedOn w:val="1"/>
    <w:next w:val="1"/>
    <w:qFormat/>
    <w:uiPriority w:val="0"/>
    <w:pPr>
      <w:ind w:left="2940" w:leftChars="1400"/>
    </w:pPr>
  </w:style>
  <w:style w:type="paragraph" w:styleId="28">
    <w:name w:val="Date"/>
    <w:basedOn w:val="1"/>
    <w:next w:val="1"/>
    <w:link w:val="72"/>
    <w:qFormat/>
    <w:uiPriority w:val="0"/>
    <w:pPr>
      <w:ind w:leftChars="2500"/>
    </w:pPr>
    <w:rPr>
      <w:rFonts w:hint="eastAsia" w:ascii="黑体" w:hAnsi="宋体" w:eastAsia="黑体"/>
      <w:kern w:val="44"/>
      <w:position w:val="6"/>
      <w:szCs w:val="20"/>
    </w:rPr>
  </w:style>
  <w:style w:type="paragraph" w:styleId="29">
    <w:name w:val="Body Text Indent 2"/>
    <w:basedOn w:val="1"/>
    <w:link w:val="73"/>
    <w:qFormat/>
    <w:uiPriority w:val="0"/>
    <w:pPr>
      <w:snapToGrid w:val="0"/>
      <w:ind w:firstLine="542" w:firstLineChars="225"/>
    </w:pPr>
    <w:rPr>
      <w:rFonts w:ascii="Tahoma" w:hAnsi="Tahoma"/>
    </w:rPr>
  </w:style>
  <w:style w:type="paragraph" w:styleId="30">
    <w:name w:val="Balloon Text"/>
    <w:basedOn w:val="1"/>
    <w:link w:val="74"/>
    <w:qFormat/>
    <w:uiPriority w:val="0"/>
    <w:rPr>
      <w:rFonts w:ascii="Tahoma" w:hAnsi="Tahoma"/>
      <w:sz w:val="18"/>
      <w:szCs w:val="18"/>
    </w:rPr>
  </w:style>
  <w:style w:type="paragraph" w:styleId="31">
    <w:name w:val="footer"/>
    <w:basedOn w:val="1"/>
    <w:link w:val="75"/>
    <w:qFormat/>
    <w:uiPriority w:val="0"/>
    <w:pPr>
      <w:tabs>
        <w:tab w:val="center" w:pos="4153"/>
        <w:tab w:val="right" w:pos="8306"/>
      </w:tabs>
      <w:snapToGrid w:val="0"/>
      <w:jc w:val="left"/>
    </w:pPr>
    <w:rPr>
      <w:rFonts w:hint="eastAsia" w:ascii="黑体" w:hAnsi="宋体" w:eastAsia="黑体"/>
      <w:kern w:val="0"/>
      <w:sz w:val="18"/>
      <w:szCs w:val="18"/>
    </w:rPr>
  </w:style>
  <w:style w:type="paragraph" w:styleId="32">
    <w:name w:val="header"/>
    <w:basedOn w:val="1"/>
    <w:link w:val="76"/>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33">
    <w:name w:val="toc 1"/>
    <w:basedOn w:val="1"/>
    <w:next w:val="1"/>
    <w:qFormat/>
    <w:uiPriority w:val="39"/>
  </w:style>
  <w:style w:type="paragraph" w:styleId="34">
    <w:name w:val="toc 4"/>
    <w:basedOn w:val="1"/>
    <w:next w:val="1"/>
    <w:qFormat/>
    <w:uiPriority w:val="0"/>
    <w:pPr>
      <w:ind w:left="1260" w:leftChars="600"/>
    </w:pPr>
  </w:style>
  <w:style w:type="paragraph" w:styleId="35">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0"/>
    <w:pPr>
      <w:ind w:left="2100" w:leftChars="1000"/>
    </w:pPr>
  </w:style>
  <w:style w:type="paragraph" w:styleId="38">
    <w:name w:val="Body Text Indent 3"/>
    <w:basedOn w:val="1"/>
    <w:link w:val="77"/>
    <w:qFormat/>
    <w:uiPriority w:val="0"/>
    <w:pPr>
      <w:snapToGrid w:val="0"/>
      <w:ind w:firstLine="480" w:firstLineChars="200"/>
      <w:jc w:val="left"/>
    </w:pPr>
    <w:rPr>
      <w:rFonts w:ascii="Tahoma" w:hAnsi="Tahoma"/>
      <w:sz w:val="16"/>
      <w:szCs w:val="16"/>
    </w:rPr>
  </w:style>
  <w:style w:type="paragraph" w:styleId="39">
    <w:name w:val="toc 2"/>
    <w:basedOn w:val="1"/>
    <w:next w:val="1"/>
    <w:qFormat/>
    <w:uiPriority w:val="0"/>
    <w:pPr>
      <w:ind w:left="420" w:leftChars="200"/>
    </w:pPr>
  </w:style>
  <w:style w:type="paragraph" w:styleId="40">
    <w:name w:val="toc 9"/>
    <w:basedOn w:val="1"/>
    <w:next w:val="1"/>
    <w:qFormat/>
    <w:uiPriority w:val="0"/>
    <w:pPr>
      <w:ind w:left="3360" w:leftChars="1600"/>
    </w:pPr>
  </w:style>
  <w:style w:type="paragraph" w:styleId="41">
    <w:name w:val="Body Text 2"/>
    <w:basedOn w:val="1"/>
    <w:link w:val="78"/>
    <w:qFormat/>
    <w:uiPriority w:val="0"/>
    <w:pPr>
      <w:widowControl/>
      <w:snapToGrid w:val="0"/>
      <w:spacing w:before="50" w:beforeLines="0" w:after="156" w:afterLines="50" w:line="400" w:lineRule="exact"/>
      <w:jc w:val="left"/>
    </w:pPr>
    <w:rPr>
      <w:rFonts w:ascii="Tahoma" w:hAnsi="Tahoma"/>
      <w:spacing w:val="20"/>
    </w:rPr>
  </w:style>
  <w:style w:type="paragraph" w:styleId="42">
    <w:name w:val="HTML Preformatted"/>
    <w:basedOn w:val="1"/>
    <w:link w:val="79"/>
    <w:qFormat/>
    <w:uiPriority w:val="0"/>
    <w:rPr>
      <w:rFonts w:hint="eastAsia" w:ascii="宋体" w:hAnsi="宋体"/>
      <w:kern w:val="0"/>
      <w:sz w:val="24"/>
    </w:rPr>
  </w:style>
  <w:style w:type="paragraph" w:styleId="43">
    <w:name w:val="Normal (Web)"/>
    <w:basedOn w:val="1"/>
    <w:qFormat/>
    <w:uiPriority w:val="0"/>
    <w:pPr>
      <w:widowControl/>
      <w:spacing w:before="100" w:beforeLines="0" w:beforeAutospacing="1" w:after="100" w:afterLines="0" w:afterAutospacing="1"/>
      <w:jc w:val="left"/>
    </w:pPr>
    <w:rPr>
      <w:kern w:val="0"/>
      <w:sz w:val="24"/>
    </w:rPr>
  </w:style>
  <w:style w:type="paragraph" w:styleId="44">
    <w:name w:val="annotation subject"/>
    <w:basedOn w:val="19"/>
    <w:next w:val="19"/>
    <w:link w:val="80"/>
    <w:qFormat/>
    <w:uiPriority w:val="0"/>
    <w:rPr>
      <w:b/>
    </w:rPr>
  </w:style>
  <w:style w:type="paragraph" w:styleId="45">
    <w:name w:val="Body Text First Indent 2"/>
    <w:basedOn w:val="21"/>
    <w:next w:val="1"/>
    <w:qFormat/>
    <w:uiPriority w:val="0"/>
    <w:pPr>
      <w:ind w:firstLine="420" w:firstLineChars="200"/>
    </w:pPr>
    <w:rPr>
      <w:rFonts w:ascii="Times New Roman" w:hAnsi="Times New Roman" w:cs="Times New Roman"/>
      <w:lang w:val="zh-CN"/>
    </w:rPr>
  </w:style>
  <w:style w:type="table" w:styleId="47">
    <w:name w:val="Table Grid"/>
    <w:basedOn w:val="46"/>
    <w:qFormat/>
    <w:uiPriority w:val="0"/>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qFormat/>
    <w:uiPriority w:val="0"/>
    <w:rPr>
      <w:rFonts w:hint="default" w:ascii="Times New Roman" w:hAnsi="Times New Roman" w:cs="Times New Roman"/>
      <w:sz w:val="24"/>
      <w:szCs w:val="20"/>
    </w:rPr>
  </w:style>
  <w:style w:type="character" w:styleId="51">
    <w:name w:val="FollowedHyperlink"/>
    <w:qFormat/>
    <w:uiPriority w:val="0"/>
    <w:rPr>
      <w:rFonts w:ascii="Tahoma" w:hAnsi="Tahoma"/>
      <w:color w:val="004102"/>
      <w:sz w:val="24"/>
      <w:szCs w:val="20"/>
      <w:u w:val="none"/>
    </w:rPr>
  </w:style>
  <w:style w:type="character" w:styleId="52">
    <w:name w:val="Hyperlink"/>
    <w:qFormat/>
    <w:uiPriority w:val="99"/>
    <w:rPr>
      <w:rFonts w:ascii="Tahoma" w:hAnsi="Tahoma"/>
      <w:color w:val="004102"/>
      <w:sz w:val="24"/>
      <w:szCs w:val="20"/>
      <w:u w:val="none"/>
    </w:rPr>
  </w:style>
  <w:style w:type="character" w:styleId="53">
    <w:name w:val="annotation reference"/>
    <w:qFormat/>
    <w:uiPriority w:val="0"/>
    <w:rPr>
      <w:sz w:val="21"/>
      <w:szCs w:val="21"/>
    </w:rPr>
  </w:style>
  <w:style w:type="paragraph" w:customStyle="1" w:styleId="54">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5">
    <w:name w:val="正文文本 Char"/>
    <w:link w:val="2"/>
    <w:qFormat/>
    <w:uiPriority w:val="0"/>
    <w:rPr>
      <w:rFonts w:ascii="Tahoma" w:hAnsi="Tahoma"/>
      <w:kern w:val="2"/>
      <w:sz w:val="28"/>
      <w:szCs w:val="24"/>
    </w:rPr>
  </w:style>
  <w:style w:type="character" w:customStyle="1" w:styleId="56">
    <w:name w:val="标题 1 Char"/>
    <w:link w:val="4"/>
    <w:qFormat/>
    <w:uiPriority w:val="0"/>
    <w:rPr>
      <w:rFonts w:ascii="Calibri" w:hAnsi="Calibri"/>
      <w:b/>
      <w:kern w:val="44"/>
      <w:sz w:val="44"/>
    </w:rPr>
  </w:style>
  <w:style w:type="character" w:customStyle="1" w:styleId="57">
    <w:name w:val="标题 2 Char1"/>
    <w:link w:val="5"/>
    <w:qFormat/>
    <w:uiPriority w:val="9"/>
    <w:rPr>
      <w:rFonts w:ascii="Arial" w:hAnsi="Arial" w:eastAsia="仿宋_GB2312"/>
      <w:b/>
      <w:bCs/>
      <w:kern w:val="2"/>
      <w:sz w:val="28"/>
      <w:szCs w:val="32"/>
    </w:rPr>
  </w:style>
  <w:style w:type="character" w:customStyle="1" w:styleId="58">
    <w:name w:val="标题 3 Char"/>
    <w:link w:val="6"/>
    <w:qFormat/>
    <w:uiPriority w:val="0"/>
    <w:rPr>
      <w:b/>
      <w:kern w:val="2"/>
      <w:sz w:val="32"/>
    </w:rPr>
  </w:style>
  <w:style w:type="character" w:customStyle="1" w:styleId="59">
    <w:name w:val="标题 4 Char"/>
    <w:link w:val="7"/>
    <w:qFormat/>
    <w:uiPriority w:val="0"/>
    <w:rPr>
      <w:rFonts w:hint="default" w:ascii="Cambria" w:hAnsi="Cambria" w:eastAsia="Cambria" w:cs="Cambria"/>
      <w:b/>
      <w:kern w:val="2"/>
      <w:sz w:val="28"/>
      <w:szCs w:val="28"/>
    </w:rPr>
  </w:style>
  <w:style w:type="character" w:customStyle="1" w:styleId="60">
    <w:name w:val="标题 Char"/>
    <w:link w:val="9"/>
    <w:qFormat/>
    <w:uiPriority w:val="0"/>
    <w:rPr>
      <w:rFonts w:hint="default" w:ascii="Cambria" w:hAnsi="Cambria" w:eastAsia="Cambria" w:cs="Times New Roman"/>
      <w:b/>
      <w:kern w:val="2"/>
      <w:sz w:val="32"/>
      <w:szCs w:val="32"/>
    </w:rPr>
  </w:style>
  <w:style w:type="character" w:customStyle="1" w:styleId="61">
    <w:name w:val="标题 5 Char"/>
    <w:link w:val="8"/>
    <w:qFormat/>
    <w:uiPriority w:val="0"/>
    <w:rPr>
      <w:rFonts w:ascii="Tahoma" w:hAnsi="Tahoma"/>
      <w:b/>
      <w:kern w:val="2"/>
      <w:sz w:val="28"/>
      <w:szCs w:val="20"/>
    </w:rPr>
  </w:style>
  <w:style w:type="character" w:customStyle="1" w:styleId="62">
    <w:name w:val="正文缩进 Char"/>
    <w:link w:val="10"/>
    <w:qFormat/>
    <w:uiPriority w:val="0"/>
    <w:rPr>
      <w:rFonts w:hint="default" w:ascii="Tahoma" w:hAnsi="Tahoma" w:eastAsia="Tahoma" w:cs="Tahoma"/>
      <w:b/>
      <w:kern w:val="2"/>
      <w:sz w:val="21"/>
      <w:szCs w:val="24"/>
    </w:rPr>
  </w:style>
  <w:style w:type="character" w:customStyle="1" w:styleId="63">
    <w:name w:val="标题 6 Char"/>
    <w:link w:val="11"/>
    <w:qFormat/>
    <w:uiPriority w:val="0"/>
    <w:rPr>
      <w:rFonts w:hint="default" w:ascii="Arial" w:hAnsi="Arial" w:eastAsia="黑体" w:cs="Arial"/>
      <w:b/>
      <w:kern w:val="2"/>
      <w:sz w:val="24"/>
      <w:szCs w:val="20"/>
    </w:rPr>
  </w:style>
  <w:style w:type="character" w:customStyle="1" w:styleId="64">
    <w:name w:val="标题 7 Char"/>
    <w:link w:val="12"/>
    <w:qFormat/>
    <w:uiPriority w:val="0"/>
    <w:rPr>
      <w:rFonts w:ascii="Tahoma" w:hAnsi="Tahoma"/>
      <w:b/>
      <w:kern w:val="2"/>
      <w:sz w:val="24"/>
      <w:szCs w:val="20"/>
    </w:rPr>
  </w:style>
  <w:style w:type="character" w:customStyle="1" w:styleId="65">
    <w:name w:val="标题 8 Char"/>
    <w:link w:val="13"/>
    <w:qFormat/>
    <w:uiPriority w:val="0"/>
    <w:rPr>
      <w:rFonts w:ascii="Arial" w:hAnsi="Arial" w:eastAsia="黑体" w:cs="Arial"/>
      <w:kern w:val="2"/>
      <w:sz w:val="21"/>
      <w:szCs w:val="24"/>
    </w:rPr>
  </w:style>
  <w:style w:type="character" w:customStyle="1" w:styleId="66">
    <w:name w:val="标题 9 Char"/>
    <w:link w:val="14"/>
    <w:qFormat/>
    <w:uiPriority w:val="0"/>
    <w:rPr>
      <w:rFonts w:hint="default" w:ascii="Arial" w:hAnsi="Arial" w:eastAsia="黑体" w:cs="Arial"/>
      <w:kern w:val="2"/>
      <w:sz w:val="21"/>
      <w:szCs w:val="20"/>
    </w:rPr>
  </w:style>
  <w:style w:type="character" w:customStyle="1" w:styleId="67">
    <w:name w:val="文档结构图 Char"/>
    <w:link w:val="18"/>
    <w:qFormat/>
    <w:uiPriority w:val="0"/>
    <w:rPr>
      <w:rFonts w:hint="eastAsia" w:ascii="宋体" w:hAnsi="宋体" w:eastAsia="宋体" w:cs="宋体"/>
      <w:kern w:val="2"/>
      <w:sz w:val="18"/>
      <w:szCs w:val="18"/>
    </w:rPr>
  </w:style>
  <w:style w:type="character" w:customStyle="1" w:styleId="68">
    <w:name w:val="批注文字 Char"/>
    <w:link w:val="19"/>
    <w:qFormat/>
    <w:uiPriority w:val="0"/>
    <w:rPr>
      <w:rFonts w:ascii="Tahoma" w:hAnsi="Tahoma"/>
      <w:kern w:val="2"/>
      <w:sz w:val="21"/>
      <w:szCs w:val="24"/>
    </w:rPr>
  </w:style>
  <w:style w:type="character" w:customStyle="1" w:styleId="69">
    <w:name w:val="正文文本 3 Char"/>
    <w:link w:val="20"/>
    <w:qFormat/>
    <w:uiPriority w:val="0"/>
    <w:rPr>
      <w:rFonts w:ascii="Tahoma" w:hAnsi="Tahoma"/>
      <w:kern w:val="2"/>
      <w:sz w:val="16"/>
      <w:szCs w:val="16"/>
    </w:rPr>
  </w:style>
  <w:style w:type="character" w:customStyle="1" w:styleId="70">
    <w:name w:val="正文文本缩进 Char"/>
    <w:link w:val="21"/>
    <w:qFormat/>
    <w:uiPriority w:val="0"/>
    <w:rPr>
      <w:rFonts w:hint="eastAsia" w:ascii="宋体" w:hAnsi="Courier New" w:eastAsia="宋体" w:cs="宋体"/>
      <w:spacing w:val="-4"/>
      <w:kern w:val="2"/>
      <w:sz w:val="18"/>
      <w:szCs w:val="20"/>
    </w:rPr>
  </w:style>
  <w:style w:type="character" w:customStyle="1" w:styleId="71">
    <w:name w:val="纯文本 Char"/>
    <w:link w:val="26"/>
    <w:qFormat/>
    <w:uiPriority w:val="0"/>
    <w:rPr>
      <w:rFonts w:hint="eastAsia" w:ascii="宋体" w:hAnsi="Courier New" w:eastAsia="宋体" w:cs="Courier New"/>
      <w:kern w:val="2"/>
      <w:sz w:val="21"/>
      <w:szCs w:val="21"/>
    </w:rPr>
  </w:style>
  <w:style w:type="character" w:customStyle="1" w:styleId="72">
    <w:name w:val="日期 Char"/>
    <w:link w:val="28"/>
    <w:qFormat/>
    <w:uiPriority w:val="0"/>
    <w:rPr>
      <w:rFonts w:hint="eastAsia" w:ascii="黑体" w:hAnsi="宋体" w:eastAsia="黑体" w:cs="黑体"/>
      <w:kern w:val="44"/>
      <w:position w:val="6"/>
      <w:sz w:val="21"/>
      <w:szCs w:val="20"/>
    </w:rPr>
  </w:style>
  <w:style w:type="character" w:customStyle="1" w:styleId="73">
    <w:name w:val="正文文本缩进 2 Char"/>
    <w:link w:val="29"/>
    <w:qFormat/>
    <w:uiPriority w:val="0"/>
    <w:rPr>
      <w:rFonts w:ascii="Tahoma" w:hAnsi="Tahoma"/>
      <w:kern w:val="2"/>
      <w:sz w:val="21"/>
      <w:szCs w:val="24"/>
    </w:rPr>
  </w:style>
  <w:style w:type="character" w:customStyle="1" w:styleId="74">
    <w:name w:val="批注框文本 Char"/>
    <w:link w:val="30"/>
    <w:qFormat/>
    <w:uiPriority w:val="0"/>
    <w:rPr>
      <w:rFonts w:ascii="Tahoma" w:hAnsi="Tahoma"/>
      <w:kern w:val="2"/>
      <w:sz w:val="18"/>
      <w:szCs w:val="18"/>
    </w:rPr>
  </w:style>
  <w:style w:type="character" w:customStyle="1" w:styleId="75">
    <w:name w:val="页脚 Char"/>
    <w:link w:val="31"/>
    <w:qFormat/>
    <w:uiPriority w:val="0"/>
    <w:rPr>
      <w:rFonts w:hint="eastAsia" w:ascii="黑体" w:hAnsi="宋体" w:eastAsia="黑体" w:cs="黑体"/>
      <w:snapToGrid/>
      <w:sz w:val="18"/>
      <w:szCs w:val="18"/>
    </w:rPr>
  </w:style>
  <w:style w:type="character" w:customStyle="1" w:styleId="76">
    <w:name w:val="页眉 Char"/>
    <w:link w:val="32"/>
    <w:qFormat/>
    <w:uiPriority w:val="0"/>
    <w:rPr>
      <w:rFonts w:ascii="Tahoma" w:hAnsi="Tahoma"/>
      <w:kern w:val="2"/>
      <w:sz w:val="18"/>
      <w:szCs w:val="18"/>
    </w:rPr>
  </w:style>
  <w:style w:type="character" w:customStyle="1" w:styleId="77">
    <w:name w:val="正文文本缩进 3 Char"/>
    <w:link w:val="38"/>
    <w:qFormat/>
    <w:uiPriority w:val="0"/>
    <w:rPr>
      <w:rFonts w:ascii="Tahoma" w:hAnsi="Tahoma"/>
      <w:kern w:val="2"/>
      <w:sz w:val="16"/>
      <w:szCs w:val="16"/>
    </w:rPr>
  </w:style>
  <w:style w:type="character" w:customStyle="1" w:styleId="78">
    <w:name w:val="正文文本 2 Char"/>
    <w:link w:val="41"/>
    <w:qFormat/>
    <w:uiPriority w:val="0"/>
    <w:rPr>
      <w:rFonts w:ascii="Tahoma" w:hAnsi="Tahoma"/>
      <w:spacing w:val="20"/>
      <w:kern w:val="2"/>
      <w:sz w:val="21"/>
      <w:szCs w:val="24"/>
    </w:rPr>
  </w:style>
  <w:style w:type="character" w:customStyle="1" w:styleId="79">
    <w:name w:val="HTML 预设格式 Char"/>
    <w:link w:val="42"/>
    <w:qFormat/>
    <w:uiPriority w:val="0"/>
    <w:rPr>
      <w:rFonts w:hint="eastAsia" w:ascii="宋体" w:hAnsi="宋体" w:eastAsia="宋体" w:cs="宋体"/>
      <w:sz w:val="24"/>
      <w:szCs w:val="24"/>
    </w:rPr>
  </w:style>
  <w:style w:type="character" w:customStyle="1" w:styleId="80">
    <w:name w:val="批注主题 Char"/>
    <w:link w:val="44"/>
    <w:qFormat/>
    <w:uiPriority w:val="0"/>
    <w:rPr>
      <w:rFonts w:ascii="Tahoma" w:hAnsi="Tahoma"/>
      <w:b/>
      <w:kern w:val="2"/>
      <w:sz w:val="21"/>
      <w:szCs w:val="24"/>
    </w:rPr>
  </w:style>
  <w:style w:type="character" w:customStyle="1" w:styleId="81">
    <w:name w:val="正文首行缩进 Char"/>
    <w:link w:val="3"/>
    <w:qFormat/>
    <w:uiPriority w:val="0"/>
    <w:rPr>
      <w:rFonts w:ascii="Tahoma" w:hAnsi="Tahoma"/>
      <w:kern w:val="2"/>
      <w:sz w:val="28"/>
      <w:szCs w:val="24"/>
    </w:rPr>
  </w:style>
  <w:style w:type="character" w:customStyle="1" w:styleId="82">
    <w:name w:val="Char Char1"/>
    <w:qFormat/>
    <w:uiPriority w:val="0"/>
    <w:rPr>
      <w:rFonts w:ascii="宋体" w:hAnsi="Courier New" w:eastAsia="宋体" w:cs="Courier New"/>
      <w:kern w:val="2"/>
      <w:sz w:val="21"/>
      <w:szCs w:val="21"/>
      <w:lang w:val="en-US" w:eastAsia="zh-CN" w:bidi="ar-SA"/>
    </w:rPr>
  </w:style>
  <w:style w:type="character" w:customStyle="1" w:styleId="83">
    <w:name w:val="font21"/>
    <w:qFormat/>
    <w:uiPriority w:val="0"/>
    <w:rPr>
      <w:rFonts w:hint="default" w:ascii="Times New Roman" w:hAnsi="Times New Roman" w:cs="Times New Roman"/>
      <w:b/>
      <w:color w:val="000000"/>
      <w:sz w:val="22"/>
      <w:szCs w:val="22"/>
      <w:u w:val="single"/>
    </w:rPr>
  </w:style>
  <w:style w:type="character" w:customStyle="1" w:styleId="84">
    <w:name w:val=" Char Char1"/>
    <w:link w:val="85"/>
    <w:qFormat/>
    <w:uiPriority w:val="0"/>
    <w:rPr>
      <w:rFonts w:ascii="Verdana" w:hAnsi="Verdana"/>
      <w:kern w:val="0"/>
      <w:sz w:val="24"/>
      <w:szCs w:val="20"/>
      <w:lang w:eastAsia="en-US"/>
    </w:rPr>
  </w:style>
  <w:style w:type="paragraph" w:customStyle="1" w:styleId="85">
    <w:name w:val=" Char"/>
    <w:basedOn w:val="1"/>
    <w:link w:val="84"/>
    <w:qFormat/>
    <w:uiPriority w:val="0"/>
    <w:pPr>
      <w:widowControl/>
      <w:spacing w:line="400" w:lineRule="exact"/>
      <w:jc w:val="center"/>
    </w:pPr>
    <w:rPr>
      <w:rFonts w:ascii="Verdana" w:hAnsi="Verdana"/>
      <w:kern w:val="0"/>
      <w:sz w:val="24"/>
      <w:szCs w:val="20"/>
      <w:lang w:eastAsia="en-US"/>
    </w:rPr>
  </w:style>
  <w:style w:type="character" w:customStyle="1" w:styleId="86">
    <w:name w:val="标题 Char Char"/>
    <w:qFormat/>
    <w:uiPriority w:val="0"/>
    <w:rPr>
      <w:rFonts w:ascii="Tahoma" w:hAnsi="Tahoma"/>
      <w:b/>
      <w:sz w:val="24"/>
      <w:szCs w:val="20"/>
      <w:lang w:val="en-US"/>
    </w:rPr>
  </w:style>
  <w:style w:type="character" w:customStyle="1" w:styleId="87">
    <w:name w:val="标题 1 Char Char"/>
    <w:qFormat/>
    <w:uiPriority w:val="0"/>
    <w:rPr>
      <w:rFonts w:eastAsia="宋体"/>
      <w:b/>
      <w:spacing w:val="-2"/>
      <w:sz w:val="24"/>
      <w:lang w:val="en-US" w:eastAsia="zh-CN" w:bidi="ar-SA"/>
    </w:rPr>
  </w:style>
  <w:style w:type="character" w:customStyle="1" w:styleId="88">
    <w:name w:val="en"/>
    <w:qFormat/>
    <w:uiPriority w:val="0"/>
    <w:rPr>
      <w:rFonts w:hint="default" w:ascii="Tahoma" w:hAnsi="Tahoma" w:eastAsia="Tahoma" w:cs="Tahoma"/>
      <w:b/>
      <w:sz w:val="24"/>
      <w:szCs w:val="24"/>
    </w:rPr>
  </w:style>
  <w:style w:type="character" w:customStyle="1" w:styleId="89">
    <w:name w:val="纯文本 Char2"/>
    <w:qFormat/>
    <w:uiPriority w:val="0"/>
    <w:rPr>
      <w:rFonts w:hint="eastAsia" w:ascii="宋体" w:hAnsi="Courier New" w:eastAsia="宋体" w:cs="宋体"/>
      <w:kern w:val="2"/>
      <w:sz w:val="24"/>
      <w:szCs w:val="24"/>
    </w:rPr>
  </w:style>
  <w:style w:type="character" w:customStyle="1" w:styleId="90">
    <w:name w:val="标题 41"/>
    <w:basedOn w:val="48"/>
    <w:qFormat/>
    <w:uiPriority w:val="0"/>
  </w:style>
  <w:style w:type="character" w:customStyle="1" w:styleId="91">
    <w:name w:val="fontstyle01"/>
    <w:qFormat/>
    <w:uiPriority w:val="0"/>
    <w:rPr>
      <w:rFonts w:hint="eastAsia" w:ascii="宋体" w:hAnsi="宋体" w:eastAsia="宋体"/>
      <w:color w:val="000000"/>
      <w:sz w:val="24"/>
      <w:szCs w:val="24"/>
    </w:rPr>
  </w:style>
  <w:style w:type="character" w:customStyle="1" w:styleId="92">
    <w:name w:val="font12"/>
    <w:qFormat/>
    <w:uiPriority w:val="0"/>
    <w:rPr>
      <w:rFonts w:hint="eastAsia" w:ascii="宋体" w:hAnsi="宋体" w:eastAsia="宋体" w:cs="宋体"/>
      <w:color w:val="FF0000"/>
      <w:sz w:val="20"/>
      <w:szCs w:val="20"/>
      <w:u w:val="none"/>
    </w:rPr>
  </w:style>
  <w:style w:type="character" w:customStyle="1" w:styleId="93">
    <w:name w:val="Char Char Char"/>
    <w:qFormat/>
    <w:uiPriority w:val="0"/>
    <w:rPr>
      <w:rFonts w:ascii="宋体" w:hAnsi="Courier New" w:eastAsia="宋体"/>
      <w:kern w:val="2"/>
      <w:sz w:val="24"/>
      <w:szCs w:val="24"/>
      <w:lang w:val="en-US" w:eastAsia="zh-CN" w:bidi="ar-SA"/>
    </w:rPr>
  </w:style>
  <w:style w:type="character" w:customStyle="1" w:styleId="94">
    <w:name w:val="e"/>
    <w:qFormat/>
    <w:uiPriority w:val="0"/>
    <w:rPr>
      <w:rFonts w:hint="default" w:ascii="Tahoma" w:hAnsi="Tahoma" w:eastAsia="Tahoma" w:cs="Tahoma"/>
      <w:b/>
      <w:sz w:val="24"/>
      <w:szCs w:val="24"/>
    </w:rPr>
  </w:style>
  <w:style w:type="character" w:customStyle="1" w:styleId="95">
    <w:name w:val="z21"/>
    <w:qFormat/>
    <w:uiPriority w:val="0"/>
    <w:rPr>
      <w:rFonts w:ascii="Tahoma" w:hAnsi="Tahoma"/>
      <w:color w:val="000000"/>
      <w:sz w:val="18"/>
      <w:szCs w:val="18"/>
    </w:rPr>
  </w:style>
  <w:style w:type="character" w:customStyle="1" w:styleId="96">
    <w:name w:val="标题 2 Char Char"/>
    <w:qFormat/>
    <w:uiPriority w:val="0"/>
    <w:rPr>
      <w:rFonts w:ascii="Arial" w:hAnsi="Arial" w:eastAsia="黑体"/>
      <w:b/>
      <w:bCs/>
      <w:kern w:val="2"/>
      <w:sz w:val="32"/>
      <w:szCs w:val="32"/>
      <w:lang w:val="en-US" w:eastAsia="zh-CN" w:bidi="ar-SA"/>
    </w:rPr>
  </w:style>
  <w:style w:type="character" w:customStyle="1" w:styleId="97">
    <w:name w:val="批注文字 字符1"/>
    <w:qFormat/>
    <w:uiPriority w:val="0"/>
    <w:rPr>
      <w:rFonts w:ascii="Tahoma" w:hAnsi="Tahoma"/>
      <w:kern w:val="2"/>
      <w:sz w:val="21"/>
      <w:szCs w:val="24"/>
    </w:rPr>
  </w:style>
  <w:style w:type="character" w:customStyle="1" w:styleId="98">
    <w:name w:val="批注文字 Char Char"/>
    <w:qFormat/>
    <w:uiPriority w:val="0"/>
    <w:rPr>
      <w:rFonts w:ascii="Tahoma" w:hAnsi="Tahoma"/>
      <w:kern w:val="2"/>
      <w:sz w:val="21"/>
      <w:szCs w:val="20"/>
    </w:rPr>
  </w:style>
  <w:style w:type="character" w:customStyle="1" w:styleId="99">
    <w:name w:val="news1"/>
    <w:qFormat/>
    <w:uiPriority w:val="0"/>
    <w:rPr>
      <w:rFonts w:hint="default" w:ascii="Tahoma" w:hAnsi="Tahoma" w:eastAsia="Tahoma" w:cs="Tahoma"/>
      <w:b/>
      <w:sz w:val="24"/>
      <w:szCs w:val="24"/>
    </w:rPr>
  </w:style>
  <w:style w:type="character" w:customStyle="1" w:styleId="100">
    <w:name w:val="font111"/>
    <w:qFormat/>
    <w:uiPriority w:val="0"/>
    <w:rPr>
      <w:rFonts w:hint="eastAsia" w:ascii="宋体" w:hAnsi="宋体" w:eastAsia="宋体" w:cs="宋体"/>
      <w:color w:val="000000"/>
      <w:sz w:val="20"/>
      <w:szCs w:val="20"/>
      <w:u w:val="none"/>
    </w:rPr>
  </w:style>
  <w:style w:type="character" w:customStyle="1" w:styleId="101">
    <w:name w:val="文档结构图 Char Char"/>
    <w:qFormat/>
    <w:uiPriority w:val="0"/>
    <w:rPr>
      <w:rFonts w:hint="eastAsia" w:ascii="Microsoft YaHei UI" w:hAnsi="Tahoma" w:eastAsia="Microsoft YaHei UI" w:cs="Microsoft YaHei UI"/>
      <w:kern w:val="2"/>
      <w:sz w:val="18"/>
      <w:szCs w:val="18"/>
    </w:rPr>
  </w:style>
  <w:style w:type="character" w:customStyle="1" w:styleId="102">
    <w:name w:val="HTML 预设格式 Char2"/>
    <w:qFormat/>
    <w:uiPriority w:val="0"/>
    <w:rPr>
      <w:rFonts w:ascii="Courier New" w:hAnsi="Courier New" w:cs="Courier New"/>
      <w:kern w:val="2"/>
      <w:sz w:val="24"/>
      <w:szCs w:val="20"/>
    </w:rPr>
  </w:style>
  <w:style w:type="character" w:customStyle="1" w:styleId="103">
    <w:name w:val="正文文本缩进 2 Char Char"/>
    <w:qFormat/>
    <w:uiPriority w:val="0"/>
    <w:rPr>
      <w:rFonts w:ascii="Tahoma" w:hAnsi="Tahoma"/>
      <w:kern w:val="2"/>
      <w:sz w:val="21"/>
      <w:szCs w:val="20"/>
    </w:rPr>
  </w:style>
  <w:style w:type="character" w:customStyle="1" w:styleId="104">
    <w:name w:val="c_title1"/>
    <w:qFormat/>
    <w:uiPriority w:val="0"/>
    <w:rPr>
      <w:rFonts w:hint="eastAsia" w:ascii="黑体" w:hAnsi="Tahoma" w:eastAsia="黑体" w:cs="黑体"/>
      <w:b/>
      <w:color w:val="03005C"/>
      <w:sz w:val="30"/>
      <w:szCs w:val="30"/>
      <w:u w:val="none"/>
    </w:rPr>
  </w:style>
  <w:style w:type="character" w:customStyle="1" w:styleId="105">
    <w:name w:val="a41"/>
    <w:qFormat/>
    <w:uiPriority w:val="0"/>
    <w:rPr>
      <w:rFonts w:ascii="Tahoma" w:hAnsi="Tahoma"/>
      <w:color w:val="666666"/>
      <w:sz w:val="26"/>
      <w:szCs w:val="26"/>
    </w:rPr>
  </w:style>
  <w:style w:type="character" w:customStyle="1" w:styleId="106">
    <w:name w:val="正文文本缩进 Char Char"/>
    <w:qFormat/>
    <w:uiPriority w:val="0"/>
    <w:rPr>
      <w:rFonts w:ascii="Tahoma" w:hAnsi="Tahoma"/>
      <w:kern w:val="2"/>
      <w:sz w:val="21"/>
      <w:szCs w:val="24"/>
    </w:rPr>
  </w:style>
  <w:style w:type="character" w:customStyle="1" w:styleId="107">
    <w:name w:val="Table Text Char Char Char Char"/>
    <w:qFormat/>
    <w:uiPriority w:val="0"/>
    <w:rPr>
      <w:rFonts w:hint="default" w:ascii="Arial" w:hAnsi="Arial" w:eastAsia="宋体" w:cs="Arial"/>
      <w:kern w:val="2"/>
      <w:sz w:val="18"/>
      <w:szCs w:val="18"/>
      <w:lang w:val="en-US" w:eastAsia="zh-CN" w:bidi="ar"/>
    </w:rPr>
  </w:style>
  <w:style w:type="character" w:customStyle="1" w:styleId="108">
    <w:name w:val="样式 标题 1合同标题卷标题H1h1Level 1 Topic HeadingH11H12H111H13H1... Char Char"/>
    <w:qFormat/>
    <w:uiPriority w:val="0"/>
    <w:rPr>
      <w:rFonts w:hint="eastAsia" w:ascii="宋体" w:hAnsi="宋体" w:eastAsia="宋体" w:cs="宋体"/>
      <w:b/>
      <w:kern w:val="44"/>
      <w:sz w:val="24"/>
      <w:szCs w:val="44"/>
      <w:lang w:val="en-US" w:eastAsia="zh-CN" w:bidi="ar"/>
    </w:rPr>
  </w:style>
  <w:style w:type="character" w:customStyle="1" w:styleId="109">
    <w:name w:val="r21"/>
    <w:qFormat/>
    <w:uiPriority w:val="0"/>
    <w:rPr>
      <w:rFonts w:hint="default" w:ascii="Tahoma" w:hAnsi="Tahoma" w:eastAsia="Tahoma" w:cs="Tahoma"/>
      <w:b/>
      <w:color w:val="666666"/>
      <w:sz w:val="18"/>
      <w:szCs w:val="18"/>
      <w:u w:val="none"/>
    </w:rPr>
  </w:style>
  <w:style w:type="character" w:customStyle="1" w:styleId="110">
    <w:name w:val="文档结构图 Char1"/>
    <w:qFormat/>
    <w:uiPriority w:val="0"/>
    <w:rPr>
      <w:rFonts w:hint="eastAsia" w:ascii="宋体" w:hAnsi="宋体" w:eastAsia="宋体" w:cs="宋体"/>
      <w:kern w:val="2"/>
      <w:sz w:val="18"/>
      <w:szCs w:val="18"/>
    </w:rPr>
  </w:style>
  <w:style w:type="character" w:customStyle="1" w:styleId="111">
    <w:name w:val="Plain Text Char"/>
    <w:qFormat/>
    <w:uiPriority w:val="0"/>
    <w:rPr>
      <w:rFonts w:ascii="宋体" w:hAnsi="Courier New" w:eastAsia="宋体" w:cs="Times New Roman"/>
      <w:sz w:val="20"/>
      <w:szCs w:val="20"/>
    </w:rPr>
  </w:style>
  <w:style w:type="character" w:customStyle="1" w:styleId="112">
    <w:name w:val="font141"/>
    <w:qFormat/>
    <w:uiPriority w:val="0"/>
    <w:rPr>
      <w:rFonts w:hint="default" w:ascii="Tahoma" w:hAnsi="Tahoma" w:eastAsia="Tahoma" w:cs="Tahoma"/>
      <w:sz w:val="24"/>
      <w:szCs w:val="24"/>
    </w:rPr>
  </w:style>
  <w:style w:type="character" w:customStyle="1" w:styleId="113">
    <w:name w:val="纯文本 字符1"/>
    <w:qFormat/>
    <w:uiPriority w:val="0"/>
    <w:rPr>
      <w:rFonts w:ascii="等线" w:hAnsi="Courier New" w:eastAsia="等线" w:cs="Courier New"/>
      <w:kern w:val="2"/>
      <w:sz w:val="21"/>
      <w:szCs w:val="24"/>
    </w:rPr>
  </w:style>
  <w:style w:type="character" w:customStyle="1" w:styleId="114">
    <w:name w:val="fontheight2"/>
    <w:qFormat/>
    <w:uiPriority w:val="0"/>
    <w:rPr>
      <w:rFonts w:ascii="Tahoma" w:hAnsi="Tahoma"/>
      <w:sz w:val="20"/>
      <w:szCs w:val="20"/>
      <w:u w:val="none"/>
    </w:rPr>
  </w:style>
  <w:style w:type="character" w:customStyle="1" w:styleId="115">
    <w:name w:val="kleintab"/>
    <w:qFormat/>
    <w:uiPriority w:val="0"/>
    <w:rPr>
      <w:rFonts w:hint="default" w:ascii="Tahoma" w:hAnsi="Tahoma" w:eastAsia="Tahoma" w:cs="Tahoma"/>
      <w:b/>
      <w:sz w:val="24"/>
      <w:szCs w:val="24"/>
    </w:rPr>
  </w:style>
  <w:style w:type="character" w:customStyle="1" w:styleId="116">
    <w:name w:val="text1"/>
    <w:qFormat/>
    <w:uiPriority w:val="0"/>
    <w:rPr>
      <w:rFonts w:ascii="Tahoma" w:hAnsi="Tahoma"/>
      <w:color w:val="000000"/>
      <w:sz w:val="24"/>
      <w:szCs w:val="24"/>
    </w:rPr>
  </w:style>
  <w:style w:type="character" w:customStyle="1" w:styleId="117">
    <w:name w:val="标题 2 Char"/>
    <w:qFormat/>
    <w:uiPriority w:val="0"/>
    <w:rPr>
      <w:rFonts w:hint="default" w:ascii="Arial" w:hAnsi="Arial" w:eastAsia="黑体" w:cs="Arial"/>
      <w:b/>
      <w:kern w:val="2"/>
      <w:sz w:val="32"/>
      <w:szCs w:val="32"/>
    </w:rPr>
  </w:style>
  <w:style w:type="character" w:customStyle="1" w:styleId="118">
    <w:name w:val="page number"/>
    <w:qFormat/>
    <w:uiPriority w:val="0"/>
    <w:rPr>
      <w:rFonts w:hint="default" w:ascii="Times New Roman" w:hAnsi="Tahoma" w:cs="Times New Roman"/>
      <w:b/>
      <w:sz w:val="24"/>
      <w:szCs w:val="24"/>
    </w:rPr>
  </w:style>
  <w:style w:type="character" w:customStyle="1" w:styleId="119">
    <w:name w:val="font71"/>
    <w:qFormat/>
    <w:uiPriority w:val="0"/>
    <w:rPr>
      <w:rFonts w:hint="eastAsia" w:ascii="宋体" w:hAnsi="宋体" w:eastAsia="宋体" w:cs="宋体"/>
      <w:b/>
      <w:color w:val="000000"/>
      <w:sz w:val="22"/>
      <w:szCs w:val="22"/>
      <w:u w:val="none"/>
    </w:rPr>
  </w:style>
  <w:style w:type="character" w:customStyle="1" w:styleId="120">
    <w:name w:val="medium_text1"/>
    <w:qFormat/>
    <w:uiPriority w:val="0"/>
    <w:rPr>
      <w:rFonts w:hint="default" w:ascii="Times New Roman" w:hAnsi="Times New Roman" w:cs="Times New Roman"/>
      <w:sz w:val="24"/>
      <w:szCs w:val="24"/>
    </w:rPr>
  </w:style>
  <w:style w:type="character" w:customStyle="1" w:styleId="121">
    <w:name w:val="md1"/>
    <w:qFormat/>
    <w:uiPriority w:val="0"/>
    <w:rPr>
      <w:rFonts w:ascii="Tahoma" w:hAnsi="Tahoma"/>
      <w:sz w:val="21"/>
      <w:szCs w:val="21"/>
    </w:rPr>
  </w:style>
  <w:style w:type="character" w:customStyle="1" w:styleId="122">
    <w:name w:val="tx_news9"/>
    <w:qFormat/>
    <w:uiPriority w:val="0"/>
    <w:rPr>
      <w:rFonts w:hint="default" w:ascii="Tahoma" w:hAnsi="Tahoma" w:eastAsia="Tahoma" w:cs="Tahoma"/>
      <w:b/>
      <w:sz w:val="24"/>
      <w:szCs w:val="24"/>
    </w:rPr>
  </w:style>
  <w:style w:type="character" w:customStyle="1" w:styleId="123">
    <w:name w:val="正文文本缩进 字符1"/>
    <w:qFormat/>
    <w:uiPriority w:val="0"/>
    <w:rPr>
      <w:rFonts w:ascii="Tahoma" w:hAnsi="Tahoma"/>
      <w:kern w:val="2"/>
      <w:sz w:val="21"/>
      <w:szCs w:val="24"/>
    </w:rPr>
  </w:style>
  <w:style w:type="character" w:customStyle="1" w:styleId="124">
    <w:name w:val="纯文本 Char Char"/>
    <w:qFormat/>
    <w:uiPriority w:val="0"/>
    <w:rPr>
      <w:rFonts w:ascii="宋体" w:hAnsi="Courier New" w:eastAsia="宋体"/>
      <w:kern w:val="2"/>
      <w:sz w:val="24"/>
      <w:szCs w:val="24"/>
      <w:lang w:val="en-US" w:eastAsia="zh-CN" w:bidi="ar-SA"/>
    </w:rPr>
  </w:style>
  <w:style w:type="character" w:customStyle="1" w:styleId="125">
    <w:name w:val="aa1"/>
    <w:qFormat/>
    <w:uiPriority w:val="0"/>
    <w:rPr>
      <w:rFonts w:hint="default" w:ascii="Tahoma" w:hAnsi="Tahoma" w:eastAsia="Tahoma" w:cs="Tahoma"/>
      <w:b/>
      <w:sz w:val="24"/>
      <w:szCs w:val="24"/>
    </w:rPr>
  </w:style>
  <w:style w:type="character" w:customStyle="1" w:styleId="126">
    <w:name w:val="font11"/>
    <w:qFormat/>
    <w:uiPriority w:val="0"/>
    <w:rPr>
      <w:rFonts w:hint="eastAsia" w:ascii="宋体" w:hAnsi="宋体" w:eastAsia="宋体"/>
      <w:color w:val="000000"/>
      <w:sz w:val="18"/>
      <w:szCs w:val="18"/>
      <w:u w:val="none"/>
    </w:rPr>
  </w:style>
  <w:style w:type="character" w:customStyle="1" w:styleId="127">
    <w:name w:val="font112"/>
    <w:qFormat/>
    <w:uiPriority w:val="0"/>
    <w:rPr>
      <w:rFonts w:hint="eastAsia" w:ascii="宋体" w:hAnsi="宋体" w:eastAsia="宋体" w:cs="宋体"/>
      <w:b/>
      <w:color w:val="000000"/>
      <w:sz w:val="22"/>
      <w:szCs w:val="22"/>
      <w:u w:val="none"/>
    </w:rPr>
  </w:style>
  <w:style w:type="character" w:customStyle="1" w:styleId="128">
    <w:name w:val="font61"/>
    <w:qFormat/>
    <w:uiPriority w:val="0"/>
    <w:rPr>
      <w:rFonts w:hint="eastAsia" w:ascii="宋体" w:hAnsi="宋体" w:eastAsia="宋体" w:cs="宋体"/>
      <w:color w:val="000000"/>
      <w:sz w:val="20"/>
      <w:szCs w:val="20"/>
      <w:u w:val="none"/>
    </w:rPr>
  </w:style>
  <w:style w:type="character" w:customStyle="1" w:styleId="129">
    <w:name w:val="msobooktitle"/>
    <w:qFormat/>
    <w:uiPriority w:val="0"/>
    <w:rPr>
      <w:rFonts w:ascii="Tahoma" w:hAnsi="Tahoma"/>
      <w:b/>
      <w:smallCaps/>
      <w:spacing w:val="5"/>
      <w:sz w:val="24"/>
      <w:szCs w:val="20"/>
    </w:rPr>
  </w:style>
  <w:style w:type="character" w:customStyle="1" w:styleId="130">
    <w:name w:val="样式 宋体"/>
    <w:qFormat/>
    <w:uiPriority w:val="0"/>
    <w:rPr>
      <w:rFonts w:ascii="宋体" w:hAnsi="宋体" w:eastAsia="宋体"/>
      <w:sz w:val="24"/>
      <w:szCs w:val="24"/>
    </w:rPr>
  </w:style>
  <w:style w:type="character" w:customStyle="1" w:styleId="131">
    <w:name w:val="font181"/>
    <w:qFormat/>
    <w:uiPriority w:val="0"/>
    <w:rPr>
      <w:rFonts w:hint="default" w:ascii="Times New Roman" w:hAnsi="Times New Roman" w:cs="Times New Roman"/>
      <w:b/>
      <w:color w:val="000000"/>
      <w:sz w:val="22"/>
      <w:szCs w:val="22"/>
      <w:u w:val="none"/>
    </w:rPr>
  </w:style>
  <w:style w:type="character" w:customStyle="1" w:styleId="132">
    <w:name w:val="页脚 字符1"/>
    <w:qFormat/>
    <w:uiPriority w:val="0"/>
    <w:rPr>
      <w:rFonts w:ascii="Tahoma" w:hAnsi="Tahoma"/>
      <w:kern w:val="2"/>
      <w:sz w:val="18"/>
      <w:szCs w:val="18"/>
    </w:rPr>
  </w:style>
  <w:style w:type="character" w:customStyle="1" w:styleId="133">
    <w:name w:val="批注主题 Char Char"/>
    <w:qFormat/>
    <w:uiPriority w:val="0"/>
    <w:rPr>
      <w:kern w:val="2"/>
      <w:sz w:val="21"/>
      <w:szCs w:val="24"/>
    </w:rPr>
  </w:style>
  <w:style w:type="character" w:customStyle="1" w:styleId="134">
    <w:name w:val="普通文字 Char Char1"/>
    <w:qFormat/>
    <w:uiPriority w:val="0"/>
    <w:rPr>
      <w:rFonts w:ascii="宋体" w:hAnsi="Courier New" w:eastAsia="宋体"/>
      <w:kern w:val="2"/>
      <w:sz w:val="24"/>
      <w:szCs w:val="24"/>
      <w:lang w:val="en-US" w:eastAsia="zh-CN" w:bidi="ar-SA"/>
    </w:rPr>
  </w:style>
  <w:style w:type="character" w:customStyle="1" w:styleId="135">
    <w:name w:val="页脚 Char Char"/>
    <w:qFormat/>
    <w:uiPriority w:val="0"/>
    <w:rPr>
      <w:rFonts w:eastAsia="黑体"/>
      <w:snapToGrid w:val="0"/>
      <w:kern w:val="2"/>
      <w:sz w:val="18"/>
      <w:szCs w:val="18"/>
    </w:rPr>
  </w:style>
  <w:style w:type="character" w:customStyle="1" w:styleId="136">
    <w:name w:val="标题 1 字符"/>
    <w:qFormat/>
    <w:uiPriority w:val="0"/>
    <w:rPr>
      <w:rFonts w:ascii="Tahoma" w:hAnsi="Tahoma"/>
      <w:b/>
      <w:kern w:val="44"/>
      <w:sz w:val="44"/>
      <w:szCs w:val="44"/>
    </w:rPr>
  </w:style>
  <w:style w:type="character" w:customStyle="1" w:styleId="137">
    <w:name w:val="纯文本 Char1"/>
    <w:qFormat/>
    <w:uiPriority w:val="0"/>
    <w:rPr>
      <w:rFonts w:ascii="宋体" w:hAnsi="Courier New" w:eastAsia="宋体" w:cs="Courier New"/>
      <w:kern w:val="2"/>
      <w:sz w:val="21"/>
      <w:szCs w:val="21"/>
      <w:lang w:val="en-US" w:eastAsia="zh-CN" w:bidi="ar-SA"/>
    </w:rPr>
  </w:style>
  <w:style w:type="character" w:customStyle="1" w:styleId="138">
    <w:name w:val="正文文本 3 Char Char"/>
    <w:qFormat/>
    <w:uiPriority w:val="0"/>
    <w:rPr>
      <w:rFonts w:ascii="Tahoma" w:hAnsi="Tahoma"/>
      <w:kern w:val="2"/>
      <w:sz w:val="16"/>
      <w:szCs w:val="16"/>
    </w:rPr>
  </w:style>
  <w:style w:type="character" w:customStyle="1" w:styleId="139">
    <w:name w:val="H5 Char"/>
    <w:qFormat/>
    <w:uiPriority w:val="0"/>
    <w:rPr>
      <w:rFonts w:ascii="Tahoma" w:hAnsi="Tahoma"/>
      <w:sz w:val="28"/>
      <w:szCs w:val="20"/>
    </w:rPr>
  </w:style>
  <w:style w:type="character" w:customStyle="1" w:styleId="140">
    <w:name w:val="HTML 预设格式 Char1"/>
    <w:qFormat/>
    <w:uiPriority w:val="0"/>
    <w:rPr>
      <w:rFonts w:hint="default" w:ascii="Courier New" w:hAnsi="Courier New" w:cs="Courier New"/>
      <w:kern w:val="2"/>
      <w:sz w:val="24"/>
      <w:szCs w:val="20"/>
    </w:rPr>
  </w:style>
  <w:style w:type="character" w:customStyle="1" w:styleId="141">
    <w:name w:val="正文文本缩进 Char2"/>
    <w:qFormat/>
    <w:uiPriority w:val="0"/>
    <w:rPr>
      <w:rFonts w:hint="eastAsia" w:ascii="宋体" w:hAnsi="Courier New" w:eastAsia="宋体" w:cs="宋体"/>
      <w:spacing w:val="-4"/>
      <w:kern w:val="2"/>
      <w:sz w:val="18"/>
      <w:szCs w:val="20"/>
    </w:rPr>
  </w:style>
  <w:style w:type="character" w:customStyle="1" w:styleId="142">
    <w:name w:val="样式 标题 1合同标题卷标题H1h1Level 1 Topic HeadingH11H12H111H13H1... Char"/>
    <w:qFormat/>
    <w:uiPriority w:val="0"/>
    <w:rPr>
      <w:rFonts w:ascii="宋体" w:hAnsi="宋体" w:eastAsia="宋体"/>
      <w:b/>
      <w:bCs/>
      <w:kern w:val="44"/>
      <w:sz w:val="24"/>
      <w:szCs w:val="44"/>
      <w:lang w:val="en-US" w:eastAsia="zh-CN" w:bidi="ar-SA"/>
    </w:rPr>
  </w:style>
  <w:style w:type="character" w:customStyle="1" w:styleId="143">
    <w:name w:val="font31"/>
    <w:basedOn w:val="48"/>
    <w:qFormat/>
    <w:uiPriority w:val="0"/>
    <w:rPr>
      <w:rFonts w:hint="eastAsia" w:ascii="Microsoft JhengHei" w:hAnsi="Microsoft JhengHei" w:eastAsia="Microsoft JhengHei" w:cs="Microsoft JhengHei"/>
      <w:b/>
      <w:color w:val="000000"/>
      <w:sz w:val="11"/>
      <w:szCs w:val="11"/>
      <w:u w:val="none"/>
    </w:rPr>
  </w:style>
  <w:style w:type="paragraph" w:customStyle="1" w:styleId="144">
    <w:name w:val="正文缩进2格"/>
    <w:basedOn w:val="1"/>
    <w:qFormat/>
    <w:uiPriority w:val="0"/>
    <w:pPr>
      <w:keepNext w:val="0"/>
      <w:keepLines w:val="0"/>
      <w:widowControl w:val="0"/>
      <w:suppressLineNumbers w:val="0"/>
      <w:spacing w:before="0" w:beforeLines="0" w:beforeAutospacing="0" w:after="0" w:afterLines="0" w:afterAutospacing="0" w:line="600" w:lineRule="exact"/>
      <w:ind w:left="0" w:right="0" w:firstLine="639" w:firstLineChars="206"/>
      <w:jc w:val="both"/>
    </w:pPr>
    <w:rPr>
      <w:rFonts w:hint="eastAsia" w:ascii="仿宋_GB2312" w:hAnsi="宋体" w:eastAsia="仿宋_GB2312" w:cs="Times New Roman"/>
      <w:kern w:val="2"/>
      <w:sz w:val="31"/>
      <w:szCs w:val="28"/>
      <w:lang w:val="en-US" w:eastAsia="zh-CN" w:bidi="ar"/>
    </w:rPr>
  </w:style>
  <w:style w:type="paragraph" w:customStyle="1" w:styleId="145">
    <w:name w:val=" Char Char Char Char Char Char Char Char Char Char Char Char1 Char"/>
    <w:basedOn w:val="18"/>
    <w:qFormat/>
    <w:uiPriority w:val="0"/>
    <w:rPr>
      <w:rFonts w:ascii="Tahoma" w:hAnsi="Tahoma"/>
      <w:sz w:val="24"/>
    </w:rPr>
  </w:style>
  <w:style w:type="paragraph" w:customStyle="1" w:styleId="146">
    <w:name w:val="表格"/>
    <w:basedOn w:val="1"/>
    <w:qFormat/>
    <w:uiPriority w:val="0"/>
    <w:pPr>
      <w:widowControl/>
      <w:spacing w:line="240" w:lineRule="auto"/>
      <w:ind w:firstLine="0" w:firstLineChars="0"/>
      <w:jc w:val="center"/>
    </w:pPr>
    <w:rPr>
      <w:rFonts w:ascii="宋体" w:hAnsi="宋体"/>
      <w:bCs/>
      <w:color w:val="000000"/>
      <w:kern w:val="0"/>
      <w:szCs w:val="21"/>
    </w:rPr>
  </w:style>
  <w:style w:type="paragraph" w:customStyle="1" w:styleId="147">
    <w:name w:val="一级条标题"/>
    <w:basedOn w:val="1"/>
    <w:next w:val="148"/>
    <w:qFormat/>
    <w:uiPriority w:val="0"/>
    <w:pPr>
      <w:keepNext w:val="0"/>
      <w:keepLines w:val="0"/>
      <w:widowControl/>
      <w:numPr>
        <w:ilvl w:val="1"/>
        <w:numId w:val="2"/>
      </w:numPr>
      <w:suppressLineNumbers w:val="0"/>
      <w:spacing w:before="156" w:beforeLines="50" w:beforeAutospacing="0" w:after="0" w:afterLines="0" w:afterAutospacing="0"/>
      <w:ind w:left="1080" w:right="0" w:hanging="360"/>
      <w:jc w:val="both"/>
      <w:outlineLvl w:val="2"/>
    </w:pPr>
    <w:rPr>
      <w:rFonts w:hint="eastAsia" w:ascii="黑体" w:hAnsi="Times New Roman" w:eastAsia="黑体" w:cs="Times New Roman"/>
      <w:kern w:val="0"/>
      <w:sz w:val="20"/>
      <w:szCs w:val="21"/>
      <w:lang w:val="en-US" w:eastAsia="zh-CN" w:bidi="ar"/>
    </w:rPr>
  </w:style>
  <w:style w:type="paragraph" w:customStyle="1" w:styleId="1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9">
    <w:name w:val="Char Char Char Char Char Char"/>
    <w:basedOn w:val="1"/>
    <w:qFormat/>
    <w:uiPriority w:val="0"/>
    <w:pPr>
      <w:ind w:firstLine="200" w:firstLineChars="200"/>
    </w:pPr>
    <w:rPr>
      <w:rFonts w:ascii="Tahoma" w:hAnsi="Tahoma"/>
      <w:sz w:val="24"/>
      <w:szCs w:val="20"/>
    </w:rPr>
  </w:style>
  <w:style w:type="paragraph" w:customStyle="1" w:styleId="150">
    <w:name w:val="正文1"/>
    <w:qFormat/>
    <w:uiPriority w:val="99"/>
    <w:pPr>
      <w:widowControl w:val="0"/>
      <w:jc w:val="both"/>
    </w:pPr>
    <w:rPr>
      <w:rFonts w:ascii="Calibri" w:hAnsi="Calibri" w:eastAsia="宋体" w:cs="Calibri"/>
      <w:kern w:val="2"/>
      <w:sz w:val="21"/>
      <w:szCs w:val="21"/>
      <w:lang w:val="en-US" w:eastAsia="zh-CN" w:bidi="ar-SA"/>
    </w:rPr>
  </w:style>
  <w:style w:type="paragraph" w:customStyle="1" w:styleId="151">
    <w:name w:val="方案正文"/>
    <w:basedOn w:val="1"/>
    <w:qFormat/>
    <w:uiPriority w:val="0"/>
    <w:pPr>
      <w:spacing w:before="120" w:beforeLines="0" w:line="360" w:lineRule="auto"/>
      <w:ind w:firstLine="425" w:firstLineChars="177"/>
    </w:pPr>
    <w:rPr>
      <w:rFonts w:ascii="华文细黑" w:hAnsi="华文细黑" w:eastAsia="华文细黑"/>
      <w:sz w:val="24"/>
    </w:rPr>
  </w:style>
  <w:style w:type="paragraph" w:customStyle="1" w:styleId="152">
    <w:name w:val="f1"/>
    <w:basedOn w:val="1"/>
    <w:qFormat/>
    <w:uiPriority w:val="0"/>
    <w:pPr>
      <w:widowControl/>
      <w:spacing w:before="100" w:beforeLines="0" w:beforeAutospacing="1" w:after="100" w:afterLines="0" w:afterAutospacing="1"/>
      <w:jc w:val="center"/>
    </w:pPr>
    <w:rPr>
      <w:rFonts w:ascii="Helvetica" w:hAnsi="Helvetica" w:cs="Helvetica"/>
      <w:b/>
      <w:bCs/>
      <w:color w:val="FF8080"/>
      <w:spacing w:val="160"/>
      <w:kern w:val="0"/>
      <w:sz w:val="80"/>
      <w:szCs w:val="80"/>
    </w:rPr>
  </w:style>
  <w:style w:type="paragraph" w:customStyle="1" w:styleId="153">
    <w:name w:val="_Style 1"/>
    <w:basedOn w:val="1"/>
    <w:qFormat/>
    <w:uiPriority w:val="0"/>
    <w:pPr>
      <w:ind w:firstLine="420" w:firstLineChars="200"/>
    </w:pPr>
    <w:rPr>
      <w:rFonts w:ascii="Calibri" w:hAnsi="Calibri"/>
      <w:szCs w:val="22"/>
    </w:rPr>
  </w:style>
  <w:style w:type="paragraph" w:customStyle="1" w:styleId="154">
    <w:name w:val="xl29"/>
    <w:basedOn w:val="1"/>
    <w:qFormat/>
    <w:uiPriority w:val="0"/>
    <w:pPr>
      <w:widowControl/>
      <w:spacing w:before="100" w:beforeLines="0" w:beforeAutospacing="1" w:after="100" w:afterLines="0" w:afterAutospacing="1"/>
      <w:jc w:val="center"/>
    </w:pPr>
    <w:rPr>
      <w:rFonts w:ascii="宋体" w:hAnsi="宋体"/>
      <w:kern w:val="0"/>
      <w:sz w:val="28"/>
      <w:szCs w:val="28"/>
    </w:rPr>
  </w:style>
  <w:style w:type="paragraph" w:customStyle="1" w:styleId="155">
    <w:name w:val="Char Char Char1 Char8"/>
    <w:basedOn w:val="1"/>
    <w:qFormat/>
    <w:uiPriority w:val="0"/>
    <w:pPr>
      <w:spacing w:line="360" w:lineRule="auto"/>
      <w:ind w:firstLine="200" w:firstLineChars="200"/>
    </w:pPr>
    <w:rPr>
      <w:rFonts w:hint="eastAsia" w:ascii="宋体" w:hAnsi="宋体"/>
      <w:sz w:val="24"/>
      <w:szCs w:val="20"/>
    </w:rPr>
  </w:style>
  <w:style w:type="paragraph" w:customStyle="1" w:styleId="156">
    <w:name w:val="List Paragraph1"/>
    <w:basedOn w:val="1"/>
    <w:qFormat/>
    <w:uiPriority w:val="34"/>
    <w:pPr>
      <w:ind w:firstLine="420" w:firstLineChars="200"/>
    </w:pPr>
  </w:style>
  <w:style w:type="paragraph" w:customStyle="1" w:styleId="157">
    <w:name w:val="Normal Char"/>
    <w:basedOn w:val="1"/>
    <w:qFormat/>
    <w:uiPriority w:val="0"/>
    <w:pPr>
      <w:suppressAutoHyphens/>
      <w:autoSpaceDE w:val="0"/>
      <w:jc w:val="left"/>
    </w:pPr>
    <w:rPr>
      <w:rFonts w:ascii="Thorndale" w:hAnsi="Thorndale" w:eastAsia="HG Mincho Light J"/>
      <w:color w:val="000000"/>
      <w:kern w:val="0"/>
      <w:sz w:val="20"/>
      <w:szCs w:val="20"/>
      <w:lang w:val="hu-HU"/>
    </w:rPr>
  </w:style>
  <w:style w:type="paragraph" w:customStyle="1" w:styleId="158">
    <w:name w:val="p0"/>
    <w:basedOn w:val="1"/>
    <w:qFormat/>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宋体" w:cs="Times New Roman"/>
      <w:kern w:val="0"/>
      <w:sz w:val="21"/>
      <w:szCs w:val="21"/>
      <w:lang w:val="en-US" w:eastAsia="zh-CN" w:bidi="ar"/>
    </w:rPr>
  </w:style>
  <w:style w:type="paragraph" w:customStyle="1" w:styleId="159">
    <w:name w:val="正文表标题"/>
    <w:next w:val="148"/>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160">
    <w:name w:val="Table Paragraph"/>
    <w:basedOn w:val="1"/>
    <w:qFormat/>
    <w:uiPriority w:val="1"/>
    <w:pPr>
      <w:spacing w:before="94"/>
      <w:jc w:val="center"/>
    </w:pPr>
    <w:rPr>
      <w:rFonts w:ascii="宋体" w:hAnsi="宋体" w:eastAsia="宋体" w:cs="宋体"/>
      <w:lang w:val="zh-CN" w:eastAsia="zh-CN" w:bidi="zh-CN"/>
    </w:rPr>
  </w:style>
  <w:style w:type="paragraph" w:customStyle="1" w:styleId="161">
    <w:name w:val="自由格式 A"/>
    <w:qFormat/>
    <w:uiPriority w:val="0"/>
    <w:rPr>
      <w:rFonts w:ascii="Helvetica" w:hAnsi="Helvetica" w:eastAsia="ヒラギノ角ゴ Pro W3" w:cs="Times New Roman"/>
      <w:color w:val="000000"/>
      <w:sz w:val="24"/>
      <w:lang w:val="en-US" w:eastAsia="zh-CN" w:bidi="ar-SA"/>
    </w:rPr>
  </w:style>
  <w:style w:type="paragraph" w:customStyle="1" w:styleId="16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63">
    <w:name w:val="_Style 3"/>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164">
    <w:name w:val="List Paragraph"/>
    <w:basedOn w:val="1"/>
    <w:qFormat/>
    <w:uiPriority w:val="0"/>
    <w:pPr>
      <w:ind w:firstLine="420" w:firstLineChars="200"/>
    </w:pPr>
    <w:rPr>
      <w:rFonts w:ascii="Calibri" w:hAnsi="Calibri"/>
      <w:szCs w:val="22"/>
    </w:rPr>
  </w:style>
  <w:style w:type="paragraph" w:customStyle="1" w:styleId="165">
    <w:name w:val="列出段落8"/>
    <w:basedOn w:val="1"/>
    <w:qFormat/>
    <w:uiPriority w:val="34"/>
    <w:pPr>
      <w:ind w:firstLine="420"/>
    </w:pPr>
    <w:rPr>
      <w:rFonts w:ascii="Calibri" w:hAnsi="Calibri"/>
      <w:szCs w:val="22"/>
    </w:rPr>
  </w:style>
  <w:style w:type="paragraph" w:customStyle="1" w:styleId="166">
    <w:name w:val="二级无"/>
    <w:basedOn w:val="167"/>
    <w:qFormat/>
    <w:uiPriority w:val="0"/>
    <w:pPr>
      <w:tabs>
        <w:tab w:val="left" w:pos="1260"/>
        <w:tab w:val="left" w:pos="1680"/>
      </w:tabs>
      <w:spacing w:before="0" w:beforeLines="0" w:after="0" w:afterLines="0"/>
    </w:pPr>
    <w:rPr>
      <w:rFonts w:hint="eastAsia" w:ascii="宋体" w:eastAsia="宋体"/>
      <w:sz w:val="21"/>
    </w:rPr>
  </w:style>
  <w:style w:type="paragraph" w:customStyle="1" w:styleId="167">
    <w:name w:val="二级条标题"/>
    <w:basedOn w:val="147"/>
    <w:next w:val="148"/>
    <w:qFormat/>
    <w:uiPriority w:val="0"/>
    <w:pPr>
      <w:numPr>
        <w:ilvl w:val="3"/>
        <w:numId w:val="4"/>
      </w:numPr>
      <w:tabs>
        <w:tab w:val="clear" w:pos="1080"/>
      </w:tabs>
      <w:ind w:left="2310" w:firstLine="0"/>
      <w:outlineLvl w:val="3"/>
    </w:pPr>
  </w:style>
  <w:style w:type="paragraph" w:customStyle="1" w:styleId="168">
    <w:name w:val=" Char Char Char Char Char Char Char Char Char Char Char Char"/>
    <w:basedOn w:val="1"/>
    <w:qFormat/>
    <w:uiPriority w:val="0"/>
    <w:pPr>
      <w:widowControl/>
      <w:spacing w:after="160" w:afterLines="0" w:line="240" w:lineRule="exact"/>
      <w:jc w:val="left"/>
    </w:pPr>
  </w:style>
  <w:style w:type="paragraph" w:customStyle="1" w:styleId="169">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0">
    <w:name w:val="_Style 0"/>
    <w:basedOn w:val="1"/>
    <w:qFormat/>
    <w:uiPriority w:val="0"/>
    <w:pPr>
      <w:keepNext w:val="0"/>
      <w:keepLines w:val="0"/>
      <w:widowControl w:val="0"/>
      <w:suppressLineNumbers w:val="0"/>
      <w:spacing w:before="0" w:beforeLines="0" w:beforeAutospacing="0" w:after="0" w:afterLines="0" w:afterAutospacing="0"/>
      <w:ind w:left="0" w:right="0"/>
      <w:jc w:val="both"/>
    </w:pPr>
    <w:rPr>
      <w:rFonts w:hint="default" w:ascii="Times New Roman" w:hAnsi="Times New Roman" w:eastAsia="宋体" w:cs="Times New Roman"/>
      <w:kern w:val="2"/>
      <w:sz w:val="21"/>
      <w:szCs w:val="21"/>
      <w:lang w:val="en-US" w:eastAsia="zh-CN" w:bidi="ar"/>
    </w:rPr>
  </w:style>
  <w:style w:type="paragraph" w:customStyle="1" w:styleId="171">
    <w:name w:val="正文 New"/>
    <w:basedOn w:val="1"/>
    <w:qFormat/>
    <w:uiPriority w:val="0"/>
    <w:pPr>
      <w:keepNext w:val="0"/>
      <w:keepLines w:val="0"/>
      <w:widowControl w:val="0"/>
      <w:suppressLineNumbers w:val="0"/>
      <w:spacing w:before="0" w:beforeLines="0" w:beforeAutospacing="0" w:after="0" w:afterLines="0" w:afterAutospacing="0"/>
      <w:ind w:left="0" w:right="0"/>
      <w:jc w:val="both"/>
    </w:pPr>
    <w:rPr>
      <w:rFonts w:hint="default" w:ascii="Times New Roman" w:hAnsi="Times New Roman" w:eastAsia="宋体" w:cs="Times New Roman"/>
      <w:kern w:val="2"/>
      <w:sz w:val="21"/>
      <w:szCs w:val="24"/>
      <w:lang w:val="en-US" w:eastAsia="zh-CN" w:bidi="ar"/>
    </w:rPr>
  </w:style>
  <w:style w:type="paragraph" w:customStyle="1" w:styleId="172">
    <w:name w:val="普通(网站)1"/>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73">
    <w:name w:val="Char Char Char Char Char Char Char Char Char Char Char Char1 Char"/>
    <w:basedOn w:val="18"/>
    <w:qFormat/>
    <w:uiPriority w:val="0"/>
    <w:rPr>
      <w:rFonts w:ascii="Tahoma" w:hAnsi="Tahoma"/>
      <w:sz w:val="24"/>
    </w:rPr>
  </w:style>
  <w:style w:type="paragraph" w:customStyle="1" w:styleId="174">
    <w:name w:val="a"/>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75">
    <w:name w:val="--规划正文"/>
    <w:basedOn w:val="1"/>
    <w:qFormat/>
    <w:uiPriority w:val="0"/>
    <w:pPr>
      <w:spacing w:line="360" w:lineRule="auto"/>
      <w:ind w:firstLine="200" w:firstLineChars="200"/>
    </w:pPr>
    <w:rPr>
      <w:szCs w:val="20"/>
    </w:rPr>
  </w:style>
  <w:style w:type="paragraph" w:customStyle="1" w:styleId="176">
    <w:name w:val="此正文"/>
    <w:basedOn w:val="1"/>
    <w:qFormat/>
    <w:uiPriority w:val="0"/>
    <w:pPr>
      <w:spacing w:line="360" w:lineRule="auto"/>
      <w:ind w:firstLine="200" w:firstLineChars="200"/>
    </w:pPr>
    <w:rPr>
      <w:sz w:val="24"/>
    </w:rPr>
  </w:style>
  <w:style w:type="paragraph" w:customStyle="1" w:styleId="177">
    <w:name w:val="xl82"/>
    <w:basedOn w:val="1"/>
    <w:qFormat/>
    <w:uiPriority w:val="0"/>
    <w:pPr>
      <w:widowControl/>
      <w:spacing w:before="100" w:beforeLines="0" w:beforeAutospacing="1" w:after="100" w:afterLines="0" w:afterAutospacing="1"/>
      <w:jc w:val="center"/>
    </w:pPr>
    <w:rPr>
      <w:rFonts w:ascii="宋体" w:hAnsi="宋体" w:cs="宋体"/>
      <w:kern w:val="0"/>
      <w:sz w:val="24"/>
    </w:rPr>
  </w:style>
  <w:style w:type="paragraph" w:customStyle="1" w:styleId="178">
    <w:name w:val="msonospacing"/>
    <w:basedOn w:val="1"/>
    <w:qFormat/>
    <w:uiPriority w:val="0"/>
    <w:pPr>
      <w:keepNext w:val="0"/>
      <w:keepLines w:val="0"/>
      <w:widowControl w:val="0"/>
      <w:suppressLineNumbers w:val="0"/>
      <w:spacing w:before="0" w:beforeLines="0" w:beforeAutospacing="0" w:after="0" w:afterLines="0" w:afterAutospacing="0"/>
      <w:ind w:left="0" w:right="0"/>
      <w:jc w:val="both"/>
    </w:pPr>
    <w:rPr>
      <w:rFonts w:hint="default" w:ascii="Times New Roman" w:hAnsi="Times New Roman" w:eastAsia="宋体" w:cs="Times New Roman"/>
      <w:kern w:val="2"/>
      <w:sz w:val="21"/>
      <w:szCs w:val="21"/>
      <w:lang w:val="en-US" w:eastAsia="zh-CN" w:bidi="ar"/>
    </w:rPr>
  </w:style>
  <w:style w:type="paragraph" w:styleId="179">
    <w:name w:val="No Spacing"/>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80">
    <w:name w:val="样式5"/>
    <w:basedOn w:val="1"/>
    <w:qFormat/>
    <w:uiPriority w:val="0"/>
    <w:pPr>
      <w:spacing w:before="120" w:beforeLines="0" w:line="360" w:lineRule="auto"/>
      <w:ind w:firstLine="425" w:firstLineChars="177"/>
    </w:pPr>
    <w:rPr>
      <w:rFonts w:ascii="华文细黑" w:hAnsi="华文细黑" w:eastAsia="华文细黑"/>
      <w:sz w:val="24"/>
    </w:rPr>
  </w:style>
  <w:style w:type="paragraph" w:customStyle="1" w:styleId="181">
    <w:name w:val="Body Text Indent"/>
    <w:basedOn w:val="1"/>
    <w:qFormat/>
    <w:uiPriority w:val="0"/>
    <w:pPr>
      <w:keepNext w:val="0"/>
      <w:keepLines w:val="0"/>
      <w:widowControl w:val="0"/>
      <w:suppressLineNumbers w:val="0"/>
      <w:spacing w:before="0" w:beforeLines="0" w:beforeAutospacing="0" w:after="0" w:afterLines="0" w:afterAutospacing="0" w:line="200" w:lineRule="exact"/>
      <w:ind w:left="0" w:right="0" w:firstLine="301"/>
      <w:jc w:val="both"/>
    </w:pPr>
    <w:rPr>
      <w:rFonts w:hint="eastAsia" w:ascii="宋体" w:hAnsi="Courier New" w:eastAsia="宋体" w:cs="Times New Roman"/>
      <w:spacing w:val="-4"/>
      <w:kern w:val="2"/>
      <w:sz w:val="18"/>
      <w:szCs w:val="24"/>
      <w:lang w:val="en-US" w:eastAsia="zh-CN" w:bidi="ar"/>
    </w:rPr>
  </w:style>
  <w:style w:type="paragraph" w:customStyle="1" w:styleId="182">
    <w:name w:val=" Char Char Char1"/>
    <w:basedOn w:val="1"/>
    <w:qFormat/>
    <w:uiPriority w:val="0"/>
  </w:style>
  <w:style w:type="paragraph" w:customStyle="1" w:styleId="183">
    <w:name w:val="章标题"/>
    <w:basedOn w:val="1"/>
    <w:next w:val="148"/>
    <w:qFormat/>
    <w:uiPriority w:val="0"/>
    <w:pPr>
      <w:keepNext w:val="0"/>
      <w:keepLines w:val="0"/>
      <w:widowControl/>
      <w:numPr>
        <w:ilvl w:val="0"/>
        <w:numId w:val="5"/>
      </w:numPr>
      <w:suppressLineNumbers w:val="0"/>
      <w:spacing w:before="312" w:beforeLines="100" w:beforeAutospacing="0" w:after="0" w:afterLines="0" w:afterAutospacing="0"/>
      <w:ind w:left="105" w:right="0" w:firstLine="0"/>
      <w:jc w:val="both"/>
      <w:outlineLvl w:val="1"/>
    </w:pPr>
    <w:rPr>
      <w:rFonts w:hint="eastAsia" w:ascii="黑体" w:hAnsi="Times New Roman" w:eastAsia="黑体" w:cs="Times New Roman"/>
      <w:kern w:val="0"/>
      <w:sz w:val="20"/>
      <w:szCs w:val="20"/>
      <w:lang w:val="en-US" w:eastAsia="zh-CN" w:bidi="ar"/>
    </w:rPr>
  </w:style>
  <w:style w:type="paragraph" w:customStyle="1" w:styleId="184">
    <w:name w:val=" Char1"/>
    <w:basedOn w:val="1"/>
    <w:qFormat/>
    <w:uiPriority w:val="0"/>
  </w:style>
  <w:style w:type="paragraph" w:customStyle="1" w:styleId="185">
    <w:name w:val="默认段落字体 Para Char Char Char Char Char Char Char"/>
    <w:basedOn w:val="18"/>
    <w:qFormat/>
    <w:uiPriority w:val="0"/>
    <w:pPr>
      <w:adjustRightInd w:val="0"/>
      <w:spacing w:line="436" w:lineRule="exact"/>
      <w:ind w:left="357"/>
      <w:jc w:val="left"/>
      <w:outlineLvl w:val="3"/>
    </w:pPr>
    <w:rPr>
      <w:rFonts w:ascii="Tahoma" w:hAnsi="Tahoma"/>
      <w:b/>
      <w:sz w:val="24"/>
    </w:rPr>
  </w:style>
  <w:style w:type="paragraph" w:customStyle="1" w:styleId="186">
    <w:name w:val=" Char Char Char Char Char Char Char"/>
    <w:basedOn w:val="1"/>
    <w:qFormat/>
    <w:uiPriority w:val="0"/>
    <w:rPr>
      <w:rFonts w:ascii="Tahoma" w:hAnsi="Tahoma"/>
      <w:sz w:val="24"/>
      <w:szCs w:val="20"/>
    </w:rPr>
  </w:style>
  <w:style w:type="paragraph" w:customStyle="1" w:styleId="187">
    <w:name w:val="纯文本1"/>
    <w:basedOn w:val="150"/>
    <w:qFormat/>
    <w:uiPriority w:val="99"/>
    <w:pPr>
      <w:widowControl/>
      <w:jc w:val="left"/>
    </w:pPr>
    <w:rPr>
      <w:rFonts w:ascii="宋体" w:hAnsi="Courier New" w:cs="宋体"/>
    </w:rPr>
  </w:style>
  <w:style w:type="paragraph" w:customStyle="1" w:styleId="188">
    <w:name w:val="文档正文"/>
    <w:basedOn w:val="1"/>
    <w:qFormat/>
    <w:uiPriority w:val="0"/>
    <w:pPr>
      <w:adjustRightInd w:val="0"/>
      <w:snapToGrid w:val="0"/>
      <w:spacing w:line="480" w:lineRule="atLeast"/>
      <w:ind w:firstLine="567"/>
    </w:pPr>
    <w:rPr>
      <w:rFonts w:ascii="长城仿宋" w:eastAsia="长城仿宋"/>
      <w:kern w:val="0"/>
      <w:szCs w:val="20"/>
    </w:rPr>
  </w:style>
  <w:style w:type="paragraph" w:customStyle="1" w:styleId="189">
    <w:name w:val="Char1"/>
    <w:basedOn w:val="1"/>
    <w:qFormat/>
    <w:uiPriority w:val="0"/>
    <w:rPr>
      <w:rFonts w:ascii="Tahoma" w:hAnsi="Tahoma"/>
      <w:sz w:val="24"/>
      <w:szCs w:val="20"/>
    </w:rPr>
  </w:style>
  <w:style w:type="paragraph" w:customStyle="1" w:styleId="190">
    <w:name w:val="样式1"/>
    <w:basedOn w:val="7"/>
    <w:qFormat/>
    <w:uiPriority w:val="0"/>
  </w:style>
  <w:style w:type="paragraph" w:customStyle="1" w:styleId="191">
    <w:name w:val="表格文字"/>
    <w:basedOn w:val="1"/>
    <w:next w:val="2"/>
    <w:qFormat/>
    <w:uiPriority w:val="0"/>
    <w:pPr>
      <w:spacing w:line="240" w:lineRule="auto"/>
      <w:ind w:firstLine="0" w:firstLineChars="0"/>
      <w:jc w:val="center"/>
    </w:pPr>
    <w:rPr>
      <w:rFonts w:ascii="Arial" w:hAnsi="Arial" w:eastAsia="仿宋_GB2312" w:cs="Arial"/>
      <w:spacing w:val="10"/>
      <w:sz w:val="24"/>
      <w:szCs w:val="28"/>
    </w:rPr>
  </w:style>
  <w:style w:type="paragraph" w:customStyle="1" w:styleId="192">
    <w:name w:val="xl27"/>
    <w:basedOn w:val="1"/>
    <w:qFormat/>
    <w:uiPriority w:val="0"/>
    <w:pPr>
      <w:widowControl/>
      <w:spacing w:before="100" w:beforeLines="0" w:beforeAutospacing="1" w:after="100" w:afterLines="0" w:afterAutospacing="1"/>
      <w:textAlignment w:val="top"/>
    </w:pPr>
    <w:rPr>
      <w:rFonts w:ascii="宋体" w:hAnsi="宋体"/>
      <w:kern w:val="0"/>
      <w:sz w:val="24"/>
    </w:rPr>
  </w:style>
  <w:style w:type="paragraph" w:customStyle="1" w:styleId="193">
    <w:name w:val="正文－恩普"/>
    <w:basedOn w:val="10"/>
    <w:qFormat/>
    <w:uiPriority w:val="0"/>
    <w:pPr>
      <w:widowControl/>
      <w:spacing w:line="360" w:lineRule="auto"/>
      <w:ind w:firstLine="480" w:firstLineChars="200"/>
      <w:jc w:val="left"/>
    </w:pPr>
    <w:rPr>
      <w:kern w:val="0"/>
      <w:sz w:val="24"/>
    </w:rPr>
  </w:style>
  <w:style w:type="paragraph" w:customStyle="1" w:styleId="194">
    <w:name w:val="正文段"/>
    <w:basedOn w:val="1"/>
    <w:qFormat/>
    <w:uiPriority w:val="0"/>
    <w:pPr>
      <w:widowControl/>
      <w:snapToGrid w:val="0"/>
      <w:spacing w:after="156" w:afterLines="50"/>
      <w:ind w:firstLine="200" w:firstLineChars="200"/>
    </w:pPr>
    <w:rPr>
      <w:kern w:val="0"/>
      <w:sz w:val="24"/>
      <w:szCs w:val="20"/>
    </w:rPr>
  </w:style>
  <w:style w:type="paragraph" w:customStyle="1" w:styleId="195">
    <w:name w:val="_Style 194"/>
    <w:basedOn w:val="4"/>
    <w:next w:val="1"/>
    <w:qFormat/>
    <w:uiPriority w:val="39"/>
    <w:pPr>
      <w:spacing w:line="578" w:lineRule="auto"/>
      <w:outlineLvl w:val="9"/>
    </w:pPr>
    <w:rPr>
      <w:rFonts w:ascii="Times New Roman" w:hAnsi="Times New Roman"/>
      <w:bCs/>
    </w:rPr>
  </w:style>
  <w:style w:type="paragraph" w:customStyle="1" w:styleId="196">
    <w:name w:val="默认段落字体 Para Char Char Char Char Char Char Char Char Char1 Char Char Char Char"/>
    <w:basedOn w:val="1"/>
    <w:qFormat/>
    <w:uiPriority w:val="0"/>
    <w:rPr>
      <w:rFonts w:ascii="Tahoma" w:hAnsi="Tahoma"/>
      <w:sz w:val="24"/>
      <w:szCs w:val="20"/>
    </w:rPr>
  </w:style>
  <w:style w:type="paragraph" w:customStyle="1" w:styleId="197">
    <w:name w:val="GP正文(无首行缩进)"/>
    <w:basedOn w:val="1"/>
    <w:qFormat/>
    <w:uiPriority w:val="0"/>
    <w:pPr>
      <w:spacing w:line="360" w:lineRule="auto"/>
      <w:ind w:firstLine="480" w:firstLineChars="200"/>
      <w:jc w:val="left"/>
    </w:pPr>
    <w:rPr>
      <w:rFonts w:ascii="Times New Roman" w:hAnsi="宋体"/>
      <w:sz w:val="24"/>
    </w:rPr>
  </w:style>
  <w:style w:type="paragraph" w:customStyle="1" w:styleId="198">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199">
    <w:name w:val="四级无"/>
    <w:basedOn w:val="1"/>
    <w:qFormat/>
    <w:uiPriority w:val="0"/>
    <w:pPr>
      <w:widowControl/>
      <w:tabs>
        <w:tab w:val="left" w:pos="2100"/>
      </w:tabs>
      <w:ind w:left="2100" w:hanging="420"/>
      <w:jc w:val="left"/>
      <w:outlineLvl w:val="5"/>
    </w:pPr>
    <w:rPr>
      <w:rFonts w:hint="eastAsia" w:ascii="宋体" w:hAnsi="Calibri" w:eastAsia="宋体"/>
      <w:kern w:val="0"/>
      <w:sz w:val="21"/>
    </w:rPr>
  </w:style>
  <w:style w:type="paragraph" w:customStyle="1" w:styleId="200">
    <w:name w:val="Char"/>
    <w:basedOn w:val="1"/>
    <w:qFormat/>
    <w:uiPriority w:val="0"/>
    <w:pPr>
      <w:tabs>
        <w:tab w:val="left" w:pos="1200"/>
        <w:tab w:val="left" w:pos="1800"/>
      </w:tabs>
      <w:ind w:left="1200" w:hanging="1110"/>
    </w:pPr>
    <w:rPr>
      <w:sz w:val="24"/>
    </w:rPr>
  </w:style>
  <w:style w:type="paragraph" w:customStyle="1" w:styleId="201">
    <w:name w:val="Char Char Char Char"/>
    <w:basedOn w:val="1"/>
    <w:qFormat/>
    <w:uiPriority w:val="0"/>
  </w:style>
  <w:style w:type="paragraph" w:customStyle="1" w:styleId="202">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03">
    <w:name w:val="样式3"/>
    <w:basedOn w:val="26"/>
    <w:next w:val="1"/>
    <w:qFormat/>
    <w:uiPriority w:val="99"/>
    <w:pPr>
      <w:spacing w:line="0" w:lineRule="atLeast"/>
      <w:outlineLvl w:val="0"/>
    </w:pPr>
    <w:rPr>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57</Pages>
  <Words>31140</Words>
  <Characters>32418</Characters>
  <Lines>269</Lines>
  <Paragraphs>75</Paragraphs>
  <TotalTime>8</TotalTime>
  <ScaleCrop>false</ScaleCrop>
  <LinksUpToDate>false</LinksUpToDate>
  <CharactersWithSpaces>34937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2019-11-13T05:24:00Z</dcterms:created>
  <dc:creator>黄旭明</dc:creator>
  <cp:lastModifiedBy>宁波中基国际招标有限公司</cp:lastModifiedBy>
  <cp:lastPrinted>2022-08-01T04:16:00Z</cp:lastPrinted>
  <dcterms:modified xsi:type="dcterms:W3CDTF">2022-08-18T03:14:22Z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62753198F4E14B46BC9CA7C9F6BD726A</vt:lpwstr>
  </property>
</Properties>
</file>