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1B4" w:rsidRPr="00A211B4" w:rsidRDefault="00A211B4" w:rsidP="00A211B4">
      <w:pPr>
        <w:ind w:firstLineChars="200" w:firstLine="723"/>
        <w:jc w:val="center"/>
        <w:rPr>
          <w:rFonts w:ascii="仿宋" w:eastAsia="仿宋" w:hAnsi="仿宋" w:hint="eastAsia"/>
          <w:b/>
          <w:color w:val="000000" w:themeColor="text1"/>
          <w:sz w:val="36"/>
        </w:rPr>
      </w:pPr>
      <w:bookmarkStart w:id="0" w:name="_Toc217446094"/>
      <w:r w:rsidRPr="00A211B4">
        <w:rPr>
          <w:rFonts w:ascii="仿宋" w:eastAsia="仿宋" w:hAnsi="仿宋" w:hint="eastAsia"/>
          <w:b/>
          <w:color w:val="000000" w:themeColor="text1"/>
          <w:sz w:val="36"/>
        </w:rPr>
        <w:t>采购需求</w:t>
      </w:r>
    </w:p>
    <w:p w:rsidR="00A211B4" w:rsidRDefault="00A211B4" w:rsidP="00A211B4">
      <w:pPr>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前提：本章中标注“★</w:t>
      </w:r>
      <w:r>
        <w:rPr>
          <w:rFonts w:ascii="仿宋" w:eastAsia="仿宋" w:hAnsi="仿宋"/>
          <w:b/>
          <w:color w:val="000000" w:themeColor="text1"/>
          <w:sz w:val="24"/>
        </w:rPr>
        <w:t>”的条款为本项目的实质性条款，投标人不满足的，将按照无效投标处理。</w:t>
      </w:r>
    </w:p>
    <w:p w:rsidR="00A211B4" w:rsidRDefault="00A211B4" w:rsidP="00A211B4">
      <w:pPr>
        <w:pStyle w:val="2"/>
        <w:spacing w:line="400" w:lineRule="exact"/>
        <w:ind w:firstLineChars="98" w:firstLine="236"/>
        <w:rPr>
          <w:rFonts w:ascii="仿宋" w:eastAsia="仿宋" w:hAnsi="仿宋"/>
          <w:color w:val="000000" w:themeColor="text1"/>
          <w:sz w:val="24"/>
          <w:szCs w:val="24"/>
        </w:rPr>
      </w:pPr>
      <w:r>
        <w:rPr>
          <w:rFonts w:ascii="仿宋" w:eastAsia="仿宋" w:hAnsi="仿宋" w:hint="eastAsia"/>
          <w:color w:val="000000" w:themeColor="text1"/>
          <w:sz w:val="24"/>
          <w:szCs w:val="24"/>
        </w:rPr>
        <w:t>一、</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项目概述</w:t>
      </w:r>
      <w:bookmarkEnd w:id="0"/>
    </w:p>
    <w:p w:rsidR="00A211B4" w:rsidRDefault="00A211B4" w:rsidP="00A211B4">
      <w:pPr>
        <w:pStyle w:val="a3"/>
        <w:spacing w:line="400" w:lineRule="exact"/>
        <w:ind w:firstLine="480"/>
        <w:rPr>
          <w:rFonts w:ascii="仿宋" w:eastAsia="仿宋" w:hAnsi="仿宋"/>
          <w:bCs/>
          <w:color w:val="000000" w:themeColor="text1"/>
          <w:sz w:val="24"/>
        </w:rPr>
      </w:pPr>
      <w:bookmarkStart w:id="1" w:name="_Toc217446095"/>
      <w:r>
        <w:rPr>
          <w:rFonts w:ascii="仿宋" w:eastAsia="仿宋" w:hAnsi="仿宋" w:hint="eastAsia"/>
          <w:bCs/>
          <w:color w:val="000000" w:themeColor="text1"/>
          <w:sz w:val="24"/>
        </w:rPr>
        <w:t>1.项目</w:t>
      </w:r>
      <w:r>
        <w:rPr>
          <w:rFonts w:ascii="仿宋" w:eastAsia="仿宋" w:hAnsi="仿宋"/>
          <w:bCs/>
          <w:color w:val="000000" w:themeColor="text1"/>
          <w:sz w:val="24"/>
        </w:rPr>
        <w:t>概况</w:t>
      </w:r>
      <w:r>
        <w:rPr>
          <w:rFonts w:ascii="仿宋" w:eastAsia="仿宋" w:hAnsi="仿宋" w:hint="eastAsia"/>
          <w:bCs/>
          <w:color w:val="000000" w:themeColor="text1"/>
          <w:sz w:val="24"/>
        </w:rPr>
        <w:t>：本项目1个包，采购2022-2023年东区城区公共区域除四害消杀服务采购。</w:t>
      </w:r>
      <w:bookmarkStart w:id="2" w:name="_GoBack"/>
      <w:bookmarkEnd w:id="2"/>
    </w:p>
    <w:p w:rsidR="00A211B4" w:rsidRDefault="00A211B4" w:rsidP="00A211B4">
      <w:pPr>
        <w:pStyle w:val="a3"/>
        <w:spacing w:line="400" w:lineRule="exact"/>
        <w:ind w:firstLine="480"/>
        <w:rPr>
          <w:rFonts w:ascii="仿宋" w:eastAsia="仿宋" w:hAnsi="仿宋"/>
          <w:bCs/>
          <w:color w:val="000000" w:themeColor="text1"/>
          <w:sz w:val="24"/>
        </w:rPr>
      </w:pPr>
      <w:r>
        <w:rPr>
          <w:rFonts w:ascii="仿宋" w:eastAsia="仿宋" w:hAnsi="仿宋" w:hint="eastAsia"/>
          <w:bCs/>
          <w:color w:val="000000" w:themeColor="text1"/>
          <w:sz w:val="24"/>
        </w:rPr>
        <w:t>2.项目清单：</w:t>
      </w:r>
    </w:p>
    <w:tbl>
      <w:tblPr>
        <w:tblStyle w:val="a4"/>
        <w:tblW w:w="9975" w:type="dxa"/>
        <w:jc w:val="center"/>
        <w:tblLook w:val="04A0" w:firstRow="1" w:lastRow="0" w:firstColumn="1" w:lastColumn="0" w:noHBand="0" w:noVBand="1"/>
      </w:tblPr>
      <w:tblGrid>
        <w:gridCol w:w="745"/>
        <w:gridCol w:w="759"/>
        <w:gridCol w:w="1326"/>
        <w:gridCol w:w="1272"/>
        <w:gridCol w:w="728"/>
        <w:gridCol w:w="1276"/>
        <w:gridCol w:w="1276"/>
        <w:gridCol w:w="1276"/>
        <w:gridCol w:w="1317"/>
      </w:tblGrid>
      <w:tr w:rsidR="00A211B4" w:rsidTr="001E4E85">
        <w:trPr>
          <w:jc w:val="center"/>
        </w:trPr>
        <w:tc>
          <w:tcPr>
            <w:tcW w:w="745"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proofErr w:type="gramStart"/>
            <w:r>
              <w:rPr>
                <w:rFonts w:ascii="仿宋" w:eastAsia="仿宋" w:hAnsi="仿宋" w:hint="eastAsia"/>
                <w:bCs/>
                <w:color w:val="000000" w:themeColor="text1"/>
                <w:sz w:val="24"/>
              </w:rPr>
              <w:t>包号</w:t>
            </w:r>
            <w:proofErr w:type="gramEnd"/>
          </w:p>
        </w:tc>
        <w:tc>
          <w:tcPr>
            <w:tcW w:w="759"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hint="eastAsia"/>
                <w:bCs/>
                <w:color w:val="000000" w:themeColor="text1"/>
                <w:sz w:val="24"/>
              </w:rPr>
              <w:t>品目号</w:t>
            </w:r>
          </w:p>
        </w:tc>
        <w:tc>
          <w:tcPr>
            <w:tcW w:w="1326"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hint="eastAsia"/>
                <w:bCs/>
                <w:color w:val="000000" w:themeColor="text1"/>
                <w:sz w:val="24"/>
              </w:rPr>
              <w:t>标的</w:t>
            </w:r>
            <w:r>
              <w:rPr>
                <w:rFonts w:ascii="仿宋" w:eastAsia="仿宋" w:hAnsi="仿宋"/>
                <w:bCs/>
                <w:color w:val="000000" w:themeColor="text1"/>
                <w:sz w:val="24"/>
              </w:rPr>
              <w:t>名称</w:t>
            </w:r>
          </w:p>
        </w:tc>
        <w:tc>
          <w:tcPr>
            <w:tcW w:w="1272"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hint="eastAsia"/>
                <w:bCs/>
                <w:color w:val="000000" w:themeColor="text1"/>
                <w:sz w:val="24"/>
              </w:rPr>
              <w:t>所属行业</w:t>
            </w:r>
          </w:p>
        </w:tc>
        <w:tc>
          <w:tcPr>
            <w:tcW w:w="728" w:type="dxa"/>
            <w:vAlign w:val="center"/>
          </w:tcPr>
          <w:p w:rsidR="00A211B4" w:rsidRDefault="00A211B4" w:rsidP="001E4E85">
            <w:pPr>
              <w:pStyle w:val="a3"/>
              <w:spacing w:line="400" w:lineRule="exact"/>
              <w:ind w:firstLineChars="0" w:firstLine="0"/>
              <w:jc w:val="center"/>
              <w:rPr>
                <w:rFonts w:ascii="仿宋" w:eastAsia="仿宋" w:hAnsi="仿宋"/>
                <w:bCs/>
                <w:color w:val="000000" w:themeColor="text1"/>
                <w:sz w:val="24"/>
              </w:rPr>
            </w:pPr>
            <w:r>
              <w:rPr>
                <w:rFonts w:ascii="仿宋" w:eastAsia="仿宋" w:hAnsi="仿宋" w:hint="eastAsia"/>
                <w:bCs/>
                <w:color w:val="000000" w:themeColor="text1"/>
                <w:sz w:val="24"/>
              </w:rPr>
              <w:t>数量</w:t>
            </w:r>
          </w:p>
        </w:tc>
        <w:tc>
          <w:tcPr>
            <w:tcW w:w="1276"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hint="eastAsia"/>
                <w:bCs/>
                <w:color w:val="000000" w:themeColor="text1"/>
                <w:sz w:val="24"/>
              </w:rPr>
              <w:t>是否允许进口产品</w:t>
            </w:r>
          </w:p>
        </w:tc>
        <w:tc>
          <w:tcPr>
            <w:tcW w:w="1276"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bCs/>
                <w:color w:val="000000" w:themeColor="text1"/>
                <w:sz w:val="24"/>
              </w:rPr>
              <w:t>是否属于优先采购节能产品</w:t>
            </w:r>
          </w:p>
        </w:tc>
        <w:tc>
          <w:tcPr>
            <w:tcW w:w="1276"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hint="eastAsia"/>
                <w:bCs/>
                <w:color w:val="000000" w:themeColor="text1"/>
                <w:sz w:val="24"/>
              </w:rPr>
              <w:t>是否属于强制采购节能产品</w:t>
            </w:r>
          </w:p>
        </w:tc>
        <w:tc>
          <w:tcPr>
            <w:tcW w:w="1317"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hint="eastAsia"/>
                <w:bCs/>
                <w:color w:val="000000" w:themeColor="text1"/>
                <w:sz w:val="24"/>
              </w:rPr>
              <w:t>是否属于优先采购环境标志产品</w:t>
            </w:r>
          </w:p>
        </w:tc>
      </w:tr>
      <w:tr w:rsidR="00A211B4" w:rsidTr="001E4E85">
        <w:trPr>
          <w:jc w:val="center"/>
        </w:trPr>
        <w:tc>
          <w:tcPr>
            <w:tcW w:w="745"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bCs/>
                <w:color w:val="000000" w:themeColor="text1"/>
                <w:sz w:val="24"/>
              </w:rPr>
              <w:t>01包</w:t>
            </w:r>
          </w:p>
        </w:tc>
        <w:tc>
          <w:tcPr>
            <w:tcW w:w="759"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hint="eastAsia"/>
                <w:bCs/>
                <w:color w:val="000000" w:themeColor="text1"/>
                <w:sz w:val="24"/>
              </w:rPr>
              <w:t>1-1</w:t>
            </w:r>
          </w:p>
        </w:tc>
        <w:tc>
          <w:tcPr>
            <w:tcW w:w="1326"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hint="eastAsia"/>
                <w:bCs/>
                <w:color w:val="000000" w:themeColor="text1"/>
                <w:sz w:val="24"/>
              </w:rPr>
              <w:t>2022-2023年东区城区公共区域除四害消杀服务采购</w:t>
            </w:r>
          </w:p>
        </w:tc>
        <w:tc>
          <w:tcPr>
            <w:tcW w:w="1272" w:type="dxa"/>
            <w:vAlign w:val="center"/>
          </w:tcPr>
          <w:p w:rsidR="00A211B4" w:rsidRDefault="00A211B4" w:rsidP="001E4E85">
            <w:pPr>
              <w:pStyle w:val="a3"/>
              <w:spacing w:line="400" w:lineRule="exact"/>
              <w:ind w:firstLineChars="0" w:firstLine="0"/>
              <w:rPr>
                <w:rFonts w:ascii="仿宋" w:eastAsia="仿宋" w:hAnsi="仿宋"/>
                <w:bCs/>
                <w:color w:val="000000" w:themeColor="text1"/>
                <w:sz w:val="24"/>
              </w:rPr>
            </w:pPr>
            <w:r>
              <w:rPr>
                <w:rFonts w:ascii="仿宋" w:eastAsia="仿宋" w:hAnsi="仿宋" w:hint="eastAsia"/>
                <w:bCs/>
                <w:color w:val="000000" w:themeColor="text1"/>
                <w:sz w:val="24"/>
              </w:rPr>
              <w:t>其他未列明行业</w:t>
            </w:r>
          </w:p>
        </w:tc>
        <w:tc>
          <w:tcPr>
            <w:tcW w:w="728" w:type="dxa"/>
            <w:vAlign w:val="center"/>
          </w:tcPr>
          <w:p w:rsidR="00A211B4" w:rsidRDefault="00A211B4" w:rsidP="001E4E85">
            <w:pPr>
              <w:pStyle w:val="a3"/>
              <w:spacing w:line="400" w:lineRule="exact"/>
              <w:ind w:firstLineChars="0" w:firstLine="0"/>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1276" w:type="dxa"/>
            <w:vAlign w:val="center"/>
          </w:tcPr>
          <w:p w:rsidR="00A211B4" w:rsidRDefault="00A211B4" w:rsidP="001E4E85">
            <w:pPr>
              <w:pStyle w:val="a3"/>
              <w:spacing w:line="400" w:lineRule="exact"/>
              <w:ind w:firstLineChars="0" w:firstLine="0"/>
              <w:jc w:val="center"/>
              <w:rPr>
                <w:rFonts w:ascii="仿宋" w:eastAsia="仿宋" w:hAnsi="仿宋"/>
                <w:bCs/>
                <w:color w:val="000000" w:themeColor="text1"/>
                <w:sz w:val="24"/>
              </w:rPr>
            </w:pPr>
            <w:r>
              <w:rPr>
                <w:rFonts w:ascii="仿宋" w:eastAsia="仿宋" w:hAnsi="仿宋" w:hint="eastAsia"/>
                <w:bCs/>
                <w:color w:val="000000" w:themeColor="text1"/>
                <w:sz w:val="24"/>
              </w:rPr>
              <w:t>否</w:t>
            </w:r>
          </w:p>
        </w:tc>
        <w:tc>
          <w:tcPr>
            <w:tcW w:w="1276" w:type="dxa"/>
            <w:vAlign w:val="center"/>
          </w:tcPr>
          <w:p w:rsidR="00A211B4" w:rsidRDefault="00A211B4" w:rsidP="001E4E85">
            <w:pPr>
              <w:pStyle w:val="a3"/>
              <w:spacing w:line="400" w:lineRule="exact"/>
              <w:ind w:firstLineChars="0" w:firstLine="0"/>
              <w:jc w:val="center"/>
              <w:rPr>
                <w:rFonts w:ascii="仿宋" w:eastAsia="仿宋" w:hAnsi="仿宋"/>
                <w:bCs/>
                <w:color w:val="000000" w:themeColor="text1"/>
                <w:sz w:val="24"/>
              </w:rPr>
            </w:pPr>
            <w:r>
              <w:rPr>
                <w:rFonts w:ascii="仿宋" w:eastAsia="仿宋" w:hAnsi="仿宋" w:hint="eastAsia"/>
                <w:bCs/>
                <w:color w:val="000000" w:themeColor="text1"/>
                <w:sz w:val="24"/>
              </w:rPr>
              <w:t>否</w:t>
            </w:r>
          </w:p>
        </w:tc>
        <w:tc>
          <w:tcPr>
            <w:tcW w:w="1276" w:type="dxa"/>
            <w:vAlign w:val="center"/>
          </w:tcPr>
          <w:p w:rsidR="00A211B4" w:rsidRDefault="00A211B4" w:rsidP="001E4E85">
            <w:pPr>
              <w:pStyle w:val="a3"/>
              <w:spacing w:line="400" w:lineRule="exact"/>
              <w:ind w:firstLineChars="0" w:firstLine="0"/>
              <w:jc w:val="center"/>
              <w:rPr>
                <w:rFonts w:ascii="仿宋" w:eastAsia="仿宋" w:hAnsi="仿宋"/>
                <w:bCs/>
                <w:color w:val="000000" w:themeColor="text1"/>
                <w:sz w:val="24"/>
              </w:rPr>
            </w:pPr>
            <w:r>
              <w:rPr>
                <w:rFonts w:ascii="仿宋" w:eastAsia="仿宋" w:hAnsi="仿宋" w:hint="eastAsia"/>
                <w:bCs/>
                <w:color w:val="000000" w:themeColor="text1"/>
                <w:sz w:val="24"/>
              </w:rPr>
              <w:t>否</w:t>
            </w:r>
          </w:p>
        </w:tc>
        <w:tc>
          <w:tcPr>
            <w:tcW w:w="1317" w:type="dxa"/>
            <w:vAlign w:val="center"/>
          </w:tcPr>
          <w:p w:rsidR="00A211B4" w:rsidRDefault="00A211B4" w:rsidP="001E4E85">
            <w:pPr>
              <w:pStyle w:val="a3"/>
              <w:spacing w:line="400" w:lineRule="exact"/>
              <w:ind w:firstLineChars="0" w:firstLine="0"/>
              <w:jc w:val="center"/>
              <w:rPr>
                <w:rFonts w:ascii="仿宋" w:eastAsia="仿宋" w:hAnsi="仿宋"/>
                <w:bCs/>
                <w:color w:val="000000" w:themeColor="text1"/>
                <w:sz w:val="24"/>
              </w:rPr>
            </w:pPr>
            <w:r>
              <w:rPr>
                <w:rFonts w:ascii="仿宋" w:eastAsia="仿宋" w:hAnsi="仿宋" w:hint="eastAsia"/>
                <w:bCs/>
                <w:color w:val="000000" w:themeColor="text1"/>
                <w:sz w:val="24"/>
              </w:rPr>
              <w:t>否</w:t>
            </w:r>
          </w:p>
        </w:tc>
      </w:tr>
    </w:tbl>
    <w:p w:rsidR="00A211B4" w:rsidRDefault="00A211B4" w:rsidP="00A211B4">
      <w:pPr>
        <w:pStyle w:val="2"/>
        <w:spacing w:line="400" w:lineRule="exact"/>
        <w:ind w:firstLineChars="98" w:firstLine="235"/>
        <w:rPr>
          <w:rFonts w:ascii="仿宋" w:eastAsia="仿宋" w:hAnsi="仿宋"/>
          <w:color w:val="000000" w:themeColor="text1"/>
          <w:sz w:val="24"/>
          <w:szCs w:val="24"/>
        </w:rPr>
      </w:pPr>
      <w:r>
        <w:rPr>
          <w:rFonts w:ascii="仿宋" w:eastAsia="仿宋" w:hAnsi="仿宋" w:hint="eastAsia"/>
          <w:b w:val="0"/>
          <w:color w:val="000000" w:themeColor="text1"/>
          <w:sz w:val="24"/>
        </w:rPr>
        <w:t>★</w:t>
      </w:r>
      <w:r>
        <w:rPr>
          <w:rFonts w:ascii="仿宋" w:eastAsia="仿宋" w:hAnsi="仿宋" w:hint="eastAsia"/>
          <w:color w:val="000000" w:themeColor="text1"/>
          <w:sz w:val="24"/>
          <w:szCs w:val="24"/>
        </w:rPr>
        <w:t>二、</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商务要求</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1、服务时间：365天（</w:t>
      </w:r>
      <w:r w:rsidRPr="00DF78EC">
        <w:rPr>
          <w:rFonts w:ascii="仿宋" w:eastAsia="仿宋" w:hAnsi="仿宋" w:hint="eastAsia"/>
          <w:color w:val="000000" w:themeColor="text1"/>
          <w:sz w:val="24"/>
        </w:rPr>
        <w:t>自合同签订之日起365日</w:t>
      </w:r>
      <w:r>
        <w:rPr>
          <w:rFonts w:ascii="仿宋" w:eastAsia="仿宋" w:hAnsi="仿宋" w:hint="eastAsia"/>
          <w:color w:val="000000" w:themeColor="text1"/>
          <w:sz w:val="24"/>
        </w:rPr>
        <w:t>）</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2、服务地点：攀枝花市东区</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3、支付方式：合同签订180天后，经区爱卫办组织相关专业部门进行密度监测，达到国家规定标准后，支付合同总金额的40% ；合同签订365天后，经区爱卫办组织相关部门进行密度监测，达到国家规定标准，并通过当年相关市级、省级、国家级效果评估后，支付合同总金额的60%。</w:t>
      </w:r>
    </w:p>
    <w:p w:rsidR="00A211B4" w:rsidRDefault="00A211B4" w:rsidP="00A211B4">
      <w:pPr>
        <w:spacing w:line="400" w:lineRule="exact"/>
        <w:ind w:firstLineChars="130" w:firstLine="312"/>
        <w:rPr>
          <w:rFonts w:ascii="仿宋" w:eastAsia="仿宋" w:hAnsi="仿宋"/>
          <w:color w:val="000000" w:themeColor="text1"/>
          <w:sz w:val="24"/>
        </w:rPr>
      </w:pP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附件：1.东区除四害消</w:t>
      </w:r>
      <w:proofErr w:type="gramStart"/>
      <w:r>
        <w:rPr>
          <w:rFonts w:ascii="仿宋" w:eastAsia="仿宋" w:hAnsi="仿宋" w:hint="eastAsia"/>
          <w:color w:val="000000" w:themeColor="text1"/>
          <w:sz w:val="24"/>
        </w:rPr>
        <w:t>杀主要</w:t>
      </w:r>
      <w:proofErr w:type="gramEnd"/>
      <w:r>
        <w:rPr>
          <w:rFonts w:ascii="仿宋" w:eastAsia="仿宋" w:hAnsi="仿宋" w:hint="eastAsia"/>
          <w:color w:val="000000" w:themeColor="text1"/>
          <w:sz w:val="24"/>
        </w:rPr>
        <w:t>路、街、巷，雨污井索引</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2.东区城区公共区域除四害消杀外围线索引导点</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lastRenderedPageBreak/>
        <w:t>3.日常消杀重点</w:t>
      </w:r>
      <w:proofErr w:type="gramStart"/>
      <w:r>
        <w:rPr>
          <w:rFonts w:ascii="仿宋" w:eastAsia="仿宋" w:hAnsi="仿宋" w:hint="eastAsia"/>
          <w:color w:val="000000" w:themeColor="text1"/>
          <w:sz w:val="24"/>
        </w:rPr>
        <w:t>点</w:t>
      </w:r>
      <w:proofErr w:type="gramEnd"/>
      <w:r>
        <w:rPr>
          <w:rFonts w:ascii="仿宋" w:eastAsia="仿宋" w:hAnsi="仿宋" w:hint="eastAsia"/>
          <w:color w:val="000000" w:themeColor="text1"/>
          <w:sz w:val="24"/>
        </w:rPr>
        <w:t>位</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4.病媒生物密度控制水平 鼠类（GB/T27770-2011）</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病媒生物密度控制水平 蚊虫（GB/T27771-2011</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病媒生物密度控制水平 蝇类（GB/T27772-2011）</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病媒生物密度控制水平 蜚蠊（GB/T27773-2011）</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5.病媒生物密度监测方法 鼠类（GB/T23798-2009）</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病媒生物密度监测方法 蚊虫（GB/T23797-2009）</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病媒生物密度监测方法 蝇类（GB/T23796-2009）</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病媒生物密度监测方法 蜚蠊（GB/T23795-2009）</w:t>
      </w:r>
    </w:p>
    <w:p w:rsidR="00A211B4" w:rsidRDefault="00A211B4" w:rsidP="00A211B4">
      <w:pPr>
        <w:pStyle w:val="a3"/>
        <w:spacing w:line="400" w:lineRule="exact"/>
        <w:ind w:firstLine="480"/>
        <w:rPr>
          <w:rFonts w:ascii="仿宋" w:eastAsia="仿宋" w:hAnsi="仿宋"/>
          <w:bCs/>
          <w:color w:val="000000" w:themeColor="text1"/>
          <w:sz w:val="24"/>
        </w:rPr>
      </w:pPr>
      <w:r>
        <w:rPr>
          <w:rFonts w:ascii="仿宋" w:eastAsia="仿宋" w:hAnsi="仿宋" w:hint="eastAsia"/>
          <w:color w:val="000000" w:themeColor="text1"/>
          <w:sz w:val="24"/>
        </w:rPr>
        <w:t>6.东区购买除四害消杀服务评分因素及标准</w:t>
      </w:r>
    </w:p>
    <w:p w:rsidR="00A211B4" w:rsidRDefault="00A211B4" w:rsidP="00A211B4">
      <w:pPr>
        <w:pStyle w:val="2"/>
        <w:spacing w:line="400" w:lineRule="exact"/>
        <w:ind w:firstLineChars="98" w:firstLine="236"/>
        <w:rPr>
          <w:rFonts w:ascii="仿宋" w:eastAsia="仿宋" w:hAnsi="仿宋"/>
          <w:color w:val="000000" w:themeColor="text1"/>
          <w:sz w:val="24"/>
          <w:szCs w:val="24"/>
        </w:rPr>
      </w:pPr>
      <w:r>
        <w:rPr>
          <w:rFonts w:ascii="仿宋" w:eastAsia="仿宋" w:hAnsi="仿宋" w:hint="eastAsia"/>
          <w:color w:val="000000" w:themeColor="text1"/>
          <w:sz w:val="24"/>
          <w:szCs w:val="24"/>
        </w:rPr>
        <w:t>三、技术</w:t>
      </w:r>
      <w:r>
        <w:rPr>
          <w:rFonts w:ascii="仿宋" w:eastAsia="仿宋" w:hAnsi="仿宋"/>
          <w:color w:val="000000" w:themeColor="text1"/>
          <w:sz w:val="24"/>
          <w:szCs w:val="24"/>
        </w:rPr>
        <w:t>、服务要求</w:t>
      </w:r>
      <w:bookmarkEnd w:id="1"/>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（一）购买服务消杀的覆盖范围。</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1.攀枝花市东区城区辖区市政公共路、街、巷（除附件1中229条已</w:t>
      </w:r>
      <w:proofErr w:type="gramStart"/>
      <w:r>
        <w:rPr>
          <w:rFonts w:ascii="仿宋" w:eastAsia="仿宋" w:hAnsi="仿宋" w:hint="eastAsia"/>
          <w:color w:val="000000" w:themeColor="text1"/>
          <w:sz w:val="24"/>
        </w:rPr>
        <w:t>命名路街巷</w:t>
      </w:r>
      <w:proofErr w:type="gramEnd"/>
      <w:r>
        <w:rPr>
          <w:rFonts w:ascii="仿宋" w:eastAsia="仿宋" w:hAnsi="仿宋" w:hint="eastAsia"/>
          <w:color w:val="000000" w:themeColor="text1"/>
          <w:sz w:val="24"/>
        </w:rPr>
        <w:t>外，还包括尚未命名以及新命名但未列入附件1的市政道路）两侧的垃圾桶1000余个、果皮箱1000余只、垃圾收集点110余个、绿化带以及路、街、巷两侧30米内孳生地、阴阳沟、排洪沟。</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2.辖区各类重点场所如宾馆、饭店、商场、超市、集贸市场、粮库粮站、汽车站、</w:t>
      </w:r>
      <w:proofErr w:type="gramStart"/>
      <w:r>
        <w:rPr>
          <w:rFonts w:ascii="仿宋" w:eastAsia="仿宋" w:hAnsi="仿宋" w:hint="eastAsia"/>
          <w:color w:val="000000" w:themeColor="text1"/>
          <w:sz w:val="24"/>
        </w:rPr>
        <w:t>公交首</w:t>
      </w:r>
      <w:proofErr w:type="gramEnd"/>
      <w:r>
        <w:rPr>
          <w:rFonts w:ascii="仿宋" w:eastAsia="仿宋" w:hAnsi="仿宋" w:hint="eastAsia"/>
          <w:color w:val="000000" w:themeColor="text1"/>
          <w:sz w:val="24"/>
        </w:rPr>
        <w:t>末站、火车站、飞机场、影院、副食品加工厂、酿造厂、废品收购点周边、大中小学校周边公共区域，消杀的区域、部分重点</w:t>
      </w:r>
      <w:proofErr w:type="gramStart"/>
      <w:r>
        <w:rPr>
          <w:rFonts w:ascii="仿宋" w:eastAsia="仿宋" w:hAnsi="仿宋" w:hint="eastAsia"/>
          <w:color w:val="000000" w:themeColor="text1"/>
          <w:sz w:val="24"/>
        </w:rPr>
        <w:t>点</w:t>
      </w:r>
      <w:proofErr w:type="gramEnd"/>
      <w:r>
        <w:rPr>
          <w:rFonts w:ascii="仿宋" w:eastAsia="仿宋" w:hAnsi="仿宋" w:hint="eastAsia"/>
          <w:color w:val="000000" w:themeColor="text1"/>
          <w:sz w:val="24"/>
        </w:rPr>
        <w:t>位指引，详见附件2。</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3.窨井12000余口。</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4.三不管地段和特困倒闭破产企业厂区外围及其无物业进入的家属区及外围。</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（二）日常消杀和集中消</w:t>
      </w:r>
      <w:proofErr w:type="gramStart"/>
      <w:r>
        <w:rPr>
          <w:rFonts w:ascii="仿宋" w:eastAsia="仿宋" w:hAnsi="仿宋" w:hint="eastAsia"/>
          <w:color w:val="000000" w:themeColor="text1"/>
          <w:sz w:val="24"/>
        </w:rPr>
        <w:t>杀基本</w:t>
      </w:r>
      <w:proofErr w:type="gramEnd"/>
      <w:r>
        <w:rPr>
          <w:rFonts w:ascii="仿宋" w:eastAsia="仿宋" w:hAnsi="仿宋" w:hint="eastAsia"/>
          <w:color w:val="000000" w:themeColor="text1"/>
          <w:sz w:val="24"/>
        </w:rPr>
        <w:t>要求。</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1.集中消杀：按照区爱卫会安排的统一时间,实施春、夏、秋季集中除四害，年度内全覆盖杀</w:t>
      </w:r>
      <w:proofErr w:type="gramStart"/>
      <w:r>
        <w:rPr>
          <w:rFonts w:ascii="仿宋" w:eastAsia="仿宋" w:hAnsi="仿宋" w:hint="eastAsia"/>
          <w:color w:val="000000" w:themeColor="text1"/>
          <w:sz w:val="24"/>
        </w:rPr>
        <w:t>蟑</w:t>
      </w:r>
      <w:proofErr w:type="gramEnd"/>
      <w:r>
        <w:rPr>
          <w:rFonts w:ascii="仿宋" w:eastAsia="仿宋" w:hAnsi="仿宋" w:hint="eastAsia"/>
          <w:color w:val="000000" w:themeColor="text1"/>
          <w:sz w:val="24"/>
        </w:rPr>
        <w:t>、灭鼠不低于3次，根据东区的虫媒消长规律，原则上在4、6、9月实施。</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2.灭蚊灭蝇：公共区域全覆盖灭蝇、灭蚊采取菊酯类药品、</w:t>
      </w:r>
      <w:proofErr w:type="gramStart"/>
      <w:r>
        <w:rPr>
          <w:rFonts w:ascii="仿宋" w:eastAsia="仿宋" w:hAnsi="仿宋" w:hint="eastAsia"/>
          <w:color w:val="000000" w:themeColor="text1"/>
          <w:sz w:val="24"/>
        </w:rPr>
        <w:t>倍</w:t>
      </w:r>
      <w:proofErr w:type="gramEnd"/>
      <w:r>
        <w:rPr>
          <w:rFonts w:ascii="仿宋" w:eastAsia="仿宋" w:hAnsi="仿宋" w:hint="eastAsia"/>
          <w:color w:val="000000" w:themeColor="text1"/>
          <w:sz w:val="24"/>
        </w:rPr>
        <w:t>硫磷或高效、</w:t>
      </w:r>
      <w:r>
        <w:rPr>
          <w:rFonts w:ascii="仿宋" w:eastAsia="仿宋" w:hAnsi="仿宋" w:hint="eastAsia"/>
          <w:color w:val="000000" w:themeColor="text1"/>
          <w:sz w:val="24"/>
        </w:rPr>
        <w:lastRenderedPageBreak/>
        <w:t>环保的生物制剂，车载式滞留喷洒消杀，车辆无法到达区域采用人工背负式滞留喷洒消杀。服务方要按照相关的技术要求，确保服务频次。3-10月每周不低于1次（或每月消杀4次），11-2月每月不低于1次。</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3.灭蚊灯：在合同期内，选择不低于12个人口稠密、集中的文化广场（原则上6个</w:t>
      </w:r>
      <w:proofErr w:type="gramStart"/>
      <w:r>
        <w:rPr>
          <w:rFonts w:ascii="仿宋" w:eastAsia="仿宋" w:hAnsi="仿宋" w:hint="eastAsia"/>
          <w:color w:val="000000" w:themeColor="text1"/>
          <w:sz w:val="24"/>
        </w:rPr>
        <w:t>街道镇全覆盖</w:t>
      </w:r>
      <w:proofErr w:type="gramEnd"/>
      <w:r>
        <w:rPr>
          <w:rFonts w:ascii="仿宋" w:eastAsia="仿宋" w:hAnsi="仿宋" w:hint="eastAsia"/>
          <w:color w:val="000000" w:themeColor="text1"/>
          <w:sz w:val="24"/>
        </w:rPr>
        <w:t>），设置完好、有效、数量充足、运行良好的太阳能灭蚊灯（总数不低于24台）等设施并交付社区居委会管理运行，灭蚊灯的设置要求：诱杀面积不低于400平方米，材质理应防风吹、日晒、雨淋，便于稳固放置，不易丢失损坏，质保期不少于3年，做好日常维护。</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4.灭鼠：除实施春、夏、秋三次集中灭鼠外，新安装符合要求的灭鼠毒饵站不少于5000个，并对已经安装的破损、缺失的灭鼠毒饵站进行修补、维护，保证辖区符合规定的毒饵站数量充足，确保东区辖区公共区域常年保持有不少于20000个完好的灭鼠毒饵站。灭鼠毒饵站的安装、修缮、维护要以社区居委会为单位进行编号，便于购买方和服务方的共同监督管理与维护和正常使用。对毒饵站的毒饵投放按月进行补充，安全措施到位，确保不发生人畜安全事故。灭鼠毒饵站制作标准应符合国家有关标准：长度应不小于30厘米，大小达到国家有关标准，材质为水泥等硬度大的、不易被损毁的材质，安装在房屋背后、垃圾房后及各类孳生地周边，一般应靠墙固定安装，避免非路径安装，暨拐角、坎上安装现象；在老鼠易出没的场所如农贸市场、饮食行业、食堂周围、垃圾中转站点和城中村等场所，应每隔15-20米放置一个；机关单位、住宅区等则可每隔20-30米放置一个；在普通场所的绿化地、围墙边的摆放间距可作适当调整。灭鼠站上标识显著“毒饵站”以及危险提示字样。</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遵循环保理念和结合病媒生物防制原则，推行优质有效的物理防制方法，推广使用电子声纳产品、生物制剂等高科技环保产品。要求在三次集中除四害活动中，在6个街道镇中分别指定一个社区（村）适时规模应用推广，要求器械操作方式使用简单适用，易掌握并有显著效果，整个活动形成方案。</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6.承担自然灾害、突发公共卫生事件应急消杀和重大活动、特殊时期、法定节假日（元旦、春节、五一、中秋、国庆等）的除四害消杀工作。</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7.服务方参与并配合辖区内各项病媒生物防制工作检查，根据区爱国卫生运动委员会办公室安排承担辖区病媒生物防制效果评估相关工作。</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8.服务方要对消</w:t>
      </w:r>
      <w:proofErr w:type="gramStart"/>
      <w:r>
        <w:rPr>
          <w:rFonts w:ascii="仿宋" w:eastAsia="仿宋" w:hAnsi="仿宋" w:hint="eastAsia"/>
          <w:color w:val="000000" w:themeColor="text1"/>
          <w:sz w:val="24"/>
        </w:rPr>
        <w:t>杀实施</w:t>
      </w:r>
      <w:proofErr w:type="gramEnd"/>
      <w:r>
        <w:rPr>
          <w:rFonts w:ascii="仿宋" w:eastAsia="仿宋" w:hAnsi="仿宋" w:hint="eastAsia"/>
          <w:color w:val="000000" w:themeColor="text1"/>
          <w:sz w:val="24"/>
        </w:rPr>
        <w:t>后场所中病媒生物尸体和残留药物等按照东区实际情况进行及时清理与处理，处理办法科学规范、保障人畜安全，以确保消</w:t>
      </w:r>
      <w:proofErr w:type="gramStart"/>
      <w:r>
        <w:rPr>
          <w:rFonts w:ascii="仿宋" w:eastAsia="仿宋" w:hAnsi="仿宋" w:hint="eastAsia"/>
          <w:color w:val="000000" w:themeColor="text1"/>
          <w:sz w:val="24"/>
        </w:rPr>
        <w:t>杀目标</w:t>
      </w:r>
      <w:proofErr w:type="gramEnd"/>
      <w:r>
        <w:rPr>
          <w:rFonts w:ascii="仿宋" w:eastAsia="仿宋" w:hAnsi="仿宋" w:hint="eastAsia"/>
          <w:color w:val="000000" w:themeColor="text1"/>
          <w:sz w:val="24"/>
        </w:rPr>
        <w:t>的实现。</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lastRenderedPageBreak/>
        <w:t>（三）有关资料、方案要求。</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1.供应商承诺的服务日常管理细则，投放安全保证措施、宣传计划、安全应急预案、重大活动和特殊时期消杀方案、文本设立及管理办法等切实可行（相关工作文本以及器械、药品相关资质材料在中标后签订正式合同时提供给区爱卫办作为日常监督依据）。</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2.制定符合东区实际的灭蝇、灭蚊、灭</w:t>
      </w:r>
      <w:proofErr w:type="gramStart"/>
      <w:r>
        <w:rPr>
          <w:rFonts w:ascii="仿宋" w:eastAsia="仿宋" w:hAnsi="仿宋" w:hint="eastAsia"/>
          <w:color w:val="000000" w:themeColor="text1"/>
          <w:sz w:val="24"/>
        </w:rPr>
        <w:t>蟑</w:t>
      </w:r>
      <w:proofErr w:type="gramEnd"/>
      <w:r>
        <w:rPr>
          <w:rFonts w:ascii="仿宋" w:eastAsia="仿宋" w:hAnsi="仿宋" w:hint="eastAsia"/>
          <w:color w:val="000000" w:themeColor="text1"/>
          <w:sz w:val="24"/>
        </w:rPr>
        <w:t>、灭鼠长效消杀方案、孳生地治理工作方案、设施设置方案、定期消</w:t>
      </w:r>
      <w:proofErr w:type="gramStart"/>
      <w:r>
        <w:rPr>
          <w:rFonts w:ascii="仿宋" w:eastAsia="仿宋" w:hAnsi="仿宋" w:hint="eastAsia"/>
          <w:color w:val="000000" w:themeColor="text1"/>
          <w:sz w:val="24"/>
        </w:rPr>
        <w:t>杀活动</w:t>
      </w:r>
      <w:proofErr w:type="gramEnd"/>
      <w:r>
        <w:rPr>
          <w:rFonts w:ascii="仿宋" w:eastAsia="仿宋" w:hAnsi="仿宋" w:hint="eastAsia"/>
          <w:color w:val="000000" w:themeColor="text1"/>
          <w:sz w:val="24"/>
        </w:rPr>
        <w:t>及突发事件、重大活动应急消杀技术方案，方案中要明确方式、步骤、办法及其安全应急保证措施和文明施工方法。</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3.进场施工前，服务方须制定全面的周期消杀计划，春、夏、</w:t>
      </w:r>
      <w:proofErr w:type="gramStart"/>
      <w:r>
        <w:rPr>
          <w:rFonts w:ascii="仿宋" w:eastAsia="仿宋" w:hAnsi="仿宋" w:hint="eastAsia"/>
          <w:color w:val="000000" w:themeColor="text1"/>
          <w:sz w:val="24"/>
        </w:rPr>
        <w:t>秋消杀</w:t>
      </w:r>
      <w:proofErr w:type="gramEnd"/>
      <w:r>
        <w:rPr>
          <w:rFonts w:ascii="仿宋" w:eastAsia="仿宋" w:hAnsi="仿宋" w:hint="eastAsia"/>
          <w:color w:val="000000" w:themeColor="text1"/>
          <w:sz w:val="24"/>
        </w:rPr>
        <w:t>期间，服务方须在每月20日前将下一个月的施工日程安排表（</w:t>
      </w:r>
      <w:proofErr w:type="gramStart"/>
      <w:r>
        <w:rPr>
          <w:rFonts w:ascii="仿宋" w:eastAsia="仿宋" w:hAnsi="仿宋" w:hint="eastAsia"/>
          <w:color w:val="000000" w:themeColor="text1"/>
          <w:sz w:val="24"/>
        </w:rPr>
        <w:t>含施工</w:t>
      </w:r>
      <w:proofErr w:type="gramEnd"/>
      <w:r>
        <w:rPr>
          <w:rFonts w:ascii="仿宋" w:eastAsia="仿宋" w:hAnsi="仿宋" w:hint="eastAsia"/>
          <w:color w:val="000000" w:themeColor="text1"/>
          <w:sz w:val="24"/>
        </w:rPr>
        <w:t>方案、地点、具体施工人员、联系电话、使用药品名称和数量、施工通知单等）报区爱卫办，便于购买方的技术指导修订，工期把握，引导、监督等工作的安排。</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4.服务方在</w:t>
      </w:r>
      <w:proofErr w:type="gramStart"/>
      <w:r>
        <w:rPr>
          <w:rFonts w:ascii="仿宋" w:eastAsia="仿宋" w:hAnsi="仿宋" w:hint="eastAsia"/>
          <w:color w:val="000000" w:themeColor="text1"/>
          <w:sz w:val="24"/>
        </w:rPr>
        <w:t>签定</w:t>
      </w:r>
      <w:proofErr w:type="gramEnd"/>
      <w:r>
        <w:rPr>
          <w:rFonts w:ascii="仿宋" w:eastAsia="仿宋" w:hAnsi="仿宋" w:hint="eastAsia"/>
          <w:color w:val="000000" w:themeColor="text1"/>
          <w:sz w:val="24"/>
        </w:rPr>
        <w:t>合同时须向区爱卫会办公室提供公司相关资质证明（包括选定药物清单及证件、参与现场工作人员清单及培训合格证书、所使用器械名称清单、进货渠道合法并能提供发票及资质证明。</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（四）其他要求：</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1.人员配备要求：服务方在辖区内要有2人以上具备大专以上文化程度固定项目管理人（可分为集中消</w:t>
      </w:r>
      <w:proofErr w:type="gramStart"/>
      <w:r>
        <w:rPr>
          <w:rFonts w:ascii="仿宋" w:eastAsia="仿宋" w:hAnsi="仿宋" w:hint="eastAsia"/>
          <w:color w:val="000000" w:themeColor="text1"/>
          <w:sz w:val="24"/>
        </w:rPr>
        <w:t>杀管理</w:t>
      </w:r>
      <w:proofErr w:type="gramEnd"/>
      <w:r>
        <w:rPr>
          <w:rFonts w:ascii="仿宋" w:eastAsia="仿宋" w:hAnsi="仿宋" w:hint="eastAsia"/>
          <w:color w:val="000000" w:themeColor="text1"/>
          <w:sz w:val="24"/>
        </w:rPr>
        <w:t>人和日常消</w:t>
      </w:r>
      <w:proofErr w:type="gramStart"/>
      <w:r>
        <w:rPr>
          <w:rFonts w:ascii="仿宋" w:eastAsia="仿宋" w:hAnsi="仿宋" w:hint="eastAsia"/>
          <w:color w:val="000000" w:themeColor="text1"/>
          <w:sz w:val="24"/>
        </w:rPr>
        <w:t>杀管理</w:t>
      </w:r>
      <w:proofErr w:type="gramEnd"/>
      <w:r>
        <w:rPr>
          <w:rFonts w:ascii="仿宋" w:eastAsia="仿宋" w:hAnsi="仿宋" w:hint="eastAsia"/>
          <w:color w:val="000000" w:themeColor="text1"/>
          <w:sz w:val="24"/>
        </w:rPr>
        <w:t>人）、具备病媒生物防制相关专业初级以上专业技术人员全程进行质量控制、技术指导、施工安全保障等。在集中消杀过程中，参与施工的技术人员每日不少于12人，管理人员不少于2人（项目施工时必须在现场）。在日常消杀中，参与施工的技术人员每日不少于4人，管理人员不少于1人。施工技术人员或日常管理人员必须是与服务方签有劳务合同人员，消</w:t>
      </w:r>
      <w:proofErr w:type="gramStart"/>
      <w:r>
        <w:rPr>
          <w:rFonts w:ascii="仿宋" w:eastAsia="仿宋" w:hAnsi="仿宋" w:hint="eastAsia"/>
          <w:color w:val="000000" w:themeColor="text1"/>
          <w:sz w:val="24"/>
        </w:rPr>
        <w:t>杀活动</w:t>
      </w:r>
      <w:proofErr w:type="gramEnd"/>
      <w:r>
        <w:rPr>
          <w:rFonts w:ascii="仿宋" w:eastAsia="仿宋" w:hAnsi="仿宋" w:hint="eastAsia"/>
          <w:color w:val="000000" w:themeColor="text1"/>
          <w:sz w:val="24"/>
        </w:rPr>
        <w:t>实施前需将劳动合同复印一份交区爱卫办存档备查。</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2.提供器械的数量、质量情况：要保证集中消杀期间，所需热烟雾机拥有量不少于8台、超低容量机动喷雾机不少于5台，机动、电动喷雾机不少于5台，并配有与施工所需其他基本器械（包括个人防护用品及应急药品等），各种器械质量符合要求且运行良好。</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3.药品使用：除四害消杀药品的生产原料和生产方式以及主要成分技术指标符合国家标准，并结合我市对病媒生物抗药性监测分析，建议选用拟除虫菊酯类（氯氰、氯氟醚、</w:t>
      </w:r>
      <w:proofErr w:type="gramStart"/>
      <w:r>
        <w:rPr>
          <w:rFonts w:ascii="仿宋" w:eastAsia="仿宋" w:hAnsi="仿宋" w:hint="eastAsia"/>
          <w:color w:val="000000" w:themeColor="text1"/>
          <w:sz w:val="24"/>
        </w:rPr>
        <w:t>四氟酯等</w:t>
      </w:r>
      <w:proofErr w:type="gramEnd"/>
      <w:r>
        <w:rPr>
          <w:rFonts w:ascii="仿宋" w:eastAsia="仿宋" w:hAnsi="仿宋" w:hint="eastAsia"/>
          <w:color w:val="000000" w:themeColor="text1"/>
          <w:sz w:val="24"/>
        </w:rPr>
        <w:t>复配剂）和有机磷类（乙酰甲胺磷、</w:t>
      </w:r>
      <w:proofErr w:type="gramStart"/>
      <w:r>
        <w:rPr>
          <w:rFonts w:ascii="仿宋" w:eastAsia="仿宋" w:hAnsi="仿宋" w:hint="eastAsia"/>
          <w:color w:val="000000" w:themeColor="text1"/>
          <w:sz w:val="24"/>
        </w:rPr>
        <w:t>倍</w:t>
      </w:r>
      <w:proofErr w:type="gramEnd"/>
      <w:r>
        <w:rPr>
          <w:rFonts w:ascii="仿宋" w:eastAsia="仿宋" w:hAnsi="仿宋" w:hint="eastAsia"/>
          <w:color w:val="000000" w:themeColor="text1"/>
          <w:sz w:val="24"/>
        </w:rPr>
        <w:t>硫磷等）、溴敌隆、</w:t>
      </w:r>
      <w:proofErr w:type="gramStart"/>
      <w:r>
        <w:rPr>
          <w:rFonts w:ascii="仿宋" w:eastAsia="仿宋" w:hAnsi="仿宋" w:hint="eastAsia"/>
          <w:color w:val="000000" w:themeColor="text1"/>
          <w:sz w:val="24"/>
        </w:rPr>
        <w:t>溴鼠灵</w:t>
      </w:r>
      <w:proofErr w:type="gramEnd"/>
      <w:r>
        <w:rPr>
          <w:rFonts w:ascii="仿宋" w:eastAsia="仿宋" w:hAnsi="仿宋" w:hint="eastAsia"/>
          <w:color w:val="000000" w:themeColor="text1"/>
          <w:sz w:val="24"/>
        </w:rPr>
        <w:t>等第二代抗凝血灭鼠毒饵，采用标准复配制剂（四氟醚菊酯），提</w:t>
      </w:r>
      <w:r>
        <w:rPr>
          <w:rFonts w:ascii="仿宋" w:eastAsia="仿宋" w:hAnsi="仿宋" w:hint="eastAsia"/>
          <w:color w:val="000000" w:themeColor="text1"/>
          <w:sz w:val="24"/>
        </w:rPr>
        <w:lastRenderedPageBreak/>
        <w:t>高质量控制、降低环境污染等。并且符合国家爱卫会推荐使用的药物品种；根据日常消杀要求，使用的灭蚊蝇药品（未配比前）3-10月期间每月不少于100公斤，11-2月期间每月不少于40公斤，鼠药（配比后）三次集中消杀中每次不低于1吨且保证毒饵盒内毒饵及时补充，灭</w:t>
      </w:r>
      <w:proofErr w:type="gramStart"/>
      <w:r>
        <w:rPr>
          <w:rFonts w:ascii="仿宋" w:eastAsia="仿宋" w:hAnsi="仿宋" w:hint="eastAsia"/>
          <w:color w:val="000000" w:themeColor="text1"/>
          <w:sz w:val="24"/>
        </w:rPr>
        <w:t>蟑</w:t>
      </w:r>
      <w:proofErr w:type="gramEnd"/>
      <w:r>
        <w:rPr>
          <w:rFonts w:ascii="仿宋" w:eastAsia="仿宋" w:hAnsi="仿宋" w:hint="eastAsia"/>
          <w:color w:val="000000" w:themeColor="text1"/>
          <w:sz w:val="24"/>
        </w:rPr>
        <w:t>使用药品有效、足量。三次集中消杀中，分别使用不同剂型浓度药品（主要成分）施行灭鼠、灭</w:t>
      </w:r>
      <w:proofErr w:type="gramStart"/>
      <w:r>
        <w:rPr>
          <w:rFonts w:ascii="仿宋" w:eastAsia="仿宋" w:hAnsi="仿宋" w:hint="eastAsia"/>
          <w:color w:val="000000" w:themeColor="text1"/>
          <w:sz w:val="24"/>
        </w:rPr>
        <w:t>蟑</w:t>
      </w:r>
      <w:proofErr w:type="gramEnd"/>
      <w:r>
        <w:rPr>
          <w:rFonts w:ascii="仿宋" w:eastAsia="仿宋" w:hAnsi="仿宋" w:hint="eastAsia"/>
          <w:color w:val="000000" w:themeColor="text1"/>
          <w:sz w:val="24"/>
        </w:rPr>
        <w:t>、灭蚊蝇工作。</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4.除四害消</w:t>
      </w:r>
      <w:proofErr w:type="gramStart"/>
      <w:r>
        <w:rPr>
          <w:rFonts w:ascii="仿宋" w:eastAsia="仿宋" w:hAnsi="仿宋" w:hint="eastAsia"/>
          <w:color w:val="000000" w:themeColor="text1"/>
          <w:sz w:val="24"/>
        </w:rPr>
        <w:t>杀产品</w:t>
      </w:r>
      <w:proofErr w:type="gramEnd"/>
      <w:r>
        <w:rPr>
          <w:rFonts w:ascii="仿宋" w:eastAsia="仿宋" w:hAnsi="仿宋" w:hint="eastAsia"/>
          <w:color w:val="000000" w:themeColor="text1"/>
          <w:sz w:val="24"/>
        </w:rPr>
        <w:t>使用统一的标签和标识，标签内容及格式，防伪标识等符合农业部有关条款规定，消杀服务前需提供供货厂家、药品、器械的资质证明材料（包括生产许可证、经营许可证、检验合格报告、批准证明材料、合法票据、进货渠道等资质材料）。</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 xml:space="preserve">5.消杀工作不能转包其他公司；药品、器械库房能满足辖区内实际工作的开展，以随时应对突发事件的及时处理和相关工作有效开展。 </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（五）消杀效果及验收标准</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消杀效果：除四害消杀时投药足量、配比符合、频次和覆盖达到要求，设施投入、补充、维护完好，施工操作规范，消</w:t>
      </w:r>
      <w:proofErr w:type="gramStart"/>
      <w:r>
        <w:rPr>
          <w:rFonts w:ascii="仿宋" w:eastAsia="仿宋" w:hAnsi="仿宋" w:hint="eastAsia"/>
          <w:color w:val="000000" w:themeColor="text1"/>
          <w:sz w:val="24"/>
        </w:rPr>
        <w:t>杀达到</w:t>
      </w:r>
      <w:proofErr w:type="gramEnd"/>
      <w:r>
        <w:rPr>
          <w:rFonts w:ascii="仿宋" w:eastAsia="仿宋" w:hAnsi="仿宋" w:hint="eastAsia"/>
          <w:color w:val="000000" w:themeColor="text1"/>
          <w:sz w:val="24"/>
        </w:rPr>
        <w:t>技术服务目标要求，效果必须达到《国家卫生城市标准》（2021年版）暨国家病媒生物密度控制水平标准C级要求，50%街道镇达到B级要求，保障人畜安全，并满足东区的实际需要。</w:t>
      </w:r>
    </w:p>
    <w:p w:rsidR="00A211B4" w:rsidRDefault="00A211B4" w:rsidP="00A211B4">
      <w:pPr>
        <w:spacing w:line="400" w:lineRule="exact"/>
        <w:ind w:firstLineChars="200" w:firstLine="480"/>
        <w:rPr>
          <w:rFonts w:ascii="仿宋" w:eastAsia="仿宋" w:hAnsi="仿宋"/>
          <w:color w:val="000000" w:themeColor="text1"/>
          <w:sz w:val="24"/>
        </w:rPr>
      </w:pPr>
      <w:r>
        <w:rPr>
          <w:rFonts w:ascii="仿宋" w:eastAsia="仿宋" w:hAnsi="仿宋" w:hint="eastAsia"/>
          <w:color w:val="000000" w:themeColor="text1"/>
          <w:sz w:val="24"/>
        </w:rPr>
        <w:t>验收标准：《病媒生物密度控制水平 鼠类》（GB/T27770-2011）、《病媒生物密度控制水平 蚊虫》（GB/T27771-2011）、《病媒生物密度控制水平 蝇类》（GB/T27772-2011）、《病媒生物密度控制水平 蜚蠊》（GB/T27773-2011）及《病媒生物密度监测方法 鼠类》（GB/T23798-2009）、《病媒生物密度监测方法 蚊虫》（GB/T23797-2009）、《病媒生物密度监测方法 蝇类》（GB/T23796-2009）、《病媒生物密度监测方法 蜚蠊》（GB/T23795-2009）的B级、C级标准。</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（六）、检查、验收方法及监督管理</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1、由区爱卫办组织相关部门专业人员</w:t>
      </w:r>
      <w:proofErr w:type="gramStart"/>
      <w:r>
        <w:rPr>
          <w:rFonts w:ascii="仿宋" w:eastAsia="仿宋" w:hAnsi="仿宋" w:hint="eastAsia"/>
          <w:color w:val="000000" w:themeColor="text1"/>
          <w:sz w:val="24"/>
        </w:rPr>
        <w:t>分片区</w:t>
      </w:r>
      <w:proofErr w:type="gramEnd"/>
      <w:r>
        <w:rPr>
          <w:rFonts w:ascii="仿宋" w:eastAsia="仿宋" w:hAnsi="仿宋" w:hint="eastAsia"/>
          <w:color w:val="000000" w:themeColor="text1"/>
          <w:sz w:val="24"/>
        </w:rPr>
        <w:t>对本方案第七条内容的消杀服务质量采取定期或不定期的抽检；</w:t>
      </w:r>
      <w:proofErr w:type="gramStart"/>
      <w:r>
        <w:rPr>
          <w:rFonts w:ascii="仿宋" w:eastAsia="仿宋" w:hAnsi="仿宋" w:hint="eastAsia"/>
          <w:color w:val="000000" w:themeColor="text1"/>
          <w:sz w:val="24"/>
        </w:rPr>
        <w:t>区疾控中心</w:t>
      </w:r>
      <w:proofErr w:type="gramEnd"/>
      <w:r>
        <w:rPr>
          <w:rFonts w:ascii="仿宋" w:eastAsia="仿宋" w:hAnsi="仿宋" w:hint="eastAsia"/>
          <w:color w:val="000000" w:themeColor="text1"/>
          <w:sz w:val="24"/>
        </w:rPr>
        <w:t>等部门按规定及要求组织灭前监测、灭后效果评估工作，</w:t>
      </w:r>
      <w:proofErr w:type="gramStart"/>
      <w:r>
        <w:rPr>
          <w:rFonts w:ascii="仿宋" w:eastAsia="仿宋" w:hAnsi="仿宋" w:hint="eastAsia"/>
          <w:color w:val="000000" w:themeColor="text1"/>
          <w:sz w:val="24"/>
        </w:rPr>
        <w:t>若服务</w:t>
      </w:r>
      <w:proofErr w:type="gramEnd"/>
      <w:r>
        <w:rPr>
          <w:rFonts w:ascii="仿宋" w:eastAsia="仿宋" w:hAnsi="仿宋" w:hint="eastAsia"/>
          <w:color w:val="000000" w:themeColor="text1"/>
          <w:sz w:val="24"/>
        </w:rPr>
        <w:t>方按乙方方案施行或密度及设施建设未达到标准，视为验收不合格。</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 xml:space="preserve">2、检查验收方法依照《病媒生物密度控制水平 鼠类 蚊类 蝇类 蜚蠊》（GB/T2770～2773-2011）进行，合同期内国家出台新的考核验收办法依据新办法和标准执行。 </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3、接受全国、省、市、区级爱卫办或相关部门检查和技术评估时，因四害密</w:t>
      </w:r>
      <w:r>
        <w:rPr>
          <w:rFonts w:ascii="仿宋" w:eastAsia="仿宋" w:hAnsi="仿宋" w:hint="eastAsia"/>
          <w:color w:val="000000" w:themeColor="text1"/>
          <w:sz w:val="24"/>
        </w:rPr>
        <w:lastRenderedPageBreak/>
        <w:t>度超标或设施建设未达标,东区被通报批评或被确定为不合格的，视为验收不合格。</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4、实行重点单位场所和街道、社区督导负责制，在实施活动过程中，由所在单位、街道、社区负责病媒生物防制的专兼职人员实行监督管理（日常消</w:t>
      </w:r>
      <w:proofErr w:type="gramStart"/>
      <w:r>
        <w:rPr>
          <w:rFonts w:ascii="仿宋" w:eastAsia="仿宋" w:hAnsi="仿宋" w:hint="eastAsia"/>
          <w:color w:val="000000" w:themeColor="text1"/>
          <w:sz w:val="24"/>
        </w:rPr>
        <w:t>杀区域</w:t>
      </w:r>
      <w:proofErr w:type="gramEnd"/>
      <w:r>
        <w:rPr>
          <w:rFonts w:ascii="仿宋" w:eastAsia="仿宋" w:hAnsi="仿宋" w:hint="eastAsia"/>
          <w:color w:val="000000" w:themeColor="text1"/>
          <w:sz w:val="24"/>
        </w:rPr>
        <w:t>详见附表）。服务方向区爱卫会办公室提供活动现场的记录和影像资料。若反馈资料不完整、专兼职人员或辖区内居民反映存在问题较多，经过核实后，情况属实，均视为不合格。</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5、日常管理。</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5.1.结合日常密度检测，区爱卫办组织相关部门专业人员</w:t>
      </w:r>
      <w:proofErr w:type="gramStart"/>
      <w:r>
        <w:rPr>
          <w:rFonts w:ascii="仿宋" w:eastAsia="仿宋" w:hAnsi="仿宋" w:hint="eastAsia"/>
          <w:color w:val="000000" w:themeColor="text1"/>
          <w:sz w:val="24"/>
        </w:rPr>
        <w:t>分片区</w:t>
      </w:r>
      <w:proofErr w:type="gramEnd"/>
      <w:r>
        <w:rPr>
          <w:rFonts w:ascii="仿宋" w:eastAsia="仿宋" w:hAnsi="仿宋" w:hint="eastAsia"/>
          <w:color w:val="000000" w:themeColor="text1"/>
          <w:sz w:val="24"/>
        </w:rPr>
        <w:t>对消杀服务质量进行定期或不定期的抽检，对抽检或针对本方案第十条第一、四项检查与验收方法议定的验收不合格的现象，每次每个点位扣除服务费5000元（伍仟元整），以此类推累计扣除。</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5.2.消杀工作不能转包给其他公司，若经核实后存在转包现象，合同自然终止。</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5.3.服务方未按照甲方要求保存文档资料的，资料缺少一次，扣除服务方1000元（壹仟元整），以此类推累计扣除。必须保存文档资料包括12个月日常消</w:t>
      </w:r>
      <w:proofErr w:type="gramStart"/>
      <w:r>
        <w:rPr>
          <w:rFonts w:ascii="仿宋" w:eastAsia="仿宋" w:hAnsi="仿宋" w:hint="eastAsia"/>
          <w:color w:val="000000" w:themeColor="text1"/>
          <w:sz w:val="24"/>
        </w:rPr>
        <w:t>杀计划</w:t>
      </w:r>
      <w:proofErr w:type="gramEnd"/>
      <w:r>
        <w:rPr>
          <w:rFonts w:ascii="仿宋" w:eastAsia="仿宋" w:hAnsi="仿宋" w:hint="eastAsia"/>
          <w:color w:val="000000" w:themeColor="text1"/>
          <w:sz w:val="24"/>
        </w:rPr>
        <w:t>及施工记录，3次集中消杀计划、实施、总结和全项目服务总结、物理环保高科技方法在社区推广方案等资料。</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5.4.及时响应各类应急响应预案，未响应一次扣除服务费50000元（伍万元整），二次未响应终止合同，并追究违约赔偿责任。</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5.5.所有灭鼠毒饵盒以社区为单位进行编码，未完成一个社区扣除服务费2000元（贰仟元整），以此类推累计扣除。</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5.6.各级各类病媒生物防制效果评估中，如因服务方原因导致一个街道（镇）效果评估不合格，扣除服务方20000元（贰万元整），以此类推累计扣除。如东区效果评估导致所涉本方案第十条第三项情形1次不合格，扣除100000元（壹拾万元整）服务费；如果全区2次不合格，终止合同，未拨付的服务费不予拨付，并追究违约赔偿责任。</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5.7.物理等环保高科技防治方法的推行，未按照要求执行，一次一个社区扣除服务费5000元，以此类推累计扣除。</w:t>
      </w:r>
    </w:p>
    <w:p w:rsidR="00A211B4" w:rsidRDefault="00A211B4" w:rsidP="00A211B4">
      <w:pPr>
        <w:spacing w:line="400" w:lineRule="exact"/>
        <w:ind w:firstLineChars="130" w:firstLine="312"/>
        <w:rPr>
          <w:rFonts w:ascii="仿宋" w:eastAsia="仿宋" w:hAnsi="仿宋"/>
          <w:color w:val="000000" w:themeColor="text1"/>
          <w:sz w:val="24"/>
        </w:rPr>
      </w:pPr>
      <w:r>
        <w:rPr>
          <w:rFonts w:ascii="仿宋" w:eastAsia="仿宋" w:hAnsi="仿宋" w:hint="eastAsia"/>
          <w:color w:val="000000" w:themeColor="text1"/>
          <w:sz w:val="24"/>
        </w:rPr>
        <w:t>（七）施工监督。</w:t>
      </w:r>
    </w:p>
    <w:p w:rsidR="00A211B4" w:rsidRDefault="00A211B4" w:rsidP="00A211B4">
      <w:pPr>
        <w:pStyle w:val="a3"/>
        <w:spacing w:line="400" w:lineRule="exact"/>
        <w:ind w:firstLineChars="175" w:firstLine="420"/>
        <w:rPr>
          <w:rFonts w:ascii="仿宋" w:eastAsia="仿宋" w:hAnsi="仿宋"/>
          <w:b/>
          <w:bCs/>
          <w:color w:val="000000" w:themeColor="text1"/>
          <w:sz w:val="24"/>
        </w:rPr>
      </w:pPr>
      <w:r>
        <w:rPr>
          <w:rFonts w:ascii="仿宋" w:eastAsia="仿宋" w:hAnsi="仿宋" w:hint="eastAsia"/>
          <w:color w:val="000000" w:themeColor="text1"/>
          <w:sz w:val="24"/>
        </w:rPr>
        <w:lastRenderedPageBreak/>
        <w:t>服务机构印制《除四害现场施工服务记录单》，服务机构在社区（村）民委员会的带领下施工，经社区（村）居委会签字盖章作为服务施工凭证。未经居委会盖章认可，视为未施工消杀；抽检不达标要求服务商全部返工；未施工消杀或不达标纪录满二次，终止合同，追究违约赔偿责任。</w:t>
      </w:r>
    </w:p>
    <w:p w:rsidR="00956162" w:rsidRPr="00A211B4" w:rsidRDefault="00956162"/>
    <w:sectPr w:rsidR="00956162" w:rsidRPr="00A21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1B4"/>
    <w:rsid w:val="00956162"/>
    <w:rsid w:val="00A21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B4"/>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A211B4"/>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211B4"/>
    <w:rPr>
      <w:rFonts w:ascii="Arial" w:eastAsia="黑体" w:hAnsi="Arial" w:cs="Times New Roman"/>
      <w:b/>
      <w:bCs/>
      <w:sz w:val="32"/>
      <w:szCs w:val="32"/>
    </w:rPr>
  </w:style>
  <w:style w:type="paragraph" w:styleId="a3">
    <w:name w:val="Normal Indent"/>
    <w:basedOn w:val="a"/>
    <w:qFormat/>
    <w:rsid w:val="00A211B4"/>
    <w:pPr>
      <w:ind w:firstLineChars="200" w:firstLine="200"/>
    </w:pPr>
  </w:style>
  <w:style w:type="table" w:styleId="a4">
    <w:name w:val="Table Grid"/>
    <w:basedOn w:val="a1"/>
    <w:qFormat/>
    <w:rsid w:val="00A211B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1B4"/>
    <w:pPr>
      <w:widowControl w:val="0"/>
      <w:spacing w:after="160" w:line="259" w:lineRule="auto"/>
      <w:jc w:val="both"/>
    </w:pPr>
    <w:rPr>
      <w:rFonts w:ascii="Calibri" w:eastAsia="宋体" w:hAnsi="Calibri" w:cs="Times New Roman"/>
      <w:szCs w:val="24"/>
    </w:rPr>
  </w:style>
  <w:style w:type="paragraph" w:styleId="2">
    <w:name w:val="heading 2"/>
    <w:basedOn w:val="a"/>
    <w:next w:val="a"/>
    <w:link w:val="2Char"/>
    <w:qFormat/>
    <w:rsid w:val="00A211B4"/>
    <w:pPr>
      <w:keepNext/>
      <w:keepLines/>
      <w:spacing w:before="260" w:after="260" w:line="415"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A211B4"/>
    <w:rPr>
      <w:rFonts w:ascii="Arial" w:eastAsia="黑体" w:hAnsi="Arial" w:cs="Times New Roman"/>
      <w:b/>
      <w:bCs/>
      <w:sz w:val="32"/>
      <w:szCs w:val="32"/>
    </w:rPr>
  </w:style>
  <w:style w:type="paragraph" w:styleId="a3">
    <w:name w:val="Normal Indent"/>
    <w:basedOn w:val="a"/>
    <w:qFormat/>
    <w:rsid w:val="00A211B4"/>
    <w:pPr>
      <w:ind w:firstLineChars="200" w:firstLine="200"/>
    </w:pPr>
  </w:style>
  <w:style w:type="table" w:styleId="a4">
    <w:name w:val="Table Grid"/>
    <w:basedOn w:val="a1"/>
    <w:qFormat/>
    <w:rsid w:val="00A211B4"/>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769</Words>
  <Characters>4388</Characters>
  <Application>Microsoft Office Word</Application>
  <DocSecurity>0</DocSecurity>
  <Lines>36</Lines>
  <Paragraphs>10</Paragraphs>
  <ScaleCrop>false</ScaleCrop>
  <Company>微软中国</Company>
  <LinksUpToDate>false</LinksUpToDate>
  <CharactersWithSpaces>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2022-08-12T06:21:00Z</dcterms:created>
  <dcterms:modified xsi:type="dcterms:W3CDTF">2022-08-12T06:21:00Z</dcterms:modified>
</cp:coreProperties>
</file>